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96566B" w14:textId="77777777" w:rsidR="0082011E" w:rsidRPr="00691AAC" w:rsidRDefault="0082011E" w:rsidP="0082011E">
      <w:pPr>
        <w:jc w:val="right"/>
        <w:rPr>
          <w:rFonts w:ascii="Arial" w:eastAsia="Calibri" w:hAnsi="Arial" w:cs="Arial"/>
          <w:b/>
          <w:color w:val="000000" w:themeColor="text1"/>
          <w:sz w:val="20"/>
          <w:szCs w:val="20"/>
          <w:lang w:val="es-ES_tradnl"/>
        </w:rPr>
      </w:pPr>
      <w:bookmarkStart w:id="0" w:name="_Hlk28946138"/>
      <w:bookmarkStart w:id="1" w:name="_Hlk29548183"/>
      <w:bookmarkStart w:id="2" w:name="_Hlk47949675"/>
      <w:r w:rsidRPr="00691AAC">
        <w:rPr>
          <w:rFonts w:ascii="Arial" w:hAnsi="Arial" w:cs="Arial"/>
          <w:bCs/>
          <w:color w:val="000000" w:themeColor="text1"/>
          <w:sz w:val="16"/>
          <w:szCs w:val="16"/>
          <w:lang w:val="es-ES_tradnl" w:eastAsia="es-ES"/>
        </w:rPr>
        <w:t>CCE-DES-FM-17</w:t>
      </w:r>
      <w:bookmarkEnd w:id="0"/>
      <w:bookmarkEnd w:id="1"/>
    </w:p>
    <w:p w14:paraId="3E5A2E8F" w14:textId="78B165AB" w:rsidR="00FE4C26" w:rsidRPr="00691AAC" w:rsidRDefault="00FE4C26" w:rsidP="0022167B">
      <w:pPr>
        <w:jc w:val="right"/>
        <w:rPr>
          <w:rFonts w:ascii="Arial" w:eastAsia="Calibri" w:hAnsi="Arial" w:cs="Arial"/>
          <w:b/>
          <w:bCs/>
          <w:color w:val="161616" w:themeColor="background1" w:themeShade="1A"/>
          <w:sz w:val="22"/>
          <w:szCs w:val="22"/>
          <w:lang w:val="es-ES_tradnl"/>
        </w:rPr>
      </w:pPr>
    </w:p>
    <w:p w14:paraId="706978B7" w14:textId="1059AFB3" w:rsidR="00D04192" w:rsidRPr="00946A8B" w:rsidRDefault="00D04192" w:rsidP="00D04192">
      <w:pPr>
        <w:tabs>
          <w:tab w:val="left" w:pos="426"/>
        </w:tabs>
        <w:rPr>
          <w:rFonts w:ascii="Arial" w:hAnsi="Arial" w:cs="Arial"/>
          <w:b/>
          <w:sz w:val="20"/>
          <w:szCs w:val="20"/>
          <w:lang w:val="es-ES" w:eastAsia="es-CO"/>
        </w:rPr>
      </w:pPr>
      <w:bookmarkStart w:id="3" w:name="_Hlk77152637"/>
      <w:bookmarkStart w:id="4" w:name="_Hlk77157066"/>
      <w:bookmarkEnd w:id="2"/>
      <w:r w:rsidRPr="00946A8B">
        <w:rPr>
          <w:rFonts w:ascii="Arial" w:hAnsi="Arial" w:cs="Arial"/>
          <w:b/>
          <w:sz w:val="20"/>
          <w:szCs w:val="20"/>
          <w:lang w:val="es-ES" w:eastAsia="es-CO"/>
        </w:rPr>
        <w:t>LEY DE GARANTÍAS ELECTORALES ‒</w:t>
      </w:r>
      <w:bookmarkEnd w:id="3"/>
      <w:r w:rsidRPr="00946A8B">
        <w:rPr>
          <w:rFonts w:ascii="Arial" w:hAnsi="Arial" w:cs="Arial"/>
          <w:b/>
          <w:sz w:val="20"/>
          <w:szCs w:val="20"/>
          <w:lang w:val="es-ES" w:eastAsia="es-CO"/>
        </w:rPr>
        <w:t xml:space="preserve"> </w:t>
      </w:r>
      <w:r w:rsidR="004102D2" w:rsidRPr="00946A8B">
        <w:rPr>
          <w:rFonts w:ascii="Arial" w:hAnsi="Arial" w:cs="Arial"/>
          <w:b/>
          <w:sz w:val="20"/>
          <w:szCs w:val="20"/>
          <w:lang w:val="es-ES" w:eastAsia="es-CO"/>
        </w:rPr>
        <w:t>Definición</w:t>
      </w:r>
      <w:r w:rsidRPr="00946A8B">
        <w:rPr>
          <w:rFonts w:ascii="Arial" w:hAnsi="Arial" w:cs="Arial"/>
          <w:b/>
          <w:sz w:val="20"/>
          <w:szCs w:val="20"/>
          <w:lang w:val="es-ES" w:eastAsia="es-CO"/>
        </w:rPr>
        <w:t xml:space="preserve"> </w:t>
      </w:r>
      <w:r w:rsidR="008D36DB" w:rsidRPr="00946A8B">
        <w:rPr>
          <w:rFonts w:ascii="Arial" w:hAnsi="Arial" w:cs="Arial"/>
          <w:b/>
          <w:sz w:val="20"/>
          <w:szCs w:val="20"/>
          <w:lang w:val="es-ES" w:eastAsia="es-CO"/>
        </w:rPr>
        <w:t>– Finalidad</w:t>
      </w:r>
    </w:p>
    <w:p w14:paraId="1948F999" w14:textId="77777777" w:rsidR="00D04192" w:rsidRPr="00691AAC" w:rsidRDefault="00D04192" w:rsidP="00D04192">
      <w:pPr>
        <w:tabs>
          <w:tab w:val="left" w:pos="426"/>
        </w:tabs>
        <w:rPr>
          <w:rFonts w:ascii="Arial" w:eastAsia="Calibri" w:hAnsi="Arial" w:cs="Arial"/>
          <w:b/>
          <w:bCs/>
          <w:sz w:val="20"/>
          <w:szCs w:val="20"/>
        </w:rPr>
      </w:pPr>
    </w:p>
    <w:bookmarkEnd w:id="4"/>
    <w:p w14:paraId="20618E72" w14:textId="29835829" w:rsidR="00423405" w:rsidRPr="00691AAC" w:rsidRDefault="00D04192" w:rsidP="00423405">
      <w:pPr>
        <w:tabs>
          <w:tab w:val="left" w:pos="426"/>
        </w:tabs>
        <w:jc w:val="both"/>
        <w:rPr>
          <w:rFonts w:ascii="Arial" w:eastAsia="Calibri" w:hAnsi="Arial" w:cs="Arial"/>
          <w:noProof/>
          <w:sz w:val="20"/>
          <w:szCs w:val="20"/>
          <w:lang w:val="es-ES_tradnl"/>
        </w:rPr>
      </w:pPr>
      <w:r w:rsidRPr="00691AAC">
        <w:rPr>
          <w:rFonts w:ascii="Arial" w:eastAsia="Calibri" w:hAnsi="Arial" w:cs="Arial"/>
          <w:noProof/>
          <w:sz w:val="20"/>
          <w:szCs w:val="20"/>
          <w:lang w:val="es-ES_tradnl"/>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r w:rsidR="00423405" w:rsidRPr="00691AAC">
        <w:rPr>
          <w:rFonts w:ascii="Arial" w:eastAsia="Calibri" w:hAnsi="Arial" w:cs="Arial"/>
          <w:noProof/>
          <w:color w:val="161616" w:themeColor="background1" w:themeShade="1A"/>
          <w:sz w:val="20"/>
          <w:szCs w:val="20"/>
        </w:rPr>
        <w:t xml:space="preserve"> </w:t>
      </w:r>
    </w:p>
    <w:p w14:paraId="59A27F42" w14:textId="77777777" w:rsidR="00423405" w:rsidRPr="00691AAC" w:rsidRDefault="00423405" w:rsidP="00423405">
      <w:pPr>
        <w:tabs>
          <w:tab w:val="left" w:pos="426"/>
        </w:tabs>
        <w:jc w:val="both"/>
        <w:rPr>
          <w:rFonts w:ascii="Arial" w:eastAsia="Calibri" w:hAnsi="Arial" w:cs="Arial"/>
          <w:b/>
          <w:bCs/>
          <w:color w:val="161616" w:themeColor="background1" w:themeShade="1A"/>
          <w:sz w:val="22"/>
          <w:szCs w:val="22"/>
          <w:lang w:val="es-ES_tradnl"/>
        </w:rPr>
      </w:pPr>
      <w:bookmarkStart w:id="5" w:name="_Hlk77165666"/>
      <w:bookmarkStart w:id="6" w:name="_Hlk97039670"/>
    </w:p>
    <w:p w14:paraId="49F8EAA2" w14:textId="77777777" w:rsidR="00423405" w:rsidRPr="00691AAC" w:rsidRDefault="00423405" w:rsidP="00423405">
      <w:pPr>
        <w:tabs>
          <w:tab w:val="left" w:pos="426"/>
        </w:tabs>
        <w:jc w:val="both"/>
        <w:rPr>
          <w:rFonts w:ascii="Arial" w:eastAsia="Calibri" w:hAnsi="Arial" w:cs="Arial"/>
          <w:b/>
          <w:bCs/>
          <w:color w:val="161616" w:themeColor="background1" w:themeShade="1A"/>
          <w:sz w:val="20"/>
          <w:szCs w:val="20"/>
          <w:lang w:val="es-ES_tradnl"/>
        </w:rPr>
      </w:pPr>
      <w:r w:rsidRPr="00691AAC">
        <w:rPr>
          <w:rFonts w:ascii="Arial" w:eastAsia="Calibri" w:hAnsi="Arial" w:cs="Arial"/>
          <w:b/>
          <w:bCs/>
          <w:color w:val="161616" w:themeColor="background1" w:themeShade="1A"/>
          <w:sz w:val="20"/>
          <w:szCs w:val="20"/>
          <w:lang w:val="es-ES_tradnl"/>
        </w:rPr>
        <w:t>LEY DE GARANTÍAS ELECTORALES</w:t>
      </w:r>
      <w:r w:rsidRPr="00691AAC">
        <w:rPr>
          <w:rFonts w:ascii="Arial" w:eastAsia="Calibri" w:hAnsi="Arial" w:cs="Arial"/>
          <w:b/>
          <w:color w:val="161616" w:themeColor="background1" w:themeShade="1A"/>
          <w:sz w:val="20"/>
          <w:szCs w:val="20"/>
          <w:lang w:val="es-ES_tradnl"/>
        </w:rPr>
        <w:t xml:space="preserve"> –</w:t>
      </w:r>
      <w:r w:rsidRPr="00691AAC">
        <w:rPr>
          <w:rFonts w:ascii="Arial" w:eastAsia="Calibri" w:hAnsi="Arial" w:cs="Arial"/>
          <w:b/>
          <w:bCs/>
          <w:color w:val="161616" w:themeColor="background1" w:themeShade="1A"/>
          <w:sz w:val="20"/>
          <w:szCs w:val="20"/>
          <w:lang w:val="es-ES_tradnl"/>
        </w:rPr>
        <w:t xml:space="preserve"> P</w:t>
      </w:r>
      <w:r w:rsidRPr="00691AAC">
        <w:rPr>
          <w:rFonts w:ascii="Arial" w:hAnsi="Arial" w:cs="Arial"/>
          <w:b/>
          <w:sz w:val="20"/>
          <w:szCs w:val="20"/>
          <w:lang w:val="es-ES" w:eastAsia="es-CO"/>
        </w:rPr>
        <w:t>rohibición</w:t>
      </w:r>
      <w:bookmarkEnd w:id="5"/>
      <w:r w:rsidRPr="00691AAC">
        <w:rPr>
          <w:rFonts w:ascii="Arial" w:hAnsi="Arial" w:cs="Arial"/>
          <w:b/>
          <w:sz w:val="20"/>
          <w:szCs w:val="20"/>
          <w:lang w:val="es-ES" w:eastAsia="es-CO"/>
        </w:rPr>
        <w:t xml:space="preserve"> – Contratación directa – Alcance – Excepciones </w:t>
      </w:r>
    </w:p>
    <w:bookmarkEnd w:id="6"/>
    <w:p w14:paraId="6D4E12A7" w14:textId="77777777" w:rsidR="00423405" w:rsidRPr="00691AAC" w:rsidRDefault="00423405" w:rsidP="00423405">
      <w:pPr>
        <w:tabs>
          <w:tab w:val="left" w:pos="426"/>
        </w:tabs>
        <w:rPr>
          <w:rFonts w:ascii="Arial" w:eastAsia="Calibri" w:hAnsi="Arial" w:cs="Arial"/>
          <w:noProof/>
          <w:color w:val="161616" w:themeColor="background1" w:themeShade="1A"/>
          <w:sz w:val="22"/>
          <w:szCs w:val="22"/>
          <w:lang w:val="es-ES_tradnl"/>
        </w:rPr>
      </w:pPr>
    </w:p>
    <w:p w14:paraId="672E8DA5" w14:textId="77777777" w:rsidR="00423405" w:rsidRPr="00691AAC" w:rsidRDefault="00423405" w:rsidP="00423405">
      <w:pPr>
        <w:tabs>
          <w:tab w:val="left" w:pos="426"/>
        </w:tabs>
        <w:jc w:val="both"/>
        <w:rPr>
          <w:rFonts w:ascii="Arial" w:eastAsia="Calibri" w:hAnsi="Arial" w:cs="Arial"/>
          <w:noProof/>
          <w:color w:val="161616" w:themeColor="background1" w:themeShade="1A"/>
          <w:sz w:val="20"/>
          <w:szCs w:val="20"/>
          <w:lang w:val="es-ES_tradnl"/>
        </w:rPr>
      </w:pPr>
      <w:r w:rsidRPr="00691AAC">
        <w:rPr>
          <w:rFonts w:ascii="Arial" w:eastAsia="Calibri" w:hAnsi="Arial" w:cs="Arial"/>
          <w:noProof/>
          <w:color w:val="161616" w:themeColor="background1" w:themeShade="1A"/>
          <w:sz w:val="20"/>
          <w:szCs w:val="20"/>
          <w:lang w:val="es-ES_tradnl"/>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7FFCF23E" w14:textId="77777777" w:rsidR="00423405" w:rsidRPr="00691AAC" w:rsidRDefault="00423405" w:rsidP="00423405">
      <w:pPr>
        <w:tabs>
          <w:tab w:val="left" w:pos="426"/>
        </w:tabs>
        <w:jc w:val="both"/>
        <w:rPr>
          <w:rFonts w:ascii="Arial" w:eastAsia="Calibri" w:hAnsi="Arial" w:cs="Arial"/>
          <w:noProof/>
          <w:color w:val="161616" w:themeColor="background1" w:themeShade="1A"/>
          <w:sz w:val="20"/>
          <w:szCs w:val="20"/>
          <w:lang w:val="es-ES_tradnl"/>
        </w:rPr>
      </w:pPr>
    </w:p>
    <w:p w14:paraId="69DF0670" w14:textId="2D75A5A3" w:rsidR="00423405" w:rsidRPr="000164B2" w:rsidRDefault="00423405" w:rsidP="00423405">
      <w:pPr>
        <w:tabs>
          <w:tab w:val="left" w:pos="426"/>
        </w:tabs>
        <w:jc w:val="both"/>
        <w:rPr>
          <w:rFonts w:ascii="Arial" w:eastAsia="Calibri" w:hAnsi="Arial" w:cs="Arial"/>
          <w:noProof/>
          <w:color w:val="161616" w:themeColor="background1" w:themeShade="1A"/>
          <w:sz w:val="20"/>
          <w:szCs w:val="20"/>
          <w:lang w:val="es-ES_tradnl"/>
        </w:rPr>
      </w:pPr>
      <w:r w:rsidRPr="00691AAC">
        <w:rPr>
          <w:rFonts w:ascii="Arial" w:eastAsia="Calibri" w:hAnsi="Arial" w:cs="Arial"/>
          <w:noProof/>
          <w:color w:val="161616" w:themeColor="background1" w:themeShade="1A"/>
          <w:sz w:val="20"/>
          <w:szCs w:val="20"/>
          <w:lang w:val="es-ES_tradnl"/>
        </w:rPr>
        <w:t>[…]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093FCF64" w14:textId="77777777" w:rsidR="00423405" w:rsidRPr="00691AAC" w:rsidRDefault="00423405" w:rsidP="00423405">
      <w:pPr>
        <w:rPr>
          <w:rFonts w:ascii="Arial" w:hAnsi="Arial" w:cs="Arial"/>
          <w:b/>
          <w:bCs/>
          <w:sz w:val="20"/>
          <w:szCs w:val="20"/>
          <w:lang w:eastAsia="es-CO"/>
        </w:rPr>
      </w:pPr>
    </w:p>
    <w:p w14:paraId="7003E0A1" w14:textId="77777777" w:rsidR="00423405" w:rsidRPr="00691AAC" w:rsidRDefault="00423405" w:rsidP="00423405">
      <w:pPr>
        <w:rPr>
          <w:rFonts w:ascii="Arial" w:hAnsi="Arial" w:cs="Arial"/>
          <w:b/>
          <w:sz w:val="20"/>
          <w:szCs w:val="20"/>
          <w:lang w:val="es-ES" w:eastAsia="es-CO"/>
        </w:rPr>
      </w:pPr>
      <w:r w:rsidRPr="00691AAC">
        <w:rPr>
          <w:rFonts w:ascii="Arial" w:hAnsi="Arial" w:cs="Arial"/>
          <w:b/>
          <w:bCs/>
          <w:sz w:val="20"/>
          <w:szCs w:val="20"/>
          <w:lang w:eastAsia="es-CO"/>
        </w:rPr>
        <w:t xml:space="preserve">LEY DE GARANTÍAS ELECTORALES </w:t>
      </w:r>
      <w:bookmarkStart w:id="7" w:name="_Hlk77166669"/>
      <w:r w:rsidRPr="00691AAC">
        <w:rPr>
          <w:rFonts w:ascii="Arial" w:hAnsi="Arial" w:cs="Arial"/>
          <w:b/>
          <w:bCs/>
          <w:sz w:val="20"/>
          <w:szCs w:val="20"/>
          <w:lang w:eastAsia="es-CO"/>
        </w:rPr>
        <w:t>‒</w:t>
      </w:r>
      <w:bookmarkEnd w:id="7"/>
      <w:r w:rsidRPr="00691AAC">
        <w:rPr>
          <w:rFonts w:ascii="Arial" w:hAnsi="Arial" w:cs="Arial"/>
          <w:b/>
          <w:bCs/>
          <w:sz w:val="20"/>
          <w:szCs w:val="20"/>
          <w:lang w:eastAsia="es-CO"/>
        </w:rPr>
        <w:t xml:space="preserve"> </w:t>
      </w:r>
      <w:r w:rsidRPr="00691AAC">
        <w:rPr>
          <w:rFonts w:ascii="Arial" w:hAnsi="Arial" w:cs="Arial"/>
          <w:b/>
          <w:sz w:val="20"/>
          <w:szCs w:val="20"/>
          <w:lang w:val="es-ES" w:eastAsia="es-CO"/>
        </w:rPr>
        <w:t xml:space="preserve">Prohibición del artículo 33 </w:t>
      </w:r>
      <w:r w:rsidRPr="00691AAC">
        <w:rPr>
          <w:rFonts w:ascii="Arial" w:hAnsi="Arial" w:cs="Arial"/>
          <w:b/>
          <w:bCs/>
          <w:sz w:val="20"/>
          <w:szCs w:val="20"/>
          <w:lang w:eastAsia="es-CO"/>
        </w:rPr>
        <w:t>‒ Destinatarios</w:t>
      </w:r>
    </w:p>
    <w:p w14:paraId="5FCD6E42" w14:textId="77777777" w:rsidR="00423405" w:rsidRPr="00691AAC" w:rsidRDefault="00423405" w:rsidP="00423405">
      <w:pPr>
        <w:tabs>
          <w:tab w:val="left" w:pos="426"/>
        </w:tabs>
        <w:rPr>
          <w:rFonts w:ascii="Arial" w:eastAsia="Calibri" w:hAnsi="Arial" w:cs="Arial"/>
          <w:noProof/>
          <w:sz w:val="20"/>
          <w:szCs w:val="20"/>
          <w:lang w:val="es-ES" w:eastAsia="en-US"/>
        </w:rPr>
      </w:pPr>
    </w:p>
    <w:p w14:paraId="670BB7DC" w14:textId="77777777" w:rsidR="00423405" w:rsidRPr="00691AAC" w:rsidRDefault="00423405" w:rsidP="00423405">
      <w:pPr>
        <w:tabs>
          <w:tab w:val="left" w:pos="426"/>
        </w:tabs>
        <w:jc w:val="both"/>
        <w:rPr>
          <w:rFonts w:ascii="Arial" w:eastAsia="Calibri" w:hAnsi="Arial" w:cs="Arial"/>
          <w:noProof/>
          <w:sz w:val="20"/>
          <w:szCs w:val="20"/>
        </w:rPr>
      </w:pPr>
      <w:r w:rsidRPr="00691AAC">
        <w:rPr>
          <w:rFonts w:ascii="Arial" w:eastAsia="Calibri" w:hAnsi="Arial" w:cs="Arial"/>
          <w:noProof/>
          <w:color w:val="161616" w:themeColor="background1" w:themeShade="1A"/>
          <w:sz w:val="20"/>
          <w:szCs w:val="20"/>
          <w:lang w:val="es-ES_tradnl"/>
        </w:rPr>
        <w:t xml:space="preserve">[…] </w:t>
      </w:r>
      <w:r w:rsidRPr="00691AAC">
        <w:rPr>
          <w:rFonts w:ascii="Arial" w:eastAsia="Calibri" w:hAnsi="Arial" w:cs="Arial"/>
          <w:noProof/>
          <w:sz w:val="20"/>
          <w:szCs w:val="20"/>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799639D" w14:textId="77777777" w:rsidR="00423405" w:rsidRPr="00691AAC" w:rsidRDefault="00423405" w:rsidP="00423405">
      <w:pPr>
        <w:tabs>
          <w:tab w:val="left" w:pos="426"/>
        </w:tabs>
        <w:jc w:val="both"/>
        <w:rPr>
          <w:rFonts w:ascii="Arial" w:eastAsia="Calibri" w:hAnsi="Arial" w:cs="Arial"/>
          <w:noProof/>
          <w:sz w:val="20"/>
          <w:szCs w:val="20"/>
        </w:rPr>
      </w:pPr>
    </w:p>
    <w:p w14:paraId="6D40FAB7" w14:textId="77777777" w:rsidR="00423405" w:rsidRPr="00691AAC" w:rsidRDefault="00423405" w:rsidP="00423405">
      <w:pPr>
        <w:shd w:val="clear" w:color="auto" w:fill="FFFFFF"/>
        <w:jc w:val="both"/>
        <w:rPr>
          <w:rFonts w:ascii="Arial" w:eastAsia="Arial" w:hAnsi="Arial" w:cs="Arial"/>
          <w:sz w:val="20"/>
          <w:szCs w:val="20"/>
          <w:lang w:eastAsia="es-ES_tradnl"/>
        </w:rPr>
      </w:pPr>
      <w:r w:rsidRPr="00691AAC">
        <w:rPr>
          <w:rFonts w:ascii="Arial" w:eastAsia="Arial" w:hAnsi="Arial" w:cs="Arial"/>
          <w:b/>
          <w:sz w:val="20"/>
          <w:szCs w:val="20"/>
        </w:rPr>
        <w:lastRenderedPageBreak/>
        <w:t xml:space="preserve">LEY DE GARANTÍAS ELECTORALES ‒ Excepciones </w:t>
      </w:r>
      <w:r w:rsidRPr="00691AAC">
        <w:rPr>
          <w:rFonts w:ascii="Arial" w:hAnsi="Arial" w:cs="Arial"/>
          <w:b/>
          <w:bCs/>
          <w:sz w:val="20"/>
          <w:szCs w:val="20"/>
          <w:lang w:eastAsia="es-CO"/>
        </w:rPr>
        <w:t xml:space="preserve">‒ </w:t>
      </w:r>
      <w:r w:rsidRPr="00691AAC">
        <w:rPr>
          <w:rFonts w:ascii="Arial" w:eastAsia="Arial" w:hAnsi="Arial" w:cs="Arial"/>
          <w:b/>
          <w:sz w:val="20"/>
          <w:szCs w:val="20"/>
        </w:rPr>
        <w:t xml:space="preserve">Entidades hospitalarias </w:t>
      </w:r>
      <w:r w:rsidRPr="00691AAC">
        <w:rPr>
          <w:rFonts w:ascii="Arial" w:hAnsi="Arial" w:cs="Arial"/>
          <w:b/>
          <w:bCs/>
          <w:sz w:val="20"/>
          <w:szCs w:val="20"/>
          <w:lang w:eastAsia="es-CO"/>
        </w:rPr>
        <w:t>‒ Departamentos</w:t>
      </w:r>
    </w:p>
    <w:p w14:paraId="70DF3A42" w14:textId="77777777" w:rsidR="00423405" w:rsidRPr="00691AAC" w:rsidRDefault="00423405" w:rsidP="00423405">
      <w:pPr>
        <w:ind w:right="49"/>
        <w:jc w:val="both"/>
        <w:rPr>
          <w:rFonts w:ascii="Arial" w:eastAsia="Calibri" w:hAnsi="Arial" w:cs="Arial"/>
          <w:b/>
          <w:color w:val="000000" w:themeColor="text1"/>
          <w:sz w:val="20"/>
          <w:szCs w:val="20"/>
          <w:lang w:val="es-MX" w:eastAsia="en-US"/>
        </w:rPr>
      </w:pPr>
    </w:p>
    <w:p w14:paraId="46793FC2" w14:textId="77777777" w:rsidR="00203B55" w:rsidRPr="00203B55" w:rsidRDefault="00203B55" w:rsidP="00203B55">
      <w:pPr>
        <w:tabs>
          <w:tab w:val="left" w:pos="426"/>
        </w:tabs>
        <w:spacing w:before="120"/>
        <w:jc w:val="both"/>
        <w:rPr>
          <w:rFonts w:ascii="Arial" w:eastAsia="Calibri" w:hAnsi="Arial" w:cs="Arial"/>
          <w:bCs/>
          <w:noProof/>
          <w:sz w:val="20"/>
          <w:szCs w:val="20"/>
          <w:lang w:eastAsia="en-US"/>
        </w:rPr>
      </w:pPr>
      <w:r w:rsidRPr="00203B55">
        <w:rPr>
          <w:rFonts w:ascii="Arial" w:eastAsia="Calibri" w:hAnsi="Arial" w:cs="Arial"/>
          <w:bCs/>
          <w:noProof/>
          <w:sz w:val="20"/>
          <w:szCs w:val="20"/>
          <w:lang w:eastAsia="en-US"/>
        </w:rPr>
        <w:t xml:space="preserve">Para efectos de la consulta es relevante el quinto evento exceptuado de la prohibición, relacionado con la contratación por parte de las entidades sanitarias y hospitalarias.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prestarlos, incluso de manera directa, durante los periodos prelectorales, con lo que se busca garantizar que el interés público no se vea afectado por el rigor de la regla general. </w:t>
      </w:r>
    </w:p>
    <w:p w14:paraId="0E614D76" w14:textId="77777777" w:rsidR="00203B55" w:rsidRDefault="00203B55" w:rsidP="00423405">
      <w:pPr>
        <w:ind w:right="51"/>
        <w:jc w:val="both"/>
        <w:rPr>
          <w:rFonts w:ascii="Arial" w:eastAsia="Calibri" w:hAnsi="Arial" w:cs="Arial"/>
          <w:bCs/>
          <w:noProof/>
          <w:sz w:val="20"/>
          <w:szCs w:val="20"/>
          <w:lang w:val="es-ES_tradnl" w:eastAsia="en-US"/>
        </w:rPr>
      </w:pPr>
    </w:p>
    <w:p w14:paraId="0F2B90EE" w14:textId="17CAEB60" w:rsidR="00423405" w:rsidRPr="00691AAC" w:rsidRDefault="00203B55" w:rsidP="00423405">
      <w:pPr>
        <w:ind w:right="51"/>
        <w:jc w:val="both"/>
        <w:rPr>
          <w:rFonts w:ascii="Arial" w:eastAsia="Calibri" w:hAnsi="Arial" w:cs="Arial"/>
          <w:bCs/>
          <w:noProof/>
          <w:sz w:val="20"/>
          <w:szCs w:val="20"/>
          <w:lang w:val="es-ES_tradnl" w:eastAsia="en-US"/>
        </w:rPr>
      </w:pPr>
      <w:r>
        <w:rPr>
          <w:rFonts w:ascii="Arial" w:eastAsia="Calibri" w:hAnsi="Arial" w:cs="Arial"/>
          <w:bCs/>
          <w:noProof/>
          <w:sz w:val="20"/>
          <w:szCs w:val="20"/>
          <w:lang w:val="es-ES_tradnl" w:eastAsia="en-US"/>
        </w:rPr>
        <w:t xml:space="preserve">Esta </w:t>
      </w:r>
      <w:r w:rsidRPr="00203B55">
        <w:rPr>
          <w:rFonts w:ascii="Arial" w:eastAsia="Calibri" w:hAnsi="Arial" w:cs="Arial"/>
          <w:bCs/>
          <w:noProof/>
          <w:sz w:val="20"/>
          <w:szCs w:val="20"/>
          <w:lang w:val="es-ES_tradnl" w:eastAsia="en-US"/>
        </w:rPr>
        <w:t>Agencia ha explicado que entidades como las Empresas Sociales del Estado se encuentran cobijadas por la excepción en comento, en la medida en que por expresa disposición de la ley son entidades encargadas de la prestación de servicios de salud , lo que las ubica dentro de la referida noción de entidad sanitaria. Por el contrario, respecto de los departamentos se ha reconocido que, a pesar de jugar importante en la materia a través de sus secretarías de salud, no prestan un servicio directo, sino que coordinan las políticas de esta naturaleza desde un punto de vista administrativo para efectos del control y vigilancia, por lo que no se encuentran cobijados por la excepción</w:t>
      </w:r>
      <w:r w:rsidR="00423405" w:rsidRPr="00691AAC">
        <w:rPr>
          <w:rFonts w:ascii="Arial" w:eastAsia="Calibri" w:hAnsi="Arial" w:cs="Arial"/>
          <w:bCs/>
          <w:noProof/>
          <w:sz w:val="20"/>
          <w:szCs w:val="20"/>
          <w:lang w:val="es-ES_tradnl" w:eastAsia="en-US"/>
        </w:rPr>
        <w:t xml:space="preserve">. </w:t>
      </w:r>
    </w:p>
    <w:p w14:paraId="1563ABB1" w14:textId="77777777" w:rsidR="00423405" w:rsidRPr="00691AAC" w:rsidRDefault="00423405" w:rsidP="00423405">
      <w:pPr>
        <w:ind w:right="51"/>
        <w:jc w:val="both"/>
        <w:rPr>
          <w:rFonts w:ascii="Arial" w:eastAsia="Calibri" w:hAnsi="Arial" w:cs="Arial"/>
          <w:bCs/>
          <w:noProof/>
          <w:sz w:val="20"/>
          <w:szCs w:val="20"/>
          <w:lang w:eastAsia="en-US"/>
        </w:rPr>
      </w:pPr>
    </w:p>
    <w:p w14:paraId="2BBE65BE" w14:textId="77777777" w:rsidR="00423405" w:rsidRPr="00691AAC" w:rsidRDefault="00423405" w:rsidP="00423405">
      <w:pPr>
        <w:shd w:val="clear" w:color="auto" w:fill="FFFFFF"/>
        <w:jc w:val="both"/>
        <w:rPr>
          <w:rFonts w:ascii="Arial" w:eastAsia="Arial" w:hAnsi="Arial" w:cs="Arial"/>
          <w:sz w:val="20"/>
          <w:szCs w:val="20"/>
          <w:lang w:eastAsia="es-ES_tradnl"/>
        </w:rPr>
      </w:pPr>
      <w:r w:rsidRPr="00691AAC">
        <w:rPr>
          <w:rFonts w:ascii="Arial" w:eastAsia="Arial" w:hAnsi="Arial" w:cs="Arial"/>
          <w:b/>
          <w:sz w:val="20"/>
          <w:szCs w:val="20"/>
        </w:rPr>
        <w:t xml:space="preserve">LEY DE GARANTÍAS ELECTORALES ‒ Excepciones </w:t>
      </w:r>
      <w:r w:rsidRPr="00691AAC">
        <w:rPr>
          <w:rFonts w:ascii="Arial" w:hAnsi="Arial" w:cs="Arial"/>
          <w:b/>
          <w:bCs/>
          <w:sz w:val="20"/>
          <w:szCs w:val="20"/>
          <w:lang w:eastAsia="es-CO"/>
        </w:rPr>
        <w:t xml:space="preserve">‒ </w:t>
      </w:r>
      <w:r w:rsidRPr="00691AAC">
        <w:rPr>
          <w:rFonts w:ascii="Arial" w:eastAsia="Arial" w:hAnsi="Arial" w:cs="Arial"/>
          <w:b/>
          <w:sz w:val="20"/>
          <w:szCs w:val="20"/>
        </w:rPr>
        <w:t xml:space="preserve">Entidades sanitarias </w:t>
      </w:r>
      <w:r w:rsidRPr="00691AAC">
        <w:rPr>
          <w:rFonts w:ascii="Arial" w:hAnsi="Arial" w:cs="Arial"/>
          <w:b/>
          <w:bCs/>
          <w:sz w:val="20"/>
          <w:szCs w:val="20"/>
          <w:lang w:eastAsia="es-CO"/>
        </w:rPr>
        <w:t>‒ Departamentos</w:t>
      </w:r>
    </w:p>
    <w:p w14:paraId="4251E597" w14:textId="77777777" w:rsidR="00423405" w:rsidRPr="00691AAC" w:rsidRDefault="00423405" w:rsidP="00423405">
      <w:pPr>
        <w:ind w:right="51"/>
        <w:jc w:val="both"/>
        <w:rPr>
          <w:rFonts w:ascii="Arial" w:hAnsi="Arial" w:cs="Arial"/>
          <w:bCs/>
          <w:sz w:val="20"/>
          <w:szCs w:val="20"/>
          <w:lang w:val="es-MX" w:eastAsia="es-CO"/>
        </w:rPr>
      </w:pPr>
    </w:p>
    <w:p w14:paraId="20D7A291" w14:textId="0F935A21" w:rsidR="00423405" w:rsidRPr="00691AAC" w:rsidRDefault="008A7EB2" w:rsidP="00423405">
      <w:pPr>
        <w:ind w:right="51"/>
        <w:jc w:val="both"/>
        <w:rPr>
          <w:rFonts w:ascii="Arial" w:hAnsi="Arial" w:cs="Arial"/>
          <w:bCs/>
          <w:sz w:val="20"/>
          <w:szCs w:val="20"/>
          <w:lang w:eastAsia="es-CO"/>
        </w:rPr>
      </w:pPr>
      <w:r w:rsidRPr="008A7EB2">
        <w:rPr>
          <w:rFonts w:ascii="Arial" w:hAnsi="Arial" w:cs="Arial"/>
          <w:bCs/>
          <w:sz w:val="20"/>
          <w:szCs w:val="20"/>
          <w:lang w:eastAsia="es-CO"/>
        </w:rPr>
        <w:t>El alcance de esta excepción está determinado por la prestación de servicios sanitarios y hospitalarios, por lo que son las entidades públicas directamente encargadas de prestar estos servicios quienes estarían cobijadas por la excepción. Al respecto conviene diferenciar los conceptos de entidad sanitaria y autoridad sanitaria, ya que, en efecto, el artículo 2.8.8.1.1.3 del Decreto 780 de 2016, «Por medio del cual se expide el Decreto Único Reglamentario del Sector Salud y Protección Social», define las entidades sanitarias como «Entidades del Estado que prestan servicios sanitarios o de sanidad con el propósito de preservar la salud humana y la salud pública», mientras que a las autoridades sanitarias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Pr>
          <w:rFonts w:ascii="Arial" w:hAnsi="Arial" w:cs="Arial"/>
          <w:bCs/>
          <w:sz w:val="20"/>
          <w:szCs w:val="20"/>
          <w:lang w:eastAsia="es-CO"/>
        </w:rPr>
        <w:t xml:space="preserve">. </w:t>
      </w:r>
    </w:p>
    <w:p w14:paraId="0B846501" w14:textId="77777777" w:rsidR="00423405" w:rsidRPr="00691AAC" w:rsidRDefault="00423405" w:rsidP="00423405">
      <w:pPr>
        <w:ind w:right="51"/>
        <w:jc w:val="both"/>
        <w:rPr>
          <w:rFonts w:ascii="Arial" w:hAnsi="Arial" w:cs="Arial"/>
          <w:bCs/>
          <w:sz w:val="20"/>
          <w:szCs w:val="20"/>
          <w:lang w:val="es-MX" w:eastAsia="es-CO"/>
        </w:rPr>
      </w:pPr>
    </w:p>
    <w:p w14:paraId="3A491CB1" w14:textId="77777777" w:rsidR="000164B2" w:rsidRDefault="0032144D" w:rsidP="000164B2">
      <w:pPr>
        <w:spacing w:before="120" w:after="120" w:line="276" w:lineRule="auto"/>
        <w:jc w:val="both"/>
        <w:rPr>
          <w:rFonts w:ascii="Arial" w:hAnsi="Arial" w:cs="Arial"/>
          <w:color w:val="161616" w:themeColor="background1" w:themeShade="1A"/>
          <w:sz w:val="22"/>
          <w:szCs w:val="22"/>
          <w:lang w:val="es-ES_tradnl"/>
        </w:rPr>
      </w:pPr>
      <w:bookmarkStart w:id="8" w:name="_Hlk70510939"/>
      <w:r w:rsidRPr="00691AAC">
        <w:rPr>
          <w:rFonts w:ascii="Arial" w:hAnsi="Arial" w:cs="Arial"/>
          <w:color w:val="161616" w:themeColor="background1" w:themeShade="1A"/>
          <w:sz w:val="22"/>
          <w:szCs w:val="22"/>
          <w:lang w:val="es-ES_tradnl"/>
        </w:rPr>
        <w:br w:type="page"/>
      </w:r>
    </w:p>
    <w:p w14:paraId="6EB0CC69" w14:textId="1AC67DA0" w:rsidR="000164B2" w:rsidRDefault="000502EC" w:rsidP="000502EC">
      <w:pPr>
        <w:spacing w:before="120" w:after="120" w:line="276" w:lineRule="auto"/>
        <w:jc w:val="right"/>
        <w:rPr>
          <w:rFonts w:ascii="Arial" w:hAnsi="Arial" w:cs="Arial"/>
          <w:color w:val="161616" w:themeColor="background1" w:themeShade="1A"/>
          <w:sz w:val="22"/>
          <w:szCs w:val="22"/>
          <w:lang w:val="es-ES_tradnl"/>
        </w:rPr>
      </w:pPr>
      <w:r>
        <w:rPr>
          <w:noProof/>
        </w:rPr>
        <w:lastRenderedPageBreak/>
        <w:drawing>
          <wp:inline distT="0" distB="0" distL="0" distR="0" wp14:anchorId="4BCE21EA" wp14:editId="451DF86F">
            <wp:extent cx="3086100" cy="800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9573" t="46178" r="14719" b="28134"/>
                    <a:stretch/>
                  </pic:blipFill>
                  <pic:spPr bwMode="auto">
                    <a:xfrm>
                      <a:off x="0" y="0"/>
                      <a:ext cx="3086100" cy="800100"/>
                    </a:xfrm>
                    <a:prstGeom prst="rect">
                      <a:avLst/>
                    </a:prstGeom>
                    <a:ln>
                      <a:noFill/>
                    </a:ln>
                    <a:extLst>
                      <a:ext uri="{53640926-AAD7-44D8-BBD7-CCE9431645EC}">
                        <a14:shadowObscured xmlns:a14="http://schemas.microsoft.com/office/drawing/2010/main"/>
                      </a:ext>
                    </a:extLst>
                  </pic:spPr>
                </pic:pic>
              </a:graphicData>
            </a:graphic>
          </wp:inline>
        </w:drawing>
      </w:r>
    </w:p>
    <w:p w14:paraId="6094F54B" w14:textId="5DFED611" w:rsidR="000164B2" w:rsidRDefault="00563655" w:rsidP="000164B2">
      <w:pPr>
        <w:spacing w:before="120"/>
        <w:jc w:val="both"/>
        <w:rPr>
          <w:rFonts w:ascii="Arial" w:hAnsi="Arial" w:cs="Arial"/>
          <w:color w:val="161616" w:themeColor="background1" w:themeShade="1A"/>
          <w:sz w:val="22"/>
          <w:szCs w:val="22"/>
          <w:lang w:val="es-ES_tradnl"/>
        </w:rPr>
      </w:pPr>
      <w:r>
        <w:rPr>
          <w:rFonts w:ascii="Arial" w:hAnsi="Arial" w:cs="Arial"/>
          <w:color w:val="161616" w:themeColor="background1" w:themeShade="1A"/>
          <w:sz w:val="22"/>
          <w:szCs w:val="22"/>
          <w:lang w:val="es-ES_tradnl"/>
        </w:rPr>
        <w:t>Bogotá, 7 abril 2022</w:t>
      </w:r>
    </w:p>
    <w:p w14:paraId="14673A0C" w14:textId="77777777" w:rsidR="00563655" w:rsidRDefault="00563655" w:rsidP="000164B2">
      <w:pPr>
        <w:spacing w:before="120"/>
        <w:jc w:val="both"/>
        <w:rPr>
          <w:rFonts w:ascii="Arial" w:hAnsi="Arial" w:cs="Arial"/>
          <w:color w:val="161616" w:themeColor="background1" w:themeShade="1A"/>
          <w:sz w:val="22"/>
          <w:szCs w:val="22"/>
          <w:lang w:val="es-ES_tradnl"/>
        </w:rPr>
      </w:pPr>
    </w:p>
    <w:p w14:paraId="6E444D61" w14:textId="4A9F693C" w:rsidR="00E54365" w:rsidRPr="00691AAC" w:rsidRDefault="00E54365" w:rsidP="000164B2">
      <w:pPr>
        <w:spacing w:before="120"/>
        <w:jc w:val="both"/>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Señor</w:t>
      </w:r>
      <w:r w:rsidR="009900DC" w:rsidRPr="00691AAC">
        <w:rPr>
          <w:rFonts w:ascii="Arial" w:hAnsi="Arial" w:cs="Arial"/>
          <w:color w:val="161616" w:themeColor="background1" w:themeShade="1A"/>
          <w:sz w:val="22"/>
          <w:szCs w:val="22"/>
          <w:lang w:val="es-ES_tradnl"/>
        </w:rPr>
        <w:t>a</w:t>
      </w:r>
    </w:p>
    <w:p w14:paraId="1CB0E71B" w14:textId="06BB8BC0" w:rsidR="00C64E43" w:rsidRPr="00691AAC" w:rsidRDefault="009900DC" w:rsidP="000164B2">
      <w:pPr>
        <w:rPr>
          <w:rFonts w:ascii="Arial" w:hAnsi="Arial" w:cs="Arial"/>
          <w:b/>
          <w:color w:val="000000" w:themeColor="text1"/>
          <w:sz w:val="22"/>
          <w:szCs w:val="22"/>
          <w:lang w:val="es-ES_tradnl"/>
        </w:rPr>
      </w:pPr>
      <w:r w:rsidRPr="00691AAC">
        <w:rPr>
          <w:rFonts w:ascii="Arial" w:hAnsi="Arial" w:cs="Arial"/>
          <w:b/>
          <w:color w:val="000000" w:themeColor="text1"/>
          <w:sz w:val="22"/>
          <w:szCs w:val="22"/>
          <w:lang w:val="es-ES_tradnl"/>
        </w:rPr>
        <w:t xml:space="preserve">Sandra Elena Martínez Archila </w:t>
      </w:r>
    </w:p>
    <w:p w14:paraId="7D2AC42E" w14:textId="1A9F0FF9" w:rsidR="00C64E43" w:rsidRPr="00691AAC" w:rsidRDefault="009900DC" w:rsidP="000164B2">
      <w:pPr>
        <w:rPr>
          <w:rFonts w:ascii="Arial" w:hAnsi="Arial" w:cs="Arial"/>
          <w:bCs/>
          <w:color w:val="161616" w:themeColor="background1" w:themeShade="1A"/>
          <w:sz w:val="22"/>
          <w:szCs w:val="22"/>
          <w:lang w:val="es-ES_tradnl"/>
        </w:rPr>
      </w:pPr>
      <w:r w:rsidRPr="00691AAC">
        <w:rPr>
          <w:rFonts w:ascii="Arial" w:hAnsi="Arial" w:cs="Arial"/>
          <w:bCs/>
          <w:color w:val="161616" w:themeColor="background1" w:themeShade="1A"/>
          <w:sz w:val="22"/>
          <w:szCs w:val="22"/>
          <w:lang w:val="es-ES_tradnl"/>
        </w:rPr>
        <w:t xml:space="preserve">Directora (E) U.A.E de Salud de Arauca </w:t>
      </w:r>
    </w:p>
    <w:p w14:paraId="190AC816" w14:textId="6403B27D" w:rsidR="00C64E43" w:rsidRPr="00691AAC" w:rsidRDefault="009900DC" w:rsidP="000164B2">
      <w:pPr>
        <w:rPr>
          <w:rFonts w:ascii="Arial" w:hAnsi="Arial" w:cs="Arial"/>
          <w:color w:val="161616" w:themeColor="background1" w:themeShade="1A"/>
          <w:sz w:val="22"/>
          <w:szCs w:val="22"/>
          <w:lang w:val="es-ES_tradnl"/>
        </w:rPr>
      </w:pPr>
      <w:r w:rsidRPr="00691AAC">
        <w:rPr>
          <w:rFonts w:ascii="Arial" w:hAnsi="Arial" w:cs="Arial"/>
          <w:bCs/>
          <w:color w:val="161616" w:themeColor="background1" w:themeShade="1A"/>
          <w:sz w:val="22"/>
          <w:szCs w:val="22"/>
          <w:lang w:val="es-ES_tradnl"/>
        </w:rPr>
        <w:t>Arauca</w:t>
      </w:r>
      <w:r w:rsidR="00691AAC" w:rsidRPr="00691AAC">
        <w:rPr>
          <w:rFonts w:ascii="Arial" w:hAnsi="Arial" w:cs="Arial"/>
          <w:bCs/>
          <w:color w:val="161616" w:themeColor="background1" w:themeShade="1A"/>
          <w:sz w:val="22"/>
          <w:szCs w:val="22"/>
          <w:lang w:val="es-ES_tradnl"/>
        </w:rPr>
        <w:t xml:space="preserve">, Arauca </w:t>
      </w:r>
    </w:p>
    <w:p w14:paraId="207B3DB4" w14:textId="77777777" w:rsidR="00C64E43" w:rsidRPr="00691AAC" w:rsidRDefault="00C64E43" w:rsidP="0022167B">
      <w:pPr>
        <w:rPr>
          <w:rFonts w:ascii="Arial" w:hAnsi="Arial" w:cs="Arial"/>
          <w:color w:val="161616" w:themeColor="background1" w:themeShade="1A"/>
          <w:sz w:val="22"/>
          <w:szCs w:val="22"/>
          <w:lang w:val="es-ES_tradnl"/>
        </w:rPr>
      </w:pPr>
    </w:p>
    <w:p w14:paraId="462F7397" w14:textId="77777777" w:rsidR="0076432E" w:rsidRPr="00691AAC" w:rsidRDefault="0076432E" w:rsidP="0022167B">
      <w:pPr>
        <w:ind w:left="2124" w:firstLine="708"/>
        <w:rPr>
          <w:rFonts w:ascii="Arial" w:hAnsi="Arial" w:cs="Arial"/>
          <w:b/>
          <w:bCs/>
          <w:color w:val="161616" w:themeColor="background1" w:themeShade="1A"/>
          <w:sz w:val="22"/>
          <w:szCs w:val="22"/>
          <w:lang w:val="es-ES_tradnl"/>
        </w:rPr>
      </w:pPr>
    </w:p>
    <w:p w14:paraId="17BA6817" w14:textId="382327B6" w:rsidR="00E54365" w:rsidRPr="00691AAC" w:rsidRDefault="00E54365" w:rsidP="0022167B">
      <w:pPr>
        <w:ind w:left="2124" w:firstLine="708"/>
        <w:rPr>
          <w:rFonts w:ascii="Arial" w:hAnsi="Arial" w:cs="Arial"/>
          <w:b/>
          <w:bCs/>
          <w:color w:val="161616" w:themeColor="background1" w:themeShade="1A"/>
          <w:sz w:val="22"/>
          <w:szCs w:val="22"/>
          <w:lang w:val="es-ES_tradnl"/>
        </w:rPr>
      </w:pPr>
      <w:r w:rsidRPr="00691AAC">
        <w:rPr>
          <w:rFonts w:ascii="Arial" w:hAnsi="Arial" w:cs="Arial"/>
          <w:b/>
          <w:bCs/>
          <w:color w:val="161616" w:themeColor="background1" w:themeShade="1A"/>
          <w:sz w:val="22"/>
          <w:szCs w:val="22"/>
          <w:lang w:val="es-ES_tradnl"/>
        </w:rPr>
        <w:t>Concepto</w:t>
      </w:r>
      <w:r w:rsidR="006559E3" w:rsidRPr="00691AAC">
        <w:rPr>
          <w:rFonts w:ascii="Arial" w:hAnsi="Arial" w:cs="Arial"/>
          <w:b/>
          <w:bCs/>
          <w:color w:val="161616" w:themeColor="background1" w:themeShade="1A"/>
          <w:sz w:val="22"/>
          <w:szCs w:val="22"/>
          <w:lang w:val="es-ES_tradnl"/>
        </w:rPr>
        <w:t xml:space="preserve"> </w:t>
      </w:r>
      <w:r w:rsidRPr="00691AAC">
        <w:rPr>
          <w:rFonts w:ascii="Arial" w:hAnsi="Arial" w:cs="Arial"/>
          <w:b/>
          <w:bCs/>
          <w:color w:val="161616" w:themeColor="background1" w:themeShade="1A"/>
          <w:sz w:val="22"/>
          <w:szCs w:val="22"/>
          <w:lang w:val="es-ES_tradnl"/>
        </w:rPr>
        <w:t>C</w:t>
      </w:r>
      <w:r w:rsidR="00766A70" w:rsidRPr="00691AAC">
        <w:rPr>
          <w:rFonts w:ascii="Arial" w:hAnsi="Arial" w:cs="Arial"/>
          <w:b/>
          <w:bCs/>
          <w:color w:val="161616" w:themeColor="background1" w:themeShade="1A"/>
          <w:sz w:val="22"/>
          <w:szCs w:val="22"/>
          <w:lang w:val="es-ES_tradnl"/>
        </w:rPr>
        <w:t xml:space="preserve"> </w:t>
      </w:r>
      <w:r w:rsidR="00DD5A52" w:rsidRPr="00691AAC">
        <w:rPr>
          <w:rFonts w:ascii="Arial" w:hAnsi="Arial" w:cs="Arial"/>
          <w:b/>
          <w:bCs/>
          <w:color w:val="161616" w:themeColor="background1" w:themeShade="1A"/>
          <w:sz w:val="22"/>
          <w:szCs w:val="22"/>
          <w:lang w:val="es-ES_tradnl"/>
        </w:rPr>
        <w:t>-</w:t>
      </w:r>
      <w:r w:rsidR="00423405" w:rsidRPr="00691AAC">
        <w:rPr>
          <w:rFonts w:ascii="Arial" w:hAnsi="Arial" w:cs="Arial"/>
          <w:b/>
          <w:bCs/>
          <w:color w:val="161616" w:themeColor="background1" w:themeShade="1A"/>
          <w:sz w:val="22"/>
          <w:szCs w:val="22"/>
          <w:lang w:val="es-ES_tradnl"/>
        </w:rPr>
        <w:t>183 de 2022</w:t>
      </w:r>
    </w:p>
    <w:p w14:paraId="3C57C781" w14:textId="77777777" w:rsidR="00FE4C26" w:rsidRPr="00691AAC" w:rsidRDefault="00FE4C26" w:rsidP="0022167B">
      <w:pPr>
        <w:ind w:left="2824" w:hanging="2818"/>
        <w:jc w:val="both"/>
        <w:rPr>
          <w:rFonts w:ascii="Arial" w:eastAsia="Calibri" w:hAnsi="Arial" w:cs="Arial"/>
          <w:b/>
          <w:noProof/>
          <w:color w:val="161616" w:themeColor="background1" w:themeShade="1A"/>
          <w:sz w:val="22"/>
          <w:szCs w:val="22"/>
          <w:lang w:val="es-ES_tradnl" w:eastAsia="en-US"/>
        </w:rPr>
      </w:pPr>
    </w:p>
    <w:p w14:paraId="2795527E" w14:textId="2B933024" w:rsidR="00160CB0" w:rsidRPr="00691AAC" w:rsidRDefault="00E54365" w:rsidP="0022167B">
      <w:pPr>
        <w:ind w:left="2824" w:hanging="2818"/>
        <w:jc w:val="both"/>
        <w:rPr>
          <w:rFonts w:ascii="Arial" w:eastAsia="Calibri" w:hAnsi="Arial" w:cs="Arial"/>
          <w:bCs/>
          <w:color w:val="161616" w:themeColor="background1" w:themeShade="1A"/>
          <w:sz w:val="22"/>
          <w:szCs w:val="22"/>
          <w:lang w:val="es-MX"/>
        </w:rPr>
      </w:pPr>
      <w:r w:rsidRPr="00691AAC">
        <w:rPr>
          <w:rFonts w:ascii="Arial" w:eastAsia="Calibri" w:hAnsi="Arial" w:cs="Arial"/>
          <w:b/>
          <w:noProof/>
          <w:color w:val="161616" w:themeColor="background1" w:themeShade="1A"/>
          <w:sz w:val="22"/>
          <w:szCs w:val="22"/>
          <w:lang w:val="es-ES_tradnl" w:eastAsia="en-US"/>
        </w:rPr>
        <w:t>Temas</w:t>
      </w:r>
      <w:r w:rsidRPr="00691AAC">
        <w:rPr>
          <w:rFonts w:ascii="Arial" w:eastAsia="Calibri" w:hAnsi="Arial" w:cs="Arial"/>
          <w:bCs/>
          <w:noProof/>
          <w:color w:val="161616" w:themeColor="background1" w:themeShade="1A"/>
          <w:sz w:val="22"/>
          <w:szCs w:val="22"/>
          <w:lang w:val="es-ES_tradnl" w:eastAsia="en-US"/>
        </w:rPr>
        <w:t xml:space="preserve">: </w:t>
      </w:r>
      <w:r w:rsidRPr="00691AAC">
        <w:rPr>
          <w:rFonts w:ascii="Arial" w:eastAsia="Calibri" w:hAnsi="Arial" w:cs="Arial"/>
          <w:bCs/>
          <w:noProof/>
          <w:color w:val="161616" w:themeColor="background1" w:themeShade="1A"/>
          <w:sz w:val="22"/>
          <w:szCs w:val="22"/>
          <w:lang w:val="es-ES_tradnl" w:eastAsia="en-US"/>
        </w:rPr>
        <w:tab/>
      </w:r>
      <w:r w:rsidR="008B5BDA" w:rsidRPr="00691AAC">
        <w:rPr>
          <w:rFonts w:ascii="Arial" w:eastAsia="Calibri" w:hAnsi="Arial" w:cs="Arial"/>
          <w:bCs/>
          <w:color w:val="161616" w:themeColor="background1" w:themeShade="1A"/>
          <w:sz w:val="22"/>
          <w:szCs w:val="22"/>
          <w:lang w:val="es-ES_tradnl"/>
        </w:rPr>
        <w:t xml:space="preserve">LEY DE GARANTÍAS ELECTORALES ‒ Definición ‒ Finalidad / LEY DE GARANTÍAS ELECTORALES ‒ Prohibición ‒ Contratación directa ‒ Alcance – Excepciones </w:t>
      </w:r>
      <w:r w:rsidR="00423405" w:rsidRPr="00691AAC">
        <w:rPr>
          <w:rFonts w:ascii="Arial" w:eastAsia="Calibri" w:hAnsi="Arial" w:cs="Arial"/>
          <w:bCs/>
          <w:color w:val="161616" w:themeColor="background1" w:themeShade="1A"/>
          <w:sz w:val="22"/>
          <w:szCs w:val="22"/>
          <w:lang w:val="es-ES_tradnl"/>
        </w:rPr>
        <w:t xml:space="preserve">/ LEY DE GARANTÍAS ELECTORALES ‒ Prohibición del artículo 33 ‒ Destinatarios / LEY DE GARANTÍAS ELECTORALES ‒ Excepciones ‒ Entidades hospitalarias ‒ Departamentos / LEY DE GARANTÍAS ELECTORALES ‒ Excepciones ‒ Entidades sanitarias ‒ Departamentos. </w:t>
      </w:r>
    </w:p>
    <w:p w14:paraId="18EF2AD1" w14:textId="0F9EC6BE" w:rsidR="0076432E" w:rsidRDefault="0076432E" w:rsidP="0022167B">
      <w:pPr>
        <w:ind w:left="2824" w:hanging="2818"/>
        <w:jc w:val="both"/>
        <w:rPr>
          <w:rFonts w:ascii="Arial" w:eastAsia="Calibri" w:hAnsi="Arial" w:cs="Arial"/>
          <w:bCs/>
          <w:noProof/>
          <w:color w:val="161616" w:themeColor="background1" w:themeShade="1A"/>
          <w:sz w:val="22"/>
          <w:szCs w:val="22"/>
          <w:lang w:val="es-ES_tradnl" w:eastAsia="en-US"/>
        </w:rPr>
      </w:pPr>
    </w:p>
    <w:p w14:paraId="339A5DB0" w14:textId="77777777" w:rsidR="000164B2" w:rsidRPr="00691AAC" w:rsidRDefault="000164B2" w:rsidP="0022167B">
      <w:pPr>
        <w:ind w:left="2824" w:hanging="2818"/>
        <w:jc w:val="both"/>
        <w:rPr>
          <w:rFonts w:ascii="Arial" w:eastAsia="Calibri" w:hAnsi="Arial" w:cs="Arial"/>
          <w:bCs/>
          <w:noProof/>
          <w:color w:val="161616" w:themeColor="background1" w:themeShade="1A"/>
          <w:sz w:val="22"/>
          <w:szCs w:val="22"/>
          <w:lang w:val="es-ES_tradnl" w:eastAsia="en-US"/>
        </w:rPr>
      </w:pPr>
    </w:p>
    <w:p w14:paraId="30A873A7" w14:textId="2F1A0B01" w:rsidR="00E54365" w:rsidRPr="00691AAC" w:rsidRDefault="00E54365" w:rsidP="0022167B">
      <w:pPr>
        <w:ind w:left="2835" w:hanging="2835"/>
        <w:jc w:val="both"/>
        <w:rPr>
          <w:rFonts w:ascii="Arial" w:eastAsia="Calibri" w:hAnsi="Arial" w:cs="Arial"/>
          <w:bCs/>
          <w:noProof/>
          <w:color w:val="161616" w:themeColor="background1" w:themeShade="1A"/>
          <w:sz w:val="22"/>
          <w:szCs w:val="22"/>
          <w:lang w:val="es-ES_tradnl" w:eastAsia="en-US"/>
        </w:rPr>
      </w:pPr>
      <w:r w:rsidRPr="00691AAC">
        <w:rPr>
          <w:rFonts w:ascii="Arial" w:eastAsia="Calibri" w:hAnsi="Arial" w:cs="Arial"/>
          <w:b/>
          <w:noProof/>
          <w:color w:val="161616" w:themeColor="background1" w:themeShade="1A"/>
          <w:sz w:val="22"/>
          <w:szCs w:val="22"/>
          <w:lang w:val="es-ES_tradnl" w:eastAsia="en-US"/>
        </w:rPr>
        <w:t>Radicación</w:t>
      </w:r>
      <w:r w:rsidRPr="00691AAC">
        <w:rPr>
          <w:rFonts w:ascii="Arial" w:eastAsia="Calibri" w:hAnsi="Arial" w:cs="Arial"/>
          <w:bCs/>
          <w:noProof/>
          <w:color w:val="161616" w:themeColor="background1" w:themeShade="1A"/>
          <w:sz w:val="22"/>
          <w:szCs w:val="22"/>
          <w:lang w:val="es-ES_tradnl" w:eastAsia="en-US"/>
        </w:rPr>
        <w:t>:</w:t>
      </w:r>
      <w:r w:rsidRPr="00691AAC">
        <w:rPr>
          <w:rFonts w:ascii="Arial" w:eastAsia="Calibri" w:hAnsi="Arial" w:cs="Arial"/>
          <w:bCs/>
          <w:noProof/>
          <w:color w:val="161616" w:themeColor="background1" w:themeShade="1A"/>
          <w:sz w:val="22"/>
          <w:szCs w:val="22"/>
          <w:lang w:val="es-ES_tradnl" w:eastAsia="en-US"/>
        </w:rPr>
        <w:tab/>
        <w:t>Respuesta a consulta</w:t>
      </w:r>
      <w:r w:rsidR="00FB5E3B" w:rsidRPr="00691AAC">
        <w:rPr>
          <w:rFonts w:ascii="Arial" w:eastAsia="Calibri" w:hAnsi="Arial" w:cs="Arial"/>
          <w:bCs/>
          <w:noProof/>
          <w:color w:val="161616" w:themeColor="background1" w:themeShade="1A"/>
          <w:sz w:val="22"/>
          <w:szCs w:val="22"/>
          <w:lang w:val="es-ES_tradnl" w:eastAsia="en-US"/>
        </w:rPr>
        <w:t xml:space="preserve"> </w:t>
      </w:r>
      <w:r w:rsidR="007168C5" w:rsidRPr="00691AAC">
        <w:rPr>
          <w:rFonts w:ascii="Arial" w:eastAsia="Calibri" w:hAnsi="Arial" w:cs="Arial"/>
          <w:bCs/>
          <w:noProof/>
          <w:color w:val="161616" w:themeColor="background1" w:themeShade="1A"/>
          <w:sz w:val="22"/>
          <w:szCs w:val="22"/>
          <w:lang w:val="es-ES_tradnl" w:eastAsia="en-US"/>
        </w:rPr>
        <w:t>P20220225001884</w:t>
      </w:r>
    </w:p>
    <w:p w14:paraId="6502F989" w14:textId="77777777" w:rsidR="00C366C4" w:rsidRPr="00691AAC" w:rsidRDefault="00C366C4" w:rsidP="0022167B">
      <w:pPr>
        <w:rPr>
          <w:rFonts w:ascii="Arial" w:hAnsi="Arial" w:cs="Arial"/>
          <w:color w:val="161616" w:themeColor="background1" w:themeShade="1A"/>
          <w:sz w:val="22"/>
          <w:szCs w:val="22"/>
          <w:lang w:val="es-ES_tradnl"/>
        </w:rPr>
      </w:pPr>
    </w:p>
    <w:p w14:paraId="430D12B4" w14:textId="77777777" w:rsidR="000502EC" w:rsidRDefault="000502EC" w:rsidP="0022167B">
      <w:pPr>
        <w:rPr>
          <w:rFonts w:ascii="Arial" w:hAnsi="Arial" w:cs="Arial"/>
          <w:color w:val="161616" w:themeColor="background1" w:themeShade="1A"/>
          <w:sz w:val="22"/>
          <w:szCs w:val="22"/>
          <w:lang w:val="es-ES_tradnl"/>
        </w:rPr>
      </w:pPr>
    </w:p>
    <w:p w14:paraId="71ED9EB2" w14:textId="29D09C68" w:rsidR="00E54365" w:rsidRPr="00691AAC" w:rsidRDefault="00E54365" w:rsidP="0022167B">
      <w:pPr>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Estimad</w:t>
      </w:r>
      <w:r w:rsidR="007168C5" w:rsidRPr="00691AAC">
        <w:rPr>
          <w:rFonts w:ascii="Arial" w:hAnsi="Arial" w:cs="Arial"/>
          <w:color w:val="161616" w:themeColor="background1" w:themeShade="1A"/>
          <w:sz w:val="22"/>
          <w:szCs w:val="22"/>
          <w:lang w:val="es-ES_tradnl"/>
        </w:rPr>
        <w:t xml:space="preserve">a Señora Martínez, </w:t>
      </w:r>
      <w:r w:rsidR="006D2519" w:rsidRPr="00691AAC">
        <w:rPr>
          <w:rFonts w:ascii="Arial" w:hAnsi="Arial" w:cs="Arial"/>
          <w:color w:val="161616" w:themeColor="background1" w:themeShade="1A"/>
          <w:sz w:val="22"/>
          <w:szCs w:val="22"/>
          <w:lang w:val="es-ES_tradnl"/>
        </w:rPr>
        <w:t xml:space="preserve"> </w:t>
      </w:r>
      <w:r w:rsidRPr="00691AAC">
        <w:rPr>
          <w:rFonts w:ascii="Arial" w:hAnsi="Arial" w:cs="Arial"/>
          <w:color w:val="161616" w:themeColor="background1" w:themeShade="1A"/>
          <w:sz w:val="22"/>
          <w:szCs w:val="22"/>
          <w:lang w:val="es-ES_tradnl"/>
        </w:rPr>
        <w:t xml:space="preserve"> </w:t>
      </w:r>
    </w:p>
    <w:p w14:paraId="60D2C28E" w14:textId="77777777" w:rsidR="006F56C4" w:rsidRPr="00691AAC" w:rsidRDefault="006F56C4" w:rsidP="0022167B">
      <w:pPr>
        <w:rPr>
          <w:rFonts w:ascii="Arial" w:hAnsi="Arial" w:cs="Arial"/>
          <w:color w:val="161616" w:themeColor="background1" w:themeShade="1A"/>
          <w:sz w:val="22"/>
          <w:szCs w:val="22"/>
          <w:lang w:val="es-ES_tradnl"/>
        </w:rPr>
      </w:pPr>
    </w:p>
    <w:p w14:paraId="43EDF4BF" w14:textId="65F7B729" w:rsidR="00E54365" w:rsidRPr="00691AAC" w:rsidRDefault="00E54365" w:rsidP="004102D2">
      <w:pPr>
        <w:spacing w:line="276" w:lineRule="auto"/>
        <w:jc w:val="both"/>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 xml:space="preserve">En ejercicio de la competencia otorgada por el numeral 8 del artículo 11 y el numeral 5 del artículo 3 del Decreto Ley 4170 de 2011, la Agencia Nacional de Contratación Pública− Colombia Compra Eficiente responde su consulta </w:t>
      </w:r>
      <w:r w:rsidR="00584D9E" w:rsidRPr="00691AAC">
        <w:rPr>
          <w:rFonts w:ascii="Arial" w:hAnsi="Arial" w:cs="Arial"/>
          <w:color w:val="161616" w:themeColor="background1" w:themeShade="1A"/>
          <w:sz w:val="22"/>
          <w:szCs w:val="22"/>
          <w:lang w:val="es-ES_tradnl"/>
        </w:rPr>
        <w:t xml:space="preserve">remitida el </w:t>
      </w:r>
      <w:r w:rsidR="00EA2015" w:rsidRPr="00691AAC">
        <w:rPr>
          <w:rFonts w:ascii="Arial" w:hAnsi="Arial" w:cs="Arial"/>
          <w:color w:val="161616" w:themeColor="background1" w:themeShade="1A"/>
          <w:sz w:val="22"/>
          <w:szCs w:val="22"/>
          <w:lang w:val="es-ES_tradnl"/>
        </w:rPr>
        <w:t xml:space="preserve">24 de febrero de 2022, </w:t>
      </w:r>
      <w:r w:rsidR="00584D9E" w:rsidRPr="00691AAC">
        <w:rPr>
          <w:rFonts w:ascii="Arial" w:hAnsi="Arial" w:cs="Arial"/>
          <w:color w:val="161616" w:themeColor="background1" w:themeShade="1A"/>
          <w:sz w:val="22"/>
          <w:szCs w:val="22"/>
          <w:lang w:val="es-ES_tradnl"/>
        </w:rPr>
        <w:t xml:space="preserve">por </w:t>
      </w:r>
      <w:r w:rsidR="009A0F94" w:rsidRPr="00691AAC">
        <w:rPr>
          <w:rFonts w:ascii="Arial" w:hAnsi="Arial" w:cs="Arial"/>
          <w:color w:val="161616" w:themeColor="background1" w:themeShade="1A"/>
          <w:sz w:val="22"/>
          <w:szCs w:val="22"/>
          <w:lang w:val="es-ES_tradnl"/>
        </w:rPr>
        <w:t>la Contraloría General de la República.</w:t>
      </w:r>
    </w:p>
    <w:p w14:paraId="7163A7AF" w14:textId="77777777" w:rsidR="00015E80" w:rsidRPr="00691AAC" w:rsidRDefault="00015E80" w:rsidP="0022167B">
      <w:pPr>
        <w:rPr>
          <w:rFonts w:ascii="Arial" w:hAnsi="Arial" w:cs="Arial"/>
          <w:color w:val="161616" w:themeColor="background1" w:themeShade="1A"/>
          <w:sz w:val="22"/>
          <w:szCs w:val="22"/>
          <w:lang w:val="es-ES_tradnl"/>
        </w:rPr>
      </w:pPr>
    </w:p>
    <w:p w14:paraId="4CDB27A1" w14:textId="23AF4B73" w:rsidR="00FB5E3B" w:rsidRPr="00691AAC" w:rsidRDefault="00E54365" w:rsidP="0022167B">
      <w:pPr>
        <w:rPr>
          <w:rFonts w:ascii="Arial" w:hAnsi="Arial" w:cs="Arial"/>
          <w:b/>
          <w:color w:val="161616" w:themeColor="background1" w:themeShade="1A"/>
          <w:sz w:val="22"/>
          <w:szCs w:val="22"/>
          <w:lang w:val="es-ES_tradnl"/>
        </w:rPr>
      </w:pPr>
      <w:r w:rsidRPr="00691AAC">
        <w:rPr>
          <w:rFonts w:ascii="Arial" w:hAnsi="Arial" w:cs="Arial"/>
          <w:b/>
          <w:color w:val="161616" w:themeColor="background1" w:themeShade="1A"/>
          <w:sz w:val="22"/>
          <w:szCs w:val="22"/>
          <w:lang w:val="es-ES_tradnl"/>
        </w:rPr>
        <w:t xml:space="preserve">1. Problema planteado </w:t>
      </w:r>
    </w:p>
    <w:p w14:paraId="5834083C" w14:textId="5B5F17F3" w:rsidR="00695B70" w:rsidRPr="00691AAC" w:rsidRDefault="00695B70" w:rsidP="0022167B">
      <w:pPr>
        <w:rPr>
          <w:rFonts w:ascii="Arial" w:hAnsi="Arial" w:cs="Arial"/>
          <w:b/>
          <w:color w:val="161616" w:themeColor="background1" w:themeShade="1A"/>
          <w:sz w:val="22"/>
          <w:szCs w:val="22"/>
          <w:lang w:val="es-ES_tradnl"/>
        </w:rPr>
      </w:pPr>
    </w:p>
    <w:p w14:paraId="14D7785A" w14:textId="154DBDC4" w:rsidR="00C76212" w:rsidRPr="00691AAC" w:rsidRDefault="00FB5E3B" w:rsidP="0022167B">
      <w:pPr>
        <w:jc w:val="both"/>
        <w:rPr>
          <w:rFonts w:ascii="Arial" w:hAnsi="Arial" w:cs="Arial"/>
          <w:color w:val="161616" w:themeColor="background1" w:themeShade="1A"/>
          <w:sz w:val="22"/>
          <w:szCs w:val="22"/>
          <w:lang w:val="es-ES_tradnl"/>
        </w:rPr>
      </w:pPr>
      <w:r w:rsidRPr="00691AAC">
        <w:rPr>
          <w:rFonts w:ascii="Arial" w:hAnsi="Arial" w:cs="Arial"/>
          <w:color w:val="161616" w:themeColor="background1" w:themeShade="1A"/>
          <w:sz w:val="22"/>
          <w:szCs w:val="22"/>
          <w:lang w:val="es-ES_tradnl"/>
        </w:rPr>
        <w:t xml:space="preserve">Usted </w:t>
      </w:r>
      <w:r w:rsidR="00EF64D8" w:rsidRPr="00691AAC">
        <w:rPr>
          <w:rFonts w:ascii="Arial" w:hAnsi="Arial" w:cs="Arial"/>
          <w:color w:val="161616" w:themeColor="background1" w:themeShade="1A"/>
          <w:sz w:val="22"/>
          <w:szCs w:val="22"/>
          <w:lang w:val="es-ES_tradnl"/>
        </w:rPr>
        <w:t>formula</w:t>
      </w:r>
      <w:r w:rsidRPr="00691AAC">
        <w:rPr>
          <w:rFonts w:ascii="Arial" w:hAnsi="Arial" w:cs="Arial"/>
          <w:color w:val="161616" w:themeColor="background1" w:themeShade="1A"/>
          <w:sz w:val="22"/>
          <w:szCs w:val="22"/>
          <w:lang w:val="es-ES_tradnl"/>
        </w:rPr>
        <w:t xml:space="preserve"> la siguiente consulta</w:t>
      </w:r>
      <w:r w:rsidR="00A74544" w:rsidRPr="00691AAC">
        <w:rPr>
          <w:rFonts w:ascii="Arial" w:hAnsi="Arial" w:cs="Arial"/>
          <w:color w:val="161616" w:themeColor="background1" w:themeShade="1A"/>
          <w:sz w:val="22"/>
          <w:szCs w:val="22"/>
          <w:lang w:val="es-ES_tradnl"/>
        </w:rPr>
        <w:t>:</w:t>
      </w:r>
      <w:r w:rsidR="00880D11" w:rsidRPr="00691AAC">
        <w:rPr>
          <w:rFonts w:ascii="Arial" w:hAnsi="Arial" w:cs="Arial"/>
          <w:color w:val="161616" w:themeColor="background1" w:themeShade="1A"/>
          <w:sz w:val="22"/>
          <w:szCs w:val="22"/>
          <w:lang w:val="es-ES_tradnl"/>
        </w:rPr>
        <w:t xml:space="preserve"> </w:t>
      </w:r>
    </w:p>
    <w:p w14:paraId="6275C7F7" w14:textId="77777777" w:rsidR="00F26F3C" w:rsidRPr="00691AAC" w:rsidRDefault="00F26F3C" w:rsidP="0022167B">
      <w:pPr>
        <w:jc w:val="both"/>
        <w:rPr>
          <w:rFonts w:ascii="Arial" w:hAnsi="Arial" w:cs="Arial"/>
          <w:color w:val="161616" w:themeColor="background1" w:themeShade="1A"/>
          <w:sz w:val="22"/>
          <w:szCs w:val="22"/>
          <w:lang w:val="es-ES_tradnl"/>
        </w:rPr>
      </w:pPr>
    </w:p>
    <w:p w14:paraId="635C0945" w14:textId="2AFB9BB6" w:rsidR="006D2519" w:rsidRPr="00691AAC" w:rsidRDefault="00B94548" w:rsidP="0022167B">
      <w:pPr>
        <w:ind w:left="709" w:right="709"/>
        <w:jc w:val="both"/>
        <w:rPr>
          <w:rFonts w:ascii="Arial" w:hAnsi="Arial" w:cs="Arial"/>
          <w:color w:val="161616" w:themeColor="background1" w:themeShade="1A"/>
          <w:sz w:val="21"/>
          <w:szCs w:val="21"/>
          <w:lang w:val="es-ES_tradnl"/>
        </w:rPr>
      </w:pPr>
      <w:r w:rsidRPr="00691AAC">
        <w:rPr>
          <w:rFonts w:ascii="Arial" w:hAnsi="Arial" w:cs="Arial"/>
          <w:color w:val="161616" w:themeColor="background1" w:themeShade="1A"/>
          <w:sz w:val="21"/>
          <w:szCs w:val="21"/>
          <w:lang w:val="es-ES_tradnl"/>
        </w:rPr>
        <w:t>«</w:t>
      </w:r>
      <w:r w:rsidR="004B7D5F" w:rsidRPr="00691AAC">
        <w:rPr>
          <w:rFonts w:ascii="Arial" w:hAnsi="Arial" w:cs="Arial"/>
          <w:color w:val="161616" w:themeColor="background1" w:themeShade="1A"/>
          <w:sz w:val="21"/>
          <w:szCs w:val="21"/>
          <w:lang w:val="es-ES_tradnl"/>
        </w:rPr>
        <w:t>[…]</w:t>
      </w:r>
      <w:r w:rsidR="00074D1E" w:rsidRPr="00691AAC">
        <w:rPr>
          <w:rFonts w:ascii="Arial" w:hAnsi="Arial" w:cs="Arial"/>
          <w:color w:val="161616" w:themeColor="background1" w:themeShade="1A"/>
          <w:sz w:val="21"/>
          <w:szCs w:val="21"/>
          <w:lang w:val="es-ES_tradnl"/>
        </w:rPr>
        <w:t xml:space="preserve"> ¿Puede la UAE de Salud de Arauca, aplicar la excepción a que se refiere el artículo 33 de la citada ley 996 de 2005?»</w:t>
      </w:r>
    </w:p>
    <w:p w14:paraId="0816DA8D" w14:textId="77777777" w:rsidR="00074D1E" w:rsidRPr="00691AAC" w:rsidRDefault="00074D1E" w:rsidP="0022167B">
      <w:pPr>
        <w:ind w:left="709" w:right="709"/>
        <w:jc w:val="both"/>
        <w:rPr>
          <w:rFonts w:ascii="Arial" w:hAnsi="Arial" w:cs="Arial"/>
          <w:color w:val="161616" w:themeColor="background1" w:themeShade="1A"/>
          <w:sz w:val="21"/>
          <w:szCs w:val="21"/>
          <w:lang w:val="es-ES_tradnl"/>
        </w:rPr>
      </w:pPr>
    </w:p>
    <w:p w14:paraId="122CAC42" w14:textId="37B747A9" w:rsidR="00074D1E" w:rsidRPr="00691AAC" w:rsidRDefault="00074D1E" w:rsidP="00074D1E">
      <w:pPr>
        <w:ind w:left="709" w:right="709"/>
        <w:jc w:val="both"/>
        <w:rPr>
          <w:rFonts w:ascii="Arial" w:hAnsi="Arial" w:cs="Arial"/>
          <w:color w:val="161616" w:themeColor="background1" w:themeShade="1A"/>
          <w:sz w:val="21"/>
          <w:szCs w:val="21"/>
          <w:lang w:val="es-ES_tradnl"/>
        </w:rPr>
      </w:pPr>
      <w:r w:rsidRPr="00691AAC">
        <w:rPr>
          <w:rFonts w:ascii="Arial" w:hAnsi="Arial" w:cs="Arial"/>
          <w:color w:val="161616" w:themeColor="background1" w:themeShade="1A"/>
          <w:sz w:val="21"/>
          <w:szCs w:val="21"/>
          <w:lang w:val="es-ES_tradnl"/>
        </w:rPr>
        <w:lastRenderedPageBreak/>
        <w:t>[…] ¿ Puede la UAE de Salud de Arauca, contratar el personal profesional y de apoyo necesario para cumplir con sus deberes misionales y administrativos de la Entidad?»</w:t>
      </w:r>
      <w:r w:rsidR="00DD5A52" w:rsidRPr="00691AAC">
        <w:rPr>
          <w:rFonts w:ascii="Arial" w:hAnsi="Arial" w:cs="Arial"/>
          <w:color w:val="161616" w:themeColor="background1" w:themeShade="1A"/>
          <w:sz w:val="21"/>
          <w:szCs w:val="21"/>
          <w:lang w:val="es-ES_tradnl"/>
        </w:rPr>
        <w:t>.</w:t>
      </w:r>
    </w:p>
    <w:p w14:paraId="45977BEA" w14:textId="77777777" w:rsidR="00EA4714" w:rsidRPr="00691AAC" w:rsidRDefault="00EA4714" w:rsidP="00074D1E">
      <w:pPr>
        <w:ind w:left="709" w:right="709"/>
        <w:jc w:val="both"/>
        <w:rPr>
          <w:rFonts w:ascii="Arial" w:hAnsi="Arial" w:cs="Arial"/>
          <w:color w:val="161616" w:themeColor="background1" w:themeShade="1A"/>
          <w:sz w:val="21"/>
          <w:szCs w:val="21"/>
          <w:lang w:val="es-ES_tradnl"/>
        </w:rPr>
      </w:pPr>
    </w:p>
    <w:p w14:paraId="22C81704" w14:textId="2F0AB490" w:rsidR="00FB5E3B" w:rsidRPr="00691AAC" w:rsidRDefault="00E54365" w:rsidP="0022167B">
      <w:pPr>
        <w:rPr>
          <w:rFonts w:ascii="Arial" w:hAnsi="Arial" w:cs="Arial"/>
          <w:b/>
          <w:color w:val="161616" w:themeColor="background1" w:themeShade="1A"/>
          <w:sz w:val="22"/>
          <w:szCs w:val="22"/>
          <w:lang w:val="es-ES_tradnl"/>
        </w:rPr>
      </w:pPr>
      <w:r w:rsidRPr="00691AAC">
        <w:rPr>
          <w:rFonts w:ascii="Arial" w:hAnsi="Arial" w:cs="Arial"/>
          <w:b/>
          <w:color w:val="161616" w:themeColor="background1" w:themeShade="1A"/>
          <w:sz w:val="22"/>
          <w:szCs w:val="22"/>
          <w:lang w:val="es-ES_tradnl"/>
        </w:rPr>
        <w:t xml:space="preserve">2. Consideraciones </w:t>
      </w:r>
    </w:p>
    <w:p w14:paraId="48BDC962" w14:textId="33E3A2F9" w:rsidR="00A91BEA" w:rsidRPr="00691AAC" w:rsidRDefault="00A91BEA" w:rsidP="0022167B">
      <w:pPr>
        <w:rPr>
          <w:rFonts w:ascii="Arial" w:hAnsi="Arial" w:cs="Arial"/>
          <w:b/>
          <w:color w:val="161616" w:themeColor="background1" w:themeShade="1A"/>
          <w:sz w:val="22"/>
          <w:szCs w:val="22"/>
          <w:lang w:val="es-ES_tradnl"/>
        </w:rPr>
      </w:pPr>
    </w:p>
    <w:p w14:paraId="1CF877E2" w14:textId="77777777" w:rsidR="0032144D" w:rsidRPr="00691AAC" w:rsidRDefault="0032144D" w:rsidP="0032144D">
      <w:pPr>
        <w:tabs>
          <w:tab w:val="left" w:pos="426"/>
        </w:tabs>
        <w:spacing w:line="276" w:lineRule="auto"/>
        <w:jc w:val="both"/>
        <w:rPr>
          <w:rFonts w:ascii="Arial" w:hAnsi="Arial" w:cs="Arial"/>
          <w:bCs/>
          <w:sz w:val="22"/>
        </w:rPr>
      </w:pPr>
      <w:r w:rsidRPr="00691AAC">
        <w:rPr>
          <w:rFonts w:ascii="Arial" w:hAnsi="Arial" w:cs="Arial"/>
          <w:sz w:val="22"/>
          <w:lang w:val="es-ES"/>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91AAC">
        <w:rPr>
          <w:rFonts w:ascii="Arial" w:hAnsi="Arial" w:cs="Arial"/>
          <w:bCs/>
          <w:sz w:val="22"/>
        </w:rPr>
        <w:t xml:space="preserve"> de todos los partícipes de la contratación estatal.</w:t>
      </w:r>
    </w:p>
    <w:p w14:paraId="031BDA85" w14:textId="77777777" w:rsidR="0032144D" w:rsidRPr="00691AAC" w:rsidRDefault="0032144D" w:rsidP="0032144D">
      <w:pPr>
        <w:tabs>
          <w:tab w:val="left" w:pos="426"/>
        </w:tabs>
        <w:spacing w:line="276" w:lineRule="auto"/>
        <w:jc w:val="both"/>
        <w:rPr>
          <w:rFonts w:ascii="Arial" w:hAnsi="Arial" w:cs="Arial"/>
          <w:bCs/>
          <w:sz w:val="22"/>
        </w:rPr>
      </w:pPr>
    </w:p>
    <w:p w14:paraId="66A08A34" w14:textId="5E9AC362" w:rsidR="00FD2088" w:rsidRPr="00691AAC" w:rsidRDefault="0032144D" w:rsidP="0032144D">
      <w:pPr>
        <w:spacing w:line="276" w:lineRule="auto"/>
        <w:ind w:firstLine="709"/>
        <w:jc w:val="both"/>
        <w:rPr>
          <w:rFonts w:ascii="Arial" w:eastAsia="Calibri" w:hAnsi="Arial" w:cs="Arial"/>
          <w:color w:val="161616" w:themeColor="background1" w:themeShade="1A"/>
          <w:sz w:val="22"/>
          <w:szCs w:val="22"/>
          <w:lang w:val="es-ES_tradnl"/>
        </w:rPr>
      </w:pPr>
      <w:r w:rsidRPr="00691AAC">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91AAC">
        <w:rPr>
          <w:rStyle w:val="Refdenotaalpie"/>
          <w:rFonts w:ascii="Arial" w:hAnsi="Arial" w:cs="Arial"/>
          <w:sz w:val="22"/>
          <w:lang w:val="es-ES"/>
        </w:rPr>
        <w:footnoteReference w:id="1"/>
      </w:r>
      <w:r w:rsidRPr="00691AAC">
        <w:rPr>
          <w:rFonts w:ascii="Arial" w:hAnsi="Arial" w:cs="Arial"/>
          <w:sz w:val="22"/>
          <w:lang w:val="es-ES"/>
        </w:rPr>
        <w:t>.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razón por la cual, corresponde cada entidad estatal definir la viabilidad técnica, jurídica y financiera de celebrar determinado negocio jurídico en específico.</w:t>
      </w:r>
    </w:p>
    <w:p w14:paraId="572FEBDA" w14:textId="79D8BA29" w:rsidR="007C0AB3" w:rsidRPr="00691AAC" w:rsidRDefault="00554A77" w:rsidP="00515D32">
      <w:pPr>
        <w:tabs>
          <w:tab w:val="left" w:pos="426"/>
        </w:tabs>
        <w:spacing w:before="120" w:line="276" w:lineRule="auto"/>
        <w:ind w:firstLine="709"/>
        <w:jc w:val="both"/>
        <w:rPr>
          <w:rFonts w:ascii="Arial" w:hAnsi="Arial" w:cs="Arial"/>
          <w:color w:val="161616" w:themeColor="background1" w:themeShade="1A"/>
          <w:sz w:val="22"/>
          <w:szCs w:val="22"/>
          <w:lang w:val="es-ES_tradnl"/>
        </w:rPr>
      </w:pPr>
      <w:r w:rsidRPr="00691AAC">
        <w:rPr>
          <w:rFonts w:ascii="Arial" w:eastAsia="Calibri" w:hAnsi="Arial" w:cs="Arial"/>
          <w:color w:val="161616" w:themeColor="background1" w:themeShade="1A"/>
          <w:sz w:val="22"/>
          <w:szCs w:val="22"/>
          <w:lang w:val="es-ES_tradnl"/>
        </w:rPr>
        <w:t xml:space="preserve">Es </w:t>
      </w:r>
      <w:r w:rsidR="00A91BEA" w:rsidRPr="00691AAC">
        <w:rPr>
          <w:rFonts w:ascii="Arial" w:eastAsia="Calibri" w:hAnsi="Arial" w:cs="Arial"/>
          <w:color w:val="161616" w:themeColor="background1" w:themeShade="1A"/>
          <w:sz w:val="22"/>
          <w:szCs w:val="22"/>
          <w:lang w:val="es-ES_tradnl"/>
        </w:rPr>
        <w:t>preciso advertir que los conceptos contienen la posición hermenéutica de la Subdirección de Gestión Contractual</w:t>
      </w:r>
      <w:r w:rsidR="001041A9" w:rsidRPr="00691AAC">
        <w:rPr>
          <w:rFonts w:ascii="Arial" w:eastAsia="Calibri" w:hAnsi="Arial" w:cs="Arial"/>
          <w:color w:val="161616" w:themeColor="background1" w:themeShade="1A"/>
          <w:sz w:val="22"/>
          <w:szCs w:val="22"/>
          <w:lang w:val="es-ES_tradnl"/>
        </w:rPr>
        <w:t>,</w:t>
      </w:r>
      <w:r w:rsidR="00A91BEA" w:rsidRPr="00691AAC">
        <w:rPr>
          <w:rFonts w:ascii="Arial" w:eastAsia="Calibri" w:hAnsi="Arial" w:cs="Arial"/>
          <w:color w:val="161616" w:themeColor="background1" w:themeShade="1A"/>
          <w:sz w:val="22"/>
          <w:szCs w:val="22"/>
          <w:lang w:val="es-ES_tradnl"/>
        </w:rPr>
        <w:t xml:space="preserve">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w:t>
      </w:r>
      <w:r w:rsidR="00A91BEA" w:rsidRPr="00691AAC">
        <w:rPr>
          <w:rFonts w:ascii="Arial" w:eastAsia="Calibri" w:hAnsi="Arial" w:cs="Arial"/>
          <w:color w:val="161616" w:themeColor="background1" w:themeShade="1A"/>
          <w:sz w:val="22"/>
          <w:szCs w:val="22"/>
          <w:lang w:val="es-ES_tradnl"/>
        </w:rPr>
        <w:lastRenderedPageBreak/>
        <w:t xml:space="preserve">en abstracto, no la resolución de controversias o la asesoría para casos concretos, de acuerdo con lo indicado respecto a las normas que otorgan competencia consultiva a esta Subdirección. Además, no son vinculantes o </w:t>
      </w:r>
      <w:r w:rsidRPr="00691AAC">
        <w:rPr>
          <w:rFonts w:ascii="Arial" w:eastAsia="Arial" w:hAnsi="Arial" w:cs="Arial"/>
          <w:color w:val="161616" w:themeColor="background1" w:themeShade="1A"/>
          <w:sz w:val="22"/>
          <w:szCs w:val="22"/>
          <w:lang w:val="es-ES_tradnl"/>
        </w:rPr>
        <w:t>de obligatorio cumplimiento para el destinatario, sino que expresan la posición interpretativa del ente que elabora el concepto.</w:t>
      </w:r>
    </w:p>
    <w:p w14:paraId="15C81BF1" w14:textId="29C2AFAF" w:rsidR="00256CE7" w:rsidRPr="00691AAC" w:rsidRDefault="00B16829" w:rsidP="00515D32">
      <w:pPr>
        <w:tabs>
          <w:tab w:val="left" w:pos="426"/>
        </w:tabs>
        <w:spacing w:before="120" w:line="276" w:lineRule="auto"/>
        <w:ind w:firstLine="709"/>
        <w:jc w:val="both"/>
        <w:rPr>
          <w:rFonts w:ascii="Arial" w:eastAsia="Calibri" w:hAnsi="Arial" w:cs="Arial"/>
          <w:color w:val="161616" w:themeColor="background1" w:themeShade="1A"/>
          <w:sz w:val="22"/>
          <w:szCs w:val="22"/>
          <w:lang w:val="es-ES_tradnl"/>
        </w:rPr>
      </w:pPr>
      <w:r w:rsidRPr="00691AAC">
        <w:rPr>
          <w:rFonts w:ascii="Arial" w:eastAsia="Calibri" w:hAnsi="Arial" w:cs="Arial"/>
          <w:color w:val="161616" w:themeColor="background1" w:themeShade="1A"/>
          <w:sz w:val="22"/>
          <w:szCs w:val="22"/>
          <w:lang w:val="es-ES_tradnl"/>
        </w:rPr>
        <w:t xml:space="preserve">La Agencia Nacional de Contratación Pública ‒ Colombia Compra Eficiente </w:t>
      </w:r>
      <w:r w:rsidR="00B04E6F" w:rsidRPr="00691AAC">
        <w:rPr>
          <w:rFonts w:ascii="Arial" w:eastAsia="Calibri" w:hAnsi="Arial" w:cs="Arial"/>
          <w:color w:val="161616" w:themeColor="background1" w:themeShade="1A"/>
          <w:sz w:val="22"/>
          <w:szCs w:val="22"/>
          <w:lang w:val="es-ES_tradnl"/>
        </w:rPr>
        <w:t>estudió el ámbito de aplicación de la ley 996 de 2005 y la restricción específica contenida en su artículo 33</w:t>
      </w:r>
      <w:r w:rsidRPr="00691AAC">
        <w:rPr>
          <w:rFonts w:ascii="Arial" w:eastAsia="Calibri" w:hAnsi="Arial" w:cs="Arial"/>
          <w:color w:val="161616" w:themeColor="background1" w:themeShade="1A"/>
          <w:sz w:val="22"/>
          <w:szCs w:val="22"/>
          <w:lang w:val="es-ES_tradnl"/>
        </w:rPr>
        <w:t>, entre otros</w:t>
      </w:r>
      <w:r w:rsidR="00B04E6F" w:rsidRPr="00691AAC">
        <w:rPr>
          <w:rFonts w:ascii="Arial" w:eastAsia="Calibri" w:hAnsi="Arial" w:cs="Arial"/>
          <w:color w:val="161616" w:themeColor="background1" w:themeShade="1A"/>
          <w:sz w:val="22"/>
          <w:szCs w:val="22"/>
          <w:lang w:val="es-ES_tradnl"/>
        </w:rPr>
        <w:t xml:space="preserve"> pronunciamientos</w:t>
      </w:r>
      <w:r w:rsidRPr="00691AAC">
        <w:rPr>
          <w:rFonts w:ascii="Arial" w:eastAsia="Calibri" w:hAnsi="Arial" w:cs="Arial"/>
          <w:color w:val="161616" w:themeColor="background1" w:themeShade="1A"/>
          <w:sz w:val="22"/>
          <w:szCs w:val="22"/>
          <w:lang w:val="es-ES_tradnl"/>
        </w:rPr>
        <w:t>, en los conceptos</w:t>
      </w:r>
      <w:r w:rsidR="001A217F" w:rsidRPr="00691AAC">
        <w:rPr>
          <w:rFonts w:ascii="Arial" w:eastAsia="Calibri" w:hAnsi="Arial" w:cs="Arial"/>
          <w:color w:val="161616" w:themeColor="background1" w:themeShade="1A"/>
          <w:sz w:val="22"/>
          <w:szCs w:val="22"/>
          <w:lang w:val="es-ES_tradnl"/>
        </w:rPr>
        <w:t>:</w:t>
      </w:r>
      <w:r w:rsidRPr="00691AAC">
        <w:rPr>
          <w:rFonts w:ascii="Arial" w:eastAsia="Calibri" w:hAnsi="Arial" w:cs="Arial"/>
          <w:color w:val="161616" w:themeColor="background1" w:themeShade="1A"/>
          <w:sz w:val="22"/>
          <w:szCs w:val="22"/>
          <w:lang w:val="es-ES_tradnl"/>
        </w:rPr>
        <w:t xml:space="preserve"> </w:t>
      </w:r>
      <w:r w:rsidRPr="00691AAC">
        <w:rPr>
          <w:rFonts w:ascii="Arial" w:eastAsia="Arial" w:hAnsi="Arial" w:cs="Arial"/>
          <w:color w:val="161616" w:themeColor="background1" w:themeShade="1A"/>
          <w:sz w:val="22"/>
          <w:szCs w:val="22"/>
          <w:lang w:val="es-ES_tradnl"/>
        </w:rPr>
        <w:t xml:space="preserve">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w:t>
      </w:r>
      <w:r w:rsidR="001B6E10" w:rsidRPr="00691AAC">
        <w:rPr>
          <w:rFonts w:ascii="Arial" w:eastAsia="Arial" w:hAnsi="Arial" w:cs="Arial"/>
          <w:color w:val="161616" w:themeColor="background1" w:themeShade="1A"/>
          <w:sz w:val="22"/>
          <w:szCs w:val="22"/>
          <w:lang w:val="es-ES_tradnl"/>
        </w:rPr>
        <w:t xml:space="preserve">2201913000009312 del 17 de diciembre de 2019, </w:t>
      </w:r>
      <w:r w:rsidRPr="00691AAC">
        <w:rPr>
          <w:rFonts w:ascii="Arial" w:eastAsia="Calibri" w:hAnsi="Arial" w:cs="Arial"/>
          <w:bCs/>
          <w:color w:val="161616" w:themeColor="background1" w:themeShade="1A"/>
          <w:sz w:val="22"/>
          <w:szCs w:val="22"/>
          <w:lang w:val="es-ES_tradnl"/>
        </w:rPr>
        <w:t>C-074 del 17 de marzo de 2021, C-075 del 16 de marzo de 2021, C-227 de 2021 del 5 de mayo de 2021, C-259 del 2 de junio de 2021, C-296 del 22 de junio de 2021, C-337 del 13 de julio de 2021, C-350 del 16 de julio de 2021, C-352 del 27 de julio de 2021, C-374 del 16 de septiembre de 2021, C-381 del 2 de agosto de 2021, C-391 del 11 de agosto de 2021, C-396 del 13 de agosto de 2021, C-401 del 10 de agosto de 2021, C-413 del 17 de agosto de 2021, C-439  del 27 de agosto de 2021, C-456 del 3 de septiembre de 2021, C-481 del 98 de septiembre de 2021, C-495 del 15 de septiembre de 2021, C-497 del 15 de septiembre de 2021, C-499 del 15 de septiembre de 2021, C-523 del 10 de octubre de 2021, C-528 del 27 de septiembre de 2021, C-543 del 9 de noviembre de 2021, C-550 del 5 de octubre de 2021, C-557 del 7 de octubre de 2021, C-563 del 8 de octubre de 2021, C-606 del 3 de noviembre de 2021, C-614 del 2 de noviembre de 2021, C-633 del 11 de noviembre de 2021, C-634 del 11 de noviembre de 2021, C-636 del 16 de noviembre de 2021, C-677 del 4 de diciembre de 2021, C-695 del 22 de diciembre de 2021</w:t>
      </w:r>
      <w:r w:rsidR="001A217F" w:rsidRPr="00691AAC">
        <w:rPr>
          <w:rFonts w:ascii="Arial" w:eastAsia="Calibri" w:hAnsi="Arial" w:cs="Arial"/>
          <w:bCs/>
          <w:color w:val="161616" w:themeColor="background1" w:themeShade="1A"/>
          <w:sz w:val="22"/>
          <w:szCs w:val="22"/>
          <w:lang w:val="es-ES_tradnl"/>
        </w:rPr>
        <w:t>,</w:t>
      </w:r>
      <w:r w:rsidRPr="00691AAC">
        <w:rPr>
          <w:rFonts w:ascii="Arial" w:eastAsia="Calibri" w:hAnsi="Arial" w:cs="Arial"/>
          <w:bCs/>
          <w:color w:val="161616" w:themeColor="background1" w:themeShade="1A"/>
          <w:sz w:val="22"/>
          <w:szCs w:val="22"/>
          <w:lang w:val="es-ES_tradnl"/>
        </w:rPr>
        <w:t xml:space="preserve"> </w:t>
      </w:r>
      <w:r w:rsidR="00D17985" w:rsidRPr="00691AAC">
        <w:rPr>
          <w:rFonts w:ascii="Arial" w:eastAsia="Calibri" w:hAnsi="Arial" w:cs="Arial"/>
          <w:bCs/>
          <w:sz w:val="22"/>
        </w:rPr>
        <w:t xml:space="preserve">C-015 del 12 de enero de 2022, C-037 del 21 de enero de 2022, </w:t>
      </w:r>
      <w:r w:rsidR="00D17985" w:rsidRPr="00691AAC">
        <w:rPr>
          <w:rFonts w:ascii="Arial" w:eastAsia="Calibri" w:hAnsi="Arial" w:cs="Arial"/>
          <w:color w:val="161616" w:themeColor="background1" w:themeShade="1A"/>
          <w:sz w:val="22"/>
          <w:szCs w:val="22"/>
          <w:lang w:val="es-ES_tradnl"/>
        </w:rPr>
        <w:t xml:space="preserve">C-715 del 21 de enero de 2022, C-718 del 24 de enero de 2022, C-726 del 24 de enero de 2022, C- 023 del 22 de febrero de 2022, </w:t>
      </w:r>
      <w:r w:rsidR="00D17985" w:rsidRPr="00691AAC">
        <w:rPr>
          <w:rFonts w:ascii="Arial" w:eastAsia="Calibri" w:hAnsi="Arial" w:cs="Arial"/>
          <w:bCs/>
          <w:sz w:val="22"/>
        </w:rPr>
        <w:t>C-107 del 18 de marzo de 2022, C-122 del 18 de marzo de 2022 y C-156 del 28 de marzo de 2022</w:t>
      </w:r>
      <w:r w:rsidR="00D17985" w:rsidRPr="00691AAC">
        <w:rPr>
          <w:rFonts w:ascii="Arial" w:eastAsia="Calibri" w:hAnsi="Arial" w:cs="Arial"/>
          <w:color w:val="161616" w:themeColor="background1" w:themeShade="1A"/>
          <w:sz w:val="22"/>
          <w:szCs w:val="22"/>
          <w:lang w:val="es-ES_tradnl"/>
        </w:rPr>
        <w:t>. La tesis desarrollada en estos conceptos se reitera y complementa a continuación</w:t>
      </w:r>
      <w:r w:rsidR="00FD3E1B" w:rsidRPr="00691AAC">
        <w:rPr>
          <w:rFonts w:ascii="Arial" w:eastAsia="Calibri" w:hAnsi="Arial" w:cs="Arial"/>
          <w:color w:val="161616" w:themeColor="background1" w:themeShade="1A"/>
          <w:sz w:val="22"/>
          <w:szCs w:val="22"/>
          <w:lang w:val="es-ES_tradnl"/>
        </w:rPr>
        <w:t>.</w:t>
      </w:r>
    </w:p>
    <w:p w14:paraId="4F11C367" w14:textId="77777777" w:rsidR="00C50170" w:rsidRPr="00691AAC" w:rsidRDefault="00C50170" w:rsidP="0022167B">
      <w:pPr>
        <w:jc w:val="both"/>
        <w:rPr>
          <w:rFonts w:ascii="Arial" w:eastAsia="Calibri" w:hAnsi="Arial" w:cs="Arial"/>
          <w:color w:val="161616" w:themeColor="background1" w:themeShade="1A"/>
          <w:sz w:val="22"/>
          <w:szCs w:val="22"/>
          <w:lang w:val="es-ES_tradnl"/>
        </w:rPr>
      </w:pPr>
    </w:p>
    <w:p w14:paraId="58039A6D" w14:textId="1D6E2C3B" w:rsidR="00B40486" w:rsidRPr="00691AAC" w:rsidRDefault="00532B96" w:rsidP="00B40486">
      <w:pPr>
        <w:spacing w:line="276" w:lineRule="auto"/>
        <w:jc w:val="both"/>
        <w:rPr>
          <w:rFonts w:ascii="Arial" w:eastAsia="Calibri" w:hAnsi="Arial" w:cs="Arial"/>
          <w:b/>
          <w:color w:val="161616" w:themeColor="background1" w:themeShade="1A"/>
          <w:sz w:val="22"/>
          <w:szCs w:val="22"/>
          <w:lang w:val="es-ES_tradnl"/>
        </w:rPr>
      </w:pPr>
      <w:r w:rsidRPr="00691AAC">
        <w:rPr>
          <w:rFonts w:ascii="Arial" w:eastAsia="Calibri" w:hAnsi="Arial" w:cs="Arial"/>
          <w:b/>
          <w:bCs/>
          <w:color w:val="161616" w:themeColor="background1" w:themeShade="1A"/>
          <w:sz w:val="22"/>
          <w:szCs w:val="22"/>
          <w:lang w:val="es-ES_tradnl"/>
        </w:rPr>
        <w:t xml:space="preserve">2.1. </w:t>
      </w:r>
      <w:bookmarkStart w:id="9" w:name="_Hlk75783800"/>
      <w:r w:rsidR="00B40486" w:rsidRPr="00691AAC">
        <w:rPr>
          <w:rFonts w:ascii="Arial" w:eastAsia="Calibri" w:hAnsi="Arial" w:cs="Arial"/>
          <w:b/>
          <w:color w:val="161616" w:themeColor="background1" w:themeShade="1A"/>
          <w:sz w:val="22"/>
          <w:szCs w:val="22"/>
          <w:lang w:val="es-ES_tradnl"/>
        </w:rPr>
        <w:t xml:space="preserve">Definición y finalidad de la Ley de Garantías Electorales: alcance de las restricciones </w:t>
      </w:r>
    </w:p>
    <w:p w14:paraId="7AB551AA" w14:textId="77777777" w:rsidR="00612C53" w:rsidRPr="00691AAC" w:rsidRDefault="00612C53" w:rsidP="00B40486">
      <w:pPr>
        <w:spacing w:after="120" w:line="276" w:lineRule="auto"/>
        <w:ind w:firstLine="708"/>
        <w:jc w:val="both"/>
        <w:rPr>
          <w:rFonts w:ascii="Arial" w:eastAsia="Calibri" w:hAnsi="Arial" w:cs="Arial"/>
          <w:bCs/>
          <w:color w:val="161616" w:themeColor="background1" w:themeShade="1A"/>
          <w:sz w:val="12"/>
          <w:szCs w:val="12"/>
          <w:lang w:val="es-ES_tradnl"/>
        </w:rPr>
      </w:pPr>
    </w:p>
    <w:p w14:paraId="1D482BA1" w14:textId="1DE1CE55" w:rsidR="00B40486" w:rsidRPr="00691AAC" w:rsidRDefault="00B40486" w:rsidP="00FD3E1B">
      <w:pPr>
        <w:spacing w:after="120" w:line="276" w:lineRule="auto"/>
        <w:jc w:val="both"/>
        <w:rPr>
          <w:rFonts w:ascii="Arial" w:eastAsia="Calibri" w:hAnsi="Arial" w:cs="Arial"/>
          <w:bCs/>
          <w:color w:val="161616" w:themeColor="background1" w:themeShade="1A"/>
          <w:sz w:val="22"/>
          <w:szCs w:val="22"/>
          <w:lang w:val="es-ES_tradnl"/>
        </w:rPr>
      </w:pPr>
      <w:r w:rsidRPr="00691AAC">
        <w:rPr>
          <w:rFonts w:ascii="Arial" w:eastAsia="Calibri" w:hAnsi="Arial" w:cs="Arial"/>
          <w:bCs/>
          <w:color w:val="161616" w:themeColor="background1" w:themeShade="1A"/>
          <w:sz w:val="22"/>
          <w:szCs w:val="22"/>
          <w:lang w:val="es-ES_tradnl"/>
        </w:rPr>
        <w:t>El ordenamiento jurídico colombiano contempla previsiones claras para evitar la obtención de beneficios personales en asuntos propios de la administración pública. Por ejemplo, el artículo 127 de la Constitución</w:t>
      </w:r>
      <w:r w:rsidRPr="00691AAC">
        <w:rPr>
          <w:rFonts w:ascii="Arial" w:eastAsia="Arial" w:hAnsi="Arial" w:cs="Arial"/>
          <w:color w:val="161616" w:themeColor="background1" w:themeShade="1A"/>
          <w:sz w:val="22"/>
          <w:szCs w:val="22"/>
          <w:lang w:val="es-ES_tradnl"/>
        </w:rPr>
        <w:t xml:space="preserve"> Política establece una prohibición contractual a los </w:t>
      </w:r>
      <w:r w:rsidRPr="00691AAC">
        <w:rPr>
          <w:rFonts w:ascii="Arial" w:eastAsia="Arial" w:hAnsi="Arial" w:cs="Arial"/>
          <w:color w:val="161616" w:themeColor="background1" w:themeShade="1A"/>
          <w:sz w:val="22"/>
          <w:szCs w:val="22"/>
          <w:lang w:val="es-ES_tradnl"/>
        </w:rPr>
        <w:lastRenderedPageBreak/>
        <w:t>servidores públicos y, en cuanto a aspectos políticos, prevé restricciones a ciertos empleados del Estado, incluso en época no electoral</w:t>
      </w:r>
      <w:r w:rsidRPr="004102D2">
        <w:rPr>
          <w:rStyle w:val="Refdenotaalpie"/>
          <w:rFonts w:ascii="Arial" w:eastAsia="Arial" w:hAnsi="Arial" w:cs="Arial"/>
          <w:sz w:val="20"/>
          <w:szCs w:val="20"/>
        </w:rPr>
        <w:footnoteReference w:id="2"/>
      </w:r>
    </w:p>
    <w:p w14:paraId="74BE85C5" w14:textId="77777777" w:rsidR="00B40486" w:rsidRPr="00691AAC" w:rsidRDefault="00B40486" w:rsidP="00B40486">
      <w:pPr>
        <w:spacing w:before="120" w:after="120" w:line="276" w:lineRule="auto"/>
        <w:ind w:firstLine="709"/>
        <w:jc w:val="both"/>
        <w:rPr>
          <w:rFonts w:ascii="Arial" w:eastAsia="Calibri" w:hAnsi="Arial" w:cs="Arial"/>
          <w:bCs/>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 xml:space="preserve">En el mismo sentido, la Ley 996 de 2005, conocida como «Ley de Garantías </w:t>
      </w:r>
      <w:r w:rsidRPr="00691AAC">
        <w:rPr>
          <w:rFonts w:ascii="Arial" w:eastAsia="Calibri" w:hAnsi="Arial" w:cs="Arial"/>
          <w:bCs/>
          <w:color w:val="161616" w:themeColor="background1" w:themeShade="1A"/>
          <w:sz w:val="22"/>
          <w:szCs w:val="22"/>
          <w:lang w:val="es-ES_tradnl"/>
        </w:rPr>
        <w:t>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91AAC">
        <w:rPr>
          <w:rStyle w:val="Refdenotaalpie"/>
          <w:rFonts w:ascii="Arial" w:eastAsia="Calibri" w:hAnsi="Arial" w:cs="Arial"/>
          <w:bCs/>
          <w:color w:val="161616" w:themeColor="background1" w:themeShade="1A"/>
          <w:sz w:val="22"/>
          <w:szCs w:val="22"/>
          <w:lang w:val="es-ES_tradnl"/>
        </w:rPr>
        <w:footnoteReference w:id="3"/>
      </w:r>
      <w:r w:rsidRPr="00691AAC">
        <w:rPr>
          <w:rFonts w:ascii="Arial" w:eastAsia="Calibri" w:hAnsi="Arial" w:cs="Arial"/>
          <w:bCs/>
          <w:color w:val="161616" w:themeColor="background1" w:themeShade="1A"/>
          <w:sz w:val="22"/>
          <w:szCs w:val="22"/>
          <w:lang w:val="es-ES_tradnl"/>
        </w:rPr>
        <w:t xml:space="preserve">. En esta medida, introduce limitaciones para realizar nombramientos, postulaciones, contrataciones o cualquier otro tipo de actividad que implique destinación de recursos públicos bajo el devenir propio de las entidades estatales. </w:t>
      </w:r>
    </w:p>
    <w:p w14:paraId="4C1EBEF1" w14:textId="77777777" w:rsidR="00B40486" w:rsidRPr="00691AAC" w:rsidRDefault="00B40486" w:rsidP="00B40486">
      <w:pPr>
        <w:spacing w:before="120" w:after="120" w:line="276" w:lineRule="auto"/>
        <w:ind w:firstLine="709"/>
        <w:jc w:val="both"/>
        <w:rPr>
          <w:rFonts w:ascii="Arial" w:eastAsia="Calibri" w:hAnsi="Arial" w:cs="Arial"/>
          <w:bCs/>
          <w:color w:val="161616" w:themeColor="background1" w:themeShade="1A"/>
          <w:sz w:val="22"/>
          <w:szCs w:val="22"/>
          <w:lang w:val="es-ES_tradnl"/>
        </w:rPr>
      </w:pPr>
      <w:r w:rsidRPr="00691AAC">
        <w:rPr>
          <w:rFonts w:ascii="Arial" w:eastAsia="Calibri" w:hAnsi="Arial" w:cs="Arial"/>
          <w:bCs/>
          <w:color w:val="161616" w:themeColor="background1" w:themeShade="1A"/>
          <w:sz w:val="22"/>
          <w:szCs w:val="22"/>
          <w:lang w:val="es-ES_tradnl"/>
        </w:rPr>
        <w:t>En armonía con lo anterior, la Corte Constitucional ha abordado la definición de la Ley de Garantías Electorales. De esta manera, explica que tiene como propósito:</w:t>
      </w:r>
    </w:p>
    <w:p w14:paraId="528FFE70" w14:textId="77777777" w:rsidR="00B40486" w:rsidRPr="00691AAC" w:rsidRDefault="00B40486" w:rsidP="00B40486">
      <w:pPr>
        <w:spacing w:before="120" w:after="120" w:line="276" w:lineRule="auto"/>
        <w:ind w:left="567" w:right="786"/>
        <w:jc w:val="both"/>
        <w:rPr>
          <w:rFonts w:ascii="Arial" w:eastAsia="Arial" w:hAnsi="Arial" w:cs="Arial"/>
          <w:color w:val="161616" w:themeColor="background1" w:themeShade="1A"/>
          <w:sz w:val="21"/>
          <w:szCs w:val="21"/>
          <w:lang w:val="es-ES_tradnl"/>
        </w:rPr>
      </w:pPr>
      <w:r w:rsidRPr="00691AAC">
        <w:rPr>
          <w:rFonts w:ascii="Arial" w:eastAsia="Arial" w:hAnsi="Arial" w:cs="Arial"/>
          <w:color w:val="161616" w:themeColor="background1" w:themeShade="1A"/>
          <w:sz w:val="21"/>
          <w:szCs w:val="21"/>
          <w:lang w:val="es-ES_tradnl"/>
        </w:rPr>
        <w:t>La definición de reglas claras que permitan acceder a los canales de expresión democrática de manera efectiva e igualitaria. El objetivo de una ley de garantías es definir esas reglas.</w:t>
      </w:r>
    </w:p>
    <w:p w14:paraId="7920F530" w14:textId="77777777" w:rsidR="00B40486" w:rsidRPr="00691AAC" w:rsidRDefault="00B40486" w:rsidP="00B40486">
      <w:pPr>
        <w:spacing w:before="120" w:after="120" w:line="276" w:lineRule="auto"/>
        <w:ind w:left="567" w:right="786"/>
        <w:jc w:val="both"/>
        <w:rPr>
          <w:rFonts w:ascii="Arial" w:eastAsia="Arial" w:hAnsi="Arial" w:cs="Arial"/>
          <w:color w:val="161616" w:themeColor="background1" w:themeShade="1A"/>
          <w:sz w:val="21"/>
          <w:szCs w:val="21"/>
          <w:lang w:val="es-ES_tradnl"/>
        </w:rPr>
      </w:pPr>
      <w:r w:rsidRPr="00691AAC">
        <w:rPr>
          <w:rFonts w:ascii="Arial" w:eastAsia="Arial" w:hAnsi="Arial" w:cs="Arial"/>
          <w:color w:val="161616" w:themeColor="background1" w:themeShade="1A"/>
          <w:sz w:val="21"/>
          <w:szCs w:val="21"/>
          <w:lang w:val="es-ES_tradnl"/>
        </w:rPr>
        <w:t xml:space="preserve">[…] </w:t>
      </w:r>
    </w:p>
    <w:p w14:paraId="006B1EDD" w14:textId="77777777" w:rsidR="00B40486" w:rsidRPr="00691AAC" w:rsidRDefault="00B40486" w:rsidP="00B40486">
      <w:pPr>
        <w:spacing w:before="120" w:after="120" w:line="276" w:lineRule="auto"/>
        <w:ind w:left="567" w:right="786"/>
        <w:jc w:val="both"/>
        <w:rPr>
          <w:rFonts w:ascii="Arial" w:eastAsia="Calibri" w:hAnsi="Arial" w:cs="Arial"/>
          <w:bCs/>
          <w:color w:val="161616" w:themeColor="background1" w:themeShade="1A"/>
          <w:sz w:val="21"/>
          <w:szCs w:val="21"/>
          <w:lang w:val="es-ES_tradnl"/>
        </w:rPr>
      </w:pPr>
      <w:r w:rsidRPr="00691AAC">
        <w:rPr>
          <w:rFonts w:ascii="Arial" w:eastAsia="Arial" w:hAnsi="Arial" w:cs="Arial"/>
          <w:color w:val="161616" w:themeColor="background1" w:themeShade="1A"/>
          <w:sz w:val="21"/>
          <w:szCs w:val="21"/>
          <w:lang w:val="es-ES_tradnl"/>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4102D2">
        <w:rPr>
          <w:rStyle w:val="Refdenotaalpie"/>
          <w:rFonts w:ascii="Arial" w:eastAsia="Arial" w:hAnsi="Arial" w:cs="Arial"/>
        </w:rPr>
        <w:footnoteReference w:id="4"/>
      </w:r>
      <w:r w:rsidRPr="00691AAC">
        <w:rPr>
          <w:rFonts w:ascii="Arial" w:eastAsia="Calibri" w:hAnsi="Arial" w:cs="Arial"/>
          <w:bCs/>
          <w:color w:val="161616" w:themeColor="background1" w:themeShade="1A"/>
          <w:sz w:val="21"/>
          <w:szCs w:val="21"/>
          <w:lang w:val="es-ES_tradnl"/>
        </w:rPr>
        <w:t>.</w:t>
      </w:r>
      <w:bookmarkStart w:id="11" w:name="_17dp8vu" w:colFirst="0" w:colLast="0"/>
      <w:bookmarkEnd w:id="11"/>
    </w:p>
    <w:p w14:paraId="12241061" w14:textId="0F1A84F7" w:rsidR="00B40486" w:rsidRPr="00691AAC" w:rsidRDefault="00B40486" w:rsidP="00565AA1">
      <w:pPr>
        <w:spacing w:before="120" w:after="120" w:line="276" w:lineRule="auto"/>
        <w:ind w:right="77" w:firstLine="709"/>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lastRenderedPageBreak/>
        <w:t>En este contexto, la Ley de Garantías Electorales establece el marco jurídico para el desarrollo de las elecciones, procurando condiciones de igualdad y transparencia para los aspirantes, y paralelamente incluye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5F2F4D24" w14:textId="77777777" w:rsidR="00612C53" w:rsidRPr="00691AAC" w:rsidRDefault="00B40486" w:rsidP="00B40486">
      <w:pPr>
        <w:spacing w:before="120" w:after="120" w:line="276" w:lineRule="auto"/>
        <w:ind w:left="567" w:right="709"/>
        <w:jc w:val="both"/>
        <w:rPr>
          <w:rFonts w:ascii="Arial" w:eastAsia="Arial" w:hAnsi="Arial" w:cs="Arial"/>
          <w:color w:val="161616" w:themeColor="background1" w:themeShade="1A"/>
          <w:sz w:val="21"/>
          <w:szCs w:val="21"/>
          <w:lang w:val="es-ES_tradnl"/>
        </w:rPr>
      </w:pPr>
      <w:r w:rsidRPr="00691AAC">
        <w:rPr>
          <w:rFonts w:ascii="Arial" w:eastAsia="Arial" w:hAnsi="Arial" w:cs="Arial"/>
          <w:color w:val="161616" w:themeColor="background1" w:themeShade="1A"/>
          <w:sz w:val="21"/>
          <w:szCs w:val="21"/>
          <w:lang w:val="es-ES_tradnl"/>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4EE01586" w14:textId="0D7BF41C" w:rsidR="00B40486" w:rsidRPr="00691AAC" w:rsidRDefault="00B40486" w:rsidP="008A2523">
      <w:pPr>
        <w:spacing w:before="120" w:line="276" w:lineRule="auto"/>
        <w:ind w:left="567" w:right="709"/>
        <w:jc w:val="both"/>
        <w:rPr>
          <w:rFonts w:ascii="Arial" w:eastAsia="Arial" w:hAnsi="Arial" w:cs="Arial"/>
          <w:color w:val="161616" w:themeColor="background1" w:themeShade="1A"/>
          <w:sz w:val="21"/>
          <w:szCs w:val="21"/>
          <w:lang w:val="es-ES_tradnl"/>
        </w:rPr>
      </w:pPr>
      <w:r w:rsidRPr="00691AAC">
        <w:rPr>
          <w:rFonts w:ascii="Arial" w:eastAsia="Arial" w:hAnsi="Arial" w:cs="Arial"/>
          <w:color w:val="161616" w:themeColor="background1" w:themeShade="1A"/>
          <w:sz w:val="21"/>
          <w:szCs w:val="21"/>
          <w:lang w:val="es-ES_tradnl"/>
        </w:rPr>
        <w:t>La jurisprudencia de la Corte Constitucional</w:t>
      </w:r>
      <w:r w:rsidRPr="004102D2">
        <w:rPr>
          <w:rStyle w:val="Refdenotaalpie"/>
          <w:rFonts w:ascii="Arial" w:eastAsia="Arial" w:hAnsi="Arial" w:cs="Arial"/>
        </w:rPr>
        <w:footnoteReference w:id="5"/>
      </w:r>
      <w:r w:rsidRPr="00691AAC">
        <w:rPr>
          <w:rFonts w:ascii="Arial" w:eastAsia="Arial" w:hAnsi="Arial" w:cs="Arial"/>
          <w:color w:val="161616" w:themeColor="background1" w:themeShade="1A"/>
          <w:sz w:val="21"/>
          <w:szCs w:val="21"/>
          <w:lang w:val="es-ES_tradnl"/>
        </w:rPr>
        <w:t> y del Consejo de Estado</w:t>
      </w:r>
      <w:r w:rsidRPr="004102D2">
        <w:rPr>
          <w:rStyle w:val="Refdenotaalpie"/>
          <w:rFonts w:ascii="Arial" w:eastAsia="Arial" w:hAnsi="Arial" w:cs="Arial"/>
        </w:rPr>
        <w:footnoteReference w:id="6"/>
      </w:r>
      <w:r w:rsidRPr="00691AAC">
        <w:rPr>
          <w:rFonts w:ascii="Arial" w:eastAsia="Arial" w:hAnsi="Arial" w:cs="Arial"/>
          <w:color w:val="161616" w:themeColor="background1" w:themeShade="1A"/>
          <w:sz w:val="21"/>
          <w:szCs w:val="21"/>
          <w:lang w:val="es-ES_tradnl"/>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4102D2">
        <w:rPr>
          <w:rStyle w:val="Refdenotaalpie"/>
          <w:rFonts w:ascii="Arial" w:eastAsia="Arial" w:hAnsi="Arial" w:cs="Arial"/>
        </w:rPr>
        <w:footnoteReference w:id="7"/>
      </w:r>
      <w:r w:rsidRPr="00691AAC">
        <w:rPr>
          <w:rFonts w:ascii="Arial" w:eastAsia="Arial" w:hAnsi="Arial" w:cs="Arial"/>
          <w:color w:val="161616" w:themeColor="background1" w:themeShade="1A"/>
          <w:sz w:val="21"/>
          <w:szCs w:val="21"/>
          <w:lang w:val="es-ES_tradnl"/>
        </w:rPr>
        <w:t>.</w:t>
      </w:r>
    </w:p>
    <w:p w14:paraId="67508B4B" w14:textId="77777777" w:rsidR="008A2523" w:rsidRPr="00691AAC" w:rsidRDefault="008A2523" w:rsidP="004102D2">
      <w:pPr>
        <w:spacing w:line="276" w:lineRule="auto"/>
        <w:ind w:left="567" w:right="709"/>
        <w:jc w:val="both"/>
        <w:rPr>
          <w:rFonts w:ascii="Arial" w:hAnsi="Arial" w:cs="Arial"/>
          <w:color w:val="161616" w:themeColor="background1" w:themeShade="1A"/>
          <w:sz w:val="21"/>
          <w:szCs w:val="21"/>
          <w:lang w:val="es-ES_tradnl"/>
        </w:rPr>
      </w:pPr>
    </w:p>
    <w:p w14:paraId="63E66B8D" w14:textId="4A572D9F" w:rsidR="00B40486" w:rsidRPr="00691AAC" w:rsidRDefault="00B40486" w:rsidP="004102D2">
      <w:pPr>
        <w:spacing w:after="120" w:line="276" w:lineRule="auto"/>
        <w:ind w:firstLine="709"/>
        <w:jc w:val="both"/>
        <w:rPr>
          <w:rFonts w:ascii="Arial" w:eastAsia="Arial" w:hAnsi="Arial" w:cs="Arial"/>
          <w:color w:val="161616" w:themeColor="background1" w:themeShade="1A"/>
          <w:sz w:val="22"/>
          <w:szCs w:val="22"/>
          <w:lang w:val="es-ES_tradnl"/>
        </w:rPr>
      </w:pPr>
      <w:bookmarkStart w:id="12" w:name="_3rdcrjn" w:colFirst="0" w:colLast="0"/>
      <w:bookmarkEnd w:id="12"/>
      <w:r w:rsidRPr="00691AAC">
        <w:rPr>
          <w:rFonts w:ascii="Arial" w:eastAsia="Arial" w:hAnsi="Arial" w:cs="Arial"/>
          <w:color w:val="161616" w:themeColor="background1" w:themeShade="1A"/>
          <w:sz w:val="22"/>
          <w:szCs w:val="22"/>
          <w:lang w:val="es-ES_tradnl"/>
        </w:rPr>
        <w:lastRenderedPageBreak/>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alteren las condiciones de igualdad entre los candidatos.</w:t>
      </w:r>
      <w:r w:rsidR="00565AA1" w:rsidRPr="00691AAC">
        <w:rPr>
          <w:rFonts w:ascii="Arial" w:eastAsia="Arial" w:hAnsi="Arial" w:cs="Arial"/>
          <w:color w:val="161616" w:themeColor="background1" w:themeShade="1A"/>
          <w:sz w:val="22"/>
          <w:szCs w:val="22"/>
          <w:lang w:val="es-ES_tradnl"/>
        </w:rPr>
        <w:t xml:space="preserve"> </w:t>
      </w:r>
      <w:r w:rsidRPr="00691AAC">
        <w:rPr>
          <w:rFonts w:ascii="Arial" w:eastAsia="Arial" w:hAnsi="Arial" w:cs="Arial"/>
          <w:color w:val="161616" w:themeColor="background1" w:themeShade="1A"/>
          <w:sz w:val="22"/>
          <w:szCs w:val="22"/>
          <w:lang w:val="es-ES_tradnl"/>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19B8F065" w14:textId="77777777" w:rsidR="00B40486" w:rsidRPr="00691AAC" w:rsidRDefault="00B40486" w:rsidP="00B40486">
      <w:pPr>
        <w:spacing w:before="120" w:after="120" w:line="276" w:lineRule="auto"/>
        <w:ind w:firstLine="709"/>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 xml:space="preserve">Por un lado, el artículo 33 de la Ley 996 de 2005 prohíbe «[…] la contratación directa por parte de todos los entes del Estado» durante los cuatro (4) meses anteriores a las elecciones presidenciales, salvo </w:t>
      </w:r>
      <w:r w:rsidRPr="00691AAC">
        <w:rPr>
          <w:rFonts w:ascii="Arial" w:eastAsia="Arial" w:hAnsi="Arial" w:cs="Arial"/>
          <w:color w:val="161616" w:themeColor="background1" w:themeShade="1A"/>
          <w:sz w:val="21"/>
          <w:szCs w:val="21"/>
          <w:lang w:val="es-ES_tradnl"/>
        </w:rPr>
        <w:t>«[…]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91AAC">
        <w:rPr>
          <w:rFonts w:ascii="Arial" w:eastAsia="Arial" w:hAnsi="Arial" w:cs="Arial"/>
          <w:color w:val="161616" w:themeColor="background1" w:themeShade="1A"/>
          <w:sz w:val="22"/>
          <w:szCs w:val="22"/>
          <w:lang w:val="es-ES_tradnl"/>
        </w:rPr>
        <w:t>»</w:t>
      </w:r>
      <w:r w:rsidRPr="004102D2">
        <w:rPr>
          <w:rStyle w:val="Refdenotaalpie"/>
          <w:rFonts w:ascii="Arial" w:eastAsia="Arial" w:hAnsi="Arial" w:cs="Arial"/>
        </w:rPr>
        <w:footnoteReference w:id="8"/>
      </w:r>
      <w:r w:rsidRPr="00691AAC">
        <w:rPr>
          <w:rFonts w:ascii="Arial" w:eastAsia="Arial" w:hAnsi="Arial" w:cs="Arial"/>
          <w:color w:val="161616" w:themeColor="background1" w:themeShade="1A"/>
          <w:sz w:val="22"/>
          <w:szCs w:val="22"/>
          <w:lang w:val="es-ES_tradnl"/>
        </w:rPr>
        <w:t>.</w:t>
      </w:r>
    </w:p>
    <w:p w14:paraId="66EB02F1" w14:textId="77777777" w:rsidR="00B40486" w:rsidRPr="00691AAC" w:rsidRDefault="00B40486" w:rsidP="00B40486">
      <w:pPr>
        <w:spacing w:before="120" w:after="120" w:line="276" w:lineRule="auto"/>
        <w:ind w:firstLine="709"/>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691AAC">
        <w:rPr>
          <w:rFonts w:ascii="Arial" w:eastAsia="Arial" w:hAnsi="Arial" w:cs="Arial"/>
          <w:color w:val="161616" w:themeColor="background1" w:themeShade="1A"/>
          <w:sz w:val="21"/>
          <w:szCs w:val="21"/>
          <w:lang w:val="es-ES_tradnl"/>
        </w:rPr>
        <w:t>«[…]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102D2">
        <w:rPr>
          <w:rStyle w:val="Refdenotaalpie"/>
          <w:rFonts w:ascii="Arial" w:eastAsia="Arial" w:hAnsi="Arial" w:cs="Arial"/>
        </w:rPr>
        <w:footnoteReference w:id="9"/>
      </w:r>
      <w:r w:rsidRPr="00691AAC">
        <w:rPr>
          <w:rFonts w:ascii="Arial" w:eastAsia="Arial" w:hAnsi="Arial" w:cs="Arial"/>
          <w:color w:val="161616" w:themeColor="background1" w:themeShade="1A"/>
          <w:sz w:val="22"/>
          <w:szCs w:val="22"/>
          <w:lang w:val="es-ES_tradnl"/>
        </w:rPr>
        <w:t xml:space="preserve">. Esta </w:t>
      </w:r>
      <w:r w:rsidRPr="00691AAC">
        <w:rPr>
          <w:rFonts w:ascii="Arial" w:eastAsia="Arial" w:hAnsi="Arial" w:cs="Arial"/>
          <w:color w:val="161616" w:themeColor="background1" w:themeShade="1A"/>
          <w:sz w:val="22"/>
          <w:szCs w:val="22"/>
          <w:lang w:val="es-ES_tradnl"/>
        </w:rPr>
        <w:lastRenderedPageBreak/>
        <w:t>prohibición debe analizarse en armonía con el artículo 124 de la Ley 2159 de 2021</w:t>
      </w:r>
      <w:r w:rsidRPr="00691AAC">
        <w:rPr>
          <w:rStyle w:val="Refdenotaalpie"/>
          <w:rFonts w:ascii="Arial" w:eastAsia="Arial" w:hAnsi="Arial" w:cs="Arial"/>
          <w:color w:val="161616" w:themeColor="background1" w:themeShade="1A"/>
          <w:sz w:val="22"/>
          <w:szCs w:val="22"/>
          <w:lang w:val="es-ES_tradnl"/>
        </w:rPr>
        <w:footnoteReference w:id="10"/>
      </w:r>
      <w:r w:rsidRPr="00691AAC">
        <w:rPr>
          <w:rFonts w:ascii="Arial" w:eastAsia="Arial" w:hAnsi="Arial" w:cs="Arial"/>
          <w:color w:val="161616" w:themeColor="background1" w:themeShade="1A"/>
          <w:sz w:val="22"/>
          <w:szCs w:val="22"/>
          <w:lang w:val="es-ES_tradnl"/>
        </w:rPr>
        <w:t>. La Sala de Consulta y Servicio Civil del Consejo de Estado ha aclarado la distinción en la aplicación de las prohibiciones de la Ley 996 de 2005, dependiendo del tipo de elección que se trate. Al respecto, considera que:</w:t>
      </w:r>
    </w:p>
    <w:p w14:paraId="60DCD6DA" w14:textId="77777777" w:rsidR="00B40486" w:rsidRPr="00691AAC" w:rsidRDefault="00B40486" w:rsidP="00B40486">
      <w:pPr>
        <w:widowControl w:val="0"/>
        <w:spacing w:before="120" w:after="120" w:line="276" w:lineRule="auto"/>
        <w:ind w:left="567" w:right="786"/>
        <w:jc w:val="both"/>
        <w:rPr>
          <w:rFonts w:ascii="Arial" w:hAnsi="Arial" w:cs="Arial"/>
          <w:color w:val="161616" w:themeColor="background1" w:themeShade="1A"/>
          <w:sz w:val="22"/>
          <w:szCs w:val="22"/>
          <w:lang w:val="es-ES_tradnl"/>
        </w:rPr>
      </w:pPr>
      <w:bookmarkStart w:id="15" w:name="_26in1rg" w:colFirst="0" w:colLast="0"/>
      <w:bookmarkEnd w:id="15"/>
      <w:r w:rsidRPr="00691AAC">
        <w:rPr>
          <w:rFonts w:ascii="Arial" w:eastAsia="Arial" w:hAnsi="Arial" w:cs="Arial"/>
          <w:color w:val="161616" w:themeColor="background1" w:themeShade="1A"/>
          <w:sz w:val="21"/>
          <w:szCs w:val="21"/>
          <w:lang w:val="es-ES_tradnl"/>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4102D2">
        <w:rPr>
          <w:rStyle w:val="Refdenotaalpie"/>
          <w:rFonts w:ascii="Arial" w:eastAsia="Arial" w:hAnsi="Arial" w:cs="Arial"/>
        </w:rPr>
        <w:footnoteReference w:id="11"/>
      </w:r>
      <w:r w:rsidRPr="00691AAC">
        <w:rPr>
          <w:rFonts w:ascii="Arial" w:eastAsia="Arial" w:hAnsi="Arial" w:cs="Arial"/>
          <w:color w:val="161616" w:themeColor="background1" w:themeShade="1A"/>
          <w:sz w:val="22"/>
          <w:szCs w:val="22"/>
          <w:lang w:val="es-ES_tradnl"/>
        </w:rPr>
        <w:t>.</w:t>
      </w:r>
    </w:p>
    <w:p w14:paraId="132B5A57" w14:textId="77777777" w:rsidR="00B40486" w:rsidRPr="00691AAC" w:rsidRDefault="00B40486" w:rsidP="00B40486">
      <w:pPr>
        <w:spacing w:before="120" w:after="120" w:line="276" w:lineRule="auto"/>
        <w:ind w:firstLine="709"/>
        <w:jc w:val="both"/>
        <w:rPr>
          <w:rFonts w:ascii="Arial" w:eastAsia="Arial" w:hAnsi="Arial" w:cs="Arial"/>
          <w:color w:val="161616" w:themeColor="background1" w:themeShade="1A"/>
          <w:sz w:val="22"/>
          <w:szCs w:val="22"/>
          <w:lang w:val="es-ES_tradnl"/>
        </w:rPr>
      </w:pPr>
      <w:bookmarkStart w:id="16" w:name="_lnxbz9" w:colFirst="0" w:colLast="0"/>
      <w:bookmarkEnd w:id="16"/>
      <w:r w:rsidRPr="00691AAC">
        <w:rPr>
          <w:rFonts w:ascii="Arial" w:eastAsia="Arial" w:hAnsi="Arial" w:cs="Arial"/>
          <w:color w:val="161616" w:themeColor="background1" w:themeShade="1A"/>
          <w:sz w:val="22"/>
          <w:szCs w:val="22"/>
          <w:lang w:val="es-ES_tradnl"/>
        </w:rPr>
        <w:t xml:space="preserve">De conformidad con lo anterior, la Ley 996 de 2005 establece dos (2) tipos de restricciones en materia de contratación, las cuales coinciden parcialmente. </w:t>
      </w:r>
      <w:r w:rsidRPr="00691AAC">
        <w:rPr>
          <w:rFonts w:ascii="Arial" w:eastAsia="Arial" w:hAnsi="Arial" w:cs="Arial"/>
          <w:i/>
          <w:color w:val="161616" w:themeColor="background1" w:themeShade="1A"/>
          <w:sz w:val="22"/>
          <w:szCs w:val="22"/>
          <w:lang w:val="es-ES_tradnl"/>
        </w:rPr>
        <w:t>En primer lugar</w:t>
      </w:r>
      <w:r w:rsidRPr="00691AAC">
        <w:rPr>
          <w:rFonts w:ascii="Arial" w:eastAsia="Arial" w:hAnsi="Arial" w:cs="Arial"/>
          <w:color w:val="161616" w:themeColor="background1" w:themeShade="1A"/>
          <w:sz w:val="22"/>
          <w:szCs w:val="22"/>
          <w:lang w:val="es-ES_tradnl"/>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solo participarán los dos candidatos que hubieren obtenido las votaciones más altas, de conformidad con el artículo 190 de la Constitución Política. Para estos efectos, la restricción se extenderá hasta la fecha en la que se realice la segunda vuelta. </w:t>
      </w:r>
      <w:r w:rsidRPr="00691AAC">
        <w:rPr>
          <w:rFonts w:ascii="Arial" w:eastAsia="Arial" w:hAnsi="Arial" w:cs="Arial"/>
          <w:i/>
          <w:color w:val="161616" w:themeColor="background1" w:themeShade="1A"/>
          <w:sz w:val="22"/>
          <w:szCs w:val="22"/>
          <w:lang w:val="es-ES_tradnl"/>
        </w:rPr>
        <w:t>En segundo lugar</w:t>
      </w:r>
      <w:r w:rsidRPr="00691AAC">
        <w:rPr>
          <w:rFonts w:ascii="Arial" w:eastAsia="Arial" w:hAnsi="Arial" w:cs="Arial"/>
          <w:color w:val="161616" w:themeColor="background1" w:themeShade="1A"/>
          <w:sz w:val="22"/>
          <w:szCs w:val="22"/>
          <w:lang w:val="es-ES_tradnl"/>
        </w:rPr>
        <w:t xml:space="preserve">, también se encuentra la prohibición del parágrafo del artículo </w:t>
      </w:r>
      <w:r w:rsidRPr="00691AAC">
        <w:rPr>
          <w:rFonts w:ascii="Arial" w:eastAsia="Arial" w:hAnsi="Arial" w:cs="Arial"/>
          <w:color w:val="161616" w:themeColor="background1" w:themeShade="1A"/>
          <w:sz w:val="22"/>
          <w:szCs w:val="22"/>
          <w:lang w:val="es-ES_tradnl"/>
        </w:rPr>
        <w:lastRenderedPageBreak/>
        <w:t>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013579BA" w14:textId="77777777" w:rsidR="00B40486" w:rsidRPr="00691AAC" w:rsidRDefault="00B40486" w:rsidP="00B40486">
      <w:pPr>
        <w:spacing w:after="120" w:line="276" w:lineRule="auto"/>
        <w:ind w:firstLine="709"/>
        <w:contextualSpacing/>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Ambas restricciones no son excluyentes, lo que permite concluir que en el período preelectoral para la elección del Presidente de la República, a todos los entes del Estado, incluidos los territoriales, les aplican las restricciones del artículo 33 con sus excepciones, así como las del parágrafo del artículo 38. En cambio, tratándose de elecciones en general, excluyendo las correspondientes al Presidente de la República, las autoridades allí mencionadas solo deben aplicar las restricciones contenidas en el parágrafo del artículo 38.</w:t>
      </w:r>
    </w:p>
    <w:p w14:paraId="7B8B77EF" w14:textId="77777777" w:rsidR="00B40486" w:rsidRPr="00691AAC" w:rsidRDefault="00B40486" w:rsidP="00B40486">
      <w:pPr>
        <w:spacing w:after="120" w:line="276" w:lineRule="auto"/>
        <w:ind w:firstLine="709"/>
        <w:contextualSpacing/>
        <w:jc w:val="both"/>
        <w:rPr>
          <w:rFonts w:ascii="Arial" w:eastAsia="Arial" w:hAnsi="Arial" w:cs="Arial"/>
          <w:color w:val="161616" w:themeColor="background1" w:themeShade="1A"/>
          <w:sz w:val="22"/>
          <w:szCs w:val="22"/>
          <w:lang w:val="es-ES"/>
        </w:rPr>
      </w:pPr>
      <w:r w:rsidRPr="00691AAC">
        <w:rPr>
          <w:rFonts w:ascii="Arial" w:eastAsia="Arial" w:hAnsi="Arial" w:cs="Arial"/>
          <w:color w:val="161616" w:themeColor="background1" w:themeShade="1A"/>
          <w:sz w:val="22"/>
          <w:szCs w:val="22"/>
          <w:lang w:val="es-ES_tradnl"/>
        </w:rPr>
        <w:t>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w:t>
      </w:r>
      <w:r w:rsidRPr="00691AAC">
        <w:rPr>
          <w:rFonts w:ascii="Arial" w:eastAsia="Arial" w:hAnsi="Arial" w:cs="Arial"/>
          <w:color w:val="161616" w:themeColor="background1" w:themeShade="1A"/>
          <w:sz w:val="22"/>
          <w:szCs w:val="22"/>
          <w:lang w:val="es-ES"/>
        </w:rPr>
        <w:t xml:space="preserve">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08501D7" w14:textId="77777777" w:rsidR="00B40486" w:rsidRPr="00691AAC" w:rsidRDefault="00B40486" w:rsidP="00B40486">
      <w:pPr>
        <w:spacing w:after="120" w:line="276" w:lineRule="auto"/>
        <w:ind w:firstLine="709"/>
        <w:contextualSpacing/>
        <w:jc w:val="both"/>
        <w:rPr>
          <w:rFonts w:ascii="Arial" w:eastAsia="Arial" w:hAnsi="Arial" w:cs="Arial"/>
          <w:color w:val="161616" w:themeColor="background1" w:themeShade="1A"/>
          <w:sz w:val="22"/>
          <w:szCs w:val="22"/>
          <w:lang w:val="es-ES_tradnl"/>
        </w:rPr>
      </w:pPr>
    </w:p>
    <w:p w14:paraId="79A4576A" w14:textId="19C71447" w:rsidR="00B40486" w:rsidRPr="00691AAC" w:rsidRDefault="00B40486" w:rsidP="00691AAC">
      <w:pPr>
        <w:tabs>
          <w:tab w:val="left" w:pos="426"/>
        </w:tabs>
        <w:spacing w:line="276" w:lineRule="auto"/>
        <w:jc w:val="both"/>
        <w:rPr>
          <w:rFonts w:ascii="Arial" w:hAnsi="Arial" w:cs="Arial"/>
          <w:b/>
          <w:color w:val="161616" w:themeColor="background1" w:themeShade="1A"/>
          <w:sz w:val="22"/>
          <w:szCs w:val="22"/>
          <w:lang w:val="es-ES_tradnl" w:eastAsia="es-CO"/>
        </w:rPr>
      </w:pPr>
      <w:r w:rsidRPr="00691AAC">
        <w:rPr>
          <w:rFonts w:ascii="Arial" w:hAnsi="Arial" w:cs="Arial"/>
          <w:b/>
          <w:color w:val="161616" w:themeColor="background1" w:themeShade="1A"/>
          <w:sz w:val="22"/>
          <w:szCs w:val="22"/>
          <w:lang w:val="es-ES_tradnl" w:eastAsia="es-CO"/>
        </w:rPr>
        <w:t xml:space="preserve">2.2. </w:t>
      </w:r>
      <w:r w:rsidR="00565AA1" w:rsidRPr="00691AAC">
        <w:rPr>
          <w:rFonts w:ascii="Arial" w:hAnsi="Arial" w:cs="Arial"/>
          <w:b/>
          <w:color w:val="161616" w:themeColor="background1" w:themeShade="1A"/>
          <w:sz w:val="22"/>
          <w:szCs w:val="22"/>
          <w:lang w:val="es-ES_tradnl" w:eastAsia="es-CO"/>
        </w:rPr>
        <w:t>Restricciones en elecciones presidenciales</w:t>
      </w:r>
    </w:p>
    <w:p w14:paraId="0561B32D" w14:textId="77777777" w:rsidR="00691AAC" w:rsidRPr="00691AAC" w:rsidRDefault="00691AAC" w:rsidP="004102D2">
      <w:pPr>
        <w:tabs>
          <w:tab w:val="left" w:pos="426"/>
        </w:tabs>
        <w:spacing w:line="276" w:lineRule="auto"/>
        <w:jc w:val="both"/>
        <w:rPr>
          <w:rFonts w:ascii="Arial" w:eastAsia="Calibri" w:hAnsi="Arial" w:cs="Arial"/>
          <w:b/>
          <w:bCs/>
          <w:color w:val="161616" w:themeColor="background1" w:themeShade="1A"/>
          <w:sz w:val="22"/>
          <w:szCs w:val="22"/>
          <w:lang w:val="es-ES_tradnl"/>
        </w:rPr>
      </w:pPr>
    </w:p>
    <w:p w14:paraId="30BA7432" w14:textId="75DA6C22" w:rsidR="00B40486" w:rsidRPr="00691AAC" w:rsidRDefault="00B40486" w:rsidP="00AA69BC">
      <w:pPr>
        <w:spacing w:line="276" w:lineRule="auto"/>
        <w:jc w:val="both"/>
        <w:rPr>
          <w:rFonts w:ascii="Arial" w:hAnsi="Arial" w:cs="Arial"/>
          <w:color w:val="161616" w:themeColor="background1" w:themeShade="1A"/>
          <w:sz w:val="22"/>
          <w:szCs w:val="22"/>
          <w:lang w:val="es-ES_tradnl" w:eastAsia="es-CO"/>
        </w:rPr>
      </w:pPr>
      <w:r w:rsidRPr="00691AAC">
        <w:rPr>
          <w:rFonts w:ascii="Arial" w:hAnsi="Arial" w:cs="Arial"/>
          <w:bCs/>
          <w:color w:val="161616" w:themeColor="background1" w:themeShade="1A"/>
          <w:sz w:val="22"/>
          <w:szCs w:val="22"/>
          <w:lang w:val="es-ES_tradnl" w:eastAsia="x-none"/>
        </w:rPr>
        <w:t xml:space="preserve">El ámbito material de la prohibición contenida </w:t>
      </w:r>
      <w:bookmarkStart w:id="17" w:name="_Hlk75628761"/>
      <w:r w:rsidRPr="00691AAC">
        <w:rPr>
          <w:rFonts w:ascii="Arial" w:hAnsi="Arial" w:cs="Arial"/>
          <w:bCs/>
          <w:color w:val="161616" w:themeColor="background1" w:themeShade="1A"/>
          <w:sz w:val="22"/>
          <w:szCs w:val="22"/>
          <w:lang w:val="es-ES_tradnl" w:eastAsia="x-none"/>
        </w:rPr>
        <w:t>en el artículo 33 de la ley 996 de 2005</w:t>
      </w:r>
      <w:bookmarkEnd w:id="17"/>
      <w:r w:rsidRPr="00691AAC">
        <w:rPr>
          <w:rFonts w:ascii="Arial" w:hAnsi="Arial" w:cs="Arial"/>
          <w:bCs/>
          <w:color w:val="161616" w:themeColor="background1" w:themeShade="1A"/>
          <w:sz w:val="22"/>
          <w:szCs w:val="22"/>
          <w:lang w:val="es-ES_tradnl" w:eastAsia="x-none"/>
        </w:rPr>
        <w:t xml:space="preserve">, está delimitado por la expresión </w:t>
      </w:r>
      <w:r w:rsidRPr="00691AAC">
        <w:rPr>
          <w:rFonts w:ascii="Arial" w:eastAsia="Calibri" w:hAnsi="Arial" w:cs="Arial"/>
          <w:bCs/>
          <w:color w:val="161616" w:themeColor="background1" w:themeShade="1A"/>
          <w:sz w:val="22"/>
          <w:szCs w:val="22"/>
          <w:lang w:val="es-ES_tradnl"/>
        </w:rPr>
        <w:t>«</w:t>
      </w:r>
      <w:r w:rsidRPr="00691AAC">
        <w:rPr>
          <w:rFonts w:ascii="Arial" w:hAnsi="Arial" w:cs="Arial"/>
          <w:bCs/>
          <w:color w:val="161616" w:themeColor="background1" w:themeShade="1A"/>
          <w:sz w:val="22"/>
          <w:szCs w:val="22"/>
          <w:lang w:val="es-ES_tradnl" w:eastAsia="x-none"/>
        </w:rPr>
        <w:t>queda prohibida la contratación directa</w:t>
      </w:r>
      <w:r w:rsidRPr="00691AAC">
        <w:rPr>
          <w:rFonts w:ascii="Arial" w:hAnsi="Arial" w:cs="Arial"/>
          <w:color w:val="161616" w:themeColor="background1" w:themeShade="1A"/>
          <w:sz w:val="22"/>
          <w:szCs w:val="22"/>
          <w:lang w:val="es-ES_tradnl"/>
        </w:rPr>
        <w:t>»</w:t>
      </w:r>
      <w:r w:rsidRPr="00691AAC">
        <w:rPr>
          <w:rFonts w:ascii="Arial" w:hAnsi="Arial" w:cs="Arial"/>
          <w:bCs/>
          <w:color w:val="161616" w:themeColor="background1" w:themeShade="1A"/>
          <w:sz w:val="22"/>
          <w:szCs w:val="22"/>
          <w:lang w:val="es-ES_tradnl" w:eastAsia="x-none"/>
        </w:rPr>
        <w:t xml:space="preserve">. </w:t>
      </w:r>
      <w:r w:rsidRPr="00691AAC">
        <w:rPr>
          <w:rFonts w:ascii="Arial" w:hAnsi="Arial" w:cs="Arial"/>
          <w:color w:val="161616" w:themeColor="background1" w:themeShade="1A"/>
          <w:sz w:val="22"/>
          <w:szCs w:val="22"/>
          <w:lang w:val="es-ES_tradnl" w:eastAsia="es-CO"/>
        </w:rPr>
        <w:t>A propósito de esta restricción de la Ley de Garantías Electorales, la Sala de Consulta y Servicio Civil del Consejo de Estado ha considerado que:</w:t>
      </w:r>
    </w:p>
    <w:p w14:paraId="57735873" w14:textId="77777777" w:rsidR="00AA69BC" w:rsidRPr="00691AAC" w:rsidRDefault="00AA69BC" w:rsidP="004102D2">
      <w:pPr>
        <w:spacing w:line="276" w:lineRule="auto"/>
        <w:jc w:val="both"/>
        <w:rPr>
          <w:rFonts w:ascii="Arial" w:hAnsi="Arial" w:cs="Arial"/>
          <w:bCs/>
          <w:color w:val="161616" w:themeColor="background1" w:themeShade="1A"/>
          <w:sz w:val="22"/>
          <w:szCs w:val="22"/>
          <w:lang w:val="es-ES_tradnl" w:eastAsia="es-CO"/>
        </w:rPr>
      </w:pPr>
    </w:p>
    <w:p w14:paraId="7C087136" w14:textId="77777777" w:rsidR="00B40486" w:rsidRPr="00691AAC" w:rsidRDefault="00B40486" w:rsidP="004102D2">
      <w:pPr>
        <w:spacing w:after="120"/>
        <w:ind w:left="567" w:right="709"/>
        <w:jc w:val="both"/>
        <w:rPr>
          <w:rFonts w:ascii="Arial" w:hAnsi="Arial" w:cs="Arial"/>
          <w:color w:val="161616" w:themeColor="background1" w:themeShade="1A"/>
          <w:sz w:val="21"/>
          <w:szCs w:val="21"/>
          <w:lang w:val="es-ES_tradnl"/>
        </w:rPr>
      </w:pPr>
      <w:r w:rsidRPr="00691AAC">
        <w:rPr>
          <w:rFonts w:ascii="Arial" w:hAnsi="Arial" w:cs="Arial"/>
          <w:color w:val="161616" w:themeColor="background1" w:themeShade="1A"/>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102D2">
        <w:rPr>
          <w:rStyle w:val="Refdenotaalpie"/>
          <w:rFonts w:ascii="Arial" w:hAnsi="Arial" w:cs="Arial"/>
        </w:rPr>
        <w:footnoteReference w:id="12"/>
      </w:r>
      <w:r w:rsidRPr="00691AAC">
        <w:rPr>
          <w:rFonts w:ascii="Arial" w:hAnsi="Arial" w:cs="Arial"/>
          <w:color w:val="161616" w:themeColor="background1" w:themeShade="1A"/>
          <w:sz w:val="21"/>
          <w:szCs w:val="21"/>
          <w:lang w:val="es-ES_tradnl"/>
        </w:rPr>
        <w:t>.</w:t>
      </w:r>
    </w:p>
    <w:p w14:paraId="7E2E168D" w14:textId="6E92E905" w:rsidR="00B40486" w:rsidRPr="00691AAC" w:rsidRDefault="00B40486" w:rsidP="00691AAC">
      <w:pPr>
        <w:ind w:left="567" w:right="709"/>
        <w:jc w:val="both"/>
        <w:rPr>
          <w:rFonts w:ascii="Arial" w:hAnsi="Arial" w:cs="Arial"/>
          <w:color w:val="161616" w:themeColor="background1" w:themeShade="1A"/>
          <w:sz w:val="21"/>
          <w:szCs w:val="21"/>
          <w:lang w:val="es-ES_tradnl"/>
        </w:rPr>
      </w:pPr>
      <w:r w:rsidRPr="00691AAC">
        <w:rPr>
          <w:rFonts w:ascii="Arial" w:hAnsi="Arial" w:cs="Arial"/>
          <w:color w:val="161616" w:themeColor="background1" w:themeShade="1A"/>
          <w:sz w:val="21"/>
          <w:szCs w:val="21"/>
          <w:lang w:val="es-ES_tradnl"/>
        </w:rPr>
        <w:lastRenderedPageBreak/>
        <w:t xml:space="preserve">Esta Sala ha entendido que para los efectos de la ley de garantías, y dada su finalidad, el enunciado «contratación directa» es sinónimo </w:t>
      </w:r>
      <w:bookmarkStart w:id="20" w:name="_Hlk75741738"/>
      <w:r w:rsidRPr="00691AAC">
        <w:rPr>
          <w:rFonts w:ascii="Arial" w:hAnsi="Arial" w:cs="Arial"/>
          <w:color w:val="161616" w:themeColor="background1" w:themeShade="1A"/>
          <w:sz w:val="21"/>
          <w:szCs w:val="21"/>
          <w:lang w:val="es-ES_tradnl"/>
        </w:rPr>
        <w:t xml:space="preserve">de cualquier sistema que no implique convocatoria pública y posibilidad de pluralidad de oferentes, </w:t>
      </w:r>
      <w:bookmarkEnd w:id="20"/>
      <w:r w:rsidRPr="00691AAC">
        <w:rPr>
          <w:rFonts w:ascii="Arial" w:hAnsi="Arial" w:cs="Arial"/>
          <w:color w:val="161616" w:themeColor="background1" w:themeShade="1A"/>
          <w:sz w:val="21"/>
          <w:szCs w:val="21"/>
          <w:lang w:val="es-ES_tradnl"/>
        </w:rPr>
        <w:t>y que, además, no necesariamente hace referencia al procedimiento especial regulado por la ley de contratación estatal, sino a cualquier otro que prescinda de un proceso de licitación pública o concurso</w:t>
      </w:r>
      <w:r w:rsidRPr="004102D2">
        <w:rPr>
          <w:rStyle w:val="Refdenotaalpie"/>
          <w:rFonts w:ascii="Arial" w:hAnsi="Arial" w:cs="Arial"/>
        </w:rPr>
        <w:footnoteReference w:id="13"/>
      </w:r>
      <w:r w:rsidRPr="00691AAC">
        <w:rPr>
          <w:rFonts w:ascii="Arial" w:hAnsi="Arial" w:cs="Arial"/>
          <w:color w:val="161616" w:themeColor="background1" w:themeShade="1A"/>
          <w:sz w:val="21"/>
          <w:szCs w:val="21"/>
          <w:vertAlign w:val="superscript"/>
          <w:lang w:val="es-ES_tradnl"/>
        </w:rPr>
        <w:t>.</w:t>
      </w:r>
      <w:r w:rsidRPr="00691AAC">
        <w:rPr>
          <w:rFonts w:ascii="Arial" w:hAnsi="Arial" w:cs="Arial"/>
          <w:color w:val="161616" w:themeColor="background1" w:themeShade="1A"/>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sidRPr="004102D2">
        <w:rPr>
          <w:rStyle w:val="Refdenotaalpie"/>
          <w:rFonts w:ascii="Arial" w:hAnsi="Arial" w:cs="Arial"/>
        </w:rPr>
        <w:footnoteReference w:id="14"/>
      </w:r>
      <w:r w:rsidRPr="00691AAC">
        <w:rPr>
          <w:rFonts w:ascii="Arial" w:hAnsi="Arial" w:cs="Arial"/>
          <w:color w:val="161616" w:themeColor="background1" w:themeShade="1A"/>
          <w:sz w:val="21"/>
          <w:szCs w:val="21"/>
          <w:lang w:val="es-ES_tradnl"/>
        </w:rPr>
        <w:t xml:space="preserve"> </w:t>
      </w:r>
    </w:p>
    <w:p w14:paraId="15026219" w14:textId="77777777" w:rsidR="00691AAC" w:rsidRPr="00691AAC" w:rsidRDefault="00691AAC" w:rsidP="004102D2">
      <w:pPr>
        <w:ind w:left="567" w:right="709"/>
        <w:jc w:val="both"/>
        <w:rPr>
          <w:rFonts w:ascii="Arial" w:hAnsi="Arial" w:cs="Arial"/>
          <w:color w:val="161616" w:themeColor="background1" w:themeShade="1A"/>
          <w:sz w:val="21"/>
          <w:szCs w:val="21"/>
          <w:lang w:val="es-ES_tradnl"/>
        </w:rPr>
      </w:pPr>
    </w:p>
    <w:p w14:paraId="4924123D" w14:textId="77777777" w:rsidR="00B40486" w:rsidRPr="00691AAC" w:rsidRDefault="00B40486" w:rsidP="004102D2">
      <w:pPr>
        <w:spacing w:after="120" w:line="276" w:lineRule="auto"/>
        <w:ind w:firstLine="709"/>
        <w:jc w:val="both"/>
        <w:rPr>
          <w:rFonts w:ascii="Arial" w:hAnsi="Arial" w:cs="Arial"/>
          <w:color w:val="161616" w:themeColor="background1" w:themeShade="1A"/>
          <w:sz w:val="22"/>
          <w:szCs w:val="22"/>
          <w:lang w:val="es-ES_tradnl" w:eastAsia="x-none"/>
        </w:rPr>
      </w:pPr>
      <w:r w:rsidRPr="00691AAC">
        <w:rPr>
          <w:rFonts w:ascii="Arial" w:hAnsi="Arial" w:cs="Arial"/>
          <w:color w:val="161616" w:themeColor="background1" w:themeShade="1A"/>
          <w:sz w:val="22"/>
          <w:szCs w:val="22"/>
          <w:lang w:val="es-ES_tradnl" w:eastAsia="x-none"/>
        </w:rPr>
        <w:t xml:space="preserve">De conformidad con el citado concepto, </w:t>
      </w:r>
      <w:bookmarkStart w:id="22" w:name="_Hlk78818702"/>
      <w:r w:rsidRPr="00691AAC">
        <w:rPr>
          <w:rFonts w:ascii="Arial" w:hAnsi="Arial" w:cs="Arial"/>
          <w:color w:val="161616" w:themeColor="background1" w:themeShade="1A"/>
          <w:sz w:val="22"/>
          <w:szCs w:val="22"/>
          <w:lang w:val="es-ES_tradnl" w:eastAsia="x-none"/>
        </w:rPr>
        <w:t xml:space="preserve">la prohibición del artículo 33 de la Ley de Garantías Electorales se refiere a </w:t>
      </w:r>
      <w:bookmarkStart w:id="23" w:name="_Hlk74294635"/>
      <w:r w:rsidRPr="00691AAC">
        <w:rPr>
          <w:rFonts w:ascii="Arial" w:hAnsi="Arial" w:cs="Arial"/>
          <w:color w:val="161616" w:themeColor="background1" w:themeShade="1A"/>
          <w:sz w:val="22"/>
          <w:szCs w:val="22"/>
          <w:lang w:val="es-ES_tradnl"/>
        </w:rPr>
        <w:t>«</w:t>
      </w:r>
      <w:bookmarkEnd w:id="23"/>
      <w:r w:rsidRPr="00691AAC">
        <w:rPr>
          <w:rFonts w:ascii="Arial" w:hAnsi="Arial" w:cs="Arial"/>
          <w:color w:val="161616" w:themeColor="background1" w:themeShade="1A"/>
          <w:sz w:val="22"/>
          <w:szCs w:val="22"/>
          <w:lang w:val="es-ES_tradnl" w:eastAsia="x-none"/>
        </w:rPr>
        <w:t>cualquier sistema que no implique convocatoria pública y posibilidad de pluralidad de oferentes</w:t>
      </w:r>
      <w:bookmarkStart w:id="24" w:name="_Hlk74404754"/>
      <w:r w:rsidRPr="00691AAC">
        <w:rPr>
          <w:rFonts w:ascii="Arial" w:hAnsi="Arial" w:cs="Arial"/>
          <w:color w:val="161616" w:themeColor="background1" w:themeShade="1A"/>
          <w:sz w:val="22"/>
          <w:szCs w:val="22"/>
          <w:lang w:val="es-ES_tradnl"/>
        </w:rPr>
        <w:t>»</w:t>
      </w:r>
      <w:bookmarkEnd w:id="24"/>
      <w:r w:rsidRPr="00691AAC">
        <w:rPr>
          <w:rFonts w:ascii="Arial" w:hAnsi="Arial" w:cs="Arial"/>
          <w:color w:val="161616" w:themeColor="background1" w:themeShade="1A"/>
          <w:sz w:val="22"/>
          <w:szCs w:val="22"/>
          <w:lang w:val="es-ES_tradnl" w:eastAsia="x-none"/>
        </w:rPr>
        <w:t xml:space="preserve">, por lo que excluye las demás modalidades de contratación previstas en la Ley 1150 de 2007, es decir, la licitación pública, la selección abreviada, el concurso de méritos, la contratación de mínima cuantía u otros previstos en normas especiales. </w:t>
      </w:r>
      <w:bookmarkEnd w:id="22"/>
      <w:r w:rsidRPr="00691AAC">
        <w:rPr>
          <w:rFonts w:ascii="Arial" w:hAnsi="Arial" w:cs="Arial"/>
          <w:color w:val="161616" w:themeColor="background1" w:themeShade="1A"/>
          <w:sz w:val="22"/>
          <w:szCs w:val="22"/>
          <w:lang w:val="es-ES_tradnl" w:eastAsia="x-none"/>
        </w:rPr>
        <w:t>Esta posición es congruente con la expedición de la Ley 1150 de 2007 que, entre otras reformas, introdujo la selección abreviada, rediseñó el concurso de méritos</w:t>
      </w:r>
      <w:r w:rsidRPr="004102D2">
        <w:rPr>
          <w:rStyle w:val="Refdenotaalpie"/>
          <w:rFonts w:ascii="Arial" w:hAnsi="Arial" w:cs="Arial"/>
        </w:rPr>
        <w:footnoteReference w:id="15"/>
      </w:r>
      <w:r w:rsidRPr="00691AAC">
        <w:rPr>
          <w:rFonts w:ascii="Arial" w:hAnsi="Arial" w:cs="Arial"/>
          <w:color w:val="161616" w:themeColor="background1" w:themeShade="1A"/>
          <w:sz w:val="22"/>
          <w:szCs w:val="22"/>
          <w:lang w:val="es-ES_tradnl" w:eastAsia="x-none"/>
        </w:rPr>
        <w:t xml:space="preserve"> y sistematizó las causales de contratación directa</w:t>
      </w:r>
      <w:r w:rsidRPr="004102D2">
        <w:rPr>
          <w:rStyle w:val="Refdenotaalpie"/>
          <w:rFonts w:ascii="Arial" w:hAnsi="Arial" w:cs="Arial"/>
        </w:rPr>
        <w:footnoteReference w:id="16"/>
      </w:r>
      <w:r w:rsidRPr="00691AAC">
        <w:rPr>
          <w:rFonts w:ascii="Arial" w:hAnsi="Arial" w:cs="Arial"/>
          <w:color w:val="161616" w:themeColor="background1" w:themeShade="1A"/>
          <w:sz w:val="22"/>
          <w:szCs w:val="22"/>
          <w:lang w:val="es-ES_tradnl" w:eastAsia="x-none"/>
        </w:rPr>
        <w:t xml:space="preserve">. </w:t>
      </w:r>
    </w:p>
    <w:p w14:paraId="07DC811C" w14:textId="77777777" w:rsidR="00B40486" w:rsidRPr="00691AAC" w:rsidRDefault="00B40486" w:rsidP="00B40486">
      <w:pPr>
        <w:spacing w:before="120" w:after="120" w:line="276" w:lineRule="auto"/>
        <w:ind w:firstLine="709"/>
        <w:jc w:val="both"/>
        <w:rPr>
          <w:rFonts w:ascii="Arial" w:hAnsi="Arial" w:cs="Arial"/>
          <w:color w:val="161616" w:themeColor="background1" w:themeShade="1A"/>
          <w:sz w:val="22"/>
          <w:szCs w:val="22"/>
          <w:lang w:val="es-ES_tradnl" w:eastAsia="x-none"/>
        </w:rPr>
      </w:pPr>
      <w:r w:rsidRPr="00691AAC">
        <w:rPr>
          <w:rFonts w:ascii="Arial" w:hAnsi="Arial" w:cs="Arial"/>
          <w:color w:val="161616" w:themeColor="background1" w:themeShade="1A"/>
          <w:sz w:val="22"/>
          <w:szCs w:val="22"/>
          <w:lang w:val="es-ES_tradnl" w:eastAsia="x-none"/>
        </w:rPr>
        <w:t xml:space="preserve">De esta forma, con fundamento en la evolución de la normativa sobre la contratación pública, se ha depurado la noción de </w:t>
      </w:r>
      <w:r w:rsidRPr="00691AAC">
        <w:rPr>
          <w:rFonts w:ascii="Arial" w:hAnsi="Arial" w:cs="Arial"/>
          <w:color w:val="161616" w:themeColor="background1" w:themeShade="1A"/>
          <w:sz w:val="22"/>
          <w:szCs w:val="22"/>
          <w:lang w:val="es-ES_tradnl"/>
        </w:rPr>
        <w:t>«</w:t>
      </w:r>
      <w:r w:rsidRPr="00691AAC">
        <w:rPr>
          <w:rFonts w:ascii="Arial" w:hAnsi="Arial" w:cs="Arial"/>
          <w:color w:val="161616" w:themeColor="background1" w:themeShade="1A"/>
          <w:sz w:val="22"/>
          <w:szCs w:val="22"/>
          <w:lang w:val="es-ES_tradnl" w:eastAsia="x-none"/>
        </w:rPr>
        <w:t>contratación directa</w:t>
      </w:r>
      <w:r w:rsidRPr="00691AAC">
        <w:rPr>
          <w:rFonts w:ascii="Arial" w:hAnsi="Arial" w:cs="Arial"/>
          <w:color w:val="161616" w:themeColor="background1" w:themeShade="1A"/>
          <w:sz w:val="22"/>
          <w:szCs w:val="22"/>
          <w:lang w:val="es-ES_tradnl"/>
        </w:rPr>
        <w:t>»</w:t>
      </w:r>
      <w:r w:rsidRPr="00691AAC">
        <w:rPr>
          <w:rFonts w:ascii="Arial" w:hAnsi="Arial" w:cs="Arial"/>
          <w:color w:val="161616" w:themeColor="background1" w:themeShade="1A"/>
          <w:sz w:val="22"/>
          <w:szCs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102D2">
        <w:rPr>
          <w:rStyle w:val="Refdenotaalpie"/>
          <w:rFonts w:ascii="Arial" w:hAnsi="Arial" w:cs="Arial"/>
        </w:rPr>
        <w:footnoteReference w:id="17"/>
      </w:r>
      <w:r w:rsidRPr="00691AAC">
        <w:rPr>
          <w:rFonts w:ascii="Arial" w:hAnsi="Arial" w:cs="Arial"/>
          <w:color w:val="161616" w:themeColor="background1" w:themeShade="1A"/>
          <w:sz w:val="22"/>
          <w:szCs w:val="22"/>
          <w:lang w:val="es-ES_tradnl" w:eastAsia="x-none"/>
        </w:rPr>
        <w:t>, han establecido sistemas de contratación que implican convocatoria pública y participación de varios oferentes</w:t>
      </w:r>
      <w:r w:rsidRPr="00691AAC">
        <w:rPr>
          <w:rFonts w:ascii="Arial" w:hAnsi="Arial" w:cs="Arial"/>
          <w:color w:val="161616" w:themeColor="background1" w:themeShade="1A"/>
          <w:sz w:val="22"/>
          <w:szCs w:val="22"/>
          <w:lang w:val="es-ES_tradnl"/>
        </w:rPr>
        <w:t>»</w:t>
      </w:r>
      <w:r w:rsidRPr="00691AAC">
        <w:rPr>
          <w:rFonts w:ascii="Arial" w:hAnsi="Arial" w:cs="Arial"/>
          <w:color w:val="161616" w:themeColor="background1" w:themeShade="1A"/>
          <w:sz w:val="22"/>
          <w:szCs w:val="22"/>
          <w:lang w:val="es-ES_tradnl" w:eastAsia="x-none"/>
        </w:rPr>
        <w:t xml:space="preserve">. </w:t>
      </w:r>
    </w:p>
    <w:p w14:paraId="3151C592" w14:textId="77777777" w:rsidR="00B40486" w:rsidRPr="00691AAC" w:rsidRDefault="00B40486" w:rsidP="00B40486">
      <w:pPr>
        <w:spacing w:before="120" w:after="120" w:line="276" w:lineRule="auto"/>
        <w:ind w:firstLine="709"/>
        <w:jc w:val="both"/>
        <w:rPr>
          <w:rFonts w:ascii="Arial" w:hAnsi="Arial" w:cs="Arial"/>
          <w:color w:val="161616" w:themeColor="background1" w:themeShade="1A"/>
          <w:sz w:val="22"/>
          <w:szCs w:val="22"/>
          <w:lang w:val="es-ES_tradnl" w:eastAsia="x-none"/>
        </w:rPr>
      </w:pPr>
      <w:r w:rsidRPr="00691AAC">
        <w:rPr>
          <w:rFonts w:ascii="Arial" w:hAnsi="Arial" w:cs="Arial"/>
          <w:bCs/>
          <w:color w:val="161616" w:themeColor="background1" w:themeShade="1A"/>
          <w:sz w:val="22"/>
          <w:szCs w:val="22"/>
          <w:lang w:val="es-ES_tradnl" w:eastAsia="x-none"/>
        </w:rPr>
        <w:lastRenderedPageBreak/>
        <w:t>E</w:t>
      </w:r>
      <w:r w:rsidRPr="00691AAC">
        <w:rPr>
          <w:rFonts w:ascii="Arial" w:hAnsi="Arial" w:cs="Arial"/>
          <w:color w:val="161616" w:themeColor="background1" w:themeShade="1A"/>
          <w:sz w:val="22"/>
          <w:szCs w:val="22"/>
          <w:lang w:val="es-ES_tradnl" w:eastAsia="x-none"/>
        </w:rPr>
        <w:t xml:space="preserve">n efecto, vale la pena mencionar que, </w:t>
      </w:r>
      <w:bookmarkStart w:id="26" w:name="_Hlk75636073"/>
      <w:r w:rsidRPr="00691AAC">
        <w:rPr>
          <w:rFonts w:ascii="Arial" w:hAnsi="Arial" w:cs="Arial"/>
          <w:color w:val="161616" w:themeColor="background1" w:themeShade="1A"/>
          <w:sz w:val="22"/>
          <w:szCs w:val="22"/>
          <w:lang w:val="es-ES_tradnl" w:eastAsia="x-none"/>
        </w:rPr>
        <w:t>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bookmarkEnd w:id="26"/>
      <w:r w:rsidRPr="004102D2">
        <w:rPr>
          <w:rStyle w:val="Refdenotaalpie"/>
          <w:rFonts w:ascii="Arial" w:hAnsi="Arial" w:cs="Arial"/>
        </w:rPr>
        <w:footnoteReference w:id="18"/>
      </w:r>
      <w:r w:rsidRPr="00691AAC">
        <w:rPr>
          <w:rFonts w:ascii="Arial" w:hAnsi="Arial" w:cs="Arial"/>
          <w:color w:val="161616" w:themeColor="background1" w:themeShade="1A"/>
          <w:sz w:val="22"/>
          <w:szCs w:val="22"/>
          <w:lang w:val="es-ES_tradnl" w:eastAsia="x-none"/>
        </w:rPr>
        <w:t xml:space="preserve">. </w:t>
      </w:r>
    </w:p>
    <w:p w14:paraId="291546EF" w14:textId="77777777" w:rsidR="00B40486" w:rsidRPr="00691AAC" w:rsidRDefault="00B40486" w:rsidP="00B40486">
      <w:pPr>
        <w:spacing w:before="120" w:after="120" w:line="276" w:lineRule="auto"/>
        <w:ind w:firstLine="709"/>
        <w:jc w:val="both"/>
        <w:rPr>
          <w:rFonts w:ascii="Arial" w:hAnsi="Arial" w:cs="Arial"/>
          <w:bCs/>
          <w:color w:val="161616" w:themeColor="background1" w:themeShade="1A"/>
          <w:sz w:val="22"/>
          <w:szCs w:val="22"/>
          <w:lang w:val="es-ES_tradnl" w:eastAsia="es-CO"/>
        </w:rPr>
      </w:pPr>
      <w:r w:rsidRPr="00691AAC">
        <w:rPr>
          <w:rFonts w:ascii="Arial" w:hAnsi="Arial" w:cs="Arial"/>
          <w:bCs/>
          <w:color w:val="161616" w:themeColor="background1" w:themeShade="1A"/>
          <w:sz w:val="22"/>
          <w:szCs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304F10F2" w14:textId="77777777" w:rsidR="00B40486" w:rsidRPr="00691AAC" w:rsidRDefault="00B40486" w:rsidP="00B40486">
      <w:pPr>
        <w:spacing w:before="120" w:after="120" w:line="276" w:lineRule="auto"/>
        <w:ind w:firstLine="709"/>
        <w:jc w:val="both"/>
        <w:rPr>
          <w:rFonts w:ascii="Arial" w:hAnsi="Arial" w:cs="Arial"/>
          <w:color w:val="161616" w:themeColor="background1" w:themeShade="1A"/>
          <w:sz w:val="22"/>
          <w:szCs w:val="22"/>
          <w:vertAlign w:val="superscript"/>
          <w:lang w:val="es-ES_tradnl" w:eastAsia="x-none"/>
        </w:rPr>
      </w:pPr>
      <w:bookmarkStart w:id="27" w:name="_Hlk78818796"/>
      <w:r w:rsidRPr="00691AAC">
        <w:rPr>
          <w:rFonts w:ascii="Arial" w:hAnsi="Arial" w:cs="Arial"/>
          <w:bCs/>
          <w:color w:val="161616" w:themeColor="background1" w:themeShade="1A"/>
          <w:sz w:val="22"/>
          <w:szCs w:val="22"/>
          <w:lang w:val="es-ES_tradnl"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102D2">
        <w:rPr>
          <w:rStyle w:val="Refdenotaalpie"/>
          <w:rFonts w:ascii="Arial" w:hAnsi="Arial" w:cs="Arial"/>
        </w:rPr>
        <w:footnoteReference w:id="19"/>
      </w:r>
      <w:r w:rsidRPr="00691AAC">
        <w:rPr>
          <w:rFonts w:ascii="Arial" w:hAnsi="Arial" w:cs="Arial"/>
          <w:bCs/>
          <w:color w:val="161616" w:themeColor="background1" w:themeShade="1A"/>
          <w:sz w:val="22"/>
          <w:szCs w:val="22"/>
          <w:lang w:val="es-ES_tradnl" w:eastAsia="x-none"/>
        </w:rPr>
        <w:t>.</w:t>
      </w:r>
      <w:r w:rsidRPr="00691AAC">
        <w:rPr>
          <w:rFonts w:ascii="Arial" w:hAnsi="Arial" w:cs="Arial"/>
          <w:color w:val="161616" w:themeColor="background1" w:themeShade="1A"/>
          <w:sz w:val="22"/>
          <w:szCs w:val="22"/>
          <w:vertAlign w:val="superscript"/>
          <w:lang w:val="es-ES_tradnl" w:eastAsia="x-none"/>
        </w:rPr>
        <w:t xml:space="preserve"> </w:t>
      </w:r>
    </w:p>
    <w:bookmarkEnd w:id="27"/>
    <w:p w14:paraId="6449F0C0" w14:textId="77777777" w:rsidR="00B40486" w:rsidRPr="00691AAC" w:rsidRDefault="00B40486" w:rsidP="00B40486">
      <w:pPr>
        <w:spacing w:before="120" w:after="120" w:line="276" w:lineRule="auto"/>
        <w:ind w:firstLine="709"/>
        <w:jc w:val="both"/>
        <w:rPr>
          <w:rFonts w:ascii="Arial" w:hAnsi="Arial" w:cs="Arial"/>
          <w:color w:val="161616" w:themeColor="background1" w:themeShade="1A"/>
          <w:sz w:val="22"/>
          <w:szCs w:val="22"/>
          <w:lang w:val="es-ES_tradnl" w:eastAsia="x-none"/>
        </w:rPr>
      </w:pPr>
      <w:r w:rsidRPr="00691AAC">
        <w:rPr>
          <w:rFonts w:ascii="Arial" w:hAnsi="Arial" w:cs="Arial"/>
          <w:bCs/>
          <w:color w:val="161616" w:themeColor="background1" w:themeShade="1A"/>
          <w:sz w:val="22"/>
          <w:szCs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691AAC">
        <w:rPr>
          <w:rFonts w:ascii="Arial" w:hAnsi="Arial" w:cs="Arial"/>
          <w:color w:val="161616" w:themeColor="background1" w:themeShade="1A"/>
          <w:sz w:val="22"/>
          <w:szCs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pueden las entidades públicas seguir contratando bajo estos sistemas.</w:t>
      </w:r>
    </w:p>
    <w:p w14:paraId="03A5D19E" w14:textId="77777777" w:rsidR="00B40486" w:rsidRPr="00691AAC" w:rsidRDefault="00B40486" w:rsidP="00B40486">
      <w:pPr>
        <w:spacing w:before="120" w:after="120" w:line="276" w:lineRule="auto"/>
        <w:ind w:firstLine="709"/>
        <w:jc w:val="both"/>
        <w:rPr>
          <w:rFonts w:ascii="Arial" w:hAnsi="Arial" w:cs="Arial"/>
          <w:color w:val="161616" w:themeColor="background1" w:themeShade="1A"/>
          <w:sz w:val="22"/>
          <w:szCs w:val="22"/>
          <w:lang w:eastAsia="x-none"/>
        </w:rPr>
      </w:pPr>
      <w:r w:rsidRPr="00691AAC">
        <w:rPr>
          <w:rFonts w:ascii="Arial" w:hAnsi="Arial" w:cs="Arial"/>
          <w:color w:val="161616" w:themeColor="background1" w:themeShade="1A"/>
          <w:sz w:val="22"/>
          <w:szCs w:val="22"/>
          <w:lang w:eastAsia="x-none"/>
        </w:rPr>
        <w:t xml:space="preserve">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w:t>
      </w:r>
      <w:r w:rsidRPr="00691AAC">
        <w:rPr>
          <w:rFonts w:ascii="Arial" w:hAnsi="Arial" w:cs="Arial"/>
          <w:color w:val="161616" w:themeColor="background1" w:themeShade="1A"/>
          <w:sz w:val="22"/>
          <w:szCs w:val="22"/>
          <w:lang w:eastAsia="x-none"/>
        </w:rPr>
        <w:lastRenderedPageBreak/>
        <w:t>la contratación directa y siempre que cumplan los principios de planeación, transparencia y responsabilidad.</w:t>
      </w:r>
    </w:p>
    <w:p w14:paraId="67446720" w14:textId="77777777" w:rsidR="00565AA1" w:rsidRPr="00691AAC" w:rsidRDefault="00565AA1" w:rsidP="00565AA1">
      <w:pPr>
        <w:spacing w:line="276" w:lineRule="auto"/>
        <w:ind w:firstLine="708"/>
        <w:jc w:val="both"/>
        <w:rPr>
          <w:rFonts w:ascii="Arial" w:eastAsia="Arial" w:hAnsi="Arial" w:cs="Arial"/>
          <w:sz w:val="22"/>
          <w:szCs w:val="22"/>
          <w:lang w:eastAsia="es-ES_tradnl"/>
        </w:rPr>
      </w:pPr>
      <w:r w:rsidRPr="00691AAC">
        <w:rPr>
          <w:rFonts w:ascii="Arial" w:eastAsia="Arial" w:hAnsi="Arial" w:cs="Arial"/>
          <w:sz w:val="22"/>
          <w:szCs w:val="22"/>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46351A94" w14:textId="77777777" w:rsidR="00565AA1" w:rsidRPr="00691AAC" w:rsidRDefault="00565AA1" w:rsidP="00565AA1">
      <w:pPr>
        <w:spacing w:before="120" w:line="276" w:lineRule="auto"/>
        <w:ind w:firstLine="709"/>
        <w:jc w:val="both"/>
        <w:rPr>
          <w:rFonts w:ascii="Arial" w:eastAsia="Arial" w:hAnsi="Arial" w:cs="Arial"/>
          <w:sz w:val="22"/>
          <w:szCs w:val="22"/>
        </w:rPr>
      </w:pPr>
      <w:r w:rsidRPr="00691AAC">
        <w:rPr>
          <w:rFonts w:ascii="Arial" w:eastAsia="Arial" w:hAnsi="Arial" w:cs="Arial"/>
          <w:sz w:val="22"/>
          <w:szCs w:val="22"/>
        </w:rPr>
        <w:t>En esta labor es importante tener en cuenta, como lo anotó la Corte Constitucional, en Sentencia C-1153 de noviembre 11 de 2005</w:t>
      </w:r>
      <w:r w:rsidRPr="004102D2">
        <w:rPr>
          <w:rFonts w:ascii="Arial" w:hAnsi="Arial" w:cs="Arial"/>
          <w:vertAlign w:val="superscript"/>
        </w:rPr>
        <w:t>,</w:t>
      </w:r>
      <w:r w:rsidRPr="00691AAC">
        <w:rPr>
          <w:rFonts w:ascii="Arial" w:eastAsia="Arial" w:hAnsi="Arial" w:cs="Arial"/>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691AAC">
        <w:rPr>
          <w:rFonts w:ascii="Arial" w:eastAsia="Arial" w:hAnsi="Arial" w:cs="Arial"/>
          <w:sz w:val="22"/>
          <w:szCs w:val="22"/>
          <w:vertAlign w:val="superscript"/>
        </w:rPr>
        <w:footnoteReference w:id="20"/>
      </w:r>
      <w:r w:rsidRPr="00691AAC">
        <w:rPr>
          <w:rFonts w:ascii="Arial" w:eastAsia="Arial" w:hAnsi="Arial" w:cs="Arial"/>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7E498571" w14:textId="77777777" w:rsidR="00565AA1" w:rsidRPr="00691AAC" w:rsidRDefault="00565AA1" w:rsidP="00565AA1">
      <w:pPr>
        <w:spacing w:before="120" w:line="276" w:lineRule="auto"/>
        <w:ind w:firstLine="709"/>
        <w:jc w:val="both"/>
        <w:rPr>
          <w:rFonts w:ascii="Arial" w:eastAsia="Arial" w:hAnsi="Arial" w:cs="Arial"/>
          <w:sz w:val="22"/>
          <w:szCs w:val="22"/>
        </w:rPr>
      </w:pPr>
      <w:r w:rsidRPr="00691AAC">
        <w:rPr>
          <w:rFonts w:ascii="Arial" w:eastAsia="Arial" w:hAnsi="Arial" w:cs="Arial"/>
          <w:sz w:val="22"/>
          <w:szCs w:val="22"/>
        </w:rPr>
        <w:t xml:space="preserve">Como se puede apreciar, el inciso segundo del artículo 33 dispone de dos (2) grandes grupos de excepciones a la prohibición de contratar directamente en la época preelectoral. </w:t>
      </w:r>
      <w:r w:rsidRPr="00691AAC">
        <w:rPr>
          <w:rFonts w:ascii="Arial" w:eastAsia="Arial" w:hAnsi="Arial" w:cs="Arial"/>
          <w:i/>
          <w:iCs/>
          <w:sz w:val="22"/>
          <w:szCs w:val="22"/>
        </w:rPr>
        <w:t>Por un lado</w:t>
      </w:r>
      <w:r w:rsidRPr="00691AAC">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691AAC">
        <w:rPr>
          <w:rFonts w:ascii="Arial" w:eastAsia="Arial" w:hAnsi="Arial" w:cs="Arial"/>
          <w:i/>
          <w:iCs/>
          <w:sz w:val="22"/>
          <w:szCs w:val="22"/>
        </w:rPr>
        <w:t>Por otra parte</w:t>
      </w:r>
      <w:r w:rsidRPr="00691AAC">
        <w:rPr>
          <w:rFonts w:ascii="Arial" w:eastAsia="Arial" w:hAnsi="Arial" w:cs="Arial"/>
          <w:sz w:val="22"/>
          <w:szCs w:val="22"/>
        </w:rPr>
        <w:t>, las que aluden a las entidades sanitarias y hospitalarias acudiendo a un criterio eminentemente subjetivo, pese a que no limita la excepción a un tipo de entidad en particular, sino que ata su aplicación a la naturaleza del respectivo ente.</w:t>
      </w:r>
    </w:p>
    <w:p w14:paraId="65912C8C" w14:textId="77777777" w:rsidR="00565AA1" w:rsidRPr="00691AAC" w:rsidRDefault="00565AA1" w:rsidP="00565AA1">
      <w:pPr>
        <w:spacing w:before="120" w:line="276" w:lineRule="auto"/>
        <w:ind w:firstLine="709"/>
        <w:jc w:val="both"/>
        <w:rPr>
          <w:rFonts w:ascii="Arial" w:eastAsia="Arial" w:hAnsi="Arial" w:cs="Arial"/>
          <w:sz w:val="22"/>
          <w:szCs w:val="22"/>
        </w:rPr>
      </w:pPr>
      <w:r w:rsidRPr="00691AAC">
        <w:rPr>
          <w:rFonts w:ascii="Arial" w:eastAsia="Arial" w:hAnsi="Arial" w:cs="Arial"/>
          <w:sz w:val="22"/>
          <w:szCs w:val="22"/>
        </w:rPr>
        <w:lastRenderedPageBreak/>
        <w:t xml:space="preserve">Así, para determinar si la contratación de una entidad pública está exceptuada de la prohibición general para la contratación directa, el intérprete deberá analizar el caso concreto para establecer que se trata de una actividad de las descritas en la norma o que se encuentra frente a una entidad de sanidad u hospitalaria. En este punto, dado que la norma no lo establece, no es posible limitar la excepción a cierto tipo de entidades públicas o hacer depender la aplicación de la excepción al nivel u orden administrativo en el que se encuentre. Como se explicó, lo relevante será verificar la naturaleza de la entidad para determinar si tiene carácter sanitario u hospitalario. </w:t>
      </w:r>
    </w:p>
    <w:p w14:paraId="0D66D14D" w14:textId="77777777" w:rsidR="00565AA1" w:rsidRPr="00691AAC" w:rsidRDefault="00565AA1" w:rsidP="00565AA1">
      <w:pPr>
        <w:spacing w:line="276" w:lineRule="auto"/>
        <w:ind w:right="49"/>
        <w:jc w:val="both"/>
        <w:rPr>
          <w:rFonts w:ascii="Arial" w:hAnsi="Arial" w:cs="Arial"/>
          <w:bCs/>
          <w:sz w:val="22"/>
          <w:szCs w:val="22"/>
          <w:lang w:val="es-ES" w:eastAsia="es-CO"/>
        </w:rPr>
      </w:pPr>
    </w:p>
    <w:p w14:paraId="6A8F40F0" w14:textId="2C6C3816" w:rsidR="00B40486" w:rsidRPr="00691AAC" w:rsidRDefault="00B40486" w:rsidP="00B40486">
      <w:pPr>
        <w:spacing w:after="120" w:line="276" w:lineRule="auto"/>
        <w:jc w:val="both"/>
        <w:rPr>
          <w:rFonts w:ascii="Arial" w:hAnsi="Arial" w:cs="Arial"/>
          <w:b/>
          <w:sz w:val="22"/>
          <w:lang w:eastAsia="x-none"/>
        </w:rPr>
      </w:pPr>
      <w:r w:rsidRPr="00691AAC">
        <w:rPr>
          <w:rFonts w:ascii="Arial" w:hAnsi="Arial" w:cs="Arial"/>
          <w:b/>
          <w:color w:val="161616" w:themeColor="background1" w:themeShade="1A"/>
          <w:sz w:val="22"/>
          <w:szCs w:val="22"/>
          <w:lang w:val="es-ES_tradnl" w:eastAsia="es-CO"/>
        </w:rPr>
        <w:t xml:space="preserve">2.3. </w:t>
      </w:r>
      <w:r w:rsidRPr="00691AAC">
        <w:rPr>
          <w:rFonts w:ascii="Arial" w:hAnsi="Arial" w:cs="Arial"/>
          <w:b/>
          <w:sz w:val="22"/>
          <w:lang w:eastAsia="x-none"/>
        </w:rPr>
        <w:t>Destinatarios de la restricción del artículo 33 de la Ley 996 de 2005</w:t>
      </w:r>
      <w:r w:rsidR="00F223B3" w:rsidRPr="00691AAC">
        <w:rPr>
          <w:rFonts w:ascii="Arial" w:hAnsi="Arial" w:cs="Arial"/>
          <w:b/>
          <w:sz w:val="22"/>
          <w:lang w:eastAsia="x-none"/>
        </w:rPr>
        <w:t xml:space="preserve"> </w:t>
      </w:r>
    </w:p>
    <w:p w14:paraId="07100D06" w14:textId="77777777" w:rsidR="00C55B65" w:rsidRPr="00691AAC" w:rsidRDefault="00C55B65" w:rsidP="00B40486">
      <w:pPr>
        <w:spacing w:after="120" w:line="276" w:lineRule="auto"/>
        <w:jc w:val="both"/>
        <w:rPr>
          <w:rFonts w:ascii="Arial" w:hAnsi="Arial" w:cs="Arial"/>
          <w:b/>
          <w:sz w:val="12"/>
          <w:szCs w:val="12"/>
          <w:lang w:eastAsia="x-none"/>
        </w:rPr>
      </w:pPr>
    </w:p>
    <w:p w14:paraId="36D1EA4A" w14:textId="77777777" w:rsidR="00B40486" w:rsidRPr="00691AAC" w:rsidRDefault="00B40486" w:rsidP="003B4202">
      <w:pPr>
        <w:spacing w:line="276" w:lineRule="auto"/>
        <w:jc w:val="both"/>
        <w:rPr>
          <w:rFonts w:ascii="Arial" w:eastAsia="Arial" w:hAnsi="Arial" w:cs="Arial"/>
          <w:sz w:val="22"/>
          <w:szCs w:val="22"/>
          <w:lang w:eastAsia="es-ES_tradnl"/>
        </w:rPr>
      </w:pPr>
      <w:r w:rsidRPr="00691AAC">
        <w:rPr>
          <w:rFonts w:ascii="Arial" w:eastAsia="Arial" w:hAnsi="Arial" w:cs="Arial"/>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4102D2">
        <w:rPr>
          <w:rFonts w:ascii="Arial" w:hAnsi="Arial" w:cs="Arial"/>
        </w:rPr>
        <w:t xml:space="preserve"> </w:t>
      </w:r>
      <w:r w:rsidRPr="00691AAC">
        <w:rPr>
          <w:rFonts w:ascii="Arial" w:eastAsia="Arial" w:hAnsi="Arial" w:cs="Arial"/>
          <w:sz w:val="22"/>
          <w:szCs w:val="22"/>
        </w:rPr>
        <w:t>En efecto, tal como lo ha sostenido el Consejo de Estado, el vocablo «todos» utilizado por el legislador comprende</w:t>
      </w:r>
      <w:r w:rsidRPr="004102D2">
        <w:rPr>
          <w:rFonts w:ascii="Arial" w:hAnsi="Arial" w:cs="Arial"/>
        </w:rPr>
        <w:t xml:space="preserve"> </w:t>
      </w:r>
      <w:r w:rsidRPr="00691AAC">
        <w:rPr>
          <w:rFonts w:ascii="Arial" w:eastAsia="Arial" w:hAnsi="Arial" w:cs="Arial"/>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2E15EDA1" w14:textId="77777777" w:rsidR="00B40486" w:rsidRPr="00691AAC" w:rsidRDefault="00B40486" w:rsidP="00B40486">
      <w:pPr>
        <w:spacing w:line="276" w:lineRule="auto"/>
        <w:ind w:firstLine="708"/>
        <w:jc w:val="both"/>
        <w:rPr>
          <w:rFonts w:ascii="Arial" w:eastAsia="Arial" w:hAnsi="Arial" w:cs="Arial"/>
          <w:sz w:val="22"/>
          <w:szCs w:val="22"/>
        </w:rPr>
      </w:pPr>
    </w:p>
    <w:p w14:paraId="1A49FDAD" w14:textId="77777777" w:rsidR="00B40486" w:rsidRPr="004102D2" w:rsidRDefault="00B40486" w:rsidP="00B40486">
      <w:pPr>
        <w:ind w:left="709" w:right="709"/>
        <w:jc w:val="both"/>
        <w:rPr>
          <w:rFonts w:ascii="Arial" w:hAnsi="Arial" w:cs="Arial"/>
        </w:rPr>
      </w:pPr>
      <w:r w:rsidRPr="00691AAC">
        <w:rPr>
          <w:rFonts w:ascii="Arial" w:eastAsia="Arial" w:hAnsi="Arial" w:cs="Arial"/>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91AAC">
        <w:rPr>
          <w:rFonts w:ascii="Arial" w:eastAsia="Arial" w:hAnsi="Arial" w:cs="Arial"/>
          <w:sz w:val="21"/>
          <w:szCs w:val="21"/>
          <w:vertAlign w:val="superscript"/>
        </w:rPr>
        <w:footnoteReference w:id="21"/>
      </w:r>
      <w:r w:rsidRPr="00691AAC">
        <w:rPr>
          <w:rFonts w:ascii="Arial" w:eastAsia="Arial" w:hAnsi="Arial" w:cs="Arial"/>
          <w:sz w:val="21"/>
          <w:szCs w:val="21"/>
        </w:rPr>
        <w:t xml:space="preserve">. </w:t>
      </w:r>
    </w:p>
    <w:p w14:paraId="23959491" w14:textId="77777777" w:rsidR="00B40486" w:rsidRPr="00691AAC" w:rsidRDefault="00B40486" w:rsidP="00B40486">
      <w:pPr>
        <w:spacing w:line="276" w:lineRule="auto"/>
        <w:jc w:val="both"/>
        <w:rPr>
          <w:rFonts w:ascii="Arial" w:eastAsia="Arial" w:hAnsi="Arial" w:cs="Arial"/>
          <w:sz w:val="22"/>
          <w:szCs w:val="22"/>
        </w:rPr>
      </w:pPr>
    </w:p>
    <w:p w14:paraId="3C71336D" w14:textId="77777777" w:rsidR="00B40486" w:rsidRPr="00691AAC" w:rsidRDefault="00B40486" w:rsidP="00B40486">
      <w:pPr>
        <w:spacing w:line="276" w:lineRule="auto"/>
        <w:ind w:firstLine="709"/>
        <w:jc w:val="both"/>
        <w:rPr>
          <w:rFonts w:ascii="Arial" w:eastAsia="Arial" w:hAnsi="Arial" w:cs="Arial"/>
          <w:bCs/>
          <w:sz w:val="22"/>
          <w:szCs w:val="22"/>
        </w:rPr>
      </w:pPr>
      <w:bookmarkStart w:id="28" w:name="_3as4poj"/>
      <w:bookmarkStart w:id="29" w:name="_1pxezwc"/>
      <w:bookmarkEnd w:id="28"/>
      <w:bookmarkEnd w:id="29"/>
      <w:r w:rsidRPr="00691AAC">
        <w:rPr>
          <w:rFonts w:ascii="Arial" w:eastAsia="Arial" w:hAnsi="Arial" w:cs="Arial"/>
          <w:sz w:val="22"/>
          <w:szCs w:val="22"/>
        </w:rPr>
        <w:t xml:space="preserve">Por lo tanto, la restricción prevista en la Ley 996 de 2005, teniendo en cuenta la finalidad de la ley de garantías electorales, cobija a cualquier ente público que pueda a </w:t>
      </w:r>
      <w:r w:rsidRPr="00691AAC">
        <w:rPr>
          <w:rFonts w:ascii="Arial" w:eastAsia="Arial" w:hAnsi="Arial" w:cs="Arial"/>
          <w:sz w:val="22"/>
          <w:szCs w:val="22"/>
        </w:rPr>
        <w:lastRenderedPageBreak/>
        <w:t>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DCEB1A4" w14:textId="77777777" w:rsidR="00B40486" w:rsidRPr="00691AAC" w:rsidRDefault="00B40486" w:rsidP="00B40486">
      <w:pPr>
        <w:spacing w:before="120" w:line="276" w:lineRule="auto"/>
        <w:ind w:firstLine="709"/>
        <w:jc w:val="both"/>
        <w:rPr>
          <w:rFonts w:ascii="Arial" w:eastAsia="Arial" w:hAnsi="Arial" w:cs="Arial"/>
          <w:bCs/>
          <w:sz w:val="22"/>
          <w:szCs w:val="22"/>
        </w:rPr>
      </w:pPr>
      <w:bookmarkStart w:id="30" w:name="_49x2ik5"/>
      <w:bookmarkEnd w:id="30"/>
      <w:r w:rsidRPr="00691AAC">
        <w:rPr>
          <w:rFonts w:ascii="Arial" w:eastAsia="Arial" w:hAnsi="Arial" w:cs="Arial"/>
          <w:bCs/>
          <w:sz w:val="22"/>
          <w:szCs w:val="22"/>
        </w:rPr>
        <w:t xml:space="preserve">En este punto, debe tenerse en cuenta que los departamentos estarían cobijados por la prohibición para contratar directamente establecida en el artículo 33 de la Ley de Garantías. Sin embargo, es necesario señalar que el inciso 2 del mismo artículo consagra excepciones a dicha prohibición sin hacer distingo entre entidades </w:t>
      </w:r>
      <w:proofErr w:type="gramStart"/>
      <w:r w:rsidRPr="00691AAC">
        <w:rPr>
          <w:rFonts w:ascii="Arial" w:eastAsia="Arial" w:hAnsi="Arial" w:cs="Arial"/>
          <w:bCs/>
          <w:sz w:val="22"/>
          <w:szCs w:val="22"/>
        </w:rPr>
        <w:t>sino</w:t>
      </w:r>
      <w:proofErr w:type="gramEnd"/>
      <w:r w:rsidRPr="00691AAC">
        <w:rPr>
          <w:rFonts w:ascii="Arial" w:eastAsia="Arial" w:hAnsi="Arial" w:cs="Arial"/>
          <w:bCs/>
          <w:sz w:val="22"/>
          <w:szCs w:val="22"/>
        </w:rPr>
        <w:t>, como se explicó, atendiendo a la naturaleza de las funciones y actividades que ellas desarrollen. Así las cosas, no es relevante ni la nominación ni el régimen aplicable para la respectiva entidad, sino que basta con que la misma desarrolle cierto tipo de actividades cuya contratación, por su naturaleza especialmente sensible, no admiten postergación, entre ellas las realizadas por entidades sanitarias u hospitalarias.</w:t>
      </w:r>
    </w:p>
    <w:p w14:paraId="5D81C0A2" w14:textId="77777777" w:rsidR="00B40486" w:rsidRPr="00691AAC" w:rsidRDefault="00B40486" w:rsidP="00B40486">
      <w:pPr>
        <w:tabs>
          <w:tab w:val="left" w:pos="426"/>
        </w:tabs>
        <w:spacing w:before="120" w:line="276" w:lineRule="auto"/>
        <w:jc w:val="both"/>
        <w:rPr>
          <w:rFonts w:ascii="Arial" w:hAnsi="Arial" w:cs="Arial"/>
          <w:bCs/>
          <w:sz w:val="22"/>
          <w:lang w:val="es-ES_tradnl"/>
        </w:rPr>
      </w:pPr>
      <w:r w:rsidRPr="00691AAC">
        <w:rPr>
          <w:rFonts w:ascii="Arial" w:eastAsia="Arial" w:hAnsi="Arial" w:cs="Arial"/>
          <w:bCs/>
          <w:sz w:val="22"/>
          <w:szCs w:val="22"/>
        </w:rPr>
        <w:tab/>
      </w:r>
      <w:r w:rsidRPr="00691AAC">
        <w:rPr>
          <w:rFonts w:ascii="Arial" w:eastAsia="Arial" w:hAnsi="Arial" w:cs="Arial"/>
          <w:bCs/>
          <w:sz w:val="22"/>
          <w:szCs w:val="22"/>
        </w:rPr>
        <w:tab/>
        <w:t xml:space="preserve">Al respecto, es importante reiterar que </w:t>
      </w:r>
      <w:r w:rsidRPr="00691AAC">
        <w:rPr>
          <w:rFonts w:ascii="Arial" w:hAnsi="Arial" w:cs="Arial"/>
          <w:bCs/>
          <w:sz w:val="22"/>
          <w:lang w:val="es-ES_tradnl"/>
        </w:rPr>
        <w:t>el segundo inciso del artículo 33 de la Ley de Garantías Electorales consagró las excepciones aplicables a la prohibición de contratación directa establecida en el mismo artículo. Como se indicó, las excepciones a la prohibición del artículo 33 de la norma mencionada son las siguientes:</w:t>
      </w:r>
    </w:p>
    <w:p w14:paraId="55C801CF" w14:textId="77777777" w:rsidR="00B40486" w:rsidRPr="00691AAC" w:rsidRDefault="00B40486" w:rsidP="00B40486">
      <w:pPr>
        <w:tabs>
          <w:tab w:val="left" w:pos="709"/>
        </w:tabs>
        <w:spacing w:before="120" w:line="276" w:lineRule="auto"/>
        <w:jc w:val="both"/>
        <w:rPr>
          <w:rFonts w:ascii="Arial" w:hAnsi="Arial" w:cs="Arial"/>
          <w:bCs/>
          <w:sz w:val="22"/>
          <w:lang w:val="es-ES_tradnl"/>
        </w:rPr>
      </w:pPr>
      <w:r w:rsidRPr="00691AAC">
        <w:rPr>
          <w:rFonts w:ascii="Arial" w:hAnsi="Arial" w:cs="Arial"/>
          <w:bCs/>
          <w:sz w:val="22"/>
          <w:lang w:val="es-ES_tradnl"/>
        </w:rPr>
        <w:tab/>
        <w:t>i) La contratación referente a la defensa y seguridad del Estado;</w:t>
      </w:r>
    </w:p>
    <w:p w14:paraId="74FA3ECF" w14:textId="77777777" w:rsidR="00B40486" w:rsidRPr="00691AAC" w:rsidRDefault="00B40486" w:rsidP="00B40486">
      <w:pPr>
        <w:tabs>
          <w:tab w:val="left" w:pos="709"/>
        </w:tabs>
        <w:spacing w:before="120" w:line="276" w:lineRule="auto"/>
        <w:jc w:val="both"/>
        <w:rPr>
          <w:rFonts w:ascii="Arial" w:hAnsi="Arial" w:cs="Arial"/>
          <w:bCs/>
          <w:sz w:val="22"/>
          <w:lang w:val="es-ES_tradnl"/>
        </w:rPr>
      </w:pPr>
      <w:r w:rsidRPr="00691AAC">
        <w:rPr>
          <w:rFonts w:ascii="Arial" w:hAnsi="Arial" w:cs="Arial"/>
          <w:bCs/>
          <w:sz w:val="22"/>
          <w:lang w:val="es-ES_tradnl"/>
        </w:rPr>
        <w:tab/>
        <w:t>ii) Los contratos de crédito público;</w:t>
      </w:r>
    </w:p>
    <w:p w14:paraId="3F487885" w14:textId="77777777" w:rsidR="00B40486" w:rsidRPr="00691AAC" w:rsidRDefault="00B40486" w:rsidP="00B40486">
      <w:pPr>
        <w:tabs>
          <w:tab w:val="left" w:pos="709"/>
        </w:tabs>
        <w:spacing w:before="120" w:line="276" w:lineRule="auto"/>
        <w:jc w:val="both"/>
        <w:rPr>
          <w:rFonts w:ascii="Arial" w:hAnsi="Arial" w:cs="Arial"/>
          <w:bCs/>
          <w:sz w:val="22"/>
          <w:lang w:val="es-ES_tradnl"/>
        </w:rPr>
      </w:pPr>
      <w:r w:rsidRPr="00691AAC">
        <w:rPr>
          <w:rFonts w:ascii="Arial" w:hAnsi="Arial" w:cs="Arial"/>
          <w:bCs/>
          <w:sz w:val="22"/>
          <w:lang w:val="es-ES_tradnl"/>
        </w:rPr>
        <w:tab/>
        <w:t xml:space="preserve">iii) Los contratos requeridos para cubrir las emergencias educativas, sanitarias y desastres; </w:t>
      </w:r>
    </w:p>
    <w:p w14:paraId="5A4460C1" w14:textId="77777777" w:rsidR="00B40486" w:rsidRPr="00691AAC" w:rsidRDefault="00B40486" w:rsidP="00B40486">
      <w:pPr>
        <w:tabs>
          <w:tab w:val="left" w:pos="709"/>
        </w:tabs>
        <w:spacing w:before="120" w:line="276" w:lineRule="auto"/>
        <w:jc w:val="both"/>
        <w:rPr>
          <w:rFonts w:ascii="Arial" w:hAnsi="Arial" w:cs="Arial"/>
          <w:bCs/>
          <w:sz w:val="22"/>
          <w:lang w:val="es-ES_tradnl"/>
        </w:rPr>
      </w:pPr>
      <w:r w:rsidRPr="00691AAC">
        <w:rPr>
          <w:rFonts w:ascii="Arial" w:hAnsi="Arial" w:cs="Arial"/>
          <w:bCs/>
          <w:sz w:val="22"/>
          <w:lang w:val="es-ES_tradnl"/>
        </w:rPr>
        <w:tab/>
        <w:t>iv) La contratación para la reconstrucción de vías, puentes, carreteras, infraestructura energética y de comunicaciones, en caso de que hayan sido objeto de atentados, acciones terroristas, desastres naturales o casos de fuerza mayor y;</w:t>
      </w:r>
    </w:p>
    <w:p w14:paraId="0C40AF2C" w14:textId="77777777" w:rsidR="00B40486" w:rsidRPr="00691AAC" w:rsidRDefault="00B40486" w:rsidP="00B40486">
      <w:pPr>
        <w:tabs>
          <w:tab w:val="left" w:pos="709"/>
        </w:tabs>
        <w:spacing w:before="120" w:line="276" w:lineRule="auto"/>
        <w:jc w:val="both"/>
        <w:rPr>
          <w:rFonts w:ascii="Arial" w:hAnsi="Arial" w:cs="Arial"/>
          <w:bCs/>
          <w:sz w:val="22"/>
          <w:lang w:val="es-ES_tradnl"/>
        </w:rPr>
      </w:pPr>
      <w:r w:rsidRPr="00691AAC">
        <w:rPr>
          <w:rFonts w:ascii="Arial" w:hAnsi="Arial" w:cs="Arial"/>
          <w:bCs/>
          <w:sz w:val="22"/>
          <w:lang w:val="es-ES_tradnl"/>
        </w:rPr>
        <w:tab/>
        <w:t xml:space="preserve">v) La contratación que deban realizar las entidades sanitarias y hospitalarias. </w:t>
      </w:r>
    </w:p>
    <w:p w14:paraId="288CE368" w14:textId="77777777" w:rsidR="00B40486" w:rsidRPr="00691AAC" w:rsidRDefault="00B40486" w:rsidP="00B40486">
      <w:pPr>
        <w:tabs>
          <w:tab w:val="left" w:pos="426"/>
        </w:tabs>
        <w:spacing w:before="120" w:line="276" w:lineRule="auto"/>
        <w:ind w:firstLine="709"/>
        <w:jc w:val="both"/>
        <w:rPr>
          <w:rFonts w:ascii="Arial" w:hAnsi="Arial" w:cs="Arial"/>
          <w:bCs/>
          <w:sz w:val="22"/>
          <w:lang w:val="es-ES_tradnl"/>
        </w:rPr>
      </w:pPr>
      <w:r w:rsidRPr="00691AAC">
        <w:rPr>
          <w:rFonts w:ascii="Arial" w:hAnsi="Arial" w:cs="Arial"/>
          <w:bCs/>
          <w:sz w:val="22"/>
          <w:lang w:val="es-ES_tradnl"/>
        </w:rPr>
        <w:t xml:space="preserve">La Sala de Consulta y Servicio Civil del Consejo de Estado, en concepto del 4 de febrero de 2010, se pronunció frente a las razones por las que el legislador consagró excepciones al artículo 33 de la Ley de Garantías Electorales: </w:t>
      </w:r>
    </w:p>
    <w:p w14:paraId="3FFCDE01" w14:textId="77777777" w:rsidR="00B40486" w:rsidRPr="00691AAC" w:rsidRDefault="00B40486" w:rsidP="00B40486">
      <w:pPr>
        <w:tabs>
          <w:tab w:val="left" w:pos="426"/>
        </w:tabs>
        <w:ind w:firstLine="709"/>
        <w:jc w:val="both"/>
        <w:rPr>
          <w:rFonts w:ascii="Arial" w:hAnsi="Arial" w:cs="Arial"/>
          <w:bCs/>
          <w:sz w:val="22"/>
          <w:lang w:val="es-ES_tradnl"/>
        </w:rPr>
      </w:pPr>
    </w:p>
    <w:p w14:paraId="62DDA24E" w14:textId="77777777" w:rsidR="00B40486" w:rsidRPr="00691AAC" w:rsidRDefault="00B40486" w:rsidP="00B40486">
      <w:pPr>
        <w:shd w:val="clear" w:color="auto" w:fill="FFFFFF"/>
        <w:ind w:left="709" w:right="709"/>
        <w:jc w:val="both"/>
        <w:rPr>
          <w:rFonts w:ascii="Arial" w:hAnsi="Arial" w:cs="Arial"/>
          <w:sz w:val="21"/>
          <w:szCs w:val="21"/>
          <w:lang w:val="es-ES_tradnl" w:eastAsia="es-CO"/>
        </w:rPr>
      </w:pPr>
      <w:r w:rsidRPr="00691AAC">
        <w:rPr>
          <w:rFonts w:ascii="Arial" w:hAnsi="Arial" w:cs="Arial"/>
          <w:sz w:val="21"/>
          <w:szCs w:val="21"/>
          <w:lang w:val="es-ES_tradnl" w:eastAsia="es-CO"/>
        </w:rPr>
        <w:t xml:space="preserve">[…] Las excepciones establecidas en los artículos 32 y 33 en comento, guardan relación, exclusivamente, con algunos servicios públicos que por su naturaleza </w:t>
      </w:r>
      <w:r w:rsidRPr="00691AAC">
        <w:rPr>
          <w:rFonts w:ascii="Arial" w:hAnsi="Arial" w:cs="Arial"/>
          <w:sz w:val="21"/>
          <w:szCs w:val="21"/>
          <w:lang w:val="es-ES_tradnl" w:eastAsia="es-CO"/>
        </w:rPr>
        <w:lastRenderedPageBreak/>
        <w:t>no admiten postergaciones en la atención de sus necesidades de personal, bienes y servicios [...]</w:t>
      </w:r>
      <w:r w:rsidRPr="00691AAC">
        <w:rPr>
          <w:rStyle w:val="Refdenotaalpie"/>
          <w:rFonts w:ascii="Arial" w:hAnsi="Arial" w:cs="Arial"/>
          <w:sz w:val="21"/>
          <w:szCs w:val="21"/>
          <w:lang w:val="es-ES_tradnl" w:eastAsia="es-CO"/>
        </w:rPr>
        <w:footnoteReference w:id="22"/>
      </w:r>
      <w:r w:rsidRPr="00691AAC">
        <w:rPr>
          <w:rFonts w:ascii="Arial" w:hAnsi="Arial" w:cs="Arial"/>
          <w:sz w:val="21"/>
          <w:szCs w:val="21"/>
          <w:lang w:val="es-ES_tradnl" w:eastAsia="es-CO"/>
        </w:rPr>
        <w:t xml:space="preserve">. </w:t>
      </w:r>
    </w:p>
    <w:p w14:paraId="6BA87149" w14:textId="77777777" w:rsidR="00B40486" w:rsidRPr="00691AAC" w:rsidRDefault="00B40486" w:rsidP="00B40486">
      <w:pPr>
        <w:shd w:val="clear" w:color="auto" w:fill="FFFFFF"/>
        <w:spacing w:line="276" w:lineRule="auto"/>
        <w:ind w:left="709" w:right="709"/>
        <w:jc w:val="both"/>
        <w:rPr>
          <w:rFonts w:ascii="Arial" w:hAnsi="Arial" w:cs="Arial"/>
          <w:sz w:val="21"/>
          <w:szCs w:val="21"/>
          <w:lang w:val="es-ES_tradnl" w:eastAsia="es-CO"/>
        </w:rPr>
      </w:pPr>
    </w:p>
    <w:p w14:paraId="380EED63" w14:textId="77777777" w:rsidR="00B40486" w:rsidRPr="00691AAC" w:rsidRDefault="00B40486" w:rsidP="00B40486">
      <w:pPr>
        <w:shd w:val="clear" w:color="auto" w:fill="FFFFFF"/>
        <w:spacing w:line="276" w:lineRule="auto"/>
        <w:ind w:firstLine="709"/>
        <w:jc w:val="both"/>
        <w:rPr>
          <w:rFonts w:ascii="Arial" w:hAnsi="Arial" w:cs="Arial"/>
          <w:sz w:val="22"/>
          <w:lang w:val="es-ES_tradnl" w:eastAsia="es-CO"/>
        </w:rPr>
      </w:pPr>
      <w:r w:rsidRPr="00691AAC">
        <w:rPr>
          <w:rFonts w:ascii="Arial" w:hAnsi="Arial" w:cs="Arial"/>
          <w:sz w:val="22"/>
          <w:lang w:val="es-ES_tradnl" w:eastAsia="es-CO"/>
        </w:rPr>
        <w:t>A su vez, la Corte Constitucional, al analizar la constitucionalidad de la Ley de Garantías Electorales, consideró que las prohibiciones consagradas en los artículos 32 y 33 de la ley mencionada no pueden ir en detrimento de intereses públicos. Por lo anterior, la Alta Corte consideró que las excepciones para la prohibición de contratación se encontraban justificadas, declarando su exequibilidad. Así, por ejemplo, la Corte Constitucional explicó que «las excepciones de limitación protegen diversos tipos de urgencias de defensa, salud, educación, infraestructura vial y de servicios públicos y ecológicas tienden a no limitar desproporcionadamente la acción del Estado en el cumplimiento de sus fines, en procura de la igualdad entre candidatos como garantía electoral»</w:t>
      </w:r>
      <w:r w:rsidRPr="00691AAC">
        <w:rPr>
          <w:rStyle w:val="Refdenotaalpie"/>
          <w:rFonts w:ascii="Arial" w:hAnsi="Arial" w:cs="Arial"/>
          <w:sz w:val="22"/>
          <w:lang w:val="es-ES_tradnl" w:eastAsia="es-CO"/>
        </w:rPr>
        <w:footnoteReference w:id="23"/>
      </w:r>
      <w:r w:rsidRPr="00691AAC">
        <w:rPr>
          <w:rFonts w:ascii="Arial" w:hAnsi="Arial" w:cs="Arial"/>
          <w:sz w:val="22"/>
          <w:lang w:val="es-ES_tradnl" w:eastAsia="es-CO"/>
        </w:rPr>
        <w:t xml:space="preserve">. </w:t>
      </w:r>
    </w:p>
    <w:p w14:paraId="2FB5D026" w14:textId="77777777" w:rsidR="00B40486" w:rsidRPr="00691AAC" w:rsidRDefault="00B40486" w:rsidP="00B40486">
      <w:pPr>
        <w:tabs>
          <w:tab w:val="left" w:pos="426"/>
        </w:tabs>
        <w:spacing w:before="120" w:line="276" w:lineRule="auto"/>
        <w:ind w:firstLine="709"/>
        <w:jc w:val="both"/>
        <w:rPr>
          <w:rFonts w:ascii="Arial" w:hAnsi="Arial" w:cs="Arial"/>
          <w:sz w:val="22"/>
          <w:lang w:val="es-ES_tradnl" w:eastAsia="es-ES_tradnl"/>
        </w:rPr>
      </w:pPr>
      <w:r w:rsidRPr="00691AAC">
        <w:rPr>
          <w:rFonts w:ascii="Arial" w:hAnsi="Arial" w:cs="Arial"/>
          <w:bCs/>
          <w:sz w:val="22"/>
          <w:lang w:val="es-ES_tradnl"/>
        </w:rPr>
        <w:t>Por tanto, las excepciones a la prohibición contenida en el inciso segundo de artículo 33 de la ley de garantías electorales tienen por finalidad garantizar la prestación ininterrumpida de algunos servicios públicos, que dada su importancia en el orden interno, se verían irrazonablemente afectados por la restricción explicada. De igual forma, la Sala de Consulta y Servicio Civil del Consejo de Estado, en concepto del 2 de septiembre de 2013</w:t>
      </w:r>
      <w:r w:rsidRPr="00691AAC">
        <w:rPr>
          <w:rFonts w:ascii="Arial" w:hAnsi="Arial" w:cs="Arial"/>
          <w:sz w:val="22"/>
          <w:lang w:val="es-ES_tradnl"/>
        </w:rPr>
        <w:t xml:space="preserve">, mencionó las excepciones a la prohibición del artículo 33 de la Ley de Garantías Electorales, resaltando el carácter taxativo de la regla de excepción referida, y señalando la independencia de los supuestos establecidos allí, así: </w:t>
      </w:r>
    </w:p>
    <w:p w14:paraId="6CFF0BD5" w14:textId="77777777" w:rsidR="00B40486" w:rsidRPr="00691AAC" w:rsidRDefault="00B40486" w:rsidP="00B40486">
      <w:pPr>
        <w:tabs>
          <w:tab w:val="left" w:pos="426"/>
        </w:tabs>
        <w:spacing w:line="276" w:lineRule="auto"/>
        <w:ind w:firstLine="709"/>
        <w:jc w:val="both"/>
        <w:rPr>
          <w:rFonts w:ascii="Arial" w:hAnsi="Arial" w:cs="Arial"/>
          <w:bCs/>
          <w:sz w:val="22"/>
          <w:lang w:val="es-ES_tradnl"/>
        </w:rPr>
      </w:pPr>
    </w:p>
    <w:p w14:paraId="0F75D5E8" w14:textId="77777777" w:rsidR="00B40486" w:rsidRPr="00691AAC" w:rsidRDefault="00B40486" w:rsidP="001F21B5">
      <w:pPr>
        <w:tabs>
          <w:tab w:val="left" w:pos="426"/>
        </w:tabs>
        <w:ind w:right="709"/>
        <w:jc w:val="both"/>
        <w:rPr>
          <w:rFonts w:ascii="Arial" w:hAnsi="Arial" w:cs="Arial"/>
          <w:sz w:val="21"/>
          <w:szCs w:val="21"/>
          <w:lang w:val="es-ES_tradnl"/>
        </w:rPr>
      </w:pPr>
      <w:r w:rsidRPr="00691AAC">
        <w:rPr>
          <w:rFonts w:ascii="Arial" w:hAnsi="Arial" w:cs="Arial"/>
          <w:sz w:val="21"/>
          <w:szCs w:val="21"/>
          <w:lang w:val="es-ES_tradnl"/>
        </w:rPr>
        <w:tab/>
      </w:r>
      <w:r w:rsidRPr="00691AAC">
        <w:rPr>
          <w:rFonts w:ascii="Arial" w:hAnsi="Arial" w:cs="Arial"/>
          <w:sz w:val="21"/>
          <w:szCs w:val="21"/>
          <w:lang w:val="es-ES_tradnl"/>
        </w:rPr>
        <w:tab/>
        <w:t>[…]</w:t>
      </w:r>
    </w:p>
    <w:p w14:paraId="369BCB92" w14:textId="77777777" w:rsidR="00B40486" w:rsidRPr="00691AAC" w:rsidRDefault="00B40486" w:rsidP="001F21B5">
      <w:pPr>
        <w:tabs>
          <w:tab w:val="left" w:pos="426"/>
        </w:tabs>
        <w:ind w:right="709"/>
        <w:jc w:val="both"/>
        <w:rPr>
          <w:rFonts w:ascii="Arial" w:hAnsi="Arial" w:cs="Arial"/>
          <w:sz w:val="21"/>
          <w:szCs w:val="21"/>
          <w:lang w:val="es-ES_tradnl"/>
        </w:rPr>
      </w:pPr>
    </w:p>
    <w:p w14:paraId="11DD72EA" w14:textId="77777777" w:rsidR="00B40486" w:rsidRPr="00691AAC" w:rsidRDefault="00B40486" w:rsidP="001F21B5">
      <w:pPr>
        <w:ind w:left="709" w:right="709"/>
        <w:jc w:val="both"/>
        <w:rPr>
          <w:rFonts w:ascii="Arial" w:hAnsi="Arial" w:cs="Arial"/>
          <w:i/>
          <w:sz w:val="21"/>
          <w:szCs w:val="21"/>
          <w:lang w:val="es-ES_tradnl"/>
        </w:rPr>
      </w:pPr>
      <w:r w:rsidRPr="00691AAC">
        <w:rPr>
          <w:rFonts w:ascii="Arial" w:hAnsi="Arial" w:cs="Arial"/>
          <w:i/>
          <w:sz w:val="21"/>
          <w:szCs w:val="21"/>
          <w:lang w:val="es-ES_tradnl"/>
        </w:rPr>
        <w:t>Las excepciones aplicables a la restricción de contratación pública</w:t>
      </w:r>
    </w:p>
    <w:p w14:paraId="778E2A6F" w14:textId="77777777" w:rsidR="00B40486" w:rsidRPr="00691AAC" w:rsidRDefault="00B40486" w:rsidP="001F21B5">
      <w:pPr>
        <w:ind w:left="709" w:right="709"/>
        <w:jc w:val="both"/>
        <w:rPr>
          <w:rFonts w:ascii="Arial" w:hAnsi="Arial" w:cs="Arial"/>
          <w:i/>
          <w:sz w:val="21"/>
          <w:szCs w:val="21"/>
          <w:lang w:val="es-ES_tradnl"/>
        </w:rPr>
      </w:pPr>
    </w:p>
    <w:p w14:paraId="23FEE3B4" w14:textId="77777777" w:rsidR="00B40486" w:rsidRPr="00691AAC" w:rsidRDefault="00B40486" w:rsidP="001F21B5">
      <w:pPr>
        <w:ind w:left="709" w:right="709"/>
        <w:jc w:val="both"/>
        <w:rPr>
          <w:rFonts w:ascii="Arial" w:hAnsi="Arial" w:cs="Arial"/>
          <w:sz w:val="21"/>
          <w:szCs w:val="21"/>
          <w:shd w:val="clear" w:color="auto" w:fill="FFFFFF"/>
          <w:lang w:val="es-ES_tradnl"/>
        </w:rPr>
      </w:pPr>
      <w:r w:rsidRPr="00691AAC">
        <w:rPr>
          <w:rFonts w:ascii="Arial" w:hAnsi="Arial" w:cs="Arial"/>
          <w:sz w:val="21"/>
          <w:szCs w:val="21"/>
          <w:shd w:val="clear" w:color="auto" w:fill="FFFFFF"/>
          <w:lang w:val="es-ES_tradnl"/>
        </w:rPr>
        <w:t>Ahora bien, las únicas excepciones a las disposiciones previstas en la Ley de Garantías se encuentran numeradas taxativamente en el último inciso del artículo 33 de la ley 996 de 2005, dentro de las que se encuentran:</w:t>
      </w:r>
    </w:p>
    <w:p w14:paraId="04724224" w14:textId="77777777" w:rsidR="00B40486" w:rsidRPr="00691AAC" w:rsidRDefault="00B40486" w:rsidP="001F21B5">
      <w:pPr>
        <w:ind w:left="709" w:right="709"/>
        <w:jc w:val="both"/>
        <w:rPr>
          <w:rFonts w:ascii="Arial" w:hAnsi="Arial" w:cs="Arial"/>
          <w:sz w:val="21"/>
          <w:szCs w:val="21"/>
          <w:shd w:val="clear" w:color="auto" w:fill="FFFFFF"/>
          <w:lang w:val="es-ES_tradnl"/>
        </w:rPr>
      </w:pPr>
    </w:p>
    <w:p w14:paraId="2E601913" w14:textId="77777777" w:rsidR="00B40486" w:rsidRPr="00691AAC" w:rsidRDefault="00B40486" w:rsidP="001F21B5">
      <w:pPr>
        <w:ind w:left="709" w:right="709"/>
        <w:jc w:val="both"/>
        <w:rPr>
          <w:rFonts w:ascii="Arial" w:hAnsi="Arial" w:cs="Arial"/>
          <w:sz w:val="21"/>
          <w:szCs w:val="21"/>
          <w:shd w:val="clear" w:color="auto" w:fill="FFFFFF"/>
          <w:lang w:val="es-ES_tradnl"/>
        </w:rPr>
      </w:pPr>
      <w:r w:rsidRPr="00691AAC">
        <w:rPr>
          <w:rFonts w:ascii="Arial" w:hAnsi="Arial" w:cs="Arial"/>
          <w:sz w:val="21"/>
          <w:szCs w:val="21"/>
          <w:shd w:val="clear" w:color="auto" w:fill="FFFFFF"/>
          <w:lang w:val="es-ES_tradnl"/>
        </w:rPr>
        <w:t xml:space="preserve">[…] </w:t>
      </w:r>
    </w:p>
    <w:p w14:paraId="37AEB802" w14:textId="77777777" w:rsidR="00B40486" w:rsidRPr="00691AAC" w:rsidRDefault="00B40486" w:rsidP="001F21B5">
      <w:pPr>
        <w:ind w:left="709" w:right="709"/>
        <w:jc w:val="both"/>
        <w:rPr>
          <w:rFonts w:ascii="Arial" w:hAnsi="Arial" w:cs="Arial"/>
          <w:sz w:val="21"/>
          <w:szCs w:val="21"/>
          <w:shd w:val="clear" w:color="auto" w:fill="FFFFFF"/>
          <w:lang w:val="es-ES_tradnl"/>
        </w:rPr>
      </w:pPr>
    </w:p>
    <w:p w14:paraId="44D5F0DB" w14:textId="77777777" w:rsidR="00B40486" w:rsidRPr="00691AAC" w:rsidRDefault="00B40486" w:rsidP="001F21B5">
      <w:pPr>
        <w:ind w:left="709" w:right="709"/>
        <w:jc w:val="both"/>
        <w:rPr>
          <w:rFonts w:ascii="Arial" w:hAnsi="Arial" w:cs="Arial"/>
          <w:sz w:val="21"/>
          <w:szCs w:val="21"/>
          <w:shd w:val="clear" w:color="auto" w:fill="FFFFFF"/>
          <w:lang w:val="es-ES_tradnl"/>
        </w:rPr>
      </w:pPr>
      <w:r w:rsidRPr="00691AAC">
        <w:rPr>
          <w:rFonts w:ascii="Arial" w:hAnsi="Arial" w:cs="Arial"/>
          <w:sz w:val="21"/>
          <w:szCs w:val="21"/>
          <w:shd w:val="clear" w:color="auto" w:fill="FFFFFF"/>
          <w:lang w:val="es-ES_tradnl"/>
        </w:rPr>
        <w:lastRenderedPageBreak/>
        <w:t>5. Los que deban realizar las entidades sanitarias y hospitalarias […]</w:t>
      </w:r>
      <w:r w:rsidRPr="00691AAC">
        <w:rPr>
          <w:rStyle w:val="Refdenotaalpie"/>
          <w:rFonts w:ascii="Arial" w:hAnsi="Arial" w:cs="Arial"/>
          <w:sz w:val="21"/>
          <w:szCs w:val="21"/>
          <w:shd w:val="clear" w:color="auto" w:fill="FFFFFF"/>
          <w:lang w:val="es-ES_tradnl"/>
        </w:rPr>
        <w:footnoteReference w:id="24"/>
      </w:r>
      <w:r w:rsidRPr="00691AAC">
        <w:rPr>
          <w:rFonts w:ascii="Arial" w:hAnsi="Arial" w:cs="Arial"/>
          <w:sz w:val="21"/>
          <w:szCs w:val="21"/>
          <w:shd w:val="clear" w:color="auto" w:fill="FFFFFF"/>
          <w:lang w:val="es-ES_tradnl"/>
        </w:rPr>
        <w:t>.</w:t>
      </w:r>
    </w:p>
    <w:p w14:paraId="5E85CA03" w14:textId="77777777" w:rsidR="00B40486" w:rsidRPr="00691AAC" w:rsidRDefault="00B40486" w:rsidP="00B40486">
      <w:pPr>
        <w:spacing w:line="276" w:lineRule="auto"/>
        <w:ind w:left="709" w:right="709"/>
        <w:jc w:val="both"/>
        <w:rPr>
          <w:rFonts w:ascii="Arial" w:hAnsi="Arial" w:cs="Arial"/>
          <w:sz w:val="21"/>
          <w:szCs w:val="21"/>
          <w:shd w:val="clear" w:color="auto" w:fill="FFFFFF"/>
          <w:lang w:val="es-ES_tradnl"/>
        </w:rPr>
      </w:pPr>
    </w:p>
    <w:p w14:paraId="4DA3C7BB" w14:textId="249C7CEE" w:rsidR="00B40486" w:rsidRPr="00691AAC" w:rsidRDefault="00B40486" w:rsidP="00B40486">
      <w:pPr>
        <w:tabs>
          <w:tab w:val="left" w:pos="426"/>
        </w:tabs>
        <w:spacing w:line="276" w:lineRule="auto"/>
        <w:ind w:firstLine="709"/>
        <w:jc w:val="both"/>
        <w:rPr>
          <w:rFonts w:ascii="Arial" w:hAnsi="Arial" w:cs="Arial"/>
          <w:bCs/>
          <w:sz w:val="22"/>
          <w:lang w:val="es-ES_tradnl"/>
        </w:rPr>
      </w:pPr>
      <w:r w:rsidRPr="00691AAC">
        <w:rPr>
          <w:rFonts w:ascii="Arial" w:hAnsi="Arial" w:cs="Arial"/>
          <w:bCs/>
          <w:sz w:val="22"/>
          <w:lang w:val="es-ES_tradnl"/>
        </w:rPr>
        <w:t>Lo anterior implica que las excepciones al artículo 33 en comento deben interpretarse y aplicarse manera restrictiva. En otras palabras, que no sería factible hacer interpretaciones extensivas</w:t>
      </w:r>
      <w:r w:rsidRPr="00691AAC">
        <w:rPr>
          <w:rFonts w:ascii="Arial" w:hAnsi="Arial" w:cs="Arial"/>
          <w:bCs/>
          <w:i/>
          <w:iCs/>
          <w:sz w:val="22"/>
          <w:lang w:val="es-ES_tradnl"/>
        </w:rPr>
        <w:t xml:space="preserve"> </w:t>
      </w:r>
      <w:r w:rsidRPr="00691AAC">
        <w:rPr>
          <w:rFonts w:ascii="Arial" w:hAnsi="Arial" w:cs="Arial"/>
          <w:bCs/>
          <w:sz w:val="22"/>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58E4B689" w14:textId="17AF48CB" w:rsidR="001F5F41" w:rsidRPr="00691AAC" w:rsidRDefault="001F5F41" w:rsidP="001F5F41">
      <w:pPr>
        <w:tabs>
          <w:tab w:val="left" w:pos="426"/>
        </w:tabs>
        <w:spacing w:before="120" w:line="276" w:lineRule="auto"/>
        <w:ind w:firstLine="709"/>
        <w:jc w:val="both"/>
        <w:rPr>
          <w:rFonts w:ascii="Arial" w:hAnsi="Arial" w:cs="Arial"/>
          <w:bCs/>
          <w:sz w:val="22"/>
          <w:lang w:val="es-ES_tradnl"/>
        </w:rPr>
      </w:pPr>
      <w:r w:rsidRPr="00691AAC">
        <w:rPr>
          <w:rFonts w:ascii="Arial" w:hAnsi="Arial" w:cs="Arial"/>
          <w:bCs/>
          <w:sz w:val="22"/>
          <w:lang w:val="es-ES_tradnl"/>
        </w:rPr>
        <w:t>Para efectos de la consulta es relevante el quinto evento</w:t>
      </w:r>
      <w:r w:rsidRPr="00691AAC">
        <w:rPr>
          <w:rFonts w:ascii="Arial" w:hAnsi="Arial" w:cs="Arial"/>
          <w:bCs/>
          <w:i/>
          <w:sz w:val="22"/>
          <w:lang w:val="es-ES_tradnl"/>
        </w:rPr>
        <w:t xml:space="preserve"> </w:t>
      </w:r>
      <w:r w:rsidRPr="00691AAC">
        <w:rPr>
          <w:rFonts w:ascii="Arial" w:hAnsi="Arial" w:cs="Arial"/>
          <w:bCs/>
          <w:iCs/>
          <w:sz w:val="22"/>
          <w:lang w:val="es-ES_tradnl"/>
        </w:rPr>
        <w:t xml:space="preserve">exceptuado de la prohibición, relacionado con la contratación por parte de las </w:t>
      </w:r>
      <w:r w:rsidRPr="00691AAC">
        <w:rPr>
          <w:rFonts w:ascii="Arial" w:hAnsi="Arial" w:cs="Arial"/>
          <w:bCs/>
          <w:i/>
          <w:iCs/>
          <w:sz w:val="22"/>
          <w:lang w:val="es-ES_tradnl"/>
        </w:rPr>
        <w:t>entidades sanitarias y hospitalarias</w:t>
      </w:r>
      <w:r w:rsidRPr="00691AAC">
        <w:rPr>
          <w:rFonts w:ascii="Arial" w:hAnsi="Arial" w:cs="Arial"/>
          <w:bCs/>
          <w:sz w:val="22"/>
          <w:lang w:val="es-ES_tradnl"/>
        </w:rPr>
        <w:t xml:space="preserve">. La aplicación de esta excepción a la restricción impuesta como regla general por el primer inciso del artículo 33, permite que las entidades sanitarias y hospitalarias, ante la importancia de los servicios que prestan para el grueso de la ciudadanía, puedan seguir realizando las compras y adquisiciones que requieren para prestarlos, incluso de manera directa, durante los periodos prelectorales, con lo que se busca garantizar que el interés público no se vea afectado por el rigor de la regla general. </w:t>
      </w:r>
    </w:p>
    <w:p w14:paraId="593B7A10" w14:textId="7A40F843" w:rsidR="001F5F41" w:rsidRPr="00691AAC" w:rsidRDefault="00C843D2" w:rsidP="001F5F41">
      <w:pPr>
        <w:tabs>
          <w:tab w:val="left" w:pos="426"/>
        </w:tabs>
        <w:spacing w:before="120" w:line="276" w:lineRule="auto"/>
        <w:ind w:firstLine="709"/>
        <w:jc w:val="both"/>
        <w:rPr>
          <w:rFonts w:ascii="Arial" w:eastAsia="Arial" w:hAnsi="Arial" w:cs="Arial"/>
          <w:bCs/>
          <w:sz w:val="22"/>
          <w:szCs w:val="22"/>
        </w:rPr>
      </w:pPr>
      <w:r w:rsidRPr="00691AAC">
        <w:rPr>
          <w:rFonts w:ascii="Arial" w:hAnsi="Arial" w:cs="Arial"/>
          <w:bCs/>
          <w:sz w:val="22"/>
          <w:lang w:val="es-ES_tradnl"/>
        </w:rPr>
        <w:t>E</w:t>
      </w:r>
      <w:r w:rsidR="001F5F41" w:rsidRPr="00691AAC">
        <w:rPr>
          <w:rFonts w:ascii="Arial" w:hAnsi="Arial" w:cs="Arial"/>
          <w:bCs/>
          <w:sz w:val="22"/>
          <w:lang w:val="es-ES_tradnl"/>
        </w:rPr>
        <w:t xml:space="preserve">l alcance de esta excepción está determinado por la prestación de servicios sanitarios y hospitalarios, </w:t>
      </w:r>
      <w:r w:rsidRPr="00691AAC">
        <w:rPr>
          <w:rFonts w:ascii="Arial" w:hAnsi="Arial" w:cs="Arial"/>
          <w:bCs/>
          <w:sz w:val="22"/>
          <w:lang w:val="es-ES_tradnl"/>
        </w:rPr>
        <w:t>por lo que son</w:t>
      </w:r>
      <w:r w:rsidR="001F5F41" w:rsidRPr="00691AAC">
        <w:rPr>
          <w:rFonts w:ascii="Arial" w:hAnsi="Arial" w:cs="Arial"/>
          <w:bCs/>
          <w:sz w:val="22"/>
          <w:lang w:val="es-ES_tradnl"/>
        </w:rPr>
        <w:t xml:space="preserve"> las entidades públicas directamente encargadas de prestar estos servicios quienes estarían cobijadas por la excepción.</w:t>
      </w:r>
      <w:r w:rsidR="004102D2">
        <w:rPr>
          <w:rFonts w:ascii="Arial" w:hAnsi="Arial" w:cs="Arial"/>
          <w:bCs/>
          <w:sz w:val="22"/>
          <w:lang w:val="es-ES_tradnl"/>
        </w:rPr>
        <w:t xml:space="preserve"> </w:t>
      </w:r>
      <w:r w:rsidR="001F5F41" w:rsidRPr="00691AAC">
        <w:rPr>
          <w:rFonts w:ascii="Arial" w:eastAsia="Arial" w:hAnsi="Arial" w:cs="Arial"/>
          <w:bCs/>
          <w:sz w:val="22"/>
          <w:szCs w:val="22"/>
        </w:rPr>
        <w:t>Al respecto conviene diferenciar los conceptos de entidad sanitaria y autoridad sanitar</w:t>
      </w:r>
      <w:r w:rsidR="004102D2">
        <w:rPr>
          <w:rFonts w:ascii="Arial" w:eastAsia="Arial" w:hAnsi="Arial" w:cs="Arial"/>
          <w:bCs/>
          <w:sz w:val="22"/>
          <w:szCs w:val="22"/>
        </w:rPr>
        <w:t>i</w:t>
      </w:r>
      <w:r w:rsidR="001F5F41" w:rsidRPr="00691AAC">
        <w:rPr>
          <w:rFonts w:ascii="Arial" w:eastAsia="Arial" w:hAnsi="Arial" w:cs="Arial"/>
          <w:bCs/>
          <w:sz w:val="22"/>
          <w:szCs w:val="22"/>
        </w:rPr>
        <w:t xml:space="preserve">a, ya que, en efecto, el artículo 2.8.8.1.1.3 del Decreto 780 de 2016, «Por medio del cual se expide el Decreto Único Reglamentario del Sector Salud y Protección Social», define las </w:t>
      </w:r>
      <w:r w:rsidR="001F5F41" w:rsidRPr="00691AAC">
        <w:rPr>
          <w:rFonts w:ascii="Arial" w:eastAsia="Arial" w:hAnsi="Arial" w:cs="Arial"/>
          <w:bCs/>
          <w:i/>
          <w:iCs/>
          <w:sz w:val="22"/>
          <w:szCs w:val="22"/>
        </w:rPr>
        <w:t>entidades sanitarias</w:t>
      </w:r>
      <w:r w:rsidR="001F5F41" w:rsidRPr="00691AAC">
        <w:rPr>
          <w:rFonts w:ascii="Arial" w:eastAsia="Arial" w:hAnsi="Arial" w:cs="Arial"/>
          <w:bCs/>
          <w:sz w:val="22"/>
          <w:szCs w:val="22"/>
        </w:rPr>
        <w:t xml:space="preserve"> como «Entidades del Estado que prestan servicios sanitarios o de sanidad con el propósito de preservar la salud humana y la salud pública», mientras que a las </w:t>
      </w:r>
      <w:r w:rsidR="001F5F41" w:rsidRPr="00691AAC">
        <w:rPr>
          <w:rFonts w:ascii="Arial" w:eastAsia="Arial" w:hAnsi="Arial" w:cs="Arial"/>
          <w:bCs/>
          <w:i/>
          <w:iCs/>
          <w:sz w:val="22"/>
          <w:szCs w:val="22"/>
        </w:rPr>
        <w:t>autoridades sanitarias</w:t>
      </w:r>
      <w:r w:rsidR="001F5F41" w:rsidRPr="00691AAC">
        <w:rPr>
          <w:rFonts w:ascii="Arial" w:eastAsia="Arial" w:hAnsi="Arial" w:cs="Arial"/>
          <w:bCs/>
          <w:sz w:val="22"/>
          <w:szCs w:val="22"/>
        </w:rPr>
        <w:t xml:space="preserve"> como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w:t>
      </w:r>
      <w:r w:rsidR="001F5F41" w:rsidRPr="00691AAC">
        <w:rPr>
          <w:rStyle w:val="Refdenotaalpie"/>
          <w:rFonts w:ascii="Arial" w:eastAsia="Arial" w:hAnsi="Arial" w:cs="Arial"/>
          <w:bCs/>
          <w:sz w:val="22"/>
          <w:szCs w:val="22"/>
        </w:rPr>
        <w:footnoteReference w:id="25"/>
      </w:r>
      <w:r w:rsidR="001F5F41" w:rsidRPr="00691AAC">
        <w:rPr>
          <w:rFonts w:ascii="Arial" w:eastAsia="Arial" w:hAnsi="Arial" w:cs="Arial"/>
          <w:bCs/>
          <w:sz w:val="22"/>
          <w:szCs w:val="22"/>
        </w:rPr>
        <w:t>.</w:t>
      </w:r>
    </w:p>
    <w:p w14:paraId="59C69EEA" w14:textId="56C333FE" w:rsidR="001F5F41" w:rsidRPr="00691AAC" w:rsidRDefault="001F5F41" w:rsidP="001F5F41">
      <w:pPr>
        <w:tabs>
          <w:tab w:val="left" w:pos="426"/>
        </w:tabs>
        <w:spacing w:before="120" w:after="120" w:line="276" w:lineRule="auto"/>
        <w:ind w:firstLine="709"/>
        <w:jc w:val="both"/>
        <w:rPr>
          <w:rFonts w:ascii="Arial" w:eastAsia="Arial" w:hAnsi="Arial" w:cs="Arial"/>
          <w:bCs/>
          <w:sz w:val="22"/>
          <w:szCs w:val="22"/>
          <w:lang w:val="es-ES_tradnl"/>
        </w:rPr>
      </w:pPr>
      <w:r w:rsidRPr="00691AAC">
        <w:rPr>
          <w:rFonts w:ascii="Arial" w:eastAsia="Arial" w:hAnsi="Arial" w:cs="Arial"/>
          <w:bCs/>
          <w:sz w:val="22"/>
          <w:szCs w:val="22"/>
        </w:rPr>
        <w:lastRenderedPageBreak/>
        <w:t xml:space="preserve">Vistas las anteriores definiciones, es necesario tener en cuenta que la excepción del artículo 33 de la Ley de Garantías solo aplica a las </w:t>
      </w:r>
      <w:r w:rsidRPr="00691AAC">
        <w:rPr>
          <w:rFonts w:ascii="Arial" w:eastAsia="Arial" w:hAnsi="Arial" w:cs="Arial"/>
          <w:bCs/>
          <w:i/>
          <w:iCs/>
          <w:sz w:val="22"/>
          <w:szCs w:val="22"/>
        </w:rPr>
        <w:t>entidades sanitarias</w:t>
      </w:r>
      <w:r w:rsidRPr="00691AAC">
        <w:rPr>
          <w:rFonts w:ascii="Arial" w:eastAsia="Arial" w:hAnsi="Arial" w:cs="Arial"/>
          <w:bCs/>
          <w:sz w:val="22"/>
          <w:szCs w:val="22"/>
        </w:rPr>
        <w:t xml:space="preserve">, no a las </w:t>
      </w:r>
      <w:r w:rsidRPr="00691AAC">
        <w:rPr>
          <w:rFonts w:ascii="Arial" w:eastAsia="Arial" w:hAnsi="Arial" w:cs="Arial"/>
          <w:bCs/>
          <w:i/>
          <w:iCs/>
          <w:sz w:val="22"/>
          <w:szCs w:val="22"/>
        </w:rPr>
        <w:t>autoridades sanitarias</w:t>
      </w:r>
      <w:r w:rsidRPr="00691AAC">
        <w:rPr>
          <w:rFonts w:ascii="Arial" w:eastAsia="Arial" w:hAnsi="Arial" w:cs="Arial"/>
          <w:bCs/>
          <w:sz w:val="22"/>
          <w:szCs w:val="22"/>
        </w:rPr>
        <w:t>. Esto por cuanto,</w:t>
      </w:r>
      <w:r w:rsidRPr="00691AAC">
        <w:rPr>
          <w:rFonts w:ascii="Arial" w:eastAsia="Arial" w:hAnsi="Arial" w:cs="Arial"/>
          <w:bCs/>
          <w:sz w:val="22"/>
          <w:szCs w:val="22"/>
          <w:lang w:val="es-ES_tradnl"/>
        </w:rPr>
        <w:t xml:space="preserve"> para efectos de la excepción del artículo 33 es indiferente que la entidad estatal tenga funciones de </w:t>
      </w:r>
      <w:r w:rsidRPr="00691AAC">
        <w:rPr>
          <w:rFonts w:ascii="Arial" w:eastAsia="Arial" w:hAnsi="Arial" w:cs="Arial"/>
          <w:bCs/>
          <w:i/>
          <w:iCs/>
          <w:sz w:val="22"/>
          <w:szCs w:val="22"/>
          <w:lang w:val="es-ES_tradnl"/>
        </w:rPr>
        <w:t>autoridad sanitaria</w:t>
      </w:r>
      <w:r w:rsidRPr="00691AAC">
        <w:rPr>
          <w:rFonts w:ascii="Arial" w:eastAsia="Arial" w:hAnsi="Arial" w:cs="Arial"/>
          <w:bCs/>
          <w:sz w:val="22"/>
          <w:szCs w:val="22"/>
          <w:lang w:val="es-ES_tradnl"/>
        </w:rPr>
        <w:t xml:space="preserve">, pues lo relevante para determinar si la contratación está exceptuada de la prohibición general no es el carácter de autoridad sanitaria, sino que se trate de una </w:t>
      </w:r>
      <w:r w:rsidRPr="00691AAC">
        <w:rPr>
          <w:rFonts w:ascii="Arial" w:eastAsia="Arial" w:hAnsi="Arial" w:cs="Arial"/>
          <w:bCs/>
          <w:i/>
          <w:iCs/>
          <w:sz w:val="22"/>
          <w:szCs w:val="22"/>
          <w:lang w:val="es-ES_tradnl"/>
        </w:rPr>
        <w:t>entidad sanitaria</w:t>
      </w:r>
      <w:r w:rsidRPr="00691AAC">
        <w:rPr>
          <w:rFonts w:ascii="Arial" w:eastAsia="Arial" w:hAnsi="Arial" w:cs="Arial"/>
          <w:bCs/>
          <w:sz w:val="22"/>
          <w:szCs w:val="22"/>
          <w:lang w:val="es-ES_tradnl"/>
        </w:rPr>
        <w:t xml:space="preserve">. </w:t>
      </w:r>
    </w:p>
    <w:p w14:paraId="44492C22" w14:textId="75397EBE" w:rsidR="0086121D" w:rsidRPr="00691AAC" w:rsidRDefault="000636F3" w:rsidP="000636F3">
      <w:pPr>
        <w:tabs>
          <w:tab w:val="left" w:pos="426"/>
        </w:tabs>
        <w:spacing w:before="120" w:after="120" w:line="276" w:lineRule="auto"/>
        <w:jc w:val="both"/>
        <w:rPr>
          <w:rFonts w:ascii="Arial" w:eastAsia="Calibri" w:hAnsi="Arial" w:cs="Arial"/>
          <w:sz w:val="22"/>
        </w:rPr>
      </w:pPr>
      <w:r w:rsidRPr="00691AAC">
        <w:rPr>
          <w:rFonts w:ascii="Arial" w:eastAsia="Calibri" w:hAnsi="Arial" w:cs="Arial"/>
          <w:sz w:val="22"/>
        </w:rPr>
        <w:tab/>
      </w:r>
      <w:r w:rsidRPr="00691AAC">
        <w:rPr>
          <w:rFonts w:ascii="Arial" w:eastAsia="Calibri" w:hAnsi="Arial" w:cs="Arial"/>
          <w:sz w:val="22"/>
        </w:rPr>
        <w:tab/>
        <w:t>De acuerdo con esto,</w:t>
      </w:r>
      <w:r w:rsidR="0086121D" w:rsidRPr="00691AAC">
        <w:rPr>
          <w:rFonts w:ascii="Arial" w:eastAsia="Calibri" w:hAnsi="Arial" w:cs="Arial"/>
          <w:sz w:val="22"/>
        </w:rPr>
        <w:t xml:space="preserve"> </w:t>
      </w:r>
      <w:r w:rsidR="008403F6" w:rsidRPr="00691AAC">
        <w:rPr>
          <w:rFonts w:ascii="Arial" w:eastAsia="Calibri" w:hAnsi="Arial" w:cs="Arial"/>
          <w:sz w:val="22"/>
        </w:rPr>
        <w:t>esta Agencia ha explicad</w:t>
      </w:r>
      <w:r w:rsidR="009B031D" w:rsidRPr="00691AAC">
        <w:rPr>
          <w:rFonts w:ascii="Arial" w:eastAsia="Calibri" w:hAnsi="Arial" w:cs="Arial"/>
          <w:sz w:val="22"/>
        </w:rPr>
        <w:t>o</w:t>
      </w:r>
      <w:r w:rsidR="008403F6" w:rsidRPr="00691AAC">
        <w:rPr>
          <w:rFonts w:ascii="Arial" w:eastAsia="Calibri" w:hAnsi="Arial" w:cs="Arial"/>
          <w:sz w:val="22"/>
        </w:rPr>
        <w:t xml:space="preserve"> que entidades como las Empresas Sociales del Estado</w:t>
      </w:r>
      <w:r w:rsidR="00E701D8" w:rsidRPr="00691AAC">
        <w:rPr>
          <w:rFonts w:ascii="Arial" w:eastAsia="Calibri" w:hAnsi="Arial" w:cs="Arial"/>
          <w:sz w:val="22"/>
        </w:rPr>
        <w:t xml:space="preserve"> se encuentran cobijadas por la excepción en comento,</w:t>
      </w:r>
      <w:r w:rsidR="0086121D" w:rsidRPr="00691AAC">
        <w:rPr>
          <w:rFonts w:ascii="Arial" w:eastAsia="Calibri" w:hAnsi="Arial" w:cs="Arial"/>
          <w:sz w:val="22"/>
        </w:rPr>
        <w:t xml:space="preserve"> </w:t>
      </w:r>
      <w:r w:rsidR="00E701D8" w:rsidRPr="00691AAC">
        <w:rPr>
          <w:rFonts w:ascii="Arial" w:eastAsia="Calibri" w:hAnsi="Arial" w:cs="Arial"/>
          <w:sz w:val="22"/>
        </w:rPr>
        <w:t xml:space="preserve">en la medida en que por </w:t>
      </w:r>
      <w:r w:rsidR="001E1D46" w:rsidRPr="00691AAC">
        <w:rPr>
          <w:rFonts w:ascii="Arial" w:eastAsia="Calibri" w:hAnsi="Arial" w:cs="Arial"/>
          <w:sz w:val="22"/>
        </w:rPr>
        <w:t xml:space="preserve">expresa disposición de la ley </w:t>
      </w:r>
      <w:r w:rsidR="00E701D8" w:rsidRPr="00691AAC">
        <w:rPr>
          <w:rFonts w:ascii="Arial" w:eastAsia="Calibri" w:hAnsi="Arial" w:cs="Arial"/>
          <w:sz w:val="22"/>
        </w:rPr>
        <w:t xml:space="preserve">son entidades </w:t>
      </w:r>
      <w:r w:rsidR="001E1D46" w:rsidRPr="00691AAC">
        <w:rPr>
          <w:rFonts w:ascii="Arial" w:eastAsia="Calibri" w:hAnsi="Arial" w:cs="Arial"/>
          <w:sz w:val="22"/>
        </w:rPr>
        <w:t>encargadas de la prestación de servicios de salud</w:t>
      </w:r>
      <w:r w:rsidR="00FB1473" w:rsidRPr="00691AAC">
        <w:rPr>
          <w:rStyle w:val="Refdenotaalpie"/>
          <w:rFonts w:ascii="Arial" w:eastAsia="Calibri" w:hAnsi="Arial" w:cs="Arial"/>
          <w:sz w:val="22"/>
        </w:rPr>
        <w:footnoteReference w:id="26"/>
      </w:r>
      <w:r w:rsidR="00216AAF" w:rsidRPr="00691AAC">
        <w:rPr>
          <w:rFonts w:ascii="Arial" w:eastAsia="Calibri" w:hAnsi="Arial" w:cs="Arial"/>
          <w:sz w:val="22"/>
        </w:rPr>
        <w:t xml:space="preserve">, </w:t>
      </w:r>
      <w:r w:rsidR="00092542" w:rsidRPr="00691AAC">
        <w:rPr>
          <w:rFonts w:ascii="Arial" w:eastAsia="Calibri" w:hAnsi="Arial" w:cs="Arial"/>
          <w:sz w:val="22"/>
        </w:rPr>
        <w:t xml:space="preserve">lo que las ubica dentro de la referida noción de </w:t>
      </w:r>
      <w:r w:rsidR="009F246D" w:rsidRPr="00691AAC">
        <w:rPr>
          <w:rFonts w:ascii="Arial" w:eastAsia="Calibri" w:hAnsi="Arial" w:cs="Arial"/>
          <w:sz w:val="22"/>
        </w:rPr>
        <w:t xml:space="preserve">entidad sanitaria. Por el contrario, </w:t>
      </w:r>
      <w:r w:rsidR="00D24920" w:rsidRPr="004102D2">
        <w:rPr>
          <w:rFonts w:ascii="Arial" w:eastAsia="Arial" w:hAnsi="Arial" w:cs="Arial"/>
          <w:bCs/>
          <w:sz w:val="22"/>
          <w:szCs w:val="22"/>
        </w:rPr>
        <w:t>respecto de los departamentos se ha reconocido que</w:t>
      </w:r>
      <w:r w:rsidR="00840A52" w:rsidRPr="004102D2">
        <w:rPr>
          <w:rFonts w:ascii="Arial" w:eastAsia="Arial" w:hAnsi="Arial" w:cs="Arial"/>
          <w:bCs/>
          <w:sz w:val="22"/>
          <w:szCs w:val="22"/>
        </w:rPr>
        <w:t>,</w:t>
      </w:r>
      <w:r w:rsidR="00D24920" w:rsidRPr="004102D2">
        <w:rPr>
          <w:rFonts w:ascii="Arial" w:eastAsia="Arial" w:hAnsi="Arial" w:cs="Arial"/>
          <w:bCs/>
          <w:sz w:val="22"/>
          <w:szCs w:val="22"/>
        </w:rPr>
        <w:t xml:space="preserve"> a pesar de </w:t>
      </w:r>
      <w:r w:rsidR="007E3638" w:rsidRPr="004102D2">
        <w:rPr>
          <w:rFonts w:ascii="Arial" w:eastAsia="Arial" w:hAnsi="Arial" w:cs="Arial"/>
          <w:bCs/>
          <w:sz w:val="22"/>
          <w:szCs w:val="22"/>
        </w:rPr>
        <w:t xml:space="preserve">jugar importante en la materia a través de sus </w:t>
      </w:r>
      <w:r w:rsidR="00D24920" w:rsidRPr="004102D2">
        <w:rPr>
          <w:rFonts w:ascii="Arial" w:eastAsia="Arial" w:hAnsi="Arial" w:cs="Arial"/>
          <w:bCs/>
          <w:sz w:val="22"/>
          <w:szCs w:val="22"/>
        </w:rPr>
        <w:t>secretar</w:t>
      </w:r>
      <w:r w:rsidR="007E3638" w:rsidRPr="004102D2">
        <w:rPr>
          <w:rFonts w:ascii="Arial" w:eastAsia="Arial" w:hAnsi="Arial" w:cs="Arial"/>
          <w:bCs/>
          <w:sz w:val="22"/>
          <w:szCs w:val="22"/>
        </w:rPr>
        <w:t>í</w:t>
      </w:r>
      <w:r w:rsidR="00D24920" w:rsidRPr="004102D2">
        <w:rPr>
          <w:rFonts w:ascii="Arial" w:eastAsia="Arial" w:hAnsi="Arial" w:cs="Arial"/>
          <w:bCs/>
          <w:sz w:val="22"/>
          <w:szCs w:val="22"/>
        </w:rPr>
        <w:t xml:space="preserve">as de salud, no prestan un servicio directo, </w:t>
      </w:r>
      <w:r w:rsidR="00840A52" w:rsidRPr="004102D2">
        <w:rPr>
          <w:rFonts w:ascii="Arial" w:eastAsia="Arial" w:hAnsi="Arial" w:cs="Arial"/>
          <w:bCs/>
          <w:sz w:val="22"/>
          <w:szCs w:val="22"/>
        </w:rPr>
        <w:t>sino que</w:t>
      </w:r>
      <w:r w:rsidR="00D24920" w:rsidRPr="004102D2">
        <w:rPr>
          <w:rFonts w:ascii="Arial" w:eastAsia="Arial" w:hAnsi="Arial" w:cs="Arial"/>
          <w:bCs/>
          <w:sz w:val="22"/>
          <w:szCs w:val="22"/>
        </w:rPr>
        <w:t xml:space="preserve"> coordinan las políticas de esta naturaleza desde un punto de vista administrativo para efectos del control y vigilancia</w:t>
      </w:r>
      <w:r w:rsidR="00840A52" w:rsidRPr="004102D2">
        <w:rPr>
          <w:rFonts w:ascii="Arial" w:eastAsia="Arial" w:hAnsi="Arial" w:cs="Arial"/>
          <w:bCs/>
          <w:sz w:val="22"/>
          <w:szCs w:val="22"/>
        </w:rPr>
        <w:t xml:space="preserve">, </w:t>
      </w:r>
      <w:r w:rsidR="008326A3" w:rsidRPr="004102D2">
        <w:rPr>
          <w:rFonts w:ascii="Arial" w:eastAsia="Arial" w:hAnsi="Arial" w:cs="Arial"/>
          <w:bCs/>
          <w:sz w:val="22"/>
          <w:szCs w:val="22"/>
        </w:rPr>
        <w:t xml:space="preserve">por lo que no </w:t>
      </w:r>
      <w:r w:rsidR="003B415C" w:rsidRPr="004102D2">
        <w:rPr>
          <w:rFonts w:ascii="Arial" w:eastAsia="Arial" w:hAnsi="Arial" w:cs="Arial"/>
          <w:bCs/>
          <w:sz w:val="22"/>
          <w:szCs w:val="22"/>
        </w:rPr>
        <w:t>se encuentran cobijados por la excepción</w:t>
      </w:r>
      <w:r w:rsidR="003B415C" w:rsidRPr="004102D2">
        <w:rPr>
          <w:rStyle w:val="Refdenotaalpie"/>
          <w:rFonts w:ascii="Arial" w:eastAsia="Arial" w:hAnsi="Arial" w:cs="Arial"/>
          <w:bCs/>
          <w:sz w:val="22"/>
          <w:szCs w:val="22"/>
        </w:rPr>
        <w:footnoteReference w:id="27"/>
      </w:r>
      <w:r w:rsidR="003B415C" w:rsidRPr="004102D2">
        <w:rPr>
          <w:rFonts w:ascii="Arial" w:eastAsia="Arial" w:hAnsi="Arial" w:cs="Arial"/>
          <w:bCs/>
          <w:sz w:val="22"/>
          <w:szCs w:val="22"/>
        </w:rPr>
        <w:t xml:space="preserve">. </w:t>
      </w:r>
    </w:p>
    <w:p w14:paraId="1101A4A6" w14:textId="75586B9D" w:rsidR="0086121D" w:rsidRPr="00691AAC" w:rsidRDefault="00EF7AD6" w:rsidP="000636F3">
      <w:pPr>
        <w:tabs>
          <w:tab w:val="left" w:pos="426"/>
        </w:tabs>
        <w:spacing w:before="120" w:after="120" w:line="276" w:lineRule="auto"/>
        <w:jc w:val="both"/>
        <w:rPr>
          <w:rFonts w:ascii="Arial" w:eastAsia="Calibri" w:hAnsi="Arial" w:cs="Arial"/>
          <w:sz w:val="22"/>
        </w:rPr>
      </w:pPr>
      <w:r w:rsidRPr="00691AAC">
        <w:rPr>
          <w:rFonts w:ascii="Arial" w:eastAsia="Calibri" w:hAnsi="Arial" w:cs="Arial"/>
          <w:sz w:val="22"/>
        </w:rPr>
        <w:tab/>
      </w:r>
      <w:r w:rsidR="00806A11" w:rsidRPr="00691AAC">
        <w:rPr>
          <w:rFonts w:ascii="Arial" w:eastAsia="Calibri" w:hAnsi="Arial" w:cs="Arial"/>
          <w:sz w:val="22"/>
        </w:rPr>
        <w:tab/>
      </w:r>
      <w:r w:rsidRPr="00691AAC">
        <w:rPr>
          <w:rFonts w:ascii="Arial" w:eastAsia="Calibri" w:hAnsi="Arial" w:cs="Arial"/>
          <w:sz w:val="22"/>
        </w:rPr>
        <w:t>Consultado el Decreto 333 del 2005 expedido por el Gobernador de Arauca, se advierte que la U</w:t>
      </w:r>
      <w:r w:rsidR="00ED1D54" w:rsidRPr="00691AAC">
        <w:rPr>
          <w:rFonts w:ascii="Arial" w:eastAsia="Calibri" w:hAnsi="Arial" w:cs="Arial"/>
          <w:sz w:val="22"/>
        </w:rPr>
        <w:t xml:space="preserve">nidad Administrativa Especial de Salud de Arauca, es una entidad descentralizada </w:t>
      </w:r>
      <w:r w:rsidR="00FE0F74" w:rsidRPr="00691AAC">
        <w:rPr>
          <w:rFonts w:ascii="Arial" w:eastAsia="Calibri" w:hAnsi="Arial" w:cs="Arial"/>
          <w:sz w:val="22"/>
        </w:rPr>
        <w:t xml:space="preserve">adscrita a la Secretaría Departamental de Planeación </w:t>
      </w:r>
      <w:r w:rsidR="000C5766" w:rsidRPr="00691AAC">
        <w:rPr>
          <w:rFonts w:ascii="Arial" w:eastAsia="Calibri" w:hAnsi="Arial" w:cs="Arial"/>
          <w:sz w:val="22"/>
        </w:rPr>
        <w:t>Departamental,</w:t>
      </w:r>
      <w:r w:rsidR="00FD6C0B" w:rsidRPr="00691AAC">
        <w:rPr>
          <w:rFonts w:ascii="Arial" w:eastAsia="Calibri" w:hAnsi="Arial" w:cs="Arial"/>
          <w:sz w:val="22"/>
        </w:rPr>
        <w:t xml:space="preserve"> cuyo </w:t>
      </w:r>
      <w:r w:rsidR="000C5766" w:rsidRPr="00691AAC">
        <w:rPr>
          <w:rFonts w:ascii="Arial" w:eastAsia="Calibri" w:hAnsi="Arial" w:cs="Arial"/>
          <w:sz w:val="22"/>
        </w:rPr>
        <w:t xml:space="preserve">objeto es </w:t>
      </w:r>
      <w:r w:rsidR="00FD6C0B" w:rsidRPr="00691AAC">
        <w:rPr>
          <w:rFonts w:ascii="Arial" w:eastAsia="Calibri" w:hAnsi="Arial" w:cs="Arial"/>
          <w:sz w:val="22"/>
        </w:rPr>
        <w:t>«[…] dirigir, coordinar y vigilar el sector salud y el Sistema General de Seguridad Social en Salud en el Departamento de Arauca atendiendo los disposiciones nacionales sobre la materia»</w:t>
      </w:r>
      <w:r w:rsidR="001A556D" w:rsidRPr="00691AAC">
        <w:rPr>
          <w:rStyle w:val="Refdenotaalpie"/>
          <w:rFonts w:ascii="Arial" w:eastAsia="Calibri" w:hAnsi="Arial" w:cs="Arial"/>
          <w:sz w:val="22"/>
        </w:rPr>
        <w:footnoteReference w:id="28"/>
      </w:r>
      <w:r w:rsidR="00FD6C0B" w:rsidRPr="00691AAC">
        <w:rPr>
          <w:rFonts w:ascii="Arial" w:eastAsia="Calibri" w:hAnsi="Arial" w:cs="Arial"/>
          <w:sz w:val="22"/>
        </w:rPr>
        <w:t>.</w:t>
      </w:r>
      <w:r w:rsidR="000C5766" w:rsidRPr="00691AAC">
        <w:rPr>
          <w:rFonts w:ascii="Arial" w:eastAsia="Calibri" w:hAnsi="Arial" w:cs="Arial"/>
          <w:sz w:val="22"/>
        </w:rPr>
        <w:t xml:space="preserve"> </w:t>
      </w:r>
      <w:r w:rsidR="00681971" w:rsidRPr="00691AAC">
        <w:rPr>
          <w:rFonts w:ascii="Arial" w:eastAsia="Calibri" w:hAnsi="Arial" w:cs="Arial"/>
          <w:sz w:val="22"/>
        </w:rPr>
        <w:t xml:space="preserve">Esto indica que la referida entidad no tiene un objeto </w:t>
      </w:r>
      <w:r w:rsidR="00EE432C" w:rsidRPr="00691AAC">
        <w:rPr>
          <w:rFonts w:ascii="Arial" w:eastAsia="Calibri" w:hAnsi="Arial" w:cs="Arial"/>
          <w:sz w:val="22"/>
        </w:rPr>
        <w:lastRenderedPageBreak/>
        <w:t>misional que involucre la prestación directa de servicios de salud, sino que tie</w:t>
      </w:r>
      <w:r w:rsidR="003E4819" w:rsidRPr="00691AAC">
        <w:rPr>
          <w:rFonts w:ascii="Arial" w:eastAsia="Calibri" w:hAnsi="Arial" w:cs="Arial"/>
          <w:sz w:val="22"/>
        </w:rPr>
        <w:t>ne a su cargo funciones de control y vigilancia</w:t>
      </w:r>
      <w:r w:rsidR="001833D0" w:rsidRPr="00691AAC">
        <w:rPr>
          <w:rFonts w:ascii="Arial" w:eastAsia="Calibri" w:hAnsi="Arial" w:cs="Arial"/>
          <w:sz w:val="22"/>
        </w:rPr>
        <w:t xml:space="preserve"> del sector salud en el ámbito territorial</w:t>
      </w:r>
      <w:r w:rsidR="00E17EA3" w:rsidRPr="00691AAC">
        <w:rPr>
          <w:rFonts w:ascii="Arial" w:eastAsia="Calibri" w:hAnsi="Arial" w:cs="Arial"/>
          <w:sz w:val="22"/>
        </w:rPr>
        <w:t xml:space="preserve">, </w:t>
      </w:r>
      <w:r w:rsidR="00723E02" w:rsidRPr="00691AAC">
        <w:rPr>
          <w:rFonts w:ascii="Arial" w:eastAsia="Calibri" w:hAnsi="Arial" w:cs="Arial"/>
          <w:sz w:val="22"/>
        </w:rPr>
        <w:t>que,</w:t>
      </w:r>
      <w:r w:rsidR="00E17EA3" w:rsidRPr="00691AAC">
        <w:rPr>
          <w:rFonts w:ascii="Arial" w:eastAsia="Calibri" w:hAnsi="Arial" w:cs="Arial"/>
          <w:sz w:val="22"/>
        </w:rPr>
        <w:t xml:space="preserve"> en virtud del fenómeno de la descentralización, </w:t>
      </w:r>
      <w:r w:rsidR="001833D0" w:rsidRPr="00691AAC">
        <w:rPr>
          <w:rFonts w:ascii="Arial" w:eastAsia="Calibri" w:hAnsi="Arial" w:cs="Arial"/>
          <w:sz w:val="22"/>
        </w:rPr>
        <w:t xml:space="preserve">ejerce en </w:t>
      </w:r>
      <w:r w:rsidR="00723E02" w:rsidRPr="00691AAC">
        <w:rPr>
          <w:rFonts w:ascii="Arial" w:eastAsia="Calibri" w:hAnsi="Arial" w:cs="Arial"/>
          <w:sz w:val="22"/>
        </w:rPr>
        <w:t xml:space="preserve">representación del Departamento de Arauca. </w:t>
      </w:r>
    </w:p>
    <w:p w14:paraId="401B905F" w14:textId="33A9B5BF" w:rsidR="00F4315D" w:rsidRPr="004102D2" w:rsidRDefault="00F223B3" w:rsidP="001218B7">
      <w:pPr>
        <w:spacing w:before="120" w:line="276" w:lineRule="auto"/>
        <w:ind w:firstLine="708"/>
        <w:jc w:val="both"/>
        <w:rPr>
          <w:rFonts w:ascii="Arial" w:hAnsi="Arial" w:cs="Arial"/>
          <w:bCs/>
          <w:sz w:val="22"/>
          <w:szCs w:val="22"/>
          <w:lang w:val="es-ES_tradnl" w:eastAsia="es-CO"/>
        </w:rPr>
      </w:pPr>
      <w:r w:rsidRPr="004102D2">
        <w:rPr>
          <w:rFonts w:ascii="Arial" w:hAnsi="Arial" w:cs="Arial"/>
          <w:bCs/>
          <w:sz w:val="22"/>
          <w:lang w:val="es-ES_tradnl"/>
        </w:rPr>
        <w:t xml:space="preserve">Por </w:t>
      </w:r>
      <w:r w:rsidR="00691AAC" w:rsidRPr="00691AAC">
        <w:rPr>
          <w:rFonts w:ascii="Arial" w:hAnsi="Arial" w:cs="Arial"/>
          <w:bCs/>
          <w:sz w:val="22"/>
          <w:lang w:val="es-ES_tradnl"/>
        </w:rPr>
        <w:t>último,</w:t>
      </w:r>
      <w:r w:rsidRPr="004102D2">
        <w:rPr>
          <w:rFonts w:ascii="Arial" w:hAnsi="Arial" w:cs="Arial"/>
          <w:bCs/>
          <w:sz w:val="22"/>
          <w:lang w:val="es-ES_tradnl"/>
        </w:rPr>
        <w:t xml:space="preserve"> es importante advertir que</w:t>
      </w:r>
      <w:r w:rsidRPr="00691AAC">
        <w:rPr>
          <w:rFonts w:ascii="Arial" w:hAnsi="Arial" w:cs="Arial"/>
          <w:bCs/>
          <w:sz w:val="22"/>
          <w:szCs w:val="22"/>
          <w:lang w:val="es-ES_tradnl" w:eastAsia="es-CO"/>
        </w:rPr>
        <w:t>,</w:t>
      </w:r>
      <w:r w:rsidR="00570F08" w:rsidRPr="004102D2">
        <w:rPr>
          <w:rFonts w:ascii="Arial" w:hAnsi="Arial" w:cs="Arial"/>
          <w:bCs/>
          <w:sz w:val="22"/>
          <w:szCs w:val="22"/>
          <w:lang w:val="es-ES_tradnl" w:eastAsia="es-CO"/>
        </w:rPr>
        <w:t xml:space="preserve"> </w:t>
      </w:r>
      <w:r w:rsidR="00E75BB9" w:rsidRPr="004102D2">
        <w:rPr>
          <w:rFonts w:ascii="Arial" w:hAnsi="Arial" w:cs="Arial"/>
          <w:bCs/>
          <w:sz w:val="22"/>
          <w:szCs w:val="22"/>
          <w:lang w:val="es-ES_tradnl" w:eastAsia="es-CO"/>
        </w:rPr>
        <w:t xml:space="preserve">corresponde a cada entidad </w:t>
      </w:r>
      <w:r w:rsidR="0098623D" w:rsidRPr="004102D2">
        <w:rPr>
          <w:rFonts w:ascii="Arial" w:hAnsi="Arial" w:cs="Arial"/>
          <w:bCs/>
          <w:sz w:val="22"/>
          <w:szCs w:val="22"/>
          <w:lang w:val="es-ES_tradnl" w:eastAsia="es-CO"/>
        </w:rPr>
        <w:t xml:space="preserve">estatal </w:t>
      </w:r>
      <w:r w:rsidR="00E75BB9" w:rsidRPr="004102D2">
        <w:rPr>
          <w:rFonts w:ascii="Arial" w:hAnsi="Arial" w:cs="Arial"/>
          <w:bCs/>
          <w:sz w:val="22"/>
          <w:szCs w:val="22"/>
          <w:lang w:val="es-ES_tradnl" w:eastAsia="es-CO"/>
        </w:rPr>
        <w:t>realizar el correspondiente</w:t>
      </w:r>
      <w:r w:rsidR="00570F08" w:rsidRPr="004102D2">
        <w:rPr>
          <w:rFonts w:ascii="Arial" w:hAnsi="Arial" w:cs="Arial"/>
          <w:bCs/>
          <w:sz w:val="22"/>
          <w:szCs w:val="22"/>
          <w:lang w:val="es-ES_tradnl" w:eastAsia="es-CO"/>
        </w:rPr>
        <w:t xml:space="preserve"> análisis </w:t>
      </w:r>
      <w:r w:rsidR="00E75BB9" w:rsidRPr="004102D2">
        <w:rPr>
          <w:rFonts w:ascii="Arial" w:hAnsi="Arial" w:cs="Arial"/>
          <w:bCs/>
          <w:sz w:val="22"/>
          <w:szCs w:val="22"/>
          <w:lang w:val="es-ES_tradnl" w:eastAsia="es-CO"/>
        </w:rPr>
        <w:t>para determinar si aplica o no una determinada</w:t>
      </w:r>
      <w:r w:rsidR="00570F08" w:rsidRPr="004102D2">
        <w:rPr>
          <w:rFonts w:ascii="Arial" w:hAnsi="Arial" w:cs="Arial"/>
          <w:bCs/>
          <w:sz w:val="22"/>
          <w:szCs w:val="22"/>
          <w:lang w:val="es-ES_tradnl" w:eastAsia="es-CO"/>
        </w:rPr>
        <w:t xml:space="preserve"> excepci</w:t>
      </w:r>
      <w:r w:rsidR="00E75BB9" w:rsidRPr="004102D2">
        <w:rPr>
          <w:rFonts w:ascii="Arial" w:hAnsi="Arial" w:cs="Arial"/>
          <w:bCs/>
          <w:sz w:val="22"/>
          <w:szCs w:val="22"/>
          <w:lang w:val="es-ES_tradnl" w:eastAsia="es-CO"/>
        </w:rPr>
        <w:t>ón</w:t>
      </w:r>
      <w:r w:rsidR="00570F08" w:rsidRPr="004102D2">
        <w:rPr>
          <w:rFonts w:ascii="Arial" w:hAnsi="Arial" w:cs="Arial"/>
          <w:bCs/>
          <w:sz w:val="22"/>
          <w:szCs w:val="22"/>
          <w:lang w:val="es-ES_tradnl" w:eastAsia="es-CO"/>
        </w:rPr>
        <w:t xml:space="preserve"> de acuerdo con la situación fáctica y jurídica</w:t>
      </w:r>
      <w:r w:rsidR="007B2D7A" w:rsidRPr="004102D2">
        <w:rPr>
          <w:rFonts w:ascii="Arial" w:hAnsi="Arial" w:cs="Arial"/>
          <w:bCs/>
          <w:sz w:val="22"/>
          <w:szCs w:val="22"/>
          <w:lang w:val="es-ES_tradnl" w:eastAsia="es-CO"/>
        </w:rPr>
        <w:t xml:space="preserve"> particular</w:t>
      </w:r>
      <w:r w:rsidR="00F4315D" w:rsidRPr="004102D2">
        <w:rPr>
          <w:rFonts w:ascii="Arial" w:hAnsi="Arial" w:cs="Arial"/>
          <w:bCs/>
          <w:sz w:val="22"/>
          <w:szCs w:val="22"/>
          <w:lang w:val="es-ES_tradnl" w:eastAsia="es-CO"/>
        </w:rPr>
        <w:t xml:space="preserve"> </w:t>
      </w:r>
      <w:r w:rsidR="0098623D" w:rsidRPr="004102D2">
        <w:rPr>
          <w:rFonts w:ascii="Arial" w:hAnsi="Arial" w:cs="Arial"/>
          <w:bCs/>
          <w:sz w:val="22"/>
          <w:szCs w:val="22"/>
          <w:lang w:val="es-ES_tradnl" w:eastAsia="es-CO"/>
        </w:rPr>
        <w:t>del caso concreto</w:t>
      </w:r>
      <w:r w:rsidR="001A69BA" w:rsidRPr="004102D2">
        <w:rPr>
          <w:rFonts w:ascii="Arial" w:hAnsi="Arial" w:cs="Arial"/>
          <w:bCs/>
          <w:sz w:val="22"/>
          <w:szCs w:val="22"/>
          <w:lang w:val="es-ES_tradnl" w:eastAsia="es-CO"/>
        </w:rPr>
        <w:t>, para lo cual las consideraciones expuestas en el presente concepto constituye</w:t>
      </w:r>
      <w:r w:rsidR="009443C9" w:rsidRPr="004102D2">
        <w:rPr>
          <w:rFonts w:ascii="Arial" w:hAnsi="Arial" w:cs="Arial"/>
          <w:bCs/>
          <w:sz w:val="22"/>
          <w:szCs w:val="22"/>
          <w:lang w:val="es-ES_tradnl" w:eastAsia="es-CO"/>
        </w:rPr>
        <w:t>n</w:t>
      </w:r>
      <w:r w:rsidR="001A69BA" w:rsidRPr="004102D2">
        <w:rPr>
          <w:rFonts w:ascii="Arial" w:hAnsi="Arial" w:cs="Arial"/>
          <w:bCs/>
          <w:sz w:val="22"/>
          <w:szCs w:val="22"/>
          <w:lang w:val="es-ES_tradnl" w:eastAsia="es-CO"/>
        </w:rPr>
        <w:t xml:space="preserve"> un </w:t>
      </w:r>
      <w:r w:rsidR="009443C9" w:rsidRPr="004102D2">
        <w:rPr>
          <w:rFonts w:ascii="Arial" w:hAnsi="Arial" w:cs="Arial"/>
          <w:bCs/>
          <w:sz w:val="22"/>
          <w:szCs w:val="22"/>
          <w:lang w:val="es-ES_tradnl" w:eastAsia="es-CO"/>
        </w:rPr>
        <w:t xml:space="preserve">instrumento orientador. </w:t>
      </w:r>
      <w:r w:rsidRPr="00691AAC">
        <w:rPr>
          <w:rFonts w:ascii="Arial" w:hAnsi="Arial" w:cs="Arial"/>
          <w:bCs/>
          <w:sz w:val="22"/>
          <w:szCs w:val="22"/>
          <w:lang w:val="es-ES_tradnl" w:eastAsia="es-CO"/>
        </w:rPr>
        <w:t>Si es</w:t>
      </w:r>
      <w:r w:rsidR="0098623D" w:rsidRPr="004102D2">
        <w:rPr>
          <w:rFonts w:ascii="Arial" w:hAnsi="Arial" w:cs="Arial"/>
          <w:bCs/>
          <w:sz w:val="22"/>
          <w:szCs w:val="22"/>
          <w:lang w:val="es-ES_tradnl" w:eastAsia="es-CO"/>
        </w:rPr>
        <w:t xml:space="preserve"> </w:t>
      </w:r>
      <w:r w:rsidR="009443C9" w:rsidRPr="004102D2">
        <w:rPr>
          <w:rFonts w:ascii="Arial" w:hAnsi="Arial" w:cs="Arial"/>
          <w:bCs/>
          <w:sz w:val="22"/>
          <w:szCs w:val="22"/>
          <w:lang w:val="es-ES_tradnl" w:eastAsia="es-CO"/>
        </w:rPr>
        <w:t>procedente la excepci</w:t>
      </w:r>
      <w:r w:rsidR="00F35599" w:rsidRPr="004102D2">
        <w:rPr>
          <w:rFonts w:ascii="Arial" w:hAnsi="Arial" w:cs="Arial"/>
          <w:bCs/>
          <w:sz w:val="22"/>
          <w:szCs w:val="22"/>
          <w:lang w:val="es-ES_tradnl" w:eastAsia="es-CO"/>
        </w:rPr>
        <w:t>ón, podrá la entidad realizar la contratación directa</w:t>
      </w:r>
      <w:r w:rsidR="002F61C9" w:rsidRPr="004102D2">
        <w:rPr>
          <w:rFonts w:ascii="Arial" w:hAnsi="Arial" w:cs="Arial"/>
          <w:bCs/>
          <w:sz w:val="22"/>
          <w:szCs w:val="22"/>
          <w:lang w:val="es-ES_tradnl" w:eastAsia="es-CO"/>
        </w:rPr>
        <w:t xml:space="preserve"> </w:t>
      </w:r>
      <w:r w:rsidRPr="00691AAC">
        <w:rPr>
          <w:rFonts w:ascii="Arial" w:hAnsi="Arial" w:cs="Arial"/>
          <w:bCs/>
          <w:sz w:val="22"/>
          <w:szCs w:val="22"/>
          <w:lang w:val="es-ES_tradnl" w:eastAsia="es-CO"/>
        </w:rPr>
        <w:t>justificando</w:t>
      </w:r>
      <w:r w:rsidR="002F61C9" w:rsidRPr="004102D2">
        <w:rPr>
          <w:rFonts w:ascii="Arial" w:hAnsi="Arial" w:cs="Arial"/>
          <w:bCs/>
          <w:sz w:val="22"/>
          <w:szCs w:val="22"/>
          <w:lang w:val="es-ES_tradnl" w:eastAsia="es-CO"/>
        </w:rPr>
        <w:t xml:space="preserve"> las razones que </w:t>
      </w:r>
      <w:r w:rsidRPr="00691AAC">
        <w:rPr>
          <w:rFonts w:ascii="Arial" w:hAnsi="Arial" w:cs="Arial"/>
          <w:bCs/>
          <w:sz w:val="22"/>
          <w:szCs w:val="22"/>
          <w:lang w:val="es-ES_tradnl" w:eastAsia="es-CO"/>
        </w:rPr>
        <w:t xml:space="preserve">avalan </w:t>
      </w:r>
      <w:r w:rsidR="002F61C9" w:rsidRPr="004102D2">
        <w:rPr>
          <w:rFonts w:ascii="Arial" w:hAnsi="Arial" w:cs="Arial"/>
          <w:bCs/>
          <w:sz w:val="22"/>
          <w:szCs w:val="22"/>
          <w:lang w:val="es-ES_tradnl" w:eastAsia="es-CO"/>
        </w:rPr>
        <w:t xml:space="preserve">su procedencia. </w:t>
      </w:r>
      <w:r w:rsidR="009E0147" w:rsidRPr="004102D2">
        <w:rPr>
          <w:rFonts w:ascii="Arial" w:hAnsi="Arial" w:cs="Arial"/>
          <w:bCs/>
          <w:sz w:val="22"/>
          <w:szCs w:val="22"/>
          <w:lang w:val="es-ES_tradnl" w:eastAsia="es-CO"/>
        </w:rPr>
        <w:t>P</w:t>
      </w:r>
      <w:r w:rsidR="009E4C7C" w:rsidRPr="004102D2">
        <w:rPr>
          <w:rFonts w:ascii="Arial" w:hAnsi="Arial" w:cs="Arial"/>
          <w:bCs/>
          <w:sz w:val="22"/>
          <w:szCs w:val="22"/>
          <w:lang w:val="es-ES_tradnl" w:eastAsia="es-CO"/>
        </w:rPr>
        <w:t xml:space="preserve">or el contrario </w:t>
      </w:r>
      <w:r w:rsidR="009E0147" w:rsidRPr="004102D2">
        <w:rPr>
          <w:rFonts w:ascii="Arial" w:hAnsi="Arial" w:cs="Arial"/>
          <w:bCs/>
          <w:sz w:val="22"/>
          <w:szCs w:val="22"/>
          <w:lang w:val="es-ES_tradnl" w:eastAsia="es-CO"/>
        </w:rPr>
        <w:t xml:space="preserve">si </w:t>
      </w:r>
      <w:r w:rsidR="009E4C7C" w:rsidRPr="004102D2">
        <w:rPr>
          <w:rFonts w:ascii="Arial" w:hAnsi="Arial" w:cs="Arial"/>
          <w:bCs/>
          <w:sz w:val="22"/>
          <w:szCs w:val="22"/>
          <w:lang w:val="es-ES_tradnl" w:eastAsia="es-CO"/>
        </w:rPr>
        <w:t>el estudio determina que no aplica excepción</w:t>
      </w:r>
      <w:r w:rsidR="009E0147" w:rsidRPr="004102D2">
        <w:rPr>
          <w:rFonts w:ascii="Arial" w:hAnsi="Arial" w:cs="Arial"/>
          <w:bCs/>
          <w:sz w:val="22"/>
          <w:szCs w:val="22"/>
          <w:lang w:val="es-ES_tradnl" w:eastAsia="es-CO"/>
        </w:rPr>
        <w:t xml:space="preserve"> alguna</w:t>
      </w:r>
      <w:r w:rsidR="009E4C7C" w:rsidRPr="004102D2">
        <w:rPr>
          <w:rFonts w:ascii="Arial" w:hAnsi="Arial" w:cs="Arial"/>
          <w:bCs/>
          <w:sz w:val="22"/>
          <w:szCs w:val="22"/>
          <w:lang w:val="es-ES_tradnl" w:eastAsia="es-CO"/>
        </w:rPr>
        <w:t xml:space="preserve"> </w:t>
      </w:r>
      <w:r w:rsidRPr="00691AAC">
        <w:rPr>
          <w:rFonts w:ascii="Arial" w:hAnsi="Arial" w:cs="Arial"/>
          <w:bCs/>
          <w:sz w:val="22"/>
          <w:szCs w:val="22"/>
          <w:lang w:val="es-ES_tradnl" w:eastAsia="es-CO"/>
        </w:rPr>
        <w:t>estará</w:t>
      </w:r>
      <w:r w:rsidR="009E4C7C" w:rsidRPr="004102D2">
        <w:rPr>
          <w:rFonts w:ascii="Arial" w:hAnsi="Arial" w:cs="Arial"/>
          <w:bCs/>
          <w:sz w:val="22"/>
          <w:szCs w:val="22"/>
          <w:lang w:val="es-ES_tradnl" w:eastAsia="es-CO"/>
        </w:rPr>
        <w:t xml:space="preserve"> </w:t>
      </w:r>
      <w:r w:rsidRPr="00691AAC">
        <w:rPr>
          <w:rFonts w:ascii="Arial" w:hAnsi="Arial" w:cs="Arial"/>
          <w:bCs/>
          <w:sz w:val="22"/>
          <w:szCs w:val="22"/>
          <w:lang w:val="es-ES_tradnl" w:eastAsia="es-CO"/>
        </w:rPr>
        <w:t>vedada</w:t>
      </w:r>
      <w:r w:rsidR="009E4C7C" w:rsidRPr="004102D2">
        <w:rPr>
          <w:rFonts w:ascii="Arial" w:hAnsi="Arial" w:cs="Arial"/>
          <w:bCs/>
          <w:sz w:val="22"/>
          <w:szCs w:val="22"/>
          <w:lang w:val="es-ES_tradnl" w:eastAsia="es-CO"/>
        </w:rPr>
        <w:t xml:space="preserve"> </w:t>
      </w:r>
      <w:r w:rsidRPr="00691AAC">
        <w:rPr>
          <w:rFonts w:ascii="Arial" w:hAnsi="Arial" w:cs="Arial"/>
          <w:bCs/>
          <w:sz w:val="22"/>
          <w:szCs w:val="22"/>
          <w:lang w:val="es-ES_tradnl" w:eastAsia="es-CO"/>
        </w:rPr>
        <w:t xml:space="preserve">la </w:t>
      </w:r>
      <w:r w:rsidR="009E4C7C" w:rsidRPr="004102D2">
        <w:rPr>
          <w:rFonts w:ascii="Arial" w:hAnsi="Arial" w:cs="Arial"/>
          <w:bCs/>
          <w:sz w:val="22"/>
          <w:szCs w:val="22"/>
          <w:lang w:val="es-ES_tradnl" w:eastAsia="es-CO"/>
        </w:rPr>
        <w:t>celebra</w:t>
      </w:r>
      <w:r w:rsidRPr="00691AAC">
        <w:rPr>
          <w:rFonts w:ascii="Arial" w:hAnsi="Arial" w:cs="Arial"/>
          <w:bCs/>
          <w:sz w:val="22"/>
          <w:szCs w:val="22"/>
          <w:lang w:val="es-ES_tradnl" w:eastAsia="es-CO"/>
        </w:rPr>
        <w:t>ción de</w:t>
      </w:r>
      <w:r w:rsidR="009E4C7C" w:rsidRPr="004102D2">
        <w:rPr>
          <w:rFonts w:ascii="Arial" w:hAnsi="Arial" w:cs="Arial"/>
          <w:bCs/>
          <w:sz w:val="22"/>
          <w:szCs w:val="22"/>
          <w:lang w:val="es-ES_tradnl" w:eastAsia="es-CO"/>
        </w:rPr>
        <w:t xml:space="preserve"> contratos de manera directa, </w:t>
      </w:r>
      <w:r w:rsidRPr="00691AAC">
        <w:rPr>
          <w:rFonts w:ascii="Arial" w:hAnsi="Arial" w:cs="Arial"/>
          <w:bCs/>
          <w:sz w:val="22"/>
          <w:szCs w:val="22"/>
          <w:lang w:val="es-ES_tradnl" w:eastAsia="es-CO"/>
        </w:rPr>
        <w:t xml:space="preserve">sin perjuicio de la posibilidad aplicar modalidades </w:t>
      </w:r>
      <w:r w:rsidR="001218B7" w:rsidRPr="004102D2">
        <w:rPr>
          <w:rFonts w:ascii="Arial" w:hAnsi="Arial" w:cs="Arial"/>
          <w:bCs/>
          <w:sz w:val="22"/>
          <w:szCs w:val="22"/>
          <w:lang w:val="es-ES_tradnl" w:eastAsia="es-CO"/>
        </w:rPr>
        <w:t>competitiv</w:t>
      </w:r>
      <w:r w:rsidRPr="00691AAC">
        <w:rPr>
          <w:rFonts w:ascii="Arial" w:hAnsi="Arial" w:cs="Arial"/>
          <w:bCs/>
          <w:sz w:val="22"/>
          <w:szCs w:val="22"/>
          <w:lang w:val="es-ES_tradnl" w:eastAsia="es-CO"/>
        </w:rPr>
        <w:t>as</w:t>
      </w:r>
      <w:r w:rsidR="001218B7" w:rsidRPr="004102D2">
        <w:rPr>
          <w:rFonts w:ascii="Arial" w:hAnsi="Arial" w:cs="Arial"/>
          <w:bCs/>
          <w:sz w:val="22"/>
          <w:szCs w:val="22"/>
          <w:lang w:val="es-ES_tradnl" w:eastAsia="es-CO"/>
        </w:rPr>
        <w:t>, l</w:t>
      </w:r>
      <w:r w:rsidRPr="00691AAC">
        <w:rPr>
          <w:rFonts w:ascii="Arial" w:hAnsi="Arial" w:cs="Arial"/>
          <w:bCs/>
          <w:sz w:val="22"/>
          <w:szCs w:val="22"/>
          <w:lang w:val="es-ES_tradnl" w:eastAsia="es-CO"/>
        </w:rPr>
        <w:t>as</w:t>
      </w:r>
      <w:r w:rsidR="001218B7" w:rsidRPr="004102D2">
        <w:rPr>
          <w:rFonts w:ascii="Arial" w:hAnsi="Arial" w:cs="Arial"/>
          <w:bCs/>
          <w:sz w:val="22"/>
          <w:szCs w:val="22"/>
          <w:lang w:val="es-ES_tradnl" w:eastAsia="es-CO"/>
        </w:rPr>
        <w:t xml:space="preserve"> cuales no se encuentran restringid</w:t>
      </w:r>
      <w:r w:rsidRPr="00691AAC">
        <w:rPr>
          <w:rFonts w:ascii="Arial" w:hAnsi="Arial" w:cs="Arial"/>
          <w:bCs/>
          <w:sz w:val="22"/>
          <w:szCs w:val="22"/>
          <w:lang w:val="es-ES_tradnl" w:eastAsia="es-CO"/>
        </w:rPr>
        <w:t>a</w:t>
      </w:r>
      <w:r w:rsidR="001218B7" w:rsidRPr="004102D2">
        <w:rPr>
          <w:rFonts w:ascii="Arial" w:hAnsi="Arial" w:cs="Arial"/>
          <w:bCs/>
          <w:sz w:val="22"/>
          <w:szCs w:val="22"/>
          <w:lang w:val="es-ES_tradnl" w:eastAsia="es-CO"/>
        </w:rPr>
        <w:t>s por el artículo 33 de la Ley 996 de 2005</w:t>
      </w:r>
      <w:r w:rsidRPr="00691AAC">
        <w:rPr>
          <w:rFonts w:ascii="Arial" w:hAnsi="Arial" w:cs="Arial"/>
          <w:bCs/>
          <w:sz w:val="22"/>
          <w:szCs w:val="22"/>
          <w:lang w:val="es-ES_tradnl" w:eastAsia="es-CO"/>
        </w:rPr>
        <w:t xml:space="preserve">, que, según lo explicado, solo restringe procesos de selección sin pluralidad de oferentes. </w:t>
      </w:r>
    </w:p>
    <w:p w14:paraId="1391484C" w14:textId="77777777" w:rsidR="001218B7" w:rsidRPr="004102D2" w:rsidRDefault="001218B7" w:rsidP="004102D2">
      <w:pPr>
        <w:spacing w:line="276" w:lineRule="auto"/>
        <w:ind w:firstLine="708"/>
        <w:jc w:val="both"/>
        <w:rPr>
          <w:rFonts w:ascii="Arial" w:hAnsi="Arial" w:cs="Arial"/>
          <w:bCs/>
          <w:sz w:val="22"/>
          <w:szCs w:val="22"/>
          <w:lang w:val="es-ES_tradnl" w:eastAsia="es-CO"/>
        </w:rPr>
      </w:pPr>
    </w:p>
    <w:p w14:paraId="0B5723FA" w14:textId="77777777" w:rsidR="00C32018" w:rsidRPr="00691AAC" w:rsidRDefault="00E54365" w:rsidP="004102D2">
      <w:pPr>
        <w:spacing w:line="360" w:lineRule="auto"/>
        <w:rPr>
          <w:rFonts w:ascii="Arial" w:eastAsia="Calibri" w:hAnsi="Arial" w:cs="Arial"/>
          <w:b/>
          <w:noProof/>
          <w:color w:val="161616" w:themeColor="background1" w:themeShade="1A"/>
          <w:sz w:val="22"/>
          <w:szCs w:val="22"/>
          <w:lang w:val="es-ES_tradnl"/>
        </w:rPr>
      </w:pPr>
      <w:bookmarkStart w:id="31" w:name="_1y810tw" w:colFirst="0" w:colLast="0"/>
      <w:bookmarkStart w:id="32" w:name="_2xcytpi" w:colFirst="0" w:colLast="0"/>
      <w:bookmarkStart w:id="33" w:name="_1ci93xb" w:colFirst="0" w:colLast="0"/>
      <w:bookmarkStart w:id="34" w:name="_3whwml4" w:colFirst="0" w:colLast="0"/>
      <w:bookmarkEnd w:id="9"/>
      <w:bookmarkEnd w:id="31"/>
      <w:bookmarkEnd w:id="32"/>
      <w:bookmarkEnd w:id="33"/>
      <w:bookmarkEnd w:id="34"/>
      <w:r w:rsidRPr="00691AAC">
        <w:rPr>
          <w:rFonts w:ascii="Arial" w:eastAsia="Calibri" w:hAnsi="Arial" w:cs="Arial"/>
          <w:b/>
          <w:noProof/>
          <w:color w:val="161616" w:themeColor="background1" w:themeShade="1A"/>
          <w:sz w:val="22"/>
          <w:szCs w:val="22"/>
          <w:lang w:val="es-ES_tradnl"/>
        </w:rPr>
        <w:t>3. Respuesta</w:t>
      </w:r>
    </w:p>
    <w:p w14:paraId="059B54FE" w14:textId="77777777" w:rsidR="00C32018" w:rsidRPr="00691AAC" w:rsidRDefault="00C32018" w:rsidP="00C32018">
      <w:pPr>
        <w:ind w:left="709" w:right="709"/>
        <w:jc w:val="both"/>
        <w:rPr>
          <w:rFonts w:ascii="Arial" w:hAnsi="Arial" w:cs="Arial"/>
          <w:color w:val="161616" w:themeColor="background1" w:themeShade="1A"/>
          <w:sz w:val="21"/>
          <w:szCs w:val="21"/>
          <w:lang w:val="es-ES_tradnl"/>
        </w:rPr>
      </w:pPr>
      <w:r w:rsidRPr="00691AAC">
        <w:rPr>
          <w:rFonts w:ascii="Arial" w:hAnsi="Arial" w:cs="Arial"/>
          <w:color w:val="161616" w:themeColor="background1" w:themeShade="1A"/>
          <w:sz w:val="21"/>
          <w:szCs w:val="21"/>
          <w:lang w:val="es-ES_tradnl"/>
        </w:rPr>
        <w:t>«[…] ¿Puede la UAE de Salud de Arauca, aplicar la excepción a que se refiere el artículo 33 de la citada ley 996 de 2005?»</w:t>
      </w:r>
    </w:p>
    <w:p w14:paraId="3318485A" w14:textId="77777777" w:rsidR="00C32018" w:rsidRPr="00691AAC" w:rsidRDefault="00C32018" w:rsidP="00C32018">
      <w:pPr>
        <w:ind w:left="709" w:right="709"/>
        <w:jc w:val="both"/>
        <w:rPr>
          <w:rFonts w:ascii="Arial" w:hAnsi="Arial" w:cs="Arial"/>
          <w:color w:val="161616" w:themeColor="background1" w:themeShade="1A"/>
          <w:sz w:val="21"/>
          <w:szCs w:val="21"/>
          <w:lang w:val="es-ES_tradnl"/>
        </w:rPr>
      </w:pPr>
    </w:p>
    <w:p w14:paraId="459C6163" w14:textId="77777777" w:rsidR="00C32018" w:rsidRPr="00691AAC" w:rsidRDefault="00C32018" w:rsidP="00C32018">
      <w:pPr>
        <w:ind w:left="709" w:right="709"/>
        <w:jc w:val="both"/>
        <w:rPr>
          <w:rFonts w:ascii="Arial" w:hAnsi="Arial" w:cs="Arial"/>
          <w:color w:val="161616" w:themeColor="background1" w:themeShade="1A"/>
          <w:sz w:val="21"/>
          <w:szCs w:val="21"/>
          <w:lang w:val="es-ES_tradnl"/>
        </w:rPr>
      </w:pPr>
      <w:r w:rsidRPr="00691AAC">
        <w:rPr>
          <w:rFonts w:ascii="Arial" w:hAnsi="Arial" w:cs="Arial"/>
          <w:color w:val="161616" w:themeColor="background1" w:themeShade="1A"/>
          <w:sz w:val="21"/>
          <w:szCs w:val="21"/>
          <w:lang w:val="es-ES_tradnl"/>
        </w:rPr>
        <w:t>«[…] ¿ Puede la UAE de Salud de Arauca, contratar el personal profesional y de apoyo necesario para cumplir con sus deberes misionales y administrativos de la Entidad?»</w:t>
      </w:r>
    </w:p>
    <w:p w14:paraId="3A415E19" w14:textId="2AD3AB43" w:rsidR="00853AE0" w:rsidRPr="00691AAC" w:rsidRDefault="00853AE0" w:rsidP="0022167B">
      <w:pPr>
        <w:ind w:right="760"/>
        <w:rPr>
          <w:rFonts w:ascii="Arial" w:hAnsi="Arial" w:cs="Arial"/>
          <w:color w:val="161616" w:themeColor="background1" w:themeShade="1A"/>
          <w:sz w:val="22"/>
          <w:szCs w:val="22"/>
          <w:lang w:val="es-ES_tradnl"/>
        </w:rPr>
      </w:pPr>
    </w:p>
    <w:p w14:paraId="116F213B" w14:textId="77777777" w:rsidR="00D93661" w:rsidRPr="00691AAC" w:rsidRDefault="00D93661" w:rsidP="00D93661">
      <w:pPr>
        <w:spacing w:line="276" w:lineRule="auto"/>
        <w:jc w:val="both"/>
        <w:rPr>
          <w:rFonts w:ascii="Arial" w:eastAsia="Arial" w:hAnsi="Arial" w:cs="Arial"/>
          <w:sz w:val="22"/>
          <w:szCs w:val="22"/>
        </w:rPr>
      </w:pPr>
      <w:bookmarkStart w:id="35" w:name="_Hlk50986665"/>
      <w:bookmarkStart w:id="36" w:name="_Hlk52766744"/>
      <w:r w:rsidRPr="00691AAC">
        <w:rPr>
          <w:rFonts w:ascii="Arial" w:eastAsia="Arial" w:hAnsi="Arial" w:cs="Arial"/>
          <w:sz w:val="22"/>
          <w:szCs w:val="22"/>
        </w:rPr>
        <w:t xml:space="preserve">El inciso segundo del artículo 33 dispone de dos (2) grandes grupos de excepciones a la prohibición de contratar directamente en la época preelectoral. </w:t>
      </w:r>
      <w:r w:rsidRPr="00691AAC">
        <w:rPr>
          <w:rFonts w:ascii="Arial" w:eastAsia="Arial" w:hAnsi="Arial" w:cs="Arial"/>
          <w:i/>
          <w:iCs/>
          <w:sz w:val="22"/>
          <w:szCs w:val="22"/>
        </w:rPr>
        <w:t>Por un lado</w:t>
      </w:r>
      <w:r w:rsidRPr="00691AAC">
        <w:rPr>
          <w:rFonts w:ascii="Arial" w:eastAsia="Arial" w:hAnsi="Arial" w:cs="Arial"/>
          <w:sz w:val="22"/>
          <w:szCs w:val="22"/>
        </w:rPr>
        <w:t xml:space="preserve">, las que atienden el ejercicio de cierta función o la atención de determinada actividad particular y sin importar la calidad del ente que la cumpla o desarrolle. </w:t>
      </w:r>
      <w:r w:rsidRPr="00691AAC">
        <w:rPr>
          <w:rFonts w:ascii="Arial" w:eastAsia="Arial" w:hAnsi="Arial" w:cs="Arial"/>
          <w:i/>
          <w:iCs/>
          <w:sz w:val="22"/>
          <w:szCs w:val="22"/>
        </w:rPr>
        <w:t>Por otra parte</w:t>
      </w:r>
      <w:r w:rsidRPr="00691AAC">
        <w:rPr>
          <w:rFonts w:ascii="Arial" w:eastAsia="Arial" w:hAnsi="Arial" w:cs="Arial"/>
          <w:sz w:val="22"/>
          <w:szCs w:val="22"/>
        </w:rPr>
        <w:t xml:space="preserve">, las que aluden a las entidades sanitarias y hospitalarias acudiendo a un criterio eminentemente subjetivo, pese a que no limita la excepción a un tipo de entidad en particular, sino que ata su aplicación a la naturaleza del respectivo ente. Así, para determinar si la contratación de una entidad pública está exceptuada de la prohibición general para la contratación directa, el intérprete deberá analizar el caso concreto para establecer que se trata de una actividad </w:t>
      </w:r>
      <w:r w:rsidRPr="00691AAC">
        <w:rPr>
          <w:rFonts w:ascii="Arial" w:eastAsia="Arial" w:hAnsi="Arial" w:cs="Arial"/>
          <w:sz w:val="22"/>
          <w:szCs w:val="22"/>
        </w:rPr>
        <w:lastRenderedPageBreak/>
        <w:t>de las descritas en la norma o que se encuentra frente a una entidad de sanidad u hospitalaria.</w:t>
      </w:r>
    </w:p>
    <w:p w14:paraId="6F5A9552" w14:textId="77777777" w:rsidR="00D93661" w:rsidRPr="00691AAC" w:rsidRDefault="00D93661" w:rsidP="00D93661">
      <w:pPr>
        <w:spacing w:before="120" w:line="276" w:lineRule="auto"/>
        <w:ind w:firstLine="709"/>
        <w:jc w:val="both"/>
        <w:rPr>
          <w:rFonts w:ascii="Arial" w:eastAsia="Arial" w:hAnsi="Arial" w:cs="Arial"/>
          <w:sz w:val="22"/>
          <w:szCs w:val="22"/>
        </w:rPr>
      </w:pPr>
      <w:r w:rsidRPr="00691AAC">
        <w:rPr>
          <w:rFonts w:ascii="Arial" w:eastAsia="Arial" w:hAnsi="Arial" w:cs="Arial"/>
          <w:sz w:val="22"/>
          <w:szCs w:val="22"/>
        </w:rPr>
        <w:t xml:space="preserve"> En relación con las actividades descritas en el inciso segundo del artículo 33,</w:t>
      </w:r>
      <w:r w:rsidRPr="00691AAC">
        <w:rPr>
          <w:rFonts w:ascii="Arial" w:eastAsia="Arial" w:hAnsi="Arial" w:cs="Arial"/>
          <w:bCs/>
          <w:sz w:val="22"/>
          <w:szCs w:val="22"/>
        </w:rPr>
        <w:t xml:space="preserve"> no resulta relevante ni la nominación ni el régimen aplicable para la respectiva entidad, sino que basta con que la misma desarrolle cierto tipo de actividades cuya contratación, por su naturaleza especialmente sensible, no admiten postergación. Por ello, los departamentos podrán contratar directamente bajo esta excepción en la medida en que las actividades a ejecutar se traten de: </w:t>
      </w:r>
      <w:r w:rsidRPr="00691AAC">
        <w:rPr>
          <w:rFonts w:ascii="Arial" w:eastAsia="Arial" w:hAnsi="Arial" w:cs="Arial"/>
          <w:sz w:val="22"/>
          <w:szCs w:val="22"/>
        </w:rPr>
        <w:t>i) defensa y seguridad del Estado; ii) contratos de crédito público; iii) cubrir emergencias educativas, sanitarias y desastres; iv) reconstrucción de vías, puentes, carreteras, infraestructura energética y de comunicaciones, en caso de que hayan sido objeto de atentados, acciones terroristas, desastres naturales o casos de fuerza mayor.</w:t>
      </w:r>
    </w:p>
    <w:p w14:paraId="45CF0C4D" w14:textId="77150DA0" w:rsidR="00BE5743" w:rsidRPr="00691AAC" w:rsidRDefault="00D93661" w:rsidP="001F21B5">
      <w:pPr>
        <w:spacing w:before="120" w:line="276" w:lineRule="auto"/>
        <w:ind w:firstLine="709"/>
        <w:jc w:val="both"/>
        <w:rPr>
          <w:rFonts w:ascii="Arial" w:eastAsia="Arial" w:hAnsi="Arial" w:cs="Arial"/>
          <w:bCs/>
          <w:sz w:val="22"/>
          <w:szCs w:val="22"/>
        </w:rPr>
      </w:pPr>
      <w:r w:rsidRPr="00691AAC">
        <w:rPr>
          <w:rFonts w:ascii="Arial" w:hAnsi="Arial" w:cs="Arial"/>
          <w:bCs/>
          <w:sz w:val="22"/>
          <w:lang w:val="es-ES_tradnl"/>
        </w:rPr>
        <w:t xml:space="preserve"> </w:t>
      </w:r>
      <w:r w:rsidR="00BD47CA" w:rsidRPr="00691AAC">
        <w:rPr>
          <w:rFonts w:ascii="Arial" w:hAnsi="Arial" w:cs="Arial"/>
          <w:bCs/>
          <w:sz w:val="22"/>
          <w:lang w:val="es-ES_tradnl"/>
        </w:rPr>
        <w:t>Sobre el particular debe tenerse en cuenta que, c</w:t>
      </w:r>
      <w:r w:rsidRPr="00691AAC">
        <w:rPr>
          <w:rFonts w:ascii="Arial" w:hAnsi="Arial" w:cs="Arial"/>
          <w:bCs/>
          <w:sz w:val="22"/>
          <w:lang w:val="es-ES_tradnl"/>
        </w:rPr>
        <w:t xml:space="preserve">onforme al </w:t>
      </w:r>
      <w:r w:rsidRPr="00691AAC">
        <w:rPr>
          <w:rFonts w:ascii="Arial" w:eastAsia="Arial" w:hAnsi="Arial" w:cs="Arial"/>
          <w:bCs/>
          <w:sz w:val="22"/>
          <w:szCs w:val="22"/>
        </w:rPr>
        <w:t xml:space="preserve">artículo 2.8.8.1.1.3 del Decreto 780 de 2016, las </w:t>
      </w:r>
      <w:r w:rsidRPr="00691AAC">
        <w:rPr>
          <w:rFonts w:ascii="Arial" w:eastAsia="Arial" w:hAnsi="Arial" w:cs="Arial"/>
          <w:bCs/>
          <w:i/>
          <w:iCs/>
          <w:sz w:val="22"/>
          <w:szCs w:val="22"/>
        </w:rPr>
        <w:t>entidades sanitarias</w:t>
      </w:r>
      <w:r w:rsidRPr="00691AAC">
        <w:rPr>
          <w:rFonts w:ascii="Arial" w:eastAsia="Arial" w:hAnsi="Arial" w:cs="Arial"/>
          <w:bCs/>
          <w:sz w:val="22"/>
          <w:szCs w:val="22"/>
        </w:rPr>
        <w:t xml:space="preserve"> se definen como «Entidades del Estado que prestan servicios sanitarios o de sanidad con el propósito de preservar la salud humana y la salud pública» y las </w:t>
      </w:r>
      <w:r w:rsidRPr="00691AAC">
        <w:rPr>
          <w:rFonts w:ascii="Arial" w:eastAsia="Arial" w:hAnsi="Arial" w:cs="Arial"/>
          <w:bCs/>
          <w:i/>
          <w:iCs/>
          <w:sz w:val="22"/>
          <w:szCs w:val="22"/>
        </w:rPr>
        <w:t>autoridades sanitarias</w:t>
      </w:r>
      <w:r w:rsidRPr="00691AAC">
        <w:rPr>
          <w:rFonts w:ascii="Arial" w:eastAsia="Arial" w:hAnsi="Arial" w:cs="Arial"/>
          <w:bCs/>
          <w:sz w:val="22"/>
          <w:szCs w:val="22"/>
        </w:rPr>
        <w:t xml:space="preserve"> son «Entidades jurídicas de carácter público con atribuciones para ejercer funciones de rectoría, regulación, inspección, vigilancia y control de los sectores público y privado en salud y adoptar medidas de prevención y seguimiento que garanticen la protección de la salud pública». Sin embargo, es necesario tener en cuenta que la excepción del artículo 33 de la Ley de Garantías solo aplica a las </w:t>
      </w:r>
      <w:r w:rsidRPr="00691AAC">
        <w:rPr>
          <w:rFonts w:ascii="Arial" w:eastAsia="Arial" w:hAnsi="Arial" w:cs="Arial"/>
          <w:bCs/>
          <w:i/>
          <w:iCs/>
          <w:sz w:val="22"/>
          <w:szCs w:val="22"/>
        </w:rPr>
        <w:t>entidades sanitarias</w:t>
      </w:r>
      <w:r w:rsidRPr="00691AAC">
        <w:rPr>
          <w:rFonts w:ascii="Arial" w:eastAsia="Arial" w:hAnsi="Arial" w:cs="Arial"/>
          <w:bCs/>
          <w:sz w:val="22"/>
          <w:szCs w:val="22"/>
        </w:rPr>
        <w:t xml:space="preserve">, no a las </w:t>
      </w:r>
      <w:r w:rsidRPr="00691AAC">
        <w:rPr>
          <w:rFonts w:ascii="Arial" w:eastAsia="Arial" w:hAnsi="Arial" w:cs="Arial"/>
          <w:bCs/>
          <w:i/>
          <w:iCs/>
          <w:sz w:val="22"/>
          <w:szCs w:val="22"/>
        </w:rPr>
        <w:t>autoridades sanitarias</w:t>
      </w:r>
      <w:r w:rsidRPr="00691AAC">
        <w:rPr>
          <w:rFonts w:ascii="Arial" w:eastAsia="Arial" w:hAnsi="Arial" w:cs="Arial"/>
          <w:bCs/>
          <w:sz w:val="22"/>
          <w:szCs w:val="22"/>
        </w:rPr>
        <w:t xml:space="preserve">. </w:t>
      </w:r>
    </w:p>
    <w:p w14:paraId="665C3333" w14:textId="570DED8B" w:rsidR="00BD47CA" w:rsidRPr="00691AAC" w:rsidRDefault="00425D74" w:rsidP="001F21B5">
      <w:pPr>
        <w:spacing w:before="120" w:line="276" w:lineRule="auto"/>
        <w:ind w:firstLine="709"/>
        <w:jc w:val="both"/>
        <w:rPr>
          <w:rFonts w:ascii="Arial" w:eastAsia="Calibri" w:hAnsi="Arial" w:cs="Arial"/>
          <w:sz w:val="22"/>
        </w:rPr>
      </w:pPr>
      <w:r w:rsidRPr="00691AAC">
        <w:rPr>
          <w:rFonts w:ascii="Arial" w:eastAsia="Arial" w:hAnsi="Arial" w:cs="Arial"/>
          <w:bCs/>
          <w:sz w:val="22"/>
          <w:szCs w:val="22"/>
        </w:rPr>
        <w:t>E</w:t>
      </w:r>
      <w:r w:rsidR="00876C3A" w:rsidRPr="00691AAC">
        <w:rPr>
          <w:rFonts w:ascii="Arial" w:eastAsia="Arial" w:hAnsi="Arial" w:cs="Arial"/>
          <w:bCs/>
          <w:sz w:val="22"/>
          <w:szCs w:val="22"/>
        </w:rPr>
        <w:t xml:space="preserve">s necesario tener en cuenta que la excepción del artículo 33 de la Ley de Garantías solo aplica a las </w:t>
      </w:r>
      <w:r w:rsidR="00876C3A" w:rsidRPr="00691AAC">
        <w:rPr>
          <w:rFonts w:ascii="Arial" w:eastAsia="Arial" w:hAnsi="Arial" w:cs="Arial"/>
          <w:bCs/>
          <w:i/>
          <w:iCs/>
          <w:sz w:val="22"/>
          <w:szCs w:val="22"/>
        </w:rPr>
        <w:t>entidades sanitarias</w:t>
      </w:r>
      <w:r w:rsidR="00876C3A" w:rsidRPr="00691AAC">
        <w:rPr>
          <w:rFonts w:ascii="Arial" w:eastAsia="Arial" w:hAnsi="Arial" w:cs="Arial"/>
          <w:bCs/>
          <w:sz w:val="22"/>
          <w:szCs w:val="22"/>
        </w:rPr>
        <w:t xml:space="preserve">, no a las </w:t>
      </w:r>
      <w:r w:rsidR="00876C3A" w:rsidRPr="00691AAC">
        <w:rPr>
          <w:rFonts w:ascii="Arial" w:eastAsia="Arial" w:hAnsi="Arial" w:cs="Arial"/>
          <w:bCs/>
          <w:i/>
          <w:iCs/>
          <w:sz w:val="22"/>
          <w:szCs w:val="22"/>
        </w:rPr>
        <w:t>autoridades sanitarias</w:t>
      </w:r>
      <w:r w:rsidR="00876C3A" w:rsidRPr="00691AAC">
        <w:rPr>
          <w:rFonts w:ascii="Arial" w:eastAsia="Arial" w:hAnsi="Arial" w:cs="Arial"/>
          <w:bCs/>
          <w:sz w:val="22"/>
          <w:szCs w:val="22"/>
        </w:rPr>
        <w:t xml:space="preserve">. </w:t>
      </w:r>
      <w:r w:rsidRPr="00691AAC">
        <w:rPr>
          <w:rFonts w:ascii="Arial" w:eastAsia="Arial" w:hAnsi="Arial" w:cs="Arial"/>
          <w:bCs/>
          <w:sz w:val="22"/>
          <w:szCs w:val="22"/>
          <w:lang w:val="es-ES_tradnl"/>
        </w:rPr>
        <w:t>Por lo tanto</w:t>
      </w:r>
      <w:r w:rsidR="00BE5743" w:rsidRPr="00691AAC">
        <w:rPr>
          <w:rFonts w:ascii="Arial" w:eastAsia="Arial" w:hAnsi="Arial" w:cs="Arial"/>
          <w:bCs/>
          <w:sz w:val="22"/>
          <w:szCs w:val="22"/>
          <w:lang w:val="es-ES_tradnl"/>
        </w:rPr>
        <w:t xml:space="preserve">, para efectos de la excepción del artículo 33 es indiferente que la entidad estatal tenga funciones de </w:t>
      </w:r>
      <w:r w:rsidR="00BE5743" w:rsidRPr="00691AAC">
        <w:rPr>
          <w:rFonts w:ascii="Arial" w:eastAsia="Arial" w:hAnsi="Arial" w:cs="Arial"/>
          <w:bCs/>
          <w:i/>
          <w:iCs/>
          <w:sz w:val="22"/>
          <w:szCs w:val="22"/>
          <w:lang w:val="es-ES_tradnl"/>
        </w:rPr>
        <w:t>autoridad sanitaria</w:t>
      </w:r>
      <w:r w:rsidR="00BE5743" w:rsidRPr="00691AAC">
        <w:rPr>
          <w:rFonts w:ascii="Arial" w:eastAsia="Arial" w:hAnsi="Arial" w:cs="Arial"/>
          <w:bCs/>
          <w:sz w:val="22"/>
          <w:szCs w:val="22"/>
          <w:lang w:val="es-ES_tradnl"/>
        </w:rPr>
        <w:t xml:space="preserve">, pues lo relevante para determinar si la contratación está exceptuada de la prohibición general no es el carácter de autoridad sanitaria, sino que se trate de una </w:t>
      </w:r>
      <w:r w:rsidR="00BE5743" w:rsidRPr="00691AAC">
        <w:rPr>
          <w:rFonts w:ascii="Arial" w:eastAsia="Arial" w:hAnsi="Arial" w:cs="Arial"/>
          <w:bCs/>
          <w:i/>
          <w:iCs/>
          <w:sz w:val="22"/>
          <w:szCs w:val="22"/>
          <w:lang w:val="es-ES_tradnl"/>
        </w:rPr>
        <w:t>entidad sanitaria</w:t>
      </w:r>
      <w:r w:rsidR="00BE5743" w:rsidRPr="00691AAC">
        <w:rPr>
          <w:rFonts w:ascii="Arial" w:eastAsia="Arial" w:hAnsi="Arial" w:cs="Arial"/>
          <w:bCs/>
          <w:sz w:val="22"/>
          <w:szCs w:val="22"/>
          <w:lang w:val="es-ES_tradnl"/>
        </w:rPr>
        <w:t>.</w:t>
      </w:r>
      <w:r w:rsidRPr="00691AAC">
        <w:rPr>
          <w:rFonts w:ascii="Arial" w:eastAsia="Arial" w:hAnsi="Arial" w:cs="Arial"/>
          <w:bCs/>
          <w:sz w:val="22"/>
          <w:szCs w:val="22"/>
          <w:lang w:val="es-ES_tradnl"/>
        </w:rPr>
        <w:t xml:space="preserve"> </w:t>
      </w:r>
      <w:r w:rsidRPr="00691AAC">
        <w:rPr>
          <w:rFonts w:ascii="Arial" w:eastAsia="Calibri" w:hAnsi="Arial" w:cs="Arial"/>
          <w:sz w:val="22"/>
        </w:rPr>
        <w:t xml:space="preserve">De acuerdo con </w:t>
      </w:r>
      <w:r w:rsidR="00BD47CA" w:rsidRPr="00691AAC">
        <w:rPr>
          <w:rFonts w:ascii="Arial" w:eastAsia="Calibri" w:hAnsi="Arial" w:cs="Arial"/>
          <w:sz w:val="22"/>
        </w:rPr>
        <w:t>el Decreto 333 del 2005 expedido por el Gobernador de Arauca, la Unidad Administrativa Especial de Salud de Arauca es una entidad descentralizada adscrita a la Secretaría Departamental de Planeación Departamental, cuyo objeto es «[…] dirigir, coordinar y vigilar el sector salud y el Sistema General de Seguridad Social en Salud en el Departamento de Arauca atendiendo los disposiciones nacionales sobre la materia»</w:t>
      </w:r>
      <w:r w:rsidR="00B36832">
        <w:rPr>
          <w:rFonts w:ascii="Arial" w:eastAsia="Calibri" w:hAnsi="Arial" w:cs="Arial"/>
          <w:sz w:val="22"/>
        </w:rPr>
        <w:t xml:space="preserve">. </w:t>
      </w:r>
      <w:r w:rsidR="00CB0F85" w:rsidRPr="00691AAC">
        <w:rPr>
          <w:rFonts w:ascii="Arial" w:eastAsia="Calibri" w:hAnsi="Arial" w:cs="Arial"/>
          <w:sz w:val="22"/>
        </w:rPr>
        <w:t xml:space="preserve"> </w:t>
      </w:r>
      <w:r w:rsidR="00810C5F" w:rsidRPr="00691AAC">
        <w:rPr>
          <w:rFonts w:ascii="Arial" w:eastAsia="Calibri" w:hAnsi="Arial" w:cs="Arial"/>
          <w:sz w:val="22"/>
        </w:rPr>
        <w:t xml:space="preserve"> </w:t>
      </w:r>
      <w:r w:rsidRPr="00691AAC">
        <w:rPr>
          <w:rFonts w:ascii="Arial" w:eastAsia="Calibri" w:hAnsi="Arial" w:cs="Arial"/>
          <w:sz w:val="22"/>
        </w:rPr>
        <w:t xml:space="preserve"> </w:t>
      </w:r>
      <w:r w:rsidR="00BD47CA" w:rsidRPr="00691AAC">
        <w:rPr>
          <w:rFonts w:ascii="Arial" w:eastAsia="Calibri" w:hAnsi="Arial" w:cs="Arial"/>
          <w:sz w:val="22"/>
        </w:rPr>
        <w:t xml:space="preserve"> </w:t>
      </w:r>
    </w:p>
    <w:p w14:paraId="4522D473" w14:textId="3A480A0C" w:rsidR="00612C53" w:rsidRPr="00691AAC" w:rsidRDefault="00CB0F85" w:rsidP="004102D2">
      <w:pPr>
        <w:spacing w:before="120" w:line="276" w:lineRule="auto"/>
        <w:ind w:firstLine="708"/>
        <w:jc w:val="both"/>
        <w:rPr>
          <w:rFonts w:ascii="Arial" w:eastAsia="Arial" w:hAnsi="Arial" w:cs="Arial"/>
          <w:color w:val="161616" w:themeColor="background1" w:themeShade="1A"/>
          <w:sz w:val="22"/>
          <w:szCs w:val="22"/>
          <w:lang w:val="es-ES_tradnl"/>
        </w:rPr>
      </w:pPr>
      <w:r w:rsidRPr="00691AAC">
        <w:rPr>
          <w:rFonts w:ascii="Arial" w:hAnsi="Arial" w:cs="Arial"/>
          <w:bCs/>
          <w:sz w:val="22"/>
          <w:szCs w:val="22"/>
          <w:lang w:val="es-ES_tradnl" w:eastAsia="es-CO"/>
        </w:rPr>
        <w:t xml:space="preserve">En todo caso, corresponde a cada entidad estatal realizar el correspondiente análisis para determinar si aplica o no una determinada excepción de acuerdo con la situación fáctica y jurídica particular del caso concreto, para lo cual las consideraciones expuestas en el presente concepto constituyen un instrumento orientador. </w:t>
      </w:r>
      <w:r w:rsidR="00F64376" w:rsidRPr="00691AAC">
        <w:rPr>
          <w:rFonts w:ascii="Arial" w:hAnsi="Arial" w:cs="Arial"/>
          <w:bCs/>
          <w:sz w:val="22"/>
          <w:szCs w:val="22"/>
          <w:lang w:val="es-ES_tradnl" w:eastAsia="es-CO"/>
        </w:rPr>
        <w:t>De</w:t>
      </w:r>
      <w:r w:rsidRPr="00691AAC">
        <w:rPr>
          <w:rFonts w:ascii="Arial" w:hAnsi="Arial" w:cs="Arial"/>
          <w:bCs/>
          <w:sz w:val="22"/>
          <w:szCs w:val="22"/>
          <w:lang w:val="es-ES_tradnl" w:eastAsia="es-CO"/>
        </w:rPr>
        <w:t xml:space="preserve"> encontrar</w:t>
      </w:r>
      <w:r w:rsidR="00F64376" w:rsidRPr="00691AAC">
        <w:rPr>
          <w:rFonts w:ascii="Arial" w:hAnsi="Arial" w:cs="Arial"/>
          <w:bCs/>
          <w:sz w:val="22"/>
          <w:szCs w:val="22"/>
          <w:lang w:val="es-ES_tradnl" w:eastAsia="es-CO"/>
        </w:rPr>
        <w:t>se</w:t>
      </w:r>
      <w:r w:rsidRPr="00691AAC">
        <w:rPr>
          <w:rFonts w:ascii="Arial" w:hAnsi="Arial" w:cs="Arial"/>
          <w:bCs/>
          <w:sz w:val="22"/>
          <w:szCs w:val="22"/>
          <w:lang w:val="es-ES_tradnl" w:eastAsia="es-CO"/>
        </w:rPr>
        <w:t xml:space="preserve"> procedente la excepción, bien podrá la entidad realizar la contratación directa, dejando constancia de las razones que justifican su </w:t>
      </w:r>
      <w:r w:rsidR="00F64376" w:rsidRPr="00691AAC">
        <w:rPr>
          <w:rFonts w:ascii="Arial" w:hAnsi="Arial" w:cs="Arial"/>
          <w:bCs/>
          <w:sz w:val="22"/>
          <w:szCs w:val="22"/>
          <w:lang w:val="es-ES_tradnl" w:eastAsia="es-CO"/>
        </w:rPr>
        <w:t>viabilidad</w:t>
      </w:r>
      <w:r w:rsidRPr="00691AAC">
        <w:rPr>
          <w:rFonts w:ascii="Arial" w:hAnsi="Arial" w:cs="Arial"/>
          <w:bCs/>
          <w:sz w:val="22"/>
          <w:szCs w:val="22"/>
          <w:lang w:val="es-ES_tradnl" w:eastAsia="es-CO"/>
        </w:rPr>
        <w:t xml:space="preserve"> a pesar de la restricción. Por el </w:t>
      </w:r>
      <w:r w:rsidR="00691AAC" w:rsidRPr="00691AAC">
        <w:rPr>
          <w:rFonts w:ascii="Arial" w:hAnsi="Arial" w:cs="Arial"/>
          <w:bCs/>
          <w:sz w:val="22"/>
          <w:szCs w:val="22"/>
          <w:lang w:val="es-ES_tradnl" w:eastAsia="es-CO"/>
        </w:rPr>
        <w:lastRenderedPageBreak/>
        <w:t>contrario,</w:t>
      </w:r>
      <w:r w:rsidR="00F64376" w:rsidRPr="00691AAC">
        <w:rPr>
          <w:rFonts w:ascii="Arial" w:hAnsi="Arial" w:cs="Arial"/>
          <w:bCs/>
          <w:sz w:val="22"/>
          <w:szCs w:val="22"/>
          <w:lang w:val="es-ES_tradnl" w:eastAsia="es-CO"/>
        </w:rPr>
        <w:t xml:space="preserve"> </w:t>
      </w:r>
      <w:r w:rsidRPr="00691AAC">
        <w:rPr>
          <w:rFonts w:ascii="Arial" w:hAnsi="Arial" w:cs="Arial"/>
          <w:bCs/>
          <w:sz w:val="22"/>
          <w:szCs w:val="22"/>
          <w:lang w:val="es-ES_tradnl" w:eastAsia="es-CO"/>
        </w:rPr>
        <w:t>si el estudio determina que no aplica excepción alguna, deberá abstenerse la respectiva entidad de celebrar contratos de manera directa, pero bien podrá acudir a los procesos competitivos que resulten procedentes, los cuales no se encuentran restringidos por el artículo 33 de la Ley 996 de 2005.</w:t>
      </w:r>
      <w:r w:rsidR="00A568F2" w:rsidRPr="00691AAC">
        <w:rPr>
          <w:rFonts w:ascii="Arial" w:hAnsi="Arial" w:cs="Arial"/>
          <w:bCs/>
          <w:sz w:val="22"/>
          <w:szCs w:val="22"/>
          <w:lang w:val="es-ES_tradnl" w:eastAsia="es-CO"/>
        </w:rPr>
        <w:t xml:space="preserve"> Por demás se advierte que, </w:t>
      </w:r>
      <w:r w:rsidR="006421F8" w:rsidRPr="00691AAC">
        <w:rPr>
          <w:rFonts w:ascii="Arial" w:hAnsi="Arial" w:cs="Arial"/>
          <w:bCs/>
          <w:sz w:val="22"/>
          <w:szCs w:val="22"/>
          <w:lang w:val="es-ES_tradnl" w:eastAsia="es-CO"/>
        </w:rPr>
        <w:t xml:space="preserve">los límites de </w:t>
      </w:r>
      <w:r w:rsidR="00A568F2" w:rsidRPr="00691AAC">
        <w:rPr>
          <w:rFonts w:ascii="Arial" w:eastAsia="Arial" w:hAnsi="Arial" w:cs="Arial"/>
          <w:color w:val="161616" w:themeColor="background1" w:themeShade="1A"/>
          <w:sz w:val="22"/>
          <w:szCs w:val="22"/>
          <w:lang w:val="es-ES_tradnl"/>
        </w:rPr>
        <w:t xml:space="preserve">la competencia consultiva atribuida por los </w:t>
      </w:r>
      <w:r w:rsidR="00D93661" w:rsidRPr="00691AAC">
        <w:rPr>
          <w:rFonts w:ascii="Arial" w:eastAsia="Arial" w:hAnsi="Arial" w:cs="Arial"/>
          <w:color w:val="161616" w:themeColor="background1" w:themeShade="1A"/>
          <w:sz w:val="22"/>
          <w:szCs w:val="22"/>
          <w:lang w:val="es-ES_tradnl"/>
        </w:rPr>
        <w:t xml:space="preserve">artículos 3, numeral 5, 11, numeral 8, 12, numeral 6, y 13, numeral 4, del Decreto 4170 de 2011, </w:t>
      </w:r>
      <w:r w:rsidR="006421F8" w:rsidRPr="00691AAC">
        <w:rPr>
          <w:rFonts w:ascii="Arial" w:eastAsia="Arial" w:hAnsi="Arial" w:cs="Arial"/>
          <w:color w:val="161616" w:themeColor="background1" w:themeShade="1A"/>
          <w:sz w:val="22"/>
          <w:szCs w:val="22"/>
          <w:lang w:val="es-ES_tradnl"/>
        </w:rPr>
        <w:t xml:space="preserve">no le permiten a esta Agencia </w:t>
      </w:r>
      <w:r w:rsidR="00691AAC">
        <w:rPr>
          <w:rFonts w:ascii="Arial" w:eastAsia="Arial" w:hAnsi="Arial" w:cs="Arial"/>
          <w:color w:val="161616" w:themeColor="background1" w:themeShade="1A"/>
          <w:sz w:val="22"/>
          <w:szCs w:val="22"/>
          <w:lang w:val="es-ES_tradnl"/>
        </w:rPr>
        <w:t xml:space="preserve">establecer </w:t>
      </w:r>
      <w:r w:rsidR="006421F8" w:rsidRPr="00691AAC">
        <w:rPr>
          <w:rFonts w:ascii="Arial" w:eastAsia="Arial" w:hAnsi="Arial" w:cs="Arial"/>
          <w:color w:val="161616" w:themeColor="background1" w:themeShade="1A"/>
          <w:sz w:val="22"/>
          <w:szCs w:val="22"/>
          <w:lang w:val="es-ES_tradnl"/>
        </w:rPr>
        <w:t>que contratos puede o no celebrar un</w:t>
      </w:r>
      <w:r w:rsidR="00691AAC">
        <w:rPr>
          <w:rFonts w:ascii="Arial" w:eastAsia="Arial" w:hAnsi="Arial" w:cs="Arial"/>
          <w:color w:val="161616" w:themeColor="background1" w:themeShade="1A"/>
          <w:sz w:val="22"/>
          <w:szCs w:val="22"/>
          <w:lang w:val="es-ES_tradnl"/>
        </w:rPr>
        <w:t>a</w:t>
      </w:r>
      <w:r w:rsidR="006421F8" w:rsidRPr="00691AAC">
        <w:rPr>
          <w:rFonts w:ascii="Arial" w:eastAsia="Arial" w:hAnsi="Arial" w:cs="Arial"/>
          <w:color w:val="161616" w:themeColor="background1" w:themeShade="1A"/>
          <w:sz w:val="22"/>
          <w:szCs w:val="22"/>
          <w:lang w:val="es-ES_tradnl"/>
        </w:rPr>
        <w:t xml:space="preserve"> entidad pública</w:t>
      </w:r>
      <w:r w:rsidR="00691AAC">
        <w:rPr>
          <w:rFonts w:ascii="Arial" w:eastAsia="Arial" w:hAnsi="Arial" w:cs="Arial"/>
          <w:color w:val="161616" w:themeColor="background1" w:themeShade="1A"/>
          <w:sz w:val="22"/>
          <w:szCs w:val="22"/>
          <w:lang w:val="es-ES_tradnl"/>
        </w:rPr>
        <w:t xml:space="preserve"> en el marco de sus gestión contractual</w:t>
      </w:r>
      <w:r w:rsidR="006421F8" w:rsidRPr="00691AAC">
        <w:rPr>
          <w:rFonts w:ascii="Arial" w:eastAsia="Arial" w:hAnsi="Arial" w:cs="Arial"/>
          <w:color w:val="161616" w:themeColor="background1" w:themeShade="1A"/>
          <w:sz w:val="22"/>
          <w:szCs w:val="22"/>
          <w:lang w:val="es-ES_tradnl"/>
        </w:rPr>
        <w:t xml:space="preserve">. </w:t>
      </w:r>
    </w:p>
    <w:p w14:paraId="33EE2493" w14:textId="586FBAC3" w:rsidR="001218B7" w:rsidRDefault="001218B7" w:rsidP="004102D2">
      <w:pPr>
        <w:spacing w:line="276" w:lineRule="auto"/>
        <w:ind w:right="77" w:firstLine="708"/>
        <w:jc w:val="both"/>
        <w:rPr>
          <w:rFonts w:ascii="Arial" w:eastAsia="Arial" w:hAnsi="Arial" w:cs="Arial"/>
          <w:color w:val="161616" w:themeColor="background1" w:themeShade="1A"/>
          <w:sz w:val="22"/>
          <w:szCs w:val="22"/>
          <w:lang w:val="es-ES_tradnl"/>
        </w:rPr>
      </w:pPr>
    </w:p>
    <w:p w14:paraId="78532118" w14:textId="77777777" w:rsidR="00C516B0" w:rsidRPr="00691AAC" w:rsidRDefault="00C516B0" w:rsidP="00D441AC">
      <w:pPr>
        <w:spacing w:line="300" w:lineRule="auto"/>
        <w:jc w:val="both"/>
        <w:rPr>
          <w:rFonts w:ascii="Arial" w:eastAsia="Arial" w:hAnsi="Arial" w:cs="Arial"/>
          <w:color w:val="161616" w:themeColor="background1" w:themeShade="1A"/>
          <w:sz w:val="22"/>
          <w:szCs w:val="22"/>
          <w:lang w:val="es-ES_tradnl"/>
        </w:rPr>
      </w:pPr>
      <w:r w:rsidRPr="00691AAC">
        <w:rPr>
          <w:rFonts w:ascii="Arial" w:eastAsia="Arial" w:hAnsi="Arial" w:cs="Arial"/>
          <w:color w:val="161616" w:themeColor="background1" w:themeShade="1A"/>
          <w:sz w:val="22"/>
          <w:szCs w:val="22"/>
          <w:lang w:val="es-ES_tradnl"/>
        </w:rPr>
        <w:t>Este concepto tiene el alcance previsto en el artículo 28 del Código de Procedimiento Administrativo y de lo Contencioso Administrativo.</w:t>
      </w:r>
    </w:p>
    <w:p w14:paraId="73353508" w14:textId="7D7D7DD5" w:rsidR="00EE6A82" w:rsidRPr="00691AAC" w:rsidRDefault="00EE6A82" w:rsidP="001F21B5">
      <w:pPr>
        <w:spacing w:before="120" w:line="300" w:lineRule="auto"/>
        <w:jc w:val="both"/>
        <w:rPr>
          <w:rFonts w:ascii="Arial" w:hAnsi="Arial" w:cs="Arial"/>
          <w:color w:val="161616" w:themeColor="background1" w:themeShade="1A"/>
          <w:sz w:val="22"/>
          <w:szCs w:val="22"/>
          <w:lang w:val="es-ES_tradnl" w:eastAsia="es-CO"/>
        </w:rPr>
      </w:pPr>
      <w:r w:rsidRPr="00691AAC">
        <w:rPr>
          <w:rFonts w:ascii="Arial" w:hAnsi="Arial" w:cs="Arial"/>
          <w:color w:val="161616" w:themeColor="background1" w:themeShade="1A"/>
          <w:sz w:val="22"/>
          <w:szCs w:val="22"/>
          <w:lang w:val="es-ES_tradnl" w:eastAsia="es-CO"/>
        </w:rPr>
        <w:t>Atentamente,</w:t>
      </w:r>
    </w:p>
    <w:bookmarkEnd w:id="8"/>
    <w:bookmarkEnd w:id="35"/>
    <w:bookmarkEnd w:id="36"/>
    <w:p w14:paraId="35B56F46" w14:textId="281A51DC" w:rsidR="00746E08" w:rsidRPr="00691AAC" w:rsidRDefault="00267C8B" w:rsidP="0022167B">
      <w:pPr>
        <w:jc w:val="center"/>
        <w:rPr>
          <w:rFonts w:ascii="Arial" w:hAnsi="Arial" w:cs="Arial"/>
          <w:color w:val="161616" w:themeColor="background1" w:themeShade="1A"/>
          <w:sz w:val="22"/>
          <w:szCs w:val="22"/>
          <w:lang w:val="es-ES_tradnl" w:eastAsia="es-CO"/>
        </w:rPr>
      </w:pPr>
      <w:r>
        <w:rPr>
          <w:rFonts w:ascii="Arial" w:hAnsi="Arial" w:cs="Arial"/>
          <w:noProof/>
          <w:color w:val="000000"/>
          <w:sz w:val="22"/>
          <w:shd w:val="clear" w:color="auto" w:fill="FFFFFF"/>
          <w:lang w:val="es-ES"/>
        </w:rPr>
        <w:drawing>
          <wp:inline distT="0" distB="0" distL="0" distR="0" wp14:anchorId="14C32AE8" wp14:editId="1E51D2C9">
            <wp:extent cx="2466975" cy="104954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87860" cy="1058431"/>
                    </a:xfrm>
                    <a:prstGeom prst="rect">
                      <a:avLst/>
                    </a:prstGeom>
                    <a:noFill/>
                    <a:ln>
                      <a:noFill/>
                    </a:ln>
                  </pic:spPr>
                </pic:pic>
              </a:graphicData>
            </a:graphic>
          </wp:inline>
        </w:drawing>
      </w:r>
    </w:p>
    <w:tbl>
      <w:tblPr>
        <w:tblStyle w:val="Tablaconcuadrcula1"/>
        <w:tblpPr w:leftFromText="141" w:rightFromText="141" w:vertAnchor="text" w:horzAnchor="margin" w:tblpY="2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365559" w:rsidRPr="00691AAC" w14:paraId="4CCF77F6" w14:textId="77777777" w:rsidTr="00EA4372">
        <w:trPr>
          <w:trHeight w:val="286"/>
        </w:trPr>
        <w:tc>
          <w:tcPr>
            <w:tcW w:w="817" w:type="dxa"/>
            <w:vAlign w:val="center"/>
          </w:tcPr>
          <w:p w14:paraId="5E8C42ED"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Elaboró:</w:t>
            </w:r>
          </w:p>
        </w:tc>
        <w:tc>
          <w:tcPr>
            <w:tcW w:w="4445" w:type="dxa"/>
            <w:tcBorders>
              <w:bottom w:val="dotted" w:sz="4" w:space="0" w:color="7F7F7F"/>
            </w:tcBorders>
            <w:vAlign w:val="center"/>
          </w:tcPr>
          <w:p w14:paraId="45F069FF"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 xml:space="preserve">Diana Fabiola Herrera Hernández </w:t>
            </w:r>
          </w:p>
          <w:p w14:paraId="331F24B1"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Contratista de la Subdirección de Gestión Contractual</w:t>
            </w:r>
          </w:p>
        </w:tc>
      </w:tr>
      <w:tr w:rsidR="00365559" w:rsidRPr="00691AAC" w14:paraId="15F783E9" w14:textId="77777777" w:rsidTr="00EA4372">
        <w:trPr>
          <w:trHeight w:val="299"/>
        </w:trPr>
        <w:tc>
          <w:tcPr>
            <w:tcW w:w="817" w:type="dxa"/>
            <w:vAlign w:val="center"/>
          </w:tcPr>
          <w:p w14:paraId="4E39F427"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Revisó:</w:t>
            </w:r>
          </w:p>
        </w:tc>
        <w:tc>
          <w:tcPr>
            <w:tcW w:w="4445" w:type="dxa"/>
            <w:tcBorders>
              <w:top w:val="dotted" w:sz="4" w:space="0" w:color="7F7F7F"/>
              <w:bottom w:val="dotted" w:sz="4" w:space="0" w:color="7F7F7F"/>
            </w:tcBorders>
            <w:vAlign w:val="center"/>
          </w:tcPr>
          <w:p w14:paraId="20586991"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Alejandro Sarmiento Cantillo</w:t>
            </w:r>
          </w:p>
          <w:p w14:paraId="7AD69AA4"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Gestor T1-15 de la Subdirección de Gestión Contractual</w:t>
            </w:r>
          </w:p>
        </w:tc>
      </w:tr>
      <w:tr w:rsidR="00365559" w:rsidRPr="00691AAC" w14:paraId="641F9728" w14:textId="77777777" w:rsidTr="00EA4372">
        <w:trPr>
          <w:trHeight w:val="272"/>
        </w:trPr>
        <w:tc>
          <w:tcPr>
            <w:tcW w:w="817" w:type="dxa"/>
            <w:vAlign w:val="center"/>
          </w:tcPr>
          <w:p w14:paraId="538C3EB6" w14:textId="77777777" w:rsidR="00365559" w:rsidRPr="00691AAC" w:rsidRDefault="00365559" w:rsidP="00EA4372">
            <w:pPr>
              <w:rPr>
                <w:rFonts w:ascii="Arial" w:hAnsi="Arial" w:cs="Arial"/>
                <w:sz w:val="16"/>
                <w:szCs w:val="16"/>
                <w:lang w:eastAsia="es-ES"/>
              </w:rPr>
            </w:pPr>
            <w:r w:rsidRPr="00691AAC">
              <w:rPr>
                <w:rFonts w:ascii="Arial" w:hAnsi="Arial" w:cs="Arial"/>
                <w:sz w:val="16"/>
                <w:szCs w:val="16"/>
                <w:lang w:eastAsia="es-ES"/>
              </w:rPr>
              <w:t>Aprobó:</w:t>
            </w:r>
          </w:p>
        </w:tc>
        <w:tc>
          <w:tcPr>
            <w:tcW w:w="4445" w:type="dxa"/>
            <w:tcBorders>
              <w:top w:val="dotted" w:sz="4" w:space="0" w:color="7F7F7F"/>
              <w:bottom w:val="dotted" w:sz="4" w:space="0" w:color="7F7F7F"/>
            </w:tcBorders>
            <w:vAlign w:val="center"/>
          </w:tcPr>
          <w:p w14:paraId="5BD5396C" w14:textId="77777777" w:rsidR="00DC0208" w:rsidRPr="00E21A8A" w:rsidRDefault="00DC0208" w:rsidP="00DC0208">
            <w:pPr>
              <w:jc w:val="both"/>
              <w:rPr>
                <w:rFonts w:ascii="Arial" w:hAnsi="Arial" w:cs="Arial"/>
                <w:color w:val="000000" w:themeColor="text1"/>
                <w:sz w:val="16"/>
                <w:szCs w:val="16"/>
                <w:lang w:val="es-ES_tradnl" w:eastAsia="es-ES"/>
              </w:rPr>
            </w:pPr>
            <w:r w:rsidRPr="00E21A8A">
              <w:rPr>
                <w:rFonts w:ascii="Arial" w:hAnsi="Arial" w:cs="Arial"/>
                <w:color w:val="000000" w:themeColor="text1"/>
                <w:sz w:val="16"/>
                <w:szCs w:val="16"/>
                <w:lang w:val="es-ES_tradnl" w:eastAsia="es-ES"/>
              </w:rPr>
              <w:t>Andrés Ricardo Mancipe González</w:t>
            </w:r>
          </w:p>
          <w:p w14:paraId="52781738" w14:textId="1B3868FA" w:rsidR="00365559" w:rsidRPr="00691AAC" w:rsidRDefault="00DC0208" w:rsidP="00EA4372">
            <w:pPr>
              <w:rPr>
                <w:rFonts w:ascii="Arial" w:hAnsi="Arial" w:cs="Arial"/>
                <w:sz w:val="16"/>
                <w:szCs w:val="16"/>
                <w:lang w:eastAsia="es-ES"/>
              </w:rPr>
            </w:pPr>
            <w:r w:rsidRPr="00E21A8A">
              <w:rPr>
                <w:rFonts w:ascii="Arial" w:hAnsi="Arial" w:cs="Arial"/>
                <w:color w:val="000000" w:themeColor="text1"/>
                <w:sz w:val="16"/>
                <w:szCs w:val="16"/>
                <w:lang w:val="es-ES_tradnl" w:eastAsia="es-ES"/>
              </w:rPr>
              <w:t>Subdirector de Gestión Contractual ANCP – CCE (E)</w:t>
            </w:r>
          </w:p>
        </w:tc>
      </w:tr>
    </w:tbl>
    <w:p w14:paraId="46A2D6C9" w14:textId="77777777" w:rsidR="00123BE2" w:rsidRPr="00691AAC" w:rsidRDefault="00123BE2" w:rsidP="0022167B">
      <w:pPr>
        <w:rPr>
          <w:rFonts w:ascii="Arial" w:hAnsi="Arial" w:cs="Arial"/>
          <w:color w:val="161616" w:themeColor="background1" w:themeShade="1A"/>
          <w:sz w:val="22"/>
          <w:szCs w:val="22"/>
          <w:lang w:val="es-ES_tradnl"/>
        </w:rPr>
      </w:pPr>
    </w:p>
    <w:sectPr w:rsidR="00123BE2" w:rsidRPr="00691AAC"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BDD90A" w14:textId="77777777" w:rsidR="00DA2124" w:rsidRDefault="00DA2124">
      <w:r>
        <w:separator/>
      </w:r>
    </w:p>
  </w:endnote>
  <w:endnote w:type="continuationSeparator" w:id="0">
    <w:p w14:paraId="2805F027" w14:textId="77777777" w:rsidR="00DA2124" w:rsidRDefault="00DA2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9</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801C7">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EF64D8" w:rsidRDefault="434D2F1C" w:rsidP="00322937">
    <w:pPr>
      <w:pStyle w:val="Piedepgina"/>
      <w:jc w:val="center"/>
      <w:rPr>
        <w:lang w:val="es-ES"/>
      </w:rPr>
    </w:pPr>
    <w:r>
      <w:rPr>
        <w:noProof/>
        <w:lang w:val="es-CO" w:eastAsia="es-CO"/>
      </w:rPr>
      <w:drawing>
        <wp:inline distT="0" distB="0" distL="0" distR="0" wp14:anchorId="608B196D" wp14:editId="40ED6A14">
          <wp:extent cx="3700130" cy="519139"/>
          <wp:effectExtent l="0" t="0" r="0" b="0"/>
          <wp:docPr id="35860387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F7B3B" w14:textId="77777777" w:rsidR="00DA2124" w:rsidRDefault="00DA2124">
      <w:r>
        <w:separator/>
      </w:r>
    </w:p>
  </w:footnote>
  <w:footnote w:type="continuationSeparator" w:id="0">
    <w:p w14:paraId="35A23A6D" w14:textId="77777777" w:rsidR="00DA2124" w:rsidRDefault="00DA2124">
      <w:r>
        <w:continuationSeparator/>
      </w:r>
    </w:p>
  </w:footnote>
  <w:footnote w:id="1">
    <w:p w14:paraId="10FA3736" w14:textId="5E20058D" w:rsidR="0032144D" w:rsidRPr="004102D2" w:rsidRDefault="0032144D" w:rsidP="004102D2">
      <w:pPr>
        <w:pStyle w:val="Textonotapie"/>
        <w:spacing w:line="240" w:lineRule="auto"/>
        <w:ind w:firstLine="709"/>
        <w:rPr>
          <w:rFonts w:ascii="Arial" w:hAnsi="Arial" w:cs="Arial"/>
          <w:sz w:val="19"/>
          <w:szCs w:val="19"/>
        </w:rPr>
      </w:pPr>
      <w:r w:rsidRPr="004102D2">
        <w:rPr>
          <w:rStyle w:val="Refdenotaalpie"/>
          <w:rFonts w:ascii="Arial" w:hAnsi="Arial" w:cs="Arial"/>
          <w:sz w:val="19"/>
          <w:szCs w:val="19"/>
        </w:rPr>
        <w:footnoteRef/>
      </w:r>
      <w:r w:rsidRPr="004102D2">
        <w:rPr>
          <w:rFonts w:ascii="Arial" w:hAnsi="Arial" w:cs="Arial"/>
          <w:sz w:val="19"/>
          <w:szCs w:val="19"/>
        </w:rPr>
        <w:t xml:space="preserve"> </w:t>
      </w:r>
      <w:r w:rsidRPr="00F223B3">
        <w:rPr>
          <w:rFonts w:ascii="Arial" w:hAnsi="Arial" w:cs="Arial"/>
          <w:sz w:val="19"/>
          <w:szCs w:val="19"/>
        </w:rPr>
        <w:t xml:space="preserve">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F223B3">
        <w:rPr>
          <w:rFonts w:ascii="Arial" w:hAnsi="Arial" w:cs="Arial"/>
          <w:i/>
          <w:iCs/>
          <w:sz w:val="19"/>
          <w:szCs w:val="19"/>
        </w:rPr>
        <w:t xml:space="preserve">ibidem </w:t>
      </w:r>
      <w:r w:rsidRPr="00F223B3">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3A666D33" w14:textId="77777777" w:rsidR="00B40486" w:rsidRPr="00F223B3" w:rsidRDefault="00B40486" w:rsidP="004102D2">
      <w:pPr>
        <w:pBdr>
          <w:top w:val="nil"/>
          <w:left w:val="nil"/>
          <w:bottom w:val="nil"/>
          <w:right w:val="nil"/>
          <w:between w:val="nil"/>
        </w:pBdr>
        <w:spacing w:after="120"/>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El artículo 127 de la Constitución Política señala</w:t>
      </w:r>
      <w:bookmarkStart w:id="10" w:name="_Hlk98878101"/>
      <w:r w:rsidRPr="00F223B3">
        <w:rPr>
          <w:rFonts w:ascii="Arial" w:eastAsia="Arial" w:hAnsi="Arial" w:cs="Arial"/>
          <w:color w:val="000000" w:themeColor="text1"/>
          <w:sz w:val="19"/>
          <w:szCs w:val="19"/>
        </w:rPr>
        <w:t xml:space="preserve">: «Los servidores públicos no podrán celebrar, por si o por interpuesta persona, o en representación de otro, contrato alguno con entidades públicas o con personas privadas que manejen o administren recursos públicos, salvo las excepciones legales. </w:t>
      </w:r>
    </w:p>
    <w:p w14:paraId="06781E30" w14:textId="51A884BD"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Fonts w:ascii="Arial" w:eastAsia="Arial" w:hAnsi="Arial" w:cs="Arial"/>
          <w:color w:val="000000" w:themeColor="text1"/>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bookmarkEnd w:id="10"/>
    </w:p>
    <w:p w14:paraId="48F938ED" w14:textId="77777777" w:rsidR="008A2523" w:rsidRPr="00F223B3" w:rsidRDefault="008A2523">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3">
    <w:p w14:paraId="492AD70D"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4102D2">
        <w:rPr>
          <w:rStyle w:val="Refdenotaalpie"/>
          <w:rFonts w:ascii="Arial" w:hAnsi="Arial" w:cs="Arial"/>
          <w:sz w:val="19"/>
          <w:szCs w:val="19"/>
        </w:rPr>
        <w:footnoteRef/>
      </w:r>
      <w:r w:rsidRPr="004102D2">
        <w:rPr>
          <w:rFonts w:ascii="Arial" w:hAnsi="Arial" w:cs="Arial"/>
          <w:sz w:val="19"/>
          <w:szCs w:val="19"/>
        </w:rPr>
        <w:t xml:space="preserve"> </w:t>
      </w:r>
      <w:r w:rsidRPr="00F223B3">
        <w:rPr>
          <w:rFonts w:ascii="Arial" w:eastAsia="Arial" w:hAnsi="Arial" w:cs="Arial"/>
          <w:color w:val="000000" w:themeColor="text1"/>
          <w:sz w:val="19"/>
          <w:szCs w:val="19"/>
        </w:rPr>
        <w:t>Gaceta del Congreso de la República No. 71 del 2005.</w:t>
      </w:r>
    </w:p>
  </w:footnote>
  <w:footnote w:id="4">
    <w:p w14:paraId="3B9869BB" w14:textId="77777777" w:rsidR="008A2523" w:rsidRPr="00F223B3" w:rsidRDefault="008A2523">
      <w:pPr>
        <w:pBdr>
          <w:top w:val="nil"/>
          <w:left w:val="nil"/>
          <w:bottom w:val="nil"/>
          <w:right w:val="nil"/>
          <w:between w:val="nil"/>
        </w:pBdr>
        <w:ind w:firstLine="709"/>
        <w:jc w:val="both"/>
        <w:rPr>
          <w:rFonts w:ascii="Arial" w:eastAsia="Arial" w:hAnsi="Arial" w:cs="Arial"/>
          <w:color w:val="000000" w:themeColor="text1"/>
          <w:sz w:val="19"/>
          <w:szCs w:val="19"/>
        </w:rPr>
      </w:pPr>
    </w:p>
    <w:p w14:paraId="0B88EFBB" w14:textId="1C09B604"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Corte Constitucional, Sentencia C- 1153 de 2005, M.P. Marco Gerardo Monroy Cabra.</w:t>
      </w:r>
    </w:p>
  </w:footnote>
  <w:footnote w:id="5">
    <w:p w14:paraId="1F61A2E4" w14:textId="29163F02"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557BE719" w14:textId="77777777" w:rsidR="008A2523" w:rsidRPr="00F223B3" w:rsidRDefault="008A2523">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6">
    <w:p w14:paraId="7FB2C304" w14:textId="0D5D8CD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58F0D704" w14:textId="77777777" w:rsidR="008A2523" w:rsidRPr="00F223B3" w:rsidRDefault="008A2523">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7">
    <w:p w14:paraId="07F06785"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Consejo de Estado, Sala de Consulta y Servicio Civil de fecha 24 de julio de 2013, radicado 2166, Consejero Ponente: Álvaro Namén Vargas.  </w:t>
      </w:r>
    </w:p>
  </w:footnote>
  <w:footnote w:id="8">
    <w:p w14:paraId="2CBFFE8F" w14:textId="77777777" w:rsidR="00B40486" w:rsidRPr="00F223B3" w:rsidRDefault="00B40486">
      <w:pPr>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w:t>
      </w:r>
      <w:bookmarkStart w:id="13" w:name="qsh70q" w:colFirst="0" w:colLast="0"/>
      <w:bookmarkEnd w:id="13"/>
      <w:r w:rsidRPr="00F223B3">
        <w:rPr>
          <w:rFonts w:ascii="Arial" w:eastAsia="Arial" w:hAnsi="Arial" w:cs="Arial"/>
          <w:color w:val="000000" w:themeColor="text1"/>
          <w:sz w:val="19"/>
          <w:szCs w:val="19"/>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C9571FD" w14:textId="77777777" w:rsidR="00B40486" w:rsidRPr="00F223B3" w:rsidRDefault="00B40486">
      <w:pPr>
        <w:ind w:firstLine="709"/>
        <w:jc w:val="both"/>
        <w:rPr>
          <w:rFonts w:ascii="Arial" w:eastAsia="Arial" w:hAnsi="Arial" w:cs="Arial"/>
          <w:color w:val="000000" w:themeColor="text1"/>
          <w:sz w:val="19"/>
          <w:szCs w:val="19"/>
        </w:rPr>
      </w:pPr>
      <w:r w:rsidRPr="00F223B3">
        <w:rPr>
          <w:rFonts w:ascii="Arial" w:eastAsia="Arial" w:hAnsi="Arial" w:cs="Arial"/>
          <w:color w:val="000000" w:themeColor="text1"/>
          <w:sz w:val="19"/>
          <w:szCs w:val="19"/>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9">
    <w:p w14:paraId="6C42E008"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eastAsia="Arial" w:hAnsi="Arial" w:cs="Arial"/>
          <w:color w:val="000000" w:themeColor="text1"/>
          <w:sz w:val="19"/>
          <w:szCs w:val="19"/>
        </w:rPr>
        <w:t xml:space="preserve"> </w:t>
      </w:r>
      <w:bookmarkStart w:id="14" w:name="3as4poj" w:colFirst="0" w:colLast="0"/>
      <w:bookmarkEnd w:id="14"/>
      <w:r w:rsidRPr="00F223B3">
        <w:rPr>
          <w:rFonts w:ascii="Arial" w:eastAsia="Arial" w:hAnsi="Arial" w:cs="Arial"/>
          <w:color w:val="000000" w:themeColor="text1"/>
          <w:sz w:val="19"/>
          <w:szCs w:val="19"/>
        </w:rPr>
        <w:t>«Artículo 38. Prohibiciones para los servidores públicos. A los empleados del Estado les está prohibido:</w:t>
      </w:r>
    </w:p>
    <w:p w14:paraId="5C998D0A"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Fonts w:ascii="Arial" w:eastAsia="Arial" w:hAnsi="Arial" w:cs="Arial"/>
          <w:color w:val="000000" w:themeColor="text1"/>
          <w:sz w:val="19"/>
          <w:szCs w:val="19"/>
        </w:rPr>
        <w:t>» […]</w:t>
      </w:r>
    </w:p>
    <w:p w14:paraId="09C49579"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r w:rsidRPr="00F223B3">
        <w:rPr>
          <w:rFonts w:ascii="Arial" w:eastAsia="Arial" w:hAnsi="Arial" w:cs="Arial"/>
          <w:color w:val="000000" w:themeColor="text1"/>
          <w:sz w:val="19"/>
          <w:szCs w:val="19"/>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55A6F874"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10">
    <w:p w14:paraId="01966E82" w14:textId="77777777" w:rsidR="00B40486" w:rsidRPr="00F223B3" w:rsidRDefault="00B40486">
      <w:pPr>
        <w:ind w:firstLine="709"/>
        <w:jc w:val="both"/>
        <w:rPr>
          <w:rFonts w:ascii="Arial" w:hAnsi="Arial" w:cs="Arial"/>
          <w:color w:val="161616" w:themeColor="background1" w:themeShade="1A"/>
          <w:sz w:val="19"/>
          <w:szCs w:val="19"/>
          <w:lang w:val="es-ES"/>
        </w:rPr>
      </w:pPr>
      <w:r w:rsidRPr="00F223B3">
        <w:rPr>
          <w:rStyle w:val="Refdenotaalpie"/>
          <w:rFonts w:ascii="Arial" w:hAnsi="Arial" w:cs="Arial"/>
          <w:sz w:val="19"/>
          <w:szCs w:val="19"/>
        </w:rPr>
        <w:footnoteRef/>
      </w:r>
      <w:r w:rsidRPr="00F223B3">
        <w:rPr>
          <w:rFonts w:ascii="Arial" w:hAnsi="Arial" w:cs="Arial"/>
          <w:sz w:val="19"/>
          <w:szCs w:val="19"/>
        </w:rPr>
        <w:t xml:space="preserve"> </w:t>
      </w:r>
      <w:r w:rsidRPr="00F223B3">
        <w:rPr>
          <w:rFonts w:ascii="Arial" w:hAnsi="Arial" w:cs="Arial"/>
          <w:color w:val="161616" w:themeColor="background1" w:themeShade="1A"/>
          <w:sz w:val="19"/>
          <w:szCs w:val="19"/>
          <w:lang w:val="es-ES"/>
        </w:rPr>
        <w:t>«</w:t>
      </w:r>
      <w:r w:rsidRPr="00F223B3">
        <w:rPr>
          <w:rFonts w:ascii="Arial" w:hAnsi="Arial" w:cs="Arial"/>
          <w:color w:val="161616" w:themeColor="background1" w:themeShade="1A"/>
          <w:sz w:val="19"/>
          <w:szCs w:val="19"/>
          <w:shd w:val="clear" w:color="auto" w:fill="FFFFFF"/>
        </w:rPr>
        <w:t>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La presente disposición modifica únicamente en la parte pertinente el inciso primero del parágrafo del artículo </w:t>
      </w:r>
      <w:hyperlink r:id="rId1" w:anchor="38" w:history="1">
        <w:r w:rsidRPr="00F223B3">
          <w:rPr>
            <w:rFonts w:ascii="Arial" w:hAnsi="Arial" w:cs="Arial"/>
            <w:color w:val="161616" w:themeColor="background1" w:themeShade="1A"/>
            <w:sz w:val="19"/>
            <w:szCs w:val="19"/>
            <w:shd w:val="clear" w:color="auto" w:fill="FFFFFF"/>
          </w:rPr>
          <w:t>38</w:t>
        </w:r>
      </w:hyperlink>
      <w:r w:rsidRPr="00F223B3">
        <w:rPr>
          <w:rFonts w:ascii="Arial" w:hAnsi="Arial" w:cs="Arial"/>
          <w:color w:val="161616" w:themeColor="background1" w:themeShade="1A"/>
          <w:sz w:val="19"/>
          <w:szCs w:val="19"/>
          <w:shd w:val="clear" w:color="auto" w:fill="FFFFFF"/>
        </w:rPr>
        <w:t> de la Ley 996 de 2005».</w:t>
      </w:r>
    </w:p>
  </w:footnote>
  <w:footnote w:id="11">
    <w:p w14:paraId="031A2814" w14:textId="77777777" w:rsidR="00B40486" w:rsidRPr="00F223B3" w:rsidRDefault="00B40486">
      <w:pPr>
        <w:ind w:firstLine="709"/>
        <w:jc w:val="both"/>
        <w:rPr>
          <w:rFonts w:ascii="Arial" w:eastAsia="Arial" w:hAnsi="Arial" w:cs="Arial"/>
          <w:color w:val="000000" w:themeColor="text1"/>
          <w:sz w:val="19"/>
          <w:szCs w:val="19"/>
        </w:rPr>
      </w:pPr>
      <w:r w:rsidRPr="00F223B3">
        <w:rPr>
          <w:rStyle w:val="Refdenotaalpie"/>
          <w:rFonts w:ascii="Arial" w:hAnsi="Arial" w:cs="Arial"/>
          <w:color w:val="161616" w:themeColor="background1" w:themeShade="1A"/>
          <w:sz w:val="19"/>
          <w:szCs w:val="19"/>
        </w:rPr>
        <w:footnoteRef/>
      </w:r>
      <w:r w:rsidRPr="00F223B3">
        <w:rPr>
          <w:rFonts w:ascii="Arial" w:eastAsia="Arial" w:hAnsi="Arial" w:cs="Arial"/>
          <w:color w:val="161616" w:themeColor="background1" w:themeShade="1A"/>
          <w:sz w:val="19"/>
          <w:szCs w:val="19"/>
        </w:rPr>
        <w:t xml:space="preserve"> Consejo de Estado. Sala de Consulta y Servicio Civil. Concepto del 17 de febrero de 2015. </w:t>
      </w:r>
      <w:r w:rsidRPr="00F223B3">
        <w:rPr>
          <w:rFonts w:ascii="Arial" w:eastAsia="Arial" w:hAnsi="Arial" w:cs="Arial"/>
          <w:color w:val="000000" w:themeColor="text1"/>
          <w:sz w:val="19"/>
          <w:szCs w:val="19"/>
        </w:rPr>
        <w:t>C.P. William Zambrano Cetina. Radicación No. 11001-03-06-000-2015-00164-00(2269).</w:t>
      </w:r>
    </w:p>
    <w:p w14:paraId="1D80393F" w14:textId="77777777" w:rsidR="00B40486" w:rsidRPr="00F223B3" w:rsidRDefault="00B40486">
      <w:pPr>
        <w:pBdr>
          <w:top w:val="nil"/>
          <w:left w:val="nil"/>
          <w:bottom w:val="nil"/>
          <w:right w:val="nil"/>
          <w:between w:val="nil"/>
        </w:pBdr>
        <w:ind w:firstLine="709"/>
        <w:jc w:val="both"/>
        <w:rPr>
          <w:rFonts w:ascii="Arial" w:eastAsia="Arial" w:hAnsi="Arial" w:cs="Arial"/>
          <w:color w:val="000000" w:themeColor="text1"/>
          <w:sz w:val="19"/>
          <w:szCs w:val="19"/>
        </w:rPr>
      </w:pPr>
    </w:p>
  </w:footnote>
  <w:footnote w:id="12">
    <w:p w14:paraId="5B20EAC8" w14:textId="17DF8ABE" w:rsidR="00B40486" w:rsidRPr="00F223B3" w:rsidRDefault="00B40486">
      <w:pPr>
        <w:pStyle w:val="Textonotapie"/>
        <w:spacing w:before="0" w:after="0" w:line="240" w:lineRule="auto"/>
        <w:ind w:firstLine="709"/>
        <w:rPr>
          <w:rFonts w:ascii="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hAnsi="Arial" w:cs="Arial"/>
          <w:color w:val="000000" w:themeColor="text1"/>
          <w:sz w:val="19"/>
          <w:szCs w:val="19"/>
        </w:rPr>
        <w:t xml:space="preserve"> </w:t>
      </w:r>
      <w:bookmarkStart w:id="18" w:name="_Hlk74272731"/>
      <w:r w:rsidRPr="00F223B3">
        <w:rPr>
          <w:rFonts w:ascii="Arial" w:hAnsi="Arial" w:cs="Arial"/>
          <w:color w:val="000000" w:themeColor="text1"/>
          <w:sz w:val="19"/>
          <w:szCs w:val="19"/>
        </w:rPr>
        <w:t>«</w:t>
      </w:r>
      <w:bookmarkEnd w:id="18"/>
      <w:r w:rsidRPr="00F223B3">
        <w:rPr>
          <w:rFonts w:ascii="Arial" w:hAnsi="Arial" w:cs="Arial"/>
          <w:color w:val="000000" w:themeColor="text1"/>
          <w:sz w:val="19"/>
          <w:szCs w:val="19"/>
          <w:lang w:val="es-ES"/>
        </w:rPr>
        <w:t xml:space="preserve">[25] </w:t>
      </w:r>
      <w:r w:rsidRPr="00F223B3">
        <w:rPr>
          <w:rFonts w:ascii="Arial" w:hAnsi="Arial" w:cs="Arial"/>
          <w:color w:val="000000" w:themeColor="text1"/>
          <w:sz w:val="19"/>
          <w:szCs w:val="19"/>
        </w:rPr>
        <w:t>Cfr. Consejo de Estado. Sección Tercera. Sentencia de 3 de diciembre de 2007. Radicados: 24.715, 25.206, 25.409, 24.524, 27.834, 25.410, 26.105, 28.244, 31.447 -acumulados-</w:t>
      </w:r>
      <w:bookmarkStart w:id="19" w:name="_Hlk74271358"/>
      <w:r w:rsidRPr="00F223B3">
        <w:rPr>
          <w:rFonts w:ascii="Arial" w:hAnsi="Arial" w:cs="Arial"/>
          <w:color w:val="000000" w:themeColor="text1"/>
          <w:sz w:val="19"/>
          <w:szCs w:val="19"/>
        </w:rPr>
        <w:t>»</w:t>
      </w:r>
      <w:bookmarkEnd w:id="19"/>
      <w:r w:rsidRPr="00F223B3">
        <w:rPr>
          <w:rFonts w:ascii="Arial" w:hAnsi="Arial" w:cs="Arial"/>
          <w:color w:val="000000" w:themeColor="text1"/>
          <w:sz w:val="19"/>
          <w:szCs w:val="19"/>
        </w:rPr>
        <w:t>.</w:t>
      </w:r>
    </w:p>
    <w:p w14:paraId="75DA6340" w14:textId="77777777" w:rsidR="00AA69BC" w:rsidRPr="00F223B3" w:rsidRDefault="00AA69BC">
      <w:pPr>
        <w:pStyle w:val="Textonotapie"/>
        <w:spacing w:before="0" w:after="0" w:line="240" w:lineRule="auto"/>
        <w:ind w:firstLine="709"/>
        <w:rPr>
          <w:rFonts w:ascii="Arial" w:hAnsi="Arial" w:cs="Arial"/>
          <w:color w:val="000000" w:themeColor="text1"/>
          <w:sz w:val="19"/>
          <w:szCs w:val="19"/>
        </w:rPr>
      </w:pPr>
    </w:p>
  </w:footnote>
  <w:footnote w:id="13">
    <w:p w14:paraId="18DBD163" w14:textId="77777777" w:rsidR="00B40486" w:rsidRPr="00F223B3" w:rsidRDefault="00B40486">
      <w:pPr>
        <w:pStyle w:val="Textonotapie"/>
        <w:spacing w:before="0" w:after="0" w:line="240" w:lineRule="auto"/>
        <w:ind w:firstLine="709"/>
        <w:rPr>
          <w:rFonts w:ascii="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hAnsi="Arial" w:cs="Arial"/>
          <w:color w:val="000000" w:themeColor="text1"/>
          <w:sz w:val="19"/>
          <w:szCs w:val="19"/>
        </w:rPr>
        <w:t xml:space="preserve"> </w:t>
      </w:r>
      <w:bookmarkStart w:id="21" w:name="_Hlk74294506"/>
      <w:r w:rsidRPr="00F223B3">
        <w:rPr>
          <w:rFonts w:ascii="Arial" w:hAnsi="Arial" w:cs="Arial"/>
          <w:color w:val="000000" w:themeColor="text1"/>
          <w:sz w:val="19"/>
          <w:szCs w:val="19"/>
        </w:rPr>
        <w:t>«</w:t>
      </w:r>
      <w:r w:rsidRPr="00F223B3">
        <w:rPr>
          <w:rFonts w:ascii="Arial" w:hAnsi="Arial" w:cs="Arial"/>
          <w:color w:val="000000" w:themeColor="text1"/>
          <w:sz w:val="19"/>
          <w:szCs w:val="19"/>
          <w:lang w:val="es-ES"/>
        </w:rPr>
        <w:t xml:space="preserve">[26] </w:t>
      </w:r>
      <w:bookmarkEnd w:id="21"/>
      <w:r w:rsidRPr="00F223B3">
        <w:rPr>
          <w:rFonts w:ascii="Arial" w:hAnsi="Arial" w:cs="Arial"/>
          <w:color w:val="000000" w:themeColor="text1"/>
          <w:sz w:val="19"/>
          <w:szCs w:val="19"/>
        </w:rPr>
        <w:t>Al respecto ver el concepto 1712 de 2 de febrero de 2006. Consejo de Estado Sala de Consulta y Servicio Civil».</w:t>
      </w:r>
    </w:p>
  </w:footnote>
  <w:footnote w:id="14">
    <w:p w14:paraId="43FC9323" w14:textId="77777777" w:rsidR="00B40486" w:rsidRPr="00F223B3" w:rsidRDefault="00B40486">
      <w:pPr>
        <w:pStyle w:val="Textonotapie"/>
        <w:spacing w:before="0" w:after="0" w:line="240" w:lineRule="auto"/>
        <w:ind w:firstLine="709"/>
        <w:rPr>
          <w:rFonts w:ascii="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hAnsi="Arial" w:cs="Arial"/>
          <w:color w:val="000000" w:themeColor="text1"/>
          <w:sz w:val="19"/>
          <w:szCs w:val="19"/>
        </w:rPr>
        <w:t xml:space="preserve"> Consejo de Estado. Sala de Consulta y Servicio Civil. Concepto del 2 de septiembre de 2013. Radicación número: 11001-03-06-000-2013-00412-00 (2168). Consejero Ponente: Álvaro Namén Vargas.</w:t>
      </w:r>
    </w:p>
  </w:footnote>
  <w:footnote w:id="15">
    <w:p w14:paraId="4BA58D31" w14:textId="77777777" w:rsidR="00B40486" w:rsidRPr="00F223B3" w:rsidRDefault="00B40486">
      <w:pPr>
        <w:pStyle w:val="Textonotapie"/>
        <w:spacing w:before="0" w:after="0" w:line="240" w:lineRule="auto"/>
        <w:ind w:firstLine="709"/>
        <w:rPr>
          <w:rFonts w:ascii="Arial" w:hAnsi="Arial" w:cs="Arial"/>
          <w:color w:val="000000" w:themeColor="text1"/>
          <w:sz w:val="19"/>
          <w:szCs w:val="19"/>
          <w:lang w:val="es-ES"/>
        </w:rPr>
      </w:pPr>
      <w:r w:rsidRPr="00F223B3">
        <w:rPr>
          <w:rStyle w:val="Refdenotaalpie"/>
          <w:rFonts w:ascii="Arial" w:hAnsi="Arial" w:cs="Arial"/>
          <w:color w:val="000000" w:themeColor="text1"/>
          <w:sz w:val="19"/>
          <w:szCs w:val="19"/>
        </w:rPr>
        <w:footnoteRef/>
      </w:r>
      <w:r w:rsidRPr="00F223B3">
        <w:rPr>
          <w:rFonts w:ascii="Arial" w:hAnsi="Arial" w:cs="Arial"/>
          <w:color w:val="000000" w:themeColor="text1"/>
          <w:sz w:val="19"/>
          <w:szCs w:val="19"/>
        </w:rPr>
        <w:t xml:space="preserve"> </w:t>
      </w:r>
      <w:r w:rsidRPr="00F223B3">
        <w:rPr>
          <w:rFonts w:ascii="Arial" w:hAnsi="Arial" w:cs="Arial"/>
          <w:color w:val="000000" w:themeColor="text1"/>
          <w:sz w:val="19"/>
          <w:szCs w:val="19"/>
          <w:lang w:val="es-ES"/>
        </w:rPr>
        <w:t>Artículo 2.</w:t>
      </w:r>
    </w:p>
  </w:footnote>
  <w:footnote w:id="16">
    <w:p w14:paraId="292664B9" w14:textId="77777777" w:rsidR="00B40486" w:rsidRPr="00F223B3" w:rsidRDefault="00B40486">
      <w:pPr>
        <w:pStyle w:val="Textonotapie"/>
        <w:spacing w:before="0" w:after="0" w:line="240" w:lineRule="auto"/>
        <w:ind w:firstLine="709"/>
        <w:rPr>
          <w:rFonts w:ascii="Arial" w:hAnsi="Arial" w:cs="Arial"/>
          <w:color w:val="000000" w:themeColor="text1"/>
          <w:sz w:val="19"/>
          <w:szCs w:val="19"/>
          <w:lang w:val="es-ES"/>
        </w:rPr>
      </w:pPr>
      <w:r w:rsidRPr="00F223B3">
        <w:rPr>
          <w:rStyle w:val="Refdenotaalpie"/>
          <w:rFonts w:ascii="Arial" w:hAnsi="Arial" w:cs="Arial"/>
          <w:color w:val="000000" w:themeColor="text1"/>
          <w:sz w:val="19"/>
          <w:szCs w:val="19"/>
        </w:rPr>
        <w:footnoteRef/>
      </w:r>
      <w:r w:rsidRPr="00F223B3">
        <w:rPr>
          <w:rFonts w:ascii="Arial" w:hAnsi="Arial" w:cs="Arial"/>
          <w:color w:val="000000" w:themeColor="text1"/>
          <w:sz w:val="19"/>
          <w:szCs w:val="19"/>
        </w:rPr>
        <w:t xml:space="preserve"> </w:t>
      </w:r>
      <w:r w:rsidRPr="00F223B3">
        <w:rPr>
          <w:rFonts w:ascii="Arial" w:hAnsi="Arial" w:cs="Arial"/>
          <w:iCs/>
          <w:color w:val="000000" w:themeColor="text1"/>
          <w:sz w:val="19"/>
          <w:szCs w:val="19"/>
          <w:lang w:val="es-ES"/>
        </w:rPr>
        <w:t>Ídem</w:t>
      </w:r>
    </w:p>
  </w:footnote>
  <w:footnote w:id="17">
    <w:p w14:paraId="40F2D178" w14:textId="77777777" w:rsidR="00B40486" w:rsidRPr="00F223B3" w:rsidRDefault="00B40486">
      <w:pPr>
        <w:pStyle w:val="Textonotapie"/>
        <w:spacing w:before="0" w:after="0" w:line="240" w:lineRule="auto"/>
        <w:ind w:firstLine="709"/>
        <w:rPr>
          <w:rFonts w:ascii="Arial" w:hAnsi="Arial" w:cs="Arial"/>
          <w:color w:val="000000" w:themeColor="text1"/>
          <w:sz w:val="19"/>
          <w:szCs w:val="19"/>
          <w:lang w:val="es-ES"/>
        </w:rPr>
      </w:pPr>
      <w:r w:rsidRPr="00F223B3">
        <w:rPr>
          <w:rStyle w:val="Refdenotaalpie"/>
          <w:rFonts w:ascii="Arial" w:hAnsi="Arial" w:cs="Arial"/>
          <w:color w:val="000000" w:themeColor="text1"/>
          <w:sz w:val="19"/>
          <w:szCs w:val="19"/>
        </w:rPr>
        <w:footnoteRef/>
      </w:r>
      <w:r w:rsidRPr="00F223B3">
        <w:rPr>
          <w:rStyle w:val="Refdenotaalpie"/>
          <w:rFonts w:ascii="Arial" w:hAnsi="Arial" w:cs="Arial"/>
          <w:color w:val="000000" w:themeColor="text1"/>
          <w:sz w:val="19"/>
          <w:szCs w:val="19"/>
        </w:rPr>
        <w:t xml:space="preserve"> </w:t>
      </w:r>
      <w:bookmarkStart w:id="25" w:name="_Hlk74297130"/>
      <w:r w:rsidRPr="00F223B3">
        <w:rPr>
          <w:rFonts w:ascii="Arial" w:hAnsi="Arial" w:cs="Arial"/>
          <w:color w:val="000000" w:themeColor="text1"/>
          <w:sz w:val="19"/>
          <w:szCs w:val="19"/>
          <w:lang w:val="es-ES"/>
        </w:rPr>
        <w:t>«</w:t>
      </w:r>
      <w:bookmarkEnd w:id="25"/>
      <w:r w:rsidRPr="00F223B3">
        <w:rPr>
          <w:rFonts w:ascii="Arial" w:hAnsi="Arial" w:cs="Arial"/>
          <w:color w:val="000000" w:themeColor="text1"/>
          <w:sz w:val="19"/>
          <w:szCs w:val="19"/>
          <w:lang w:val="es-ES"/>
        </w:rPr>
        <w:t xml:space="preserve">[…] A este respecto, cabe recordar que el artículo 860 del Código de Comercio regula la licitación en el derecho privado». </w:t>
      </w:r>
    </w:p>
  </w:footnote>
  <w:footnote w:id="18">
    <w:p w14:paraId="3E5AAE47" w14:textId="77777777" w:rsidR="00B40486" w:rsidRPr="00F223B3" w:rsidRDefault="00B40486">
      <w:pPr>
        <w:shd w:val="clear" w:color="auto" w:fill="FFFFFF"/>
        <w:ind w:firstLine="709"/>
        <w:jc w:val="both"/>
        <w:rPr>
          <w:rFonts w:ascii="Arial" w:hAnsi="Arial" w:cs="Arial"/>
          <w:color w:val="000000" w:themeColor="text1"/>
          <w:sz w:val="19"/>
          <w:szCs w:val="19"/>
          <w:lang w:val="es-ES"/>
        </w:rPr>
      </w:pPr>
      <w:r w:rsidRPr="00F223B3">
        <w:rPr>
          <w:rStyle w:val="Refdenotaalpie"/>
          <w:rFonts w:ascii="Arial" w:hAnsi="Arial" w:cs="Arial"/>
          <w:color w:val="000000" w:themeColor="text1"/>
          <w:sz w:val="19"/>
          <w:szCs w:val="19"/>
        </w:rPr>
        <w:footnoteRef/>
      </w:r>
      <w:r w:rsidRPr="00F223B3">
        <w:rPr>
          <w:rStyle w:val="Refdenotaalpie"/>
          <w:rFonts w:ascii="Arial" w:hAnsi="Arial" w:cs="Arial"/>
          <w:color w:val="000000" w:themeColor="text1"/>
          <w:sz w:val="19"/>
          <w:szCs w:val="19"/>
        </w:rPr>
        <w:t xml:space="preserve"> </w:t>
      </w:r>
      <w:r w:rsidRPr="00F223B3">
        <w:rPr>
          <w:rFonts w:ascii="Arial" w:hAnsi="Arial" w:cs="Arial"/>
          <w:color w:val="000000" w:themeColor="text1"/>
          <w:sz w:val="19"/>
          <w:szCs w:val="19"/>
          <w:lang w:val="es-ES"/>
        </w:rPr>
        <w:t>Consejo de Estado. Sala de Consulta y Servicio Civil, Concepto de 8 de mayo de 2018. Radicación Número: 11001-03-06-000-2018-00095-00(2382). Consejero Ponente: Álvaro Namén Vargas.</w:t>
      </w:r>
    </w:p>
  </w:footnote>
  <w:footnote w:id="19">
    <w:p w14:paraId="37DCB0C9" w14:textId="77777777" w:rsidR="00B40486" w:rsidRPr="00F223B3" w:rsidRDefault="00B40486">
      <w:pPr>
        <w:pStyle w:val="Textonotapie"/>
        <w:spacing w:before="0" w:after="0" w:line="240" w:lineRule="auto"/>
        <w:ind w:firstLine="709"/>
        <w:rPr>
          <w:rFonts w:ascii="Arial" w:hAnsi="Arial" w:cs="Arial"/>
          <w:color w:val="000000" w:themeColor="text1"/>
          <w:sz w:val="19"/>
          <w:szCs w:val="19"/>
        </w:rPr>
      </w:pPr>
      <w:r w:rsidRPr="00F223B3">
        <w:rPr>
          <w:rStyle w:val="Refdenotaalpie"/>
          <w:rFonts w:ascii="Arial" w:hAnsi="Arial" w:cs="Arial"/>
          <w:color w:val="000000" w:themeColor="text1"/>
          <w:sz w:val="19"/>
          <w:szCs w:val="19"/>
        </w:rPr>
        <w:footnoteRef/>
      </w:r>
      <w:r w:rsidRPr="00F223B3">
        <w:rPr>
          <w:rFonts w:ascii="Arial" w:hAnsi="Arial" w:cs="Arial"/>
          <w:color w:val="000000" w:themeColor="text1"/>
          <w:sz w:val="19"/>
          <w:szCs w:val="19"/>
        </w:rPr>
        <w:t xml:space="preserve"> Consejo de Estado. Sala de Consulta y Servicio Civil. Concepto del 08 de mayo de 2018. Exp. 2.382. C.P. Álvaro Namén Vargas.</w:t>
      </w:r>
    </w:p>
  </w:footnote>
  <w:footnote w:id="20">
    <w:p w14:paraId="3C7833AA" w14:textId="77777777" w:rsidR="00565AA1" w:rsidRPr="00F223B3" w:rsidRDefault="00565AA1">
      <w:pPr>
        <w:ind w:firstLine="709"/>
        <w:jc w:val="both"/>
        <w:rPr>
          <w:rFonts w:ascii="Arial" w:eastAsia="Arial" w:hAnsi="Arial" w:cs="Arial"/>
          <w:color w:val="000000"/>
          <w:sz w:val="19"/>
          <w:szCs w:val="19"/>
          <w:lang w:eastAsia="es-ES_tradnl"/>
        </w:rPr>
      </w:pPr>
      <w:r w:rsidRPr="00F223B3">
        <w:rPr>
          <w:rFonts w:ascii="Arial" w:hAnsi="Arial" w:cs="Arial"/>
          <w:sz w:val="19"/>
          <w:szCs w:val="19"/>
          <w:vertAlign w:val="superscript"/>
        </w:rPr>
        <w:footnoteRef/>
      </w:r>
      <w:r w:rsidRPr="00F223B3">
        <w:rPr>
          <w:rFonts w:ascii="Arial" w:eastAsia="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094D416C" w14:textId="77777777" w:rsidR="00B40486" w:rsidRPr="00F223B3" w:rsidRDefault="00B40486">
      <w:pPr>
        <w:ind w:firstLine="709"/>
        <w:jc w:val="both"/>
        <w:rPr>
          <w:rFonts w:ascii="Arial" w:eastAsia="Arial" w:hAnsi="Arial" w:cs="Arial"/>
          <w:sz w:val="19"/>
          <w:szCs w:val="19"/>
        </w:rPr>
      </w:pPr>
      <w:r w:rsidRPr="00F223B3">
        <w:rPr>
          <w:rFonts w:ascii="Arial" w:hAnsi="Arial" w:cs="Arial"/>
          <w:sz w:val="19"/>
          <w:szCs w:val="19"/>
          <w:vertAlign w:val="superscript"/>
        </w:rPr>
        <w:footnoteRef/>
      </w:r>
      <w:r w:rsidRPr="00F223B3">
        <w:rPr>
          <w:rFonts w:ascii="Arial" w:eastAsia="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3D38C25" w14:textId="77777777" w:rsidR="00B40486" w:rsidRPr="00F223B3" w:rsidRDefault="00B40486">
      <w:pPr>
        <w:ind w:firstLine="709"/>
        <w:jc w:val="both"/>
        <w:rPr>
          <w:rFonts w:ascii="Arial" w:eastAsia="Arial" w:hAnsi="Arial" w:cs="Arial"/>
          <w:sz w:val="19"/>
          <w:szCs w:val="19"/>
        </w:rPr>
      </w:pPr>
    </w:p>
  </w:footnote>
  <w:footnote w:id="22">
    <w:p w14:paraId="15B46553" w14:textId="77777777" w:rsidR="00B40486" w:rsidRPr="00F223B3" w:rsidRDefault="00B40486" w:rsidP="004102D2">
      <w:pPr>
        <w:pStyle w:val="Textonotapie"/>
        <w:spacing w:line="240" w:lineRule="auto"/>
        <w:ind w:firstLine="708"/>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Consejo de Estado. Sala de Consulta y Servicio Civil. Concepto del 18 de febrero 2010. Rad. 11001-03-06-000-2010-00006-00 (1985). C.P. Enrique José Arboleda Perdomo.</w:t>
      </w:r>
    </w:p>
    <w:p w14:paraId="449FDA9F" w14:textId="77777777" w:rsidR="00B40486" w:rsidRPr="00F223B3" w:rsidRDefault="00B40486" w:rsidP="004102D2">
      <w:pPr>
        <w:pStyle w:val="Textonotapie"/>
        <w:spacing w:line="240" w:lineRule="auto"/>
        <w:ind w:firstLine="708"/>
        <w:rPr>
          <w:rFonts w:ascii="Arial" w:hAnsi="Arial" w:cs="Arial"/>
          <w:sz w:val="19"/>
          <w:szCs w:val="19"/>
        </w:rPr>
      </w:pPr>
    </w:p>
  </w:footnote>
  <w:footnote w:id="23">
    <w:p w14:paraId="4392EBD0" w14:textId="77777777" w:rsidR="00B40486" w:rsidRPr="00F223B3" w:rsidRDefault="00B40486" w:rsidP="004102D2">
      <w:pPr>
        <w:pStyle w:val="Textonotapie"/>
        <w:spacing w:line="240" w:lineRule="auto"/>
        <w:ind w:firstLine="708"/>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Corte Constitucional. Sentencia C-1153 de 2005 M.P. Marco Gerardo Monroy Cabra. </w:t>
      </w:r>
    </w:p>
  </w:footnote>
  <w:footnote w:id="24">
    <w:p w14:paraId="766D7389" w14:textId="77777777" w:rsidR="00B40486" w:rsidRPr="00F223B3" w:rsidRDefault="00B40486" w:rsidP="004102D2">
      <w:pPr>
        <w:pStyle w:val="Textonotapie"/>
        <w:spacing w:line="240" w:lineRule="auto"/>
        <w:ind w:firstLine="708"/>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Consejo de Estado. Sala de Consulta y Servicio Civil. Concepto del 02 de septiembre de 2013. Rad. 11001-03-06-000-2013-00412-00 (2168). C.P. Álvaro Namén Vargas.</w:t>
      </w:r>
    </w:p>
    <w:p w14:paraId="5FF63AF7" w14:textId="77777777" w:rsidR="00B40486" w:rsidRPr="00F223B3" w:rsidRDefault="00B40486" w:rsidP="004102D2">
      <w:pPr>
        <w:pStyle w:val="Textonotapie"/>
        <w:spacing w:line="240" w:lineRule="auto"/>
        <w:rPr>
          <w:rFonts w:ascii="Arial" w:hAnsi="Arial" w:cs="Arial"/>
          <w:sz w:val="19"/>
          <w:szCs w:val="19"/>
        </w:rPr>
      </w:pPr>
    </w:p>
  </w:footnote>
  <w:footnote w:id="25">
    <w:p w14:paraId="33CB4E73" w14:textId="77777777" w:rsidR="001F5F41" w:rsidRPr="00F223B3" w:rsidRDefault="001F5F41" w:rsidP="004102D2">
      <w:pPr>
        <w:pStyle w:val="Textonotapie"/>
        <w:spacing w:line="240" w:lineRule="auto"/>
        <w:ind w:firstLine="708"/>
        <w:rPr>
          <w:rFonts w:ascii="Arial" w:hAnsi="Arial" w:cs="Arial"/>
          <w:sz w:val="19"/>
          <w:szCs w:val="19"/>
        </w:rPr>
      </w:pPr>
      <w:r w:rsidRPr="00F223B3">
        <w:rPr>
          <w:rStyle w:val="Refdenotaalpie"/>
          <w:rFonts w:ascii="Arial" w:hAnsi="Arial" w:cs="Arial"/>
          <w:sz w:val="19"/>
          <w:szCs w:val="19"/>
        </w:rPr>
        <w:footnoteRef/>
      </w:r>
      <w:r w:rsidRPr="00F223B3">
        <w:rPr>
          <w:rFonts w:ascii="Arial" w:hAnsi="Arial" w:cs="Arial"/>
          <w:sz w:val="19"/>
          <w:szCs w:val="19"/>
        </w:rPr>
        <w:t xml:space="preserve"> El artículo 2.8.8.1.4.2 del Decreto 780 de 2016 dispone que «Para efectos de la aplicación del presente Capítulo, entiéndase por Autoridades Sanitarias del Sivigila, el Ministerio de Salud y Protección Social; el Instituto Nacional de Salud (INS); el Instituto Nacional de Vigilancia de Medicamentos y Alimentos (Invima), las Direcciones Territoriales de Salud, </w:t>
      </w:r>
      <w:r w:rsidRPr="00F223B3">
        <w:rPr>
          <w:rFonts w:ascii="Arial" w:hAnsi="Arial" w:cs="Arial"/>
          <w:i/>
          <w:iCs/>
          <w:sz w:val="19"/>
          <w:szCs w:val="19"/>
        </w:rPr>
        <w:t>y todas aquellas entidades que de acuerdo con la ley ejerzan funciones de vigilancia y control sanitario</w:t>
      </w:r>
      <w:r w:rsidRPr="00F223B3">
        <w:rPr>
          <w:rFonts w:ascii="Arial" w:hAnsi="Arial" w:cs="Arial"/>
          <w:sz w:val="19"/>
          <w:szCs w:val="19"/>
        </w:rPr>
        <w:t xml:space="preserve">, las cuales deben adoptar medidas sanitarias que garanticen la protección de la salud pública y el cumplimiento de lo dispuesto en esta norma, así como adelantar los procedimientos y aplicar las sanciones a que hubiere lugar» (Énfasis fuera de texto).  </w:t>
      </w:r>
    </w:p>
  </w:footnote>
  <w:footnote w:id="26">
    <w:p w14:paraId="00464177" w14:textId="0D161269" w:rsidR="00FB1473" w:rsidRPr="00F223B3" w:rsidRDefault="00FB1473">
      <w:pPr>
        <w:pStyle w:val="Textonotapie"/>
        <w:spacing w:after="0" w:line="240" w:lineRule="auto"/>
        <w:ind w:firstLine="708"/>
        <w:rPr>
          <w:rFonts w:ascii="Arial" w:hAnsi="Arial" w:cs="Arial"/>
          <w:sz w:val="19"/>
          <w:szCs w:val="19"/>
        </w:rPr>
      </w:pPr>
      <w:r w:rsidRPr="004102D2">
        <w:rPr>
          <w:rStyle w:val="Refdenotaalpie"/>
          <w:rFonts w:ascii="Arial" w:hAnsi="Arial" w:cs="Arial"/>
          <w:sz w:val="19"/>
          <w:szCs w:val="19"/>
        </w:rPr>
        <w:footnoteRef/>
      </w:r>
      <w:r w:rsidRPr="004102D2">
        <w:rPr>
          <w:rFonts w:ascii="Arial" w:hAnsi="Arial" w:cs="Arial"/>
          <w:sz w:val="19"/>
          <w:szCs w:val="19"/>
        </w:rPr>
        <w:t>Ley 100 de 1993: «</w:t>
      </w:r>
      <w:r w:rsidR="001326C7" w:rsidRPr="00F223B3">
        <w:rPr>
          <w:rFonts w:ascii="Arial" w:hAnsi="Arial" w:cs="Arial"/>
          <w:sz w:val="19"/>
          <w:szCs w:val="19"/>
        </w:rPr>
        <w:t xml:space="preserve">Artículo </w:t>
      </w:r>
      <w:r w:rsidRPr="004102D2">
        <w:rPr>
          <w:rFonts w:ascii="Arial" w:hAnsi="Arial" w:cs="Arial"/>
          <w:sz w:val="19"/>
          <w:szCs w:val="19"/>
        </w:rPr>
        <w:t>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jurídico previsto en este capítulo».</w:t>
      </w:r>
    </w:p>
    <w:p w14:paraId="22CCF1D5" w14:textId="77777777" w:rsidR="009E0B9D" w:rsidRPr="004102D2" w:rsidRDefault="009E0B9D" w:rsidP="004102D2">
      <w:pPr>
        <w:pStyle w:val="Textonotapie"/>
        <w:spacing w:after="0" w:line="240" w:lineRule="auto"/>
        <w:ind w:firstLine="708"/>
        <w:rPr>
          <w:rFonts w:ascii="Arial" w:hAnsi="Arial" w:cs="Arial"/>
          <w:sz w:val="19"/>
          <w:szCs w:val="19"/>
        </w:rPr>
      </w:pPr>
    </w:p>
  </w:footnote>
  <w:footnote w:id="27">
    <w:p w14:paraId="18C2C973" w14:textId="03C05AE9" w:rsidR="003B415C" w:rsidRPr="00F223B3" w:rsidRDefault="003B415C">
      <w:pPr>
        <w:pStyle w:val="Textonotapie"/>
        <w:spacing w:before="0" w:after="0" w:line="240" w:lineRule="auto"/>
        <w:ind w:firstLine="708"/>
        <w:rPr>
          <w:rFonts w:ascii="Arial" w:hAnsi="Arial" w:cs="Arial"/>
          <w:sz w:val="19"/>
          <w:szCs w:val="19"/>
        </w:rPr>
      </w:pPr>
      <w:r w:rsidRPr="004102D2">
        <w:rPr>
          <w:rStyle w:val="Refdenotaalpie"/>
          <w:rFonts w:ascii="Arial" w:hAnsi="Arial" w:cs="Arial"/>
          <w:sz w:val="19"/>
          <w:szCs w:val="19"/>
        </w:rPr>
        <w:footnoteRef/>
      </w:r>
      <w:r w:rsidRPr="004102D2">
        <w:rPr>
          <w:rFonts w:ascii="Arial" w:hAnsi="Arial" w:cs="Arial"/>
          <w:sz w:val="19"/>
          <w:szCs w:val="19"/>
        </w:rPr>
        <w:t xml:space="preserve"> </w:t>
      </w:r>
      <w:r w:rsidR="00210366" w:rsidRPr="004102D2">
        <w:rPr>
          <w:rFonts w:ascii="Arial" w:hAnsi="Arial" w:cs="Arial"/>
          <w:sz w:val="19"/>
          <w:szCs w:val="19"/>
        </w:rPr>
        <w:t xml:space="preserve">Agencia Nacional de Contratación Pública – Colombia Compra Eficiente. Concepto C-014 del </w:t>
      </w:r>
      <w:r w:rsidR="00611365" w:rsidRPr="004102D2">
        <w:rPr>
          <w:rFonts w:ascii="Arial" w:hAnsi="Arial" w:cs="Arial"/>
          <w:sz w:val="19"/>
          <w:szCs w:val="19"/>
        </w:rPr>
        <w:t xml:space="preserve">18 de febrero de 2022. </w:t>
      </w:r>
      <w:r w:rsidR="009E0B9D" w:rsidRPr="004102D2">
        <w:rPr>
          <w:rFonts w:ascii="Arial" w:hAnsi="Arial" w:cs="Arial"/>
          <w:sz w:val="19"/>
          <w:szCs w:val="19"/>
        </w:rPr>
        <w:t xml:space="preserve">Radicado de entrada No. P20220106000098. </w:t>
      </w:r>
      <w:r w:rsidR="00611365" w:rsidRPr="004102D2">
        <w:rPr>
          <w:rFonts w:ascii="Arial" w:hAnsi="Arial" w:cs="Arial"/>
          <w:sz w:val="19"/>
          <w:szCs w:val="19"/>
        </w:rPr>
        <w:t>Radicado de salida No. RS20220218001642</w:t>
      </w:r>
    </w:p>
    <w:p w14:paraId="056C3DB1" w14:textId="77777777" w:rsidR="0005748B" w:rsidRPr="004102D2" w:rsidRDefault="0005748B" w:rsidP="004102D2">
      <w:pPr>
        <w:pStyle w:val="Textonotapie"/>
        <w:spacing w:before="0" w:after="0" w:line="240" w:lineRule="auto"/>
        <w:ind w:firstLine="708"/>
        <w:rPr>
          <w:rFonts w:ascii="Arial" w:hAnsi="Arial" w:cs="Arial"/>
          <w:sz w:val="19"/>
          <w:szCs w:val="19"/>
        </w:rPr>
      </w:pPr>
    </w:p>
  </w:footnote>
  <w:footnote w:id="28">
    <w:p w14:paraId="504B9221" w14:textId="70D65692" w:rsidR="001A556D" w:rsidRPr="004102D2" w:rsidRDefault="001A556D" w:rsidP="004102D2">
      <w:pPr>
        <w:pStyle w:val="Textonotapie"/>
        <w:spacing w:before="0" w:line="240" w:lineRule="auto"/>
        <w:ind w:firstLine="708"/>
        <w:rPr>
          <w:rFonts w:ascii="Arial" w:hAnsi="Arial" w:cs="Arial"/>
          <w:sz w:val="19"/>
          <w:szCs w:val="19"/>
        </w:rPr>
      </w:pPr>
      <w:r w:rsidRPr="004102D2">
        <w:rPr>
          <w:rStyle w:val="Refdenotaalpie"/>
          <w:rFonts w:ascii="Arial" w:hAnsi="Arial" w:cs="Arial"/>
          <w:sz w:val="19"/>
          <w:szCs w:val="19"/>
        </w:rPr>
        <w:footnoteRef/>
      </w:r>
      <w:r w:rsidRPr="004102D2">
        <w:rPr>
          <w:rFonts w:ascii="Arial" w:hAnsi="Arial" w:cs="Arial"/>
          <w:sz w:val="19"/>
          <w:szCs w:val="19"/>
        </w:rPr>
        <w:t xml:space="preserve"> </w:t>
      </w:r>
      <w:r w:rsidR="0005748B" w:rsidRPr="004102D2">
        <w:rPr>
          <w:rFonts w:ascii="Arial" w:hAnsi="Arial" w:cs="Arial"/>
          <w:sz w:val="19"/>
          <w:szCs w:val="19"/>
        </w:rPr>
        <w:t xml:space="preserve">Decreto 333 de 2005: «Artículo </w:t>
      </w:r>
      <w:r w:rsidRPr="004102D2">
        <w:rPr>
          <w:rFonts w:ascii="Arial" w:hAnsi="Arial" w:cs="Arial"/>
          <w:sz w:val="19"/>
          <w:szCs w:val="19"/>
        </w:rPr>
        <w:t xml:space="preserve">2o. </w:t>
      </w:r>
      <w:r w:rsidR="0005748B" w:rsidRPr="004102D2">
        <w:rPr>
          <w:rFonts w:ascii="Arial" w:hAnsi="Arial" w:cs="Arial"/>
          <w:sz w:val="19"/>
          <w:szCs w:val="19"/>
        </w:rPr>
        <w:t xml:space="preserve">Naturaleza jurídica de la UAE salud de </w:t>
      </w:r>
      <w:r w:rsidR="000C5766" w:rsidRPr="00F223B3">
        <w:rPr>
          <w:rFonts w:ascii="Arial" w:hAnsi="Arial" w:cs="Arial"/>
          <w:sz w:val="19"/>
          <w:szCs w:val="19"/>
        </w:rPr>
        <w:t>Arauca</w:t>
      </w:r>
      <w:r w:rsidR="0005748B" w:rsidRPr="004102D2">
        <w:rPr>
          <w:rFonts w:ascii="Arial" w:hAnsi="Arial" w:cs="Arial"/>
          <w:sz w:val="19"/>
          <w:szCs w:val="19"/>
        </w:rPr>
        <w:t>.</w:t>
      </w:r>
      <w:r w:rsidRPr="004102D2">
        <w:rPr>
          <w:rFonts w:ascii="Arial" w:hAnsi="Arial" w:cs="Arial"/>
          <w:sz w:val="19"/>
          <w:szCs w:val="19"/>
        </w:rPr>
        <w:t xml:space="preserve"> la UAE Salud de Arauca. es una unidad administrativa especial, constituida como una entidad de carácter técnico adscrita a la Secretaría de Planeación Departamental o quien haga sus veces, la cual cuenta con personería jurídica, autonomía financiera y administrativa, patrimonio propio y régimen supletorio de los establecimientos públicos, de conformidad con lo ley 489 de 1998 y el código de régimen departamental. </w:t>
      </w:r>
    </w:p>
    <w:p w14:paraId="5985F072" w14:textId="285F019E" w:rsidR="001A556D" w:rsidRPr="004102D2" w:rsidRDefault="001A556D" w:rsidP="004102D2">
      <w:pPr>
        <w:pStyle w:val="Textonotapie"/>
        <w:spacing w:line="240" w:lineRule="auto"/>
        <w:ind w:firstLine="708"/>
        <w:rPr>
          <w:rFonts w:ascii="Arial" w:hAnsi="Arial" w:cs="Arial"/>
          <w:sz w:val="19"/>
          <w:szCs w:val="19"/>
        </w:rPr>
      </w:pPr>
      <w:r w:rsidRPr="004102D2">
        <w:rPr>
          <w:rFonts w:ascii="Arial" w:hAnsi="Arial" w:cs="Arial"/>
          <w:sz w:val="19"/>
          <w:szCs w:val="19"/>
        </w:rPr>
        <w:t>»Artículo 3°. Objeto.</w:t>
      </w:r>
      <w:r w:rsidR="004102D2">
        <w:rPr>
          <w:rFonts w:ascii="Arial" w:hAnsi="Arial" w:cs="Arial"/>
          <w:sz w:val="19"/>
          <w:szCs w:val="19"/>
        </w:rPr>
        <w:t xml:space="preserve"> </w:t>
      </w:r>
      <w:r w:rsidRPr="004102D2">
        <w:rPr>
          <w:rFonts w:ascii="Arial" w:hAnsi="Arial" w:cs="Arial"/>
          <w:sz w:val="19"/>
          <w:szCs w:val="19"/>
        </w:rPr>
        <w:t xml:space="preserve">La UAE Salud de Arauca. operará en el campo de la salud y tendrá como objetivos principales dirigir, coordinar y vigilar el sector salud y el Sistema General de Seguridad Social en Salud en el Departamento de </w:t>
      </w:r>
      <w:r w:rsidR="000C5766" w:rsidRPr="00F223B3">
        <w:rPr>
          <w:rFonts w:ascii="Arial" w:hAnsi="Arial" w:cs="Arial"/>
          <w:sz w:val="19"/>
          <w:szCs w:val="19"/>
        </w:rPr>
        <w:t>Arauca atendiendo</w:t>
      </w:r>
      <w:r w:rsidRPr="004102D2">
        <w:rPr>
          <w:rFonts w:ascii="Arial" w:hAnsi="Arial" w:cs="Arial"/>
          <w:sz w:val="19"/>
          <w:szCs w:val="19"/>
        </w:rPr>
        <w:t xml:space="preserve"> los disposiciones nacionales sobre la materia. </w:t>
      </w:r>
    </w:p>
    <w:p w14:paraId="4FECDCDC" w14:textId="46AE8360" w:rsidR="001A556D" w:rsidRPr="004102D2" w:rsidRDefault="001A556D" w:rsidP="004102D2">
      <w:pPr>
        <w:pStyle w:val="Textonotapie"/>
        <w:spacing w:after="0" w:line="240" w:lineRule="auto"/>
        <w:ind w:firstLine="708"/>
        <w:rPr>
          <w:sz w:val="19"/>
          <w:szCs w:val="19"/>
        </w:rPr>
      </w:pPr>
      <w:r w:rsidRPr="004102D2">
        <w:rPr>
          <w:rFonts w:ascii="Arial" w:hAnsi="Arial" w:cs="Arial"/>
          <w:sz w:val="19"/>
          <w:szCs w:val="19"/>
        </w:rPr>
        <w:t>»Artículo 4°. Competencia, jurisdicción y domicilio. A la UAE de Salud de Arauca le compele dirigir coordinar y vigilar el sector salud y el sistema general de seguridad social de salud en el departamento de Arauca, atendiendo las disposiciones legales sobre la materia en especial las estipuladas en la ley 715 de 2001, normas que la complementen, adicionen, modifiquen o sustituyan».</w:t>
      </w:r>
      <w:r w:rsidR="0005748B" w:rsidRPr="00F223B3">
        <w:rPr>
          <w:rFonts w:ascii="Arial" w:hAnsi="Arial" w:cs="Arial"/>
          <w:sz w:val="19"/>
          <w:szCs w:val="19"/>
        </w:rPr>
        <w:t xml:space="preserve"> Consultado el 6 de abril de 2022 en: </w:t>
      </w:r>
      <w:hyperlink r:id="rId2" w:history="1">
        <w:r w:rsidR="000C5766" w:rsidRPr="004102D2">
          <w:rPr>
            <w:rStyle w:val="Hipervnculo"/>
            <w:rFonts w:ascii="Arial" w:hAnsi="Arial" w:cs="Arial"/>
            <w:color w:val="auto"/>
            <w:sz w:val="18"/>
            <w:szCs w:val="18"/>
          </w:rPr>
          <w:t>https://unidad-administrativa-especial-de-salud-de-arauca.micolombiadigital.gov.co/sites/unidad-administrativa-especial-de-salud-de-arauca/content/files/000043/2105_decreto-no-333-de-2005-por-medio-del-cual-se-crea-la-uaesa.pdf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F64D8" w:rsidRDefault="00EF64D8">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F02B9"/>
    <w:multiLevelType w:val="hybridMultilevel"/>
    <w:tmpl w:val="64F6ABC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B8A2D41"/>
    <w:multiLevelType w:val="hybridMultilevel"/>
    <w:tmpl w:val="B8CC0D42"/>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4" w15:restartNumberingAfterBreak="0">
    <w:nsid w:val="29380B19"/>
    <w:multiLevelType w:val="hybridMultilevel"/>
    <w:tmpl w:val="1F66EDE8"/>
    <w:lvl w:ilvl="0" w:tplc="60226B48">
      <w:start w:val="1"/>
      <w:numFmt w:val="decimal"/>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5"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F3B1499"/>
    <w:multiLevelType w:val="hybridMultilevel"/>
    <w:tmpl w:val="B5BA0E08"/>
    <w:lvl w:ilvl="0" w:tplc="EC46EAB4">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7B7BA6"/>
    <w:multiLevelType w:val="hybridMultilevel"/>
    <w:tmpl w:val="0A9A12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5C1658E"/>
    <w:multiLevelType w:val="hybridMultilevel"/>
    <w:tmpl w:val="6BB45F22"/>
    <w:lvl w:ilvl="0" w:tplc="324E2A2C">
      <w:start w:val="1"/>
      <w:numFmt w:val="upperRoman"/>
      <w:lvlText w:val="%1."/>
      <w:lvlJc w:val="right"/>
      <w:pPr>
        <w:ind w:left="1429" w:hanging="360"/>
      </w:pPr>
      <w:rPr>
        <w:sz w:val="22"/>
        <w:szCs w:val="22"/>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3642528B"/>
    <w:multiLevelType w:val="hybridMultilevel"/>
    <w:tmpl w:val="D408B580"/>
    <w:lvl w:ilvl="0" w:tplc="15DE398A">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3" w15:restartNumberingAfterBreak="0">
    <w:nsid w:val="3DF77F05"/>
    <w:multiLevelType w:val="hybridMultilevel"/>
    <w:tmpl w:val="0E90E834"/>
    <w:lvl w:ilvl="0" w:tplc="073E4240">
      <w:start w:val="1"/>
      <w:numFmt w:val="lowerRoman"/>
      <w:lvlText w:val="%1)"/>
      <w:lvlJc w:val="left"/>
      <w:pPr>
        <w:ind w:left="1429" w:hanging="72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4" w15:restartNumberingAfterBreak="0">
    <w:nsid w:val="444D0259"/>
    <w:multiLevelType w:val="hybridMultilevel"/>
    <w:tmpl w:val="77FC860C"/>
    <w:lvl w:ilvl="0" w:tplc="0C0A0017">
      <w:start w:val="1"/>
      <w:numFmt w:val="lowerLetter"/>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32B27AF"/>
    <w:multiLevelType w:val="hybridMultilevel"/>
    <w:tmpl w:val="BA34E780"/>
    <w:lvl w:ilvl="0" w:tplc="56241FF8">
      <w:start w:val="1"/>
      <w:numFmt w:val="lowerLetter"/>
      <w:lvlText w:val="%1)"/>
      <w:lvlJc w:val="left"/>
      <w:pPr>
        <w:ind w:left="1069" w:hanging="360"/>
      </w:pPr>
      <w:rPr>
        <w:rFonts w:eastAsia="Arial" w:hint="default"/>
      </w:rPr>
    </w:lvl>
    <w:lvl w:ilvl="1" w:tplc="0C0A0019" w:tentative="1">
      <w:start w:val="1"/>
      <w:numFmt w:val="lowerLetter"/>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9" w15:restartNumberingAfterBreak="0">
    <w:nsid w:val="6A9B7B46"/>
    <w:multiLevelType w:val="hybridMultilevel"/>
    <w:tmpl w:val="103E82C4"/>
    <w:lvl w:ilvl="0" w:tplc="0C0A0013">
      <w:start w:val="1"/>
      <w:numFmt w:val="upperRoman"/>
      <w:lvlText w:val="%1."/>
      <w:lvlJc w:val="righ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FEE5641"/>
    <w:multiLevelType w:val="hybridMultilevel"/>
    <w:tmpl w:val="CE064F6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70966857"/>
    <w:multiLevelType w:val="hybridMultilevel"/>
    <w:tmpl w:val="2EB8A274"/>
    <w:lvl w:ilvl="0" w:tplc="0C0A000F">
      <w:start w:val="1"/>
      <w:numFmt w:val="decimal"/>
      <w:lvlText w:val="%1."/>
      <w:lvlJc w:val="left"/>
      <w:pPr>
        <w:ind w:left="1429" w:hanging="360"/>
      </w:p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23" w15:restartNumberingAfterBreak="0">
    <w:nsid w:val="7C703690"/>
    <w:multiLevelType w:val="hybridMultilevel"/>
    <w:tmpl w:val="F9862F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266112881">
    <w:abstractNumId w:val="10"/>
  </w:num>
  <w:num w:numId="2" w16cid:durableId="176508438">
    <w:abstractNumId w:val="8"/>
  </w:num>
  <w:num w:numId="3" w16cid:durableId="783228293">
    <w:abstractNumId w:val="15"/>
  </w:num>
  <w:num w:numId="4" w16cid:durableId="180440169">
    <w:abstractNumId w:val="16"/>
  </w:num>
  <w:num w:numId="5" w16cid:durableId="159196182">
    <w:abstractNumId w:val="20"/>
  </w:num>
  <w:num w:numId="6" w16cid:durableId="1671635853">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39403010">
    <w:abstractNumId w:val="17"/>
  </w:num>
  <w:num w:numId="8" w16cid:durableId="403383885">
    <w:abstractNumId w:val="5"/>
  </w:num>
  <w:num w:numId="9" w16cid:durableId="1132212436">
    <w:abstractNumId w:val="1"/>
  </w:num>
  <w:num w:numId="10" w16cid:durableId="1679580103">
    <w:abstractNumId w:val="6"/>
  </w:num>
  <w:num w:numId="11" w16cid:durableId="1450314619">
    <w:abstractNumId w:val="2"/>
  </w:num>
  <w:num w:numId="12" w16cid:durableId="879362334">
    <w:abstractNumId w:val="9"/>
  </w:num>
  <w:num w:numId="13" w16cid:durableId="1194805675">
    <w:abstractNumId w:val="3"/>
  </w:num>
  <w:num w:numId="14" w16cid:durableId="1374116934">
    <w:abstractNumId w:val="18"/>
  </w:num>
  <w:num w:numId="15" w16cid:durableId="1057439600">
    <w:abstractNumId w:val="14"/>
  </w:num>
  <w:num w:numId="16" w16cid:durableId="1978340728">
    <w:abstractNumId w:val="12"/>
  </w:num>
  <w:num w:numId="17" w16cid:durableId="884216526">
    <w:abstractNumId w:val="22"/>
  </w:num>
  <w:num w:numId="18" w16cid:durableId="1464539760">
    <w:abstractNumId w:val="4"/>
  </w:num>
  <w:num w:numId="19" w16cid:durableId="1687977974">
    <w:abstractNumId w:val="11"/>
  </w:num>
  <w:num w:numId="20" w16cid:durableId="551380406">
    <w:abstractNumId w:val="13"/>
  </w:num>
  <w:num w:numId="21" w16cid:durableId="1439788626">
    <w:abstractNumId w:val="19"/>
  </w:num>
  <w:num w:numId="22" w16cid:durableId="872036610">
    <w:abstractNumId w:val="7"/>
  </w:num>
  <w:num w:numId="23" w16cid:durableId="206767772">
    <w:abstractNumId w:val="23"/>
  </w:num>
  <w:num w:numId="24" w16cid:durableId="119978099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231C"/>
    <w:rsid w:val="000135A1"/>
    <w:rsid w:val="00013F7C"/>
    <w:rsid w:val="00015BF3"/>
    <w:rsid w:val="00015E80"/>
    <w:rsid w:val="00015F78"/>
    <w:rsid w:val="000164B2"/>
    <w:rsid w:val="000169A0"/>
    <w:rsid w:val="00016D26"/>
    <w:rsid w:val="00016D2E"/>
    <w:rsid w:val="00017245"/>
    <w:rsid w:val="00017253"/>
    <w:rsid w:val="00017C1D"/>
    <w:rsid w:val="000205F1"/>
    <w:rsid w:val="000210DF"/>
    <w:rsid w:val="0002271C"/>
    <w:rsid w:val="000229A9"/>
    <w:rsid w:val="00023CD9"/>
    <w:rsid w:val="00024653"/>
    <w:rsid w:val="000268E2"/>
    <w:rsid w:val="0002739B"/>
    <w:rsid w:val="000300C6"/>
    <w:rsid w:val="00030271"/>
    <w:rsid w:val="00032989"/>
    <w:rsid w:val="00032A51"/>
    <w:rsid w:val="00033802"/>
    <w:rsid w:val="00033C14"/>
    <w:rsid w:val="00033D8C"/>
    <w:rsid w:val="00034398"/>
    <w:rsid w:val="00034663"/>
    <w:rsid w:val="00040044"/>
    <w:rsid w:val="000414BE"/>
    <w:rsid w:val="000432DF"/>
    <w:rsid w:val="00044D8C"/>
    <w:rsid w:val="000502EC"/>
    <w:rsid w:val="00050C64"/>
    <w:rsid w:val="0005181E"/>
    <w:rsid w:val="00053136"/>
    <w:rsid w:val="000540E1"/>
    <w:rsid w:val="00054817"/>
    <w:rsid w:val="0005748B"/>
    <w:rsid w:val="000636F3"/>
    <w:rsid w:val="000641A8"/>
    <w:rsid w:val="0006467C"/>
    <w:rsid w:val="0006474E"/>
    <w:rsid w:val="00065205"/>
    <w:rsid w:val="00066517"/>
    <w:rsid w:val="00071132"/>
    <w:rsid w:val="00071351"/>
    <w:rsid w:val="000716B2"/>
    <w:rsid w:val="0007405A"/>
    <w:rsid w:val="00074BEE"/>
    <w:rsid w:val="00074D1E"/>
    <w:rsid w:val="00075D07"/>
    <w:rsid w:val="00076B31"/>
    <w:rsid w:val="000770DB"/>
    <w:rsid w:val="0008228E"/>
    <w:rsid w:val="000822A6"/>
    <w:rsid w:val="00082CE0"/>
    <w:rsid w:val="00084B97"/>
    <w:rsid w:val="00086D8D"/>
    <w:rsid w:val="000877B5"/>
    <w:rsid w:val="000902BC"/>
    <w:rsid w:val="00091AC6"/>
    <w:rsid w:val="00092542"/>
    <w:rsid w:val="00092617"/>
    <w:rsid w:val="00092B6A"/>
    <w:rsid w:val="000942EB"/>
    <w:rsid w:val="000943FC"/>
    <w:rsid w:val="00095B25"/>
    <w:rsid w:val="00096C01"/>
    <w:rsid w:val="0009763D"/>
    <w:rsid w:val="000A4DD7"/>
    <w:rsid w:val="000A5915"/>
    <w:rsid w:val="000B076C"/>
    <w:rsid w:val="000B0E61"/>
    <w:rsid w:val="000B103F"/>
    <w:rsid w:val="000B14BA"/>
    <w:rsid w:val="000B2D9A"/>
    <w:rsid w:val="000B5C13"/>
    <w:rsid w:val="000C00A2"/>
    <w:rsid w:val="000C1515"/>
    <w:rsid w:val="000C3232"/>
    <w:rsid w:val="000C394F"/>
    <w:rsid w:val="000C3F9B"/>
    <w:rsid w:val="000C4E3E"/>
    <w:rsid w:val="000C5512"/>
    <w:rsid w:val="000C5766"/>
    <w:rsid w:val="000C5D99"/>
    <w:rsid w:val="000D1837"/>
    <w:rsid w:val="000D186A"/>
    <w:rsid w:val="000D25BC"/>
    <w:rsid w:val="000D7953"/>
    <w:rsid w:val="000D7A0F"/>
    <w:rsid w:val="000E0DED"/>
    <w:rsid w:val="000E3909"/>
    <w:rsid w:val="000E6563"/>
    <w:rsid w:val="000E739D"/>
    <w:rsid w:val="000F091C"/>
    <w:rsid w:val="000F14E8"/>
    <w:rsid w:val="000F2AA2"/>
    <w:rsid w:val="000F2EE1"/>
    <w:rsid w:val="000F4695"/>
    <w:rsid w:val="000F7FC3"/>
    <w:rsid w:val="00100D69"/>
    <w:rsid w:val="00101018"/>
    <w:rsid w:val="00103915"/>
    <w:rsid w:val="001041A9"/>
    <w:rsid w:val="001072DB"/>
    <w:rsid w:val="001078AA"/>
    <w:rsid w:val="00110CE1"/>
    <w:rsid w:val="001112FD"/>
    <w:rsid w:val="0011178C"/>
    <w:rsid w:val="00111CDF"/>
    <w:rsid w:val="001124EB"/>
    <w:rsid w:val="00113157"/>
    <w:rsid w:val="00114327"/>
    <w:rsid w:val="00114900"/>
    <w:rsid w:val="0011520A"/>
    <w:rsid w:val="001155B8"/>
    <w:rsid w:val="00116C84"/>
    <w:rsid w:val="0011766B"/>
    <w:rsid w:val="00120D67"/>
    <w:rsid w:val="001214BC"/>
    <w:rsid w:val="001218B7"/>
    <w:rsid w:val="00122B23"/>
    <w:rsid w:val="00122B9A"/>
    <w:rsid w:val="00123BE2"/>
    <w:rsid w:val="00124A82"/>
    <w:rsid w:val="00130457"/>
    <w:rsid w:val="001326C7"/>
    <w:rsid w:val="001336B2"/>
    <w:rsid w:val="00133F8F"/>
    <w:rsid w:val="00134D65"/>
    <w:rsid w:val="0013770F"/>
    <w:rsid w:val="001377EC"/>
    <w:rsid w:val="00137E66"/>
    <w:rsid w:val="00137FFA"/>
    <w:rsid w:val="0014071F"/>
    <w:rsid w:val="00141B41"/>
    <w:rsid w:val="00141CCA"/>
    <w:rsid w:val="00141E25"/>
    <w:rsid w:val="0014214B"/>
    <w:rsid w:val="00142560"/>
    <w:rsid w:val="001429C2"/>
    <w:rsid w:val="00143D03"/>
    <w:rsid w:val="00144D68"/>
    <w:rsid w:val="00150CB3"/>
    <w:rsid w:val="00151129"/>
    <w:rsid w:val="00151936"/>
    <w:rsid w:val="00152FDA"/>
    <w:rsid w:val="00154785"/>
    <w:rsid w:val="00155B3D"/>
    <w:rsid w:val="00155C13"/>
    <w:rsid w:val="00156216"/>
    <w:rsid w:val="00160CB0"/>
    <w:rsid w:val="00161A37"/>
    <w:rsid w:val="001643A4"/>
    <w:rsid w:val="00165347"/>
    <w:rsid w:val="00165995"/>
    <w:rsid w:val="00171685"/>
    <w:rsid w:val="0017335A"/>
    <w:rsid w:val="00173B85"/>
    <w:rsid w:val="00180188"/>
    <w:rsid w:val="001824DD"/>
    <w:rsid w:val="001827CB"/>
    <w:rsid w:val="00182A86"/>
    <w:rsid w:val="00182EEE"/>
    <w:rsid w:val="0018335C"/>
    <w:rsid w:val="001833D0"/>
    <w:rsid w:val="0018635C"/>
    <w:rsid w:val="00190961"/>
    <w:rsid w:val="00191C4D"/>
    <w:rsid w:val="00192CDC"/>
    <w:rsid w:val="00192CE0"/>
    <w:rsid w:val="001961C8"/>
    <w:rsid w:val="00197BB3"/>
    <w:rsid w:val="001A0A19"/>
    <w:rsid w:val="001A0E7A"/>
    <w:rsid w:val="001A1753"/>
    <w:rsid w:val="001A217F"/>
    <w:rsid w:val="001A40A1"/>
    <w:rsid w:val="001A556D"/>
    <w:rsid w:val="001A69BA"/>
    <w:rsid w:val="001A78DE"/>
    <w:rsid w:val="001A7FD7"/>
    <w:rsid w:val="001B0444"/>
    <w:rsid w:val="001B0BE3"/>
    <w:rsid w:val="001B2F08"/>
    <w:rsid w:val="001B39FA"/>
    <w:rsid w:val="001B5217"/>
    <w:rsid w:val="001B5D90"/>
    <w:rsid w:val="001B6E10"/>
    <w:rsid w:val="001C01AF"/>
    <w:rsid w:val="001C24BF"/>
    <w:rsid w:val="001C47C8"/>
    <w:rsid w:val="001C6F95"/>
    <w:rsid w:val="001C763E"/>
    <w:rsid w:val="001D0C03"/>
    <w:rsid w:val="001D1560"/>
    <w:rsid w:val="001D17C2"/>
    <w:rsid w:val="001D2F93"/>
    <w:rsid w:val="001D2FC9"/>
    <w:rsid w:val="001D30D8"/>
    <w:rsid w:val="001D33DD"/>
    <w:rsid w:val="001D4EA4"/>
    <w:rsid w:val="001D567B"/>
    <w:rsid w:val="001D612F"/>
    <w:rsid w:val="001E01F9"/>
    <w:rsid w:val="001E074F"/>
    <w:rsid w:val="001E1959"/>
    <w:rsid w:val="001E1D46"/>
    <w:rsid w:val="001E1EEE"/>
    <w:rsid w:val="001E2866"/>
    <w:rsid w:val="001E2A7A"/>
    <w:rsid w:val="001E4B0D"/>
    <w:rsid w:val="001E7D79"/>
    <w:rsid w:val="001F21B5"/>
    <w:rsid w:val="001F4D43"/>
    <w:rsid w:val="001F4F5C"/>
    <w:rsid w:val="001F5388"/>
    <w:rsid w:val="001F5745"/>
    <w:rsid w:val="001F5F41"/>
    <w:rsid w:val="001F6290"/>
    <w:rsid w:val="001F6378"/>
    <w:rsid w:val="001F7341"/>
    <w:rsid w:val="001F774C"/>
    <w:rsid w:val="0020001F"/>
    <w:rsid w:val="0020059F"/>
    <w:rsid w:val="00200651"/>
    <w:rsid w:val="002025CC"/>
    <w:rsid w:val="0020324E"/>
    <w:rsid w:val="00203B55"/>
    <w:rsid w:val="00203E16"/>
    <w:rsid w:val="00204675"/>
    <w:rsid w:val="00205185"/>
    <w:rsid w:val="00205753"/>
    <w:rsid w:val="00205CAE"/>
    <w:rsid w:val="0020632A"/>
    <w:rsid w:val="002075B6"/>
    <w:rsid w:val="002076CC"/>
    <w:rsid w:val="00210366"/>
    <w:rsid w:val="00210A2D"/>
    <w:rsid w:val="00210DF2"/>
    <w:rsid w:val="002110EB"/>
    <w:rsid w:val="00211338"/>
    <w:rsid w:val="00213541"/>
    <w:rsid w:val="0021518A"/>
    <w:rsid w:val="00215618"/>
    <w:rsid w:val="00215B97"/>
    <w:rsid w:val="00216AAF"/>
    <w:rsid w:val="00216AEE"/>
    <w:rsid w:val="00216E64"/>
    <w:rsid w:val="002177D9"/>
    <w:rsid w:val="00217988"/>
    <w:rsid w:val="00217C7F"/>
    <w:rsid w:val="00220120"/>
    <w:rsid w:val="00220E20"/>
    <w:rsid w:val="0022167B"/>
    <w:rsid w:val="002232F5"/>
    <w:rsid w:val="002249BC"/>
    <w:rsid w:val="002270C0"/>
    <w:rsid w:val="002309D1"/>
    <w:rsid w:val="00230F89"/>
    <w:rsid w:val="00233909"/>
    <w:rsid w:val="002339D3"/>
    <w:rsid w:val="00234113"/>
    <w:rsid w:val="00234B84"/>
    <w:rsid w:val="00234C1A"/>
    <w:rsid w:val="0023589B"/>
    <w:rsid w:val="002364D4"/>
    <w:rsid w:val="0023691B"/>
    <w:rsid w:val="002379B1"/>
    <w:rsid w:val="002409B6"/>
    <w:rsid w:val="00243EE8"/>
    <w:rsid w:val="002456DB"/>
    <w:rsid w:val="00246944"/>
    <w:rsid w:val="00247C35"/>
    <w:rsid w:val="0025069C"/>
    <w:rsid w:val="0025151A"/>
    <w:rsid w:val="002534F1"/>
    <w:rsid w:val="002538B5"/>
    <w:rsid w:val="00254711"/>
    <w:rsid w:val="00255215"/>
    <w:rsid w:val="00255D2C"/>
    <w:rsid w:val="00256CE7"/>
    <w:rsid w:val="002576FD"/>
    <w:rsid w:val="002627A8"/>
    <w:rsid w:val="0026362F"/>
    <w:rsid w:val="00263755"/>
    <w:rsid w:val="0026403D"/>
    <w:rsid w:val="002647F7"/>
    <w:rsid w:val="00264E94"/>
    <w:rsid w:val="002654C1"/>
    <w:rsid w:val="0026616C"/>
    <w:rsid w:val="00267A47"/>
    <w:rsid w:val="00267C8B"/>
    <w:rsid w:val="00267DDA"/>
    <w:rsid w:val="002708A2"/>
    <w:rsid w:val="00271043"/>
    <w:rsid w:val="002725EE"/>
    <w:rsid w:val="002737FD"/>
    <w:rsid w:val="00273E83"/>
    <w:rsid w:val="00274DDF"/>
    <w:rsid w:val="00275E86"/>
    <w:rsid w:val="002801C7"/>
    <w:rsid w:val="00285503"/>
    <w:rsid w:val="00285AC8"/>
    <w:rsid w:val="00285AC9"/>
    <w:rsid w:val="00286089"/>
    <w:rsid w:val="00287343"/>
    <w:rsid w:val="00287741"/>
    <w:rsid w:val="00290E9F"/>
    <w:rsid w:val="002914E1"/>
    <w:rsid w:val="00291C4F"/>
    <w:rsid w:val="00291FE3"/>
    <w:rsid w:val="002938BD"/>
    <w:rsid w:val="00293BBD"/>
    <w:rsid w:val="002941C6"/>
    <w:rsid w:val="00296B40"/>
    <w:rsid w:val="002A2E12"/>
    <w:rsid w:val="002A3C35"/>
    <w:rsid w:val="002A4F9E"/>
    <w:rsid w:val="002A5498"/>
    <w:rsid w:val="002A5F87"/>
    <w:rsid w:val="002A695B"/>
    <w:rsid w:val="002B3433"/>
    <w:rsid w:val="002B41FB"/>
    <w:rsid w:val="002B4390"/>
    <w:rsid w:val="002B55C7"/>
    <w:rsid w:val="002C216A"/>
    <w:rsid w:val="002C28E1"/>
    <w:rsid w:val="002C2B56"/>
    <w:rsid w:val="002C2D1E"/>
    <w:rsid w:val="002C32E1"/>
    <w:rsid w:val="002C40FB"/>
    <w:rsid w:val="002C4C0C"/>
    <w:rsid w:val="002C57C8"/>
    <w:rsid w:val="002C6821"/>
    <w:rsid w:val="002D08FE"/>
    <w:rsid w:val="002D155C"/>
    <w:rsid w:val="002D2CD0"/>
    <w:rsid w:val="002D3589"/>
    <w:rsid w:val="002D481A"/>
    <w:rsid w:val="002D65E2"/>
    <w:rsid w:val="002D7275"/>
    <w:rsid w:val="002E06A1"/>
    <w:rsid w:val="002E7979"/>
    <w:rsid w:val="002F334B"/>
    <w:rsid w:val="002F4470"/>
    <w:rsid w:val="002F61C9"/>
    <w:rsid w:val="002F7BD7"/>
    <w:rsid w:val="003016E2"/>
    <w:rsid w:val="003033BA"/>
    <w:rsid w:val="00304580"/>
    <w:rsid w:val="00304B38"/>
    <w:rsid w:val="0030589C"/>
    <w:rsid w:val="00306C30"/>
    <w:rsid w:val="00307067"/>
    <w:rsid w:val="003073C0"/>
    <w:rsid w:val="00307855"/>
    <w:rsid w:val="003078D7"/>
    <w:rsid w:val="003108EF"/>
    <w:rsid w:val="0031206F"/>
    <w:rsid w:val="00312204"/>
    <w:rsid w:val="00312D89"/>
    <w:rsid w:val="00314C7D"/>
    <w:rsid w:val="00316214"/>
    <w:rsid w:val="003162C8"/>
    <w:rsid w:val="00316B16"/>
    <w:rsid w:val="00321018"/>
    <w:rsid w:val="0032144D"/>
    <w:rsid w:val="00322937"/>
    <w:rsid w:val="0032350A"/>
    <w:rsid w:val="003238A9"/>
    <w:rsid w:val="00327549"/>
    <w:rsid w:val="00327CEB"/>
    <w:rsid w:val="00330722"/>
    <w:rsid w:val="00334638"/>
    <w:rsid w:val="003404C6"/>
    <w:rsid w:val="0034096E"/>
    <w:rsid w:val="0034177C"/>
    <w:rsid w:val="00341D52"/>
    <w:rsid w:val="003429F6"/>
    <w:rsid w:val="00344B03"/>
    <w:rsid w:val="00345705"/>
    <w:rsid w:val="0034680A"/>
    <w:rsid w:val="00347024"/>
    <w:rsid w:val="00350AA9"/>
    <w:rsid w:val="00350DA7"/>
    <w:rsid w:val="00353653"/>
    <w:rsid w:val="00353DD5"/>
    <w:rsid w:val="00353EE8"/>
    <w:rsid w:val="00355084"/>
    <w:rsid w:val="00355E8C"/>
    <w:rsid w:val="00357167"/>
    <w:rsid w:val="00361495"/>
    <w:rsid w:val="00364EF6"/>
    <w:rsid w:val="003652E7"/>
    <w:rsid w:val="00365559"/>
    <w:rsid w:val="00366283"/>
    <w:rsid w:val="00366693"/>
    <w:rsid w:val="00366F76"/>
    <w:rsid w:val="00367828"/>
    <w:rsid w:val="00371F43"/>
    <w:rsid w:val="00372E26"/>
    <w:rsid w:val="003754D2"/>
    <w:rsid w:val="003757C2"/>
    <w:rsid w:val="00376930"/>
    <w:rsid w:val="00381C32"/>
    <w:rsid w:val="00384C43"/>
    <w:rsid w:val="00385CF3"/>
    <w:rsid w:val="00386456"/>
    <w:rsid w:val="003901B3"/>
    <w:rsid w:val="003903B0"/>
    <w:rsid w:val="00390C02"/>
    <w:rsid w:val="003912A3"/>
    <w:rsid w:val="0039143D"/>
    <w:rsid w:val="003949EE"/>
    <w:rsid w:val="003964D5"/>
    <w:rsid w:val="00396918"/>
    <w:rsid w:val="003A0878"/>
    <w:rsid w:val="003A0EBE"/>
    <w:rsid w:val="003A4CA4"/>
    <w:rsid w:val="003A581E"/>
    <w:rsid w:val="003A5E90"/>
    <w:rsid w:val="003A6751"/>
    <w:rsid w:val="003A7F89"/>
    <w:rsid w:val="003B027A"/>
    <w:rsid w:val="003B2341"/>
    <w:rsid w:val="003B267F"/>
    <w:rsid w:val="003B415C"/>
    <w:rsid w:val="003B4202"/>
    <w:rsid w:val="003B43DB"/>
    <w:rsid w:val="003B49DA"/>
    <w:rsid w:val="003B73DE"/>
    <w:rsid w:val="003C01B1"/>
    <w:rsid w:val="003C6CBA"/>
    <w:rsid w:val="003C75FC"/>
    <w:rsid w:val="003D1BE9"/>
    <w:rsid w:val="003D33FF"/>
    <w:rsid w:val="003D3D29"/>
    <w:rsid w:val="003D3D9D"/>
    <w:rsid w:val="003D43B0"/>
    <w:rsid w:val="003D45AC"/>
    <w:rsid w:val="003D527E"/>
    <w:rsid w:val="003D7E29"/>
    <w:rsid w:val="003E0D9E"/>
    <w:rsid w:val="003E1992"/>
    <w:rsid w:val="003E4819"/>
    <w:rsid w:val="003E4A30"/>
    <w:rsid w:val="003E6423"/>
    <w:rsid w:val="003E6884"/>
    <w:rsid w:val="003E7AA5"/>
    <w:rsid w:val="003F00C3"/>
    <w:rsid w:val="003F0161"/>
    <w:rsid w:val="003F18DE"/>
    <w:rsid w:val="003F1D3C"/>
    <w:rsid w:val="0040246E"/>
    <w:rsid w:val="004030F2"/>
    <w:rsid w:val="00405913"/>
    <w:rsid w:val="00406251"/>
    <w:rsid w:val="00406A1A"/>
    <w:rsid w:val="00407705"/>
    <w:rsid w:val="0040799E"/>
    <w:rsid w:val="004102D2"/>
    <w:rsid w:val="004129BB"/>
    <w:rsid w:val="00413C8D"/>
    <w:rsid w:val="00413E61"/>
    <w:rsid w:val="00414152"/>
    <w:rsid w:val="00415DDE"/>
    <w:rsid w:val="00416308"/>
    <w:rsid w:val="00416996"/>
    <w:rsid w:val="00417025"/>
    <w:rsid w:val="00421624"/>
    <w:rsid w:val="00421DF6"/>
    <w:rsid w:val="004228D3"/>
    <w:rsid w:val="00423405"/>
    <w:rsid w:val="00423F66"/>
    <w:rsid w:val="00423F9F"/>
    <w:rsid w:val="00425D74"/>
    <w:rsid w:val="00425FD7"/>
    <w:rsid w:val="00427F2F"/>
    <w:rsid w:val="00430D86"/>
    <w:rsid w:val="00432AD1"/>
    <w:rsid w:val="00432B52"/>
    <w:rsid w:val="00433494"/>
    <w:rsid w:val="00434140"/>
    <w:rsid w:val="00435826"/>
    <w:rsid w:val="0043612C"/>
    <w:rsid w:val="004376B9"/>
    <w:rsid w:val="00437BA7"/>
    <w:rsid w:val="00440848"/>
    <w:rsid w:val="00441DC6"/>
    <w:rsid w:val="00441EE4"/>
    <w:rsid w:val="004422D6"/>
    <w:rsid w:val="0044490E"/>
    <w:rsid w:val="00446E21"/>
    <w:rsid w:val="00447165"/>
    <w:rsid w:val="00447729"/>
    <w:rsid w:val="00452F9A"/>
    <w:rsid w:val="00457110"/>
    <w:rsid w:val="00460D1C"/>
    <w:rsid w:val="00464311"/>
    <w:rsid w:val="00466026"/>
    <w:rsid w:val="0046603E"/>
    <w:rsid w:val="00466082"/>
    <w:rsid w:val="0046653B"/>
    <w:rsid w:val="0046694E"/>
    <w:rsid w:val="00472B78"/>
    <w:rsid w:val="0047380F"/>
    <w:rsid w:val="0047426F"/>
    <w:rsid w:val="0047453E"/>
    <w:rsid w:val="004746AD"/>
    <w:rsid w:val="00475F18"/>
    <w:rsid w:val="00477514"/>
    <w:rsid w:val="004779F8"/>
    <w:rsid w:val="00480824"/>
    <w:rsid w:val="00480D03"/>
    <w:rsid w:val="00480ECA"/>
    <w:rsid w:val="004861E4"/>
    <w:rsid w:val="0048674D"/>
    <w:rsid w:val="004870BB"/>
    <w:rsid w:val="004872D8"/>
    <w:rsid w:val="0048754A"/>
    <w:rsid w:val="00487C10"/>
    <w:rsid w:val="00490A62"/>
    <w:rsid w:val="0049241A"/>
    <w:rsid w:val="004956F3"/>
    <w:rsid w:val="004974CD"/>
    <w:rsid w:val="004A0085"/>
    <w:rsid w:val="004A0106"/>
    <w:rsid w:val="004A0F49"/>
    <w:rsid w:val="004A34D2"/>
    <w:rsid w:val="004A4F76"/>
    <w:rsid w:val="004A6841"/>
    <w:rsid w:val="004A7B59"/>
    <w:rsid w:val="004B0B42"/>
    <w:rsid w:val="004B353C"/>
    <w:rsid w:val="004B6500"/>
    <w:rsid w:val="004B6E7D"/>
    <w:rsid w:val="004B7D5F"/>
    <w:rsid w:val="004C246A"/>
    <w:rsid w:val="004C31AF"/>
    <w:rsid w:val="004C3ADF"/>
    <w:rsid w:val="004C3BA4"/>
    <w:rsid w:val="004C59F7"/>
    <w:rsid w:val="004C60C5"/>
    <w:rsid w:val="004C755C"/>
    <w:rsid w:val="004C7603"/>
    <w:rsid w:val="004D087D"/>
    <w:rsid w:val="004D22DE"/>
    <w:rsid w:val="004D4A87"/>
    <w:rsid w:val="004D52FA"/>
    <w:rsid w:val="004D53FA"/>
    <w:rsid w:val="004D5756"/>
    <w:rsid w:val="004D63F7"/>
    <w:rsid w:val="004D65AC"/>
    <w:rsid w:val="004D702B"/>
    <w:rsid w:val="004D7944"/>
    <w:rsid w:val="004D7D21"/>
    <w:rsid w:val="004D7FB4"/>
    <w:rsid w:val="004E07A4"/>
    <w:rsid w:val="004E4C6D"/>
    <w:rsid w:val="004E5463"/>
    <w:rsid w:val="004F1425"/>
    <w:rsid w:val="004F16DB"/>
    <w:rsid w:val="004F30F8"/>
    <w:rsid w:val="004F3492"/>
    <w:rsid w:val="004F3517"/>
    <w:rsid w:val="004F3CDF"/>
    <w:rsid w:val="004F510B"/>
    <w:rsid w:val="004F5B24"/>
    <w:rsid w:val="004F6048"/>
    <w:rsid w:val="00501473"/>
    <w:rsid w:val="005051F8"/>
    <w:rsid w:val="0051074C"/>
    <w:rsid w:val="00510CF8"/>
    <w:rsid w:val="005112E4"/>
    <w:rsid w:val="00511922"/>
    <w:rsid w:val="00513AF2"/>
    <w:rsid w:val="00514439"/>
    <w:rsid w:val="00514D99"/>
    <w:rsid w:val="00514E3C"/>
    <w:rsid w:val="00515D32"/>
    <w:rsid w:val="0051759B"/>
    <w:rsid w:val="005216C1"/>
    <w:rsid w:val="00523703"/>
    <w:rsid w:val="00525997"/>
    <w:rsid w:val="00525FE7"/>
    <w:rsid w:val="005265E4"/>
    <w:rsid w:val="00526943"/>
    <w:rsid w:val="00527E3C"/>
    <w:rsid w:val="0053038B"/>
    <w:rsid w:val="0053170C"/>
    <w:rsid w:val="00531D5C"/>
    <w:rsid w:val="00532B96"/>
    <w:rsid w:val="00535106"/>
    <w:rsid w:val="005355D8"/>
    <w:rsid w:val="00535A34"/>
    <w:rsid w:val="0054155D"/>
    <w:rsid w:val="00542B62"/>
    <w:rsid w:val="00542BA7"/>
    <w:rsid w:val="0054413A"/>
    <w:rsid w:val="0054713D"/>
    <w:rsid w:val="005472F5"/>
    <w:rsid w:val="00550567"/>
    <w:rsid w:val="00550D93"/>
    <w:rsid w:val="005514ED"/>
    <w:rsid w:val="00554A77"/>
    <w:rsid w:val="005564CA"/>
    <w:rsid w:val="005601A8"/>
    <w:rsid w:val="00561506"/>
    <w:rsid w:val="0056182B"/>
    <w:rsid w:val="005622EB"/>
    <w:rsid w:val="00562332"/>
    <w:rsid w:val="00563655"/>
    <w:rsid w:val="00565AA1"/>
    <w:rsid w:val="0056728F"/>
    <w:rsid w:val="00567F3B"/>
    <w:rsid w:val="00570F08"/>
    <w:rsid w:val="005721B3"/>
    <w:rsid w:val="005756AA"/>
    <w:rsid w:val="00575A1C"/>
    <w:rsid w:val="0057646F"/>
    <w:rsid w:val="00577148"/>
    <w:rsid w:val="00582AE3"/>
    <w:rsid w:val="00584D9E"/>
    <w:rsid w:val="0058674C"/>
    <w:rsid w:val="0058679D"/>
    <w:rsid w:val="00586BDB"/>
    <w:rsid w:val="005879CA"/>
    <w:rsid w:val="00590380"/>
    <w:rsid w:val="005930B1"/>
    <w:rsid w:val="00596896"/>
    <w:rsid w:val="00597412"/>
    <w:rsid w:val="005A0414"/>
    <w:rsid w:val="005A119F"/>
    <w:rsid w:val="005A1645"/>
    <w:rsid w:val="005A2130"/>
    <w:rsid w:val="005A4FC5"/>
    <w:rsid w:val="005A6AB9"/>
    <w:rsid w:val="005A7DBD"/>
    <w:rsid w:val="005B1144"/>
    <w:rsid w:val="005B4267"/>
    <w:rsid w:val="005B5BE2"/>
    <w:rsid w:val="005B753A"/>
    <w:rsid w:val="005C00FA"/>
    <w:rsid w:val="005C343C"/>
    <w:rsid w:val="005C3BE4"/>
    <w:rsid w:val="005C5C9A"/>
    <w:rsid w:val="005C6A48"/>
    <w:rsid w:val="005C6C85"/>
    <w:rsid w:val="005C7184"/>
    <w:rsid w:val="005D1BC0"/>
    <w:rsid w:val="005D3155"/>
    <w:rsid w:val="005D35B6"/>
    <w:rsid w:val="005D36B1"/>
    <w:rsid w:val="005D4AEF"/>
    <w:rsid w:val="005D4E8A"/>
    <w:rsid w:val="005D50CE"/>
    <w:rsid w:val="005D51FA"/>
    <w:rsid w:val="005D5B90"/>
    <w:rsid w:val="005D791B"/>
    <w:rsid w:val="005E01CE"/>
    <w:rsid w:val="005E09A6"/>
    <w:rsid w:val="005E139E"/>
    <w:rsid w:val="005E1974"/>
    <w:rsid w:val="005E3B5B"/>
    <w:rsid w:val="005E4765"/>
    <w:rsid w:val="005E5697"/>
    <w:rsid w:val="005E7B52"/>
    <w:rsid w:val="005F055F"/>
    <w:rsid w:val="005F1B0F"/>
    <w:rsid w:val="005F317C"/>
    <w:rsid w:val="005F37CD"/>
    <w:rsid w:val="005F3CD0"/>
    <w:rsid w:val="005F51FB"/>
    <w:rsid w:val="005F53B6"/>
    <w:rsid w:val="005F599B"/>
    <w:rsid w:val="005F650A"/>
    <w:rsid w:val="005F68F7"/>
    <w:rsid w:val="005F788C"/>
    <w:rsid w:val="0060070B"/>
    <w:rsid w:val="00602708"/>
    <w:rsid w:val="00603E4D"/>
    <w:rsid w:val="00603FBE"/>
    <w:rsid w:val="00604893"/>
    <w:rsid w:val="00604B04"/>
    <w:rsid w:val="006058F6"/>
    <w:rsid w:val="00611365"/>
    <w:rsid w:val="00611ED9"/>
    <w:rsid w:val="00612C51"/>
    <w:rsid w:val="00612C53"/>
    <w:rsid w:val="00613FDA"/>
    <w:rsid w:val="006146F1"/>
    <w:rsid w:val="00614817"/>
    <w:rsid w:val="00616E1F"/>
    <w:rsid w:val="00620FE8"/>
    <w:rsid w:val="00621021"/>
    <w:rsid w:val="00621A1E"/>
    <w:rsid w:val="006230B0"/>
    <w:rsid w:val="00623D2C"/>
    <w:rsid w:val="00624498"/>
    <w:rsid w:val="0062724E"/>
    <w:rsid w:val="00630D7C"/>
    <w:rsid w:val="006318E7"/>
    <w:rsid w:val="00631CE1"/>
    <w:rsid w:val="0063224F"/>
    <w:rsid w:val="0063269D"/>
    <w:rsid w:val="00633DBF"/>
    <w:rsid w:val="00633DC6"/>
    <w:rsid w:val="006341BB"/>
    <w:rsid w:val="00635DED"/>
    <w:rsid w:val="0063667E"/>
    <w:rsid w:val="006421F8"/>
    <w:rsid w:val="00643B51"/>
    <w:rsid w:val="006441CE"/>
    <w:rsid w:val="006447B9"/>
    <w:rsid w:val="00644D7F"/>
    <w:rsid w:val="0064514E"/>
    <w:rsid w:val="00650FE8"/>
    <w:rsid w:val="006518DC"/>
    <w:rsid w:val="00652BAA"/>
    <w:rsid w:val="00653CA3"/>
    <w:rsid w:val="00654069"/>
    <w:rsid w:val="00655371"/>
    <w:rsid w:val="006559E3"/>
    <w:rsid w:val="00657259"/>
    <w:rsid w:val="00657446"/>
    <w:rsid w:val="00660D51"/>
    <w:rsid w:val="00662C7E"/>
    <w:rsid w:val="0066325D"/>
    <w:rsid w:val="00667768"/>
    <w:rsid w:val="006678A3"/>
    <w:rsid w:val="00667E0E"/>
    <w:rsid w:val="00670466"/>
    <w:rsid w:val="0067148D"/>
    <w:rsid w:val="0067157B"/>
    <w:rsid w:val="00672272"/>
    <w:rsid w:val="006728A0"/>
    <w:rsid w:val="006734E6"/>
    <w:rsid w:val="006748E0"/>
    <w:rsid w:val="00674F99"/>
    <w:rsid w:val="006807C6"/>
    <w:rsid w:val="00680B58"/>
    <w:rsid w:val="00681971"/>
    <w:rsid w:val="00681EED"/>
    <w:rsid w:val="00682E7B"/>
    <w:rsid w:val="006852F3"/>
    <w:rsid w:val="006906D4"/>
    <w:rsid w:val="0069141C"/>
    <w:rsid w:val="006919EA"/>
    <w:rsid w:val="00691AAC"/>
    <w:rsid w:val="00692992"/>
    <w:rsid w:val="00692F57"/>
    <w:rsid w:val="006954E4"/>
    <w:rsid w:val="00695B70"/>
    <w:rsid w:val="00697665"/>
    <w:rsid w:val="00697742"/>
    <w:rsid w:val="00697C55"/>
    <w:rsid w:val="00697DD0"/>
    <w:rsid w:val="006A0EB7"/>
    <w:rsid w:val="006A6ACB"/>
    <w:rsid w:val="006A7BB4"/>
    <w:rsid w:val="006A7CB5"/>
    <w:rsid w:val="006A7FD0"/>
    <w:rsid w:val="006B064B"/>
    <w:rsid w:val="006B08EC"/>
    <w:rsid w:val="006B0C4E"/>
    <w:rsid w:val="006B2398"/>
    <w:rsid w:val="006B24DE"/>
    <w:rsid w:val="006B2D45"/>
    <w:rsid w:val="006B318A"/>
    <w:rsid w:val="006B39D4"/>
    <w:rsid w:val="006B5051"/>
    <w:rsid w:val="006B5FA9"/>
    <w:rsid w:val="006C06E6"/>
    <w:rsid w:val="006C116D"/>
    <w:rsid w:val="006C132E"/>
    <w:rsid w:val="006C1463"/>
    <w:rsid w:val="006C18C1"/>
    <w:rsid w:val="006C1A72"/>
    <w:rsid w:val="006C2A51"/>
    <w:rsid w:val="006C2B00"/>
    <w:rsid w:val="006C3B52"/>
    <w:rsid w:val="006C6EE9"/>
    <w:rsid w:val="006C771B"/>
    <w:rsid w:val="006C7CD4"/>
    <w:rsid w:val="006C7EC1"/>
    <w:rsid w:val="006C7F3D"/>
    <w:rsid w:val="006D0BAE"/>
    <w:rsid w:val="006D2519"/>
    <w:rsid w:val="006D5552"/>
    <w:rsid w:val="006D5B2B"/>
    <w:rsid w:val="006D7687"/>
    <w:rsid w:val="006D7CF6"/>
    <w:rsid w:val="006E0572"/>
    <w:rsid w:val="006E131E"/>
    <w:rsid w:val="006E170C"/>
    <w:rsid w:val="006E19D3"/>
    <w:rsid w:val="006E1E98"/>
    <w:rsid w:val="006E37FA"/>
    <w:rsid w:val="006E4AF7"/>
    <w:rsid w:val="006E66D9"/>
    <w:rsid w:val="006F3617"/>
    <w:rsid w:val="006F4EB3"/>
    <w:rsid w:val="006F56C4"/>
    <w:rsid w:val="006F6168"/>
    <w:rsid w:val="006F7679"/>
    <w:rsid w:val="00700B57"/>
    <w:rsid w:val="007014F8"/>
    <w:rsid w:val="00705403"/>
    <w:rsid w:val="00705631"/>
    <w:rsid w:val="00706C8B"/>
    <w:rsid w:val="00707531"/>
    <w:rsid w:val="00710134"/>
    <w:rsid w:val="00711205"/>
    <w:rsid w:val="007136AC"/>
    <w:rsid w:val="00715437"/>
    <w:rsid w:val="00715EAA"/>
    <w:rsid w:val="007168C5"/>
    <w:rsid w:val="00716CC3"/>
    <w:rsid w:val="00720050"/>
    <w:rsid w:val="007213F0"/>
    <w:rsid w:val="00722293"/>
    <w:rsid w:val="00723B38"/>
    <w:rsid w:val="00723E02"/>
    <w:rsid w:val="00724D11"/>
    <w:rsid w:val="00726F60"/>
    <w:rsid w:val="00733BCA"/>
    <w:rsid w:val="0073441F"/>
    <w:rsid w:val="0073589B"/>
    <w:rsid w:val="00735AEF"/>
    <w:rsid w:val="007412B8"/>
    <w:rsid w:val="00741A9E"/>
    <w:rsid w:val="00742281"/>
    <w:rsid w:val="00742DD2"/>
    <w:rsid w:val="00746E08"/>
    <w:rsid w:val="00747C96"/>
    <w:rsid w:val="007503E9"/>
    <w:rsid w:val="0075094E"/>
    <w:rsid w:val="007522E8"/>
    <w:rsid w:val="00755CC4"/>
    <w:rsid w:val="0075647A"/>
    <w:rsid w:val="007572F9"/>
    <w:rsid w:val="00760166"/>
    <w:rsid w:val="00762948"/>
    <w:rsid w:val="00762F48"/>
    <w:rsid w:val="007634AD"/>
    <w:rsid w:val="00764011"/>
    <w:rsid w:val="0076432E"/>
    <w:rsid w:val="007668D9"/>
    <w:rsid w:val="00766A70"/>
    <w:rsid w:val="0077057C"/>
    <w:rsid w:val="007707A7"/>
    <w:rsid w:val="00770B28"/>
    <w:rsid w:val="00771DF3"/>
    <w:rsid w:val="00773CB2"/>
    <w:rsid w:val="00775563"/>
    <w:rsid w:val="00776689"/>
    <w:rsid w:val="0078122E"/>
    <w:rsid w:val="00783A83"/>
    <w:rsid w:val="00792E66"/>
    <w:rsid w:val="00792F13"/>
    <w:rsid w:val="007930A5"/>
    <w:rsid w:val="00793373"/>
    <w:rsid w:val="00793E57"/>
    <w:rsid w:val="00794007"/>
    <w:rsid w:val="00795647"/>
    <w:rsid w:val="007973B1"/>
    <w:rsid w:val="007A174B"/>
    <w:rsid w:val="007A3611"/>
    <w:rsid w:val="007A4FE3"/>
    <w:rsid w:val="007A5737"/>
    <w:rsid w:val="007A6125"/>
    <w:rsid w:val="007A76FC"/>
    <w:rsid w:val="007B0854"/>
    <w:rsid w:val="007B1ACE"/>
    <w:rsid w:val="007B27D7"/>
    <w:rsid w:val="007B2D7A"/>
    <w:rsid w:val="007B4F45"/>
    <w:rsid w:val="007B4F4C"/>
    <w:rsid w:val="007B660A"/>
    <w:rsid w:val="007C0AB3"/>
    <w:rsid w:val="007C15C8"/>
    <w:rsid w:val="007C209F"/>
    <w:rsid w:val="007C22B6"/>
    <w:rsid w:val="007C2357"/>
    <w:rsid w:val="007C2D7E"/>
    <w:rsid w:val="007C33A6"/>
    <w:rsid w:val="007C4A1C"/>
    <w:rsid w:val="007C4BE5"/>
    <w:rsid w:val="007C58BD"/>
    <w:rsid w:val="007C5C1C"/>
    <w:rsid w:val="007D00BD"/>
    <w:rsid w:val="007D01F0"/>
    <w:rsid w:val="007D0B72"/>
    <w:rsid w:val="007D3671"/>
    <w:rsid w:val="007D4919"/>
    <w:rsid w:val="007D4DBE"/>
    <w:rsid w:val="007D5C3E"/>
    <w:rsid w:val="007D6C71"/>
    <w:rsid w:val="007D7901"/>
    <w:rsid w:val="007D7DD8"/>
    <w:rsid w:val="007E02AE"/>
    <w:rsid w:val="007E0C58"/>
    <w:rsid w:val="007E1312"/>
    <w:rsid w:val="007E25A3"/>
    <w:rsid w:val="007E3638"/>
    <w:rsid w:val="007E3ACA"/>
    <w:rsid w:val="007E5C16"/>
    <w:rsid w:val="007E676C"/>
    <w:rsid w:val="007E7A93"/>
    <w:rsid w:val="007F15AE"/>
    <w:rsid w:val="007F1C69"/>
    <w:rsid w:val="007F51B0"/>
    <w:rsid w:val="007F54FB"/>
    <w:rsid w:val="007F5623"/>
    <w:rsid w:val="007F573F"/>
    <w:rsid w:val="007F6A64"/>
    <w:rsid w:val="007F6B46"/>
    <w:rsid w:val="007F6D80"/>
    <w:rsid w:val="007F72CB"/>
    <w:rsid w:val="00800C47"/>
    <w:rsid w:val="0080224B"/>
    <w:rsid w:val="0080370F"/>
    <w:rsid w:val="0080514C"/>
    <w:rsid w:val="00806A11"/>
    <w:rsid w:val="00806AD5"/>
    <w:rsid w:val="00810C5F"/>
    <w:rsid w:val="008132FA"/>
    <w:rsid w:val="00813988"/>
    <w:rsid w:val="00814E0D"/>
    <w:rsid w:val="0081553B"/>
    <w:rsid w:val="00815BCC"/>
    <w:rsid w:val="008160B2"/>
    <w:rsid w:val="00817744"/>
    <w:rsid w:val="00817C29"/>
    <w:rsid w:val="0082011E"/>
    <w:rsid w:val="0082065D"/>
    <w:rsid w:val="00820A37"/>
    <w:rsid w:val="008217B7"/>
    <w:rsid w:val="00824BF9"/>
    <w:rsid w:val="00830018"/>
    <w:rsid w:val="00830303"/>
    <w:rsid w:val="0083119B"/>
    <w:rsid w:val="008326A3"/>
    <w:rsid w:val="00833039"/>
    <w:rsid w:val="00835917"/>
    <w:rsid w:val="00836A52"/>
    <w:rsid w:val="00836EAB"/>
    <w:rsid w:val="0083782B"/>
    <w:rsid w:val="008403F6"/>
    <w:rsid w:val="00840960"/>
    <w:rsid w:val="00840A52"/>
    <w:rsid w:val="008420C6"/>
    <w:rsid w:val="008445AD"/>
    <w:rsid w:val="00844864"/>
    <w:rsid w:val="00845AF5"/>
    <w:rsid w:val="00846235"/>
    <w:rsid w:val="00846B3D"/>
    <w:rsid w:val="0085092D"/>
    <w:rsid w:val="00850F79"/>
    <w:rsid w:val="00851723"/>
    <w:rsid w:val="00851D62"/>
    <w:rsid w:val="00853074"/>
    <w:rsid w:val="00853AE0"/>
    <w:rsid w:val="00853AF8"/>
    <w:rsid w:val="00854D44"/>
    <w:rsid w:val="00854DB7"/>
    <w:rsid w:val="00857EEA"/>
    <w:rsid w:val="0086121D"/>
    <w:rsid w:val="00861F54"/>
    <w:rsid w:val="0086218A"/>
    <w:rsid w:val="008632AF"/>
    <w:rsid w:val="00864821"/>
    <w:rsid w:val="008654BA"/>
    <w:rsid w:val="00870AF9"/>
    <w:rsid w:val="00871990"/>
    <w:rsid w:val="00872A2E"/>
    <w:rsid w:val="008749A9"/>
    <w:rsid w:val="00876146"/>
    <w:rsid w:val="0087668B"/>
    <w:rsid w:val="00876868"/>
    <w:rsid w:val="00876C3A"/>
    <w:rsid w:val="008770F7"/>
    <w:rsid w:val="00880378"/>
    <w:rsid w:val="00880D11"/>
    <w:rsid w:val="00881812"/>
    <w:rsid w:val="00881A23"/>
    <w:rsid w:val="00882C43"/>
    <w:rsid w:val="00882F5E"/>
    <w:rsid w:val="0088409B"/>
    <w:rsid w:val="0088434E"/>
    <w:rsid w:val="0088605D"/>
    <w:rsid w:val="00886E97"/>
    <w:rsid w:val="00887C57"/>
    <w:rsid w:val="00890D42"/>
    <w:rsid w:val="00891FB0"/>
    <w:rsid w:val="008927F9"/>
    <w:rsid w:val="0089306D"/>
    <w:rsid w:val="00894211"/>
    <w:rsid w:val="00894D5C"/>
    <w:rsid w:val="0089774F"/>
    <w:rsid w:val="008A18EE"/>
    <w:rsid w:val="008A1C35"/>
    <w:rsid w:val="008A1C99"/>
    <w:rsid w:val="008A1E91"/>
    <w:rsid w:val="008A2523"/>
    <w:rsid w:val="008A2550"/>
    <w:rsid w:val="008A2823"/>
    <w:rsid w:val="008A3153"/>
    <w:rsid w:val="008A383B"/>
    <w:rsid w:val="008A4934"/>
    <w:rsid w:val="008A519B"/>
    <w:rsid w:val="008A7EB2"/>
    <w:rsid w:val="008B1829"/>
    <w:rsid w:val="008B2C6A"/>
    <w:rsid w:val="008B3AED"/>
    <w:rsid w:val="008B5BDA"/>
    <w:rsid w:val="008B6265"/>
    <w:rsid w:val="008B6B7E"/>
    <w:rsid w:val="008C30C7"/>
    <w:rsid w:val="008C34B5"/>
    <w:rsid w:val="008C3736"/>
    <w:rsid w:val="008C4741"/>
    <w:rsid w:val="008C4BF8"/>
    <w:rsid w:val="008C6F87"/>
    <w:rsid w:val="008C7C2E"/>
    <w:rsid w:val="008D1EFE"/>
    <w:rsid w:val="008D271F"/>
    <w:rsid w:val="008D36DB"/>
    <w:rsid w:val="008D46D3"/>
    <w:rsid w:val="008D56BF"/>
    <w:rsid w:val="008D572E"/>
    <w:rsid w:val="008D711B"/>
    <w:rsid w:val="008D7643"/>
    <w:rsid w:val="008D79F4"/>
    <w:rsid w:val="008D7EE7"/>
    <w:rsid w:val="008E1C15"/>
    <w:rsid w:val="008E35DC"/>
    <w:rsid w:val="008E3C08"/>
    <w:rsid w:val="008E4E6A"/>
    <w:rsid w:val="008E5687"/>
    <w:rsid w:val="008E7DBB"/>
    <w:rsid w:val="008F0B5E"/>
    <w:rsid w:val="008F2D5F"/>
    <w:rsid w:val="008F39C7"/>
    <w:rsid w:val="008F538E"/>
    <w:rsid w:val="008F5551"/>
    <w:rsid w:val="008F6CB0"/>
    <w:rsid w:val="008F7712"/>
    <w:rsid w:val="00900304"/>
    <w:rsid w:val="00900817"/>
    <w:rsid w:val="009008CF"/>
    <w:rsid w:val="00900F40"/>
    <w:rsid w:val="009037EE"/>
    <w:rsid w:val="00904534"/>
    <w:rsid w:val="00904785"/>
    <w:rsid w:val="009047C5"/>
    <w:rsid w:val="009065BE"/>
    <w:rsid w:val="00906A56"/>
    <w:rsid w:val="0091187A"/>
    <w:rsid w:val="00911E11"/>
    <w:rsid w:val="009139FF"/>
    <w:rsid w:val="00913DEE"/>
    <w:rsid w:val="00914DA0"/>
    <w:rsid w:val="00914F6A"/>
    <w:rsid w:val="00915799"/>
    <w:rsid w:val="00915933"/>
    <w:rsid w:val="00915B66"/>
    <w:rsid w:val="00916D58"/>
    <w:rsid w:val="009173EE"/>
    <w:rsid w:val="0091758D"/>
    <w:rsid w:val="00917D8E"/>
    <w:rsid w:val="00920A32"/>
    <w:rsid w:val="00921674"/>
    <w:rsid w:val="009224E5"/>
    <w:rsid w:val="00922597"/>
    <w:rsid w:val="00922786"/>
    <w:rsid w:val="009234B9"/>
    <w:rsid w:val="00923802"/>
    <w:rsid w:val="009246D0"/>
    <w:rsid w:val="00924C63"/>
    <w:rsid w:val="00927D00"/>
    <w:rsid w:val="009350C1"/>
    <w:rsid w:val="009368B9"/>
    <w:rsid w:val="00937020"/>
    <w:rsid w:val="00940DB9"/>
    <w:rsid w:val="009443C9"/>
    <w:rsid w:val="0094567D"/>
    <w:rsid w:val="009458F0"/>
    <w:rsid w:val="00946A8B"/>
    <w:rsid w:val="009471A0"/>
    <w:rsid w:val="00947622"/>
    <w:rsid w:val="00951621"/>
    <w:rsid w:val="00952E98"/>
    <w:rsid w:val="0095385A"/>
    <w:rsid w:val="00955202"/>
    <w:rsid w:val="00955B44"/>
    <w:rsid w:val="00956821"/>
    <w:rsid w:val="00964425"/>
    <w:rsid w:val="00964942"/>
    <w:rsid w:val="009658C0"/>
    <w:rsid w:val="00967268"/>
    <w:rsid w:val="00967CD8"/>
    <w:rsid w:val="00970437"/>
    <w:rsid w:val="00971F9D"/>
    <w:rsid w:val="00971FAB"/>
    <w:rsid w:val="009726BB"/>
    <w:rsid w:val="0097606C"/>
    <w:rsid w:val="00976295"/>
    <w:rsid w:val="00981216"/>
    <w:rsid w:val="00982027"/>
    <w:rsid w:val="009820DB"/>
    <w:rsid w:val="0098238F"/>
    <w:rsid w:val="0098489D"/>
    <w:rsid w:val="00984AB9"/>
    <w:rsid w:val="0098623D"/>
    <w:rsid w:val="009900DC"/>
    <w:rsid w:val="009906BE"/>
    <w:rsid w:val="0099095D"/>
    <w:rsid w:val="009916A7"/>
    <w:rsid w:val="00992127"/>
    <w:rsid w:val="009922C8"/>
    <w:rsid w:val="0099237F"/>
    <w:rsid w:val="0099262B"/>
    <w:rsid w:val="00994DF5"/>
    <w:rsid w:val="00994E2D"/>
    <w:rsid w:val="009976EE"/>
    <w:rsid w:val="009A0F94"/>
    <w:rsid w:val="009A2B57"/>
    <w:rsid w:val="009A3569"/>
    <w:rsid w:val="009A4826"/>
    <w:rsid w:val="009A60FC"/>
    <w:rsid w:val="009A758C"/>
    <w:rsid w:val="009B031D"/>
    <w:rsid w:val="009B4776"/>
    <w:rsid w:val="009B512E"/>
    <w:rsid w:val="009B5190"/>
    <w:rsid w:val="009B61A4"/>
    <w:rsid w:val="009C0D78"/>
    <w:rsid w:val="009C31BE"/>
    <w:rsid w:val="009C37DC"/>
    <w:rsid w:val="009C57EF"/>
    <w:rsid w:val="009C6959"/>
    <w:rsid w:val="009C713B"/>
    <w:rsid w:val="009D3CF6"/>
    <w:rsid w:val="009D4945"/>
    <w:rsid w:val="009D4B2F"/>
    <w:rsid w:val="009D5C7D"/>
    <w:rsid w:val="009D6E69"/>
    <w:rsid w:val="009E0147"/>
    <w:rsid w:val="009E0B9D"/>
    <w:rsid w:val="009E30D4"/>
    <w:rsid w:val="009E4C7C"/>
    <w:rsid w:val="009E54F2"/>
    <w:rsid w:val="009E5853"/>
    <w:rsid w:val="009E64D5"/>
    <w:rsid w:val="009F246D"/>
    <w:rsid w:val="009F261D"/>
    <w:rsid w:val="009F3602"/>
    <w:rsid w:val="009F5096"/>
    <w:rsid w:val="009F59C2"/>
    <w:rsid w:val="009F78A0"/>
    <w:rsid w:val="00A0103E"/>
    <w:rsid w:val="00A010FC"/>
    <w:rsid w:val="00A02213"/>
    <w:rsid w:val="00A03425"/>
    <w:rsid w:val="00A04977"/>
    <w:rsid w:val="00A04B5C"/>
    <w:rsid w:val="00A05140"/>
    <w:rsid w:val="00A0528D"/>
    <w:rsid w:val="00A066BD"/>
    <w:rsid w:val="00A10053"/>
    <w:rsid w:val="00A11895"/>
    <w:rsid w:val="00A13886"/>
    <w:rsid w:val="00A14415"/>
    <w:rsid w:val="00A146B7"/>
    <w:rsid w:val="00A16FAB"/>
    <w:rsid w:val="00A1798B"/>
    <w:rsid w:val="00A2084E"/>
    <w:rsid w:val="00A21B32"/>
    <w:rsid w:val="00A228C5"/>
    <w:rsid w:val="00A23693"/>
    <w:rsid w:val="00A23CE5"/>
    <w:rsid w:val="00A2433B"/>
    <w:rsid w:val="00A2439B"/>
    <w:rsid w:val="00A24560"/>
    <w:rsid w:val="00A24834"/>
    <w:rsid w:val="00A27708"/>
    <w:rsid w:val="00A32B79"/>
    <w:rsid w:val="00A3420B"/>
    <w:rsid w:val="00A34538"/>
    <w:rsid w:val="00A350AF"/>
    <w:rsid w:val="00A35AD8"/>
    <w:rsid w:val="00A37C18"/>
    <w:rsid w:val="00A37FB6"/>
    <w:rsid w:val="00A40A28"/>
    <w:rsid w:val="00A42365"/>
    <w:rsid w:val="00A426EC"/>
    <w:rsid w:val="00A462AB"/>
    <w:rsid w:val="00A500EF"/>
    <w:rsid w:val="00A51659"/>
    <w:rsid w:val="00A5350E"/>
    <w:rsid w:val="00A5539A"/>
    <w:rsid w:val="00A568F2"/>
    <w:rsid w:val="00A568F6"/>
    <w:rsid w:val="00A57160"/>
    <w:rsid w:val="00A6121B"/>
    <w:rsid w:val="00A61297"/>
    <w:rsid w:val="00A612F6"/>
    <w:rsid w:val="00A62322"/>
    <w:rsid w:val="00A65AD5"/>
    <w:rsid w:val="00A7090A"/>
    <w:rsid w:val="00A734C1"/>
    <w:rsid w:val="00A73C6F"/>
    <w:rsid w:val="00A74544"/>
    <w:rsid w:val="00A757E2"/>
    <w:rsid w:val="00A771A5"/>
    <w:rsid w:val="00A82473"/>
    <w:rsid w:val="00A83087"/>
    <w:rsid w:val="00A83E55"/>
    <w:rsid w:val="00A83F78"/>
    <w:rsid w:val="00A8570E"/>
    <w:rsid w:val="00A87ECD"/>
    <w:rsid w:val="00A91BEA"/>
    <w:rsid w:val="00A944C2"/>
    <w:rsid w:val="00A9502E"/>
    <w:rsid w:val="00A95095"/>
    <w:rsid w:val="00A95142"/>
    <w:rsid w:val="00A957B9"/>
    <w:rsid w:val="00A9641E"/>
    <w:rsid w:val="00A97125"/>
    <w:rsid w:val="00A97234"/>
    <w:rsid w:val="00AA08E7"/>
    <w:rsid w:val="00AA0B78"/>
    <w:rsid w:val="00AA0BE1"/>
    <w:rsid w:val="00AA2094"/>
    <w:rsid w:val="00AA442B"/>
    <w:rsid w:val="00AA669D"/>
    <w:rsid w:val="00AA69BC"/>
    <w:rsid w:val="00AA7403"/>
    <w:rsid w:val="00AA7503"/>
    <w:rsid w:val="00AB0808"/>
    <w:rsid w:val="00AB3212"/>
    <w:rsid w:val="00AB35A6"/>
    <w:rsid w:val="00AB5852"/>
    <w:rsid w:val="00AB5969"/>
    <w:rsid w:val="00AB5C7F"/>
    <w:rsid w:val="00AB628F"/>
    <w:rsid w:val="00AB6591"/>
    <w:rsid w:val="00AC146A"/>
    <w:rsid w:val="00AC27E8"/>
    <w:rsid w:val="00AC4829"/>
    <w:rsid w:val="00AC514C"/>
    <w:rsid w:val="00AC5690"/>
    <w:rsid w:val="00AC5F3A"/>
    <w:rsid w:val="00AD1A73"/>
    <w:rsid w:val="00AD45E3"/>
    <w:rsid w:val="00AE08F9"/>
    <w:rsid w:val="00AE1539"/>
    <w:rsid w:val="00AE2D2E"/>
    <w:rsid w:val="00AE32F2"/>
    <w:rsid w:val="00AE4B35"/>
    <w:rsid w:val="00AE4C20"/>
    <w:rsid w:val="00AE5ABF"/>
    <w:rsid w:val="00AE61E1"/>
    <w:rsid w:val="00AE6434"/>
    <w:rsid w:val="00AE69A5"/>
    <w:rsid w:val="00AE6C09"/>
    <w:rsid w:val="00AE7779"/>
    <w:rsid w:val="00AF0BEC"/>
    <w:rsid w:val="00AF373E"/>
    <w:rsid w:val="00AF561D"/>
    <w:rsid w:val="00B000D8"/>
    <w:rsid w:val="00B012D7"/>
    <w:rsid w:val="00B02774"/>
    <w:rsid w:val="00B04012"/>
    <w:rsid w:val="00B04E6F"/>
    <w:rsid w:val="00B050B8"/>
    <w:rsid w:val="00B05411"/>
    <w:rsid w:val="00B0753B"/>
    <w:rsid w:val="00B12F06"/>
    <w:rsid w:val="00B13EC0"/>
    <w:rsid w:val="00B16829"/>
    <w:rsid w:val="00B179C1"/>
    <w:rsid w:val="00B20525"/>
    <w:rsid w:val="00B21442"/>
    <w:rsid w:val="00B22E22"/>
    <w:rsid w:val="00B2513E"/>
    <w:rsid w:val="00B2548B"/>
    <w:rsid w:val="00B25E66"/>
    <w:rsid w:val="00B27AD4"/>
    <w:rsid w:val="00B30086"/>
    <w:rsid w:val="00B31F22"/>
    <w:rsid w:val="00B32BCD"/>
    <w:rsid w:val="00B35625"/>
    <w:rsid w:val="00B359ED"/>
    <w:rsid w:val="00B36260"/>
    <w:rsid w:val="00B36832"/>
    <w:rsid w:val="00B37C00"/>
    <w:rsid w:val="00B40486"/>
    <w:rsid w:val="00B426AA"/>
    <w:rsid w:val="00B44270"/>
    <w:rsid w:val="00B44AD6"/>
    <w:rsid w:val="00B44E8E"/>
    <w:rsid w:val="00B46C42"/>
    <w:rsid w:val="00B51003"/>
    <w:rsid w:val="00B512FD"/>
    <w:rsid w:val="00B525CB"/>
    <w:rsid w:val="00B5487A"/>
    <w:rsid w:val="00B552B6"/>
    <w:rsid w:val="00B5546E"/>
    <w:rsid w:val="00B5566E"/>
    <w:rsid w:val="00B55851"/>
    <w:rsid w:val="00B5758A"/>
    <w:rsid w:val="00B57B27"/>
    <w:rsid w:val="00B60461"/>
    <w:rsid w:val="00B61B4F"/>
    <w:rsid w:val="00B62A61"/>
    <w:rsid w:val="00B62F95"/>
    <w:rsid w:val="00B633F9"/>
    <w:rsid w:val="00B63872"/>
    <w:rsid w:val="00B63CB2"/>
    <w:rsid w:val="00B641D9"/>
    <w:rsid w:val="00B64EDB"/>
    <w:rsid w:val="00B654E7"/>
    <w:rsid w:val="00B66578"/>
    <w:rsid w:val="00B71C79"/>
    <w:rsid w:val="00B7315F"/>
    <w:rsid w:val="00B750D9"/>
    <w:rsid w:val="00B76967"/>
    <w:rsid w:val="00B77F95"/>
    <w:rsid w:val="00B81F6E"/>
    <w:rsid w:val="00B84416"/>
    <w:rsid w:val="00B84BA7"/>
    <w:rsid w:val="00B85186"/>
    <w:rsid w:val="00B91AF0"/>
    <w:rsid w:val="00B91B8E"/>
    <w:rsid w:val="00B9384C"/>
    <w:rsid w:val="00B93C9A"/>
    <w:rsid w:val="00B94548"/>
    <w:rsid w:val="00B955AB"/>
    <w:rsid w:val="00B95AC8"/>
    <w:rsid w:val="00B9618B"/>
    <w:rsid w:val="00B97E63"/>
    <w:rsid w:val="00BA19D8"/>
    <w:rsid w:val="00BA3286"/>
    <w:rsid w:val="00BA3871"/>
    <w:rsid w:val="00BA4D28"/>
    <w:rsid w:val="00BA4E77"/>
    <w:rsid w:val="00BB00BC"/>
    <w:rsid w:val="00BB3B04"/>
    <w:rsid w:val="00BB3EE8"/>
    <w:rsid w:val="00BB584D"/>
    <w:rsid w:val="00BB7084"/>
    <w:rsid w:val="00BB7E79"/>
    <w:rsid w:val="00BC2704"/>
    <w:rsid w:val="00BC7280"/>
    <w:rsid w:val="00BD120E"/>
    <w:rsid w:val="00BD2036"/>
    <w:rsid w:val="00BD2700"/>
    <w:rsid w:val="00BD47CA"/>
    <w:rsid w:val="00BD78FE"/>
    <w:rsid w:val="00BE0AD3"/>
    <w:rsid w:val="00BE15DA"/>
    <w:rsid w:val="00BE16E8"/>
    <w:rsid w:val="00BE1CEA"/>
    <w:rsid w:val="00BE5743"/>
    <w:rsid w:val="00BE5EA8"/>
    <w:rsid w:val="00BE642B"/>
    <w:rsid w:val="00BE67A9"/>
    <w:rsid w:val="00BE72D6"/>
    <w:rsid w:val="00BF31BA"/>
    <w:rsid w:val="00BF5E9C"/>
    <w:rsid w:val="00BF6D9D"/>
    <w:rsid w:val="00BF7724"/>
    <w:rsid w:val="00C00B9C"/>
    <w:rsid w:val="00C014AB"/>
    <w:rsid w:val="00C0241E"/>
    <w:rsid w:val="00C02CA7"/>
    <w:rsid w:val="00C0362B"/>
    <w:rsid w:val="00C03773"/>
    <w:rsid w:val="00C0469E"/>
    <w:rsid w:val="00C055D5"/>
    <w:rsid w:val="00C06A57"/>
    <w:rsid w:val="00C06B30"/>
    <w:rsid w:val="00C07B9B"/>
    <w:rsid w:val="00C126E0"/>
    <w:rsid w:val="00C1486D"/>
    <w:rsid w:val="00C170AF"/>
    <w:rsid w:val="00C17E35"/>
    <w:rsid w:val="00C20738"/>
    <w:rsid w:val="00C20AB9"/>
    <w:rsid w:val="00C220CE"/>
    <w:rsid w:val="00C22BB6"/>
    <w:rsid w:val="00C24150"/>
    <w:rsid w:val="00C245B6"/>
    <w:rsid w:val="00C24D7E"/>
    <w:rsid w:val="00C269AB"/>
    <w:rsid w:val="00C27711"/>
    <w:rsid w:val="00C3033B"/>
    <w:rsid w:val="00C309CE"/>
    <w:rsid w:val="00C32018"/>
    <w:rsid w:val="00C32119"/>
    <w:rsid w:val="00C34208"/>
    <w:rsid w:val="00C366C4"/>
    <w:rsid w:val="00C373C2"/>
    <w:rsid w:val="00C374F0"/>
    <w:rsid w:val="00C404E4"/>
    <w:rsid w:val="00C42508"/>
    <w:rsid w:val="00C42C10"/>
    <w:rsid w:val="00C42D9F"/>
    <w:rsid w:val="00C4437C"/>
    <w:rsid w:val="00C50170"/>
    <w:rsid w:val="00C50A4B"/>
    <w:rsid w:val="00C516B0"/>
    <w:rsid w:val="00C5372F"/>
    <w:rsid w:val="00C54BAF"/>
    <w:rsid w:val="00C55B65"/>
    <w:rsid w:val="00C633A9"/>
    <w:rsid w:val="00C6465E"/>
    <w:rsid w:val="00C64A86"/>
    <w:rsid w:val="00C64E43"/>
    <w:rsid w:val="00C6552A"/>
    <w:rsid w:val="00C65533"/>
    <w:rsid w:val="00C70B9D"/>
    <w:rsid w:val="00C75629"/>
    <w:rsid w:val="00C758C6"/>
    <w:rsid w:val="00C76212"/>
    <w:rsid w:val="00C76AD9"/>
    <w:rsid w:val="00C77849"/>
    <w:rsid w:val="00C77F03"/>
    <w:rsid w:val="00C818AF"/>
    <w:rsid w:val="00C81ADC"/>
    <w:rsid w:val="00C81F3D"/>
    <w:rsid w:val="00C822C2"/>
    <w:rsid w:val="00C841DD"/>
    <w:rsid w:val="00C843D2"/>
    <w:rsid w:val="00C8458D"/>
    <w:rsid w:val="00C8725E"/>
    <w:rsid w:val="00C90701"/>
    <w:rsid w:val="00C9106A"/>
    <w:rsid w:val="00C91242"/>
    <w:rsid w:val="00C91E8D"/>
    <w:rsid w:val="00C9585F"/>
    <w:rsid w:val="00C96C1B"/>
    <w:rsid w:val="00C97AAA"/>
    <w:rsid w:val="00CA059D"/>
    <w:rsid w:val="00CA2C72"/>
    <w:rsid w:val="00CA4651"/>
    <w:rsid w:val="00CA6FB7"/>
    <w:rsid w:val="00CA7385"/>
    <w:rsid w:val="00CB0765"/>
    <w:rsid w:val="00CB0F85"/>
    <w:rsid w:val="00CB2B36"/>
    <w:rsid w:val="00CB2C0F"/>
    <w:rsid w:val="00CB31A0"/>
    <w:rsid w:val="00CB42FC"/>
    <w:rsid w:val="00CB5943"/>
    <w:rsid w:val="00CB619A"/>
    <w:rsid w:val="00CB63B3"/>
    <w:rsid w:val="00CC00CD"/>
    <w:rsid w:val="00CC0339"/>
    <w:rsid w:val="00CC0B3D"/>
    <w:rsid w:val="00CC0E85"/>
    <w:rsid w:val="00CC4DF1"/>
    <w:rsid w:val="00CC748E"/>
    <w:rsid w:val="00CD2B8C"/>
    <w:rsid w:val="00CD4A86"/>
    <w:rsid w:val="00CD5576"/>
    <w:rsid w:val="00CD7E27"/>
    <w:rsid w:val="00CE12E2"/>
    <w:rsid w:val="00CE15B5"/>
    <w:rsid w:val="00CE2805"/>
    <w:rsid w:val="00CE4E6E"/>
    <w:rsid w:val="00CE7A1A"/>
    <w:rsid w:val="00CF02E0"/>
    <w:rsid w:val="00CF0701"/>
    <w:rsid w:val="00CF600D"/>
    <w:rsid w:val="00CF7275"/>
    <w:rsid w:val="00CF7A13"/>
    <w:rsid w:val="00D01760"/>
    <w:rsid w:val="00D01EBF"/>
    <w:rsid w:val="00D04192"/>
    <w:rsid w:val="00D06596"/>
    <w:rsid w:val="00D077EB"/>
    <w:rsid w:val="00D078B8"/>
    <w:rsid w:val="00D10800"/>
    <w:rsid w:val="00D12085"/>
    <w:rsid w:val="00D13D5F"/>
    <w:rsid w:val="00D15B95"/>
    <w:rsid w:val="00D16E39"/>
    <w:rsid w:val="00D170B9"/>
    <w:rsid w:val="00D17379"/>
    <w:rsid w:val="00D17985"/>
    <w:rsid w:val="00D1798A"/>
    <w:rsid w:val="00D21C43"/>
    <w:rsid w:val="00D220D3"/>
    <w:rsid w:val="00D2214A"/>
    <w:rsid w:val="00D223B6"/>
    <w:rsid w:val="00D22BEB"/>
    <w:rsid w:val="00D23AD8"/>
    <w:rsid w:val="00D2423E"/>
    <w:rsid w:val="00D24920"/>
    <w:rsid w:val="00D2686C"/>
    <w:rsid w:val="00D26B57"/>
    <w:rsid w:val="00D32A50"/>
    <w:rsid w:val="00D350DE"/>
    <w:rsid w:val="00D35FC1"/>
    <w:rsid w:val="00D41655"/>
    <w:rsid w:val="00D41EE1"/>
    <w:rsid w:val="00D42298"/>
    <w:rsid w:val="00D4320D"/>
    <w:rsid w:val="00D441AC"/>
    <w:rsid w:val="00D44E97"/>
    <w:rsid w:val="00D460D9"/>
    <w:rsid w:val="00D47709"/>
    <w:rsid w:val="00D506C0"/>
    <w:rsid w:val="00D525F7"/>
    <w:rsid w:val="00D53894"/>
    <w:rsid w:val="00D53C6C"/>
    <w:rsid w:val="00D54876"/>
    <w:rsid w:val="00D54C45"/>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05AB"/>
    <w:rsid w:val="00D82CE5"/>
    <w:rsid w:val="00D84FE0"/>
    <w:rsid w:val="00D85C8F"/>
    <w:rsid w:val="00D87181"/>
    <w:rsid w:val="00D8736E"/>
    <w:rsid w:val="00D90EFA"/>
    <w:rsid w:val="00D914DB"/>
    <w:rsid w:val="00D92770"/>
    <w:rsid w:val="00D93287"/>
    <w:rsid w:val="00D93661"/>
    <w:rsid w:val="00D94D04"/>
    <w:rsid w:val="00D970D3"/>
    <w:rsid w:val="00D978B4"/>
    <w:rsid w:val="00D97DDD"/>
    <w:rsid w:val="00DA2124"/>
    <w:rsid w:val="00DA41EF"/>
    <w:rsid w:val="00DA583D"/>
    <w:rsid w:val="00DA5AB1"/>
    <w:rsid w:val="00DA7B6E"/>
    <w:rsid w:val="00DA7CCA"/>
    <w:rsid w:val="00DB0DFA"/>
    <w:rsid w:val="00DB1542"/>
    <w:rsid w:val="00DB28B8"/>
    <w:rsid w:val="00DB3D31"/>
    <w:rsid w:val="00DB6234"/>
    <w:rsid w:val="00DB68F9"/>
    <w:rsid w:val="00DC0208"/>
    <w:rsid w:val="00DC02B2"/>
    <w:rsid w:val="00DC1562"/>
    <w:rsid w:val="00DC2AFD"/>
    <w:rsid w:val="00DC3544"/>
    <w:rsid w:val="00DC3A87"/>
    <w:rsid w:val="00DC4E41"/>
    <w:rsid w:val="00DC62E5"/>
    <w:rsid w:val="00DC743F"/>
    <w:rsid w:val="00DC78DC"/>
    <w:rsid w:val="00DD0BB0"/>
    <w:rsid w:val="00DD32A0"/>
    <w:rsid w:val="00DD3E02"/>
    <w:rsid w:val="00DD3E55"/>
    <w:rsid w:val="00DD451F"/>
    <w:rsid w:val="00DD47A2"/>
    <w:rsid w:val="00DD5A52"/>
    <w:rsid w:val="00DD652D"/>
    <w:rsid w:val="00DD6845"/>
    <w:rsid w:val="00DD6847"/>
    <w:rsid w:val="00DD735D"/>
    <w:rsid w:val="00DD7FA8"/>
    <w:rsid w:val="00DE247F"/>
    <w:rsid w:val="00DE308A"/>
    <w:rsid w:val="00DE3119"/>
    <w:rsid w:val="00DE3139"/>
    <w:rsid w:val="00DE5BCA"/>
    <w:rsid w:val="00DE6872"/>
    <w:rsid w:val="00DF20FB"/>
    <w:rsid w:val="00DF2128"/>
    <w:rsid w:val="00DF236B"/>
    <w:rsid w:val="00DF2804"/>
    <w:rsid w:val="00DF28C7"/>
    <w:rsid w:val="00DF3553"/>
    <w:rsid w:val="00DF3F8D"/>
    <w:rsid w:val="00DF6078"/>
    <w:rsid w:val="00DF64F5"/>
    <w:rsid w:val="00DF6AA5"/>
    <w:rsid w:val="00DF7086"/>
    <w:rsid w:val="00DF7F9E"/>
    <w:rsid w:val="00E00221"/>
    <w:rsid w:val="00E0048D"/>
    <w:rsid w:val="00E018F9"/>
    <w:rsid w:val="00E04A52"/>
    <w:rsid w:val="00E057C5"/>
    <w:rsid w:val="00E0677C"/>
    <w:rsid w:val="00E06A8D"/>
    <w:rsid w:val="00E10879"/>
    <w:rsid w:val="00E13AB8"/>
    <w:rsid w:val="00E13D3F"/>
    <w:rsid w:val="00E1640E"/>
    <w:rsid w:val="00E16924"/>
    <w:rsid w:val="00E17EA3"/>
    <w:rsid w:val="00E234D7"/>
    <w:rsid w:val="00E25CB3"/>
    <w:rsid w:val="00E27E15"/>
    <w:rsid w:val="00E3074B"/>
    <w:rsid w:val="00E31A47"/>
    <w:rsid w:val="00E32A49"/>
    <w:rsid w:val="00E335EF"/>
    <w:rsid w:val="00E33B62"/>
    <w:rsid w:val="00E34106"/>
    <w:rsid w:val="00E34DEB"/>
    <w:rsid w:val="00E354CF"/>
    <w:rsid w:val="00E356D7"/>
    <w:rsid w:val="00E36139"/>
    <w:rsid w:val="00E40D14"/>
    <w:rsid w:val="00E4143A"/>
    <w:rsid w:val="00E41823"/>
    <w:rsid w:val="00E41943"/>
    <w:rsid w:val="00E42461"/>
    <w:rsid w:val="00E42761"/>
    <w:rsid w:val="00E43624"/>
    <w:rsid w:val="00E44610"/>
    <w:rsid w:val="00E46137"/>
    <w:rsid w:val="00E50774"/>
    <w:rsid w:val="00E510C7"/>
    <w:rsid w:val="00E5199E"/>
    <w:rsid w:val="00E51CF8"/>
    <w:rsid w:val="00E53B77"/>
    <w:rsid w:val="00E54365"/>
    <w:rsid w:val="00E5462E"/>
    <w:rsid w:val="00E56EC0"/>
    <w:rsid w:val="00E57652"/>
    <w:rsid w:val="00E62C10"/>
    <w:rsid w:val="00E631C7"/>
    <w:rsid w:val="00E65BDD"/>
    <w:rsid w:val="00E66455"/>
    <w:rsid w:val="00E701D8"/>
    <w:rsid w:val="00E70C4B"/>
    <w:rsid w:val="00E73728"/>
    <w:rsid w:val="00E73C2F"/>
    <w:rsid w:val="00E73F9E"/>
    <w:rsid w:val="00E742E7"/>
    <w:rsid w:val="00E75BB9"/>
    <w:rsid w:val="00E76013"/>
    <w:rsid w:val="00E76D64"/>
    <w:rsid w:val="00E76DD0"/>
    <w:rsid w:val="00E81CD9"/>
    <w:rsid w:val="00E81FD0"/>
    <w:rsid w:val="00E87FB5"/>
    <w:rsid w:val="00E91B88"/>
    <w:rsid w:val="00E9622C"/>
    <w:rsid w:val="00E96F1A"/>
    <w:rsid w:val="00EA0C86"/>
    <w:rsid w:val="00EA2015"/>
    <w:rsid w:val="00EA2E7A"/>
    <w:rsid w:val="00EA3761"/>
    <w:rsid w:val="00EA3B8E"/>
    <w:rsid w:val="00EA4714"/>
    <w:rsid w:val="00EA4951"/>
    <w:rsid w:val="00EB03A0"/>
    <w:rsid w:val="00EB0D38"/>
    <w:rsid w:val="00EB23D0"/>
    <w:rsid w:val="00EB2CBD"/>
    <w:rsid w:val="00EB5263"/>
    <w:rsid w:val="00EB5408"/>
    <w:rsid w:val="00EB55EE"/>
    <w:rsid w:val="00EB5A79"/>
    <w:rsid w:val="00EC238B"/>
    <w:rsid w:val="00EC5592"/>
    <w:rsid w:val="00EC5B1B"/>
    <w:rsid w:val="00EC77E0"/>
    <w:rsid w:val="00ED0181"/>
    <w:rsid w:val="00ED05A8"/>
    <w:rsid w:val="00ED0D83"/>
    <w:rsid w:val="00ED18C9"/>
    <w:rsid w:val="00ED1921"/>
    <w:rsid w:val="00ED1A5E"/>
    <w:rsid w:val="00ED1D54"/>
    <w:rsid w:val="00ED21E1"/>
    <w:rsid w:val="00ED2C7A"/>
    <w:rsid w:val="00ED5E7E"/>
    <w:rsid w:val="00ED6D48"/>
    <w:rsid w:val="00EE084F"/>
    <w:rsid w:val="00EE2C9C"/>
    <w:rsid w:val="00EE336A"/>
    <w:rsid w:val="00EE432C"/>
    <w:rsid w:val="00EE4DB1"/>
    <w:rsid w:val="00EE59B5"/>
    <w:rsid w:val="00EE6A82"/>
    <w:rsid w:val="00EE75CC"/>
    <w:rsid w:val="00EE7C1A"/>
    <w:rsid w:val="00EF0420"/>
    <w:rsid w:val="00EF169E"/>
    <w:rsid w:val="00EF1F7B"/>
    <w:rsid w:val="00EF28A9"/>
    <w:rsid w:val="00EF2D58"/>
    <w:rsid w:val="00EF3258"/>
    <w:rsid w:val="00EF3F42"/>
    <w:rsid w:val="00EF4E3B"/>
    <w:rsid w:val="00EF5547"/>
    <w:rsid w:val="00EF5E27"/>
    <w:rsid w:val="00EF64D8"/>
    <w:rsid w:val="00EF6FEA"/>
    <w:rsid w:val="00EF7AD6"/>
    <w:rsid w:val="00F0076F"/>
    <w:rsid w:val="00F01990"/>
    <w:rsid w:val="00F04156"/>
    <w:rsid w:val="00F04D40"/>
    <w:rsid w:val="00F05E5B"/>
    <w:rsid w:val="00F0608C"/>
    <w:rsid w:val="00F06296"/>
    <w:rsid w:val="00F074DD"/>
    <w:rsid w:val="00F0774D"/>
    <w:rsid w:val="00F077AE"/>
    <w:rsid w:val="00F10954"/>
    <w:rsid w:val="00F11955"/>
    <w:rsid w:val="00F11D29"/>
    <w:rsid w:val="00F128BC"/>
    <w:rsid w:val="00F16AE2"/>
    <w:rsid w:val="00F172E0"/>
    <w:rsid w:val="00F2035B"/>
    <w:rsid w:val="00F2107D"/>
    <w:rsid w:val="00F21B2C"/>
    <w:rsid w:val="00F21BA2"/>
    <w:rsid w:val="00F21D09"/>
    <w:rsid w:val="00F223B3"/>
    <w:rsid w:val="00F24230"/>
    <w:rsid w:val="00F26F3C"/>
    <w:rsid w:val="00F26F4E"/>
    <w:rsid w:val="00F301AD"/>
    <w:rsid w:val="00F3110C"/>
    <w:rsid w:val="00F33364"/>
    <w:rsid w:val="00F34431"/>
    <w:rsid w:val="00F34C8E"/>
    <w:rsid w:val="00F34CBA"/>
    <w:rsid w:val="00F3533F"/>
    <w:rsid w:val="00F35599"/>
    <w:rsid w:val="00F3791E"/>
    <w:rsid w:val="00F42CA4"/>
    <w:rsid w:val="00F4315D"/>
    <w:rsid w:val="00F43A17"/>
    <w:rsid w:val="00F43A68"/>
    <w:rsid w:val="00F476A9"/>
    <w:rsid w:val="00F5101F"/>
    <w:rsid w:val="00F51E02"/>
    <w:rsid w:val="00F520D5"/>
    <w:rsid w:val="00F536CD"/>
    <w:rsid w:val="00F55F3A"/>
    <w:rsid w:val="00F574CC"/>
    <w:rsid w:val="00F6029C"/>
    <w:rsid w:val="00F6064F"/>
    <w:rsid w:val="00F61B1D"/>
    <w:rsid w:val="00F61C41"/>
    <w:rsid w:val="00F61F32"/>
    <w:rsid w:val="00F64376"/>
    <w:rsid w:val="00F64812"/>
    <w:rsid w:val="00F65EC5"/>
    <w:rsid w:val="00F6751F"/>
    <w:rsid w:val="00F71AE6"/>
    <w:rsid w:val="00F72DC9"/>
    <w:rsid w:val="00F73D70"/>
    <w:rsid w:val="00F764CE"/>
    <w:rsid w:val="00F77855"/>
    <w:rsid w:val="00F80D0F"/>
    <w:rsid w:val="00F80E8A"/>
    <w:rsid w:val="00F84899"/>
    <w:rsid w:val="00F859F0"/>
    <w:rsid w:val="00F90DB0"/>
    <w:rsid w:val="00F91287"/>
    <w:rsid w:val="00F91CA1"/>
    <w:rsid w:val="00F92D53"/>
    <w:rsid w:val="00F93250"/>
    <w:rsid w:val="00F94805"/>
    <w:rsid w:val="00F94B44"/>
    <w:rsid w:val="00F95598"/>
    <w:rsid w:val="00F95FAB"/>
    <w:rsid w:val="00FA0BE5"/>
    <w:rsid w:val="00FA1420"/>
    <w:rsid w:val="00FA15DA"/>
    <w:rsid w:val="00FA1947"/>
    <w:rsid w:val="00FA28BF"/>
    <w:rsid w:val="00FA3221"/>
    <w:rsid w:val="00FA63A7"/>
    <w:rsid w:val="00FA6B54"/>
    <w:rsid w:val="00FB1473"/>
    <w:rsid w:val="00FB48C5"/>
    <w:rsid w:val="00FB5E3B"/>
    <w:rsid w:val="00FC08AD"/>
    <w:rsid w:val="00FC16AE"/>
    <w:rsid w:val="00FC4AF7"/>
    <w:rsid w:val="00FC5EB6"/>
    <w:rsid w:val="00FD1C4A"/>
    <w:rsid w:val="00FD2088"/>
    <w:rsid w:val="00FD2829"/>
    <w:rsid w:val="00FD2EA3"/>
    <w:rsid w:val="00FD3E1B"/>
    <w:rsid w:val="00FD3F65"/>
    <w:rsid w:val="00FD461D"/>
    <w:rsid w:val="00FD46B4"/>
    <w:rsid w:val="00FD4AA4"/>
    <w:rsid w:val="00FD5F1B"/>
    <w:rsid w:val="00FD6C0B"/>
    <w:rsid w:val="00FD7084"/>
    <w:rsid w:val="00FD7D17"/>
    <w:rsid w:val="00FE07B7"/>
    <w:rsid w:val="00FE094E"/>
    <w:rsid w:val="00FE0B32"/>
    <w:rsid w:val="00FE0F74"/>
    <w:rsid w:val="00FE141E"/>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B62"/>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Re"/>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customStyle="1" w:styleId="Mencinsinresolver2">
    <w:name w:val="Mención sin resolver2"/>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9246D0"/>
    <w:pPr>
      <w:spacing w:before="0" w:after="0" w:line="240" w:lineRule="auto"/>
      <w:jc w:val="left"/>
    </w:pPr>
    <w:rPr>
      <w:rFonts w:ascii="Times New Roman" w:eastAsia="Times New Roman" w:hAnsi="Times New Roman" w:cs="Times New Roman"/>
      <w:sz w:val="24"/>
      <w:szCs w:val="24"/>
      <w:lang w:eastAsia="en-GB"/>
    </w:rPr>
  </w:style>
  <w:style w:type="character" w:styleId="Mencinsinresolver">
    <w:name w:val="Unresolved Mention"/>
    <w:basedOn w:val="Fuentedeprrafopredeter"/>
    <w:uiPriority w:val="99"/>
    <w:semiHidden/>
    <w:unhideWhenUsed/>
    <w:rsid w:val="00B552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9504353">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93744512">
      <w:bodyDiv w:val="1"/>
      <w:marLeft w:val="0"/>
      <w:marRight w:val="0"/>
      <w:marTop w:val="0"/>
      <w:marBottom w:val="0"/>
      <w:divBdr>
        <w:top w:val="none" w:sz="0" w:space="0" w:color="auto"/>
        <w:left w:val="none" w:sz="0" w:space="0" w:color="auto"/>
        <w:bottom w:val="none" w:sz="0" w:space="0" w:color="auto"/>
        <w:right w:val="none" w:sz="0" w:space="0" w:color="auto"/>
      </w:divBdr>
    </w:div>
    <w:div w:id="94375242">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25897397">
      <w:bodyDiv w:val="1"/>
      <w:marLeft w:val="0"/>
      <w:marRight w:val="0"/>
      <w:marTop w:val="0"/>
      <w:marBottom w:val="0"/>
      <w:divBdr>
        <w:top w:val="none" w:sz="0" w:space="0" w:color="auto"/>
        <w:left w:val="none" w:sz="0" w:space="0" w:color="auto"/>
        <w:bottom w:val="none" w:sz="0" w:space="0" w:color="auto"/>
        <w:right w:val="none" w:sz="0" w:space="0" w:color="auto"/>
      </w:divBdr>
    </w:div>
    <w:div w:id="156462446">
      <w:bodyDiv w:val="1"/>
      <w:marLeft w:val="0"/>
      <w:marRight w:val="0"/>
      <w:marTop w:val="0"/>
      <w:marBottom w:val="0"/>
      <w:divBdr>
        <w:top w:val="none" w:sz="0" w:space="0" w:color="auto"/>
        <w:left w:val="none" w:sz="0" w:space="0" w:color="auto"/>
        <w:bottom w:val="none" w:sz="0" w:space="0" w:color="auto"/>
        <w:right w:val="none" w:sz="0" w:space="0" w:color="auto"/>
      </w:divBdr>
    </w:div>
    <w:div w:id="15750103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08289970">
      <w:bodyDiv w:val="1"/>
      <w:marLeft w:val="0"/>
      <w:marRight w:val="0"/>
      <w:marTop w:val="0"/>
      <w:marBottom w:val="0"/>
      <w:divBdr>
        <w:top w:val="none" w:sz="0" w:space="0" w:color="auto"/>
        <w:left w:val="none" w:sz="0" w:space="0" w:color="auto"/>
        <w:bottom w:val="none" w:sz="0" w:space="0" w:color="auto"/>
        <w:right w:val="none" w:sz="0" w:space="0" w:color="auto"/>
      </w:divBdr>
    </w:div>
    <w:div w:id="346564690">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89693172">
      <w:bodyDiv w:val="1"/>
      <w:marLeft w:val="0"/>
      <w:marRight w:val="0"/>
      <w:marTop w:val="0"/>
      <w:marBottom w:val="0"/>
      <w:divBdr>
        <w:top w:val="none" w:sz="0" w:space="0" w:color="auto"/>
        <w:left w:val="none" w:sz="0" w:space="0" w:color="auto"/>
        <w:bottom w:val="none" w:sz="0" w:space="0" w:color="auto"/>
        <w:right w:val="none" w:sz="0" w:space="0" w:color="auto"/>
      </w:divBdr>
      <w:divsChild>
        <w:div w:id="1247421476">
          <w:marLeft w:val="0"/>
          <w:marRight w:val="0"/>
          <w:marTop w:val="0"/>
          <w:marBottom w:val="0"/>
          <w:divBdr>
            <w:top w:val="none" w:sz="0" w:space="0" w:color="auto"/>
            <w:left w:val="none" w:sz="0" w:space="0" w:color="auto"/>
            <w:bottom w:val="none" w:sz="0" w:space="0" w:color="auto"/>
            <w:right w:val="none" w:sz="0" w:space="0" w:color="auto"/>
          </w:divBdr>
        </w:div>
      </w:divsChild>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469787518">
      <w:bodyDiv w:val="1"/>
      <w:marLeft w:val="0"/>
      <w:marRight w:val="0"/>
      <w:marTop w:val="0"/>
      <w:marBottom w:val="0"/>
      <w:divBdr>
        <w:top w:val="none" w:sz="0" w:space="0" w:color="auto"/>
        <w:left w:val="none" w:sz="0" w:space="0" w:color="auto"/>
        <w:bottom w:val="none" w:sz="0" w:space="0" w:color="auto"/>
        <w:right w:val="none" w:sz="0" w:space="0" w:color="auto"/>
      </w:divBdr>
    </w:div>
    <w:div w:id="496309153">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649254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516826">
      <w:bodyDiv w:val="1"/>
      <w:marLeft w:val="0"/>
      <w:marRight w:val="0"/>
      <w:marTop w:val="0"/>
      <w:marBottom w:val="0"/>
      <w:divBdr>
        <w:top w:val="none" w:sz="0" w:space="0" w:color="auto"/>
        <w:left w:val="none" w:sz="0" w:space="0" w:color="auto"/>
        <w:bottom w:val="none" w:sz="0" w:space="0" w:color="auto"/>
        <w:right w:val="none" w:sz="0" w:space="0" w:color="auto"/>
      </w:divBdr>
    </w:div>
    <w:div w:id="704867754">
      <w:bodyDiv w:val="1"/>
      <w:marLeft w:val="0"/>
      <w:marRight w:val="0"/>
      <w:marTop w:val="0"/>
      <w:marBottom w:val="0"/>
      <w:divBdr>
        <w:top w:val="none" w:sz="0" w:space="0" w:color="auto"/>
        <w:left w:val="none" w:sz="0" w:space="0" w:color="auto"/>
        <w:bottom w:val="none" w:sz="0" w:space="0" w:color="auto"/>
        <w:right w:val="none" w:sz="0" w:space="0" w:color="auto"/>
      </w:divBdr>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61217209">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01673658">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3967672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954755376">
      <w:bodyDiv w:val="1"/>
      <w:marLeft w:val="0"/>
      <w:marRight w:val="0"/>
      <w:marTop w:val="0"/>
      <w:marBottom w:val="0"/>
      <w:divBdr>
        <w:top w:val="none" w:sz="0" w:space="0" w:color="auto"/>
        <w:left w:val="none" w:sz="0" w:space="0" w:color="auto"/>
        <w:bottom w:val="none" w:sz="0" w:space="0" w:color="auto"/>
        <w:right w:val="none" w:sz="0" w:space="0" w:color="auto"/>
      </w:divBdr>
    </w:div>
    <w:div w:id="998535819">
      <w:bodyDiv w:val="1"/>
      <w:marLeft w:val="0"/>
      <w:marRight w:val="0"/>
      <w:marTop w:val="0"/>
      <w:marBottom w:val="0"/>
      <w:divBdr>
        <w:top w:val="none" w:sz="0" w:space="0" w:color="auto"/>
        <w:left w:val="none" w:sz="0" w:space="0" w:color="auto"/>
        <w:bottom w:val="none" w:sz="0" w:space="0" w:color="auto"/>
        <w:right w:val="none" w:sz="0" w:space="0" w:color="auto"/>
      </w:divBdr>
      <w:divsChild>
        <w:div w:id="1582371669">
          <w:marLeft w:val="0"/>
          <w:marRight w:val="0"/>
          <w:marTop w:val="120"/>
          <w:marBottom w:val="120"/>
          <w:divBdr>
            <w:top w:val="none" w:sz="0" w:space="0" w:color="auto"/>
            <w:left w:val="none" w:sz="0" w:space="0" w:color="auto"/>
            <w:bottom w:val="none" w:sz="0" w:space="0" w:color="auto"/>
            <w:right w:val="none" w:sz="0" w:space="0" w:color="auto"/>
          </w:divBdr>
          <w:divsChild>
            <w:div w:id="1431854296">
              <w:marLeft w:val="0"/>
              <w:marRight w:val="0"/>
              <w:marTop w:val="0"/>
              <w:marBottom w:val="0"/>
              <w:divBdr>
                <w:top w:val="none" w:sz="0" w:space="0" w:color="auto"/>
                <w:left w:val="none" w:sz="0" w:space="0" w:color="auto"/>
                <w:bottom w:val="none" w:sz="0" w:space="0" w:color="auto"/>
                <w:right w:val="none" w:sz="0" w:space="0" w:color="auto"/>
              </w:divBdr>
            </w:div>
          </w:divsChild>
        </w:div>
        <w:div w:id="190846579">
          <w:marLeft w:val="0"/>
          <w:marRight w:val="0"/>
          <w:marTop w:val="0"/>
          <w:marBottom w:val="120"/>
          <w:divBdr>
            <w:top w:val="none" w:sz="0" w:space="0" w:color="auto"/>
            <w:left w:val="none" w:sz="0" w:space="0" w:color="auto"/>
            <w:bottom w:val="none" w:sz="0" w:space="0" w:color="auto"/>
            <w:right w:val="none" w:sz="0" w:space="0" w:color="auto"/>
          </w:divBdr>
          <w:divsChild>
            <w:div w:id="64724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36738959">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066427">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70565204">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6910807">
      <w:bodyDiv w:val="1"/>
      <w:marLeft w:val="0"/>
      <w:marRight w:val="0"/>
      <w:marTop w:val="0"/>
      <w:marBottom w:val="0"/>
      <w:divBdr>
        <w:top w:val="none" w:sz="0" w:space="0" w:color="auto"/>
        <w:left w:val="none" w:sz="0" w:space="0" w:color="auto"/>
        <w:bottom w:val="none" w:sz="0" w:space="0" w:color="auto"/>
        <w:right w:val="none" w:sz="0" w:space="0" w:color="auto"/>
      </w:divBdr>
    </w:div>
    <w:div w:id="1341734028">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509482">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1543459">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24600835">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54940571">
      <w:bodyDiv w:val="1"/>
      <w:marLeft w:val="0"/>
      <w:marRight w:val="0"/>
      <w:marTop w:val="0"/>
      <w:marBottom w:val="0"/>
      <w:divBdr>
        <w:top w:val="none" w:sz="0" w:space="0" w:color="auto"/>
        <w:left w:val="none" w:sz="0" w:space="0" w:color="auto"/>
        <w:bottom w:val="none" w:sz="0" w:space="0" w:color="auto"/>
        <w:right w:val="none" w:sz="0" w:space="0" w:color="auto"/>
      </w:divBdr>
    </w:div>
    <w:div w:id="2016108594">
      <w:bodyDiv w:val="1"/>
      <w:marLeft w:val="0"/>
      <w:marRight w:val="0"/>
      <w:marTop w:val="0"/>
      <w:marBottom w:val="0"/>
      <w:divBdr>
        <w:top w:val="none" w:sz="0" w:space="0" w:color="auto"/>
        <w:left w:val="none" w:sz="0" w:space="0" w:color="auto"/>
        <w:bottom w:val="none" w:sz="0" w:space="0" w:color="auto"/>
        <w:right w:val="none" w:sz="0" w:space="0" w:color="auto"/>
      </w:divBdr>
    </w:div>
    <w:div w:id="2041316034">
      <w:bodyDiv w:val="1"/>
      <w:marLeft w:val="0"/>
      <w:marRight w:val="0"/>
      <w:marTop w:val="0"/>
      <w:marBottom w:val="0"/>
      <w:divBdr>
        <w:top w:val="none" w:sz="0" w:space="0" w:color="auto"/>
        <w:left w:val="none" w:sz="0" w:space="0" w:color="auto"/>
        <w:bottom w:val="none" w:sz="0" w:space="0" w:color="auto"/>
        <w:right w:val="none" w:sz="0" w:space="0" w:color="auto"/>
      </w:divBdr>
    </w:div>
    <w:div w:id="2082019158">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unidad-administrativa-especial-de-salud-de-arauca.micolombiadigital.gov.co/sites/unidad-administrativa-especial-de-salud-de-arauca/content/files/000043/2105_decreto-no-333-de-2005-por-medio-del-cual-se-crea-la-uaesa.pdf" TargetMode="External"/><Relationship Id="rId1" Type="http://schemas.openxmlformats.org/officeDocument/2006/relationships/hyperlink" Target="https://www.funcionpublica.gov.co/eva/gestornormativo/norma.php?i=1823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AF0AFB6-3159-40A6-84C9-AF29F4D53222}">
  <ds:schemaRefs>
    <ds:schemaRef ds:uri="http://schemas.openxmlformats.org/officeDocument/2006/bibliography"/>
  </ds:schemaRefs>
</ds:datastoreItem>
</file>

<file path=customXml/itemProps3.xml><?xml version="1.0" encoding="utf-8"?>
<ds:datastoreItem xmlns:ds="http://schemas.openxmlformats.org/officeDocument/2006/customXml" ds:itemID="{129D3626-F99A-40D3-B9BA-AF94C7B223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21</Pages>
  <Words>7324</Words>
  <Characters>40286</Characters>
  <Application>Microsoft Office Word</Application>
  <DocSecurity>0</DocSecurity>
  <Lines>335</Lines>
  <Paragraphs>95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Edwin Johan Chocontá Quintero</cp:lastModifiedBy>
  <cp:revision>2</cp:revision>
  <cp:lastPrinted>2020-01-30T15:05:00Z</cp:lastPrinted>
  <dcterms:created xsi:type="dcterms:W3CDTF">2022-05-25T16:41:00Z</dcterms:created>
  <dcterms:modified xsi:type="dcterms:W3CDTF">2022-05-25T16:41:00Z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