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BE193" w14:textId="5772BAAD" w:rsidR="005E5262" w:rsidRDefault="005E5262" w:rsidP="00645197">
      <w:pPr>
        <w:tabs>
          <w:tab w:val="left" w:pos="709"/>
        </w:tabs>
        <w:spacing w:after="0" w:line="240" w:lineRule="auto"/>
        <w:jc w:val="both"/>
        <w:rPr>
          <w:rFonts w:ascii="Verdana" w:eastAsia="Calibri" w:hAnsi="Verdana" w:cs="Arial"/>
          <w:b/>
          <w:lang w:val="es-ES_tradnl" w:eastAsia="es-ES_tradnl"/>
        </w:rPr>
      </w:pPr>
      <w:r w:rsidRPr="005E5262">
        <w:rPr>
          <w:rFonts w:ascii="Verdana" w:eastAsia="Calibri" w:hAnsi="Verdana" w:cs="Arial"/>
          <w:b/>
          <w:lang w:val="es-ES_tradnl" w:eastAsia="es-ES_tradnl"/>
        </w:rPr>
        <w:t>DECRETO 1600 DE 2024</w:t>
      </w:r>
      <w:r w:rsidR="00AD2EFF">
        <w:rPr>
          <w:rFonts w:ascii="Verdana" w:eastAsia="Calibri" w:hAnsi="Verdana" w:cs="Arial"/>
          <w:b/>
          <w:lang w:val="es-ES_tradnl" w:eastAsia="es-ES_tradnl"/>
        </w:rPr>
        <w:t xml:space="preserve"> </w:t>
      </w:r>
      <w:r w:rsidR="00AD2EFF" w:rsidRPr="00AD2EFF">
        <w:rPr>
          <w:rFonts w:ascii="Verdana" w:eastAsia="Calibri" w:hAnsi="Verdana" w:cs="Arial"/>
          <w:b/>
          <w:bCs/>
          <w:lang w:val="es-ES" w:eastAsia="es-ES_tradnl"/>
        </w:rPr>
        <w:t>–</w:t>
      </w:r>
      <w:r w:rsidRPr="005E5262">
        <w:rPr>
          <w:rFonts w:ascii="Verdana" w:eastAsia="Calibri" w:hAnsi="Verdana" w:cs="Arial"/>
          <w:b/>
          <w:lang w:val="es-ES_tradnl" w:eastAsia="es-ES_tradnl"/>
        </w:rPr>
        <w:t xml:space="preserve"> Capítulo Tercero – Entidades obligadas a su aplicación</w:t>
      </w:r>
    </w:p>
    <w:p w14:paraId="0F824319" w14:textId="77777777" w:rsidR="00B07E27" w:rsidRDefault="00B07E27" w:rsidP="00645197">
      <w:pPr>
        <w:tabs>
          <w:tab w:val="left" w:pos="709"/>
        </w:tabs>
        <w:spacing w:after="0" w:line="240" w:lineRule="auto"/>
        <w:jc w:val="both"/>
        <w:rPr>
          <w:rFonts w:ascii="Verdana" w:eastAsia="Calibri" w:hAnsi="Verdana" w:cs="Arial"/>
          <w:b/>
          <w:lang w:val="es-ES_tradnl" w:eastAsia="es-ES_tradnl"/>
        </w:rPr>
      </w:pPr>
    </w:p>
    <w:p w14:paraId="17F11248" w14:textId="77777777" w:rsidR="002B1B61" w:rsidRPr="002B1B61" w:rsidRDefault="002B1B61" w:rsidP="002B1B61">
      <w:pPr>
        <w:tabs>
          <w:tab w:val="left" w:pos="709"/>
        </w:tabs>
        <w:spacing w:after="0" w:line="240" w:lineRule="auto"/>
        <w:jc w:val="both"/>
        <w:rPr>
          <w:rFonts w:ascii="Verdana" w:hAnsi="Verdana" w:cs="Arial"/>
          <w:color w:val="000000" w:themeColor="text1"/>
          <w:sz w:val="20"/>
          <w:szCs w:val="20"/>
        </w:rPr>
      </w:pPr>
      <w:r w:rsidRPr="002B1B61">
        <w:rPr>
          <w:rFonts w:ascii="Verdana" w:hAnsi="Verdana" w:cs="Arial"/>
          <w:color w:val="000000" w:themeColor="text1"/>
          <w:sz w:val="20"/>
          <w:szCs w:val="20"/>
        </w:rPr>
        <w:t xml:space="preserve">El Capítulo 3°, Sección 1°, Título 4°, Parte 1°, Libro 2° del Decreto 1081 de 2015, que fue modificado por el Decreto 1600 de 2024, tiene como objeto: “[…] establecer los lineamientos, mecanismos y directrices necesarios para la implementación de la Estrategia Nacional de Lucha contra la Corrupción, con el fin de fortalecer las instituciones democráticas, la confianza ciudadana y el Estado social de derecho, garantizar la protección de los derechos humanos relativos a la protección de los recursos públicos, generar condiciones adecuadas para el desarrollo socioeconómico y protección del medio ambiente. Asimismo, procura fomentar una cultura de revalorización y cuidado de lo público, a través de herramientas de transparencia, fortalecimiento de la veeduría ciudadana, acceso efectivo a la información, participación ciudadana y debida diligencia en la prevención, detección y sanción de hechos de corrupción” -artículo 2.1.4.3.1.1-. </w:t>
      </w:r>
    </w:p>
    <w:p w14:paraId="29BA5E27" w14:textId="77777777" w:rsidR="002B1B61" w:rsidRDefault="002B1B61" w:rsidP="002B1B61">
      <w:pPr>
        <w:tabs>
          <w:tab w:val="left" w:pos="709"/>
        </w:tabs>
        <w:spacing w:after="0" w:line="240" w:lineRule="auto"/>
        <w:jc w:val="both"/>
        <w:rPr>
          <w:rFonts w:ascii="Verdana" w:hAnsi="Verdana" w:cs="Arial"/>
          <w:color w:val="000000" w:themeColor="text1"/>
          <w:sz w:val="20"/>
          <w:szCs w:val="20"/>
        </w:rPr>
      </w:pPr>
    </w:p>
    <w:p w14:paraId="52742709" w14:textId="5AD147BF" w:rsidR="005E5262" w:rsidRDefault="002B1B61" w:rsidP="002B1B61">
      <w:pPr>
        <w:tabs>
          <w:tab w:val="left" w:pos="709"/>
        </w:tabs>
        <w:spacing w:after="0" w:line="240" w:lineRule="auto"/>
        <w:jc w:val="both"/>
        <w:rPr>
          <w:rFonts w:ascii="Verdana" w:hAnsi="Verdana" w:cs="Arial"/>
          <w:color w:val="000000" w:themeColor="text1"/>
          <w:sz w:val="20"/>
          <w:szCs w:val="20"/>
        </w:rPr>
      </w:pPr>
      <w:r w:rsidRPr="002B1B61">
        <w:rPr>
          <w:rFonts w:ascii="Verdana" w:hAnsi="Verdana" w:cs="Arial"/>
          <w:color w:val="000000" w:themeColor="text1"/>
          <w:sz w:val="20"/>
          <w:szCs w:val="20"/>
        </w:rPr>
        <w:t>Ahora bien, el ámbito o campo de aplicación de este capítulo, al cual se hace referencia en su consulta, está regulado en el artículo 2.1.4.3.1.2.  que señala que sus reglas están dirigidas a las entidades y empresas del Estado del orden nacional y pertenecientes a la Rama Ejecutiva del Poder Público. Así mismo, dispone que las empresas industriales y comerciales del Estado, las sociedades de economía mixta y todas las demás instituciones sometidas a regímenes especiales de contratación deben cumplir las obligaciones del presente Capítulo en aquellos aspectos en los que deban aplicar el régimen general de contratación pública.</w:t>
      </w:r>
    </w:p>
    <w:p w14:paraId="6A51AFC7" w14:textId="77777777" w:rsidR="002B1B61" w:rsidRDefault="002B1B61" w:rsidP="002B1B61">
      <w:pPr>
        <w:tabs>
          <w:tab w:val="left" w:pos="709"/>
        </w:tabs>
        <w:spacing w:after="0" w:line="240" w:lineRule="auto"/>
        <w:jc w:val="both"/>
        <w:rPr>
          <w:rFonts w:ascii="Verdana" w:eastAsia="Calibri" w:hAnsi="Verdana" w:cs="Arial"/>
          <w:b/>
          <w:lang w:val="es-ES_tradnl" w:eastAsia="es-ES_tradnl"/>
        </w:rPr>
      </w:pPr>
    </w:p>
    <w:p w14:paraId="1056BD62" w14:textId="77777777" w:rsidR="00645197" w:rsidRPr="00BB3BE4" w:rsidRDefault="00645197" w:rsidP="00645197">
      <w:pPr>
        <w:tabs>
          <w:tab w:val="left" w:pos="709"/>
        </w:tabs>
        <w:spacing w:after="0" w:line="240" w:lineRule="auto"/>
        <w:jc w:val="both"/>
        <w:rPr>
          <w:rFonts w:ascii="Verdana" w:eastAsia="Calibri" w:hAnsi="Verdana" w:cs="Arial"/>
          <w:b/>
          <w:lang w:val="es-ES_tradnl" w:eastAsia="es-ES_tradnl"/>
        </w:rPr>
      </w:pPr>
      <w:r>
        <w:rPr>
          <w:rFonts w:ascii="Verdana" w:eastAsia="Calibri" w:hAnsi="Verdana" w:cs="Arial"/>
          <w:b/>
          <w:lang w:val="es-ES_tradnl" w:eastAsia="es-ES_tradnl"/>
        </w:rPr>
        <w:t>DECRETO 1600 DE 2024</w:t>
      </w:r>
      <w:r w:rsidRPr="007E24E6">
        <w:rPr>
          <w:rFonts w:ascii="Verdana" w:eastAsia="Calibri" w:hAnsi="Verdana" w:cs="Arial"/>
          <w:b/>
          <w:lang w:val="es-ES_tradnl" w:eastAsia="es-ES_tradnl"/>
        </w:rPr>
        <w:t xml:space="preserve"> – </w:t>
      </w:r>
      <w:r>
        <w:rPr>
          <w:rFonts w:ascii="Verdana" w:eastAsia="Calibri" w:hAnsi="Verdana" w:cs="Arial"/>
          <w:b/>
          <w:lang w:val="es-ES_tradnl" w:eastAsia="es-ES_tradnl"/>
        </w:rPr>
        <w:t>Situaciones de control</w:t>
      </w:r>
      <w:r w:rsidRPr="007E24E6">
        <w:rPr>
          <w:rFonts w:ascii="Verdana" w:eastAsia="Calibri" w:hAnsi="Verdana" w:cs="Arial"/>
          <w:b/>
          <w:lang w:val="es-ES_tradnl" w:eastAsia="es-ES_tradnl"/>
        </w:rPr>
        <w:t xml:space="preserve"> – </w:t>
      </w:r>
      <w:r>
        <w:rPr>
          <w:rFonts w:ascii="Verdana" w:eastAsia="Calibri" w:hAnsi="Verdana" w:cs="Arial"/>
          <w:b/>
          <w:lang w:val="es-ES_tradnl" w:eastAsia="es-ES_tradnl"/>
        </w:rPr>
        <w:t>Acreditación</w:t>
      </w:r>
    </w:p>
    <w:p w14:paraId="6AAC1AC3" w14:textId="77777777" w:rsidR="00645197" w:rsidRPr="00BB3BE4" w:rsidRDefault="00645197" w:rsidP="00645197">
      <w:pPr>
        <w:tabs>
          <w:tab w:val="left" w:pos="709"/>
        </w:tabs>
        <w:spacing w:after="0" w:line="240" w:lineRule="auto"/>
        <w:jc w:val="both"/>
        <w:rPr>
          <w:rFonts w:ascii="Verdana" w:eastAsia="Calibri" w:hAnsi="Verdana" w:cs="Arial"/>
          <w:bCs/>
          <w:sz w:val="20"/>
          <w:szCs w:val="20"/>
          <w:lang w:val="es-ES_tradnl" w:eastAsia="es-ES_tradnl"/>
        </w:rPr>
      </w:pPr>
    </w:p>
    <w:p w14:paraId="678B9396" w14:textId="77777777" w:rsidR="00645197" w:rsidRPr="007E24E6" w:rsidRDefault="00645197" w:rsidP="00645197">
      <w:pPr>
        <w:spacing w:after="0" w:line="240" w:lineRule="auto"/>
        <w:jc w:val="both"/>
        <w:rPr>
          <w:rFonts w:ascii="Verdana" w:hAnsi="Verdana" w:cs="Arial"/>
          <w:color w:val="000000" w:themeColor="text1"/>
          <w:sz w:val="20"/>
          <w:szCs w:val="20"/>
        </w:rPr>
      </w:pPr>
      <w:r w:rsidRPr="00C75A78">
        <w:rPr>
          <w:rFonts w:ascii="Verdana" w:hAnsi="Verdana" w:cs="Arial"/>
          <w:color w:val="000000" w:themeColor="text1"/>
          <w:sz w:val="20"/>
          <w:szCs w:val="20"/>
        </w:rPr>
        <w:t>El literal a) del artículo 2.1.4.3.2.1 del Decreto 1081 de 2015, adicionado por el artículo 1 del Decreto 1600 de 2024, dispone que los organismos, entidades y empresas del Estado del orden nacional y pertenecientes a la Rama Ejecutiva del Poder Público deben verificar la existencia de situaciones de control que, conforme artículos 260 y 261 del Código de Comercio, afecten tanto a las personas jurídicas oferentes como a los proponentes plurales.</w:t>
      </w:r>
      <w:r w:rsidRPr="007E24E6">
        <w:rPr>
          <w:rFonts w:ascii="Verdana" w:hAnsi="Verdana" w:cs="Arial"/>
          <w:color w:val="000000" w:themeColor="text1"/>
          <w:sz w:val="20"/>
          <w:szCs w:val="20"/>
        </w:rPr>
        <w:t xml:space="preserve"> </w:t>
      </w:r>
    </w:p>
    <w:p w14:paraId="70A9DF25" w14:textId="77777777" w:rsidR="00645197" w:rsidRPr="007E24E6" w:rsidRDefault="00645197" w:rsidP="00645197">
      <w:pPr>
        <w:spacing w:after="0" w:line="240" w:lineRule="auto"/>
        <w:jc w:val="both"/>
        <w:rPr>
          <w:rFonts w:ascii="Verdana" w:hAnsi="Verdana" w:cs="Arial"/>
          <w:color w:val="000000" w:themeColor="text1"/>
          <w:sz w:val="20"/>
          <w:szCs w:val="20"/>
        </w:rPr>
      </w:pPr>
    </w:p>
    <w:p w14:paraId="3FE27FBC" w14:textId="77777777" w:rsidR="00645197" w:rsidRPr="007E24E6" w:rsidRDefault="00645197" w:rsidP="00645197">
      <w:pPr>
        <w:spacing w:after="0" w:line="240" w:lineRule="auto"/>
        <w:jc w:val="both"/>
        <w:rPr>
          <w:rFonts w:ascii="Verdana" w:hAnsi="Verdana" w:cs="Arial"/>
          <w:color w:val="000000" w:themeColor="text1"/>
          <w:sz w:val="20"/>
          <w:szCs w:val="20"/>
        </w:rPr>
      </w:pPr>
      <w:r w:rsidRPr="00C75A78">
        <w:rPr>
          <w:rFonts w:ascii="Verdana" w:hAnsi="Verdana" w:cs="Arial"/>
          <w:color w:val="000000" w:themeColor="text1"/>
          <w:sz w:val="20"/>
          <w:szCs w:val="20"/>
        </w:rPr>
        <w:t>De acuerdo con la norma citada, “Las entidades contratantes examinarán la existencia de las circunstancias antes descritas, con base en la información proporcionada por los oferentes y en la que reposa en los expedientes públicos registrados ante las Cámaras de Comercio, con el fin de prever la configuración de las causales de inhabilidad e incompatibilidad previstas en el artículo 8° de la Ley 80 de 1993”. Luego, la información sobre situaciones de control es un punto de referencia para verificar la capacidad jurídica en el proceso de contratación.</w:t>
      </w:r>
      <w:r w:rsidRPr="007E24E6">
        <w:rPr>
          <w:rFonts w:ascii="Verdana" w:hAnsi="Verdana" w:cs="Arial"/>
          <w:color w:val="000000" w:themeColor="text1"/>
          <w:sz w:val="20"/>
          <w:szCs w:val="20"/>
        </w:rPr>
        <w:t xml:space="preserve"> </w:t>
      </w:r>
      <w:r w:rsidRPr="00BB3BE4">
        <w:rPr>
          <w:rFonts w:ascii="Verdana" w:hAnsi="Verdana" w:cs="Arial"/>
          <w:color w:val="000000" w:themeColor="text1"/>
          <w:sz w:val="20"/>
          <w:szCs w:val="20"/>
        </w:rPr>
        <w:t xml:space="preserve">  </w:t>
      </w:r>
    </w:p>
    <w:p w14:paraId="6F4B1B59" w14:textId="77777777" w:rsidR="00645197" w:rsidRDefault="00645197" w:rsidP="00645197">
      <w:pPr>
        <w:tabs>
          <w:tab w:val="left" w:pos="709"/>
        </w:tabs>
        <w:spacing w:after="0" w:line="240" w:lineRule="auto"/>
        <w:jc w:val="both"/>
        <w:rPr>
          <w:rFonts w:ascii="Verdana" w:eastAsia="Calibri" w:hAnsi="Verdana" w:cs="Arial"/>
          <w:b/>
          <w:lang w:val="es-ES_tradnl" w:eastAsia="es-ES_tradnl"/>
        </w:rPr>
      </w:pPr>
    </w:p>
    <w:p w14:paraId="2F650D2F" w14:textId="77777777" w:rsidR="00645197" w:rsidRPr="00BB3BE4" w:rsidRDefault="00645197" w:rsidP="00645197">
      <w:pPr>
        <w:tabs>
          <w:tab w:val="left" w:pos="709"/>
        </w:tabs>
        <w:spacing w:after="0" w:line="240" w:lineRule="auto"/>
        <w:jc w:val="both"/>
        <w:rPr>
          <w:rFonts w:ascii="Verdana" w:eastAsia="Calibri" w:hAnsi="Verdana" w:cs="Arial"/>
          <w:b/>
          <w:lang w:val="es-ES_tradnl" w:eastAsia="es-ES_tradnl"/>
        </w:rPr>
      </w:pPr>
      <w:r w:rsidRPr="007E24E6">
        <w:rPr>
          <w:rFonts w:ascii="Verdana" w:eastAsia="Calibri" w:hAnsi="Verdana" w:cs="Arial"/>
          <w:b/>
          <w:lang w:val="es-ES_tradnl" w:eastAsia="es-ES_tradnl"/>
        </w:rPr>
        <w:t>REGISTRO ÚNICO DE PROPONENTES – Definición – Marco jurídico</w:t>
      </w:r>
    </w:p>
    <w:p w14:paraId="52B7949F" w14:textId="77777777" w:rsidR="00645197" w:rsidRPr="00BB3BE4" w:rsidRDefault="00645197" w:rsidP="00645197">
      <w:pPr>
        <w:tabs>
          <w:tab w:val="left" w:pos="709"/>
        </w:tabs>
        <w:spacing w:after="0" w:line="240" w:lineRule="auto"/>
        <w:jc w:val="both"/>
        <w:rPr>
          <w:rFonts w:ascii="Verdana" w:eastAsia="Calibri" w:hAnsi="Verdana" w:cs="Arial"/>
          <w:bCs/>
          <w:sz w:val="20"/>
          <w:szCs w:val="20"/>
          <w:lang w:val="es-ES_tradnl" w:eastAsia="es-ES_tradnl"/>
        </w:rPr>
      </w:pPr>
    </w:p>
    <w:p w14:paraId="67CD7BB7" w14:textId="77777777" w:rsidR="00645197" w:rsidRPr="007E24E6" w:rsidRDefault="00645197" w:rsidP="00645197">
      <w:pPr>
        <w:spacing w:after="0" w:line="240" w:lineRule="auto"/>
        <w:jc w:val="both"/>
        <w:rPr>
          <w:rFonts w:ascii="Verdana" w:hAnsi="Verdana" w:cs="Arial"/>
          <w:color w:val="000000" w:themeColor="text1"/>
          <w:sz w:val="20"/>
          <w:szCs w:val="20"/>
        </w:rPr>
      </w:pPr>
      <w:r w:rsidRPr="007E24E6">
        <w:rPr>
          <w:rFonts w:ascii="Verdana" w:hAnsi="Verdana" w:cs="Arial"/>
          <w:color w:val="000000" w:themeColor="text1"/>
          <w:sz w:val="20"/>
          <w:szCs w:val="20"/>
        </w:rPr>
        <w:lastRenderedPageBreak/>
        <w:t xml:space="preserve">El Registro Único de Proponentes es el documento donde consta la información relacionada con las personas naturales y jurídicas, que tiene por objeto consolidar los datos relacionados con la capacidad jurídica, técnica, financiera y organizacional de los posibles proponentes, con el fin que participen en los procedimientos de selección realizados por las entidades estatales, facilitando la revisión de los datos contenidos en el registro </w:t>
      </w:r>
    </w:p>
    <w:p w14:paraId="51100128" w14:textId="77777777" w:rsidR="00645197" w:rsidRPr="007E24E6" w:rsidRDefault="00645197" w:rsidP="00645197">
      <w:pPr>
        <w:spacing w:after="0" w:line="240" w:lineRule="auto"/>
        <w:jc w:val="both"/>
        <w:rPr>
          <w:rFonts w:ascii="Verdana" w:hAnsi="Verdana" w:cs="Arial"/>
          <w:color w:val="000000" w:themeColor="text1"/>
          <w:sz w:val="20"/>
          <w:szCs w:val="20"/>
        </w:rPr>
      </w:pPr>
    </w:p>
    <w:p w14:paraId="6E094806" w14:textId="77777777" w:rsidR="00645197" w:rsidRPr="00BB3BE4" w:rsidRDefault="00645197" w:rsidP="00645197">
      <w:pPr>
        <w:spacing w:after="0" w:line="240" w:lineRule="auto"/>
        <w:jc w:val="both"/>
        <w:rPr>
          <w:rFonts w:ascii="Verdana" w:hAnsi="Verdana" w:cs="Arial"/>
          <w:color w:val="000000" w:themeColor="text1"/>
          <w:sz w:val="20"/>
          <w:szCs w:val="20"/>
        </w:rPr>
      </w:pPr>
      <w:r w:rsidRPr="007E24E6">
        <w:rPr>
          <w:rFonts w:ascii="Verdana" w:hAnsi="Verdana" w:cs="Arial"/>
          <w:color w:val="000000" w:themeColor="text1"/>
          <w:sz w:val="20"/>
          <w:szCs w:val="20"/>
        </w:rPr>
        <w:t xml:space="preserve">El artículo 6.1 de la Ley 1150 de 2007, al determinar las características aplicables al RUP, cualifica la información plasmada en él, al establecer que constituye plena prueba de lo que contiene.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estales en los procedimientos de selección en los que es exigible el RUP. </w:t>
      </w:r>
      <w:r w:rsidRPr="00BB3BE4">
        <w:rPr>
          <w:rFonts w:ascii="Verdana" w:hAnsi="Verdana" w:cs="Arial"/>
          <w:color w:val="000000" w:themeColor="text1"/>
          <w:sz w:val="20"/>
          <w:szCs w:val="20"/>
        </w:rPr>
        <w:t xml:space="preserve">  </w:t>
      </w:r>
    </w:p>
    <w:p w14:paraId="751D0EFA" w14:textId="77777777" w:rsidR="00645197" w:rsidRPr="00BB3BE4" w:rsidRDefault="00645197" w:rsidP="00645197">
      <w:pPr>
        <w:spacing w:after="0" w:line="240" w:lineRule="auto"/>
        <w:jc w:val="both"/>
        <w:rPr>
          <w:rFonts w:ascii="Verdana" w:hAnsi="Verdana" w:cs="Arial"/>
          <w:color w:val="000000" w:themeColor="text1"/>
          <w:sz w:val="20"/>
          <w:szCs w:val="20"/>
        </w:rPr>
      </w:pPr>
      <w:r w:rsidRPr="00BB3BE4">
        <w:rPr>
          <w:rFonts w:ascii="Verdana" w:hAnsi="Verdana" w:cs="Arial"/>
          <w:color w:val="000000" w:themeColor="text1"/>
          <w:sz w:val="20"/>
          <w:szCs w:val="20"/>
        </w:rPr>
        <w:t xml:space="preserve"> </w:t>
      </w:r>
    </w:p>
    <w:p w14:paraId="76D49650" w14:textId="77777777" w:rsidR="00645197" w:rsidRPr="00AF1555" w:rsidRDefault="00645197" w:rsidP="00645197">
      <w:pPr>
        <w:tabs>
          <w:tab w:val="left" w:pos="426"/>
        </w:tabs>
        <w:spacing w:after="0" w:line="240" w:lineRule="auto"/>
        <w:jc w:val="both"/>
        <w:rPr>
          <w:rFonts w:ascii="Verdana" w:hAnsi="Verdana" w:cs="Arial"/>
          <w:b/>
          <w:lang w:eastAsia="es-CO"/>
        </w:rPr>
      </w:pPr>
      <w:r w:rsidRPr="007E24E6">
        <w:rPr>
          <w:rFonts w:ascii="Verdana" w:hAnsi="Verdana" w:cs="Arial"/>
          <w:b/>
          <w:lang w:eastAsia="es-CO"/>
        </w:rPr>
        <w:t xml:space="preserve">REQUISITOS HABILITANTES – Registro Único de Proponentes – Plena prueba  </w:t>
      </w:r>
      <w:r>
        <w:rPr>
          <w:rFonts w:ascii="Verdana" w:hAnsi="Verdana" w:cs="Arial"/>
          <w:b/>
          <w:lang w:eastAsia="es-CO"/>
        </w:rPr>
        <w:t xml:space="preserve"> </w:t>
      </w:r>
      <w:r w:rsidRPr="00607390">
        <w:rPr>
          <w:rFonts w:ascii="Verdana" w:hAnsi="Verdana" w:cs="Arial"/>
          <w:b/>
          <w:lang w:eastAsia="es-CO"/>
        </w:rPr>
        <w:t xml:space="preserve"> </w:t>
      </w:r>
    </w:p>
    <w:p w14:paraId="549760E4" w14:textId="77777777" w:rsidR="00645197" w:rsidRPr="00AF1555" w:rsidRDefault="00645197" w:rsidP="00645197">
      <w:pPr>
        <w:tabs>
          <w:tab w:val="left" w:pos="426"/>
        </w:tabs>
        <w:spacing w:after="0" w:line="240" w:lineRule="auto"/>
        <w:jc w:val="both"/>
        <w:rPr>
          <w:rFonts w:ascii="Verdana" w:hAnsi="Verdana" w:cs="Arial"/>
          <w:b/>
          <w:sz w:val="20"/>
          <w:szCs w:val="20"/>
          <w:lang w:eastAsia="es-CO"/>
        </w:rPr>
      </w:pPr>
    </w:p>
    <w:p w14:paraId="4E6CDEF9" w14:textId="77777777" w:rsidR="00645197" w:rsidRPr="00863481" w:rsidRDefault="00645197" w:rsidP="00645197">
      <w:pPr>
        <w:spacing w:after="0" w:line="240" w:lineRule="auto"/>
        <w:jc w:val="both"/>
        <w:rPr>
          <w:rFonts w:ascii="Verdana" w:hAnsi="Verdana" w:cs="Arial"/>
          <w:bCs/>
          <w:sz w:val="20"/>
          <w:szCs w:val="20"/>
          <w:lang w:val="es-ES" w:eastAsia="es-CO"/>
        </w:rPr>
      </w:pPr>
      <w:r w:rsidRPr="007E24E6">
        <w:rPr>
          <w:rFonts w:ascii="Verdana" w:hAnsi="Verdana" w:cs="Arial"/>
          <w:bCs/>
          <w:sz w:val="20"/>
          <w:szCs w:val="20"/>
          <w:lang w:eastAsia="es-CO"/>
        </w:rPr>
        <w:t>[…] la capacidad jurídica, las condiciones de experiencia, la capacidad financiera y de organización de los proponentes deberán verificarse exclusivamente con el Registro Único de Proponentes, pues, de acuerdo con lo expuesto, este instrumento es plena prueba de la información contenida en él.</w:t>
      </w:r>
    </w:p>
    <w:p w14:paraId="41B2CF9F" w14:textId="77777777" w:rsidR="00645197" w:rsidRPr="00B53D4E" w:rsidRDefault="00645197" w:rsidP="00645197">
      <w:pPr>
        <w:spacing w:after="0" w:line="240" w:lineRule="auto"/>
        <w:jc w:val="both"/>
        <w:rPr>
          <w:rFonts w:ascii="Verdana" w:eastAsia="Calibri" w:hAnsi="Verdana" w:cs="Arial"/>
          <w:sz w:val="20"/>
          <w:szCs w:val="20"/>
        </w:rPr>
      </w:pPr>
    </w:p>
    <w:p w14:paraId="03D3E673" w14:textId="77777777" w:rsidR="00645197" w:rsidRPr="00B53D4E" w:rsidRDefault="00645197" w:rsidP="00645197">
      <w:pPr>
        <w:pStyle w:val="s16"/>
        <w:spacing w:before="0" w:beforeAutospacing="0" w:after="0" w:afterAutospacing="0"/>
        <w:jc w:val="both"/>
        <w:rPr>
          <w:rFonts w:ascii="Verdana" w:hAnsi="Verdana" w:cs="Arial"/>
          <w:b/>
          <w:bCs/>
          <w:color w:val="000000"/>
          <w:sz w:val="22"/>
          <w:szCs w:val="22"/>
        </w:rPr>
      </w:pPr>
      <w:r>
        <w:rPr>
          <w:rStyle w:val="s15"/>
          <w:rFonts w:ascii="Verdana" w:hAnsi="Verdana" w:cs="Arial"/>
          <w:b/>
          <w:bCs/>
          <w:color w:val="000000"/>
          <w:sz w:val="22"/>
          <w:szCs w:val="22"/>
        </w:rPr>
        <w:t>GRUPO EMPRESARIAL – Existencia</w:t>
      </w:r>
      <w:r w:rsidRPr="00B53D4E">
        <w:rPr>
          <w:rStyle w:val="s15"/>
          <w:rFonts w:ascii="Verdana" w:hAnsi="Verdana" w:cs="Arial"/>
          <w:b/>
          <w:bCs/>
          <w:color w:val="000000"/>
          <w:sz w:val="22"/>
          <w:szCs w:val="22"/>
        </w:rPr>
        <w:t xml:space="preserve"> – </w:t>
      </w:r>
      <w:r>
        <w:rPr>
          <w:rStyle w:val="s15"/>
          <w:rFonts w:ascii="Verdana" w:hAnsi="Verdana" w:cs="Arial"/>
          <w:b/>
          <w:bCs/>
          <w:color w:val="000000"/>
          <w:sz w:val="22"/>
          <w:szCs w:val="22"/>
        </w:rPr>
        <w:t xml:space="preserve">Acreditación – Plazo </w:t>
      </w:r>
    </w:p>
    <w:p w14:paraId="733C7B87" w14:textId="77777777" w:rsidR="00645197" w:rsidRPr="00B53D4E" w:rsidRDefault="00645197" w:rsidP="00645197">
      <w:pPr>
        <w:pStyle w:val="s17"/>
        <w:spacing w:before="0" w:beforeAutospacing="0" w:after="0" w:afterAutospacing="0"/>
        <w:jc w:val="both"/>
        <w:rPr>
          <w:rFonts w:ascii="Verdana" w:hAnsi="Verdana" w:cs="Arial"/>
          <w:color w:val="000000"/>
          <w:sz w:val="20"/>
          <w:szCs w:val="20"/>
        </w:rPr>
      </w:pPr>
      <w:r w:rsidRPr="00B53D4E">
        <w:rPr>
          <w:rFonts w:ascii="Verdana" w:hAnsi="Verdana" w:cs="Arial"/>
          <w:color w:val="000000"/>
          <w:sz w:val="20"/>
          <w:szCs w:val="20"/>
        </w:rPr>
        <w:t> </w:t>
      </w:r>
    </w:p>
    <w:p w14:paraId="725BDB42" w14:textId="77777777" w:rsidR="00645197" w:rsidRDefault="00645197" w:rsidP="00645197">
      <w:pPr>
        <w:pStyle w:val="s17"/>
        <w:spacing w:before="0" w:beforeAutospacing="0" w:after="0" w:afterAutospacing="0"/>
        <w:jc w:val="both"/>
        <w:rPr>
          <w:rStyle w:val="s18"/>
          <w:rFonts w:ascii="Verdana" w:hAnsi="Verdana" w:cs="Arial"/>
          <w:color w:val="000000"/>
          <w:sz w:val="20"/>
          <w:szCs w:val="20"/>
        </w:rPr>
      </w:pPr>
      <w:r w:rsidRPr="00C75A78">
        <w:rPr>
          <w:rFonts w:ascii="Verdana" w:hAnsi="Verdana" w:cs="Arial"/>
          <w:bCs/>
          <w:color w:val="000000"/>
          <w:sz w:val="20"/>
          <w:szCs w:val="20"/>
        </w:rPr>
        <w:t>Por regla general, además de lo manifestado por los interesados, las entidades podrán verificar situaciones de control a través del RUP. En caso de que el registro no sea obligatorio, el pliego de condiciones debe establecer el mecanismo de validación correspondiente. Lo usual es que todos los documentos de la oferta se entreguen antes de cierre del proceso. Sin embargo, el literal a) del artículo 2.1.4.3.2.1 del Decreto 1081 de 2015, adicionado por el artículo 1 del Decreto 1600 de 2024, dispone que “[…] en el término máximo de tres (3) días después del momento en que se cierre definitivamente la presentación de ofertas, deberán poner de presente la existencia o no de situaciones de control de las que participen […]”. Por tanto, si se entregó la información antes del cierre, la Agencia estima que no es necesario un nuevo requerimiento, pues con la entregada inicialmente la entidad puede verificar la existencia o no grupo empresarial en la que existan relaciones de subordinación conforme a los artículos 260 y 261 del Código de Comercio</w:t>
      </w:r>
      <w:r>
        <w:rPr>
          <w:rFonts w:ascii="Verdana" w:hAnsi="Verdana" w:cs="Arial"/>
          <w:color w:val="000000"/>
          <w:sz w:val="20"/>
          <w:szCs w:val="20"/>
        </w:rPr>
        <w:t>.</w:t>
      </w:r>
      <w:r w:rsidRPr="00977908">
        <w:rPr>
          <w:rStyle w:val="s18"/>
          <w:rFonts w:ascii="Verdana" w:hAnsi="Verdana" w:cs="Arial"/>
          <w:color w:val="000000"/>
          <w:sz w:val="20"/>
          <w:szCs w:val="20"/>
        </w:rPr>
        <w:t xml:space="preserve"> </w:t>
      </w:r>
    </w:p>
    <w:p w14:paraId="48F75E80" w14:textId="77777777" w:rsidR="00645197" w:rsidRDefault="00645197" w:rsidP="00645197">
      <w:pPr>
        <w:spacing w:after="0" w:line="240" w:lineRule="auto"/>
        <w:jc w:val="both"/>
        <w:rPr>
          <w:rFonts w:ascii="Verdana" w:eastAsia="Times New Roman" w:hAnsi="Verdana" w:cs="Arial"/>
          <w:color w:val="000000"/>
          <w:sz w:val="20"/>
          <w:szCs w:val="20"/>
          <w:lang w:eastAsia="es-MX"/>
        </w:rPr>
      </w:pPr>
    </w:p>
    <w:p w14:paraId="40D8129D" w14:textId="77777777" w:rsidR="005E5262" w:rsidRDefault="005E5262" w:rsidP="00645197">
      <w:pPr>
        <w:spacing w:after="0" w:line="240" w:lineRule="auto"/>
        <w:jc w:val="both"/>
        <w:rPr>
          <w:rFonts w:ascii="Verdana" w:eastAsia="Calibri" w:hAnsi="Verdana" w:cs="Arial"/>
          <w:b/>
          <w:lang w:val="es-ES_tradnl" w:eastAsia="es-ES_tradnl"/>
        </w:rPr>
      </w:pPr>
      <w:r w:rsidRPr="005E5262">
        <w:rPr>
          <w:rFonts w:ascii="Verdana" w:eastAsia="Calibri" w:hAnsi="Verdana" w:cs="Arial"/>
          <w:b/>
          <w:lang w:val="es-ES_tradnl" w:eastAsia="es-ES_tradnl"/>
        </w:rPr>
        <w:t>INHABILIDADES – Definición – Finalidad – Limitación capacidad contractual</w:t>
      </w:r>
    </w:p>
    <w:p w14:paraId="3CFF693E" w14:textId="77777777" w:rsidR="005E5262" w:rsidRDefault="005E5262" w:rsidP="00645197">
      <w:pPr>
        <w:spacing w:after="0" w:line="240" w:lineRule="auto"/>
        <w:jc w:val="both"/>
        <w:rPr>
          <w:rFonts w:ascii="Verdana" w:eastAsia="Calibri" w:hAnsi="Verdana" w:cs="Arial"/>
          <w:b/>
          <w:lang w:val="es-ES_tradnl" w:eastAsia="es-ES_tradnl"/>
        </w:rPr>
      </w:pPr>
    </w:p>
    <w:p w14:paraId="06EE2D93" w14:textId="03BF5399" w:rsidR="005E5262" w:rsidRPr="00813DFD" w:rsidRDefault="00813DFD" w:rsidP="00813DFD">
      <w:pPr>
        <w:pStyle w:val="s17"/>
        <w:spacing w:before="0" w:beforeAutospacing="0" w:after="0" w:afterAutospacing="0"/>
        <w:jc w:val="both"/>
        <w:rPr>
          <w:rFonts w:ascii="Verdana" w:hAnsi="Verdana" w:cs="Arial"/>
          <w:bCs/>
          <w:color w:val="000000"/>
          <w:sz w:val="20"/>
          <w:szCs w:val="20"/>
        </w:rPr>
      </w:pPr>
      <w:r w:rsidRPr="00813DFD">
        <w:rPr>
          <w:rFonts w:ascii="Verdana" w:hAnsi="Verdana" w:cs="Arial"/>
          <w:bCs/>
          <w:color w:val="000000"/>
          <w:sz w:val="20"/>
          <w:szCs w:val="20"/>
        </w:rPr>
        <w:t xml:space="preserve">Las inhabilidades son circunstancias establecidas por la Constitución o la ley que impiden que personas naturales o jurídicas sean elegidas o designadas en un cargo público o </w:t>
      </w:r>
      <w:r w:rsidRPr="00813DFD">
        <w:rPr>
          <w:rFonts w:ascii="Verdana" w:hAnsi="Verdana" w:cs="Arial"/>
          <w:bCs/>
          <w:color w:val="000000"/>
          <w:sz w:val="20"/>
          <w:szCs w:val="20"/>
        </w:rPr>
        <w:lastRenderedPageBreak/>
        <w:t>celebren contratos con el Estado, con el objetivo de garantizar la idoneidad, imparcialidad, probidad, transparencia y moralidad de la función pública, garantizando el interés general. 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 La consagración limitaciones que afectan la capacidad jurídica para contratar desarrolla los principios de la función administrativa consagrados en el artículo 209 de la Constitución Política, con especial énfasis el de moralidad.</w:t>
      </w:r>
    </w:p>
    <w:p w14:paraId="790A1743" w14:textId="77777777" w:rsidR="005E5262" w:rsidRDefault="005E5262" w:rsidP="00645197">
      <w:pPr>
        <w:spacing w:after="0" w:line="240" w:lineRule="auto"/>
        <w:jc w:val="both"/>
        <w:rPr>
          <w:rFonts w:ascii="Verdana" w:eastAsia="Calibri" w:hAnsi="Verdana" w:cs="Arial"/>
          <w:b/>
          <w:lang w:val="es-ES_tradnl" w:eastAsia="es-ES_tradnl"/>
        </w:rPr>
      </w:pPr>
    </w:p>
    <w:p w14:paraId="4191A80A" w14:textId="7A570FE7" w:rsidR="00645197" w:rsidRPr="00DE2AC7" w:rsidRDefault="005E5262" w:rsidP="00645197">
      <w:pPr>
        <w:spacing w:after="0" w:line="240" w:lineRule="auto"/>
        <w:jc w:val="both"/>
        <w:rPr>
          <w:rFonts w:ascii="Verdana" w:eastAsia="Geomanist Light" w:hAnsi="Verdana" w:cs="Arial"/>
          <w:color w:val="000000" w:themeColor="text1"/>
        </w:rPr>
      </w:pPr>
      <w:r w:rsidRPr="005E5262">
        <w:rPr>
          <w:rFonts w:ascii="Verdana" w:eastAsia="Calibri" w:hAnsi="Verdana" w:cs="Arial"/>
          <w:b/>
          <w:lang w:val="es-ES_tradnl" w:eastAsia="es-ES_tradnl"/>
        </w:rPr>
        <w:t xml:space="preserve">CONTRATACIÓN ESTATAL – Capacidad – Validez contratos  </w:t>
      </w:r>
    </w:p>
    <w:p w14:paraId="0BE85D6E" w14:textId="77777777" w:rsidR="00645197" w:rsidRDefault="00645197" w:rsidP="00645197">
      <w:pPr>
        <w:spacing w:after="0" w:line="240" w:lineRule="auto"/>
        <w:rPr>
          <w:rFonts w:ascii="Verdana" w:eastAsia="Geomanist Light" w:hAnsi="Verdana" w:cs="Arial"/>
          <w:color w:val="000000" w:themeColor="text1"/>
          <w:lang w:val="es-MX"/>
        </w:rPr>
      </w:pPr>
    </w:p>
    <w:p w14:paraId="50075E9A" w14:textId="7A5C4B85" w:rsidR="007A0ECA" w:rsidRPr="007A0ECA" w:rsidRDefault="007A0ECA" w:rsidP="007A0ECA">
      <w:pPr>
        <w:pStyle w:val="s17"/>
        <w:spacing w:before="0" w:beforeAutospacing="0" w:after="0" w:afterAutospacing="0"/>
        <w:jc w:val="both"/>
        <w:rPr>
          <w:rFonts w:ascii="Verdana" w:hAnsi="Verdana" w:cs="Arial"/>
          <w:bCs/>
          <w:color w:val="000000"/>
          <w:sz w:val="20"/>
          <w:szCs w:val="20"/>
        </w:rPr>
      </w:pPr>
      <w:r w:rsidRPr="007A0ECA">
        <w:rPr>
          <w:rFonts w:ascii="Verdana" w:hAnsi="Verdana" w:cs="Arial"/>
          <w:bCs/>
          <w:color w:val="000000"/>
          <w:sz w:val="20"/>
          <w:szCs w:val="20"/>
        </w:rPr>
        <w:t xml:space="preserve">[…] </w:t>
      </w:r>
      <w:r w:rsidR="00A85918" w:rsidRPr="00A85918">
        <w:rPr>
          <w:rFonts w:ascii="Verdana" w:hAnsi="Verdana" w:cs="Arial"/>
          <w:bCs/>
          <w:color w:val="000000"/>
          <w:sz w:val="20"/>
          <w:szCs w:val="20"/>
        </w:rPr>
        <w:t>en la contratación estatal, la capacidad también es un requisito de validez de los contratos, tanto en el régimen de las entidades sujetas al Estatuto General de Contratación de la Administración Pública como en el de las entidades exceptuadas de aquel.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 –, se destaca el régimen de inhabilidades e incompatibilidades como un conjunto de normas que imponen restricciones para los sujetos que, eventualmente, pretendan participar en los procedimientos de selección o celebrar contratos con las entidades estatales</w:t>
      </w:r>
      <w:r w:rsidRPr="007A0ECA">
        <w:rPr>
          <w:rFonts w:ascii="Verdana" w:hAnsi="Verdana" w:cs="Arial"/>
          <w:bCs/>
          <w:color w:val="000000"/>
          <w:sz w:val="20"/>
          <w:szCs w:val="20"/>
        </w:rPr>
        <w:t>.</w:t>
      </w:r>
    </w:p>
    <w:p w14:paraId="45C52983" w14:textId="77777777" w:rsidR="007A0ECA" w:rsidRPr="007A0ECA" w:rsidRDefault="007A0ECA" w:rsidP="007A0ECA">
      <w:pPr>
        <w:pStyle w:val="s17"/>
        <w:spacing w:before="0" w:beforeAutospacing="0" w:after="0" w:afterAutospacing="0"/>
        <w:jc w:val="both"/>
        <w:rPr>
          <w:rFonts w:ascii="Verdana" w:hAnsi="Verdana" w:cs="Arial"/>
          <w:bCs/>
          <w:color w:val="000000"/>
          <w:sz w:val="20"/>
          <w:szCs w:val="20"/>
        </w:rPr>
      </w:pPr>
    </w:p>
    <w:p w14:paraId="6C54F79C" w14:textId="61A39D5C" w:rsidR="00645197" w:rsidRPr="007A0ECA" w:rsidRDefault="00FE2B8C" w:rsidP="007A0ECA">
      <w:pPr>
        <w:pStyle w:val="s17"/>
        <w:spacing w:before="0" w:beforeAutospacing="0" w:after="0" w:afterAutospacing="0"/>
        <w:jc w:val="both"/>
        <w:rPr>
          <w:rFonts w:ascii="Verdana" w:hAnsi="Verdana" w:cs="Arial"/>
          <w:bCs/>
          <w:color w:val="000000"/>
          <w:sz w:val="20"/>
          <w:szCs w:val="20"/>
        </w:rPr>
      </w:pPr>
      <w:r w:rsidRPr="00FE2B8C">
        <w:rPr>
          <w:rFonts w:ascii="Verdana" w:hAnsi="Verdana" w:cs="Arial"/>
          <w:bCs/>
          <w:color w:val="000000"/>
          <w:sz w:val="20"/>
          <w:szCs w:val="20"/>
        </w:rPr>
        <w:t xml:space="preserve">Las inhabilidades son prohibiciones para concurrir a los procedimientos de selección y para contratar con el Estado, que se derivan: i) de la existencia de comportamientos reprochables o de sanciones anteriormente impuestas, </w:t>
      </w:r>
      <w:proofErr w:type="spellStart"/>
      <w:r w:rsidRPr="00FE2B8C">
        <w:rPr>
          <w:rFonts w:ascii="Verdana" w:hAnsi="Verdana" w:cs="Arial"/>
          <w:bCs/>
          <w:color w:val="000000"/>
          <w:sz w:val="20"/>
          <w:szCs w:val="20"/>
        </w:rPr>
        <w:t>ii</w:t>
      </w:r>
      <w:proofErr w:type="spellEnd"/>
      <w:r w:rsidRPr="00FE2B8C">
        <w:rPr>
          <w:rFonts w:ascii="Verdana" w:hAnsi="Verdana" w:cs="Arial"/>
          <w:bCs/>
          <w:color w:val="000000"/>
          <w:sz w:val="20"/>
          <w:szCs w:val="20"/>
        </w:rPr>
        <w:t xml:space="preserve">) de vínculos personales relativos al parentesco o al estado civil o </w:t>
      </w:r>
      <w:proofErr w:type="spellStart"/>
      <w:r w:rsidRPr="00FE2B8C">
        <w:rPr>
          <w:rFonts w:ascii="Verdana" w:hAnsi="Verdana" w:cs="Arial"/>
          <w:bCs/>
          <w:color w:val="000000"/>
          <w:sz w:val="20"/>
          <w:szCs w:val="20"/>
        </w:rPr>
        <w:t>iii</w:t>
      </w:r>
      <w:proofErr w:type="spellEnd"/>
      <w:r w:rsidRPr="00FE2B8C">
        <w:rPr>
          <w:rFonts w:ascii="Verdana" w:hAnsi="Verdana" w:cs="Arial"/>
          <w:bCs/>
          <w:color w:val="000000"/>
          <w:sz w:val="20"/>
          <w:szCs w:val="20"/>
        </w:rPr>
        <w:t>) de una actividad u oficio que se desempeñó en el pasado.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En todo caso, a pesar de la existencia de distintos criterios para diferenciar las inhabilidades de las incompatibilidades, de la presencia de ellas se derivan las mismas consecuencias jurídicas, esto es, la limitación de la capacidad contractual, de manera que la presencia de ellas impide que se puedan celebrar contratos con el Estado o participar en procedimientos de selección de las entidades estatales, por lo que de cualquiera de ellas se derivan los mismos efectos jurídicos</w:t>
      </w:r>
      <w:r w:rsidR="007A0ECA" w:rsidRPr="007A0ECA">
        <w:rPr>
          <w:rFonts w:ascii="Verdana" w:hAnsi="Verdana" w:cs="Arial"/>
          <w:bCs/>
          <w:color w:val="000000"/>
          <w:sz w:val="20"/>
          <w:szCs w:val="20"/>
        </w:rPr>
        <w:t>.</w:t>
      </w:r>
    </w:p>
    <w:p w14:paraId="12AC13C9" w14:textId="77777777" w:rsidR="00645197" w:rsidRPr="007A0ECA" w:rsidRDefault="00645197" w:rsidP="007A0ECA">
      <w:pPr>
        <w:pStyle w:val="s17"/>
        <w:spacing w:before="0" w:beforeAutospacing="0" w:after="0" w:afterAutospacing="0"/>
        <w:jc w:val="both"/>
        <w:rPr>
          <w:rFonts w:ascii="Verdana" w:hAnsi="Verdana" w:cs="Arial"/>
          <w:bCs/>
          <w:color w:val="000000"/>
          <w:sz w:val="20"/>
          <w:szCs w:val="20"/>
        </w:rPr>
      </w:pPr>
    </w:p>
    <w:p w14:paraId="08C7492F" w14:textId="77777777" w:rsidR="00645197" w:rsidRDefault="00645197" w:rsidP="00645197">
      <w:pPr>
        <w:spacing w:after="0" w:line="240" w:lineRule="auto"/>
        <w:rPr>
          <w:rFonts w:ascii="Verdana" w:eastAsia="Geomanist Light" w:hAnsi="Verdana" w:cs="Arial"/>
          <w:color w:val="000000" w:themeColor="text1"/>
          <w:lang w:val="es-MX"/>
        </w:rPr>
      </w:pPr>
    </w:p>
    <w:p w14:paraId="604F4845" w14:textId="77777777" w:rsidR="00645197" w:rsidRDefault="00645197" w:rsidP="00645197">
      <w:pPr>
        <w:spacing w:after="0" w:line="240" w:lineRule="auto"/>
        <w:rPr>
          <w:rFonts w:ascii="Verdana" w:eastAsia="Geomanist Light" w:hAnsi="Verdana" w:cs="Arial"/>
          <w:color w:val="000000" w:themeColor="text1"/>
          <w:lang w:val="es-MX"/>
        </w:rPr>
      </w:pPr>
    </w:p>
    <w:p w14:paraId="26E8D7A7" w14:textId="6C72FF0A" w:rsidR="003944F5" w:rsidRDefault="00645197" w:rsidP="00645197">
      <w:pPr>
        <w:spacing w:after="0" w:line="240" w:lineRule="auto"/>
        <w:jc w:val="both"/>
        <w:rPr>
          <w:rFonts w:ascii="Verdana" w:eastAsia="Geomanist Light" w:hAnsi="Verdana" w:cs="Arial"/>
          <w:color w:val="000000" w:themeColor="text1"/>
          <w:lang w:val="es-MX"/>
        </w:rPr>
      </w:pPr>
      <w:r w:rsidRPr="009035FE">
        <w:rPr>
          <w:rFonts w:ascii="Verdana" w:eastAsia="Geomanist Light" w:hAnsi="Verdana" w:cs="Arial"/>
          <w:color w:val="000000" w:themeColor="text1"/>
          <w:lang w:val="es-MX"/>
        </w:rPr>
        <w:lastRenderedPageBreak/>
        <w:t xml:space="preserve">Bogotá D.C., </w:t>
      </w:r>
      <w:r w:rsidR="003944F5">
        <w:rPr>
          <w:rFonts w:ascii="Verdana" w:eastAsia="Geomanist Light" w:hAnsi="Verdana" w:cs="Arial"/>
          <w:color w:val="000000" w:themeColor="text1"/>
          <w:lang w:val="es-MX"/>
        </w:rPr>
        <w:t>22 de enero de 2026</w:t>
      </w:r>
    </w:p>
    <w:p w14:paraId="5EE77664" w14:textId="77777777" w:rsidR="003944F5" w:rsidRDefault="003944F5" w:rsidP="00645197">
      <w:pPr>
        <w:spacing w:after="0" w:line="240" w:lineRule="auto"/>
        <w:jc w:val="both"/>
        <w:rPr>
          <w:rFonts w:ascii="Verdana" w:eastAsia="Geomanist Light" w:hAnsi="Verdana" w:cs="Arial"/>
          <w:color w:val="000000" w:themeColor="text1"/>
          <w:lang w:val="es-MX"/>
        </w:rPr>
      </w:pPr>
    </w:p>
    <w:p w14:paraId="084EAA75" w14:textId="75A63056" w:rsidR="003944F5" w:rsidRDefault="003944F5" w:rsidP="003944F5">
      <w:pPr>
        <w:spacing w:after="0" w:line="240" w:lineRule="auto"/>
        <w:jc w:val="right"/>
        <w:rPr>
          <w:rFonts w:ascii="Verdana" w:eastAsia="Geomanist Light" w:hAnsi="Verdana" w:cs="Arial"/>
          <w:color w:val="000000" w:themeColor="text1"/>
          <w:lang w:val="es-MX"/>
        </w:rPr>
      </w:pPr>
    </w:p>
    <w:p w14:paraId="4376BEB1" w14:textId="3BA911F7" w:rsidR="00645197" w:rsidRDefault="00AD2EFF" w:rsidP="00645197">
      <w:pPr>
        <w:spacing w:after="0" w:line="240" w:lineRule="auto"/>
        <w:jc w:val="both"/>
        <w:rPr>
          <w:rFonts w:ascii="Verdana" w:eastAsia="Calibri" w:hAnsi="Verdana" w:cs="Arial"/>
          <w:color w:val="000000"/>
          <w:lang w:val="es-ES"/>
        </w:rPr>
      </w:pPr>
      <w:r w:rsidRPr="003944F5">
        <w:rPr>
          <w:rFonts w:ascii="Verdana" w:eastAsia="Geomanist Light" w:hAnsi="Verdana" w:cs="Arial"/>
          <w:noProof/>
          <w:color w:val="000000" w:themeColor="text1"/>
          <w:lang w:val="es-MX"/>
        </w:rPr>
        <w:drawing>
          <wp:anchor distT="0" distB="0" distL="114300" distR="114300" simplePos="0" relativeHeight="251658240" behindDoc="0" locked="0" layoutInCell="1" allowOverlap="1" wp14:anchorId="2C49488A" wp14:editId="2DEADAE0">
            <wp:simplePos x="0" y="0"/>
            <wp:positionH relativeFrom="margin">
              <wp:align>right</wp:align>
            </wp:positionH>
            <wp:positionV relativeFrom="paragraph">
              <wp:posOffset>8890</wp:posOffset>
            </wp:positionV>
            <wp:extent cx="2584450" cy="844550"/>
            <wp:effectExtent l="0" t="0" r="6350" b="0"/>
            <wp:wrapSquare wrapText="bothSides"/>
            <wp:docPr id="185849233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492335"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584450" cy="844550"/>
                    </a:xfrm>
                    <a:prstGeom prst="rect">
                      <a:avLst/>
                    </a:prstGeom>
                  </pic:spPr>
                </pic:pic>
              </a:graphicData>
            </a:graphic>
            <wp14:sizeRelH relativeFrom="margin">
              <wp14:pctWidth>0</wp14:pctWidth>
            </wp14:sizeRelH>
            <wp14:sizeRelV relativeFrom="margin">
              <wp14:pctHeight>0</wp14:pctHeight>
            </wp14:sizeRelV>
          </wp:anchor>
        </w:drawing>
      </w:r>
    </w:p>
    <w:p w14:paraId="3D7E7221" w14:textId="22BCAF98" w:rsidR="00645197" w:rsidRPr="00593A5F" w:rsidRDefault="00645197" w:rsidP="00645197">
      <w:pPr>
        <w:spacing w:after="0" w:line="240" w:lineRule="auto"/>
        <w:jc w:val="both"/>
        <w:rPr>
          <w:rFonts w:ascii="Verdana" w:eastAsia="Calibri" w:hAnsi="Verdana" w:cs="Arial"/>
          <w:color w:val="000000"/>
          <w:lang w:val="es-ES"/>
        </w:rPr>
      </w:pPr>
    </w:p>
    <w:p w14:paraId="36ED300F" w14:textId="77777777" w:rsidR="00645197" w:rsidRPr="00B96799" w:rsidRDefault="00645197" w:rsidP="00645197">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445981A5" w14:textId="77777777" w:rsidR="00645197" w:rsidRPr="0085423D" w:rsidRDefault="00645197" w:rsidP="00645197">
      <w:pPr>
        <w:spacing w:after="0" w:line="240" w:lineRule="auto"/>
        <w:rPr>
          <w:rFonts w:ascii="Verdana" w:eastAsia="Calibri" w:hAnsi="Verdana" w:cs="Arial"/>
          <w:b/>
          <w:lang w:val="es-ES_tradnl" w:eastAsia="es-ES_tradnl"/>
        </w:rPr>
      </w:pPr>
      <w:bookmarkStart w:id="0" w:name="OLE_LINK1"/>
      <w:r>
        <w:rPr>
          <w:rFonts w:ascii="Verdana" w:eastAsia="Calibri" w:hAnsi="Verdana" w:cs="Arial"/>
          <w:b/>
          <w:lang w:val="es-ES_tradnl" w:eastAsia="es-ES_tradnl"/>
        </w:rPr>
        <w:t>Martin Hernando Escorcia</w:t>
      </w:r>
    </w:p>
    <w:bookmarkEnd w:id="0"/>
    <w:p w14:paraId="38CF7ABF" w14:textId="77777777" w:rsidR="00645197" w:rsidRDefault="00645197" w:rsidP="00645197">
      <w:pPr>
        <w:spacing w:after="0" w:line="240" w:lineRule="auto"/>
        <w:rPr>
          <w:rFonts w:ascii="Verdana" w:eastAsia="Calibri" w:hAnsi="Verdana" w:cs="Arial"/>
          <w:lang w:val="es-ES" w:eastAsia="es-ES"/>
        </w:rPr>
      </w:pPr>
      <w:r>
        <w:rPr>
          <w:rFonts w:ascii="Verdana" w:eastAsia="Calibri" w:hAnsi="Verdana" w:cs="Arial"/>
          <w:lang w:val="es-ES" w:eastAsia="es-ES"/>
        </w:rPr>
        <w:t>Ciudad</w:t>
      </w:r>
    </w:p>
    <w:p w14:paraId="0AA4C922" w14:textId="77777777" w:rsidR="00645197" w:rsidRPr="00593A5F" w:rsidRDefault="00645197" w:rsidP="00645197">
      <w:pPr>
        <w:spacing w:after="0" w:line="240" w:lineRule="auto"/>
        <w:rPr>
          <w:rFonts w:ascii="Verdana" w:eastAsia="Calibri" w:hAnsi="Verdana" w:cs="Arial"/>
          <w:b/>
          <w:bCs/>
          <w:color w:val="000000"/>
          <w:lang w:val="es-ES_tradnl" w:eastAsia="es-ES_tradnl"/>
        </w:rPr>
      </w:pPr>
    </w:p>
    <w:p w14:paraId="6EC4C55C" w14:textId="77777777" w:rsidR="00645197" w:rsidRPr="00593A5F" w:rsidRDefault="00645197" w:rsidP="00645197">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45197" w:rsidRPr="00593A5F" w14:paraId="594DE096" w14:textId="77777777" w:rsidTr="003533A3">
        <w:trPr>
          <w:trHeight w:val="884"/>
        </w:trPr>
        <w:tc>
          <w:tcPr>
            <w:tcW w:w="2689" w:type="dxa"/>
          </w:tcPr>
          <w:p w14:paraId="0DD45A7A" w14:textId="77777777" w:rsidR="00645197" w:rsidRPr="00C00976" w:rsidRDefault="00645197" w:rsidP="003533A3">
            <w:pPr>
              <w:jc w:val="both"/>
              <w:rPr>
                <w:rFonts w:ascii="Verdana" w:eastAsia="Calibri" w:hAnsi="Verdana" w:cs="Arial"/>
                <w:b/>
                <w:bCs/>
                <w:color w:val="7030A0"/>
                <w:lang w:val="es-ES_tradnl" w:eastAsia="es-ES_tradnl"/>
              </w:rPr>
            </w:pPr>
          </w:p>
        </w:tc>
        <w:tc>
          <w:tcPr>
            <w:tcW w:w="6100" w:type="dxa"/>
          </w:tcPr>
          <w:p w14:paraId="269FBE22" w14:textId="77777777" w:rsidR="00645197" w:rsidRPr="00C00976" w:rsidRDefault="00645197" w:rsidP="003533A3">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1849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645197" w:rsidRPr="00593A5F" w14:paraId="768EA48A" w14:textId="77777777" w:rsidTr="003533A3">
        <w:trPr>
          <w:trHeight w:val="884"/>
        </w:trPr>
        <w:tc>
          <w:tcPr>
            <w:tcW w:w="2689" w:type="dxa"/>
          </w:tcPr>
          <w:p w14:paraId="1BADCA36" w14:textId="77777777" w:rsidR="00645197" w:rsidRPr="00593A5F" w:rsidRDefault="00645197" w:rsidP="003533A3">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535FE806" w14:textId="29967785" w:rsidR="00B30CFA" w:rsidRDefault="008D29BC" w:rsidP="003533A3">
            <w:pPr>
              <w:spacing w:line="276" w:lineRule="auto"/>
              <w:jc w:val="both"/>
              <w:rPr>
                <w:rFonts w:ascii="Verdana" w:eastAsia="Calibri" w:hAnsi="Verdana" w:cs="Arial"/>
                <w:lang w:val="es-ES" w:eastAsia="es-ES"/>
              </w:rPr>
            </w:pPr>
            <w:r w:rsidRPr="00474A65">
              <w:rPr>
                <w:rFonts w:ascii="Verdana" w:eastAsia="Arial" w:hAnsi="Verdana" w:cs="Arial"/>
              </w:rPr>
              <w:t xml:space="preserve">DECRETO 1600 DE 2024- Capítulo Tercero – Entidades obligadas a su aplicación </w:t>
            </w:r>
            <w:r>
              <w:rPr>
                <w:rFonts w:ascii="Verdana" w:eastAsia="Arial" w:hAnsi="Verdana" w:cs="Arial"/>
              </w:rPr>
              <w:t xml:space="preserve">/ </w:t>
            </w:r>
            <w:r w:rsidR="00B30CFA" w:rsidRPr="00C75A78">
              <w:rPr>
                <w:rFonts w:ascii="Verdana" w:eastAsia="Calibri" w:hAnsi="Verdana" w:cs="Arial"/>
                <w:lang w:val="es-ES" w:eastAsia="es-ES"/>
              </w:rPr>
              <w:t>DECRETO 1600 DE 2024 – Situaciones de control – Acreditación</w:t>
            </w:r>
            <w:r w:rsidR="00B30CFA">
              <w:rPr>
                <w:rFonts w:ascii="Verdana" w:eastAsia="Calibri" w:hAnsi="Verdana" w:cs="Arial"/>
                <w:lang w:val="es-ES" w:eastAsia="es-ES"/>
              </w:rPr>
              <w:t xml:space="preserve"> / </w:t>
            </w:r>
            <w:r w:rsidR="00B30CFA" w:rsidRPr="00C75A78">
              <w:rPr>
                <w:rFonts w:ascii="Verdana" w:eastAsia="Calibri" w:hAnsi="Verdana" w:cs="Arial"/>
                <w:lang w:val="es-ES" w:eastAsia="es-ES"/>
              </w:rPr>
              <w:t>REGISTRO ÚNICO DE PROPONENTES – Definición – Marco jurídico</w:t>
            </w:r>
            <w:r w:rsidR="00B30CFA">
              <w:rPr>
                <w:rFonts w:ascii="Verdana" w:eastAsia="Calibri" w:hAnsi="Verdana" w:cs="Arial"/>
                <w:lang w:val="es-ES" w:eastAsia="es-ES"/>
              </w:rPr>
              <w:t xml:space="preserve"> / </w:t>
            </w:r>
            <w:r w:rsidR="00B30CFA" w:rsidRPr="00C75A78">
              <w:rPr>
                <w:rFonts w:ascii="Verdana" w:eastAsia="Calibri" w:hAnsi="Verdana" w:cs="Arial"/>
                <w:lang w:val="es-ES" w:eastAsia="es-ES"/>
              </w:rPr>
              <w:t>REQUISITOS HABILITANTES – Registro Único de Proponentes – Plena prueba</w:t>
            </w:r>
            <w:r w:rsidR="00B30CFA">
              <w:rPr>
                <w:rFonts w:ascii="Verdana" w:eastAsia="Calibri" w:hAnsi="Verdana" w:cs="Arial"/>
                <w:lang w:val="es-ES" w:eastAsia="es-ES"/>
              </w:rPr>
              <w:t xml:space="preserve"> / </w:t>
            </w:r>
            <w:r w:rsidR="00B30CFA" w:rsidRPr="00C75A78">
              <w:rPr>
                <w:rFonts w:ascii="Verdana" w:eastAsia="Calibri" w:hAnsi="Verdana" w:cs="Arial"/>
                <w:lang w:val="es-ES" w:eastAsia="es-ES"/>
              </w:rPr>
              <w:t>GRUPO EMPRESARIAL – Existencia – Acreditación – Plazo</w:t>
            </w:r>
            <w:r w:rsidR="00B30CFA">
              <w:rPr>
                <w:rFonts w:ascii="Verdana" w:eastAsia="Calibri" w:hAnsi="Verdana" w:cs="Arial"/>
                <w:lang w:val="es-ES" w:eastAsia="es-ES"/>
              </w:rPr>
              <w:t xml:space="preserve"> / </w:t>
            </w:r>
            <w:r w:rsidR="00B30CFA" w:rsidRPr="00911055">
              <w:rPr>
                <w:rFonts w:ascii="Verdana" w:eastAsia="Calibri" w:hAnsi="Verdana" w:cs="Arial"/>
                <w:lang w:val="es-ES" w:eastAsia="es-ES"/>
              </w:rPr>
              <w:t xml:space="preserve">INHABILIDADES – Definición – Finalidad – Limitación capacidad contractual / CONTRATACIÓN ESTATAL – Capacidad – Validez contratos </w:t>
            </w:r>
          </w:p>
          <w:p w14:paraId="4C15ACAF" w14:textId="7788BA4C" w:rsidR="00645197" w:rsidRPr="00593A5F" w:rsidRDefault="00645197" w:rsidP="003533A3">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645197" w:rsidRPr="008E6AD9" w14:paraId="556F31D9" w14:textId="77777777" w:rsidTr="003533A3">
        <w:tc>
          <w:tcPr>
            <w:tcW w:w="2689" w:type="dxa"/>
          </w:tcPr>
          <w:p w14:paraId="594B42B5" w14:textId="77777777" w:rsidR="00645197" w:rsidRPr="008E6AD9" w:rsidRDefault="00645197" w:rsidP="003533A3">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374B0E45" w14:textId="77777777" w:rsidR="00645197" w:rsidRPr="00B92340" w:rsidRDefault="00645197" w:rsidP="003533A3">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D27091">
              <w:rPr>
                <w:rFonts w:ascii="Verdana" w:eastAsia="Calibri" w:hAnsi="Verdana" w:cs="Arial"/>
                <w:lang w:val="es-ES_tradnl" w:eastAsia="es-ES_tradnl"/>
              </w:rPr>
              <w:t>1_2025_12_19_014200</w:t>
            </w:r>
            <w:r>
              <w:rPr>
                <w:rFonts w:ascii="Verdana" w:eastAsia="Calibri" w:hAnsi="Verdana" w:cs="Arial"/>
                <w:lang w:val="es-ES_tradnl" w:eastAsia="es-ES_tradnl"/>
              </w:rPr>
              <w:t xml:space="preserve"> acumulada con </w:t>
            </w:r>
            <w:r w:rsidRPr="00D27091">
              <w:rPr>
                <w:rFonts w:ascii="Verdana" w:eastAsia="Calibri" w:hAnsi="Verdana" w:cs="Arial"/>
                <w:lang w:val="es-ES_tradnl" w:eastAsia="es-ES_tradnl"/>
              </w:rPr>
              <w:t>1_2025_12_19_014202</w:t>
            </w:r>
          </w:p>
        </w:tc>
      </w:tr>
    </w:tbl>
    <w:p w14:paraId="25D8484C" w14:textId="77777777" w:rsidR="00645197" w:rsidRPr="00593A5F" w:rsidRDefault="00645197" w:rsidP="00645197">
      <w:pPr>
        <w:spacing w:after="0" w:line="240" w:lineRule="auto"/>
        <w:jc w:val="both"/>
        <w:rPr>
          <w:rFonts w:ascii="Verdana" w:eastAsia="Calibri" w:hAnsi="Verdana" w:cs="Arial"/>
          <w:color w:val="000000"/>
          <w:lang w:val="es-ES_tradnl" w:eastAsia="es-ES_tradnl"/>
        </w:rPr>
      </w:pPr>
    </w:p>
    <w:p w14:paraId="755A45C0" w14:textId="77777777" w:rsidR="00645197" w:rsidRPr="00593A5F" w:rsidRDefault="00645197" w:rsidP="00645197">
      <w:pPr>
        <w:spacing w:after="0" w:line="240" w:lineRule="auto"/>
        <w:jc w:val="both"/>
        <w:rPr>
          <w:rFonts w:ascii="Verdana" w:eastAsia="Calibri" w:hAnsi="Verdana" w:cs="Arial"/>
          <w:color w:val="000000"/>
          <w:lang w:val="es-ES_tradnl" w:eastAsia="es-ES_tradnl"/>
        </w:rPr>
      </w:pPr>
    </w:p>
    <w:p w14:paraId="2332D528" w14:textId="77777777" w:rsidR="00645197" w:rsidRPr="008E6AD9" w:rsidRDefault="00645197" w:rsidP="00645197">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señor Escorcia</w:t>
      </w:r>
      <w:r w:rsidRPr="008E6AD9">
        <w:rPr>
          <w:rFonts w:ascii="Verdana" w:eastAsia="Calibri" w:hAnsi="Verdana" w:cs="Arial"/>
          <w:lang w:val="es-ES" w:eastAsia="es-ES"/>
        </w:rPr>
        <w:t xml:space="preserve">: </w:t>
      </w:r>
    </w:p>
    <w:p w14:paraId="7028237D" w14:textId="77777777" w:rsidR="00645197" w:rsidRDefault="00645197" w:rsidP="00645197">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EE668F2" w14:textId="77777777" w:rsidR="00645197" w:rsidRPr="00593A5F" w:rsidRDefault="00645197" w:rsidP="00645197">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19 de diciembre de 2025, remitida por la Procuraduría General de la Nación mediante radicado No. S-2025-053614, en la que pregunta lo siguiente</w:t>
      </w:r>
      <w:r w:rsidRPr="008E6AD9">
        <w:rPr>
          <w:rFonts w:ascii="Verdana" w:eastAsia="Calibri" w:hAnsi="Verdana" w:cs="Arial"/>
          <w:lang w:val="es-ES" w:eastAsia="es-ES"/>
        </w:rPr>
        <w:t xml:space="preserve">: </w:t>
      </w:r>
    </w:p>
    <w:p w14:paraId="7854F389" w14:textId="77777777" w:rsidR="00645197" w:rsidRPr="00272A7B" w:rsidRDefault="00645197" w:rsidP="003F1FA1">
      <w:pPr>
        <w:pStyle w:val="Prrafodelista"/>
        <w:tabs>
          <w:tab w:val="left" w:pos="142"/>
          <w:tab w:val="left" w:pos="284"/>
        </w:tabs>
        <w:spacing w:after="0" w:line="240" w:lineRule="auto"/>
        <w:ind w:left="0"/>
        <w:jc w:val="both"/>
        <w:rPr>
          <w:rFonts w:ascii="Verdana" w:eastAsia="Century Gothic" w:hAnsi="Verdana" w:cs="Century Gothic"/>
          <w:b/>
          <w:bCs/>
        </w:rPr>
      </w:pPr>
    </w:p>
    <w:p w14:paraId="6E0FD6FD" w14:textId="77777777" w:rsidR="00645197" w:rsidRPr="00B52651" w:rsidRDefault="00645197" w:rsidP="007A5A67">
      <w:pPr>
        <w:spacing w:after="0" w:line="240" w:lineRule="auto"/>
        <w:ind w:left="709" w:right="709"/>
        <w:jc w:val="both"/>
        <w:rPr>
          <w:rFonts w:ascii="Verdana" w:eastAsia="Century Gothic" w:hAnsi="Verdana" w:cs="Century Gothic"/>
          <w:sz w:val="21"/>
          <w:szCs w:val="21"/>
          <w:lang w:val="es-ES"/>
        </w:rPr>
      </w:pPr>
      <w:bookmarkStart w:id="1" w:name="_Hlk95313578"/>
      <w:r w:rsidRPr="006E7258">
        <w:rPr>
          <w:rFonts w:ascii="Verdana" w:eastAsia="Century Gothic" w:hAnsi="Verdana" w:cs="Century Gothic"/>
          <w:sz w:val="21"/>
          <w:szCs w:val="21"/>
          <w:lang w:val="es-ES"/>
        </w:rPr>
        <w:t>“</w:t>
      </w:r>
      <w:bookmarkEnd w:id="1"/>
      <w:r w:rsidRPr="00B52651">
        <w:rPr>
          <w:rFonts w:ascii="Verdana" w:eastAsia="Century Gothic" w:hAnsi="Verdana" w:cs="Century Gothic"/>
          <w:sz w:val="21"/>
          <w:szCs w:val="21"/>
          <w:lang w:val="es-ES"/>
        </w:rPr>
        <w:t>1. Obligación de exigir revelación societaria en contratación estatal</w:t>
      </w:r>
      <w:r>
        <w:rPr>
          <w:rFonts w:ascii="Verdana" w:eastAsia="Century Gothic" w:hAnsi="Verdana" w:cs="Century Gothic"/>
          <w:sz w:val="21"/>
          <w:szCs w:val="21"/>
          <w:lang w:val="es-ES"/>
        </w:rPr>
        <w:t xml:space="preserve"> </w:t>
      </w:r>
      <w:r w:rsidRPr="00B52651">
        <w:rPr>
          <w:rFonts w:ascii="Verdana" w:eastAsia="Century Gothic" w:hAnsi="Verdana" w:cs="Century Gothic"/>
          <w:sz w:val="21"/>
          <w:szCs w:val="21"/>
          <w:lang w:val="es-ES"/>
        </w:rPr>
        <w:t>¿Qué obligación tienen las entidades estatales de exigir la revelación de situaciones de control o de pertenencia a grupos empresariales con matriz internacional, a las empresas con las que celebran contratos o concesiones en sectores estratégicos como infraestructura, hidrocarburos, puertos, energía, telecomunicaciones, minería, ambientales, zonas francas y logística, especialmente cuando dichas empresas operan en Colombia a través de varias sucursales o subsidiarias?</w:t>
      </w:r>
    </w:p>
    <w:p w14:paraId="70B78A70" w14:textId="77777777" w:rsidR="00645197" w:rsidRPr="00B52651" w:rsidRDefault="00645197" w:rsidP="007A5A67">
      <w:pPr>
        <w:spacing w:after="0" w:line="240" w:lineRule="auto"/>
        <w:ind w:left="709" w:right="709"/>
        <w:jc w:val="both"/>
        <w:rPr>
          <w:rFonts w:ascii="Verdana" w:eastAsia="Century Gothic" w:hAnsi="Verdana" w:cs="Century Gothic"/>
          <w:sz w:val="21"/>
          <w:szCs w:val="21"/>
          <w:lang w:val="es-ES"/>
        </w:rPr>
      </w:pPr>
      <w:r w:rsidRPr="00B52651">
        <w:rPr>
          <w:rFonts w:ascii="Verdana" w:eastAsia="Century Gothic" w:hAnsi="Verdana" w:cs="Century Gothic"/>
          <w:sz w:val="21"/>
          <w:szCs w:val="21"/>
          <w:lang w:val="es-ES"/>
        </w:rPr>
        <w:t>2. Consecuencias disciplinarias por omisión en la exigencia de revelación</w:t>
      </w:r>
      <w:r>
        <w:rPr>
          <w:rFonts w:ascii="Verdana" w:eastAsia="Century Gothic" w:hAnsi="Verdana" w:cs="Century Gothic"/>
          <w:sz w:val="21"/>
          <w:szCs w:val="21"/>
          <w:lang w:val="es-ES"/>
        </w:rPr>
        <w:t xml:space="preserve"> </w:t>
      </w:r>
      <w:r w:rsidRPr="00B52651">
        <w:rPr>
          <w:rFonts w:ascii="Verdana" w:eastAsia="Century Gothic" w:hAnsi="Verdana" w:cs="Century Gothic"/>
          <w:sz w:val="21"/>
          <w:szCs w:val="21"/>
          <w:lang w:val="es-ES"/>
        </w:rPr>
        <w:t>¿La omisión en exigir la revelación de la estructura societaria real en sectores estratégicos, cuando se haya identificado que las empresas contratistas forman parte de un grupo empresarial bajo control extranjero, puede constituir un incumplimiento del deber de debida diligencia por parte de los servidores públicos, según el régimen disciplinario aplicable?</w:t>
      </w:r>
    </w:p>
    <w:p w14:paraId="4C46E57F" w14:textId="77777777" w:rsidR="00645197" w:rsidRPr="00B52651" w:rsidRDefault="00645197" w:rsidP="007A5A67">
      <w:pPr>
        <w:spacing w:after="0" w:line="240" w:lineRule="auto"/>
        <w:ind w:left="709" w:right="709"/>
        <w:jc w:val="both"/>
        <w:rPr>
          <w:rFonts w:ascii="Verdana" w:eastAsia="Century Gothic" w:hAnsi="Verdana" w:cs="Century Gothic"/>
          <w:sz w:val="21"/>
          <w:szCs w:val="21"/>
          <w:lang w:val="es-ES"/>
        </w:rPr>
      </w:pPr>
      <w:r w:rsidRPr="00B52651">
        <w:rPr>
          <w:rFonts w:ascii="Verdana" w:eastAsia="Century Gothic" w:hAnsi="Verdana" w:cs="Century Gothic"/>
          <w:sz w:val="21"/>
          <w:szCs w:val="21"/>
          <w:lang w:val="es-ES"/>
        </w:rPr>
        <w:t>3. Con</w:t>
      </w:r>
      <w:r>
        <w:rPr>
          <w:rFonts w:ascii="Verdana" w:eastAsia="Century Gothic" w:hAnsi="Verdana" w:cs="Century Gothic"/>
          <w:sz w:val="21"/>
          <w:szCs w:val="21"/>
          <w:lang w:val="es-ES"/>
        </w:rPr>
        <w:t xml:space="preserve">trol </w:t>
      </w:r>
      <w:r w:rsidRPr="00B52651">
        <w:rPr>
          <w:rFonts w:ascii="Verdana" w:eastAsia="Century Gothic" w:hAnsi="Verdana" w:cs="Century Gothic"/>
          <w:sz w:val="21"/>
          <w:szCs w:val="21"/>
          <w:lang w:val="es-ES"/>
        </w:rPr>
        <w:t xml:space="preserve">preventivo de </w:t>
      </w:r>
      <w:r>
        <w:rPr>
          <w:rFonts w:ascii="Verdana" w:eastAsia="Century Gothic" w:hAnsi="Verdana" w:cs="Century Gothic"/>
          <w:sz w:val="21"/>
          <w:szCs w:val="21"/>
          <w:lang w:val="es-ES"/>
        </w:rPr>
        <w:t>la</w:t>
      </w:r>
      <w:r w:rsidRPr="00B52651">
        <w:rPr>
          <w:rFonts w:ascii="Verdana" w:eastAsia="Century Gothic" w:hAnsi="Verdana" w:cs="Century Gothic"/>
          <w:sz w:val="21"/>
          <w:szCs w:val="21"/>
          <w:lang w:val="es-ES"/>
        </w:rPr>
        <w:t xml:space="preserve"> Procuraduría en contratos estatales</w:t>
      </w:r>
    </w:p>
    <w:p w14:paraId="56DF07E3" w14:textId="77777777" w:rsidR="00645197" w:rsidRPr="00A6315A" w:rsidRDefault="00645197" w:rsidP="007A5A67">
      <w:pPr>
        <w:spacing w:after="0" w:line="240" w:lineRule="auto"/>
        <w:ind w:left="709" w:right="709"/>
        <w:jc w:val="both"/>
        <w:rPr>
          <w:rFonts w:ascii="Verdana" w:eastAsia="Century Gothic" w:hAnsi="Verdana" w:cs="Century Gothic"/>
          <w:sz w:val="21"/>
          <w:szCs w:val="21"/>
        </w:rPr>
      </w:pPr>
      <w:r w:rsidRPr="00B52651">
        <w:rPr>
          <w:rFonts w:ascii="Verdana" w:eastAsia="Century Gothic" w:hAnsi="Verdana" w:cs="Century Gothic"/>
          <w:sz w:val="21"/>
          <w:szCs w:val="21"/>
          <w:lang w:val="es-ES"/>
        </w:rPr>
        <w:t>¿Puede la Procuraduría General de la Nación ejercer un control preventivo, en ejercicio de sus atribuciones constitucionales (Art. 277 C.P.), sobre contratos o concesiones estatales celebrados con empresas que forman parte de grupos empresariales con matriz internacional, particularmente cuando la estructura societaria real no ha sido revelada o registrada con el fin</w:t>
      </w:r>
      <w:r w:rsidRPr="00F63C9E">
        <w:t xml:space="preserve"> </w:t>
      </w:r>
      <w:r w:rsidRPr="00F63C9E">
        <w:rPr>
          <w:rFonts w:ascii="Verdana" w:eastAsia="Century Gothic" w:hAnsi="Verdana" w:cs="Century Gothic"/>
          <w:sz w:val="21"/>
          <w:szCs w:val="21"/>
          <w:lang w:val="es-ES"/>
        </w:rPr>
        <w:t>de garantizar la transparencia y la protección de los derechos colectivos en sectores estratégicos?</w:t>
      </w:r>
      <w:r w:rsidRPr="00A6315A">
        <w:rPr>
          <w:rFonts w:ascii="Verdana" w:eastAsia="Century Gothic" w:hAnsi="Verdana" w:cs="Century Gothic"/>
          <w:sz w:val="21"/>
          <w:szCs w:val="21"/>
        </w:rPr>
        <w:t>”.</w:t>
      </w:r>
    </w:p>
    <w:p w14:paraId="453E65A2" w14:textId="77777777" w:rsidR="00645197" w:rsidRPr="008E6AD9" w:rsidRDefault="00645197" w:rsidP="00645197">
      <w:pPr>
        <w:pStyle w:val="Prrafodelista"/>
        <w:tabs>
          <w:tab w:val="left" w:pos="142"/>
          <w:tab w:val="left" w:pos="284"/>
        </w:tabs>
        <w:spacing w:after="0" w:line="276" w:lineRule="auto"/>
        <w:ind w:left="0"/>
        <w:jc w:val="both"/>
        <w:rPr>
          <w:rFonts w:ascii="Verdana" w:eastAsia="Century Gothic" w:hAnsi="Verdana" w:cs="Century Gothic"/>
          <w:b/>
          <w:bCs/>
        </w:rPr>
      </w:pPr>
    </w:p>
    <w:p w14:paraId="05CDCD59" w14:textId="77777777" w:rsidR="00645197" w:rsidRPr="00A652FF" w:rsidRDefault="00645197" w:rsidP="00645197">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34B8C79" w14:textId="77777777" w:rsidR="00645197" w:rsidRDefault="00645197" w:rsidP="00645197">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w:t>
      </w:r>
      <w:r w:rsidRPr="00593A5F">
        <w:rPr>
          <w:rFonts w:ascii="Verdana" w:eastAsia="Calibri" w:hAnsi="Verdana" w:cs="Arial"/>
          <w:color w:val="000000"/>
          <w:lang w:val="es-ES" w:eastAsia="es-ES"/>
        </w:rPr>
        <w:lastRenderedPageBreak/>
        <w:t>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4458E030" w14:textId="77777777" w:rsidR="00645197" w:rsidRPr="00593A5F" w:rsidRDefault="00645197" w:rsidP="00645197">
      <w:pPr>
        <w:spacing w:after="0" w:line="276" w:lineRule="auto"/>
        <w:ind w:firstLine="709"/>
        <w:jc w:val="both"/>
        <w:rPr>
          <w:rFonts w:ascii="Verdana" w:eastAsia="Calibri" w:hAnsi="Verdana" w:cs="Arial"/>
          <w:color w:val="000000"/>
          <w:lang w:val="es-ES" w:eastAsia="es-ES"/>
        </w:rPr>
      </w:pPr>
    </w:p>
    <w:p w14:paraId="209D704D" w14:textId="77777777" w:rsidR="00645197" w:rsidRPr="00593A5F" w:rsidRDefault="00645197" w:rsidP="0064519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52E9EBCD" w14:textId="77777777" w:rsidR="00645197" w:rsidRPr="00593A5F" w:rsidRDefault="00645197" w:rsidP="00645197">
      <w:pPr>
        <w:tabs>
          <w:tab w:val="left" w:pos="426"/>
        </w:tabs>
        <w:spacing w:after="0" w:line="276" w:lineRule="auto"/>
        <w:jc w:val="both"/>
        <w:rPr>
          <w:rFonts w:ascii="Verdana" w:eastAsia="Century Gothic" w:hAnsi="Verdana" w:cs="Century Gothic"/>
          <w:lang w:val="es-ES"/>
        </w:rPr>
      </w:pPr>
    </w:p>
    <w:p w14:paraId="7307E94B" w14:textId="15C05875" w:rsidR="00645197" w:rsidRPr="00593A5F" w:rsidRDefault="00645197" w:rsidP="00645197">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Pr>
          <w:rFonts w:ascii="Verdana" w:eastAsia="Century Gothic" w:hAnsi="Verdana" w:cs="Century Gothic"/>
        </w:rPr>
        <w:t>¿</w:t>
      </w:r>
      <w:r w:rsidR="00495A64">
        <w:rPr>
          <w:rFonts w:ascii="Verdana" w:eastAsia="Century Gothic" w:hAnsi="Verdana" w:cs="Century Gothic"/>
        </w:rPr>
        <w:t>Es obligatorio que</w:t>
      </w:r>
      <w:r>
        <w:rPr>
          <w:rFonts w:ascii="Verdana" w:eastAsia="Century Gothic" w:hAnsi="Verdana" w:cs="Century Gothic"/>
        </w:rPr>
        <w:t xml:space="preserve"> la</w:t>
      </w:r>
      <w:r w:rsidR="00495A64">
        <w:rPr>
          <w:rFonts w:ascii="Verdana" w:eastAsia="Century Gothic" w:hAnsi="Verdana" w:cs="Century Gothic"/>
        </w:rPr>
        <w:t>s</w:t>
      </w:r>
      <w:r>
        <w:rPr>
          <w:rFonts w:ascii="Verdana" w:eastAsia="Century Gothic" w:hAnsi="Verdana" w:cs="Century Gothic"/>
        </w:rPr>
        <w:t xml:space="preserve"> </w:t>
      </w:r>
      <w:r w:rsidR="00495A64">
        <w:rPr>
          <w:rFonts w:ascii="Verdana" w:eastAsia="Century Gothic" w:hAnsi="Verdana" w:cs="Century Gothic"/>
        </w:rPr>
        <w:t>Entidades</w:t>
      </w:r>
      <w:r>
        <w:rPr>
          <w:rFonts w:ascii="Verdana" w:eastAsia="Century Gothic" w:hAnsi="Verdana" w:cs="Century Gothic"/>
        </w:rPr>
        <w:t xml:space="preserve"> </w:t>
      </w:r>
      <w:r w:rsidR="00495A64">
        <w:rPr>
          <w:rFonts w:ascii="Verdana" w:eastAsia="Century Gothic" w:hAnsi="Verdana" w:cs="Century Gothic"/>
        </w:rPr>
        <w:t xml:space="preserve">Estatales </w:t>
      </w:r>
      <w:r>
        <w:rPr>
          <w:rFonts w:ascii="Verdana" w:eastAsia="Calibri" w:hAnsi="Verdana" w:cs="Arial"/>
          <w:bCs/>
          <w:color w:val="000000" w:themeColor="text1"/>
        </w:rPr>
        <w:t>requ</w:t>
      </w:r>
      <w:r w:rsidR="00495A64">
        <w:rPr>
          <w:rFonts w:ascii="Verdana" w:eastAsia="Calibri" w:hAnsi="Verdana" w:cs="Arial"/>
          <w:bCs/>
          <w:color w:val="000000" w:themeColor="text1"/>
        </w:rPr>
        <w:t>ieran</w:t>
      </w:r>
      <w:r>
        <w:rPr>
          <w:rFonts w:ascii="Verdana" w:eastAsia="Calibri" w:hAnsi="Verdana" w:cs="Arial"/>
          <w:bCs/>
          <w:color w:val="000000" w:themeColor="text1"/>
        </w:rPr>
        <w:t xml:space="preserve"> a l</w:t>
      </w:r>
      <w:r w:rsidR="00495A64">
        <w:rPr>
          <w:rFonts w:ascii="Verdana" w:eastAsia="Calibri" w:hAnsi="Verdana" w:cs="Arial"/>
          <w:bCs/>
          <w:color w:val="000000" w:themeColor="text1"/>
        </w:rPr>
        <w:t>a</w:t>
      </w:r>
      <w:r>
        <w:rPr>
          <w:rFonts w:ascii="Verdana" w:eastAsia="Calibri" w:hAnsi="Verdana" w:cs="Arial"/>
          <w:bCs/>
          <w:color w:val="000000" w:themeColor="text1"/>
        </w:rPr>
        <w:t xml:space="preserve"> acredit</w:t>
      </w:r>
      <w:r w:rsidR="00495A64">
        <w:rPr>
          <w:rFonts w:ascii="Verdana" w:eastAsia="Calibri" w:hAnsi="Verdana" w:cs="Arial"/>
          <w:bCs/>
          <w:color w:val="000000" w:themeColor="text1"/>
        </w:rPr>
        <w:t xml:space="preserve">ación de </w:t>
      </w:r>
      <w:r>
        <w:rPr>
          <w:rFonts w:ascii="Verdana" w:eastAsia="Calibri" w:hAnsi="Verdana" w:cs="Arial"/>
          <w:bCs/>
          <w:color w:val="000000" w:themeColor="text1"/>
        </w:rPr>
        <w:t>la existencia o no de situaciones de control</w:t>
      </w:r>
      <w:r>
        <w:rPr>
          <w:rFonts w:ascii="Verdana" w:eastAsia="Century Gothic" w:hAnsi="Verdana" w:cs="Century Gothic"/>
        </w:rPr>
        <w:t xml:space="preserve">?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118DC993" w14:textId="77777777" w:rsidR="00645197" w:rsidRPr="004B140F" w:rsidRDefault="00645197" w:rsidP="00645197">
      <w:pPr>
        <w:spacing w:after="0" w:line="276" w:lineRule="auto"/>
        <w:jc w:val="both"/>
        <w:rPr>
          <w:rFonts w:ascii="Verdana" w:eastAsia="Calibri" w:hAnsi="Verdana" w:cs="Arial"/>
          <w:color w:val="7030A0"/>
        </w:rPr>
      </w:pPr>
    </w:p>
    <w:p w14:paraId="077AD277" w14:textId="77777777" w:rsidR="00645197" w:rsidRPr="00593A5F" w:rsidRDefault="00645197" w:rsidP="0064519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DE8CC57" w14:textId="77777777" w:rsidR="00645197" w:rsidRPr="00593A5F" w:rsidRDefault="00645197" w:rsidP="0064519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45197" w:rsidRPr="00593A5F" w14:paraId="1DE7A51B" w14:textId="77777777" w:rsidTr="003533A3">
        <w:trPr>
          <w:jc w:val="center"/>
        </w:trPr>
        <w:tc>
          <w:tcPr>
            <w:tcW w:w="8828" w:type="dxa"/>
          </w:tcPr>
          <w:p w14:paraId="684439F7" w14:textId="59BEF98A" w:rsidR="005621CD" w:rsidRPr="005621CD" w:rsidRDefault="005621CD" w:rsidP="00043098">
            <w:pPr>
              <w:spacing w:after="120" w:line="276" w:lineRule="auto"/>
              <w:jc w:val="both"/>
              <w:rPr>
                <w:rFonts w:ascii="Verdana" w:eastAsia="Calibri" w:hAnsi="Verdana" w:cs="Arial"/>
                <w:bCs/>
                <w:iCs/>
                <w:lang w:eastAsia="es-ES_tradnl"/>
              </w:rPr>
            </w:pPr>
            <w:bookmarkStart w:id="2" w:name="_Hlk171694685"/>
            <w:r>
              <w:rPr>
                <w:rFonts w:ascii="Verdana" w:eastAsia="Calibri" w:hAnsi="Verdana" w:cs="Arial"/>
                <w:bCs/>
                <w:iCs/>
                <w:lang w:eastAsia="es-ES_tradnl"/>
              </w:rPr>
              <w:t>Las</w:t>
            </w:r>
            <w:r w:rsidR="00FB5481" w:rsidRPr="00474A65">
              <w:rPr>
                <w:rFonts w:ascii="Verdana" w:eastAsia="Calibri" w:hAnsi="Verdana" w:cs="Arial"/>
                <w:bCs/>
                <w:iCs/>
                <w:lang w:eastAsia="es-ES_tradnl"/>
              </w:rPr>
              <w:t xml:space="preserve"> disposiciones contenidas</w:t>
            </w:r>
            <w:r w:rsidR="00365673">
              <w:rPr>
                <w:rFonts w:ascii="Verdana" w:eastAsia="Calibri" w:hAnsi="Verdana" w:cs="Arial"/>
                <w:bCs/>
                <w:iCs/>
                <w:lang w:eastAsia="es-ES_tradnl"/>
              </w:rPr>
              <w:t xml:space="preserve"> en </w:t>
            </w:r>
            <w:r w:rsidR="00FB5481" w:rsidRPr="00474A65">
              <w:rPr>
                <w:rFonts w:ascii="Verdana" w:eastAsia="Calibri" w:hAnsi="Verdana" w:cs="Arial"/>
                <w:bCs/>
                <w:iCs/>
                <w:lang w:eastAsia="es-ES_tradnl"/>
              </w:rPr>
              <w:t>el</w:t>
            </w:r>
            <w:r w:rsidR="00365673">
              <w:rPr>
                <w:rFonts w:ascii="Verdana" w:eastAsia="Calibri" w:hAnsi="Verdana" w:cs="Arial"/>
                <w:bCs/>
                <w:iCs/>
                <w:lang w:eastAsia="es-ES_tradnl"/>
              </w:rPr>
              <w:t xml:space="preserve"> </w:t>
            </w:r>
            <w:r w:rsidR="00365673" w:rsidRPr="00474A65">
              <w:rPr>
                <w:rFonts w:ascii="Verdana" w:eastAsia="Calibri" w:hAnsi="Verdana" w:cs="Arial"/>
                <w:bCs/>
                <w:iCs/>
                <w:lang w:eastAsia="es-ES_tradnl"/>
              </w:rPr>
              <w:t>capítulo 3</w:t>
            </w:r>
            <w:r w:rsidR="00365673">
              <w:rPr>
                <w:rFonts w:ascii="Verdana" w:eastAsia="Calibri" w:hAnsi="Verdana" w:cs="Arial"/>
                <w:bCs/>
                <w:iCs/>
                <w:lang w:eastAsia="es-ES_tradnl"/>
              </w:rPr>
              <w:t xml:space="preserve"> del</w:t>
            </w:r>
            <w:r w:rsidR="00365673" w:rsidRPr="00474A65">
              <w:rPr>
                <w:rFonts w:ascii="Verdana" w:eastAsia="Calibri" w:hAnsi="Verdana" w:cs="Arial"/>
                <w:bCs/>
                <w:iCs/>
                <w:lang w:eastAsia="es-ES_tradnl"/>
              </w:rPr>
              <w:t xml:space="preserve"> </w:t>
            </w:r>
            <w:r w:rsidR="00FB5481" w:rsidRPr="00474A65">
              <w:rPr>
                <w:rFonts w:ascii="Verdana" w:eastAsia="Calibri" w:hAnsi="Verdana" w:cs="Arial"/>
                <w:bCs/>
                <w:iCs/>
                <w:lang w:eastAsia="es-ES_tradnl"/>
              </w:rPr>
              <w:t>Decreto 1600</w:t>
            </w:r>
            <w:r w:rsidR="00FB5481">
              <w:rPr>
                <w:rFonts w:ascii="Verdana" w:eastAsia="Calibri" w:hAnsi="Verdana" w:cs="Arial"/>
                <w:bCs/>
                <w:iCs/>
                <w:lang w:eastAsia="es-ES_tradnl"/>
              </w:rPr>
              <w:t xml:space="preserve"> de 2024</w:t>
            </w:r>
            <w:r>
              <w:rPr>
                <w:rFonts w:ascii="Verdana" w:eastAsia="Calibri" w:hAnsi="Verdana" w:cs="Arial"/>
                <w:bCs/>
                <w:iCs/>
                <w:lang w:eastAsia="es-ES_tradnl"/>
              </w:rPr>
              <w:t xml:space="preserve"> son d</w:t>
            </w:r>
            <w:r w:rsidRPr="005621CD">
              <w:rPr>
                <w:rFonts w:ascii="Verdana" w:eastAsia="Calibri" w:hAnsi="Verdana" w:cs="Arial"/>
                <w:bCs/>
                <w:iCs/>
                <w:lang w:eastAsia="es-ES_tradnl"/>
              </w:rPr>
              <w:t>e aplicación obligatoria para las entidades</w:t>
            </w:r>
            <w:r>
              <w:rPr>
                <w:rFonts w:ascii="Verdana" w:eastAsia="Calibri" w:hAnsi="Verdana" w:cs="Arial"/>
                <w:bCs/>
                <w:iCs/>
                <w:lang w:eastAsia="es-ES_tradnl"/>
              </w:rPr>
              <w:t xml:space="preserve"> estatales</w:t>
            </w:r>
            <w:r w:rsidRPr="005621CD">
              <w:rPr>
                <w:rFonts w:ascii="Verdana" w:eastAsia="Calibri" w:hAnsi="Verdana" w:cs="Arial"/>
                <w:bCs/>
                <w:iCs/>
                <w:lang w:eastAsia="es-ES_tradnl"/>
              </w:rPr>
              <w:t xml:space="preserve"> del Estado del orden nacional que hacen parte de la Rama Ejecutiva del Poder Público, así como para las empresas industriales y comerciales del Estado, las sociedades de economía mixta y las entidades sujetas a regímenes especiales de contratación de este nivel. Dicho decreto no aplica de manera obligatoria a las entidades territoriales ni a sus entidades descentralizadas; sin embargo, estas deberán incorporar sus lineamientos en planes y políticas, en ejercicio de su autonomía, conforme a lo previsto en el artículo 32 de la Ley 152 de 1994 y el artículo 200 de la Ley 2294 de 2023.</w:t>
            </w:r>
            <w:r w:rsidR="00043098">
              <w:rPr>
                <w:rFonts w:ascii="Verdana" w:eastAsia="Calibri" w:hAnsi="Verdana" w:cs="Arial"/>
                <w:bCs/>
                <w:iCs/>
                <w:lang w:eastAsia="es-ES_tradnl"/>
              </w:rPr>
              <w:t xml:space="preserve"> </w:t>
            </w:r>
            <w:r w:rsidRPr="005621CD">
              <w:rPr>
                <w:rFonts w:ascii="Verdana" w:eastAsia="Calibri" w:hAnsi="Verdana" w:cs="Arial"/>
                <w:bCs/>
                <w:iCs/>
                <w:lang w:eastAsia="es-ES_tradnl"/>
              </w:rPr>
              <w:t>En este contexto, la obligación de verificar la existencia de situaciones de control, prevista en el literal a) del artículo 2.1.4.3.2.1 del Decreto 1081 de 2015 y adicionada por el Decreto 1600 de 2024, es exigible de forma obligatoria a las entidades del orden nacional de la Rama Ejecutiva, quienes deben constatar dichas situaciones tanto respecto de personas jurídicas oferentes como de proponentes plurales, de conformidad con los artículos 260 y 261 del Código de Comercio.</w:t>
            </w:r>
          </w:p>
          <w:p w14:paraId="278567C3" w14:textId="6F09AE64" w:rsidR="005621CD" w:rsidRPr="005621CD" w:rsidRDefault="00043098" w:rsidP="003F1FA1">
            <w:pPr>
              <w:spacing w:after="120" w:line="276" w:lineRule="auto"/>
              <w:ind w:firstLine="709"/>
              <w:jc w:val="both"/>
              <w:rPr>
                <w:rFonts w:ascii="Verdana" w:eastAsia="Calibri" w:hAnsi="Verdana" w:cs="Arial"/>
                <w:bCs/>
                <w:iCs/>
                <w:lang w:eastAsia="es-ES_tradnl"/>
              </w:rPr>
            </w:pPr>
            <w:r>
              <w:rPr>
                <w:rFonts w:ascii="Verdana" w:eastAsia="Calibri" w:hAnsi="Verdana" w:cs="Arial"/>
                <w:bCs/>
                <w:iCs/>
                <w:lang w:eastAsia="es-ES_tradnl"/>
              </w:rPr>
              <w:t>No obstante, si bien l</w:t>
            </w:r>
            <w:r w:rsidR="005621CD" w:rsidRPr="005621CD">
              <w:rPr>
                <w:rFonts w:ascii="Verdana" w:eastAsia="Calibri" w:hAnsi="Verdana" w:cs="Arial"/>
                <w:bCs/>
                <w:iCs/>
                <w:lang w:eastAsia="es-ES_tradnl"/>
              </w:rPr>
              <w:t xml:space="preserve">a información sobre situaciones de control no constituye un requisito habilitante en sí mismo, </w:t>
            </w:r>
            <w:r>
              <w:rPr>
                <w:rFonts w:ascii="Verdana" w:eastAsia="Calibri" w:hAnsi="Verdana" w:cs="Arial"/>
                <w:bCs/>
                <w:iCs/>
                <w:lang w:eastAsia="es-ES_tradnl"/>
              </w:rPr>
              <w:t xml:space="preserve">si constituye </w:t>
            </w:r>
            <w:r w:rsidR="005621CD" w:rsidRPr="005621CD">
              <w:rPr>
                <w:rFonts w:ascii="Verdana" w:eastAsia="Calibri" w:hAnsi="Verdana" w:cs="Arial"/>
                <w:bCs/>
                <w:iCs/>
                <w:lang w:eastAsia="es-ES_tradnl"/>
              </w:rPr>
              <w:t>un insumo necesario para verificar la capacidad jurídica del proponente, en particular para confirmar la inexistencia de inhabilidades como las previstas en los literales j) y k) del numeral 8.1 del EGCAP.</w:t>
            </w:r>
            <w:r w:rsidR="00A36E89">
              <w:rPr>
                <w:rFonts w:ascii="Verdana" w:eastAsia="Calibri" w:hAnsi="Verdana" w:cs="Arial"/>
                <w:bCs/>
                <w:iCs/>
                <w:lang w:eastAsia="es-ES_tradnl"/>
              </w:rPr>
              <w:t xml:space="preserve"> En ese orden, a</w:t>
            </w:r>
            <w:r w:rsidR="005621CD" w:rsidRPr="005621CD">
              <w:rPr>
                <w:rFonts w:ascii="Verdana" w:eastAsia="Calibri" w:hAnsi="Verdana" w:cs="Arial"/>
                <w:bCs/>
                <w:iCs/>
                <w:lang w:eastAsia="es-ES_tradnl"/>
              </w:rPr>
              <w:t xml:space="preserve">unque la obligación de verificación establecida en el Decreto 1600 de 2024 es obligatoria únicamente para las entidades del orden nacional de la Rama Ejecutiva, las demás entidades estatales también deben verificar las situaciones de control de los </w:t>
            </w:r>
            <w:r w:rsidR="005621CD" w:rsidRPr="005621CD">
              <w:rPr>
                <w:rFonts w:ascii="Verdana" w:eastAsia="Calibri" w:hAnsi="Verdana" w:cs="Arial"/>
                <w:bCs/>
                <w:iCs/>
                <w:lang w:eastAsia="es-ES_tradnl"/>
              </w:rPr>
              <w:lastRenderedPageBreak/>
              <w:t>proponentes en sus procesos de contratación, en la medida en que esta información es necesaria para prevenir inhabilidades y conflictos de interés.</w:t>
            </w:r>
            <w:r w:rsidR="00F07290">
              <w:rPr>
                <w:rFonts w:ascii="Verdana" w:eastAsia="Calibri" w:hAnsi="Verdana" w:cs="Arial"/>
                <w:bCs/>
                <w:iCs/>
                <w:lang w:eastAsia="es-ES_tradnl"/>
              </w:rPr>
              <w:t xml:space="preserve"> </w:t>
            </w:r>
          </w:p>
          <w:p w14:paraId="0F2F1FE7" w14:textId="5F854121" w:rsidR="00645197" w:rsidRPr="001941FD" w:rsidRDefault="00645197" w:rsidP="003F1FA1">
            <w:pPr>
              <w:spacing w:after="120" w:line="276" w:lineRule="auto"/>
              <w:ind w:right="51" w:firstLine="742"/>
              <w:jc w:val="both"/>
              <w:rPr>
                <w:rFonts w:ascii="Verdana" w:eastAsia="Calibri" w:hAnsi="Verdana" w:cs="Arial"/>
                <w:bCs/>
                <w:color w:val="000000" w:themeColor="text1"/>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w:t>
            </w:r>
            <w:r>
              <w:rPr>
                <w:rStyle w:val="s15"/>
                <w:rFonts w:ascii="Verdana" w:hAnsi="Verdana"/>
                <w:color w:val="000000"/>
              </w:rPr>
              <w:t>, así como sobre la responsabilidad por omitir un deber legal o el control de la Procuraduría General de la Nación sobre la contratación pública,</w:t>
            </w:r>
            <w:r w:rsidRPr="001941FD">
              <w:rPr>
                <w:rStyle w:val="s15"/>
                <w:rFonts w:ascii="Verdana" w:hAnsi="Verdana"/>
                <w:color w:val="000000"/>
              </w:rPr>
              <w:t xml:space="preserve">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5AB5BB86" w14:textId="77777777" w:rsidR="00645197" w:rsidRPr="00593A5F" w:rsidRDefault="00645197" w:rsidP="00645197">
      <w:pPr>
        <w:tabs>
          <w:tab w:val="left" w:pos="142"/>
          <w:tab w:val="left" w:pos="284"/>
        </w:tabs>
        <w:spacing w:after="0" w:line="276" w:lineRule="auto"/>
        <w:jc w:val="both"/>
        <w:rPr>
          <w:rFonts w:ascii="Verdana" w:eastAsia="Century Gothic" w:hAnsi="Verdana" w:cs="Century Gothic"/>
          <w:b/>
          <w:bCs/>
          <w:lang w:val="es-ES"/>
        </w:rPr>
      </w:pPr>
    </w:p>
    <w:bookmarkEnd w:id="2"/>
    <w:p w14:paraId="08E7DECC" w14:textId="77777777" w:rsidR="00645197" w:rsidRPr="00593A5F" w:rsidRDefault="00645197" w:rsidP="0064519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25AE6CA" w14:textId="77777777" w:rsidR="00645197" w:rsidRPr="00593A5F" w:rsidRDefault="00645197" w:rsidP="00645197">
      <w:pPr>
        <w:spacing w:after="0" w:line="276" w:lineRule="auto"/>
        <w:jc w:val="both"/>
        <w:rPr>
          <w:rFonts w:ascii="Verdana" w:eastAsia="Calibri" w:hAnsi="Verdana" w:cs="Arial"/>
          <w:color w:val="7030A0"/>
          <w:lang w:val="es-ES"/>
        </w:rPr>
      </w:pPr>
    </w:p>
    <w:p w14:paraId="3454B371" w14:textId="77777777" w:rsidR="00645197" w:rsidRDefault="00645197" w:rsidP="00645197">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3074CAA5" w14:textId="77777777" w:rsidR="00645197" w:rsidRDefault="00645197" w:rsidP="00645197">
      <w:pPr>
        <w:spacing w:after="0" w:line="276" w:lineRule="auto"/>
        <w:jc w:val="both"/>
        <w:rPr>
          <w:rFonts w:ascii="Verdana" w:eastAsia="Calibri" w:hAnsi="Verdana" w:cs="Arial"/>
          <w:lang w:val="es-ES"/>
        </w:rPr>
      </w:pPr>
    </w:p>
    <w:p w14:paraId="1DFF169A" w14:textId="77777777" w:rsidR="001A352A" w:rsidRPr="00474A65" w:rsidRDefault="001A352A" w:rsidP="001A352A">
      <w:pPr>
        <w:spacing w:after="120" w:line="276" w:lineRule="auto"/>
        <w:jc w:val="both"/>
        <w:rPr>
          <w:rFonts w:ascii="Verdana" w:hAnsi="Verdana" w:cs="Arial"/>
          <w:iCs/>
        </w:rPr>
      </w:pPr>
      <w:r>
        <w:rPr>
          <w:rFonts w:ascii="Verdana" w:eastAsia="Calibri" w:hAnsi="Verdana" w:cs="Arial"/>
          <w:lang w:val="es-ES"/>
        </w:rPr>
        <w:t xml:space="preserve">i. </w:t>
      </w:r>
      <w:r w:rsidRPr="00474A65">
        <w:rPr>
          <w:rFonts w:ascii="Verdana" w:hAnsi="Verdana" w:cs="Arial"/>
          <w:iCs/>
        </w:rPr>
        <w:t>El artículo 209 de la Constitución Política establece que la función administrativa está orientada hacia el servicio de los intereses generales y se fundamenta en principios de igualdad, moralidad, eficacia, economía, celeridad, imparcialidad y publicidad. Asimismo, conforme al Código de Procedimiento Administrativo y de lo Contencioso Administrativo, Ley 1437 de 2011, las acciones administrativas deben llevarse a cabo con transparencia.</w:t>
      </w:r>
    </w:p>
    <w:p w14:paraId="5E12DCDF" w14:textId="77777777" w:rsidR="001A352A" w:rsidRPr="00474A65" w:rsidRDefault="001A352A" w:rsidP="001A352A">
      <w:pPr>
        <w:spacing w:after="120" w:line="276" w:lineRule="auto"/>
        <w:ind w:firstLine="708"/>
        <w:jc w:val="both"/>
        <w:rPr>
          <w:rFonts w:ascii="Verdana" w:eastAsia="Calibri" w:hAnsi="Verdana" w:cs="Arial"/>
          <w:lang w:eastAsia="es-ES_tradnl"/>
        </w:rPr>
      </w:pPr>
      <w:r w:rsidRPr="00474A65">
        <w:rPr>
          <w:rFonts w:ascii="Verdana" w:eastAsia="Calibri" w:hAnsi="Verdana" w:cs="Arial"/>
          <w:lang w:eastAsia="es-ES_tradnl"/>
        </w:rPr>
        <w:t>El artículo 200 de la Ley 2294 de 2023</w:t>
      </w:r>
      <w:r w:rsidRPr="00474A65">
        <w:rPr>
          <w:rStyle w:val="Refdenotaalpie"/>
          <w:rFonts w:ascii="Verdana" w:eastAsia="Calibri" w:hAnsi="Verdana" w:cs="Arial"/>
          <w:lang w:eastAsia="es-ES_tradnl"/>
        </w:rPr>
        <w:footnoteReference w:id="1"/>
      </w:r>
      <w:r w:rsidRPr="00474A65">
        <w:rPr>
          <w:rFonts w:ascii="Verdana" w:eastAsia="Calibri" w:hAnsi="Verdana" w:cs="Arial"/>
          <w:lang w:eastAsia="es-ES_tradnl"/>
        </w:rPr>
        <w:t>, “Por</w:t>
      </w:r>
      <w:r w:rsidRPr="00474A65">
        <w:rPr>
          <w:rFonts w:ascii="Verdana" w:eastAsia="Calibri" w:hAnsi="Verdana" w:cs="Arial"/>
          <w:i/>
          <w:iCs/>
          <w:lang w:eastAsia="es-ES_tradnl"/>
        </w:rPr>
        <w:t xml:space="preserve"> la cual se expidió el Plan Nacional de Desarrollo ‘Colombia Potencia Mundial de la Vida’”</w:t>
      </w:r>
      <w:r w:rsidRPr="00474A65">
        <w:rPr>
          <w:rFonts w:ascii="Verdana" w:eastAsia="Calibri" w:hAnsi="Verdana" w:cs="Arial"/>
          <w:lang w:eastAsia="es-ES_tradnl"/>
        </w:rPr>
        <w:t xml:space="preserve">, estableció el </w:t>
      </w:r>
      <w:r w:rsidRPr="00474A65">
        <w:rPr>
          <w:rFonts w:ascii="Verdana" w:eastAsia="Calibri" w:hAnsi="Verdana" w:cs="Arial"/>
          <w:lang w:eastAsia="es-ES_tradnl"/>
        </w:rPr>
        <w:lastRenderedPageBreak/>
        <w:t>deber de formular una Estrategia Nacional de Lucha contra la Corrupción</w:t>
      </w:r>
      <w:r w:rsidRPr="00474A65">
        <w:rPr>
          <w:rFonts w:ascii="Verdana" w:eastAsia="Calibri" w:hAnsi="Verdana" w:cs="Arial"/>
          <w:iCs/>
          <w:lang w:eastAsia="es-ES_tradnl"/>
        </w:rPr>
        <w:t>, con el fin de fortalecer las instituciones democráticas y el Estado Social de Derecho, la protección de los derechos humanos, los recursos públicos, así como generar condiciones adecuadas para el desarrollo socioeconómico y el cuidado del medio ambiente</w:t>
      </w:r>
      <w:r w:rsidRPr="00474A65">
        <w:rPr>
          <w:rFonts w:ascii="Verdana" w:eastAsia="Calibri" w:hAnsi="Verdana" w:cs="Arial"/>
          <w:lang w:eastAsia="es-ES_tradnl"/>
        </w:rPr>
        <w:t xml:space="preserve">. </w:t>
      </w:r>
    </w:p>
    <w:p w14:paraId="14B0496E" w14:textId="77777777" w:rsidR="001A352A" w:rsidRPr="00474A65" w:rsidRDefault="001A352A" w:rsidP="001A352A">
      <w:pPr>
        <w:spacing w:after="120" w:line="276" w:lineRule="auto"/>
        <w:ind w:firstLine="708"/>
        <w:jc w:val="both"/>
        <w:rPr>
          <w:rFonts w:ascii="Verdana" w:eastAsia="Calibri" w:hAnsi="Verdana" w:cs="Arial"/>
          <w:lang w:eastAsia="es-ES_tradnl"/>
        </w:rPr>
      </w:pPr>
      <w:r w:rsidRPr="00474A65">
        <w:rPr>
          <w:rFonts w:ascii="Verdana" w:eastAsia="Calibri" w:hAnsi="Verdana" w:cs="Arial"/>
          <w:lang w:eastAsia="es-ES_tradnl"/>
        </w:rPr>
        <w:t xml:space="preserve">De este modo, la estrategia de la lucha contra la corrupción incluye las dimensiones de la garantía de los derechos humanos, la protección al denunciante, el derecho de acceso a la información pública, el fortalecimiento de la veeduría ciudadana, </w:t>
      </w:r>
      <w:r w:rsidRPr="00474A65">
        <w:rPr>
          <w:rFonts w:ascii="Verdana" w:eastAsia="Calibri" w:hAnsi="Verdana" w:cs="Arial"/>
          <w:i/>
          <w:iCs/>
          <w:lang w:eastAsia="es-ES_tradnl"/>
        </w:rPr>
        <w:t>la transparencia en la contratación y gestión pública,</w:t>
      </w:r>
      <w:r w:rsidRPr="00474A65">
        <w:rPr>
          <w:rFonts w:ascii="Verdana" w:eastAsia="Calibri" w:hAnsi="Verdana" w:cs="Arial"/>
          <w:lang w:eastAsia="es-ES_tradnl"/>
        </w:rPr>
        <w:t xml:space="preserve"> la innovación pública y la prevención, detección, gestión y sanción de riesgos y hechos de corrupción. </w:t>
      </w:r>
    </w:p>
    <w:p w14:paraId="49FDC273" w14:textId="77777777" w:rsidR="001A352A" w:rsidRPr="00474A65" w:rsidRDefault="001A352A" w:rsidP="001A352A">
      <w:pPr>
        <w:spacing w:after="120" w:line="276" w:lineRule="auto"/>
        <w:ind w:firstLine="708"/>
        <w:jc w:val="both"/>
        <w:rPr>
          <w:rFonts w:ascii="Verdana" w:eastAsia="Calibri" w:hAnsi="Verdana" w:cs="Arial"/>
          <w:bCs/>
          <w:lang w:eastAsia="es-ES_tradnl"/>
        </w:rPr>
      </w:pPr>
      <w:r w:rsidRPr="00474A65">
        <w:rPr>
          <w:rFonts w:ascii="Verdana" w:eastAsia="Calibri" w:hAnsi="Verdana" w:cs="Arial"/>
          <w:bCs/>
          <w:lang w:eastAsia="es-ES_tradnl"/>
        </w:rPr>
        <w:t xml:space="preserve">En la búsqueda de fortalecer una estrategia de lucha contra la corrupción se expidió el Decreto 1600 de 2024, “Por el cual se modifica el Capítulo 1 y 3 del Título 4 de la Parte 1 del Libro 2 del Decreto número 1081 de 2015, Decreto Reglamentario Único del Sector Presidencia de la República, en lo relacionado con las Subcomisiones Técnicas de la Comisión Nacional de Moralización y la Estrategia Nacional de Lucha Contra la Corrupción”. </w:t>
      </w:r>
    </w:p>
    <w:p w14:paraId="2719862D" w14:textId="77777777" w:rsidR="001A352A" w:rsidRPr="00474A65" w:rsidRDefault="001A352A" w:rsidP="001A352A">
      <w:pPr>
        <w:spacing w:after="120" w:line="276" w:lineRule="auto"/>
        <w:ind w:firstLine="708"/>
        <w:jc w:val="both"/>
        <w:rPr>
          <w:rFonts w:ascii="Verdana" w:eastAsia="Calibri" w:hAnsi="Verdana" w:cs="Arial"/>
          <w:bCs/>
          <w:iCs/>
          <w:lang w:eastAsia="es-ES_tradnl"/>
        </w:rPr>
      </w:pPr>
      <w:r w:rsidRPr="00474A65">
        <w:rPr>
          <w:rFonts w:ascii="Verdana" w:eastAsia="Calibri" w:hAnsi="Verdana" w:cs="Arial"/>
          <w:bCs/>
          <w:lang w:eastAsia="es-ES_tradnl"/>
        </w:rPr>
        <w:t xml:space="preserve">El Capítulo 3°, Sección 1°, Título 4°, Parte 1°, Libro 2° del Decreto 1081 de 2015, que fue modificado por el Decreto 1600 de 2024, tiene como objeto: “[…] </w:t>
      </w:r>
      <w:r w:rsidRPr="00474A65">
        <w:rPr>
          <w:rFonts w:ascii="Verdana" w:eastAsia="Calibri" w:hAnsi="Verdana" w:cs="Arial"/>
          <w:bCs/>
          <w:iCs/>
          <w:lang w:eastAsia="es-ES_tradnl"/>
        </w:rPr>
        <w:t xml:space="preserve">establecer los lineamientos, mecanismos y directrices necesarios para la implementación de la Estrategia Nacional de Lucha contra la Corrupción, con el fin de fortalecer las instituciones democráticas, la confianza ciudadana y el Estado social de derecho, garantizar la protección de los derechos humanos relativos a la protección de los recursos públicos, generar condiciones adecuadas para el desarrollo socioeconómico y protección del medio ambiente. Asimismo, </w:t>
      </w:r>
      <w:r w:rsidRPr="00474A65">
        <w:rPr>
          <w:rFonts w:ascii="Verdana" w:eastAsia="Calibri" w:hAnsi="Verdana" w:cs="Arial"/>
          <w:bCs/>
          <w:iCs/>
          <w:lang w:eastAsia="es-ES_tradnl"/>
        </w:rPr>
        <w:lastRenderedPageBreak/>
        <w:t xml:space="preserve">procura fomentar una cultura de revalorización y cuidado de lo público, a través de herramientas de transparencia, fortalecimiento de la veeduría ciudadana, acceso efectivo a la información, participación ciudadana y debida diligencia en la prevención, detección y sanción de hechos de corrupción” -artículo 2.1.4.3.1.1-. </w:t>
      </w:r>
    </w:p>
    <w:p w14:paraId="193D425E" w14:textId="77777777" w:rsidR="001A352A" w:rsidRPr="00474A65" w:rsidRDefault="001A352A" w:rsidP="001A352A">
      <w:pPr>
        <w:spacing w:after="120" w:line="276" w:lineRule="auto"/>
        <w:ind w:firstLine="708"/>
        <w:jc w:val="both"/>
        <w:rPr>
          <w:rFonts w:ascii="Verdana" w:eastAsia="Calibri" w:hAnsi="Verdana" w:cs="Arial"/>
          <w:bCs/>
          <w:iCs/>
          <w:lang w:eastAsia="es-ES_tradnl"/>
        </w:rPr>
      </w:pPr>
      <w:r w:rsidRPr="00474A65">
        <w:rPr>
          <w:rFonts w:ascii="Verdana" w:eastAsia="Calibri" w:hAnsi="Verdana" w:cs="Arial"/>
          <w:bCs/>
          <w:iCs/>
          <w:lang w:eastAsia="es-ES_tradnl"/>
        </w:rPr>
        <w:t>Ahora bien, el ámbito o campo de aplicación de este capítulo, al cual se hace referencia en su consulta, está regulado en el artículo 2.1.4.3.1.2.</w:t>
      </w:r>
      <w:r w:rsidRPr="00474A65">
        <w:rPr>
          <w:rFonts w:ascii="Verdana" w:eastAsia="Calibri" w:hAnsi="Verdana" w:cs="Arial"/>
          <w:bCs/>
          <w:iCs/>
          <w:vertAlign w:val="superscript"/>
          <w:lang w:eastAsia="es-ES_tradnl"/>
        </w:rPr>
        <w:footnoteReference w:id="2"/>
      </w:r>
      <w:r w:rsidRPr="00474A65">
        <w:rPr>
          <w:rFonts w:ascii="Verdana" w:eastAsia="Calibri" w:hAnsi="Verdana" w:cs="Arial"/>
          <w:bCs/>
          <w:iCs/>
          <w:lang w:eastAsia="es-ES_tradnl"/>
        </w:rPr>
        <w:t xml:space="preserve"> que señala que sus reglas están dirigidas a las entidades y empresas del Estado del orden nacional y pertenecientes a la Rama Ejecutiva del Poder Público. Así mismo, dispone que las empresas industriales y comerciales del Estado, las sociedades de economía mixta y todas las demás instituciones sometidas a regímenes especiales de contratación deben cumplir las obligaciones del presente Capítulo en aquellos aspectos en los que deban aplicar el régimen general de contratación pública. </w:t>
      </w:r>
    </w:p>
    <w:p w14:paraId="5E27D7B4" w14:textId="77777777" w:rsidR="001A352A" w:rsidRPr="00474A65" w:rsidRDefault="001A352A" w:rsidP="001A352A">
      <w:pPr>
        <w:spacing w:after="120" w:line="276" w:lineRule="auto"/>
        <w:ind w:firstLine="708"/>
        <w:jc w:val="both"/>
        <w:rPr>
          <w:rFonts w:ascii="Verdana" w:eastAsia="Calibri" w:hAnsi="Verdana" w:cs="Arial"/>
          <w:bCs/>
          <w:lang w:eastAsia="es-ES_tradnl"/>
        </w:rPr>
      </w:pPr>
      <w:r w:rsidRPr="00474A65">
        <w:rPr>
          <w:rFonts w:ascii="Verdana" w:eastAsia="Calibri" w:hAnsi="Verdana" w:cs="Arial"/>
          <w:bCs/>
          <w:iCs/>
          <w:lang w:eastAsia="es-ES_tradnl"/>
        </w:rPr>
        <w:t>En los temas no regulados por dicho régimen, no se aplica lo dispuesto en el artículo 2.1.4.3.2.1, por lo que las demás disposiciones deberán aplicarse, de acuerdo con su estructura orgánica y la normativa aplicable a su funcionamiento.</w:t>
      </w:r>
      <w:r w:rsidRPr="00474A65">
        <w:rPr>
          <w:rFonts w:ascii="Verdana" w:eastAsia="Calibri" w:hAnsi="Verdana" w:cs="Arial"/>
          <w:bCs/>
          <w:lang w:eastAsia="es-ES_tradnl"/>
        </w:rPr>
        <w:t xml:space="preserve"> </w:t>
      </w:r>
    </w:p>
    <w:p w14:paraId="398B0023" w14:textId="77777777" w:rsidR="001A352A" w:rsidRPr="00474A65" w:rsidRDefault="001A352A" w:rsidP="001A352A">
      <w:pPr>
        <w:spacing w:after="120" w:line="276" w:lineRule="auto"/>
        <w:ind w:firstLine="708"/>
        <w:jc w:val="both"/>
        <w:rPr>
          <w:rFonts w:ascii="Verdana" w:eastAsia="Calibri" w:hAnsi="Verdana" w:cs="Arial"/>
          <w:bCs/>
          <w:iCs/>
          <w:lang w:eastAsia="es-ES_tradnl"/>
        </w:rPr>
      </w:pPr>
      <w:r w:rsidRPr="00474A65">
        <w:rPr>
          <w:rFonts w:ascii="Verdana" w:eastAsia="Calibri" w:hAnsi="Verdana" w:cs="Arial"/>
          <w:bCs/>
          <w:iCs/>
          <w:lang w:eastAsia="es-ES_tradnl"/>
        </w:rPr>
        <w:t>Con respecto a las entidades territoriales y sus entidades descentralizadas el citado artículo dispone que en el marco de su autonomía y en cumplimiento de lo previsto en el artículo 32</w:t>
      </w:r>
      <w:r w:rsidRPr="00474A65">
        <w:rPr>
          <w:rStyle w:val="Refdenotaalpie"/>
          <w:rFonts w:ascii="Verdana" w:eastAsia="Calibri" w:hAnsi="Verdana" w:cs="Arial"/>
          <w:bCs/>
          <w:iCs/>
          <w:lang w:eastAsia="es-ES_tradnl"/>
        </w:rPr>
        <w:footnoteReference w:id="3"/>
      </w:r>
      <w:r w:rsidRPr="00474A65">
        <w:rPr>
          <w:rFonts w:ascii="Verdana" w:eastAsia="Calibri" w:hAnsi="Verdana" w:cs="Arial"/>
          <w:bCs/>
          <w:iCs/>
          <w:lang w:eastAsia="es-ES_tradnl"/>
        </w:rPr>
        <w:t xml:space="preserve"> de la Ley 152 de 1994, por la cual se establece la Ley Orgánica de Plan de Desarrollo, aplicarán en sus planes y políticas, las </w:t>
      </w:r>
      <w:r w:rsidRPr="00474A65">
        <w:rPr>
          <w:rFonts w:ascii="Verdana" w:eastAsia="Calibri" w:hAnsi="Verdana" w:cs="Arial"/>
          <w:bCs/>
          <w:iCs/>
          <w:lang w:eastAsia="es-ES_tradnl"/>
        </w:rPr>
        <w:lastRenderedPageBreak/>
        <w:t>líneas de acción contenidas en el presente Capítulo, conforme a lo regulado en el artículo 200</w:t>
      </w:r>
      <w:r w:rsidRPr="00474A65">
        <w:rPr>
          <w:rStyle w:val="Refdenotaalpie"/>
          <w:rFonts w:ascii="Verdana" w:eastAsia="Calibri" w:hAnsi="Verdana" w:cs="Arial"/>
          <w:bCs/>
          <w:iCs/>
          <w:lang w:eastAsia="es-ES_tradnl"/>
        </w:rPr>
        <w:footnoteReference w:id="4"/>
      </w:r>
      <w:r w:rsidRPr="00474A65">
        <w:rPr>
          <w:rFonts w:ascii="Verdana" w:eastAsia="Calibri" w:hAnsi="Verdana" w:cs="Arial"/>
          <w:bCs/>
          <w:iCs/>
          <w:lang w:eastAsia="es-ES_tradnl"/>
        </w:rPr>
        <w:t xml:space="preserve"> de la Ley 2294 de 2023. </w:t>
      </w:r>
    </w:p>
    <w:p w14:paraId="24912033" w14:textId="77777777" w:rsidR="001A352A" w:rsidRPr="00474A65" w:rsidRDefault="001A352A" w:rsidP="001A352A">
      <w:pPr>
        <w:spacing w:after="0" w:line="276" w:lineRule="auto"/>
        <w:ind w:firstLine="709"/>
        <w:jc w:val="both"/>
        <w:rPr>
          <w:rFonts w:ascii="Verdana" w:eastAsia="Calibri" w:hAnsi="Verdana" w:cs="Arial"/>
          <w:bCs/>
          <w:iCs/>
          <w:lang w:eastAsia="es-ES_tradnl"/>
        </w:rPr>
      </w:pPr>
      <w:r w:rsidRPr="00474A65">
        <w:rPr>
          <w:rFonts w:ascii="Verdana" w:eastAsia="Calibri" w:hAnsi="Verdana" w:cs="Arial"/>
          <w:bCs/>
          <w:iCs/>
          <w:lang w:eastAsia="es-ES_tradnl"/>
        </w:rPr>
        <w:t xml:space="preserve">En el capítulo referido, el artículo 2.1.4.3.2.1. indica que las entidades definidas en el artículo 2.1.4.3.1.2 del decreto, deberán garantizar acciones en desarrollo de la gestión contractual a su cargo, sin perjuicio de las demás obligaciones legales y reglamentarias, a saber: </w:t>
      </w:r>
    </w:p>
    <w:p w14:paraId="6E8D0410" w14:textId="77777777" w:rsidR="001A352A" w:rsidRPr="00474A65" w:rsidRDefault="001A352A" w:rsidP="001A352A">
      <w:pPr>
        <w:spacing w:after="0" w:line="276" w:lineRule="auto"/>
        <w:ind w:firstLine="709"/>
        <w:jc w:val="both"/>
        <w:rPr>
          <w:rFonts w:ascii="Verdana" w:eastAsia="Calibri" w:hAnsi="Verdana" w:cs="Arial"/>
          <w:bCs/>
          <w:iCs/>
          <w:lang w:eastAsia="es-ES_tradnl"/>
        </w:rPr>
      </w:pPr>
    </w:p>
    <w:p w14:paraId="32E1DB37" w14:textId="77777777" w:rsidR="001A352A" w:rsidRPr="003F1FA1" w:rsidRDefault="001A352A" w:rsidP="003F1FA1">
      <w:pPr>
        <w:pStyle w:val="Prrafodelista"/>
        <w:numPr>
          <w:ilvl w:val="0"/>
          <w:numId w:val="19"/>
        </w:numPr>
        <w:spacing w:after="120" w:line="240" w:lineRule="auto"/>
        <w:ind w:left="709" w:right="709" w:firstLine="0"/>
        <w:jc w:val="both"/>
        <w:rPr>
          <w:rFonts w:ascii="Verdana" w:eastAsia="Calibri" w:hAnsi="Verdana" w:cs="Arial"/>
          <w:bCs/>
          <w:iCs/>
          <w:sz w:val="20"/>
          <w:szCs w:val="20"/>
          <w:lang w:val="es-CO" w:eastAsia="es-ES_tradnl"/>
        </w:rPr>
      </w:pPr>
      <w:r w:rsidRPr="003F1FA1">
        <w:rPr>
          <w:rFonts w:ascii="Verdana" w:eastAsia="Calibri" w:hAnsi="Verdana" w:cs="Arial"/>
          <w:bCs/>
          <w:iCs/>
          <w:sz w:val="20"/>
          <w:szCs w:val="20"/>
          <w:lang w:val="es-CO" w:eastAsia="es-ES_tradnl"/>
        </w:rPr>
        <w:t xml:space="preserve">Verificar la existencia de situaciones de control. En este escenario las personas jurídicas oferentes y/o de los proponentes plurales que se presenten en los procesos de selección adelantados por las entidades mencionadas en el artículo 2.1.4.3.1.2, en el término máximo de tres (3) días después del momento en que se cierre definitivamente la presentación de ofertas, deberán poner de presente la existencia o no de situaciones de control de las que participen y, en particular, si son contratantes, controladas o comparten alguna de estas condiciones con otras personas que se encuentren participando en el mismo procedimiento de contratación. Para el caso de los proponentes plurales, deberán indicar si las personas que los conforman se encuentran en alguna de las situaciones descritas anteriormente. </w:t>
      </w:r>
    </w:p>
    <w:p w14:paraId="1DA39B22" w14:textId="77777777" w:rsidR="001A352A" w:rsidRPr="003F1FA1" w:rsidRDefault="001A352A" w:rsidP="003F1FA1">
      <w:pPr>
        <w:pStyle w:val="Prrafodelista"/>
        <w:spacing w:after="0" w:line="240" w:lineRule="auto"/>
        <w:ind w:left="709" w:right="709"/>
        <w:jc w:val="both"/>
        <w:rPr>
          <w:rFonts w:ascii="Verdana" w:eastAsia="Calibri" w:hAnsi="Verdana" w:cs="Arial"/>
          <w:bCs/>
          <w:iCs/>
          <w:sz w:val="20"/>
          <w:szCs w:val="20"/>
          <w:lang w:val="es-CO" w:eastAsia="es-ES_tradnl"/>
        </w:rPr>
      </w:pPr>
    </w:p>
    <w:p w14:paraId="28832C23" w14:textId="77777777" w:rsidR="001A352A" w:rsidRPr="003F1FA1" w:rsidRDefault="001A352A" w:rsidP="003F1FA1">
      <w:pPr>
        <w:pStyle w:val="Prrafodelista"/>
        <w:spacing w:after="120" w:line="240" w:lineRule="auto"/>
        <w:ind w:left="709" w:right="709"/>
        <w:jc w:val="both"/>
        <w:rPr>
          <w:rFonts w:ascii="Verdana" w:eastAsia="Calibri" w:hAnsi="Verdana" w:cs="Arial"/>
          <w:bCs/>
          <w:iCs/>
          <w:sz w:val="20"/>
          <w:szCs w:val="20"/>
          <w:lang w:val="es-CO" w:eastAsia="es-ES_tradnl"/>
        </w:rPr>
      </w:pPr>
      <w:r w:rsidRPr="003F1FA1">
        <w:rPr>
          <w:rFonts w:ascii="Verdana" w:eastAsia="Calibri" w:hAnsi="Verdana" w:cs="Arial"/>
          <w:bCs/>
          <w:iCs/>
          <w:sz w:val="20"/>
          <w:szCs w:val="20"/>
          <w:lang w:val="es-CO" w:eastAsia="es-ES_tradnl"/>
        </w:rPr>
        <w:lastRenderedPageBreak/>
        <w:t>Las entidades contratantes examinarán la existencia de las circunstancias antes descritas, con base en la información proporcionada por los oferentes y en la que reposa en los expedientes públicos registrados ante las Cámaras de Comercio, con el fin de prever la configuración de las causales de inhabilidad e incompatibilidad previstas en el artículo 8° de la Ley 80 de 1993.  </w:t>
      </w:r>
    </w:p>
    <w:p w14:paraId="4B410AD0" w14:textId="77777777" w:rsidR="001A352A" w:rsidRPr="003F1FA1" w:rsidRDefault="001A352A" w:rsidP="003F1FA1">
      <w:pPr>
        <w:pStyle w:val="Prrafodelista"/>
        <w:spacing w:after="0" w:line="240" w:lineRule="auto"/>
        <w:ind w:left="709" w:right="709"/>
        <w:jc w:val="both"/>
        <w:rPr>
          <w:rFonts w:ascii="Verdana" w:eastAsia="Calibri" w:hAnsi="Verdana" w:cs="Arial"/>
          <w:bCs/>
          <w:sz w:val="20"/>
          <w:szCs w:val="20"/>
          <w:lang w:val="es-CO" w:eastAsia="es-ES_tradnl"/>
        </w:rPr>
      </w:pPr>
    </w:p>
    <w:p w14:paraId="1948AE13" w14:textId="77777777" w:rsidR="001A352A" w:rsidRPr="003F1FA1" w:rsidRDefault="001A352A" w:rsidP="003F1FA1">
      <w:pPr>
        <w:pStyle w:val="Prrafodelista"/>
        <w:spacing w:after="120" w:line="240" w:lineRule="auto"/>
        <w:ind w:left="709" w:right="709"/>
        <w:jc w:val="both"/>
        <w:rPr>
          <w:rFonts w:ascii="Verdana" w:eastAsia="Calibri" w:hAnsi="Verdana" w:cs="Arial"/>
          <w:bCs/>
          <w:sz w:val="20"/>
          <w:szCs w:val="20"/>
          <w:lang w:val="es-CO" w:eastAsia="es-ES_tradnl"/>
        </w:rPr>
      </w:pPr>
      <w:r w:rsidRPr="003F1FA1">
        <w:rPr>
          <w:rStyle w:val="Textoennegrita"/>
          <w:rFonts w:ascii="Verdana" w:hAnsi="Verdana"/>
          <w:b w:val="0"/>
          <w:bCs w:val="0"/>
          <w:color w:val="000000"/>
          <w:sz w:val="20"/>
          <w:szCs w:val="20"/>
          <w:lang w:val="es-CO"/>
        </w:rPr>
        <w:t>Si se evidencian circunstancias que pudieran implicar afectaciones a la libertad de concurrencia o competencia, o a la pluralidad real de oferentes dentro del proceso de selección correspondiente, la entidad contratante deberá evaluar la necesidad de poner en conocimiento de los entes de control competentes dichas situaciones y, de ser necesario, solicitar su acompañamiento preventivo. La Presidencia de la República, a través de la Secretaría de Transparencia, se articulará con las entidades competentes con el fin de generar los mecanismos necesarios para mitigar los riesgos de corrupción que puedan advertirse como consecuencia del análisis dispuesto en este literal</w:t>
      </w:r>
      <w:r w:rsidRPr="003F1FA1">
        <w:rPr>
          <w:rFonts w:ascii="Verdana" w:eastAsia="Calibri" w:hAnsi="Verdana" w:cs="Arial"/>
          <w:bCs/>
          <w:sz w:val="20"/>
          <w:szCs w:val="20"/>
          <w:lang w:val="es-CO" w:eastAsia="es-ES_tradnl"/>
        </w:rPr>
        <w:t>.  </w:t>
      </w:r>
    </w:p>
    <w:p w14:paraId="144AC095" w14:textId="77777777" w:rsidR="001A352A" w:rsidRPr="003F1FA1" w:rsidRDefault="001A352A" w:rsidP="003F1FA1">
      <w:pPr>
        <w:pStyle w:val="Prrafodelista"/>
        <w:spacing w:after="0" w:line="240" w:lineRule="auto"/>
        <w:ind w:left="709" w:right="709"/>
        <w:jc w:val="both"/>
        <w:rPr>
          <w:rFonts w:ascii="Verdana" w:eastAsia="Calibri" w:hAnsi="Verdana" w:cs="Arial"/>
          <w:bCs/>
          <w:sz w:val="20"/>
          <w:szCs w:val="20"/>
          <w:lang w:val="es-CO" w:eastAsia="es-ES_tradnl"/>
        </w:rPr>
      </w:pPr>
    </w:p>
    <w:p w14:paraId="12CAD804" w14:textId="77777777" w:rsidR="001A352A" w:rsidRPr="003F1FA1" w:rsidRDefault="001A352A" w:rsidP="003F1FA1">
      <w:pPr>
        <w:pStyle w:val="Prrafodelista"/>
        <w:numPr>
          <w:ilvl w:val="0"/>
          <w:numId w:val="19"/>
        </w:numPr>
        <w:spacing w:after="120" w:line="240" w:lineRule="auto"/>
        <w:ind w:left="709" w:right="709" w:firstLine="0"/>
        <w:jc w:val="both"/>
        <w:rPr>
          <w:rStyle w:val="nfasis"/>
          <w:rFonts w:ascii="Verdana" w:eastAsia="Calibri" w:hAnsi="Verdana" w:cs="Arial"/>
          <w:bCs/>
          <w:sz w:val="20"/>
          <w:szCs w:val="20"/>
          <w:lang w:val="es-CO" w:eastAsia="es-ES_tradnl"/>
        </w:rPr>
      </w:pPr>
      <w:r w:rsidRPr="003F1FA1">
        <w:rPr>
          <w:rStyle w:val="Textoennegrita"/>
          <w:rFonts w:ascii="Verdana" w:hAnsi="Verdana" w:cs="Arial"/>
          <w:b w:val="0"/>
          <w:bCs w:val="0"/>
          <w:color w:val="000000"/>
          <w:sz w:val="20"/>
          <w:szCs w:val="20"/>
          <w:lang w:val="es-CO"/>
        </w:rPr>
        <w:t>Aplicar buenas prácticas para la contratación transparente.</w:t>
      </w:r>
      <w:r w:rsidRPr="003F1FA1">
        <w:rPr>
          <w:rStyle w:val="Textoennegrita"/>
          <w:rFonts w:ascii="Verdana" w:hAnsi="Verdana" w:cs="Arial"/>
          <w:color w:val="000000"/>
          <w:sz w:val="20"/>
          <w:szCs w:val="20"/>
          <w:lang w:val="es-CO"/>
        </w:rPr>
        <w:t> </w:t>
      </w:r>
      <w:r w:rsidRPr="003F1FA1">
        <w:rPr>
          <w:rStyle w:val="nfasis"/>
          <w:rFonts w:ascii="Verdana" w:hAnsi="Verdana" w:cs="Arial"/>
          <w:i w:val="0"/>
          <w:iCs w:val="0"/>
          <w:color w:val="000000"/>
          <w:sz w:val="20"/>
          <w:szCs w:val="20"/>
          <w:lang w:val="es-CO"/>
        </w:rPr>
        <w:t>Las entidades deberán garantizar que las guías y manuales definidos por la Agencia Nacional de Contratación Pública - Colombia Compra Eficiente, para la definición de criterios que permitan garantizar la pluralidad de oferentes, se apliquen en la organización. </w:t>
      </w:r>
      <w:r w:rsidRPr="003F1FA1">
        <w:rPr>
          <w:rFonts w:ascii="Verdana" w:hAnsi="Verdana" w:cs="Arial"/>
          <w:i/>
          <w:iCs/>
          <w:color w:val="000000"/>
          <w:sz w:val="20"/>
          <w:szCs w:val="20"/>
          <w:lang w:val="es-CO"/>
        </w:rPr>
        <w:t> </w:t>
      </w:r>
      <w:r w:rsidRPr="003F1FA1">
        <w:rPr>
          <w:rFonts w:ascii="Verdana" w:hAnsi="Verdana" w:cs="Arial"/>
          <w:color w:val="000000"/>
          <w:sz w:val="20"/>
          <w:szCs w:val="20"/>
          <w:lang w:val="es-CO"/>
        </w:rPr>
        <w:t xml:space="preserve">De esta forma deberán dejar constancia que en la estructuración del proceso precontractual se tuvieron en cuenta las </w:t>
      </w:r>
      <w:r w:rsidRPr="003F1FA1">
        <w:rPr>
          <w:rStyle w:val="nfasis"/>
          <w:rFonts w:ascii="Verdana" w:hAnsi="Verdana" w:cs="Arial"/>
          <w:i w:val="0"/>
          <w:iCs w:val="0"/>
          <w:color w:val="000000"/>
          <w:sz w:val="20"/>
          <w:szCs w:val="20"/>
          <w:lang w:val="es-CO"/>
        </w:rPr>
        <w:t>prácticas recomendadas por Colombia Compra Eficiente</w:t>
      </w:r>
    </w:p>
    <w:p w14:paraId="0ACDDAA9" w14:textId="77777777" w:rsidR="001A352A" w:rsidRPr="003F1FA1" w:rsidRDefault="001A352A" w:rsidP="003F1FA1">
      <w:pPr>
        <w:pStyle w:val="Prrafodelista"/>
        <w:spacing w:after="0" w:line="240" w:lineRule="auto"/>
        <w:ind w:left="709" w:right="709"/>
        <w:jc w:val="both"/>
        <w:rPr>
          <w:rStyle w:val="nfasis"/>
          <w:rFonts w:ascii="Verdana" w:eastAsia="Calibri" w:hAnsi="Verdana" w:cs="Arial"/>
          <w:bCs/>
          <w:sz w:val="20"/>
          <w:szCs w:val="20"/>
          <w:lang w:val="es-CO" w:eastAsia="es-ES_tradnl"/>
        </w:rPr>
      </w:pPr>
    </w:p>
    <w:p w14:paraId="164A4AA2" w14:textId="77777777" w:rsidR="001A352A" w:rsidRPr="003F1FA1" w:rsidRDefault="001A352A" w:rsidP="003F1FA1">
      <w:pPr>
        <w:pStyle w:val="Prrafodelista"/>
        <w:numPr>
          <w:ilvl w:val="0"/>
          <w:numId w:val="19"/>
        </w:numPr>
        <w:spacing w:after="120" w:line="240" w:lineRule="auto"/>
        <w:ind w:left="709" w:right="709" w:firstLine="0"/>
        <w:jc w:val="both"/>
        <w:rPr>
          <w:rFonts w:ascii="Verdana" w:eastAsia="Calibri" w:hAnsi="Verdana" w:cs="Arial"/>
          <w:bCs/>
          <w:i/>
          <w:iCs/>
          <w:sz w:val="20"/>
          <w:szCs w:val="20"/>
          <w:lang w:val="es-CO" w:eastAsia="es-ES_tradnl"/>
        </w:rPr>
      </w:pPr>
      <w:r w:rsidRPr="003F1FA1">
        <w:rPr>
          <w:rFonts w:ascii="Verdana" w:eastAsia="Calibri" w:hAnsi="Verdana" w:cs="Arial"/>
          <w:bCs/>
          <w:sz w:val="20"/>
          <w:szCs w:val="20"/>
          <w:lang w:val="es-CO" w:eastAsia="es-ES_tradnl"/>
        </w:rPr>
        <w:t xml:space="preserve">Fortalecer los análisis de mercado para la fijación objetiva de precios. En la elaboración del análisis de mercado para fijar los precios, deberán realizarse estudios públicos y abiertos, que permitan un análisis comparativo de los precios de referencia para alcanzar valores de mercado favorables y mayor eficiencia en el gasto. En esa medida, y con el fin de mitigar sobrecostos, en la definición de presupuestos a partir de cotizaciones no se podrán realizar consultas cerradas ni direccionadas a grupos reducidos de empresas y se verificará la ausencia de inhabilidades e incompatibilidades de las empresas que coticen. En todo caso, en los documentos del proceso debe quedar constancia del proceso que permitió la determinación del precio, el mecanismo seleccionado para fijarlo y la justificación de esa elección.  </w:t>
      </w:r>
    </w:p>
    <w:p w14:paraId="3B1DD609" w14:textId="77777777" w:rsidR="001A352A" w:rsidRPr="005359F5" w:rsidRDefault="001A352A" w:rsidP="001A352A">
      <w:pPr>
        <w:pStyle w:val="Prrafodelista"/>
        <w:spacing w:after="0" w:line="276" w:lineRule="auto"/>
        <w:ind w:left="714"/>
        <w:jc w:val="both"/>
        <w:rPr>
          <w:rFonts w:ascii="Verdana" w:eastAsia="Calibri" w:hAnsi="Verdana" w:cs="Arial"/>
          <w:bCs/>
          <w:i/>
          <w:iCs/>
          <w:lang w:val="es-CO" w:eastAsia="es-ES_tradnl"/>
        </w:rPr>
      </w:pPr>
    </w:p>
    <w:p w14:paraId="02A8DF0E" w14:textId="77777777" w:rsidR="001A352A" w:rsidRDefault="001A352A" w:rsidP="001A352A">
      <w:pPr>
        <w:spacing w:after="120" w:line="276" w:lineRule="auto"/>
        <w:ind w:firstLine="709"/>
        <w:jc w:val="both"/>
        <w:rPr>
          <w:rFonts w:ascii="Verdana" w:eastAsia="Calibri" w:hAnsi="Verdana" w:cs="Arial"/>
          <w:bCs/>
          <w:lang w:eastAsia="es-ES_tradnl"/>
        </w:rPr>
      </w:pPr>
      <w:r>
        <w:rPr>
          <w:rFonts w:ascii="Verdana" w:eastAsia="Calibri" w:hAnsi="Verdana" w:cs="Arial"/>
          <w:bCs/>
          <w:lang w:eastAsia="es-ES_tradnl"/>
        </w:rPr>
        <w:t xml:space="preserve">De conformidad con el parágrafo primero del artículo </w:t>
      </w:r>
      <w:r w:rsidRPr="00474A65">
        <w:rPr>
          <w:rFonts w:ascii="Verdana" w:eastAsia="Calibri" w:hAnsi="Verdana" w:cs="Arial"/>
          <w:bCs/>
          <w:iCs/>
          <w:lang w:eastAsia="es-ES_tradnl"/>
        </w:rPr>
        <w:t>2.1.4.3.2.1</w:t>
      </w:r>
      <w:r>
        <w:rPr>
          <w:rFonts w:ascii="Verdana" w:eastAsia="Calibri" w:hAnsi="Verdana" w:cs="Arial"/>
          <w:bCs/>
          <w:iCs/>
          <w:lang w:eastAsia="es-ES_tradnl"/>
        </w:rPr>
        <w:t xml:space="preserve">, </w:t>
      </w:r>
      <w:r>
        <w:rPr>
          <w:rFonts w:ascii="Verdana" w:eastAsia="Calibri" w:hAnsi="Verdana" w:cs="Arial"/>
          <w:bCs/>
          <w:lang w:eastAsia="es-ES_tradnl"/>
        </w:rPr>
        <w:t>l</w:t>
      </w:r>
      <w:r w:rsidRPr="00474A65">
        <w:rPr>
          <w:rFonts w:ascii="Verdana" w:eastAsia="Calibri" w:hAnsi="Verdana" w:cs="Arial"/>
          <w:bCs/>
          <w:lang w:eastAsia="es-ES_tradnl"/>
        </w:rPr>
        <w:t>o anterior deberá ser incorporado por parte de las entidades definidas en el artículo 2.1.4.3.1.2 en los manuales de contratación dentro de los seis (6) meses siguientes a la expedición del Decreto 1600 de 2024.</w:t>
      </w:r>
      <w:r>
        <w:rPr>
          <w:rFonts w:ascii="Verdana" w:eastAsia="Calibri" w:hAnsi="Verdana" w:cs="Arial"/>
          <w:bCs/>
          <w:lang w:eastAsia="es-ES_tradnl"/>
        </w:rPr>
        <w:t xml:space="preserve"> Por su parte, el parágrafo segundo</w:t>
      </w:r>
      <w:r w:rsidRPr="00A407B7">
        <w:rPr>
          <w:rFonts w:ascii="Verdana" w:eastAsia="Calibri" w:hAnsi="Verdana" w:cs="Arial"/>
          <w:bCs/>
          <w:i/>
          <w:iCs/>
          <w:lang w:eastAsia="es-ES_tradnl"/>
        </w:rPr>
        <w:t xml:space="preserve"> ibidem</w:t>
      </w:r>
      <w:r>
        <w:rPr>
          <w:rFonts w:ascii="Verdana" w:eastAsia="Calibri" w:hAnsi="Verdana" w:cs="Arial"/>
          <w:bCs/>
          <w:lang w:eastAsia="es-ES_tradnl"/>
        </w:rPr>
        <w:t xml:space="preserve"> indica que l</w:t>
      </w:r>
      <w:r w:rsidRPr="008A367A">
        <w:rPr>
          <w:rFonts w:ascii="Verdana" w:eastAsia="Calibri" w:hAnsi="Verdana" w:cs="Arial"/>
          <w:bCs/>
          <w:lang w:eastAsia="es-ES_tradnl"/>
        </w:rPr>
        <w:t xml:space="preserve">as entidades territoriales y sus descentralizadas, en </w:t>
      </w:r>
      <w:r w:rsidRPr="008A367A">
        <w:rPr>
          <w:rFonts w:ascii="Verdana" w:eastAsia="Calibri" w:hAnsi="Verdana" w:cs="Arial"/>
          <w:bCs/>
          <w:lang w:eastAsia="es-ES_tradnl"/>
        </w:rPr>
        <w:lastRenderedPageBreak/>
        <w:t xml:space="preserve">el marco de su autonomía, incorporarán las directrices contenidas en </w:t>
      </w:r>
      <w:r>
        <w:rPr>
          <w:rFonts w:ascii="Verdana" w:eastAsia="Calibri" w:hAnsi="Verdana" w:cs="Arial"/>
          <w:bCs/>
          <w:lang w:eastAsia="es-ES_tradnl"/>
        </w:rPr>
        <w:t>dicho</w:t>
      </w:r>
      <w:r w:rsidRPr="008A367A">
        <w:rPr>
          <w:rFonts w:ascii="Verdana" w:eastAsia="Calibri" w:hAnsi="Verdana" w:cs="Arial"/>
          <w:bCs/>
          <w:lang w:eastAsia="es-ES_tradnl"/>
        </w:rPr>
        <w:t xml:space="preserve"> artículo, de conformidad con lo señalado en el inciso tercero del artículo 2.1.4.3.1.2</w:t>
      </w:r>
      <w:r>
        <w:rPr>
          <w:rFonts w:ascii="Verdana" w:eastAsia="Calibri" w:hAnsi="Verdana" w:cs="Arial"/>
          <w:bCs/>
          <w:lang w:eastAsia="es-ES_tradnl"/>
        </w:rPr>
        <w:t xml:space="preserve">. </w:t>
      </w:r>
    </w:p>
    <w:p w14:paraId="2381D003" w14:textId="77777777" w:rsidR="001A352A" w:rsidRDefault="001A352A" w:rsidP="001A352A">
      <w:pPr>
        <w:spacing w:after="120" w:line="276" w:lineRule="auto"/>
        <w:ind w:firstLine="709"/>
        <w:jc w:val="both"/>
        <w:rPr>
          <w:rFonts w:ascii="Verdana" w:eastAsia="Calibri" w:hAnsi="Verdana" w:cs="Arial"/>
          <w:bCs/>
          <w:iCs/>
          <w:lang w:eastAsia="es-ES_tradnl"/>
        </w:rPr>
      </w:pPr>
      <w:r w:rsidRPr="00474A65">
        <w:rPr>
          <w:rFonts w:ascii="Verdana" w:eastAsia="Calibri" w:hAnsi="Verdana" w:cs="Arial"/>
          <w:bCs/>
          <w:iCs/>
          <w:lang w:eastAsia="es-ES_tradnl"/>
        </w:rPr>
        <w:t xml:space="preserve">De lo expuesto se concluye </w:t>
      </w:r>
      <w:r>
        <w:rPr>
          <w:rFonts w:ascii="Verdana" w:eastAsia="Calibri" w:hAnsi="Verdana" w:cs="Arial"/>
          <w:bCs/>
          <w:iCs/>
          <w:lang w:eastAsia="es-ES_tradnl"/>
        </w:rPr>
        <w:t>que,</w:t>
      </w:r>
      <w:r w:rsidRPr="00474A65">
        <w:rPr>
          <w:rFonts w:ascii="Verdana" w:eastAsia="Calibri" w:hAnsi="Verdana" w:cs="Arial"/>
          <w:bCs/>
          <w:iCs/>
          <w:lang w:eastAsia="es-ES_tradnl"/>
        </w:rPr>
        <w:t xml:space="preserve"> las disposiciones contenidas en el Decreto 1600</w:t>
      </w:r>
      <w:r>
        <w:rPr>
          <w:rFonts w:ascii="Verdana" w:eastAsia="Calibri" w:hAnsi="Verdana" w:cs="Arial"/>
          <w:bCs/>
          <w:iCs/>
          <w:lang w:eastAsia="es-ES_tradnl"/>
        </w:rPr>
        <w:t xml:space="preserve"> de 2024</w:t>
      </w:r>
      <w:r w:rsidRPr="00474A65">
        <w:rPr>
          <w:rFonts w:ascii="Verdana" w:eastAsia="Calibri" w:hAnsi="Verdana" w:cs="Arial"/>
          <w:bCs/>
          <w:iCs/>
          <w:lang w:eastAsia="es-ES_tradnl"/>
        </w:rPr>
        <w:t xml:space="preserve">, específicamente en el capítulo 3, son aplicables </w:t>
      </w:r>
      <w:r>
        <w:rPr>
          <w:rFonts w:ascii="Verdana" w:eastAsia="Calibri" w:hAnsi="Verdana" w:cs="Arial"/>
          <w:bCs/>
          <w:iCs/>
          <w:lang w:eastAsia="es-ES_tradnl"/>
        </w:rPr>
        <w:t xml:space="preserve">de forma obligatoria </w:t>
      </w:r>
      <w:r w:rsidRPr="00474A65">
        <w:rPr>
          <w:rFonts w:ascii="Verdana" w:eastAsia="Calibri" w:hAnsi="Verdana" w:cs="Arial"/>
          <w:bCs/>
          <w:iCs/>
          <w:lang w:eastAsia="es-ES_tradnl"/>
        </w:rPr>
        <w:t xml:space="preserve">a las entidades y empresas del Estado del orden nacional y pertenecientes a la Rama Ejecutiva del Poder Público, así como a las empresas industriales y comerciales del Estado, las sociedades de economía mixta </w:t>
      </w:r>
      <w:r>
        <w:rPr>
          <w:rFonts w:ascii="Verdana" w:eastAsia="Calibri" w:hAnsi="Verdana" w:cs="Arial"/>
          <w:bCs/>
          <w:iCs/>
          <w:lang w:eastAsia="es-ES_tradnl"/>
        </w:rPr>
        <w:t xml:space="preserve">y </w:t>
      </w:r>
      <w:r w:rsidRPr="00474A65">
        <w:rPr>
          <w:rFonts w:ascii="Verdana" w:eastAsia="Calibri" w:hAnsi="Verdana" w:cs="Arial"/>
          <w:bCs/>
          <w:iCs/>
          <w:lang w:eastAsia="es-ES_tradnl"/>
        </w:rPr>
        <w:t xml:space="preserve">todas las demás instituciones sometidas a regímenes especiales de contratación de este orden. </w:t>
      </w:r>
      <w:r>
        <w:rPr>
          <w:rFonts w:ascii="Verdana" w:eastAsia="Calibri" w:hAnsi="Verdana" w:cs="Arial"/>
          <w:bCs/>
          <w:iCs/>
          <w:lang w:eastAsia="es-ES_tradnl"/>
        </w:rPr>
        <w:t>T</w:t>
      </w:r>
      <w:r w:rsidRPr="00474A65">
        <w:rPr>
          <w:rFonts w:ascii="Verdana" w:eastAsia="Calibri" w:hAnsi="Verdana" w:cs="Arial"/>
          <w:bCs/>
          <w:iCs/>
          <w:lang w:eastAsia="es-ES_tradnl"/>
        </w:rPr>
        <w:t>ratándose de las entidades territoriales y sus entidades descentralizadas no serán aplicables</w:t>
      </w:r>
      <w:r>
        <w:rPr>
          <w:rFonts w:ascii="Verdana" w:eastAsia="Calibri" w:hAnsi="Verdana" w:cs="Arial"/>
          <w:bCs/>
          <w:iCs/>
          <w:lang w:eastAsia="es-ES_tradnl"/>
        </w:rPr>
        <w:t xml:space="preserve"> dichas disposiciones</w:t>
      </w:r>
      <w:r w:rsidRPr="00474A65">
        <w:rPr>
          <w:rFonts w:ascii="Verdana" w:eastAsia="Calibri" w:hAnsi="Verdana" w:cs="Arial"/>
          <w:bCs/>
          <w:iCs/>
          <w:lang w:eastAsia="es-ES_tradnl"/>
        </w:rPr>
        <w:t xml:space="preserve">. No obstante, </w:t>
      </w:r>
      <w:r>
        <w:rPr>
          <w:rFonts w:ascii="Verdana" w:eastAsia="Calibri" w:hAnsi="Verdana" w:cs="Arial"/>
          <w:bCs/>
          <w:iCs/>
          <w:lang w:eastAsia="es-ES_tradnl"/>
        </w:rPr>
        <w:t xml:space="preserve">se establece que </w:t>
      </w:r>
      <w:r w:rsidRPr="00474A65">
        <w:rPr>
          <w:rFonts w:ascii="Verdana" w:eastAsia="Calibri" w:hAnsi="Verdana" w:cs="Arial"/>
          <w:bCs/>
          <w:iCs/>
          <w:lang w:eastAsia="es-ES_tradnl"/>
        </w:rPr>
        <w:t xml:space="preserve">en el marco de su autonomía y en cumplimiento de lo previsto en el artículo 32 de la Ley 152 de 1994, aplicarán en sus planes y políticas, las líneas de acción contenidas en el </w:t>
      </w:r>
      <w:r>
        <w:rPr>
          <w:rFonts w:ascii="Verdana" w:eastAsia="Calibri" w:hAnsi="Verdana" w:cs="Arial"/>
          <w:bCs/>
          <w:iCs/>
          <w:lang w:eastAsia="es-ES_tradnl"/>
        </w:rPr>
        <w:t xml:space="preserve">citado </w:t>
      </w:r>
      <w:r w:rsidRPr="00474A65">
        <w:rPr>
          <w:rFonts w:ascii="Verdana" w:eastAsia="Calibri" w:hAnsi="Verdana" w:cs="Arial"/>
          <w:bCs/>
          <w:iCs/>
          <w:lang w:eastAsia="es-ES_tradnl"/>
        </w:rPr>
        <w:t>Decreto, conforme a lo regulado en el artículo 200</w:t>
      </w:r>
      <w:r w:rsidRPr="00474A65">
        <w:rPr>
          <w:rFonts w:ascii="Verdana" w:hAnsi="Verdana"/>
        </w:rPr>
        <w:t xml:space="preserve"> </w:t>
      </w:r>
      <w:r w:rsidRPr="00474A65">
        <w:rPr>
          <w:rFonts w:ascii="Verdana" w:eastAsia="Calibri" w:hAnsi="Verdana" w:cs="Arial"/>
          <w:bCs/>
          <w:iCs/>
          <w:lang w:eastAsia="es-ES_tradnl"/>
        </w:rPr>
        <w:t>de la Ley 2294 de 2023.</w:t>
      </w:r>
    </w:p>
    <w:p w14:paraId="4615D836" w14:textId="77777777" w:rsidR="001A352A" w:rsidRDefault="001A352A" w:rsidP="001A352A">
      <w:pPr>
        <w:spacing w:after="120" w:line="276" w:lineRule="auto"/>
        <w:ind w:firstLine="709"/>
        <w:jc w:val="both"/>
        <w:rPr>
          <w:rFonts w:ascii="Verdana" w:eastAsia="Calibri" w:hAnsi="Verdana" w:cs="Arial"/>
          <w:bCs/>
          <w:iCs/>
          <w:lang w:eastAsia="es-ES_tradnl"/>
        </w:rPr>
      </w:pPr>
      <w:r w:rsidRPr="00686062">
        <w:rPr>
          <w:rFonts w:ascii="Verdana" w:eastAsia="Calibri" w:hAnsi="Verdana" w:cs="Arial"/>
          <w:bCs/>
          <w:iCs/>
          <w:lang w:eastAsia="es-ES_tradnl"/>
        </w:rPr>
        <w:t>En este sentido, si bien la norma no impone una obliga</w:t>
      </w:r>
      <w:r>
        <w:rPr>
          <w:rFonts w:ascii="Verdana" w:eastAsia="Calibri" w:hAnsi="Verdana" w:cs="Arial"/>
          <w:bCs/>
          <w:iCs/>
          <w:lang w:eastAsia="es-ES_tradnl"/>
        </w:rPr>
        <w:t xml:space="preserve">ción </w:t>
      </w:r>
      <w:r w:rsidRPr="00686062">
        <w:rPr>
          <w:rFonts w:ascii="Verdana" w:eastAsia="Calibri" w:hAnsi="Verdana" w:cs="Arial"/>
          <w:bCs/>
          <w:iCs/>
          <w:lang w:eastAsia="es-ES_tradnl"/>
        </w:rPr>
        <w:t xml:space="preserve">directa a las entidades territoriales y sus descentralizadas, sí establece un mandato legal que estas deben considerar al momento de estructurar sus planes y políticas. </w:t>
      </w:r>
      <w:r>
        <w:rPr>
          <w:rFonts w:ascii="Verdana" w:eastAsia="Calibri" w:hAnsi="Verdana" w:cs="Arial"/>
          <w:bCs/>
          <w:iCs/>
          <w:lang w:eastAsia="es-ES_tradnl"/>
        </w:rPr>
        <w:t>De esta forma, l</w:t>
      </w:r>
      <w:r w:rsidRPr="00686062">
        <w:rPr>
          <w:rFonts w:ascii="Verdana" w:eastAsia="Calibri" w:hAnsi="Verdana" w:cs="Arial"/>
          <w:bCs/>
          <w:iCs/>
          <w:lang w:eastAsia="es-ES_tradnl"/>
        </w:rPr>
        <w:t xml:space="preserve">a incorporación de dichas líneas de acción deberá realizarse </w:t>
      </w:r>
      <w:r>
        <w:rPr>
          <w:rFonts w:ascii="Verdana" w:eastAsia="Calibri" w:hAnsi="Verdana" w:cs="Arial"/>
          <w:bCs/>
          <w:iCs/>
          <w:lang w:eastAsia="es-ES_tradnl"/>
        </w:rPr>
        <w:t xml:space="preserve">en el marco de </w:t>
      </w:r>
      <w:r w:rsidRPr="00686062">
        <w:rPr>
          <w:rFonts w:ascii="Verdana" w:eastAsia="Calibri" w:hAnsi="Verdana" w:cs="Arial"/>
          <w:bCs/>
          <w:iCs/>
          <w:lang w:eastAsia="es-ES_tradnl"/>
        </w:rPr>
        <w:t>autonomía</w:t>
      </w:r>
      <w:r w:rsidRPr="00474A65">
        <w:rPr>
          <w:rFonts w:ascii="Verdana" w:eastAsia="Calibri" w:hAnsi="Verdana" w:cs="Arial"/>
          <w:bCs/>
          <w:iCs/>
          <w:lang w:eastAsia="es-ES_tradnl"/>
        </w:rPr>
        <w:t xml:space="preserve"> y en cumplimiento de lo previsto en el artículo 32 de la Ley 152 de 1994</w:t>
      </w:r>
      <w:r w:rsidRPr="00686062">
        <w:rPr>
          <w:rFonts w:ascii="Verdana" w:eastAsia="Calibri" w:hAnsi="Verdana" w:cs="Arial"/>
          <w:bCs/>
          <w:iCs/>
          <w:lang w:eastAsia="es-ES_tradnl"/>
        </w:rPr>
        <w:t>, por lo que corresponderá a cada entidad determinar el instrumento más adecuado para integrarlas</w:t>
      </w:r>
      <w:r>
        <w:rPr>
          <w:rFonts w:ascii="Verdana" w:eastAsia="Calibri" w:hAnsi="Verdana" w:cs="Arial"/>
          <w:bCs/>
          <w:iCs/>
          <w:lang w:eastAsia="es-ES_tradnl"/>
        </w:rPr>
        <w:t xml:space="preserve"> en sus </w:t>
      </w:r>
      <w:r w:rsidRPr="00E7391B">
        <w:rPr>
          <w:rFonts w:ascii="Verdana" w:eastAsia="Calibri" w:hAnsi="Verdana" w:cs="Arial"/>
          <w:bCs/>
          <w:i/>
          <w:lang w:eastAsia="es-ES_tradnl"/>
        </w:rPr>
        <w:t>planes</w:t>
      </w:r>
      <w:r>
        <w:rPr>
          <w:rFonts w:ascii="Verdana" w:eastAsia="Calibri" w:hAnsi="Verdana" w:cs="Arial"/>
          <w:bCs/>
          <w:iCs/>
          <w:lang w:eastAsia="es-ES_tradnl"/>
        </w:rPr>
        <w:t xml:space="preserve"> y</w:t>
      </w:r>
      <w:r w:rsidRPr="00E7391B">
        <w:rPr>
          <w:rFonts w:ascii="Verdana" w:eastAsia="Calibri" w:hAnsi="Verdana" w:cs="Arial"/>
          <w:bCs/>
          <w:i/>
          <w:lang w:eastAsia="es-ES_tradnl"/>
        </w:rPr>
        <w:t xml:space="preserve"> en sus políticas</w:t>
      </w:r>
      <w:r>
        <w:rPr>
          <w:rFonts w:ascii="Verdana" w:eastAsia="Calibri" w:hAnsi="Verdana" w:cs="Arial"/>
          <w:bCs/>
          <w:iCs/>
          <w:lang w:eastAsia="es-ES_tradnl"/>
        </w:rPr>
        <w:t>,</w:t>
      </w:r>
      <w:r w:rsidRPr="00686062">
        <w:rPr>
          <w:rFonts w:ascii="Verdana" w:eastAsia="Calibri" w:hAnsi="Verdana" w:cs="Arial"/>
          <w:bCs/>
          <w:iCs/>
          <w:lang w:eastAsia="es-ES_tradnl"/>
        </w:rPr>
        <w:t xml:space="preserve"> según sus competencias y capacidades institucionales</w:t>
      </w:r>
      <w:r>
        <w:rPr>
          <w:rFonts w:ascii="Verdana" w:eastAsia="Calibri" w:hAnsi="Verdana" w:cs="Arial"/>
          <w:bCs/>
          <w:iCs/>
          <w:lang w:eastAsia="es-ES_tradnl"/>
        </w:rPr>
        <w:t xml:space="preserve">. </w:t>
      </w:r>
    </w:p>
    <w:p w14:paraId="0B8EF88E" w14:textId="750FD6B6" w:rsidR="00645197" w:rsidRDefault="001A352A" w:rsidP="00645197">
      <w:pPr>
        <w:spacing w:after="0" w:line="276" w:lineRule="auto"/>
        <w:jc w:val="both"/>
        <w:rPr>
          <w:rFonts w:ascii="Verdana" w:eastAsia="Calibri" w:hAnsi="Verdana" w:cs="Arial"/>
        </w:rPr>
      </w:pPr>
      <w:proofErr w:type="spellStart"/>
      <w:r>
        <w:rPr>
          <w:rFonts w:ascii="Verdana" w:eastAsia="Calibri" w:hAnsi="Verdana" w:cs="Arial"/>
        </w:rPr>
        <w:t>i</w:t>
      </w:r>
      <w:r w:rsidR="00645197">
        <w:rPr>
          <w:rFonts w:ascii="Verdana" w:eastAsia="Calibri" w:hAnsi="Verdana" w:cs="Arial"/>
        </w:rPr>
        <w:t>i</w:t>
      </w:r>
      <w:proofErr w:type="spellEnd"/>
      <w:r w:rsidR="00645197">
        <w:rPr>
          <w:rFonts w:ascii="Verdana" w:eastAsia="Calibri" w:hAnsi="Verdana" w:cs="Arial"/>
        </w:rPr>
        <w:t xml:space="preserve">. El literal a) del artículo </w:t>
      </w:r>
      <w:r w:rsidR="00645197" w:rsidRPr="002A3B3C">
        <w:rPr>
          <w:rFonts w:ascii="Verdana" w:eastAsia="Calibri" w:hAnsi="Verdana" w:cs="Arial"/>
        </w:rPr>
        <w:t>2.1.4.3.2.1</w:t>
      </w:r>
      <w:r w:rsidR="00645197">
        <w:rPr>
          <w:rFonts w:ascii="Verdana" w:eastAsia="Calibri" w:hAnsi="Verdana" w:cs="Arial"/>
        </w:rPr>
        <w:t xml:space="preserve"> del Decreto 1081 de 2015, adicionado por el artículo 1 del Decreto 1600 de 2024, dispone que </w:t>
      </w:r>
      <w:r w:rsidR="00645197" w:rsidRPr="002A3B3C">
        <w:rPr>
          <w:rFonts w:ascii="Verdana" w:eastAsia="Calibri" w:hAnsi="Verdana" w:cs="Arial"/>
        </w:rPr>
        <w:t>los organismos, entidades y empresas del Estado del orden nacional y pertenecientes a la Rama Ejecutiva del Poder Público</w:t>
      </w:r>
      <w:r w:rsidR="00645197">
        <w:rPr>
          <w:rFonts w:ascii="Verdana" w:eastAsia="Calibri" w:hAnsi="Verdana" w:cs="Arial"/>
        </w:rPr>
        <w:t xml:space="preserve"> deben verificar la existencia de situaciones de control que, conforme </w:t>
      </w:r>
      <w:r w:rsidR="00645197" w:rsidRPr="00BB41E1">
        <w:rPr>
          <w:rFonts w:ascii="Verdana" w:eastAsia="Calibri" w:hAnsi="Verdana" w:cs="Arial"/>
        </w:rPr>
        <w:t>artículos 260 y 261 del Código de Comercio</w:t>
      </w:r>
      <w:r w:rsidR="00645197">
        <w:rPr>
          <w:rFonts w:ascii="Verdana" w:eastAsia="Calibri" w:hAnsi="Verdana" w:cs="Arial"/>
        </w:rPr>
        <w:t xml:space="preserve">, afecten tanto a las </w:t>
      </w:r>
      <w:r w:rsidR="00645197" w:rsidRPr="00BB41E1">
        <w:rPr>
          <w:rFonts w:ascii="Verdana" w:eastAsia="Calibri" w:hAnsi="Verdana" w:cs="Arial"/>
        </w:rPr>
        <w:t>personas jurídicas oferentes</w:t>
      </w:r>
      <w:r w:rsidR="00645197">
        <w:rPr>
          <w:rFonts w:ascii="Verdana" w:eastAsia="Calibri" w:hAnsi="Verdana" w:cs="Arial"/>
        </w:rPr>
        <w:t xml:space="preserve"> como a</w:t>
      </w:r>
      <w:r w:rsidR="00645197" w:rsidRPr="00BB41E1">
        <w:rPr>
          <w:rFonts w:ascii="Verdana" w:eastAsia="Calibri" w:hAnsi="Verdana" w:cs="Arial"/>
        </w:rPr>
        <w:t xml:space="preserve"> los proponentes plurales</w:t>
      </w:r>
      <w:r w:rsidR="00645197">
        <w:rPr>
          <w:rFonts w:ascii="Verdana" w:eastAsia="Calibri" w:hAnsi="Verdana" w:cs="Arial"/>
        </w:rPr>
        <w:t>. En este contexto, la norma precisa que q</w:t>
      </w:r>
      <w:r w:rsidR="00645197" w:rsidRPr="00BB41E1">
        <w:rPr>
          <w:rFonts w:ascii="Verdana" w:eastAsia="Calibri" w:hAnsi="Verdana" w:cs="Arial"/>
        </w:rPr>
        <w:t>uienes se presenten como proponentes en procesos de selección</w:t>
      </w:r>
      <w:r w:rsidR="00645197">
        <w:rPr>
          <w:rFonts w:ascii="Verdana" w:eastAsia="Calibri" w:hAnsi="Verdana" w:cs="Arial"/>
        </w:rPr>
        <w:t>:</w:t>
      </w:r>
    </w:p>
    <w:p w14:paraId="06E2268C" w14:textId="77777777" w:rsidR="00645197" w:rsidRDefault="00645197" w:rsidP="00645197">
      <w:pPr>
        <w:spacing w:after="0" w:line="276" w:lineRule="auto"/>
        <w:jc w:val="both"/>
        <w:rPr>
          <w:rFonts w:ascii="Verdana" w:eastAsia="Calibri" w:hAnsi="Verdana" w:cs="Arial"/>
        </w:rPr>
      </w:pPr>
    </w:p>
    <w:p w14:paraId="2CED7CDC" w14:textId="77777777" w:rsidR="00645197" w:rsidRPr="00BB41E1" w:rsidRDefault="00645197" w:rsidP="00645197">
      <w:pPr>
        <w:spacing w:after="0" w:line="240" w:lineRule="auto"/>
        <w:ind w:left="709" w:right="709"/>
        <w:jc w:val="both"/>
        <w:rPr>
          <w:rFonts w:ascii="Verdana" w:hAnsi="Verdana" w:cs="Arial"/>
          <w:sz w:val="21"/>
          <w:szCs w:val="21"/>
        </w:rPr>
      </w:pPr>
      <w:r w:rsidRPr="00BB41E1">
        <w:rPr>
          <w:rFonts w:ascii="Verdana" w:hAnsi="Verdana" w:cs="Arial"/>
          <w:sz w:val="21"/>
          <w:szCs w:val="21"/>
        </w:rPr>
        <w:t xml:space="preserve">“[…] en el término máximo de tres (3) días después del momento en que se cierre definitivamente la presentación de ofertas, deberán poner de presente la existencia o no de situaciones de control de las que participen y, en particular, si son contratantes, controladas o </w:t>
      </w:r>
      <w:r w:rsidRPr="00BB41E1">
        <w:rPr>
          <w:rFonts w:ascii="Verdana" w:hAnsi="Verdana" w:cs="Arial"/>
          <w:sz w:val="21"/>
          <w:szCs w:val="21"/>
        </w:rPr>
        <w:lastRenderedPageBreak/>
        <w:t xml:space="preserve">comparten alguna de estas condiciones con otras personas que se encuentren participando en el mismo procedimiento de contratación. Para el caso de los proponentes plurales, deberán indicar si las personas que los conforman se encuentran en alguna de las situaciones descritas anteriormente”. </w:t>
      </w:r>
    </w:p>
    <w:p w14:paraId="2DDBE003" w14:textId="77777777" w:rsidR="00645197" w:rsidRDefault="00645197" w:rsidP="00645197">
      <w:pPr>
        <w:spacing w:after="0" w:line="276" w:lineRule="auto"/>
        <w:jc w:val="both"/>
        <w:rPr>
          <w:rFonts w:ascii="Verdana" w:hAnsi="Verdana" w:cs="Arial"/>
        </w:rPr>
      </w:pPr>
    </w:p>
    <w:p w14:paraId="672D8FA1" w14:textId="77777777" w:rsidR="00645197" w:rsidRDefault="00645197" w:rsidP="003F1FA1">
      <w:pPr>
        <w:spacing w:after="120" w:line="276" w:lineRule="auto"/>
        <w:jc w:val="both"/>
        <w:rPr>
          <w:rFonts w:ascii="Verdana" w:hAnsi="Verdana" w:cs="Arial"/>
        </w:rPr>
      </w:pPr>
      <w:r>
        <w:rPr>
          <w:rFonts w:ascii="Verdana" w:hAnsi="Verdana" w:cs="Arial"/>
        </w:rPr>
        <w:tab/>
        <w:t>De acuerdo con la norma citada, “L</w:t>
      </w:r>
      <w:r w:rsidRPr="00BB41E1">
        <w:rPr>
          <w:rFonts w:ascii="Verdana" w:hAnsi="Verdana" w:cs="Arial"/>
        </w:rPr>
        <w:t>as entidades contratantes examinarán la existencia de las circunstancias antes descritas, con base en la información proporcionada por los oferentes y en la que reposa en los expedientes públicos registrados ante las Cámaras de Comercio, con el fin de prever la configuración de las causales de inhabilidad e incompatibilidad previstas en el artículo 8° de la Ley 80 de 1993</w:t>
      </w:r>
      <w:r>
        <w:rPr>
          <w:rFonts w:ascii="Verdana" w:hAnsi="Verdana" w:cs="Arial"/>
        </w:rPr>
        <w:t>”</w:t>
      </w:r>
      <w:r w:rsidRPr="00BB41E1">
        <w:rPr>
          <w:rFonts w:ascii="Verdana" w:hAnsi="Verdana" w:cs="Arial"/>
        </w:rPr>
        <w:t>.</w:t>
      </w:r>
      <w:r>
        <w:rPr>
          <w:rFonts w:ascii="Verdana" w:hAnsi="Verdana" w:cs="Arial"/>
        </w:rPr>
        <w:t xml:space="preserve"> Luego, la información sobre situaciones de control es un punto de referencia para verificar la capacidad jurídica en el proceso de contratación.</w:t>
      </w:r>
    </w:p>
    <w:p w14:paraId="02203580" w14:textId="77777777" w:rsidR="00AE2DA3" w:rsidRPr="00911055" w:rsidRDefault="00AE2DA3" w:rsidP="00AE2DA3">
      <w:pPr>
        <w:spacing w:after="0" w:line="276" w:lineRule="auto"/>
        <w:jc w:val="both"/>
        <w:rPr>
          <w:rFonts w:ascii="Verdana" w:hAnsi="Verdana" w:cs="Arial"/>
        </w:rPr>
      </w:pPr>
      <w:r>
        <w:rPr>
          <w:rFonts w:ascii="Verdana" w:hAnsi="Verdana" w:cs="Arial"/>
        </w:rPr>
        <w:tab/>
      </w:r>
      <w:r w:rsidRPr="00911055">
        <w:rPr>
          <w:rFonts w:ascii="Verdana" w:hAnsi="Verdana" w:cs="Arial"/>
        </w:rPr>
        <w:t xml:space="preserve">El plazo previsto en la norma citada aplica en todas las modalidades de selección sin distinción alguna, por lo que aplica también a la mínima cuantía. De acuerdo con la norma citada, “Las entidades contratantes examinarán la existencia de las circunstancias antes descritas, con base en la información proporcionada por los oferentes y en la que reposa en los expedientes públicos registrados ante las Cámaras de Comercio, con el fin de prever la configuración de las causales de inhabilidad e incompatibilidad previstas en el artículo 8° de la Ley 80 de 1993”. Luego, la información sobre situaciones de control es un </w:t>
      </w:r>
      <w:r>
        <w:rPr>
          <w:rFonts w:ascii="Verdana" w:hAnsi="Verdana" w:cs="Arial"/>
        </w:rPr>
        <w:t>instrumento</w:t>
      </w:r>
      <w:r w:rsidRPr="00911055">
        <w:rPr>
          <w:rFonts w:ascii="Verdana" w:hAnsi="Verdana" w:cs="Arial"/>
        </w:rPr>
        <w:t xml:space="preserve"> para verificar la capacidad jurídica en el proceso de contratación</w:t>
      </w:r>
      <w:r>
        <w:rPr>
          <w:rFonts w:ascii="Verdana" w:hAnsi="Verdana" w:cs="Arial"/>
        </w:rPr>
        <w:t>. Aunque en sí mismo no es un requisito habilitante, constituye un insumo relevante para constatar la ausencia de inhabilidades como las de los literales j) y k) del artículo 8.1 del EGCAP;</w:t>
      </w:r>
      <w:r w:rsidRPr="00911055">
        <w:rPr>
          <w:rFonts w:ascii="Verdana" w:hAnsi="Verdana" w:cs="Arial"/>
        </w:rPr>
        <w:t xml:space="preserve"> razón por la cual, en la omisión o reporte erróneo de la información aplica el régimen de subsanación –parágrafo 1 del artículo 5 de la Ley 1150 de 2007– o aclaración de las ofertas –artículo 30.7 de la Ley 80 de 1993–.</w:t>
      </w:r>
    </w:p>
    <w:p w14:paraId="724C5D23" w14:textId="77777777" w:rsidR="00AE2DA3" w:rsidRDefault="00AE2DA3" w:rsidP="00645197">
      <w:pPr>
        <w:spacing w:after="0" w:line="276" w:lineRule="auto"/>
        <w:jc w:val="both"/>
        <w:rPr>
          <w:rFonts w:ascii="Verdana" w:hAnsi="Verdana" w:cs="Arial"/>
        </w:rPr>
      </w:pPr>
    </w:p>
    <w:p w14:paraId="4F634E7E" w14:textId="63F75D21" w:rsidR="00645197" w:rsidRDefault="00645197" w:rsidP="00645197">
      <w:pPr>
        <w:spacing w:after="0" w:line="276" w:lineRule="auto"/>
        <w:jc w:val="both"/>
        <w:rPr>
          <w:rFonts w:ascii="Verdana" w:hAnsi="Verdana" w:cs="Arial"/>
        </w:rPr>
      </w:pPr>
      <w:proofErr w:type="spellStart"/>
      <w:r>
        <w:rPr>
          <w:rFonts w:ascii="Verdana" w:hAnsi="Verdana" w:cs="Arial"/>
        </w:rPr>
        <w:t>i</w:t>
      </w:r>
      <w:r w:rsidR="00AE2DA3">
        <w:rPr>
          <w:rFonts w:ascii="Verdana" w:hAnsi="Verdana" w:cs="Arial"/>
        </w:rPr>
        <w:t>i</w:t>
      </w:r>
      <w:r>
        <w:rPr>
          <w:rFonts w:ascii="Verdana" w:hAnsi="Verdana" w:cs="Arial"/>
        </w:rPr>
        <w:t>i</w:t>
      </w:r>
      <w:proofErr w:type="spellEnd"/>
      <w:r>
        <w:rPr>
          <w:rFonts w:ascii="Verdana" w:hAnsi="Verdana" w:cs="Arial"/>
        </w:rPr>
        <w:t xml:space="preserve">. Las cámaras de comercio verifican las situaciones de control al momento de las inscripción, renovación y actualización del registro único de proponentes. Al respecto, tratándose de personas jurídicas, el numeral 2.2 del artículo </w:t>
      </w:r>
      <w:r w:rsidRPr="00B858C2">
        <w:rPr>
          <w:rFonts w:ascii="Verdana" w:hAnsi="Verdana" w:cs="Arial"/>
        </w:rPr>
        <w:t>2.2.1.1.1.5.2</w:t>
      </w:r>
      <w:r>
        <w:rPr>
          <w:rFonts w:ascii="Verdana" w:hAnsi="Verdana" w:cs="Arial"/>
        </w:rPr>
        <w:t xml:space="preserve"> ordena la entrega del “</w:t>
      </w:r>
      <w:r w:rsidRPr="00B858C2">
        <w:rPr>
          <w:rFonts w:ascii="Verdana" w:hAnsi="Verdana" w:cs="Arial"/>
        </w:rPr>
        <w:t xml:space="preserve">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w:t>
      </w:r>
      <w:r w:rsidRPr="00B858C2">
        <w:rPr>
          <w:rFonts w:ascii="Verdana" w:hAnsi="Verdana" w:cs="Arial"/>
          <w:i/>
          <w:iCs/>
        </w:rPr>
        <w:t xml:space="preserve">Si el grupo </w:t>
      </w:r>
      <w:r w:rsidRPr="00B858C2">
        <w:rPr>
          <w:rFonts w:ascii="Verdana" w:hAnsi="Verdana" w:cs="Arial"/>
          <w:i/>
          <w:iCs/>
        </w:rPr>
        <w:lastRenderedPageBreak/>
        <w:t>empresarial o la circunstancia de control existe, en el certificado debe constar la identificación de los miembros del grupo empresarial, la situación de control y los controlantes y controlados</w:t>
      </w:r>
      <w:r>
        <w:rPr>
          <w:rFonts w:ascii="Verdana" w:hAnsi="Verdana" w:cs="Arial"/>
        </w:rPr>
        <w:t>” (Énfasis fuera de texto)</w:t>
      </w:r>
      <w:r w:rsidRPr="00B858C2">
        <w:rPr>
          <w:rFonts w:ascii="Verdana" w:hAnsi="Verdana" w:cs="Arial"/>
        </w:rPr>
        <w:t>.</w:t>
      </w:r>
      <w:r>
        <w:rPr>
          <w:rFonts w:ascii="Verdana" w:hAnsi="Verdana" w:cs="Arial"/>
        </w:rPr>
        <w:t xml:space="preserve"> </w:t>
      </w:r>
    </w:p>
    <w:p w14:paraId="2FC70CF8" w14:textId="77777777" w:rsidR="00645197" w:rsidRDefault="00645197" w:rsidP="00645197">
      <w:pPr>
        <w:spacing w:after="0" w:line="276" w:lineRule="auto"/>
        <w:jc w:val="both"/>
        <w:rPr>
          <w:rFonts w:ascii="Verdana" w:hAnsi="Verdana" w:cs="Arial"/>
        </w:rPr>
      </w:pPr>
    </w:p>
    <w:p w14:paraId="02494DBB" w14:textId="319554BB" w:rsidR="00645197" w:rsidRPr="002F035D" w:rsidRDefault="00AE2DA3" w:rsidP="00645197">
      <w:pPr>
        <w:spacing w:after="120" w:line="276" w:lineRule="auto"/>
        <w:jc w:val="both"/>
        <w:rPr>
          <w:rFonts w:ascii="Verdana" w:hAnsi="Verdana" w:cs="Arial"/>
        </w:rPr>
      </w:pPr>
      <w:proofErr w:type="spellStart"/>
      <w:r>
        <w:rPr>
          <w:rFonts w:ascii="Verdana" w:hAnsi="Verdana" w:cs="Arial"/>
        </w:rPr>
        <w:t>iv</w:t>
      </w:r>
      <w:proofErr w:type="spellEnd"/>
      <w:r w:rsidR="00645197">
        <w:rPr>
          <w:rFonts w:ascii="Verdana" w:hAnsi="Verdana" w:cs="Arial"/>
        </w:rPr>
        <w:t xml:space="preserve">. </w:t>
      </w:r>
      <w:r w:rsidR="00645197" w:rsidRPr="002F035D">
        <w:rPr>
          <w:rFonts w:ascii="Verdana" w:hAnsi="Verdana" w:cs="Arial"/>
        </w:rPr>
        <w:t xml:space="preserve">El Registro Único de Proponentes es el documento donde consta la información relacionada con las personas naturales y jurídicas, que tiene por objeto consolidar los datos relacionados con la capacidad jurídica, técnica, financiera y organizacional de los posibles proponentes, con el fin que participen en los procedimientos de selección realizados por las entidades estatales, facilitando la revisión de los datos contenidos en el registro. </w:t>
      </w:r>
    </w:p>
    <w:p w14:paraId="5137A4EC" w14:textId="77777777" w:rsidR="00645197" w:rsidRDefault="00645197" w:rsidP="00645197">
      <w:pPr>
        <w:spacing w:after="0" w:line="276" w:lineRule="auto"/>
        <w:ind w:firstLine="708"/>
        <w:jc w:val="both"/>
        <w:rPr>
          <w:rFonts w:ascii="Verdana" w:hAnsi="Verdana" w:cs="Arial"/>
        </w:rPr>
      </w:pPr>
      <w:r w:rsidRPr="002F035D">
        <w:rPr>
          <w:rFonts w:ascii="Verdana" w:hAnsi="Verdana" w:cs="Arial"/>
        </w:rPr>
        <w:t>El artículo 6.1 de la Ley 1150 de 2007, al determinar las características aplicables al RUP, cualifica la información plasmada en él, al establecer que constituye plena prueba de lo que contiene.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estales en los procedimientos de selección en los que es exigible el RUP.</w:t>
      </w:r>
    </w:p>
    <w:p w14:paraId="5EBECF19" w14:textId="77777777" w:rsidR="00645197" w:rsidRDefault="00645197" w:rsidP="00645197">
      <w:pPr>
        <w:spacing w:after="0" w:line="276" w:lineRule="auto"/>
        <w:jc w:val="both"/>
        <w:rPr>
          <w:rFonts w:ascii="Verdana" w:hAnsi="Verdana" w:cs="Arial"/>
        </w:rPr>
      </w:pPr>
    </w:p>
    <w:p w14:paraId="591BC8FF" w14:textId="48E04D98" w:rsidR="00645197" w:rsidRPr="002F035D" w:rsidRDefault="00645197" w:rsidP="00645197">
      <w:pPr>
        <w:spacing w:after="0" w:line="276" w:lineRule="auto"/>
        <w:jc w:val="both"/>
        <w:rPr>
          <w:rFonts w:ascii="Verdana" w:hAnsi="Verdana" w:cs="Arial"/>
          <w:shd w:val="clear" w:color="auto" w:fill="FFFFFF"/>
        </w:rPr>
      </w:pPr>
      <w:r w:rsidRPr="002F035D">
        <w:rPr>
          <w:rFonts w:ascii="Verdana" w:hAnsi="Verdana" w:cs="Arial"/>
        </w:rPr>
        <w:t xml:space="preserve">v. </w:t>
      </w:r>
      <w:r w:rsidRPr="002F035D">
        <w:rPr>
          <w:rFonts w:ascii="Verdana" w:eastAsia="Calibri" w:hAnsi="Verdana" w:cs="Arial"/>
        </w:rPr>
        <w:t xml:space="preserve">Al respecto, la Corte Constitucional precisó que el legislador descentralizó la función administrativa de llevar el Registro Único de Proponentes radicándola en cabeza de las Cámaras de Comercio. Dichas entidades deben ejercer esta actividad atendiendo a los principios establecidos en la Constitución Política, particularmente a los del artículo 209 superior, concordantes con lo dispuesto en la ley 80 de 1993 y en los artículos 3º de la Ley 489 de 1998 y 13 de la Ley 1447 de 2011. </w:t>
      </w:r>
      <w:r w:rsidRPr="002F035D">
        <w:rPr>
          <w:rFonts w:ascii="Verdana" w:hAnsi="Verdana" w:cs="Arial"/>
          <w:shd w:val="clear" w:color="auto" w:fill="FFFFFF"/>
        </w:rPr>
        <w:t>En tal sentido la Corte explicó la función registral de las Cámaras de Comercio y la confiabilidad de la información en él contenida de la siguiente manera:</w:t>
      </w:r>
    </w:p>
    <w:p w14:paraId="19FAD374" w14:textId="77777777" w:rsidR="00645197" w:rsidRPr="002F035D" w:rsidRDefault="00645197" w:rsidP="00645197">
      <w:pPr>
        <w:spacing w:after="0" w:line="276" w:lineRule="auto"/>
        <w:jc w:val="both"/>
        <w:rPr>
          <w:rFonts w:ascii="Verdana" w:hAnsi="Verdana" w:cs="Arial"/>
          <w:shd w:val="clear" w:color="auto" w:fill="FFFFFF"/>
        </w:rPr>
      </w:pPr>
    </w:p>
    <w:p w14:paraId="468EC36F" w14:textId="77777777" w:rsidR="00645197" w:rsidRPr="002F035D" w:rsidRDefault="00645197" w:rsidP="00645197">
      <w:pPr>
        <w:spacing w:after="0" w:line="240" w:lineRule="auto"/>
        <w:ind w:left="709" w:right="709"/>
        <w:jc w:val="both"/>
        <w:rPr>
          <w:rFonts w:ascii="Verdana" w:hAnsi="Verdana" w:cs="Arial"/>
          <w:sz w:val="21"/>
          <w:szCs w:val="21"/>
          <w:shd w:val="clear" w:color="auto" w:fill="FFFFFF"/>
        </w:rPr>
      </w:pPr>
      <w:r>
        <w:rPr>
          <w:rFonts w:ascii="Verdana" w:hAnsi="Verdana" w:cs="Arial"/>
          <w:sz w:val="21"/>
          <w:szCs w:val="21"/>
          <w:shd w:val="clear" w:color="auto" w:fill="FFFFFF"/>
        </w:rPr>
        <w:t>“</w:t>
      </w:r>
      <w:r w:rsidRPr="002F035D">
        <w:rPr>
          <w:rFonts w:ascii="Verdana" w:hAnsi="Verdana" w:cs="Arial"/>
          <w:sz w:val="21"/>
          <w:szCs w:val="21"/>
          <w:shd w:val="clear" w:color="auto" w:fill="FFFFFF"/>
        </w:rPr>
        <w:t xml:space="preserve">La función registral de las Cámaras de Comercio ha sido unificada a través del Registro Único Empresarial y Social -RUES-, conformado, entre otros, por el Registro Mercantil, el Registro Único Empresarial -RUE-, el Registro Único de Proponentes -RUP- y el Registro de Entidades sin ánimo de lucro, todo para ofrecer al Estado, a la sociedad, a los empresarios, a los contratistas, a las entidades de economía solidaria y a las entidades sin ánimo de lucro una </w:t>
      </w:r>
      <w:r w:rsidRPr="002F035D">
        <w:rPr>
          <w:rFonts w:ascii="Verdana" w:hAnsi="Verdana" w:cs="Arial"/>
          <w:sz w:val="21"/>
          <w:szCs w:val="21"/>
          <w:shd w:val="clear" w:color="auto" w:fill="FFFFFF"/>
        </w:rPr>
        <w:lastRenderedPageBreak/>
        <w:t xml:space="preserve">herramienta confiable de información unificada útil en el campo nacional y en el internacional. En ejercicio de la función registral asignada por la ley a las Cámaras de Comercio estas administran el Registro Único de proponente -RUP, como también regulan los procedimientos a aplicar para los actos de registro, clasificación y calificación de </w:t>
      </w:r>
      <w:proofErr w:type="gramStart"/>
      <w:r w:rsidRPr="002F035D">
        <w:rPr>
          <w:rFonts w:ascii="Verdana" w:hAnsi="Verdana" w:cs="Arial"/>
          <w:sz w:val="21"/>
          <w:szCs w:val="21"/>
          <w:shd w:val="clear" w:color="auto" w:fill="FFFFFF"/>
        </w:rPr>
        <w:t>los mismos</w:t>
      </w:r>
      <w:proofErr w:type="gramEnd"/>
      <w:r w:rsidRPr="002F035D">
        <w:rPr>
          <w:rFonts w:ascii="Verdana" w:hAnsi="Verdana" w:cs="Arial"/>
          <w:sz w:val="21"/>
          <w:szCs w:val="21"/>
          <w:shd w:val="clear" w:color="auto" w:fill="FFFFFF"/>
        </w:rPr>
        <w:t>, recursos que se pueden interponer en contra de tales actos, derechos de las personas naturales y jurídicas inscritas, entre varias materias propias de esta actividad. En suma, las Cámaras de Comercio, mediante delegación de funciones tienen a su cargo la administración del RUP o Registro Único de Proponentes. Para la respectiva inscripción el Gobierno Nacional adoptó el formulario único, estableció cuáles son los documentos requeridos para la inscripción y aprobó el modelo de certificación que expiden las Cámaras. Con la información recaudada en el RUP las Cámaras conforman un registro especial de los inscritos, clasificándolos por actividades, especialidades y grupos, atendiendo a los bienes y servicios ofrecidos. El RUP tiene como finalidad suministrar a las entidades del Estado y en general a todas las personas interesadas en celebrar contratos, la información relacionada con un contratista, particularmente en lo relacionado con su experiencia contractual, idoneidad financiera y capacidad técnica. El RUP fue concebido por el legislador para (i) unificar la reglamentación y la información de todos los registros de proponentes, (</w:t>
      </w:r>
      <w:proofErr w:type="spellStart"/>
      <w:r w:rsidRPr="002F035D">
        <w:rPr>
          <w:rFonts w:ascii="Verdana" w:hAnsi="Verdana" w:cs="Arial"/>
          <w:sz w:val="21"/>
          <w:szCs w:val="21"/>
          <w:shd w:val="clear" w:color="auto" w:fill="FFFFFF"/>
        </w:rPr>
        <w:t>ii</w:t>
      </w:r>
      <w:proofErr w:type="spellEnd"/>
      <w:r w:rsidRPr="002F035D">
        <w:rPr>
          <w:rFonts w:ascii="Verdana" w:hAnsi="Verdana" w:cs="Arial"/>
          <w:sz w:val="21"/>
          <w:szCs w:val="21"/>
          <w:shd w:val="clear" w:color="auto" w:fill="FFFFFF"/>
        </w:rPr>
        <w:t>) simplificar la tarea de los contratistas en sus trámites respecto de la administración, haciendo que con la sola inscripción en la Cámara de Comercio del domicilio del proponente el interesado quede válidamente registrado ante todas las entidades del país, y (</w:t>
      </w:r>
      <w:proofErr w:type="spellStart"/>
      <w:r w:rsidRPr="002F035D">
        <w:rPr>
          <w:rFonts w:ascii="Verdana" w:hAnsi="Verdana" w:cs="Arial"/>
          <w:sz w:val="21"/>
          <w:szCs w:val="21"/>
          <w:shd w:val="clear" w:color="auto" w:fill="FFFFFF"/>
        </w:rPr>
        <w:t>iii</w:t>
      </w:r>
      <w:proofErr w:type="spellEnd"/>
      <w:r w:rsidRPr="002F035D">
        <w:rPr>
          <w:rFonts w:ascii="Verdana" w:hAnsi="Verdana" w:cs="Arial"/>
          <w:sz w:val="21"/>
          <w:szCs w:val="21"/>
          <w:shd w:val="clear" w:color="auto" w:fill="FFFFFF"/>
        </w:rPr>
        <w:t xml:space="preserve">) dar transparencia al proceso de inscripción en el registro. El artículo 6º de la ley 1150 de 2007 comprende tres partes: 6.1. Del proceso de inscripción en el Registro Único de Proponentes (RUP); 6.2. De la información sobre contratos, multas y sanciones a los inscritos y 6.3. De la impugnación de la inscripción en el Registro Único de Proponentes (RUP). El inciso quinto del numeral 6.3. prevé que cuando la Cámara de Comercio establezca la existencia de graves inconsistencias relacionadas con la información y el trámite propio de la inscripción en el RUP, procederá a cancelar la inscripción en el registro quedando el proponente inhabilitado para contratar con las entidades estatales por el término de cinco (5) años, sin perjuicio de las acciones penales a que haya lugar. Si el proponente reincide en esta clase de comportamiento, la Cámara de Comercio lo inhabilitará de manera permanente. Es decir, el segmento demandado hace parte del repertorio de medidas que las Cámaras de Comercio pueden adoptar en relación con el proponente registrado en el RUP que con </w:t>
      </w:r>
      <w:r w:rsidRPr="002F035D">
        <w:rPr>
          <w:rFonts w:ascii="Verdana" w:hAnsi="Verdana" w:cs="Arial"/>
          <w:sz w:val="21"/>
          <w:szCs w:val="21"/>
          <w:shd w:val="clear" w:color="auto" w:fill="FFFFFF"/>
        </w:rPr>
        <w:lastRenderedPageBreak/>
        <w:t>sus actos dolosos defraude la confianza considerada como elemento fundamental de las relaciones contractuales con el Estado</w:t>
      </w:r>
      <w:r>
        <w:rPr>
          <w:rFonts w:ascii="Verdana" w:hAnsi="Verdana" w:cs="Arial"/>
          <w:sz w:val="21"/>
          <w:szCs w:val="21"/>
          <w:shd w:val="clear" w:color="auto" w:fill="FFFFFF"/>
        </w:rPr>
        <w:t>”</w:t>
      </w:r>
      <w:r w:rsidRPr="002F035D">
        <w:rPr>
          <w:rStyle w:val="Refdenotaalpie"/>
          <w:rFonts w:ascii="Verdana" w:eastAsia="Calibri" w:hAnsi="Verdana" w:cs="Arial"/>
          <w:sz w:val="21"/>
          <w:szCs w:val="21"/>
        </w:rPr>
        <w:footnoteReference w:id="5"/>
      </w:r>
      <w:r w:rsidRPr="002F035D">
        <w:rPr>
          <w:rFonts w:ascii="Verdana" w:hAnsi="Verdana" w:cs="Arial"/>
          <w:sz w:val="21"/>
          <w:szCs w:val="21"/>
          <w:shd w:val="clear" w:color="auto" w:fill="FFFFFF"/>
        </w:rPr>
        <w:t xml:space="preserve">. </w:t>
      </w:r>
    </w:p>
    <w:p w14:paraId="6DEC5F4D" w14:textId="77777777" w:rsidR="00645197" w:rsidRDefault="00645197" w:rsidP="00645197">
      <w:pPr>
        <w:spacing w:after="0" w:line="276" w:lineRule="auto"/>
        <w:jc w:val="both"/>
        <w:rPr>
          <w:rFonts w:ascii="Verdana" w:eastAsia="Calibri" w:hAnsi="Verdana" w:cs="Arial"/>
        </w:rPr>
      </w:pPr>
    </w:p>
    <w:p w14:paraId="2010EEFB" w14:textId="77777777" w:rsidR="00645197" w:rsidRDefault="00645197" w:rsidP="00645197">
      <w:pPr>
        <w:spacing w:after="0" w:line="276" w:lineRule="auto"/>
        <w:ind w:firstLine="709"/>
        <w:jc w:val="both"/>
        <w:rPr>
          <w:rFonts w:ascii="Verdana" w:eastAsia="Calibri" w:hAnsi="Verdana" w:cs="Arial"/>
        </w:rPr>
      </w:pPr>
      <w:r w:rsidRPr="002F035D">
        <w:rPr>
          <w:rFonts w:ascii="Verdana" w:eastAsia="Calibri" w:hAnsi="Verdana" w:cs="Arial"/>
        </w:rPr>
        <w:t>Bajo este contexto, la capacidad jurídica, las condiciones de experiencia, la capacidad financiera y de organización de los proponentes deberán verificarse exclusivamente con el Registro Único de Proponentes, pues constituye plena prueba de la información contenida en él. No obstante,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p>
    <w:p w14:paraId="44ACDD23" w14:textId="77777777" w:rsidR="00645197" w:rsidRDefault="00645197" w:rsidP="00645197">
      <w:pPr>
        <w:spacing w:after="0" w:line="276" w:lineRule="auto"/>
        <w:jc w:val="both"/>
        <w:rPr>
          <w:rFonts w:ascii="Verdana" w:eastAsia="Calibri" w:hAnsi="Verdana" w:cs="Arial"/>
        </w:rPr>
      </w:pPr>
    </w:p>
    <w:p w14:paraId="36AC6C45" w14:textId="35DF545B" w:rsidR="00645197" w:rsidRPr="002F035D" w:rsidRDefault="00645197" w:rsidP="00645197">
      <w:pPr>
        <w:spacing w:after="0" w:line="276" w:lineRule="auto"/>
        <w:jc w:val="both"/>
        <w:rPr>
          <w:rFonts w:ascii="Verdana" w:eastAsia="Calibri" w:hAnsi="Verdana" w:cs="Arial"/>
        </w:rPr>
      </w:pPr>
      <w:r w:rsidRPr="002F035D">
        <w:rPr>
          <w:rFonts w:ascii="Verdana" w:hAnsi="Verdana" w:cs="Arial"/>
        </w:rPr>
        <w:t>v</w:t>
      </w:r>
      <w:r w:rsidR="00A1239B">
        <w:rPr>
          <w:rFonts w:ascii="Verdana" w:hAnsi="Verdana" w:cs="Arial"/>
        </w:rPr>
        <w:t>i</w:t>
      </w:r>
      <w:r w:rsidRPr="002F035D">
        <w:rPr>
          <w:rFonts w:ascii="Verdana" w:hAnsi="Verdana" w:cs="Arial"/>
        </w:rPr>
        <w:t xml:space="preserve">. </w:t>
      </w:r>
      <w:r w:rsidRPr="002F035D">
        <w:rPr>
          <w:rFonts w:ascii="Verdana" w:eastAsia="Calibri" w:hAnsi="Verdana" w:cs="Arial"/>
        </w:rPr>
        <w:t>Lo anterior fue reafirmado por el Consejo de Estado, quien enlistó las excepciones en las cuales no es necesario estar inscrito en el RUP para participar en procedimientos de selección adelantados por las entidades estatales, incluyendo el supuesto en que se puede verificar información adicional a la contenida en él:</w:t>
      </w:r>
    </w:p>
    <w:p w14:paraId="0FC263C4" w14:textId="77777777" w:rsidR="00645197" w:rsidRPr="002F035D" w:rsidRDefault="00645197" w:rsidP="00645197">
      <w:pPr>
        <w:spacing w:after="0" w:line="276" w:lineRule="auto"/>
        <w:jc w:val="both"/>
        <w:rPr>
          <w:rFonts w:ascii="Verdana" w:eastAsia="Calibri" w:hAnsi="Verdana" w:cs="Arial"/>
        </w:rPr>
      </w:pPr>
    </w:p>
    <w:p w14:paraId="2F7A21BB" w14:textId="77777777" w:rsidR="00645197" w:rsidRPr="002F035D" w:rsidRDefault="00645197" w:rsidP="00645197">
      <w:pPr>
        <w:pStyle w:val="Prrafodelista"/>
        <w:numPr>
          <w:ilvl w:val="0"/>
          <w:numId w:val="18"/>
        </w:numPr>
        <w:spacing w:after="0" w:line="276" w:lineRule="auto"/>
        <w:jc w:val="both"/>
        <w:rPr>
          <w:rFonts w:ascii="Verdana" w:eastAsia="Calibri" w:hAnsi="Verdana" w:cs="Arial"/>
        </w:rPr>
      </w:pPr>
      <w:r w:rsidRPr="002F035D">
        <w:rPr>
          <w:rFonts w:ascii="Verdana" w:eastAsia="Calibri" w:hAnsi="Verdana" w:cs="Arial"/>
        </w:rPr>
        <w:t>No se requiere el RUP respecto de los proponentes que pretenden celebrar los contratos enunciados en el inciso segundo del artículo 6 de la ley 1150, así como en los eventos de contratación directa.</w:t>
      </w:r>
    </w:p>
    <w:p w14:paraId="7B6CE05E" w14:textId="77777777" w:rsidR="00645197" w:rsidRPr="002F035D" w:rsidRDefault="00645197" w:rsidP="00645197">
      <w:pPr>
        <w:pStyle w:val="Prrafodelista"/>
        <w:numPr>
          <w:ilvl w:val="0"/>
          <w:numId w:val="18"/>
        </w:numPr>
        <w:spacing w:before="240" w:after="0" w:line="276" w:lineRule="auto"/>
        <w:jc w:val="both"/>
        <w:rPr>
          <w:rFonts w:ascii="Verdana" w:eastAsia="Calibri" w:hAnsi="Verdana" w:cs="Arial"/>
        </w:rPr>
      </w:pPr>
      <w:r w:rsidRPr="002F035D">
        <w:rPr>
          <w:rFonts w:ascii="Verdana" w:eastAsia="Calibri" w:hAnsi="Verdana" w:cs="Arial"/>
        </w:rPr>
        <w:t>Tratándose de personas naturales extranjeras sin domicilio en el país o de personas jurídicas extranjeras que no tengan sucursal en Colombia, o en aquellos casos en que el procedimiento de selección haya utilizado sistemas de precalificación.</w:t>
      </w:r>
    </w:p>
    <w:p w14:paraId="1AE86366" w14:textId="77777777" w:rsidR="00645197" w:rsidRPr="002F035D" w:rsidRDefault="00645197" w:rsidP="00645197">
      <w:pPr>
        <w:pStyle w:val="Prrafodelista"/>
        <w:numPr>
          <w:ilvl w:val="0"/>
          <w:numId w:val="18"/>
        </w:numPr>
        <w:spacing w:after="0" w:line="276" w:lineRule="auto"/>
        <w:jc w:val="both"/>
        <w:rPr>
          <w:rFonts w:ascii="Verdana" w:eastAsia="Calibri" w:hAnsi="Verdana" w:cs="Arial"/>
        </w:rPr>
      </w:pPr>
      <w:r w:rsidRPr="002F035D">
        <w:rPr>
          <w:rFonts w:ascii="Verdana" w:eastAsia="Calibri" w:hAnsi="Verdana" w:cs="Arial"/>
        </w:rPr>
        <w:t>Cuando por las características del objeto a contratar se requiera verificar requisitos del proponente adicionales a los contenidos en el RUP, caso donde puede exigirse el registro; solo que habrá información adicional que podrá verificar la entidad directamente.</w:t>
      </w:r>
    </w:p>
    <w:p w14:paraId="6039ED3C" w14:textId="77777777" w:rsidR="00645197" w:rsidRPr="002F035D" w:rsidRDefault="00645197" w:rsidP="00645197">
      <w:pPr>
        <w:spacing w:after="0" w:line="276" w:lineRule="auto"/>
        <w:ind w:firstLine="708"/>
        <w:jc w:val="both"/>
        <w:rPr>
          <w:rFonts w:ascii="Verdana" w:eastAsia="Calibri" w:hAnsi="Verdana" w:cs="Arial"/>
        </w:rPr>
      </w:pPr>
    </w:p>
    <w:p w14:paraId="294F04F1" w14:textId="77777777" w:rsidR="00645197" w:rsidRDefault="00645197" w:rsidP="00645197">
      <w:pPr>
        <w:spacing w:after="0" w:line="276" w:lineRule="auto"/>
        <w:ind w:firstLine="709"/>
        <w:jc w:val="both"/>
        <w:rPr>
          <w:rFonts w:ascii="Verdana" w:eastAsia="Calibri" w:hAnsi="Verdana" w:cs="Arial"/>
        </w:rPr>
      </w:pPr>
      <w:r w:rsidRPr="002F035D">
        <w:rPr>
          <w:rFonts w:ascii="Verdana" w:eastAsia="Calibri" w:hAnsi="Verdana" w:cs="Arial"/>
        </w:rPr>
        <w:lastRenderedPageBreak/>
        <w:t>Además de lo anterior, tampoco es un requisito obligatorio estar inscrito en el registro para celebrar los contratos con entidades privadas sin ánimo de lucro, con fundamento en el régimen establecido en el Decreto 092 de 2017, al igual que para participar en procedimientos de selección de entidades que no se rigen por el Estatuto General de Contratación de la Administración Pública, esto es, para celebrar contratos que tienen un régimen especial.</w:t>
      </w:r>
    </w:p>
    <w:p w14:paraId="577D6BD7" w14:textId="77777777" w:rsidR="00645197" w:rsidRDefault="00645197" w:rsidP="00645197">
      <w:pPr>
        <w:spacing w:after="0" w:line="276" w:lineRule="auto"/>
        <w:jc w:val="both"/>
        <w:rPr>
          <w:rFonts w:ascii="Verdana" w:eastAsia="Calibri" w:hAnsi="Verdana" w:cs="Arial"/>
        </w:rPr>
      </w:pPr>
    </w:p>
    <w:p w14:paraId="3B857C5C" w14:textId="51517172" w:rsidR="00D63E35" w:rsidRPr="00911055" w:rsidRDefault="00645197" w:rsidP="00D63E35">
      <w:pPr>
        <w:spacing w:after="120" w:line="276" w:lineRule="auto"/>
        <w:jc w:val="both"/>
        <w:rPr>
          <w:rFonts w:ascii="Verdana" w:eastAsia="Calibri" w:hAnsi="Verdana" w:cs="Arial"/>
          <w:color w:val="000000" w:themeColor="text1"/>
        </w:rPr>
      </w:pPr>
      <w:proofErr w:type="spellStart"/>
      <w:r>
        <w:rPr>
          <w:rFonts w:ascii="Verdana" w:eastAsia="Calibri" w:hAnsi="Verdana" w:cs="Arial"/>
        </w:rPr>
        <w:t>v</w:t>
      </w:r>
      <w:r w:rsidR="00A1239B">
        <w:rPr>
          <w:rFonts w:ascii="Verdana" w:eastAsia="Calibri" w:hAnsi="Verdana" w:cs="Arial"/>
        </w:rPr>
        <w:t>i</w:t>
      </w:r>
      <w:r>
        <w:rPr>
          <w:rFonts w:ascii="Verdana" w:eastAsia="Calibri" w:hAnsi="Verdana" w:cs="Arial"/>
        </w:rPr>
        <w:t>i</w:t>
      </w:r>
      <w:proofErr w:type="spellEnd"/>
      <w:r>
        <w:rPr>
          <w:rFonts w:ascii="Verdana" w:eastAsia="Calibri" w:hAnsi="Verdana" w:cs="Arial"/>
        </w:rPr>
        <w:t xml:space="preserve">. </w:t>
      </w:r>
      <w:r w:rsidR="00D63E35" w:rsidRPr="00911055">
        <w:rPr>
          <w:rFonts w:ascii="Verdana" w:eastAsia="Calibri" w:hAnsi="Verdana" w:cs="Arial"/>
        </w:rPr>
        <w:t>Por regla general, además de lo manifestado por los interesados, las entidades podrán verificar situaciones de control a través del RUP. En caso de que el registro no sea obligatorio, el pliego de condiciones debe establecer el mecanismo de validación correspondiente. Como la verificación se realiza en el marco del procedimiento de selección, para efectos de la garantía del debido proceso, el principio de transparencia demanda que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 –artículo 24.2 de la Ley 80 de 1993–.</w:t>
      </w:r>
    </w:p>
    <w:p w14:paraId="0B009FFB" w14:textId="77777777" w:rsidR="00D63E35" w:rsidRPr="00911055" w:rsidRDefault="00D63E35" w:rsidP="00D63E35">
      <w:pPr>
        <w:spacing w:after="0" w:line="276" w:lineRule="auto"/>
        <w:ind w:firstLine="708"/>
        <w:jc w:val="both"/>
        <w:rPr>
          <w:rFonts w:ascii="Verdana" w:eastAsia="Calibri" w:hAnsi="Verdana" w:cs="Arial"/>
        </w:rPr>
      </w:pPr>
      <w:r w:rsidRPr="00911055">
        <w:rPr>
          <w:rFonts w:ascii="Verdana" w:eastAsia="Calibri" w:hAnsi="Verdana" w:cs="Arial"/>
        </w:rPr>
        <w:t xml:space="preserve">Lo usual es que todos los documentos de la oferta se entreguen antes de cierre del proceso. Sin embargo, el literal a) del artículo 2.1.4.3.2.1 del Decreto 1081 de 2015, adicionado por el artículo 1 del Decreto 1600 de 2024, dispone que “[…] en el término máximo de tres (3) días después del momento en que se cierre definitivamente la presentación de ofertas, deberán poner de presente la existencia o no de situaciones de control de las que participen […]”. Por tanto, si se entregó la información antes del cierre, la Agencia estima que no es necesario un nuevo requerimiento, pues con la entregada inicialmente la entidad puede verificar la existencia o no grupo empresarial en la que existan relaciones de subordinación conforme a los artículos 260 y 261 del Código de Comercio. </w:t>
      </w:r>
    </w:p>
    <w:p w14:paraId="14240A5C" w14:textId="77777777" w:rsidR="00227B88" w:rsidRDefault="00227B88" w:rsidP="00645197">
      <w:pPr>
        <w:spacing w:after="0" w:line="276" w:lineRule="auto"/>
        <w:jc w:val="both"/>
        <w:rPr>
          <w:rFonts w:ascii="Verdana" w:eastAsia="Calibri" w:hAnsi="Verdana" w:cs="Arial"/>
        </w:rPr>
      </w:pPr>
    </w:p>
    <w:p w14:paraId="60733573" w14:textId="3F425A78" w:rsidR="00227B88" w:rsidRPr="003F1FA1" w:rsidRDefault="00227B88" w:rsidP="003F1FA1">
      <w:pPr>
        <w:pStyle w:val="Sinespaciado"/>
        <w:spacing w:after="120" w:line="276" w:lineRule="auto"/>
        <w:jc w:val="both"/>
        <w:rPr>
          <w:rFonts w:ascii="Verdana" w:hAnsi="Verdana" w:cs="Arial"/>
        </w:rPr>
      </w:pPr>
      <w:proofErr w:type="spellStart"/>
      <w:r w:rsidRPr="003F1FA1">
        <w:rPr>
          <w:rFonts w:ascii="Verdana" w:hAnsi="Verdana" w:cs="Arial"/>
          <w:sz w:val="22"/>
        </w:rPr>
        <w:t>v</w:t>
      </w:r>
      <w:r w:rsidR="00A1239B">
        <w:rPr>
          <w:rFonts w:ascii="Verdana" w:hAnsi="Verdana" w:cs="Arial"/>
          <w:sz w:val="22"/>
        </w:rPr>
        <w:t>ii</w:t>
      </w:r>
      <w:r w:rsidRPr="003F1FA1">
        <w:rPr>
          <w:rFonts w:ascii="Verdana" w:hAnsi="Verdana" w:cs="Arial"/>
          <w:sz w:val="22"/>
        </w:rPr>
        <w:t>i</w:t>
      </w:r>
      <w:proofErr w:type="spellEnd"/>
      <w:r w:rsidRPr="003F1FA1">
        <w:rPr>
          <w:rFonts w:ascii="Verdana" w:hAnsi="Verdana" w:cs="Arial"/>
          <w:sz w:val="22"/>
        </w:rPr>
        <w:t xml:space="preserve">. 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El régimen de inhabilidades para contratar con el Estado es un conjunto de restricciones establecidas por el constituyente o por el legislador que afectan directamente la capacidad de las </w:t>
      </w:r>
      <w:r w:rsidRPr="003F1FA1">
        <w:rPr>
          <w:rFonts w:ascii="Verdana" w:hAnsi="Verdana" w:cs="Arial"/>
          <w:sz w:val="22"/>
        </w:rPr>
        <w:lastRenderedPageBreak/>
        <w:t>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3F1FA1">
        <w:rPr>
          <w:rStyle w:val="Refdenotaalpie"/>
          <w:rFonts w:ascii="Verdana" w:hAnsi="Verdana" w:cs="Arial"/>
          <w:sz w:val="22"/>
        </w:rPr>
        <w:footnoteReference w:id="6"/>
      </w:r>
      <w:r w:rsidRPr="003F1FA1">
        <w:rPr>
          <w:rFonts w:ascii="Verdana" w:hAnsi="Verdana" w:cs="Arial"/>
          <w:sz w:val="22"/>
        </w:rPr>
        <w:t>.</w:t>
      </w:r>
    </w:p>
    <w:p w14:paraId="3ED655FB" w14:textId="77777777" w:rsidR="00227B88" w:rsidRPr="00911055" w:rsidRDefault="00227B88" w:rsidP="00227B88">
      <w:pPr>
        <w:pStyle w:val="Sinespaciado"/>
        <w:spacing w:line="276" w:lineRule="auto"/>
        <w:ind w:firstLine="709"/>
        <w:jc w:val="both"/>
        <w:rPr>
          <w:rFonts w:ascii="Verdana" w:hAnsi="Verdana" w:cs="Arial"/>
          <w:sz w:val="22"/>
        </w:rPr>
      </w:pPr>
      <w:r w:rsidRPr="00911055">
        <w:rPr>
          <w:rFonts w:ascii="Verdana" w:hAnsi="Verdana" w:cs="Arial"/>
          <w:sz w:val="22"/>
        </w:rPr>
        <w:t xml:space="preserve">La consagración limitaciones que afectan la capacidad jurídica para contratar desarrolla los principios de la función administrativa consagrados en el artículo 209 de la Constitución Política, con especial énfasis el de moralidad. Así lo entiende el Consejo de Estado: </w:t>
      </w:r>
    </w:p>
    <w:p w14:paraId="3FAD4E35" w14:textId="77777777" w:rsidR="00227B88" w:rsidRPr="00911055" w:rsidRDefault="00227B88" w:rsidP="00227B88">
      <w:pPr>
        <w:pStyle w:val="Sinespaciado"/>
        <w:spacing w:line="276" w:lineRule="auto"/>
        <w:jc w:val="both"/>
        <w:rPr>
          <w:rFonts w:ascii="Verdana" w:hAnsi="Verdana" w:cs="Arial"/>
          <w:sz w:val="22"/>
        </w:rPr>
      </w:pPr>
    </w:p>
    <w:p w14:paraId="769E20CA" w14:textId="77777777" w:rsidR="00227B88" w:rsidRPr="00613100" w:rsidRDefault="00227B88" w:rsidP="00227B88">
      <w:pPr>
        <w:pStyle w:val="NormalWeb"/>
        <w:shd w:val="clear" w:color="auto" w:fill="FFFFFF"/>
        <w:spacing w:before="0" w:beforeAutospacing="0" w:after="120" w:afterAutospacing="0"/>
        <w:ind w:left="709" w:right="709"/>
        <w:jc w:val="both"/>
        <w:rPr>
          <w:rFonts w:ascii="Verdana" w:hAnsi="Verdana" w:cs="Arial"/>
          <w:sz w:val="20"/>
          <w:szCs w:val="20"/>
          <w:lang w:val="es-ES"/>
        </w:rPr>
      </w:pPr>
      <w:r w:rsidRPr="00613100">
        <w:rPr>
          <w:rFonts w:ascii="Verdana" w:hAnsi="Verdana" w:cs="Arial"/>
          <w:sz w:val="20"/>
          <w:szCs w:val="20"/>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2B5CE7E9" w14:textId="77777777" w:rsidR="00227B88" w:rsidRPr="00613100" w:rsidRDefault="00227B88" w:rsidP="00227B88">
      <w:pPr>
        <w:pStyle w:val="NormalWeb"/>
        <w:shd w:val="clear" w:color="auto" w:fill="FFFFFF"/>
        <w:spacing w:before="0" w:beforeAutospacing="0" w:after="0" w:afterAutospacing="0"/>
        <w:ind w:left="709" w:right="709"/>
        <w:jc w:val="both"/>
        <w:rPr>
          <w:rFonts w:ascii="Verdana" w:hAnsi="Verdana" w:cs="Arial"/>
          <w:sz w:val="20"/>
          <w:szCs w:val="20"/>
          <w:lang w:val="es-ES"/>
        </w:rPr>
      </w:pPr>
      <w:r w:rsidRPr="00613100">
        <w:rPr>
          <w:rFonts w:ascii="Verdana" w:hAnsi="Verdana" w:cs="Arial"/>
          <w:sz w:val="20"/>
          <w:szCs w:val="20"/>
          <w:lang w:val="es-E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613100">
        <w:rPr>
          <w:rStyle w:val="Refdenotaalpie"/>
          <w:rFonts w:ascii="Verdana" w:hAnsi="Verdana" w:cs="Arial"/>
          <w:sz w:val="20"/>
          <w:szCs w:val="20"/>
          <w:lang w:val="es-ES"/>
        </w:rPr>
        <w:footnoteReference w:id="7"/>
      </w:r>
      <w:r w:rsidRPr="00613100">
        <w:rPr>
          <w:rFonts w:ascii="Verdana" w:hAnsi="Verdana" w:cs="Arial"/>
          <w:sz w:val="20"/>
          <w:szCs w:val="20"/>
          <w:lang w:val="es-ES"/>
        </w:rPr>
        <w:t>.</w:t>
      </w:r>
    </w:p>
    <w:p w14:paraId="2639994F" w14:textId="77777777" w:rsidR="00227B88" w:rsidRPr="00911055" w:rsidRDefault="00227B88" w:rsidP="00227B88">
      <w:pPr>
        <w:pStyle w:val="NormalWeb"/>
        <w:shd w:val="clear" w:color="auto" w:fill="FFFFFF"/>
        <w:spacing w:before="0" w:beforeAutospacing="0" w:after="0" w:afterAutospacing="0"/>
        <w:ind w:left="709" w:right="709"/>
        <w:jc w:val="both"/>
        <w:rPr>
          <w:rFonts w:ascii="Verdana" w:hAnsi="Verdana" w:cs="Arial"/>
          <w:sz w:val="21"/>
          <w:szCs w:val="21"/>
          <w:lang w:val="es-ES"/>
        </w:rPr>
      </w:pPr>
    </w:p>
    <w:p w14:paraId="0ABB2001" w14:textId="77777777" w:rsidR="00227B88" w:rsidRPr="00911055" w:rsidRDefault="00227B88" w:rsidP="00227B88">
      <w:pPr>
        <w:pStyle w:val="Sinespaciado"/>
        <w:spacing w:line="276" w:lineRule="auto"/>
        <w:ind w:firstLine="709"/>
        <w:jc w:val="both"/>
        <w:rPr>
          <w:rFonts w:ascii="Verdana" w:hAnsi="Verdana" w:cs="Arial"/>
          <w:sz w:val="22"/>
        </w:rPr>
      </w:pPr>
      <w:r w:rsidRPr="00911055">
        <w:rPr>
          <w:rFonts w:ascii="Verdana" w:hAnsi="Verdana" w:cs="Arial"/>
          <w:sz w:val="22"/>
        </w:rPr>
        <w:t xml:space="preserve">Así las cosas, las inhabilidades son medios que garantizan la transparencia y eficiencia en la actividad contractual del Estado, imponiendo restricciones en </w:t>
      </w:r>
      <w:r w:rsidRPr="00911055">
        <w:rPr>
          <w:rFonts w:ascii="Verdana" w:hAnsi="Verdana" w:cs="Arial"/>
          <w:sz w:val="22"/>
        </w:rPr>
        <w:lastRenderedPageBreak/>
        <w:t xml:space="preserve">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47C77199" w14:textId="77777777" w:rsidR="00227B88" w:rsidRPr="00911055" w:rsidRDefault="00227B88" w:rsidP="00227B88">
      <w:pPr>
        <w:pStyle w:val="Sinespaciado"/>
        <w:spacing w:line="276" w:lineRule="auto"/>
        <w:ind w:firstLine="709"/>
        <w:jc w:val="both"/>
        <w:rPr>
          <w:rFonts w:ascii="Verdana" w:hAnsi="Verdana" w:cs="Arial"/>
          <w:sz w:val="22"/>
        </w:rPr>
      </w:pPr>
    </w:p>
    <w:p w14:paraId="495DCD01" w14:textId="77777777" w:rsidR="00227B88" w:rsidRPr="00613100" w:rsidRDefault="00227B88" w:rsidP="00227B88">
      <w:pPr>
        <w:spacing w:after="120" w:line="240" w:lineRule="auto"/>
        <w:ind w:left="709" w:right="709"/>
        <w:jc w:val="both"/>
        <w:rPr>
          <w:rFonts w:ascii="Verdana" w:hAnsi="Verdana" w:cs="Arial"/>
          <w:sz w:val="20"/>
          <w:szCs w:val="20"/>
        </w:rPr>
      </w:pPr>
      <w:r w:rsidRPr="00613100">
        <w:rPr>
          <w:rFonts w:ascii="Verdana" w:hAnsi="Verdana" w:cs="Arial"/>
          <w:sz w:val="20"/>
          <w:szCs w:val="20"/>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Pr="00613100">
        <w:rPr>
          <w:rFonts w:ascii="Verdana" w:hAnsi="Verdana" w:cs="Arial"/>
          <w:sz w:val="20"/>
          <w:szCs w:val="20"/>
        </w:rPr>
        <w:t>incompatibilidades,</w:t>
      </w:r>
      <w:proofErr w:type="gramEnd"/>
      <w:r w:rsidRPr="00613100">
        <w:rPr>
          <w:rFonts w:ascii="Verdana" w:hAnsi="Verdana" w:cs="Arial"/>
          <w:sz w:val="20"/>
          <w:szCs w:val="20"/>
        </w:rPr>
        <w:t xml:space="preserve"> se erige en causal de nulidad del contrato celebrado en esas condiciones (ley 80 de 1993, art. 44).</w:t>
      </w:r>
    </w:p>
    <w:p w14:paraId="2E8E71B6" w14:textId="77777777" w:rsidR="00227B88" w:rsidRPr="00613100" w:rsidRDefault="00227B88" w:rsidP="00227B88">
      <w:pPr>
        <w:spacing w:after="0" w:line="240" w:lineRule="auto"/>
        <w:ind w:left="709" w:right="709"/>
        <w:jc w:val="both"/>
        <w:rPr>
          <w:rFonts w:ascii="Verdana" w:hAnsi="Verdana" w:cs="Arial"/>
          <w:sz w:val="20"/>
          <w:szCs w:val="20"/>
        </w:rPr>
      </w:pPr>
      <w:r w:rsidRPr="00613100">
        <w:rPr>
          <w:rFonts w:ascii="Verdana" w:hAnsi="Verdana" w:cs="Arial"/>
          <w:sz w:val="20"/>
          <w:szCs w:val="20"/>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613100">
        <w:rPr>
          <w:rStyle w:val="Refdenotaalpie"/>
          <w:rFonts w:ascii="Verdana" w:hAnsi="Verdana" w:cs="Arial"/>
          <w:sz w:val="20"/>
          <w:szCs w:val="20"/>
        </w:rPr>
        <w:footnoteReference w:id="8"/>
      </w:r>
      <w:r w:rsidRPr="00613100">
        <w:rPr>
          <w:rFonts w:ascii="Verdana" w:hAnsi="Verdana" w:cs="Arial"/>
          <w:sz w:val="20"/>
          <w:szCs w:val="20"/>
        </w:rPr>
        <w:t>.</w:t>
      </w:r>
    </w:p>
    <w:p w14:paraId="29AD1E7F" w14:textId="77777777" w:rsidR="00227B88" w:rsidRPr="00911055" w:rsidRDefault="00227B88" w:rsidP="00227B88">
      <w:pPr>
        <w:spacing w:after="0" w:line="240" w:lineRule="auto"/>
        <w:ind w:right="709"/>
        <w:jc w:val="both"/>
        <w:rPr>
          <w:rFonts w:ascii="Verdana" w:hAnsi="Verdana" w:cs="Arial"/>
        </w:rPr>
      </w:pPr>
    </w:p>
    <w:p w14:paraId="7177BDA2" w14:textId="77777777" w:rsidR="00227B88" w:rsidRPr="00911055" w:rsidRDefault="00227B88" w:rsidP="00227B88">
      <w:pPr>
        <w:spacing w:after="0" w:line="276" w:lineRule="auto"/>
        <w:ind w:firstLine="709"/>
        <w:jc w:val="both"/>
        <w:rPr>
          <w:rFonts w:ascii="Verdana" w:hAnsi="Verdana" w:cs="Arial"/>
        </w:rPr>
      </w:pPr>
      <w:r w:rsidRPr="00911055">
        <w:rPr>
          <w:rFonts w:ascii="Verdana" w:hAnsi="Verdana" w:cs="Arial"/>
        </w:rPr>
        <w:t>Además, la Corte Constitucional explica que el legislador tiene la competencia para determinar qué hechos o situaciones generan inhabilidad para contratar, pues este régimen es un aspecto propio del Estatuto General de Contratación de la Administración Pública, cuya expedición compete al Congreso de la República a la luz del artículo 150 de la Constitución Política, y que en esta materia rige el principio de legalidad:</w:t>
      </w:r>
    </w:p>
    <w:p w14:paraId="19B2E557" w14:textId="77777777" w:rsidR="00227B88" w:rsidRPr="00911055" w:rsidRDefault="00227B88" w:rsidP="00227B88">
      <w:pPr>
        <w:pStyle w:val="Sinespaciado"/>
        <w:tabs>
          <w:tab w:val="left" w:pos="1532"/>
        </w:tabs>
        <w:spacing w:line="276" w:lineRule="auto"/>
        <w:jc w:val="both"/>
        <w:rPr>
          <w:rFonts w:ascii="Verdana" w:hAnsi="Verdana" w:cs="Arial"/>
          <w:sz w:val="22"/>
        </w:rPr>
      </w:pPr>
    </w:p>
    <w:p w14:paraId="7F150D3F" w14:textId="77777777" w:rsidR="00227B88" w:rsidRPr="00453762" w:rsidRDefault="00227B88" w:rsidP="00227B88">
      <w:pPr>
        <w:spacing w:after="0" w:line="240" w:lineRule="auto"/>
        <w:ind w:left="709" w:right="709"/>
        <w:jc w:val="both"/>
        <w:rPr>
          <w:rFonts w:ascii="Verdana" w:hAnsi="Verdana" w:cs="Arial"/>
          <w:sz w:val="20"/>
          <w:szCs w:val="20"/>
        </w:rPr>
      </w:pPr>
      <w:r w:rsidRPr="00453762">
        <w:rPr>
          <w:rFonts w:ascii="Verdana" w:hAnsi="Verdana" w:cs="Arial"/>
          <w:sz w:val="20"/>
          <w:szCs w:val="20"/>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w:t>
      </w:r>
      <w:r w:rsidRPr="00453762">
        <w:rPr>
          <w:rFonts w:ascii="Verdana" w:hAnsi="Verdana" w:cs="Arial"/>
          <w:sz w:val="20"/>
          <w:szCs w:val="20"/>
        </w:rPr>
        <w:lastRenderedPageBreak/>
        <w:t>La ley demandada recae sobre una materia que pertenece al dominio de la esfera estatal y pública, dentro de la cual no rige el principio </w:t>
      </w:r>
      <w:r w:rsidRPr="00453762">
        <w:rPr>
          <w:rFonts w:ascii="Verdana" w:hAnsi="Verdana" w:cs="Arial"/>
          <w:i/>
          <w:iCs/>
          <w:sz w:val="20"/>
          <w:szCs w:val="20"/>
        </w:rPr>
        <w:t xml:space="preserve">pro </w:t>
      </w:r>
      <w:proofErr w:type="spellStart"/>
      <w:r w:rsidRPr="00453762">
        <w:rPr>
          <w:rFonts w:ascii="Verdana" w:hAnsi="Verdana" w:cs="Arial"/>
          <w:i/>
          <w:iCs/>
          <w:sz w:val="20"/>
          <w:szCs w:val="20"/>
        </w:rPr>
        <w:t>libertate</w:t>
      </w:r>
      <w:proofErr w:type="spellEnd"/>
      <w:r w:rsidRPr="00453762">
        <w:rPr>
          <w:rFonts w:ascii="Verdana" w:hAnsi="Verdana" w:cs="Arial"/>
          <w:sz w:val="20"/>
          <w:szCs w:val="20"/>
        </w:rPr>
        <w:t xml:space="preserve">, sino el de legalidad, el que ordena que la función pública debe someterse estrictamente a lo que disponga la Constitución y la ley (CP art. 6). </w:t>
      </w:r>
    </w:p>
    <w:p w14:paraId="65AA3780" w14:textId="77777777" w:rsidR="00227B88" w:rsidRPr="00453762" w:rsidRDefault="00227B88" w:rsidP="00227B88">
      <w:pPr>
        <w:spacing w:after="120" w:line="240" w:lineRule="auto"/>
        <w:ind w:left="709" w:right="709"/>
        <w:jc w:val="both"/>
        <w:rPr>
          <w:rFonts w:ascii="Verdana" w:hAnsi="Verdana" w:cs="Arial"/>
          <w:sz w:val="20"/>
          <w:szCs w:val="20"/>
        </w:rPr>
      </w:pPr>
      <w:r w:rsidRPr="00453762">
        <w:rPr>
          <w:rFonts w:ascii="Verdana" w:hAnsi="Verdana" w:cs="Arial"/>
          <w:sz w:val="20"/>
          <w:szCs w:val="20"/>
        </w:rPr>
        <w:t xml:space="preserve">[…] </w:t>
      </w:r>
    </w:p>
    <w:p w14:paraId="4E200F07" w14:textId="77777777" w:rsidR="00227B88" w:rsidRPr="00453762" w:rsidRDefault="00227B88" w:rsidP="00227B88">
      <w:pPr>
        <w:spacing w:after="0" w:line="240" w:lineRule="auto"/>
        <w:ind w:left="709" w:right="709"/>
        <w:jc w:val="both"/>
        <w:rPr>
          <w:rFonts w:ascii="Verdana" w:hAnsi="Verdana" w:cs="Arial"/>
          <w:sz w:val="20"/>
          <w:szCs w:val="20"/>
        </w:rPr>
      </w:pPr>
      <w:r w:rsidRPr="00453762">
        <w:rPr>
          <w:rFonts w:ascii="Verdana" w:hAnsi="Verdana" w:cs="Arial"/>
          <w:sz w:val="20"/>
          <w:szCs w:val="20"/>
        </w:rPr>
        <w:t xml:space="preserve">Se comprende con facilidad que el régimen de inhabilidades e </w:t>
      </w:r>
      <w:proofErr w:type="gramStart"/>
      <w:r w:rsidRPr="00453762">
        <w:rPr>
          <w:rFonts w:ascii="Verdana" w:hAnsi="Verdana" w:cs="Arial"/>
          <w:sz w:val="20"/>
          <w:szCs w:val="20"/>
        </w:rPr>
        <w:t>incompatibilidades,</w:t>
      </w:r>
      <w:proofErr w:type="gramEnd"/>
      <w:r w:rsidRPr="00453762">
        <w:rPr>
          <w:rFonts w:ascii="Verdana" w:hAnsi="Verdana" w:cs="Arial"/>
          <w:sz w:val="20"/>
          <w:szCs w:val="20"/>
        </w:rPr>
        <w:t xml:space="preserve"> corresponde a una materia de normal y obligada inclusión en un estatuto contractual. El legislador, a quien se ha confiado expedir el indicado estatuto, tiene, pues, competencia para establecerlo (CP art. 150)”</w:t>
      </w:r>
      <w:r w:rsidRPr="00453762">
        <w:rPr>
          <w:rStyle w:val="Refdenotaalpie"/>
          <w:rFonts w:ascii="Verdana" w:hAnsi="Verdana" w:cs="Arial"/>
          <w:sz w:val="20"/>
          <w:szCs w:val="20"/>
        </w:rPr>
        <w:footnoteReference w:id="9"/>
      </w:r>
      <w:r w:rsidRPr="00453762">
        <w:rPr>
          <w:rFonts w:ascii="Verdana" w:hAnsi="Verdana" w:cs="Arial"/>
          <w:sz w:val="20"/>
          <w:szCs w:val="20"/>
        </w:rPr>
        <w:t>.</w:t>
      </w:r>
    </w:p>
    <w:p w14:paraId="3EED5E1A" w14:textId="77777777" w:rsidR="00227B88" w:rsidRPr="00911055" w:rsidRDefault="00227B88" w:rsidP="00227B88">
      <w:pPr>
        <w:spacing w:after="0" w:line="276" w:lineRule="auto"/>
        <w:ind w:left="709" w:right="709"/>
        <w:jc w:val="both"/>
        <w:rPr>
          <w:rFonts w:ascii="Verdana" w:hAnsi="Verdana" w:cs="Arial"/>
        </w:rPr>
      </w:pPr>
    </w:p>
    <w:p w14:paraId="333FEE21" w14:textId="77777777" w:rsidR="00227B88" w:rsidRPr="00911055" w:rsidRDefault="00227B88" w:rsidP="00227B88">
      <w:pPr>
        <w:spacing w:line="276" w:lineRule="auto"/>
        <w:ind w:firstLine="709"/>
        <w:jc w:val="both"/>
        <w:rPr>
          <w:rFonts w:ascii="Verdana" w:hAnsi="Verdana" w:cs="Arial"/>
        </w:rPr>
      </w:pPr>
      <w:r w:rsidRPr="00911055">
        <w:rPr>
          <w:rFonts w:ascii="Verdana" w:hAnsi="Verdana" w:cs="Arial"/>
        </w:rPr>
        <w:t xml:space="preserve">Conviene también distinguir las fuentes de las inhabilidades, las cuales han sido clasificadas en dos (2) grupos: i) inhabilidades-sanción y </w:t>
      </w:r>
      <w:proofErr w:type="spellStart"/>
      <w:r w:rsidRPr="00911055">
        <w:rPr>
          <w:rFonts w:ascii="Verdana" w:hAnsi="Verdana" w:cs="Arial"/>
        </w:rPr>
        <w:t>ii</w:t>
      </w:r>
      <w:proofErr w:type="spellEnd"/>
      <w:r w:rsidRPr="00911055">
        <w:rPr>
          <w:rFonts w:ascii="Verdana" w:hAnsi="Verdana" w:cs="Arial"/>
        </w:rPr>
        <w:t>)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911055">
        <w:rPr>
          <w:rStyle w:val="Refdenotaalpie"/>
          <w:rFonts w:ascii="Verdana" w:hAnsi="Verdana" w:cs="Arial"/>
        </w:rPr>
        <w:footnoteReference w:id="10"/>
      </w:r>
      <w:r w:rsidRPr="00911055">
        <w:rPr>
          <w:rFonts w:ascii="Verdana" w:hAnsi="Verdana" w:cs="Arial"/>
        </w:rPr>
        <w:t>.</w:t>
      </w:r>
    </w:p>
    <w:p w14:paraId="369F23EF" w14:textId="77777777" w:rsidR="00227B88" w:rsidRPr="00911055" w:rsidRDefault="00227B88" w:rsidP="00227B88">
      <w:pPr>
        <w:spacing w:before="120" w:after="120" w:line="276" w:lineRule="auto"/>
        <w:ind w:firstLine="709"/>
        <w:jc w:val="both"/>
        <w:rPr>
          <w:rFonts w:ascii="Verdana" w:hAnsi="Verdana" w:cs="Arial"/>
        </w:rPr>
      </w:pPr>
      <w:r w:rsidRPr="00911055">
        <w:rPr>
          <w:rFonts w:ascii="Verdana" w:hAnsi="Verdana" w:cs="Arial"/>
        </w:rPr>
        <w:t xml:space="preserve">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bookmarkStart w:id="3" w:name="_Hlk40976328"/>
      <w:r w:rsidRPr="00911055">
        <w:rPr>
          <w:rFonts w:ascii="Verdana" w:hAnsi="Verdana" w:cs="Arial"/>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bookmarkEnd w:id="3"/>
    </w:p>
    <w:p w14:paraId="1232474B" w14:textId="77777777" w:rsidR="00227B88" w:rsidRPr="00911055" w:rsidRDefault="00227B88" w:rsidP="00227B88">
      <w:pPr>
        <w:spacing w:after="120" w:line="276" w:lineRule="auto"/>
        <w:ind w:firstLine="708"/>
        <w:jc w:val="both"/>
        <w:rPr>
          <w:rFonts w:ascii="Verdana" w:eastAsia="Calibri" w:hAnsi="Verdana" w:cs="Arial"/>
          <w:lang w:val="es-ES_tradnl"/>
        </w:rPr>
      </w:pPr>
      <w:r w:rsidRPr="00911055">
        <w:rPr>
          <w:rFonts w:ascii="Verdana" w:eastAsia="Calibri" w:hAnsi="Verdana" w:cs="Arial"/>
          <w:i/>
          <w:iCs/>
          <w:lang w:val="es-ES_tradnl"/>
        </w:rPr>
        <w:lastRenderedPageBreak/>
        <w:t>Igualmente</w:t>
      </w:r>
      <w:r w:rsidRPr="00911055">
        <w:rPr>
          <w:rFonts w:ascii="Verdana" w:eastAsia="Calibri" w:hAnsi="Verdana" w:cs="Arial"/>
          <w:lang w:val="es-ES_tradnl"/>
        </w:rPr>
        <w:t xml:space="preserve">, </w:t>
      </w:r>
      <w:bookmarkStart w:id="4" w:name="_Hlk135133412"/>
      <w:r w:rsidRPr="00911055">
        <w:rPr>
          <w:rFonts w:ascii="Verdana" w:eastAsia="Calibri" w:hAnsi="Verdana" w:cs="Arial"/>
          <w:lang w:val="es-ES_tradnl"/>
        </w:rPr>
        <w:t xml:space="preserve">en la contratación estatal, la </w:t>
      </w:r>
      <w:r w:rsidRPr="00911055">
        <w:rPr>
          <w:rFonts w:ascii="Verdana" w:eastAsia="Calibri" w:hAnsi="Verdana" w:cs="Arial"/>
          <w:i/>
          <w:iCs/>
          <w:lang w:val="es-ES_tradnl"/>
        </w:rPr>
        <w:t>capacidad</w:t>
      </w:r>
      <w:r w:rsidRPr="00911055">
        <w:rPr>
          <w:rFonts w:ascii="Verdana" w:eastAsia="Calibri" w:hAnsi="Verdana" w:cs="Arial"/>
          <w:lang w:val="es-ES_tradnl"/>
        </w:rPr>
        <w:t xml:space="preserve"> también es un requisito de validez de los contratos, tanto en el régimen de las entidades sujetas al Estatuto General de Contratación de la Administración Pública</w:t>
      </w:r>
      <w:r w:rsidRPr="00911055">
        <w:rPr>
          <w:rStyle w:val="Refdenotaalpie"/>
          <w:rFonts w:ascii="Verdana" w:eastAsia="Calibri" w:hAnsi="Verdana" w:cs="Arial"/>
          <w:lang w:val="es-ES_tradnl"/>
        </w:rPr>
        <w:footnoteReference w:id="11"/>
      </w:r>
      <w:r w:rsidRPr="00911055">
        <w:rPr>
          <w:rFonts w:ascii="Verdana" w:eastAsia="Calibri" w:hAnsi="Verdana" w:cs="Arial"/>
          <w:lang w:val="es-ES_tradnl"/>
        </w:rPr>
        <w:t xml:space="preserve"> como en el de las entidades exceptuadas de aquel</w:t>
      </w:r>
      <w:r w:rsidRPr="00911055">
        <w:rPr>
          <w:rStyle w:val="Refdenotaalpie"/>
          <w:rFonts w:ascii="Verdana" w:eastAsia="Calibri" w:hAnsi="Verdana" w:cs="Arial"/>
          <w:lang w:val="es-ES_tradnl"/>
        </w:rPr>
        <w:footnoteReference w:id="12"/>
      </w:r>
      <w:r w:rsidRPr="00911055">
        <w:rPr>
          <w:rFonts w:ascii="Verdana" w:eastAsia="Calibri" w:hAnsi="Verdana" w:cs="Arial"/>
          <w:lang w:val="es-ES_tradnl"/>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911055">
        <w:rPr>
          <w:rStyle w:val="Refdenotaalpie"/>
          <w:rFonts w:ascii="Verdana" w:eastAsia="Calibri" w:hAnsi="Verdana" w:cs="Arial"/>
          <w:lang w:val="es-ES_tradnl"/>
        </w:rPr>
        <w:footnoteReference w:id="13"/>
      </w:r>
      <w:r w:rsidRPr="00911055">
        <w:rPr>
          <w:rFonts w:ascii="Verdana" w:eastAsia="Calibri" w:hAnsi="Verdana" w:cs="Arial"/>
          <w:lang w:val="es-ES_tradnl"/>
        </w:rPr>
        <w:t>–, se destaca el régimen de inhabilidades e incompatibilidades como un conjunto de normas que imponen restricciones para los sujetos que, eventualmente, pretendan participar en los procedimientos de selección o celebrar contratos con las entidades estatales</w:t>
      </w:r>
      <w:r w:rsidRPr="00911055">
        <w:rPr>
          <w:rStyle w:val="Refdenotaalpie"/>
          <w:rFonts w:ascii="Verdana" w:eastAsia="Calibri" w:hAnsi="Verdana" w:cs="Arial"/>
          <w:lang w:val="es-ES_tradnl"/>
        </w:rPr>
        <w:footnoteReference w:id="14"/>
      </w:r>
      <w:r w:rsidRPr="00911055">
        <w:rPr>
          <w:rFonts w:ascii="Verdana" w:eastAsia="Calibri" w:hAnsi="Verdana" w:cs="Arial"/>
          <w:lang w:val="es-ES_tradnl"/>
        </w:rPr>
        <w:t>.</w:t>
      </w:r>
    </w:p>
    <w:p w14:paraId="2DE5B5F4" w14:textId="77777777" w:rsidR="00227B88" w:rsidRPr="00911055" w:rsidRDefault="00227B88" w:rsidP="00227B88">
      <w:pPr>
        <w:spacing w:after="120" w:line="276" w:lineRule="auto"/>
        <w:ind w:firstLine="709"/>
        <w:jc w:val="both"/>
        <w:rPr>
          <w:rFonts w:ascii="Verdana" w:eastAsia="Calibri" w:hAnsi="Verdana" w:cs="Arial"/>
          <w:lang w:val="es-ES"/>
        </w:rPr>
      </w:pPr>
      <w:r w:rsidRPr="01169EBA">
        <w:rPr>
          <w:rFonts w:ascii="Verdana" w:eastAsia="Calibri" w:hAnsi="Verdana" w:cs="Arial"/>
          <w:lang w:val="es-ES"/>
        </w:rPr>
        <w:t xml:space="preserve">Las inhabilidades son prohibiciones para concurrir a los procedimientos de selección y para contratar con el Estado, que se derivan: i) de la existencia de comportamientos reprochables o de sanciones anteriormente impuestas, </w:t>
      </w:r>
      <w:proofErr w:type="spellStart"/>
      <w:r w:rsidRPr="01169EBA">
        <w:rPr>
          <w:rFonts w:ascii="Verdana" w:eastAsia="Calibri" w:hAnsi="Verdana" w:cs="Arial"/>
          <w:lang w:val="es-ES"/>
        </w:rPr>
        <w:t>ii</w:t>
      </w:r>
      <w:proofErr w:type="spellEnd"/>
      <w:r w:rsidRPr="01169EBA">
        <w:rPr>
          <w:rFonts w:ascii="Verdana" w:eastAsia="Calibri" w:hAnsi="Verdana" w:cs="Arial"/>
          <w:lang w:val="es-ES"/>
        </w:rPr>
        <w:t xml:space="preserve">) de vínculos personales relativos al parentesco o al estado civil o </w:t>
      </w:r>
      <w:proofErr w:type="spellStart"/>
      <w:r w:rsidRPr="01169EBA">
        <w:rPr>
          <w:rFonts w:ascii="Verdana" w:eastAsia="Calibri" w:hAnsi="Verdana" w:cs="Arial"/>
          <w:lang w:val="es-ES"/>
        </w:rPr>
        <w:t>iii</w:t>
      </w:r>
      <w:proofErr w:type="spellEnd"/>
      <w:r w:rsidRPr="01169EBA">
        <w:rPr>
          <w:rFonts w:ascii="Verdana" w:eastAsia="Calibri" w:hAnsi="Verdana" w:cs="Arial"/>
          <w:lang w:val="es-ES"/>
        </w:rPr>
        <w:t xml:space="preserve">) de una actividad u oficio que se desempeñó en el pasado. De otro lado, las incompatibilidades, </w:t>
      </w:r>
      <w:r w:rsidRPr="01169EBA">
        <w:rPr>
          <w:rFonts w:ascii="Verdana" w:eastAsia="Calibri" w:hAnsi="Verdana" w:cs="Arial"/>
          <w:lang w:val="es-ES"/>
        </w:rPr>
        <w:lastRenderedPageBreak/>
        <w:t>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En todo caso, a pesar de la existencia de distintos criterios para diferenciar las inhabilidades de las incompatibilidades, de la presencia de ellas se derivan las mismas consecuencias jurídicas, esto es, la limitación de la capacidad contractual, de manera que la presencia de ellas impide que se puedan celebrar contratos con el Estado o participar en procedimientos de selección de las entidades estatales, por lo que de cualquiera de ellas se derivan los mismos efectos jurídicos</w:t>
      </w:r>
      <w:r w:rsidRPr="01169EBA">
        <w:rPr>
          <w:rStyle w:val="Refdenotaalpie"/>
          <w:rFonts w:ascii="Verdana" w:eastAsia="Calibri" w:hAnsi="Verdana" w:cs="Arial"/>
          <w:lang w:val="es-ES"/>
        </w:rPr>
        <w:footnoteReference w:id="15"/>
      </w:r>
      <w:r w:rsidRPr="01169EBA">
        <w:rPr>
          <w:rFonts w:ascii="Verdana" w:eastAsia="Calibri" w:hAnsi="Verdana" w:cs="Arial"/>
          <w:lang w:val="es-ES"/>
        </w:rPr>
        <w:t>.</w:t>
      </w:r>
    </w:p>
    <w:bookmarkEnd w:id="4"/>
    <w:p w14:paraId="608223D6" w14:textId="77777777" w:rsidR="00227B88" w:rsidRPr="00911055" w:rsidRDefault="00227B88" w:rsidP="00227B88">
      <w:pPr>
        <w:spacing w:after="120" w:line="276" w:lineRule="auto"/>
        <w:ind w:firstLine="709"/>
        <w:jc w:val="both"/>
        <w:rPr>
          <w:rFonts w:ascii="Verdana" w:eastAsia="Calibri" w:hAnsi="Verdana" w:cs="Arial"/>
          <w:lang w:val="es-ES"/>
        </w:rPr>
      </w:pPr>
      <w:r w:rsidRPr="01169EBA">
        <w:rPr>
          <w:rFonts w:ascii="Verdana" w:eastAsia="Calibri" w:hAnsi="Verdana" w:cs="Arial"/>
          <w:lang w:val="es-ES"/>
        </w:rPr>
        <w:t>De otro lado, el régimen de inhabilidades e incompatibilidades en la contratación pública responde a la tendencia, vigente desde hace varias décadas en nuestro país, pero que se ha reforzado en los últimos años, de asegurar que la actividad de provisión de los bienes, obras y servicios por parte de las entidades estatales se efectúe cumpliendo con los principios de la función administrativa y de la gestión fiscal, especialmente con probidad y transparencia. Por ello, como destaca la doctrina, las inhabilidades e incompatibilidades son herramientas en la lucha contra la corrupción, adoptando paulatinamente una naturaleza sancionatoria o “</w:t>
      </w:r>
      <w:proofErr w:type="spellStart"/>
      <w:r w:rsidRPr="01169EBA">
        <w:rPr>
          <w:rFonts w:ascii="Verdana" w:eastAsia="Calibri" w:hAnsi="Verdana" w:cs="Arial"/>
          <w:lang w:val="es-ES"/>
        </w:rPr>
        <w:t>neopunitiva</w:t>
      </w:r>
      <w:proofErr w:type="spellEnd"/>
      <w:r w:rsidRPr="01169EBA">
        <w:rPr>
          <w:rFonts w:ascii="Verdana" w:eastAsia="Calibri" w:hAnsi="Verdana" w:cs="Arial"/>
          <w:lang w:val="es-ES"/>
        </w:rPr>
        <w:t>”</w:t>
      </w:r>
      <w:r w:rsidRPr="01169EBA">
        <w:rPr>
          <w:rStyle w:val="Refdenotaalpie"/>
          <w:rFonts w:ascii="Verdana" w:eastAsia="Calibri" w:hAnsi="Verdana" w:cs="Arial"/>
          <w:lang w:val="es-ES"/>
        </w:rPr>
        <w:footnoteReference w:id="16"/>
      </w:r>
      <w:r w:rsidRPr="01169EBA">
        <w:rPr>
          <w:rFonts w:ascii="Verdana" w:eastAsia="Calibri" w:hAnsi="Verdana" w:cs="Arial"/>
          <w:lang w:val="es-ES"/>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7BA5AC8B" w14:textId="77777777" w:rsidR="00227B88" w:rsidRPr="00911055" w:rsidRDefault="00227B88" w:rsidP="00227B88">
      <w:pPr>
        <w:spacing w:after="0" w:line="276" w:lineRule="auto"/>
        <w:ind w:firstLine="708"/>
        <w:jc w:val="both"/>
        <w:rPr>
          <w:rFonts w:ascii="Verdana" w:eastAsia="Calibri" w:hAnsi="Verdana" w:cs="Arial"/>
          <w:lang w:val="es-ES_tradnl"/>
        </w:rPr>
      </w:pPr>
      <w:r w:rsidRPr="00911055">
        <w:rPr>
          <w:rFonts w:ascii="Verdana" w:eastAsia="Calibri" w:hAnsi="Verdana" w:cs="Arial"/>
          <w:lang w:val="es-ES_tradnl"/>
        </w:rPr>
        <w:lastRenderedPageBreak/>
        <w:t>Ahora bien, el literal a) del artículo 8.1 de la Ley 80 de 1993 dispone que son inhábiles para participar procesos de selección y para celebrar contratos estatales “Las personas que se hallen inhabilitadas para contratar por la Constitución y las leyes”. De esta manera, el régimen de inhabilidades en el sistema de compras públicas no se agota en el artículo 8 precitado, sino que se integra con otras normas del ordenamiento jurídico. Asimismo, todas se extienden a las entidades exceptuadas del EGCAP, especialmente, cuando el inciso primero del artículo 13 de la Ley 1150 de 2007 prescribe que “[…]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 Incluso, en virtud del artículo 6 del Decreto 092 de 2017, también hacen parte de los negocios jurídicos que se suscriban con las ESAL conforme a los artículos 355 constitucional o 96 de la Ley 489 de 1998</w:t>
      </w:r>
      <w:r w:rsidRPr="00911055">
        <w:rPr>
          <w:rStyle w:val="Refdenotaalpie"/>
          <w:rFonts w:ascii="Verdana" w:eastAsia="Calibri" w:hAnsi="Verdana" w:cs="Arial"/>
          <w:lang w:val="es-ES_tradnl"/>
        </w:rPr>
        <w:footnoteReference w:id="17"/>
      </w:r>
      <w:r w:rsidRPr="00911055">
        <w:rPr>
          <w:rFonts w:ascii="Verdana" w:eastAsia="Calibri" w:hAnsi="Verdana" w:cs="Arial"/>
          <w:lang w:val="es-ES_tradnl"/>
        </w:rPr>
        <w:t>.</w:t>
      </w:r>
    </w:p>
    <w:p w14:paraId="1DD94E9A" w14:textId="77777777" w:rsidR="00227B88" w:rsidRPr="00911055" w:rsidRDefault="00227B88" w:rsidP="00227B88">
      <w:pPr>
        <w:spacing w:after="0" w:line="276" w:lineRule="auto"/>
        <w:ind w:firstLine="708"/>
        <w:jc w:val="both"/>
        <w:rPr>
          <w:rFonts w:ascii="Verdana" w:eastAsia="Calibri" w:hAnsi="Verdana" w:cs="Arial"/>
          <w:lang w:val="es-ES_tradnl"/>
        </w:rPr>
      </w:pPr>
    </w:p>
    <w:p w14:paraId="34A93865" w14:textId="5B550775" w:rsidR="00227B88" w:rsidRPr="00911055" w:rsidRDefault="00A1239B" w:rsidP="00227B88">
      <w:pPr>
        <w:spacing w:after="120" w:line="276" w:lineRule="auto"/>
        <w:jc w:val="both"/>
        <w:rPr>
          <w:rFonts w:ascii="Verdana" w:eastAsia="Calibri" w:hAnsi="Verdana" w:cs="Arial"/>
          <w:lang w:val="es-ES_tradnl"/>
        </w:rPr>
      </w:pPr>
      <w:proofErr w:type="spellStart"/>
      <w:r>
        <w:rPr>
          <w:rFonts w:ascii="Verdana" w:eastAsia="Calibri" w:hAnsi="Verdana" w:cs="Arial"/>
          <w:lang w:val="es-ES_tradnl"/>
        </w:rPr>
        <w:t>ix</w:t>
      </w:r>
      <w:proofErr w:type="spellEnd"/>
      <w:r w:rsidR="00227B88" w:rsidRPr="00911055">
        <w:rPr>
          <w:rFonts w:ascii="Verdana" w:eastAsia="Calibri" w:hAnsi="Verdana" w:cs="Arial"/>
          <w:lang w:val="es-ES_tradnl"/>
        </w:rPr>
        <w:t xml:space="preserve">. Para efectos del literal a) del artículo 2.1.4.3.2.1 del Decreto 1081 de 2015, adicionado por el artículo 1 del Decreto 1600 de 2024, el Estatuto General de Contratación de la Administración Pública regula algunas inhabilidades relacionadas con la existencia de situaciones de control. Por ejemplo, este el caso de </w:t>
      </w:r>
      <w:r w:rsidR="00227B88" w:rsidRPr="00911055">
        <w:rPr>
          <w:rFonts w:ascii="Verdana" w:hAnsi="Verdana" w:cs="Arial"/>
        </w:rPr>
        <w:t>la inhabilidad del literal j</w:t>
      </w:r>
      <w:r w:rsidR="00227B88">
        <w:rPr>
          <w:rFonts w:ascii="Verdana" w:hAnsi="Verdana" w:cs="Arial"/>
        </w:rPr>
        <w:t>)</w:t>
      </w:r>
      <w:r w:rsidR="00227B88" w:rsidRPr="00911055">
        <w:rPr>
          <w:rFonts w:ascii="Verdana" w:hAnsi="Verdana" w:cs="Arial"/>
        </w:rPr>
        <w:t xml:space="preserve"> del numeral 1° del artículo 8 de la Ley 80 de 1993, introducida inicialmente por el derogado artículo 18 de la Ley 1150 de 2007. </w:t>
      </w:r>
      <w:r w:rsidR="00227B88" w:rsidRPr="00911055">
        <w:rPr>
          <w:rFonts w:ascii="Verdana" w:hAnsi="Verdana" w:cs="Arial"/>
          <w:color w:val="000000" w:themeColor="text1"/>
        </w:rPr>
        <w:t>Conforme a la norma citada, estaban inhabilitados “Las personas naturales que hayan sido declaradas responsables judicialmente por la comisión de delitos de peculado, concusión, cohecho, prevaricato en todas sus modalidades y soborno transnacional, así como sus equivalentes en otras jurisdicciones. Esta inhabilidad se extenderá a las sociedades de que sean socias tales personas, con excepción de las sociedades anónimas abiertas”.</w:t>
      </w:r>
    </w:p>
    <w:p w14:paraId="5AE55B59" w14:textId="77777777" w:rsidR="00227B88" w:rsidRPr="00911055" w:rsidRDefault="00227B88" w:rsidP="00227B88">
      <w:pPr>
        <w:spacing w:after="120" w:line="276" w:lineRule="auto"/>
        <w:ind w:firstLine="708"/>
        <w:jc w:val="both"/>
        <w:rPr>
          <w:rFonts w:ascii="Verdana" w:hAnsi="Verdana" w:cs="Arial"/>
          <w:color w:val="000000" w:themeColor="text1"/>
        </w:rPr>
      </w:pPr>
      <w:r w:rsidRPr="00911055">
        <w:rPr>
          <w:rFonts w:ascii="Verdana" w:hAnsi="Verdana" w:cs="Arial"/>
          <w:color w:val="000000" w:themeColor="text1"/>
        </w:rPr>
        <w:t xml:space="preserve">Con esta norma, el legislador hizo más severo el régimen de inhabilidades para la persona natural. Además de restringir su capacidad jurídica para </w:t>
      </w:r>
      <w:r w:rsidRPr="00911055">
        <w:rPr>
          <w:rFonts w:ascii="Verdana" w:hAnsi="Verdana" w:cs="Arial"/>
          <w:color w:val="000000" w:themeColor="text1"/>
        </w:rPr>
        <w:lastRenderedPageBreak/>
        <w:t>participar en procesos de selección y celebrar contratos con las entidades estatales, también estará impedida para apoyarse en los diversos tipos societarios previstos en la legislación mercantil para mantener el vínculo contractual con el Estado. Como explica la Corte Constitucional, “[…] el legislador pretende que la persona natural inhabilitada cumpla realmente con la sanción proveniente de la condena judicial que la declaró responsable de los delitos que allí se mencionan”</w:t>
      </w:r>
      <w:r w:rsidRPr="00911055">
        <w:rPr>
          <w:rStyle w:val="Refdenotaalpie"/>
          <w:rFonts w:ascii="Verdana" w:hAnsi="Verdana" w:cs="Arial"/>
          <w:color w:val="000000" w:themeColor="text1"/>
        </w:rPr>
        <w:footnoteReference w:id="18"/>
      </w:r>
      <w:r w:rsidRPr="00911055">
        <w:rPr>
          <w:rFonts w:ascii="Verdana" w:hAnsi="Verdana" w:cs="Arial"/>
          <w:color w:val="000000" w:themeColor="text1"/>
        </w:rPr>
        <w:t xml:space="preserve">. </w:t>
      </w:r>
    </w:p>
    <w:p w14:paraId="2BEE4B50" w14:textId="77777777" w:rsidR="00227B88" w:rsidRPr="00911055" w:rsidRDefault="00227B88" w:rsidP="00227B88">
      <w:pPr>
        <w:spacing w:after="120" w:line="276" w:lineRule="auto"/>
        <w:ind w:firstLine="708"/>
        <w:jc w:val="both"/>
        <w:rPr>
          <w:rFonts w:ascii="Verdana" w:hAnsi="Verdana" w:cs="Arial"/>
          <w:color w:val="000000" w:themeColor="text1"/>
        </w:rPr>
      </w:pPr>
      <w:r w:rsidRPr="00911055">
        <w:rPr>
          <w:rFonts w:ascii="Verdana" w:hAnsi="Verdana" w:cs="Arial"/>
          <w:color w:val="000000" w:themeColor="text1"/>
        </w:rPr>
        <w:t xml:space="preserve">Sin embargo, esta causal ha sido modificada por la Leyes 1474 de 2011, 1778 de 2016 y 2014 de 2019. La </w:t>
      </w:r>
      <w:r w:rsidRPr="00911055">
        <w:rPr>
          <w:rFonts w:ascii="Verdana" w:hAnsi="Verdana" w:cs="Arial"/>
          <w:i/>
          <w:iCs/>
          <w:color w:val="000000" w:themeColor="text1"/>
        </w:rPr>
        <w:t>primera modificación</w:t>
      </w:r>
      <w:r w:rsidRPr="00911055">
        <w:rPr>
          <w:rFonts w:ascii="Verdana" w:hAnsi="Verdana" w:cs="Arial"/>
          <w:color w:val="000000" w:themeColor="text1"/>
        </w:rPr>
        <w:t xml:space="preserve"> circunscribió la inhabilidad a las personas naturales responsables judicialmente de la comisión de delitos contra la Administración Pública cuya pena sea privativa de la libertad o soborno transnacional, con excepción de delitos culposos; la extendió a las sociedades en las que sean socias tales personas, a sus matrices y a sus subordinadas, con excepción de las sociedades anónimas abiertas; y determinó una duración de veinte (20) años</w:t>
      </w:r>
      <w:r w:rsidRPr="00911055">
        <w:rPr>
          <w:rStyle w:val="Refdenotaalpie"/>
          <w:rFonts w:ascii="Verdana" w:hAnsi="Verdana" w:cs="Arial"/>
          <w:color w:val="000000" w:themeColor="text1"/>
        </w:rPr>
        <w:footnoteReference w:id="19"/>
      </w:r>
      <w:r w:rsidRPr="00911055">
        <w:rPr>
          <w:rFonts w:ascii="Verdana" w:hAnsi="Verdana" w:cs="Arial"/>
          <w:color w:val="000000" w:themeColor="text1"/>
        </w:rPr>
        <w:t xml:space="preserve">. </w:t>
      </w:r>
    </w:p>
    <w:p w14:paraId="6FCBF7B4" w14:textId="77777777" w:rsidR="00227B88" w:rsidRPr="00911055" w:rsidRDefault="00227B88" w:rsidP="00227B88">
      <w:pPr>
        <w:spacing w:after="120" w:line="276" w:lineRule="auto"/>
        <w:ind w:firstLine="708"/>
        <w:jc w:val="both"/>
        <w:rPr>
          <w:rFonts w:ascii="Verdana" w:hAnsi="Verdana" w:cs="Arial"/>
          <w:color w:val="000000" w:themeColor="text1"/>
        </w:rPr>
      </w:pPr>
      <w:r w:rsidRPr="00911055">
        <w:rPr>
          <w:rFonts w:ascii="Verdana" w:hAnsi="Verdana" w:cs="Arial"/>
          <w:color w:val="000000" w:themeColor="text1"/>
        </w:rPr>
        <w:t xml:space="preserve">La </w:t>
      </w:r>
      <w:r w:rsidRPr="00911055">
        <w:rPr>
          <w:rFonts w:ascii="Verdana" w:hAnsi="Verdana" w:cs="Arial"/>
          <w:i/>
          <w:iCs/>
          <w:color w:val="000000" w:themeColor="text1"/>
        </w:rPr>
        <w:t>segunda modificación</w:t>
      </w:r>
      <w:r w:rsidRPr="00911055">
        <w:rPr>
          <w:rFonts w:ascii="Verdana" w:hAnsi="Verdana" w:cs="Arial"/>
          <w:color w:val="000000" w:themeColor="text1"/>
        </w:rPr>
        <w:t xml:space="preserve"> precisó que la restricción aplicaría a las personas naturales responsables judicialmente de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Asimismo, extendió la inhabilidad a las personas jurídicas que hayan sido declaradas responsables administrativamente por la conducta de soborno transnacional. Esta limitación también aplica por un término de 20 años, y cobija a las sociedades de las que hagan parte dichas personas en calidad de administradores, representantes legales, miembros de junta directiva o de socios controlantes, a sus matrices y </w:t>
      </w:r>
      <w:r w:rsidRPr="00911055">
        <w:rPr>
          <w:rFonts w:ascii="Verdana" w:hAnsi="Verdana" w:cs="Arial"/>
          <w:color w:val="000000" w:themeColor="text1"/>
        </w:rPr>
        <w:lastRenderedPageBreak/>
        <w:t>a sus subordinadas y a las sucursales de sociedades extranjeras, con excepción de las sociedades anónimas abiertas. Sin embargo, establece la configuración preventiva de la inhabilidad aun cuando esté pendiente la impugnación de la sentencia condenatoria</w:t>
      </w:r>
      <w:r w:rsidRPr="00911055">
        <w:rPr>
          <w:rStyle w:val="Refdenotaalpie"/>
          <w:rFonts w:ascii="Verdana" w:hAnsi="Verdana" w:cs="Arial"/>
          <w:color w:val="000000" w:themeColor="text1"/>
        </w:rPr>
        <w:footnoteReference w:id="20"/>
      </w:r>
      <w:r w:rsidRPr="00911055">
        <w:rPr>
          <w:rFonts w:ascii="Verdana" w:hAnsi="Verdana" w:cs="Arial"/>
          <w:color w:val="000000" w:themeColor="text1"/>
        </w:rPr>
        <w:t xml:space="preserve">.  </w:t>
      </w:r>
    </w:p>
    <w:p w14:paraId="7EEAA4B4" w14:textId="77777777" w:rsidR="00227B88" w:rsidRPr="00911055" w:rsidRDefault="00227B88" w:rsidP="00227B88">
      <w:pPr>
        <w:spacing w:after="120" w:line="276" w:lineRule="auto"/>
        <w:ind w:firstLine="708"/>
        <w:jc w:val="both"/>
        <w:rPr>
          <w:rFonts w:ascii="Verdana" w:hAnsi="Verdana" w:cs="Arial"/>
          <w:color w:val="000000" w:themeColor="text1"/>
        </w:rPr>
      </w:pPr>
      <w:r w:rsidRPr="00911055">
        <w:rPr>
          <w:rFonts w:ascii="Verdana" w:hAnsi="Verdana" w:cs="Arial"/>
          <w:color w:val="000000" w:themeColor="text1"/>
        </w:rPr>
        <w:t xml:space="preserve">La </w:t>
      </w:r>
      <w:r w:rsidRPr="00911055">
        <w:rPr>
          <w:rFonts w:ascii="Verdana" w:hAnsi="Verdana" w:cs="Arial"/>
          <w:i/>
          <w:iCs/>
          <w:color w:val="000000" w:themeColor="text1"/>
        </w:rPr>
        <w:t>tercera modificación</w:t>
      </w:r>
      <w:r w:rsidRPr="00911055">
        <w:rPr>
          <w:rFonts w:ascii="Verdana" w:hAnsi="Verdana" w:cs="Arial"/>
          <w:color w:val="000000" w:themeColor="text1"/>
        </w:rPr>
        <w:t xml:space="preserve"> mantiene a grandes rasgos la configuración de la inhabilidad respecto a las personas naturales declaradas responsables judicialmente por la comisión de delitos relacionados con actos de corrupción, así como las personas jurídicas que hayan sido declaradas responsables administrativamente por la conducta de soborno transnacional. Además de las personas jurídicas sobre las cuales se haya ordenado la suspensión de la personería, la restricción se extiende a las sociedades de las que hagan parte dichas personas en calidad de administradores, representantes legales, miembros de junta directiva o de socios controlantes, a sus matrices y a sus subordinadas, a los grupos empresariales a los que estas pertenezcan cuando la conducta delictiva haya sido parte de una política del grupo y a las sucursales de sociedades extranjeras. Aunque conserva la configuración preventiva, tiene carácter permanente al margen de la aplicación del principio de oportunidad por cualquier delito contra la Administración pública o el patrimonio del Estado</w:t>
      </w:r>
      <w:r w:rsidRPr="00911055">
        <w:rPr>
          <w:rStyle w:val="Refdenotaalpie"/>
          <w:rFonts w:ascii="Verdana" w:hAnsi="Verdana" w:cs="Arial"/>
          <w:color w:val="000000" w:themeColor="text1"/>
        </w:rPr>
        <w:footnoteReference w:id="21"/>
      </w:r>
      <w:r w:rsidRPr="00911055">
        <w:rPr>
          <w:rFonts w:ascii="Verdana" w:hAnsi="Verdana" w:cs="Arial"/>
          <w:color w:val="000000" w:themeColor="text1"/>
        </w:rPr>
        <w:t xml:space="preserve">. </w:t>
      </w:r>
    </w:p>
    <w:p w14:paraId="0ABD9863" w14:textId="77777777" w:rsidR="00227B88" w:rsidRPr="00911055" w:rsidRDefault="00227B88" w:rsidP="00227B88">
      <w:pPr>
        <w:spacing w:after="0" w:line="276" w:lineRule="auto"/>
        <w:ind w:firstLine="708"/>
        <w:jc w:val="both"/>
        <w:rPr>
          <w:rFonts w:ascii="Verdana" w:hAnsi="Verdana" w:cs="Arial"/>
          <w:color w:val="000000" w:themeColor="text1"/>
        </w:rPr>
      </w:pPr>
      <w:r w:rsidRPr="00911055">
        <w:rPr>
          <w:rFonts w:ascii="Verdana" w:hAnsi="Verdana" w:cs="Arial"/>
          <w:color w:val="000000" w:themeColor="text1"/>
        </w:rPr>
        <w:lastRenderedPageBreak/>
        <w:t>Esta causal de inhabilidad aplica a nacionales y extranjeros, lo cual es congruente con el inciso 2 del artículo 4 de la Constitución Política de 1991</w:t>
      </w:r>
      <w:r w:rsidRPr="00911055">
        <w:rPr>
          <w:rStyle w:val="Refdenotaalpie"/>
          <w:rFonts w:ascii="Verdana" w:hAnsi="Verdana" w:cs="Arial"/>
          <w:color w:val="000000" w:themeColor="text1"/>
        </w:rPr>
        <w:footnoteReference w:id="22"/>
      </w:r>
      <w:r w:rsidRPr="00911055">
        <w:rPr>
          <w:rFonts w:ascii="Verdana" w:hAnsi="Verdana" w:cs="Arial"/>
          <w:color w:val="000000" w:themeColor="text1"/>
        </w:rPr>
        <w:t>. Por ello, considerando que la corrupción en un riesgo global, los Estados signatarios de diferentes convenciones se comprometieron a adoptar medidas para combatir estas conductas delictivas. Entre dichos instrumentos, se encuentran la Convención para combatir el cohecho de servidores públicos extranjeros en transacciones comerciales internacionales de la Organización para la Cooperación y Desarrollo Económicos -OCDE-, aprobada por Colombia mediante la Ley 1573 de 2012; la Convención de las Naciones Unidas contra la Delincuencia Organizada Transnacional, aprobada mediante la Ley 800 de 2003; así como la convención de las Naciones Unidas contra la Corrupción, aprobada por Colombia mediante la Ley 970 de 2005.</w:t>
      </w:r>
    </w:p>
    <w:p w14:paraId="268BBF58" w14:textId="77777777" w:rsidR="00227B88" w:rsidRPr="00911055" w:rsidRDefault="00227B88" w:rsidP="00227B88">
      <w:pPr>
        <w:spacing w:after="0" w:line="276" w:lineRule="auto"/>
        <w:jc w:val="both"/>
        <w:rPr>
          <w:rFonts w:ascii="Verdana" w:hAnsi="Verdana" w:cs="Arial"/>
          <w:color w:val="000000" w:themeColor="text1"/>
        </w:rPr>
      </w:pPr>
    </w:p>
    <w:p w14:paraId="5A386158" w14:textId="6D797EEA" w:rsidR="00227B88" w:rsidRPr="00911055" w:rsidRDefault="005C51CD" w:rsidP="00227B88">
      <w:pPr>
        <w:spacing w:after="0" w:line="276" w:lineRule="auto"/>
        <w:jc w:val="both"/>
        <w:rPr>
          <w:rFonts w:ascii="Verdana" w:eastAsia="Calibri" w:hAnsi="Verdana" w:cs="Arial"/>
          <w:lang w:val="es-ES_tradnl"/>
        </w:rPr>
      </w:pPr>
      <w:r>
        <w:rPr>
          <w:rFonts w:ascii="Verdana" w:hAnsi="Verdana" w:cs="Arial"/>
          <w:color w:val="000000" w:themeColor="text1"/>
        </w:rPr>
        <w:t>x</w:t>
      </w:r>
      <w:r w:rsidR="00227B88" w:rsidRPr="00911055">
        <w:rPr>
          <w:rFonts w:ascii="Verdana" w:hAnsi="Verdana" w:cs="Arial"/>
          <w:color w:val="000000" w:themeColor="text1"/>
        </w:rPr>
        <w:t xml:space="preserve">. De igual forma, </w:t>
      </w:r>
      <w:r w:rsidR="00227B88" w:rsidRPr="00911055">
        <w:rPr>
          <w:rFonts w:ascii="Verdana" w:eastAsia="Calibri" w:hAnsi="Verdana" w:cs="Arial"/>
          <w:lang w:val="es-ES_tradnl"/>
        </w:rPr>
        <w:t xml:space="preserve">se encuentra la prevista en el literal k) del artículo </w:t>
      </w:r>
      <w:r w:rsidR="00227B88">
        <w:rPr>
          <w:rFonts w:ascii="Verdana" w:eastAsia="Calibri" w:hAnsi="Verdana" w:cs="Arial"/>
          <w:lang w:val="es-ES_tradnl"/>
        </w:rPr>
        <w:t>8</w:t>
      </w:r>
      <w:r w:rsidR="00227B88" w:rsidRPr="00911055">
        <w:rPr>
          <w:rFonts w:ascii="Verdana" w:eastAsia="Calibri" w:hAnsi="Verdana" w:cs="Arial"/>
          <w:lang w:val="es-ES_tradnl"/>
        </w:rPr>
        <w:t>.1 de la Ley 80 de 1993, adicionada por el artículo 2 de la Ley 1474 de 2011 y modificada por el artículo 33 de la Ley 1778 de 2016. Esta causal recae específicamente sobre las personas naturales o jurídicas que hayan financiado campañas en la proporción señalada en la norma, y solo se configura cuando la entidad pública del nivel administrativo para el cual fue elegido el candidato celebra un contrato con las personas que financiaron su campaña. La norma dispone lo siguiente:</w:t>
      </w:r>
    </w:p>
    <w:p w14:paraId="3FFB46A9" w14:textId="77777777" w:rsidR="00227B88" w:rsidRPr="00911055" w:rsidRDefault="00227B88" w:rsidP="00227B88">
      <w:pPr>
        <w:spacing w:after="0" w:line="276" w:lineRule="auto"/>
        <w:ind w:firstLine="709"/>
        <w:jc w:val="both"/>
        <w:rPr>
          <w:rFonts w:ascii="Verdana" w:eastAsia="Calibri" w:hAnsi="Verdana" w:cs="Arial"/>
          <w:lang w:val="es-ES_tradnl"/>
        </w:rPr>
      </w:pPr>
    </w:p>
    <w:p w14:paraId="25D28522" w14:textId="77777777" w:rsidR="00227B88" w:rsidRPr="00453762" w:rsidRDefault="00227B88" w:rsidP="00227B88">
      <w:pPr>
        <w:spacing w:after="120" w:line="240" w:lineRule="auto"/>
        <w:ind w:left="709" w:right="709"/>
        <w:jc w:val="both"/>
        <w:rPr>
          <w:rFonts w:ascii="Verdana" w:hAnsi="Verdana" w:cs="Arial"/>
          <w:sz w:val="20"/>
          <w:szCs w:val="20"/>
          <w:lang w:val="es-ES"/>
        </w:rPr>
      </w:pPr>
      <w:r w:rsidRPr="00453762">
        <w:rPr>
          <w:rFonts w:ascii="Verdana" w:hAnsi="Verdana" w:cs="Arial"/>
          <w:sz w:val="20"/>
          <w:szCs w:val="20"/>
          <w:lang w:val="es-ES"/>
        </w:rPr>
        <w:lastRenderedPageBreak/>
        <w:t>“Las personas naturales o jurídicas que hayan financiado campañas políticas a la Presidencia de la República, a las gobernaciones, a las alcaldías o al Congreso de la República, con aportes superiores al dos por ciento (2.0%)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w:t>
      </w:r>
    </w:p>
    <w:p w14:paraId="184A249F" w14:textId="77777777" w:rsidR="00227B88" w:rsidRPr="00453762" w:rsidRDefault="00227B88" w:rsidP="00227B88">
      <w:pPr>
        <w:spacing w:after="120" w:line="240" w:lineRule="auto"/>
        <w:ind w:left="709" w:right="709"/>
        <w:jc w:val="both"/>
        <w:rPr>
          <w:rFonts w:ascii="Verdana" w:hAnsi="Verdana" w:cs="Arial"/>
          <w:sz w:val="20"/>
          <w:szCs w:val="20"/>
          <w:lang w:val="es-ES"/>
        </w:rPr>
      </w:pPr>
      <w:r w:rsidRPr="00453762">
        <w:rPr>
          <w:rFonts w:ascii="Verdana" w:hAnsi="Verdana" w:cs="Arial"/>
          <w:sz w:val="20"/>
          <w:szCs w:val="20"/>
          <w:lang w:val="es-ES"/>
        </w:rPr>
        <w:t>La inhabilidad se extenderá por todo el período para el cual el candidato fue elegido. Esta causal también operará para las personas que se encuentren dentro del segundo grado de consanguinidad, segundo de afinidad, o primero civil de la persona que ha financiado la campaña política.</w:t>
      </w:r>
    </w:p>
    <w:p w14:paraId="6F6BB53C" w14:textId="77777777" w:rsidR="00227B88" w:rsidRPr="00453762" w:rsidRDefault="00227B88" w:rsidP="00227B88">
      <w:pPr>
        <w:spacing w:after="120" w:line="240" w:lineRule="auto"/>
        <w:ind w:left="709" w:right="709"/>
        <w:jc w:val="both"/>
        <w:rPr>
          <w:rFonts w:ascii="Verdana" w:hAnsi="Verdana" w:cs="Arial"/>
          <w:sz w:val="20"/>
          <w:szCs w:val="20"/>
          <w:lang w:val="es-ES"/>
        </w:rPr>
      </w:pPr>
      <w:r w:rsidRPr="00453762">
        <w:rPr>
          <w:rFonts w:ascii="Verdana" w:hAnsi="Verdana" w:cs="Arial"/>
          <w:sz w:val="20"/>
          <w:szCs w:val="20"/>
          <w:lang w:val="es-ES"/>
        </w:rPr>
        <w:t>Esta inhabilidad comprenderá también a las personas jurídicas en las cuales el representante legal, los miembros de junta directiva o cualquiera de sus socios controlantes hayan financiado directamente o por interpuesta persona campañas políticas a la Presidencia de la República, a las gobernaciones, las alcaldías o al Congreso de la República.</w:t>
      </w:r>
    </w:p>
    <w:p w14:paraId="1214B7F6" w14:textId="77777777" w:rsidR="00227B88" w:rsidRPr="00453762" w:rsidRDefault="00227B88" w:rsidP="00227B88">
      <w:pPr>
        <w:spacing w:after="0" w:line="240" w:lineRule="auto"/>
        <w:ind w:left="709" w:right="709"/>
        <w:jc w:val="both"/>
        <w:rPr>
          <w:rFonts w:ascii="Verdana" w:hAnsi="Verdana" w:cs="Arial"/>
          <w:sz w:val="20"/>
          <w:szCs w:val="20"/>
          <w:lang w:val="es-ES"/>
        </w:rPr>
      </w:pPr>
      <w:r w:rsidRPr="00453762">
        <w:rPr>
          <w:rFonts w:ascii="Verdana" w:hAnsi="Verdana" w:cs="Arial"/>
          <w:sz w:val="20"/>
          <w:szCs w:val="20"/>
          <w:lang w:val="es-ES"/>
        </w:rPr>
        <w:t>La inhabilidad contemplada en esta norma no se aplicará respecto de los contratos de prestación de servicios profesionales”.</w:t>
      </w:r>
    </w:p>
    <w:p w14:paraId="3FE200E7" w14:textId="77777777" w:rsidR="00227B88" w:rsidRPr="00911055" w:rsidRDefault="00227B88" w:rsidP="00227B88">
      <w:pPr>
        <w:spacing w:after="0" w:line="276" w:lineRule="auto"/>
        <w:jc w:val="both"/>
        <w:rPr>
          <w:rFonts w:ascii="Verdana" w:hAnsi="Verdana" w:cs="Arial"/>
          <w:lang w:val="es-ES"/>
        </w:rPr>
      </w:pPr>
    </w:p>
    <w:p w14:paraId="5C498205" w14:textId="77777777" w:rsidR="00227B88" w:rsidRPr="00911055" w:rsidRDefault="00227B88" w:rsidP="00227B88">
      <w:pPr>
        <w:spacing w:after="120" w:line="276" w:lineRule="auto"/>
        <w:jc w:val="both"/>
        <w:rPr>
          <w:rFonts w:ascii="Verdana" w:hAnsi="Verdana" w:cs="Arial"/>
          <w:lang w:val="es-ES"/>
        </w:rPr>
      </w:pPr>
      <w:r w:rsidRPr="00911055">
        <w:rPr>
          <w:rFonts w:ascii="Verdana" w:hAnsi="Verdana" w:cs="Arial"/>
          <w:lang w:val="es-ES"/>
        </w:rPr>
        <w:tab/>
        <w:t>Con el objetivo de frenar la corrupción, la norma tiene un propósito moralizante en el ámbito electoral y contractual. Concretamente se orienta a impedir que las campañas políticas sean inversiones con expectativa de ganancia. En otras palabras, surge de la necesidad de “[…] establecer medidas para impedir las conexiones ilegales entre los particulares y la Administración Pública a través de financiación ilegal de campañas políticas. Para ese efecto, se prohíbe que quienes financien campañas electorales se beneficien de contratos públicos”</w:t>
      </w:r>
      <w:r w:rsidRPr="00911055">
        <w:rPr>
          <w:rStyle w:val="Refdenotaalpie"/>
          <w:rFonts w:ascii="Verdana" w:hAnsi="Verdana" w:cs="Arial"/>
          <w:lang w:val="es-ES"/>
        </w:rPr>
        <w:footnoteReference w:id="23"/>
      </w:r>
      <w:r w:rsidRPr="00911055">
        <w:rPr>
          <w:rFonts w:ascii="Verdana" w:hAnsi="Verdana" w:cs="Arial"/>
          <w:lang w:val="es-ES"/>
        </w:rPr>
        <w:t xml:space="preserve">. Sin embargo, se observan las siguientes limitaciones: i) se refiere a cargos de elección popular, es decir, no aplica a cargos de libre nombramiento y remoción, </w:t>
      </w:r>
      <w:proofErr w:type="spellStart"/>
      <w:r w:rsidRPr="00911055">
        <w:rPr>
          <w:rFonts w:ascii="Verdana" w:hAnsi="Verdana" w:cs="Arial"/>
          <w:lang w:val="es-ES"/>
        </w:rPr>
        <w:t>ii</w:t>
      </w:r>
      <w:proofErr w:type="spellEnd"/>
      <w:r w:rsidRPr="00911055">
        <w:rPr>
          <w:rFonts w:ascii="Verdana" w:hAnsi="Verdana" w:cs="Arial"/>
          <w:lang w:val="es-ES"/>
        </w:rPr>
        <w:t xml:space="preserve">) sólo cubre campañas a la Presidencia, gobernaciones, alcaldías y Congreso, dejando fuera a las elecciones para asambleas departamentales y concejos municipales y </w:t>
      </w:r>
      <w:proofErr w:type="spellStart"/>
      <w:r w:rsidRPr="00911055">
        <w:rPr>
          <w:rFonts w:ascii="Verdana" w:hAnsi="Verdana" w:cs="Arial"/>
          <w:lang w:val="es-ES"/>
        </w:rPr>
        <w:t>iii</w:t>
      </w:r>
      <w:proofErr w:type="spellEnd"/>
      <w:r w:rsidRPr="00911055">
        <w:rPr>
          <w:rFonts w:ascii="Verdana" w:hAnsi="Verdana" w:cs="Arial"/>
          <w:lang w:val="es-ES"/>
        </w:rPr>
        <w:t>) únicamente exceptúa los contratos de prestación de servicios profesionales.</w:t>
      </w:r>
    </w:p>
    <w:p w14:paraId="0B0DED6F" w14:textId="77777777" w:rsidR="00227B88" w:rsidRPr="00911055" w:rsidRDefault="00227B88" w:rsidP="00227B88">
      <w:pPr>
        <w:spacing w:after="120" w:line="276" w:lineRule="auto"/>
        <w:jc w:val="both"/>
        <w:rPr>
          <w:rFonts w:ascii="Verdana" w:hAnsi="Verdana" w:cs="Arial"/>
          <w:lang w:val="es-ES"/>
        </w:rPr>
      </w:pPr>
      <w:r w:rsidRPr="00911055">
        <w:rPr>
          <w:rFonts w:ascii="Verdana" w:hAnsi="Verdana" w:cs="Arial"/>
          <w:lang w:val="es-ES"/>
        </w:rPr>
        <w:tab/>
        <w:t xml:space="preserve">Pese a que la norma dispone que quienes participen en la financiación en las condiciones mencionadas “[…] no podrán celebrar contratos con las entidades públicas […]”, autores como Dávila Vinueza consideran que también abarca “[…] </w:t>
      </w:r>
      <w:r w:rsidRPr="00911055">
        <w:rPr>
          <w:rFonts w:ascii="Verdana" w:hAnsi="Verdana" w:cs="Arial"/>
          <w:lang w:val="es-ES"/>
        </w:rPr>
        <w:lastRenderedPageBreak/>
        <w:t>a pesar de la falta técnica y de precisión, la participación en procesos de selección lo que implica la imposibilidad de presentar ofertas”</w:t>
      </w:r>
      <w:r w:rsidRPr="00911055">
        <w:rPr>
          <w:rStyle w:val="Refdenotaalpie"/>
          <w:rFonts w:ascii="Verdana" w:hAnsi="Verdana" w:cs="Arial"/>
          <w:lang w:val="es-ES"/>
        </w:rPr>
        <w:footnoteReference w:id="24"/>
      </w:r>
      <w:r w:rsidRPr="00911055">
        <w:rPr>
          <w:rFonts w:ascii="Verdana" w:hAnsi="Verdana" w:cs="Arial"/>
          <w:lang w:val="es-ES"/>
        </w:rPr>
        <w:t>. Adicionalmente, aclara que “la prohibición se configura, no respecto de todos los candidatos participantes sino solo en relación con el elegido, pues es ahí en donde se corre el riesgo del favorecimiento con miras a pagar la donación recibida y por eso, la inhabilidad […] comienza a producir efectos desde la posesión del cargo”</w:t>
      </w:r>
      <w:r w:rsidRPr="00911055">
        <w:rPr>
          <w:rStyle w:val="Refdenotaalpie"/>
          <w:rFonts w:ascii="Verdana" w:hAnsi="Verdana" w:cs="Arial"/>
          <w:lang w:val="es-ES"/>
        </w:rPr>
        <w:footnoteReference w:id="25"/>
      </w:r>
      <w:r w:rsidRPr="00911055">
        <w:rPr>
          <w:rFonts w:ascii="Verdana" w:hAnsi="Verdana" w:cs="Arial"/>
          <w:lang w:val="es-ES"/>
        </w:rPr>
        <w:t>.</w:t>
      </w:r>
    </w:p>
    <w:p w14:paraId="305A7937" w14:textId="77777777" w:rsidR="00227B88" w:rsidRPr="00911055" w:rsidRDefault="00227B88" w:rsidP="00227B88">
      <w:pPr>
        <w:spacing w:after="120" w:line="276" w:lineRule="auto"/>
        <w:jc w:val="both"/>
        <w:rPr>
          <w:rFonts w:ascii="Verdana" w:hAnsi="Verdana" w:cs="Arial"/>
          <w:lang w:val="es-ES"/>
        </w:rPr>
      </w:pPr>
      <w:r w:rsidRPr="00911055">
        <w:rPr>
          <w:rFonts w:ascii="Verdana" w:hAnsi="Verdana" w:cs="Arial"/>
          <w:lang w:val="es-ES"/>
        </w:rPr>
        <w:tab/>
        <w:t>Para su aplicación de la causal, el artículo 109 constitucional dispone que “[…] se podrá limitar el monto de los gastos que los partidos, movimientos, grupos significativos de ciudadanos o candidatos puedan realizar en las campañas electorales, así como la máxima cuantía de las contribuciones privadas, de acuerdo con la ley” –inciso 4–. Por ello, “[…] la violación de los topes máximos de financiación de las campañas, debidamente comprobada, será sancionada con la pérdida de investidura o del cargo […]” –inciso 7–. De esta manera, el inciso segundo del artículo 14 de la Ley 130 de 1994 dispone que “Ningún candidato a cargo de elección popular podrá invertir en la respectiva campaña suma que sobrepase la que fije el Consejo Nacional Electoral, bien sea de su propio peculio, del de su familia o de contribuciones de particulares […]”.</w:t>
      </w:r>
    </w:p>
    <w:p w14:paraId="19E90E2C" w14:textId="77777777" w:rsidR="00227B88" w:rsidRPr="00911055" w:rsidRDefault="00227B88" w:rsidP="00227B88">
      <w:pPr>
        <w:spacing w:after="0" w:line="276" w:lineRule="auto"/>
        <w:jc w:val="both"/>
        <w:rPr>
          <w:rFonts w:ascii="Verdana" w:hAnsi="Verdana" w:cs="Arial"/>
          <w:lang w:val="es-ES"/>
        </w:rPr>
      </w:pPr>
      <w:r w:rsidRPr="00911055">
        <w:rPr>
          <w:rFonts w:ascii="Verdana" w:hAnsi="Verdana" w:cs="Arial"/>
          <w:lang w:val="es-ES"/>
        </w:rPr>
        <w:tab/>
        <w:t xml:space="preserve">Conforme al artículo 23 de la Ley 1475 de 2011, se reitera que “Ningún partido, movimiento, grupo significativo de ciudadanos, candidato o campaña, podrá obtener créditos ni recaudar recursos originados en fuentes de financiación privada, por más del valor total de gastos que se pueden realizar en la respectiva campaña […]”. Salvo que se trate de recursos propios, del cónyuge, compañero permanente, parientes en el grado que autoriza la ley o recursos provenientes de créditos, “[…] Tampoco podrá recaudar contribuciones y donaciones individuales superiores al 10% de dicho valor total”. Para estos efectos, el inciso primero del artículo 24 </w:t>
      </w:r>
      <w:r w:rsidRPr="00911055">
        <w:rPr>
          <w:rFonts w:ascii="Verdana" w:hAnsi="Verdana" w:cs="Arial"/>
          <w:i/>
          <w:iCs/>
          <w:lang w:val="es-ES"/>
        </w:rPr>
        <w:t>ibidem</w:t>
      </w:r>
      <w:r w:rsidRPr="00911055">
        <w:rPr>
          <w:rFonts w:ascii="Verdana" w:hAnsi="Verdana" w:cs="Arial"/>
          <w:lang w:val="es-ES"/>
        </w:rPr>
        <w:t xml:space="preserve"> precisa que “Los límites de gastos de las campañas electorales a los distintos cargos y corporaciones de elección popular serán fijados por el Consejo Nacional Electoral en el mes de enero de cada año, teniendo en cuenta los costos reales de las campañas, el correspondiente censo electoral y la apropiación presupuestal para la financiación estatal de las mismas”.</w:t>
      </w:r>
    </w:p>
    <w:p w14:paraId="1CD163A3" w14:textId="77777777" w:rsidR="00227B88" w:rsidRPr="00911055" w:rsidRDefault="00227B88" w:rsidP="00227B88">
      <w:pPr>
        <w:spacing w:after="0" w:line="276" w:lineRule="auto"/>
        <w:jc w:val="both"/>
        <w:rPr>
          <w:rFonts w:ascii="Verdana" w:eastAsia="Calibri" w:hAnsi="Verdana" w:cs="Arial"/>
        </w:rPr>
      </w:pPr>
    </w:p>
    <w:p w14:paraId="7AD647CF" w14:textId="71736591" w:rsidR="006F4EF3" w:rsidRPr="00911055" w:rsidRDefault="006F4EF3" w:rsidP="006F4EF3">
      <w:pPr>
        <w:spacing w:after="120" w:line="276" w:lineRule="auto"/>
        <w:jc w:val="both"/>
        <w:rPr>
          <w:rFonts w:ascii="Verdana" w:hAnsi="Verdana" w:cs="Arial"/>
          <w:color w:val="000000" w:themeColor="text1"/>
        </w:rPr>
      </w:pPr>
      <w:r>
        <w:rPr>
          <w:rFonts w:ascii="Verdana" w:eastAsia="Calibri" w:hAnsi="Verdana" w:cs="Arial"/>
          <w:color w:val="000000" w:themeColor="text1"/>
          <w:lang w:val="es-ES_tradnl"/>
        </w:rPr>
        <w:lastRenderedPageBreak/>
        <w:t>x</w:t>
      </w:r>
      <w:r w:rsidR="005C51CD">
        <w:rPr>
          <w:rFonts w:ascii="Verdana" w:eastAsia="Calibri" w:hAnsi="Verdana" w:cs="Arial"/>
          <w:color w:val="000000" w:themeColor="text1"/>
          <w:lang w:val="es-ES_tradnl"/>
        </w:rPr>
        <w:t>i</w:t>
      </w:r>
      <w:r>
        <w:rPr>
          <w:rFonts w:ascii="Verdana" w:eastAsia="Calibri" w:hAnsi="Verdana" w:cs="Arial"/>
          <w:color w:val="000000" w:themeColor="text1"/>
          <w:lang w:val="es-ES_tradnl"/>
        </w:rPr>
        <w:t xml:space="preserve">. Lo anterior resulta fundamental ya que, </w:t>
      </w:r>
      <w:r>
        <w:rPr>
          <w:rFonts w:ascii="Verdana" w:eastAsia="Aptos" w:hAnsi="Verdana" w:cs="Times New Roman"/>
          <w:kern w:val="2"/>
          <w14:ligatures w14:val="standardContextual"/>
        </w:rPr>
        <w:t>si se constata</w:t>
      </w:r>
      <w:r w:rsidRPr="00911055">
        <w:rPr>
          <w:rFonts w:ascii="Verdana" w:eastAsia="Aptos" w:hAnsi="Verdana" w:cs="Times New Roman"/>
          <w:kern w:val="2"/>
          <w14:ligatures w14:val="standardContextual"/>
        </w:rPr>
        <w:t xml:space="preserve"> </w:t>
      </w:r>
      <w:r w:rsidR="003E618F">
        <w:rPr>
          <w:rFonts w:ascii="Verdana" w:eastAsia="Aptos" w:hAnsi="Verdana" w:cs="Times New Roman"/>
          <w:kern w:val="2"/>
          <w14:ligatures w14:val="standardContextual"/>
        </w:rPr>
        <w:t xml:space="preserve">la existencia de </w:t>
      </w:r>
      <w:r>
        <w:rPr>
          <w:rFonts w:ascii="Verdana" w:eastAsia="Calibri" w:hAnsi="Verdana" w:cs="Arial"/>
          <w:color w:val="000000" w:themeColor="text1"/>
        </w:rPr>
        <w:t xml:space="preserve">una </w:t>
      </w:r>
      <w:r w:rsidRPr="00911055">
        <w:rPr>
          <w:rFonts w:ascii="Verdana" w:eastAsia="Calibri" w:hAnsi="Verdana" w:cs="Arial"/>
          <w:color w:val="000000" w:themeColor="text1"/>
        </w:rPr>
        <w:t xml:space="preserve">situación control tipificada como una causal de inhabilidad, procede el rechazo de la oferta, pues ésta afecta la capacidad jurídica del interesado. </w:t>
      </w:r>
      <w:r w:rsidRPr="00911055">
        <w:rPr>
          <w:rFonts w:ascii="Verdana" w:hAnsi="Verdana" w:cs="Arial"/>
          <w:color w:val="000000" w:themeColor="text1"/>
        </w:rPr>
        <w:t xml:space="preserve">Por otra parte, si tienen carácter sobreviniente, es necesario tener en cuenta que el ordenamiento jurídico trata de manera distinta al oferente, al adjudicatario y al contratista. </w:t>
      </w:r>
      <w:r w:rsidRPr="00911055">
        <w:rPr>
          <w:rFonts w:ascii="Verdana" w:hAnsi="Verdana" w:cs="Arial"/>
          <w:i/>
          <w:iCs/>
          <w:color w:val="000000" w:themeColor="text1"/>
        </w:rPr>
        <w:t>Respecto al oferente</w:t>
      </w:r>
      <w:r w:rsidRPr="00911055">
        <w:rPr>
          <w:rFonts w:ascii="Verdana" w:hAnsi="Verdana" w:cs="Arial"/>
          <w:color w:val="000000" w:themeColor="text1"/>
        </w:rPr>
        <w:t xml:space="preserve">, el inciso segundo del artículo 9 de la Ley 80 de 1993 dispone que “Cuando la inhabilidad o incompatibilidad sobrevenga en un proponente dentro de un proceso de selección, se entenderá que renuncia a la participación en el proceso de selección y a los derechos surgidos del mismo”. </w:t>
      </w:r>
      <w:r w:rsidRPr="00911055">
        <w:rPr>
          <w:rFonts w:ascii="Verdana" w:hAnsi="Verdana" w:cs="Arial"/>
          <w:i/>
          <w:iCs/>
          <w:color w:val="000000" w:themeColor="text1"/>
        </w:rPr>
        <w:t>Respecto al adjudicatario</w:t>
      </w:r>
      <w:r w:rsidRPr="00911055">
        <w:rPr>
          <w:rFonts w:ascii="Verdana" w:hAnsi="Verdana" w:cs="Arial"/>
          <w:color w:val="000000" w:themeColor="text1"/>
        </w:rPr>
        <w:t xml:space="preserve">, el inciso 3 del artículo 9 de la Ley 1150 de 2007 prescribe lo siguiente: “[…] si dentro del plazo comprendido entre la adjudicación del contrato y la suscripción </w:t>
      </w:r>
      <w:proofErr w:type="gramStart"/>
      <w:r w:rsidRPr="00911055">
        <w:rPr>
          <w:rFonts w:ascii="Verdana" w:hAnsi="Verdana" w:cs="Arial"/>
          <w:color w:val="000000" w:themeColor="text1"/>
        </w:rPr>
        <w:t>del mismo</w:t>
      </w:r>
      <w:proofErr w:type="gramEnd"/>
      <w:r w:rsidRPr="00911055">
        <w:rPr>
          <w:rFonts w:ascii="Verdana" w:hAnsi="Verdana" w:cs="Arial"/>
          <w:color w:val="000000" w:themeColor="text1"/>
        </w:rPr>
        <w:t>, sobreviene una inhabilidad o incompatibilidad […] este podrá ser revocado […]”.</w:t>
      </w:r>
    </w:p>
    <w:p w14:paraId="098DC158" w14:textId="77777777" w:rsidR="006F4EF3" w:rsidRPr="00911055" w:rsidRDefault="006F4EF3" w:rsidP="006F4EF3">
      <w:pPr>
        <w:spacing w:after="120" w:line="276" w:lineRule="auto"/>
        <w:ind w:firstLine="708"/>
        <w:jc w:val="both"/>
        <w:rPr>
          <w:rFonts w:ascii="Verdana" w:hAnsi="Verdana" w:cs="Arial"/>
          <w:color w:val="000000" w:themeColor="text1"/>
        </w:rPr>
      </w:pPr>
      <w:r w:rsidRPr="00911055">
        <w:rPr>
          <w:rFonts w:ascii="Verdana" w:hAnsi="Verdana" w:cs="Arial"/>
          <w:color w:val="000000" w:themeColor="text1"/>
        </w:rPr>
        <w:t xml:space="preserve">Sólo con el cumplimiento de los requisitos de los artículos 39 y 41 del Estatuto General de Contratación Pública existe el contrato estatal, de manera que tienen carácter solemne y, por tanto, requieren formalidad escrita. Por ello, </w:t>
      </w:r>
      <w:r w:rsidRPr="00911055">
        <w:rPr>
          <w:rFonts w:ascii="Verdana" w:hAnsi="Verdana" w:cs="Arial"/>
          <w:i/>
          <w:iCs/>
          <w:color w:val="000000" w:themeColor="text1"/>
        </w:rPr>
        <w:t>respecto al contratista</w:t>
      </w:r>
      <w:r w:rsidRPr="00911055">
        <w:rPr>
          <w:rFonts w:ascii="Verdana" w:hAnsi="Verdana" w:cs="Arial"/>
          <w:color w:val="000000" w:themeColor="text1"/>
        </w:rPr>
        <w:t xml:space="preserve">, el inciso primero del artículo 9 de la Ley 80 de 1993 dispone que “Si llegare a sobrevenir inhabilidad o incompatibilidad en el contratista, este cederá el contrato previa autorización escrita de la entidad contratante o, si ello no fuere posible, renunciará a su ejecución”. El inciso tercero </w:t>
      </w:r>
      <w:r w:rsidRPr="00911055">
        <w:rPr>
          <w:rFonts w:ascii="Verdana" w:hAnsi="Verdana" w:cs="Arial"/>
          <w:i/>
          <w:iCs/>
          <w:color w:val="000000" w:themeColor="text1"/>
        </w:rPr>
        <w:t>ibidem</w:t>
      </w:r>
      <w:r w:rsidRPr="00911055">
        <w:rPr>
          <w:rFonts w:ascii="Verdana" w:hAnsi="Verdana" w:cs="Arial"/>
          <w:color w:val="000000" w:themeColor="text1"/>
        </w:rPr>
        <w:t xml:space="preserve"> agrega lo siguiente: “Si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 </w:t>
      </w:r>
    </w:p>
    <w:p w14:paraId="1E3F0B3D" w14:textId="77777777" w:rsidR="006F4EF3" w:rsidRPr="00911055" w:rsidRDefault="006F4EF3" w:rsidP="006F4EF3">
      <w:pPr>
        <w:spacing w:after="0" w:line="276" w:lineRule="auto"/>
        <w:ind w:firstLine="708"/>
        <w:jc w:val="both"/>
        <w:rPr>
          <w:rFonts w:ascii="Verdana" w:hAnsi="Verdana" w:cs="Arial"/>
          <w:color w:val="000000" w:themeColor="text1"/>
        </w:rPr>
      </w:pPr>
      <w:r w:rsidRPr="00911055">
        <w:rPr>
          <w:rFonts w:ascii="Verdana" w:hAnsi="Verdana" w:cs="Arial"/>
          <w:color w:val="000000" w:themeColor="text1"/>
        </w:rPr>
        <w:t xml:space="preserve">Para los casos en que la situación no derive en inhabilidad, el literal a) del artículo 2.1.4.3.2.1 del Decreto 1081 de 2015, adicionado por el artículo 1 del Decreto 1600 de 2024, dispone que si “[…] se adviertan circunstancias que pudieran implicar afectaciones a la libertad de concurrencia o competencia, o a la pluralidad real de oferentes dentro del proceso de selección correspondiente, la entidad contratante deberá evaluar la necesidad de poner tales situaciones en conocimiento de los entes de control competentes y, de ser necesario, solicitar su acompañamiento preventivo […]”.  </w:t>
      </w:r>
    </w:p>
    <w:p w14:paraId="75F72CDA" w14:textId="739ED476" w:rsidR="00227B88" w:rsidRPr="003F1FA1" w:rsidRDefault="00227B88" w:rsidP="00227B88">
      <w:pPr>
        <w:spacing w:after="0" w:line="276" w:lineRule="auto"/>
        <w:jc w:val="both"/>
        <w:rPr>
          <w:rFonts w:ascii="Verdana" w:eastAsia="Calibri" w:hAnsi="Verdana" w:cs="Arial"/>
          <w:color w:val="000000" w:themeColor="text1"/>
        </w:rPr>
      </w:pPr>
    </w:p>
    <w:p w14:paraId="20C1B05F" w14:textId="28692E18" w:rsidR="004909C5" w:rsidRPr="004909C5" w:rsidRDefault="003E618F" w:rsidP="004909C5">
      <w:pPr>
        <w:spacing w:after="120" w:line="276" w:lineRule="auto"/>
        <w:ind w:right="51"/>
        <w:jc w:val="both"/>
        <w:rPr>
          <w:rFonts w:ascii="Verdana" w:hAnsi="Verdana" w:cs="Arial"/>
        </w:rPr>
      </w:pPr>
      <w:proofErr w:type="spellStart"/>
      <w:r>
        <w:rPr>
          <w:rFonts w:ascii="Verdana" w:eastAsia="Calibri" w:hAnsi="Verdana" w:cs="Arial"/>
          <w:lang w:val="es-ES_tradnl"/>
        </w:rPr>
        <w:lastRenderedPageBreak/>
        <w:t>x</w:t>
      </w:r>
      <w:r w:rsidR="005C51CD">
        <w:rPr>
          <w:rFonts w:ascii="Verdana" w:eastAsia="Calibri" w:hAnsi="Verdana" w:cs="Arial"/>
          <w:lang w:val="es-ES_tradnl"/>
        </w:rPr>
        <w:t>ii</w:t>
      </w:r>
      <w:proofErr w:type="spellEnd"/>
      <w:r>
        <w:rPr>
          <w:rFonts w:ascii="Verdana" w:eastAsia="Calibri" w:hAnsi="Verdana" w:cs="Arial"/>
          <w:lang w:val="es-ES_tradnl"/>
        </w:rPr>
        <w:t xml:space="preserve">. </w:t>
      </w:r>
      <w:r w:rsidR="004909C5" w:rsidRPr="004909C5">
        <w:rPr>
          <w:rFonts w:ascii="Verdana" w:hAnsi="Verdana" w:cs="Arial"/>
        </w:rPr>
        <w:t xml:space="preserve">En síntesis, la información relativa a las situaciones de control constituye un elemento de juicio relevante para la verificación de la capacidad jurídica dentro de los procesos de contratación estatal. Si bien dicha información no configura, en estricto sentido, un requisito habilitante autónomo, sí resulta determinante para efectos de constatar la inexistencia de inhabilidades, en particular aquellas previstas en los literales j) y k) del numeral 8.1 del Estatuto General de Contratación de la Administración Pública. </w:t>
      </w:r>
    </w:p>
    <w:p w14:paraId="4197E322" w14:textId="77777777" w:rsidR="004909C5" w:rsidRPr="004909C5" w:rsidRDefault="004909C5" w:rsidP="003F1FA1">
      <w:pPr>
        <w:spacing w:after="120" w:line="276" w:lineRule="auto"/>
        <w:ind w:right="51" w:firstLine="708"/>
        <w:jc w:val="both"/>
        <w:rPr>
          <w:rFonts w:ascii="Verdana" w:hAnsi="Verdana" w:cs="Arial"/>
        </w:rPr>
      </w:pPr>
      <w:r w:rsidRPr="004909C5">
        <w:rPr>
          <w:rFonts w:ascii="Verdana" w:hAnsi="Verdana" w:cs="Arial"/>
        </w:rPr>
        <w:t>Bajo este entendimiento, si bien el deber de verificación de las situaciones de control previsto en el literal a) del artículo 2.1.4.3.2.1 del Decreto 1081 de 2015 —adicionado por el artículo 1 del Decreto 1600 de 2024— es de aplicación obligatoria únicamente para las entidades estatales, entidades y empresas del Estado del orden nacional que integran la Rama Ejecutiva del Poder Público, ello no exonera a las demás entidades estatales de la obligación de verificar la eventual existencia de situaciones de control respecto de los proponentes en sus procesos de contratación. Lo anterior, en la medida en que, con independencia del ámbito subjetivo de aplicación de la citada disposición reglamentaria, la información sobre situaciones de control constituye un insumo indispensable para establecer que el oferente no se encuentra incurso en inhabilidades como las contempladas en los literales j) y k) del numeral 8.1 del EGCAP, ni en eventuales conflictos de interés definidos para el respectivo proceso de contratación.</w:t>
      </w:r>
    </w:p>
    <w:p w14:paraId="4EBC55C5" w14:textId="231B13AB" w:rsidR="00645197" w:rsidRPr="00E24FB2" w:rsidRDefault="00793122" w:rsidP="00793122">
      <w:pPr>
        <w:spacing w:after="120" w:line="276" w:lineRule="auto"/>
        <w:jc w:val="both"/>
        <w:rPr>
          <w:rFonts w:ascii="Verdana" w:eastAsia="Calibri" w:hAnsi="Verdana" w:cs="Arial"/>
          <w:bCs/>
          <w:color w:val="000000" w:themeColor="text1"/>
        </w:rPr>
      </w:pPr>
      <w:proofErr w:type="spellStart"/>
      <w:r>
        <w:rPr>
          <w:rFonts w:ascii="Verdana" w:eastAsia="Calibri" w:hAnsi="Verdana" w:cs="Arial"/>
        </w:rPr>
        <w:t>x</w:t>
      </w:r>
      <w:r w:rsidR="005C51CD">
        <w:rPr>
          <w:rFonts w:ascii="Verdana" w:eastAsia="Calibri" w:hAnsi="Verdana" w:cs="Arial"/>
        </w:rPr>
        <w:t>ii</w:t>
      </w:r>
      <w:r>
        <w:rPr>
          <w:rFonts w:ascii="Verdana" w:eastAsia="Calibri" w:hAnsi="Verdana" w:cs="Arial"/>
        </w:rPr>
        <w:t>i</w:t>
      </w:r>
      <w:proofErr w:type="spellEnd"/>
      <w:r>
        <w:rPr>
          <w:rFonts w:ascii="Verdana" w:eastAsia="Calibri" w:hAnsi="Verdana" w:cs="Arial"/>
        </w:rPr>
        <w:t xml:space="preserve">. </w:t>
      </w:r>
      <w:r w:rsidR="00645197"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A334F05" w14:textId="77777777" w:rsidR="00645197" w:rsidRPr="00185EE9" w:rsidRDefault="00645197" w:rsidP="00645197">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w:t>
      </w:r>
      <w:r>
        <w:rPr>
          <w:rFonts w:ascii="Verdana" w:eastAsia="Calibri" w:hAnsi="Verdana" w:cs="Arial"/>
          <w:bCs/>
          <w:color w:val="000000" w:themeColor="text1"/>
        </w:rPr>
        <w:t xml:space="preserve"> los aspectos puntuales d</w:t>
      </w:r>
      <w:r w:rsidRPr="00E853DE">
        <w:rPr>
          <w:rFonts w:ascii="Verdana" w:eastAsia="Calibri" w:hAnsi="Verdana" w:cs="Arial"/>
          <w:bCs/>
          <w:color w:val="000000" w:themeColor="text1"/>
        </w:rPr>
        <w:t xml:space="preserve">el tema objeto de consulta. Al tratarse de un análisis que debe realizarse en el procedimiento contractual específico, la Agencia no puede definir un criterio universal y absoluto por vía </w:t>
      </w:r>
      <w:r w:rsidRPr="00E853DE">
        <w:rPr>
          <w:rFonts w:ascii="Verdana" w:eastAsia="Calibri" w:hAnsi="Verdana" w:cs="Arial"/>
          <w:bCs/>
          <w:color w:val="000000" w:themeColor="text1"/>
        </w:rPr>
        <w:lastRenderedPageBreak/>
        <w:t>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0D6B2E3D" w14:textId="77777777" w:rsidR="00645197" w:rsidRPr="00182C89" w:rsidRDefault="00645197" w:rsidP="00645197">
      <w:pPr>
        <w:tabs>
          <w:tab w:val="left" w:pos="709"/>
        </w:tabs>
        <w:spacing w:after="0" w:line="276" w:lineRule="auto"/>
        <w:jc w:val="both"/>
        <w:rPr>
          <w:rFonts w:ascii="Verdana" w:eastAsia="Calibri" w:hAnsi="Verdana" w:cs="Arial"/>
          <w:color w:val="000000" w:themeColor="text1"/>
        </w:rPr>
      </w:pPr>
    </w:p>
    <w:p w14:paraId="63D98F35" w14:textId="77777777" w:rsidR="00645197" w:rsidRPr="00593A5F" w:rsidRDefault="00645197" w:rsidP="0064519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2C57D52C" w14:textId="77777777" w:rsidR="00645197" w:rsidRPr="00593A5F" w:rsidRDefault="00645197" w:rsidP="0064519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45197" w:rsidRPr="002407CE" w14:paraId="274E68D3" w14:textId="77777777" w:rsidTr="003533A3">
        <w:trPr>
          <w:trHeight w:val="870"/>
          <w:jc w:val="center"/>
        </w:trPr>
        <w:tc>
          <w:tcPr>
            <w:tcW w:w="8647" w:type="dxa"/>
          </w:tcPr>
          <w:p w14:paraId="308D9471" w14:textId="77777777" w:rsidR="005248B3" w:rsidRPr="00911055" w:rsidRDefault="005248B3" w:rsidP="00461F89">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11055">
              <w:rPr>
                <w:rFonts w:ascii="Verdana" w:hAnsi="Verdana" w:cs="Arial"/>
              </w:rPr>
              <w:t xml:space="preserve">Constitución Política de 1991, artículos </w:t>
            </w:r>
            <w:r>
              <w:rPr>
                <w:rFonts w:ascii="Verdana" w:hAnsi="Verdana" w:cs="Arial"/>
              </w:rPr>
              <w:t xml:space="preserve">84, 109, </w:t>
            </w:r>
            <w:r w:rsidRPr="00911055">
              <w:rPr>
                <w:rFonts w:ascii="Verdana" w:hAnsi="Verdana" w:cs="Arial"/>
              </w:rPr>
              <w:t>150, 209, 267 y 355.</w:t>
            </w:r>
          </w:p>
          <w:p w14:paraId="42847942" w14:textId="77777777" w:rsidR="005248B3" w:rsidRPr="00911055" w:rsidRDefault="005248B3" w:rsidP="00461F89">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11055">
              <w:rPr>
                <w:rFonts w:ascii="Verdana" w:hAnsi="Verdana" w:cs="Arial"/>
              </w:rPr>
              <w:t>Ley 80 de 1993, artículo</w:t>
            </w:r>
            <w:r>
              <w:rPr>
                <w:rFonts w:ascii="Verdana" w:hAnsi="Verdana" w:cs="Arial"/>
              </w:rPr>
              <w:t>s</w:t>
            </w:r>
            <w:r w:rsidRPr="00911055">
              <w:rPr>
                <w:rFonts w:ascii="Verdana" w:hAnsi="Verdana" w:cs="Arial"/>
              </w:rPr>
              <w:t xml:space="preserve"> 8</w:t>
            </w:r>
            <w:r>
              <w:rPr>
                <w:rFonts w:ascii="Verdana" w:hAnsi="Verdana" w:cs="Arial"/>
              </w:rPr>
              <w:t>, 9, 24, 25, 26, 30, 39, 41 y 77</w:t>
            </w:r>
            <w:r w:rsidRPr="00911055">
              <w:rPr>
                <w:rFonts w:ascii="Verdana" w:hAnsi="Verdana" w:cs="Arial"/>
              </w:rPr>
              <w:t>.</w:t>
            </w:r>
          </w:p>
          <w:p w14:paraId="66AFEC0A" w14:textId="77777777" w:rsidR="00645197" w:rsidRDefault="00645197" w:rsidP="00461F89">
            <w:pPr>
              <w:pStyle w:val="Prrafodelista"/>
              <w:widowControl w:val="0"/>
              <w:numPr>
                <w:ilvl w:val="0"/>
                <w:numId w:val="17"/>
              </w:numPr>
              <w:autoSpaceDE w:val="0"/>
              <w:autoSpaceDN w:val="0"/>
              <w:spacing w:after="120" w:line="276" w:lineRule="auto"/>
              <w:contextualSpacing w:val="0"/>
              <w:jc w:val="both"/>
              <w:rPr>
                <w:rFonts w:ascii="Verdana" w:hAnsi="Verdana" w:cs="Arial"/>
                <w:color w:val="000000" w:themeColor="text1"/>
                <w:lang w:val="es-ES_tradnl"/>
              </w:rPr>
            </w:pPr>
            <w:r>
              <w:rPr>
                <w:rFonts w:ascii="Verdana" w:hAnsi="Verdana" w:cs="Arial"/>
                <w:color w:val="000000" w:themeColor="text1"/>
                <w:lang w:val="es-ES_tradnl"/>
              </w:rPr>
              <w:t>Ley 489 de 1998, artículo 3.</w:t>
            </w:r>
          </w:p>
          <w:p w14:paraId="05FF3086" w14:textId="77777777" w:rsidR="00645197" w:rsidRDefault="00645197" w:rsidP="00461F89">
            <w:pPr>
              <w:pStyle w:val="Prrafodelista"/>
              <w:widowControl w:val="0"/>
              <w:numPr>
                <w:ilvl w:val="0"/>
                <w:numId w:val="17"/>
              </w:numPr>
              <w:autoSpaceDE w:val="0"/>
              <w:autoSpaceDN w:val="0"/>
              <w:spacing w:after="120" w:line="276" w:lineRule="auto"/>
              <w:contextualSpacing w:val="0"/>
              <w:jc w:val="both"/>
              <w:rPr>
                <w:rFonts w:ascii="Verdana" w:hAnsi="Verdana" w:cs="Arial"/>
                <w:color w:val="000000" w:themeColor="text1"/>
                <w:lang w:val="es-ES_tradnl"/>
              </w:rPr>
            </w:pPr>
            <w:r>
              <w:rPr>
                <w:rFonts w:ascii="Verdana" w:hAnsi="Verdana" w:cs="Arial"/>
                <w:color w:val="000000" w:themeColor="text1"/>
                <w:lang w:val="es-ES_tradnl"/>
              </w:rPr>
              <w:t>Ley 1150 de 2007, artículos 5 y 6.</w:t>
            </w:r>
          </w:p>
          <w:p w14:paraId="29F545F2" w14:textId="31E182D0" w:rsidR="00645197" w:rsidRDefault="00645197" w:rsidP="00461F89">
            <w:pPr>
              <w:pStyle w:val="Prrafodelista"/>
              <w:widowControl w:val="0"/>
              <w:numPr>
                <w:ilvl w:val="0"/>
                <w:numId w:val="17"/>
              </w:numPr>
              <w:autoSpaceDE w:val="0"/>
              <w:autoSpaceDN w:val="0"/>
              <w:spacing w:after="120" w:line="276" w:lineRule="auto"/>
              <w:contextualSpacing w:val="0"/>
              <w:jc w:val="both"/>
              <w:rPr>
                <w:rFonts w:ascii="Verdana" w:hAnsi="Verdana" w:cs="Arial"/>
                <w:color w:val="000000" w:themeColor="text1"/>
                <w:lang w:val="es-ES_tradnl"/>
              </w:rPr>
            </w:pPr>
            <w:r>
              <w:rPr>
                <w:rFonts w:ascii="Verdana" w:hAnsi="Verdana" w:cs="Arial"/>
                <w:color w:val="000000" w:themeColor="text1"/>
                <w:lang w:val="es-ES_tradnl"/>
              </w:rPr>
              <w:t>Ley 1447 de 2011, artículo</w:t>
            </w:r>
            <w:r w:rsidR="005248B3">
              <w:rPr>
                <w:rFonts w:ascii="Verdana" w:hAnsi="Verdana" w:cs="Arial"/>
                <w:color w:val="000000" w:themeColor="text1"/>
                <w:lang w:val="es-ES_tradnl"/>
              </w:rPr>
              <w:t>s 3 y</w:t>
            </w:r>
            <w:r>
              <w:rPr>
                <w:rFonts w:ascii="Verdana" w:hAnsi="Verdana" w:cs="Arial"/>
                <w:color w:val="000000" w:themeColor="text1"/>
                <w:lang w:val="es-ES_tradnl"/>
              </w:rPr>
              <w:t xml:space="preserve"> 13.</w:t>
            </w:r>
          </w:p>
          <w:p w14:paraId="75302902" w14:textId="77777777" w:rsidR="00D84752" w:rsidRDefault="00D84752" w:rsidP="00461F89">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11055">
              <w:rPr>
                <w:rFonts w:ascii="Verdana" w:hAnsi="Verdana" w:cs="Arial"/>
              </w:rPr>
              <w:t>Ley 1475 de 2011, artículos 23 y 24.</w:t>
            </w:r>
          </w:p>
          <w:p w14:paraId="1886A425" w14:textId="77777777" w:rsidR="00461F89" w:rsidRPr="00474A65" w:rsidRDefault="00461F89" w:rsidP="00461F89">
            <w:pPr>
              <w:pStyle w:val="Prrafodelista"/>
              <w:widowControl w:val="0"/>
              <w:numPr>
                <w:ilvl w:val="0"/>
                <w:numId w:val="17"/>
              </w:numPr>
              <w:autoSpaceDE w:val="0"/>
              <w:autoSpaceDN w:val="0"/>
              <w:spacing w:line="360" w:lineRule="auto"/>
              <w:jc w:val="both"/>
              <w:rPr>
                <w:rFonts w:ascii="Verdana" w:hAnsi="Verdana" w:cs="Arial"/>
                <w:lang w:val="es-CO"/>
              </w:rPr>
            </w:pPr>
            <w:r w:rsidRPr="00474A65">
              <w:rPr>
                <w:rFonts w:ascii="Verdana" w:eastAsia="Calibri" w:hAnsi="Verdana" w:cs="Arial"/>
                <w:bCs/>
                <w:iCs/>
                <w:lang w:val="es-CO" w:eastAsia="es-ES_tradnl"/>
              </w:rPr>
              <w:t xml:space="preserve">Ley 152 de 1994. Artículo 52. </w:t>
            </w:r>
          </w:p>
          <w:p w14:paraId="2AEA3E65" w14:textId="0053D2D9" w:rsidR="00461F89" w:rsidRPr="00911055" w:rsidRDefault="00461F89" w:rsidP="00461F89">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474A65">
              <w:rPr>
                <w:rFonts w:ascii="Verdana" w:eastAsia="Calibri" w:hAnsi="Verdana" w:cs="Arial"/>
                <w:bCs/>
                <w:iCs/>
                <w:lang w:val="es-CO" w:eastAsia="es-ES_tradnl"/>
              </w:rPr>
              <w:t>Ley 2294 de 2023. Artículo 200.</w:t>
            </w:r>
          </w:p>
          <w:p w14:paraId="6B091AB5" w14:textId="77777777" w:rsidR="00414D07" w:rsidRPr="005375C7" w:rsidRDefault="00414D07" w:rsidP="00461F89">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11055">
              <w:rPr>
                <w:rFonts w:ascii="Verdana" w:eastAsia="Calibri" w:hAnsi="Verdana" w:cs="Arial"/>
                <w:color w:val="000000" w:themeColor="text1"/>
              </w:rPr>
              <w:t xml:space="preserve">Decreto </w:t>
            </w:r>
            <w:r w:rsidRPr="00911055">
              <w:rPr>
                <w:rFonts w:ascii="Verdana" w:eastAsia="Calibri" w:hAnsi="Verdana" w:cs="Arial"/>
              </w:rPr>
              <w:t>1081 de 2015</w:t>
            </w:r>
            <w:r>
              <w:rPr>
                <w:rFonts w:ascii="Verdana" w:eastAsia="Calibri" w:hAnsi="Verdana" w:cs="Arial"/>
              </w:rPr>
              <w:t xml:space="preserve">, </w:t>
            </w:r>
            <w:r w:rsidRPr="00911055">
              <w:rPr>
                <w:rFonts w:ascii="Verdana" w:eastAsia="Calibri" w:hAnsi="Verdana" w:cs="Arial"/>
                <w:color w:val="000000" w:themeColor="text1"/>
              </w:rPr>
              <w:t>artículo 2.1.4.3.2.1</w:t>
            </w:r>
            <w:r>
              <w:rPr>
                <w:rFonts w:ascii="Verdana" w:eastAsia="Calibri" w:hAnsi="Verdana" w:cs="Arial"/>
                <w:color w:val="000000" w:themeColor="text1"/>
              </w:rPr>
              <w:t>.</w:t>
            </w:r>
          </w:p>
          <w:p w14:paraId="5752934E" w14:textId="77777777" w:rsidR="00414D07" w:rsidRPr="00911055" w:rsidRDefault="00414D07" w:rsidP="00461F89">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eastAsia="Calibri" w:hAnsi="Verdana" w:cs="Arial"/>
                <w:color w:val="000000" w:themeColor="text1"/>
              </w:rPr>
              <w:t xml:space="preserve">Decreto 1082 de 2015, artículos </w:t>
            </w:r>
            <w:r w:rsidRPr="00911055">
              <w:rPr>
                <w:rFonts w:ascii="Verdana" w:hAnsi="Verdana" w:cs="Arial"/>
              </w:rPr>
              <w:t>2.2.1.1.1.5.2</w:t>
            </w:r>
            <w:r>
              <w:rPr>
                <w:rFonts w:ascii="Verdana" w:hAnsi="Verdana" w:cs="Arial"/>
              </w:rPr>
              <w:t xml:space="preserve">, </w:t>
            </w:r>
            <w:r w:rsidRPr="00911055">
              <w:rPr>
                <w:rFonts w:ascii="Verdana" w:eastAsia="Calibri" w:hAnsi="Verdana" w:cs="Arial"/>
                <w:color w:val="000000" w:themeColor="text1"/>
                <w:lang w:val="es-ES_tradnl"/>
              </w:rPr>
              <w:t>2.2.1.1.2.2.3</w:t>
            </w:r>
            <w:r>
              <w:rPr>
                <w:rFonts w:ascii="Verdana" w:eastAsia="Calibri" w:hAnsi="Verdana" w:cs="Arial"/>
                <w:color w:val="000000" w:themeColor="text1"/>
                <w:lang w:val="es-ES_tradnl"/>
              </w:rPr>
              <w:t xml:space="preserve">, </w:t>
            </w:r>
            <w:r w:rsidRPr="00911055">
              <w:rPr>
                <w:rFonts w:ascii="Verdana" w:eastAsia="Aptos" w:hAnsi="Verdana" w:cs="Times New Roman"/>
                <w:kern w:val="2"/>
                <w14:ligatures w14:val="standardContextual"/>
              </w:rPr>
              <w:t>2.2.1.2.1.1.2</w:t>
            </w:r>
            <w:r>
              <w:rPr>
                <w:rFonts w:ascii="Verdana" w:eastAsia="Aptos" w:hAnsi="Verdana" w:cs="Times New Roman"/>
                <w:kern w:val="2"/>
                <w14:ligatures w14:val="standardContextual"/>
              </w:rPr>
              <w:t xml:space="preserve"> y </w:t>
            </w:r>
            <w:r w:rsidRPr="00911055">
              <w:rPr>
                <w:rFonts w:ascii="Verdana" w:eastAsia="Aptos" w:hAnsi="Verdana" w:cs="Times New Roman"/>
                <w:kern w:val="2"/>
                <w14:ligatures w14:val="standardContextual"/>
              </w:rPr>
              <w:t>2.2.1.2.1.2.6</w:t>
            </w:r>
            <w:r>
              <w:rPr>
                <w:rFonts w:ascii="Verdana" w:eastAsia="Aptos" w:hAnsi="Verdana" w:cs="Times New Roman"/>
                <w:kern w:val="2"/>
                <w14:ligatures w14:val="standardContextual"/>
              </w:rPr>
              <w:t>.</w:t>
            </w:r>
          </w:p>
          <w:p w14:paraId="15E9F36D" w14:textId="77777777" w:rsidR="00414D07" w:rsidRPr="007D795F" w:rsidRDefault="00414D07" w:rsidP="00461F89">
            <w:pPr>
              <w:pStyle w:val="Prrafodelista"/>
              <w:widowControl w:val="0"/>
              <w:numPr>
                <w:ilvl w:val="0"/>
                <w:numId w:val="17"/>
              </w:numPr>
              <w:autoSpaceDE w:val="0"/>
              <w:autoSpaceDN w:val="0"/>
              <w:spacing w:after="120" w:line="276" w:lineRule="auto"/>
              <w:contextualSpacing w:val="0"/>
              <w:jc w:val="both"/>
              <w:rPr>
                <w:rFonts w:ascii="Verdana" w:hAnsi="Verdana" w:cs="Arial"/>
                <w:color w:val="000000" w:themeColor="text1"/>
                <w:lang w:val="es-ES_tradnl"/>
              </w:rPr>
            </w:pPr>
            <w:r w:rsidRPr="00911055">
              <w:rPr>
                <w:rFonts w:ascii="Verdana" w:hAnsi="Verdana" w:cs="Arial"/>
              </w:rPr>
              <w:t>Decreto 1600 de 2024, artículo</w:t>
            </w:r>
            <w:r>
              <w:rPr>
                <w:rFonts w:ascii="Verdana" w:hAnsi="Verdana" w:cs="Arial"/>
              </w:rPr>
              <w:t xml:space="preserve"> </w:t>
            </w:r>
            <w:r>
              <w:rPr>
                <w:rFonts w:ascii="Verdana" w:eastAsia="Calibri" w:hAnsi="Verdana" w:cs="Arial"/>
                <w:lang w:val="es-ES_tradnl"/>
              </w:rPr>
              <w:t>1</w:t>
            </w:r>
            <w:r w:rsidRPr="00911055">
              <w:rPr>
                <w:rFonts w:ascii="Verdana" w:hAnsi="Verdana" w:cs="Arial"/>
              </w:rPr>
              <w:t>.</w:t>
            </w:r>
          </w:p>
          <w:p w14:paraId="27BA0B40" w14:textId="700E2E0A" w:rsidR="00645197" w:rsidRPr="00FF09AA" w:rsidRDefault="00414D07" w:rsidP="00461F89">
            <w:pPr>
              <w:pStyle w:val="Prrafodelista"/>
              <w:widowControl w:val="0"/>
              <w:numPr>
                <w:ilvl w:val="0"/>
                <w:numId w:val="17"/>
              </w:numPr>
              <w:autoSpaceDE w:val="0"/>
              <w:autoSpaceDN w:val="0"/>
              <w:spacing w:line="276" w:lineRule="auto"/>
              <w:contextualSpacing w:val="0"/>
              <w:jc w:val="both"/>
              <w:rPr>
                <w:rFonts w:ascii="Verdana" w:hAnsi="Verdana" w:cs="Arial"/>
                <w:color w:val="000000" w:themeColor="text1"/>
                <w:lang w:val="es-ES_tradnl"/>
              </w:rPr>
            </w:pPr>
            <w:r>
              <w:rPr>
                <w:rFonts w:ascii="Verdana" w:hAnsi="Verdana" w:cs="Arial"/>
              </w:rPr>
              <w:t>Código de Comercio, artículos 260 y 261.</w:t>
            </w:r>
          </w:p>
        </w:tc>
      </w:tr>
    </w:tbl>
    <w:p w14:paraId="06182093" w14:textId="77777777" w:rsidR="00645197" w:rsidRPr="002407CE" w:rsidRDefault="00645197" w:rsidP="00645197">
      <w:pPr>
        <w:widowControl w:val="0"/>
        <w:autoSpaceDE w:val="0"/>
        <w:autoSpaceDN w:val="0"/>
        <w:spacing w:after="0" w:line="276" w:lineRule="auto"/>
        <w:jc w:val="both"/>
        <w:rPr>
          <w:rFonts w:ascii="Verdana" w:hAnsi="Verdana" w:cs="Arial"/>
        </w:rPr>
      </w:pPr>
    </w:p>
    <w:p w14:paraId="66A66A89" w14:textId="77777777" w:rsidR="00645197" w:rsidRPr="00593A5F" w:rsidRDefault="00645197" w:rsidP="0064519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9520062" w14:textId="77777777" w:rsidR="00645197" w:rsidRPr="00593A5F" w:rsidRDefault="00645197" w:rsidP="00645197">
      <w:pPr>
        <w:widowControl w:val="0"/>
        <w:autoSpaceDE w:val="0"/>
        <w:autoSpaceDN w:val="0"/>
        <w:spacing w:after="0" w:line="276" w:lineRule="auto"/>
        <w:jc w:val="both"/>
        <w:rPr>
          <w:rFonts w:ascii="Verdana" w:hAnsi="Verdana" w:cs="Arial"/>
        </w:rPr>
      </w:pPr>
    </w:p>
    <w:p w14:paraId="3E3C96D3" w14:textId="77777777" w:rsidR="00FB6979" w:rsidRDefault="00645197" w:rsidP="00645197">
      <w:pPr>
        <w:widowControl w:val="0"/>
        <w:autoSpaceDE w:val="0"/>
        <w:autoSpaceDN w:val="0"/>
        <w:spacing w:after="120" w:line="276" w:lineRule="auto"/>
        <w:jc w:val="both"/>
        <w:rPr>
          <w:rFonts w:ascii="Verdana" w:eastAsia="Calibri" w:hAnsi="Verdana" w:cs="Times New Roman"/>
        </w:rPr>
      </w:pPr>
      <w:r w:rsidRPr="00003886">
        <w:rPr>
          <w:rFonts w:ascii="Verdana" w:hAnsi="Verdana" w:cs="Arial"/>
          <w:shd w:val="clear" w:color="auto" w:fill="FFFFFF"/>
        </w:rPr>
        <w:t xml:space="preserve">Esta Subdirección se ha pronunciado sobre </w:t>
      </w:r>
      <w:r>
        <w:rPr>
          <w:rFonts w:ascii="Verdana" w:hAnsi="Verdana" w:cs="Arial"/>
          <w:shd w:val="clear" w:color="auto" w:fill="FFFFFF"/>
        </w:rPr>
        <w:t xml:space="preserve">el Decreto 1600 de 2024 en los conceptos C-292 del 21 de abril de 2025, C-586 del 25 de junio de 2025, C-818 del 15 de julio de 2025, C-867 del 15 de julio de 2025, </w:t>
      </w:r>
      <w:r w:rsidRPr="009035FE">
        <w:rPr>
          <w:rFonts w:ascii="Verdana" w:hAnsi="Verdana" w:cs="Arial"/>
          <w:shd w:val="clear" w:color="auto" w:fill="FFFFFF"/>
        </w:rPr>
        <w:t>C – 1026 de</w:t>
      </w:r>
      <w:r>
        <w:rPr>
          <w:rFonts w:ascii="Verdana" w:hAnsi="Verdana" w:cs="Arial"/>
          <w:shd w:val="clear" w:color="auto" w:fill="FFFFFF"/>
        </w:rPr>
        <w:t>l 30 de julio de</w:t>
      </w:r>
      <w:r w:rsidRPr="009035FE">
        <w:rPr>
          <w:rFonts w:ascii="Verdana" w:hAnsi="Verdana" w:cs="Arial"/>
          <w:shd w:val="clear" w:color="auto" w:fill="FFFFFF"/>
        </w:rPr>
        <w:t xml:space="preserve"> 2025</w:t>
      </w:r>
      <w:r w:rsidR="003548F3">
        <w:rPr>
          <w:rFonts w:ascii="Verdana" w:hAnsi="Verdana" w:cs="Arial"/>
          <w:shd w:val="clear" w:color="auto" w:fill="FFFFFF"/>
        </w:rPr>
        <w:t>, C-1281 de</w:t>
      </w:r>
      <w:r w:rsidR="009E4D3A">
        <w:rPr>
          <w:rFonts w:ascii="Verdana" w:hAnsi="Verdana" w:cs="Arial"/>
          <w:shd w:val="clear" w:color="auto" w:fill="FFFFFF"/>
        </w:rPr>
        <w:t>l 14 de octubre de 2025</w:t>
      </w:r>
      <w:r w:rsidR="003548F3">
        <w:rPr>
          <w:rFonts w:ascii="Verdana" w:hAnsi="Verdana" w:cs="Arial"/>
          <w:shd w:val="clear" w:color="auto" w:fill="FFFFFF"/>
        </w:rPr>
        <w:t xml:space="preserve"> </w:t>
      </w:r>
      <w:r>
        <w:rPr>
          <w:rFonts w:ascii="Verdana" w:hAnsi="Verdana" w:cs="Arial"/>
          <w:shd w:val="clear" w:color="auto" w:fill="FFFFFF"/>
        </w:rPr>
        <w:t>y C-1328 del 1 de octubre de 2025</w:t>
      </w:r>
      <w:r>
        <w:rPr>
          <w:rFonts w:ascii="Verdana" w:hAnsi="Verdana"/>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p>
    <w:p w14:paraId="135934A0" w14:textId="77777777" w:rsidR="00FB6979" w:rsidRDefault="00FB6979" w:rsidP="00645197">
      <w:pPr>
        <w:widowControl w:val="0"/>
        <w:autoSpaceDE w:val="0"/>
        <w:autoSpaceDN w:val="0"/>
        <w:spacing w:after="120" w:line="276" w:lineRule="auto"/>
        <w:jc w:val="both"/>
        <w:rPr>
          <w:rFonts w:ascii="Verdana" w:eastAsia="Calibri" w:hAnsi="Verdana" w:cs="Times New Roman"/>
        </w:rPr>
      </w:pPr>
    </w:p>
    <w:p w14:paraId="2AA4DB96" w14:textId="6C653B31" w:rsidR="00645197" w:rsidRPr="007748C3" w:rsidRDefault="00645197" w:rsidP="00645197">
      <w:pPr>
        <w:widowControl w:val="0"/>
        <w:autoSpaceDE w:val="0"/>
        <w:autoSpaceDN w:val="0"/>
        <w:spacing w:after="120" w:line="276" w:lineRule="auto"/>
        <w:jc w:val="both"/>
        <w:rPr>
          <w:rFonts w:ascii="Verdana" w:eastAsia="Calibri" w:hAnsi="Verdana" w:cs="Times New Roman"/>
        </w:rPr>
      </w:pPr>
      <w:r w:rsidRPr="007748C3">
        <w:rPr>
          <w:rFonts w:ascii="Verdana" w:eastAsia="Calibri" w:hAnsi="Verdana" w:cs="Times New Roman"/>
        </w:rPr>
        <w:lastRenderedPageBreak/>
        <w:t>También le contamos que ya se encuentra disponible la </w:t>
      </w:r>
      <w:r w:rsidRPr="007748C3">
        <w:rPr>
          <w:rFonts w:ascii="Verdana" w:eastAsia="Calibri" w:hAnsi="Verdana" w:cs="Times New Roman"/>
          <w:b/>
          <w:bCs/>
        </w:rPr>
        <w:t>Guía de lineamientos de transparencia y selección objetiva para el departamento de La Guajira – Objetivo sexto constitucional de la Sentencia T-302 del 2017. </w:t>
      </w:r>
      <w:r w:rsidRPr="007748C3">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7748C3">
        <w:rPr>
          <w:rFonts w:ascii="Verdana" w:eastAsia="Calibri" w:hAnsi="Verdana" w:cs="Times New Roman"/>
        </w:rPr>
        <w:t>Wayúu</w:t>
      </w:r>
      <w:proofErr w:type="spellEnd"/>
      <w:r w:rsidRPr="007748C3">
        <w:rPr>
          <w:rFonts w:ascii="Verdana" w:eastAsia="Calibri" w:hAnsi="Verdana" w:cs="Times New Roman"/>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7748C3">
          <w:rPr>
            <w:rFonts w:ascii="Verdana" w:eastAsia="Calibri" w:hAnsi="Verdana" w:cs="Times New Roman"/>
            <w:color w:val="0000FF"/>
            <w:u w:val="single"/>
          </w:rPr>
          <w:t>Guía de lineamientos de transparencia y selección objetiva para el departamento de La Guajira – Objetivo sexto constitucional de la Sentencia T-302 del 2017</w:t>
        </w:r>
      </w:hyperlink>
    </w:p>
    <w:p w14:paraId="1188D2B3" w14:textId="77777777" w:rsidR="00645197" w:rsidRPr="007748C3" w:rsidRDefault="00645197" w:rsidP="00645197">
      <w:pPr>
        <w:spacing w:after="0" w:line="276" w:lineRule="auto"/>
        <w:jc w:val="both"/>
        <w:rPr>
          <w:rFonts w:ascii="Verdana" w:eastAsia="Calibri" w:hAnsi="Verdana" w:cs="Times New Roman"/>
        </w:rPr>
      </w:pPr>
    </w:p>
    <w:p w14:paraId="4907E243" w14:textId="77777777" w:rsidR="00645197" w:rsidRPr="007748C3" w:rsidRDefault="00645197" w:rsidP="00645197">
      <w:pPr>
        <w:spacing w:after="0" w:line="276" w:lineRule="auto"/>
        <w:jc w:val="both"/>
        <w:rPr>
          <w:rFonts w:ascii="Verdana" w:eastAsia="Calibri" w:hAnsi="Verdana" w:cs="Times New Roman"/>
        </w:rPr>
      </w:pPr>
      <w:r w:rsidRPr="007748C3">
        <w:rPr>
          <w:rFonts w:ascii="Verdana" w:eastAsia="Calibri" w:hAnsi="Verdana" w:cs="Times New Roman"/>
        </w:rPr>
        <w:t xml:space="preserve">Por último, lo invitamos a seguirnos en las redes sociales en las cuales se difunde información institucional: </w:t>
      </w:r>
    </w:p>
    <w:p w14:paraId="4E7FF7E2" w14:textId="77777777" w:rsidR="00645197" w:rsidRPr="007748C3" w:rsidRDefault="00645197" w:rsidP="00645197">
      <w:pPr>
        <w:spacing w:after="0" w:line="240" w:lineRule="auto"/>
        <w:jc w:val="both"/>
        <w:rPr>
          <w:rFonts w:ascii="Verdana" w:eastAsia="Calibri" w:hAnsi="Verdana" w:cs="Times New Roman"/>
        </w:rPr>
      </w:pPr>
    </w:p>
    <w:p w14:paraId="1E558740" w14:textId="77777777" w:rsidR="00645197" w:rsidRPr="007748C3" w:rsidRDefault="00645197" w:rsidP="00645197">
      <w:pPr>
        <w:spacing w:after="0" w:line="240" w:lineRule="auto"/>
        <w:jc w:val="both"/>
        <w:rPr>
          <w:rFonts w:ascii="Verdana" w:eastAsia="Calibri" w:hAnsi="Verdana" w:cs="Times New Roman"/>
        </w:rPr>
      </w:pPr>
      <w:r w:rsidRPr="007748C3">
        <w:rPr>
          <w:rFonts w:ascii="Verdana" w:eastAsia="Calibri" w:hAnsi="Verdana" w:cs="Times New Roman"/>
        </w:rPr>
        <w:t xml:space="preserve">Twitter: </w:t>
      </w:r>
      <w:r w:rsidRPr="007748C3">
        <w:rPr>
          <w:rFonts w:ascii="Verdana" w:eastAsia="Calibri" w:hAnsi="Verdana" w:cs="Times New Roman"/>
          <w:color w:val="4472C4" w:themeColor="accent1"/>
          <w:u w:val="single"/>
        </w:rPr>
        <w:t>@colombiacompra</w:t>
      </w:r>
      <w:r w:rsidRPr="007748C3">
        <w:rPr>
          <w:rFonts w:ascii="Verdana" w:eastAsia="Calibri" w:hAnsi="Verdana" w:cs="Times New Roman"/>
          <w:color w:val="4472C4" w:themeColor="accent1"/>
        </w:rPr>
        <w:t xml:space="preserve"> </w:t>
      </w:r>
    </w:p>
    <w:p w14:paraId="5232562D" w14:textId="77777777" w:rsidR="00645197" w:rsidRPr="007748C3" w:rsidRDefault="00645197" w:rsidP="00645197">
      <w:pPr>
        <w:spacing w:after="0" w:line="240" w:lineRule="auto"/>
        <w:jc w:val="both"/>
        <w:rPr>
          <w:rFonts w:ascii="Verdana" w:eastAsia="Calibri" w:hAnsi="Verdana" w:cs="Times New Roman"/>
        </w:rPr>
      </w:pPr>
      <w:r w:rsidRPr="007748C3">
        <w:rPr>
          <w:rFonts w:ascii="Verdana" w:eastAsia="Calibri" w:hAnsi="Verdana" w:cs="Times New Roman"/>
        </w:rPr>
        <w:t xml:space="preserve">Facebook: </w:t>
      </w:r>
      <w:proofErr w:type="spellStart"/>
      <w:r w:rsidRPr="007748C3">
        <w:rPr>
          <w:rFonts w:ascii="Verdana" w:eastAsia="Calibri" w:hAnsi="Verdana" w:cs="Times New Roman"/>
          <w:color w:val="4472C4" w:themeColor="accent1"/>
          <w:u w:val="single"/>
        </w:rPr>
        <w:t>ColombiaCompraEficiente</w:t>
      </w:r>
      <w:proofErr w:type="spellEnd"/>
    </w:p>
    <w:p w14:paraId="7020D177" w14:textId="77777777" w:rsidR="00645197" w:rsidRPr="007748C3" w:rsidRDefault="00645197" w:rsidP="00645197">
      <w:pPr>
        <w:spacing w:after="0" w:line="240" w:lineRule="auto"/>
        <w:jc w:val="both"/>
        <w:rPr>
          <w:rFonts w:ascii="Verdana" w:eastAsia="Calibri" w:hAnsi="Verdana" w:cs="Times New Roman"/>
        </w:rPr>
      </w:pPr>
      <w:r w:rsidRPr="007748C3">
        <w:rPr>
          <w:rFonts w:ascii="Verdana" w:eastAsia="Calibri" w:hAnsi="Verdana" w:cs="Times New Roman"/>
        </w:rPr>
        <w:t xml:space="preserve">LinkedIn: </w:t>
      </w:r>
      <w:r w:rsidRPr="007748C3">
        <w:rPr>
          <w:rFonts w:ascii="Verdana" w:eastAsia="Calibri" w:hAnsi="Verdana" w:cs="Times New Roman"/>
          <w:color w:val="4472C4" w:themeColor="accent1"/>
          <w:u w:val="single"/>
        </w:rPr>
        <w:t>Agencia Nacional de Contratación Pública - Colombia Compra Eficiente</w:t>
      </w:r>
      <w:r w:rsidRPr="007748C3">
        <w:rPr>
          <w:rFonts w:ascii="Verdana" w:eastAsia="Calibri" w:hAnsi="Verdana" w:cs="Times New Roman"/>
          <w:color w:val="4472C4" w:themeColor="accent1"/>
        </w:rPr>
        <w:t xml:space="preserve"> </w:t>
      </w:r>
      <w:r w:rsidRPr="007748C3">
        <w:rPr>
          <w:rFonts w:ascii="Verdana" w:eastAsia="Calibri" w:hAnsi="Verdana" w:cs="Times New Roman"/>
        </w:rPr>
        <w:t xml:space="preserve">Instagram: </w:t>
      </w:r>
      <w:r w:rsidRPr="007748C3">
        <w:rPr>
          <w:rFonts w:ascii="Verdana" w:eastAsia="Calibri" w:hAnsi="Verdana" w:cs="Times New Roman"/>
          <w:color w:val="4472C4" w:themeColor="accent1"/>
          <w:u w:val="single"/>
        </w:rPr>
        <w:t>@colombiacompraeficiente_cce</w:t>
      </w:r>
    </w:p>
    <w:p w14:paraId="3610A942" w14:textId="77777777" w:rsidR="00645197" w:rsidRPr="007748C3" w:rsidRDefault="00645197" w:rsidP="00645197">
      <w:pPr>
        <w:widowControl w:val="0"/>
        <w:autoSpaceDE w:val="0"/>
        <w:autoSpaceDN w:val="0"/>
        <w:spacing w:after="0" w:line="276" w:lineRule="auto"/>
        <w:jc w:val="both"/>
        <w:rPr>
          <w:rFonts w:ascii="Verdana" w:eastAsia="Calibri" w:hAnsi="Verdana" w:cs="Arial"/>
        </w:rPr>
      </w:pPr>
    </w:p>
    <w:p w14:paraId="383A1986" w14:textId="77777777" w:rsidR="00645197" w:rsidRPr="007748C3" w:rsidRDefault="00645197" w:rsidP="00645197">
      <w:pPr>
        <w:widowControl w:val="0"/>
        <w:autoSpaceDE w:val="0"/>
        <w:autoSpaceDN w:val="0"/>
        <w:spacing w:after="0" w:line="276" w:lineRule="auto"/>
        <w:jc w:val="both"/>
        <w:rPr>
          <w:rFonts w:ascii="Verdana" w:eastAsia="Calibri" w:hAnsi="Verdana" w:cs="Arial"/>
          <w:lang w:val="es-ES_tradnl"/>
        </w:rPr>
      </w:pPr>
      <w:r w:rsidRPr="007748C3">
        <w:rPr>
          <w:rFonts w:ascii="Verdana" w:eastAsia="Calibri" w:hAnsi="Verdana" w:cs="Arial"/>
        </w:rPr>
        <w:t xml:space="preserve">Este concepto tiene el alcance previsto en el artículo 28 del Código de Procedimiento Administrativo y de lo Contencioso Administrativo </w:t>
      </w:r>
      <w:r w:rsidRPr="007748C3">
        <w:rPr>
          <w:rFonts w:ascii="Verdana" w:eastAsia="Calibri" w:hAnsi="Verdana" w:cs="Arial"/>
          <w:lang w:val="es-ES_tradnl"/>
        </w:rPr>
        <w:t>y las expresiones aquí utilizadas con mayúscula inicial deben ser entendidas con el significado que les otorga el artículo 2.2.1.1.1.3.1. del Decreto 1082 de 2015.</w:t>
      </w:r>
    </w:p>
    <w:p w14:paraId="27F20DA3" w14:textId="77777777" w:rsidR="00645197" w:rsidRPr="007748C3" w:rsidRDefault="00645197" w:rsidP="00645197">
      <w:pPr>
        <w:widowControl w:val="0"/>
        <w:autoSpaceDE w:val="0"/>
        <w:autoSpaceDN w:val="0"/>
        <w:spacing w:after="0" w:line="276" w:lineRule="auto"/>
        <w:jc w:val="both"/>
        <w:rPr>
          <w:rFonts w:ascii="Verdana" w:eastAsia="Calibri" w:hAnsi="Verdana" w:cs="Arial"/>
        </w:rPr>
      </w:pPr>
    </w:p>
    <w:p w14:paraId="0C01E588" w14:textId="77777777" w:rsidR="00645197" w:rsidRPr="007748C3" w:rsidRDefault="00645197" w:rsidP="00645197">
      <w:pPr>
        <w:spacing w:after="0" w:line="276" w:lineRule="auto"/>
        <w:rPr>
          <w:rFonts w:ascii="Verdana" w:eastAsia="Calibri" w:hAnsi="Verdana" w:cs="Arial"/>
          <w:lang w:eastAsia="es-CO"/>
        </w:rPr>
      </w:pPr>
      <w:r w:rsidRPr="007748C3">
        <w:rPr>
          <w:rFonts w:ascii="Verdana" w:eastAsia="Times New Roman" w:hAnsi="Verdana" w:cs="Arial"/>
          <w:lang w:eastAsia="es-CO"/>
        </w:rPr>
        <w:t>Atentamente,</w:t>
      </w:r>
      <w:r w:rsidRPr="007748C3">
        <w:rPr>
          <w:rFonts w:ascii="Verdana" w:eastAsia="Calibri" w:hAnsi="Verdana" w:cs="Arial"/>
          <w:lang w:eastAsia="es-CO"/>
        </w:rPr>
        <w:t xml:space="preserve"> </w:t>
      </w:r>
    </w:p>
    <w:p w14:paraId="3FCF588A" w14:textId="23BB0075" w:rsidR="00645197" w:rsidRPr="007748C3" w:rsidRDefault="00E20930" w:rsidP="00645197">
      <w:pPr>
        <w:spacing w:line="276" w:lineRule="auto"/>
        <w:jc w:val="center"/>
        <w:rPr>
          <w:rFonts w:ascii="Verdana" w:eastAsia="Times New Roman" w:hAnsi="Verdana" w:cs="Arial"/>
          <w:sz w:val="24"/>
          <w:szCs w:val="24"/>
          <w:lang w:eastAsia="es-ES"/>
        </w:rPr>
      </w:pPr>
      <w:r>
        <w:rPr>
          <w:noProof/>
        </w:rPr>
        <w:drawing>
          <wp:inline distT="0" distB="0" distL="0" distR="0" wp14:anchorId="580D5634" wp14:editId="12B0F098">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W w:w="5670" w:type="dxa"/>
        <w:tblBorders>
          <w:insideH w:val="nil"/>
          <w:insideV w:val="nil"/>
        </w:tblBorders>
        <w:tblLayout w:type="fixed"/>
        <w:tblLook w:val="0400" w:firstRow="0" w:lastRow="0" w:firstColumn="0" w:lastColumn="0" w:noHBand="0" w:noVBand="1"/>
      </w:tblPr>
      <w:tblGrid>
        <w:gridCol w:w="993"/>
        <w:gridCol w:w="4677"/>
      </w:tblGrid>
      <w:tr w:rsidR="00645197" w:rsidRPr="007748C3" w14:paraId="6D5BC515" w14:textId="77777777" w:rsidTr="003533A3">
        <w:trPr>
          <w:trHeight w:val="315"/>
        </w:trPr>
        <w:tc>
          <w:tcPr>
            <w:tcW w:w="993" w:type="dxa"/>
            <w:vAlign w:val="center"/>
            <w:hideMark/>
          </w:tcPr>
          <w:p w14:paraId="10848093" w14:textId="77777777" w:rsidR="00645197" w:rsidRPr="007748C3" w:rsidRDefault="00645197" w:rsidP="003533A3">
            <w:pPr>
              <w:spacing w:after="0" w:line="276" w:lineRule="auto"/>
              <w:rPr>
                <w:rFonts w:ascii="Verdana" w:eastAsia="Calibri" w:hAnsi="Verdana" w:cs="Arial"/>
                <w:bCs/>
                <w:sz w:val="16"/>
                <w:szCs w:val="16"/>
                <w:lang w:eastAsia="es-CO"/>
              </w:rPr>
            </w:pPr>
            <w:r w:rsidRPr="007748C3">
              <w:rPr>
                <w:rFonts w:ascii="Verdana" w:eastAsia="Calibri" w:hAnsi="Verdana" w:cs="Arial"/>
                <w:bCs/>
                <w:sz w:val="16"/>
                <w:szCs w:val="16"/>
                <w:lang w:eastAsia="es-CO"/>
              </w:rPr>
              <w:t>Elaboró:</w:t>
            </w:r>
          </w:p>
        </w:tc>
        <w:tc>
          <w:tcPr>
            <w:tcW w:w="4677" w:type="dxa"/>
            <w:tcBorders>
              <w:top w:val="nil"/>
              <w:left w:val="nil"/>
              <w:bottom w:val="dotted" w:sz="4" w:space="0" w:color="7F7F7F"/>
              <w:right w:val="nil"/>
            </w:tcBorders>
            <w:vAlign w:val="center"/>
            <w:hideMark/>
          </w:tcPr>
          <w:p w14:paraId="46454418" w14:textId="77777777" w:rsidR="00645197" w:rsidRPr="007748C3" w:rsidRDefault="00645197" w:rsidP="003533A3">
            <w:pPr>
              <w:spacing w:after="0" w:line="240" w:lineRule="auto"/>
              <w:rPr>
                <w:rFonts w:ascii="Verdana" w:eastAsia="Calibri" w:hAnsi="Verdana" w:cs="Arial"/>
                <w:sz w:val="16"/>
                <w:szCs w:val="16"/>
                <w:lang w:eastAsia="es-CO"/>
              </w:rPr>
            </w:pPr>
            <w:r w:rsidRPr="007748C3">
              <w:rPr>
                <w:rFonts w:ascii="Verdana" w:eastAsia="Calibri" w:hAnsi="Verdana" w:cs="Arial"/>
                <w:sz w:val="16"/>
                <w:szCs w:val="16"/>
                <w:lang w:eastAsia="es-CO"/>
              </w:rPr>
              <w:t>Ximena Ríos López</w:t>
            </w:r>
          </w:p>
          <w:p w14:paraId="6A522B80" w14:textId="77777777" w:rsidR="00645197" w:rsidRPr="007748C3" w:rsidRDefault="00645197" w:rsidP="003533A3">
            <w:pPr>
              <w:spacing w:after="0" w:line="240" w:lineRule="auto"/>
              <w:rPr>
                <w:rFonts w:ascii="Verdana" w:eastAsia="Calibri" w:hAnsi="Verdana" w:cs="Arial"/>
                <w:sz w:val="16"/>
                <w:szCs w:val="16"/>
                <w:lang w:eastAsia="es-CO"/>
              </w:rPr>
            </w:pPr>
            <w:r w:rsidRPr="007748C3">
              <w:rPr>
                <w:rFonts w:ascii="Verdana" w:eastAsia="Calibri" w:hAnsi="Verdana" w:cs="Arial"/>
                <w:sz w:val="16"/>
                <w:szCs w:val="16"/>
                <w:lang w:eastAsia="es-CO"/>
              </w:rPr>
              <w:t>Gestor T1 -11 Subdirección de Gestión Contractual</w:t>
            </w:r>
          </w:p>
        </w:tc>
      </w:tr>
      <w:tr w:rsidR="00645197" w:rsidRPr="007748C3" w14:paraId="3C93350E" w14:textId="77777777" w:rsidTr="003533A3">
        <w:trPr>
          <w:trHeight w:val="330"/>
        </w:trPr>
        <w:tc>
          <w:tcPr>
            <w:tcW w:w="993" w:type="dxa"/>
            <w:vAlign w:val="center"/>
            <w:hideMark/>
          </w:tcPr>
          <w:p w14:paraId="74A4B2EF" w14:textId="77777777" w:rsidR="00645197" w:rsidRPr="007748C3" w:rsidRDefault="00645197" w:rsidP="003533A3">
            <w:pPr>
              <w:spacing w:after="0" w:line="276" w:lineRule="auto"/>
              <w:rPr>
                <w:rFonts w:ascii="Verdana" w:eastAsia="Calibri" w:hAnsi="Verdana" w:cs="Arial"/>
                <w:bCs/>
                <w:sz w:val="16"/>
                <w:szCs w:val="16"/>
                <w:lang w:eastAsia="es-CO"/>
              </w:rPr>
            </w:pPr>
            <w:r w:rsidRPr="007748C3">
              <w:rPr>
                <w:rFonts w:ascii="Verdana" w:eastAsia="Calibri" w:hAnsi="Verdana" w:cs="Arial"/>
                <w:bCs/>
                <w:sz w:val="16"/>
                <w:szCs w:val="16"/>
                <w:lang w:eastAsia="es-CO"/>
              </w:rPr>
              <w:t>Revisó:</w:t>
            </w:r>
          </w:p>
        </w:tc>
        <w:tc>
          <w:tcPr>
            <w:tcW w:w="4677" w:type="dxa"/>
            <w:tcBorders>
              <w:top w:val="dotted" w:sz="4" w:space="0" w:color="7F7F7F"/>
              <w:left w:val="nil"/>
              <w:bottom w:val="dotted" w:sz="4" w:space="0" w:color="7F7F7F"/>
              <w:right w:val="nil"/>
            </w:tcBorders>
            <w:vAlign w:val="center"/>
            <w:hideMark/>
          </w:tcPr>
          <w:p w14:paraId="6D7161D9" w14:textId="77777777" w:rsidR="00645197" w:rsidRPr="007748C3" w:rsidRDefault="00645197" w:rsidP="003533A3">
            <w:pPr>
              <w:spacing w:after="0" w:line="240" w:lineRule="auto"/>
              <w:rPr>
                <w:rFonts w:ascii="Verdana" w:eastAsia="Calibri" w:hAnsi="Verdana" w:cs="Arial"/>
                <w:sz w:val="16"/>
                <w:szCs w:val="16"/>
                <w:lang w:eastAsia="es-CO"/>
              </w:rPr>
            </w:pPr>
            <w:r w:rsidRPr="007748C3">
              <w:rPr>
                <w:rFonts w:ascii="Verdana" w:eastAsia="Calibri" w:hAnsi="Verdana" w:cs="Arial"/>
                <w:sz w:val="16"/>
                <w:szCs w:val="16"/>
                <w:lang w:eastAsia="es-CO"/>
              </w:rPr>
              <w:t>Alejandro Sarmiento</w:t>
            </w:r>
          </w:p>
          <w:p w14:paraId="31C3B8BF" w14:textId="77777777" w:rsidR="00645197" w:rsidRPr="007748C3" w:rsidRDefault="00645197" w:rsidP="003533A3">
            <w:pPr>
              <w:spacing w:after="0" w:line="240" w:lineRule="auto"/>
              <w:rPr>
                <w:rFonts w:ascii="Verdana" w:eastAsia="Calibri" w:hAnsi="Verdana" w:cs="Arial"/>
                <w:sz w:val="16"/>
                <w:szCs w:val="16"/>
                <w:lang w:eastAsia="es-CO"/>
              </w:rPr>
            </w:pPr>
            <w:r w:rsidRPr="007748C3">
              <w:rPr>
                <w:rFonts w:ascii="Verdana" w:eastAsia="Calibri" w:hAnsi="Verdana" w:cs="Arial"/>
                <w:sz w:val="16"/>
                <w:szCs w:val="16"/>
                <w:lang w:eastAsia="es-CO"/>
              </w:rPr>
              <w:t>Gestor T1 -15 Subdirección de Gestión Contractual</w:t>
            </w:r>
          </w:p>
        </w:tc>
      </w:tr>
      <w:tr w:rsidR="00645197" w:rsidRPr="007748C3" w14:paraId="524E8240" w14:textId="77777777" w:rsidTr="003533A3">
        <w:trPr>
          <w:trHeight w:val="300"/>
        </w:trPr>
        <w:tc>
          <w:tcPr>
            <w:tcW w:w="993" w:type="dxa"/>
            <w:vAlign w:val="center"/>
            <w:hideMark/>
          </w:tcPr>
          <w:p w14:paraId="7667205E" w14:textId="77777777" w:rsidR="00645197" w:rsidRPr="007748C3" w:rsidRDefault="00645197" w:rsidP="003533A3">
            <w:pPr>
              <w:spacing w:after="0" w:line="276" w:lineRule="auto"/>
              <w:rPr>
                <w:rFonts w:ascii="Verdana" w:eastAsia="Calibri" w:hAnsi="Verdana" w:cs="Arial"/>
                <w:bCs/>
                <w:sz w:val="16"/>
                <w:szCs w:val="16"/>
                <w:lang w:eastAsia="es-CO"/>
              </w:rPr>
            </w:pPr>
            <w:r w:rsidRPr="007748C3">
              <w:rPr>
                <w:rFonts w:ascii="Verdana" w:eastAsia="Calibri" w:hAnsi="Verdana" w:cs="Arial"/>
                <w:bCs/>
                <w:sz w:val="16"/>
                <w:szCs w:val="16"/>
                <w:lang w:eastAsia="es-CO"/>
              </w:rPr>
              <w:lastRenderedPageBreak/>
              <w:t>Aprobó:</w:t>
            </w:r>
          </w:p>
        </w:tc>
        <w:tc>
          <w:tcPr>
            <w:tcW w:w="4677" w:type="dxa"/>
            <w:tcBorders>
              <w:top w:val="dotted" w:sz="4" w:space="0" w:color="7F7F7F"/>
              <w:left w:val="nil"/>
              <w:bottom w:val="dotted" w:sz="4" w:space="0" w:color="7F7F7F"/>
              <w:right w:val="nil"/>
            </w:tcBorders>
            <w:vAlign w:val="center"/>
            <w:hideMark/>
          </w:tcPr>
          <w:p w14:paraId="6D519E85" w14:textId="77777777" w:rsidR="00645197" w:rsidRPr="007748C3" w:rsidRDefault="00645197" w:rsidP="003533A3">
            <w:pPr>
              <w:spacing w:after="0" w:line="240" w:lineRule="auto"/>
              <w:rPr>
                <w:rFonts w:ascii="Verdana" w:eastAsia="Calibri" w:hAnsi="Verdana" w:cs="Arial"/>
                <w:sz w:val="16"/>
                <w:szCs w:val="16"/>
                <w:lang w:eastAsia="es-CO"/>
              </w:rPr>
            </w:pPr>
            <w:r w:rsidRPr="007748C3">
              <w:rPr>
                <w:rFonts w:ascii="Verdana" w:eastAsia="Calibri" w:hAnsi="Verdana" w:cs="Arial"/>
                <w:sz w:val="16"/>
                <w:szCs w:val="16"/>
                <w:lang w:eastAsia="es-CO"/>
              </w:rPr>
              <w:t>Carolina Quintero Gacharná</w:t>
            </w:r>
          </w:p>
          <w:p w14:paraId="6F3B5591" w14:textId="77777777" w:rsidR="00645197" w:rsidRPr="007748C3" w:rsidRDefault="00645197" w:rsidP="003533A3">
            <w:pPr>
              <w:spacing w:after="0" w:line="240" w:lineRule="auto"/>
              <w:rPr>
                <w:rFonts w:ascii="Verdana" w:eastAsia="Calibri" w:hAnsi="Verdana" w:cs="Arial"/>
                <w:sz w:val="16"/>
                <w:szCs w:val="16"/>
                <w:lang w:eastAsia="es-CO"/>
              </w:rPr>
            </w:pPr>
            <w:r w:rsidRPr="007748C3">
              <w:rPr>
                <w:rFonts w:ascii="Verdana" w:eastAsia="Calibri" w:hAnsi="Verdana" w:cs="Arial"/>
                <w:sz w:val="16"/>
                <w:szCs w:val="16"/>
                <w:lang w:eastAsia="es-CO"/>
              </w:rPr>
              <w:t>Subdirectora de Gestión Contractual ANCP – CCE</w:t>
            </w:r>
          </w:p>
        </w:tc>
      </w:tr>
    </w:tbl>
    <w:p w14:paraId="28E7C4B7" w14:textId="77777777" w:rsidR="00645197" w:rsidRPr="007748C3" w:rsidRDefault="00645197" w:rsidP="00645197">
      <w:pPr>
        <w:spacing w:after="0" w:line="276" w:lineRule="auto"/>
        <w:jc w:val="both"/>
        <w:rPr>
          <w:rFonts w:ascii="Calibri" w:eastAsia="Calibri" w:hAnsi="Calibri" w:cs="Times New Roman"/>
        </w:rPr>
      </w:pPr>
    </w:p>
    <w:p w14:paraId="5E7276CC" w14:textId="77777777" w:rsidR="00645197" w:rsidRPr="007748C3" w:rsidRDefault="00645197" w:rsidP="00645197">
      <w:pPr>
        <w:spacing w:line="254" w:lineRule="auto"/>
        <w:rPr>
          <w:rFonts w:ascii="Calibri" w:eastAsia="Calibri" w:hAnsi="Calibri" w:cs="Times New Roman"/>
        </w:rPr>
      </w:pPr>
    </w:p>
    <w:p w14:paraId="68445389" w14:textId="77777777" w:rsidR="00645197" w:rsidRPr="007748C3" w:rsidRDefault="00645197" w:rsidP="00645197">
      <w:pPr>
        <w:spacing w:after="120" w:line="254" w:lineRule="auto"/>
        <w:jc w:val="both"/>
        <w:rPr>
          <w:rFonts w:ascii="Calibri" w:eastAsia="Calibri" w:hAnsi="Calibri" w:cs="Times New Roman"/>
        </w:rPr>
      </w:pPr>
    </w:p>
    <w:p w14:paraId="2045B066" w14:textId="77777777" w:rsidR="00645197" w:rsidRPr="007748C3" w:rsidRDefault="00645197" w:rsidP="00645197">
      <w:pPr>
        <w:widowControl w:val="0"/>
        <w:autoSpaceDE w:val="0"/>
        <w:autoSpaceDN w:val="0"/>
        <w:spacing w:after="0" w:line="276" w:lineRule="auto"/>
        <w:jc w:val="both"/>
        <w:rPr>
          <w:rFonts w:ascii="Verdana" w:eastAsia="Calibri" w:hAnsi="Verdana" w:cs="Times New Roman"/>
        </w:rPr>
      </w:pPr>
    </w:p>
    <w:p w14:paraId="2C8CF5AC" w14:textId="77777777" w:rsidR="00645197" w:rsidRPr="007748C3" w:rsidRDefault="00645197" w:rsidP="00645197">
      <w:pPr>
        <w:spacing w:line="256" w:lineRule="auto"/>
        <w:rPr>
          <w:rFonts w:ascii="Calibri" w:eastAsia="Calibri" w:hAnsi="Calibri" w:cs="Times New Roman"/>
        </w:rPr>
      </w:pPr>
    </w:p>
    <w:p w14:paraId="36B99F4D" w14:textId="77777777" w:rsidR="00645197" w:rsidRPr="007748C3" w:rsidRDefault="00645197" w:rsidP="00645197">
      <w:pPr>
        <w:spacing w:line="256" w:lineRule="auto"/>
        <w:rPr>
          <w:rFonts w:ascii="Verdana" w:eastAsia="Calibri" w:hAnsi="Verdana" w:cs="Times New Roman"/>
        </w:rPr>
      </w:pPr>
    </w:p>
    <w:p w14:paraId="0A212252" w14:textId="77777777" w:rsidR="00645197" w:rsidRPr="00543BFE" w:rsidRDefault="00645197" w:rsidP="00645197"/>
    <w:p w14:paraId="342E52FF" w14:textId="77777777" w:rsidR="00645197" w:rsidRPr="004F46A2" w:rsidRDefault="00645197" w:rsidP="00645197"/>
    <w:p w14:paraId="0F293BF4" w14:textId="081A132E" w:rsidR="00127233" w:rsidRPr="00645197" w:rsidRDefault="00127233" w:rsidP="00645197"/>
    <w:sectPr w:rsidR="00127233" w:rsidRPr="00645197"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C6F39" w14:textId="77777777" w:rsidR="00763A21" w:rsidRDefault="00763A21" w:rsidP="004A1847">
      <w:pPr>
        <w:spacing w:after="0" w:line="240" w:lineRule="auto"/>
      </w:pPr>
      <w:r>
        <w:separator/>
      </w:r>
    </w:p>
  </w:endnote>
  <w:endnote w:type="continuationSeparator" w:id="0">
    <w:p w14:paraId="78BFD294" w14:textId="77777777" w:rsidR="00763A21" w:rsidRDefault="00763A2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altName w:val="游明朝"/>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7FA81" w14:textId="77777777" w:rsidR="00763A21" w:rsidRDefault="00763A21" w:rsidP="004A1847">
      <w:pPr>
        <w:spacing w:after="0" w:line="240" w:lineRule="auto"/>
      </w:pPr>
      <w:r>
        <w:separator/>
      </w:r>
    </w:p>
  </w:footnote>
  <w:footnote w:type="continuationSeparator" w:id="0">
    <w:p w14:paraId="56853E04" w14:textId="77777777" w:rsidR="00763A21" w:rsidRDefault="00763A21" w:rsidP="004A1847">
      <w:pPr>
        <w:spacing w:after="0" w:line="240" w:lineRule="auto"/>
      </w:pPr>
      <w:r>
        <w:continuationSeparator/>
      </w:r>
    </w:p>
  </w:footnote>
  <w:footnote w:id="1">
    <w:p w14:paraId="5CCB22ED" w14:textId="77777777" w:rsidR="001A352A" w:rsidRPr="003F1FA1" w:rsidRDefault="001A352A" w:rsidP="001A352A">
      <w:pPr>
        <w:pStyle w:val="NormalWeb"/>
        <w:spacing w:before="0" w:beforeAutospacing="0" w:after="0" w:afterAutospacing="0"/>
        <w:ind w:firstLine="708"/>
        <w:jc w:val="both"/>
        <w:rPr>
          <w:rFonts w:ascii="Verdana" w:hAnsi="Verdana" w:cs="Arial"/>
          <w:color w:val="000000"/>
          <w:sz w:val="16"/>
          <w:szCs w:val="16"/>
        </w:rPr>
      </w:pPr>
      <w:r w:rsidRPr="003F1FA1">
        <w:rPr>
          <w:rStyle w:val="Refdenotaalpie"/>
          <w:rFonts w:ascii="Verdana" w:hAnsi="Verdana"/>
          <w:sz w:val="16"/>
          <w:szCs w:val="16"/>
        </w:rPr>
        <w:footnoteRef/>
      </w:r>
      <w:r w:rsidRPr="003F1FA1">
        <w:rPr>
          <w:rFonts w:ascii="Verdana" w:hAnsi="Verdana"/>
          <w:sz w:val="16"/>
          <w:szCs w:val="16"/>
        </w:rPr>
        <w:t xml:space="preserve"> </w:t>
      </w:r>
      <w:r w:rsidRPr="003F1FA1">
        <w:rPr>
          <w:rStyle w:val="Textoennegrita"/>
          <w:rFonts w:ascii="Verdana" w:hAnsi="Verdana" w:cs="Arial"/>
          <w:b w:val="0"/>
          <w:color w:val="000000"/>
          <w:sz w:val="16"/>
          <w:szCs w:val="16"/>
        </w:rPr>
        <w:t>Artículo 200.</w:t>
      </w:r>
      <w:r w:rsidRPr="003F1FA1">
        <w:rPr>
          <w:rStyle w:val="Textoennegrita"/>
          <w:rFonts w:ascii="Verdana" w:hAnsi="Verdana" w:cs="Arial"/>
          <w:color w:val="000000"/>
          <w:sz w:val="16"/>
          <w:szCs w:val="16"/>
        </w:rPr>
        <w:t xml:space="preserve"> </w:t>
      </w:r>
      <w:r w:rsidRPr="003F1FA1">
        <w:rPr>
          <w:rStyle w:val="nfasis"/>
          <w:rFonts w:ascii="Verdana" w:hAnsi="Verdana" w:cs="Arial"/>
          <w:color w:val="000000"/>
          <w:sz w:val="16"/>
          <w:szCs w:val="16"/>
        </w:rPr>
        <w:t>Estrategia nacional de lucha contra la corrupción</w:t>
      </w:r>
      <w:r w:rsidRPr="003F1FA1">
        <w:rPr>
          <w:rFonts w:ascii="Verdana" w:hAnsi="Verdana" w:cs="Arial"/>
          <w:color w:val="000000"/>
          <w:sz w:val="16"/>
          <w:szCs w:val="16"/>
        </w:rPr>
        <w:t>. Con el propósito de fortalecer las Instituciones democráticas y el Estado Social de Derecho, garantizar la protección de los derechos humanos, proteger los recursos públicos, generar condiciones adecuadas para el desarrollo socioeconómico y proteger el Medio Ambiente, el Gobierno nacional formulará una Estrategia Nacional de Lucha Contra la Corrupción. </w:t>
      </w:r>
    </w:p>
    <w:p w14:paraId="7807BBE8" w14:textId="77777777" w:rsidR="001A352A" w:rsidRPr="003F1FA1" w:rsidRDefault="001A352A" w:rsidP="001A352A">
      <w:pPr>
        <w:pStyle w:val="NormalWeb"/>
        <w:spacing w:before="0" w:beforeAutospacing="0" w:after="0" w:afterAutospacing="0"/>
        <w:ind w:firstLine="708"/>
        <w:jc w:val="both"/>
        <w:rPr>
          <w:rFonts w:ascii="Verdana" w:hAnsi="Verdana" w:cs="Arial"/>
          <w:color w:val="000000"/>
          <w:sz w:val="16"/>
          <w:szCs w:val="16"/>
        </w:rPr>
      </w:pPr>
      <w:r w:rsidRPr="003F1FA1">
        <w:rPr>
          <w:rFonts w:ascii="Verdana" w:hAnsi="Verdana" w:cs="Arial"/>
          <w:color w:val="000000"/>
          <w:sz w:val="16"/>
          <w:szCs w:val="16"/>
        </w:rPr>
        <w:t>La Estrategia tendrá como dimensiones la garantía de los derechos humanos, la protección al denunciante, el derecho al acceso a la información pública, el fortalecimiento de la veeduría ciudadana, la transparencia en la contratación y la gestión pública, la innovación pública y la implementación de mecanismos dirigidos a prevenir, detectar, gestionar y sancionar riesgos y hechos de corrupción bajo un enfoque sectorial. </w:t>
      </w:r>
    </w:p>
    <w:p w14:paraId="5BC09D01" w14:textId="77777777" w:rsidR="001A352A" w:rsidRPr="003F1FA1" w:rsidRDefault="001A352A" w:rsidP="001A352A">
      <w:pPr>
        <w:pStyle w:val="NormalWeb"/>
        <w:spacing w:before="0" w:beforeAutospacing="0" w:after="0" w:afterAutospacing="0"/>
        <w:ind w:firstLine="708"/>
        <w:jc w:val="both"/>
        <w:rPr>
          <w:rFonts w:ascii="Verdana" w:hAnsi="Verdana" w:cs="Arial"/>
          <w:color w:val="000000"/>
          <w:sz w:val="16"/>
          <w:szCs w:val="16"/>
        </w:rPr>
      </w:pPr>
      <w:r w:rsidRPr="003F1FA1">
        <w:rPr>
          <w:rFonts w:ascii="Verdana" w:hAnsi="Verdana" w:cs="Arial"/>
          <w:color w:val="000000"/>
          <w:sz w:val="16"/>
          <w:szCs w:val="16"/>
        </w:rPr>
        <w:t>El Gobierno nacional en cabeza de la Secretaría de Transparencia y las Subcomisiones Técnicas de la Comisión Nacional de Moralización, serán responsables de la coordinación, elaboración y evaluación de la Estrategia Nacional de Lucha contra la corrupción. La Red Nacional de Observatorios Anticorrupción y el Departamento Nacional de Planeación prestarán apoyo técnico para su formulación, monitoreo y seguimiento. </w:t>
      </w:r>
    </w:p>
    <w:p w14:paraId="07541498" w14:textId="77777777" w:rsidR="001A352A" w:rsidRPr="003F1FA1" w:rsidRDefault="001A352A" w:rsidP="001A352A">
      <w:pPr>
        <w:pStyle w:val="NormalWeb"/>
        <w:spacing w:before="0" w:beforeAutospacing="0" w:after="0" w:afterAutospacing="0"/>
        <w:ind w:firstLine="708"/>
        <w:jc w:val="both"/>
        <w:rPr>
          <w:rFonts w:ascii="Verdana" w:hAnsi="Verdana" w:cs="Arial"/>
          <w:color w:val="000000"/>
          <w:sz w:val="16"/>
          <w:szCs w:val="16"/>
        </w:rPr>
      </w:pPr>
      <w:r w:rsidRPr="003F1FA1">
        <w:rPr>
          <w:rFonts w:ascii="Verdana" w:hAnsi="Verdana" w:cs="Arial"/>
          <w:color w:val="000000"/>
          <w:sz w:val="16"/>
          <w:szCs w:val="16"/>
        </w:rPr>
        <w:t>En el proceso de formulación de la Estrategia se realizará una evaluación de la capacidad institucional y misional de las entidades públicas, del funcionamiento de las instancias e instrumentos de planeación existentes para la lucha contra la corrupción, y de las debilidades de articulación y coordinación interinstitucional. Así mismo, en el desarrollo de esta estrategia se promoverá la implementación de las disposiciones previstas en la Ley 1712 de 2014 frente al diseño, promoción e implementación de la política pública de acceso a la información pública y la Ley 2195 de 2022 en materia de daño y reparación de los afectados por actos de corrupción, el control y monitoreo constante del riesgo de corrupción, así como la pedagogía para la promoción de la participación ciudadana para la transparencia y lucha contra la corrupción. </w:t>
      </w:r>
    </w:p>
    <w:p w14:paraId="3FA6CDE8" w14:textId="77777777" w:rsidR="001A352A" w:rsidRPr="003F1FA1" w:rsidRDefault="001A352A" w:rsidP="001A352A">
      <w:pPr>
        <w:pStyle w:val="NormalWeb"/>
        <w:spacing w:before="0" w:beforeAutospacing="0" w:after="0" w:afterAutospacing="0"/>
        <w:ind w:firstLine="708"/>
        <w:jc w:val="both"/>
        <w:rPr>
          <w:rFonts w:ascii="Verdana" w:hAnsi="Verdana" w:cs="Arial"/>
          <w:color w:val="000000"/>
          <w:sz w:val="16"/>
          <w:szCs w:val="16"/>
        </w:rPr>
      </w:pPr>
      <w:r w:rsidRPr="003F1FA1">
        <w:rPr>
          <w:rStyle w:val="Textoennegrita"/>
          <w:rFonts w:ascii="Verdana" w:hAnsi="Verdana" w:cs="Arial"/>
          <w:b w:val="0"/>
          <w:color w:val="000000"/>
          <w:sz w:val="16"/>
          <w:szCs w:val="16"/>
        </w:rPr>
        <w:t>Parágrafo 1°.</w:t>
      </w:r>
      <w:r w:rsidRPr="003F1FA1">
        <w:rPr>
          <w:rFonts w:ascii="Verdana" w:hAnsi="Verdana" w:cs="Arial"/>
          <w:color w:val="000000"/>
          <w:sz w:val="16"/>
          <w:szCs w:val="16"/>
        </w:rPr>
        <w:t> En la estrategia se contemplarán los mecanismos para el seguimiento y control de los recursos públicos administrados mediante fondos o patrimonios autónomos. </w:t>
      </w:r>
    </w:p>
    <w:p w14:paraId="7D360A14" w14:textId="77777777" w:rsidR="001A352A" w:rsidRPr="003F1FA1" w:rsidRDefault="001A352A" w:rsidP="001A352A">
      <w:pPr>
        <w:pStyle w:val="NormalWeb"/>
        <w:spacing w:before="0" w:beforeAutospacing="0" w:after="0" w:afterAutospacing="0"/>
        <w:ind w:firstLine="708"/>
        <w:jc w:val="both"/>
        <w:rPr>
          <w:rFonts w:ascii="Verdana" w:hAnsi="Verdana" w:cs="Arial"/>
          <w:color w:val="000000"/>
          <w:sz w:val="16"/>
          <w:szCs w:val="16"/>
        </w:rPr>
      </w:pPr>
      <w:r w:rsidRPr="003F1FA1">
        <w:rPr>
          <w:rStyle w:val="Textoennegrita"/>
          <w:rFonts w:ascii="Verdana" w:hAnsi="Verdana" w:cs="Arial"/>
          <w:b w:val="0"/>
          <w:color w:val="000000"/>
          <w:sz w:val="16"/>
          <w:szCs w:val="16"/>
        </w:rPr>
        <w:t>Parágrafo 2</w:t>
      </w:r>
      <w:r w:rsidRPr="003F1FA1">
        <w:rPr>
          <w:rStyle w:val="Textoennegrita"/>
          <w:rFonts w:ascii="Verdana" w:hAnsi="Verdana" w:cs="Arial"/>
          <w:color w:val="000000"/>
          <w:sz w:val="16"/>
          <w:szCs w:val="16"/>
        </w:rPr>
        <w:t>°.</w:t>
      </w:r>
      <w:r w:rsidRPr="003F1FA1">
        <w:rPr>
          <w:rFonts w:ascii="Verdana" w:hAnsi="Verdana" w:cs="Arial"/>
          <w:color w:val="000000"/>
          <w:sz w:val="16"/>
          <w:szCs w:val="16"/>
        </w:rPr>
        <w:t> La Comisión Nacional Ciudadana de Lucha Contra la Corrupción, la Comisión Nacional de Moralización, las Comisiones Regionales de Moralización y las organizaciones de la sociedad civil podrán presentar recomendaciones durante la formulación y evaluación de la Estrategia. </w:t>
      </w:r>
    </w:p>
    <w:p w14:paraId="4EFA63EC" w14:textId="5C4F2C6B" w:rsidR="001A352A" w:rsidRPr="003F1FA1" w:rsidRDefault="001A352A" w:rsidP="003F1FA1">
      <w:pPr>
        <w:pStyle w:val="NormalWeb"/>
        <w:spacing w:before="0" w:beforeAutospacing="0" w:after="0" w:afterAutospacing="0"/>
        <w:ind w:firstLine="708"/>
        <w:jc w:val="both"/>
        <w:rPr>
          <w:rFonts w:ascii="Verdana" w:hAnsi="Verdana"/>
          <w:sz w:val="16"/>
          <w:szCs w:val="16"/>
        </w:rPr>
      </w:pPr>
      <w:r w:rsidRPr="003F1FA1">
        <w:rPr>
          <w:rStyle w:val="Textoennegrita"/>
          <w:rFonts w:ascii="Verdana" w:hAnsi="Verdana" w:cs="Arial"/>
          <w:b w:val="0"/>
          <w:color w:val="000000"/>
          <w:sz w:val="16"/>
          <w:szCs w:val="16"/>
        </w:rPr>
        <w:t>Parágrafo 3°.</w:t>
      </w:r>
      <w:r w:rsidRPr="003F1FA1">
        <w:rPr>
          <w:rFonts w:ascii="Verdana" w:hAnsi="Verdana" w:cs="Arial"/>
          <w:color w:val="000000"/>
          <w:sz w:val="16"/>
          <w:szCs w:val="16"/>
        </w:rPr>
        <w:t> Dentro del año siguiente a la entrada en vigor de la presente ley, el Gobierno nacional formulará y adoptará la Estrategia Nacional de Lucha Contra la Corrupción.</w:t>
      </w:r>
    </w:p>
  </w:footnote>
  <w:footnote w:id="2">
    <w:p w14:paraId="76D845F3" w14:textId="77777777" w:rsidR="001A352A" w:rsidRPr="003F1FA1" w:rsidRDefault="001A352A" w:rsidP="001A352A">
      <w:pPr>
        <w:spacing w:after="0" w:line="240" w:lineRule="auto"/>
        <w:ind w:firstLine="709"/>
        <w:jc w:val="both"/>
        <w:rPr>
          <w:rFonts w:ascii="Verdana" w:eastAsia="Calibri" w:hAnsi="Verdana" w:cs="Arial"/>
          <w:bCs/>
          <w:sz w:val="16"/>
          <w:szCs w:val="16"/>
          <w:lang w:eastAsia="es-ES_tradnl"/>
        </w:rPr>
      </w:pPr>
      <w:r w:rsidRPr="003F1FA1">
        <w:rPr>
          <w:rStyle w:val="Refdenotaalpie"/>
          <w:rFonts w:ascii="Verdana" w:hAnsi="Verdana"/>
          <w:sz w:val="16"/>
          <w:szCs w:val="16"/>
        </w:rPr>
        <w:footnoteRef/>
      </w:r>
      <w:r w:rsidRPr="003F1FA1">
        <w:rPr>
          <w:rFonts w:ascii="Verdana" w:hAnsi="Verdana"/>
          <w:sz w:val="16"/>
          <w:szCs w:val="16"/>
        </w:rPr>
        <w:t xml:space="preserve"> </w:t>
      </w:r>
      <w:r w:rsidRPr="003F1FA1">
        <w:rPr>
          <w:rFonts w:ascii="Verdana" w:eastAsia="Calibri" w:hAnsi="Verdana" w:cs="Arial"/>
          <w:bCs/>
          <w:iCs/>
          <w:sz w:val="16"/>
          <w:szCs w:val="16"/>
          <w:lang w:eastAsia="es-ES_tradnl"/>
        </w:rPr>
        <w:t>Artículo 2.1.4.3.1.2. Ámbito de aplicación.</w:t>
      </w:r>
      <w:r w:rsidRPr="003F1FA1">
        <w:rPr>
          <w:rFonts w:ascii="Verdana" w:eastAsia="Calibri" w:hAnsi="Verdana" w:cs="Arial"/>
          <w:b/>
          <w:bCs/>
          <w:iCs/>
          <w:sz w:val="16"/>
          <w:szCs w:val="16"/>
          <w:lang w:eastAsia="es-ES_tradnl"/>
        </w:rPr>
        <w:t> </w:t>
      </w:r>
      <w:r w:rsidRPr="003F1FA1">
        <w:rPr>
          <w:rFonts w:ascii="Verdana" w:eastAsia="Calibri" w:hAnsi="Verdana" w:cs="Arial"/>
          <w:bCs/>
          <w:iCs/>
          <w:sz w:val="16"/>
          <w:szCs w:val="16"/>
          <w:lang w:eastAsia="es-ES_tradnl"/>
        </w:rPr>
        <w:t>Las disposiciones de este Capítulo rigen en todo el territorio nacional y se aplicarán en todos los organismos, entidades y empresas del Estado del orden nacional y pertenecientes a la Rama Ejecutiva del Poder Público. </w:t>
      </w:r>
      <w:r w:rsidRPr="003F1FA1">
        <w:rPr>
          <w:rFonts w:ascii="Verdana" w:eastAsia="Calibri" w:hAnsi="Verdana" w:cs="Arial"/>
          <w:bCs/>
          <w:sz w:val="16"/>
          <w:szCs w:val="16"/>
          <w:lang w:eastAsia="es-ES_tradnl"/>
        </w:rPr>
        <w:t> </w:t>
      </w:r>
    </w:p>
    <w:p w14:paraId="620066B9" w14:textId="77777777" w:rsidR="001A352A" w:rsidRPr="003F1FA1" w:rsidRDefault="001A352A" w:rsidP="001A352A">
      <w:pPr>
        <w:spacing w:after="0" w:line="240" w:lineRule="auto"/>
        <w:ind w:firstLine="709"/>
        <w:jc w:val="both"/>
        <w:rPr>
          <w:rFonts w:ascii="Verdana" w:eastAsia="Calibri" w:hAnsi="Verdana" w:cs="Arial"/>
          <w:bCs/>
          <w:sz w:val="16"/>
          <w:szCs w:val="16"/>
          <w:lang w:eastAsia="es-ES_tradnl"/>
        </w:rPr>
      </w:pPr>
      <w:r w:rsidRPr="003F1FA1">
        <w:rPr>
          <w:rFonts w:ascii="Verdana" w:eastAsia="Calibri" w:hAnsi="Verdana" w:cs="Arial"/>
          <w:bCs/>
          <w:iCs/>
          <w:sz w:val="16"/>
          <w:szCs w:val="16"/>
          <w:lang w:eastAsia="es-ES_tradnl"/>
        </w:rPr>
        <w:t>Las empresas industriales y comerciales del Estado, las sociedades de economía mixta y todas las demás instituciones sometidas a regímenes especiales de contratación, darán pleno cumplimiento a las obligaciones consagradas en el presente Capítulo en aquellos aspectos en los que deban aplicar el régimen general de contratación pública. En los aspectos no regulados por dicho régimen, no se aplicará a ellas lo dispuesto en el artículo 2.1.4.3.2.1, las demás disposiciones deberán aplicarse de conformidad con su estructura orgánica y la normativa aplicable a su funcionamiento.</w:t>
      </w:r>
    </w:p>
    <w:p w14:paraId="4471B354" w14:textId="77777777" w:rsidR="001A352A" w:rsidRPr="003F1FA1" w:rsidRDefault="001A352A" w:rsidP="001A352A">
      <w:pPr>
        <w:spacing w:after="0" w:line="240" w:lineRule="auto"/>
        <w:ind w:firstLine="709"/>
        <w:jc w:val="both"/>
        <w:rPr>
          <w:rFonts w:ascii="Verdana" w:eastAsia="Calibri" w:hAnsi="Verdana" w:cs="Arial"/>
          <w:bCs/>
          <w:sz w:val="16"/>
          <w:szCs w:val="16"/>
          <w:lang w:eastAsia="es-ES_tradnl"/>
        </w:rPr>
      </w:pPr>
      <w:r w:rsidRPr="003F1FA1">
        <w:rPr>
          <w:rFonts w:ascii="Verdana" w:eastAsia="Calibri" w:hAnsi="Verdana" w:cs="Arial"/>
          <w:bCs/>
          <w:iCs/>
          <w:sz w:val="16"/>
          <w:szCs w:val="16"/>
          <w:lang w:eastAsia="es-ES_tradnl"/>
        </w:rPr>
        <w:t>Las entidades territoriales y sus entidades descentralizadas, en el marco de su autonomía y en cumplimiento de lo previsto en el artículo 32 de la Ley 152 de 1994, por la cual se establece la Ley orgánica de Plan de Desarrollo, aplicarán en sus planes y políticas, las líneas de acción contenidas en el presente Capítulo, en virtud de lo señalado por el artículo 200 de la Ley 2294 de 2023. </w:t>
      </w:r>
    </w:p>
    <w:p w14:paraId="58F97B79" w14:textId="77777777" w:rsidR="001A352A" w:rsidRPr="003F1FA1" w:rsidRDefault="001A352A" w:rsidP="001A352A">
      <w:pPr>
        <w:pStyle w:val="Textonotapie"/>
        <w:rPr>
          <w:rFonts w:ascii="Verdana" w:hAnsi="Verdana"/>
          <w:sz w:val="16"/>
          <w:szCs w:val="16"/>
          <w:lang w:val="es-CO"/>
        </w:rPr>
      </w:pPr>
    </w:p>
  </w:footnote>
  <w:footnote w:id="3">
    <w:p w14:paraId="7602C89D" w14:textId="77777777" w:rsidR="001A352A" w:rsidRPr="003F1FA1" w:rsidRDefault="001A352A" w:rsidP="001A352A">
      <w:pPr>
        <w:pStyle w:val="Textonotapie"/>
        <w:ind w:firstLine="709"/>
        <w:jc w:val="both"/>
        <w:rPr>
          <w:rFonts w:ascii="Verdana" w:hAnsi="Verdana"/>
          <w:sz w:val="16"/>
          <w:szCs w:val="16"/>
          <w:lang w:val="es-CO"/>
        </w:rPr>
      </w:pPr>
      <w:r w:rsidRPr="003F1FA1">
        <w:rPr>
          <w:rStyle w:val="Refdenotaalpie"/>
          <w:rFonts w:ascii="Verdana" w:hAnsi="Verdana"/>
          <w:sz w:val="16"/>
          <w:szCs w:val="16"/>
          <w:lang w:val="es-CO"/>
        </w:rPr>
        <w:footnoteRef/>
      </w:r>
      <w:r w:rsidRPr="003F1FA1">
        <w:rPr>
          <w:rFonts w:ascii="Verdana" w:hAnsi="Verdana"/>
          <w:sz w:val="16"/>
          <w:szCs w:val="16"/>
          <w:lang w:val="es-CO"/>
        </w:rPr>
        <w:t xml:space="preserve"> Las entidades territoriales tienen autonomía en materia de planeación del desarrollo económico, social y de la gestión ambiental, en el marco de las competencias, recursos y responsabilidades que les ha atribuido la Constitución y la ley.</w:t>
      </w:r>
    </w:p>
    <w:p w14:paraId="63D7324F" w14:textId="77777777" w:rsidR="001A352A" w:rsidRPr="003F1FA1" w:rsidRDefault="001A352A" w:rsidP="001A352A">
      <w:pPr>
        <w:pStyle w:val="Textonotapie"/>
        <w:jc w:val="both"/>
        <w:rPr>
          <w:rFonts w:ascii="Verdana" w:hAnsi="Verdana"/>
          <w:sz w:val="16"/>
          <w:szCs w:val="16"/>
          <w:lang w:val="es-CO"/>
        </w:rPr>
      </w:pPr>
      <w:r w:rsidRPr="003F1FA1">
        <w:rPr>
          <w:rFonts w:ascii="Verdana" w:hAnsi="Verdana"/>
          <w:sz w:val="16"/>
          <w:szCs w:val="16"/>
          <w:lang w:val="es-CO"/>
        </w:rPr>
        <w:t>Los planes de desarrollo de las entidades territoriales, sin perjuicio de su autonomía, deberán tener en cuenta para su elaboración las políticas y estrategias del Plan Nacional de Desarrollo para garantizar la coherencia.</w:t>
      </w:r>
    </w:p>
    <w:p w14:paraId="51B1E387" w14:textId="77777777" w:rsidR="001A352A" w:rsidRPr="003F1FA1" w:rsidRDefault="001A352A" w:rsidP="001A352A">
      <w:pPr>
        <w:pStyle w:val="Textonotapie"/>
        <w:rPr>
          <w:rFonts w:ascii="Verdana" w:hAnsi="Verdana"/>
          <w:sz w:val="16"/>
          <w:szCs w:val="16"/>
          <w:lang w:val="es-CO"/>
        </w:rPr>
      </w:pPr>
    </w:p>
  </w:footnote>
  <w:footnote w:id="4">
    <w:p w14:paraId="3072A249" w14:textId="77777777" w:rsidR="001A352A" w:rsidRPr="003F1FA1" w:rsidRDefault="001A352A" w:rsidP="001A352A">
      <w:pPr>
        <w:pStyle w:val="Textonotapie"/>
        <w:ind w:firstLine="709"/>
        <w:jc w:val="both"/>
        <w:rPr>
          <w:rFonts w:ascii="Verdana" w:hAnsi="Verdana"/>
          <w:sz w:val="16"/>
          <w:szCs w:val="16"/>
          <w:lang w:val="es-CO"/>
        </w:rPr>
      </w:pPr>
      <w:r w:rsidRPr="003F1FA1">
        <w:rPr>
          <w:rStyle w:val="Refdenotaalpie"/>
          <w:rFonts w:ascii="Verdana" w:hAnsi="Verdana"/>
          <w:sz w:val="16"/>
          <w:szCs w:val="16"/>
          <w:lang w:val="es-CO"/>
        </w:rPr>
        <w:footnoteRef/>
      </w:r>
      <w:r w:rsidRPr="003F1FA1">
        <w:rPr>
          <w:rFonts w:ascii="Verdana" w:hAnsi="Verdana"/>
          <w:sz w:val="16"/>
          <w:szCs w:val="16"/>
          <w:lang w:val="es-CO"/>
        </w:rPr>
        <w:t xml:space="preserve">  Artículo 200.</w:t>
      </w:r>
      <w:r w:rsidRPr="003F1FA1">
        <w:rPr>
          <w:rFonts w:ascii="Verdana" w:hAnsi="Verdana"/>
          <w:i/>
          <w:iCs/>
          <w:sz w:val="16"/>
          <w:szCs w:val="16"/>
          <w:lang w:val="es-CO"/>
        </w:rPr>
        <w:t> Estrategia nacional de lucha contra la corrupción</w:t>
      </w:r>
      <w:r w:rsidRPr="003F1FA1">
        <w:rPr>
          <w:rFonts w:ascii="Verdana" w:hAnsi="Verdana"/>
          <w:sz w:val="16"/>
          <w:szCs w:val="16"/>
          <w:lang w:val="es-CO"/>
        </w:rPr>
        <w:t>. Con el propósito de fortalecer las Instituciones democráticas y el Estado Social de Derecho, garantizar la protección de los derechos humanos, proteger los recursos públicos, generar condiciones adecuadas para el desarrollo socioeconómico y proteger el Medio Ambiente, el Gobierno nacional formulará una Estrategia Nacional de Lucha Contra la Corrupción. </w:t>
      </w:r>
    </w:p>
    <w:p w14:paraId="38C8A81B" w14:textId="77777777" w:rsidR="001A352A" w:rsidRPr="003F1FA1" w:rsidRDefault="001A352A" w:rsidP="001A352A">
      <w:pPr>
        <w:pStyle w:val="Textonotapie"/>
        <w:ind w:firstLine="709"/>
        <w:jc w:val="both"/>
        <w:rPr>
          <w:rFonts w:ascii="Verdana" w:hAnsi="Verdana"/>
          <w:sz w:val="16"/>
          <w:szCs w:val="16"/>
          <w:lang w:val="es-CO"/>
        </w:rPr>
      </w:pPr>
      <w:r w:rsidRPr="003F1FA1">
        <w:rPr>
          <w:rFonts w:ascii="Verdana" w:hAnsi="Verdana"/>
          <w:sz w:val="16"/>
          <w:szCs w:val="16"/>
          <w:lang w:val="es-CO"/>
        </w:rPr>
        <w:t>La Estrategia tendrá como dimensiones la garantía de los derechos humanos, la protección al denunciante, el derecho al acceso a la información pública, el fortalecimiento de la veeduría ciudadana, la transparencia en la contratación y la gestión pública, la innovación pública y la implementación de mecanismos dirigidos a prevenir, detectar, gestionar y sancionar riesgos y hechos de corrupción bajo un enfoque sectorial. </w:t>
      </w:r>
    </w:p>
    <w:p w14:paraId="04E5E8A2" w14:textId="77777777" w:rsidR="001A352A" w:rsidRPr="003F1FA1" w:rsidRDefault="001A352A" w:rsidP="001A352A">
      <w:pPr>
        <w:pStyle w:val="Textonotapie"/>
        <w:ind w:firstLine="709"/>
        <w:jc w:val="both"/>
        <w:rPr>
          <w:rFonts w:ascii="Verdana" w:hAnsi="Verdana"/>
          <w:sz w:val="16"/>
          <w:szCs w:val="16"/>
          <w:lang w:val="es-CO"/>
        </w:rPr>
      </w:pPr>
      <w:r w:rsidRPr="003F1FA1">
        <w:rPr>
          <w:rFonts w:ascii="Verdana" w:hAnsi="Verdana"/>
          <w:sz w:val="16"/>
          <w:szCs w:val="16"/>
          <w:lang w:val="es-CO"/>
        </w:rPr>
        <w:t>El Gobierno nacional en cabeza de la Secretaría de Transparencia y las Subcomisiones Técnicas de la Comisión Nacional de Moralización, serán responsables de la coordinación, elaboración y evaluación de la Estrategia Nacional de Lucha contra la corrupción. La Red Nacional de Observatorios Anticorrupción y el Departamento Nacional de Planeación prestarán apoyo técnico para su formulación, monitoreo y seguimiento. </w:t>
      </w:r>
    </w:p>
    <w:p w14:paraId="031A33A5" w14:textId="77777777" w:rsidR="001A352A" w:rsidRPr="003F1FA1" w:rsidRDefault="001A352A" w:rsidP="001A352A">
      <w:pPr>
        <w:pStyle w:val="Textonotapie"/>
        <w:ind w:firstLine="709"/>
        <w:jc w:val="both"/>
        <w:rPr>
          <w:rFonts w:ascii="Verdana" w:hAnsi="Verdana"/>
          <w:sz w:val="16"/>
          <w:szCs w:val="16"/>
          <w:lang w:val="es-CO"/>
        </w:rPr>
      </w:pPr>
      <w:r w:rsidRPr="003F1FA1">
        <w:rPr>
          <w:rFonts w:ascii="Verdana" w:hAnsi="Verdana"/>
          <w:sz w:val="16"/>
          <w:szCs w:val="16"/>
          <w:lang w:val="es-CO"/>
        </w:rPr>
        <w:t>En el proceso de formulación de la Estrategia se realizará una evaluación de la capacidad institucional y misional de las entidades públicas, del funcionamiento de las instancias e instrumentos de planeación existentes para la lucha contra la corrupción, y de las debilidades de articulación y coordinación interinstitucional. Así mismo, en el desarrollo de esta estrategia se promoverá la implementación de las disposiciones previstas en la Ley 1712 de 2014 frente al diseño, promoción e implementación de la política pública de acceso a la información pública y la Ley 2195 de 2022 en materia de daño y reparación de los afectados por actos de corrupción, el control y monitoreo constante del riesgo de corrupción, así como la pedagogía para la promoción de la participación ciudadana para la transparencia y lucha contra la corrupción. </w:t>
      </w:r>
    </w:p>
    <w:p w14:paraId="1F3BFB8A" w14:textId="77777777" w:rsidR="001A352A" w:rsidRPr="003F1FA1" w:rsidRDefault="001A352A" w:rsidP="001A352A">
      <w:pPr>
        <w:pStyle w:val="Textonotapie"/>
        <w:ind w:firstLine="709"/>
        <w:jc w:val="both"/>
        <w:rPr>
          <w:rFonts w:ascii="Verdana" w:hAnsi="Verdana"/>
          <w:sz w:val="16"/>
          <w:szCs w:val="16"/>
          <w:lang w:val="es-CO"/>
        </w:rPr>
      </w:pPr>
      <w:r w:rsidRPr="003F1FA1">
        <w:rPr>
          <w:rFonts w:ascii="Verdana" w:hAnsi="Verdana"/>
          <w:sz w:val="16"/>
          <w:szCs w:val="16"/>
          <w:lang w:val="es-CO"/>
        </w:rPr>
        <w:t>Parágrafo 1°. En la estrategia se contemplarán los mecanismos para el seguimiento y control de los recursos públicos administrados mediante fondos o patrimonios autónomos. </w:t>
      </w:r>
    </w:p>
    <w:p w14:paraId="5B2D9242" w14:textId="77777777" w:rsidR="001A352A" w:rsidRPr="003F1FA1" w:rsidRDefault="001A352A" w:rsidP="001A352A">
      <w:pPr>
        <w:pStyle w:val="Textonotapie"/>
        <w:ind w:firstLine="709"/>
        <w:jc w:val="both"/>
        <w:rPr>
          <w:rFonts w:ascii="Verdana" w:hAnsi="Verdana"/>
          <w:sz w:val="16"/>
          <w:szCs w:val="16"/>
          <w:lang w:val="es-CO"/>
        </w:rPr>
      </w:pPr>
      <w:r w:rsidRPr="003F1FA1">
        <w:rPr>
          <w:rFonts w:ascii="Verdana" w:hAnsi="Verdana"/>
          <w:sz w:val="16"/>
          <w:szCs w:val="16"/>
          <w:lang w:val="es-CO"/>
        </w:rPr>
        <w:t>Parágrafo 2°. La Comisión Nacional Ciudadana de Lucha Contra la Corrupción, la Comisión Nacional de Moralización, las Comisiones Regionales de Moralización y las organizaciones de la sociedad civil podrán presentar recomendaciones durante la formulación y evaluación de la Estrategia. </w:t>
      </w:r>
    </w:p>
    <w:p w14:paraId="7E50D680" w14:textId="77777777" w:rsidR="001A352A" w:rsidRPr="003F1FA1" w:rsidRDefault="001A352A" w:rsidP="001A352A">
      <w:pPr>
        <w:pStyle w:val="Textonotapie"/>
        <w:ind w:firstLine="709"/>
        <w:jc w:val="both"/>
        <w:rPr>
          <w:rFonts w:ascii="Verdana" w:hAnsi="Verdana"/>
          <w:sz w:val="16"/>
          <w:szCs w:val="16"/>
          <w:lang w:val="es-CO"/>
        </w:rPr>
      </w:pPr>
      <w:r w:rsidRPr="003F1FA1">
        <w:rPr>
          <w:rFonts w:ascii="Verdana" w:hAnsi="Verdana"/>
          <w:sz w:val="16"/>
          <w:szCs w:val="16"/>
          <w:lang w:val="es-CO"/>
        </w:rPr>
        <w:t>Parágrafo 3°. Dentro del año siguiente a la entrada en vigor de la presente ley, el Gobierno nacional formulará y adoptará la Estrategia Nacional de Lucha Contra la Corrupción. </w:t>
      </w:r>
    </w:p>
    <w:p w14:paraId="7E41D53F" w14:textId="77777777" w:rsidR="001A352A" w:rsidRPr="003F1FA1" w:rsidRDefault="001A352A" w:rsidP="001A352A">
      <w:pPr>
        <w:pStyle w:val="Textonotapie"/>
        <w:rPr>
          <w:rFonts w:ascii="Verdana" w:hAnsi="Verdana"/>
          <w:sz w:val="16"/>
          <w:szCs w:val="16"/>
          <w:lang w:val="es-CO"/>
        </w:rPr>
      </w:pPr>
    </w:p>
  </w:footnote>
  <w:footnote w:id="5">
    <w:p w14:paraId="7050345E" w14:textId="77777777" w:rsidR="00645197" w:rsidRPr="003F1FA1" w:rsidRDefault="00645197" w:rsidP="00645197">
      <w:pPr>
        <w:pStyle w:val="Textonotapie"/>
        <w:ind w:firstLine="708"/>
        <w:jc w:val="both"/>
        <w:rPr>
          <w:rFonts w:ascii="Verdana" w:hAnsi="Verdana" w:cs="Arial"/>
          <w:sz w:val="16"/>
          <w:szCs w:val="16"/>
          <w:lang w:val="es-CO"/>
        </w:rPr>
      </w:pPr>
      <w:r w:rsidRPr="003F1FA1">
        <w:rPr>
          <w:rStyle w:val="Refdenotaalpie"/>
          <w:rFonts w:ascii="Verdana" w:hAnsi="Verdana" w:cs="Arial"/>
          <w:sz w:val="16"/>
          <w:szCs w:val="16"/>
        </w:rPr>
        <w:footnoteRef/>
      </w:r>
      <w:r w:rsidRPr="003F1FA1">
        <w:rPr>
          <w:rFonts w:ascii="Verdana" w:hAnsi="Verdana" w:cs="Arial"/>
          <w:sz w:val="16"/>
          <w:szCs w:val="16"/>
        </w:rPr>
        <w:t xml:space="preserve"> </w:t>
      </w:r>
      <w:r w:rsidRPr="003F1FA1">
        <w:rPr>
          <w:rFonts w:ascii="Verdana" w:hAnsi="Verdana" w:cs="Arial"/>
          <w:color w:val="2D2D2D"/>
          <w:sz w:val="16"/>
          <w:szCs w:val="16"/>
          <w:shd w:val="clear" w:color="auto" w:fill="FFFFFF"/>
        </w:rPr>
        <w:t>Sentencia C-1016/12</w:t>
      </w:r>
    </w:p>
  </w:footnote>
  <w:footnote w:id="6">
    <w:p w14:paraId="2680A7C6" w14:textId="77777777" w:rsidR="00227B88" w:rsidRPr="007A5A67" w:rsidRDefault="00227B88" w:rsidP="00227B88">
      <w:pPr>
        <w:pStyle w:val="Textonotapie"/>
        <w:ind w:firstLine="709"/>
        <w:jc w:val="both"/>
        <w:rPr>
          <w:rFonts w:ascii="Verdana" w:hAnsi="Verdana" w:cs="Arial"/>
          <w:sz w:val="16"/>
          <w:szCs w:val="16"/>
          <w:lang w:val="es-ES_tradnl"/>
        </w:rPr>
      </w:pPr>
      <w:r w:rsidRPr="007A5A67">
        <w:rPr>
          <w:rStyle w:val="Refdenotaalpie"/>
          <w:rFonts w:ascii="Verdana" w:hAnsi="Verdana" w:cs="Arial"/>
          <w:sz w:val="16"/>
          <w:szCs w:val="16"/>
        </w:rPr>
        <w:footnoteRef/>
      </w:r>
      <w:r w:rsidRPr="007A5A67">
        <w:rPr>
          <w:rFonts w:ascii="Verdana" w:hAnsi="Verdana" w:cs="Arial"/>
          <w:sz w:val="16"/>
          <w:szCs w:val="16"/>
        </w:rPr>
        <w:t xml:space="preserve"> </w:t>
      </w:r>
      <w:r w:rsidRPr="007A5A67">
        <w:rPr>
          <w:rFonts w:ascii="Verdana" w:hAnsi="Verdana" w:cs="Arial"/>
          <w:sz w:val="16"/>
          <w:szCs w:val="16"/>
          <w:lang w:val="pt-BR"/>
        </w:rPr>
        <w:t>CORTE CONSTITUCIONAL. Sentencia C-1016 de 2012. M.P. Jorge Iván Palacio.</w:t>
      </w:r>
    </w:p>
  </w:footnote>
  <w:footnote w:id="7">
    <w:p w14:paraId="30B12515" w14:textId="77777777" w:rsidR="00227B88" w:rsidRPr="007A5A67" w:rsidRDefault="00227B88" w:rsidP="00227B88">
      <w:pPr>
        <w:pStyle w:val="Textonotapie"/>
        <w:ind w:firstLine="709"/>
        <w:jc w:val="both"/>
        <w:rPr>
          <w:rFonts w:ascii="Verdana" w:hAnsi="Verdana" w:cs="Arial"/>
          <w:sz w:val="16"/>
          <w:szCs w:val="16"/>
          <w:lang w:val="pt-BR"/>
        </w:rPr>
      </w:pPr>
      <w:r w:rsidRPr="007A5A67">
        <w:rPr>
          <w:rStyle w:val="Refdenotaalpie"/>
          <w:rFonts w:ascii="Verdana" w:hAnsi="Verdana" w:cs="Arial"/>
          <w:sz w:val="16"/>
          <w:szCs w:val="16"/>
        </w:rPr>
        <w:footnoteRef/>
      </w:r>
      <w:r w:rsidRPr="007A5A67">
        <w:rPr>
          <w:rFonts w:ascii="Verdana" w:hAnsi="Verdana" w:cs="Arial"/>
          <w:sz w:val="16"/>
          <w:szCs w:val="16"/>
        </w:rPr>
        <w:t xml:space="preserve"> CONSEJO DE ESTADO. Sección Tercera. Subsección A. Sentencia del 13 de noviembre de 2013. </w:t>
      </w:r>
      <w:r w:rsidRPr="007A5A67">
        <w:rPr>
          <w:rFonts w:ascii="Verdana" w:hAnsi="Verdana" w:cs="Arial"/>
          <w:sz w:val="16"/>
          <w:szCs w:val="16"/>
          <w:lang w:val="pt-BR"/>
        </w:rPr>
        <w:t>Rad. 25.646. C.P. Mauricio Fajardo Gómez.</w:t>
      </w:r>
    </w:p>
  </w:footnote>
  <w:footnote w:id="8">
    <w:p w14:paraId="16E85B6A" w14:textId="77777777" w:rsidR="00227B88" w:rsidRPr="007A5A67" w:rsidRDefault="00227B88" w:rsidP="00227B88">
      <w:pPr>
        <w:pStyle w:val="Textonotapie"/>
        <w:ind w:firstLine="709"/>
        <w:jc w:val="both"/>
        <w:rPr>
          <w:rFonts w:ascii="Verdana" w:hAnsi="Verdana" w:cs="Arial"/>
          <w:sz w:val="16"/>
          <w:szCs w:val="16"/>
          <w:lang w:val="pt-BR"/>
        </w:rPr>
      </w:pPr>
      <w:r w:rsidRPr="007A5A67">
        <w:rPr>
          <w:rStyle w:val="Refdenotaalpie"/>
          <w:rFonts w:ascii="Verdana" w:hAnsi="Verdana" w:cs="Arial"/>
          <w:sz w:val="16"/>
          <w:szCs w:val="16"/>
        </w:rPr>
        <w:footnoteRef/>
      </w:r>
      <w:r w:rsidRPr="007A5A67">
        <w:rPr>
          <w:rFonts w:ascii="Verdana" w:hAnsi="Verdana" w:cs="Arial"/>
          <w:sz w:val="16"/>
          <w:szCs w:val="16"/>
          <w:lang w:val="pt-BR"/>
        </w:rPr>
        <w:t xml:space="preserve"> CORTE CONSTITUCIONAL. Sentencia C-415 de 1994. M.P. Eduardo </w:t>
      </w:r>
      <w:proofErr w:type="spellStart"/>
      <w:r w:rsidRPr="007A5A67">
        <w:rPr>
          <w:rFonts w:ascii="Verdana" w:hAnsi="Verdana" w:cs="Arial"/>
          <w:sz w:val="16"/>
          <w:szCs w:val="16"/>
          <w:lang w:val="pt-BR"/>
        </w:rPr>
        <w:t>Cifuentes</w:t>
      </w:r>
      <w:proofErr w:type="spellEnd"/>
      <w:r w:rsidRPr="007A5A67">
        <w:rPr>
          <w:rFonts w:ascii="Verdana" w:hAnsi="Verdana" w:cs="Arial"/>
          <w:sz w:val="16"/>
          <w:szCs w:val="16"/>
          <w:lang w:val="pt-BR"/>
        </w:rPr>
        <w:t xml:space="preserve"> </w:t>
      </w:r>
      <w:proofErr w:type="spellStart"/>
      <w:r w:rsidRPr="007A5A67">
        <w:rPr>
          <w:rFonts w:ascii="Verdana" w:hAnsi="Verdana" w:cs="Arial"/>
          <w:sz w:val="16"/>
          <w:szCs w:val="16"/>
          <w:lang w:val="pt-BR"/>
        </w:rPr>
        <w:t>Muñoz</w:t>
      </w:r>
      <w:proofErr w:type="spellEnd"/>
      <w:r w:rsidRPr="007A5A67">
        <w:rPr>
          <w:rFonts w:ascii="Verdana" w:hAnsi="Verdana" w:cs="Arial"/>
          <w:sz w:val="16"/>
          <w:szCs w:val="16"/>
          <w:lang w:val="pt-BR"/>
        </w:rPr>
        <w:t>.</w:t>
      </w:r>
    </w:p>
  </w:footnote>
  <w:footnote w:id="9">
    <w:p w14:paraId="6B07C19B" w14:textId="77777777" w:rsidR="00227B88" w:rsidRPr="007A5A67" w:rsidRDefault="00227B88" w:rsidP="00227B88">
      <w:pPr>
        <w:pStyle w:val="Textonotapie"/>
        <w:ind w:firstLine="709"/>
        <w:jc w:val="both"/>
        <w:rPr>
          <w:rFonts w:ascii="Verdana" w:hAnsi="Verdana" w:cs="Arial"/>
          <w:sz w:val="16"/>
          <w:szCs w:val="16"/>
          <w:lang w:val="pt-BR"/>
        </w:rPr>
      </w:pPr>
      <w:r w:rsidRPr="007A5A67">
        <w:rPr>
          <w:rStyle w:val="Refdenotaalpie"/>
          <w:rFonts w:ascii="Verdana" w:hAnsi="Verdana" w:cs="Arial"/>
          <w:sz w:val="16"/>
          <w:szCs w:val="16"/>
        </w:rPr>
        <w:footnoteRef/>
      </w:r>
      <w:r w:rsidRPr="007A5A67">
        <w:rPr>
          <w:rFonts w:ascii="Verdana" w:hAnsi="Verdana" w:cs="Arial"/>
          <w:sz w:val="16"/>
          <w:szCs w:val="16"/>
          <w:lang w:val="pt-BR"/>
        </w:rPr>
        <w:t xml:space="preserve"> Ibidem.</w:t>
      </w:r>
    </w:p>
  </w:footnote>
  <w:footnote w:id="10">
    <w:p w14:paraId="239B37D1" w14:textId="77777777" w:rsidR="00227B88" w:rsidRPr="007A5A67" w:rsidRDefault="00227B88" w:rsidP="00227B88">
      <w:pPr>
        <w:pStyle w:val="Textonotapie"/>
        <w:ind w:firstLine="709"/>
        <w:jc w:val="both"/>
        <w:rPr>
          <w:rFonts w:ascii="Verdana" w:hAnsi="Verdana" w:cs="Arial"/>
          <w:sz w:val="16"/>
          <w:szCs w:val="16"/>
          <w:lang w:val="es-CO"/>
        </w:rPr>
      </w:pPr>
      <w:r w:rsidRPr="007A5A67">
        <w:rPr>
          <w:rStyle w:val="Refdenotaalpie"/>
          <w:rFonts w:ascii="Verdana" w:hAnsi="Verdana" w:cs="Arial"/>
          <w:sz w:val="16"/>
          <w:szCs w:val="16"/>
        </w:rPr>
        <w:footnoteRef/>
      </w:r>
      <w:r w:rsidRPr="007A5A67">
        <w:rPr>
          <w:rFonts w:ascii="Verdana" w:hAnsi="Verdana" w:cs="Arial"/>
          <w:sz w:val="16"/>
          <w:szCs w:val="16"/>
          <w:lang w:val="pt-BR"/>
        </w:rPr>
        <w:t xml:space="preserve"> CORTE CONSTITUCIONAL. </w:t>
      </w:r>
      <w:r w:rsidRPr="007A5A67">
        <w:rPr>
          <w:rFonts w:ascii="Verdana" w:hAnsi="Verdana" w:cs="Arial"/>
          <w:sz w:val="16"/>
          <w:szCs w:val="16"/>
        </w:rPr>
        <w:t xml:space="preserve">Sentencia C-780 de 2001. </w:t>
      </w:r>
      <w:r w:rsidRPr="007A5A67">
        <w:rPr>
          <w:rFonts w:ascii="Verdana" w:hAnsi="Verdana" w:cs="Arial"/>
          <w:sz w:val="16"/>
          <w:szCs w:val="16"/>
          <w:lang w:val="es-CO"/>
        </w:rPr>
        <w:t xml:space="preserve">M.P. Jaime Córdoba Triviño. </w:t>
      </w:r>
    </w:p>
  </w:footnote>
  <w:footnote w:id="11">
    <w:p w14:paraId="14B924F8" w14:textId="77777777" w:rsidR="00227B88" w:rsidRPr="007A5A67" w:rsidRDefault="00227B88" w:rsidP="00227B88">
      <w:pPr>
        <w:pStyle w:val="Textonotapie"/>
        <w:ind w:firstLine="709"/>
        <w:jc w:val="both"/>
        <w:rPr>
          <w:rFonts w:ascii="Verdana" w:hAnsi="Verdana" w:cs="Arial"/>
          <w:sz w:val="16"/>
          <w:szCs w:val="16"/>
        </w:rPr>
      </w:pPr>
      <w:r w:rsidRPr="007A5A67">
        <w:rPr>
          <w:rStyle w:val="Refdenotaalpie"/>
          <w:rFonts w:ascii="Verdana" w:hAnsi="Verdana" w:cs="Arial"/>
          <w:sz w:val="16"/>
          <w:szCs w:val="16"/>
        </w:rPr>
        <w:footnoteRef/>
      </w:r>
      <w:r w:rsidRPr="007A5A67">
        <w:rPr>
          <w:rFonts w:ascii="Verdana" w:hAnsi="Verdana" w:cs="Arial"/>
          <w:sz w:val="16"/>
          <w:szCs w:val="16"/>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1DCC01FB" w14:textId="77777777" w:rsidR="00227B88" w:rsidRPr="007A5A67" w:rsidRDefault="00227B88" w:rsidP="00227B88">
      <w:pPr>
        <w:pStyle w:val="Textonotapie"/>
        <w:ind w:firstLine="709"/>
        <w:jc w:val="both"/>
        <w:rPr>
          <w:rFonts w:ascii="Verdana" w:hAnsi="Verdana" w:cs="Arial"/>
          <w:sz w:val="16"/>
          <w:szCs w:val="16"/>
        </w:rPr>
      </w:pPr>
      <w:r w:rsidRPr="007A5A67">
        <w:rPr>
          <w:rFonts w:ascii="Verdana" w:hAnsi="Verdana" w:cs="Arial"/>
          <w:sz w:val="16"/>
          <w:szCs w:val="16"/>
        </w:rPr>
        <w:t>Las personas jurídicas nacionales y extranjeras deberán acreditar que su duración no será inferior a la del plazo del contrato y un año más”.</w:t>
      </w:r>
    </w:p>
  </w:footnote>
  <w:footnote w:id="12">
    <w:p w14:paraId="3674C364" w14:textId="77777777" w:rsidR="00227B88" w:rsidRPr="007A5A67" w:rsidRDefault="00227B88" w:rsidP="00227B88">
      <w:pPr>
        <w:pStyle w:val="Textonotapie"/>
        <w:ind w:firstLine="709"/>
        <w:jc w:val="both"/>
        <w:rPr>
          <w:rFonts w:ascii="Verdana" w:hAnsi="Verdana" w:cs="Arial"/>
          <w:sz w:val="16"/>
          <w:szCs w:val="16"/>
        </w:rPr>
      </w:pPr>
      <w:r w:rsidRPr="007A5A67">
        <w:rPr>
          <w:rStyle w:val="Refdenotaalpie"/>
          <w:rFonts w:ascii="Verdana" w:hAnsi="Verdana" w:cs="Arial"/>
          <w:sz w:val="16"/>
          <w:szCs w:val="16"/>
        </w:rPr>
        <w:footnoteRef/>
      </w:r>
      <w:r w:rsidRPr="007A5A67">
        <w:rPr>
          <w:rFonts w:ascii="Verdana" w:hAnsi="Verdana" w:cs="Arial"/>
          <w:sz w:val="16"/>
          <w:szCs w:val="16"/>
        </w:rPr>
        <w:t xml:space="preserve"> Código Civil: “Artículo 1502. Requisitos para obligarse. Para que una persona se obligue a otra por un acto o declaración de voluntad, es necesario:</w:t>
      </w:r>
    </w:p>
    <w:p w14:paraId="38789890" w14:textId="77777777" w:rsidR="00227B88" w:rsidRPr="007A5A67" w:rsidRDefault="00227B88" w:rsidP="00227B88">
      <w:pPr>
        <w:pStyle w:val="Textonotapie"/>
        <w:ind w:firstLine="709"/>
        <w:jc w:val="both"/>
        <w:rPr>
          <w:rFonts w:ascii="Verdana" w:hAnsi="Verdana" w:cs="Arial"/>
          <w:sz w:val="16"/>
          <w:szCs w:val="16"/>
        </w:rPr>
      </w:pPr>
      <w:r w:rsidRPr="007A5A67">
        <w:rPr>
          <w:rFonts w:ascii="Verdana" w:hAnsi="Verdana" w:cs="Arial"/>
          <w:sz w:val="16"/>
          <w:szCs w:val="16"/>
        </w:rPr>
        <w:t>1o.) que sea legalmente capaz.</w:t>
      </w:r>
    </w:p>
    <w:p w14:paraId="05819FDD" w14:textId="77777777" w:rsidR="00227B88" w:rsidRPr="007A5A67" w:rsidRDefault="00227B88" w:rsidP="00227B88">
      <w:pPr>
        <w:pStyle w:val="Textonotapie"/>
        <w:ind w:firstLine="709"/>
        <w:jc w:val="both"/>
        <w:rPr>
          <w:rFonts w:ascii="Verdana" w:hAnsi="Verdana" w:cs="Arial"/>
          <w:sz w:val="16"/>
          <w:szCs w:val="16"/>
        </w:rPr>
      </w:pPr>
      <w:r w:rsidRPr="007A5A67">
        <w:rPr>
          <w:rFonts w:ascii="Verdana" w:hAnsi="Verdana" w:cs="Arial"/>
          <w:sz w:val="16"/>
          <w:szCs w:val="16"/>
        </w:rPr>
        <w:t>[…]</w:t>
      </w:r>
    </w:p>
    <w:p w14:paraId="58DE82B4" w14:textId="77777777" w:rsidR="00227B88" w:rsidRPr="007A5A67" w:rsidRDefault="00227B88" w:rsidP="00227B88">
      <w:pPr>
        <w:pStyle w:val="Textonotapie"/>
        <w:ind w:firstLine="709"/>
        <w:jc w:val="both"/>
        <w:rPr>
          <w:rFonts w:ascii="Verdana" w:hAnsi="Verdana" w:cs="Arial"/>
          <w:sz w:val="16"/>
          <w:szCs w:val="16"/>
        </w:rPr>
      </w:pPr>
      <w:r w:rsidRPr="007A5A67">
        <w:rPr>
          <w:rFonts w:ascii="Verdana" w:hAnsi="Verdana" w:cs="Arial"/>
          <w:sz w:val="16"/>
          <w:szCs w:val="16"/>
        </w:rPr>
        <w:t>La capacidad legal de una persona consiste en poderse obligar por sí misma, sin el ministerio o la autorización de otra”.</w:t>
      </w:r>
    </w:p>
  </w:footnote>
  <w:footnote w:id="13">
    <w:p w14:paraId="6B490DAD" w14:textId="77777777" w:rsidR="00227B88" w:rsidRPr="007A5A67" w:rsidRDefault="00227B88" w:rsidP="00227B88">
      <w:pPr>
        <w:pStyle w:val="Textonotapie"/>
        <w:ind w:firstLine="709"/>
        <w:jc w:val="both"/>
        <w:rPr>
          <w:rFonts w:ascii="Verdana" w:hAnsi="Verdana" w:cs="Arial"/>
          <w:sz w:val="16"/>
          <w:szCs w:val="16"/>
        </w:rPr>
      </w:pPr>
      <w:r w:rsidRPr="007A5A67">
        <w:rPr>
          <w:rStyle w:val="Refdenotaalpie"/>
          <w:rFonts w:ascii="Verdana" w:hAnsi="Verdana" w:cs="Arial"/>
          <w:sz w:val="16"/>
          <w:szCs w:val="16"/>
        </w:rPr>
        <w:footnoteRef/>
      </w:r>
      <w:r w:rsidRPr="007A5A67">
        <w:rPr>
          <w:rFonts w:ascii="Verdana" w:hAnsi="Verdana" w:cs="Arial"/>
          <w:sz w:val="16"/>
          <w:szCs w:val="16"/>
        </w:rPr>
        <w:t xml:space="preserve"> Decreto Ley 19 de 2012: “Artículo 221. El artículo 6 de la Ley 1150 de 2007, quedará así:</w:t>
      </w:r>
    </w:p>
    <w:p w14:paraId="6C9EA154" w14:textId="77777777" w:rsidR="00227B88" w:rsidRPr="007A5A67" w:rsidRDefault="00227B88" w:rsidP="00227B88">
      <w:pPr>
        <w:pStyle w:val="Textonotapie"/>
        <w:ind w:firstLine="709"/>
        <w:jc w:val="both"/>
        <w:rPr>
          <w:rFonts w:ascii="Verdana" w:hAnsi="Verdana" w:cs="Arial"/>
          <w:sz w:val="16"/>
          <w:szCs w:val="16"/>
          <w:lang w:val="es-ES"/>
        </w:rPr>
      </w:pPr>
      <w:r w:rsidRPr="007A5A67">
        <w:rPr>
          <w:rFonts w:ascii="Verdana" w:hAnsi="Verdana" w:cs="Arial"/>
          <w:sz w:val="16"/>
          <w:szCs w:val="16"/>
        </w:rPr>
        <w:t>Artículo 6. De la verificación de las condiciones de los proponentes. T</w:t>
      </w:r>
      <w:proofErr w:type="spellStart"/>
      <w:r w:rsidRPr="007A5A67">
        <w:rPr>
          <w:rFonts w:ascii="Verdana" w:hAnsi="Verdana" w:cs="Arial"/>
          <w:sz w:val="16"/>
          <w:szCs w:val="16"/>
          <w:lang w:val="es-ES"/>
        </w:rPr>
        <w:t>odas</w:t>
      </w:r>
      <w:proofErr w:type="spellEnd"/>
      <w:r w:rsidRPr="007A5A67">
        <w:rPr>
          <w:rFonts w:ascii="Verdana" w:hAnsi="Verdana" w:cs="Arial"/>
          <w:sz w:val="16"/>
          <w:szCs w:val="16"/>
          <w:lang w:val="es-ES"/>
        </w:rPr>
        <w:t xml:space="preserve">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C9FFA8B" w14:textId="77777777" w:rsidR="00227B88" w:rsidRPr="007A5A67" w:rsidRDefault="00227B88" w:rsidP="00227B88">
      <w:pPr>
        <w:pStyle w:val="Textonotapie"/>
        <w:ind w:firstLine="709"/>
        <w:jc w:val="both"/>
        <w:rPr>
          <w:rFonts w:ascii="Verdana" w:hAnsi="Verdana" w:cs="Arial"/>
          <w:sz w:val="16"/>
          <w:szCs w:val="16"/>
          <w:lang w:val="es-ES"/>
        </w:rPr>
      </w:pPr>
      <w:r w:rsidRPr="007A5A67">
        <w:rPr>
          <w:rFonts w:ascii="Verdana" w:hAnsi="Verdana" w:cs="Arial"/>
          <w:sz w:val="16"/>
          <w:szCs w:val="16"/>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footnote>
  <w:footnote w:id="14">
    <w:p w14:paraId="405B770B" w14:textId="77777777" w:rsidR="00227B88" w:rsidRPr="007A5A67" w:rsidRDefault="00227B88" w:rsidP="00227B88">
      <w:pPr>
        <w:pStyle w:val="Textonotapie"/>
        <w:ind w:firstLine="709"/>
        <w:jc w:val="both"/>
        <w:rPr>
          <w:rFonts w:ascii="Verdana" w:hAnsi="Verdana" w:cs="Arial"/>
          <w:sz w:val="16"/>
          <w:szCs w:val="16"/>
          <w:lang w:val="es-ES"/>
        </w:rPr>
      </w:pPr>
      <w:r w:rsidRPr="007A5A67">
        <w:rPr>
          <w:rStyle w:val="Refdenotaalpie"/>
          <w:rFonts w:ascii="Verdana" w:hAnsi="Verdana" w:cs="Arial"/>
          <w:sz w:val="16"/>
          <w:szCs w:val="16"/>
        </w:rPr>
        <w:footnoteRef/>
      </w:r>
      <w:r w:rsidRPr="007A5A67">
        <w:rPr>
          <w:rFonts w:ascii="Verdana" w:hAnsi="Verdana" w:cs="Arial"/>
          <w:sz w:val="16"/>
          <w:szCs w:val="16"/>
        </w:rPr>
        <w:t xml:space="preserve"> </w:t>
      </w:r>
      <w:r w:rsidRPr="007A5A67">
        <w:rPr>
          <w:rFonts w:ascii="Verdana" w:hAnsi="Verdana" w:cs="Arial"/>
          <w:sz w:val="16"/>
          <w:szCs w:val="16"/>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7A5A67">
        <w:rPr>
          <w:rFonts w:ascii="Verdana" w:hAnsi="Verdana" w:cs="Arial"/>
          <w:i/>
          <w:iCs/>
          <w:sz w:val="16"/>
          <w:szCs w:val="16"/>
          <w:lang w:val="es-ES"/>
        </w:rPr>
        <w:t>el régimen de inhabilidades e incompatibilidades</w:t>
      </w:r>
      <w:r w:rsidRPr="007A5A67">
        <w:rPr>
          <w:rFonts w:ascii="Verdana" w:hAnsi="Verdana" w:cs="Arial"/>
          <w:sz w:val="16"/>
          <w:szCs w:val="16"/>
          <w:lang w:val="es-ES"/>
        </w:rPr>
        <w:t xml:space="preserve"> (1) y la obligación de ciertos proponentes de inscribirse en el </w:t>
      </w:r>
      <w:r w:rsidRPr="007A5A67">
        <w:rPr>
          <w:rFonts w:ascii="Verdana" w:hAnsi="Verdana" w:cs="Arial"/>
          <w:i/>
          <w:iCs/>
          <w:sz w:val="16"/>
          <w:szCs w:val="16"/>
          <w:lang w:val="es-ES"/>
        </w:rPr>
        <w:t>registro único</w:t>
      </w:r>
      <w:r w:rsidRPr="007A5A67">
        <w:rPr>
          <w:rFonts w:ascii="Verdana" w:hAnsi="Verdana" w:cs="Arial"/>
          <w:sz w:val="16"/>
          <w:szCs w:val="16"/>
          <w:lang w:val="es-ES"/>
        </w:rPr>
        <w:t xml:space="preserve"> (2)” (BENAVIDES, José Luis. El contrato estatal. Entre el Derecho público y el Derecho privado. 2ª ed. Bogotá: Universidad Externado de Colombia, 2004. p. 278). </w:t>
      </w:r>
    </w:p>
  </w:footnote>
  <w:footnote w:id="15">
    <w:p w14:paraId="0FF2C4F4" w14:textId="77777777" w:rsidR="00227B88" w:rsidRPr="007A5A67" w:rsidRDefault="00227B88" w:rsidP="00227B88">
      <w:pPr>
        <w:pStyle w:val="Textonotapie"/>
        <w:ind w:firstLine="709"/>
        <w:jc w:val="both"/>
        <w:rPr>
          <w:rFonts w:ascii="Verdana" w:hAnsi="Verdana" w:cs="Arial"/>
          <w:sz w:val="16"/>
          <w:szCs w:val="16"/>
        </w:rPr>
      </w:pPr>
      <w:r w:rsidRPr="007A5A67">
        <w:rPr>
          <w:rStyle w:val="Refdenotaalpie"/>
          <w:rFonts w:ascii="Verdana" w:hAnsi="Verdana" w:cs="Arial"/>
          <w:sz w:val="16"/>
          <w:szCs w:val="16"/>
        </w:rPr>
        <w:footnoteRef/>
      </w:r>
      <w:r w:rsidRPr="007A5A67">
        <w:rPr>
          <w:rFonts w:ascii="Verdana" w:hAnsi="Verdana" w:cs="Arial"/>
          <w:sz w:val="16"/>
          <w:szCs w:val="16"/>
        </w:rPr>
        <w:t xml:space="preserve"> En esta línea Dávila Vinueza Expresa: “El legislador para calificar estas prohibiciones emplea dos vocablos: Inhabilidades o incompatibilidades, los cuales en un examen desprevenido podrían sugerir ideas diferentes </w:t>
      </w:r>
      <w:proofErr w:type="gramStart"/>
      <w:r w:rsidRPr="007A5A67">
        <w:rPr>
          <w:rFonts w:ascii="Verdana" w:hAnsi="Verdana" w:cs="Arial"/>
          <w:sz w:val="16"/>
          <w:szCs w:val="16"/>
        </w:rPr>
        <w:t>y</w:t>
      </w:r>
      <w:proofErr w:type="gramEnd"/>
      <w:r w:rsidRPr="007A5A67">
        <w:rPr>
          <w:rFonts w:ascii="Verdana" w:hAnsi="Verdana" w:cs="Arial"/>
          <w:sz w:val="16"/>
          <w:szCs w:val="16"/>
        </w:rPr>
        <w:t xml:space="preserve">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 Ello es así por cuanto los efectos jurídicos que se general para una y otra son exactamente los mismos. Incluso se podría afirmar </w:t>
      </w:r>
      <w:proofErr w:type="gramStart"/>
      <w:r w:rsidRPr="007A5A67">
        <w:rPr>
          <w:rFonts w:ascii="Verdana" w:hAnsi="Verdana" w:cs="Arial"/>
          <w:sz w:val="16"/>
          <w:szCs w:val="16"/>
        </w:rPr>
        <w:t>que</w:t>
      </w:r>
      <w:proofErr w:type="gramEnd"/>
      <w:r w:rsidRPr="007A5A67">
        <w:rPr>
          <w:rFonts w:ascii="Verdana" w:hAnsi="Verdana" w:cs="Arial"/>
          <w:sz w:val="16"/>
          <w:szCs w:val="16"/>
        </w:rPr>
        <w:t xml:space="preserve"> ante la semejanza de las figuras, conviene emplear un único vocablo, con lo cual serían innecesarias los intentos y las elucubraciones y explicaciones, algunas novedosas que podrían ensayarse”. (DÁVILA VINUEZA, Luis Guillermo. Régimen jurídico de la contratación estatal. 3ª ed. Bogotá: Legis, 2016. p. 148).</w:t>
      </w:r>
    </w:p>
  </w:footnote>
  <w:footnote w:id="16">
    <w:p w14:paraId="6F7A83F4" w14:textId="77777777" w:rsidR="00227B88" w:rsidRPr="007A5A67" w:rsidRDefault="00227B88" w:rsidP="00227B88">
      <w:pPr>
        <w:pStyle w:val="Textonotapie"/>
        <w:ind w:firstLine="709"/>
        <w:jc w:val="both"/>
        <w:rPr>
          <w:rFonts w:ascii="Verdana" w:hAnsi="Verdana" w:cs="Arial"/>
          <w:sz w:val="16"/>
          <w:szCs w:val="16"/>
          <w:lang w:val="es-ES"/>
        </w:rPr>
      </w:pPr>
      <w:r w:rsidRPr="007A5A67">
        <w:rPr>
          <w:rStyle w:val="Refdenotaalpie"/>
          <w:rFonts w:ascii="Verdana" w:hAnsi="Verdana" w:cs="Arial"/>
          <w:sz w:val="16"/>
          <w:szCs w:val="16"/>
        </w:rPr>
        <w:footnoteRef/>
      </w:r>
      <w:r w:rsidRPr="007A5A67">
        <w:rPr>
          <w:rFonts w:ascii="Verdana" w:hAnsi="Verdana" w:cs="Arial"/>
          <w:sz w:val="16"/>
          <w:szCs w:val="16"/>
        </w:rPr>
        <w:t xml:space="preserve"> </w:t>
      </w:r>
      <w:r w:rsidRPr="007A5A67">
        <w:rPr>
          <w:rFonts w:ascii="Verdana" w:hAnsi="Verdana" w:cs="Arial"/>
          <w:sz w:val="16"/>
          <w:szCs w:val="16"/>
          <w:lang w:val="es-ES"/>
        </w:rPr>
        <w:t xml:space="preserve">BARRETO ROZO, Antonio Alejandro. Inhabilidades de la contratación estatal, efectos y </w:t>
      </w:r>
      <w:proofErr w:type="spellStart"/>
      <w:r w:rsidRPr="007A5A67">
        <w:rPr>
          <w:rFonts w:ascii="Verdana" w:hAnsi="Verdana" w:cs="Arial"/>
          <w:sz w:val="16"/>
          <w:szCs w:val="16"/>
          <w:lang w:val="es-ES"/>
        </w:rPr>
        <w:t>neopunitivismo</w:t>
      </w:r>
      <w:proofErr w:type="spellEnd"/>
      <w:r w:rsidRPr="007A5A67">
        <w:rPr>
          <w:rFonts w:ascii="Verdana" w:hAnsi="Verdana" w:cs="Arial"/>
          <w:sz w:val="16"/>
          <w:szCs w:val="16"/>
          <w:lang w:val="es-ES"/>
        </w:rPr>
        <w:t xml:space="preserve"> en el Estatuto Anticorrupción. En: ALVIAR GARCÍA, Helena (Coordinadora). Nuevas tendencias del Derecho administrativo. Bogotá: Universidad de los Andes; Temis, 2016. pp. 63-99.</w:t>
      </w:r>
    </w:p>
  </w:footnote>
  <w:footnote w:id="17">
    <w:p w14:paraId="4A251423" w14:textId="77777777" w:rsidR="00227B88" w:rsidRPr="007A5A67" w:rsidRDefault="00227B88" w:rsidP="00227B88">
      <w:pPr>
        <w:pStyle w:val="Textonotapie"/>
        <w:ind w:firstLine="709"/>
        <w:jc w:val="both"/>
        <w:rPr>
          <w:rFonts w:ascii="Verdana" w:hAnsi="Verdana"/>
          <w:sz w:val="16"/>
          <w:szCs w:val="16"/>
          <w:lang w:val="es-CO"/>
        </w:rPr>
      </w:pPr>
      <w:r w:rsidRPr="007A5A67">
        <w:rPr>
          <w:rStyle w:val="Refdenotaalpie"/>
          <w:rFonts w:ascii="Verdana" w:hAnsi="Verdana"/>
          <w:sz w:val="16"/>
          <w:szCs w:val="16"/>
        </w:rPr>
        <w:footnoteRef/>
      </w:r>
      <w:r w:rsidRPr="007A5A67">
        <w:rPr>
          <w:rFonts w:ascii="Verdana" w:hAnsi="Verdana"/>
          <w:sz w:val="16"/>
          <w:szCs w:val="16"/>
        </w:rPr>
        <w:t xml:space="preserve"> El artículo 6 del Decreto 092 de 2017, “Por el cual se reglamenta la contratación con entidades privadas sin ánimo de lucro a la que hace referencia el inciso segundo del artículo 355 de la Constitución Política”, dispone que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w:t>
      </w:r>
    </w:p>
  </w:footnote>
  <w:footnote w:id="18">
    <w:p w14:paraId="0B825D28" w14:textId="77777777" w:rsidR="00227B88" w:rsidRPr="007A5A67" w:rsidRDefault="00227B88" w:rsidP="00227B88">
      <w:pPr>
        <w:pStyle w:val="Textonotapie"/>
        <w:ind w:firstLine="708"/>
        <w:jc w:val="both"/>
        <w:rPr>
          <w:rFonts w:ascii="Verdana" w:hAnsi="Verdana"/>
          <w:sz w:val="16"/>
          <w:szCs w:val="16"/>
        </w:rPr>
      </w:pPr>
      <w:r w:rsidRPr="007A5A67">
        <w:rPr>
          <w:rStyle w:val="Refdenotaalpie"/>
          <w:rFonts w:ascii="Verdana" w:hAnsi="Verdana"/>
          <w:sz w:val="16"/>
          <w:szCs w:val="16"/>
        </w:rPr>
        <w:footnoteRef/>
      </w:r>
      <w:r w:rsidRPr="007A5A67">
        <w:rPr>
          <w:rFonts w:ascii="Verdana" w:hAnsi="Verdana"/>
          <w:sz w:val="16"/>
          <w:szCs w:val="16"/>
          <w:lang w:val="pt-BR"/>
        </w:rPr>
        <w:t xml:space="preserve"> CORTE CONSTITUCIONAL. Sentencia C-353 de 2009. </w:t>
      </w:r>
      <w:r w:rsidRPr="007A5A67">
        <w:rPr>
          <w:rFonts w:ascii="Verdana" w:hAnsi="Verdana"/>
          <w:sz w:val="16"/>
          <w:szCs w:val="16"/>
        </w:rPr>
        <w:t xml:space="preserve">M.P. Jorge Iván Palacio </w:t>
      </w:r>
      <w:proofErr w:type="spellStart"/>
      <w:r w:rsidRPr="007A5A67">
        <w:rPr>
          <w:rFonts w:ascii="Verdana" w:hAnsi="Verdana"/>
          <w:sz w:val="16"/>
          <w:szCs w:val="16"/>
        </w:rPr>
        <w:t>Palacio</w:t>
      </w:r>
      <w:proofErr w:type="spellEnd"/>
      <w:r w:rsidRPr="007A5A67">
        <w:rPr>
          <w:rFonts w:ascii="Verdana" w:hAnsi="Verdana"/>
          <w:sz w:val="16"/>
          <w:szCs w:val="16"/>
        </w:rPr>
        <w:t>.</w:t>
      </w:r>
    </w:p>
  </w:footnote>
  <w:footnote w:id="19">
    <w:p w14:paraId="233C843A" w14:textId="77777777" w:rsidR="00227B88" w:rsidRPr="007A5A67" w:rsidRDefault="00227B88" w:rsidP="00227B88">
      <w:pPr>
        <w:pStyle w:val="Textonotapie"/>
        <w:ind w:firstLine="708"/>
        <w:jc w:val="both"/>
        <w:rPr>
          <w:rFonts w:ascii="Verdana" w:hAnsi="Verdana"/>
          <w:sz w:val="16"/>
          <w:szCs w:val="16"/>
        </w:rPr>
      </w:pPr>
      <w:r w:rsidRPr="007A5A67">
        <w:rPr>
          <w:rStyle w:val="Refdenotaalpie"/>
          <w:rFonts w:ascii="Verdana" w:hAnsi="Verdana"/>
          <w:sz w:val="16"/>
          <w:szCs w:val="16"/>
        </w:rPr>
        <w:footnoteRef/>
      </w:r>
      <w:r w:rsidRPr="007A5A67">
        <w:rPr>
          <w:rFonts w:ascii="Verdana" w:hAnsi="Verdana"/>
          <w:sz w:val="16"/>
          <w:szCs w:val="16"/>
        </w:rPr>
        <w:t xml:space="preserve"> El artículo 1 de la Ley 1474 de 2011 dispone que “El literal j) del numeral 1 del artículo 8 de la Ley 80 de 1993 quedará así:</w:t>
      </w:r>
    </w:p>
    <w:p w14:paraId="63A95D7D" w14:textId="77777777" w:rsidR="00227B88" w:rsidRPr="007A5A67" w:rsidRDefault="00227B88" w:rsidP="00227B88">
      <w:pPr>
        <w:pStyle w:val="Textonotapie"/>
        <w:ind w:firstLine="708"/>
        <w:jc w:val="both"/>
        <w:rPr>
          <w:rFonts w:ascii="Verdana" w:hAnsi="Verdana"/>
          <w:sz w:val="16"/>
          <w:szCs w:val="16"/>
        </w:rPr>
      </w:pPr>
      <w:r w:rsidRPr="007A5A67">
        <w:rPr>
          <w:rFonts w:ascii="Verdana" w:hAnsi="Verdana"/>
          <w:sz w:val="16"/>
          <w:szCs w:val="16"/>
        </w:rPr>
        <w:t xml:space="preserve">Las personas naturales que hayan sido declaradas responsables judicialmente por la comisión de delitos contra la Administración Pública cuya pena sea privativa de la libertad o que afecten el patrimonio del Estado </w:t>
      </w:r>
      <w:r w:rsidRPr="007A5A67">
        <w:rPr>
          <w:rFonts w:ascii="Verdana" w:hAnsi="Verdana"/>
          <w:strike/>
          <w:sz w:val="16"/>
          <w:szCs w:val="16"/>
        </w:rPr>
        <w:t>o quienes hayan sido condenados por delitos relacionados con la pertenencia, promoción o financiación de grupos ilegales, delitos de lesa humanidad, narcotráfico en Colombia o en el exterior,</w:t>
      </w:r>
      <w:r w:rsidRPr="007A5A67">
        <w:rPr>
          <w:rFonts w:ascii="Verdana" w:hAnsi="Verdana"/>
          <w:sz w:val="16"/>
          <w:szCs w:val="16"/>
        </w:rPr>
        <w:t xml:space="preserve"> o soborno transnacional, con excepción de delitos culposos.</w:t>
      </w:r>
    </w:p>
    <w:p w14:paraId="73747BFE" w14:textId="77777777" w:rsidR="00227B88" w:rsidRPr="007A5A67" w:rsidRDefault="00227B88" w:rsidP="00227B88">
      <w:pPr>
        <w:pStyle w:val="Textonotapie"/>
        <w:ind w:firstLine="708"/>
        <w:jc w:val="both"/>
        <w:rPr>
          <w:rFonts w:ascii="Verdana" w:hAnsi="Verdana"/>
          <w:sz w:val="16"/>
          <w:szCs w:val="16"/>
        </w:rPr>
      </w:pPr>
      <w:r w:rsidRPr="007A5A67">
        <w:rPr>
          <w:rFonts w:ascii="Verdana" w:hAnsi="Verdana"/>
          <w:sz w:val="16"/>
          <w:szCs w:val="16"/>
        </w:rPr>
        <w:t>Esta inhabilidad se extenderá a las sociedades en las que sean socias tales personas, a sus matrices y a sus subordinadas, con excepción de las sociedades anónimas abiertas.</w:t>
      </w:r>
    </w:p>
    <w:p w14:paraId="56C5BB94" w14:textId="77777777" w:rsidR="00227B88" w:rsidRPr="007A5A67" w:rsidRDefault="00227B88" w:rsidP="00227B88">
      <w:pPr>
        <w:pStyle w:val="Textonotapie"/>
        <w:ind w:firstLine="708"/>
        <w:jc w:val="both"/>
        <w:rPr>
          <w:rFonts w:ascii="Verdana" w:hAnsi="Verdana"/>
          <w:sz w:val="16"/>
          <w:szCs w:val="16"/>
        </w:rPr>
      </w:pPr>
      <w:r w:rsidRPr="007A5A67">
        <w:rPr>
          <w:rFonts w:ascii="Verdana" w:hAnsi="Verdana"/>
          <w:sz w:val="16"/>
          <w:szCs w:val="16"/>
        </w:rPr>
        <w:t>La inhabilidad prevista en este literal se extenderá por un término de veinte (20) años” (Artículo declarado EXEQUIBLE, salvo el aparte tachado declarado INEXEQUIBLE, por la Corte Constitucional mediante Sentencia C-630 de 2012. M.P. Mauricio González Cuervo).</w:t>
      </w:r>
    </w:p>
  </w:footnote>
  <w:footnote w:id="20">
    <w:p w14:paraId="7ABA03CA" w14:textId="77777777" w:rsidR="00227B88" w:rsidRPr="007A5A67" w:rsidRDefault="00227B88" w:rsidP="00227B88">
      <w:pPr>
        <w:pStyle w:val="Textonotapie"/>
        <w:ind w:firstLine="708"/>
        <w:jc w:val="both"/>
        <w:rPr>
          <w:rFonts w:ascii="Verdana" w:hAnsi="Verdana"/>
          <w:sz w:val="16"/>
          <w:szCs w:val="16"/>
        </w:rPr>
      </w:pPr>
      <w:r w:rsidRPr="007A5A67">
        <w:rPr>
          <w:rStyle w:val="Refdenotaalpie"/>
          <w:rFonts w:ascii="Verdana" w:hAnsi="Verdana"/>
          <w:sz w:val="16"/>
          <w:szCs w:val="16"/>
        </w:rPr>
        <w:footnoteRef/>
      </w:r>
      <w:r w:rsidRPr="007A5A67">
        <w:rPr>
          <w:rFonts w:ascii="Verdana" w:hAnsi="Verdana"/>
          <w:sz w:val="16"/>
          <w:szCs w:val="16"/>
        </w:rPr>
        <w:t xml:space="preserve"> De acuerdo con el artículo 31 de la Ley 1778 de 2016, “El literal j) del numeral 1 del artículo 8o de la Ley 80 de 1993 quedará así:</w:t>
      </w:r>
    </w:p>
    <w:p w14:paraId="4D305338" w14:textId="77777777" w:rsidR="00227B88" w:rsidRPr="007A5A67" w:rsidRDefault="00227B88" w:rsidP="00227B88">
      <w:pPr>
        <w:pStyle w:val="Textonotapie"/>
        <w:ind w:firstLine="708"/>
        <w:jc w:val="both"/>
        <w:rPr>
          <w:rFonts w:ascii="Verdana" w:hAnsi="Verdana"/>
          <w:sz w:val="16"/>
          <w:szCs w:val="16"/>
        </w:rPr>
      </w:pPr>
      <w:r w:rsidRPr="007A5A67">
        <w:rPr>
          <w:rFonts w:ascii="Verdana" w:hAnsi="Verdana"/>
          <w:sz w:val="16"/>
          <w:szCs w:val="16"/>
        </w:rPr>
        <w:t>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w:t>
      </w:r>
    </w:p>
    <w:p w14:paraId="51F5687B" w14:textId="77777777" w:rsidR="00227B88" w:rsidRPr="007A5A67" w:rsidRDefault="00227B88" w:rsidP="00227B88">
      <w:pPr>
        <w:pStyle w:val="Textonotapie"/>
        <w:ind w:firstLine="708"/>
        <w:jc w:val="both"/>
        <w:rPr>
          <w:rFonts w:ascii="Verdana" w:hAnsi="Verdana"/>
          <w:sz w:val="16"/>
          <w:szCs w:val="16"/>
        </w:rPr>
      </w:pPr>
      <w:r w:rsidRPr="007A5A67">
        <w:rPr>
          <w:rFonts w:ascii="Verdana" w:hAnsi="Verdana"/>
          <w:sz w:val="16"/>
          <w:szCs w:val="16"/>
        </w:rPr>
        <w:t>Esta inhabilidad procederá preventivamente aún en los casos en los que esté pendiente la decisión sobre la impugnación de la sentencia condenatoria.</w:t>
      </w:r>
    </w:p>
    <w:p w14:paraId="4EB6080E" w14:textId="77777777" w:rsidR="00227B88" w:rsidRPr="007A5A67" w:rsidRDefault="00227B88" w:rsidP="00227B88">
      <w:pPr>
        <w:pStyle w:val="Textonotapie"/>
        <w:ind w:firstLine="708"/>
        <w:jc w:val="both"/>
        <w:rPr>
          <w:rFonts w:ascii="Verdana" w:hAnsi="Verdana"/>
          <w:sz w:val="16"/>
          <w:szCs w:val="16"/>
        </w:rPr>
      </w:pPr>
      <w:r w:rsidRPr="007A5A67">
        <w:rPr>
          <w:rFonts w:ascii="Verdana" w:hAnsi="Verdana"/>
          <w:sz w:val="16"/>
          <w:szCs w:val="16"/>
        </w:rPr>
        <w:t>Asimismo, la inhabilidad se extenderá a las sociedades de las que hagan parte dichas personas en calidad de administradores, representantes legales, miembros de junta directiva o de socios controlantes, a sus matrices y a sus subordinadas y a las sucursales de sociedades extranjeras, con excepción de las sociedades anónimas abiertas.</w:t>
      </w:r>
    </w:p>
    <w:p w14:paraId="385FE4F7" w14:textId="77777777" w:rsidR="00227B88" w:rsidRPr="007A5A67" w:rsidRDefault="00227B88" w:rsidP="00227B88">
      <w:pPr>
        <w:pStyle w:val="Textonotapie"/>
        <w:ind w:firstLine="708"/>
        <w:jc w:val="both"/>
        <w:rPr>
          <w:rFonts w:ascii="Verdana" w:hAnsi="Verdana"/>
          <w:sz w:val="16"/>
          <w:szCs w:val="16"/>
        </w:rPr>
      </w:pPr>
      <w:r w:rsidRPr="007A5A67">
        <w:rPr>
          <w:rFonts w:ascii="Verdana" w:hAnsi="Verdana"/>
          <w:sz w:val="16"/>
          <w:szCs w:val="16"/>
        </w:rPr>
        <w:t xml:space="preserve">La inhabilidad prevista en este literal se extenderá por un término de veinte (20) años”. </w:t>
      </w:r>
    </w:p>
  </w:footnote>
  <w:footnote w:id="21">
    <w:p w14:paraId="51DFB670" w14:textId="77777777" w:rsidR="00227B88" w:rsidRPr="007A5A67" w:rsidRDefault="00227B88" w:rsidP="00227B88">
      <w:pPr>
        <w:pStyle w:val="Textonotapie"/>
        <w:ind w:firstLine="708"/>
        <w:jc w:val="both"/>
        <w:rPr>
          <w:rFonts w:ascii="Verdana" w:hAnsi="Verdana"/>
          <w:sz w:val="16"/>
          <w:szCs w:val="16"/>
        </w:rPr>
      </w:pPr>
      <w:r w:rsidRPr="007A5A67">
        <w:rPr>
          <w:rStyle w:val="Refdenotaalpie"/>
          <w:rFonts w:ascii="Verdana" w:hAnsi="Verdana"/>
          <w:sz w:val="16"/>
          <w:szCs w:val="16"/>
        </w:rPr>
        <w:footnoteRef/>
      </w:r>
      <w:r w:rsidRPr="007A5A67">
        <w:rPr>
          <w:rFonts w:ascii="Verdana" w:hAnsi="Verdana"/>
          <w:sz w:val="16"/>
          <w:szCs w:val="16"/>
        </w:rPr>
        <w:t xml:space="preserve"> El artículo 2 de la Ley 2014 de 2019 prescribe que “Modifíquese el literal j) del numeral 1 del artículo 8o de la Ley 80 de 1993, el cual quedará así:</w:t>
      </w:r>
    </w:p>
    <w:p w14:paraId="0E66D74F" w14:textId="77777777" w:rsidR="00227B88" w:rsidRPr="007A5A67" w:rsidRDefault="00227B88" w:rsidP="00227B88">
      <w:pPr>
        <w:pStyle w:val="Textonotapie"/>
        <w:ind w:firstLine="708"/>
        <w:jc w:val="both"/>
        <w:rPr>
          <w:rFonts w:ascii="Verdana" w:hAnsi="Verdana"/>
          <w:sz w:val="16"/>
          <w:szCs w:val="16"/>
        </w:rPr>
      </w:pPr>
      <w:r w:rsidRPr="007A5A67">
        <w:rPr>
          <w:rFonts w:ascii="Verdana" w:hAnsi="Verdana"/>
          <w:sz w:val="16"/>
          <w:szCs w:val="16"/>
        </w:rPr>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w:t>
      </w:r>
    </w:p>
    <w:p w14:paraId="1A5EA567" w14:textId="77777777" w:rsidR="00227B88" w:rsidRPr="007A5A67" w:rsidRDefault="00227B88" w:rsidP="00227B88">
      <w:pPr>
        <w:pStyle w:val="Textonotapie"/>
        <w:ind w:firstLine="708"/>
        <w:jc w:val="both"/>
        <w:rPr>
          <w:rFonts w:ascii="Verdana" w:hAnsi="Verdana"/>
          <w:sz w:val="16"/>
          <w:szCs w:val="16"/>
        </w:rPr>
      </w:pPr>
      <w:r w:rsidRPr="007A5A67">
        <w:rPr>
          <w:rFonts w:ascii="Verdana" w:hAnsi="Verdana"/>
          <w:sz w:val="16"/>
          <w:szCs w:val="16"/>
        </w:rPr>
        <w:t>Esta inhabilidad procederá preventivamente aún en los casos en los que esté pendiente la decisión sobre la impugnación de la sentencia condenatoria.</w:t>
      </w:r>
    </w:p>
    <w:p w14:paraId="3BFC20A2" w14:textId="77777777" w:rsidR="00227B88" w:rsidRPr="007A5A67" w:rsidRDefault="00227B88" w:rsidP="00227B88">
      <w:pPr>
        <w:pStyle w:val="Textonotapie"/>
        <w:ind w:firstLine="708"/>
        <w:jc w:val="both"/>
        <w:rPr>
          <w:rFonts w:ascii="Verdana" w:hAnsi="Verdana"/>
          <w:sz w:val="16"/>
          <w:szCs w:val="16"/>
        </w:rPr>
      </w:pPr>
      <w:r w:rsidRPr="007A5A67">
        <w:rPr>
          <w:rFonts w:ascii="Verdana" w:hAnsi="Verdana"/>
          <w:sz w:val="16"/>
          <w:szCs w:val="16"/>
        </w:rPr>
        <w:t xml:space="preserve">Asimismo, la inhabilidad se extenderá a las </w:t>
      </w:r>
      <w:r w:rsidRPr="007A5A67">
        <w:rPr>
          <w:rFonts w:ascii="Verdana" w:hAnsi="Verdana"/>
          <w:sz w:val="16"/>
          <w:szCs w:val="16"/>
          <w:u w:val="single"/>
        </w:rPr>
        <w:t>sociedades</w:t>
      </w:r>
      <w:r w:rsidRPr="007A5A67">
        <w:rPr>
          <w:rFonts w:ascii="Verdana" w:hAnsi="Verdana"/>
          <w:sz w:val="16"/>
          <w:szCs w:val="16"/>
        </w:rPr>
        <w:t xml:space="preserve"> de las que hagan parte dichas personas en calidad de administradores, representantes legales, miembros de junta directiva o de socios controlantes, a sus matrices y a sus subordinadas, a los grupos empresariales a los que estas pertenezcan cuando la conducta delictiva haya sido parte de una política del grupo y a las sucursales de sociedades extranjeras</w:t>
      </w:r>
      <w:r w:rsidRPr="007A5A67">
        <w:rPr>
          <w:rFonts w:ascii="Verdana" w:hAnsi="Verdana"/>
          <w:strike/>
          <w:sz w:val="16"/>
          <w:szCs w:val="16"/>
        </w:rPr>
        <w:t>, con excepción de las sociedades anónimas abiertas</w:t>
      </w:r>
      <w:r w:rsidRPr="007A5A67">
        <w:rPr>
          <w:rFonts w:ascii="Verdana" w:hAnsi="Verdana"/>
          <w:sz w:val="16"/>
          <w:szCs w:val="16"/>
        </w:rPr>
        <w:t>.</w:t>
      </w:r>
    </w:p>
    <w:p w14:paraId="527CB3E1" w14:textId="77777777" w:rsidR="00227B88" w:rsidRPr="007A5A67" w:rsidRDefault="00227B88" w:rsidP="00227B88">
      <w:pPr>
        <w:pStyle w:val="Textonotapie"/>
        <w:ind w:firstLine="708"/>
        <w:jc w:val="both"/>
        <w:rPr>
          <w:rFonts w:ascii="Verdana" w:hAnsi="Verdana"/>
          <w:sz w:val="16"/>
          <w:szCs w:val="16"/>
        </w:rPr>
      </w:pPr>
      <w:r w:rsidRPr="007A5A67">
        <w:rPr>
          <w:rFonts w:ascii="Verdana" w:hAnsi="Verdana"/>
          <w:sz w:val="16"/>
          <w:szCs w:val="16"/>
        </w:rPr>
        <w:t>También se considerarán inhabilitadas para contratar, las personas jurídicas sobre las cuales se haya ordenado la suspensión de la personería jurídica en los términos de ley, o cuyos representantes legales, administradores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w:t>
      </w:r>
    </w:p>
    <w:p w14:paraId="150D8E17" w14:textId="77777777" w:rsidR="00227B88" w:rsidRPr="007A5A67" w:rsidRDefault="00227B88" w:rsidP="00227B88">
      <w:pPr>
        <w:pStyle w:val="Textonotapie"/>
        <w:ind w:firstLine="708"/>
        <w:jc w:val="both"/>
        <w:rPr>
          <w:rFonts w:ascii="Verdana" w:hAnsi="Verdana"/>
          <w:sz w:val="16"/>
          <w:szCs w:val="16"/>
        </w:rPr>
      </w:pPr>
      <w:r w:rsidRPr="007A5A67">
        <w:rPr>
          <w:rFonts w:ascii="Verdana" w:hAnsi="Verdana"/>
          <w:sz w:val="16"/>
          <w:szCs w:val="16"/>
        </w:rPr>
        <w:t xml:space="preserve">La inhabilidad prevista en este literal se extenderá de forma permanente a las </w:t>
      </w:r>
      <w:r w:rsidRPr="007A5A67">
        <w:rPr>
          <w:rFonts w:ascii="Verdana" w:hAnsi="Verdana"/>
          <w:sz w:val="16"/>
          <w:szCs w:val="16"/>
          <w:u w:val="single"/>
        </w:rPr>
        <w:t>sociedades</w:t>
      </w:r>
      <w:r w:rsidRPr="007A5A67">
        <w:rPr>
          <w:rFonts w:ascii="Verdana" w:hAnsi="Verdana"/>
          <w:sz w:val="16"/>
          <w:szCs w:val="16"/>
        </w:rPr>
        <w:t xml:space="preserve"> de las que hagan parte dichas personas en las calidades presentadas en los incisos anteriores, y se aplicará de igual forma a las personas naturales que hayan sido declaradas responsables judicialmente por la comisión de delitos mencionados en este literal” (La Corte Constitucional mediante Sentencia C-437 de 2023, con ponencia de la Magistrada Paola Andrea Meneses Mosquera, declaró INEXEQUIBLE el aparte tachado. Asimismo, declaró CONDICIONALMENTE EXEQUIBLE la expresión “sociedades”, en el entendido de que la inhabilidad también se extenderá a todas las personas jurídicas sin ánimo de lucro con capacidad para contratar con el Estado. Por su parte, el inciso segundo de la norma citada fue declarado EXEQUIBLE en la Sentencia C-053 de 2021, con ponencia de dicha magistrada).</w:t>
      </w:r>
    </w:p>
  </w:footnote>
  <w:footnote w:id="22">
    <w:p w14:paraId="4410C98B" w14:textId="77777777" w:rsidR="00227B88" w:rsidRPr="007A5A67" w:rsidRDefault="00227B88" w:rsidP="00227B88">
      <w:pPr>
        <w:pStyle w:val="Textonotapie"/>
        <w:ind w:firstLine="708"/>
        <w:jc w:val="both"/>
        <w:rPr>
          <w:rFonts w:ascii="Verdana" w:hAnsi="Verdana"/>
          <w:sz w:val="16"/>
          <w:szCs w:val="16"/>
        </w:rPr>
      </w:pPr>
      <w:r w:rsidRPr="007A5A67">
        <w:rPr>
          <w:rStyle w:val="Refdenotaalpie"/>
          <w:rFonts w:ascii="Verdana" w:hAnsi="Verdana"/>
          <w:sz w:val="16"/>
          <w:szCs w:val="16"/>
        </w:rPr>
        <w:footnoteRef/>
      </w:r>
      <w:r w:rsidRPr="007A5A67">
        <w:rPr>
          <w:rFonts w:ascii="Verdana" w:hAnsi="Verdana"/>
          <w:sz w:val="16"/>
          <w:szCs w:val="16"/>
        </w:rPr>
        <w:t xml:space="preserve"> La norma dispone que “Es deber de los nacionales y de los extranjeros en Colombia acatar la Constitución y las leyes, y respetar y obedecer a las autoridades”.</w:t>
      </w:r>
    </w:p>
  </w:footnote>
  <w:footnote w:id="23">
    <w:p w14:paraId="5310B462" w14:textId="77777777" w:rsidR="00227B88" w:rsidRPr="007A5A67" w:rsidRDefault="00227B88" w:rsidP="00227B88">
      <w:pPr>
        <w:pStyle w:val="Textonotapie"/>
        <w:ind w:firstLine="708"/>
        <w:jc w:val="both"/>
        <w:rPr>
          <w:rFonts w:ascii="Verdana" w:hAnsi="Verdana"/>
          <w:sz w:val="16"/>
          <w:szCs w:val="16"/>
        </w:rPr>
      </w:pPr>
      <w:r w:rsidRPr="007A5A67">
        <w:rPr>
          <w:rStyle w:val="Refdenotaalpie"/>
          <w:rFonts w:ascii="Verdana" w:hAnsi="Verdana"/>
          <w:sz w:val="16"/>
          <w:szCs w:val="16"/>
        </w:rPr>
        <w:footnoteRef/>
      </w:r>
      <w:r w:rsidRPr="007A5A67">
        <w:rPr>
          <w:rFonts w:ascii="Verdana" w:hAnsi="Verdana"/>
          <w:sz w:val="16"/>
          <w:szCs w:val="16"/>
        </w:rPr>
        <w:t xml:space="preserve"> CONGRESO DE LA REPÚBLICA. Exposición de motivos de la Ley 1474 de 2011. Gaceta del Congreso No. 607 del 7 de septiembre de 2010. p. 17.</w:t>
      </w:r>
    </w:p>
  </w:footnote>
  <w:footnote w:id="24">
    <w:p w14:paraId="42E4FA1B" w14:textId="77777777" w:rsidR="00227B88" w:rsidRPr="007A5A67" w:rsidRDefault="00227B88" w:rsidP="00227B88">
      <w:pPr>
        <w:pStyle w:val="Textonotapie"/>
        <w:ind w:firstLine="708"/>
        <w:jc w:val="both"/>
        <w:rPr>
          <w:rFonts w:ascii="Verdana" w:hAnsi="Verdana"/>
          <w:sz w:val="16"/>
          <w:szCs w:val="16"/>
        </w:rPr>
      </w:pPr>
      <w:r w:rsidRPr="007A5A67">
        <w:rPr>
          <w:rStyle w:val="Refdenotaalpie"/>
          <w:rFonts w:ascii="Verdana" w:hAnsi="Verdana"/>
          <w:sz w:val="16"/>
          <w:szCs w:val="16"/>
        </w:rPr>
        <w:footnoteRef/>
      </w:r>
      <w:r w:rsidRPr="007A5A67">
        <w:rPr>
          <w:rFonts w:ascii="Verdana" w:hAnsi="Verdana"/>
          <w:sz w:val="16"/>
          <w:szCs w:val="16"/>
        </w:rPr>
        <w:t xml:space="preserve"> DÁVILA VINUEZA, Luis Guillermo. Régimen jurídico de la contratación estatal. Tercera edición. Bogotá: Legis, 2016. p. 175.</w:t>
      </w:r>
    </w:p>
  </w:footnote>
  <w:footnote w:id="25">
    <w:p w14:paraId="655BA3DD" w14:textId="77777777" w:rsidR="00227B88" w:rsidRPr="007A5A67" w:rsidRDefault="00227B88" w:rsidP="00227B88">
      <w:pPr>
        <w:pStyle w:val="Textonotapie"/>
        <w:ind w:firstLine="708"/>
        <w:jc w:val="both"/>
        <w:rPr>
          <w:rFonts w:ascii="Verdana" w:hAnsi="Verdana"/>
          <w:sz w:val="16"/>
          <w:szCs w:val="16"/>
          <w:lang w:val="es-CO"/>
        </w:rPr>
      </w:pPr>
      <w:r w:rsidRPr="007A5A67">
        <w:rPr>
          <w:rStyle w:val="Refdenotaalpie"/>
          <w:rFonts w:ascii="Verdana" w:hAnsi="Verdana"/>
          <w:sz w:val="16"/>
          <w:szCs w:val="16"/>
        </w:rPr>
        <w:footnoteRef/>
      </w:r>
      <w:r w:rsidRPr="007A5A67">
        <w:rPr>
          <w:rFonts w:ascii="Verdana" w:hAnsi="Verdana"/>
          <w:sz w:val="16"/>
          <w:szCs w:val="16"/>
        </w:rPr>
        <w:t xml:space="preserve"> </w:t>
      </w:r>
      <w:r w:rsidRPr="007A5A67">
        <w:rPr>
          <w:rFonts w:ascii="Verdana" w:hAnsi="Verdana"/>
          <w:i/>
          <w:iCs/>
          <w:sz w:val="16"/>
          <w:szCs w:val="16"/>
        </w:rPr>
        <w:t>Ibidem</w:t>
      </w:r>
      <w:r w:rsidRPr="007A5A67">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8345279"/>
    <w:multiLevelType w:val="hybridMultilevel"/>
    <w:tmpl w:val="1B7008F6"/>
    <w:lvl w:ilvl="0" w:tplc="23DCEFD0">
      <w:start w:val="1"/>
      <w:numFmt w:val="lowerLetter"/>
      <w:lvlText w:val="%1)"/>
      <w:lvlJc w:val="left"/>
      <w:pPr>
        <w:ind w:left="720" w:hanging="360"/>
      </w:pPr>
      <w:rPr>
        <w:rFonts w:hint="default"/>
        <w:i w:val="0"/>
        <w:i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3DA8180E"/>
    <w:multiLevelType w:val="hybridMultilevel"/>
    <w:tmpl w:val="F10E49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51C0253"/>
    <w:multiLevelType w:val="hybridMultilevel"/>
    <w:tmpl w:val="C4903D86"/>
    <w:lvl w:ilvl="0" w:tplc="08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1"/>
  </w:num>
  <w:num w:numId="13" w16cid:durableId="1512908409">
    <w:abstractNumId w:val="4"/>
  </w:num>
  <w:num w:numId="14" w16cid:durableId="895897244">
    <w:abstractNumId w:val="17"/>
  </w:num>
  <w:num w:numId="15" w16cid:durableId="390349800">
    <w:abstractNumId w:val="13"/>
  </w:num>
  <w:num w:numId="16" w16cid:durableId="1330140246">
    <w:abstractNumId w:val="0"/>
  </w:num>
  <w:num w:numId="17" w16cid:durableId="679089576">
    <w:abstractNumId w:val="11"/>
  </w:num>
  <w:num w:numId="18" w16cid:durableId="1589656138">
    <w:abstractNumId w:val="18"/>
  </w:num>
  <w:num w:numId="19" w16cid:durableId="1326055898">
    <w:abstractNumId w:val="3"/>
  </w:num>
  <w:num w:numId="20" w16cid:durableId="1105030641">
    <w:abstractNumId w:val="5"/>
  </w:num>
  <w:num w:numId="21" w16cid:durableId="16446987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3098"/>
    <w:rsid w:val="00046945"/>
    <w:rsid w:val="00061B2A"/>
    <w:rsid w:val="00082362"/>
    <w:rsid w:val="000A683E"/>
    <w:rsid w:val="000B19B9"/>
    <w:rsid w:val="000C002B"/>
    <w:rsid w:val="000D0334"/>
    <w:rsid w:val="000D5DA7"/>
    <w:rsid w:val="000F6486"/>
    <w:rsid w:val="00116940"/>
    <w:rsid w:val="00125105"/>
    <w:rsid w:val="00127233"/>
    <w:rsid w:val="0015699B"/>
    <w:rsid w:val="00165255"/>
    <w:rsid w:val="0018318B"/>
    <w:rsid w:val="001950AE"/>
    <w:rsid w:val="0019632E"/>
    <w:rsid w:val="001A33BF"/>
    <w:rsid w:val="001A352A"/>
    <w:rsid w:val="001B50BA"/>
    <w:rsid w:val="001E4177"/>
    <w:rsid w:val="001F0B24"/>
    <w:rsid w:val="001F7DC6"/>
    <w:rsid w:val="0022400B"/>
    <w:rsid w:val="00227B88"/>
    <w:rsid w:val="002421BB"/>
    <w:rsid w:val="0025796E"/>
    <w:rsid w:val="002707A2"/>
    <w:rsid w:val="0027771F"/>
    <w:rsid w:val="002951A0"/>
    <w:rsid w:val="002962BC"/>
    <w:rsid w:val="002A093D"/>
    <w:rsid w:val="002A0DD0"/>
    <w:rsid w:val="002A49AC"/>
    <w:rsid w:val="002A64FD"/>
    <w:rsid w:val="002B1B61"/>
    <w:rsid w:val="002C64C6"/>
    <w:rsid w:val="002C7A84"/>
    <w:rsid w:val="002E2BF8"/>
    <w:rsid w:val="002E4FD9"/>
    <w:rsid w:val="0030657A"/>
    <w:rsid w:val="00310103"/>
    <w:rsid w:val="00322880"/>
    <w:rsid w:val="00322A85"/>
    <w:rsid w:val="00324168"/>
    <w:rsid w:val="00330834"/>
    <w:rsid w:val="003415DE"/>
    <w:rsid w:val="003448F4"/>
    <w:rsid w:val="003533A3"/>
    <w:rsid w:val="003548F3"/>
    <w:rsid w:val="00365673"/>
    <w:rsid w:val="00374F5E"/>
    <w:rsid w:val="00377E3E"/>
    <w:rsid w:val="003944F5"/>
    <w:rsid w:val="003A779E"/>
    <w:rsid w:val="003D0F4D"/>
    <w:rsid w:val="003D5B0D"/>
    <w:rsid w:val="003E0499"/>
    <w:rsid w:val="003E4F80"/>
    <w:rsid w:val="003E618F"/>
    <w:rsid w:val="003E6439"/>
    <w:rsid w:val="003F1FA1"/>
    <w:rsid w:val="003F3941"/>
    <w:rsid w:val="00406575"/>
    <w:rsid w:val="0041181C"/>
    <w:rsid w:val="00414C74"/>
    <w:rsid w:val="00414D07"/>
    <w:rsid w:val="0042722E"/>
    <w:rsid w:val="0044528D"/>
    <w:rsid w:val="00461F89"/>
    <w:rsid w:val="00466E39"/>
    <w:rsid w:val="004909C5"/>
    <w:rsid w:val="00495A64"/>
    <w:rsid w:val="004A1847"/>
    <w:rsid w:val="004A305D"/>
    <w:rsid w:val="004F21C4"/>
    <w:rsid w:val="004F3A22"/>
    <w:rsid w:val="004F685F"/>
    <w:rsid w:val="005248B3"/>
    <w:rsid w:val="00526A1D"/>
    <w:rsid w:val="00536FBC"/>
    <w:rsid w:val="005566E8"/>
    <w:rsid w:val="005621CD"/>
    <w:rsid w:val="00574867"/>
    <w:rsid w:val="00591460"/>
    <w:rsid w:val="005A65E0"/>
    <w:rsid w:val="005C3777"/>
    <w:rsid w:val="005C51CD"/>
    <w:rsid w:val="005C5CDC"/>
    <w:rsid w:val="005D476C"/>
    <w:rsid w:val="005E5262"/>
    <w:rsid w:val="006031D6"/>
    <w:rsid w:val="00606D2A"/>
    <w:rsid w:val="006200BF"/>
    <w:rsid w:val="006219F8"/>
    <w:rsid w:val="006302F7"/>
    <w:rsid w:val="00645197"/>
    <w:rsid w:val="00646B9F"/>
    <w:rsid w:val="00665D70"/>
    <w:rsid w:val="0068556C"/>
    <w:rsid w:val="006900D9"/>
    <w:rsid w:val="006E3EB6"/>
    <w:rsid w:val="006F4EF3"/>
    <w:rsid w:val="00706C16"/>
    <w:rsid w:val="007340C3"/>
    <w:rsid w:val="0075235A"/>
    <w:rsid w:val="00756841"/>
    <w:rsid w:val="00763A21"/>
    <w:rsid w:val="007649AB"/>
    <w:rsid w:val="00771D0C"/>
    <w:rsid w:val="007833AC"/>
    <w:rsid w:val="00793122"/>
    <w:rsid w:val="007A0ECA"/>
    <w:rsid w:val="007A201B"/>
    <w:rsid w:val="007A5A67"/>
    <w:rsid w:val="007B268C"/>
    <w:rsid w:val="007B7171"/>
    <w:rsid w:val="007C0C0F"/>
    <w:rsid w:val="007C3DC2"/>
    <w:rsid w:val="007D31BF"/>
    <w:rsid w:val="007E202A"/>
    <w:rsid w:val="007E5497"/>
    <w:rsid w:val="00806F5F"/>
    <w:rsid w:val="00813DFD"/>
    <w:rsid w:val="00820278"/>
    <w:rsid w:val="008258C9"/>
    <w:rsid w:val="00837AB9"/>
    <w:rsid w:val="00844AE9"/>
    <w:rsid w:val="00867F95"/>
    <w:rsid w:val="008843B6"/>
    <w:rsid w:val="008876FE"/>
    <w:rsid w:val="00891928"/>
    <w:rsid w:val="00894C7A"/>
    <w:rsid w:val="008A446D"/>
    <w:rsid w:val="008A56FA"/>
    <w:rsid w:val="008B25F1"/>
    <w:rsid w:val="008D180B"/>
    <w:rsid w:val="008D29BC"/>
    <w:rsid w:val="008E7236"/>
    <w:rsid w:val="008F0EA7"/>
    <w:rsid w:val="008F7115"/>
    <w:rsid w:val="009043D7"/>
    <w:rsid w:val="00923EEF"/>
    <w:rsid w:val="009419F9"/>
    <w:rsid w:val="0095685E"/>
    <w:rsid w:val="00961B09"/>
    <w:rsid w:val="00965334"/>
    <w:rsid w:val="0097093E"/>
    <w:rsid w:val="00972232"/>
    <w:rsid w:val="009A0DFA"/>
    <w:rsid w:val="009A1C6F"/>
    <w:rsid w:val="009B2D26"/>
    <w:rsid w:val="009C170F"/>
    <w:rsid w:val="009C71FA"/>
    <w:rsid w:val="009C72E7"/>
    <w:rsid w:val="009C7F7E"/>
    <w:rsid w:val="009D3058"/>
    <w:rsid w:val="009E4D3A"/>
    <w:rsid w:val="009F3A13"/>
    <w:rsid w:val="00A122D3"/>
    <w:rsid w:val="00A1239B"/>
    <w:rsid w:val="00A14468"/>
    <w:rsid w:val="00A17F13"/>
    <w:rsid w:val="00A20739"/>
    <w:rsid w:val="00A23AF9"/>
    <w:rsid w:val="00A33C78"/>
    <w:rsid w:val="00A36E89"/>
    <w:rsid w:val="00A85918"/>
    <w:rsid w:val="00AB0ADB"/>
    <w:rsid w:val="00AD2EFF"/>
    <w:rsid w:val="00AE2DA3"/>
    <w:rsid w:val="00B00C0E"/>
    <w:rsid w:val="00B01B1A"/>
    <w:rsid w:val="00B0381D"/>
    <w:rsid w:val="00B07E27"/>
    <w:rsid w:val="00B1496D"/>
    <w:rsid w:val="00B2147A"/>
    <w:rsid w:val="00B27E78"/>
    <w:rsid w:val="00B30CFA"/>
    <w:rsid w:val="00B44A47"/>
    <w:rsid w:val="00B72CD3"/>
    <w:rsid w:val="00B72FFF"/>
    <w:rsid w:val="00B87441"/>
    <w:rsid w:val="00B95848"/>
    <w:rsid w:val="00BB3125"/>
    <w:rsid w:val="00BC3D36"/>
    <w:rsid w:val="00BD54A6"/>
    <w:rsid w:val="00BD7F72"/>
    <w:rsid w:val="00BF7425"/>
    <w:rsid w:val="00C01984"/>
    <w:rsid w:val="00C04FB3"/>
    <w:rsid w:val="00C11D8B"/>
    <w:rsid w:val="00C15139"/>
    <w:rsid w:val="00C330EB"/>
    <w:rsid w:val="00C50D69"/>
    <w:rsid w:val="00C5365C"/>
    <w:rsid w:val="00C64010"/>
    <w:rsid w:val="00C754BE"/>
    <w:rsid w:val="00C76B1C"/>
    <w:rsid w:val="00C87FA1"/>
    <w:rsid w:val="00C925AC"/>
    <w:rsid w:val="00CB6357"/>
    <w:rsid w:val="00CC1B26"/>
    <w:rsid w:val="00CC1E12"/>
    <w:rsid w:val="00D119C4"/>
    <w:rsid w:val="00D26C7A"/>
    <w:rsid w:val="00D361FD"/>
    <w:rsid w:val="00D423A2"/>
    <w:rsid w:val="00D44E26"/>
    <w:rsid w:val="00D5086C"/>
    <w:rsid w:val="00D520D8"/>
    <w:rsid w:val="00D63AC2"/>
    <w:rsid w:val="00D63E35"/>
    <w:rsid w:val="00D7383B"/>
    <w:rsid w:val="00D7788A"/>
    <w:rsid w:val="00D84752"/>
    <w:rsid w:val="00DA231B"/>
    <w:rsid w:val="00DC39FC"/>
    <w:rsid w:val="00DF5254"/>
    <w:rsid w:val="00E02524"/>
    <w:rsid w:val="00E16408"/>
    <w:rsid w:val="00E20894"/>
    <w:rsid w:val="00E20930"/>
    <w:rsid w:val="00E245AB"/>
    <w:rsid w:val="00E2764C"/>
    <w:rsid w:val="00E27F2E"/>
    <w:rsid w:val="00E50AFE"/>
    <w:rsid w:val="00E622DF"/>
    <w:rsid w:val="00E65849"/>
    <w:rsid w:val="00E75C92"/>
    <w:rsid w:val="00E76F99"/>
    <w:rsid w:val="00E771DC"/>
    <w:rsid w:val="00E86CF8"/>
    <w:rsid w:val="00E8772A"/>
    <w:rsid w:val="00E90F6B"/>
    <w:rsid w:val="00E92C27"/>
    <w:rsid w:val="00EA0E3D"/>
    <w:rsid w:val="00EC38A7"/>
    <w:rsid w:val="00EE1AA8"/>
    <w:rsid w:val="00F07290"/>
    <w:rsid w:val="00F23FEA"/>
    <w:rsid w:val="00F31EDC"/>
    <w:rsid w:val="00F3206B"/>
    <w:rsid w:val="00F462B3"/>
    <w:rsid w:val="00F5664F"/>
    <w:rsid w:val="00F666C4"/>
    <w:rsid w:val="00F734AE"/>
    <w:rsid w:val="00F765E3"/>
    <w:rsid w:val="00F76AFC"/>
    <w:rsid w:val="00FA1B72"/>
    <w:rsid w:val="00FA47C0"/>
    <w:rsid w:val="00FB5481"/>
    <w:rsid w:val="00FB5DD1"/>
    <w:rsid w:val="00FB6979"/>
    <w:rsid w:val="00FC06BE"/>
    <w:rsid w:val="00FC2B5D"/>
    <w:rsid w:val="00FE2B8C"/>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33A5171-A076-4EF9-81F7-D3278A964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4519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45197"/>
    <w:rPr>
      <w:rFonts w:ascii="Geomanist Light" w:hAnsi="Geomanist Light"/>
      <w:lang w:val="es-ES"/>
    </w:rPr>
  </w:style>
  <w:style w:type="character" w:customStyle="1" w:styleId="s15">
    <w:name w:val="s15"/>
    <w:basedOn w:val="Fuentedeprrafopredeter"/>
    <w:rsid w:val="00645197"/>
  </w:style>
  <w:style w:type="character" w:customStyle="1" w:styleId="apple-converted-space">
    <w:name w:val="apple-converted-space"/>
    <w:basedOn w:val="Fuentedeprrafopredeter"/>
    <w:rsid w:val="00645197"/>
  </w:style>
  <w:style w:type="paragraph" w:customStyle="1" w:styleId="s16">
    <w:name w:val="s16"/>
    <w:basedOn w:val="Normal"/>
    <w:rsid w:val="00645197"/>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17">
    <w:name w:val="s17"/>
    <w:basedOn w:val="Normal"/>
    <w:rsid w:val="00645197"/>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18">
    <w:name w:val="s18"/>
    <w:basedOn w:val="Fuentedeprrafopredeter"/>
    <w:rsid w:val="00645197"/>
  </w:style>
  <w:style w:type="character" w:styleId="nfasis">
    <w:name w:val="Emphasis"/>
    <w:basedOn w:val="Fuentedeprrafopredeter"/>
    <w:uiPriority w:val="20"/>
    <w:qFormat/>
    <w:rsid w:val="001A352A"/>
    <w:rPr>
      <w:i/>
      <w:iCs/>
    </w:rPr>
  </w:style>
  <w:style w:type="character" w:styleId="Textoennegrita">
    <w:name w:val="Strong"/>
    <w:basedOn w:val="Fuentedeprrafopredeter"/>
    <w:uiPriority w:val="22"/>
    <w:qFormat/>
    <w:rsid w:val="001A352A"/>
    <w:rPr>
      <w:b/>
      <w:bCs/>
    </w:rPr>
  </w:style>
  <w:style w:type="character" w:customStyle="1" w:styleId="NormalWebCar">
    <w:name w:val="Normal (Web) Car"/>
    <w:link w:val="NormalWeb"/>
    <w:uiPriority w:val="99"/>
    <w:locked/>
    <w:rsid w:val="001A352A"/>
    <w:rPr>
      <w:rFonts w:ascii="Times New Roman" w:eastAsia="Times New Roman" w:hAnsi="Times New Roman" w:cs="Times New Roman"/>
      <w:sz w:val="24"/>
      <w:szCs w:val="24"/>
      <w:lang w:eastAsia="es-CO"/>
    </w:rPr>
  </w:style>
  <w:style w:type="paragraph" w:styleId="Sinespaciado">
    <w:name w:val="No Spacing"/>
    <w:aliases w:val="No Indent"/>
    <w:uiPriority w:val="3"/>
    <w:qFormat/>
    <w:rsid w:val="00227B88"/>
    <w:pPr>
      <w:spacing w:after="0" w:line="240" w:lineRule="auto"/>
    </w:pPr>
    <w:rPr>
      <w:sz w:val="24"/>
      <w:lang w:val="es-MX"/>
    </w:rPr>
  </w:style>
  <w:style w:type="character" w:styleId="Refdecomentario">
    <w:name w:val="annotation reference"/>
    <w:basedOn w:val="Fuentedeprrafopredeter"/>
    <w:uiPriority w:val="99"/>
    <w:semiHidden/>
    <w:unhideWhenUsed/>
    <w:rsid w:val="00461F89"/>
    <w:rPr>
      <w:sz w:val="16"/>
      <w:szCs w:val="16"/>
    </w:rPr>
  </w:style>
  <w:style w:type="paragraph" w:styleId="Textocomentario">
    <w:name w:val="annotation text"/>
    <w:basedOn w:val="Normal"/>
    <w:link w:val="TextocomentarioCar"/>
    <w:uiPriority w:val="99"/>
    <w:unhideWhenUsed/>
    <w:rsid w:val="00461F89"/>
    <w:pPr>
      <w:spacing w:line="240" w:lineRule="auto"/>
    </w:pPr>
    <w:rPr>
      <w:sz w:val="20"/>
      <w:szCs w:val="20"/>
    </w:rPr>
  </w:style>
  <w:style w:type="character" w:customStyle="1" w:styleId="TextocomentarioCar">
    <w:name w:val="Texto comentario Car"/>
    <w:basedOn w:val="Fuentedeprrafopredeter"/>
    <w:link w:val="Textocomentario"/>
    <w:uiPriority w:val="99"/>
    <w:rsid w:val="00461F89"/>
    <w:rPr>
      <w:sz w:val="20"/>
      <w:szCs w:val="20"/>
    </w:rPr>
  </w:style>
  <w:style w:type="paragraph" w:styleId="Asuntodelcomentario">
    <w:name w:val="annotation subject"/>
    <w:basedOn w:val="Textocomentario"/>
    <w:next w:val="Textocomentario"/>
    <w:link w:val="AsuntodelcomentarioCar"/>
    <w:uiPriority w:val="99"/>
    <w:semiHidden/>
    <w:unhideWhenUsed/>
    <w:rsid w:val="00461F89"/>
    <w:rPr>
      <w:b/>
      <w:bCs/>
    </w:rPr>
  </w:style>
  <w:style w:type="character" w:customStyle="1" w:styleId="AsuntodelcomentarioCar">
    <w:name w:val="Asunto del comentario Car"/>
    <w:basedOn w:val="TextocomentarioCar"/>
    <w:link w:val="Asuntodelcomentario"/>
    <w:uiPriority w:val="99"/>
    <w:semiHidden/>
    <w:rsid w:val="00461F8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44584F90-79D9-41FB-9239-AF0F1C34B4DA}">
  <ds:schemaRefs>
    <ds:schemaRef ds:uri="http://schemas.openxmlformats.org/officeDocument/2006/bibliography"/>
  </ds:schemaRefs>
</ds:datastoreItem>
</file>

<file path=customXml/itemProps3.xml><?xml version="1.0" encoding="utf-8"?>
<ds:datastoreItem xmlns:ds="http://schemas.openxmlformats.org/officeDocument/2006/customXml" ds:itemID="{296A3478-0960-4C52-8029-9DCE74128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16</TotalTime>
  <Pages>33</Pages>
  <Words>10844</Words>
  <Characters>59429</Characters>
  <Application>Microsoft Office Word</Application>
  <DocSecurity>0</DocSecurity>
  <Lines>1100</Lines>
  <Paragraphs>176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70097</CharactersWithSpaces>
  <SharedDoc>false</SharedDoc>
  <HLinks>
    <vt:vector size="12" baseType="variant">
      <vt:variant>
        <vt:i4>3276900</vt:i4>
      </vt:variant>
      <vt:variant>
        <vt:i4>3</vt:i4>
      </vt:variant>
      <vt:variant>
        <vt:i4>0</vt:i4>
      </vt:variant>
      <vt:variant>
        <vt:i4>5</vt:i4>
      </vt:variant>
      <vt:variant>
        <vt:lpwstr>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2023-01-10T18:18:00Z</cp:lastPrinted>
  <dcterms:created xsi:type="dcterms:W3CDTF">2026-01-22T19:46:00Z</dcterms:created>
  <dcterms:modified xsi:type="dcterms:W3CDTF">2026-01-27T18:09:00Z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