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63806" w14:textId="40ADC4DB" w:rsidR="006219F8" w:rsidRPr="007566FE" w:rsidRDefault="006219F8" w:rsidP="00526E9D">
      <w:pPr>
        <w:rPr>
          <w:rFonts w:ascii="Arial Nova" w:hAnsi="Arial Nova"/>
          <w:color w:val="000000" w:themeColor="text1"/>
        </w:rPr>
      </w:pPr>
    </w:p>
    <w:p w14:paraId="668496EF" w14:textId="77777777" w:rsidR="00D43FFE" w:rsidRPr="00C513A4" w:rsidRDefault="00D43FFE" w:rsidP="00D43FFE">
      <w:pPr>
        <w:spacing w:after="0" w:line="240" w:lineRule="auto"/>
        <w:jc w:val="both"/>
        <w:rPr>
          <w:rFonts w:ascii="Arial" w:eastAsia="Calibri" w:hAnsi="Arial" w:cs="Arial"/>
          <w:b/>
          <w:bCs/>
          <w:color w:val="000000" w:themeColor="text1"/>
          <w:lang w:val="es-ES_tradnl"/>
        </w:rPr>
      </w:pPr>
      <w:bookmarkStart w:id="0" w:name="_Hlk94281581"/>
      <w:bookmarkStart w:id="1" w:name="_Hlk102489058"/>
      <w:bookmarkStart w:id="2" w:name="_Hlk34951122"/>
      <w:r w:rsidRPr="007F16DE">
        <w:rPr>
          <w:rFonts w:ascii="Arial" w:eastAsia="Calibri" w:hAnsi="Arial" w:cs="Arial"/>
          <w:b/>
          <w:bCs/>
          <w:color w:val="000000" w:themeColor="text1"/>
          <w:lang w:val="es-ES_tradnl"/>
        </w:rPr>
        <w:t>REGISTRO ÚNICO DE PROPONENTES – Concepto</w:t>
      </w:r>
    </w:p>
    <w:p w14:paraId="079F2D9D" w14:textId="77777777" w:rsidR="00D43FFE" w:rsidRDefault="00D43FFE" w:rsidP="00D43FFE">
      <w:pPr>
        <w:spacing w:after="0" w:line="240" w:lineRule="auto"/>
        <w:jc w:val="both"/>
        <w:rPr>
          <w:rFonts w:ascii="Arial" w:eastAsia="Calibri" w:hAnsi="Arial" w:cs="Arial"/>
          <w:bCs/>
          <w:color w:val="000000" w:themeColor="text1"/>
          <w:sz w:val="20"/>
          <w:szCs w:val="20"/>
          <w:lang w:val="es-ES"/>
        </w:rPr>
      </w:pPr>
    </w:p>
    <w:p w14:paraId="00A58AE6" w14:textId="77777777" w:rsidR="00D43FFE" w:rsidRPr="00C513A4" w:rsidRDefault="00D43FFE" w:rsidP="00D43FFE">
      <w:pPr>
        <w:spacing w:after="0" w:line="240" w:lineRule="auto"/>
        <w:jc w:val="both"/>
        <w:rPr>
          <w:rFonts w:ascii="Arial" w:eastAsia="Calibri" w:hAnsi="Arial" w:cs="Arial"/>
          <w:b/>
          <w:bCs/>
          <w:color w:val="000000" w:themeColor="text1"/>
          <w:sz w:val="20"/>
          <w:szCs w:val="20"/>
          <w:lang w:val="es-MX"/>
        </w:rPr>
      </w:pPr>
      <w:r w:rsidRPr="00C513A4">
        <w:rPr>
          <w:rFonts w:ascii="Arial" w:eastAsia="Calibri" w:hAnsi="Arial" w:cs="Arial"/>
          <w:bCs/>
          <w:color w:val="000000" w:themeColor="text1"/>
          <w:sz w:val="20"/>
          <w:szCs w:val="20"/>
        </w:rPr>
        <w:t>El Registro Único de Proponentes (en adelante RUP) 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w:t>
      </w:r>
    </w:p>
    <w:p w14:paraId="69CE4922" w14:textId="77777777" w:rsidR="00D43FFE" w:rsidRPr="00C513A4" w:rsidRDefault="00D43FFE" w:rsidP="00D43FFE">
      <w:pPr>
        <w:spacing w:after="0" w:line="240" w:lineRule="auto"/>
        <w:jc w:val="both"/>
        <w:rPr>
          <w:rFonts w:ascii="Arial" w:eastAsia="Calibri" w:hAnsi="Arial" w:cs="Arial"/>
          <w:b/>
          <w:bCs/>
          <w:color w:val="000000" w:themeColor="text1"/>
          <w:sz w:val="20"/>
          <w:szCs w:val="20"/>
          <w:lang w:val="es-MX"/>
        </w:rPr>
      </w:pPr>
    </w:p>
    <w:p w14:paraId="29D8844E" w14:textId="77777777" w:rsidR="00D43FFE" w:rsidRPr="00C513A4" w:rsidRDefault="00D43FFE" w:rsidP="00D43FFE">
      <w:pPr>
        <w:spacing w:after="0" w:line="240" w:lineRule="auto"/>
        <w:jc w:val="both"/>
        <w:rPr>
          <w:rFonts w:ascii="Arial" w:eastAsia="Calibri" w:hAnsi="Arial" w:cs="Arial"/>
          <w:bCs/>
          <w:color w:val="000000" w:themeColor="text1"/>
          <w:sz w:val="20"/>
          <w:szCs w:val="20"/>
        </w:rPr>
      </w:pPr>
      <w:r w:rsidRPr="00C513A4">
        <w:rPr>
          <w:rFonts w:ascii="Arial" w:eastAsia="Calibri" w:hAnsi="Arial" w:cs="Arial"/>
          <w:bCs/>
          <w:color w:val="000000" w:themeColor="text1"/>
          <w:sz w:val="20"/>
          <w:szCs w:val="20"/>
        </w:rPr>
        <w:t>El artículo 6.1 de la Ley 1150 de 2007 dispone que el RUP es plena prueba de la información que contiene. Por su parte, el artículo 5.1, al fijar los criterios que deben tener en cuenta las entidades estatales para garantizar la selección objetiva, dispone que las Cámaras de Comercio verificarán la información suministrada por las personas naturales o jurídicas para la inscripción en el registro.</w:t>
      </w:r>
    </w:p>
    <w:p w14:paraId="7258794D" w14:textId="77777777" w:rsidR="00D43FFE" w:rsidRPr="00504597" w:rsidRDefault="00D43FFE" w:rsidP="00D43FFE">
      <w:pPr>
        <w:spacing w:after="0" w:line="240" w:lineRule="auto"/>
        <w:jc w:val="both"/>
        <w:rPr>
          <w:rFonts w:ascii="Arial" w:eastAsia="Calibri" w:hAnsi="Arial" w:cs="Arial"/>
          <w:bCs/>
          <w:color w:val="000000" w:themeColor="text1"/>
          <w:sz w:val="20"/>
          <w:szCs w:val="20"/>
          <w:lang w:val="es-ES"/>
        </w:rPr>
      </w:pPr>
      <w:r w:rsidRPr="00504597">
        <w:rPr>
          <w:rFonts w:ascii="Arial" w:eastAsia="Calibri" w:hAnsi="Arial" w:cs="Arial"/>
          <w:bCs/>
          <w:color w:val="000000" w:themeColor="text1"/>
          <w:sz w:val="20"/>
          <w:szCs w:val="20"/>
          <w:lang w:val="es-ES"/>
        </w:rPr>
        <w:t xml:space="preserve"> </w:t>
      </w:r>
    </w:p>
    <w:p w14:paraId="47327E6D" w14:textId="77777777" w:rsidR="00D43FFE" w:rsidRPr="00C513A4" w:rsidRDefault="00D43FFE" w:rsidP="00D43FFE">
      <w:pPr>
        <w:spacing w:after="0" w:line="240" w:lineRule="auto"/>
        <w:jc w:val="both"/>
        <w:rPr>
          <w:rFonts w:ascii="Arial" w:eastAsia="Calibri" w:hAnsi="Arial" w:cs="Arial"/>
          <w:b/>
          <w:bCs/>
          <w:color w:val="000000" w:themeColor="text1"/>
          <w:lang w:val="es-ES_tradnl"/>
        </w:rPr>
      </w:pPr>
      <w:r w:rsidRPr="007F16DE">
        <w:rPr>
          <w:rFonts w:ascii="Arial" w:eastAsia="Calibri" w:hAnsi="Arial" w:cs="Arial"/>
          <w:b/>
          <w:bCs/>
          <w:color w:val="000000" w:themeColor="text1"/>
          <w:lang w:val="es-ES_tradnl"/>
        </w:rPr>
        <w:t>RUP</w:t>
      </w:r>
      <w:r>
        <w:rPr>
          <w:rFonts w:ascii="Arial" w:eastAsia="Calibri" w:hAnsi="Arial" w:cs="Arial"/>
          <w:b/>
          <w:bCs/>
          <w:color w:val="000000" w:themeColor="text1"/>
          <w:lang w:val="es-ES_tradnl"/>
        </w:rPr>
        <w:t xml:space="preserve"> </w:t>
      </w:r>
      <w:r w:rsidRPr="00C513A4">
        <w:rPr>
          <w:rFonts w:ascii="Arial" w:eastAsia="Calibri" w:hAnsi="Arial" w:cs="Arial"/>
          <w:b/>
          <w:bCs/>
          <w:color w:val="000000" w:themeColor="text1"/>
          <w:lang w:val="es-ES_tradnl"/>
        </w:rPr>
        <w:t>– Sujetos obligados</w:t>
      </w:r>
    </w:p>
    <w:p w14:paraId="7728F462" w14:textId="77777777" w:rsidR="00D43FFE" w:rsidRPr="00504597" w:rsidRDefault="00D43FFE" w:rsidP="00D43FFE">
      <w:pPr>
        <w:spacing w:after="0" w:line="240" w:lineRule="auto"/>
        <w:jc w:val="both"/>
        <w:rPr>
          <w:rFonts w:ascii="Arial" w:eastAsia="Calibri" w:hAnsi="Arial" w:cs="Arial"/>
          <w:b/>
          <w:bCs/>
          <w:color w:val="000000" w:themeColor="text1"/>
          <w:sz w:val="20"/>
          <w:szCs w:val="20"/>
          <w:lang w:val="es-ES"/>
        </w:rPr>
      </w:pPr>
    </w:p>
    <w:p w14:paraId="79345D2B" w14:textId="77777777" w:rsidR="00D43FFE" w:rsidRPr="00C513A4" w:rsidRDefault="00D43FFE" w:rsidP="00D43FFE">
      <w:pPr>
        <w:spacing w:after="0" w:line="240" w:lineRule="auto"/>
        <w:jc w:val="both"/>
        <w:rPr>
          <w:rFonts w:ascii="Arial" w:eastAsia="Calibri" w:hAnsi="Arial" w:cs="Arial"/>
          <w:b/>
          <w:color w:val="000000" w:themeColor="text1"/>
          <w:sz w:val="20"/>
          <w:szCs w:val="20"/>
          <w:lang w:val="es-ES"/>
        </w:rPr>
      </w:pPr>
      <w:r w:rsidRPr="00C513A4">
        <w:rPr>
          <w:rFonts w:ascii="Arial" w:eastAsia="Calibri" w:hAnsi="Arial" w:cs="Arial"/>
          <w:color w:val="000000" w:themeColor="text1"/>
          <w:sz w:val="20"/>
          <w:szCs w:val="20"/>
        </w:rPr>
        <w:t>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p>
    <w:p w14:paraId="68E72757" w14:textId="77777777" w:rsidR="00D43FFE" w:rsidRPr="00504597" w:rsidRDefault="00D43FFE" w:rsidP="00D43FFE">
      <w:pPr>
        <w:spacing w:after="0" w:line="240" w:lineRule="auto"/>
        <w:jc w:val="both"/>
        <w:rPr>
          <w:rFonts w:ascii="Arial" w:eastAsia="Calibri" w:hAnsi="Arial" w:cs="Arial"/>
          <w:b/>
          <w:bCs/>
          <w:color w:val="000000" w:themeColor="text1"/>
          <w:sz w:val="20"/>
          <w:szCs w:val="20"/>
          <w:lang w:val="es-ES"/>
        </w:rPr>
      </w:pPr>
    </w:p>
    <w:p w14:paraId="06DD2407" w14:textId="77777777" w:rsidR="00D43FFE" w:rsidRPr="005C4CC9" w:rsidRDefault="00D43FFE" w:rsidP="00D43FFE">
      <w:pPr>
        <w:spacing w:after="0" w:line="240" w:lineRule="auto"/>
        <w:jc w:val="both"/>
        <w:rPr>
          <w:rFonts w:ascii="Arial" w:eastAsia="Calibri" w:hAnsi="Arial" w:cs="Arial"/>
          <w:b/>
          <w:szCs w:val="24"/>
          <w:lang w:val="es-ES_tradnl" w:eastAsia="es-ES_tradnl"/>
        </w:rPr>
      </w:pPr>
      <w:r w:rsidRPr="005C4CC9">
        <w:rPr>
          <w:rFonts w:ascii="Arial" w:eastAsia="Calibri" w:hAnsi="Arial" w:cs="Arial"/>
          <w:b/>
          <w:szCs w:val="24"/>
          <w:lang w:val="es-ES_tradnl" w:eastAsia="es-ES_tradnl"/>
        </w:rPr>
        <w:t>CONCURSO DE MÉRITOS – Concepto – Modalidades</w:t>
      </w:r>
    </w:p>
    <w:p w14:paraId="6CBBD7D6" w14:textId="77777777" w:rsidR="00D43FFE" w:rsidRPr="005C4CC9" w:rsidRDefault="00D43FFE" w:rsidP="00D43FFE">
      <w:pPr>
        <w:spacing w:after="0" w:line="240" w:lineRule="auto"/>
        <w:jc w:val="both"/>
        <w:rPr>
          <w:rFonts w:ascii="Arial" w:eastAsia="Calibri" w:hAnsi="Arial" w:cs="Arial"/>
          <w:b/>
          <w:szCs w:val="24"/>
          <w:lang w:val="es-ES_tradnl" w:eastAsia="es-ES_tradnl"/>
        </w:rPr>
      </w:pPr>
    </w:p>
    <w:p w14:paraId="7D542EE4" w14:textId="77777777" w:rsidR="00D43FFE" w:rsidRPr="005C4CC9" w:rsidRDefault="00D43FFE" w:rsidP="00D43FFE">
      <w:pPr>
        <w:spacing w:after="0" w:line="240" w:lineRule="auto"/>
        <w:jc w:val="both"/>
        <w:rPr>
          <w:rFonts w:ascii="Arial" w:eastAsia="Times New Roman" w:hAnsi="Arial" w:cs="Arial"/>
          <w:color w:val="000000"/>
          <w:sz w:val="20"/>
          <w:szCs w:val="20"/>
          <w:lang w:val="es-ES_tradnl" w:eastAsia="es-ES_tradnl"/>
        </w:rPr>
      </w:pPr>
      <w:r w:rsidRPr="005C4CC9">
        <w:rPr>
          <w:rFonts w:ascii="Arial" w:eastAsia="Times New Roman" w:hAnsi="Arial" w:cs="Arial"/>
          <w:color w:val="000000"/>
          <w:sz w:val="20"/>
          <w:szCs w:val="20"/>
          <w:lang w:val="es-ES_tradnl" w:eastAsia="es-ES_tradnl"/>
        </w:rPr>
        <w:t xml:space="preserve">El </w:t>
      </w:r>
      <w:r w:rsidRPr="005C4CC9">
        <w:rPr>
          <w:rFonts w:ascii="Arial" w:eastAsia="Times New Roman" w:hAnsi="Arial" w:cs="Arial"/>
          <w:i/>
          <w:iCs/>
          <w:color w:val="000000"/>
          <w:sz w:val="20"/>
          <w:szCs w:val="20"/>
          <w:lang w:val="es-ES_tradnl" w:eastAsia="es-ES_tradnl"/>
        </w:rPr>
        <w:t xml:space="preserve">concurso de méritos </w:t>
      </w:r>
      <w:r w:rsidRPr="005C4CC9">
        <w:rPr>
          <w:rFonts w:ascii="Arial" w:eastAsia="Times New Roman" w:hAnsi="Arial" w:cs="Arial"/>
          <w:color w:val="000000"/>
          <w:sz w:val="20"/>
          <w:szCs w:val="20"/>
          <w:lang w:val="es-ES_tradnl" w:eastAsia="es-ES_tradnl"/>
        </w:rPr>
        <w:t xml:space="preserve">es un procedimiento de selección que deben realizar las entidades estatales para escoger </w:t>
      </w:r>
      <w:r>
        <w:rPr>
          <w:rFonts w:ascii="Arial" w:eastAsia="Times New Roman" w:hAnsi="Arial" w:cs="Arial"/>
          <w:color w:val="000000"/>
          <w:sz w:val="20"/>
          <w:szCs w:val="20"/>
          <w:lang w:val="es-ES_tradnl" w:eastAsia="es-ES_tradnl"/>
        </w:rPr>
        <w:t>“</w:t>
      </w:r>
      <w:r w:rsidRPr="005C4CC9">
        <w:rPr>
          <w:rFonts w:ascii="Arial" w:eastAsia="Times New Roman" w:hAnsi="Arial" w:cs="Arial"/>
          <w:color w:val="000000"/>
          <w:sz w:val="20"/>
          <w:szCs w:val="20"/>
          <w:lang w:val="es-ES_tradnl" w:eastAsia="es-ES_tradnl"/>
        </w:rPr>
        <w:t>consultores y proyectos</w:t>
      </w:r>
      <w:r>
        <w:rPr>
          <w:rFonts w:ascii="Arial" w:eastAsia="Times New Roman" w:hAnsi="Arial" w:cs="Arial"/>
          <w:color w:val="000000"/>
          <w:sz w:val="20"/>
          <w:szCs w:val="20"/>
          <w:lang w:val="es-ES_tradnl" w:eastAsia="es-ES_tradnl"/>
        </w:rPr>
        <w:t>”</w:t>
      </w:r>
      <w:r w:rsidRPr="005C4CC9">
        <w:rPr>
          <w:rFonts w:ascii="Arial" w:eastAsia="Times New Roman" w:hAnsi="Arial" w:cs="Arial"/>
          <w:color w:val="000000"/>
          <w:sz w:val="20"/>
          <w:szCs w:val="20"/>
          <w:lang w:val="es-ES_tradnl" w:eastAsia="es-ES_tradnl"/>
        </w:rPr>
        <w:t xml:space="preserve">, es decir, para celebrar contratos de consultoría, entendidos estos últimos como aquellos </w:t>
      </w:r>
      <w:r>
        <w:rPr>
          <w:rFonts w:ascii="Arial" w:eastAsia="Times New Roman" w:hAnsi="Arial" w:cs="Arial"/>
          <w:color w:val="000000"/>
          <w:sz w:val="20"/>
          <w:szCs w:val="20"/>
          <w:lang w:val="es-ES_tradnl" w:eastAsia="es-ES_tradnl"/>
        </w:rPr>
        <w:t>“</w:t>
      </w:r>
      <w:r w:rsidRPr="005C4CC9">
        <w:rPr>
          <w:rFonts w:ascii="Arial" w:eastAsia="Times New Roman" w:hAnsi="Arial" w:cs="Arial"/>
          <w:color w:val="000000"/>
          <w:sz w:val="20"/>
          <w:szCs w:val="20"/>
          <w:lang w:val="es-ES_tradnl" w:eastAsia="es-ES_tradnl"/>
        </w:rPr>
        <w:t>[…]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r>
        <w:rPr>
          <w:rFonts w:ascii="Arial" w:eastAsia="Times New Roman" w:hAnsi="Arial" w:cs="Arial"/>
          <w:color w:val="000000"/>
          <w:sz w:val="20"/>
          <w:szCs w:val="20"/>
          <w:lang w:val="es-ES_tradnl" w:eastAsia="es-ES_tradnl"/>
        </w:rPr>
        <w:t>”</w:t>
      </w:r>
      <w:r w:rsidRPr="005C4CC9">
        <w:rPr>
          <w:rFonts w:ascii="Arial" w:eastAsia="Times New Roman" w:hAnsi="Arial" w:cs="Arial"/>
          <w:color w:val="000000"/>
          <w:sz w:val="20"/>
          <w:szCs w:val="20"/>
          <w:lang w:val="es-ES_tradnl" w:eastAsia="es-ES_tradnl"/>
        </w:rPr>
        <w:t>, según lo dispuesto en el artículo 32, numeral 2, de la Ley 80 de 1993.</w:t>
      </w:r>
    </w:p>
    <w:p w14:paraId="2197CE4D" w14:textId="77777777" w:rsidR="00D43FFE" w:rsidRPr="005C4CC9" w:rsidRDefault="00D43FFE" w:rsidP="00D43FFE">
      <w:pPr>
        <w:spacing w:after="0" w:line="240" w:lineRule="auto"/>
        <w:jc w:val="both"/>
        <w:rPr>
          <w:rFonts w:ascii="Arial" w:eastAsia="Times New Roman" w:hAnsi="Arial" w:cs="Arial"/>
          <w:color w:val="000000"/>
          <w:sz w:val="20"/>
          <w:szCs w:val="20"/>
          <w:lang w:val="es-ES_tradnl" w:eastAsia="es-ES_tradnl"/>
        </w:rPr>
      </w:pPr>
    </w:p>
    <w:p w14:paraId="57D221FC" w14:textId="77777777" w:rsidR="00D43FFE" w:rsidRPr="005C4CC9" w:rsidRDefault="00D43FFE" w:rsidP="00D43FFE">
      <w:pPr>
        <w:spacing w:after="0" w:line="240" w:lineRule="auto"/>
        <w:jc w:val="both"/>
        <w:rPr>
          <w:rFonts w:ascii="Arial" w:eastAsia="Times New Roman" w:hAnsi="Arial" w:cs="Arial"/>
          <w:color w:val="000000"/>
          <w:sz w:val="20"/>
          <w:szCs w:val="20"/>
          <w:lang w:val="es-ES_tradnl" w:eastAsia="es-ES_tradnl"/>
        </w:rPr>
      </w:pPr>
      <w:r w:rsidRPr="005C4CC9">
        <w:rPr>
          <w:rFonts w:ascii="Arial" w:eastAsia="Times New Roman" w:hAnsi="Arial" w:cs="Arial"/>
          <w:color w:val="000000"/>
          <w:sz w:val="20"/>
          <w:szCs w:val="20"/>
          <w:lang w:val="es-ES_tradnl" w:eastAsia="es-ES_tradnl"/>
        </w:rPr>
        <w:t xml:space="preserve">El Libro 2, Parte 2, Título 1, Capítulo 2, Sección 1, Subsección 3 del Decreto 1082 de 2015, regula las distintas modalidades del concurso de méritos: i) concurso de méritos abierto o sin precalificación, ii) concurso de méritos cerrado o con precalificación y iii) concurso de méritos </w:t>
      </w:r>
      <w:r>
        <w:rPr>
          <w:rFonts w:ascii="Arial" w:eastAsia="Times New Roman" w:hAnsi="Arial" w:cs="Arial"/>
          <w:color w:val="000000"/>
          <w:sz w:val="20"/>
          <w:szCs w:val="20"/>
          <w:lang w:val="es-ES_tradnl" w:eastAsia="es-ES_tradnl"/>
        </w:rPr>
        <w:t>“</w:t>
      </w:r>
      <w:r w:rsidRPr="005C4CC9">
        <w:rPr>
          <w:rFonts w:ascii="Arial" w:eastAsia="Times New Roman" w:hAnsi="Arial" w:cs="Arial"/>
          <w:color w:val="000000"/>
          <w:sz w:val="20"/>
          <w:szCs w:val="20"/>
          <w:lang w:val="es-ES_tradnl" w:eastAsia="es-ES_tradnl"/>
        </w:rPr>
        <w:t>para la selección de consultores de diseño, planos, anteproyectos y proyectos arquitectónicos</w:t>
      </w:r>
      <w:r>
        <w:rPr>
          <w:rFonts w:ascii="Arial" w:eastAsia="Times New Roman" w:hAnsi="Arial" w:cs="Arial"/>
          <w:color w:val="000000"/>
          <w:sz w:val="20"/>
          <w:szCs w:val="20"/>
          <w:lang w:val="es-ES_tradnl" w:eastAsia="es-ES_tradnl"/>
        </w:rPr>
        <w:t>”</w:t>
      </w:r>
      <w:r w:rsidRPr="005C4CC9">
        <w:rPr>
          <w:rFonts w:ascii="Arial" w:eastAsia="Times New Roman" w:hAnsi="Arial" w:cs="Arial"/>
          <w:color w:val="000000"/>
          <w:sz w:val="20"/>
          <w:szCs w:val="20"/>
          <w:lang w:val="es-ES_tradnl" w:eastAsia="es-ES_tradnl"/>
        </w:rPr>
        <w:t xml:space="preserve">. El primero está regulado en los artículos 2.2.1.2.1.3.1. y 2.2.1.2.1.3.2. </w:t>
      </w:r>
      <w:r w:rsidRPr="005C4CC9">
        <w:rPr>
          <w:rFonts w:ascii="Arial" w:eastAsia="Times New Roman" w:hAnsi="Arial" w:cs="Arial"/>
          <w:i/>
          <w:iCs/>
          <w:color w:val="000000"/>
          <w:sz w:val="20"/>
          <w:szCs w:val="20"/>
          <w:lang w:val="es-ES_tradnl" w:eastAsia="es-ES_tradnl"/>
        </w:rPr>
        <w:t>ibídem</w:t>
      </w:r>
      <w:r w:rsidRPr="005C4CC9">
        <w:rPr>
          <w:rFonts w:ascii="Arial" w:eastAsia="Times New Roman" w:hAnsi="Arial" w:cs="Arial"/>
          <w:color w:val="000000"/>
          <w:sz w:val="20"/>
          <w:szCs w:val="20"/>
          <w:lang w:val="es-ES_tradnl" w:eastAsia="es-ES_tradnl"/>
        </w:rPr>
        <w:t xml:space="preserve">. El segundo, además de los dos artículos anteriores, lo regulan los artículos 2.2.1.2.1.3.3. a 2.2.1.2.1.3.7. </w:t>
      </w:r>
      <w:proofErr w:type="spellStart"/>
      <w:r w:rsidRPr="005C4CC9">
        <w:rPr>
          <w:rFonts w:ascii="Arial" w:eastAsia="Times New Roman" w:hAnsi="Arial" w:cs="Arial"/>
          <w:i/>
          <w:iCs/>
          <w:color w:val="000000"/>
          <w:sz w:val="20"/>
          <w:szCs w:val="20"/>
          <w:lang w:val="es-ES_tradnl" w:eastAsia="es-ES_tradnl"/>
        </w:rPr>
        <w:t>ejusdem</w:t>
      </w:r>
      <w:proofErr w:type="spellEnd"/>
      <w:r w:rsidRPr="005C4CC9">
        <w:rPr>
          <w:rFonts w:ascii="Arial" w:eastAsia="Times New Roman" w:hAnsi="Arial" w:cs="Arial"/>
          <w:color w:val="000000"/>
          <w:sz w:val="20"/>
          <w:szCs w:val="20"/>
          <w:lang w:val="es-ES_tradnl" w:eastAsia="es-ES_tradnl"/>
        </w:rPr>
        <w:t>. El tercero lo regulan los artículos 2.2.1.2.1.3.8. a 2.2.1.2.1.3.25. del mencionado Decreto.</w:t>
      </w:r>
    </w:p>
    <w:p w14:paraId="336E9B5C" w14:textId="77777777" w:rsidR="00D43FFE" w:rsidRPr="005C4CC9" w:rsidRDefault="00D43FFE" w:rsidP="00D43FFE">
      <w:pPr>
        <w:spacing w:after="0" w:line="240" w:lineRule="auto"/>
        <w:jc w:val="both"/>
        <w:rPr>
          <w:rFonts w:ascii="Arial" w:eastAsia="Calibri" w:hAnsi="Arial" w:cs="Arial"/>
          <w:b/>
          <w:szCs w:val="24"/>
          <w:lang w:val="es-ES_tradnl" w:eastAsia="es-ES_tradnl"/>
        </w:rPr>
      </w:pPr>
    </w:p>
    <w:p w14:paraId="354AF7F5" w14:textId="77777777" w:rsidR="00D43FFE" w:rsidRPr="005C4CC9" w:rsidRDefault="00D43FFE" w:rsidP="00D43FFE">
      <w:pPr>
        <w:spacing w:after="0" w:line="240" w:lineRule="auto"/>
        <w:jc w:val="both"/>
        <w:rPr>
          <w:rFonts w:ascii="Arial" w:eastAsia="Calibri" w:hAnsi="Arial" w:cs="Arial"/>
          <w:b/>
          <w:szCs w:val="24"/>
          <w:lang w:val="es-ES_tradnl" w:eastAsia="es-ES_tradnl"/>
        </w:rPr>
      </w:pPr>
      <w:r w:rsidRPr="005C4CC9">
        <w:rPr>
          <w:rFonts w:ascii="Arial" w:eastAsia="Calibri" w:hAnsi="Arial" w:cs="Arial"/>
          <w:b/>
          <w:szCs w:val="24"/>
          <w:lang w:val="es-ES_tradnl" w:eastAsia="es-ES_tradnl"/>
        </w:rPr>
        <w:t xml:space="preserve">CONCURSO DE MÉRITOS – Decreto 1082 de 2015 – </w:t>
      </w:r>
      <w:r>
        <w:rPr>
          <w:rFonts w:ascii="Arial" w:eastAsia="Calibri" w:hAnsi="Arial" w:cs="Arial"/>
          <w:b/>
          <w:szCs w:val="24"/>
          <w:lang w:val="es-ES_tradnl" w:eastAsia="es-ES_tradnl"/>
        </w:rPr>
        <w:t>A</w:t>
      </w:r>
      <w:r w:rsidRPr="005C4CC9">
        <w:rPr>
          <w:rFonts w:ascii="Arial" w:eastAsia="Calibri" w:hAnsi="Arial" w:cs="Arial"/>
          <w:b/>
          <w:szCs w:val="24"/>
          <w:lang w:val="es-ES_tradnl" w:eastAsia="es-ES_tradnl"/>
        </w:rPr>
        <w:t>rtículo 2.2.1.2.1.3.2</w:t>
      </w:r>
      <w:r w:rsidRPr="005C4CC9">
        <w:rPr>
          <w:rFonts w:ascii="Arial" w:eastAsia="Times New Roman" w:hAnsi="Arial" w:cs="Arial"/>
          <w:b/>
          <w:color w:val="000000"/>
          <w:sz w:val="20"/>
          <w:szCs w:val="20"/>
          <w:lang w:val="es-ES_tradnl" w:eastAsia="es-ES_tradnl"/>
        </w:rPr>
        <w:t xml:space="preserve"> </w:t>
      </w:r>
      <w:r w:rsidRPr="005C4CC9">
        <w:rPr>
          <w:rFonts w:ascii="Arial" w:eastAsia="Calibri" w:hAnsi="Arial" w:cs="Arial"/>
          <w:b/>
          <w:szCs w:val="24"/>
          <w:lang w:val="es-ES_tradnl" w:eastAsia="es-ES_tradnl"/>
        </w:rPr>
        <w:t>–</w:t>
      </w:r>
      <w:r w:rsidRPr="005C4CC9">
        <w:rPr>
          <w:rFonts w:ascii="Arial" w:eastAsia="Times New Roman" w:hAnsi="Arial" w:cs="Arial"/>
          <w:b/>
          <w:color w:val="000000"/>
          <w:sz w:val="20"/>
          <w:szCs w:val="20"/>
          <w:lang w:val="es-ES_tradnl" w:eastAsia="es-ES_tradnl"/>
        </w:rPr>
        <w:t xml:space="preserve"> </w:t>
      </w:r>
      <w:r w:rsidRPr="005C4CC9">
        <w:rPr>
          <w:rFonts w:ascii="Arial" w:eastAsia="Calibri" w:hAnsi="Arial" w:cs="Arial"/>
          <w:b/>
          <w:szCs w:val="24"/>
          <w:lang w:val="es-ES_tradnl" w:eastAsia="es-ES_tradnl"/>
        </w:rPr>
        <w:t>Suspensión provisional</w:t>
      </w:r>
    </w:p>
    <w:p w14:paraId="18173C30" w14:textId="77777777" w:rsidR="00D43FFE" w:rsidRPr="005C4CC9" w:rsidRDefault="00D43FFE" w:rsidP="00D43FFE">
      <w:pPr>
        <w:spacing w:after="0" w:line="240" w:lineRule="auto"/>
        <w:jc w:val="both"/>
        <w:rPr>
          <w:rFonts w:ascii="Arial" w:eastAsia="Calibri" w:hAnsi="Arial" w:cs="Arial"/>
          <w:b/>
          <w:szCs w:val="24"/>
          <w:lang w:val="es-ES_tradnl" w:eastAsia="es-ES_tradnl"/>
        </w:rPr>
      </w:pPr>
    </w:p>
    <w:p w14:paraId="4E6CAA2B" w14:textId="77777777" w:rsidR="00D43FFE" w:rsidRPr="005C4CC9" w:rsidRDefault="00D43FFE" w:rsidP="00D43FFE">
      <w:pPr>
        <w:spacing w:after="0" w:line="240" w:lineRule="auto"/>
        <w:jc w:val="both"/>
        <w:rPr>
          <w:rFonts w:ascii="Arial" w:eastAsia="Times New Roman" w:hAnsi="Arial" w:cs="Arial"/>
          <w:color w:val="000000"/>
          <w:sz w:val="20"/>
          <w:szCs w:val="20"/>
          <w:lang w:val="es-ES_tradnl" w:eastAsia="es-ES_tradnl"/>
        </w:rPr>
      </w:pPr>
      <w:r w:rsidRPr="005C4CC9">
        <w:rPr>
          <w:rFonts w:ascii="Arial" w:eastAsia="Times New Roman" w:hAnsi="Arial" w:cs="Arial"/>
          <w:color w:val="000000"/>
          <w:sz w:val="20"/>
          <w:szCs w:val="20"/>
          <w:lang w:val="es-ES_tradnl" w:eastAsia="es-ES_tradnl"/>
        </w:rPr>
        <w:t xml:space="preserve">El Consejo de Estado consideró que los numerales 3, 4 y 5 violarían el artículo 5, numeral 4, último inciso, de la Ley 1150 de 2007, pues señaló que: </w:t>
      </w:r>
      <w:r>
        <w:rPr>
          <w:rFonts w:ascii="Arial" w:eastAsia="Times New Roman" w:hAnsi="Arial" w:cs="Arial"/>
          <w:color w:val="000000"/>
          <w:sz w:val="20"/>
          <w:szCs w:val="20"/>
          <w:lang w:val="es-ES_tradnl" w:eastAsia="es-ES_tradnl"/>
        </w:rPr>
        <w:t>“</w:t>
      </w:r>
      <w:r w:rsidRPr="005C4CC9">
        <w:rPr>
          <w:rFonts w:ascii="Arial" w:eastAsia="Times New Roman" w:hAnsi="Arial" w:cs="Arial"/>
          <w:color w:val="000000"/>
          <w:sz w:val="20"/>
          <w:szCs w:val="20"/>
          <w:lang w:val="es-ES_tradnl" w:eastAsia="es-ES_tradnl"/>
        </w:rPr>
        <w:t>en ningún caso se podrá incluir el precio, como factor de escogencia para la selección de consultores</w:t>
      </w:r>
      <w:r>
        <w:rPr>
          <w:rFonts w:ascii="Arial" w:eastAsia="Times New Roman" w:hAnsi="Arial" w:cs="Arial"/>
          <w:color w:val="000000"/>
          <w:sz w:val="20"/>
          <w:szCs w:val="20"/>
          <w:lang w:val="es-ES_tradnl" w:eastAsia="es-ES_tradnl"/>
        </w:rPr>
        <w:t>”</w:t>
      </w:r>
      <w:r w:rsidRPr="005C4CC9">
        <w:rPr>
          <w:rFonts w:ascii="Arial" w:eastAsia="Times New Roman" w:hAnsi="Arial" w:cs="Arial"/>
          <w:color w:val="000000"/>
          <w:sz w:val="20"/>
          <w:szCs w:val="20"/>
          <w:lang w:val="es-ES_tradnl" w:eastAsia="es-ES_tradnl"/>
        </w:rPr>
        <w:t xml:space="preserve">, así como el artículo 25, numeral 2, de la Ley 80 de 1993 que dispone lo siguiente: </w:t>
      </w:r>
      <w:r>
        <w:rPr>
          <w:rFonts w:ascii="Arial" w:eastAsia="Times New Roman" w:hAnsi="Arial" w:cs="Arial"/>
          <w:color w:val="000000"/>
          <w:sz w:val="20"/>
          <w:szCs w:val="20"/>
          <w:lang w:val="es-ES_tradnl" w:eastAsia="es-ES_tradnl"/>
        </w:rPr>
        <w:t>“</w:t>
      </w:r>
      <w:r w:rsidRPr="005C4CC9">
        <w:rPr>
          <w:rFonts w:ascii="Arial" w:eastAsia="Times New Roman" w:hAnsi="Arial" w:cs="Arial"/>
          <w:color w:val="000000"/>
          <w:sz w:val="20"/>
          <w:szCs w:val="20"/>
          <w:lang w:val="es-ES_tradnl" w:eastAsia="es-ES_tradnl"/>
        </w:rPr>
        <w:t>[…] las normas de los procedimientos contractuales se interpretarán de tal manera que no den ocasión a seguir trámites distintos y adicionales a los expresamente previstos […]</w:t>
      </w:r>
      <w:r>
        <w:rPr>
          <w:rFonts w:ascii="Arial" w:eastAsia="Times New Roman" w:hAnsi="Arial" w:cs="Arial"/>
          <w:color w:val="000000"/>
          <w:sz w:val="20"/>
          <w:szCs w:val="20"/>
          <w:lang w:val="es-ES_tradnl" w:eastAsia="es-ES_tradnl"/>
        </w:rPr>
        <w:t>”</w:t>
      </w:r>
      <w:r w:rsidRPr="005C4CC9">
        <w:rPr>
          <w:rFonts w:ascii="Arial" w:eastAsia="Times New Roman" w:hAnsi="Arial" w:cs="Arial"/>
          <w:color w:val="000000"/>
          <w:sz w:val="20"/>
          <w:szCs w:val="20"/>
          <w:lang w:val="es-ES_tradnl" w:eastAsia="es-ES_tradnl"/>
        </w:rPr>
        <w:t xml:space="preserve">. En este sentido, el alto tribunal explicó que la verificación de la coherencia del precio con la disponibilidad presupuestal y la necesidad de que se logre un acuerdo en relación con el mismo desconocía el principio de selección objetiva, convirtiendo el precio en un factor de selección. En lo que respecta al artículo 6, este </w:t>
      </w:r>
      <w:r w:rsidRPr="005C4CC9">
        <w:rPr>
          <w:rFonts w:ascii="Arial" w:eastAsia="Times New Roman" w:hAnsi="Arial" w:cs="Arial"/>
          <w:color w:val="000000"/>
          <w:sz w:val="20"/>
          <w:szCs w:val="20"/>
          <w:lang w:val="es-ES_tradnl" w:eastAsia="es-ES_tradnl"/>
        </w:rPr>
        <w:lastRenderedPageBreak/>
        <w:t>violaría especialmente el artículo 25.18 del Estatuto General y el artículo 5 de la Ley 1150 de 2007, pues la declaratoria de desierta solo procede cuando no es posible la selección objetiva del contratista.</w:t>
      </w:r>
    </w:p>
    <w:p w14:paraId="39C91E52" w14:textId="77777777" w:rsidR="00D43FFE" w:rsidRPr="005C4CC9" w:rsidRDefault="00D43FFE" w:rsidP="00D43FFE">
      <w:pPr>
        <w:spacing w:after="0" w:line="240" w:lineRule="auto"/>
        <w:jc w:val="both"/>
        <w:rPr>
          <w:rFonts w:ascii="Arial" w:eastAsia="Times New Roman" w:hAnsi="Arial" w:cs="Arial"/>
          <w:color w:val="000000"/>
          <w:sz w:val="20"/>
          <w:szCs w:val="20"/>
          <w:lang w:val="es-ES_tradnl" w:eastAsia="es-ES_tradnl"/>
        </w:rPr>
      </w:pPr>
    </w:p>
    <w:p w14:paraId="739CFC70" w14:textId="77777777" w:rsidR="00D43FFE" w:rsidRPr="005C4CC9" w:rsidRDefault="00D43FFE" w:rsidP="00D43FFE">
      <w:pPr>
        <w:spacing w:after="0" w:line="240" w:lineRule="auto"/>
        <w:jc w:val="both"/>
        <w:rPr>
          <w:rFonts w:ascii="Arial" w:eastAsia="Calibri" w:hAnsi="Arial" w:cs="Arial"/>
          <w:color w:val="000000"/>
          <w:sz w:val="20"/>
          <w:szCs w:val="20"/>
          <w:lang w:val="es-ES_tradnl" w:eastAsia="es-ES_tradnl"/>
        </w:rPr>
      </w:pPr>
      <w:r w:rsidRPr="005C4CC9">
        <w:rPr>
          <w:rFonts w:ascii="Arial" w:eastAsia="Times New Roman" w:hAnsi="Arial" w:cs="Arial"/>
          <w:color w:val="000000"/>
          <w:sz w:val="20"/>
          <w:szCs w:val="20"/>
          <w:lang w:val="es-ES_tradnl" w:eastAsia="es-ES_tradnl"/>
        </w:rPr>
        <w:t xml:space="preserve">En consecuencia, </w:t>
      </w:r>
      <w:r w:rsidRPr="005C4CC9">
        <w:rPr>
          <w:rFonts w:ascii="Arial" w:eastAsia="Calibri" w:hAnsi="Arial" w:cs="Arial"/>
          <w:color w:val="000000"/>
          <w:sz w:val="20"/>
          <w:szCs w:val="20"/>
          <w:lang w:val="es-ES_tradnl" w:eastAsia="es-ES_tradnl"/>
        </w:rPr>
        <w:t>con los autos de suspensión provisional, el concurso de méritos abierto debía desarrollarse aplicando únicamente los numerales 1 y 2 del</w:t>
      </w:r>
      <w:r w:rsidRPr="005C4CC9">
        <w:rPr>
          <w:rFonts w:ascii="Arial" w:eastAsia="Times New Roman" w:hAnsi="Arial" w:cs="Arial"/>
          <w:color w:val="000000"/>
          <w:sz w:val="20"/>
          <w:szCs w:val="20"/>
          <w:lang w:val="es-ES_tradnl" w:eastAsia="es-ES_tradnl"/>
        </w:rPr>
        <w:t xml:space="preserve"> artículo 2.2.1.2.1.3.2 original del Decreto 1082 de 2015, esto es, antes de la modificación realizada por el Decreto 399 de 2021, al que se hará referencia en el numeral siguiente. Por lo tanto, </w:t>
      </w:r>
      <w:r w:rsidRPr="005C4CC9">
        <w:rPr>
          <w:rFonts w:ascii="Arial" w:eastAsia="Times New Roman" w:hAnsi="Arial" w:cs="Arial"/>
          <w:i/>
          <w:iCs/>
          <w:color w:val="000000"/>
          <w:sz w:val="20"/>
          <w:szCs w:val="20"/>
          <w:lang w:val="es-ES_tradnl" w:eastAsia="es-ES_tradnl"/>
        </w:rPr>
        <w:t>siempre que estuviera dentro del presupuesto oficial</w:t>
      </w:r>
      <w:r w:rsidRPr="005C4CC9">
        <w:rPr>
          <w:rFonts w:ascii="Arial" w:eastAsia="Times New Roman" w:hAnsi="Arial" w:cs="Arial"/>
          <w:color w:val="000000"/>
          <w:sz w:val="20"/>
          <w:szCs w:val="20"/>
          <w:lang w:val="es-ES_tradnl" w:eastAsia="es-ES_tradnl"/>
        </w:rPr>
        <w:t>, la entidad estatal debía adjudicar el contrato al proponente que ocupara el primer puesto en el orden de elegibilidad, independientemente del valor ofrecido</w:t>
      </w:r>
      <w:r w:rsidRPr="005C4CC9">
        <w:rPr>
          <w:rFonts w:ascii="Arial" w:eastAsia="Calibri" w:hAnsi="Arial" w:cs="Arial"/>
          <w:color w:val="000000"/>
          <w:sz w:val="20"/>
          <w:szCs w:val="20"/>
          <w:lang w:val="es-ES_tradnl" w:eastAsia="es-ES_tradnl"/>
        </w:rPr>
        <w:t>.</w:t>
      </w:r>
    </w:p>
    <w:p w14:paraId="688D4DEB" w14:textId="77777777" w:rsidR="00D43FFE" w:rsidRPr="005C4CC9" w:rsidRDefault="00D43FFE" w:rsidP="00D43FFE">
      <w:pPr>
        <w:spacing w:after="0" w:line="240" w:lineRule="auto"/>
        <w:jc w:val="both"/>
        <w:rPr>
          <w:rFonts w:ascii="Arial" w:eastAsia="Calibri" w:hAnsi="Arial" w:cs="Arial"/>
          <w:color w:val="000000"/>
          <w:sz w:val="20"/>
          <w:szCs w:val="20"/>
          <w:lang w:val="es-ES_tradnl" w:eastAsia="es-ES_tradnl"/>
        </w:rPr>
      </w:pPr>
    </w:p>
    <w:p w14:paraId="0FF32CAE" w14:textId="77777777" w:rsidR="00D43FFE" w:rsidRPr="005C4CC9" w:rsidRDefault="00D43FFE" w:rsidP="00D43FFE">
      <w:pPr>
        <w:spacing w:after="0" w:line="240" w:lineRule="auto"/>
        <w:jc w:val="both"/>
        <w:rPr>
          <w:rFonts w:ascii="Arial" w:eastAsia="Calibri" w:hAnsi="Arial" w:cs="Arial"/>
          <w:b/>
          <w:szCs w:val="24"/>
          <w:lang w:val="es-ES_tradnl" w:eastAsia="es-ES_tradnl"/>
        </w:rPr>
      </w:pPr>
      <w:r w:rsidRPr="005C4CC9">
        <w:rPr>
          <w:rFonts w:ascii="Arial" w:eastAsia="Calibri" w:hAnsi="Arial" w:cs="Arial"/>
          <w:b/>
          <w:szCs w:val="24"/>
          <w:lang w:val="es-ES_tradnl" w:eastAsia="es-ES_tradnl"/>
        </w:rPr>
        <w:t>CONCURSO DE MÉRITOS –</w:t>
      </w:r>
      <w:r>
        <w:rPr>
          <w:rFonts w:ascii="Arial" w:eastAsia="Calibri" w:hAnsi="Arial" w:cs="Arial"/>
          <w:b/>
          <w:szCs w:val="24"/>
          <w:lang w:val="es-ES_tradnl" w:eastAsia="es-ES_tradnl"/>
        </w:rPr>
        <w:t xml:space="preserve"> Modificación – D</w:t>
      </w:r>
      <w:r w:rsidRPr="005C4CC9">
        <w:rPr>
          <w:rFonts w:ascii="Arial" w:eastAsia="Calibri" w:hAnsi="Arial" w:cs="Arial"/>
          <w:b/>
          <w:szCs w:val="24"/>
          <w:lang w:val="es-ES_tradnl" w:eastAsia="es-ES_tradnl"/>
        </w:rPr>
        <w:t>ecreto 399 de 2021 – Artículo 2</w:t>
      </w:r>
    </w:p>
    <w:p w14:paraId="7F05CFCC" w14:textId="77777777" w:rsidR="00D43FFE" w:rsidRPr="005C4CC9" w:rsidRDefault="00D43FFE" w:rsidP="00D43FFE">
      <w:pPr>
        <w:spacing w:after="0" w:line="240" w:lineRule="auto"/>
        <w:jc w:val="both"/>
        <w:rPr>
          <w:rFonts w:ascii="Arial" w:eastAsia="Times New Roman" w:hAnsi="Arial" w:cs="Arial"/>
          <w:color w:val="000000"/>
          <w:sz w:val="20"/>
          <w:szCs w:val="20"/>
          <w:lang w:val="es-ES_tradnl" w:eastAsia="es-ES_tradnl"/>
        </w:rPr>
      </w:pPr>
    </w:p>
    <w:p w14:paraId="1D01B4FB" w14:textId="77777777" w:rsidR="00D43FFE" w:rsidRPr="005C4CC9" w:rsidRDefault="00D43FFE" w:rsidP="00D43FFE">
      <w:pPr>
        <w:spacing w:after="0" w:line="240" w:lineRule="auto"/>
        <w:jc w:val="both"/>
        <w:rPr>
          <w:rFonts w:ascii="Arial" w:eastAsia="Calibri" w:hAnsi="Arial" w:cs="Arial"/>
          <w:color w:val="000000"/>
          <w:sz w:val="20"/>
          <w:szCs w:val="20"/>
          <w:lang w:val="es-ES_tradnl" w:eastAsia="es-ES_tradnl"/>
        </w:rPr>
      </w:pPr>
      <w:r w:rsidRPr="005C4CC9">
        <w:rPr>
          <w:rFonts w:ascii="Arial" w:eastAsia="Calibri" w:hAnsi="Arial" w:cs="Arial"/>
          <w:color w:val="000000"/>
          <w:sz w:val="20"/>
          <w:szCs w:val="20"/>
          <w:lang w:val="es-ES_tradnl" w:eastAsia="es-ES_tradnl"/>
        </w:rPr>
        <w:t>[…], el artículo 2 del Decreto 399 de 2021 reformó la reglamentación del concurso de méritos, para adecuarla a los pronunciamientos del Consejo de Estado que habían suspendido provisionalmente algunos numerales del artículo 2.2.1.2.1.3.2. del Decreto 1082 de 2015. A diferencia de lo que establecía este artículo en su redacción inicial, con la entrada en vigencia del artículo 2 del Decreto 399 de 2021 se observan los siguientes cambios:</w:t>
      </w:r>
    </w:p>
    <w:p w14:paraId="6588BC00" w14:textId="77777777" w:rsidR="00D43FFE" w:rsidRPr="005C4CC9" w:rsidRDefault="00D43FFE" w:rsidP="00D43FFE">
      <w:pPr>
        <w:spacing w:after="0" w:line="240" w:lineRule="auto"/>
        <w:jc w:val="both"/>
        <w:rPr>
          <w:rFonts w:ascii="Arial" w:eastAsia="Calibri" w:hAnsi="Arial" w:cs="Arial"/>
          <w:color w:val="000000"/>
          <w:sz w:val="20"/>
          <w:szCs w:val="20"/>
          <w:lang w:val="es-ES_tradnl" w:eastAsia="es-ES_tradnl"/>
        </w:rPr>
      </w:pPr>
    </w:p>
    <w:p w14:paraId="49A13C64" w14:textId="77777777" w:rsidR="00D43FFE" w:rsidRPr="005C4CC9" w:rsidRDefault="00D43FFE" w:rsidP="00D43FFE">
      <w:pPr>
        <w:spacing w:after="0" w:line="240" w:lineRule="auto"/>
        <w:jc w:val="both"/>
        <w:rPr>
          <w:rFonts w:ascii="Arial" w:eastAsia="Calibri" w:hAnsi="Arial" w:cs="Arial"/>
          <w:color w:val="000000"/>
          <w:sz w:val="20"/>
          <w:szCs w:val="20"/>
          <w:lang w:val="es-ES_tradnl" w:eastAsia="es-ES_tradnl"/>
        </w:rPr>
      </w:pPr>
      <w:r w:rsidRPr="005C4CC9">
        <w:rPr>
          <w:rFonts w:ascii="Arial" w:eastAsia="Calibri" w:hAnsi="Arial" w:cs="Arial"/>
          <w:color w:val="000000"/>
          <w:sz w:val="20"/>
          <w:szCs w:val="20"/>
          <w:lang w:val="es-ES_tradnl" w:eastAsia="es-ES_tradnl"/>
        </w:rPr>
        <w:t xml:space="preserve">i) El informe de evaluación, que la entidad debe publicar durante tres </w:t>
      </w:r>
      <w:r>
        <w:rPr>
          <w:rFonts w:ascii="Arial" w:eastAsia="Calibri" w:hAnsi="Arial" w:cs="Arial"/>
          <w:color w:val="000000"/>
          <w:sz w:val="20"/>
          <w:szCs w:val="20"/>
          <w:lang w:val="es-ES_tradnl" w:eastAsia="es-ES_tradnl"/>
        </w:rPr>
        <w:t>[</w:t>
      </w:r>
      <w:r w:rsidRPr="005C4CC9">
        <w:rPr>
          <w:rFonts w:ascii="Arial" w:eastAsia="Calibri" w:hAnsi="Arial" w:cs="Arial"/>
          <w:color w:val="000000"/>
          <w:sz w:val="20"/>
          <w:szCs w:val="20"/>
          <w:lang w:val="es-ES_tradnl" w:eastAsia="es-ES_tradnl"/>
        </w:rPr>
        <w:t>3</w:t>
      </w:r>
      <w:r>
        <w:rPr>
          <w:rFonts w:ascii="Arial" w:eastAsia="Calibri" w:hAnsi="Arial" w:cs="Arial"/>
          <w:color w:val="000000"/>
          <w:sz w:val="20"/>
          <w:szCs w:val="20"/>
          <w:lang w:val="es-ES_tradnl" w:eastAsia="es-ES_tradnl"/>
        </w:rPr>
        <w:t>]</w:t>
      </w:r>
      <w:r w:rsidRPr="005C4CC9">
        <w:rPr>
          <w:rFonts w:ascii="Arial" w:eastAsia="Calibri" w:hAnsi="Arial" w:cs="Arial"/>
          <w:color w:val="000000"/>
          <w:sz w:val="20"/>
          <w:szCs w:val="20"/>
          <w:lang w:val="es-ES_tradnl" w:eastAsia="es-ES_tradnl"/>
        </w:rPr>
        <w:t xml:space="preserve"> días hábiles, debe contener ya no solamente la calificación técnica y el orden de elegibilidad, sino </w:t>
      </w:r>
      <w:r>
        <w:rPr>
          <w:rFonts w:ascii="Arial" w:eastAsia="Calibri" w:hAnsi="Arial" w:cs="Arial"/>
          <w:color w:val="000000"/>
          <w:sz w:val="20"/>
          <w:szCs w:val="20"/>
          <w:lang w:val="es-ES_tradnl" w:eastAsia="es-ES_tradnl"/>
        </w:rPr>
        <w:t>“</w:t>
      </w:r>
      <w:r w:rsidRPr="005C4CC9">
        <w:rPr>
          <w:rFonts w:ascii="Arial" w:eastAsia="Calibri" w:hAnsi="Arial" w:cs="Arial"/>
          <w:color w:val="000000"/>
          <w:sz w:val="20"/>
          <w:szCs w:val="20"/>
          <w:lang w:val="es-ES_tradnl" w:eastAsia="es-ES_tradnl"/>
        </w:rPr>
        <w:t>[…] la evaluación de las ofertas frente a todos los requisitos exigidos en el pliego de condiciones, incluyendo los requisitos habilitantes y los de asignación de puntaje</w:t>
      </w:r>
      <w:r>
        <w:rPr>
          <w:rFonts w:ascii="Arial" w:eastAsia="Calibri" w:hAnsi="Arial" w:cs="Arial"/>
          <w:color w:val="000000"/>
          <w:sz w:val="20"/>
          <w:szCs w:val="20"/>
          <w:lang w:val="es-ES_tradnl" w:eastAsia="es-ES_tradnl"/>
        </w:rPr>
        <w:t>”</w:t>
      </w:r>
      <w:r w:rsidRPr="005C4CC9">
        <w:rPr>
          <w:rFonts w:ascii="Arial" w:eastAsia="Calibri" w:hAnsi="Arial" w:cs="Arial"/>
          <w:color w:val="000000"/>
          <w:sz w:val="20"/>
          <w:szCs w:val="20"/>
          <w:lang w:val="es-ES_tradnl" w:eastAsia="es-ES_tradnl"/>
        </w:rPr>
        <w:t>. En tal sentido, el informe de evaluación debe dar cuenta de la evaluación completa de las ofertas, lo que incluiría las ofertas económicas. De esta manera, esta disposición permite que los interesados ejerzan su derecho a conocer el informe de evaluación y a formular las observaciones que consideren pertinentes, frente a todos los aspectos de la evaluación de las propuestas.</w:t>
      </w:r>
    </w:p>
    <w:p w14:paraId="4996B3DA" w14:textId="77777777" w:rsidR="00D43FFE" w:rsidRPr="005C4CC9" w:rsidRDefault="00D43FFE" w:rsidP="00D43FFE">
      <w:pPr>
        <w:spacing w:after="0" w:line="240" w:lineRule="auto"/>
        <w:jc w:val="both"/>
        <w:rPr>
          <w:rFonts w:ascii="Arial" w:eastAsia="Calibri" w:hAnsi="Arial" w:cs="Arial"/>
          <w:color w:val="000000"/>
          <w:sz w:val="20"/>
          <w:szCs w:val="20"/>
          <w:lang w:val="es-ES_tradnl" w:eastAsia="es-ES_tradnl"/>
        </w:rPr>
      </w:pPr>
    </w:p>
    <w:p w14:paraId="357E7EC6" w14:textId="77777777" w:rsidR="00D43FFE" w:rsidRPr="005C4CC9" w:rsidRDefault="00D43FFE" w:rsidP="00D43FFE">
      <w:pPr>
        <w:spacing w:after="0" w:line="240" w:lineRule="auto"/>
        <w:jc w:val="both"/>
        <w:rPr>
          <w:rFonts w:ascii="Arial" w:eastAsia="Calibri" w:hAnsi="Arial" w:cs="Arial"/>
          <w:color w:val="000000"/>
          <w:sz w:val="20"/>
          <w:szCs w:val="20"/>
          <w:lang w:val="es-ES_tradnl" w:eastAsia="es-ES_tradnl"/>
        </w:rPr>
      </w:pPr>
      <w:r w:rsidRPr="005C4CC9">
        <w:rPr>
          <w:rFonts w:ascii="Arial" w:eastAsia="Calibri" w:hAnsi="Arial" w:cs="Arial"/>
          <w:color w:val="000000"/>
          <w:sz w:val="20"/>
          <w:szCs w:val="20"/>
          <w:lang w:val="es-ES_tradnl" w:eastAsia="es-ES_tradnl"/>
        </w:rPr>
        <w:t xml:space="preserve">ii) En armonía con lo anterior,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 y señala, en su lugar, que </w:t>
      </w:r>
      <w:r>
        <w:rPr>
          <w:rFonts w:ascii="Arial" w:eastAsia="Calibri" w:hAnsi="Arial" w:cs="Arial"/>
          <w:color w:val="000000"/>
          <w:sz w:val="20"/>
          <w:szCs w:val="20"/>
          <w:lang w:val="es-ES_tradnl" w:eastAsia="es-ES_tradnl"/>
        </w:rPr>
        <w:t>“</w:t>
      </w:r>
      <w:r w:rsidRPr="005C4CC9">
        <w:rPr>
          <w:rFonts w:ascii="Arial" w:eastAsia="Calibri" w:hAnsi="Arial" w:cs="Arial"/>
          <w:color w:val="000000"/>
          <w:sz w:val="20"/>
          <w:szCs w:val="20"/>
          <w:lang w:val="es-ES_tradnl" w:eastAsia="es-ES_tradnl"/>
        </w:rPr>
        <w:t>Una vez resueltas las observaciones al informe de evaluación, la entidad adjudicará el contrato mediante acto administrativo al oferente que haya cumplido todos los requisitos exigidos en el pliego de condiciones y haya obtenido el mayor puntaje</w:t>
      </w:r>
      <w:r>
        <w:rPr>
          <w:rFonts w:ascii="Arial" w:eastAsia="Calibri" w:hAnsi="Arial" w:cs="Arial"/>
          <w:color w:val="000000"/>
          <w:sz w:val="20"/>
          <w:szCs w:val="20"/>
          <w:lang w:val="es-ES_tradnl" w:eastAsia="es-ES_tradnl"/>
        </w:rPr>
        <w:t>”</w:t>
      </w:r>
      <w:r w:rsidRPr="005C4CC9">
        <w:rPr>
          <w:rFonts w:ascii="Arial" w:eastAsia="Calibri" w:hAnsi="Arial" w:cs="Arial"/>
          <w:color w:val="000000"/>
          <w:sz w:val="20"/>
          <w:szCs w:val="20"/>
          <w:lang w:val="es-ES_tradnl" w:eastAsia="es-ES_tradnl"/>
        </w:rPr>
        <w:t xml:space="preserve">. Esto implica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w:t>
      </w:r>
      <w:r>
        <w:rPr>
          <w:rFonts w:ascii="Arial" w:eastAsia="Calibri" w:hAnsi="Arial" w:cs="Arial"/>
          <w:color w:val="000000"/>
          <w:sz w:val="20"/>
          <w:szCs w:val="20"/>
          <w:lang w:val="es-ES_tradnl" w:eastAsia="es-ES_tradnl"/>
        </w:rPr>
        <w:t>“</w:t>
      </w:r>
      <w:r w:rsidRPr="005C4CC9">
        <w:rPr>
          <w:rFonts w:ascii="Arial" w:eastAsia="Calibri" w:hAnsi="Arial" w:cs="Arial"/>
          <w:color w:val="000000"/>
          <w:sz w:val="20"/>
          <w:szCs w:val="20"/>
          <w:lang w:val="es-ES_tradnl" w:eastAsia="es-ES_tradnl"/>
        </w:rPr>
        <w:t>negociación</w:t>
      </w:r>
      <w:r>
        <w:rPr>
          <w:rFonts w:ascii="Arial" w:eastAsia="Calibri" w:hAnsi="Arial" w:cs="Arial"/>
          <w:color w:val="000000"/>
          <w:sz w:val="20"/>
          <w:szCs w:val="20"/>
          <w:lang w:val="es-ES_tradnl" w:eastAsia="es-ES_tradnl"/>
        </w:rPr>
        <w:t>”</w:t>
      </w:r>
      <w:r w:rsidRPr="005C4CC9">
        <w:rPr>
          <w:rFonts w:ascii="Arial" w:eastAsia="Calibri" w:hAnsi="Arial" w:cs="Arial"/>
          <w:color w:val="000000"/>
          <w:sz w:val="20"/>
          <w:szCs w:val="20"/>
          <w:lang w:val="es-ES_tradnl" w:eastAsia="es-ES_tradnl"/>
        </w:rPr>
        <w:t xml:space="preserve"> con el oferente calificado en primer lugar sobre el valor y alcance del contrato, sino que debe proceder a la adjudicación a quien haya presentado objetivamente la mejor oferta, teniendo en cuenta todos los requisitos exigidos en el pliego de condiciones.</w:t>
      </w:r>
    </w:p>
    <w:p w14:paraId="50D23DD5" w14:textId="77777777" w:rsidR="00D43FFE" w:rsidRPr="005C4CC9" w:rsidRDefault="00D43FFE" w:rsidP="00D43FFE">
      <w:pPr>
        <w:spacing w:after="0" w:line="240" w:lineRule="auto"/>
        <w:jc w:val="both"/>
        <w:rPr>
          <w:rFonts w:ascii="Arial" w:eastAsia="Calibri" w:hAnsi="Arial" w:cs="Arial"/>
          <w:color w:val="000000"/>
          <w:sz w:val="20"/>
          <w:szCs w:val="20"/>
          <w:lang w:val="es-ES_tradnl" w:eastAsia="es-ES_tradnl"/>
        </w:rPr>
      </w:pPr>
    </w:p>
    <w:p w14:paraId="2C9AEE4B" w14:textId="77777777" w:rsidR="00D43FFE" w:rsidRPr="005C4CC9" w:rsidRDefault="00D43FFE" w:rsidP="00D43FFE">
      <w:pPr>
        <w:spacing w:after="0" w:line="240" w:lineRule="auto"/>
        <w:jc w:val="both"/>
        <w:rPr>
          <w:rFonts w:ascii="Arial" w:eastAsia="Calibri" w:hAnsi="Arial" w:cs="Arial"/>
          <w:color w:val="000000"/>
          <w:sz w:val="20"/>
          <w:szCs w:val="20"/>
          <w:lang w:val="es-ES_tradnl" w:eastAsia="es-ES_tradnl"/>
        </w:rPr>
      </w:pPr>
      <w:r w:rsidRPr="005C4CC9">
        <w:rPr>
          <w:rFonts w:ascii="Arial" w:eastAsia="Calibri" w:hAnsi="Arial" w:cs="Arial"/>
          <w:color w:val="000000"/>
          <w:sz w:val="20"/>
          <w:szCs w:val="20"/>
          <w:lang w:val="es-ES_tradnl" w:eastAsia="es-ES_tradnl"/>
        </w:rPr>
        <w:t>iii) Como el nuevo artículo 2.2.1.2.1.3.2. del Decreto 1082 de 2015, modificado por el artículo 2 del Decreto 399 de 2021, ya no establece una fase de negociación entre la entidad estatal y el oferente calificado en el primer lugar de elegibilidad, por sustracción de materia, la entidad estatal tampoco debe intentar un acuerdo con el oferente calificado en el segundo orden de elegibilidad, ni puede ampararse en el carácter fallido de dicho acuerdo para declarar desierto el proceso de selección, en armonía con lo decidido en los Autos del Consejo de Estado antes señalados.</w:t>
      </w:r>
    </w:p>
    <w:p w14:paraId="4EB48BE3" w14:textId="77777777" w:rsidR="00D43FFE" w:rsidRPr="00982493" w:rsidRDefault="00D43FFE" w:rsidP="00D43FFE">
      <w:pPr>
        <w:spacing w:after="0" w:line="240" w:lineRule="auto"/>
        <w:contextualSpacing/>
        <w:rPr>
          <w:rFonts w:ascii="Arial" w:eastAsia="Geomanist Light" w:hAnsi="Arial" w:cs="Arial"/>
          <w:color w:val="000000" w:themeColor="text1"/>
          <w:lang w:val="es-MX"/>
        </w:rPr>
      </w:pPr>
    </w:p>
    <w:p w14:paraId="7F6758BB" w14:textId="77777777" w:rsidR="00D43FFE" w:rsidRPr="00E50222" w:rsidRDefault="00D43FFE" w:rsidP="00D43FFE">
      <w:pPr>
        <w:spacing w:after="0" w:line="240" w:lineRule="auto"/>
        <w:jc w:val="both"/>
        <w:rPr>
          <w:rFonts w:ascii="Arial" w:eastAsia="Calibri" w:hAnsi="Arial" w:cs="Arial"/>
          <w:b/>
          <w:lang w:val="es-MX"/>
        </w:rPr>
      </w:pPr>
      <w:r w:rsidRPr="00E50222">
        <w:rPr>
          <w:rFonts w:ascii="Arial" w:eastAsia="Calibri" w:hAnsi="Arial" w:cs="Arial"/>
          <w:b/>
          <w:color w:val="000000"/>
          <w:lang w:val="es-ES_tradnl"/>
        </w:rPr>
        <w:t xml:space="preserve">SUBSANABILIDAD DE LAS OFERTAS – Principio de selección objetiva </w:t>
      </w:r>
      <w:r w:rsidRPr="00E50222">
        <w:rPr>
          <w:rFonts w:ascii="Arial" w:eastAsia="Calibri" w:hAnsi="Arial" w:cs="Arial"/>
          <w:b/>
          <w:lang w:val="es-MX"/>
        </w:rPr>
        <w:t xml:space="preserve">– Ley 1882 de 2018 – Ámbito temporal </w:t>
      </w:r>
    </w:p>
    <w:p w14:paraId="3AC3F2E6" w14:textId="77777777" w:rsidR="00D43FFE" w:rsidRPr="00E50222" w:rsidRDefault="00D43FFE" w:rsidP="00D43FFE">
      <w:pPr>
        <w:spacing w:after="0" w:line="240" w:lineRule="auto"/>
        <w:jc w:val="both"/>
        <w:rPr>
          <w:rFonts w:ascii="Arial" w:eastAsia="Calibri" w:hAnsi="Arial" w:cs="Arial"/>
          <w:b/>
          <w:lang w:val="es-MX"/>
        </w:rPr>
      </w:pPr>
    </w:p>
    <w:p w14:paraId="0A4A29DD" w14:textId="77777777" w:rsidR="00D43FFE" w:rsidRPr="00E50222" w:rsidRDefault="00D43FFE" w:rsidP="00D43FFE">
      <w:pPr>
        <w:spacing w:after="0" w:line="240" w:lineRule="auto"/>
        <w:jc w:val="both"/>
        <w:rPr>
          <w:rFonts w:ascii="Arial" w:eastAsia="Calibri" w:hAnsi="Arial" w:cs="Arial"/>
          <w:sz w:val="20"/>
          <w:szCs w:val="20"/>
          <w:lang w:val="es-ES_tradnl"/>
        </w:rPr>
      </w:pPr>
      <w:r w:rsidRPr="00E50222">
        <w:rPr>
          <w:rFonts w:ascii="Arial" w:eastAsia="Calibri" w:hAnsi="Arial" w:cs="Arial"/>
          <w:sz w:val="20"/>
          <w:szCs w:val="20"/>
          <w:lang w:val="es-ES_tradnl"/>
        </w:rPr>
        <w:t xml:space="preserve">Como puede observarse, la Ley 1882 de 2018: i) mantiene el criterio de la Ley 80 de 1993, relativo a que todo lo que no sea necesario para la comparación de propuestas no es título suficiente para su rechazo; y ii) mantiene el criterio aclaratorio de la Ley 1150 de 2007, según el cual todo lo que no afecte la asignación de puntaje puede subsanarse. </w:t>
      </w:r>
    </w:p>
    <w:p w14:paraId="5A34C1A0" w14:textId="77777777" w:rsidR="00D43FFE" w:rsidRPr="00E50222" w:rsidRDefault="00D43FFE" w:rsidP="00D43FFE">
      <w:pPr>
        <w:spacing w:after="0" w:line="240" w:lineRule="auto"/>
        <w:jc w:val="both"/>
        <w:rPr>
          <w:rFonts w:ascii="Arial" w:eastAsia="Calibri" w:hAnsi="Arial" w:cs="Arial"/>
          <w:sz w:val="20"/>
          <w:szCs w:val="20"/>
          <w:lang w:val="es-ES_tradnl"/>
        </w:rPr>
      </w:pPr>
    </w:p>
    <w:p w14:paraId="34F4F5C3" w14:textId="77777777" w:rsidR="00D43FFE" w:rsidRPr="00E50222" w:rsidRDefault="00D43FFE" w:rsidP="00D43FFE">
      <w:pPr>
        <w:spacing w:after="0" w:line="240" w:lineRule="auto"/>
        <w:jc w:val="both"/>
        <w:rPr>
          <w:rFonts w:ascii="Arial" w:eastAsia="Calibri" w:hAnsi="Arial" w:cs="Arial"/>
          <w:sz w:val="20"/>
          <w:szCs w:val="20"/>
          <w:lang w:val="es-ES_tradnl"/>
        </w:rPr>
      </w:pPr>
      <w:r w:rsidRPr="00E50222">
        <w:rPr>
          <w:rFonts w:ascii="Arial" w:eastAsia="Calibri" w:hAnsi="Arial" w:cs="Arial"/>
          <w:sz w:val="20"/>
          <w:szCs w:val="20"/>
          <w:lang w:val="es-ES_tradnl"/>
        </w:rPr>
        <w:t xml:space="preserve">De lo anterior se colige que, a la luz de la Ley 1882 de 2018 se introdujo una modificación frente al criterio material, directamente relacionado con los aspectos subsanables según el cual: </w:t>
      </w:r>
      <w:r>
        <w:rPr>
          <w:rFonts w:ascii="Arial" w:eastAsia="Calibri" w:hAnsi="Arial" w:cs="Arial"/>
          <w:sz w:val="20"/>
          <w:szCs w:val="20"/>
          <w:lang w:val="es-ES_tradnl"/>
        </w:rPr>
        <w:t>“</w:t>
      </w:r>
      <w:r w:rsidRPr="00E50222">
        <w:rPr>
          <w:rFonts w:ascii="Arial" w:eastAsia="Calibri" w:hAnsi="Arial" w:cs="Arial"/>
          <w:sz w:val="20"/>
          <w:szCs w:val="20"/>
          <w:lang w:val="es-ES_tradnl"/>
        </w:rPr>
        <w:t>los proponentes no podrán acreditar circunstancias ocurridas con posterioridad al cierre del proceso</w:t>
      </w:r>
      <w:r>
        <w:rPr>
          <w:rFonts w:ascii="Arial" w:eastAsia="Calibri" w:hAnsi="Arial" w:cs="Arial"/>
          <w:sz w:val="20"/>
          <w:szCs w:val="20"/>
          <w:lang w:val="es-ES_tradnl"/>
        </w:rPr>
        <w:t>”</w:t>
      </w:r>
      <w:r w:rsidRPr="00E50222">
        <w:rPr>
          <w:rFonts w:ascii="Arial" w:eastAsia="Calibri" w:hAnsi="Arial" w:cs="Arial"/>
          <w:sz w:val="20"/>
          <w:szCs w:val="20"/>
          <w:lang w:val="es-ES_tradnl"/>
        </w:rPr>
        <w:t>. Lo anterior ofrece dos aspectos que merecen clarificación; primero, qué debe entenderse por circunstancias ocurridas con posterioridad; y segundo, qué es el cierre del proceso.</w:t>
      </w:r>
    </w:p>
    <w:p w14:paraId="3484FD20" w14:textId="77777777" w:rsidR="00D43FFE" w:rsidRPr="00E50222" w:rsidRDefault="00D43FFE" w:rsidP="00D43FFE">
      <w:pPr>
        <w:spacing w:after="0" w:line="240" w:lineRule="auto"/>
        <w:jc w:val="both"/>
        <w:rPr>
          <w:rFonts w:ascii="Arial" w:eastAsia="Calibri" w:hAnsi="Arial" w:cs="Arial"/>
          <w:sz w:val="20"/>
          <w:szCs w:val="20"/>
          <w:lang w:val="es-ES_tradnl"/>
        </w:rPr>
      </w:pPr>
      <w:r w:rsidRPr="00E50222">
        <w:rPr>
          <w:rFonts w:ascii="Arial" w:eastAsia="Calibri" w:hAnsi="Arial" w:cs="Arial"/>
          <w:sz w:val="20"/>
          <w:szCs w:val="20"/>
          <w:lang w:val="es-ES_tradnl"/>
        </w:rPr>
        <w:t>[…]</w:t>
      </w:r>
    </w:p>
    <w:p w14:paraId="6CEF92CF" w14:textId="77777777" w:rsidR="00D43FFE" w:rsidRPr="00E50222" w:rsidRDefault="00D43FFE" w:rsidP="00D43FFE">
      <w:pPr>
        <w:spacing w:after="0" w:line="240" w:lineRule="auto"/>
        <w:jc w:val="both"/>
        <w:rPr>
          <w:rFonts w:ascii="Arial" w:eastAsia="Calibri" w:hAnsi="Arial" w:cs="Arial"/>
          <w:sz w:val="20"/>
          <w:szCs w:val="20"/>
          <w:lang w:val="es-ES"/>
        </w:rPr>
      </w:pPr>
      <w:r w:rsidRPr="1548CBE8">
        <w:rPr>
          <w:rFonts w:ascii="Arial" w:eastAsia="Calibri" w:hAnsi="Arial" w:cs="Arial"/>
          <w:sz w:val="20"/>
          <w:szCs w:val="20"/>
          <w:lang w:val="es-ES"/>
        </w:rPr>
        <w:t xml:space="preserve">Ahora bien, en lo relacionado con el aspecto temporal de la </w:t>
      </w:r>
      <w:proofErr w:type="spellStart"/>
      <w:r w:rsidRPr="1548CBE8">
        <w:rPr>
          <w:rFonts w:ascii="Arial" w:eastAsia="Calibri" w:hAnsi="Arial" w:cs="Arial"/>
          <w:sz w:val="20"/>
          <w:szCs w:val="20"/>
          <w:lang w:val="es-ES"/>
        </w:rPr>
        <w:t>subsanabilidad</w:t>
      </w:r>
      <w:proofErr w:type="spellEnd"/>
      <w:r w:rsidRPr="1548CBE8">
        <w:rPr>
          <w:rFonts w:ascii="Arial" w:eastAsia="Calibri" w:hAnsi="Arial" w:cs="Arial"/>
          <w:sz w:val="20"/>
          <w:szCs w:val="20"/>
          <w:lang w:val="es-ES"/>
        </w:rPr>
        <w:t>, es menester analizar el ámbito temporal para ejercer la facultad de subsanar la oferta, frente a lo cual se puede afirmar que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 en el último, los documentos o requisitos subsanables pueden y deben solicitarse hasta el momento previo a la celebración de la audiencia. En cuanto al proceso de mínima cuantía, el Decreto 1082 de 2015, en su artículo 2.2.1.2.1.5.2., numeral 5 –modificado por el Decreto 1860 de 2021–, prescribe que las entidades estatales establecerán en la invitación el término preclusivo para recibir los documentos subsanables, frente a cada uno de los requerimientos que formulen. Sin embargo, agrega que en los casos en que no se establezca dicho término, subsidiariamente, los proponentes podrán subsanar sus ofertas hasta antes que finalice el traslado del informe de evaluación.</w:t>
      </w:r>
    </w:p>
    <w:p w14:paraId="3DDFF567" w14:textId="77777777" w:rsidR="00D43FFE" w:rsidRDefault="00D43FFE" w:rsidP="00D43FFE">
      <w:pPr>
        <w:spacing w:after="0" w:line="240" w:lineRule="auto"/>
        <w:jc w:val="both"/>
        <w:rPr>
          <w:rFonts w:ascii="Arial" w:eastAsia="Calibri" w:hAnsi="Arial" w:cs="Arial"/>
          <w:sz w:val="20"/>
          <w:szCs w:val="20"/>
          <w:lang w:val="es-ES"/>
        </w:rPr>
      </w:pPr>
    </w:p>
    <w:p w14:paraId="53D640F7" w14:textId="77777777" w:rsidR="00D43FFE" w:rsidRDefault="00D43FFE" w:rsidP="00D43FFE">
      <w:pPr>
        <w:jc w:val="both"/>
        <w:rPr>
          <w:rFonts w:ascii="Arial" w:eastAsia="Geomanist Light" w:hAnsi="Arial" w:cs="Arial"/>
          <w:b/>
          <w:bCs/>
          <w:color w:val="000000" w:themeColor="text1"/>
          <w:lang w:val="es-ES"/>
        </w:rPr>
      </w:pPr>
      <w:r w:rsidRPr="008B3300">
        <w:rPr>
          <w:rFonts w:ascii="Arial" w:eastAsia="Geomanist Light" w:hAnsi="Arial" w:cs="Arial"/>
          <w:b/>
          <w:bCs/>
          <w:color w:val="000000" w:themeColor="text1"/>
          <w:lang w:val="es-ES"/>
        </w:rPr>
        <w:t>SUBSANABILIDAD – Aspectos subsanables – No otorga puntaje</w:t>
      </w:r>
    </w:p>
    <w:p w14:paraId="5D8727AF" w14:textId="77777777" w:rsidR="00D43FFE" w:rsidRDefault="00D43FFE" w:rsidP="00D43FFE">
      <w:pPr>
        <w:spacing w:after="0"/>
        <w:jc w:val="both"/>
        <w:rPr>
          <w:rFonts w:ascii="Arial" w:eastAsia="Geomanist Light" w:hAnsi="Arial" w:cs="Arial"/>
          <w:color w:val="000000" w:themeColor="text1"/>
          <w:sz w:val="20"/>
          <w:szCs w:val="20"/>
          <w:lang w:val="es-ES"/>
        </w:rPr>
      </w:pPr>
      <w:r w:rsidRPr="008B3300">
        <w:rPr>
          <w:rFonts w:ascii="Arial" w:eastAsia="Geomanist Light" w:hAnsi="Arial" w:cs="Arial"/>
          <w:color w:val="000000" w:themeColor="text1"/>
          <w:sz w:val="20"/>
          <w:szCs w:val="20"/>
          <w:lang w:val="es-ES"/>
        </w:rPr>
        <w:t>Se reitera que si la Administración, al verificar, encuentra que lo omitido por el proponente es un aspecto que otorga puntaje, entonces no es posible subsanarlo; pero si lo omitido no otorga puntaje la Administración debe requerir al proponente para que lo subsane. Así las cosas, si un oferente no cumple con el requisito de experiencia, puede subsanarla, siempre y cuando lo acreditado no constituyan circunstancias ocurridas con posterioridad al cierre del proceso, en los términos ya explicados.</w:t>
      </w:r>
    </w:p>
    <w:p w14:paraId="250A4A41" w14:textId="77777777" w:rsidR="00D43FFE" w:rsidRPr="009F782A" w:rsidRDefault="00D43FFE" w:rsidP="00D43FFE">
      <w:pPr>
        <w:spacing w:after="0"/>
        <w:rPr>
          <w:rFonts w:ascii="Arial" w:eastAsia="Geomanist Light" w:hAnsi="Arial" w:cs="Arial"/>
          <w:color w:val="000000" w:themeColor="text1"/>
          <w:lang w:val="es-ES"/>
        </w:rPr>
      </w:pPr>
    </w:p>
    <w:p w14:paraId="16CF65C0" w14:textId="77777777" w:rsidR="00D43FFE" w:rsidRDefault="00D43FFE" w:rsidP="00D43FFE">
      <w:pPr>
        <w:spacing w:after="0"/>
        <w:rPr>
          <w:rFonts w:ascii="Arial" w:eastAsia="Geomanist Light" w:hAnsi="Arial" w:cs="Arial"/>
          <w:color w:val="000000" w:themeColor="text1"/>
          <w:lang w:val="es-MX"/>
        </w:rPr>
      </w:pPr>
    </w:p>
    <w:p w14:paraId="2D7F2AD4" w14:textId="77777777" w:rsidR="00D43FFE" w:rsidRDefault="00D43FFE" w:rsidP="00D43FFE">
      <w:pPr>
        <w:spacing w:after="0"/>
        <w:rPr>
          <w:rFonts w:ascii="Arial" w:eastAsia="Geomanist Light" w:hAnsi="Arial" w:cs="Arial"/>
          <w:color w:val="000000" w:themeColor="text1"/>
          <w:lang w:val="es-MX"/>
        </w:rPr>
      </w:pPr>
    </w:p>
    <w:p w14:paraId="029AC3B6" w14:textId="77777777" w:rsidR="00D43FFE" w:rsidRDefault="00D43FFE" w:rsidP="00D43FFE">
      <w:pPr>
        <w:spacing w:after="0"/>
        <w:rPr>
          <w:rFonts w:ascii="Arial" w:eastAsia="Geomanist Light" w:hAnsi="Arial" w:cs="Arial"/>
          <w:color w:val="000000" w:themeColor="text1"/>
          <w:lang w:val="es-MX"/>
        </w:rPr>
      </w:pPr>
    </w:p>
    <w:p w14:paraId="0652D58B" w14:textId="77777777" w:rsidR="00D43FFE" w:rsidRDefault="00D43FFE" w:rsidP="00D43FFE">
      <w:pPr>
        <w:spacing w:after="0"/>
        <w:rPr>
          <w:rFonts w:ascii="Arial" w:eastAsia="Geomanist Light" w:hAnsi="Arial" w:cs="Arial"/>
          <w:color w:val="000000" w:themeColor="text1"/>
          <w:lang w:val="es-MX"/>
        </w:rPr>
      </w:pPr>
    </w:p>
    <w:p w14:paraId="32D6E05C" w14:textId="77777777" w:rsidR="00D43FFE" w:rsidRDefault="00D43FFE" w:rsidP="00D43FFE">
      <w:pPr>
        <w:spacing w:after="0"/>
        <w:rPr>
          <w:rFonts w:ascii="Arial" w:eastAsia="Geomanist Light" w:hAnsi="Arial" w:cs="Arial"/>
          <w:color w:val="000000" w:themeColor="text1"/>
          <w:lang w:val="es-MX"/>
        </w:rPr>
      </w:pPr>
    </w:p>
    <w:p w14:paraId="7869EFFE" w14:textId="77777777" w:rsidR="00D43FFE" w:rsidRDefault="00D43FFE" w:rsidP="00D43FFE">
      <w:pPr>
        <w:spacing w:after="0"/>
        <w:rPr>
          <w:rFonts w:ascii="Arial" w:eastAsia="Geomanist Light" w:hAnsi="Arial" w:cs="Arial"/>
          <w:color w:val="000000" w:themeColor="text1"/>
          <w:lang w:val="es-MX"/>
        </w:rPr>
      </w:pPr>
    </w:p>
    <w:p w14:paraId="1328D847" w14:textId="77777777" w:rsidR="00D43FFE" w:rsidRDefault="00D43FFE" w:rsidP="00D43FFE">
      <w:pPr>
        <w:spacing w:after="0"/>
        <w:rPr>
          <w:rFonts w:ascii="Arial" w:eastAsia="Geomanist Light" w:hAnsi="Arial" w:cs="Arial"/>
          <w:color w:val="000000" w:themeColor="text1"/>
          <w:lang w:val="es-MX"/>
        </w:rPr>
      </w:pPr>
    </w:p>
    <w:p w14:paraId="20FDD45E" w14:textId="77777777" w:rsidR="00D43FFE" w:rsidRDefault="00D43FFE" w:rsidP="00D43FFE">
      <w:pPr>
        <w:spacing w:after="0"/>
        <w:rPr>
          <w:rFonts w:ascii="Arial" w:eastAsia="Geomanist Light" w:hAnsi="Arial" w:cs="Arial"/>
          <w:color w:val="000000" w:themeColor="text1"/>
          <w:lang w:val="es-MX"/>
        </w:rPr>
      </w:pPr>
    </w:p>
    <w:p w14:paraId="44C8D2F2" w14:textId="77777777" w:rsidR="00D43FFE" w:rsidRDefault="00D43FFE" w:rsidP="00D43FFE">
      <w:pPr>
        <w:spacing w:after="0"/>
        <w:rPr>
          <w:rFonts w:ascii="Arial" w:eastAsia="Geomanist Light" w:hAnsi="Arial" w:cs="Arial"/>
          <w:color w:val="000000" w:themeColor="text1"/>
          <w:lang w:val="es-MX"/>
        </w:rPr>
      </w:pPr>
    </w:p>
    <w:p w14:paraId="262959A7" w14:textId="77777777" w:rsidR="00A7750F" w:rsidRDefault="00A7750F" w:rsidP="00D43FFE">
      <w:pPr>
        <w:spacing w:after="0"/>
        <w:rPr>
          <w:rFonts w:ascii="Arial" w:eastAsia="Geomanist Light" w:hAnsi="Arial" w:cs="Arial"/>
          <w:color w:val="000000" w:themeColor="text1"/>
          <w:lang w:val="es-MX"/>
        </w:rPr>
      </w:pPr>
    </w:p>
    <w:p w14:paraId="7729DD9E" w14:textId="77777777" w:rsidR="00A7750F" w:rsidRDefault="00A7750F" w:rsidP="00D43FFE">
      <w:pPr>
        <w:spacing w:after="0"/>
        <w:rPr>
          <w:rFonts w:ascii="Arial" w:eastAsia="Geomanist Light" w:hAnsi="Arial" w:cs="Arial"/>
          <w:color w:val="000000" w:themeColor="text1"/>
          <w:lang w:val="es-MX"/>
        </w:rPr>
      </w:pPr>
    </w:p>
    <w:p w14:paraId="42073C52" w14:textId="77777777" w:rsidR="00A7750F" w:rsidRDefault="00A7750F" w:rsidP="00D43FFE">
      <w:pPr>
        <w:spacing w:after="0"/>
        <w:rPr>
          <w:rFonts w:ascii="Arial" w:eastAsia="Geomanist Light" w:hAnsi="Arial" w:cs="Arial"/>
          <w:color w:val="000000" w:themeColor="text1"/>
          <w:lang w:val="es-MX"/>
        </w:rPr>
      </w:pPr>
    </w:p>
    <w:p w14:paraId="1E9B85E2" w14:textId="77777777" w:rsidR="00A7750F" w:rsidRDefault="00A7750F" w:rsidP="00D43FFE">
      <w:pPr>
        <w:spacing w:after="0"/>
        <w:rPr>
          <w:rFonts w:ascii="Arial" w:eastAsia="Geomanist Light" w:hAnsi="Arial" w:cs="Arial"/>
          <w:color w:val="000000" w:themeColor="text1"/>
          <w:lang w:val="es-MX"/>
        </w:rPr>
      </w:pPr>
    </w:p>
    <w:p w14:paraId="67515B9D" w14:textId="77777777" w:rsidR="00D43FFE" w:rsidRDefault="00D43FFE" w:rsidP="00D43FFE">
      <w:pPr>
        <w:spacing w:after="0"/>
        <w:rPr>
          <w:rFonts w:ascii="Arial" w:eastAsia="Geomanist Light" w:hAnsi="Arial" w:cs="Arial"/>
          <w:color w:val="000000" w:themeColor="text1"/>
          <w:lang w:val="es-MX"/>
        </w:rPr>
      </w:pPr>
    </w:p>
    <w:p w14:paraId="37347DBD" w14:textId="77777777" w:rsidR="00D43FFE" w:rsidRDefault="00D43FFE" w:rsidP="00D43FFE">
      <w:pPr>
        <w:contextualSpacing/>
        <w:jc w:val="both"/>
        <w:rPr>
          <w:rFonts w:ascii="Arial" w:eastAsia="Geomanist Light" w:hAnsi="Arial" w:cs="Arial"/>
          <w:color w:val="000000" w:themeColor="text1"/>
          <w:lang w:val="es-MX"/>
        </w:rPr>
      </w:pPr>
    </w:p>
    <w:p w14:paraId="18BA5375" w14:textId="77777777" w:rsidR="00A7750F" w:rsidRDefault="00A7750F" w:rsidP="00A7750F">
      <w:pPr>
        <w:pStyle w:val="Textoindependiente"/>
        <w:spacing w:before="93"/>
      </w:pPr>
      <w:r>
        <w:rPr>
          <w:noProof/>
        </w:rPr>
        <w:drawing>
          <wp:anchor distT="0" distB="0" distL="0" distR="0" simplePos="0" relativeHeight="251659264" behindDoc="0" locked="0" layoutInCell="1" allowOverlap="1" wp14:anchorId="5274E90B" wp14:editId="6A1D2D73">
            <wp:simplePos x="0" y="0"/>
            <wp:positionH relativeFrom="page">
              <wp:posOffset>4471670</wp:posOffset>
            </wp:positionH>
            <wp:positionV relativeFrom="paragraph">
              <wp:posOffset>63624</wp:posOffset>
            </wp:positionV>
            <wp:extent cx="2400300" cy="615949"/>
            <wp:effectExtent l="0" t="0" r="0" b="0"/>
            <wp:wrapNone/>
            <wp:docPr id="906757568" name="Imagen 906757568"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57568" name="Imagen 906757568" descr="Texto&#10;&#10;Descripción generada automáticamente"/>
                    <pic:cNvPicPr/>
                  </pic:nvPicPr>
                  <pic:blipFill>
                    <a:blip r:embed="rId11" cstate="print"/>
                    <a:stretch>
                      <a:fillRect/>
                    </a:stretch>
                  </pic:blipFill>
                  <pic:spPr>
                    <a:xfrm>
                      <a:off x="0" y="0"/>
                      <a:ext cx="2400300" cy="615949"/>
                    </a:xfrm>
                    <a:prstGeom prst="rect">
                      <a:avLst/>
                    </a:prstGeom>
                  </pic:spPr>
                </pic:pic>
              </a:graphicData>
            </a:graphic>
          </wp:anchor>
        </w:drawing>
      </w:r>
      <w:r>
        <w:t>Bogotá</w:t>
      </w:r>
      <w:r>
        <w:rPr>
          <w:spacing w:val="-4"/>
        </w:rPr>
        <w:t xml:space="preserve"> </w:t>
      </w:r>
      <w:r>
        <w:t>D.C.,</w:t>
      </w:r>
      <w:r>
        <w:rPr>
          <w:spacing w:val="-3"/>
        </w:rPr>
        <w:t xml:space="preserve"> </w:t>
      </w:r>
      <w:r>
        <w:t>08</w:t>
      </w:r>
      <w:r>
        <w:rPr>
          <w:spacing w:val="-3"/>
        </w:rPr>
        <w:t xml:space="preserve"> </w:t>
      </w:r>
      <w:r>
        <w:t>de</w:t>
      </w:r>
      <w:r>
        <w:rPr>
          <w:spacing w:val="-3"/>
        </w:rPr>
        <w:t xml:space="preserve"> </w:t>
      </w:r>
      <w:r>
        <w:t>Junio de</w:t>
      </w:r>
      <w:r>
        <w:rPr>
          <w:spacing w:val="-3"/>
        </w:rPr>
        <w:t xml:space="preserve"> </w:t>
      </w:r>
      <w:r>
        <w:t>2023</w:t>
      </w:r>
    </w:p>
    <w:p w14:paraId="3F206707" w14:textId="77777777" w:rsidR="00A7750F" w:rsidRDefault="00A7750F" w:rsidP="00A7750F">
      <w:pPr>
        <w:pStyle w:val="Textoindependiente"/>
        <w:rPr>
          <w:sz w:val="24"/>
        </w:rPr>
      </w:pPr>
    </w:p>
    <w:p w14:paraId="591D41DF" w14:textId="77777777" w:rsidR="00A7750F" w:rsidRDefault="00A7750F" w:rsidP="00A7750F">
      <w:pPr>
        <w:pStyle w:val="Textoindependiente"/>
        <w:spacing w:before="2"/>
        <w:rPr>
          <w:sz w:val="25"/>
        </w:rPr>
      </w:pPr>
    </w:p>
    <w:p w14:paraId="55DA46E6" w14:textId="77777777" w:rsidR="00BF394F" w:rsidRDefault="00BF394F" w:rsidP="00D43FFE">
      <w:pPr>
        <w:contextualSpacing/>
        <w:jc w:val="both"/>
        <w:rPr>
          <w:rFonts w:ascii="Arial" w:eastAsia="Calibri" w:hAnsi="Arial" w:cs="Arial"/>
          <w:lang w:eastAsia="es-ES_tradnl"/>
        </w:rPr>
      </w:pPr>
    </w:p>
    <w:p w14:paraId="73C87E1E" w14:textId="20AE32A9" w:rsidR="00D43FFE" w:rsidRDefault="00D43FFE" w:rsidP="00D43FFE">
      <w:pPr>
        <w:contextualSpacing/>
        <w:jc w:val="both"/>
        <w:rPr>
          <w:rFonts w:ascii="Arial" w:eastAsia="Calibri" w:hAnsi="Arial" w:cs="Arial"/>
          <w:lang w:eastAsia="es-ES_tradnl"/>
        </w:rPr>
      </w:pPr>
      <w:r w:rsidRPr="0006291B">
        <w:rPr>
          <w:rFonts w:ascii="Arial" w:eastAsia="Calibri" w:hAnsi="Arial" w:cs="Arial"/>
          <w:lang w:eastAsia="es-ES_tradnl"/>
        </w:rPr>
        <w:t>Señor</w:t>
      </w:r>
    </w:p>
    <w:p w14:paraId="6D9B4985" w14:textId="77777777" w:rsidR="00D43FFE" w:rsidRPr="00DD2C57" w:rsidRDefault="00D43FFE" w:rsidP="00D43FFE">
      <w:pPr>
        <w:contextualSpacing/>
        <w:jc w:val="both"/>
        <w:rPr>
          <w:rFonts w:ascii="Arial" w:eastAsia="Calibri" w:hAnsi="Arial" w:cs="Arial"/>
          <w:b/>
          <w:bCs/>
          <w:lang w:eastAsia="es-ES_tradnl"/>
        </w:rPr>
      </w:pPr>
      <w:r w:rsidRPr="00DD2C57">
        <w:rPr>
          <w:rFonts w:ascii="Arial" w:eastAsia="Calibri" w:hAnsi="Arial" w:cs="Arial"/>
          <w:b/>
          <w:bCs/>
          <w:lang w:eastAsia="es-ES_tradnl"/>
        </w:rPr>
        <w:t xml:space="preserve">Gian Carlo Suescún Sanabria </w:t>
      </w:r>
    </w:p>
    <w:p w14:paraId="796060A2" w14:textId="77777777" w:rsidR="00D43FFE" w:rsidRPr="0006291B" w:rsidRDefault="00D43FFE" w:rsidP="00D43FFE">
      <w:pPr>
        <w:contextualSpacing/>
        <w:jc w:val="both"/>
        <w:rPr>
          <w:rFonts w:ascii="Arial" w:eastAsia="Calibri" w:hAnsi="Arial" w:cs="Arial"/>
          <w:bCs/>
          <w:lang w:eastAsia="es-ES_tradnl"/>
        </w:rPr>
      </w:pPr>
      <w:r>
        <w:rPr>
          <w:rFonts w:ascii="Arial" w:eastAsia="Calibri" w:hAnsi="Arial" w:cs="Arial"/>
          <w:lang w:eastAsia="es-ES_tradnl"/>
        </w:rPr>
        <w:t>Ciudad</w:t>
      </w:r>
    </w:p>
    <w:p w14:paraId="016827A8" w14:textId="77777777" w:rsidR="00D43FFE" w:rsidRPr="00C046D8" w:rsidRDefault="00D43FFE" w:rsidP="00D43FFE">
      <w:pPr>
        <w:contextualSpacing/>
        <w:jc w:val="both"/>
        <w:rPr>
          <w:rFonts w:ascii="Arial" w:eastAsia="Calibri" w:hAnsi="Arial" w:cs="Arial"/>
          <w:lang w:val="es-ES_tradnl" w:eastAsia="es-ES_tradnl"/>
        </w:rPr>
      </w:pPr>
    </w:p>
    <w:p w14:paraId="13C614CD" w14:textId="77777777" w:rsidR="00D43FFE" w:rsidRPr="00C046D8" w:rsidRDefault="00D43FFE" w:rsidP="00D43FFE">
      <w:pPr>
        <w:contextualSpacing/>
        <w:rPr>
          <w:rFonts w:ascii="Arial" w:eastAsia="Calibri" w:hAnsi="Arial" w:cs="Arial"/>
          <w:b/>
          <w:bCs/>
          <w:lang w:val="es-ES_tradnl" w:eastAsia="es-ES_tradnl"/>
        </w:rPr>
      </w:pPr>
    </w:p>
    <w:p w14:paraId="3118BBDD" w14:textId="77777777" w:rsidR="00D43FFE" w:rsidRPr="00C046D8" w:rsidRDefault="00D43FFE" w:rsidP="00D43FFE">
      <w:pPr>
        <w:ind w:left="2124" w:firstLine="570"/>
        <w:contextualSpacing/>
        <w:rPr>
          <w:rFonts w:ascii="Arial" w:eastAsia="Calibri" w:hAnsi="Arial" w:cs="Arial"/>
          <w:b/>
          <w:bCs/>
          <w:lang w:val="es-ES_tradnl" w:eastAsia="es-ES_tradnl"/>
        </w:rPr>
      </w:pPr>
      <w:r w:rsidRPr="00C046D8">
        <w:rPr>
          <w:rFonts w:ascii="Arial" w:eastAsia="Calibri" w:hAnsi="Arial" w:cs="Arial"/>
          <w:b/>
          <w:bCs/>
          <w:lang w:val="es-ES_tradnl" w:eastAsia="es-ES_tradnl"/>
        </w:rPr>
        <w:t>Concepto C</w:t>
      </w:r>
      <w:r>
        <w:rPr>
          <w:rFonts w:ascii="Arial" w:eastAsia="Calibri" w:hAnsi="Arial" w:cs="Arial"/>
          <w:b/>
          <w:bCs/>
          <w:lang w:val="es-ES_tradnl" w:eastAsia="es-ES_tradnl"/>
        </w:rPr>
        <w:t xml:space="preserve"> – 185</w:t>
      </w:r>
      <w:r w:rsidRPr="00C046D8">
        <w:rPr>
          <w:rFonts w:ascii="Arial" w:eastAsia="Calibri" w:hAnsi="Arial" w:cs="Arial"/>
          <w:b/>
          <w:bCs/>
          <w:lang w:val="es-ES_tradnl" w:eastAsia="es-ES_tradnl"/>
        </w:rPr>
        <w:t xml:space="preserve"> de 202</w:t>
      </w:r>
      <w:r>
        <w:rPr>
          <w:rFonts w:ascii="Arial" w:eastAsia="Calibri" w:hAnsi="Arial" w:cs="Arial"/>
          <w:b/>
          <w:bCs/>
          <w:lang w:val="es-ES_tradnl" w:eastAsia="es-ES_tradnl"/>
        </w:rPr>
        <w:t>3</w:t>
      </w:r>
    </w:p>
    <w:p w14:paraId="1CEBE5E4" w14:textId="77777777" w:rsidR="00D43FFE" w:rsidRPr="00C046D8" w:rsidRDefault="00D43FFE" w:rsidP="00D43FFE">
      <w:pPr>
        <w:contextualSpacing/>
        <w:jc w:val="both"/>
        <w:rPr>
          <w:rFonts w:ascii="Arial" w:eastAsia="Calibri" w:hAnsi="Arial"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43FFE" w:rsidRPr="00C046D8" w14:paraId="2D8BFE3C" w14:textId="77777777">
        <w:tc>
          <w:tcPr>
            <w:tcW w:w="2689" w:type="dxa"/>
          </w:tcPr>
          <w:p w14:paraId="20DF1A6F" w14:textId="77777777" w:rsidR="00D43FFE" w:rsidRPr="00C046D8" w:rsidRDefault="00D43FFE">
            <w:pPr>
              <w:contextualSpacing/>
              <w:jc w:val="both"/>
              <w:rPr>
                <w:rFonts w:ascii="Arial" w:eastAsia="Calibri" w:hAnsi="Arial" w:cs="Arial"/>
                <w:lang w:val="es-ES_tradnl" w:eastAsia="es-ES_tradnl"/>
              </w:rPr>
            </w:pPr>
            <w:r w:rsidRPr="00C046D8">
              <w:rPr>
                <w:rFonts w:ascii="Arial" w:eastAsia="Calibri" w:hAnsi="Arial" w:cs="Arial"/>
                <w:b/>
                <w:lang w:val="es-ES_tradnl" w:eastAsia="es-ES_tradnl"/>
              </w:rPr>
              <w:t>Temas:</w:t>
            </w:r>
            <w:r w:rsidRPr="00C046D8">
              <w:rPr>
                <w:rFonts w:ascii="Arial" w:eastAsia="Calibri" w:hAnsi="Arial" w:cs="Arial"/>
                <w:lang w:val="es-ES_tradnl" w:eastAsia="es-ES_tradnl"/>
              </w:rPr>
              <w:t xml:space="preserve">                                      </w:t>
            </w:r>
          </w:p>
        </w:tc>
        <w:tc>
          <w:tcPr>
            <w:tcW w:w="6237" w:type="dxa"/>
          </w:tcPr>
          <w:p w14:paraId="2A05D1CE" w14:textId="77777777" w:rsidR="00D43FFE" w:rsidRDefault="00D43FFE">
            <w:pPr>
              <w:spacing w:after="120"/>
              <w:contextualSpacing/>
              <w:jc w:val="both"/>
              <w:rPr>
                <w:rFonts w:ascii="Arial" w:eastAsia="Calibri" w:hAnsi="Arial" w:cs="Arial"/>
                <w:bCs/>
                <w:lang w:val="es-MX" w:eastAsia="es-ES_tradnl"/>
              </w:rPr>
            </w:pPr>
            <w:r w:rsidRPr="0017568B">
              <w:rPr>
                <w:rFonts w:ascii="Arial" w:eastAsia="Calibri" w:hAnsi="Arial" w:cs="Arial"/>
                <w:bCs/>
                <w:lang w:val="es-MX" w:eastAsia="es-ES_tradnl"/>
              </w:rPr>
              <w:t xml:space="preserve">REGISTRO ÚNICO DE PROPONENTES – Concepto / RUP – Sujetos obligados </w:t>
            </w:r>
            <w:r w:rsidRPr="0017568B">
              <w:rPr>
                <w:rFonts w:ascii="Arial" w:eastAsia="Calibri" w:hAnsi="Arial" w:cs="Arial"/>
                <w:color w:val="000000"/>
                <w:lang w:val="es-ES_tradnl" w:eastAsia="es-ES_tradnl"/>
              </w:rPr>
              <w:t>CONCURSO DE MÉRITOS – Concepto – Modalidades / CONCURSO DE MÉRITOS – Decreto 1082 de 2015 – Artículo 2.2.1.2.1.3.2 – Suspensión provisional / CONCURSO DE MÉRITOS – Modificación – Decreto 399 de 2021 – Artículo 2 / SUBSANIBILIDAD DE LAS OFERTAS – Principio de selección objetiva – Ley 1882 de 2018 – Ámbito temporal.</w:t>
            </w:r>
          </w:p>
          <w:p w14:paraId="3C4E93E1" w14:textId="77777777" w:rsidR="00D43FFE" w:rsidRPr="0006291B" w:rsidRDefault="00D43FFE">
            <w:pPr>
              <w:spacing w:after="120"/>
              <w:contextualSpacing/>
              <w:jc w:val="both"/>
              <w:rPr>
                <w:rFonts w:ascii="Arial" w:eastAsia="Calibri" w:hAnsi="Arial" w:cs="Arial"/>
                <w:bCs/>
                <w:sz w:val="12"/>
                <w:szCs w:val="12"/>
                <w:lang w:val="es-ES_tradnl" w:eastAsia="es-ES_tradnl"/>
              </w:rPr>
            </w:pPr>
          </w:p>
        </w:tc>
      </w:tr>
      <w:tr w:rsidR="00D43FFE" w:rsidRPr="00C046D8" w14:paraId="563D92D2" w14:textId="77777777">
        <w:trPr>
          <w:trHeight w:val="227"/>
        </w:trPr>
        <w:tc>
          <w:tcPr>
            <w:tcW w:w="2689" w:type="dxa"/>
          </w:tcPr>
          <w:p w14:paraId="6EA51DB5" w14:textId="77777777" w:rsidR="00D43FFE" w:rsidRPr="00C046D8" w:rsidRDefault="00D43FFE">
            <w:pPr>
              <w:contextualSpacing/>
              <w:jc w:val="both"/>
              <w:rPr>
                <w:rFonts w:ascii="Arial" w:eastAsia="Calibri" w:hAnsi="Arial" w:cs="Arial"/>
                <w:b/>
                <w:lang w:val="es-ES_tradnl" w:eastAsia="es-ES_tradnl"/>
              </w:rPr>
            </w:pPr>
            <w:r w:rsidRPr="00C046D8">
              <w:rPr>
                <w:rFonts w:ascii="Arial" w:eastAsia="Calibri" w:hAnsi="Arial" w:cs="Arial"/>
                <w:b/>
                <w:lang w:val="es-ES_tradnl" w:eastAsia="es-ES_tradnl"/>
              </w:rPr>
              <w:t>Radicación:</w:t>
            </w:r>
            <w:r w:rsidRPr="00C046D8">
              <w:rPr>
                <w:rFonts w:ascii="Arial" w:eastAsia="Calibri" w:hAnsi="Arial" w:cs="Arial"/>
                <w:lang w:val="es-ES_tradnl" w:eastAsia="es-ES_tradnl"/>
              </w:rPr>
              <w:t xml:space="preserve">                             </w:t>
            </w:r>
          </w:p>
        </w:tc>
        <w:tc>
          <w:tcPr>
            <w:tcW w:w="6237" w:type="dxa"/>
          </w:tcPr>
          <w:p w14:paraId="4F71A7C2" w14:textId="77777777" w:rsidR="00D43FFE" w:rsidRPr="00C046D8" w:rsidRDefault="00D43FFE">
            <w:pPr>
              <w:contextualSpacing/>
              <w:jc w:val="both"/>
              <w:rPr>
                <w:rFonts w:ascii="Arial" w:eastAsia="Calibri" w:hAnsi="Arial" w:cs="Arial"/>
                <w:lang w:val="es-ES_tradnl" w:eastAsia="es-ES_tradnl"/>
              </w:rPr>
            </w:pPr>
            <w:r w:rsidRPr="0006291B">
              <w:rPr>
                <w:rFonts w:ascii="Arial" w:eastAsia="Calibri" w:hAnsi="Arial" w:cs="Arial"/>
                <w:lang w:val="es-ES_tradnl" w:eastAsia="es-ES_tradnl"/>
              </w:rPr>
              <w:t xml:space="preserve">Respuesta a consulta </w:t>
            </w:r>
            <w:r w:rsidRPr="00DD2C57">
              <w:rPr>
                <w:rFonts w:ascii="Arial" w:eastAsia="Calibri" w:hAnsi="Arial" w:cs="Arial"/>
                <w:lang w:val="es-ES_tradnl" w:eastAsia="es-ES_tradnl"/>
              </w:rPr>
              <w:t>P20230426003709</w:t>
            </w:r>
          </w:p>
        </w:tc>
      </w:tr>
    </w:tbl>
    <w:p w14:paraId="133657DC" w14:textId="77777777" w:rsidR="00D43FFE" w:rsidRPr="00C046D8" w:rsidRDefault="00D43FFE" w:rsidP="00D43FFE">
      <w:pPr>
        <w:contextualSpacing/>
        <w:jc w:val="both"/>
        <w:rPr>
          <w:rFonts w:ascii="Arial" w:eastAsia="Calibri" w:hAnsi="Arial" w:cs="Arial"/>
          <w:lang w:val="es-ES_tradnl" w:eastAsia="es-ES_tradnl"/>
        </w:rPr>
      </w:pPr>
    </w:p>
    <w:p w14:paraId="26D55709" w14:textId="77777777" w:rsidR="00D43FFE" w:rsidRPr="00C046D8" w:rsidRDefault="00D43FFE" w:rsidP="00D43FFE">
      <w:pPr>
        <w:contextualSpacing/>
        <w:jc w:val="both"/>
        <w:rPr>
          <w:rFonts w:ascii="Arial" w:eastAsia="Calibri" w:hAnsi="Arial" w:cs="Arial"/>
          <w:lang w:val="es-ES_tradnl" w:eastAsia="es-ES_tradnl"/>
        </w:rPr>
      </w:pPr>
    </w:p>
    <w:p w14:paraId="6178AC04" w14:textId="77777777" w:rsidR="00D43FFE" w:rsidRPr="00C046D8" w:rsidRDefault="00D43FFE" w:rsidP="00D43FFE">
      <w:pPr>
        <w:contextualSpacing/>
        <w:jc w:val="both"/>
        <w:rPr>
          <w:rFonts w:ascii="Arial" w:eastAsia="Calibri" w:hAnsi="Arial" w:cs="Arial"/>
          <w:lang w:val="es-ES" w:eastAsia="es-ES"/>
        </w:rPr>
      </w:pPr>
      <w:r w:rsidRPr="293D6149">
        <w:rPr>
          <w:rFonts w:ascii="Arial" w:eastAsia="Calibri" w:hAnsi="Arial" w:cs="Arial"/>
          <w:lang w:val="es-ES" w:eastAsia="es-ES"/>
        </w:rPr>
        <w:t>Respetad</w:t>
      </w:r>
      <w:r>
        <w:rPr>
          <w:rFonts w:ascii="Arial" w:eastAsia="Calibri" w:hAnsi="Arial" w:cs="Arial"/>
          <w:lang w:val="es-ES" w:eastAsia="es-ES"/>
        </w:rPr>
        <w:t>a</w:t>
      </w:r>
      <w:r w:rsidRPr="293D6149">
        <w:rPr>
          <w:rFonts w:ascii="Arial" w:eastAsia="Calibri" w:hAnsi="Arial" w:cs="Arial"/>
          <w:lang w:val="es-ES" w:eastAsia="es-ES"/>
        </w:rPr>
        <w:t xml:space="preserve"> señor</w:t>
      </w:r>
      <w:r>
        <w:rPr>
          <w:rFonts w:ascii="Arial" w:eastAsia="Calibri" w:hAnsi="Arial" w:cs="Arial"/>
          <w:lang w:val="es-ES" w:eastAsia="es-ES"/>
        </w:rPr>
        <w:t>a</w:t>
      </w:r>
      <w:r w:rsidRPr="293D6149">
        <w:rPr>
          <w:rFonts w:ascii="Arial" w:eastAsia="Calibri" w:hAnsi="Arial" w:cs="Arial"/>
          <w:lang w:val="es-ES" w:eastAsia="es-ES"/>
        </w:rPr>
        <w:t xml:space="preserve"> </w:t>
      </w:r>
      <w:r w:rsidRPr="00225C47">
        <w:rPr>
          <w:rFonts w:ascii="Arial" w:eastAsia="Calibri" w:hAnsi="Arial" w:cs="Arial"/>
          <w:lang w:val="es-ES" w:eastAsia="es-ES"/>
        </w:rPr>
        <w:t>Ascencio</w:t>
      </w:r>
      <w:r w:rsidRPr="293D6149">
        <w:rPr>
          <w:rFonts w:ascii="Arial" w:eastAsia="Calibri" w:hAnsi="Arial" w:cs="Arial"/>
          <w:lang w:val="es-ES" w:eastAsia="es-ES"/>
        </w:rPr>
        <w:t>:</w:t>
      </w:r>
      <w:r>
        <w:rPr>
          <w:rFonts w:ascii="Arial" w:eastAsia="Calibri" w:hAnsi="Arial" w:cs="Arial"/>
          <w:lang w:val="es-ES" w:eastAsia="es-ES"/>
        </w:rPr>
        <w:t xml:space="preserve"> </w:t>
      </w:r>
    </w:p>
    <w:p w14:paraId="6D6BF4AF" w14:textId="77777777" w:rsidR="00D43FFE" w:rsidRPr="00C046D8" w:rsidRDefault="00D43FFE" w:rsidP="00D43FFE">
      <w:pPr>
        <w:spacing w:line="276" w:lineRule="auto"/>
        <w:contextualSpacing/>
        <w:jc w:val="both"/>
        <w:rPr>
          <w:rFonts w:ascii="Arial" w:eastAsia="Calibri" w:hAnsi="Arial" w:cs="Arial"/>
          <w:szCs w:val="24"/>
          <w:lang w:val="es-ES_tradnl" w:eastAsia="es-ES_tradnl"/>
        </w:rPr>
      </w:pPr>
    </w:p>
    <w:bookmarkEnd w:id="0"/>
    <w:bookmarkEnd w:id="1"/>
    <w:p w14:paraId="6196D89B" w14:textId="77777777" w:rsidR="00D43FFE" w:rsidRPr="00504597" w:rsidRDefault="00D43FFE" w:rsidP="00D43FFE">
      <w:pPr>
        <w:spacing w:after="0" w:line="276" w:lineRule="auto"/>
        <w:jc w:val="both"/>
        <w:rPr>
          <w:rFonts w:ascii="Arial" w:eastAsia="Calibri" w:hAnsi="Arial" w:cs="Arial"/>
          <w:color w:val="000000" w:themeColor="text1"/>
          <w:lang w:val="es-ES_tradnl"/>
        </w:rPr>
      </w:pPr>
      <w:r w:rsidRPr="00504597">
        <w:rPr>
          <w:rFonts w:ascii="Arial" w:eastAsia="Calibri" w:hAnsi="Arial" w:cs="Arial"/>
          <w:color w:val="000000" w:themeColor="text1"/>
          <w:lang w:val="es-ES_tradnl"/>
        </w:rPr>
        <w:t xml:space="preserve">En ejercicio de la competencia otorgada por el numeral 8 del artículo 11 y el numeral 5 del artículo 3 del Decreto </w:t>
      </w:r>
      <w:r w:rsidRPr="00E87A11">
        <w:rPr>
          <w:rFonts w:ascii="Arial" w:eastAsia="Calibri" w:hAnsi="Arial" w:cs="Arial"/>
          <w:color w:val="000000" w:themeColor="text1"/>
          <w:lang w:val="es-ES_tradnl"/>
        </w:rPr>
        <w:t>Ley 4170 de 2011</w:t>
      </w:r>
      <w:bookmarkStart w:id="3" w:name="_Hlk99120496"/>
      <w:r w:rsidRPr="00E87A11">
        <w:rPr>
          <w:rFonts w:ascii="Arial MT" w:eastAsia="Arial MT" w:hAnsi="Arial MT" w:cs="Arial MT"/>
          <w:lang w:val="es-ES"/>
        </w:rPr>
        <w:t xml:space="preserve">, </w:t>
      </w:r>
      <w:bookmarkEnd w:id="3"/>
      <w:r w:rsidRPr="00E87A11">
        <w:rPr>
          <w:rFonts w:ascii="Arial" w:eastAsia="Calibri" w:hAnsi="Arial" w:cs="Arial"/>
          <w:color w:val="000000" w:themeColor="text1"/>
          <w:lang w:val="es-ES_tradnl"/>
        </w:rPr>
        <w:t>la</w:t>
      </w:r>
      <w:r w:rsidRPr="00504597">
        <w:rPr>
          <w:rFonts w:ascii="Arial" w:eastAsia="Calibri" w:hAnsi="Arial" w:cs="Arial"/>
          <w:color w:val="000000" w:themeColor="text1"/>
          <w:lang w:val="es-ES_tradnl"/>
        </w:rPr>
        <w:t xml:space="preserve"> Agencia Nacional de Contratación Pública </w:t>
      </w:r>
      <w:r>
        <w:rPr>
          <w:rFonts w:ascii="Arial" w:eastAsia="Calibri" w:hAnsi="Arial" w:cs="Arial"/>
          <w:color w:val="000000" w:themeColor="text1"/>
          <w:lang w:val="es-ES_tradnl"/>
        </w:rPr>
        <w:t>–</w:t>
      </w:r>
      <w:r w:rsidRPr="00504597">
        <w:rPr>
          <w:rFonts w:ascii="Arial" w:eastAsia="Calibri" w:hAnsi="Arial" w:cs="Arial"/>
          <w:color w:val="000000" w:themeColor="text1"/>
          <w:lang w:val="es-ES_tradnl"/>
        </w:rPr>
        <w:t xml:space="preserve"> Colombia Compra Eficiente responde </w:t>
      </w:r>
      <w:r>
        <w:rPr>
          <w:rFonts w:ascii="Arial" w:eastAsia="Calibri" w:hAnsi="Arial" w:cs="Arial"/>
          <w:color w:val="000000" w:themeColor="text1"/>
          <w:lang w:val="es-ES_tradnl"/>
        </w:rPr>
        <w:t>la</w:t>
      </w:r>
      <w:r w:rsidRPr="00504597">
        <w:rPr>
          <w:rFonts w:ascii="Arial" w:eastAsia="Calibri" w:hAnsi="Arial" w:cs="Arial"/>
          <w:color w:val="000000" w:themeColor="text1"/>
          <w:lang w:val="es-ES_tradnl"/>
        </w:rPr>
        <w:t xml:space="preserve"> consulta </w:t>
      </w:r>
      <w:r>
        <w:rPr>
          <w:rFonts w:ascii="Arial" w:eastAsia="Calibri" w:hAnsi="Arial" w:cs="Arial"/>
          <w:color w:val="000000" w:themeColor="text1"/>
          <w:lang w:val="es-ES_tradnl"/>
        </w:rPr>
        <w:t xml:space="preserve">radicada </w:t>
      </w:r>
      <w:r w:rsidRPr="00504597">
        <w:rPr>
          <w:rFonts w:ascii="Arial" w:eastAsia="Calibri" w:hAnsi="Arial" w:cs="Arial"/>
          <w:color w:val="000000" w:themeColor="text1"/>
          <w:lang w:val="es-ES_tradnl"/>
        </w:rPr>
        <w:t xml:space="preserve">el </w:t>
      </w:r>
      <w:r>
        <w:rPr>
          <w:rFonts w:ascii="Arial" w:eastAsia="Calibri" w:hAnsi="Arial" w:cs="Arial"/>
          <w:color w:val="000000" w:themeColor="text1"/>
          <w:lang w:val="es-ES_tradnl"/>
        </w:rPr>
        <w:t>25 de abril de 2023</w:t>
      </w:r>
      <w:r w:rsidRPr="00504597">
        <w:rPr>
          <w:rFonts w:ascii="Arial" w:eastAsia="Calibri" w:hAnsi="Arial" w:cs="Arial"/>
          <w:color w:val="000000" w:themeColor="text1"/>
          <w:lang w:val="es-ES_tradnl"/>
        </w:rPr>
        <w:t>.</w:t>
      </w:r>
    </w:p>
    <w:p w14:paraId="73009609" w14:textId="77777777" w:rsidR="00D43FFE" w:rsidRPr="00504597" w:rsidRDefault="00D43FFE" w:rsidP="00D43FFE">
      <w:pPr>
        <w:spacing w:after="0" w:line="276" w:lineRule="auto"/>
        <w:jc w:val="both"/>
        <w:rPr>
          <w:rFonts w:ascii="Arial" w:eastAsia="Calibri" w:hAnsi="Arial" w:cs="Arial"/>
          <w:b/>
          <w:color w:val="000000" w:themeColor="text1"/>
          <w:lang w:val="es-ES_tradnl"/>
        </w:rPr>
      </w:pPr>
    </w:p>
    <w:p w14:paraId="7888CE67" w14:textId="77777777" w:rsidR="00D43FFE" w:rsidRPr="00504597" w:rsidRDefault="00D43FFE" w:rsidP="00D43FFE">
      <w:pPr>
        <w:pStyle w:val="Prrafodelista"/>
        <w:numPr>
          <w:ilvl w:val="0"/>
          <w:numId w:val="4"/>
        </w:numPr>
        <w:tabs>
          <w:tab w:val="left" w:pos="0"/>
          <w:tab w:val="left" w:pos="142"/>
          <w:tab w:val="left" w:pos="284"/>
        </w:tabs>
        <w:spacing w:after="0" w:line="276" w:lineRule="auto"/>
        <w:ind w:left="0" w:firstLine="0"/>
        <w:jc w:val="both"/>
        <w:rPr>
          <w:rFonts w:ascii="Arial" w:eastAsia="Calibri" w:hAnsi="Arial" w:cs="Arial"/>
          <w:b/>
          <w:color w:val="000000" w:themeColor="text1"/>
          <w:lang w:val="es-ES_tradnl"/>
        </w:rPr>
      </w:pPr>
      <w:r w:rsidRPr="00504597">
        <w:rPr>
          <w:rFonts w:ascii="Arial" w:eastAsia="Calibri" w:hAnsi="Arial" w:cs="Arial"/>
          <w:b/>
          <w:color w:val="000000" w:themeColor="text1"/>
          <w:lang w:val="es-ES_tradnl"/>
        </w:rPr>
        <w:t>Problema</w:t>
      </w:r>
      <w:r>
        <w:rPr>
          <w:rFonts w:ascii="Arial" w:eastAsia="Calibri" w:hAnsi="Arial" w:cs="Arial"/>
          <w:b/>
          <w:color w:val="000000" w:themeColor="text1"/>
          <w:lang w:val="es-ES_tradnl"/>
        </w:rPr>
        <w:t>s</w:t>
      </w:r>
      <w:r w:rsidRPr="00504597">
        <w:rPr>
          <w:rFonts w:ascii="Arial" w:eastAsia="Calibri" w:hAnsi="Arial" w:cs="Arial"/>
          <w:b/>
          <w:color w:val="000000" w:themeColor="text1"/>
          <w:lang w:val="es-ES_tradnl"/>
        </w:rPr>
        <w:t xml:space="preserve"> planteado</w:t>
      </w:r>
      <w:r>
        <w:rPr>
          <w:rFonts w:ascii="Arial" w:eastAsia="Calibri" w:hAnsi="Arial" w:cs="Arial"/>
          <w:b/>
          <w:color w:val="000000" w:themeColor="text1"/>
          <w:lang w:val="es-ES_tradnl"/>
        </w:rPr>
        <w:t>s</w:t>
      </w:r>
      <w:r w:rsidRPr="00504597">
        <w:rPr>
          <w:rFonts w:ascii="Arial" w:eastAsia="Calibri" w:hAnsi="Arial" w:cs="Arial"/>
          <w:b/>
          <w:color w:val="000000" w:themeColor="text1"/>
          <w:lang w:val="es-ES_tradnl"/>
        </w:rPr>
        <w:t xml:space="preserve"> </w:t>
      </w:r>
    </w:p>
    <w:p w14:paraId="33633E6E" w14:textId="77777777" w:rsidR="00D43FFE" w:rsidRPr="00504597" w:rsidRDefault="00D43FFE" w:rsidP="00D43FFE">
      <w:pPr>
        <w:tabs>
          <w:tab w:val="left" w:pos="426"/>
        </w:tabs>
        <w:spacing w:after="0" w:line="276" w:lineRule="auto"/>
        <w:jc w:val="both"/>
        <w:rPr>
          <w:rFonts w:ascii="Arial" w:eastAsia="Calibri" w:hAnsi="Arial" w:cs="Arial"/>
          <w:b/>
          <w:color w:val="000000" w:themeColor="text1"/>
          <w:lang w:val="es-ES_tradnl"/>
        </w:rPr>
      </w:pPr>
    </w:p>
    <w:p w14:paraId="015EC2EE" w14:textId="77777777" w:rsidR="00D43FFE" w:rsidRDefault="00D43FFE" w:rsidP="00D43FFE">
      <w:pPr>
        <w:spacing w:after="0" w:line="276" w:lineRule="auto"/>
        <w:jc w:val="both"/>
        <w:rPr>
          <w:rFonts w:ascii="Arial" w:hAnsi="Arial" w:cs="Arial"/>
          <w:color w:val="000000" w:themeColor="text1"/>
          <w:lang w:val="es-ES_tradnl"/>
        </w:rPr>
      </w:pPr>
      <w:r>
        <w:rPr>
          <w:rFonts w:ascii="Arial" w:hAnsi="Arial" w:cs="Arial"/>
          <w:color w:val="000000" w:themeColor="text1"/>
          <w:lang w:val="es-ES_tradnl"/>
        </w:rPr>
        <w:t>Usted realiza las siguientes preguntas</w:t>
      </w:r>
      <w:r w:rsidRPr="00504597">
        <w:rPr>
          <w:rFonts w:ascii="Arial" w:hAnsi="Arial" w:cs="Arial"/>
          <w:color w:val="000000" w:themeColor="text1"/>
          <w:lang w:val="es-ES_tradnl"/>
        </w:rPr>
        <w:t>:</w:t>
      </w:r>
    </w:p>
    <w:p w14:paraId="2B68C415" w14:textId="77777777" w:rsidR="00D43FFE" w:rsidRPr="00DD2C57" w:rsidRDefault="00D43FFE" w:rsidP="00D43FFE">
      <w:pPr>
        <w:spacing w:after="0" w:line="240" w:lineRule="auto"/>
        <w:ind w:left="567" w:right="615"/>
        <w:jc w:val="both"/>
        <w:rPr>
          <w:rFonts w:ascii="Arial" w:hAnsi="Arial" w:cs="Arial"/>
          <w:color w:val="000000" w:themeColor="text1"/>
          <w:sz w:val="21"/>
          <w:szCs w:val="21"/>
          <w:lang w:val="es-ES_tradnl"/>
        </w:rPr>
      </w:pPr>
    </w:p>
    <w:p w14:paraId="6D372621" w14:textId="77777777" w:rsidR="00D43FFE" w:rsidRPr="00DD2C57" w:rsidRDefault="00D43FFE" w:rsidP="00D43FFE">
      <w:pPr>
        <w:spacing w:after="0" w:line="240" w:lineRule="auto"/>
        <w:ind w:left="567" w:right="615"/>
        <w:jc w:val="both"/>
        <w:rPr>
          <w:rFonts w:ascii="Arial" w:hAnsi="Arial" w:cs="Arial"/>
          <w:color w:val="000000" w:themeColor="text1"/>
          <w:sz w:val="21"/>
          <w:szCs w:val="21"/>
        </w:rPr>
      </w:pPr>
      <w:r>
        <w:rPr>
          <w:rFonts w:ascii="Arial" w:hAnsi="Arial" w:cs="Arial"/>
          <w:color w:val="000000" w:themeColor="text1"/>
          <w:sz w:val="21"/>
          <w:szCs w:val="21"/>
        </w:rPr>
        <w:t>“</w:t>
      </w:r>
      <w:r w:rsidRPr="00DD2C57">
        <w:rPr>
          <w:rFonts w:ascii="Arial" w:hAnsi="Arial" w:cs="Arial"/>
          <w:color w:val="000000" w:themeColor="text1"/>
          <w:sz w:val="21"/>
          <w:szCs w:val="21"/>
        </w:rPr>
        <w:t xml:space="preserve">En un proceso para una consultoría de transporte, un proponente plural conformado por dos o más integrantes, con porcentajes de participación donde según lo establecido en el pliego tipo, todos requieren acreditar experiencia dentro de la propuesta, pero uno de ellos, aunque presenta en debida forma los documentos donde se evidencia que cumple con la experiencia requerida, aporta su RUP con fecha de expedición mayor a 30 días con respecto al momento del cierre del proceso; mientras los otros integrantes, aportan en debida forma, tanto los documentos para acreditar la experiencia, como su RUP se encuentra expedido dentro del plazo señalado en el pliego tipo. </w:t>
      </w:r>
    </w:p>
    <w:p w14:paraId="77BEB6C9" w14:textId="77777777" w:rsidR="00D43FFE" w:rsidRPr="00DD2C57" w:rsidRDefault="00D43FFE" w:rsidP="00D43FFE">
      <w:pPr>
        <w:spacing w:after="0" w:line="240" w:lineRule="auto"/>
        <w:ind w:left="567" w:right="615"/>
        <w:jc w:val="both"/>
        <w:rPr>
          <w:rFonts w:ascii="Arial" w:hAnsi="Arial" w:cs="Arial"/>
          <w:color w:val="000000" w:themeColor="text1"/>
          <w:sz w:val="21"/>
          <w:szCs w:val="21"/>
        </w:rPr>
      </w:pPr>
    </w:p>
    <w:p w14:paraId="6A7729BD" w14:textId="77777777" w:rsidR="00D43FFE" w:rsidRPr="00DD2C57" w:rsidRDefault="00D43FFE" w:rsidP="00D43FFE">
      <w:pPr>
        <w:spacing w:after="0" w:line="240" w:lineRule="auto"/>
        <w:ind w:left="567" w:right="615"/>
        <w:jc w:val="both"/>
        <w:rPr>
          <w:rFonts w:ascii="Arial" w:hAnsi="Arial" w:cs="Arial"/>
          <w:color w:val="000000" w:themeColor="text1"/>
          <w:sz w:val="21"/>
          <w:szCs w:val="21"/>
        </w:rPr>
      </w:pPr>
      <w:r w:rsidRPr="00DD2C57">
        <w:rPr>
          <w:rFonts w:ascii="Arial" w:hAnsi="Arial" w:cs="Arial"/>
          <w:color w:val="000000" w:themeColor="text1"/>
          <w:sz w:val="21"/>
          <w:szCs w:val="21"/>
        </w:rPr>
        <w:t>De acuerdo con lo anterior y teniendo en cuenta que uno de los integrantes de la figura plural debe subsanar su RUP, ¿implicaría esto que, no se le otorgue puntaje por concepto de FACTOR DE EXPERIENCIA al proponente plural, a pesar que, sus otros integrantes si cumplieron a cabalidad con todas las exigencias del pliego tipo?</w:t>
      </w:r>
    </w:p>
    <w:p w14:paraId="78892713" w14:textId="77777777" w:rsidR="00D43FFE" w:rsidRPr="00DD2C57" w:rsidRDefault="00D43FFE" w:rsidP="00D43FFE">
      <w:pPr>
        <w:spacing w:after="0" w:line="240" w:lineRule="auto"/>
        <w:ind w:left="567" w:right="615"/>
        <w:jc w:val="both"/>
        <w:rPr>
          <w:rFonts w:ascii="Arial" w:hAnsi="Arial" w:cs="Arial"/>
          <w:color w:val="000000" w:themeColor="text1"/>
          <w:sz w:val="21"/>
          <w:szCs w:val="21"/>
        </w:rPr>
      </w:pPr>
    </w:p>
    <w:p w14:paraId="40AD07ED" w14:textId="77777777" w:rsidR="00D43FFE" w:rsidRPr="00DD2C57" w:rsidRDefault="00D43FFE" w:rsidP="00D43FFE">
      <w:pPr>
        <w:spacing w:after="0" w:line="240" w:lineRule="auto"/>
        <w:ind w:left="567" w:right="615"/>
        <w:jc w:val="both"/>
        <w:rPr>
          <w:rFonts w:ascii="Arial" w:hAnsi="Arial" w:cs="Arial"/>
          <w:color w:val="000000" w:themeColor="text1"/>
          <w:sz w:val="21"/>
          <w:szCs w:val="21"/>
          <w:lang w:val="es-ES_tradnl"/>
        </w:rPr>
      </w:pPr>
      <w:r w:rsidRPr="00DD2C57">
        <w:rPr>
          <w:rFonts w:ascii="Arial" w:hAnsi="Arial" w:cs="Arial"/>
          <w:color w:val="000000" w:themeColor="text1"/>
          <w:sz w:val="21"/>
          <w:szCs w:val="21"/>
        </w:rPr>
        <w:t>O, por el contrario, ¿Es posible subsanar el RUP del integrante, y con ello acreditar la experiencia del mismo para efectos de habilitación de la propuesta, excluyendo la experiencia derivada del RUP subsanado del promedio de SMMLV objeto de ponderación de la experiencia? Es decir, para efectos de ponderación del FACTOR DE EXPERIENCIA de la propuesta, considerar únicamente la experiencia derivada de los integrantes que no tuvieron requerimiento alguno de subsanación respecto su experiencia</w:t>
      </w:r>
      <w:r>
        <w:rPr>
          <w:rFonts w:ascii="Arial" w:hAnsi="Arial" w:cs="Arial"/>
          <w:color w:val="000000" w:themeColor="text1"/>
          <w:sz w:val="21"/>
          <w:szCs w:val="21"/>
        </w:rPr>
        <w:t>”</w:t>
      </w:r>
      <w:r w:rsidRPr="00DD2C57">
        <w:rPr>
          <w:rFonts w:ascii="Arial" w:hAnsi="Arial" w:cs="Arial"/>
          <w:color w:val="000000" w:themeColor="text1"/>
          <w:sz w:val="21"/>
          <w:szCs w:val="21"/>
        </w:rPr>
        <w:t>.</w:t>
      </w:r>
    </w:p>
    <w:p w14:paraId="4915EB09" w14:textId="77777777" w:rsidR="00D43FFE" w:rsidRPr="00466C39" w:rsidRDefault="00D43FFE" w:rsidP="00D43FFE">
      <w:pPr>
        <w:spacing w:after="0" w:line="276" w:lineRule="auto"/>
        <w:ind w:right="709"/>
        <w:jc w:val="both"/>
        <w:rPr>
          <w:rFonts w:ascii="Arial" w:hAnsi="Arial" w:cs="Arial"/>
          <w:color w:val="000000" w:themeColor="text1"/>
        </w:rPr>
      </w:pPr>
    </w:p>
    <w:p w14:paraId="68E68D3C" w14:textId="77777777" w:rsidR="00D43FFE" w:rsidRPr="00504597" w:rsidRDefault="00D43FFE" w:rsidP="00D43FFE">
      <w:pPr>
        <w:pStyle w:val="Prrafodelista"/>
        <w:numPr>
          <w:ilvl w:val="0"/>
          <w:numId w:val="4"/>
        </w:numPr>
        <w:tabs>
          <w:tab w:val="left" w:pos="0"/>
          <w:tab w:val="left" w:pos="284"/>
        </w:tabs>
        <w:spacing w:after="0" w:line="240" w:lineRule="auto"/>
        <w:ind w:left="0" w:firstLine="0"/>
        <w:jc w:val="both"/>
        <w:rPr>
          <w:rFonts w:ascii="Arial" w:eastAsia="Calibri" w:hAnsi="Arial" w:cs="Arial"/>
          <w:b/>
          <w:color w:val="000000" w:themeColor="text1"/>
          <w:lang w:val="es-ES_tradnl"/>
        </w:rPr>
      </w:pPr>
      <w:r w:rsidRPr="00504597">
        <w:rPr>
          <w:rFonts w:ascii="Arial" w:eastAsia="Calibri" w:hAnsi="Arial" w:cs="Arial"/>
          <w:b/>
          <w:color w:val="000000" w:themeColor="text1"/>
          <w:lang w:val="es-ES_tradnl"/>
        </w:rPr>
        <w:t>Consideraciones</w:t>
      </w:r>
    </w:p>
    <w:p w14:paraId="6FC5363F" w14:textId="77777777" w:rsidR="00D43FFE" w:rsidRPr="00504597" w:rsidRDefault="00D43FFE" w:rsidP="00D43FFE">
      <w:pPr>
        <w:spacing w:after="0" w:line="276" w:lineRule="auto"/>
        <w:jc w:val="both"/>
        <w:rPr>
          <w:rFonts w:ascii="Arial" w:eastAsia="Calibri" w:hAnsi="Arial" w:cs="Arial"/>
          <w:color w:val="000000" w:themeColor="text1"/>
          <w:lang w:val="es-ES"/>
        </w:rPr>
      </w:pPr>
    </w:p>
    <w:p w14:paraId="7BBF0DF6" w14:textId="77777777" w:rsidR="00D43FFE" w:rsidRPr="00701DEE" w:rsidRDefault="00D43FFE" w:rsidP="00D43FFE">
      <w:pPr>
        <w:spacing w:after="0" w:line="276" w:lineRule="auto"/>
        <w:jc w:val="both"/>
        <w:rPr>
          <w:rFonts w:ascii="Arial" w:eastAsia="Calibri" w:hAnsi="Arial" w:cs="Arial"/>
          <w:color w:val="000000"/>
          <w:lang w:val="es-ES_tradnl" w:eastAsia="es-ES_tradnl"/>
        </w:rPr>
      </w:pPr>
      <w:r w:rsidRPr="00504597">
        <w:rPr>
          <w:rFonts w:ascii="Arial" w:eastAsia="Calibri" w:hAnsi="Arial" w:cs="Arial"/>
          <w:color w:val="000000" w:themeColor="text1"/>
        </w:rPr>
        <w:t xml:space="preserve">Para </w:t>
      </w:r>
      <w:r>
        <w:rPr>
          <w:rFonts w:ascii="Arial" w:eastAsia="Calibri" w:hAnsi="Arial" w:cs="Arial"/>
          <w:color w:val="000000" w:themeColor="text1"/>
        </w:rPr>
        <w:t>resolver</w:t>
      </w:r>
      <w:r w:rsidRPr="00504597">
        <w:rPr>
          <w:rFonts w:ascii="Arial" w:eastAsia="Calibri" w:hAnsi="Arial" w:cs="Arial"/>
          <w:color w:val="000000" w:themeColor="text1"/>
        </w:rPr>
        <w:t xml:space="preserve"> </w:t>
      </w:r>
      <w:r>
        <w:rPr>
          <w:rFonts w:ascii="Arial" w:eastAsia="Calibri" w:hAnsi="Arial" w:cs="Arial"/>
          <w:color w:val="000000" w:themeColor="text1"/>
        </w:rPr>
        <w:t>el problema planteado,</w:t>
      </w:r>
      <w:r w:rsidRPr="00504597">
        <w:rPr>
          <w:rFonts w:ascii="Arial" w:eastAsia="Calibri" w:hAnsi="Arial" w:cs="Arial"/>
          <w:color w:val="000000" w:themeColor="text1"/>
        </w:rPr>
        <w:t xml:space="preserve"> </w:t>
      </w:r>
      <w:r w:rsidRPr="00504597">
        <w:rPr>
          <w:rFonts w:ascii="Arial" w:eastAsia="Calibri" w:hAnsi="Arial" w:cs="Arial"/>
          <w:color w:val="000000" w:themeColor="text1"/>
          <w:lang w:val="es-ES"/>
        </w:rPr>
        <w:t xml:space="preserve">se </w:t>
      </w:r>
      <w:r>
        <w:rPr>
          <w:rFonts w:ascii="Arial" w:eastAsia="Calibri" w:hAnsi="Arial" w:cs="Arial"/>
          <w:color w:val="000000" w:themeColor="text1"/>
          <w:lang w:val="es-ES"/>
        </w:rPr>
        <w:t>abordarán</w:t>
      </w:r>
      <w:r w:rsidRPr="00504597">
        <w:rPr>
          <w:rFonts w:ascii="Arial" w:eastAsia="Calibri" w:hAnsi="Arial" w:cs="Arial"/>
          <w:color w:val="000000" w:themeColor="text1"/>
          <w:lang w:val="es-ES"/>
        </w:rPr>
        <w:t xml:space="preserve"> los siguientes temas</w:t>
      </w:r>
      <w:r w:rsidRPr="00504597">
        <w:rPr>
          <w:rFonts w:ascii="Arial" w:hAnsi="Arial" w:cs="Arial"/>
          <w:color w:val="000000" w:themeColor="text1"/>
          <w:lang w:val="es-ES"/>
        </w:rPr>
        <w:t xml:space="preserve">: </w:t>
      </w:r>
      <w:r w:rsidRPr="00504597">
        <w:rPr>
          <w:rFonts w:ascii="Arial" w:hAnsi="Arial" w:cs="Arial"/>
          <w:color w:val="000000" w:themeColor="text1"/>
          <w:lang w:val="es-ES_tradnl"/>
        </w:rPr>
        <w:t xml:space="preserve">i) </w:t>
      </w:r>
      <w:r>
        <w:rPr>
          <w:rFonts w:ascii="Arial" w:hAnsi="Arial" w:cs="Arial"/>
          <w:color w:val="000000" w:themeColor="text1"/>
          <w:lang w:val="es-ES_tradnl"/>
        </w:rPr>
        <w:t>o</w:t>
      </w:r>
      <w:r w:rsidRPr="00B35C0C">
        <w:rPr>
          <w:rFonts w:ascii="Arial" w:hAnsi="Arial" w:cs="Arial"/>
          <w:color w:val="000000" w:themeColor="text1"/>
          <w:lang w:val="es-ES_tradnl"/>
        </w:rPr>
        <w:t>bligatoriedad del Registro Único de Proponentes</w:t>
      </w:r>
      <w:r>
        <w:rPr>
          <w:rFonts w:ascii="Arial" w:hAnsi="Arial" w:cs="Arial"/>
          <w:color w:val="000000" w:themeColor="text1"/>
          <w:lang w:val="es-ES_tradnl"/>
        </w:rPr>
        <w:t>,</w:t>
      </w:r>
      <w:r w:rsidRPr="00504597">
        <w:rPr>
          <w:rFonts w:ascii="Arial" w:hAnsi="Arial" w:cs="Arial"/>
          <w:color w:val="000000" w:themeColor="text1"/>
          <w:lang w:val="es-ES"/>
        </w:rPr>
        <w:t xml:space="preserve"> </w:t>
      </w:r>
      <w:r>
        <w:rPr>
          <w:rFonts w:ascii="Arial" w:hAnsi="Arial" w:cs="Arial"/>
          <w:color w:val="000000" w:themeColor="text1"/>
          <w:lang w:val="es-ES"/>
        </w:rPr>
        <w:t>i</w:t>
      </w:r>
      <w:r w:rsidRPr="00482CF9">
        <w:rPr>
          <w:rFonts w:ascii="Arial" w:eastAsia="Calibri" w:hAnsi="Arial" w:cs="Arial"/>
          <w:color w:val="000000"/>
          <w:lang w:val="es-ES_tradnl"/>
        </w:rPr>
        <w:t>i) el procedimiento del concurso de méritos después de los autos de suspensión provisional del Consejo de Estado, i</w:t>
      </w:r>
      <w:r>
        <w:rPr>
          <w:rFonts w:ascii="Arial" w:eastAsia="Calibri" w:hAnsi="Arial" w:cs="Arial"/>
          <w:color w:val="000000"/>
          <w:lang w:val="es-ES_tradnl"/>
        </w:rPr>
        <w:t>i</w:t>
      </w:r>
      <w:r w:rsidRPr="00482CF9">
        <w:rPr>
          <w:rFonts w:ascii="Arial" w:eastAsia="Calibri" w:hAnsi="Arial" w:cs="Arial"/>
          <w:color w:val="000000"/>
          <w:lang w:val="es-ES_tradnl"/>
        </w:rPr>
        <w:t xml:space="preserve">i) la reglamentación de esta modalidad de selección en el Decreto 399 de 2021, </w:t>
      </w:r>
      <w:proofErr w:type="spellStart"/>
      <w:r>
        <w:rPr>
          <w:rFonts w:ascii="Arial" w:eastAsia="Calibri" w:hAnsi="Arial" w:cs="Arial"/>
          <w:color w:val="000000"/>
          <w:lang w:val="es-ES_tradnl"/>
        </w:rPr>
        <w:t>iv</w:t>
      </w:r>
      <w:proofErr w:type="spellEnd"/>
      <w:r w:rsidRPr="00482CF9">
        <w:rPr>
          <w:rFonts w:ascii="Arial" w:eastAsia="Calibri" w:hAnsi="Arial" w:cs="Arial"/>
          <w:color w:val="000000"/>
          <w:lang w:val="es-ES_tradnl"/>
        </w:rPr>
        <w:t xml:space="preserve">) la </w:t>
      </w:r>
      <w:proofErr w:type="spellStart"/>
      <w:r w:rsidRPr="00482CF9">
        <w:rPr>
          <w:rFonts w:ascii="Arial" w:eastAsia="Calibri" w:hAnsi="Arial" w:cs="Arial"/>
          <w:color w:val="000000"/>
          <w:lang w:val="es-ES_tradnl"/>
        </w:rPr>
        <w:t>subsanabilidad</w:t>
      </w:r>
      <w:proofErr w:type="spellEnd"/>
      <w:r w:rsidRPr="00482CF9">
        <w:rPr>
          <w:rFonts w:ascii="Arial" w:eastAsia="Calibri" w:hAnsi="Arial" w:cs="Arial"/>
          <w:color w:val="000000"/>
          <w:lang w:val="es-ES_tradnl"/>
        </w:rPr>
        <w:t xml:space="preserve"> de las ofertas en los procesos de selección del Estatuto General de la Contratación Pública</w:t>
      </w:r>
      <w:r>
        <w:rPr>
          <w:rFonts w:ascii="Arial" w:eastAsia="Calibri" w:hAnsi="Arial" w:cs="Arial"/>
          <w:color w:val="000000"/>
          <w:lang w:val="es-ES_tradnl"/>
        </w:rPr>
        <w:t xml:space="preserve"> y v</w:t>
      </w:r>
      <w:r w:rsidRPr="00701DEE">
        <w:rPr>
          <w:rFonts w:ascii="Arial" w:eastAsia="Calibri" w:hAnsi="Arial" w:cs="Arial"/>
          <w:color w:val="000000"/>
          <w:lang w:val="es-ES_tradnl" w:eastAsia="es-ES_tradnl"/>
        </w:rPr>
        <w:t>)</w:t>
      </w:r>
      <w:r w:rsidRPr="001D1C62">
        <w:rPr>
          <w:rFonts w:ascii="Arial" w:eastAsia="Calibri" w:hAnsi="Arial" w:cs="Arial"/>
          <w:color w:val="000000"/>
          <w:lang w:val="es-ES_tradnl" w:eastAsia="es-ES_tradnl"/>
        </w:rPr>
        <w:t xml:space="preserve"> modalidad de concurso de méritos para la contratación de la interventoría de obra pública de infraestructura de transporte, regulad</w:t>
      </w:r>
      <w:r>
        <w:rPr>
          <w:rFonts w:ascii="Arial" w:eastAsia="Calibri" w:hAnsi="Arial" w:cs="Arial"/>
          <w:color w:val="000000"/>
          <w:lang w:val="es-ES_tradnl" w:eastAsia="es-ES_tradnl"/>
        </w:rPr>
        <w:t>a</w:t>
      </w:r>
      <w:r w:rsidRPr="001D1C62">
        <w:rPr>
          <w:rFonts w:ascii="Arial" w:eastAsia="Calibri" w:hAnsi="Arial" w:cs="Arial"/>
          <w:color w:val="000000"/>
          <w:lang w:val="es-ES_tradnl" w:eastAsia="es-ES_tradnl"/>
        </w:rPr>
        <w:t xml:space="preserve"> en los documentos tipo vigentes</w:t>
      </w:r>
      <w:r>
        <w:rPr>
          <w:rFonts w:ascii="Arial" w:eastAsia="Calibri" w:hAnsi="Arial" w:cs="Arial"/>
          <w:color w:val="000000"/>
          <w:lang w:val="es-ES_tradnl" w:eastAsia="es-ES_tradnl"/>
        </w:rPr>
        <w:t>: el concurso de méritos abierto, sin precalificación</w:t>
      </w:r>
      <w:r w:rsidRPr="001D1C62">
        <w:rPr>
          <w:rFonts w:ascii="Arial" w:eastAsia="Calibri" w:hAnsi="Arial" w:cs="Arial"/>
          <w:color w:val="000000"/>
          <w:lang w:val="es-ES_tradnl" w:eastAsia="es-ES_tradnl"/>
        </w:rPr>
        <w:t>.</w:t>
      </w:r>
      <w:r>
        <w:rPr>
          <w:rFonts w:ascii="Arial" w:eastAsia="Calibri" w:hAnsi="Arial" w:cs="Arial"/>
          <w:color w:val="000000"/>
          <w:lang w:val="es-ES_tradnl" w:eastAsia="es-ES_tradnl"/>
        </w:rPr>
        <w:t xml:space="preserve">  </w:t>
      </w:r>
    </w:p>
    <w:p w14:paraId="6B8798F7" w14:textId="77777777" w:rsidR="00D43FFE" w:rsidRPr="0011000B" w:rsidRDefault="00D43FFE" w:rsidP="00D43FFE">
      <w:pPr>
        <w:spacing w:line="276" w:lineRule="auto"/>
        <w:jc w:val="both"/>
        <w:rPr>
          <w:rFonts w:ascii="Arial" w:eastAsia="Calibri" w:hAnsi="Arial" w:cs="Arial"/>
          <w:bCs/>
          <w:color w:val="000000" w:themeColor="text1"/>
          <w:lang w:val="es-ES_tradnl"/>
        </w:rPr>
      </w:pPr>
    </w:p>
    <w:p w14:paraId="4C042CA6" w14:textId="77777777" w:rsidR="00D43FFE" w:rsidRDefault="00D43FFE" w:rsidP="00D43FFE">
      <w:pPr>
        <w:spacing w:after="0" w:line="276" w:lineRule="auto"/>
        <w:jc w:val="both"/>
        <w:rPr>
          <w:rFonts w:ascii="Arial" w:hAnsi="Arial" w:cs="Arial"/>
          <w:bCs/>
          <w:color w:val="1A1A1A" w:themeColor="background1" w:themeShade="1A"/>
        </w:rPr>
      </w:pPr>
      <w:r>
        <w:rPr>
          <w:rFonts w:ascii="Arial" w:eastAsia="Calibri" w:hAnsi="Arial" w:cs="Arial"/>
          <w:bCs/>
          <w:color w:val="000000" w:themeColor="text1"/>
        </w:rPr>
        <w:tab/>
      </w:r>
      <w:r w:rsidRPr="00B31293">
        <w:rPr>
          <w:rFonts w:ascii="Arial" w:hAnsi="Arial" w:cs="Arial"/>
          <w:bCs/>
          <w:color w:val="1A1A1A" w:themeColor="background1" w:themeShade="1A"/>
        </w:rPr>
        <w:t xml:space="preserve">La Agencia Nacional de Contratación Pública ‒ Colombia Compra Eficiente, en los </w:t>
      </w:r>
      <w:r>
        <w:rPr>
          <w:rFonts w:ascii="Arial" w:hAnsi="Arial" w:cs="Arial"/>
          <w:bCs/>
          <w:color w:val="1A1A1A" w:themeColor="background1" w:themeShade="1A"/>
        </w:rPr>
        <w:t>C</w:t>
      </w:r>
      <w:r w:rsidRPr="00B31293">
        <w:rPr>
          <w:rFonts w:ascii="Arial" w:hAnsi="Arial" w:cs="Arial"/>
          <w:bCs/>
          <w:color w:val="1A1A1A" w:themeColor="background1" w:themeShade="1A"/>
        </w:rPr>
        <w:t xml:space="preserve">onceptos </w:t>
      </w:r>
      <w:r w:rsidRPr="002C2A21">
        <w:rPr>
          <w:rFonts w:ascii="Arial" w:hAnsi="Arial" w:cs="Arial"/>
          <w:bCs/>
          <w:color w:val="1A1A1A" w:themeColor="background1" w:themeShade="1A"/>
        </w:rPr>
        <w:t>4201912000004669 del 26 de agosto de 2019</w:t>
      </w:r>
      <w:r>
        <w:rPr>
          <w:rFonts w:ascii="Arial" w:hAnsi="Arial" w:cs="Arial"/>
          <w:bCs/>
          <w:color w:val="1A1A1A" w:themeColor="background1" w:themeShade="1A"/>
        </w:rPr>
        <w:t xml:space="preserve">, </w:t>
      </w:r>
      <w:r w:rsidRPr="002C2A21">
        <w:rPr>
          <w:rFonts w:ascii="Arial" w:hAnsi="Arial" w:cs="Arial"/>
          <w:bCs/>
          <w:color w:val="1A1A1A" w:themeColor="background1" w:themeShade="1A"/>
        </w:rPr>
        <w:t>4202013000000064 de 4 de enero de 2020</w:t>
      </w:r>
      <w:r>
        <w:rPr>
          <w:rFonts w:ascii="Arial" w:hAnsi="Arial" w:cs="Arial"/>
          <w:bCs/>
          <w:color w:val="1A1A1A" w:themeColor="background1" w:themeShade="1A"/>
        </w:rPr>
        <w:t>,</w:t>
      </w:r>
      <w:r w:rsidRPr="002C2A21">
        <w:rPr>
          <w:rFonts w:ascii="Arial" w:hAnsi="Arial" w:cs="Arial"/>
          <w:bCs/>
          <w:color w:val="1A1A1A" w:themeColor="background1" w:themeShade="1A"/>
        </w:rPr>
        <w:t xml:space="preserve"> </w:t>
      </w:r>
      <w:r>
        <w:rPr>
          <w:rFonts w:ascii="Arial" w:hAnsi="Arial" w:cs="Arial"/>
          <w:bCs/>
          <w:color w:val="1A1A1A" w:themeColor="background1" w:themeShade="1A"/>
        </w:rPr>
        <w:t xml:space="preserve">C-031 del 6 de febrero de 2020, </w:t>
      </w:r>
      <w:r>
        <w:rPr>
          <w:rStyle w:val="normaltextrun"/>
          <w:rFonts w:ascii="Arial" w:hAnsi="Arial" w:cs="Arial"/>
          <w:color w:val="000000"/>
          <w:shd w:val="clear" w:color="auto" w:fill="FFFFFF"/>
        </w:rPr>
        <w:t>C-051 del 2 de marzo de 2020</w:t>
      </w:r>
      <w:r>
        <w:rPr>
          <w:rFonts w:ascii="Arial" w:hAnsi="Arial" w:cs="Arial"/>
          <w:bCs/>
          <w:color w:val="1A1A1A" w:themeColor="background1" w:themeShade="1A"/>
        </w:rPr>
        <w:t xml:space="preserve">, C-096 del 17 de marzo de 2020, C-098 del 16 de marzo de 2020, </w:t>
      </w:r>
      <w:r>
        <w:rPr>
          <w:rStyle w:val="normaltextrun"/>
          <w:rFonts w:ascii="Arial" w:hAnsi="Arial" w:cs="Arial"/>
          <w:color w:val="000000"/>
          <w:shd w:val="clear" w:color="auto" w:fill="FFFFFF"/>
        </w:rPr>
        <w:t>C-113 del 25 de marzo de 2020,</w:t>
      </w:r>
      <w:r>
        <w:rPr>
          <w:rFonts w:ascii="Arial" w:hAnsi="Arial" w:cs="Arial"/>
          <w:bCs/>
          <w:color w:val="1A1A1A" w:themeColor="background1" w:themeShade="1A"/>
        </w:rPr>
        <w:t xml:space="preserve"> C-120 del 3 de marzo de 2020, C-152 del 16 de marzo de 2020, C-227 del 26 de mayo de 2020, C-400 del 30 de junio de 2020, </w:t>
      </w:r>
      <w:r w:rsidRPr="00866661">
        <w:rPr>
          <w:rFonts w:ascii="Arial" w:hAnsi="Arial" w:cs="Arial"/>
          <w:bCs/>
          <w:color w:val="1A1A1A" w:themeColor="background1" w:themeShade="1A"/>
        </w:rPr>
        <w:t>C</w:t>
      </w:r>
      <w:r>
        <w:rPr>
          <w:rFonts w:ascii="Arial" w:hAnsi="Arial" w:cs="Arial"/>
          <w:bCs/>
          <w:color w:val="1A1A1A" w:themeColor="background1" w:themeShade="1A"/>
        </w:rPr>
        <w:t>-</w:t>
      </w:r>
      <w:r w:rsidRPr="00866661">
        <w:rPr>
          <w:rFonts w:ascii="Arial" w:hAnsi="Arial" w:cs="Arial"/>
          <w:bCs/>
          <w:color w:val="1A1A1A" w:themeColor="background1" w:themeShade="1A"/>
        </w:rPr>
        <w:t>786 del 19 de enero de 2021, C-800 de 01 de febrero de 2021</w:t>
      </w:r>
      <w:r>
        <w:rPr>
          <w:rFonts w:ascii="Arial" w:hAnsi="Arial" w:cs="Arial"/>
          <w:bCs/>
          <w:color w:val="1A1A1A" w:themeColor="background1" w:themeShade="1A"/>
        </w:rPr>
        <w:t xml:space="preserve">, </w:t>
      </w:r>
      <w:r>
        <w:rPr>
          <w:rStyle w:val="normaltextrun"/>
          <w:rFonts w:ascii="Arial" w:hAnsi="Arial" w:cs="Arial"/>
          <w:color w:val="000000"/>
          <w:bdr w:val="none" w:sz="0" w:space="0" w:color="auto" w:frame="1"/>
          <w:lang w:val="es-ES"/>
        </w:rPr>
        <w:t xml:space="preserve">C-103 del 24 de marzo del 2021, C-140 del 9 de abril del 2021, </w:t>
      </w:r>
      <w:r>
        <w:rPr>
          <w:rStyle w:val="normaltextrun"/>
          <w:rFonts w:ascii="Arial" w:hAnsi="Arial" w:cs="Arial"/>
          <w:color w:val="000000"/>
          <w:shd w:val="clear" w:color="auto" w:fill="FFFFFF"/>
        </w:rPr>
        <w:t>C-237 del 26 de mayo de 2021, C- 133 del 7 de abril de 2021, C-318 del 29 de junio de 2021,</w:t>
      </w:r>
      <w:r>
        <w:rPr>
          <w:rFonts w:ascii="Arial" w:hAnsi="Arial" w:cs="Arial"/>
          <w:bCs/>
          <w:color w:val="1A1A1A" w:themeColor="background1" w:themeShade="1A"/>
        </w:rPr>
        <w:t xml:space="preserve"> </w:t>
      </w:r>
      <w:r w:rsidRPr="00866661">
        <w:rPr>
          <w:rFonts w:ascii="Arial" w:hAnsi="Arial" w:cs="Arial"/>
          <w:bCs/>
          <w:color w:val="1A1A1A" w:themeColor="background1" w:themeShade="1A"/>
        </w:rPr>
        <w:t>C-329 de 8 de julio de 2021</w:t>
      </w:r>
      <w:r>
        <w:rPr>
          <w:rFonts w:ascii="Arial" w:hAnsi="Arial" w:cs="Arial"/>
          <w:bCs/>
          <w:color w:val="1A1A1A" w:themeColor="background1" w:themeShade="1A"/>
        </w:rPr>
        <w:t xml:space="preserve">, </w:t>
      </w:r>
      <w:r>
        <w:rPr>
          <w:rStyle w:val="normaltextrun"/>
          <w:rFonts w:ascii="Arial" w:hAnsi="Arial" w:cs="Arial"/>
          <w:color w:val="000000"/>
          <w:bdr w:val="none" w:sz="0" w:space="0" w:color="auto" w:frame="1"/>
          <w:lang w:val="es-ES"/>
        </w:rPr>
        <w:t>C-406 del 13 de agosto de 2021</w:t>
      </w:r>
      <w:r>
        <w:rPr>
          <w:rFonts w:ascii="Arial" w:hAnsi="Arial" w:cs="Arial"/>
          <w:bCs/>
          <w:color w:val="1A1A1A" w:themeColor="background1" w:themeShade="1A"/>
        </w:rPr>
        <w:t xml:space="preserve">, C-407 del 25 de agosto de 2021, C-416 del 18 de agosto de 2021, C-538 del 27 de setiembre de 2021, C-560 del 22 de diciembre de 2021, C-142 del 30 de marzo de 2022, C-293 del 12 de abril de 2022, C-324 del 20 de mayo de 2022, C-395 del 17 de junio de 2022, C-401 del 30 de junio de 2022, C-426 del 5 de julio de 2022, C-490 del 21 de octubre de 2022, </w:t>
      </w:r>
      <w:r w:rsidRPr="00341683">
        <w:rPr>
          <w:rFonts w:ascii="Arial" w:hAnsi="Arial" w:cs="Arial"/>
          <w:bCs/>
          <w:color w:val="1A1A1A" w:themeColor="background1" w:themeShade="1A"/>
        </w:rPr>
        <w:t xml:space="preserve">se pronunció </w:t>
      </w:r>
      <w:r>
        <w:rPr>
          <w:rFonts w:ascii="Arial" w:hAnsi="Arial" w:cs="Arial"/>
          <w:bCs/>
          <w:color w:val="1A1A1A" w:themeColor="background1" w:themeShade="1A"/>
        </w:rPr>
        <w:t xml:space="preserve">sobre la obligatoriedad del Registro Único de Proponentes. </w:t>
      </w:r>
    </w:p>
    <w:p w14:paraId="5731ABF4" w14:textId="77777777" w:rsidR="00D43FFE" w:rsidRDefault="00D43FFE" w:rsidP="00D43FFE">
      <w:pPr>
        <w:spacing w:after="0" w:line="276" w:lineRule="auto"/>
        <w:jc w:val="both"/>
        <w:rPr>
          <w:rFonts w:ascii="Arial" w:hAnsi="Arial" w:cs="Arial"/>
          <w:bCs/>
          <w:color w:val="1A1A1A" w:themeColor="background1" w:themeShade="1A"/>
        </w:rPr>
      </w:pPr>
    </w:p>
    <w:p w14:paraId="279E8CB4" w14:textId="77777777" w:rsidR="00D43FFE" w:rsidRDefault="00D43FFE" w:rsidP="00D43FFE">
      <w:pPr>
        <w:spacing w:after="0" w:line="276" w:lineRule="auto"/>
        <w:ind w:firstLine="567"/>
        <w:jc w:val="both"/>
        <w:rPr>
          <w:rFonts w:ascii="Arial" w:hAnsi="Arial" w:cs="Arial"/>
          <w:bCs/>
          <w:color w:val="1A1A1A" w:themeColor="background1" w:themeShade="1A"/>
        </w:rPr>
      </w:pPr>
      <w:r>
        <w:rPr>
          <w:rFonts w:ascii="Arial" w:hAnsi="Arial" w:cs="Arial"/>
          <w:bCs/>
          <w:color w:val="1A1A1A" w:themeColor="background1" w:themeShade="1A"/>
        </w:rPr>
        <w:t>De igual forma,</w:t>
      </w:r>
      <w:r w:rsidRPr="00DE38AB">
        <w:rPr>
          <w:rFonts w:ascii="Arial" w:eastAsia="Calibri" w:hAnsi="Arial" w:cs="Arial"/>
          <w:color w:val="000000"/>
          <w:lang w:val="es-ES_tradnl" w:eastAsia="es-ES_tradnl"/>
        </w:rPr>
        <w:t xml:space="preserve"> </w:t>
      </w:r>
      <w:r w:rsidRPr="00DE38AB">
        <w:rPr>
          <w:rFonts w:ascii="Arial" w:eastAsia="Calibri" w:hAnsi="Arial" w:cs="Arial"/>
          <w:color w:val="000000"/>
          <w:szCs w:val="24"/>
          <w:lang w:val="es-ES_tradnl" w:eastAsia="es-ES_tradnl"/>
        </w:rPr>
        <w:t xml:space="preserve">expidió los conceptos C-124 del 25 de marzo de 2020, C-406 y C-477 del 13 de julio de 2020, C-612 del 2 de octubre de 2020, C-761 del 5 de enero de 2021, C- 297 del 17 de junio de 2021, C-339 del 14 de junio de 2021, C-367 del 26 de julio de 2021 y C-408 del 13 de agosto de 2021, </w:t>
      </w:r>
      <w:r>
        <w:rPr>
          <w:rFonts w:ascii="Arial" w:eastAsia="Calibri" w:hAnsi="Arial" w:cs="Arial"/>
          <w:color w:val="000000"/>
          <w:szCs w:val="24"/>
          <w:lang w:val="es-ES_tradnl" w:eastAsia="es-ES_tradnl"/>
        </w:rPr>
        <w:t xml:space="preserve">C-739 del 2 de febrero de 2022, C-043 del 1 de marzo de 2022, C-165 del 6 </w:t>
      </w:r>
      <w:r>
        <w:rPr>
          <w:rFonts w:ascii="Arial" w:eastAsia="Calibri" w:hAnsi="Arial" w:cs="Arial"/>
          <w:color w:val="000000"/>
          <w:szCs w:val="24"/>
          <w:lang w:val="es-ES_tradnl" w:eastAsia="es-ES_tradnl"/>
        </w:rPr>
        <w:lastRenderedPageBreak/>
        <w:t xml:space="preserve">de abril de 2022, C-629 del 26 de septiembre de 2022 C-082 del 19 de abril de 2023, entre otros, </w:t>
      </w:r>
      <w:r w:rsidRPr="00DE38AB">
        <w:rPr>
          <w:rFonts w:ascii="Arial" w:eastAsia="Calibri" w:hAnsi="Arial" w:cs="Arial"/>
          <w:color w:val="000000"/>
          <w:szCs w:val="24"/>
          <w:lang w:val="es-ES_tradnl" w:eastAsia="es-ES_tradnl"/>
        </w:rPr>
        <w:t>en los cuales analizó la forma como se debe desarrollar el concurso de méritos.</w:t>
      </w:r>
      <w:r>
        <w:rPr>
          <w:rFonts w:ascii="Arial" w:eastAsia="Calibri" w:hAnsi="Arial" w:cs="Arial"/>
          <w:color w:val="000000"/>
          <w:szCs w:val="24"/>
          <w:lang w:val="es-ES_tradnl" w:eastAsia="es-ES_tradnl"/>
        </w:rPr>
        <w:t xml:space="preserve"> Las tesis planteadas en dichas oportunidades se reiteran a continuación y se complementan en lo pertinente</w:t>
      </w:r>
    </w:p>
    <w:p w14:paraId="08889FCC" w14:textId="77777777" w:rsidR="00D43FFE" w:rsidRDefault="00D43FFE" w:rsidP="00D43FFE">
      <w:pPr>
        <w:spacing w:after="0" w:line="276" w:lineRule="auto"/>
        <w:jc w:val="both"/>
        <w:rPr>
          <w:rFonts w:ascii="Arial" w:hAnsi="Arial" w:cs="Arial"/>
          <w:bCs/>
          <w:color w:val="1A1A1A" w:themeColor="background1" w:themeShade="1A"/>
        </w:rPr>
      </w:pPr>
    </w:p>
    <w:p w14:paraId="7C6716BE" w14:textId="77777777" w:rsidR="00D43FFE" w:rsidRPr="0066787D" w:rsidRDefault="00D43FFE" w:rsidP="00D43FFE">
      <w:pPr>
        <w:spacing w:after="0" w:line="276" w:lineRule="auto"/>
        <w:contextualSpacing/>
        <w:jc w:val="both"/>
        <w:rPr>
          <w:rFonts w:ascii="Arial" w:eastAsia="Times New Roman" w:hAnsi="Arial" w:cs="Arial"/>
          <w:b/>
          <w:bCs/>
          <w:color w:val="000000"/>
          <w:szCs w:val="24"/>
          <w:lang w:val="es-ES_tradnl" w:eastAsia="es-ES_tradnl"/>
        </w:rPr>
      </w:pPr>
      <w:r w:rsidRPr="0066787D">
        <w:rPr>
          <w:rFonts w:ascii="Arial" w:eastAsia="Times New Roman" w:hAnsi="Arial" w:cs="Arial"/>
          <w:b/>
          <w:bCs/>
          <w:color w:val="000000"/>
          <w:szCs w:val="24"/>
          <w:lang w:val="es-ES_tradnl" w:eastAsia="es-ES_tradnl"/>
        </w:rPr>
        <w:t>2.1. Registro Único de Proponentes. Concepto y sujetos obligados</w:t>
      </w:r>
      <w:r>
        <w:rPr>
          <w:rFonts w:ascii="Arial" w:eastAsia="Times New Roman" w:hAnsi="Arial" w:cs="Arial"/>
          <w:b/>
          <w:bCs/>
          <w:color w:val="000000"/>
          <w:szCs w:val="24"/>
          <w:lang w:val="es-ES_tradnl" w:eastAsia="es-ES_tradnl"/>
        </w:rPr>
        <w:t xml:space="preserve"> a la inscripción </w:t>
      </w:r>
    </w:p>
    <w:p w14:paraId="19E07BB9" w14:textId="77777777" w:rsidR="00D43FFE" w:rsidRPr="004B5310" w:rsidRDefault="00D43FFE" w:rsidP="00D43FFE">
      <w:pPr>
        <w:spacing w:after="0" w:line="276" w:lineRule="auto"/>
        <w:contextualSpacing/>
        <w:jc w:val="both"/>
        <w:rPr>
          <w:rFonts w:ascii="Arial" w:eastAsia="Calibri" w:hAnsi="Arial" w:cs="Arial"/>
          <w:b/>
          <w:bCs/>
          <w:sz w:val="20"/>
          <w:szCs w:val="20"/>
          <w:lang w:val="es-ES_tradnl" w:eastAsia="es-ES_tradnl"/>
        </w:rPr>
      </w:pPr>
    </w:p>
    <w:p w14:paraId="53F7360E" w14:textId="77777777" w:rsidR="00D43FFE" w:rsidRPr="0066787D" w:rsidRDefault="00D43FFE" w:rsidP="00D43FFE">
      <w:pPr>
        <w:spacing w:after="0" w:line="276" w:lineRule="auto"/>
        <w:contextualSpacing/>
        <w:jc w:val="both"/>
        <w:rPr>
          <w:rFonts w:ascii="Arial" w:eastAsia="Times New Roman" w:hAnsi="Arial" w:cs="Arial"/>
          <w:color w:val="000000"/>
          <w:szCs w:val="24"/>
          <w:lang w:eastAsia="es-ES_tradnl"/>
        </w:rPr>
      </w:pPr>
      <w:r w:rsidRPr="0066787D">
        <w:rPr>
          <w:rFonts w:ascii="Arial" w:eastAsia="Times New Roman" w:hAnsi="Arial" w:cs="Arial"/>
          <w:color w:val="000000"/>
          <w:szCs w:val="24"/>
          <w:lang w:eastAsia="es-ES_tradnl"/>
        </w:rPr>
        <w:t xml:space="preserve">El Registro Único de Proponentes </w:t>
      </w:r>
      <w:r>
        <w:rPr>
          <w:rFonts w:ascii="Arial" w:eastAsia="Times New Roman" w:hAnsi="Arial" w:cs="Arial"/>
          <w:color w:val="000000"/>
          <w:szCs w:val="24"/>
          <w:lang w:eastAsia="es-ES_tradnl"/>
        </w:rPr>
        <w:t xml:space="preserve">–en adelante RUP– </w:t>
      </w:r>
      <w:r w:rsidRPr="0066787D">
        <w:rPr>
          <w:rFonts w:ascii="Arial" w:eastAsia="Times New Roman" w:hAnsi="Arial" w:cs="Arial"/>
          <w:color w:val="000000"/>
          <w:szCs w:val="24"/>
          <w:lang w:eastAsia="es-ES_tradnl"/>
        </w:rPr>
        <w:t>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 El Consejo de Estado definió la naturaleza y finalidad del RUP de la siguiente forma:</w:t>
      </w:r>
    </w:p>
    <w:p w14:paraId="4DE1ACB9" w14:textId="77777777" w:rsidR="00D43FFE" w:rsidRPr="0066787D" w:rsidRDefault="00D43FFE" w:rsidP="00D43FFE">
      <w:pPr>
        <w:spacing w:after="0" w:line="240" w:lineRule="auto"/>
        <w:ind w:right="426"/>
        <w:contextualSpacing/>
        <w:rPr>
          <w:rFonts w:ascii="Arial" w:eastAsia="Times New Roman" w:hAnsi="Arial" w:cs="Arial"/>
          <w:color w:val="000000"/>
          <w:szCs w:val="24"/>
          <w:lang w:eastAsia="es-ES_tradnl"/>
        </w:rPr>
      </w:pPr>
    </w:p>
    <w:p w14:paraId="65AC15CA" w14:textId="77777777" w:rsidR="00D43FFE" w:rsidRPr="0066787D" w:rsidRDefault="00D43FFE" w:rsidP="00D43FFE">
      <w:pPr>
        <w:tabs>
          <w:tab w:val="left" w:pos="8505"/>
        </w:tabs>
        <w:spacing w:after="0" w:line="240" w:lineRule="auto"/>
        <w:ind w:left="709" w:right="709"/>
        <w:contextualSpacing/>
        <w:jc w:val="both"/>
        <w:rPr>
          <w:rFonts w:ascii="Arial" w:eastAsia="Times New Roman" w:hAnsi="Arial" w:cs="Arial"/>
          <w:color w:val="000000"/>
          <w:sz w:val="21"/>
          <w:szCs w:val="21"/>
          <w:lang w:eastAsia="es-ES_tradnl"/>
        </w:rPr>
      </w:pPr>
      <w:r>
        <w:rPr>
          <w:rFonts w:ascii="Arial" w:eastAsia="Times New Roman" w:hAnsi="Arial" w:cs="Arial"/>
          <w:color w:val="000000"/>
          <w:sz w:val="21"/>
          <w:szCs w:val="21"/>
          <w:lang w:eastAsia="es-ES_tradnl"/>
        </w:rPr>
        <w:t>“</w:t>
      </w:r>
      <w:r w:rsidRPr="0066787D">
        <w:rPr>
          <w:rFonts w:ascii="Arial" w:eastAsia="Times New Roman" w:hAnsi="Arial" w:cs="Arial"/>
          <w:color w:val="000000"/>
          <w:sz w:val="21"/>
          <w:szCs w:val="21"/>
          <w:lang w:eastAsia="es-ES_tradnl"/>
        </w:rPr>
        <w:t>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r>
        <w:rPr>
          <w:rFonts w:ascii="Arial" w:eastAsia="Times New Roman" w:hAnsi="Arial" w:cs="Arial"/>
          <w:color w:val="000000"/>
          <w:sz w:val="21"/>
          <w:szCs w:val="21"/>
          <w:lang w:eastAsia="es-ES_tradnl"/>
        </w:rPr>
        <w:t>”</w:t>
      </w:r>
      <w:r w:rsidRPr="0066787D">
        <w:rPr>
          <w:rFonts w:ascii="Arial" w:eastAsia="Times New Roman" w:hAnsi="Arial" w:cs="Arial"/>
          <w:color w:val="000000"/>
          <w:sz w:val="21"/>
          <w:szCs w:val="21"/>
          <w:vertAlign w:val="superscript"/>
          <w:lang w:eastAsia="es-ES_tradnl"/>
        </w:rPr>
        <w:footnoteReference w:id="2"/>
      </w:r>
      <w:r w:rsidRPr="0066787D">
        <w:rPr>
          <w:rFonts w:ascii="Arial" w:eastAsia="Times New Roman" w:hAnsi="Arial" w:cs="Arial"/>
          <w:color w:val="000000"/>
          <w:sz w:val="21"/>
          <w:szCs w:val="21"/>
          <w:lang w:eastAsia="es-ES_tradnl"/>
        </w:rPr>
        <w:t>.</w:t>
      </w:r>
    </w:p>
    <w:p w14:paraId="15CCC565" w14:textId="77777777" w:rsidR="00D43FFE" w:rsidRPr="000D3453" w:rsidRDefault="00D43FFE" w:rsidP="00D43FFE">
      <w:pPr>
        <w:spacing w:after="0" w:line="276" w:lineRule="auto"/>
        <w:contextualSpacing/>
        <w:jc w:val="both"/>
        <w:rPr>
          <w:rFonts w:ascii="Arial" w:eastAsia="Times New Roman" w:hAnsi="Arial" w:cs="Arial"/>
          <w:color w:val="000000"/>
          <w:lang w:eastAsia="es-ES_tradnl"/>
        </w:rPr>
      </w:pPr>
    </w:p>
    <w:p w14:paraId="6BBD7374" w14:textId="77777777" w:rsidR="00D43FFE" w:rsidRPr="0066787D" w:rsidRDefault="00D43FFE" w:rsidP="00D43FFE">
      <w:pPr>
        <w:spacing w:after="120" w:line="276" w:lineRule="auto"/>
        <w:ind w:firstLine="709"/>
        <w:jc w:val="both"/>
        <w:rPr>
          <w:rFonts w:ascii="Arial" w:eastAsia="Times New Roman" w:hAnsi="Arial" w:cs="Arial"/>
          <w:color w:val="000000"/>
          <w:szCs w:val="24"/>
          <w:lang w:eastAsia="es-ES_tradnl"/>
        </w:rPr>
      </w:pPr>
      <w:r w:rsidRPr="0066787D">
        <w:rPr>
          <w:rFonts w:ascii="Arial" w:eastAsia="Times New Roman" w:hAnsi="Arial" w:cs="Arial"/>
          <w:color w:val="000000"/>
          <w:szCs w:val="24"/>
          <w:lang w:eastAsia="es-ES_tradnl"/>
        </w:rPr>
        <w:t xml:space="preserve">El artículo 6.1 de la Ley 1150 de 2007 dispone que el </w:t>
      </w:r>
      <w:r>
        <w:rPr>
          <w:rFonts w:ascii="Arial" w:eastAsia="Times New Roman" w:hAnsi="Arial" w:cs="Arial"/>
          <w:color w:val="000000"/>
          <w:szCs w:val="24"/>
          <w:lang w:eastAsia="es-ES_tradnl"/>
        </w:rPr>
        <w:t>RUP</w:t>
      </w:r>
      <w:r w:rsidRPr="0066787D">
        <w:rPr>
          <w:rFonts w:ascii="Arial" w:eastAsia="Times New Roman" w:hAnsi="Arial" w:cs="Arial"/>
          <w:color w:val="000000"/>
          <w:szCs w:val="24"/>
          <w:lang w:eastAsia="es-ES_tradnl"/>
        </w:rPr>
        <w:t xml:space="preserve"> es plena prueba de la información que contiene</w:t>
      </w:r>
      <w:r w:rsidRPr="0066787D">
        <w:rPr>
          <w:rFonts w:ascii="Arial" w:eastAsia="Times New Roman" w:hAnsi="Arial" w:cs="Arial"/>
          <w:color w:val="000000"/>
          <w:szCs w:val="24"/>
          <w:vertAlign w:val="superscript"/>
          <w:lang w:eastAsia="es-ES_tradnl"/>
        </w:rPr>
        <w:footnoteReference w:id="3"/>
      </w:r>
      <w:r w:rsidRPr="0066787D">
        <w:rPr>
          <w:rFonts w:ascii="Arial" w:eastAsia="Times New Roman" w:hAnsi="Arial" w:cs="Arial"/>
          <w:color w:val="000000"/>
          <w:szCs w:val="24"/>
          <w:lang w:eastAsia="es-ES_tradnl"/>
        </w:rPr>
        <w:t xml:space="preserve">. Por su parte, el artículo 5.1, al fijar los criterios para garantizar la selección objetiva, dispone que las Cámaras de Comercio verificarán la información suministrada por las personas naturales o jurídicas para la inscripción en el registro. Esta información debe </w:t>
      </w:r>
      <w:r w:rsidRPr="0066787D">
        <w:rPr>
          <w:rFonts w:ascii="Arial" w:eastAsia="Times New Roman" w:hAnsi="Arial" w:cs="Arial"/>
          <w:color w:val="000000"/>
          <w:szCs w:val="24"/>
          <w:lang w:eastAsia="es-ES_tradnl"/>
        </w:rPr>
        <w:lastRenderedPageBreak/>
        <w:t>tenerse en cuenta por</w:t>
      </w:r>
      <w:r>
        <w:rPr>
          <w:rFonts w:ascii="Arial" w:eastAsia="Times New Roman" w:hAnsi="Arial" w:cs="Arial"/>
          <w:color w:val="000000"/>
          <w:szCs w:val="24"/>
          <w:lang w:eastAsia="es-ES_tradnl"/>
        </w:rPr>
        <w:t xml:space="preserve"> parte de</w:t>
      </w:r>
      <w:r w:rsidRPr="0066787D">
        <w:rPr>
          <w:rFonts w:ascii="Arial" w:eastAsia="Times New Roman" w:hAnsi="Arial" w:cs="Arial"/>
          <w:color w:val="000000"/>
          <w:szCs w:val="24"/>
          <w:lang w:eastAsia="es-ES_tradnl"/>
        </w:rPr>
        <w:t xml:space="preserve"> las entidades </w:t>
      </w:r>
      <w:r>
        <w:rPr>
          <w:rFonts w:ascii="Arial" w:eastAsia="Times New Roman" w:hAnsi="Arial" w:cs="Arial"/>
          <w:color w:val="000000"/>
          <w:szCs w:val="24"/>
          <w:lang w:eastAsia="es-ES_tradnl"/>
        </w:rPr>
        <w:t xml:space="preserve">estatales </w:t>
      </w:r>
      <w:r w:rsidRPr="0066787D">
        <w:rPr>
          <w:rFonts w:ascii="Arial" w:eastAsia="Times New Roman" w:hAnsi="Arial" w:cs="Arial"/>
          <w:color w:val="000000"/>
          <w:szCs w:val="24"/>
          <w:lang w:eastAsia="es-ES_tradnl"/>
        </w:rPr>
        <w:t>en los procedimientos de contratación en los que es exigible el RUP</w:t>
      </w:r>
      <w:r w:rsidRPr="0066787D">
        <w:rPr>
          <w:rFonts w:ascii="Arial" w:eastAsia="Times New Roman" w:hAnsi="Arial" w:cs="Arial"/>
          <w:color w:val="000000"/>
          <w:szCs w:val="24"/>
          <w:vertAlign w:val="superscript"/>
          <w:lang w:eastAsia="es-ES_tradnl"/>
        </w:rPr>
        <w:footnoteReference w:id="4"/>
      </w:r>
      <w:r w:rsidRPr="0066787D">
        <w:rPr>
          <w:rFonts w:ascii="Arial" w:eastAsia="Times New Roman" w:hAnsi="Arial" w:cs="Arial"/>
          <w:color w:val="000000"/>
          <w:szCs w:val="24"/>
          <w:lang w:eastAsia="es-ES_tradnl"/>
        </w:rPr>
        <w:t>. De esta forma, la capacidad jurídica y las condiciones de experiencia, capacidad financiera y de organización de los proponentes deberán verifica</w:t>
      </w:r>
      <w:r>
        <w:rPr>
          <w:rFonts w:ascii="Arial" w:eastAsia="Times New Roman" w:hAnsi="Arial" w:cs="Arial"/>
          <w:color w:val="000000"/>
          <w:szCs w:val="24"/>
          <w:lang w:eastAsia="es-ES_tradnl"/>
        </w:rPr>
        <w:t>rse</w:t>
      </w:r>
      <w:r w:rsidRPr="0066787D">
        <w:rPr>
          <w:rFonts w:ascii="Arial" w:eastAsia="Times New Roman" w:hAnsi="Arial" w:cs="Arial"/>
          <w:color w:val="000000"/>
          <w:szCs w:val="24"/>
          <w:lang w:eastAsia="es-ES_tradnl"/>
        </w:rPr>
        <w:t xml:space="preserve"> exclusivamente a través del </w:t>
      </w:r>
      <w:r>
        <w:rPr>
          <w:rFonts w:ascii="Arial" w:eastAsia="Times New Roman" w:hAnsi="Arial" w:cs="Arial"/>
          <w:color w:val="000000"/>
          <w:szCs w:val="24"/>
          <w:lang w:eastAsia="es-ES_tradnl"/>
        </w:rPr>
        <w:t>RUP</w:t>
      </w:r>
      <w:r w:rsidRPr="0066787D">
        <w:rPr>
          <w:rFonts w:ascii="Arial" w:eastAsia="Times New Roman" w:hAnsi="Arial" w:cs="Arial"/>
          <w:color w:val="000000"/>
          <w:szCs w:val="24"/>
          <w:lang w:eastAsia="es-ES_tradnl"/>
        </w:rPr>
        <w:t>, pues este documento es plena prueba de la información financiera, de experiencia y de capacidad acreditada por la persona natural o jurídica</w:t>
      </w:r>
      <w:r w:rsidRPr="0066787D">
        <w:rPr>
          <w:rFonts w:ascii="Arial" w:eastAsia="Times New Roman" w:hAnsi="Arial" w:cs="Arial"/>
          <w:color w:val="000000"/>
          <w:szCs w:val="24"/>
          <w:vertAlign w:val="superscript"/>
          <w:lang w:eastAsia="es-ES_tradnl"/>
        </w:rPr>
        <w:footnoteReference w:id="5"/>
      </w:r>
      <w:r w:rsidRPr="0066787D">
        <w:rPr>
          <w:rFonts w:ascii="Arial" w:eastAsia="Times New Roman" w:hAnsi="Arial" w:cs="Arial"/>
          <w:color w:val="000000"/>
          <w:szCs w:val="24"/>
          <w:lang w:eastAsia="es-ES_tradnl"/>
        </w:rPr>
        <w:t xml:space="preserve">. </w:t>
      </w:r>
    </w:p>
    <w:p w14:paraId="5E031915" w14:textId="77777777" w:rsidR="00D43FFE" w:rsidRPr="0066787D" w:rsidRDefault="00D43FFE" w:rsidP="00D43FFE">
      <w:pPr>
        <w:spacing w:before="120" w:after="120" w:line="276" w:lineRule="auto"/>
        <w:ind w:firstLine="709"/>
        <w:jc w:val="both"/>
        <w:rPr>
          <w:rFonts w:ascii="Arial" w:eastAsia="Times New Roman" w:hAnsi="Arial" w:cs="Arial"/>
          <w:color w:val="000000"/>
          <w:szCs w:val="24"/>
          <w:lang w:eastAsia="es-ES_tradnl"/>
        </w:rPr>
      </w:pPr>
      <w:r w:rsidRPr="0066787D">
        <w:rPr>
          <w:rFonts w:ascii="Arial" w:eastAsia="Times New Roman" w:hAnsi="Arial" w:cs="Arial"/>
          <w:color w:val="000000"/>
          <w:szCs w:val="24"/>
          <w:lang w:eastAsia="es-ES_tradnl"/>
        </w:rPr>
        <w:t>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r w:rsidRPr="0066787D">
        <w:rPr>
          <w:rFonts w:ascii="Arial" w:eastAsia="Times New Roman" w:hAnsi="Arial" w:cs="Arial"/>
          <w:color w:val="000000"/>
          <w:szCs w:val="24"/>
          <w:vertAlign w:val="superscript"/>
          <w:lang w:eastAsia="es-ES_tradnl"/>
        </w:rPr>
        <w:footnoteReference w:id="6"/>
      </w:r>
      <w:r w:rsidRPr="0066787D">
        <w:rPr>
          <w:rFonts w:ascii="Arial" w:eastAsia="Times New Roman" w:hAnsi="Arial" w:cs="Arial"/>
          <w:color w:val="000000"/>
          <w:szCs w:val="24"/>
          <w:lang w:eastAsia="es-ES_tradnl"/>
        </w:rPr>
        <w:t xml:space="preserve">. </w:t>
      </w:r>
      <w:r w:rsidRPr="0066787D">
        <w:rPr>
          <w:rFonts w:ascii="Arial" w:eastAsia="Times New Roman" w:hAnsi="Arial" w:cs="Arial"/>
          <w:szCs w:val="24"/>
          <w:lang w:val="es-ES_tradnl" w:eastAsia="es-ES_tradnl"/>
        </w:rPr>
        <w:t xml:space="preserve">Estas excepciones son taxativas y se rigen por una interpretación restrictiva. Así lo dispone el artículo 2.2.1.1.1.5.1 del Decreto 1082 de 2015, al prescribir que la inscripción en el RUP es imperativa para los sujetos mencionados en el primer inciso del artículo 6 de la Ley 1150 de 2007, salvo las excepciones previstas de forma taxativa en la ley. </w:t>
      </w:r>
      <w:r w:rsidRPr="0066787D">
        <w:rPr>
          <w:rFonts w:ascii="Arial" w:eastAsia="Times New Roman" w:hAnsi="Arial" w:cs="Arial"/>
          <w:color w:val="000000"/>
          <w:szCs w:val="24"/>
          <w:lang w:eastAsia="es-ES_tradnl"/>
        </w:rPr>
        <w:t xml:space="preserve">Adicionalmente, el numeral 6.1. del artículo 6 de la Ley 1150 de 2007 establece que cuando sea necesario verificar requisitos o información que no reposa en RUP, la entidad podrá solicitar información adicional –por ejemplo, longitudes </w:t>
      </w:r>
      <w:r w:rsidRPr="0066787D">
        <w:rPr>
          <w:rFonts w:ascii="Arial" w:eastAsia="Times New Roman" w:hAnsi="Arial" w:cs="Arial"/>
          <w:color w:val="000000"/>
          <w:szCs w:val="24"/>
          <w:lang w:eastAsia="es-ES_tradnl"/>
        </w:rPr>
        <w:lastRenderedPageBreak/>
        <w:t>de obra, especificaciones técnicas, etc.– solo para complementar la información contenida en el RUP</w:t>
      </w:r>
      <w:r w:rsidRPr="0066787D">
        <w:rPr>
          <w:rFonts w:ascii="Arial" w:eastAsia="Times New Roman" w:hAnsi="Arial" w:cs="Arial"/>
          <w:color w:val="000000"/>
          <w:szCs w:val="24"/>
          <w:vertAlign w:val="superscript"/>
          <w:lang w:eastAsia="es-ES_tradnl"/>
        </w:rPr>
        <w:footnoteReference w:id="7"/>
      </w:r>
      <w:r w:rsidRPr="0066787D">
        <w:rPr>
          <w:rFonts w:ascii="Arial" w:eastAsia="Times New Roman" w:hAnsi="Arial" w:cs="Arial"/>
          <w:color w:val="000000"/>
          <w:szCs w:val="24"/>
          <w:lang w:eastAsia="es-ES_tradnl"/>
        </w:rPr>
        <w:t>.</w:t>
      </w:r>
    </w:p>
    <w:p w14:paraId="37E622DB" w14:textId="77777777" w:rsidR="00D43FFE" w:rsidRPr="0066787D" w:rsidRDefault="00D43FFE" w:rsidP="00D43FFE">
      <w:pPr>
        <w:spacing w:before="120" w:after="120" w:line="276" w:lineRule="auto"/>
        <w:ind w:firstLine="709"/>
        <w:jc w:val="both"/>
        <w:rPr>
          <w:rFonts w:ascii="Arial" w:eastAsia="Times New Roman" w:hAnsi="Arial" w:cs="Arial"/>
          <w:color w:val="000000"/>
          <w:szCs w:val="24"/>
          <w:lang w:eastAsia="es-ES_tradnl"/>
        </w:rPr>
      </w:pPr>
      <w:r w:rsidRPr="0066787D">
        <w:rPr>
          <w:rFonts w:ascii="Arial" w:eastAsia="Times New Roman" w:hAnsi="Arial" w:cs="Arial"/>
          <w:color w:val="000000"/>
          <w:szCs w:val="24"/>
          <w:lang w:eastAsia="es-ES_tradnl"/>
        </w:rPr>
        <w:t xml:space="preserve">En la exposición de motivos de la Ley 1150 de 2007 se expresa la necesidad de establecer excepciones a la regla general de la exigencia del </w:t>
      </w:r>
      <w:r>
        <w:rPr>
          <w:rFonts w:ascii="Arial" w:eastAsia="Times New Roman" w:hAnsi="Arial" w:cs="Arial"/>
          <w:color w:val="000000"/>
          <w:szCs w:val="24"/>
          <w:lang w:eastAsia="es-ES_tradnl"/>
        </w:rPr>
        <w:t>RUP</w:t>
      </w:r>
      <w:r w:rsidRPr="0066787D">
        <w:rPr>
          <w:rFonts w:ascii="Arial" w:eastAsia="Times New Roman" w:hAnsi="Arial" w:cs="Arial"/>
          <w:color w:val="000000"/>
          <w:szCs w:val="24"/>
          <w:lang w:eastAsia="es-ES_tradnl"/>
        </w:rPr>
        <w:t xml:space="preserve"> a las personas naturales o jurídicas que deseen participar en los procedimientos de contratación de las entidades estatales. Dispone que la cámara de comercio fungirá como verificadora de la información habilitante, sin perjuicio de que las entidades estatales verifiquen la información contenida en el RUP en relación con los requisitos solicitados en el pliego de condiciones</w:t>
      </w:r>
      <w:r w:rsidRPr="0066787D">
        <w:rPr>
          <w:rFonts w:ascii="Arial" w:eastAsia="Times New Roman" w:hAnsi="Arial" w:cs="Arial"/>
          <w:color w:val="000000"/>
          <w:szCs w:val="24"/>
          <w:vertAlign w:val="superscript"/>
          <w:lang w:eastAsia="es-ES_tradnl"/>
        </w:rPr>
        <w:footnoteReference w:id="8"/>
      </w:r>
      <w:r w:rsidRPr="0066787D">
        <w:rPr>
          <w:rFonts w:ascii="Arial" w:eastAsia="Times New Roman" w:hAnsi="Arial" w:cs="Arial"/>
          <w:color w:val="000000"/>
          <w:szCs w:val="24"/>
          <w:lang w:eastAsia="es-ES_tradnl"/>
        </w:rPr>
        <w:t>.</w:t>
      </w:r>
    </w:p>
    <w:p w14:paraId="12D3F870" w14:textId="77777777" w:rsidR="00D43FFE" w:rsidRPr="0066787D" w:rsidRDefault="00D43FFE" w:rsidP="00D43FFE">
      <w:pPr>
        <w:spacing w:before="120" w:after="120" w:line="276" w:lineRule="auto"/>
        <w:ind w:firstLine="709"/>
        <w:jc w:val="both"/>
        <w:rPr>
          <w:rFonts w:ascii="Arial" w:eastAsia="Times New Roman" w:hAnsi="Arial" w:cs="Arial"/>
          <w:color w:val="000000"/>
          <w:szCs w:val="24"/>
          <w:lang w:eastAsia="es-ES_tradnl"/>
        </w:rPr>
      </w:pPr>
      <w:r w:rsidRPr="0066787D">
        <w:rPr>
          <w:rFonts w:ascii="Arial" w:eastAsia="Times New Roman" w:hAnsi="Arial" w:cs="Arial"/>
          <w:color w:val="000000"/>
          <w:szCs w:val="24"/>
          <w:lang w:eastAsia="es-ES_tradnl"/>
        </w:rPr>
        <w:t>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oferentes. Lo anterior fue ratificado por el Consejo de Estado cuando enumeró las excepciones en las cuales las entidades tienen la obligación de verificar los requisitos habilitantes de los proponentes</w:t>
      </w:r>
      <w:r w:rsidRPr="0066787D">
        <w:rPr>
          <w:rFonts w:ascii="Arial" w:eastAsia="Times New Roman" w:hAnsi="Arial" w:cs="Arial"/>
          <w:color w:val="000000"/>
          <w:szCs w:val="24"/>
          <w:vertAlign w:val="superscript"/>
          <w:lang w:eastAsia="es-ES_tradnl"/>
        </w:rPr>
        <w:footnoteReference w:id="9"/>
      </w:r>
      <w:r w:rsidRPr="0066787D">
        <w:rPr>
          <w:rFonts w:ascii="Arial" w:eastAsia="Times New Roman" w:hAnsi="Arial" w:cs="Arial"/>
          <w:color w:val="000000"/>
          <w:szCs w:val="24"/>
          <w:lang w:eastAsia="es-ES_tradnl"/>
        </w:rPr>
        <w:t xml:space="preserve">.  </w:t>
      </w:r>
    </w:p>
    <w:p w14:paraId="68EEA219" w14:textId="77777777" w:rsidR="00D43FFE" w:rsidRDefault="00D43FFE" w:rsidP="00D43FFE">
      <w:pPr>
        <w:spacing w:before="120" w:after="120" w:line="276" w:lineRule="auto"/>
        <w:ind w:firstLine="709"/>
        <w:jc w:val="both"/>
        <w:rPr>
          <w:rFonts w:ascii="Arial" w:eastAsia="Times New Roman" w:hAnsi="Arial" w:cs="Arial"/>
          <w:color w:val="000000"/>
          <w:szCs w:val="24"/>
          <w:lang w:eastAsia="es-ES_tradnl"/>
        </w:rPr>
      </w:pPr>
      <w:r w:rsidRPr="0066787D">
        <w:rPr>
          <w:rFonts w:ascii="Arial" w:eastAsia="Times New Roman" w:hAnsi="Arial" w:cs="Arial"/>
          <w:color w:val="000000"/>
          <w:szCs w:val="24"/>
          <w:lang w:eastAsia="es-ES_tradnl"/>
        </w:rPr>
        <w:t>Ahora bien, el inciso 1 del artículo 6 de la Ley 1150 de 2007</w:t>
      </w:r>
      <w:r w:rsidRPr="0066787D">
        <w:rPr>
          <w:rFonts w:ascii="Arial" w:eastAsia="Times New Roman" w:hAnsi="Arial" w:cs="Arial"/>
          <w:color w:val="000000"/>
          <w:szCs w:val="24"/>
          <w:vertAlign w:val="superscript"/>
          <w:lang w:eastAsia="es-ES_tradnl"/>
        </w:rPr>
        <w:footnoteReference w:id="10"/>
      </w:r>
      <w:r w:rsidRPr="0066787D">
        <w:rPr>
          <w:rFonts w:ascii="Arial" w:eastAsia="Times New Roman" w:hAnsi="Arial" w:cs="Arial"/>
          <w:color w:val="000000"/>
          <w:szCs w:val="24"/>
          <w:lang w:eastAsia="es-ES_tradnl"/>
        </w:rPr>
        <w:t xml:space="preserve">, </w:t>
      </w:r>
      <w:r>
        <w:rPr>
          <w:rFonts w:ascii="Arial" w:eastAsia="Times New Roman" w:hAnsi="Arial" w:cs="Arial"/>
          <w:color w:val="000000"/>
          <w:szCs w:val="24"/>
          <w:lang w:eastAsia="es-ES_tradnl"/>
        </w:rPr>
        <w:t xml:space="preserve">mediante el cual se </w:t>
      </w:r>
      <w:r w:rsidRPr="0066787D">
        <w:rPr>
          <w:rFonts w:ascii="Arial" w:eastAsia="Times New Roman" w:hAnsi="Arial" w:cs="Arial"/>
          <w:color w:val="000000"/>
          <w:szCs w:val="24"/>
          <w:lang w:eastAsia="es-ES_tradnl"/>
        </w:rPr>
        <w:t>regula</w:t>
      </w:r>
      <w:r>
        <w:rPr>
          <w:rFonts w:ascii="Arial" w:eastAsia="Times New Roman" w:hAnsi="Arial" w:cs="Arial"/>
          <w:color w:val="000000"/>
          <w:szCs w:val="24"/>
          <w:lang w:eastAsia="es-ES_tradnl"/>
        </w:rPr>
        <w:t>n</w:t>
      </w:r>
      <w:r w:rsidRPr="0066787D">
        <w:rPr>
          <w:rFonts w:ascii="Arial" w:eastAsia="Times New Roman" w:hAnsi="Arial" w:cs="Arial"/>
          <w:color w:val="000000"/>
          <w:szCs w:val="24"/>
          <w:lang w:eastAsia="es-ES_tradnl"/>
        </w:rPr>
        <w:t xml:space="preserve"> los sujetos que deben inscribirse en el RUP, señaló que deben hacerlo las personas, naturales o </w:t>
      </w:r>
      <w:r w:rsidRPr="0066787D">
        <w:rPr>
          <w:rFonts w:ascii="Arial" w:eastAsia="Times New Roman" w:hAnsi="Arial" w:cs="Arial"/>
          <w:color w:val="000000"/>
          <w:szCs w:val="24"/>
          <w:lang w:eastAsia="es-ES_tradnl"/>
        </w:rPr>
        <w:lastRenderedPageBreak/>
        <w:t xml:space="preserve">jurídicas, nacionales o extranjeras que tengan domicilio o sucursal en el país. Estas personas tienen la obligación de registrarse en el RUP, en dos casos: a) pretendan celebrar contratos estatales y b) el procedimiento de contratación sea de aquellos en los cuales no se exceptúa el RUP, de acuerdo con el inciso 2 del artículo 6 de la Ley 1150 de 2007. </w:t>
      </w:r>
    </w:p>
    <w:p w14:paraId="25CD88E1" w14:textId="77777777" w:rsidR="00D43FFE" w:rsidRPr="00AB316F" w:rsidRDefault="00D43FFE" w:rsidP="00D43FFE">
      <w:pPr>
        <w:spacing w:after="120" w:line="276" w:lineRule="auto"/>
        <w:ind w:firstLine="709"/>
        <w:jc w:val="both"/>
        <w:rPr>
          <w:rFonts w:ascii="Arial" w:eastAsia="Calibri" w:hAnsi="Arial" w:cs="Arial"/>
        </w:rPr>
      </w:pPr>
      <w:r>
        <w:rPr>
          <w:rFonts w:ascii="Arial" w:eastAsia="Calibri" w:hAnsi="Arial" w:cs="Arial"/>
        </w:rPr>
        <w:t xml:space="preserve">Bajo este contexto, </w:t>
      </w:r>
      <w:r w:rsidRPr="00AB316F">
        <w:rPr>
          <w:rFonts w:ascii="Arial" w:eastAsia="Calibri" w:hAnsi="Arial" w:cs="Arial"/>
        </w:rPr>
        <w:t xml:space="preserve">la capacidad jurídica, las condiciones de experiencia, la capacidad financiera y de organización de los proponentes deberán verificarse exclusivamente con el Registro Único de Proponentes, </w:t>
      </w:r>
      <w:r w:rsidRPr="00981AA7">
        <w:rPr>
          <w:rFonts w:ascii="Arial" w:eastAsia="Calibri" w:hAnsi="Arial" w:cs="Arial"/>
        </w:rPr>
        <w:t>pues constituye plena prueba de</w:t>
      </w:r>
      <w:r>
        <w:rPr>
          <w:rFonts w:ascii="Arial" w:eastAsia="Calibri" w:hAnsi="Arial" w:cs="Arial"/>
        </w:rPr>
        <w:t xml:space="preserve"> </w:t>
      </w:r>
      <w:r w:rsidRPr="00981AA7">
        <w:rPr>
          <w:rFonts w:ascii="Arial" w:eastAsia="Calibri" w:hAnsi="Arial" w:cs="Arial"/>
        </w:rPr>
        <w:t>la información</w:t>
      </w:r>
      <w:r>
        <w:rPr>
          <w:rFonts w:ascii="Arial" w:eastAsia="Calibri" w:hAnsi="Arial" w:cs="Arial"/>
        </w:rPr>
        <w:t xml:space="preserve"> </w:t>
      </w:r>
      <w:r w:rsidRPr="00981AA7">
        <w:rPr>
          <w:rFonts w:ascii="Arial" w:eastAsia="Calibri" w:hAnsi="Arial" w:cs="Arial"/>
        </w:rPr>
        <w:t>contenida</w:t>
      </w:r>
      <w:r w:rsidRPr="00B67FE8">
        <w:rPr>
          <w:rFonts w:ascii="Arial" w:eastAsia="Calibri" w:hAnsi="Arial" w:cs="Arial"/>
        </w:rPr>
        <w:t xml:space="preserve"> </w:t>
      </w:r>
      <w:r w:rsidRPr="00981AA7">
        <w:rPr>
          <w:rFonts w:ascii="Arial" w:eastAsia="Calibri" w:hAnsi="Arial" w:cs="Arial"/>
        </w:rPr>
        <w:t xml:space="preserve">en </w:t>
      </w:r>
      <w:r>
        <w:rPr>
          <w:rFonts w:ascii="Arial" w:eastAsia="Calibri" w:hAnsi="Arial" w:cs="Arial"/>
        </w:rPr>
        <w:t xml:space="preserve">él. </w:t>
      </w:r>
      <w:r w:rsidRPr="00AB316F">
        <w:rPr>
          <w:rFonts w:ascii="Arial" w:eastAsia="Calibri" w:hAnsi="Arial" w:cs="Arial"/>
        </w:rPr>
        <w:t>No obstante,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 .</w:t>
      </w:r>
    </w:p>
    <w:p w14:paraId="5908D383" w14:textId="77777777" w:rsidR="00D43FFE" w:rsidRDefault="00D43FFE" w:rsidP="00D43FFE">
      <w:pPr>
        <w:spacing w:after="0" w:line="276" w:lineRule="auto"/>
        <w:ind w:firstLine="708"/>
        <w:jc w:val="both"/>
        <w:rPr>
          <w:rFonts w:ascii="Arial" w:eastAsia="Calibri" w:hAnsi="Arial" w:cs="Arial"/>
        </w:rPr>
      </w:pPr>
      <w:r w:rsidRPr="00AB316F">
        <w:rPr>
          <w:rFonts w:ascii="Arial" w:eastAsia="Calibri" w:hAnsi="Arial" w:cs="Arial"/>
        </w:rPr>
        <w:t>Lo anterior fue reafirmado por el Consejo de Estado, quien enlistó las excepciones en las cuales no es necesario estar inscrito en el RUP para participar en procedimientos de selección adelantados por las entidades estatales, incluyendo el supuesto en que se puede verificar información adicional a la contenida en él</w:t>
      </w:r>
      <w:r>
        <w:rPr>
          <w:rFonts w:ascii="Arial" w:eastAsia="Calibri" w:hAnsi="Arial" w:cs="Arial"/>
        </w:rPr>
        <w:t>:</w:t>
      </w:r>
    </w:p>
    <w:p w14:paraId="42A73623" w14:textId="77777777" w:rsidR="00D43FFE" w:rsidRPr="00AB316F" w:rsidRDefault="00D43FFE" w:rsidP="00D43FFE">
      <w:pPr>
        <w:spacing w:after="0" w:line="276" w:lineRule="auto"/>
        <w:ind w:firstLine="708"/>
        <w:jc w:val="both"/>
        <w:rPr>
          <w:rFonts w:ascii="Arial" w:eastAsia="Calibri" w:hAnsi="Arial" w:cs="Arial"/>
        </w:rPr>
      </w:pPr>
    </w:p>
    <w:p w14:paraId="23D4A59F" w14:textId="77777777" w:rsidR="00D43FFE" w:rsidRPr="00AB316F" w:rsidRDefault="00D43FFE" w:rsidP="00D43FFE">
      <w:pPr>
        <w:pStyle w:val="Prrafodelista"/>
        <w:numPr>
          <w:ilvl w:val="0"/>
          <w:numId w:val="5"/>
        </w:numPr>
        <w:spacing w:after="0" w:line="276" w:lineRule="auto"/>
        <w:jc w:val="both"/>
        <w:rPr>
          <w:rFonts w:ascii="Arial" w:eastAsia="Calibri" w:hAnsi="Arial" w:cs="Arial"/>
        </w:rPr>
      </w:pPr>
      <w:r w:rsidRPr="00AB316F">
        <w:rPr>
          <w:rFonts w:ascii="Arial" w:eastAsia="Calibri" w:hAnsi="Arial" w:cs="Arial"/>
        </w:rPr>
        <w:t>No se requiere el RUP respecto de los proponentes que pretenden celebrar los contratos enunciados en el inciso segundo del artículo 6 de la ley 1150, así como en los eventos de contratación directa.</w:t>
      </w:r>
    </w:p>
    <w:p w14:paraId="2FE2947D" w14:textId="77777777" w:rsidR="00D43FFE" w:rsidRPr="00AB316F" w:rsidRDefault="00D43FFE" w:rsidP="00D43FFE">
      <w:pPr>
        <w:pStyle w:val="Prrafodelista"/>
        <w:numPr>
          <w:ilvl w:val="0"/>
          <w:numId w:val="5"/>
        </w:numPr>
        <w:spacing w:before="240" w:after="0" w:line="276" w:lineRule="auto"/>
        <w:jc w:val="both"/>
        <w:rPr>
          <w:rFonts w:ascii="Arial" w:eastAsia="Calibri" w:hAnsi="Arial" w:cs="Arial"/>
        </w:rPr>
      </w:pPr>
      <w:r w:rsidRPr="00AB316F">
        <w:rPr>
          <w:rFonts w:ascii="Arial" w:eastAsia="Calibri" w:hAnsi="Arial" w:cs="Arial"/>
        </w:rPr>
        <w:t>Tratándose de personas naturales extranjeras sin domicilio en el país o de personas jurídicas extranjeras que no tengan sucursal en Colombia, o en aquellos casos en que el procedimiento de selección haya utilizado sistemas de precalificación.</w:t>
      </w:r>
    </w:p>
    <w:p w14:paraId="22673D14" w14:textId="77777777" w:rsidR="00D43FFE" w:rsidRPr="00AB316F" w:rsidRDefault="00D43FFE" w:rsidP="00D43FFE">
      <w:pPr>
        <w:pStyle w:val="Prrafodelista"/>
        <w:numPr>
          <w:ilvl w:val="0"/>
          <w:numId w:val="5"/>
        </w:numPr>
        <w:spacing w:after="0" w:line="276" w:lineRule="auto"/>
        <w:jc w:val="both"/>
        <w:rPr>
          <w:rFonts w:ascii="Arial" w:eastAsia="Calibri" w:hAnsi="Arial" w:cs="Arial"/>
        </w:rPr>
      </w:pPr>
      <w:r w:rsidRPr="00AB316F">
        <w:rPr>
          <w:rFonts w:ascii="Arial" w:eastAsia="Calibri" w:hAnsi="Arial" w:cs="Arial"/>
        </w:rPr>
        <w:t>Cuando por las características del objeto a contratar se requiera verificar requisitos del proponente adicionales a los contenidos en el RUP, caso donde puede exigirse el registro; solo que habrá información adicional que podrá verificar la entidad directamente.</w:t>
      </w:r>
    </w:p>
    <w:p w14:paraId="6D9EEE8C" w14:textId="77777777" w:rsidR="00D43FFE" w:rsidRDefault="00D43FFE" w:rsidP="00D43FFE">
      <w:pPr>
        <w:spacing w:after="0" w:line="276" w:lineRule="auto"/>
        <w:ind w:firstLine="708"/>
        <w:jc w:val="both"/>
        <w:rPr>
          <w:rFonts w:ascii="Arial" w:eastAsia="Calibri" w:hAnsi="Arial" w:cs="Arial"/>
        </w:rPr>
      </w:pPr>
    </w:p>
    <w:p w14:paraId="0532593D" w14:textId="77777777" w:rsidR="00D43FFE" w:rsidRPr="0066787D" w:rsidRDefault="00D43FFE" w:rsidP="00D43FFE">
      <w:pPr>
        <w:spacing w:after="120" w:line="276" w:lineRule="auto"/>
        <w:ind w:firstLine="709"/>
        <w:jc w:val="both"/>
        <w:rPr>
          <w:rFonts w:ascii="Arial" w:eastAsia="Times New Roman" w:hAnsi="Arial" w:cs="Arial"/>
          <w:color w:val="000000"/>
          <w:szCs w:val="24"/>
          <w:lang w:eastAsia="es-ES_tradnl"/>
        </w:rPr>
      </w:pPr>
      <w:r w:rsidRPr="00AB316F">
        <w:rPr>
          <w:rFonts w:ascii="Arial" w:eastAsia="Calibri" w:hAnsi="Arial" w:cs="Arial"/>
        </w:rPr>
        <w:t>Además de lo anterior, tampoco es un requisito obligatorio estar inscrito en el registro para celebrar los contratos con entidades privadas sin ánimo de lucro, con fundamento en el régimen establecido en el Decreto 092 de 2017, al igual que para participar en procedimientos de selección de entidades que no se rigen por el Estatuto General de Contratación de la Administración Pública, esto es, para celebrar contratos que tienen un régimen especial</w:t>
      </w:r>
      <w:r>
        <w:rPr>
          <w:rFonts w:ascii="Arial" w:eastAsia="Calibri" w:hAnsi="Arial" w:cs="Arial"/>
        </w:rPr>
        <w:t>.</w:t>
      </w:r>
    </w:p>
    <w:p w14:paraId="77962DAF" w14:textId="77777777" w:rsidR="00D43FFE" w:rsidRDefault="00D43FFE" w:rsidP="00D43FFE">
      <w:pPr>
        <w:spacing w:after="0" w:line="276" w:lineRule="auto"/>
        <w:ind w:firstLine="708"/>
        <w:jc w:val="both"/>
        <w:rPr>
          <w:rStyle w:val="eop"/>
          <w:rFonts w:ascii="Arial" w:hAnsi="Arial" w:cs="Arial"/>
          <w:color w:val="000000"/>
          <w:shd w:val="clear" w:color="auto" w:fill="FFFFFF"/>
        </w:rPr>
      </w:pPr>
      <w:r>
        <w:rPr>
          <w:rFonts w:ascii="Arial" w:eastAsia="Times New Roman" w:hAnsi="Arial" w:cs="Arial"/>
          <w:color w:val="000000"/>
          <w:szCs w:val="24"/>
          <w:lang w:eastAsia="es-ES_tradnl"/>
        </w:rPr>
        <w:lastRenderedPageBreak/>
        <w:t>Finalmente</w:t>
      </w:r>
      <w:r w:rsidRPr="0066787D">
        <w:rPr>
          <w:rFonts w:ascii="Arial" w:eastAsia="Times New Roman" w:hAnsi="Arial" w:cs="Arial"/>
          <w:color w:val="000000"/>
          <w:szCs w:val="24"/>
          <w:lang w:eastAsia="es-ES_tradnl"/>
        </w:rPr>
        <w:t>, el Decreto 1082 de 2015</w:t>
      </w:r>
      <w:r w:rsidRPr="0066787D">
        <w:rPr>
          <w:rFonts w:ascii="Arial" w:eastAsia="Times New Roman" w:hAnsi="Arial" w:cs="Arial"/>
          <w:color w:val="000000"/>
          <w:szCs w:val="24"/>
          <w:vertAlign w:val="superscript"/>
          <w:lang w:eastAsia="es-ES_tradnl"/>
        </w:rPr>
        <w:footnoteReference w:id="11"/>
      </w:r>
      <w:r w:rsidRPr="0066787D">
        <w:rPr>
          <w:rFonts w:ascii="Arial" w:eastAsia="Times New Roman" w:hAnsi="Arial" w:cs="Arial"/>
          <w:color w:val="000000"/>
          <w:szCs w:val="24"/>
          <w:lang w:eastAsia="es-ES_tradnl"/>
        </w:rPr>
        <w:t xml:space="preserve"> dispone quiénes deben inscribirse en el RUP, el momento de la renovación del registro, la información que puede actualizarse y la posibilidad de solicitar la cancelación de la inscripción, en cualquier momento ante la cámara de comercio correspondiente</w:t>
      </w:r>
      <w:r w:rsidRPr="0066787D">
        <w:rPr>
          <w:rFonts w:ascii="Arial" w:eastAsia="Times New Roman" w:hAnsi="Arial" w:cs="Arial"/>
          <w:color w:val="000000"/>
          <w:szCs w:val="24"/>
          <w:vertAlign w:val="superscript"/>
          <w:lang w:eastAsia="es-ES_tradnl"/>
        </w:rPr>
        <w:footnoteReference w:id="12"/>
      </w:r>
      <w:r w:rsidRPr="0066787D">
        <w:rPr>
          <w:rFonts w:ascii="Arial" w:eastAsia="Times New Roman" w:hAnsi="Arial" w:cs="Arial"/>
          <w:color w:val="000000"/>
          <w:szCs w:val="24"/>
          <w:lang w:eastAsia="es-ES_tradnl"/>
        </w:rPr>
        <w:t xml:space="preserve">. </w:t>
      </w:r>
      <w:r>
        <w:rPr>
          <w:rStyle w:val="normaltextrun"/>
          <w:rFonts w:ascii="Arial" w:hAnsi="Arial" w:cs="Arial"/>
          <w:color w:val="000000"/>
          <w:shd w:val="clear" w:color="auto" w:fill="FFFFFF"/>
          <w:lang w:val="es-ES"/>
        </w:rPr>
        <w:t>En este sentido, salvo las excepciones enunciadas, por regla general la capacidad jurídica, las condiciones de experiencia y la capacidad financiera y de organización de los proponentes deberán verificarse con el Registro Único de Proponentes, pues, de acuerdo con lo expuesto, este instrumento es plena prueba de la información que contiene, debiendo las entidades estatales efectuar su verificación, en aplicación de los principios que rigen la función administrativa, especialmente, los de selección objetiva y economía.</w:t>
      </w:r>
      <w:r>
        <w:rPr>
          <w:rStyle w:val="eop"/>
          <w:rFonts w:ascii="Arial" w:hAnsi="Arial" w:cs="Arial"/>
          <w:color w:val="000000"/>
          <w:shd w:val="clear" w:color="auto" w:fill="FFFFFF"/>
        </w:rPr>
        <w:t> </w:t>
      </w:r>
    </w:p>
    <w:p w14:paraId="57637913" w14:textId="77777777" w:rsidR="00D43FFE" w:rsidRDefault="00D43FFE" w:rsidP="00D43FFE">
      <w:pPr>
        <w:spacing w:after="0" w:line="276" w:lineRule="auto"/>
        <w:jc w:val="both"/>
        <w:rPr>
          <w:rStyle w:val="eop"/>
          <w:rFonts w:ascii="Arial" w:hAnsi="Arial" w:cs="Arial"/>
          <w:color w:val="000000"/>
          <w:shd w:val="clear" w:color="auto" w:fill="FFFFFF"/>
        </w:rPr>
      </w:pPr>
    </w:p>
    <w:p w14:paraId="1E28BA53" w14:textId="77777777" w:rsidR="00D43FFE" w:rsidRPr="00482CF9" w:rsidRDefault="00D43FFE" w:rsidP="00D43FFE">
      <w:pPr>
        <w:spacing w:after="0" w:line="276" w:lineRule="auto"/>
        <w:jc w:val="both"/>
        <w:rPr>
          <w:rFonts w:ascii="Arial" w:eastAsia="Calibri" w:hAnsi="Arial" w:cs="Arial"/>
          <w:b/>
          <w:bCs/>
          <w:color w:val="000000"/>
          <w:lang w:val="es-ES_tradnl"/>
        </w:rPr>
      </w:pPr>
      <w:r w:rsidRPr="00482CF9">
        <w:rPr>
          <w:rFonts w:ascii="Arial" w:eastAsia="Calibri" w:hAnsi="Arial" w:cs="Arial"/>
          <w:b/>
          <w:bCs/>
          <w:color w:val="000000"/>
          <w:lang w:val="es-ES_tradnl"/>
        </w:rPr>
        <w:t>2.</w:t>
      </w:r>
      <w:r>
        <w:rPr>
          <w:rFonts w:ascii="Arial" w:eastAsia="Calibri" w:hAnsi="Arial" w:cs="Arial"/>
          <w:b/>
          <w:bCs/>
          <w:color w:val="000000"/>
          <w:lang w:val="es-ES_tradnl"/>
        </w:rPr>
        <w:t>2</w:t>
      </w:r>
      <w:r w:rsidRPr="00482CF9">
        <w:rPr>
          <w:rFonts w:ascii="Arial" w:eastAsia="Calibri" w:hAnsi="Arial" w:cs="Arial"/>
          <w:b/>
          <w:bCs/>
          <w:color w:val="000000"/>
          <w:lang w:val="es-ES_tradnl"/>
        </w:rPr>
        <w:t>. Procedimiento del concurso de méritos después de los autos de suspensión provisional del Consejo de Estado</w:t>
      </w:r>
    </w:p>
    <w:p w14:paraId="1B80D5A0" w14:textId="77777777" w:rsidR="00D43FFE" w:rsidRPr="00482CF9" w:rsidRDefault="00D43FFE" w:rsidP="00D43FFE">
      <w:pPr>
        <w:spacing w:after="0" w:line="276" w:lineRule="auto"/>
        <w:jc w:val="both"/>
        <w:rPr>
          <w:rFonts w:ascii="Arial" w:eastAsia="Calibri" w:hAnsi="Arial" w:cs="Arial"/>
          <w:b/>
          <w:bCs/>
          <w:color w:val="000000"/>
          <w:lang w:val="es-ES_tradnl"/>
        </w:rPr>
      </w:pPr>
    </w:p>
    <w:p w14:paraId="38901BF0" w14:textId="77777777" w:rsidR="00D43FFE" w:rsidRPr="00482CF9" w:rsidRDefault="00D43FFE" w:rsidP="00D43FFE">
      <w:pPr>
        <w:spacing w:after="0" w:line="276" w:lineRule="auto"/>
        <w:jc w:val="both"/>
        <w:rPr>
          <w:rFonts w:ascii="Arial" w:eastAsia="Times New Roman" w:hAnsi="Arial" w:cs="Arial"/>
          <w:color w:val="000000"/>
          <w:szCs w:val="24"/>
          <w:lang w:val="es-ES_tradnl" w:eastAsia="es-ES_tradnl"/>
        </w:rPr>
      </w:pPr>
      <w:r w:rsidRPr="00482CF9">
        <w:rPr>
          <w:rFonts w:ascii="Arial" w:eastAsia="Calibri" w:hAnsi="Arial" w:cs="Arial"/>
          <w:color w:val="000000"/>
          <w:lang w:val="es-ES_tradnl"/>
        </w:rPr>
        <w:t xml:space="preserve">El </w:t>
      </w:r>
      <w:r w:rsidRPr="00482CF9">
        <w:rPr>
          <w:rFonts w:ascii="Arial" w:eastAsia="Calibri" w:hAnsi="Arial" w:cs="Arial"/>
          <w:i/>
          <w:iCs/>
          <w:color w:val="000000"/>
          <w:lang w:val="es-ES_tradnl"/>
        </w:rPr>
        <w:t xml:space="preserve">concurso de méritos </w:t>
      </w:r>
      <w:r w:rsidRPr="00482CF9">
        <w:rPr>
          <w:rFonts w:ascii="Arial" w:eastAsia="Calibri" w:hAnsi="Arial" w:cs="Arial"/>
          <w:color w:val="000000"/>
          <w:lang w:val="es-ES_tradnl"/>
        </w:rPr>
        <w:t xml:space="preserve">es un procedimiento de selección que deben realizar las entidades estales para escoger </w:t>
      </w:r>
      <w:r>
        <w:rPr>
          <w:rFonts w:ascii="Arial" w:hAnsi="Arial" w:cs="Arial"/>
          <w:color w:val="000000" w:themeColor="text1"/>
          <w:lang w:val="es-ES_tradnl"/>
        </w:rPr>
        <w:t>“</w:t>
      </w:r>
      <w:r w:rsidRPr="00482CF9">
        <w:rPr>
          <w:rFonts w:ascii="Arial" w:hAnsi="Arial" w:cs="Arial"/>
          <w:color w:val="000000" w:themeColor="text1"/>
          <w:lang w:val="es-ES_tradnl"/>
        </w:rPr>
        <w:t>consultores y proyectos</w:t>
      </w:r>
      <w:r>
        <w:rPr>
          <w:rFonts w:ascii="Arial" w:hAnsi="Arial" w:cs="Arial"/>
          <w:color w:val="000000" w:themeColor="text1"/>
          <w:lang w:val="es-ES_tradnl"/>
        </w:rPr>
        <w:t>”</w:t>
      </w:r>
      <w:r w:rsidRPr="00482CF9">
        <w:rPr>
          <w:rFonts w:ascii="Arial" w:hAnsi="Arial" w:cs="Arial"/>
          <w:color w:val="000000" w:themeColor="text1"/>
          <w:lang w:val="es-ES_tradnl"/>
        </w:rPr>
        <w:t xml:space="preserve">, es decir, para celebrar contratos de consultoría, entendidos estos últimos como aquellos </w:t>
      </w:r>
      <w:r>
        <w:rPr>
          <w:rFonts w:ascii="Arial" w:hAnsi="Arial" w:cs="Arial"/>
          <w:color w:val="000000" w:themeColor="text1"/>
          <w:lang w:val="es-ES_tradnl"/>
        </w:rPr>
        <w:t>“</w:t>
      </w:r>
      <w:r w:rsidRPr="00482CF9">
        <w:rPr>
          <w:rFonts w:ascii="Arial" w:hAnsi="Arial" w:cs="Arial"/>
          <w:color w:val="000000" w:themeColor="text1"/>
          <w:lang w:val="es-ES_tradnl"/>
        </w:rPr>
        <w:t>[…]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r>
        <w:rPr>
          <w:rFonts w:ascii="Arial" w:eastAsia="Times New Roman" w:hAnsi="Arial" w:cs="Arial"/>
          <w:color w:val="000000"/>
          <w:szCs w:val="24"/>
          <w:lang w:val="es-ES_tradnl" w:eastAsia="es-ES_tradnl"/>
        </w:rPr>
        <w:t>”</w:t>
      </w:r>
      <w:r w:rsidRPr="00482CF9">
        <w:rPr>
          <w:rFonts w:ascii="Arial" w:eastAsia="Times New Roman" w:hAnsi="Arial" w:cs="Arial"/>
          <w:color w:val="000000"/>
          <w:szCs w:val="24"/>
          <w:lang w:val="es-ES_tradnl" w:eastAsia="es-ES_tradnl"/>
        </w:rPr>
        <w:t>, según lo dispuesto en el artículo 32, numeral 2, de la Ley 80 de 1993.</w:t>
      </w:r>
    </w:p>
    <w:p w14:paraId="0B8CA49A" w14:textId="77777777" w:rsidR="00D43FFE" w:rsidRPr="00482CF9" w:rsidRDefault="00D43FFE" w:rsidP="00D43FFE">
      <w:pPr>
        <w:spacing w:before="120" w:after="0" w:line="276" w:lineRule="auto"/>
        <w:jc w:val="both"/>
        <w:rPr>
          <w:rFonts w:ascii="Arial" w:eastAsia="Times New Roman" w:hAnsi="Arial" w:cs="Arial"/>
          <w:color w:val="000000"/>
          <w:szCs w:val="24"/>
          <w:lang w:val="es-ES_tradnl" w:eastAsia="es-ES_tradnl"/>
        </w:rPr>
      </w:pPr>
      <w:r w:rsidRPr="00482CF9">
        <w:rPr>
          <w:rFonts w:ascii="Arial" w:eastAsia="Times New Roman" w:hAnsi="Arial" w:cs="Arial"/>
          <w:color w:val="000000"/>
          <w:szCs w:val="24"/>
          <w:lang w:val="es-ES_tradnl" w:eastAsia="es-ES_tradnl"/>
        </w:rPr>
        <w:tab/>
        <w:t xml:space="preserve">El Libro 2, Parte 2, Título 1, Capítulo 2, Sección 1, Subsección 3 del Decreto 1082 de 2015, regula las distintas modalidades del concurso de méritos: i) concurso de méritos abierto o sin precalificación, ii) concurso de méritos cerrado o con precalificación y ii) concurso de méritos </w:t>
      </w:r>
      <w:r>
        <w:rPr>
          <w:rFonts w:ascii="Arial" w:eastAsia="Times New Roman" w:hAnsi="Arial" w:cs="Arial"/>
          <w:color w:val="000000"/>
          <w:szCs w:val="24"/>
          <w:lang w:val="es-ES_tradnl" w:eastAsia="es-ES_tradnl"/>
        </w:rPr>
        <w:t>“</w:t>
      </w:r>
      <w:r w:rsidRPr="00482CF9">
        <w:rPr>
          <w:rFonts w:ascii="Arial" w:eastAsia="Times New Roman" w:hAnsi="Arial" w:cs="Arial"/>
          <w:color w:val="000000"/>
          <w:szCs w:val="24"/>
          <w:lang w:val="es-ES_tradnl" w:eastAsia="es-ES_tradnl"/>
        </w:rPr>
        <w:t>para la selección de consultores de diseño, planos, anteproyectos y proyectos arquitectónicos</w:t>
      </w:r>
      <w:r>
        <w:rPr>
          <w:rFonts w:ascii="Arial" w:eastAsia="Times New Roman" w:hAnsi="Arial" w:cs="Arial"/>
          <w:color w:val="000000"/>
          <w:szCs w:val="24"/>
          <w:lang w:val="es-ES_tradnl" w:eastAsia="es-ES_tradnl"/>
        </w:rPr>
        <w:t>”</w:t>
      </w:r>
      <w:r w:rsidRPr="00482CF9">
        <w:rPr>
          <w:rFonts w:ascii="Arial" w:eastAsia="Times New Roman" w:hAnsi="Arial" w:cs="Arial"/>
          <w:color w:val="000000"/>
          <w:szCs w:val="24"/>
          <w:lang w:val="es-ES_tradnl" w:eastAsia="es-ES_tradnl"/>
        </w:rPr>
        <w:t xml:space="preserve">. El primero está regulado en los artículos 2.2.1.2.1.3.1 y 2.2.1.2.1.3.2 </w:t>
      </w:r>
      <w:r w:rsidRPr="00482CF9">
        <w:rPr>
          <w:rFonts w:ascii="Arial" w:eastAsia="Times New Roman" w:hAnsi="Arial" w:cs="Arial"/>
          <w:i/>
          <w:iCs/>
          <w:color w:val="000000"/>
          <w:szCs w:val="24"/>
          <w:lang w:val="es-ES_tradnl" w:eastAsia="es-ES_tradnl"/>
        </w:rPr>
        <w:t xml:space="preserve">ibídem. </w:t>
      </w:r>
      <w:r w:rsidRPr="00482CF9">
        <w:rPr>
          <w:rFonts w:ascii="Arial" w:eastAsia="Times New Roman" w:hAnsi="Arial" w:cs="Arial"/>
          <w:color w:val="000000"/>
          <w:szCs w:val="24"/>
          <w:lang w:val="es-ES_tradnl" w:eastAsia="es-ES_tradnl"/>
        </w:rPr>
        <w:t xml:space="preserve">El segundo, además de los dos artículos anteriores, lo regulan los artículos 2.2.1.2.1.3.3 a 2.2.1.2.1.3.7 </w:t>
      </w:r>
      <w:proofErr w:type="spellStart"/>
      <w:r w:rsidRPr="00482CF9">
        <w:rPr>
          <w:rFonts w:ascii="Arial" w:eastAsia="Times New Roman" w:hAnsi="Arial" w:cs="Arial"/>
          <w:i/>
          <w:iCs/>
          <w:color w:val="000000"/>
          <w:szCs w:val="24"/>
          <w:lang w:val="es-ES_tradnl" w:eastAsia="es-ES_tradnl"/>
        </w:rPr>
        <w:t>ejusdem</w:t>
      </w:r>
      <w:proofErr w:type="spellEnd"/>
      <w:r w:rsidRPr="00482CF9">
        <w:rPr>
          <w:rFonts w:ascii="Arial" w:eastAsia="Times New Roman" w:hAnsi="Arial" w:cs="Arial"/>
          <w:i/>
          <w:iCs/>
          <w:color w:val="000000"/>
          <w:szCs w:val="24"/>
          <w:lang w:val="es-ES_tradnl" w:eastAsia="es-ES_tradnl"/>
        </w:rPr>
        <w:t xml:space="preserve">. </w:t>
      </w:r>
      <w:r w:rsidRPr="00482CF9">
        <w:rPr>
          <w:rFonts w:ascii="Arial" w:eastAsia="Times New Roman" w:hAnsi="Arial" w:cs="Arial"/>
          <w:color w:val="000000"/>
          <w:szCs w:val="24"/>
          <w:lang w:val="es-ES_tradnl" w:eastAsia="es-ES_tradnl"/>
        </w:rPr>
        <w:t>El tercero lo regulan los artículos 2.2.1.2.1.3.8 a 2.2.1.2.1.3.25 del mencionado Decreto.</w:t>
      </w:r>
    </w:p>
    <w:p w14:paraId="2D935654" w14:textId="77777777" w:rsidR="00D43FFE" w:rsidRPr="00482CF9" w:rsidRDefault="00D43FFE" w:rsidP="00D43FFE">
      <w:pPr>
        <w:spacing w:before="120" w:after="0" w:line="276" w:lineRule="auto"/>
        <w:jc w:val="both"/>
        <w:rPr>
          <w:rFonts w:ascii="Arial" w:eastAsia="Times New Roman" w:hAnsi="Arial" w:cs="Arial"/>
          <w:color w:val="000000"/>
          <w:szCs w:val="24"/>
          <w:lang w:val="es-ES_tradnl" w:eastAsia="es-ES_tradnl"/>
        </w:rPr>
      </w:pPr>
      <w:r w:rsidRPr="00482CF9">
        <w:rPr>
          <w:rFonts w:ascii="Arial" w:eastAsia="Times New Roman" w:hAnsi="Arial" w:cs="Arial"/>
          <w:color w:val="000000"/>
          <w:szCs w:val="24"/>
          <w:lang w:val="es-ES_tradnl" w:eastAsia="es-ES_tradnl"/>
        </w:rPr>
        <w:lastRenderedPageBreak/>
        <w:tab/>
        <w:t xml:space="preserve">Ahora bien, la Sección Tercera del Consejo de Estado, </w:t>
      </w:r>
      <w:r w:rsidRPr="00482CF9">
        <w:rPr>
          <w:rFonts w:ascii="Arial" w:eastAsia="Calibri" w:hAnsi="Arial" w:cs="Arial"/>
          <w:color w:val="000000"/>
          <w:lang w:val="es-ES_tradnl"/>
        </w:rPr>
        <w:t>en autos del 25 de julio de 2018</w:t>
      </w:r>
      <w:r w:rsidRPr="00482CF9">
        <w:rPr>
          <w:rFonts w:ascii="Arial" w:eastAsia="Times New Roman" w:hAnsi="Arial" w:cs="Arial"/>
          <w:color w:val="000000"/>
          <w:szCs w:val="24"/>
          <w:vertAlign w:val="superscript"/>
          <w:lang w:val="es-ES_tradnl" w:eastAsia="es-ES_tradnl"/>
        </w:rPr>
        <w:footnoteReference w:id="13"/>
      </w:r>
      <w:r w:rsidRPr="00482CF9">
        <w:rPr>
          <w:rFonts w:ascii="Arial" w:eastAsia="Times New Roman" w:hAnsi="Arial" w:cs="Arial"/>
          <w:color w:val="000000"/>
          <w:szCs w:val="24"/>
          <w:lang w:val="es-ES_tradnl" w:eastAsia="es-ES_tradnl"/>
        </w:rPr>
        <w:t xml:space="preserve"> y del 20 de febrero de 2019</w:t>
      </w:r>
      <w:r w:rsidRPr="00482CF9">
        <w:rPr>
          <w:rFonts w:ascii="Arial" w:eastAsia="Times New Roman" w:hAnsi="Arial" w:cs="Arial"/>
          <w:color w:val="000000"/>
          <w:szCs w:val="24"/>
          <w:vertAlign w:val="superscript"/>
          <w:lang w:val="es-ES_tradnl" w:eastAsia="es-ES_tradnl"/>
        </w:rPr>
        <w:footnoteReference w:id="14"/>
      </w:r>
      <w:r w:rsidRPr="00482CF9">
        <w:rPr>
          <w:rFonts w:ascii="Arial" w:eastAsia="Times New Roman" w:hAnsi="Arial" w:cs="Arial"/>
          <w:color w:val="000000"/>
          <w:szCs w:val="24"/>
          <w:lang w:val="es-ES_tradnl" w:eastAsia="es-ES_tradnl"/>
        </w:rPr>
        <w:t>, suspendió provisionalmente, por un lado, el numeral 6 del artículo 2.2.1.2.1.3.2. original del Decreto 1082 de 2015 –antes de la modificación realizada por el Decreto 399 del 13 de abril de 2021– y, por el otro, los numerales 3, 4 y 5 de la misma disposición, en su redacción original. Las normas suspendidas regulaban el concurso de méritos abierto o sin precalificación. El texto de estos numerales disponía lo siguiente:</w:t>
      </w:r>
    </w:p>
    <w:p w14:paraId="086398B4" w14:textId="77777777" w:rsidR="00D43FFE" w:rsidRPr="00482CF9" w:rsidRDefault="00D43FFE" w:rsidP="00D43FFE">
      <w:pPr>
        <w:spacing w:before="120" w:after="0" w:line="276" w:lineRule="auto"/>
        <w:jc w:val="both"/>
        <w:rPr>
          <w:rFonts w:ascii="Arial" w:eastAsia="Times New Roman" w:hAnsi="Arial" w:cs="Arial"/>
          <w:color w:val="000000"/>
          <w:szCs w:val="24"/>
          <w:lang w:val="es-ES_tradnl" w:eastAsia="es-ES_tradnl"/>
        </w:rPr>
      </w:pPr>
    </w:p>
    <w:p w14:paraId="6FE5F01A" w14:textId="77777777" w:rsidR="00D43FFE" w:rsidRPr="00482CF9" w:rsidRDefault="00D43FFE" w:rsidP="00D43FFE">
      <w:pPr>
        <w:spacing w:after="120" w:line="240" w:lineRule="auto"/>
        <w:ind w:left="709" w:right="709"/>
        <w:jc w:val="both"/>
        <w:rPr>
          <w:rFonts w:ascii="Arial" w:eastAsia="Calibri" w:hAnsi="Arial" w:cs="Arial"/>
          <w:color w:val="000000"/>
          <w:sz w:val="21"/>
          <w:szCs w:val="21"/>
          <w:lang w:val="es-ES_tradnl"/>
        </w:rPr>
      </w:pPr>
      <w:r w:rsidRPr="00482CF9">
        <w:rPr>
          <w:rFonts w:ascii="Arial" w:eastAsia="Calibri" w:hAnsi="Arial" w:cs="Arial"/>
          <w:color w:val="000000"/>
          <w:sz w:val="21"/>
          <w:szCs w:val="21"/>
          <w:lang w:val="es-ES_tradnl"/>
        </w:rPr>
        <w:t>Artículo 2.2.1.2.1.3.2. Procedimiento del concurso de méritos. Además de las reglas generales previstas en la ley y en el presente título, las siguientes reglas son aplicables al concurso de méritos abierto o con precalificación:</w:t>
      </w:r>
    </w:p>
    <w:p w14:paraId="633916EB" w14:textId="77777777" w:rsidR="00D43FFE" w:rsidRPr="00482CF9" w:rsidRDefault="00D43FFE" w:rsidP="00D43FFE">
      <w:pPr>
        <w:spacing w:after="120" w:line="240" w:lineRule="auto"/>
        <w:ind w:left="709" w:right="709"/>
        <w:jc w:val="both"/>
        <w:rPr>
          <w:rFonts w:ascii="Arial" w:eastAsia="Calibri" w:hAnsi="Arial" w:cs="Arial"/>
          <w:color w:val="000000"/>
          <w:sz w:val="21"/>
          <w:szCs w:val="21"/>
          <w:lang w:val="es-ES_tradnl"/>
        </w:rPr>
      </w:pPr>
      <w:r w:rsidRPr="00482CF9">
        <w:rPr>
          <w:rFonts w:ascii="Arial" w:eastAsia="Calibri" w:hAnsi="Arial" w:cs="Arial"/>
          <w:color w:val="000000"/>
          <w:sz w:val="21"/>
          <w:szCs w:val="21"/>
          <w:lang w:val="es-ES_tradnl"/>
        </w:rPr>
        <w:t>1. La Entidad Estatal en los pliegos de condiciones debe indicar la forma como calificará, entre otros, los siguientes criterios: a) la experiencia del interesado y del equipo de trabajo, y b) la formación académica y las publicaciones técnicas y científicas del equipo de trabajo.</w:t>
      </w:r>
    </w:p>
    <w:p w14:paraId="203130C8" w14:textId="77777777" w:rsidR="00D43FFE" w:rsidRPr="00482CF9" w:rsidRDefault="00D43FFE" w:rsidP="00D43FFE">
      <w:pPr>
        <w:spacing w:after="120" w:line="240" w:lineRule="auto"/>
        <w:ind w:left="709" w:right="709"/>
        <w:jc w:val="both"/>
        <w:rPr>
          <w:rFonts w:ascii="Arial" w:eastAsia="Calibri" w:hAnsi="Arial" w:cs="Arial"/>
          <w:color w:val="000000"/>
          <w:sz w:val="21"/>
          <w:szCs w:val="21"/>
          <w:lang w:val="es-ES_tradnl"/>
        </w:rPr>
      </w:pPr>
      <w:r w:rsidRPr="00482CF9">
        <w:rPr>
          <w:rFonts w:ascii="Arial" w:eastAsia="Calibri" w:hAnsi="Arial" w:cs="Arial"/>
          <w:color w:val="000000"/>
          <w:sz w:val="21"/>
          <w:szCs w:val="21"/>
          <w:lang w:val="es-ES_tradnl"/>
        </w:rPr>
        <w:t>2. La Entidad Estatal debe publicar durante tres (3) días hábiles el informe de evaluación, el cual debe contener la calificación técnica y el orden de elegibilidad.</w:t>
      </w:r>
    </w:p>
    <w:p w14:paraId="1A29225B" w14:textId="77777777" w:rsidR="00D43FFE" w:rsidRPr="00482CF9" w:rsidRDefault="00D43FFE" w:rsidP="00D43FFE">
      <w:pPr>
        <w:spacing w:after="120" w:line="240" w:lineRule="auto"/>
        <w:ind w:left="709" w:right="709"/>
        <w:jc w:val="both"/>
        <w:rPr>
          <w:rFonts w:ascii="Arial" w:eastAsia="Calibri" w:hAnsi="Arial" w:cs="Arial"/>
          <w:i/>
          <w:color w:val="000000"/>
          <w:sz w:val="21"/>
          <w:szCs w:val="21"/>
          <w:lang w:val="es-ES_tradnl"/>
        </w:rPr>
      </w:pPr>
      <w:r w:rsidRPr="00482CF9">
        <w:rPr>
          <w:rFonts w:ascii="Arial" w:eastAsia="Calibri" w:hAnsi="Arial" w:cs="Arial"/>
          <w:i/>
          <w:color w:val="000000"/>
          <w:sz w:val="21"/>
          <w:szCs w:val="21"/>
          <w:lang w:val="es-ES_tradnl"/>
        </w:rPr>
        <w:t>3. La Entidad Estatal debe revisar la oferta económica y verificar que está en el rango del valor estimado consignado en los documentos y estudios previos y del presupuesto asignado para el contrato.</w:t>
      </w:r>
    </w:p>
    <w:p w14:paraId="3717AB4A" w14:textId="77777777" w:rsidR="00D43FFE" w:rsidRPr="00482CF9" w:rsidRDefault="00D43FFE" w:rsidP="00D43FFE">
      <w:pPr>
        <w:spacing w:after="120" w:line="240" w:lineRule="auto"/>
        <w:ind w:left="709" w:right="709"/>
        <w:jc w:val="both"/>
        <w:rPr>
          <w:rFonts w:ascii="Arial" w:eastAsia="Calibri" w:hAnsi="Arial" w:cs="Arial"/>
          <w:i/>
          <w:color w:val="000000"/>
          <w:sz w:val="21"/>
          <w:szCs w:val="21"/>
          <w:lang w:val="es-ES_tradnl"/>
        </w:rPr>
      </w:pPr>
      <w:r w:rsidRPr="00482CF9">
        <w:rPr>
          <w:rFonts w:ascii="Arial" w:eastAsia="Calibri" w:hAnsi="Arial" w:cs="Arial"/>
          <w:i/>
          <w:color w:val="000000"/>
          <w:sz w:val="21"/>
          <w:szCs w:val="21"/>
          <w:lang w:val="es-ES_tradnl"/>
        </w:rPr>
        <w:t>4. La Entidad Estatal debe revisar con el oferente calificado en el primer lugar de elegibilidad la coherencia y consistencia entre: i) la necesidad identificada por la Entidad Estatal y el alcance de la oferta; ii) la consultoría ofrecida y el precio ofrecido, y iii) el precio ofrecido y la disponibilidad presupuestal del respectivo Proceso de Contratación. Si la Entidad Estatal y el oferente llegan a un acuerdo sobre el alcance y el valor del contrato, dejarán constancia del mismo y firmarán el contrato.</w:t>
      </w:r>
    </w:p>
    <w:p w14:paraId="2213127F" w14:textId="77777777" w:rsidR="00D43FFE" w:rsidRPr="00482CF9" w:rsidRDefault="00D43FFE" w:rsidP="00D43FFE">
      <w:pPr>
        <w:spacing w:after="120" w:line="240" w:lineRule="auto"/>
        <w:ind w:left="709" w:right="709"/>
        <w:jc w:val="both"/>
        <w:rPr>
          <w:rFonts w:ascii="Arial" w:eastAsia="Calibri" w:hAnsi="Arial" w:cs="Arial"/>
          <w:i/>
          <w:color w:val="000000"/>
          <w:sz w:val="21"/>
          <w:szCs w:val="21"/>
          <w:lang w:val="es-ES_tradnl"/>
        </w:rPr>
      </w:pPr>
      <w:r w:rsidRPr="00482CF9">
        <w:rPr>
          <w:rFonts w:ascii="Arial" w:eastAsia="Calibri" w:hAnsi="Arial" w:cs="Arial"/>
          <w:i/>
          <w:color w:val="000000"/>
          <w:sz w:val="21"/>
          <w:szCs w:val="21"/>
          <w:lang w:val="es-ES_tradnl"/>
        </w:rPr>
        <w:t>5. Si la Entidad Estatal y el oferente calificado en el primer lugar de elegibilidad no llegan a un acuerdo dejarán constancia de ello y la Entidad Estatal revisará con el oferente calificado en el segundo lugar de elegibilidad los aspectos a los que se refiere el numeral anterior. Si la Entidad Estatal y el oferente llegan a un acuerdo dejarán constancia del mismo y firmarán el contrato.</w:t>
      </w:r>
    </w:p>
    <w:p w14:paraId="50B95918" w14:textId="77777777" w:rsidR="00D43FFE" w:rsidRPr="00482CF9" w:rsidRDefault="00D43FFE" w:rsidP="00D43FFE">
      <w:pPr>
        <w:spacing w:after="0" w:line="240" w:lineRule="auto"/>
        <w:ind w:left="709" w:right="709"/>
        <w:jc w:val="both"/>
        <w:rPr>
          <w:rFonts w:ascii="Arial" w:eastAsia="Calibri" w:hAnsi="Arial" w:cs="Arial"/>
          <w:color w:val="000000"/>
          <w:sz w:val="21"/>
          <w:szCs w:val="21"/>
          <w:lang w:val="es-ES_tradnl"/>
        </w:rPr>
      </w:pPr>
      <w:r w:rsidRPr="00482CF9">
        <w:rPr>
          <w:rFonts w:ascii="Arial" w:eastAsia="Calibri" w:hAnsi="Arial" w:cs="Arial"/>
          <w:i/>
          <w:color w:val="000000"/>
          <w:sz w:val="21"/>
          <w:szCs w:val="21"/>
          <w:lang w:val="es-ES_tradnl"/>
        </w:rPr>
        <w:t>6. Si la Entidad Estatal y el oferente calificado en el segundo lugar de elegibilidad no llegan a un acuerdo, la Entidad Estatal debe declarar desierto el Proceso de Contratación</w:t>
      </w:r>
      <w:r w:rsidRPr="00482CF9">
        <w:rPr>
          <w:rFonts w:ascii="Arial" w:eastAsia="Calibri" w:hAnsi="Arial" w:cs="Arial"/>
          <w:color w:val="000000"/>
          <w:sz w:val="21"/>
          <w:szCs w:val="21"/>
          <w:lang w:val="es-ES_tradnl"/>
        </w:rPr>
        <w:t>. (Énfasis fuera de texto)</w:t>
      </w:r>
    </w:p>
    <w:p w14:paraId="719BC814" w14:textId="77777777" w:rsidR="00D43FFE" w:rsidRPr="00482CF9" w:rsidRDefault="00D43FFE" w:rsidP="00D43FFE">
      <w:pPr>
        <w:spacing w:before="120" w:after="0" w:line="276" w:lineRule="auto"/>
        <w:jc w:val="both"/>
        <w:rPr>
          <w:rFonts w:ascii="Arial" w:eastAsia="Calibri" w:hAnsi="Arial" w:cs="Arial"/>
          <w:color w:val="000000"/>
          <w:lang w:val="es-ES_tradnl"/>
        </w:rPr>
      </w:pPr>
    </w:p>
    <w:p w14:paraId="0057A9B8" w14:textId="77777777" w:rsidR="00D43FFE" w:rsidRPr="00482CF9" w:rsidRDefault="00D43FFE" w:rsidP="00D43FFE">
      <w:pPr>
        <w:spacing w:after="0" w:line="276" w:lineRule="auto"/>
        <w:jc w:val="both"/>
        <w:rPr>
          <w:rFonts w:ascii="Arial" w:eastAsia="Calibri" w:hAnsi="Arial" w:cs="Arial"/>
          <w:color w:val="000000"/>
          <w:lang w:val="es-ES_tradnl"/>
        </w:rPr>
      </w:pPr>
      <w:r w:rsidRPr="00482CF9">
        <w:rPr>
          <w:rFonts w:ascii="Arial" w:eastAsia="Calibri" w:hAnsi="Arial" w:cs="Arial"/>
          <w:color w:val="000000"/>
          <w:lang w:val="es-ES_tradnl"/>
        </w:rPr>
        <w:lastRenderedPageBreak/>
        <w:tab/>
        <w:t>Los citados numerales 3, 4 y 5 disponían la verificación del precio. Por un lado, los numerales 3 y 4 exigían que estuviera dentro del presupuesto disponible y que este aspecto fuera producto del acuerdo entre la entidad y el oferente calificado en primer lugar. Por otro lado, el numeral 5 disponía el procedimiento a seguir en el evento en que la entidad estatal y el calificado en primer orden de elegibilidad no llegaran a un acuerdo sobre el precio del contrato. Además, el numeral 6 solo permitía negociar el precio con el proponente que ocupara el segundo orden de elegibilidad, por lo que si no era posible llegar a un acuerdo con este, procedía la declaración de desierta.</w:t>
      </w:r>
    </w:p>
    <w:p w14:paraId="3E16B476" w14:textId="77777777" w:rsidR="00D43FFE" w:rsidRPr="00482CF9" w:rsidRDefault="00D43FFE" w:rsidP="00D43FFE">
      <w:pPr>
        <w:spacing w:before="120" w:after="0" w:line="276" w:lineRule="auto"/>
        <w:jc w:val="both"/>
        <w:rPr>
          <w:rFonts w:ascii="Arial" w:eastAsia="Calibri" w:hAnsi="Arial" w:cs="Arial"/>
          <w:color w:val="000000"/>
          <w:lang w:val="es-ES_tradnl"/>
        </w:rPr>
      </w:pPr>
      <w:r w:rsidRPr="00482CF9">
        <w:rPr>
          <w:rFonts w:ascii="Arial" w:eastAsia="Calibri" w:hAnsi="Arial" w:cs="Arial"/>
          <w:color w:val="000000"/>
          <w:lang w:val="es-ES_tradnl"/>
        </w:rPr>
        <w:tab/>
        <w:t xml:space="preserve">El consejo de Estado consideró que los numerales 3,4 y 5 violarían el artículo 5, numeral 4, último inciso, de la Ley 1150 de 2007, pues señaló que: </w:t>
      </w:r>
      <w:r>
        <w:rPr>
          <w:rFonts w:ascii="Arial" w:eastAsia="Times New Roman" w:hAnsi="Arial" w:cs="Arial"/>
          <w:color w:val="000000"/>
          <w:szCs w:val="24"/>
          <w:lang w:val="es-ES_tradnl" w:eastAsia="es-ES_tradnl"/>
        </w:rPr>
        <w:t>“</w:t>
      </w:r>
      <w:r w:rsidRPr="00482CF9">
        <w:rPr>
          <w:rFonts w:ascii="Arial" w:eastAsia="Times New Roman" w:hAnsi="Arial" w:cs="Arial"/>
          <w:color w:val="000000"/>
          <w:szCs w:val="24"/>
          <w:lang w:val="es-ES_tradnl" w:eastAsia="es-ES_tradnl"/>
        </w:rPr>
        <w:t>en ningún caso se podrá incluir el precio, como factor de escogencia para la selección de consultores</w:t>
      </w:r>
      <w:r>
        <w:rPr>
          <w:rFonts w:ascii="Arial" w:eastAsia="Times New Roman" w:hAnsi="Arial" w:cs="Arial"/>
          <w:color w:val="000000"/>
          <w:szCs w:val="24"/>
          <w:lang w:val="es-ES_tradnl" w:eastAsia="es-ES_tradnl"/>
        </w:rPr>
        <w:t>”</w:t>
      </w:r>
      <w:r w:rsidRPr="00482CF9">
        <w:rPr>
          <w:rFonts w:ascii="Arial" w:eastAsia="Times New Roman" w:hAnsi="Arial" w:cs="Arial"/>
          <w:color w:val="000000"/>
          <w:szCs w:val="24"/>
          <w:lang w:val="es-ES_tradnl" w:eastAsia="es-ES_tradnl"/>
        </w:rPr>
        <w:t xml:space="preserve">, así como el artículo 25, numeral 2, de la Ley 80 de 1993 que dispone lo siguiente: </w:t>
      </w:r>
      <w:r>
        <w:rPr>
          <w:rFonts w:ascii="Arial" w:eastAsia="Times New Roman" w:hAnsi="Arial" w:cs="Arial"/>
          <w:color w:val="000000"/>
          <w:szCs w:val="24"/>
          <w:lang w:val="es-ES_tradnl" w:eastAsia="es-ES_tradnl"/>
        </w:rPr>
        <w:t>“</w:t>
      </w:r>
      <w:r w:rsidRPr="00482CF9">
        <w:rPr>
          <w:rFonts w:ascii="Arial" w:eastAsia="Times New Roman" w:hAnsi="Arial" w:cs="Arial"/>
          <w:color w:val="000000"/>
          <w:szCs w:val="24"/>
          <w:lang w:val="es-ES_tradnl" w:eastAsia="es-ES_tradnl"/>
        </w:rPr>
        <w:t>[…] las normas de los procedimientos contractuales se interpretarán de tal manera que no den ocasión a seguir trámites distintos y adicionales a los expresamente previstos […]</w:t>
      </w:r>
      <w:r>
        <w:rPr>
          <w:rFonts w:ascii="Arial" w:eastAsia="Times New Roman" w:hAnsi="Arial" w:cs="Arial"/>
          <w:color w:val="000000"/>
          <w:szCs w:val="24"/>
          <w:lang w:val="es-ES_tradnl" w:eastAsia="es-ES_tradnl"/>
        </w:rPr>
        <w:t>”</w:t>
      </w:r>
      <w:r w:rsidRPr="00482CF9">
        <w:rPr>
          <w:rFonts w:ascii="Arial" w:eastAsia="Times New Roman" w:hAnsi="Arial" w:cs="Arial"/>
          <w:color w:val="000000"/>
          <w:szCs w:val="24"/>
          <w:lang w:val="es-ES_tradnl" w:eastAsia="es-ES_tradnl"/>
        </w:rPr>
        <w:t>. En este sentido, el alto tribunal explicó que la verificación de la coherencia del precio con la disponibilidad presupuestal y la necesidad de que se logre un acuerdo en relación con el mismo desconocía el principio de selección objetiva, convirtiendo el precio en un factor de selección</w:t>
      </w:r>
      <w:r w:rsidRPr="00482CF9">
        <w:rPr>
          <w:rFonts w:ascii="Arial" w:eastAsia="Times New Roman" w:hAnsi="Arial" w:cs="Arial"/>
          <w:color w:val="000000"/>
          <w:szCs w:val="24"/>
          <w:vertAlign w:val="superscript"/>
          <w:lang w:val="es-ES_tradnl" w:eastAsia="es-ES_tradnl"/>
        </w:rPr>
        <w:footnoteReference w:id="15"/>
      </w:r>
      <w:r w:rsidRPr="00482CF9">
        <w:rPr>
          <w:rFonts w:ascii="Arial" w:eastAsia="Times New Roman" w:hAnsi="Arial" w:cs="Arial"/>
          <w:color w:val="000000"/>
          <w:szCs w:val="24"/>
          <w:lang w:val="es-ES_tradnl" w:eastAsia="es-ES_tradnl"/>
        </w:rPr>
        <w:t>. En lo que respecta al artículo 6, este violaría especialmente el artículo 25.18 del Estatuto General y el artículo 5 de la Ley 1150 de 2007, pues la declaratoria de desierta solo procede cuando no es posible la selección objetiva del contratista</w:t>
      </w:r>
      <w:r w:rsidRPr="00482CF9">
        <w:rPr>
          <w:rFonts w:ascii="Arial" w:eastAsia="Times New Roman" w:hAnsi="Arial" w:cs="Arial"/>
          <w:color w:val="000000"/>
          <w:szCs w:val="24"/>
          <w:vertAlign w:val="superscript"/>
          <w:lang w:val="es-ES_tradnl" w:eastAsia="es-ES_tradnl"/>
        </w:rPr>
        <w:footnoteReference w:id="16"/>
      </w:r>
      <w:r w:rsidRPr="00482CF9">
        <w:rPr>
          <w:rFonts w:ascii="Arial" w:eastAsia="Times New Roman" w:hAnsi="Arial" w:cs="Arial"/>
          <w:color w:val="000000"/>
          <w:szCs w:val="24"/>
          <w:lang w:val="es-ES_tradnl" w:eastAsia="es-ES_tradnl"/>
        </w:rPr>
        <w:t>.</w:t>
      </w:r>
    </w:p>
    <w:p w14:paraId="0815EAB0" w14:textId="77777777" w:rsidR="00D43FFE" w:rsidRPr="00482CF9" w:rsidRDefault="00D43FFE" w:rsidP="00D43FFE">
      <w:pPr>
        <w:spacing w:before="120" w:after="0" w:line="276" w:lineRule="auto"/>
        <w:ind w:firstLine="709"/>
        <w:jc w:val="both"/>
        <w:rPr>
          <w:rFonts w:ascii="Arial" w:eastAsia="Calibri" w:hAnsi="Arial" w:cs="Arial"/>
          <w:color w:val="000000"/>
          <w:szCs w:val="24"/>
          <w:lang w:val="es-ES_tradnl" w:eastAsia="es-ES_tradnl"/>
        </w:rPr>
      </w:pPr>
      <w:bookmarkStart w:id="5" w:name="_Hlk43916091"/>
      <w:r w:rsidRPr="00482CF9">
        <w:rPr>
          <w:rFonts w:ascii="Arial" w:eastAsia="Times New Roman" w:hAnsi="Arial" w:cs="Arial"/>
          <w:color w:val="000000"/>
          <w:szCs w:val="24"/>
          <w:lang w:val="es-ES_tradnl" w:eastAsia="es-ES_tradnl"/>
        </w:rPr>
        <w:lastRenderedPageBreak/>
        <w:t xml:space="preserve">En consecuencia, </w:t>
      </w:r>
      <w:r w:rsidRPr="00482CF9">
        <w:rPr>
          <w:rFonts w:ascii="Arial" w:eastAsia="Calibri" w:hAnsi="Arial" w:cs="Arial"/>
          <w:color w:val="000000"/>
          <w:szCs w:val="24"/>
          <w:lang w:val="es-ES_tradnl" w:eastAsia="es-ES_tradnl"/>
        </w:rPr>
        <w:t>con los autos de suspensión provisional, el concurso de méritos abierto debía desarrollarse aplicando únicamente los numerales 1 y 2 del</w:t>
      </w:r>
      <w:r w:rsidRPr="00482CF9">
        <w:rPr>
          <w:rFonts w:ascii="Arial" w:eastAsia="Times New Roman" w:hAnsi="Arial" w:cs="Arial"/>
          <w:color w:val="000000"/>
          <w:szCs w:val="24"/>
          <w:lang w:val="es-ES_tradnl" w:eastAsia="es-ES_tradnl"/>
        </w:rPr>
        <w:t xml:space="preserve"> artículo 2.2.1.2.1.3.2 original del Decreto 1082 de 2015, esto es, antes de la modificación realizada por el Decreto 399 de 2021, al que se hará referencia en el numeral siguiente.</w:t>
      </w:r>
      <w:bookmarkEnd w:id="5"/>
      <w:r w:rsidRPr="00482CF9">
        <w:rPr>
          <w:rFonts w:ascii="Arial" w:eastAsia="Times New Roman" w:hAnsi="Arial" w:cs="Arial"/>
          <w:color w:val="000000"/>
          <w:szCs w:val="24"/>
          <w:lang w:val="es-ES_tradnl" w:eastAsia="es-ES_tradnl"/>
        </w:rPr>
        <w:t xml:space="preserve"> Por lo tanto, </w:t>
      </w:r>
      <w:r w:rsidRPr="00482CF9">
        <w:rPr>
          <w:rFonts w:ascii="Arial" w:eastAsia="Times New Roman" w:hAnsi="Arial" w:cs="Arial"/>
          <w:i/>
          <w:iCs/>
          <w:color w:val="000000"/>
          <w:szCs w:val="24"/>
          <w:lang w:val="es-ES_tradnl" w:eastAsia="es-ES_tradnl"/>
        </w:rPr>
        <w:t>siempre que estuviera dentro del presupuesto oficial</w:t>
      </w:r>
      <w:r w:rsidRPr="00482CF9">
        <w:rPr>
          <w:rFonts w:ascii="Arial" w:eastAsia="Times New Roman" w:hAnsi="Arial" w:cs="Arial"/>
          <w:color w:val="000000"/>
          <w:szCs w:val="24"/>
          <w:lang w:val="es-ES_tradnl" w:eastAsia="es-ES_tradnl"/>
        </w:rPr>
        <w:t>, la entidad estatal debía adjudicar el contrato al proponente que ocupara el primer puesto en el orden de elegibilidad, independientemente del valor ofrecido</w:t>
      </w:r>
      <w:r w:rsidRPr="00482CF9">
        <w:rPr>
          <w:rFonts w:ascii="Arial" w:eastAsia="Calibri" w:hAnsi="Arial" w:cs="Arial"/>
          <w:color w:val="000000"/>
          <w:szCs w:val="24"/>
          <w:lang w:val="es-ES_tradnl" w:eastAsia="es-ES_tradnl"/>
        </w:rPr>
        <w:t>.</w:t>
      </w:r>
    </w:p>
    <w:p w14:paraId="4BD91F4E" w14:textId="77777777" w:rsidR="00D43FFE" w:rsidRPr="00482CF9" w:rsidRDefault="00D43FFE" w:rsidP="00D43FFE">
      <w:pPr>
        <w:spacing w:after="0" w:line="276" w:lineRule="auto"/>
        <w:jc w:val="both"/>
        <w:rPr>
          <w:rFonts w:ascii="Arial" w:eastAsia="Calibri" w:hAnsi="Arial" w:cs="Arial"/>
          <w:color w:val="000000"/>
          <w:lang w:val="es-ES_tradnl"/>
        </w:rPr>
      </w:pPr>
    </w:p>
    <w:p w14:paraId="6392C41B" w14:textId="77777777" w:rsidR="00D43FFE" w:rsidRPr="00482CF9" w:rsidRDefault="00D43FFE" w:rsidP="00D43FFE">
      <w:pPr>
        <w:spacing w:after="0" w:line="276" w:lineRule="auto"/>
        <w:jc w:val="both"/>
        <w:rPr>
          <w:rFonts w:ascii="Arial" w:eastAsia="Calibri" w:hAnsi="Arial" w:cs="Arial"/>
          <w:b/>
          <w:bCs/>
          <w:color w:val="000000"/>
          <w:lang w:val="es-ES_tradnl"/>
        </w:rPr>
      </w:pPr>
      <w:r w:rsidRPr="00482CF9">
        <w:rPr>
          <w:rFonts w:ascii="Arial" w:eastAsia="Calibri" w:hAnsi="Arial" w:cs="Arial"/>
          <w:b/>
          <w:bCs/>
          <w:color w:val="000000"/>
          <w:lang w:val="es-ES_tradnl"/>
        </w:rPr>
        <w:t>2.</w:t>
      </w:r>
      <w:r>
        <w:rPr>
          <w:rFonts w:ascii="Arial" w:eastAsia="Calibri" w:hAnsi="Arial" w:cs="Arial"/>
          <w:b/>
          <w:bCs/>
          <w:color w:val="000000"/>
          <w:lang w:val="es-ES_tradnl"/>
        </w:rPr>
        <w:t>3</w:t>
      </w:r>
      <w:r w:rsidRPr="00482CF9">
        <w:rPr>
          <w:rFonts w:ascii="Arial" w:eastAsia="Calibri" w:hAnsi="Arial" w:cs="Arial"/>
          <w:b/>
          <w:bCs/>
          <w:color w:val="000000"/>
          <w:lang w:val="es-ES_tradnl"/>
        </w:rPr>
        <w:t>. Reglamentación del concurso de méritos abierto o con precalificación en el Decreto 399 de 2021</w:t>
      </w:r>
    </w:p>
    <w:p w14:paraId="107A38AC" w14:textId="77777777" w:rsidR="00D43FFE" w:rsidRPr="00482CF9" w:rsidRDefault="00D43FFE" w:rsidP="00D43FFE">
      <w:pPr>
        <w:spacing w:after="0" w:line="276" w:lineRule="auto"/>
        <w:jc w:val="both"/>
        <w:rPr>
          <w:rFonts w:ascii="Arial" w:eastAsia="Calibri" w:hAnsi="Arial" w:cs="Arial"/>
          <w:color w:val="000000"/>
          <w:lang w:val="es-ES_tradnl"/>
        </w:rPr>
      </w:pPr>
    </w:p>
    <w:p w14:paraId="3BDCD170" w14:textId="77777777" w:rsidR="00D43FFE" w:rsidRPr="00482CF9" w:rsidRDefault="00D43FFE" w:rsidP="00D43FFE">
      <w:pPr>
        <w:spacing w:after="0" w:line="276" w:lineRule="auto"/>
        <w:jc w:val="both"/>
        <w:rPr>
          <w:rFonts w:ascii="Arial" w:eastAsia="Calibri" w:hAnsi="Arial" w:cs="Arial"/>
          <w:color w:val="000000"/>
          <w:lang w:val="es-ES_tradnl"/>
        </w:rPr>
      </w:pPr>
      <w:r w:rsidRPr="00482CF9">
        <w:rPr>
          <w:rFonts w:ascii="Arial" w:eastAsia="Calibri" w:hAnsi="Arial" w:cs="Arial"/>
          <w:color w:val="000000"/>
          <w:lang w:val="es-ES_tradnl"/>
        </w:rPr>
        <w:t>El artículo 2 del Decreto 399 de 2021 modificó el artículo 2.2.1.2.1.3.2 del Decreto 1082 de 2015, en los siguientes términos:</w:t>
      </w:r>
    </w:p>
    <w:p w14:paraId="215B7CF2" w14:textId="77777777" w:rsidR="00D43FFE" w:rsidRPr="00482CF9" w:rsidRDefault="00D43FFE" w:rsidP="00D43FFE">
      <w:pPr>
        <w:spacing w:after="0" w:line="276" w:lineRule="auto"/>
        <w:jc w:val="both"/>
        <w:rPr>
          <w:rFonts w:ascii="Arial" w:eastAsia="Calibri" w:hAnsi="Arial" w:cs="Arial"/>
          <w:color w:val="000000"/>
          <w:lang w:val="es-ES_tradnl"/>
        </w:rPr>
      </w:pPr>
    </w:p>
    <w:p w14:paraId="4DD51FC9" w14:textId="77777777" w:rsidR="00D43FFE" w:rsidRPr="00482CF9" w:rsidRDefault="00D43FFE" w:rsidP="00D43FFE">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482CF9">
        <w:rPr>
          <w:rFonts w:ascii="Arial" w:eastAsia="Times New Roman" w:hAnsi="Arial" w:cs="Arial"/>
          <w:color w:val="000000"/>
          <w:sz w:val="21"/>
          <w:szCs w:val="21"/>
          <w:lang w:val="es-ES_tradnl" w:eastAsia="es-ES_tradnl"/>
        </w:rPr>
        <w:t>Artículo 2. Modificación del artículo 2.2.1.2.1.3.2. del Decreto 1082 de 2015, Único Reglamentario del Sector Administrativo de Planeación Nacional. Modifíquese el artículo 2.2.1.2.1.3.2. de la Subsección 3 de la Sección 1 del Capítulo 2 del Título 1 de la Parte 2 del Libro 2 del Decreto 1082 de 2015, Único Reglamentario del Sector Administrativo de Planeación Nacional, el cual quedará así:</w:t>
      </w:r>
    </w:p>
    <w:p w14:paraId="043153FD" w14:textId="77777777" w:rsidR="00D43FFE" w:rsidRPr="00482CF9" w:rsidRDefault="00D43FFE" w:rsidP="00D43FFE">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482CF9">
        <w:rPr>
          <w:rFonts w:ascii="Arial" w:eastAsia="Times New Roman" w:hAnsi="Arial" w:cs="Arial"/>
          <w:color w:val="000000"/>
          <w:sz w:val="21"/>
          <w:szCs w:val="21"/>
          <w:lang w:val="es-ES_tradnl" w:eastAsia="es-ES_tradnl"/>
        </w:rPr>
        <w:t> </w:t>
      </w:r>
    </w:p>
    <w:p w14:paraId="736FCEF3" w14:textId="77777777" w:rsidR="00D43FFE" w:rsidRPr="00482CF9" w:rsidRDefault="00D43FFE" w:rsidP="00D43FFE">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482CF9">
        <w:rPr>
          <w:rFonts w:ascii="Arial" w:eastAsia="Times New Roman" w:hAnsi="Arial" w:cs="Arial"/>
          <w:color w:val="000000"/>
          <w:sz w:val="21"/>
          <w:szCs w:val="21"/>
          <w:lang w:val="es-ES_tradnl" w:eastAsia="es-ES_tradnl"/>
        </w:rPr>
        <w:t>"Artículo 2.2.1.2.1.3.2. Procedimiento del concurso de méritos. Además de las reglas generales previstas en la ley y en el presente título, las siguientes reglas son aplicables al concurso de méritos abierto o con precalificación:</w:t>
      </w:r>
    </w:p>
    <w:p w14:paraId="23632967" w14:textId="77777777" w:rsidR="00D43FFE" w:rsidRPr="00482CF9" w:rsidRDefault="00D43FFE" w:rsidP="00D43FFE">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482CF9">
        <w:rPr>
          <w:rFonts w:ascii="Arial" w:eastAsia="Times New Roman" w:hAnsi="Arial" w:cs="Arial"/>
          <w:color w:val="000000"/>
          <w:sz w:val="21"/>
          <w:szCs w:val="21"/>
          <w:lang w:val="es-ES_tradnl" w:eastAsia="es-ES_tradnl"/>
        </w:rPr>
        <w:t> </w:t>
      </w:r>
    </w:p>
    <w:p w14:paraId="2E382844" w14:textId="77777777" w:rsidR="00D43FFE" w:rsidRPr="00482CF9" w:rsidRDefault="00D43FFE" w:rsidP="00D43FFE">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482CF9">
        <w:rPr>
          <w:rFonts w:ascii="Arial" w:eastAsia="Times New Roman" w:hAnsi="Arial" w:cs="Arial"/>
          <w:color w:val="000000"/>
          <w:sz w:val="21"/>
          <w:szCs w:val="21"/>
          <w:lang w:val="es-ES_tradnl" w:eastAsia="es-ES_tradnl"/>
        </w:rPr>
        <w:t>1. La Entidad Estatal en los pliegos de condiciones debe indicar la forma como calificará, entre otros, los siguientes criterios: a) la experiencia del interesado y del equipo de trabajo y b) la formación académica del equipo de trabajo.</w:t>
      </w:r>
    </w:p>
    <w:p w14:paraId="3B6D75FF" w14:textId="77777777" w:rsidR="00D43FFE" w:rsidRPr="00482CF9" w:rsidRDefault="00D43FFE" w:rsidP="00D43FFE">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482CF9">
        <w:rPr>
          <w:rFonts w:ascii="Arial" w:eastAsia="Times New Roman" w:hAnsi="Arial" w:cs="Arial"/>
          <w:color w:val="000000"/>
          <w:sz w:val="21"/>
          <w:szCs w:val="21"/>
          <w:lang w:val="es-ES_tradnl" w:eastAsia="es-ES_tradnl"/>
        </w:rPr>
        <w:t> </w:t>
      </w:r>
    </w:p>
    <w:p w14:paraId="71548170" w14:textId="77777777" w:rsidR="00D43FFE" w:rsidRPr="00482CF9" w:rsidRDefault="00D43FFE" w:rsidP="00D43FFE">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482CF9">
        <w:rPr>
          <w:rFonts w:ascii="Arial" w:eastAsia="Times New Roman" w:hAnsi="Arial" w:cs="Arial"/>
          <w:color w:val="000000"/>
          <w:sz w:val="21"/>
          <w:szCs w:val="21"/>
          <w:lang w:val="es-ES_tradnl" w:eastAsia="es-ES_tradnl"/>
        </w:rPr>
        <w:t>2. La Entidad Estatal debe publicar durante tres (3) días hábiles el informe de evaluación, el cual debe contener la evaluación de las ofertas frente a todos los requisitos exigidos en el pliego de condiciones, incluyendo los requisitos habilitantes y los de asignación de puntaje.</w:t>
      </w:r>
    </w:p>
    <w:p w14:paraId="51F6A2AB" w14:textId="77777777" w:rsidR="00D43FFE" w:rsidRPr="00482CF9" w:rsidRDefault="00D43FFE" w:rsidP="00D43FFE">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482CF9">
        <w:rPr>
          <w:rFonts w:ascii="Arial" w:eastAsia="Times New Roman" w:hAnsi="Arial" w:cs="Arial"/>
          <w:color w:val="000000"/>
          <w:sz w:val="21"/>
          <w:szCs w:val="21"/>
          <w:lang w:val="es-ES_tradnl" w:eastAsia="es-ES_tradnl"/>
        </w:rPr>
        <w:t> </w:t>
      </w:r>
    </w:p>
    <w:p w14:paraId="7DCB530F" w14:textId="77777777" w:rsidR="00D43FFE" w:rsidRPr="00482CF9" w:rsidRDefault="00D43FFE" w:rsidP="00D43FFE">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482CF9">
        <w:rPr>
          <w:rFonts w:ascii="Arial" w:eastAsia="Times New Roman" w:hAnsi="Arial" w:cs="Arial"/>
          <w:color w:val="000000"/>
          <w:sz w:val="21"/>
          <w:szCs w:val="21"/>
          <w:lang w:val="es-ES_tradnl" w:eastAsia="es-ES_tradnl"/>
        </w:rPr>
        <w:t>3. Una vez resueltas las observaciones al informe de evaluación, la entidad adjudicará el contrato mediante acto administrativo al oferente que haya cumplido todos los requisitos exigidos en el pliego de condiciones y haya obtenido el mayor puntaje".</w:t>
      </w:r>
    </w:p>
    <w:p w14:paraId="7C3E5796" w14:textId="77777777" w:rsidR="00D43FFE" w:rsidRPr="00482CF9" w:rsidRDefault="00D43FFE" w:rsidP="00D43FFE">
      <w:pPr>
        <w:spacing w:after="0" w:line="276" w:lineRule="auto"/>
        <w:jc w:val="both"/>
        <w:rPr>
          <w:rFonts w:ascii="Arial" w:eastAsia="Calibri" w:hAnsi="Arial" w:cs="Arial"/>
          <w:color w:val="000000"/>
          <w:lang w:val="es-ES_tradnl"/>
        </w:rPr>
      </w:pPr>
    </w:p>
    <w:p w14:paraId="7EB3207B" w14:textId="77777777" w:rsidR="00D43FFE" w:rsidRPr="00482CF9" w:rsidRDefault="00D43FFE" w:rsidP="00D43FFE">
      <w:pPr>
        <w:spacing w:after="0" w:line="276" w:lineRule="auto"/>
        <w:jc w:val="both"/>
        <w:rPr>
          <w:rFonts w:ascii="Arial" w:eastAsia="Calibri" w:hAnsi="Arial" w:cs="Arial"/>
          <w:color w:val="000000"/>
          <w:szCs w:val="24"/>
          <w:lang w:val="es-ES_tradnl" w:eastAsia="es-ES_tradnl"/>
        </w:rPr>
      </w:pPr>
      <w:r w:rsidRPr="00482CF9">
        <w:rPr>
          <w:rFonts w:ascii="Arial" w:eastAsia="Calibri" w:hAnsi="Arial" w:cs="Arial"/>
          <w:color w:val="000000"/>
          <w:lang w:val="es-ES_tradnl"/>
        </w:rPr>
        <w:tab/>
        <w:t xml:space="preserve">Como se observa, el artículo 2 del Decreto 399 de 2021 reformó la reglamentación del concurso de méritos, para adecuarla a los pronunciamientos del Consejo de Estado que habían suspendido provisionalmente algunos numerales del artículo 2.2.1.2.1.3.2 del Decreto 1082 de </w:t>
      </w:r>
      <w:r w:rsidRPr="00482CF9">
        <w:rPr>
          <w:rFonts w:ascii="Arial" w:eastAsia="Calibri" w:hAnsi="Arial" w:cs="Arial"/>
          <w:color w:val="000000"/>
          <w:lang w:val="es-ES_tradnl"/>
        </w:rPr>
        <w:lastRenderedPageBreak/>
        <w:t>2015</w:t>
      </w:r>
      <w:r w:rsidRPr="00482CF9">
        <w:rPr>
          <w:rFonts w:ascii="Arial" w:eastAsia="Calibri" w:hAnsi="Arial" w:cs="Arial"/>
          <w:color w:val="000000"/>
          <w:szCs w:val="24"/>
          <w:vertAlign w:val="superscript"/>
          <w:lang w:val="es-ES_tradnl" w:eastAsia="es-ES_tradnl"/>
        </w:rPr>
        <w:footnoteReference w:id="17"/>
      </w:r>
      <w:r w:rsidRPr="00482CF9">
        <w:rPr>
          <w:rFonts w:ascii="Arial" w:eastAsia="Calibri" w:hAnsi="Arial" w:cs="Arial"/>
          <w:color w:val="000000"/>
          <w:szCs w:val="24"/>
          <w:lang w:val="es-ES_tradnl" w:eastAsia="es-ES_tradnl"/>
        </w:rPr>
        <w:t>. A diferencia de lo que establecía este artículo en su redacción inicial, con la entrada en vigencia del artículo 2 del Decreto 399 de 2021 se observan los siguientes cambios:</w:t>
      </w:r>
    </w:p>
    <w:p w14:paraId="38F20CCA" w14:textId="77777777" w:rsidR="00D43FFE" w:rsidRPr="00482CF9" w:rsidRDefault="00D43FFE" w:rsidP="00D43FFE">
      <w:pPr>
        <w:spacing w:before="120" w:after="0" w:line="276" w:lineRule="auto"/>
        <w:ind w:firstLine="630"/>
        <w:jc w:val="both"/>
        <w:rPr>
          <w:rFonts w:ascii="Arial" w:eastAsia="Calibri" w:hAnsi="Arial" w:cs="Arial"/>
          <w:color w:val="000000"/>
          <w:lang w:val="es-ES" w:eastAsia="es-ES"/>
        </w:rPr>
      </w:pPr>
      <w:r w:rsidRPr="7FDDD7E9">
        <w:rPr>
          <w:rFonts w:ascii="Arial" w:eastAsia="Calibri" w:hAnsi="Arial" w:cs="Arial"/>
          <w:color w:val="000000"/>
          <w:lang w:val="es-ES" w:eastAsia="es-ES"/>
        </w:rPr>
        <w:t xml:space="preserve">i) El informe de evaluación, que la entidad debe publicar durante tres (3) días hábiles, debe contener ya no solamente la calificación técnica y el orden de elegibilidad, sino </w:t>
      </w:r>
      <w:r>
        <w:rPr>
          <w:rFonts w:ascii="Arial" w:eastAsia="Calibri" w:hAnsi="Arial" w:cs="Arial"/>
          <w:color w:val="000000"/>
          <w:lang w:val="es-ES" w:eastAsia="es-ES"/>
        </w:rPr>
        <w:t>“</w:t>
      </w:r>
      <w:r w:rsidRPr="7FDDD7E9">
        <w:rPr>
          <w:rFonts w:ascii="Arial" w:eastAsia="Calibri" w:hAnsi="Arial" w:cs="Arial"/>
          <w:color w:val="000000"/>
          <w:lang w:val="es-ES" w:eastAsia="es-ES"/>
        </w:rPr>
        <w:t>[…] la evaluación de las ofertas frente a todos los requisitos exigidos en el pliego de condiciones, incluyendo los requisitos habilitantes y los de asignación de puntaje</w:t>
      </w:r>
      <w:r>
        <w:rPr>
          <w:rFonts w:ascii="Arial" w:eastAsia="Calibri" w:hAnsi="Arial" w:cs="Arial"/>
          <w:color w:val="000000"/>
          <w:lang w:val="es-ES" w:eastAsia="es-ES"/>
        </w:rPr>
        <w:t>”</w:t>
      </w:r>
      <w:r w:rsidRPr="7FDDD7E9">
        <w:rPr>
          <w:rFonts w:ascii="Arial" w:eastAsia="Calibri" w:hAnsi="Arial" w:cs="Arial"/>
          <w:color w:val="000000"/>
          <w:lang w:val="es-ES" w:eastAsia="es-ES"/>
        </w:rPr>
        <w:t>. En tal sentido, el informe de evaluación debe dar cuenta de la evaluación completa de las ofertas, lo que incluiría las ofertas económicas. De esta manera, esta disposición permite que los interesados ejerzan su derecho a conocer el informe de evaluación y a formular las observaciones que consideren pertinentes, frente a todos los aspectos de la evaluación de las propuestas.</w:t>
      </w:r>
    </w:p>
    <w:p w14:paraId="38E16FD5" w14:textId="77777777" w:rsidR="00D43FFE" w:rsidRPr="00482CF9" w:rsidRDefault="00D43FFE" w:rsidP="00D43FFE">
      <w:pPr>
        <w:spacing w:before="120" w:after="0" w:line="276" w:lineRule="auto"/>
        <w:ind w:firstLine="709"/>
        <w:jc w:val="both"/>
        <w:rPr>
          <w:rFonts w:ascii="Arial" w:eastAsia="Calibri" w:hAnsi="Arial" w:cs="Arial"/>
          <w:color w:val="000000"/>
          <w:lang w:val="es-ES" w:eastAsia="es-ES"/>
        </w:rPr>
      </w:pPr>
      <w:r w:rsidRPr="1548CBE8">
        <w:rPr>
          <w:rFonts w:ascii="Arial" w:eastAsia="Calibri" w:hAnsi="Arial" w:cs="Arial"/>
          <w:color w:val="000000" w:themeColor="text1"/>
          <w:lang w:val="es-ES" w:eastAsia="es-ES"/>
        </w:rPr>
        <w:t xml:space="preserve">ii) En armonía con lo anterior,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 y señala, en su lugar, que </w:t>
      </w:r>
      <w:r>
        <w:rPr>
          <w:rFonts w:ascii="Arial" w:eastAsia="Calibri" w:hAnsi="Arial" w:cs="Arial"/>
          <w:color w:val="000000" w:themeColor="text1"/>
          <w:lang w:val="es-ES" w:eastAsia="es-ES"/>
        </w:rPr>
        <w:t>“</w:t>
      </w:r>
      <w:r w:rsidRPr="1548CBE8">
        <w:rPr>
          <w:rFonts w:ascii="Arial" w:eastAsia="Calibri" w:hAnsi="Arial" w:cs="Arial"/>
          <w:color w:val="000000" w:themeColor="text1"/>
          <w:lang w:val="es-ES" w:eastAsia="es-ES"/>
        </w:rPr>
        <w:t>Una vez resueltas las observaciones al informe de evaluación, la entidad adjudicará el contrato mediante acto administrativo al oferente que haya cumplido todos los requisitos exigidos en el pliego de condiciones y haya obtenido el mayor puntaje</w:t>
      </w:r>
      <w:r>
        <w:rPr>
          <w:rFonts w:ascii="Arial" w:eastAsia="Calibri" w:hAnsi="Arial" w:cs="Arial"/>
          <w:color w:val="000000" w:themeColor="text1"/>
          <w:lang w:val="es-ES" w:eastAsia="es-ES"/>
        </w:rPr>
        <w:t>”</w:t>
      </w:r>
      <w:r w:rsidRPr="1548CBE8">
        <w:rPr>
          <w:rFonts w:ascii="Arial" w:eastAsia="Calibri" w:hAnsi="Arial" w:cs="Arial"/>
          <w:color w:val="000000" w:themeColor="text1"/>
          <w:lang w:val="es-ES" w:eastAsia="es-ES"/>
        </w:rPr>
        <w:t xml:space="preserve">. Esto implica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w:t>
      </w:r>
      <w:r>
        <w:rPr>
          <w:rFonts w:ascii="Arial" w:eastAsia="Calibri" w:hAnsi="Arial" w:cs="Arial"/>
          <w:color w:val="000000" w:themeColor="text1"/>
          <w:lang w:val="es-ES" w:eastAsia="es-ES"/>
        </w:rPr>
        <w:t>“</w:t>
      </w:r>
      <w:r w:rsidRPr="1548CBE8">
        <w:rPr>
          <w:rFonts w:ascii="Arial" w:eastAsia="Calibri" w:hAnsi="Arial" w:cs="Arial"/>
          <w:color w:val="000000" w:themeColor="text1"/>
          <w:lang w:val="es-ES" w:eastAsia="es-ES"/>
        </w:rPr>
        <w:t>negociación</w:t>
      </w:r>
      <w:r>
        <w:rPr>
          <w:rFonts w:ascii="Arial" w:eastAsia="Calibri" w:hAnsi="Arial" w:cs="Arial"/>
          <w:color w:val="000000" w:themeColor="text1"/>
          <w:lang w:val="es-ES" w:eastAsia="es-ES"/>
        </w:rPr>
        <w:t>”</w:t>
      </w:r>
      <w:r w:rsidRPr="1548CBE8">
        <w:rPr>
          <w:rFonts w:ascii="Arial" w:eastAsia="Calibri" w:hAnsi="Arial" w:cs="Arial"/>
          <w:color w:val="000000" w:themeColor="text1"/>
          <w:lang w:val="es-ES" w:eastAsia="es-ES"/>
        </w:rPr>
        <w:t xml:space="preserve"> con el oferente calificado en primer lugar sobre el valor y alcance del contrato, sino que debe proceder a la adjudicación a quien haya presentado objetivamente la mejor oferta, teniendo en cuenta todos los requisitos exigidos en el pliego de condiciones.</w:t>
      </w:r>
    </w:p>
    <w:p w14:paraId="3B8C1F09" w14:textId="77777777" w:rsidR="00D43FFE" w:rsidRPr="00482CF9" w:rsidRDefault="00D43FFE" w:rsidP="00D43FFE">
      <w:pPr>
        <w:spacing w:before="120" w:after="0" w:line="276" w:lineRule="auto"/>
        <w:ind w:firstLine="709"/>
        <w:jc w:val="both"/>
        <w:rPr>
          <w:rFonts w:ascii="Arial" w:eastAsia="Calibri" w:hAnsi="Arial" w:cs="Arial"/>
          <w:color w:val="000000"/>
          <w:lang w:val="es-ES" w:eastAsia="es-ES"/>
        </w:rPr>
      </w:pPr>
      <w:r w:rsidRPr="1548CBE8">
        <w:rPr>
          <w:rFonts w:ascii="Arial" w:eastAsia="Calibri" w:hAnsi="Arial" w:cs="Arial"/>
          <w:color w:val="000000" w:themeColor="text1"/>
          <w:lang w:val="es-ES" w:eastAsia="es-ES"/>
        </w:rPr>
        <w:t xml:space="preserve">iii) Como el nuevo artículo 2.2.1.2.1.3.2. del Decreto 1082 de 2015, modificado por el artículo 2 del Decreto 399 de 2021, ya no establece una fase de negociación entre la Entidad Estatal y el oferente calificado en el primer lugar de elegibilidad, por sustracción de materia, la Entidad  tampoco debe intentar un acuerdo con el oferente calificado en el segundo orden de </w:t>
      </w:r>
      <w:r w:rsidRPr="1548CBE8">
        <w:rPr>
          <w:rFonts w:ascii="Arial" w:eastAsia="Calibri" w:hAnsi="Arial" w:cs="Arial"/>
          <w:color w:val="000000" w:themeColor="text1"/>
          <w:lang w:val="es-ES" w:eastAsia="es-ES"/>
        </w:rPr>
        <w:lastRenderedPageBreak/>
        <w:t>elegibilidad, ni puede ampararse en el carácter fallido de dicho acuerdo para declarar desierto el proceso de selección, en armonía con lo decidido en los Autos del Consejo de Estado antes señalados.</w:t>
      </w:r>
    </w:p>
    <w:p w14:paraId="098F8240" w14:textId="77777777" w:rsidR="00D43FFE" w:rsidRPr="00482CF9" w:rsidRDefault="00D43FFE" w:rsidP="00D43FFE">
      <w:pPr>
        <w:spacing w:before="120" w:after="0" w:line="276" w:lineRule="auto"/>
        <w:ind w:firstLine="709"/>
        <w:jc w:val="both"/>
        <w:rPr>
          <w:rFonts w:ascii="Arial" w:eastAsia="Calibri" w:hAnsi="Arial" w:cs="Arial"/>
          <w:color w:val="000000"/>
          <w:lang w:val="es-ES" w:eastAsia="es-ES"/>
        </w:rPr>
      </w:pPr>
      <w:r w:rsidRPr="1548CBE8">
        <w:rPr>
          <w:rFonts w:ascii="Arial" w:eastAsia="Calibri" w:hAnsi="Arial" w:cs="Arial"/>
          <w:color w:val="000000" w:themeColor="text1"/>
          <w:lang w:val="es-ES" w:eastAsia="es-ES"/>
        </w:rPr>
        <w:t xml:space="preserve">Un aspecto igualmente importante que introduce el Decreto 399 de 2021 y que incide sobre el trámite del concurso de méritos, tiene que ver con el contenido de los estudios y documentos previos que soportan el Proceso de Contratación. Recuérdese que el numeral 4 del artículo 2.2.1.1.2.1.1. del Decreto 1082 de 2015 establecía que la Entidad Estatal no debía </w:t>
      </w:r>
      <w:r>
        <w:rPr>
          <w:rFonts w:ascii="Arial" w:eastAsia="Calibri" w:hAnsi="Arial" w:cs="Arial"/>
          <w:color w:val="000000" w:themeColor="text1"/>
          <w:lang w:val="es-ES" w:eastAsia="es-ES"/>
        </w:rPr>
        <w:t>“</w:t>
      </w:r>
      <w:r w:rsidRPr="1548CBE8">
        <w:rPr>
          <w:rFonts w:ascii="Arial" w:eastAsia="Calibri" w:hAnsi="Arial" w:cs="Arial"/>
          <w:color w:val="000000" w:themeColor="text1"/>
          <w:lang w:val="es-ES" w:eastAsia="es-ES"/>
        </w:rPr>
        <w:t>[…] publicar las variables utilizadas para calcular el valor estimado del contrato cuando la modalidad de selección del contratista sea en concurso de méritos</w:t>
      </w:r>
      <w:r>
        <w:rPr>
          <w:rFonts w:ascii="Arial" w:eastAsia="Calibri" w:hAnsi="Arial" w:cs="Arial"/>
          <w:color w:val="000000" w:themeColor="text1"/>
          <w:lang w:val="es-ES" w:eastAsia="es-ES"/>
        </w:rPr>
        <w:t>”</w:t>
      </w:r>
      <w:r w:rsidRPr="1548CBE8">
        <w:rPr>
          <w:rFonts w:ascii="Arial" w:eastAsia="Calibri" w:hAnsi="Arial" w:cs="Arial"/>
          <w:color w:val="000000" w:themeColor="text1"/>
          <w:lang w:val="es-ES" w:eastAsia="es-ES"/>
        </w:rPr>
        <w:t xml:space="preserve">. Pues bien, el artículo 1 del Decreto 399 de 2021 elimina esta prohibición, para garantizar que los interesados conozcan la información relacionada con el valor estimado del contrato en los concursos de méritos y potenciar la garantía de los principios de publicidad y transparencia. En efecto, así lo justifica el gobierno nacional en las consideraciones de dicho Decreto: </w:t>
      </w:r>
    </w:p>
    <w:p w14:paraId="61848CE4" w14:textId="77777777" w:rsidR="00D43FFE" w:rsidRPr="00482CF9" w:rsidRDefault="00D43FFE" w:rsidP="00D43FFE">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p>
    <w:p w14:paraId="351DF726" w14:textId="77777777" w:rsidR="00D43FFE" w:rsidRPr="00482CF9" w:rsidRDefault="00D43FFE" w:rsidP="00D43FFE">
      <w:pPr>
        <w:shd w:val="clear" w:color="auto" w:fill="FFFFFF" w:themeFill="background1"/>
        <w:spacing w:after="0" w:line="240" w:lineRule="auto"/>
        <w:ind w:left="709" w:right="709"/>
        <w:jc w:val="both"/>
        <w:rPr>
          <w:rFonts w:ascii="Arial" w:eastAsia="Times New Roman" w:hAnsi="Arial" w:cs="Arial"/>
          <w:color w:val="000000"/>
          <w:sz w:val="21"/>
          <w:szCs w:val="21"/>
          <w:lang w:val="es-ES" w:eastAsia="es-ES"/>
        </w:rPr>
      </w:pPr>
      <w:r>
        <w:rPr>
          <w:rFonts w:ascii="Arial" w:eastAsia="Times New Roman" w:hAnsi="Arial" w:cs="Arial"/>
          <w:color w:val="000000" w:themeColor="text1"/>
          <w:sz w:val="21"/>
          <w:szCs w:val="21"/>
          <w:lang w:val="es-ES" w:eastAsia="es-ES"/>
        </w:rPr>
        <w:t>“</w:t>
      </w:r>
      <w:r w:rsidRPr="1548CBE8">
        <w:rPr>
          <w:rFonts w:ascii="Arial" w:eastAsia="Times New Roman" w:hAnsi="Arial" w:cs="Arial"/>
          <w:color w:val="000000" w:themeColor="text1"/>
          <w:sz w:val="21"/>
          <w:szCs w:val="21"/>
          <w:lang w:val="es-ES" w:eastAsia="es-ES"/>
        </w:rPr>
        <w:t>Que en consideración a la importancia de conocer los valores y criterios utilizados por las entidades estatales que sirvan de soporte para definir el valor estimado del contrato en la modalidad de selección de concurso de méritos, y ante la inexistencia de una reserva legal de esta información, es necesario eliminar la restricción respecto al deber de publicación de dichos análisis.</w:t>
      </w:r>
    </w:p>
    <w:p w14:paraId="599F2AFE" w14:textId="77777777" w:rsidR="00D43FFE" w:rsidRPr="00482CF9" w:rsidRDefault="00D43FFE" w:rsidP="00D43FFE">
      <w:pPr>
        <w:shd w:val="clear" w:color="auto" w:fill="FFFFFF"/>
        <w:spacing w:after="0" w:line="240" w:lineRule="auto"/>
        <w:ind w:left="709" w:right="709"/>
        <w:jc w:val="both"/>
        <w:rPr>
          <w:rFonts w:ascii="Arial" w:eastAsia="Times New Roman" w:hAnsi="Arial" w:cs="Arial"/>
          <w:color w:val="000000"/>
          <w:sz w:val="21"/>
          <w:szCs w:val="21"/>
          <w:lang w:val="es-ES_tradnl" w:eastAsia="es-ES_tradnl"/>
        </w:rPr>
      </w:pPr>
      <w:r w:rsidRPr="00482CF9">
        <w:rPr>
          <w:rFonts w:ascii="Arial" w:eastAsia="Times New Roman" w:hAnsi="Arial" w:cs="Arial"/>
          <w:color w:val="000000"/>
          <w:sz w:val="21"/>
          <w:szCs w:val="21"/>
          <w:lang w:val="es-ES_tradnl" w:eastAsia="es-ES_tradnl"/>
        </w:rPr>
        <w:t> </w:t>
      </w:r>
    </w:p>
    <w:p w14:paraId="4A414956" w14:textId="77777777" w:rsidR="00D43FFE" w:rsidRPr="00482CF9" w:rsidRDefault="00D43FFE" w:rsidP="00D43FFE">
      <w:pPr>
        <w:shd w:val="clear" w:color="auto" w:fill="FFFFFF" w:themeFill="background1"/>
        <w:spacing w:after="0" w:line="240" w:lineRule="auto"/>
        <w:ind w:left="709" w:right="709"/>
        <w:jc w:val="both"/>
        <w:rPr>
          <w:rFonts w:ascii="Arial" w:eastAsia="Times New Roman" w:hAnsi="Arial" w:cs="Arial"/>
          <w:color w:val="000000"/>
          <w:sz w:val="21"/>
          <w:szCs w:val="21"/>
          <w:lang w:val="es-ES" w:eastAsia="es-ES"/>
        </w:rPr>
      </w:pPr>
      <w:r w:rsidRPr="1548CBE8">
        <w:rPr>
          <w:rFonts w:ascii="Arial" w:eastAsia="Times New Roman" w:hAnsi="Arial" w:cs="Arial"/>
          <w:color w:val="000000" w:themeColor="text1"/>
          <w:sz w:val="21"/>
          <w:szCs w:val="21"/>
          <w:lang w:val="es-ES" w:eastAsia="es-ES"/>
        </w:rPr>
        <w:t>Que se considera conveniente dar publicidad a la forma como se calcula el valor del contrato en los concursos de méritos, con la finalidad de garantizar al máximo los principios de publicidad y transparencia. Además, para que los interesados, de conformidad con el artículo 8 de la Ley 1150 de 2007, puedan realizar observaciones al proyecto de pliego de condiciones, que debe incluir el valor estimado del contrato.</w:t>
      </w:r>
      <w:r>
        <w:rPr>
          <w:rFonts w:ascii="Arial" w:eastAsia="Times New Roman" w:hAnsi="Arial" w:cs="Arial"/>
          <w:color w:val="000000" w:themeColor="text1"/>
          <w:sz w:val="21"/>
          <w:szCs w:val="21"/>
          <w:lang w:val="es-ES" w:eastAsia="es-ES"/>
        </w:rPr>
        <w:t>”</w:t>
      </w:r>
      <w:r w:rsidRPr="1548CBE8">
        <w:rPr>
          <w:rFonts w:ascii="Arial" w:eastAsia="Calibri" w:hAnsi="Arial" w:cs="Arial"/>
          <w:color w:val="000000" w:themeColor="text1"/>
          <w:lang w:val="es-ES" w:eastAsia="es-ES"/>
        </w:rPr>
        <w:t xml:space="preserve">  </w:t>
      </w:r>
    </w:p>
    <w:p w14:paraId="45A733C5" w14:textId="77777777" w:rsidR="00D43FFE" w:rsidRPr="00482CF9" w:rsidRDefault="00D43FFE" w:rsidP="00D43FFE">
      <w:pPr>
        <w:spacing w:after="0" w:line="276" w:lineRule="auto"/>
        <w:ind w:firstLine="709"/>
        <w:jc w:val="both"/>
        <w:rPr>
          <w:rFonts w:ascii="Arial" w:eastAsia="Calibri" w:hAnsi="Arial" w:cs="Arial"/>
          <w:color w:val="000000"/>
          <w:szCs w:val="24"/>
          <w:lang w:val="es-ES_tradnl" w:eastAsia="es-ES_tradnl"/>
        </w:rPr>
      </w:pPr>
    </w:p>
    <w:p w14:paraId="3A79EA01" w14:textId="77777777" w:rsidR="00D43FFE" w:rsidRPr="00482CF9" w:rsidRDefault="00D43FFE" w:rsidP="00D43FFE">
      <w:pPr>
        <w:spacing w:after="0" w:line="276" w:lineRule="auto"/>
        <w:ind w:firstLine="709"/>
        <w:jc w:val="both"/>
        <w:rPr>
          <w:rFonts w:ascii="Arial" w:eastAsia="Calibri" w:hAnsi="Arial" w:cs="Arial"/>
          <w:color w:val="000000"/>
          <w:lang w:val="es-ES" w:eastAsia="es-ES"/>
        </w:rPr>
      </w:pPr>
      <w:r w:rsidRPr="1548CBE8">
        <w:rPr>
          <w:rFonts w:ascii="Arial" w:eastAsia="Calibri" w:hAnsi="Arial" w:cs="Arial"/>
          <w:color w:val="000000" w:themeColor="text1"/>
          <w:lang w:val="es-ES" w:eastAsia="es-ES"/>
        </w:rPr>
        <w:t xml:space="preserve">Por lo tanto, a partir de la entrada en vigencia del Decreto 399 de 2021, las Entidades Estatales deben incluir en los estudios previos del concurso de méritos la información correspondiente a las variables empleadas para calcular el valor estimado del contrato, determinando así el presupuesto oficial. Además, los interesados pueden formular observaciones al proyecto de pliego de condiciones sobre este tema. Adicionalmente, en el pliego de condiciones deben establecerse con claridad los requisitos habilitantes y criterios de calificación con fundamento en los cuales la Entidad Estatal elaborará el informe de evaluación respectivo. Al respecto, se aclara que el Decreto 399 de 2021 en ningún caso contradice lo establecido en el artículo 5, numeral 4, de la Ley 1150 de 2007; norma que dispone que </w:t>
      </w:r>
      <w:r>
        <w:rPr>
          <w:rFonts w:ascii="Arial" w:eastAsia="Calibri" w:hAnsi="Arial" w:cs="Arial"/>
          <w:color w:val="000000" w:themeColor="text1"/>
          <w:lang w:val="es-ES" w:eastAsia="es-ES"/>
        </w:rPr>
        <w:t>“</w:t>
      </w:r>
      <w:r w:rsidRPr="1548CBE8">
        <w:rPr>
          <w:rFonts w:ascii="Arial" w:eastAsia="Calibri" w:hAnsi="Arial" w:cs="Arial"/>
          <w:color w:val="000000" w:themeColor="text1"/>
          <w:lang w:val="es-ES" w:eastAsia="es-ES"/>
        </w:rPr>
        <w:t>En los procesos para la selección de consultores se hará uso de factores de calificación destinados a valorar los aspectos técnicos de la oferta o proyecto […]</w:t>
      </w:r>
      <w:r>
        <w:rPr>
          <w:rFonts w:ascii="Arial" w:eastAsia="Calibri" w:hAnsi="Arial" w:cs="Arial"/>
          <w:color w:val="000000" w:themeColor="text1"/>
          <w:lang w:val="es-ES" w:eastAsia="es-ES"/>
        </w:rPr>
        <w:t>”</w:t>
      </w:r>
      <w:r w:rsidRPr="1548CBE8">
        <w:rPr>
          <w:rFonts w:ascii="Arial" w:eastAsia="Calibri" w:hAnsi="Arial" w:cs="Arial"/>
          <w:color w:val="000000" w:themeColor="text1"/>
          <w:lang w:val="es-ES" w:eastAsia="es-ES"/>
        </w:rPr>
        <w:t xml:space="preserve"> y que </w:t>
      </w:r>
      <w:r>
        <w:rPr>
          <w:rFonts w:ascii="Arial" w:eastAsia="Calibri" w:hAnsi="Arial" w:cs="Arial"/>
          <w:color w:val="000000" w:themeColor="text1"/>
          <w:lang w:val="es-ES" w:eastAsia="es-ES"/>
        </w:rPr>
        <w:t>“</w:t>
      </w:r>
      <w:r w:rsidRPr="1548CBE8">
        <w:rPr>
          <w:rFonts w:ascii="Arial" w:eastAsia="Calibri" w:hAnsi="Arial" w:cs="Arial"/>
          <w:color w:val="000000" w:themeColor="text1"/>
          <w:lang w:val="es-ES" w:eastAsia="es-ES"/>
        </w:rPr>
        <w:t>En ningún caso se podrá incluir el precio, como factor de escogencia para la selección de consultores</w:t>
      </w:r>
      <w:r>
        <w:rPr>
          <w:rFonts w:ascii="Arial" w:eastAsia="Calibri" w:hAnsi="Arial" w:cs="Arial"/>
          <w:color w:val="000000" w:themeColor="text1"/>
          <w:lang w:val="es-ES" w:eastAsia="es-ES"/>
        </w:rPr>
        <w:t>”</w:t>
      </w:r>
      <w:r w:rsidRPr="1548CBE8">
        <w:rPr>
          <w:rFonts w:ascii="Arial" w:eastAsia="Calibri" w:hAnsi="Arial" w:cs="Arial"/>
          <w:color w:val="000000" w:themeColor="text1"/>
          <w:lang w:val="es-ES" w:eastAsia="es-ES"/>
        </w:rPr>
        <w:t xml:space="preserve">. El hecho de que desaparezca la etapa en la cual la Entidad Estatal debía intentar un acuerdo sobre el alcance y el valor del contrato con el oferente calificado en el primer orden de elegibilidad no significa que se esté introduciendo el precio como factor de escogencia. Lo que se deduce del artículo 2 del Decreto 399 de 2021 es </w:t>
      </w:r>
      <w:r w:rsidRPr="1548CBE8">
        <w:rPr>
          <w:rFonts w:ascii="Arial" w:eastAsia="Calibri" w:hAnsi="Arial" w:cs="Arial"/>
          <w:color w:val="000000" w:themeColor="text1"/>
          <w:lang w:val="es-ES" w:eastAsia="es-ES"/>
        </w:rPr>
        <w:lastRenderedPageBreak/>
        <w:t xml:space="preserve">que en el pliego de condiciones debe quedar claramente establecido el presupuesto oficial, así como la prohibición de superarlo como requisito habilitante dentro del concurso de méritos. </w:t>
      </w:r>
    </w:p>
    <w:p w14:paraId="7212EF3E" w14:textId="77777777" w:rsidR="00D43FFE" w:rsidRPr="00482CF9" w:rsidRDefault="00D43FFE" w:rsidP="00D43FFE">
      <w:pPr>
        <w:spacing w:before="120" w:after="0" w:line="276" w:lineRule="auto"/>
        <w:ind w:firstLine="709"/>
        <w:jc w:val="both"/>
        <w:rPr>
          <w:rFonts w:ascii="Arial" w:eastAsia="Calibri" w:hAnsi="Arial" w:cs="Arial"/>
          <w:color w:val="000000"/>
          <w:lang w:val="es-ES" w:eastAsia="es-ES"/>
        </w:rPr>
      </w:pPr>
    </w:p>
    <w:p w14:paraId="5B711748" w14:textId="77777777" w:rsidR="00D43FFE" w:rsidRPr="00482CF9" w:rsidRDefault="00D43FFE" w:rsidP="00D43FFE">
      <w:pPr>
        <w:spacing w:before="120" w:after="0" w:line="276" w:lineRule="auto"/>
        <w:ind w:firstLine="709"/>
        <w:jc w:val="both"/>
        <w:rPr>
          <w:rFonts w:ascii="Arial" w:eastAsia="Times New Roman" w:hAnsi="Arial" w:cs="Arial"/>
          <w:shd w:val="clear" w:color="auto" w:fill="FFFFFF"/>
          <w:lang w:eastAsia="es-ES_tradnl"/>
        </w:rPr>
      </w:pPr>
      <w:r w:rsidRPr="00482CF9">
        <w:rPr>
          <w:rFonts w:ascii="Arial" w:eastAsia="Calibri" w:hAnsi="Arial" w:cs="Arial"/>
          <w:szCs w:val="24"/>
          <w:lang w:val="es-ES_tradnl" w:eastAsia="es-ES_tradnl"/>
        </w:rPr>
        <w:t>De lo explicado previamente surge el siguiente interrogante: ¿el artículo 2 del Decreto 399 de 2021, normativa que modifica el artículo 2.2.1.2.1.3.2 del Decreto 1082, varía el momento en el cual las entidades estatales verifican las ofertas económicas? En la regulación inicialmente prevista por</w:t>
      </w:r>
      <w:r w:rsidRPr="00482CF9">
        <w:rPr>
          <w:rFonts w:ascii="Arial" w:eastAsia="Times New Roman" w:hAnsi="Arial" w:cs="Arial"/>
          <w:shd w:val="clear" w:color="auto" w:fill="FFFFFF"/>
          <w:lang w:eastAsia="es-ES_tradnl"/>
        </w:rPr>
        <w:t xml:space="preserve"> el Decreto 1082 de 201</w:t>
      </w:r>
      <w:r w:rsidRPr="00482CF9">
        <w:rPr>
          <w:rFonts w:ascii="Arial" w:eastAsia="Times New Roman" w:hAnsi="Arial" w:cs="Arial"/>
          <w:bCs/>
          <w:shd w:val="clear" w:color="auto" w:fill="FFFFFF"/>
          <w:lang w:eastAsia="es-ES_tradnl"/>
        </w:rPr>
        <w:t>5</w:t>
      </w:r>
      <w:r w:rsidRPr="00482CF9">
        <w:rPr>
          <w:rFonts w:ascii="Arial" w:eastAsia="Times New Roman" w:hAnsi="Arial" w:cs="Arial"/>
          <w:shd w:val="clear" w:color="auto" w:fill="FFFFFF"/>
          <w:lang w:eastAsia="es-ES_tradnl"/>
        </w:rPr>
        <w:t xml:space="preserve"> la revisión de las ofertas económicas se realizaba luego de publicar el informe de evaluación que contenía la calificación técnica y el orden de elegibilidad</w:t>
      </w:r>
      <w:r w:rsidRPr="00482CF9">
        <w:rPr>
          <w:rFonts w:ascii="Arial" w:eastAsia="Times New Roman" w:hAnsi="Arial" w:cs="Arial"/>
          <w:shd w:val="clear" w:color="auto" w:fill="FFFFFF"/>
          <w:vertAlign w:val="superscript"/>
          <w:lang w:eastAsia="es-ES_tradnl"/>
        </w:rPr>
        <w:footnoteReference w:id="18"/>
      </w:r>
      <w:r w:rsidRPr="00482CF9">
        <w:rPr>
          <w:rFonts w:ascii="Arial" w:eastAsia="Times New Roman" w:hAnsi="Arial" w:cs="Arial"/>
          <w:shd w:val="clear" w:color="auto" w:fill="FFFFFF"/>
          <w:lang w:eastAsia="es-ES_tradnl"/>
        </w:rPr>
        <w:t xml:space="preserve">. En este sentido, vencido el plazo de la fecha del cierre del proceso se evaluaban los documentos referidos a la calificación técnica, cuyo análisis y revisión quedaba contenido en el informe de evaluación. Publicado este informe en la plataforma del Sistema Electrónico de Contratación Pública –SECOP–, se procedía a revisar la oferta económica para determinar que el valor de esta estuviera acorde con el valor del presupuesto estimado por la Entidad. </w:t>
      </w:r>
    </w:p>
    <w:p w14:paraId="1C970571" w14:textId="77777777" w:rsidR="00D43FFE" w:rsidRPr="00482CF9" w:rsidRDefault="00D43FFE" w:rsidP="00D43FFE">
      <w:pPr>
        <w:spacing w:before="120" w:after="0" w:line="276" w:lineRule="auto"/>
        <w:ind w:firstLine="709"/>
        <w:jc w:val="both"/>
        <w:rPr>
          <w:rFonts w:ascii="Arial" w:eastAsia="Times New Roman" w:hAnsi="Arial" w:cs="Arial"/>
          <w:shd w:val="clear" w:color="auto" w:fill="FFFFFF"/>
          <w:lang w:eastAsia="es-ES"/>
        </w:rPr>
      </w:pPr>
      <w:r w:rsidRPr="1548CBE8">
        <w:rPr>
          <w:rFonts w:ascii="Arial" w:eastAsia="Times New Roman" w:hAnsi="Arial" w:cs="Arial"/>
          <w:shd w:val="clear" w:color="auto" w:fill="FFFFFF"/>
          <w:lang w:eastAsia="es-ES"/>
        </w:rPr>
        <w:t>Por su parte, con fundamento en el Decreto 399 de 2021, la apertura de las ofertas se realiza al momento del cierre del proceso, esto es, vencido el plazo para presentar las ofertas. Lo anterior, teniendo en cuenta que la Entidad Estatal debe evaluar en el informe respectivo los requisitos exigidos en el pliego de condiciones, incluidos los requisitos habilitantes y los de asignación de puntaje. Una vez resueltas las observaciones presentadas al informe, la entidad adjudicará el contrato mediante acto administrativo. Por tanto, se entiende que en este informe se evaluará el cumplimiento de todas las exigencias previstas en el pliego de condiciones, esto es, los requisitos habilitantes, los factores de evaluación y las ofertas económicas.</w:t>
      </w:r>
    </w:p>
    <w:p w14:paraId="68B8832F" w14:textId="77777777" w:rsidR="00D43FFE" w:rsidRPr="00482CF9" w:rsidRDefault="00D43FFE" w:rsidP="00D43FFE">
      <w:pPr>
        <w:tabs>
          <w:tab w:val="left" w:pos="284"/>
        </w:tabs>
        <w:spacing w:after="0" w:line="276" w:lineRule="auto"/>
        <w:contextualSpacing/>
        <w:jc w:val="both"/>
        <w:rPr>
          <w:rFonts w:ascii="Arial" w:eastAsia="Calibri" w:hAnsi="Arial" w:cs="Arial"/>
          <w:b/>
          <w:color w:val="000000"/>
          <w:lang w:val="es-ES_tradnl"/>
        </w:rPr>
      </w:pPr>
    </w:p>
    <w:p w14:paraId="098D98B0" w14:textId="77777777" w:rsidR="00D43FFE" w:rsidRPr="00482CF9" w:rsidRDefault="00D43FFE" w:rsidP="00D43FFE">
      <w:pPr>
        <w:tabs>
          <w:tab w:val="left" w:pos="284"/>
        </w:tabs>
        <w:spacing w:after="0" w:line="276" w:lineRule="auto"/>
        <w:contextualSpacing/>
        <w:jc w:val="both"/>
        <w:rPr>
          <w:rFonts w:ascii="Arial" w:eastAsia="Calibri" w:hAnsi="Arial" w:cs="Arial"/>
          <w:b/>
          <w:color w:val="000000"/>
          <w:lang w:val="es-ES_tradnl"/>
        </w:rPr>
      </w:pPr>
      <w:r w:rsidRPr="00482CF9">
        <w:rPr>
          <w:rFonts w:ascii="Arial" w:eastAsia="Calibri" w:hAnsi="Arial" w:cs="Arial"/>
          <w:b/>
          <w:color w:val="000000"/>
          <w:lang w:val="es-ES_tradnl"/>
        </w:rPr>
        <w:t>2.</w:t>
      </w:r>
      <w:r>
        <w:rPr>
          <w:rFonts w:ascii="Arial" w:eastAsia="Calibri" w:hAnsi="Arial" w:cs="Arial"/>
          <w:b/>
          <w:color w:val="000000"/>
          <w:lang w:val="es-ES_tradnl"/>
        </w:rPr>
        <w:t>4</w:t>
      </w:r>
      <w:r w:rsidRPr="00482CF9">
        <w:rPr>
          <w:rFonts w:ascii="Arial" w:eastAsia="Calibri" w:hAnsi="Arial" w:cs="Arial"/>
          <w:b/>
          <w:color w:val="000000"/>
          <w:lang w:val="es-ES_tradnl"/>
        </w:rPr>
        <w:t xml:space="preserve"> La </w:t>
      </w:r>
      <w:proofErr w:type="spellStart"/>
      <w:r w:rsidRPr="00482CF9">
        <w:rPr>
          <w:rFonts w:ascii="Arial" w:eastAsia="Calibri" w:hAnsi="Arial" w:cs="Arial"/>
          <w:b/>
          <w:color w:val="000000"/>
          <w:lang w:val="es-ES_tradnl"/>
        </w:rPr>
        <w:t>subsanabilidad</w:t>
      </w:r>
      <w:proofErr w:type="spellEnd"/>
      <w:r w:rsidRPr="00482CF9">
        <w:rPr>
          <w:rFonts w:ascii="Arial" w:eastAsia="Calibri" w:hAnsi="Arial" w:cs="Arial"/>
          <w:b/>
          <w:color w:val="000000"/>
          <w:lang w:val="es-ES_tradnl"/>
        </w:rPr>
        <w:t xml:space="preserve"> de las ofertas en los procesos de selección del Estatuto General de Contratación de la Administración Pública</w:t>
      </w:r>
      <w:r>
        <w:rPr>
          <w:rFonts w:ascii="Arial" w:eastAsia="Calibri" w:hAnsi="Arial" w:cs="Arial"/>
          <w:b/>
          <w:color w:val="000000"/>
          <w:lang w:val="es-ES_tradnl"/>
        </w:rPr>
        <w:t xml:space="preserve"> </w:t>
      </w:r>
    </w:p>
    <w:p w14:paraId="6C0E78FB" w14:textId="77777777" w:rsidR="00F906BB" w:rsidRDefault="00F906BB" w:rsidP="00D43FFE">
      <w:pPr>
        <w:spacing w:after="0" w:line="276" w:lineRule="auto"/>
        <w:contextualSpacing/>
        <w:jc w:val="both"/>
        <w:rPr>
          <w:rFonts w:ascii="Arial" w:eastAsia="Calibri" w:hAnsi="Arial" w:cs="Arial"/>
          <w:b/>
          <w:color w:val="000000"/>
          <w:lang w:val="es-ES_tradnl"/>
        </w:rPr>
      </w:pPr>
    </w:p>
    <w:p w14:paraId="1B15C509" w14:textId="71B29BC3" w:rsidR="00D43FFE" w:rsidRPr="00120E43" w:rsidRDefault="00D43FFE" w:rsidP="00D43FFE">
      <w:pPr>
        <w:spacing w:after="0" w:line="276" w:lineRule="auto"/>
        <w:contextualSpacing/>
        <w:jc w:val="both"/>
        <w:rPr>
          <w:rFonts w:ascii="Arial" w:eastAsia="Arial" w:hAnsi="Arial" w:cs="Arial"/>
          <w:lang w:val="es-ES"/>
        </w:rPr>
      </w:pPr>
      <w:r w:rsidRPr="1548CBE8">
        <w:rPr>
          <w:rFonts w:ascii="Arial" w:eastAsia="Arial" w:hAnsi="Arial" w:cs="Arial"/>
          <w:color w:val="000000" w:themeColor="text1"/>
          <w:lang w:val="es-MX"/>
        </w:rPr>
        <w:lastRenderedPageBreak/>
        <w:t xml:space="preserve">En el concepto CU — 060 de 16 de enero de 2020, se unificó el concepto de la Agencia Nacional de Contratación Pública – Colombia Compra Eficiente en torno al alcance de la regla de la </w:t>
      </w:r>
      <w:proofErr w:type="spellStart"/>
      <w:r w:rsidRPr="1548CBE8">
        <w:rPr>
          <w:rFonts w:ascii="Arial" w:eastAsia="Arial" w:hAnsi="Arial" w:cs="Arial"/>
          <w:color w:val="000000" w:themeColor="text1"/>
          <w:lang w:val="es-MX"/>
        </w:rPr>
        <w:t>subsanabilidad</w:t>
      </w:r>
      <w:proofErr w:type="spellEnd"/>
      <w:r w:rsidRPr="1548CBE8">
        <w:rPr>
          <w:rFonts w:ascii="Arial" w:eastAsia="Arial" w:hAnsi="Arial" w:cs="Arial"/>
          <w:color w:val="000000" w:themeColor="text1"/>
          <w:lang w:val="es-MX"/>
        </w:rPr>
        <w:t>, contenida actualmente en el artículo 5 de la Ley 1150 de 2007. En dicho concepto se unificó la tesis expuesta en los conceptos con radicado No. 4201913000006471 del 28 de octubre de 2019, 4201912000006711 del 12 de noviembre de 2019 y 4201912000006496 del 15 de noviembre de 2019, la cual fue reiterada en los conceptos C-082 de 27 de enero de 2020 y C-127 de 12 de febrero de 2020, C−044 de 24 de marzo de 2020, C–013 de 28 de abril de 2020, C−307 de 21 de mayo de 2020, C−372 de 30 de junio de 2020, C−410 de 26 de junio de 2020, C−481 de 27 julio de 2020, C−420 de 28 de julio de 2020, C-730 de 14 de diciembre de 2020, C–779 de 18 de enero de 2020, C-077 de 14 de enero de 2021, C-010 de 16 de febrero de 2021, C-250 del 2 de junio de 2021 C-568 del 11 de octubre de 2021, C-728 del 25 de enero de 2022, C-140 del 28 de marzo de 2022, C-285 del 20 de mayo de 2022, C-416 del 30 de junio de 2022, C-431 del 7 de julio de 2022, C-470 del 25 de julio de 2022, C-505 de 8 de agosto de 2022 y C-681 de 19 de octubre de 2022.</w:t>
      </w:r>
    </w:p>
    <w:p w14:paraId="2D34AC6F" w14:textId="77777777" w:rsidR="00D43FFE" w:rsidRPr="00666155" w:rsidRDefault="00D43FFE" w:rsidP="00D43FFE">
      <w:pPr>
        <w:spacing w:before="120" w:after="200" w:line="276" w:lineRule="auto"/>
        <w:ind w:firstLine="708"/>
        <w:jc w:val="both"/>
        <w:rPr>
          <w:rFonts w:ascii="Arial" w:eastAsia="Arial" w:hAnsi="Arial" w:cs="Arial"/>
        </w:rPr>
      </w:pPr>
      <w:r w:rsidRPr="00F906BB">
        <w:rPr>
          <w:rFonts w:ascii="Arial" w:eastAsia="Arial" w:hAnsi="Arial" w:cs="Arial"/>
          <w:color w:val="000000" w:themeColor="text1"/>
          <w:lang w:val="es-ES"/>
        </w:rPr>
        <w:t xml:space="preserve">La referida postura indica que, por regla general, la falta de entrega y los defectos, en la acreditación de los requisitos habilitantes son aspectos subsanables. La excepción se encuentra en los casos, previstos en la ley, que limitan la </w:t>
      </w:r>
      <w:proofErr w:type="spellStart"/>
      <w:r w:rsidRPr="00F906BB">
        <w:rPr>
          <w:rFonts w:ascii="Arial" w:eastAsia="Arial" w:hAnsi="Arial" w:cs="Arial"/>
          <w:color w:val="000000" w:themeColor="text1"/>
          <w:lang w:val="es-ES"/>
        </w:rPr>
        <w:t>subsanabilidad</w:t>
      </w:r>
      <w:proofErr w:type="spellEnd"/>
      <w:r w:rsidRPr="00F906BB">
        <w:rPr>
          <w:rFonts w:ascii="Arial" w:eastAsia="Arial" w:hAnsi="Arial" w:cs="Arial"/>
          <w:color w:val="000000" w:themeColor="text1"/>
          <w:lang w:val="es-ES"/>
        </w:rPr>
        <w:t>, es decir, en la prohibición de permitir la entrega de la garantía de seriedad de la oferta que no fue aportada con la propuesta</w:t>
      </w:r>
      <w:r w:rsidRPr="00F906BB">
        <w:rPr>
          <w:rFonts w:ascii="Arial" w:eastAsia="Arial" w:hAnsi="Arial" w:cs="Arial"/>
          <w:color w:val="000000" w:themeColor="text1"/>
          <w:u w:val="single"/>
          <w:lang w:val="es-ES"/>
        </w:rPr>
        <w:t xml:space="preserve"> </w:t>
      </w:r>
      <w:r w:rsidRPr="00F906BB">
        <w:rPr>
          <w:rFonts w:ascii="Arial" w:eastAsia="Arial" w:hAnsi="Arial" w:cs="Arial"/>
          <w:color w:val="000000" w:themeColor="text1"/>
          <w:lang w:val="es-ES"/>
        </w:rPr>
        <w:t>y de valer la acreditación de circunstancias ocurridas con posterioridad al cierre del proceso. En esta línea, la posibilidad de enmendar, corregir o subsanar los errores en los que se incurre en los documentos contentivos de la oferta es un tema que ha tenido diferentes momentos o etapas en el ordenamiento jurídico colombiano.</w:t>
      </w:r>
      <w:r w:rsidRPr="1548CBE8">
        <w:rPr>
          <w:rFonts w:ascii="Arial" w:eastAsia="Arial" w:hAnsi="Arial" w:cs="Arial"/>
          <w:color w:val="000000" w:themeColor="text1"/>
          <w:lang w:val="es-ES"/>
        </w:rPr>
        <w:t xml:space="preserve"> </w:t>
      </w:r>
      <w:r w:rsidRPr="1548CBE8">
        <w:rPr>
          <w:rFonts w:ascii="Arial" w:eastAsia="Arial" w:hAnsi="Arial" w:cs="Arial"/>
        </w:rPr>
        <w:t xml:space="preserve"> </w:t>
      </w:r>
    </w:p>
    <w:p w14:paraId="58C7E0B6" w14:textId="77777777" w:rsidR="00D43FFE" w:rsidRPr="00482CF9" w:rsidRDefault="00D43FFE" w:rsidP="00D43FFE">
      <w:pPr>
        <w:spacing w:before="120" w:after="0" w:line="276" w:lineRule="auto"/>
        <w:ind w:firstLine="709"/>
        <w:jc w:val="both"/>
        <w:rPr>
          <w:rFonts w:ascii="Arial" w:eastAsia="Times New Roman" w:hAnsi="Arial" w:cs="Arial"/>
          <w:shd w:val="clear" w:color="auto" w:fill="FFFFFF"/>
          <w:lang w:eastAsia="es-ES"/>
        </w:rPr>
      </w:pPr>
      <w:bookmarkStart w:id="6" w:name="_Hlk137117520"/>
      <w:r w:rsidRPr="7FDDD7E9">
        <w:rPr>
          <w:rFonts w:ascii="Arial" w:eastAsia="Times New Roman" w:hAnsi="Arial" w:cs="Arial"/>
          <w:shd w:val="clear" w:color="auto" w:fill="FFFFFF"/>
          <w:lang w:eastAsia="es-ES"/>
        </w:rPr>
        <w:t xml:space="preserve">En un </w:t>
      </w:r>
      <w:r w:rsidRPr="7FDDD7E9">
        <w:rPr>
          <w:rFonts w:ascii="Arial" w:eastAsia="Times New Roman" w:hAnsi="Arial" w:cs="Arial"/>
          <w:i/>
          <w:iCs/>
          <w:shd w:val="clear" w:color="auto" w:fill="FFFFFF"/>
          <w:lang w:eastAsia="es-ES"/>
        </w:rPr>
        <w:t xml:space="preserve">primer momento, </w:t>
      </w:r>
      <w:r w:rsidRPr="7FDDD7E9">
        <w:rPr>
          <w:rFonts w:ascii="Arial" w:eastAsia="Times New Roman" w:hAnsi="Arial" w:cs="Arial"/>
          <w:shd w:val="clear" w:color="auto" w:fill="FFFFFF"/>
          <w:lang w:eastAsia="es-ES"/>
        </w:rPr>
        <w:t xml:space="preserve">antes de la entrada en vigencia de la Constitución Política de 1991, el régimen jurídico de la </w:t>
      </w:r>
      <w:proofErr w:type="spellStart"/>
      <w:r w:rsidRPr="7FDDD7E9">
        <w:rPr>
          <w:rFonts w:ascii="Arial" w:eastAsia="Times New Roman" w:hAnsi="Arial" w:cs="Arial"/>
          <w:shd w:val="clear" w:color="auto" w:fill="FFFFFF"/>
          <w:lang w:eastAsia="es-ES"/>
        </w:rPr>
        <w:t>subsanabilidad</w:t>
      </w:r>
      <w:proofErr w:type="spellEnd"/>
      <w:r w:rsidRPr="7FDDD7E9">
        <w:rPr>
          <w:rFonts w:ascii="Arial" w:eastAsia="Times New Roman" w:hAnsi="Arial" w:cs="Arial"/>
          <w:shd w:val="clear" w:color="auto" w:fill="FFFFFF"/>
          <w:lang w:eastAsia="es-ES"/>
        </w:rPr>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w:t>
      </w:r>
    </w:p>
    <w:p w14:paraId="07047D6A" w14:textId="77777777" w:rsidR="00D43FFE" w:rsidRDefault="00D43FFE" w:rsidP="00D43FFE">
      <w:pPr>
        <w:spacing w:before="120" w:after="0" w:line="276" w:lineRule="auto"/>
        <w:ind w:firstLine="709"/>
        <w:jc w:val="both"/>
        <w:rPr>
          <w:rFonts w:ascii="Arial" w:eastAsia="Times New Roman" w:hAnsi="Arial" w:cs="Arial"/>
          <w:lang w:eastAsia="es-ES"/>
        </w:rPr>
      </w:pPr>
    </w:p>
    <w:p w14:paraId="524BF012" w14:textId="77777777" w:rsidR="00D43FFE" w:rsidRPr="00482CF9" w:rsidRDefault="00D43FFE" w:rsidP="00D43FFE">
      <w:pPr>
        <w:spacing w:after="0" w:line="276" w:lineRule="auto"/>
        <w:ind w:firstLine="709"/>
        <w:jc w:val="both"/>
        <w:rPr>
          <w:rFonts w:ascii="Arial" w:eastAsia="Times New Roman" w:hAnsi="Arial" w:cs="Arial"/>
          <w:shd w:val="clear" w:color="auto" w:fill="FFFFFF"/>
          <w:lang w:eastAsia="es-ES_tradnl"/>
        </w:rPr>
      </w:pPr>
      <w:r w:rsidRPr="00482CF9">
        <w:rPr>
          <w:rFonts w:ascii="Arial" w:eastAsia="Times New Roman" w:hAnsi="Arial" w:cs="Arial"/>
          <w:shd w:val="clear" w:color="auto" w:fill="FFFFFF"/>
          <w:lang w:eastAsia="es-ES_tradnl"/>
        </w:rPr>
        <w:t xml:space="preserve">En un </w:t>
      </w:r>
      <w:r w:rsidRPr="00482CF9">
        <w:rPr>
          <w:rFonts w:ascii="Arial" w:eastAsia="Times New Roman" w:hAnsi="Arial" w:cs="Arial"/>
          <w:i/>
          <w:iCs/>
          <w:shd w:val="clear" w:color="auto" w:fill="FFFFFF"/>
          <w:lang w:eastAsia="es-ES_tradnl"/>
        </w:rPr>
        <w:t>segundo momento se</w:t>
      </w:r>
      <w:r w:rsidRPr="00482CF9">
        <w:rPr>
          <w:rFonts w:ascii="Arial" w:eastAsia="Times New Roman" w:hAnsi="Arial" w:cs="Arial"/>
          <w:shd w:val="clear" w:color="auto" w:fill="FFFFFF"/>
          <w:lang w:eastAsia="es-ES_tradnl"/>
        </w:rPr>
        <w:t xml:space="preserve"> expidió la Ley 80 de 1993, bajo el nuevo paradigma que supuso la Constitución de 1991, particularmente en la forma como se relaciona lo formal y lo sustancial en las actuaciones judiciales y administrativas, el cual quedó consignado en el artículo 228, que introdujo un principio de supremacía o prevalencia del derecho sustancial sobre lo procedimental. En este nuevo escenario constitucional, el numeral 15 del artículo 25 de la Ley 80 de 1993 dispuso lo siguiente: </w:t>
      </w:r>
    </w:p>
    <w:p w14:paraId="4645D4F4" w14:textId="77777777" w:rsidR="00D43FFE" w:rsidRPr="00482CF9" w:rsidRDefault="00D43FFE" w:rsidP="00D43FFE">
      <w:pPr>
        <w:spacing w:after="0" w:line="240" w:lineRule="auto"/>
        <w:ind w:left="709" w:right="709"/>
        <w:jc w:val="both"/>
        <w:rPr>
          <w:rFonts w:ascii="Arial" w:eastAsia="Calibri" w:hAnsi="Arial" w:cs="Arial"/>
          <w:sz w:val="21"/>
          <w:szCs w:val="21"/>
          <w:lang w:val="es-ES_tradnl"/>
        </w:rPr>
      </w:pPr>
    </w:p>
    <w:p w14:paraId="00077C7F" w14:textId="77777777" w:rsidR="00D43FFE" w:rsidRPr="00482CF9" w:rsidRDefault="00D43FFE" w:rsidP="00D43FFE">
      <w:pPr>
        <w:spacing w:after="0" w:line="240" w:lineRule="auto"/>
        <w:ind w:left="709" w:right="709"/>
        <w:jc w:val="both"/>
        <w:rPr>
          <w:rFonts w:ascii="Arial" w:eastAsia="Calibri" w:hAnsi="Arial" w:cs="Arial"/>
          <w:sz w:val="21"/>
          <w:szCs w:val="21"/>
          <w:lang w:val="es-ES"/>
        </w:rPr>
      </w:pPr>
      <w:r>
        <w:rPr>
          <w:rFonts w:ascii="Arial" w:eastAsia="Arial" w:hAnsi="Arial" w:cs="Arial"/>
          <w:color w:val="000000" w:themeColor="text1"/>
          <w:lang w:val="es-ES"/>
        </w:rPr>
        <w:t>“</w:t>
      </w:r>
      <w:r w:rsidRPr="1548CBE8">
        <w:rPr>
          <w:rFonts w:ascii="Arial" w:eastAsia="Arial" w:hAnsi="Arial" w:cs="Arial"/>
          <w:sz w:val="21"/>
          <w:szCs w:val="21"/>
          <w:lang w:val="es-ES"/>
        </w:rPr>
        <w:t xml:space="preserve"> </w:t>
      </w:r>
      <w:r w:rsidRPr="1548CBE8">
        <w:rPr>
          <w:rFonts w:ascii="Arial" w:eastAsia="Calibri" w:hAnsi="Arial" w:cs="Arial"/>
          <w:sz w:val="21"/>
          <w:szCs w:val="21"/>
          <w:lang w:val="es-ES"/>
        </w:rPr>
        <w:t xml:space="preserve">15. Las autoridades no exigirán sellos, autenticaciones, documentos originales o autenticados, reconocimientos de firmas, traducciones oficiales, ni cualquier otra clase </w:t>
      </w:r>
      <w:r w:rsidRPr="1548CBE8">
        <w:rPr>
          <w:rFonts w:ascii="Arial" w:eastAsia="Calibri" w:hAnsi="Arial" w:cs="Arial"/>
          <w:sz w:val="21"/>
          <w:szCs w:val="21"/>
          <w:lang w:val="es-ES"/>
        </w:rPr>
        <w:lastRenderedPageBreak/>
        <w:t xml:space="preserve">de formalidades o exigencias rituales, salvo cuando en forma perentoria y expresa lo exijan leyes especiales. </w:t>
      </w:r>
    </w:p>
    <w:p w14:paraId="3A3FBE2C" w14:textId="77777777" w:rsidR="00D43FFE" w:rsidRPr="00482CF9" w:rsidRDefault="00D43FFE" w:rsidP="00D43FFE">
      <w:pPr>
        <w:spacing w:before="240" w:after="0" w:line="240" w:lineRule="auto"/>
        <w:ind w:left="709" w:right="709"/>
        <w:jc w:val="both"/>
        <w:rPr>
          <w:rFonts w:ascii="Arial" w:eastAsia="Calibri" w:hAnsi="Arial" w:cs="Arial"/>
          <w:sz w:val="21"/>
          <w:szCs w:val="21"/>
          <w:lang w:val="es-ES"/>
        </w:rPr>
      </w:pPr>
      <w:r w:rsidRPr="1548CBE8">
        <w:rPr>
          <w:rFonts w:ascii="Arial" w:eastAsia="Calibri" w:hAnsi="Arial" w:cs="Arial"/>
          <w:sz w:val="21"/>
          <w:szCs w:val="21"/>
          <w:lang w:val="es-ES"/>
        </w:rPr>
        <w:t>La ausencia de requisitos o la falta de documentos referentes a la futura contratación o al proponente, no necesarios para la comparación de propuestas, no servirá de título suficiente para el rechazo de los ofrecimientos hechos.</w:t>
      </w:r>
      <w:r w:rsidRPr="1548CBE8">
        <w:rPr>
          <w:rFonts w:ascii="Arial" w:eastAsia="Arial" w:hAnsi="Arial" w:cs="Arial"/>
          <w:color w:val="000000" w:themeColor="text1"/>
          <w:lang w:val="es-ES"/>
        </w:rPr>
        <w:t xml:space="preserve"> </w:t>
      </w:r>
      <w:r>
        <w:rPr>
          <w:rFonts w:ascii="Arial" w:eastAsia="Arial" w:hAnsi="Arial" w:cs="Arial"/>
          <w:color w:val="000000" w:themeColor="text1"/>
          <w:lang w:val="es-ES"/>
        </w:rPr>
        <w:t>“</w:t>
      </w:r>
      <w:r w:rsidRPr="1548CBE8">
        <w:rPr>
          <w:rFonts w:ascii="Arial" w:eastAsia="Arial" w:hAnsi="Arial" w:cs="Arial"/>
          <w:color w:val="000000" w:themeColor="text1"/>
          <w:lang w:val="es-ES"/>
        </w:rPr>
        <w:t xml:space="preserve"> </w:t>
      </w:r>
      <w:r w:rsidRPr="1548CBE8">
        <w:rPr>
          <w:rFonts w:ascii="Arial" w:eastAsia="Arial" w:hAnsi="Arial" w:cs="Arial"/>
          <w:sz w:val="21"/>
          <w:szCs w:val="21"/>
          <w:lang w:val="es-ES"/>
        </w:rPr>
        <w:t xml:space="preserve"> </w:t>
      </w:r>
    </w:p>
    <w:p w14:paraId="3A6F7401" w14:textId="77777777" w:rsidR="00D43FFE" w:rsidRPr="00482CF9" w:rsidRDefault="00D43FFE" w:rsidP="00D43FFE">
      <w:pPr>
        <w:spacing w:after="0" w:line="276" w:lineRule="auto"/>
        <w:ind w:firstLine="709"/>
        <w:jc w:val="both"/>
        <w:rPr>
          <w:rFonts w:ascii="Arial" w:eastAsia="Calibri" w:hAnsi="Arial" w:cs="Arial"/>
          <w:lang w:val="es-ES_tradnl"/>
        </w:rPr>
      </w:pPr>
    </w:p>
    <w:p w14:paraId="60C21F8E" w14:textId="77777777" w:rsidR="00D43FFE" w:rsidRPr="00482CF9" w:rsidRDefault="00D43FFE" w:rsidP="00D43FFE">
      <w:pPr>
        <w:spacing w:after="0" w:line="276" w:lineRule="auto"/>
        <w:jc w:val="both"/>
        <w:rPr>
          <w:rFonts w:ascii="Arial" w:hAnsi="Arial" w:cs="Arial"/>
          <w:lang w:val="es-ES_tradnl"/>
        </w:rPr>
      </w:pPr>
      <w:r w:rsidRPr="00482CF9">
        <w:rPr>
          <w:rFonts w:ascii="Arial" w:eastAsia="Times New Roman" w:hAnsi="Arial" w:cs="Arial"/>
          <w:shd w:val="clear" w:color="auto" w:fill="FFFFFF"/>
          <w:lang w:eastAsia="es-ES_tradnl"/>
        </w:rPr>
        <w:tab/>
        <w:t xml:space="preserve">Bajo el amparo de esta norma, el régimen jurídico de </w:t>
      </w:r>
      <w:proofErr w:type="spellStart"/>
      <w:r w:rsidRPr="00482CF9">
        <w:rPr>
          <w:rFonts w:ascii="Arial" w:eastAsia="Times New Roman" w:hAnsi="Arial" w:cs="Arial"/>
          <w:shd w:val="clear" w:color="auto" w:fill="FFFFFF"/>
          <w:lang w:eastAsia="es-ES_tradnl"/>
        </w:rPr>
        <w:t>subsanabilidad</w:t>
      </w:r>
      <w:proofErr w:type="spellEnd"/>
      <w:r w:rsidRPr="00482CF9">
        <w:rPr>
          <w:rFonts w:ascii="Arial" w:eastAsia="Times New Roman" w:hAnsi="Arial" w:cs="Arial"/>
          <w:shd w:val="clear" w:color="auto" w:fill="FFFFFF"/>
          <w:lang w:eastAsia="es-ES_tradnl"/>
        </w:rPr>
        <w:t xml:space="preserve"> de las ofertas sufrió un cambio fundamental, pues ya no era posible rechazar las ofertas por falta de requisitos o documentos que no fueran </w:t>
      </w:r>
      <w:r>
        <w:rPr>
          <w:rFonts w:ascii="Arial" w:hAnsi="Arial" w:cs="Arial"/>
          <w:lang w:val="es-ES_tradnl"/>
        </w:rPr>
        <w:t>“</w:t>
      </w:r>
      <w:r w:rsidRPr="00482CF9">
        <w:rPr>
          <w:rFonts w:ascii="Arial" w:hAnsi="Arial" w:cs="Arial"/>
          <w:lang w:val="es-ES_tradnl"/>
        </w:rPr>
        <w:t>necesarios para la comparación de propuestas</w:t>
      </w:r>
      <w:r>
        <w:rPr>
          <w:rFonts w:ascii="Arial" w:hAnsi="Arial" w:cs="Arial"/>
          <w:lang w:val="es-ES_tradnl"/>
        </w:rPr>
        <w:t>”</w:t>
      </w:r>
      <w:r w:rsidRPr="00482CF9">
        <w:rPr>
          <w:rFonts w:ascii="Arial" w:hAnsi="Arial" w:cs="Arial"/>
          <w:lang w:val="es-ES_tradnl"/>
        </w:rPr>
        <w:t>. De esta manera, la ley introdujo un primer criterio jurídico, aunque indeterminado, que servía como punto de partida en la posibilidad de subsanar las ofertas, verificada la ausencia de un requisito o documento, previo al rechazo de la oferta, la Administración debía constatar si este era o no necesario para la comparación de las propuestas y de ese análisis surgía la decisión sobre su rechazo o la oportunidad de subsanar.</w:t>
      </w:r>
    </w:p>
    <w:p w14:paraId="12417895" w14:textId="77777777" w:rsidR="00D43FFE" w:rsidRPr="00482CF9" w:rsidRDefault="00D43FFE" w:rsidP="00D43FFE">
      <w:pPr>
        <w:spacing w:before="120" w:after="0" w:line="276" w:lineRule="auto"/>
        <w:jc w:val="both"/>
        <w:rPr>
          <w:rFonts w:ascii="Arial" w:hAnsi="Arial" w:cs="Arial"/>
          <w:lang w:val="es-ES_tradnl"/>
        </w:rPr>
      </w:pPr>
      <w:r w:rsidRPr="00482CF9">
        <w:rPr>
          <w:rFonts w:ascii="Arial" w:eastAsia="Times New Roman" w:hAnsi="Arial" w:cs="Arial"/>
          <w:shd w:val="clear" w:color="auto" w:fill="FFFFFF"/>
          <w:lang w:eastAsia="es-ES_tradnl"/>
        </w:rPr>
        <w:tab/>
      </w:r>
      <w:r w:rsidRPr="1548CBE8">
        <w:rPr>
          <w:rFonts w:ascii="Arial" w:eastAsia="Times New Roman" w:hAnsi="Arial" w:cs="Arial"/>
          <w:shd w:val="clear" w:color="auto" w:fill="FFFFFF"/>
          <w:lang w:eastAsia="es-ES"/>
        </w:rPr>
        <w:t>Esta norma debía leerse en conjunto con otras de la Ley 80 de 1993, particularmente el artículo 30.7</w:t>
      </w:r>
      <w:r w:rsidRPr="1548CBE8">
        <w:rPr>
          <w:rFonts w:ascii="Arial" w:hAnsi="Arial" w:cs="Arial"/>
          <w:vertAlign w:val="superscript"/>
          <w:lang w:val="es-ES"/>
        </w:rPr>
        <w:footnoteReference w:id="19"/>
      </w:r>
      <w:r w:rsidRPr="1548CBE8">
        <w:rPr>
          <w:rFonts w:ascii="Arial" w:hAnsi="Arial" w:cs="Arial"/>
          <w:lang w:val="es-ES"/>
        </w:rPr>
        <w:t>, que ordena a la entidad señalar un plazo razonable para evaluar las propuestas y para pedir a los proponentes, de ser necesario, que aclaren o expliquen aspectos que generen dudas y resulten indispensables para llevar a cabo la evaluación; y con el artículo 30.8</w:t>
      </w:r>
      <w:r w:rsidRPr="1548CBE8">
        <w:rPr>
          <w:rFonts w:ascii="Arial" w:hAnsi="Arial" w:cs="Arial"/>
          <w:vertAlign w:val="superscript"/>
          <w:lang w:val="es-ES"/>
        </w:rPr>
        <w:footnoteReference w:id="20"/>
      </w:r>
      <w:r w:rsidRPr="1548CBE8">
        <w:rPr>
          <w:rFonts w:ascii="Arial" w:hAnsi="Arial" w:cs="Arial"/>
          <w:lang w:val="es-ES"/>
        </w:rPr>
        <w:t>, que consagró el término de 5 días hábiles para que los oferentes presenten observaciones al informe de evaluación de las propuestas, sin que sea posible completar, adicionar, modificar  o mejorar su oferta.</w:t>
      </w:r>
    </w:p>
    <w:p w14:paraId="74BBB87A" w14:textId="77777777" w:rsidR="00D43FFE" w:rsidRPr="00482CF9" w:rsidRDefault="00D43FFE" w:rsidP="00D43FFE">
      <w:pPr>
        <w:spacing w:before="120" w:after="0" w:line="276" w:lineRule="auto"/>
        <w:jc w:val="both"/>
        <w:rPr>
          <w:rFonts w:ascii="Arial" w:hAnsi="Arial" w:cs="Arial"/>
          <w:lang w:val="es-ES_tradnl"/>
        </w:rPr>
      </w:pPr>
      <w:r w:rsidRPr="00482CF9">
        <w:rPr>
          <w:rFonts w:ascii="Arial" w:hAnsi="Arial" w:cs="Arial"/>
          <w:lang w:val="es-ES_tradnl"/>
        </w:rPr>
        <w:tab/>
        <w:t xml:space="preserve">En un </w:t>
      </w:r>
      <w:r w:rsidRPr="00482CF9">
        <w:rPr>
          <w:rFonts w:ascii="Arial" w:hAnsi="Arial" w:cs="Arial"/>
          <w:i/>
          <w:iCs/>
          <w:lang w:val="es-ES_tradnl"/>
        </w:rPr>
        <w:t xml:space="preserve">tercer momento, </w:t>
      </w:r>
      <w:r w:rsidRPr="00482CF9">
        <w:rPr>
          <w:rFonts w:ascii="Arial" w:hAnsi="Arial" w:cs="Arial"/>
          <w:lang w:val="es-ES_tradnl"/>
        </w:rPr>
        <w:t>siguiendo la línea trazada por la Ley 80 de 1993, el legislador expidió la Ley 1150 de 2007, que en el parágrafo 1° del artículo 5 determinó lo siguiente:</w:t>
      </w:r>
    </w:p>
    <w:p w14:paraId="60A1240B" w14:textId="77777777" w:rsidR="00D43FFE" w:rsidRPr="00482CF9" w:rsidRDefault="00D43FFE" w:rsidP="00D43FFE">
      <w:pPr>
        <w:spacing w:after="0" w:line="240" w:lineRule="auto"/>
        <w:ind w:left="709" w:right="709"/>
        <w:jc w:val="both"/>
        <w:rPr>
          <w:rFonts w:ascii="Arial" w:eastAsia="Calibri" w:hAnsi="Arial" w:cs="Arial"/>
          <w:sz w:val="21"/>
          <w:szCs w:val="21"/>
          <w:lang w:val="es-ES_tradnl"/>
        </w:rPr>
      </w:pPr>
    </w:p>
    <w:p w14:paraId="20F0A06D" w14:textId="77777777" w:rsidR="00D43FFE" w:rsidRPr="00482CF9" w:rsidRDefault="00D43FFE" w:rsidP="00D43FFE">
      <w:pPr>
        <w:spacing w:after="0" w:line="240" w:lineRule="auto"/>
        <w:ind w:left="709" w:right="709"/>
        <w:jc w:val="both"/>
        <w:rPr>
          <w:rFonts w:ascii="Arial" w:eastAsia="Arial" w:hAnsi="Arial" w:cs="Arial"/>
          <w:sz w:val="21"/>
          <w:szCs w:val="21"/>
          <w:lang w:val="es-ES"/>
        </w:rPr>
      </w:pPr>
      <w:r>
        <w:rPr>
          <w:rFonts w:ascii="Arial" w:eastAsia="Arial" w:hAnsi="Arial" w:cs="Arial"/>
          <w:color w:val="000000" w:themeColor="text1"/>
          <w:lang w:val="es-MX"/>
        </w:rPr>
        <w:t>“</w:t>
      </w:r>
      <w:r w:rsidRPr="1548CBE8">
        <w:rPr>
          <w:rFonts w:ascii="Arial" w:eastAsia="Calibri" w:hAnsi="Arial" w:cs="Arial"/>
          <w:sz w:val="21"/>
          <w:szCs w:val="21"/>
          <w:lang w:val="es-ES"/>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1548CBE8">
        <w:rPr>
          <w:rFonts w:ascii="Arial" w:eastAsia="Calibri" w:hAnsi="Arial" w:cs="Arial"/>
          <w:b/>
          <w:bCs/>
          <w:sz w:val="21"/>
          <w:szCs w:val="21"/>
          <w:lang w:val="es-ES"/>
        </w:rPr>
        <w:t xml:space="preserve">, </w:t>
      </w:r>
      <w:r w:rsidRPr="1548CBE8">
        <w:rPr>
          <w:rFonts w:ascii="Arial" w:eastAsia="Calibri" w:hAnsi="Arial" w:cs="Arial"/>
          <w:sz w:val="21"/>
          <w:szCs w:val="21"/>
          <w:lang w:val="es-ES"/>
        </w:rPr>
        <w:t>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w:t>
      </w:r>
      <w:r>
        <w:rPr>
          <w:rFonts w:ascii="Arial" w:eastAsia="Arial" w:hAnsi="Arial" w:cs="Arial"/>
          <w:color w:val="000000" w:themeColor="text1"/>
          <w:lang w:val="es-MX"/>
        </w:rPr>
        <w:t>”</w:t>
      </w:r>
      <w:r w:rsidRPr="1548CBE8">
        <w:rPr>
          <w:rFonts w:ascii="Arial" w:eastAsia="Arial" w:hAnsi="Arial" w:cs="Arial"/>
          <w:color w:val="000000" w:themeColor="text1"/>
          <w:sz w:val="21"/>
          <w:szCs w:val="21"/>
          <w:lang w:val="es-ES"/>
        </w:rPr>
        <w:t xml:space="preserve"> </w:t>
      </w:r>
      <w:r w:rsidRPr="1548CBE8">
        <w:rPr>
          <w:rFonts w:ascii="Arial" w:eastAsia="Arial" w:hAnsi="Arial" w:cs="Arial"/>
          <w:sz w:val="21"/>
          <w:szCs w:val="21"/>
          <w:lang w:val="es-ES"/>
        </w:rPr>
        <w:t xml:space="preserve"> </w:t>
      </w:r>
    </w:p>
    <w:p w14:paraId="4A4734B0" w14:textId="77777777" w:rsidR="00D43FFE" w:rsidRPr="00482CF9" w:rsidRDefault="00D43FFE" w:rsidP="00D43FFE">
      <w:pPr>
        <w:spacing w:after="0" w:line="276" w:lineRule="auto"/>
        <w:jc w:val="both"/>
        <w:rPr>
          <w:rFonts w:ascii="Arial" w:hAnsi="Arial" w:cs="Arial"/>
          <w:lang w:val="es-ES_tradnl"/>
        </w:rPr>
      </w:pPr>
    </w:p>
    <w:p w14:paraId="28BD1B88" w14:textId="77777777" w:rsidR="00D43FFE" w:rsidRPr="00482CF9" w:rsidRDefault="00D43FFE" w:rsidP="00D43FFE">
      <w:pPr>
        <w:spacing w:after="0" w:line="276" w:lineRule="auto"/>
        <w:jc w:val="both"/>
        <w:rPr>
          <w:rFonts w:ascii="Arial" w:hAnsi="Arial" w:cs="Arial"/>
          <w:lang w:val="es-ES_tradnl"/>
        </w:rPr>
      </w:pPr>
      <w:r w:rsidRPr="00482CF9">
        <w:rPr>
          <w:rFonts w:ascii="Arial" w:hAnsi="Arial" w:cs="Arial"/>
          <w:lang w:val="es-ES_tradnl"/>
        </w:rPr>
        <w:tab/>
        <w:t>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w:t>
      </w:r>
    </w:p>
    <w:p w14:paraId="79D5F0D7" w14:textId="77777777" w:rsidR="00D43FFE" w:rsidRPr="00482CF9" w:rsidRDefault="00D43FFE" w:rsidP="00D43FFE">
      <w:pPr>
        <w:spacing w:before="120" w:after="0" w:line="276" w:lineRule="auto"/>
        <w:jc w:val="both"/>
        <w:rPr>
          <w:rFonts w:ascii="Arial" w:hAnsi="Arial" w:cs="Arial"/>
          <w:lang w:val="es-ES"/>
        </w:rPr>
      </w:pPr>
      <w:r w:rsidRPr="00482CF9">
        <w:rPr>
          <w:rFonts w:ascii="Arial" w:hAnsi="Arial" w:cs="Arial"/>
          <w:lang w:val="es-ES_tradnl"/>
        </w:rPr>
        <w:tab/>
      </w:r>
      <w:r w:rsidRPr="7FDDD7E9">
        <w:rPr>
          <w:rFonts w:ascii="Arial" w:hAnsi="Arial" w:cs="Arial"/>
          <w:lang w:val="es-ES"/>
        </w:rPr>
        <w:t>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w:t>
      </w:r>
    </w:p>
    <w:p w14:paraId="1F857067" w14:textId="77777777" w:rsidR="00D43FFE" w:rsidRDefault="00D43FFE" w:rsidP="00D43FFE">
      <w:pPr>
        <w:spacing w:before="120" w:after="0" w:line="276" w:lineRule="auto"/>
        <w:jc w:val="both"/>
        <w:rPr>
          <w:rFonts w:ascii="Arial" w:hAnsi="Arial" w:cs="Arial"/>
          <w:lang w:val="es-ES"/>
        </w:rPr>
      </w:pPr>
    </w:p>
    <w:p w14:paraId="5D35E27A" w14:textId="77777777" w:rsidR="00D43FFE" w:rsidRPr="00482CF9" w:rsidRDefault="00D43FFE" w:rsidP="00D43FFE">
      <w:pPr>
        <w:spacing w:after="0" w:line="276" w:lineRule="auto"/>
        <w:jc w:val="both"/>
        <w:rPr>
          <w:rFonts w:ascii="Arial" w:hAnsi="Arial" w:cs="Arial"/>
          <w:lang w:val="es-ES_tradnl"/>
        </w:rPr>
      </w:pPr>
      <w:r w:rsidRPr="00482CF9">
        <w:rPr>
          <w:rFonts w:ascii="Arial" w:eastAsia="Times New Roman" w:hAnsi="Arial" w:cs="Arial"/>
          <w:shd w:val="clear" w:color="auto" w:fill="FFFFFF"/>
          <w:lang w:eastAsia="es-ES_tradnl"/>
        </w:rPr>
        <w:tab/>
        <w:t>El artículo 5 de la Ley 1150 de 2007, además de consagrar un criterio más claro, y de paso, reducir la discrecionalidad de la Administración, fijó un ámbito temporal para la subsanación de las ofertas</w:t>
      </w:r>
      <w:r w:rsidRPr="00482CF9">
        <w:rPr>
          <w:rFonts w:ascii="Arial" w:hAnsi="Arial" w:cs="Arial"/>
          <w:lang w:val="es-ES_tradnl"/>
        </w:rPr>
        <w:t xml:space="preserve">: </w:t>
      </w:r>
      <w:r>
        <w:rPr>
          <w:rFonts w:ascii="Arial" w:hAnsi="Arial" w:cs="Arial"/>
          <w:lang w:val="es-ES_tradnl"/>
        </w:rPr>
        <w:t>“</w:t>
      </w:r>
      <w:r w:rsidRPr="00482CF9">
        <w:rPr>
          <w:rFonts w:ascii="Arial" w:hAnsi="Arial" w:cs="Arial"/>
          <w:lang w:val="es-ES_tradnl"/>
        </w:rPr>
        <w:t>en cualquier momento, hasta la adjudicación</w:t>
      </w:r>
      <w:r>
        <w:rPr>
          <w:rFonts w:ascii="Arial" w:hAnsi="Arial" w:cs="Arial"/>
          <w:lang w:val="es-ES_tradnl"/>
        </w:rPr>
        <w:t>”</w:t>
      </w:r>
      <w:r w:rsidRPr="00482CF9">
        <w:rPr>
          <w:rFonts w:ascii="Arial" w:hAnsi="Arial" w:cs="Arial"/>
          <w:lang w:val="es-ES_tradnl"/>
        </w:rPr>
        <w:t>. El Consejo de Estado, con particular sindéresis, concluyó que a partir del parágrafo 1°del artículo 5 de la Ley 1150, la definición de lo que es subsanable y lo que no lo es, surge a partir del planteamiento de la pregunta sobre si el defecto asigna puntaje o no, en estos términos:</w:t>
      </w:r>
    </w:p>
    <w:p w14:paraId="773E51F6" w14:textId="77777777" w:rsidR="00D43FFE" w:rsidRPr="00482CF9" w:rsidRDefault="00D43FFE" w:rsidP="00D43FFE">
      <w:pPr>
        <w:spacing w:after="0"/>
        <w:ind w:left="709" w:right="709"/>
        <w:jc w:val="both"/>
        <w:rPr>
          <w:rFonts w:ascii="Arial" w:hAnsi="Arial" w:cs="Arial"/>
          <w:sz w:val="21"/>
          <w:szCs w:val="21"/>
          <w:lang w:val="es-ES_tradnl"/>
        </w:rPr>
      </w:pPr>
    </w:p>
    <w:p w14:paraId="2CDB3CEF" w14:textId="77777777" w:rsidR="00D43FFE" w:rsidRPr="007A37AF" w:rsidRDefault="00D43FFE" w:rsidP="00D43FFE">
      <w:pPr>
        <w:spacing w:after="0"/>
        <w:ind w:left="709" w:right="709"/>
        <w:jc w:val="both"/>
        <w:rPr>
          <w:rFonts w:ascii="Arial" w:eastAsia="Arial" w:hAnsi="Arial" w:cs="Arial"/>
          <w:sz w:val="21"/>
          <w:szCs w:val="21"/>
          <w:lang w:val="es-ES"/>
        </w:rPr>
      </w:pPr>
      <w:r>
        <w:rPr>
          <w:rFonts w:ascii="Arial" w:eastAsia="Arial" w:hAnsi="Arial" w:cs="Arial"/>
          <w:color w:val="000000" w:themeColor="text1"/>
          <w:lang w:val="es-MX"/>
        </w:rPr>
        <w:t>“</w:t>
      </w:r>
      <w:r w:rsidRPr="1548CBE8">
        <w:rPr>
          <w:rFonts w:ascii="Arial" w:hAnsi="Arial" w:cs="Arial"/>
          <w:sz w:val="21"/>
          <w:szCs w:val="21"/>
          <w:lang w:val="es-ES"/>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1548CBE8">
        <w:rPr>
          <w:rFonts w:ascii="Arial" w:hAnsi="Arial" w:cs="Arial"/>
          <w:sz w:val="21"/>
          <w:szCs w:val="21"/>
          <w:vertAlign w:val="superscript"/>
          <w:lang w:val="es-ES"/>
        </w:rPr>
        <w:footnoteReference w:id="21"/>
      </w:r>
      <w:r w:rsidRPr="1548CBE8">
        <w:rPr>
          <w:rFonts w:ascii="Arial" w:hAnsi="Arial" w:cs="Arial"/>
          <w:sz w:val="21"/>
          <w:szCs w:val="21"/>
          <w:lang w:val="es-ES"/>
        </w:rPr>
        <w:t>.</w:t>
      </w:r>
      <w:r>
        <w:rPr>
          <w:rFonts w:ascii="Arial" w:eastAsia="Arial" w:hAnsi="Arial" w:cs="Arial"/>
          <w:color w:val="000000" w:themeColor="text1"/>
          <w:lang w:val="es-MX"/>
        </w:rPr>
        <w:t>”</w:t>
      </w:r>
    </w:p>
    <w:p w14:paraId="71BD6C52" w14:textId="77777777" w:rsidR="00D43FFE" w:rsidRPr="007A37AF" w:rsidRDefault="00D43FFE" w:rsidP="00D43FFE">
      <w:pPr>
        <w:spacing w:before="120" w:after="0" w:line="276" w:lineRule="auto"/>
        <w:jc w:val="both"/>
        <w:rPr>
          <w:rFonts w:ascii="Arial" w:eastAsia="Times New Roman" w:hAnsi="Arial" w:cs="Arial"/>
          <w:shd w:val="clear" w:color="auto" w:fill="FFFFFF"/>
          <w:lang w:eastAsia="es-ES"/>
        </w:rPr>
      </w:pPr>
      <w:r w:rsidRPr="00482CF9">
        <w:rPr>
          <w:rFonts w:ascii="Arial" w:eastAsia="Times New Roman" w:hAnsi="Arial" w:cs="Arial"/>
          <w:shd w:val="clear" w:color="auto" w:fill="FFFFFF"/>
          <w:lang w:eastAsia="es-ES_tradnl"/>
        </w:rPr>
        <w:tab/>
      </w:r>
      <w:r w:rsidRPr="7FDDD7E9">
        <w:rPr>
          <w:rFonts w:ascii="Arial" w:eastAsia="Times New Roman" w:hAnsi="Arial" w:cs="Arial"/>
          <w:shd w:val="clear" w:color="auto" w:fill="FFFFFF"/>
          <w:lang w:eastAsia="es-ES"/>
        </w:rPr>
        <w:t>Esa interpretación fue compartida por la Agencia Nacional de Contratación Pública – Colombia Compra Eficiente, pues en la Circular Externa Única se precisó que,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0AF17B48" w14:textId="77777777" w:rsidR="00D43FFE" w:rsidRPr="00482CF9" w:rsidRDefault="00D43FFE" w:rsidP="00D43FFE">
      <w:pPr>
        <w:spacing w:after="0" w:line="276" w:lineRule="auto"/>
        <w:jc w:val="both"/>
        <w:rPr>
          <w:rFonts w:ascii="Arial" w:eastAsia="Times New Roman" w:hAnsi="Arial" w:cs="Arial"/>
          <w:shd w:val="clear" w:color="auto" w:fill="FFFFFF"/>
          <w:lang w:eastAsia="es-ES_tradnl"/>
        </w:rPr>
      </w:pPr>
      <w:r w:rsidRPr="00482CF9">
        <w:rPr>
          <w:rFonts w:ascii="Arial" w:eastAsia="Times New Roman" w:hAnsi="Arial" w:cs="Arial"/>
          <w:shd w:val="clear" w:color="auto" w:fill="FFFFFF"/>
          <w:lang w:eastAsia="es-ES_tradnl"/>
        </w:rPr>
        <w:lastRenderedPageBreak/>
        <w:tab/>
        <w:t xml:space="preserve">Finalmente, en un </w:t>
      </w:r>
      <w:r w:rsidRPr="00482CF9">
        <w:rPr>
          <w:rFonts w:ascii="Arial" w:eastAsia="Times New Roman" w:hAnsi="Arial" w:cs="Arial"/>
          <w:i/>
          <w:iCs/>
          <w:shd w:val="clear" w:color="auto" w:fill="FFFFFF"/>
          <w:lang w:eastAsia="es-ES_tradnl"/>
        </w:rPr>
        <w:t xml:space="preserve">cuarto momento, </w:t>
      </w:r>
      <w:r w:rsidRPr="00482CF9">
        <w:rPr>
          <w:rFonts w:ascii="Arial" w:eastAsia="Times New Roman" w:hAnsi="Arial" w:cs="Arial"/>
          <w:shd w:val="clear" w:color="auto" w:fill="FFFFFF"/>
          <w:lang w:eastAsia="es-ES_tradnl"/>
        </w:rPr>
        <w:t>el legislador expidió la Ley 1882 de 2018, con la finalidad de introducir cambios y ajustes para fortalecer la contratación pública. El artículo 5 modificó el parágrafo 1° y adicionó algunos otros, entre ellos el 4° del artículo 5 de la Ley 1150 de 2007:</w:t>
      </w:r>
    </w:p>
    <w:p w14:paraId="6D132570" w14:textId="77777777" w:rsidR="00D43FFE" w:rsidRPr="00482CF9" w:rsidRDefault="00D43FFE" w:rsidP="00D43FFE">
      <w:pPr>
        <w:spacing w:after="0" w:line="276" w:lineRule="auto"/>
        <w:jc w:val="both"/>
        <w:rPr>
          <w:rFonts w:ascii="Arial" w:eastAsia="Times New Roman" w:hAnsi="Arial" w:cs="Arial"/>
          <w:shd w:val="clear" w:color="auto" w:fill="FFFFFF"/>
          <w:lang w:eastAsia="es-ES_tradnl"/>
        </w:rPr>
      </w:pPr>
    </w:p>
    <w:p w14:paraId="129020F1" w14:textId="77777777" w:rsidR="00D43FFE" w:rsidRPr="00482CF9" w:rsidRDefault="00D43FFE" w:rsidP="00D43FFE">
      <w:pPr>
        <w:spacing w:after="0" w:line="240" w:lineRule="auto"/>
        <w:ind w:left="709" w:right="709"/>
        <w:jc w:val="both"/>
        <w:rPr>
          <w:rFonts w:ascii="Arial" w:eastAsia="Calibri" w:hAnsi="Arial" w:cs="Arial"/>
          <w:sz w:val="21"/>
          <w:szCs w:val="21"/>
          <w:lang w:val="es-ES"/>
        </w:rPr>
      </w:pPr>
      <w:r>
        <w:rPr>
          <w:rFonts w:ascii="Arial" w:eastAsia="Arial" w:hAnsi="Arial" w:cs="Arial"/>
          <w:color w:val="000000" w:themeColor="text1"/>
          <w:lang w:val="es-MX"/>
        </w:rPr>
        <w:t>“</w:t>
      </w:r>
      <w:r w:rsidRPr="1548CBE8">
        <w:rPr>
          <w:rFonts w:ascii="Arial" w:eastAsia="Arial" w:hAnsi="Arial" w:cs="Arial"/>
          <w:sz w:val="21"/>
          <w:szCs w:val="21"/>
          <w:lang w:val="es-ES"/>
        </w:rPr>
        <w:t xml:space="preserve"> </w:t>
      </w:r>
      <w:r w:rsidRPr="1548CBE8">
        <w:rPr>
          <w:rFonts w:ascii="Arial" w:eastAsia="Calibri" w:hAnsi="Arial" w:cs="Arial"/>
          <w:sz w:val="21"/>
          <w:szCs w:val="21"/>
          <w:lang w:val="es-ES"/>
        </w:rPr>
        <w:t xml:space="preserve">Artículo 5°. De la selección objetiva. </w:t>
      </w:r>
    </w:p>
    <w:p w14:paraId="3E4C7CB7" w14:textId="77777777" w:rsidR="00D43FFE" w:rsidRPr="00482CF9" w:rsidRDefault="00D43FFE" w:rsidP="00D43FFE">
      <w:pPr>
        <w:spacing w:before="240" w:after="0" w:line="240" w:lineRule="auto"/>
        <w:ind w:left="709" w:right="709"/>
        <w:jc w:val="both"/>
        <w:rPr>
          <w:rFonts w:ascii="Arial" w:eastAsia="Calibri" w:hAnsi="Arial" w:cs="Arial"/>
          <w:sz w:val="21"/>
          <w:szCs w:val="21"/>
          <w:lang w:val="es-ES_tradnl"/>
        </w:rPr>
      </w:pPr>
      <w:r w:rsidRPr="00482CF9">
        <w:rPr>
          <w:rFonts w:ascii="Arial" w:eastAsia="Calibri" w:hAnsi="Arial" w:cs="Arial"/>
          <w:sz w:val="21"/>
          <w:szCs w:val="21"/>
          <w:lang w:val="es-ES_tradnl"/>
        </w:rPr>
        <w:t>[... ]</w:t>
      </w:r>
    </w:p>
    <w:p w14:paraId="1759570B" w14:textId="77777777" w:rsidR="00D43FFE" w:rsidRPr="00482CF9" w:rsidRDefault="00D43FFE" w:rsidP="00D43FFE">
      <w:pPr>
        <w:spacing w:after="0" w:line="240" w:lineRule="auto"/>
        <w:ind w:left="709" w:right="709"/>
        <w:jc w:val="both"/>
        <w:rPr>
          <w:rFonts w:ascii="Arial" w:eastAsia="Calibri" w:hAnsi="Arial" w:cs="Arial"/>
          <w:sz w:val="21"/>
          <w:szCs w:val="21"/>
          <w:lang w:val="es-ES"/>
        </w:rPr>
      </w:pPr>
      <w:r w:rsidRPr="1548CBE8">
        <w:rPr>
          <w:rFonts w:ascii="Arial" w:eastAsia="Calibri" w:hAnsi="Arial" w:cs="Arial"/>
          <w:sz w:val="21"/>
          <w:szCs w:val="21"/>
          <w:lang w:val="es-ES"/>
        </w:rPr>
        <w:t>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w:t>
      </w:r>
      <w:r w:rsidRPr="1548CBE8">
        <w:rPr>
          <w:rFonts w:ascii="Arial" w:eastAsia="Arial" w:hAnsi="Arial" w:cs="Arial"/>
          <w:color w:val="000000" w:themeColor="text1"/>
          <w:lang w:val="es-ES"/>
        </w:rPr>
        <w:t xml:space="preserve"> </w:t>
      </w:r>
      <w:r>
        <w:rPr>
          <w:rFonts w:ascii="Arial" w:eastAsia="Arial" w:hAnsi="Arial" w:cs="Arial"/>
          <w:color w:val="000000" w:themeColor="text1"/>
          <w:lang w:val="es-ES"/>
        </w:rPr>
        <w:t>“</w:t>
      </w:r>
      <w:r w:rsidRPr="1548CBE8">
        <w:rPr>
          <w:rFonts w:ascii="Arial" w:eastAsia="Arial" w:hAnsi="Arial" w:cs="Arial"/>
          <w:color w:val="000000" w:themeColor="text1"/>
          <w:lang w:val="es-ES"/>
        </w:rPr>
        <w:t xml:space="preserve"> </w:t>
      </w:r>
      <w:r w:rsidRPr="1548CBE8">
        <w:rPr>
          <w:rFonts w:ascii="Arial" w:eastAsia="Arial" w:hAnsi="Arial" w:cs="Arial"/>
          <w:sz w:val="21"/>
          <w:szCs w:val="21"/>
          <w:lang w:val="es-ES"/>
        </w:rPr>
        <w:t xml:space="preserve"> </w:t>
      </w:r>
    </w:p>
    <w:p w14:paraId="596CFD50" w14:textId="77777777" w:rsidR="00D43FFE" w:rsidRPr="00482CF9" w:rsidRDefault="00D43FFE" w:rsidP="00D43FFE">
      <w:pPr>
        <w:spacing w:after="0" w:line="276" w:lineRule="auto"/>
        <w:jc w:val="both"/>
        <w:rPr>
          <w:rFonts w:ascii="Arial" w:eastAsia="Times New Roman" w:hAnsi="Arial" w:cs="Arial"/>
          <w:shd w:val="clear" w:color="auto" w:fill="FFFFFF"/>
          <w:lang w:eastAsia="es-ES"/>
        </w:rPr>
      </w:pPr>
    </w:p>
    <w:p w14:paraId="453EC85E" w14:textId="77777777" w:rsidR="00D43FFE" w:rsidRDefault="00D43FFE" w:rsidP="00D43FFE">
      <w:pPr>
        <w:spacing w:before="120" w:after="12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ES"/>
        </w:rPr>
        <w:t xml:space="preserve">Como puede observarse, la Ley 1882 de 2018: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algunos aspectos que se analizarán a continuación. </w:t>
      </w:r>
    </w:p>
    <w:p w14:paraId="1499A3FB" w14:textId="77777777" w:rsidR="00D43FFE" w:rsidRDefault="00D43FFE" w:rsidP="00D43FFE">
      <w:pPr>
        <w:spacing w:after="120" w:line="276" w:lineRule="auto"/>
        <w:ind w:right="51" w:firstLine="709"/>
        <w:jc w:val="both"/>
        <w:rPr>
          <w:rFonts w:ascii="Arial" w:eastAsia="Arial" w:hAnsi="Arial" w:cs="Arial"/>
          <w:color w:val="000000" w:themeColor="text1"/>
        </w:rPr>
      </w:pPr>
      <w:r w:rsidRPr="1548CBE8">
        <w:rPr>
          <w:rFonts w:ascii="Arial" w:eastAsia="Arial" w:hAnsi="Arial" w:cs="Arial"/>
          <w:i/>
          <w:iCs/>
          <w:color w:val="000000" w:themeColor="text1"/>
          <w:lang w:val="es-ES"/>
        </w:rPr>
        <w:t>El primero</w:t>
      </w:r>
      <w:r w:rsidRPr="1548CBE8">
        <w:rPr>
          <w:rFonts w:ascii="Arial" w:eastAsia="Arial" w:hAnsi="Arial" w:cs="Arial"/>
          <w:color w:val="000000" w:themeColor="text1"/>
          <w:lang w:val="es-ES"/>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1548CBE8">
        <w:rPr>
          <w:rFonts w:ascii="Arial" w:eastAsia="Arial" w:hAnsi="Arial" w:cs="Arial"/>
          <w:color w:val="000000" w:themeColor="text1"/>
          <w:vertAlign w:val="superscript"/>
          <w:lang w:val="es-ES"/>
        </w:rPr>
        <w:t>6</w:t>
      </w:r>
      <w:r w:rsidRPr="1548CBE8">
        <w:rPr>
          <w:rFonts w:ascii="Arial" w:eastAsia="Arial" w:hAnsi="Arial" w:cs="Arial"/>
          <w:color w:val="000000" w:themeColor="text1"/>
          <w:lang w:val="es-ES"/>
        </w:rPr>
        <w:t>; en el último los documentos o requisitos subsanables pueden y deben solicitarse hasta el momento previo a la celebración de la audiencia. En cuanto al proceso de mínima cuantía, el Decreto 1860 de 2021 que modifica el Decreto 1082 de 2015, en su artículo 2.2.1.2.1.5.2., numeral 5° dispone que sin perjuicio de la oportunidad que deben otorgar las Entidades para subsanar las ofertas, de acuerdo con el artículo 5 de la Ley 1150 de 2007, para lo cual se establecerá un término preclusivo para recibir los documentos subsanables. En el evento que no se regule este término los proponentes podrán subsanar sus ofertas hasta antes que finalice el traslado del informe de evaluación</w:t>
      </w:r>
      <w:r w:rsidRPr="1548CBE8">
        <w:rPr>
          <w:rFonts w:ascii="Arial" w:eastAsia="Arial" w:hAnsi="Arial" w:cs="Arial"/>
          <w:color w:val="000000" w:themeColor="text1"/>
          <w:vertAlign w:val="superscript"/>
          <w:lang w:val="es-ES"/>
        </w:rPr>
        <w:t>7</w:t>
      </w:r>
      <w:r w:rsidRPr="1548CBE8">
        <w:rPr>
          <w:rFonts w:ascii="Arial" w:eastAsia="Arial" w:hAnsi="Arial" w:cs="Arial"/>
          <w:color w:val="000000" w:themeColor="text1"/>
          <w:lang w:val="es-ES"/>
        </w:rPr>
        <w:t xml:space="preserve">. </w:t>
      </w:r>
    </w:p>
    <w:p w14:paraId="653481E3" w14:textId="77777777" w:rsidR="00D43FFE" w:rsidRDefault="00D43FFE" w:rsidP="00D43FFE">
      <w:pPr>
        <w:spacing w:before="120" w:after="12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ES"/>
        </w:rPr>
        <w:lastRenderedPageBreak/>
        <w:t xml:space="preserve">Frente a la regla general aplicable a los demás procesos de selección,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Pr>
          <w:rFonts w:ascii="Arial" w:eastAsia="Arial" w:hAnsi="Arial" w:cs="Arial"/>
          <w:color w:val="000000" w:themeColor="text1"/>
          <w:lang w:val="es-ES"/>
        </w:rPr>
        <w:t>“</w:t>
      </w:r>
      <w:r w:rsidRPr="1548CBE8">
        <w:rPr>
          <w:rFonts w:ascii="Arial" w:eastAsia="Arial" w:hAnsi="Arial" w:cs="Arial"/>
          <w:i/>
          <w:iCs/>
          <w:color w:val="000000" w:themeColor="text1"/>
          <w:lang w:val="es-ES"/>
        </w:rPr>
        <w:t>deberán ser solicitados por las entidades estatales y deberán ser entregados por los proponentes hasta el término de traslado del informe de evaluación que corresponda a cada modalidad de selección</w:t>
      </w:r>
      <w:r>
        <w:rPr>
          <w:rFonts w:ascii="Arial" w:eastAsia="Arial" w:hAnsi="Arial" w:cs="Arial"/>
          <w:i/>
          <w:iCs/>
          <w:color w:val="000000" w:themeColor="text1"/>
          <w:lang w:val="es-ES"/>
        </w:rPr>
        <w:t>”</w:t>
      </w:r>
      <w:r w:rsidRPr="1548CBE8">
        <w:rPr>
          <w:rFonts w:ascii="Arial" w:eastAsia="Arial" w:hAnsi="Arial" w:cs="Arial"/>
          <w:i/>
          <w:iCs/>
          <w:color w:val="000000" w:themeColor="text1"/>
          <w:lang w:val="es-ES"/>
        </w:rPr>
        <w:t>.</w:t>
      </w:r>
      <w:r w:rsidRPr="1548CBE8">
        <w:rPr>
          <w:rFonts w:ascii="Arial" w:eastAsia="Arial" w:hAnsi="Arial" w:cs="Arial"/>
          <w:color w:val="000000" w:themeColor="text1"/>
          <w:lang w:val="es-ES"/>
        </w:rPr>
        <w:t xml:space="preserve"> </w:t>
      </w:r>
    </w:p>
    <w:p w14:paraId="2A67DA07" w14:textId="77777777" w:rsidR="00D43FFE" w:rsidRDefault="00D43FFE" w:rsidP="00D43FFE">
      <w:pPr>
        <w:spacing w:before="120" w:after="12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ES"/>
        </w:rPr>
        <w:t xml:space="preserve">No obstante, de la lectura de este aparte podrían, en la práctica, darse dos interpretaciones que dan lugar a dos formas de proceder en los procesos de selección, en lo que a la </w:t>
      </w:r>
      <w:proofErr w:type="spellStart"/>
      <w:r w:rsidRPr="1548CBE8">
        <w:rPr>
          <w:rFonts w:ascii="Arial" w:eastAsia="Arial" w:hAnsi="Arial" w:cs="Arial"/>
          <w:color w:val="000000" w:themeColor="text1"/>
          <w:lang w:val="es-ES"/>
        </w:rPr>
        <w:t>subsanabilidad</w:t>
      </w:r>
      <w:proofErr w:type="spellEnd"/>
      <w:r w:rsidRPr="1548CBE8">
        <w:rPr>
          <w:rFonts w:ascii="Arial" w:eastAsia="Arial" w:hAnsi="Arial" w:cs="Arial"/>
          <w:color w:val="000000" w:themeColor="text1"/>
          <w:lang w:val="es-ES"/>
        </w:rPr>
        <w:t xml:space="preserve">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w:t>
      </w:r>
      <w:r w:rsidRPr="1548CBE8">
        <w:rPr>
          <w:rFonts w:ascii="Arial" w:eastAsia="Arial" w:hAnsi="Arial" w:cs="Arial"/>
          <w:i/>
          <w:iCs/>
          <w:color w:val="000000" w:themeColor="text1"/>
          <w:lang w:val="es-ES"/>
        </w:rPr>
        <w:t>límite</w:t>
      </w:r>
      <w:r w:rsidRPr="1548CBE8">
        <w:rPr>
          <w:rFonts w:ascii="Arial" w:eastAsia="Arial" w:hAnsi="Arial" w:cs="Arial"/>
          <w:color w:val="000000" w:themeColor="text1"/>
          <w:lang w:val="es-ES"/>
        </w:rPr>
        <w:t xml:space="preserve"> para la subsanación de ofertas, pero no el único momento para hacerlo. </w:t>
      </w:r>
    </w:p>
    <w:p w14:paraId="6D23FBFB" w14:textId="77777777" w:rsidR="00D43FFE" w:rsidRDefault="00D43FFE" w:rsidP="00D43FFE">
      <w:pPr>
        <w:spacing w:before="120" w:after="12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ES"/>
        </w:rPr>
        <w:t xml:space="preserve">De acuerdo con la primera interpretación, el informe de evaluación se convierte en la oportunidad que adopta la Administración para decirles a los oferentes qué documentos o requisitos omitieron y deben subsanar y, consecuentemente, el término del traslado es la oportunidad del proponente para cumplir con lo solicitado.  </w:t>
      </w:r>
    </w:p>
    <w:p w14:paraId="1886CA4A" w14:textId="77777777" w:rsidR="00D43FFE" w:rsidRDefault="00D43FFE" w:rsidP="00D43FFE">
      <w:pPr>
        <w:spacing w:before="120" w:after="12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ES"/>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060B4756" w14:textId="77777777" w:rsidR="00D43FFE" w:rsidRDefault="00D43FFE" w:rsidP="00D43FFE">
      <w:pPr>
        <w:spacing w:before="120" w:after="12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ES"/>
        </w:rPr>
        <w:t xml:space="preserve">El segundo cambio importante de la Ley 1882 de 2018 fue la introducción de un criterio material, directamente relacionado con los aspectos subsanables: </w:t>
      </w:r>
      <w:r>
        <w:rPr>
          <w:rFonts w:ascii="Arial" w:eastAsia="Arial" w:hAnsi="Arial" w:cs="Arial"/>
          <w:i/>
          <w:iCs/>
          <w:color w:val="000000" w:themeColor="text1"/>
          <w:lang w:val="es-ES"/>
        </w:rPr>
        <w:t>“</w:t>
      </w:r>
      <w:r w:rsidRPr="1548CBE8">
        <w:rPr>
          <w:rFonts w:ascii="Arial" w:eastAsia="Arial" w:hAnsi="Arial" w:cs="Arial"/>
          <w:i/>
          <w:iCs/>
          <w:color w:val="000000" w:themeColor="text1"/>
          <w:lang w:val="es-ES"/>
        </w:rPr>
        <w:t>los proponentes no podrán acreditar circunstancias ocurridas con posterioridad al cierre del proceso</w:t>
      </w:r>
      <w:r>
        <w:rPr>
          <w:rFonts w:ascii="Arial" w:eastAsia="Arial" w:hAnsi="Arial" w:cs="Arial"/>
          <w:i/>
          <w:iCs/>
          <w:color w:val="000000" w:themeColor="text1"/>
          <w:lang w:val="es-ES"/>
        </w:rPr>
        <w:t>”</w:t>
      </w:r>
      <w:r w:rsidRPr="1548CBE8">
        <w:rPr>
          <w:rFonts w:ascii="Arial" w:eastAsia="Arial" w:hAnsi="Arial" w:cs="Arial"/>
          <w:i/>
          <w:iCs/>
          <w:color w:val="000000" w:themeColor="text1"/>
          <w:lang w:val="es-ES"/>
        </w:rPr>
        <w:t>.</w:t>
      </w:r>
      <w:r w:rsidRPr="1548CBE8">
        <w:rPr>
          <w:rFonts w:ascii="Arial" w:eastAsia="Arial" w:hAnsi="Arial" w:cs="Arial"/>
          <w:color w:val="000000" w:themeColor="text1"/>
          <w:lang w:val="es-ES"/>
        </w:rPr>
        <w:t xml:space="preserve"> Lo anterior ofrece dos aspectos que merecen clarificación; primero, qué debe entenderse por circunstancias ocurridas con posterioridad; y segundo, qué es el cierre del proceso. </w:t>
      </w:r>
    </w:p>
    <w:p w14:paraId="79BC6889" w14:textId="77777777" w:rsidR="00D43FFE" w:rsidRDefault="00D43FFE" w:rsidP="00D43FFE">
      <w:pPr>
        <w:spacing w:before="120" w:after="12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E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w:t>
      </w:r>
      <w:r w:rsidRPr="1548CBE8">
        <w:rPr>
          <w:rFonts w:ascii="Arial" w:eastAsia="Arial" w:hAnsi="Arial" w:cs="Arial"/>
          <w:color w:val="000000" w:themeColor="text1"/>
          <w:vertAlign w:val="superscript"/>
          <w:lang w:val="es-ES"/>
        </w:rPr>
        <w:t>8</w:t>
      </w:r>
      <w:r w:rsidRPr="1548CBE8">
        <w:rPr>
          <w:rFonts w:ascii="Arial" w:eastAsia="Arial" w:hAnsi="Arial" w:cs="Arial"/>
          <w:color w:val="000000" w:themeColor="text1"/>
          <w:lang w:val="es-ES"/>
        </w:rPr>
        <w:t>.</w:t>
      </w:r>
    </w:p>
    <w:p w14:paraId="4C0335BF" w14:textId="77777777" w:rsidR="00D43FFE" w:rsidRDefault="00D43FFE" w:rsidP="00D43FFE">
      <w:pPr>
        <w:spacing w:before="120" w:after="12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ES"/>
        </w:rPr>
        <w:lastRenderedPageBreak/>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w:t>
      </w:r>
      <w:r>
        <w:rPr>
          <w:rFonts w:ascii="Arial" w:eastAsia="Arial" w:hAnsi="Arial" w:cs="Arial"/>
          <w:color w:val="000000" w:themeColor="text1"/>
          <w:lang w:val="es-ES"/>
        </w:rPr>
        <w:t>“</w:t>
      </w:r>
      <w:r w:rsidRPr="1548CBE8">
        <w:rPr>
          <w:rFonts w:ascii="Arial" w:eastAsia="Arial" w:hAnsi="Arial" w:cs="Arial"/>
          <w:color w:val="000000" w:themeColor="text1"/>
          <w:lang w:val="es-ES"/>
        </w:rPr>
        <w:t>cierre del proceso</w:t>
      </w:r>
      <w:r>
        <w:rPr>
          <w:rFonts w:ascii="Arial" w:eastAsia="Arial" w:hAnsi="Arial" w:cs="Arial"/>
          <w:color w:val="000000" w:themeColor="text1"/>
          <w:lang w:val="es-ES"/>
        </w:rPr>
        <w:t>”</w:t>
      </w:r>
      <w:r w:rsidRPr="1548CBE8">
        <w:rPr>
          <w:rFonts w:ascii="Arial" w:eastAsia="Arial" w:hAnsi="Arial" w:cs="Arial"/>
          <w:color w:val="000000" w:themeColor="text1"/>
          <w:lang w:val="es-ES"/>
        </w:rPr>
        <w:t xml:space="preserve">.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3231C278" w14:textId="77777777" w:rsidR="00D43FFE" w:rsidRDefault="00D43FFE" w:rsidP="00D43FFE">
      <w:pPr>
        <w:spacing w:before="120" w:after="12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ES"/>
        </w:rPr>
        <w:t xml:space="preserve">Un mejor entendimiento del significado de la expresión </w:t>
      </w:r>
      <w:r>
        <w:rPr>
          <w:rFonts w:ascii="Arial" w:eastAsia="Arial" w:hAnsi="Arial" w:cs="Arial"/>
          <w:i/>
          <w:iCs/>
          <w:color w:val="000000" w:themeColor="text1"/>
          <w:lang w:val="es-ES"/>
        </w:rPr>
        <w:t>“</w:t>
      </w:r>
      <w:r w:rsidRPr="1548CBE8">
        <w:rPr>
          <w:rFonts w:ascii="Arial" w:eastAsia="Arial" w:hAnsi="Arial" w:cs="Arial"/>
          <w:i/>
          <w:iCs/>
          <w:color w:val="000000" w:themeColor="text1"/>
          <w:lang w:val="es-ES"/>
        </w:rPr>
        <w:t>circunstancias ocurridas con posterioridad al cierre del proceso</w:t>
      </w:r>
      <w:r>
        <w:rPr>
          <w:rFonts w:ascii="Arial" w:eastAsia="Arial" w:hAnsi="Arial" w:cs="Arial"/>
          <w:i/>
          <w:iCs/>
          <w:color w:val="000000" w:themeColor="text1"/>
          <w:lang w:val="es-ES"/>
        </w:rPr>
        <w:t>”</w:t>
      </w:r>
      <w:r w:rsidRPr="1548CBE8">
        <w:rPr>
          <w:rFonts w:ascii="Arial" w:eastAsia="Arial" w:hAnsi="Arial" w:cs="Arial"/>
          <w:color w:val="000000" w:themeColor="text1"/>
          <w:lang w:val="es-ES"/>
        </w:rPr>
        <w:t xml:space="preserve"> implica distinguir entre la prueba de un hecho y el hecho mismo. En el caso de la </w:t>
      </w:r>
      <w:proofErr w:type="spellStart"/>
      <w:r w:rsidRPr="1548CBE8">
        <w:rPr>
          <w:rFonts w:ascii="Arial" w:eastAsia="Arial" w:hAnsi="Arial" w:cs="Arial"/>
          <w:color w:val="000000" w:themeColor="text1"/>
          <w:lang w:val="es-ES"/>
        </w:rPr>
        <w:t>subsanabilidad</w:t>
      </w:r>
      <w:proofErr w:type="spellEnd"/>
      <w:r w:rsidRPr="1548CBE8">
        <w:rPr>
          <w:rFonts w:ascii="Arial" w:eastAsia="Arial" w:hAnsi="Arial" w:cs="Arial"/>
          <w:color w:val="000000" w:themeColor="text1"/>
          <w:lang w:val="es-ES"/>
        </w:rPr>
        <w:t xml:space="preserve">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1548CBE8">
        <w:rPr>
          <w:rFonts w:ascii="Arial" w:eastAsia="Arial" w:hAnsi="Arial" w:cs="Arial"/>
          <w:color w:val="000000" w:themeColor="text1"/>
          <w:vertAlign w:val="superscript"/>
          <w:lang w:val="es-ES"/>
        </w:rPr>
        <w:t>9</w:t>
      </w:r>
      <w:r w:rsidRPr="1548CBE8">
        <w:rPr>
          <w:rFonts w:ascii="Arial" w:eastAsia="Arial" w:hAnsi="Arial" w:cs="Arial"/>
          <w:color w:val="000000" w:themeColor="text1"/>
          <w:lang w:val="es-ES"/>
        </w:rPr>
        <w:t xml:space="preserve">. </w:t>
      </w:r>
    </w:p>
    <w:p w14:paraId="39FE4684" w14:textId="77777777" w:rsidR="00D43FFE" w:rsidRDefault="00D43FFE" w:rsidP="00D43FFE">
      <w:pPr>
        <w:spacing w:before="120" w:after="12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ES"/>
        </w:rPr>
        <w:t>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está en firme para dicho momento; ii)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1548CBE8">
        <w:rPr>
          <w:rFonts w:ascii="Arial" w:eastAsia="Arial" w:hAnsi="Arial" w:cs="Arial"/>
          <w:color w:val="000000" w:themeColor="text1"/>
          <w:vertAlign w:val="superscript"/>
          <w:lang w:val="es-ES"/>
        </w:rPr>
        <w:t>10</w:t>
      </w:r>
      <w:r w:rsidRPr="1548CBE8">
        <w:rPr>
          <w:rFonts w:ascii="Arial" w:eastAsia="Arial" w:hAnsi="Arial" w:cs="Arial"/>
          <w:color w:val="000000" w:themeColor="text1"/>
          <w:lang w:val="es-ES"/>
        </w:rPr>
        <w:t>; iii) si un oferente no anexó el Certificado de existencia y representación legal, el documento aportado con posterioridad debe dar cuenta de que la sociedad existía antes del cierre del proceso</w:t>
      </w:r>
      <w:r w:rsidRPr="1548CBE8">
        <w:rPr>
          <w:rFonts w:ascii="Arial" w:eastAsia="Arial" w:hAnsi="Arial" w:cs="Arial"/>
          <w:color w:val="000000" w:themeColor="text1"/>
          <w:vertAlign w:val="superscript"/>
          <w:lang w:val="es-ES"/>
        </w:rPr>
        <w:t>11</w:t>
      </w:r>
      <w:r w:rsidRPr="1548CBE8">
        <w:rPr>
          <w:rFonts w:ascii="Arial" w:eastAsia="Arial" w:hAnsi="Arial" w:cs="Arial"/>
          <w:color w:val="000000" w:themeColor="text1"/>
          <w:lang w:val="es-ES"/>
        </w:rPr>
        <w:t xml:space="preserve">; iv)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6AE41662" w14:textId="77777777" w:rsidR="00D43FFE" w:rsidRDefault="00D43FFE" w:rsidP="00D43FFE">
      <w:pPr>
        <w:spacing w:before="120" w:after="12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ES"/>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que el Consejo de Estado sostiene que </w:t>
      </w:r>
      <w:r>
        <w:rPr>
          <w:rFonts w:ascii="Arial" w:eastAsia="Arial" w:hAnsi="Arial" w:cs="Arial"/>
          <w:color w:val="000000" w:themeColor="text1"/>
          <w:lang w:val="es-ES"/>
        </w:rPr>
        <w:t>“</w:t>
      </w:r>
      <w:r w:rsidRPr="1548CBE8">
        <w:rPr>
          <w:rFonts w:ascii="Arial" w:eastAsia="Arial" w:hAnsi="Arial" w:cs="Arial"/>
          <w:i/>
          <w:iCs/>
          <w:color w:val="000000" w:themeColor="text1"/>
          <w:lang w:val="es-ES"/>
        </w:rPr>
        <w:t xml:space="preserve">lo que se subsana es la prueba y no la condición habilitante o un elemento de la propuesta [...] lo que se puede remediar es la prueba y no el requisito: La posibilidad debe recaer exclusivamente sobre circunstancias </w:t>
      </w:r>
      <w:r w:rsidRPr="1548CBE8">
        <w:rPr>
          <w:rFonts w:ascii="Arial" w:eastAsia="Arial" w:hAnsi="Arial" w:cs="Arial"/>
          <w:i/>
          <w:iCs/>
          <w:color w:val="000000" w:themeColor="text1"/>
          <w:lang w:val="es-ES"/>
        </w:rPr>
        <w:lastRenderedPageBreak/>
        <w:t>acaecidas antes del cierre del respectivo proceso, esto es, del vencimiento del plazo para presentar ofertas</w:t>
      </w:r>
      <w:r>
        <w:rPr>
          <w:rFonts w:ascii="Arial" w:eastAsia="Arial" w:hAnsi="Arial" w:cs="Arial"/>
          <w:i/>
          <w:iCs/>
          <w:color w:val="000000" w:themeColor="text1"/>
          <w:lang w:val="es-ES"/>
        </w:rPr>
        <w:t>”</w:t>
      </w:r>
      <w:r w:rsidRPr="1548CBE8">
        <w:rPr>
          <w:rFonts w:ascii="Arial" w:eastAsia="Arial" w:hAnsi="Arial" w:cs="Arial"/>
          <w:i/>
          <w:iCs/>
          <w:color w:val="000000" w:themeColor="text1"/>
          <w:vertAlign w:val="superscript"/>
          <w:lang w:val="es-ES"/>
        </w:rPr>
        <w:t>12</w:t>
      </w:r>
      <w:r w:rsidRPr="1548CBE8">
        <w:rPr>
          <w:rFonts w:ascii="Arial" w:eastAsia="Arial" w:hAnsi="Arial" w:cs="Arial"/>
          <w:i/>
          <w:iCs/>
          <w:color w:val="000000" w:themeColor="text1"/>
          <w:lang w:val="es-ES"/>
        </w:rPr>
        <w:t xml:space="preserve">. </w:t>
      </w:r>
    </w:p>
    <w:p w14:paraId="4B3BA509" w14:textId="77777777" w:rsidR="00D43FFE" w:rsidRDefault="00D43FFE" w:rsidP="00D43FFE">
      <w:pPr>
        <w:spacing w:before="120" w:after="20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ES"/>
        </w:rPr>
        <w:t xml:space="preserve">Visto lo anterior, 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 </w:t>
      </w:r>
    </w:p>
    <w:p w14:paraId="4A3738CA" w14:textId="77777777" w:rsidR="00D43FFE" w:rsidRDefault="00D43FFE" w:rsidP="00D43FFE">
      <w:pPr>
        <w:spacing w:after="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MX"/>
        </w:rPr>
        <w:t xml:space="preserve">Ahora bien, la Agencia debe diferenciar entre la regla sobre subsanación de ofertas en los procedimientos de selección, que acaba de explicarse, por un lado, y por el otro lo referido a la </w:t>
      </w:r>
      <w:r w:rsidRPr="1548CBE8">
        <w:rPr>
          <w:rFonts w:ascii="Arial" w:eastAsia="Arial" w:hAnsi="Arial" w:cs="Arial"/>
          <w:i/>
          <w:iCs/>
          <w:color w:val="000000" w:themeColor="text1"/>
          <w:lang w:val="es-MX"/>
        </w:rPr>
        <w:t>aclaración de las ofertas</w:t>
      </w:r>
      <w:r w:rsidRPr="1548CBE8">
        <w:rPr>
          <w:rFonts w:ascii="Arial" w:eastAsia="Arial" w:hAnsi="Arial" w:cs="Arial"/>
          <w:color w:val="000000" w:themeColor="text1"/>
          <w:lang w:val="es-MX"/>
        </w:rPr>
        <w:t xml:space="preserve">, cuestiones que resultan ser distintas, sin perjuicio de que ambas puedan ser considerados como elementos propios del principio de selección objetiva. Así, en aras de que la entidad, al momento de evaluar las ofertas recibidas, pueda realizar tal evaluación de manera adecuada y contando con los elementos de juicio suficientes y necesarios para la comprensión integral de cada documento contenido en la oferta, puede acudir a la facultad que le otorga expresamente el numeral 7 del artículo 30 de la Ley 80 de 1993. Dicha norma señala que entre los componentes que deberá contener el pliego de condiciones incluye al </w:t>
      </w:r>
      <w:r>
        <w:rPr>
          <w:rFonts w:ascii="Arial" w:eastAsia="Arial" w:hAnsi="Arial" w:cs="Arial"/>
          <w:color w:val="000000" w:themeColor="text1"/>
          <w:lang w:val="es-MX"/>
        </w:rPr>
        <w:t>“</w:t>
      </w:r>
      <w:r w:rsidRPr="1548CBE8">
        <w:rPr>
          <w:rFonts w:ascii="Arial" w:eastAsia="Arial" w:hAnsi="Arial" w:cs="Arial"/>
          <w:i/>
          <w:iCs/>
          <w:color w:val="000000" w:themeColor="text1"/>
          <w:lang w:val="es-MX"/>
        </w:rPr>
        <w:t>plazo razonable dentro del cual la entidad deberá elaborar los estudios técnicos, económicos y jurídicos necesarios para la evaluación de las propuestas y para solicitar a los proponentes las aclaraciones y explicaciones que se estimen indispensables</w:t>
      </w:r>
      <w:r>
        <w:rPr>
          <w:rFonts w:ascii="Arial" w:eastAsia="Arial" w:hAnsi="Arial" w:cs="Arial"/>
          <w:i/>
          <w:iCs/>
          <w:color w:val="000000" w:themeColor="text1"/>
          <w:lang w:val="es-MX"/>
        </w:rPr>
        <w:t>”</w:t>
      </w:r>
      <w:r w:rsidRPr="1548CBE8">
        <w:rPr>
          <w:rFonts w:ascii="Arial" w:eastAsia="Arial" w:hAnsi="Arial" w:cs="Arial"/>
          <w:i/>
          <w:iCs/>
          <w:color w:val="000000" w:themeColor="text1"/>
          <w:lang w:val="es-MX"/>
        </w:rPr>
        <w:t>.</w:t>
      </w:r>
      <w:r w:rsidRPr="1548CBE8">
        <w:rPr>
          <w:rFonts w:ascii="Arial" w:eastAsia="Arial" w:hAnsi="Arial" w:cs="Arial"/>
          <w:color w:val="000000" w:themeColor="text1"/>
          <w:lang w:val="es-MX"/>
        </w:rPr>
        <w:t xml:space="preserve"> </w:t>
      </w:r>
    </w:p>
    <w:p w14:paraId="438A7426" w14:textId="77777777" w:rsidR="00D43FFE" w:rsidRDefault="00D43FFE" w:rsidP="00D43FFE">
      <w:pPr>
        <w:spacing w:before="120" w:after="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MX"/>
        </w:rPr>
        <w:t xml:space="preserve">La misma facultad en cabeza de la Administración se establece, entre otras, en el artículo 2.2.1.1.2.2.4. del Decreto 1082 de 2015, referido a las explicaciones que la Entidad Estatal deberá pedir al oferente, cuando advierta que su oferta contiene un precio artificialmente bajo. En similar sentido, el numeral 3 del artículo 2.2.1.2.1.3.12 incluye el deber de aclaración, en cabeza del organismo asesor dentro del concurso de arquitectura o la posibilidad con la que cuenta la Entidad Estatal para solicitar aclaraciones al originador del proyecto al tratarse de asociaciones público-privadas de iniciativa privada. Todas estas normas contienen ejemplos de aplicación del mismo principio de selección objetiva, porque pretenden que la entidad u organismo que evaluará la respectiva oferta o iniciativa, según el caso, cuente con el conocimiento e información veraz y suficiente para tomar una decisión acertada. </w:t>
      </w:r>
    </w:p>
    <w:p w14:paraId="3196BCAF" w14:textId="77777777" w:rsidR="00D43FFE" w:rsidRDefault="00D43FFE" w:rsidP="00D43FFE">
      <w:pPr>
        <w:spacing w:before="120" w:after="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MX"/>
        </w:rPr>
        <w:t xml:space="preserve">En ese sentido, la facultad  de solicitar aclaraciones en cabeza de la entidad directora del proceso selección establecida, principal y genéricamente, en el artículo 30 de la Ley 80 de 1993, debe comprenderse bajo el entendido que el oferente cuya oferta requiera ser aclarada, no podrá, so pena de proceder de conformidad con el requerimiento de la entidad, realizar modificaciones </w:t>
      </w:r>
      <w:r w:rsidRPr="1548CBE8">
        <w:rPr>
          <w:rFonts w:ascii="Arial" w:eastAsia="Arial" w:hAnsi="Arial" w:cs="Arial"/>
          <w:color w:val="000000" w:themeColor="text1"/>
          <w:lang w:val="es-MX"/>
        </w:rPr>
        <w:lastRenderedPageBreak/>
        <w:t>que impliquen una mejora o alteración sustancial de la oferta, tal y como ha sido expresado por el Consejo de Estado.</w:t>
      </w:r>
    </w:p>
    <w:p w14:paraId="7ED1481B" w14:textId="77777777" w:rsidR="00D43FFE" w:rsidRDefault="00D43FFE" w:rsidP="00D43FFE">
      <w:pPr>
        <w:spacing w:before="120" w:after="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MX"/>
        </w:rPr>
        <w:t>Ahora bien, lo anterior no impide que se puedan hacer aclaraciones a las propuestas bien porque la Entidad Estatal las solicite en la etapa de evaluación de las mismas, ora porque las realicen los oferentes en la etapa dispuesta para las observaciones a los informes de evaluación, pero siempre y cuando verse sobre aspectos meramente formales o adjetivos o que en todo caso no comporten una variación o corrección del fondo de la propuesta a favor de quien las presenta y en detrimento de la posición de los demás proponentes en la evaluación, esto es, sujetas a condición de que con las mismas no se altere de manera sustancial la información inicialmente suministrada y la situación de los oferentes en el proceso de licitación. Por eso, como es posible que por vía aclaratoria los proponentes intenten modificar o mejorar sus ofertas, hay que distinguir entre las simples aclaraciones de las propuestas y las modificaciones a estas; las primeras son los medios para que se pueda hacer perceptible, manifiesto, explícito o inteligible algún aspecto confuso de la propuesta, sin implicar una complementación, adición, modificación o mejora de dicho aspecto, que es, precisamente, en lo que consisten las segundas.</w:t>
      </w:r>
    </w:p>
    <w:p w14:paraId="3DC83F67" w14:textId="77777777" w:rsidR="00D43FFE" w:rsidRDefault="00D43FFE" w:rsidP="00D43FFE">
      <w:pPr>
        <w:spacing w:before="120" w:after="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MX"/>
        </w:rPr>
        <w:t xml:space="preserve">La solicitud de aclaraciones permite que las entidades requieran a los proponentes esclarecer aspectos de sus propuestas que, en principio, resultan confusos para efectos de la evaluación, diferenciándose de la </w:t>
      </w:r>
      <w:proofErr w:type="spellStart"/>
      <w:r w:rsidRPr="1548CBE8">
        <w:rPr>
          <w:rFonts w:ascii="Arial" w:eastAsia="Arial" w:hAnsi="Arial" w:cs="Arial"/>
          <w:color w:val="000000" w:themeColor="text1"/>
          <w:lang w:val="es-MX"/>
        </w:rPr>
        <w:t>subsanabilidad</w:t>
      </w:r>
      <w:proofErr w:type="spellEnd"/>
      <w:r w:rsidRPr="1548CBE8">
        <w:rPr>
          <w:rFonts w:ascii="Arial" w:eastAsia="Arial" w:hAnsi="Arial" w:cs="Arial"/>
          <w:color w:val="000000" w:themeColor="text1"/>
          <w:lang w:val="es-MX"/>
        </w:rPr>
        <w:t xml:space="preserve">, pues no parte del supuesto de la ausencia de requisitos de la oferta sino de la existencia de dudas en la misma, cuya explicación se requiere para la evaluar la propuesta. Esta diferencia es importante, pues </w:t>
      </w:r>
      <w:r w:rsidRPr="1548CBE8">
        <w:rPr>
          <w:rFonts w:ascii="Arial" w:eastAsia="Arial" w:hAnsi="Arial" w:cs="Arial"/>
          <w:i/>
          <w:iCs/>
          <w:color w:val="000000" w:themeColor="text1"/>
          <w:lang w:val="es-MX"/>
        </w:rPr>
        <w:t>es posible aclarar los requisitos que asignan puntaje</w:t>
      </w:r>
      <w:r w:rsidRPr="1548CBE8">
        <w:rPr>
          <w:rFonts w:ascii="Arial" w:eastAsia="Arial" w:hAnsi="Arial" w:cs="Arial"/>
          <w:color w:val="000000" w:themeColor="text1"/>
          <w:lang w:val="es-MX"/>
        </w:rPr>
        <w:t>, tal como lo ha señalado la jurisprudencia en los siguientes términos:</w:t>
      </w:r>
    </w:p>
    <w:p w14:paraId="4635152E" w14:textId="77777777" w:rsidR="00D43FFE" w:rsidRDefault="00D43FFE" w:rsidP="00D43FFE">
      <w:pPr>
        <w:spacing w:after="0" w:line="276" w:lineRule="auto"/>
        <w:ind w:left="709" w:right="709"/>
        <w:jc w:val="both"/>
        <w:rPr>
          <w:rFonts w:ascii="Arial" w:eastAsia="Arial" w:hAnsi="Arial" w:cs="Arial"/>
          <w:color w:val="000000" w:themeColor="text1"/>
        </w:rPr>
      </w:pPr>
    </w:p>
    <w:p w14:paraId="7D7A597A" w14:textId="77777777" w:rsidR="00D43FFE" w:rsidRDefault="00D43FFE" w:rsidP="00D43FFE">
      <w:pPr>
        <w:spacing w:after="0" w:line="240" w:lineRule="auto"/>
        <w:ind w:left="709" w:right="709"/>
        <w:jc w:val="both"/>
        <w:rPr>
          <w:rFonts w:ascii="Arial" w:eastAsia="Arial" w:hAnsi="Arial" w:cs="Arial"/>
          <w:color w:val="000000" w:themeColor="text1"/>
        </w:rPr>
      </w:pPr>
      <w:r>
        <w:rPr>
          <w:rFonts w:ascii="Arial" w:eastAsia="Arial" w:hAnsi="Arial" w:cs="Arial"/>
          <w:color w:val="000000" w:themeColor="text1"/>
          <w:lang w:val="es-MX"/>
        </w:rPr>
        <w:t>“</w:t>
      </w:r>
      <w:r w:rsidRPr="1548CBE8">
        <w:rPr>
          <w:rFonts w:ascii="Arial" w:eastAsia="Arial" w:hAnsi="Arial" w:cs="Arial"/>
          <w:color w:val="000000" w:themeColor="text1"/>
          <w:lang w:val="es-MX"/>
        </w:rPr>
        <w:t xml:space="preserve">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-que se diferencia de la </w:t>
      </w:r>
      <w:proofErr w:type="spellStart"/>
      <w:r w:rsidRPr="1548CBE8">
        <w:rPr>
          <w:rFonts w:ascii="Arial" w:eastAsia="Arial" w:hAnsi="Arial" w:cs="Arial"/>
          <w:color w:val="000000" w:themeColor="text1"/>
          <w:lang w:val="es-MX"/>
        </w:rPr>
        <w:t>subsanabilidad</w:t>
      </w:r>
      <w:proofErr w:type="spellEnd"/>
      <w:r w:rsidRPr="1548CBE8">
        <w:rPr>
          <w:rFonts w:ascii="Arial" w:eastAsia="Arial" w:hAnsi="Arial" w:cs="Arial"/>
          <w:color w:val="000000" w:themeColor="text1"/>
          <w:lang w:val="es-MX"/>
        </w:rPr>
        <w:t xml:space="preserve"> -, pues no parte del supuesto de la ausencia de requisitos de la oferta –los que hay que subsanar-, sino de la presencia de inconsistencias o falta de claridad en la oferta, […].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diferentes.13</w:t>
      </w:r>
      <w:r>
        <w:rPr>
          <w:rFonts w:ascii="Arial" w:eastAsia="Arial" w:hAnsi="Arial" w:cs="Arial"/>
          <w:color w:val="000000" w:themeColor="text1"/>
          <w:lang w:val="es-MX"/>
        </w:rPr>
        <w:t>”</w:t>
      </w:r>
    </w:p>
    <w:p w14:paraId="59C7A05E" w14:textId="77777777" w:rsidR="00D43FFE" w:rsidRDefault="00D43FFE" w:rsidP="00D43FFE">
      <w:pPr>
        <w:spacing w:after="0" w:line="276" w:lineRule="auto"/>
        <w:ind w:left="709" w:right="709"/>
        <w:jc w:val="both"/>
        <w:rPr>
          <w:rFonts w:ascii="Arial" w:eastAsia="Arial" w:hAnsi="Arial" w:cs="Arial"/>
          <w:color w:val="000000" w:themeColor="text1"/>
          <w:sz w:val="21"/>
          <w:szCs w:val="21"/>
        </w:rPr>
      </w:pPr>
    </w:p>
    <w:p w14:paraId="5A602A83" w14:textId="77777777" w:rsidR="00D43FFE" w:rsidRDefault="00D43FFE" w:rsidP="00D43FFE">
      <w:pPr>
        <w:spacing w:after="0" w:line="276" w:lineRule="auto"/>
        <w:ind w:firstLine="709"/>
        <w:jc w:val="both"/>
        <w:rPr>
          <w:rFonts w:ascii="Arial" w:eastAsia="Arial" w:hAnsi="Arial" w:cs="Arial"/>
          <w:color w:val="000000" w:themeColor="text1"/>
        </w:rPr>
      </w:pPr>
      <w:r w:rsidRPr="1548CBE8">
        <w:rPr>
          <w:rFonts w:ascii="Arial" w:eastAsia="Arial" w:hAnsi="Arial" w:cs="Arial"/>
          <w:color w:val="000000" w:themeColor="text1"/>
          <w:lang w:val="es-MX"/>
        </w:rPr>
        <w:t xml:space="preserve">De tal forma que, tal y como lo expresó la alta Corporación, aclarar una oferta no puede implicar su alteración sustancial o mejoría de sus componentes, sino limitarse a disipar lo que </w:t>
      </w:r>
      <w:r w:rsidRPr="1548CBE8">
        <w:rPr>
          <w:rFonts w:ascii="Arial" w:eastAsia="Arial" w:hAnsi="Arial" w:cs="Arial"/>
          <w:color w:val="000000" w:themeColor="text1"/>
          <w:lang w:val="es-MX"/>
        </w:rPr>
        <w:lastRenderedPageBreak/>
        <w:t xml:space="preserve">resulta borroso u otorgar claridad a lo que resulta oscuro o ininteligible. En este punto, se concluye, es distinto aclarar y subsanar una oferta, siendo este último un instituto que procura porque el oferente presente, dentro del plazo y bajo las condiciones dadas por la norma aplicable, los documentos que acrediten el cumplimiento de los requisitos exigidos como habilitantes para participar en el respectivo procedimiento de selección, mientras que la aclaración permite mejor el entendimiento de los elementos de la oferta, sean o no subsanables, para la correcta verificación y evaluación de los mismos por parte de la entidad pública.  </w:t>
      </w:r>
    </w:p>
    <w:p w14:paraId="364BC0CD" w14:textId="77777777" w:rsidR="00D43FFE" w:rsidRPr="00EB5ABF" w:rsidRDefault="00D43FFE" w:rsidP="00D43FFE">
      <w:pPr>
        <w:spacing w:before="120" w:after="0" w:line="276" w:lineRule="auto"/>
        <w:ind w:firstLine="709"/>
        <w:jc w:val="both"/>
        <w:rPr>
          <w:rFonts w:ascii="Arial" w:eastAsia="Arial" w:hAnsi="Arial" w:cs="Arial"/>
          <w:i/>
          <w:iCs/>
          <w:color w:val="000000" w:themeColor="text1"/>
          <w:vertAlign w:val="superscript"/>
          <w:lang w:val="es-MX"/>
        </w:rPr>
      </w:pPr>
      <w:r>
        <w:rPr>
          <w:rFonts w:ascii="Arial" w:eastAsia="Arial" w:hAnsi="Arial" w:cs="Arial"/>
          <w:color w:val="000000" w:themeColor="text1"/>
          <w:lang w:val="es-MX"/>
        </w:rPr>
        <w:t>Por otro lado</w:t>
      </w:r>
      <w:r w:rsidRPr="1548CBE8">
        <w:rPr>
          <w:rFonts w:ascii="Arial" w:eastAsia="Arial" w:hAnsi="Arial" w:cs="Arial"/>
          <w:color w:val="000000" w:themeColor="text1"/>
          <w:lang w:val="es-MX"/>
        </w:rPr>
        <w:t>, como dispone el artículo 30.7 de la Ley 80 de 1993, la aclaración de las propuestas se realiza durante la evaluación de estas, pues es necesario esclarecer los aspectos dudosos de las ofertas antes de la adjudicación</w:t>
      </w:r>
      <w:r w:rsidRPr="1548CBE8">
        <w:rPr>
          <w:rFonts w:ascii="Calibri" w:eastAsia="Calibri" w:hAnsi="Calibri" w:cs="Calibri"/>
          <w:color w:val="000000" w:themeColor="text1"/>
          <w:vertAlign w:val="superscript"/>
          <w:lang w:val="es-MX"/>
        </w:rPr>
        <w:t>14</w:t>
      </w:r>
      <w:r w:rsidRPr="1548CBE8">
        <w:rPr>
          <w:rFonts w:ascii="Arial" w:eastAsia="Arial" w:hAnsi="Arial" w:cs="Arial"/>
          <w:color w:val="000000" w:themeColor="text1"/>
          <w:lang w:val="es-MX"/>
        </w:rPr>
        <w:t xml:space="preserve">. Por ello, la jurisprudencia también explica que </w:t>
      </w:r>
      <w:r>
        <w:rPr>
          <w:rFonts w:ascii="Arial" w:eastAsia="Arial" w:hAnsi="Arial" w:cs="Arial"/>
          <w:i/>
          <w:iCs/>
          <w:color w:val="000000" w:themeColor="text1"/>
          <w:lang w:val="es-MX"/>
        </w:rPr>
        <w:t>“</w:t>
      </w:r>
      <w:r w:rsidRPr="1548CBE8">
        <w:rPr>
          <w:rFonts w:ascii="Arial" w:eastAsia="Arial" w:hAnsi="Arial" w:cs="Arial"/>
          <w:i/>
          <w:iCs/>
          <w:color w:val="000000" w:themeColor="text1"/>
          <w:lang w:val="es-MX"/>
        </w:rPr>
        <w:t>[…] el proponente debe acogerse al tiempo que le otorga la administración para subsanar o aclarar la oferta, lapso que la entidad no puede extender más allá de la adjudicación […]</w:t>
      </w:r>
      <w:r>
        <w:rPr>
          <w:rFonts w:ascii="Arial" w:eastAsia="Arial" w:hAnsi="Arial" w:cs="Arial"/>
          <w:i/>
          <w:iCs/>
          <w:color w:val="000000" w:themeColor="text1"/>
          <w:lang w:val="es-MX"/>
        </w:rPr>
        <w:t>”</w:t>
      </w:r>
      <w:r w:rsidRPr="1548CBE8">
        <w:rPr>
          <w:rFonts w:ascii="Arial" w:eastAsia="Arial" w:hAnsi="Arial" w:cs="Arial"/>
          <w:i/>
          <w:iCs/>
          <w:color w:val="000000" w:themeColor="text1"/>
          <w:vertAlign w:val="superscript"/>
          <w:lang w:val="es-MX"/>
        </w:rPr>
        <w:t>15</w:t>
      </w:r>
      <w:r w:rsidRPr="1548CBE8">
        <w:rPr>
          <w:rFonts w:ascii="Arial" w:eastAsia="Arial" w:hAnsi="Arial" w:cs="Arial"/>
          <w:i/>
          <w:iCs/>
          <w:color w:val="000000" w:themeColor="text1"/>
          <w:lang w:val="es-MX"/>
        </w:rPr>
        <w:t>.</w:t>
      </w:r>
      <w:r w:rsidRPr="1548CBE8">
        <w:rPr>
          <w:rFonts w:ascii="Arial" w:eastAsia="Arial" w:hAnsi="Arial" w:cs="Arial"/>
          <w:color w:val="000000" w:themeColor="text1"/>
          <w:lang w:val="es-MX"/>
        </w:rPr>
        <w:t xml:space="preserve"> De esta manera, </w:t>
      </w:r>
      <w:r>
        <w:rPr>
          <w:rFonts w:ascii="Arial" w:eastAsia="Arial" w:hAnsi="Arial" w:cs="Arial"/>
          <w:color w:val="000000" w:themeColor="text1"/>
          <w:lang w:val="es-MX"/>
        </w:rPr>
        <w:t>“</w:t>
      </w:r>
      <w:r w:rsidRPr="1548CBE8">
        <w:rPr>
          <w:rFonts w:ascii="Arial" w:eastAsia="Arial" w:hAnsi="Arial" w:cs="Arial"/>
          <w:i/>
          <w:iCs/>
          <w:color w:val="000000" w:themeColor="text1"/>
          <w:lang w:val="es-MX"/>
        </w:rPr>
        <w:t>lo ideal en un proceso de selección es que las aclaraciones y explicaciones se anticipen y soliciten durante la etapa de evaluación, lo más pronto posible, es decir, antes de que la entidad elabore el informe respectivo, de tal manera que las tenga en cuenta para producir ese acto administrativo</w:t>
      </w:r>
      <w:r>
        <w:rPr>
          <w:rFonts w:ascii="Arial" w:eastAsia="Arial" w:hAnsi="Arial" w:cs="Arial"/>
          <w:i/>
          <w:iCs/>
          <w:color w:val="000000" w:themeColor="text1"/>
          <w:lang w:val="es-MX"/>
        </w:rPr>
        <w:t>”</w:t>
      </w:r>
      <w:r w:rsidRPr="1548CBE8">
        <w:rPr>
          <w:rFonts w:ascii="Arial" w:eastAsia="Arial" w:hAnsi="Arial" w:cs="Arial"/>
          <w:i/>
          <w:iCs/>
          <w:color w:val="000000" w:themeColor="text1"/>
          <w:lang w:val="es-MX"/>
        </w:rPr>
        <w:t>.</w:t>
      </w:r>
      <w:r w:rsidRPr="1548CBE8">
        <w:rPr>
          <w:rFonts w:ascii="Arial" w:eastAsia="Arial" w:hAnsi="Arial" w:cs="Arial"/>
          <w:i/>
          <w:iCs/>
          <w:color w:val="000000" w:themeColor="text1"/>
          <w:vertAlign w:val="superscript"/>
          <w:lang w:val="es-MX"/>
        </w:rPr>
        <w:t>16</w:t>
      </w:r>
      <w:bookmarkEnd w:id="6"/>
    </w:p>
    <w:p w14:paraId="133050D1" w14:textId="77777777" w:rsidR="00D43FFE" w:rsidRPr="00701DEE" w:rsidRDefault="00D43FFE" w:rsidP="00D43FFE">
      <w:pPr>
        <w:spacing w:before="120" w:after="0" w:line="276" w:lineRule="auto"/>
        <w:jc w:val="both"/>
        <w:rPr>
          <w:rFonts w:ascii="Arial" w:eastAsia="Times New Roman" w:hAnsi="Arial" w:cs="Arial"/>
          <w:b/>
          <w:bCs/>
          <w:shd w:val="clear" w:color="auto" w:fill="FFFFFF"/>
          <w:lang w:val="es-ES_tradnl" w:eastAsia="es-ES_tradnl"/>
        </w:rPr>
      </w:pPr>
      <w:r w:rsidRPr="00701DEE">
        <w:rPr>
          <w:rFonts w:ascii="Arial" w:eastAsia="Times New Roman" w:hAnsi="Arial" w:cs="Arial"/>
          <w:b/>
          <w:bCs/>
          <w:shd w:val="clear" w:color="auto" w:fill="FFFFFF"/>
          <w:lang w:val="es-ES_tradnl" w:eastAsia="es-ES_tradnl"/>
        </w:rPr>
        <w:t>2.</w:t>
      </w:r>
      <w:r>
        <w:rPr>
          <w:rFonts w:ascii="Arial" w:eastAsia="Times New Roman" w:hAnsi="Arial" w:cs="Arial"/>
          <w:b/>
          <w:bCs/>
          <w:shd w:val="clear" w:color="auto" w:fill="FFFFFF"/>
          <w:lang w:val="es-ES_tradnl" w:eastAsia="es-ES_tradnl"/>
        </w:rPr>
        <w:t>5</w:t>
      </w:r>
      <w:r w:rsidRPr="00701DEE">
        <w:rPr>
          <w:rFonts w:ascii="Arial" w:eastAsia="Times New Roman" w:hAnsi="Arial" w:cs="Arial"/>
          <w:b/>
          <w:bCs/>
          <w:shd w:val="clear" w:color="auto" w:fill="FFFFFF"/>
          <w:lang w:val="es-ES_tradnl" w:eastAsia="es-ES_tradnl"/>
        </w:rPr>
        <w:t xml:space="preserve">. </w:t>
      </w:r>
      <w:r>
        <w:rPr>
          <w:rFonts w:ascii="Arial" w:eastAsia="Times New Roman" w:hAnsi="Arial" w:cs="Arial"/>
          <w:b/>
          <w:bCs/>
          <w:shd w:val="clear" w:color="auto" w:fill="FFFFFF"/>
          <w:lang w:val="es-ES_tradnl" w:eastAsia="es-ES_tradnl"/>
        </w:rPr>
        <w:t>M</w:t>
      </w:r>
      <w:r w:rsidRPr="001E43F5">
        <w:rPr>
          <w:rFonts w:ascii="Arial" w:eastAsia="Times New Roman" w:hAnsi="Arial" w:cs="Arial"/>
          <w:b/>
          <w:bCs/>
          <w:shd w:val="clear" w:color="auto" w:fill="FFFFFF"/>
          <w:lang w:val="es-ES_tradnl" w:eastAsia="es-ES_tradnl"/>
        </w:rPr>
        <w:t>odalidad de concurso de méritos para la contratación de la interventoría de obra pública de infraestructura de transporte, regulad</w:t>
      </w:r>
      <w:r>
        <w:rPr>
          <w:rFonts w:ascii="Arial" w:eastAsia="Times New Roman" w:hAnsi="Arial" w:cs="Arial"/>
          <w:b/>
          <w:bCs/>
          <w:shd w:val="clear" w:color="auto" w:fill="FFFFFF"/>
          <w:lang w:val="es-ES_tradnl" w:eastAsia="es-ES_tradnl"/>
        </w:rPr>
        <w:t>a</w:t>
      </w:r>
      <w:r w:rsidRPr="001E43F5">
        <w:rPr>
          <w:rFonts w:ascii="Arial" w:eastAsia="Times New Roman" w:hAnsi="Arial" w:cs="Arial"/>
          <w:b/>
          <w:bCs/>
          <w:shd w:val="clear" w:color="auto" w:fill="FFFFFF"/>
          <w:lang w:val="es-ES_tradnl" w:eastAsia="es-ES_tradnl"/>
        </w:rPr>
        <w:t xml:space="preserve"> en los documentos tipo vigentes</w:t>
      </w:r>
      <w:r>
        <w:rPr>
          <w:rFonts w:ascii="Arial" w:eastAsia="Times New Roman" w:hAnsi="Arial" w:cs="Arial"/>
          <w:b/>
          <w:bCs/>
          <w:shd w:val="clear" w:color="auto" w:fill="FFFFFF"/>
          <w:lang w:val="es-ES_tradnl" w:eastAsia="es-ES_tradnl"/>
        </w:rPr>
        <w:t>: el concurso de méritos abierto sin precalificación</w:t>
      </w:r>
    </w:p>
    <w:p w14:paraId="3F991B52" w14:textId="77777777" w:rsidR="00D43FFE" w:rsidRPr="00701DEE" w:rsidRDefault="00D43FFE" w:rsidP="00D43FFE">
      <w:pPr>
        <w:spacing w:after="0" w:line="276" w:lineRule="auto"/>
        <w:jc w:val="both"/>
        <w:rPr>
          <w:rFonts w:ascii="Arial" w:eastAsia="Times New Roman" w:hAnsi="Arial" w:cs="Arial"/>
          <w:szCs w:val="24"/>
          <w:lang w:val="es-ES_tradnl" w:eastAsia="es-ES_tradnl"/>
        </w:rPr>
      </w:pPr>
    </w:p>
    <w:p w14:paraId="6FB9F7DF" w14:textId="77777777" w:rsidR="00D43FFE" w:rsidRDefault="00D43FFE" w:rsidP="00D43FFE">
      <w:pPr>
        <w:spacing w:after="0" w:line="276" w:lineRule="auto"/>
        <w:jc w:val="both"/>
        <w:rPr>
          <w:rFonts w:ascii="Arial" w:eastAsia="Calibri" w:hAnsi="Arial" w:cs="Arial"/>
          <w:color w:val="000000"/>
          <w:lang w:val="es-ES_tradnl" w:eastAsia="es-ES"/>
        </w:rPr>
      </w:pPr>
      <w:r>
        <w:rPr>
          <w:rFonts w:ascii="Arial" w:eastAsia="Times New Roman" w:hAnsi="Arial" w:cs="Arial"/>
          <w:szCs w:val="24"/>
          <w:lang w:val="es-ES_tradnl" w:eastAsia="es-ES_tradnl"/>
        </w:rPr>
        <w:t>Como se indicó, e</w:t>
      </w:r>
      <w:r w:rsidRPr="00701DEE">
        <w:rPr>
          <w:rFonts w:ascii="Arial" w:eastAsia="Times New Roman" w:hAnsi="Arial" w:cs="Arial"/>
          <w:szCs w:val="24"/>
          <w:lang w:val="es-ES_tradnl" w:eastAsia="es-ES_tradnl"/>
        </w:rPr>
        <w:t>n ejercicio de la competencia del artículo 1 de la Ley 2022 de 2020, la Agencia Nacional de Contratación Pública – Colombia Compra Eficiente expidió la Resolución No. 256 del 11 de diciembre de 2020, «Por la cual se adoptan los documentos tipo para los procesos de selección de concurso de méritos, para contratar la interventoría de obras públicas de infraestructura de transporte». El artículo 5 de dicha Resolución dispuso que los documentos tipo que adoptó se deben aplicar «a los procedimientos de selección cuyo aviso de convocatoria se publique el 1 de enero de 2021 o en una fecha posterior».</w:t>
      </w:r>
      <w:r>
        <w:rPr>
          <w:rFonts w:ascii="Arial" w:eastAsia="Times New Roman" w:hAnsi="Arial" w:cs="Arial"/>
          <w:szCs w:val="24"/>
          <w:lang w:val="es-ES_tradnl" w:eastAsia="es-ES_tradnl"/>
        </w:rPr>
        <w:t xml:space="preserve"> </w:t>
      </w:r>
      <w:r>
        <w:rPr>
          <w:rFonts w:ascii="Arial" w:eastAsia="Calibri" w:hAnsi="Arial" w:cs="Arial"/>
          <w:color w:val="000000"/>
          <w:lang w:val="es-ES_tradnl" w:eastAsia="es-ES"/>
        </w:rPr>
        <w:t>Posteriormente, se profirió la Resolución No. 326 del 22 de julio de 2022, «Por la cual se actualizan los documentos tipo para los procesos de contratación de concurso de méritos para contratar la interventoría de obras públicas de infraestructura de transporte y se deroga la Resolución 256 de 2020».</w:t>
      </w:r>
    </w:p>
    <w:p w14:paraId="4C67131B" w14:textId="77777777" w:rsidR="00D43FFE" w:rsidRDefault="00D43FFE" w:rsidP="00D43FFE">
      <w:pPr>
        <w:spacing w:before="120" w:after="0" w:line="276" w:lineRule="auto"/>
        <w:ind w:firstLine="709"/>
        <w:jc w:val="both"/>
        <w:rPr>
          <w:rFonts w:ascii="Arial" w:eastAsia="Calibri" w:hAnsi="Arial" w:cs="Arial"/>
          <w:color w:val="000000"/>
          <w:lang w:val="es-ES_tradnl" w:eastAsia="es-ES"/>
        </w:rPr>
      </w:pPr>
      <w:r>
        <w:rPr>
          <w:rFonts w:ascii="Arial" w:eastAsia="Calibri" w:hAnsi="Arial" w:cs="Arial"/>
          <w:color w:val="000000"/>
          <w:lang w:val="es-ES_tradnl" w:eastAsia="es-ES"/>
        </w:rPr>
        <w:t>Ahora bien, en la consulta se pregunta si las entidades estatales pueden efectuar una precalificación cuando requieran contratar la interventoría para la obra pública de infraestructura de transporte mediante concurso de méritos; es decir, cuando el procedimiento de selección ingrese en el ámbito de aplicación de los documentos tipo vigentes en virtud de la Resolución No. 326 de 2022. Al respecto, conviene precisar que si bien los artículos</w:t>
      </w:r>
      <w:r w:rsidRPr="00C10E12">
        <w:t xml:space="preserve"> </w:t>
      </w:r>
      <w:r w:rsidRPr="00C10E12">
        <w:rPr>
          <w:rFonts w:ascii="Arial" w:eastAsia="Calibri" w:hAnsi="Arial" w:cs="Arial"/>
          <w:color w:val="000000"/>
          <w:lang w:val="es-ES_tradnl" w:eastAsia="es-ES"/>
        </w:rPr>
        <w:t>2.2.1.2.1.3.3.</w:t>
      </w:r>
      <w:r>
        <w:rPr>
          <w:rFonts w:ascii="Arial" w:eastAsia="Calibri" w:hAnsi="Arial" w:cs="Arial"/>
          <w:color w:val="000000"/>
          <w:lang w:val="es-ES_tradnl" w:eastAsia="es-ES"/>
        </w:rPr>
        <w:t xml:space="preserve"> al </w:t>
      </w:r>
      <w:r w:rsidRPr="00C10E12">
        <w:rPr>
          <w:rFonts w:ascii="Arial" w:eastAsia="Calibri" w:hAnsi="Arial" w:cs="Arial"/>
          <w:color w:val="000000"/>
          <w:lang w:val="es-ES_tradnl" w:eastAsia="es-ES"/>
        </w:rPr>
        <w:t>2.2.1.2.1.3.7.</w:t>
      </w:r>
      <w:r>
        <w:rPr>
          <w:rFonts w:ascii="Arial" w:eastAsia="Calibri" w:hAnsi="Arial" w:cs="Arial"/>
          <w:color w:val="000000"/>
          <w:lang w:val="es-ES_tradnl" w:eastAsia="es-ES"/>
        </w:rPr>
        <w:t xml:space="preserve"> del Decreto 1082 de 2015 permiten, </w:t>
      </w:r>
      <w:r w:rsidRPr="001B7663">
        <w:rPr>
          <w:rFonts w:ascii="Arial" w:eastAsia="Calibri" w:hAnsi="Arial" w:cs="Arial"/>
          <w:i/>
          <w:iCs/>
          <w:color w:val="000000"/>
          <w:lang w:val="es-ES_tradnl" w:eastAsia="es-ES"/>
        </w:rPr>
        <w:t>por regla general</w:t>
      </w:r>
      <w:r>
        <w:rPr>
          <w:rFonts w:ascii="Arial" w:eastAsia="Calibri" w:hAnsi="Arial" w:cs="Arial"/>
          <w:color w:val="000000"/>
          <w:lang w:val="es-ES_tradnl" w:eastAsia="es-ES"/>
        </w:rPr>
        <w:t xml:space="preserve">, que las entidades estatales efectúen una </w:t>
      </w:r>
      <w:r w:rsidRPr="001B7663">
        <w:rPr>
          <w:rFonts w:ascii="Arial" w:eastAsia="Calibri" w:hAnsi="Arial" w:cs="Arial"/>
          <w:i/>
          <w:iCs/>
          <w:color w:val="000000"/>
          <w:lang w:val="es-ES_tradnl" w:eastAsia="es-ES"/>
        </w:rPr>
        <w:t>precalificación</w:t>
      </w:r>
      <w:r>
        <w:rPr>
          <w:rFonts w:ascii="Arial" w:eastAsia="Calibri" w:hAnsi="Arial" w:cs="Arial"/>
          <w:color w:val="000000"/>
          <w:lang w:val="es-ES_tradnl" w:eastAsia="es-ES"/>
        </w:rPr>
        <w:t xml:space="preserve"> en la etapa de planeación del concurso de méritos, cuando lo consideren pertinente debido a la complejidad de la consultoría, los documentos tipo vigentes para contratar </w:t>
      </w:r>
      <w:r>
        <w:rPr>
          <w:rFonts w:ascii="Arial" w:eastAsia="Calibri" w:hAnsi="Arial" w:cs="Arial"/>
          <w:color w:val="000000"/>
          <w:lang w:val="es-ES_tradnl" w:eastAsia="es-ES"/>
        </w:rPr>
        <w:lastRenderedPageBreak/>
        <w:t xml:space="preserve">la interventoría de obras públicas de infraestructura de transporte </w:t>
      </w:r>
      <w:r>
        <w:rPr>
          <w:rFonts w:ascii="Arial" w:eastAsia="Calibri" w:hAnsi="Arial" w:cs="Arial"/>
          <w:i/>
          <w:iCs/>
          <w:color w:val="000000"/>
          <w:lang w:val="es-ES_tradnl" w:eastAsia="es-ES"/>
        </w:rPr>
        <w:t xml:space="preserve">solo </w:t>
      </w:r>
      <w:r>
        <w:rPr>
          <w:rFonts w:ascii="Arial" w:eastAsia="Calibri" w:hAnsi="Arial" w:cs="Arial"/>
          <w:color w:val="000000"/>
          <w:lang w:val="es-ES_tradnl" w:eastAsia="es-ES"/>
        </w:rPr>
        <w:t xml:space="preserve">permiten efectuar un concurso de méritos </w:t>
      </w:r>
      <w:r w:rsidRPr="008616AD">
        <w:rPr>
          <w:rFonts w:ascii="Arial" w:eastAsia="Calibri" w:hAnsi="Arial" w:cs="Arial"/>
          <w:i/>
          <w:iCs/>
          <w:color w:val="000000"/>
          <w:lang w:val="es-ES_tradnl" w:eastAsia="es-ES"/>
        </w:rPr>
        <w:t>abierto sin precalificación</w:t>
      </w:r>
      <w:r>
        <w:rPr>
          <w:rFonts w:ascii="Arial" w:eastAsia="Calibri" w:hAnsi="Arial" w:cs="Arial"/>
          <w:color w:val="000000"/>
          <w:lang w:val="es-ES_tradnl" w:eastAsia="es-ES"/>
        </w:rPr>
        <w:t xml:space="preserve">. </w:t>
      </w:r>
    </w:p>
    <w:p w14:paraId="2954DEA2" w14:textId="77777777" w:rsidR="00D43FFE" w:rsidRDefault="00D43FFE" w:rsidP="00D43FFE">
      <w:pPr>
        <w:spacing w:before="120" w:after="0" w:line="276" w:lineRule="auto"/>
        <w:ind w:firstLine="709"/>
        <w:jc w:val="both"/>
        <w:rPr>
          <w:rFonts w:ascii="Arial" w:eastAsia="Calibri" w:hAnsi="Arial" w:cs="Arial"/>
          <w:color w:val="000000"/>
          <w:lang w:val="es-ES_tradnl" w:eastAsia="es-ES"/>
        </w:rPr>
      </w:pPr>
      <w:r>
        <w:rPr>
          <w:rFonts w:ascii="Arial" w:eastAsia="Calibri" w:hAnsi="Arial" w:cs="Arial"/>
          <w:color w:val="000000"/>
          <w:lang w:val="es-ES_tradnl" w:eastAsia="es-ES"/>
        </w:rPr>
        <w:t xml:space="preserve">En efecto, en la versión 2 de los documentos tipo para esta modalidad de selección adoptada mediante la Resolución No. 326 del 22 de julio de 2022, la Agencia Nacional de Contratación Pública – Colombia Compra Eficiente </w:t>
      </w:r>
      <w:r w:rsidRPr="00C27A93">
        <w:rPr>
          <w:rFonts w:ascii="Arial" w:eastAsia="Calibri" w:hAnsi="Arial" w:cs="Arial"/>
          <w:i/>
          <w:iCs/>
          <w:color w:val="000000"/>
          <w:lang w:val="es-ES_tradnl" w:eastAsia="es-ES"/>
        </w:rPr>
        <w:t>estandarizó</w:t>
      </w:r>
      <w:r>
        <w:rPr>
          <w:rFonts w:ascii="Arial" w:eastAsia="Calibri" w:hAnsi="Arial" w:cs="Arial"/>
          <w:color w:val="000000"/>
          <w:lang w:val="es-ES_tradnl" w:eastAsia="es-ES"/>
        </w:rPr>
        <w:t xml:space="preserve"> las condiciones para desarrollar el procedimiento del concurso de méritos abierto, sin incluir la precalificación. Si se observan las etapas, el cronograma, los requisitos habilitantes, la forma de evaluación, y, en general, la estructura de los documentos tipo para los procesos de contratación de concurso de méritos para contratar la interventoría de obras públicas de infraestructura de transporte, se puede advertir que la Agencia, en ejercicio de la competencia conferida por el artículo 1 de la Ley 2022 de 2022, optó por no contemplar dentro de este procedimiento de selección la etapa previa de la precalificación. Esto no obsta para que la Agencia, en desarrollos futuros de los documentos considere también incluir esta posibilidad. Pero hasta que ello suceda las entidades estatales deben adecuar el trámite de sus procedimientos de selección a lo que establecen los documentos tipo vigentes, cuando estos les resulten aplicables.</w:t>
      </w:r>
    </w:p>
    <w:p w14:paraId="37EDAEF0" w14:textId="77777777" w:rsidR="00D43FFE" w:rsidRDefault="00D43FFE" w:rsidP="00D43FFE">
      <w:pPr>
        <w:spacing w:before="120" w:after="0" w:line="276" w:lineRule="auto"/>
        <w:ind w:firstLine="709"/>
        <w:jc w:val="both"/>
        <w:rPr>
          <w:rFonts w:ascii="Arial" w:eastAsia="Calibri" w:hAnsi="Arial" w:cs="Arial"/>
          <w:color w:val="000000"/>
          <w:lang w:val="es-ES_tradnl" w:eastAsia="es-ES"/>
        </w:rPr>
      </w:pPr>
      <w:r>
        <w:rPr>
          <w:rFonts w:ascii="Arial" w:eastAsia="Calibri" w:hAnsi="Arial" w:cs="Arial"/>
          <w:color w:val="000000"/>
          <w:lang w:val="es-ES_tradnl" w:eastAsia="es-ES"/>
        </w:rPr>
        <w:t xml:space="preserve">Lo anterior se deriva de la regla de la </w:t>
      </w:r>
      <w:r>
        <w:rPr>
          <w:rFonts w:ascii="Arial" w:eastAsia="Calibri" w:hAnsi="Arial" w:cs="Arial"/>
          <w:i/>
          <w:iCs/>
          <w:color w:val="000000"/>
          <w:lang w:val="es-ES_tradnl" w:eastAsia="es-ES"/>
        </w:rPr>
        <w:t>inalterabilidad</w:t>
      </w:r>
      <w:r>
        <w:rPr>
          <w:rFonts w:ascii="Arial" w:eastAsia="Calibri" w:hAnsi="Arial" w:cs="Arial"/>
          <w:color w:val="000000"/>
          <w:lang w:val="es-ES_tradnl" w:eastAsia="es-ES"/>
        </w:rPr>
        <w:t xml:space="preserve">, que, como se indicó, no solo tiene fundamento en la Ley 2022 de 2020, sino, además, en las resoluciones mediante las cuales se han adoptado los documentos tipo. Concretamente, tratándose de los documentos tipo para los procesos de contratación de concurso de méritos para contratar la interventoría de obras públicas de infraestructura de transporte, el artículo 2 de la Resolución No. 326 del 22 de julio de 2022 establece que «De conformidad con el artículo 1º de la Ley 2022 de 2020, los documentos tipo son obligatorios en la actividad contractual de las entidades estatales sometidas al Estatuto General de Contratación de la Administración Pública. En consecuencia, las entidades estatales al adelantar sus procesos de contratación </w:t>
      </w:r>
      <w:r w:rsidRPr="006000E9">
        <w:rPr>
          <w:rFonts w:ascii="Arial" w:eastAsia="Calibri" w:hAnsi="Arial" w:cs="Arial"/>
          <w:i/>
          <w:iCs/>
          <w:color w:val="000000"/>
          <w:lang w:val="es-ES_tradnl" w:eastAsia="es-ES"/>
        </w:rPr>
        <w:t>solo podrán modificar los aspectos que los documentos tipo lo permitan</w:t>
      </w:r>
      <w:r>
        <w:rPr>
          <w:rFonts w:ascii="Arial" w:eastAsia="Calibri" w:hAnsi="Arial" w:cs="Arial"/>
          <w:color w:val="000000"/>
          <w:lang w:val="es-ES_tradnl" w:eastAsia="es-ES"/>
        </w:rPr>
        <w:t>» (énfasis fuera de texto).</w:t>
      </w:r>
    </w:p>
    <w:p w14:paraId="345D0EF8" w14:textId="77777777" w:rsidR="00D43FFE" w:rsidRPr="0085777D" w:rsidRDefault="00D43FFE" w:rsidP="00D43FFE">
      <w:pPr>
        <w:spacing w:before="120" w:after="0" w:line="276" w:lineRule="auto"/>
        <w:ind w:firstLine="709"/>
        <w:jc w:val="both"/>
        <w:rPr>
          <w:rFonts w:ascii="Arial" w:eastAsia="Calibri" w:hAnsi="Arial" w:cs="Arial"/>
          <w:color w:val="000000"/>
          <w:lang w:val="es-ES_tradnl" w:eastAsia="es-ES"/>
        </w:rPr>
      </w:pPr>
      <w:r>
        <w:rPr>
          <w:rFonts w:ascii="Arial" w:eastAsia="Calibri" w:hAnsi="Arial" w:cs="Arial"/>
          <w:color w:val="000000"/>
          <w:lang w:val="es-ES_tradnl" w:eastAsia="es-ES"/>
        </w:rPr>
        <w:t xml:space="preserve">Así pues, como los documentos tipo para los procesos de contratación de concurso de méritos para contratar la interventoría de obras públicas de infraestructura de transporte, adoptados por la Resolución No. 326 del 22 de julio de 2022, </w:t>
      </w:r>
      <w:r>
        <w:rPr>
          <w:rFonts w:ascii="Arial" w:eastAsia="Calibri" w:hAnsi="Arial" w:cs="Arial"/>
          <w:i/>
          <w:iCs/>
          <w:color w:val="000000"/>
          <w:lang w:val="es-ES_tradnl" w:eastAsia="es-ES"/>
        </w:rPr>
        <w:t>no permiten expresamente</w:t>
      </w:r>
      <w:r>
        <w:rPr>
          <w:rFonts w:ascii="Arial" w:eastAsia="Calibri" w:hAnsi="Arial" w:cs="Arial"/>
          <w:color w:val="000000"/>
          <w:lang w:val="es-ES_tradnl" w:eastAsia="es-ES"/>
        </w:rPr>
        <w:t xml:space="preserve"> que las entidades estatales modifiquen el procedimiento de selección allí estandarizado para introducir el trámite de la precalificación, debe aplicarse la regla de la inalterabilidad, para concluir que el concurso de méritos se debe efectuar de forma abierta, sin precalificación.</w:t>
      </w:r>
    </w:p>
    <w:p w14:paraId="71141B81" w14:textId="77777777" w:rsidR="00D43FFE" w:rsidRPr="0011000B" w:rsidRDefault="00D43FFE" w:rsidP="00D43FFE">
      <w:pPr>
        <w:widowControl w:val="0"/>
        <w:autoSpaceDE w:val="0"/>
        <w:autoSpaceDN w:val="0"/>
        <w:spacing w:after="0" w:line="276" w:lineRule="auto"/>
        <w:jc w:val="both"/>
        <w:rPr>
          <w:rFonts w:ascii="Arial" w:eastAsia="Arial" w:hAnsi="Arial" w:cs="Arial"/>
          <w:b/>
          <w:bCs/>
          <w:lang w:val="es-ES_tradnl" w:eastAsia="es-ES" w:bidi="es-ES"/>
        </w:rPr>
      </w:pPr>
    </w:p>
    <w:p w14:paraId="2B7014C8" w14:textId="77777777" w:rsidR="00D43FFE" w:rsidRDefault="00D43FFE" w:rsidP="00D43FFE">
      <w:pPr>
        <w:widowControl w:val="0"/>
        <w:autoSpaceDE w:val="0"/>
        <w:autoSpaceDN w:val="0"/>
        <w:spacing w:after="0" w:line="276" w:lineRule="auto"/>
        <w:jc w:val="both"/>
        <w:rPr>
          <w:rFonts w:ascii="Arial" w:eastAsia="Arial" w:hAnsi="Arial" w:cs="Arial"/>
          <w:b/>
          <w:bCs/>
          <w:lang w:eastAsia="es-ES" w:bidi="es-ES"/>
        </w:rPr>
      </w:pPr>
      <w:r>
        <w:rPr>
          <w:rFonts w:ascii="Arial" w:eastAsia="Arial" w:hAnsi="Arial" w:cs="Arial"/>
          <w:b/>
          <w:bCs/>
          <w:lang w:eastAsia="es-ES" w:bidi="es-ES"/>
        </w:rPr>
        <w:t>3.Respuesta</w:t>
      </w:r>
    </w:p>
    <w:p w14:paraId="05DA0C4F" w14:textId="77777777" w:rsidR="00D43FFE" w:rsidRDefault="00D43FFE" w:rsidP="00D43FFE">
      <w:pPr>
        <w:widowControl w:val="0"/>
        <w:autoSpaceDE w:val="0"/>
        <w:autoSpaceDN w:val="0"/>
        <w:spacing w:after="0" w:line="276" w:lineRule="auto"/>
        <w:jc w:val="both"/>
        <w:rPr>
          <w:rFonts w:ascii="Arial" w:eastAsia="Arial" w:hAnsi="Arial" w:cs="Arial"/>
          <w:b/>
          <w:bCs/>
          <w:lang w:eastAsia="es-ES" w:bidi="es-ES"/>
        </w:rPr>
      </w:pPr>
    </w:p>
    <w:p w14:paraId="1916E966" w14:textId="77777777" w:rsidR="00D43FFE" w:rsidRPr="00DD2C57" w:rsidRDefault="00D43FFE" w:rsidP="00D43FFE">
      <w:pPr>
        <w:spacing w:after="0" w:line="240" w:lineRule="auto"/>
        <w:ind w:left="567" w:right="615"/>
        <w:jc w:val="both"/>
        <w:rPr>
          <w:rFonts w:ascii="Arial" w:hAnsi="Arial" w:cs="Arial"/>
          <w:color w:val="000000" w:themeColor="text1"/>
          <w:sz w:val="21"/>
          <w:szCs w:val="21"/>
        </w:rPr>
      </w:pPr>
      <w:r>
        <w:rPr>
          <w:rFonts w:ascii="Arial" w:hAnsi="Arial" w:cs="Arial"/>
          <w:color w:val="000000" w:themeColor="text1"/>
          <w:sz w:val="21"/>
          <w:szCs w:val="21"/>
        </w:rPr>
        <w:t>“</w:t>
      </w:r>
      <w:r w:rsidRPr="00DD2C57">
        <w:rPr>
          <w:rFonts w:ascii="Arial" w:hAnsi="Arial" w:cs="Arial"/>
          <w:color w:val="000000" w:themeColor="text1"/>
          <w:sz w:val="21"/>
          <w:szCs w:val="21"/>
        </w:rPr>
        <w:t xml:space="preserve">En un proceso para una consultoría de transporte, un proponente plural conformado por dos o más integrantes, con porcentajes de participación donde según lo establecido en el pliego tipo, todos requieren acreditar experiencia dentro de la propuesta, pero uno de ellos, aunque presenta en debida forma los documentos donde se evidencia que cumple con la experiencia requerida, aporta su RUP con fecha de expedición mayor a 30 días </w:t>
      </w:r>
      <w:r w:rsidRPr="00DD2C57">
        <w:rPr>
          <w:rFonts w:ascii="Arial" w:hAnsi="Arial" w:cs="Arial"/>
          <w:color w:val="000000" w:themeColor="text1"/>
          <w:sz w:val="21"/>
          <w:szCs w:val="21"/>
        </w:rPr>
        <w:lastRenderedPageBreak/>
        <w:t xml:space="preserve">con respecto al momento del cierre del proceso; mientras los otros integrantes, aportan en debida forma, tanto los documentos para acreditar la experiencia, como su RUP se encuentra expedido dentro del plazo señalado en el pliego tipo. </w:t>
      </w:r>
    </w:p>
    <w:p w14:paraId="1F04B876" w14:textId="77777777" w:rsidR="00D43FFE" w:rsidRPr="00DD2C57" w:rsidRDefault="00D43FFE" w:rsidP="00D43FFE">
      <w:pPr>
        <w:spacing w:after="0" w:line="240" w:lineRule="auto"/>
        <w:ind w:left="567" w:right="615"/>
        <w:jc w:val="both"/>
        <w:rPr>
          <w:rFonts w:ascii="Arial" w:hAnsi="Arial" w:cs="Arial"/>
          <w:color w:val="000000" w:themeColor="text1"/>
          <w:sz w:val="21"/>
          <w:szCs w:val="21"/>
        </w:rPr>
      </w:pPr>
    </w:p>
    <w:p w14:paraId="13254882" w14:textId="77777777" w:rsidR="00D43FFE" w:rsidRPr="00DD2C57" w:rsidRDefault="00D43FFE" w:rsidP="00D43FFE">
      <w:pPr>
        <w:spacing w:after="0" w:line="240" w:lineRule="auto"/>
        <w:ind w:left="567" w:right="615"/>
        <w:jc w:val="both"/>
        <w:rPr>
          <w:rFonts w:ascii="Arial" w:hAnsi="Arial" w:cs="Arial"/>
          <w:color w:val="000000" w:themeColor="text1"/>
          <w:sz w:val="21"/>
          <w:szCs w:val="21"/>
        </w:rPr>
      </w:pPr>
      <w:r w:rsidRPr="00DD2C57">
        <w:rPr>
          <w:rFonts w:ascii="Arial" w:hAnsi="Arial" w:cs="Arial"/>
          <w:color w:val="000000" w:themeColor="text1"/>
          <w:sz w:val="21"/>
          <w:szCs w:val="21"/>
        </w:rPr>
        <w:t>De acuerdo con lo anterior y teniendo en cuenta que uno de los integrantes de la figura plural debe subsanar su RUP, ¿implicaría esto que, no se le otorgue puntaje por concepto de FACTOR DE EXPERIENCIA al proponente plural, a pesar que, sus otros integrantes si cumplieron a cabalidad con todas las exigencias del pliego tipo?</w:t>
      </w:r>
    </w:p>
    <w:p w14:paraId="185B5B33" w14:textId="77777777" w:rsidR="00D43FFE" w:rsidRPr="00DD2C57" w:rsidRDefault="00D43FFE" w:rsidP="00D43FFE">
      <w:pPr>
        <w:spacing w:after="0" w:line="240" w:lineRule="auto"/>
        <w:ind w:left="567" w:right="615"/>
        <w:jc w:val="both"/>
        <w:rPr>
          <w:rFonts w:ascii="Arial" w:hAnsi="Arial" w:cs="Arial"/>
          <w:color w:val="000000" w:themeColor="text1"/>
          <w:sz w:val="21"/>
          <w:szCs w:val="21"/>
        </w:rPr>
      </w:pPr>
    </w:p>
    <w:p w14:paraId="03C6814F" w14:textId="257179C9" w:rsidR="00D43FFE" w:rsidRPr="00DD2C57" w:rsidRDefault="00D43FFE" w:rsidP="00D43FFE">
      <w:pPr>
        <w:spacing w:after="0" w:line="240" w:lineRule="auto"/>
        <w:ind w:left="567" w:right="615"/>
        <w:jc w:val="both"/>
        <w:rPr>
          <w:rFonts w:ascii="Arial" w:hAnsi="Arial" w:cs="Arial"/>
          <w:color w:val="000000" w:themeColor="text1"/>
          <w:sz w:val="21"/>
          <w:szCs w:val="21"/>
          <w:lang w:val="es-ES_tradnl"/>
        </w:rPr>
      </w:pPr>
      <w:r w:rsidRPr="00DD2C57">
        <w:rPr>
          <w:rFonts w:ascii="Arial" w:hAnsi="Arial" w:cs="Arial"/>
          <w:color w:val="000000" w:themeColor="text1"/>
          <w:sz w:val="21"/>
          <w:szCs w:val="21"/>
        </w:rPr>
        <w:t>O, por el contrario, ¿Es posible subsanar el RUP del integrante, y con ello acreditar la experiencia del mismo para efectos de habilitación de la propuesta, excluyendo la experiencia derivada del RUP subsanado del promedio de SMMLV objeto de ponderación de la experiencia? Es decir, para efectos de ponderación del FACTOR DE EXPERIENCIA de la propuesta, considerar únicamente la experiencia derivada de los integrantes que no tuvieron requerimiento alguno de subsanación respecto su experiencia</w:t>
      </w:r>
      <w:r>
        <w:rPr>
          <w:rFonts w:ascii="Arial" w:hAnsi="Arial" w:cs="Arial"/>
          <w:color w:val="000000" w:themeColor="text1"/>
          <w:sz w:val="21"/>
          <w:szCs w:val="21"/>
        </w:rPr>
        <w:t>”</w:t>
      </w:r>
      <w:r w:rsidR="00F906BB">
        <w:rPr>
          <w:rFonts w:ascii="Arial" w:hAnsi="Arial" w:cs="Arial"/>
          <w:color w:val="000000" w:themeColor="text1"/>
          <w:sz w:val="21"/>
          <w:szCs w:val="21"/>
        </w:rPr>
        <w:t xml:space="preserve"> (sic).</w:t>
      </w:r>
    </w:p>
    <w:p w14:paraId="715B55A4" w14:textId="77777777" w:rsidR="00D43FFE" w:rsidRPr="0017568B" w:rsidRDefault="00D43FFE" w:rsidP="00D43FFE">
      <w:pPr>
        <w:widowControl w:val="0"/>
        <w:autoSpaceDE w:val="0"/>
        <w:autoSpaceDN w:val="0"/>
        <w:spacing w:after="0" w:line="276" w:lineRule="auto"/>
        <w:jc w:val="both"/>
        <w:rPr>
          <w:rFonts w:ascii="Arial" w:eastAsia="Arial" w:hAnsi="Arial" w:cs="Arial"/>
          <w:b/>
          <w:bCs/>
          <w:lang w:val="es-ES_tradnl" w:eastAsia="es-ES" w:bidi="es-ES"/>
        </w:rPr>
      </w:pPr>
    </w:p>
    <w:p w14:paraId="57F15948" w14:textId="77777777" w:rsidR="00D43FFE" w:rsidRDefault="00D43FFE" w:rsidP="00095B8A">
      <w:pPr>
        <w:spacing w:after="120" w:line="276" w:lineRule="auto"/>
        <w:contextualSpacing/>
        <w:jc w:val="both"/>
        <w:rPr>
          <w:rFonts w:ascii="Arial" w:eastAsia="Calibri" w:hAnsi="Arial" w:cs="Arial"/>
          <w:color w:val="000000" w:themeColor="text1"/>
          <w:lang w:val="es-ES"/>
        </w:rPr>
      </w:pPr>
      <w:r w:rsidRPr="1548CBE8">
        <w:rPr>
          <w:rFonts w:ascii="Arial" w:eastAsia="Calibri" w:hAnsi="Arial" w:cs="Arial"/>
          <w:color w:val="000000" w:themeColor="text1"/>
          <w:lang w:val="es-ES"/>
        </w:rPr>
        <w:t xml:space="preserve">De conformidad con lo expuesto en este concepto sobre la </w:t>
      </w:r>
      <w:proofErr w:type="spellStart"/>
      <w:r w:rsidRPr="1548CBE8">
        <w:rPr>
          <w:rFonts w:ascii="Arial" w:eastAsia="Calibri" w:hAnsi="Arial" w:cs="Arial"/>
          <w:color w:val="000000" w:themeColor="text1"/>
          <w:lang w:val="es-ES"/>
        </w:rPr>
        <w:t>subsanabilidad</w:t>
      </w:r>
      <w:proofErr w:type="spellEnd"/>
      <w:r w:rsidRPr="1548CBE8">
        <w:rPr>
          <w:rFonts w:ascii="Arial" w:eastAsia="Calibri" w:hAnsi="Arial" w:cs="Arial"/>
          <w:color w:val="000000" w:themeColor="text1"/>
          <w:lang w:val="es-ES"/>
        </w:rPr>
        <w:t xml:space="preserve"> de las ofertas y, teniendo en cuenta las reglas dispuestas en la Ley 1882 de 2018, se mantiene el criterio de la Ley 80 de 1993, relativo a que todo lo que no sea necesario para la comparación de propuestas no es argumento suficiente para su rechazo; y se sostiene el criterio aclaratorio de la Ley 1150 de 2007, según el cual todo lo que no afecte la asignación de puntaje puede subsanarse. Por ello, si los requisitos no afectan la asignación de puntaje y tienen el carácter de habilitantes para la participación en el proceso de contratación, se entiende que, en principio, pueden subsanarse, siempre que no se acrediten circunstancias ocurridas con posterioridad al cierre del proceso.</w:t>
      </w:r>
    </w:p>
    <w:p w14:paraId="4C5FFCAC" w14:textId="77777777" w:rsidR="00CC4487" w:rsidRPr="00482CF9" w:rsidRDefault="00CC4487" w:rsidP="00095B8A">
      <w:pPr>
        <w:spacing w:after="120" w:line="276" w:lineRule="auto"/>
        <w:contextualSpacing/>
        <w:jc w:val="both"/>
        <w:rPr>
          <w:rFonts w:ascii="Arial" w:eastAsia="Calibri" w:hAnsi="Arial" w:cs="Arial"/>
          <w:color w:val="000000"/>
          <w:lang w:val="es-ES"/>
        </w:rPr>
      </w:pPr>
    </w:p>
    <w:p w14:paraId="17E71809" w14:textId="4EA71DF7" w:rsidR="00D43FFE" w:rsidRPr="00056C66" w:rsidRDefault="00D43FFE" w:rsidP="00D43FFE">
      <w:pPr>
        <w:widowControl w:val="0"/>
        <w:autoSpaceDE w:val="0"/>
        <w:autoSpaceDN w:val="0"/>
        <w:spacing w:after="0" w:line="276" w:lineRule="auto"/>
        <w:ind w:firstLine="567"/>
        <w:jc w:val="both"/>
        <w:rPr>
          <w:rFonts w:ascii="Arial" w:eastAsia="Arial" w:hAnsi="Arial" w:cs="Arial"/>
          <w:lang w:val="es-MX" w:eastAsia="es-ES" w:bidi="es-ES"/>
        </w:rPr>
      </w:pPr>
      <w:r w:rsidRPr="3EA192D0">
        <w:rPr>
          <w:rFonts w:ascii="Arial" w:eastAsia="Arial" w:hAnsi="Arial" w:cs="Arial"/>
          <w:lang w:val="es-MX" w:eastAsia="es-ES" w:bidi="es-ES"/>
        </w:rPr>
        <w:t xml:space="preserve">De igual forma, se aclara que, en proceso de selección de concurso de méritos se permite la subsanación respecto a la experiencia mínima, pero esa subsanación implica que se otorguen 0 puntos por el factor evaluable de experiencia, por otro lado, en el caso de un proponente plural, se advierte que a ese proponente también debe dársele aplicación a dicha regla, es decir que en caso de subsanar no obtendrá puntaje, en la medida que la subsanación, si bien solo se refiere a las condiciones de experiencia de uno de los integrantes del proponente plural, lo cierto es que implica que se subsane la totalidad del RUP del proponente plural. Por lo tanto, esa evaluación tendrá que verse afectada por esa subsanación y en dicho caso, el proponente plural deberá tener cero (0) puntos, no </w:t>
      </w:r>
      <w:r w:rsidR="327E31DF" w:rsidRPr="3EA192D0">
        <w:rPr>
          <w:rFonts w:ascii="Arial" w:eastAsia="Arial" w:hAnsi="Arial" w:cs="Arial"/>
          <w:lang w:val="es-MX" w:eastAsia="es-ES" w:bidi="es-ES"/>
        </w:rPr>
        <w:t>obstante,</w:t>
      </w:r>
      <w:r w:rsidRPr="3EA192D0">
        <w:rPr>
          <w:rFonts w:ascii="Arial" w:eastAsia="Arial" w:hAnsi="Arial" w:cs="Arial"/>
          <w:lang w:val="es-MX" w:eastAsia="es-ES" w:bidi="es-ES"/>
        </w:rPr>
        <w:t xml:space="preserve"> la entidad deberá analizar al detalle cada caso concreto.</w:t>
      </w:r>
    </w:p>
    <w:p w14:paraId="1791C918" w14:textId="77777777" w:rsidR="00D43FFE" w:rsidRDefault="00D43FFE" w:rsidP="00D43FFE">
      <w:pPr>
        <w:widowControl w:val="0"/>
        <w:autoSpaceDE w:val="0"/>
        <w:autoSpaceDN w:val="0"/>
        <w:spacing w:after="0" w:line="276" w:lineRule="auto"/>
        <w:jc w:val="both"/>
        <w:rPr>
          <w:rFonts w:ascii="Arial" w:hAnsi="Arial" w:cs="Arial"/>
          <w:color w:val="000000" w:themeColor="text1"/>
          <w:lang w:val="es-ES_tradnl" w:bidi="es-ES"/>
        </w:rPr>
      </w:pPr>
    </w:p>
    <w:p w14:paraId="694130E0" w14:textId="77777777" w:rsidR="00F906BB" w:rsidRPr="00482CF9" w:rsidRDefault="00F906BB" w:rsidP="00F906BB">
      <w:pPr>
        <w:spacing w:after="0" w:line="276" w:lineRule="auto"/>
        <w:contextualSpacing/>
        <w:jc w:val="both"/>
        <w:rPr>
          <w:rFonts w:ascii="Arial" w:eastAsia="Times New Roman" w:hAnsi="Arial" w:cs="Arial"/>
          <w:color w:val="000000"/>
          <w:lang w:val="es-ES_tradnl" w:eastAsia="es-ES_tradnl"/>
        </w:rPr>
      </w:pPr>
      <w:r w:rsidRPr="00482CF9">
        <w:rPr>
          <w:rFonts w:ascii="Arial" w:eastAsia="Times New Roman" w:hAnsi="Arial" w:cs="Arial"/>
          <w:color w:val="000000"/>
          <w:lang w:val="es-ES_tradnl" w:eastAsia="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w:t>
      </w:r>
      <w:r w:rsidRPr="00482CF9">
        <w:rPr>
          <w:rFonts w:ascii="Arial" w:hAnsi="Arial" w:cs="Arial"/>
        </w:rPr>
        <w:t>2.2.1.1.1.3.1. del Decreto 1082 de 2015.</w:t>
      </w:r>
    </w:p>
    <w:p w14:paraId="37B2B880" w14:textId="77777777" w:rsidR="00F906BB" w:rsidRPr="00181816" w:rsidRDefault="00F906BB" w:rsidP="00D43FFE">
      <w:pPr>
        <w:widowControl w:val="0"/>
        <w:autoSpaceDE w:val="0"/>
        <w:autoSpaceDN w:val="0"/>
        <w:spacing w:after="0" w:line="276" w:lineRule="auto"/>
        <w:jc w:val="both"/>
        <w:rPr>
          <w:rFonts w:ascii="Arial" w:hAnsi="Arial" w:cs="Arial"/>
          <w:color w:val="000000" w:themeColor="text1"/>
          <w:lang w:val="es-ES_tradnl" w:bidi="es-ES"/>
        </w:rPr>
      </w:pPr>
    </w:p>
    <w:p w14:paraId="4EDC5D8F" w14:textId="77777777" w:rsidR="00D43FFE" w:rsidRPr="000F4A3A" w:rsidRDefault="00D43FFE" w:rsidP="00D43FFE">
      <w:pPr>
        <w:tabs>
          <w:tab w:val="left" w:pos="426"/>
        </w:tabs>
        <w:spacing w:line="276" w:lineRule="auto"/>
        <w:jc w:val="both"/>
        <w:rPr>
          <w:rFonts w:ascii="Arial" w:eastAsia="Times New Roman" w:hAnsi="Arial" w:cs="Arial"/>
          <w:color w:val="000000" w:themeColor="text1"/>
        </w:rPr>
      </w:pPr>
      <w:r w:rsidRPr="000F4A3A">
        <w:rPr>
          <w:rFonts w:ascii="Arial" w:eastAsia="Times New Roman" w:hAnsi="Arial" w:cs="Arial"/>
          <w:color w:val="000000" w:themeColor="text1"/>
        </w:rPr>
        <w:t>Atentamente,</w:t>
      </w:r>
    </w:p>
    <w:p w14:paraId="76FE077E" w14:textId="3761DA87" w:rsidR="00D43FFE" w:rsidRDefault="00A7750F" w:rsidP="00D43FFE">
      <w:pPr>
        <w:jc w:val="center"/>
        <w:rPr>
          <w:rFonts w:ascii="Arial" w:eastAsia="Times New Roman" w:hAnsi="Arial" w:cs="Arial"/>
          <w:sz w:val="24"/>
          <w:szCs w:val="24"/>
          <w:lang w:eastAsia="es-CO"/>
        </w:rPr>
      </w:pPr>
      <w:r w:rsidRPr="00174A71">
        <w:rPr>
          <w:rFonts w:ascii="Arial" w:eastAsia="Calibri" w:hAnsi="Arial" w:cs="Arial"/>
          <w:noProof/>
          <w:lang w:val="es-ES"/>
        </w:rPr>
        <w:lastRenderedPageBreak/>
        <w:drawing>
          <wp:inline distT="0" distB="0" distL="0" distR="0" wp14:anchorId="4009332E" wp14:editId="3BFD36CA">
            <wp:extent cx="2775006" cy="1064730"/>
            <wp:effectExtent l="0" t="0" r="6350" b="2540"/>
            <wp:docPr id="12" name="Imagen 1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5D0032DF" w14:textId="77777777" w:rsidR="00D43FFE" w:rsidRPr="00D43FFE" w:rsidRDefault="00D43FFE" w:rsidP="00A7750F">
      <w:pPr>
        <w:rPr>
          <w:rFonts w:ascii="Arial" w:eastAsia="Times New Roman" w:hAnsi="Arial" w:cs="Arial"/>
          <w:sz w:val="24"/>
          <w:szCs w:val="24"/>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2"/>
        <w:gridCol w:w="5085"/>
      </w:tblGrid>
      <w:tr w:rsidR="00D43FFE" w:rsidRPr="00D43FFE" w14:paraId="1365CBA4" w14:textId="77777777">
        <w:trPr>
          <w:trHeight w:val="139"/>
        </w:trPr>
        <w:tc>
          <w:tcPr>
            <w:tcW w:w="1022" w:type="dxa"/>
            <w:vAlign w:val="center"/>
            <w:hideMark/>
          </w:tcPr>
          <w:bookmarkEnd w:id="2"/>
          <w:p w14:paraId="0A727718" w14:textId="77777777" w:rsidR="00D43FFE" w:rsidRPr="00D43FFE" w:rsidRDefault="00D43FFE">
            <w:pPr>
              <w:jc w:val="both"/>
              <w:rPr>
                <w:rFonts w:ascii="Arial" w:hAnsi="Arial" w:cs="Arial"/>
                <w:sz w:val="16"/>
                <w:szCs w:val="16"/>
                <w:lang w:val="es-ES_tradnl" w:eastAsia="es-ES"/>
              </w:rPr>
            </w:pPr>
            <w:r w:rsidRPr="00D43FFE">
              <w:rPr>
                <w:rFonts w:ascii="Arial" w:hAnsi="Arial" w:cs="Arial"/>
                <w:sz w:val="16"/>
                <w:szCs w:val="16"/>
                <w:lang w:val="es-ES_tradnl" w:eastAsia="es-ES"/>
              </w:rPr>
              <w:t>Elaboró:</w:t>
            </w:r>
          </w:p>
        </w:tc>
        <w:tc>
          <w:tcPr>
            <w:tcW w:w="5085" w:type="dxa"/>
            <w:tcBorders>
              <w:top w:val="nil"/>
              <w:left w:val="nil"/>
              <w:bottom w:val="dotted" w:sz="4" w:space="0" w:color="7F7F7F" w:themeColor="text1" w:themeTint="80"/>
              <w:right w:val="nil"/>
            </w:tcBorders>
            <w:vAlign w:val="center"/>
            <w:hideMark/>
          </w:tcPr>
          <w:p w14:paraId="644F932E" w14:textId="77777777" w:rsidR="00D43FFE" w:rsidRPr="00D43FFE" w:rsidRDefault="00D43FFE">
            <w:pPr>
              <w:jc w:val="both"/>
              <w:rPr>
                <w:rFonts w:ascii="Arial" w:hAnsi="Arial" w:cs="Arial"/>
                <w:sz w:val="16"/>
                <w:szCs w:val="16"/>
                <w:lang w:val="es-ES_tradnl" w:eastAsia="es-ES"/>
              </w:rPr>
            </w:pPr>
            <w:r w:rsidRPr="00D43FFE">
              <w:rPr>
                <w:rFonts w:ascii="Arial" w:hAnsi="Arial" w:cs="Arial"/>
                <w:sz w:val="16"/>
                <w:szCs w:val="16"/>
                <w:lang w:val="es-ES_tradnl" w:eastAsia="es-ES"/>
              </w:rPr>
              <w:t>Melissa Fernández Reinoso</w:t>
            </w:r>
          </w:p>
          <w:p w14:paraId="5BCE4624" w14:textId="77777777" w:rsidR="00D43FFE" w:rsidRPr="00D43FFE" w:rsidRDefault="00D43FFE">
            <w:pPr>
              <w:jc w:val="both"/>
              <w:rPr>
                <w:rFonts w:ascii="Arial" w:hAnsi="Arial" w:cs="Arial"/>
                <w:sz w:val="16"/>
                <w:szCs w:val="16"/>
                <w:lang w:val="es-ES_tradnl" w:eastAsia="es-ES"/>
              </w:rPr>
            </w:pPr>
            <w:r w:rsidRPr="00D43FFE">
              <w:rPr>
                <w:rFonts w:ascii="Arial" w:hAnsi="Arial" w:cs="Arial"/>
                <w:sz w:val="16"/>
                <w:szCs w:val="16"/>
                <w:lang w:val="es-ES_tradnl" w:eastAsia="es-ES"/>
              </w:rPr>
              <w:t>Contratista de la Subdirección de Gestión Contractual</w:t>
            </w:r>
          </w:p>
        </w:tc>
      </w:tr>
      <w:tr w:rsidR="00D43FFE" w:rsidRPr="00D43FFE" w14:paraId="1761F4D8" w14:textId="77777777">
        <w:trPr>
          <w:trHeight w:val="287"/>
        </w:trPr>
        <w:tc>
          <w:tcPr>
            <w:tcW w:w="1022" w:type="dxa"/>
            <w:vAlign w:val="center"/>
            <w:hideMark/>
          </w:tcPr>
          <w:p w14:paraId="43421005" w14:textId="77777777" w:rsidR="00D43FFE" w:rsidRPr="00D43FFE" w:rsidRDefault="00D43FFE">
            <w:pPr>
              <w:jc w:val="both"/>
              <w:rPr>
                <w:rFonts w:ascii="Arial" w:hAnsi="Arial" w:cs="Arial"/>
                <w:sz w:val="16"/>
                <w:szCs w:val="16"/>
                <w:lang w:val="es-ES_tradnl" w:eastAsia="es-ES"/>
              </w:rPr>
            </w:pPr>
            <w:r w:rsidRPr="00D43FFE">
              <w:rPr>
                <w:rFonts w:ascii="Arial" w:hAnsi="Arial" w:cs="Arial"/>
                <w:sz w:val="16"/>
                <w:szCs w:val="16"/>
                <w:lang w:val="es-ES_tradnl" w:eastAsia="es-ES"/>
              </w:rPr>
              <w:t>Revisó:</w:t>
            </w:r>
          </w:p>
        </w:tc>
        <w:tc>
          <w:tcPr>
            <w:tcW w:w="5085" w:type="dxa"/>
            <w:tcBorders>
              <w:top w:val="dotted" w:sz="4" w:space="0" w:color="7F7F7F" w:themeColor="text1" w:themeTint="80"/>
              <w:left w:val="nil"/>
              <w:bottom w:val="dotted" w:sz="4" w:space="0" w:color="7F7F7F" w:themeColor="text1" w:themeTint="80"/>
              <w:right w:val="nil"/>
            </w:tcBorders>
            <w:vAlign w:val="center"/>
            <w:hideMark/>
          </w:tcPr>
          <w:p w14:paraId="586D678E" w14:textId="77777777" w:rsidR="00D43FFE" w:rsidRPr="00D43FFE" w:rsidRDefault="00D43FFE">
            <w:pPr>
              <w:jc w:val="both"/>
              <w:rPr>
                <w:rFonts w:ascii="Arial" w:hAnsi="Arial" w:cs="Arial"/>
                <w:sz w:val="16"/>
                <w:szCs w:val="16"/>
                <w:lang w:eastAsia="es-ES"/>
              </w:rPr>
            </w:pPr>
            <w:r w:rsidRPr="00D43FFE">
              <w:rPr>
                <w:rFonts w:ascii="Arial" w:hAnsi="Arial" w:cs="Arial"/>
                <w:sz w:val="16"/>
                <w:szCs w:val="16"/>
                <w:lang w:eastAsia="es-ES"/>
              </w:rPr>
              <w:t>Alejandro Sarmiento Cantillo</w:t>
            </w:r>
          </w:p>
          <w:p w14:paraId="782AA752" w14:textId="77777777" w:rsidR="00D43FFE" w:rsidRPr="00D43FFE" w:rsidRDefault="00D43FFE">
            <w:pPr>
              <w:jc w:val="both"/>
              <w:rPr>
                <w:rFonts w:ascii="Arial" w:hAnsi="Arial" w:cs="Arial"/>
                <w:sz w:val="16"/>
                <w:szCs w:val="16"/>
                <w:lang w:eastAsia="es-ES"/>
              </w:rPr>
            </w:pPr>
            <w:r w:rsidRPr="00D43FFE">
              <w:rPr>
                <w:rFonts w:ascii="Arial" w:hAnsi="Arial" w:cs="Arial"/>
                <w:sz w:val="16"/>
                <w:szCs w:val="16"/>
                <w:lang w:eastAsia="es-ES"/>
              </w:rPr>
              <w:t>Gestor T1-11 de la Subdirección de Gestión Contractual</w:t>
            </w:r>
          </w:p>
        </w:tc>
      </w:tr>
      <w:tr w:rsidR="00D43FFE" w:rsidRPr="00D43FFE" w14:paraId="05AA2589" w14:textId="77777777">
        <w:trPr>
          <w:trHeight w:val="261"/>
        </w:trPr>
        <w:tc>
          <w:tcPr>
            <w:tcW w:w="1022" w:type="dxa"/>
            <w:vAlign w:val="center"/>
            <w:hideMark/>
          </w:tcPr>
          <w:p w14:paraId="23FAC648" w14:textId="77777777" w:rsidR="00D43FFE" w:rsidRPr="00D43FFE" w:rsidRDefault="00D43FFE">
            <w:pPr>
              <w:jc w:val="both"/>
              <w:rPr>
                <w:rFonts w:ascii="Arial" w:hAnsi="Arial" w:cs="Arial"/>
                <w:sz w:val="16"/>
                <w:szCs w:val="16"/>
                <w:lang w:val="es-ES_tradnl" w:eastAsia="es-ES"/>
              </w:rPr>
            </w:pPr>
            <w:r w:rsidRPr="00D43FFE">
              <w:rPr>
                <w:rFonts w:ascii="Arial" w:hAnsi="Arial" w:cs="Arial"/>
                <w:sz w:val="16"/>
                <w:szCs w:val="16"/>
                <w:lang w:val="es-ES_tradnl" w:eastAsia="es-ES"/>
              </w:rPr>
              <w:t>Aprobó:</w:t>
            </w:r>
          </w:p>
        </w:tc>
        <w:tc>
          <w:tcPr>
            <w:tcW w:w="5085" w:type="dxa"/>
            <w:tcBorders>
              <w:top w:val="dotted" w:sz="4" w:space="0" w:color="7F7F7F" w:themeColor="text1" w:themeTint="80"/>
              <w:left w:val="nil"/>
              <w:bottom w:val="dotted" w:sz="4" w:space="0" w:color="7F7F7F" w:themeColor="text1" w:themeTint="80"/>
              <w:right w:val="nil"/>
            </w:tcBorders>
            <w:vAlign w:val="center"/>
            <w:hideMark/>
          </w:tcPr>
          <w:p w14:paraId="66957A64" w14:textId="77777777" w:rsidR="00D43FFE" w:rsidRPr="00D43FFE" w:rsidRDefault="00D43FFE">
            <w:pPr>
              <w:rPr>
                <w:rFonts w:ascii="Arial" w:hAnsi="Arial" w:cs="Arial"/>
                <w:sz w:val="16"/>
                <w:szCs w:val="16"/>
              </w:rPr>
            </w:pPr>
            <w:r w:rsidRPr="00D43FFE">
              <w:rPr>
                <w:rFonts w:ascii="Arial" w:eastAsia="Arial" w:hAnsi="Arial" w:cs="Arial"/>
                <w:sz w:val="16"/>
                <w:szCs w:val="16"/>
              </w:rPr>
              <w:t xml:space="preserve">Nohelia del Carmen </w:t>
            </w:r>
            <w:proofErr w:type="spellStart"/>
            <w:r w:rsidRPr="00D43FFE">
              <w:rPr>
                <w:rFonts w:ascii="Arial" w:eastAsia="Arial" w:hAnsi="Arial" w:cs="Arial"/>
                <w:sz w:val="16"/>
                <w:szCs w:val="16"/>
              </w:rPr>
              <w:t>Zawady</w:t>
            </w:r>
            <w:proofErr w:type="spellEnd"/>
            <w:r w:rsidRPr="00D43FFE">
              <w:rPr>
                <w:rFonts w:ascii="Arial" w:eastAsia="Arial" w:hAnsi="Arial" w:cs="Arial"/>
                <w:sz w:val="16"/>
                <w:szCs w:val="16"/>
              </w:rPr>
              <w:t xml:space="preserve"> Palacio</w:t>
            </w:r>
          </w:p>
          <w:p w14:paraId="0F853E0D" w14:textId="77777777" w:rsidR="00D43FFE" w:rsidRPr="00D43FFE" w:rsidRDefault="00D43FFE">
            <w:pPr>
              <w:jc w:val="both"/>
              <w:rPr>
                <w:rFonts w:ascii="Arial" w:eastAsia="Arial" w:hAnsi="Arial" w:cs="Arial"/>
                <w:sz w:val="16"/>
                <w:szCs w:val="16"/>
              </w:rPr>
            </w:pPr>
            <w:r w:rsidRPr="00D43FFE">
              <w:rPr>
                <w:rFonts w:ascii="Arial" w:eastAsia="Arial" w:hAnsi="Arial" w:cs="Arial"/>
                <w:sz w:val="16"/>
                <w:szCs w:val="16"/>
              </w:rPr>
              <w:t xml:space="preserve">Subdirectora de Gestión Contractual </w:t>
            </w:r>
          </w:p>
        </w:tc>
      </w:tr>
    </w:tbl>
    <w:p w14:paraId="6B6E9DB5" w14:textId="77777777" w:rsidR="00D43FFE" w:rsidRPr="00D43FFE" w:rsidRDefault="00D43FFE" w:rsidP="00D43FFE">
      <w:pPr>
        <w:rPr>
          <w:sz w:val="24"/>
          <w:szCs w:val="24"/>
        </w:rPr>
      </w:pPr>
    </w:p>
    <w:p w14:paraId="0DA517A7" w14:textId="77777777" w:rsidR="00D43FFE" w:rsidRPr="00D43FFE" w:rsidRDefault="00D43FFE" w:rsidP="00D43FFE">
      <w:pPr>
        <w:rPr>
          <w:sz w:val="24"/>
          <w:szCs w:val="24"/>
        </w:rPr>
      </w:pPr>
    </w:p>
    <w:p w14:paraId="0F293BF4" w14:textId="0F6FB6C1" w:rsidR="00127233" w:rsidRPr="00D43FFE" w:rsidRDefault="00127233"/>
    <w:sectPr w:rsidR="00127233" w:rsidRPr="00D43FFE"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97EA6" w14:textId="77777777" w:rsidR="003C6647" w:rsidRDefault="003C6647" w:rsidP="004A1847">
      <w:pPr>
        <w:spacing w:after="0" w:line="240" w:lineRule="auto"/>
      </w:pPr>
      <w:r>
        <w:separator/>
      </w:r>
    </w:p>
  </w:endnote>
  <w:endnote w:type="continuationSeparator" w:id="0">
    <w:p w14:paraId="1E14C449" w14:textId="77777777" w:rsidR="003C6647" w:rsidRDefault="003C6647" w:rsidP="004A1847">
      <w:pPr>
        <w:spacing w:after="0" w:line="240" w:lineRule="auto"/>
      </w:pPr>
      <w:r>
        <w:continuationSeparator/>
      </w:r>
    </w:p>
  </w:endnote>
  <w:endnote w:type="continuationNotice" w:id="1">
    <w:p w14:paraId="26198AFF" w14:textId="77777777" w:rsidR="003C6647" w:rsidRDefault="003C66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Picture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5BE37" w14:textId="77777777" w:rsidR="003C6647" w:rsidRDefault="003C6647" w:rsidP="004A1847">
      <w:pPr>
        <w:spacing w:after="0" w:line="240" w:lineRule="auto"/>
      </w:pPr>
      <w:r>
        <w:separator/>
      </w:r>
    </w:p>
  </w:footnote>
  <w:footnote w:type="continuationSeparator" w:id="0">
    <w:p w14:paraId="1F018023" w14:textId="77777777" w:rsidR="003C6647" w:rsidRDefault="003C6647" w:rsidP="004A1847">
      <w:pPr>
        <w:spacing w:after="0" w:line="240" w:lineRule="auto"/>
      </w:pPr>
      <w:r>
        <w:continuationSeparator/>
      </w:r>
    </w:p>
  </w:footnote>
  <w:footnote w:type="continuationNotice" w:id="1">
    <w:p w14:paraId="12A20064" w14:textId="77777777" w:rsidR="003C6647" w:rsidRDefault="003C6647">
      <w:pPr>
        <w:spacing w:after="0" w:line="240" w:lineRule="auto"/>
      </w:pPr>
    </w:p>
  </w:footnote>
  <w:footnote w:id="2">
    <w:p w14:paraId="6679118B" w14:textId="77777777" w:rsidR="00D43FFE" w:rsidRPr="000D3453" w:rsidRDefault="00D43FFE" w:rsidP="00D43FFE">
      <w:pPr>
        <w:pStyle w:val="Textonotapie"/>
        <w:ind w:firstLine="708"/>
        <w:contextualSpacing/>
        <w:jc w:val="both"/>
        <w:rPr>
          <w:rFonts w:ascii="Arial" w:hAnsi="Arial" w:cs="Arial"/>
          <w:color w:val="000000"/>
          <w:sz w:val="19"/>
          <w:szCs w:val="19"/>
        </w:rPr>
      </w:pPr>
      <w:r w:rsidRPr="000D3453">
        <w:rPr>
          <w:rStyle w:val="Refdenotaalpie"/>
          <w:rFonts w:ascii="Arial" w:hAnsi="Arial" w:cs="Arial"/>
          <w:color w:val="000000"/>
          <w:sz w:val="19"/>
          <w:szCs w:val="19"/>
        </w:rPr>
        <w:footnoteRef/>
      </w:r>
      <w:r w:rsidRPr="000D3453">
        <w:rPr>
          <w:rFonts w:ascii="Arial" w:hAnsi="Arial" w:cs="Arial"/>
          <w:color w:val="000000"/>
          <w:sz w:val="19"/>
          <w:szCs w:val="19"/>
        </w:rPr>
        <w:t xml:space="preserve"> Consejo de Estado. Sección Tercera. Subsección B. Sentencia del 6 de junio de 2013. Exp. 25151. C.P. Stella Conto Díaz del Castillo.</w:t>
      </w:r>
    </w:p>
  </w:footnote>
  <w:footnote w:id="3">
    <w:p w14:paraId="4DA2FB7B" w14:textId="77777777" w:rsidR="00D43FFE" w:rsidRPr="000D3453" w:rsidRDefault="00D43FFE" w:rsidP="00D43FFE">
      <w:pPr>
        <w:pStyle w:val="Textonotapie"/>
        <w:ind w:firstLine="709"/>
        <w:contextualSpacing/>
        <w:jc w:val="both"/>
        <w:rPr>
          <w:rFonts w:ascii="Arial" w:hAnsi="Arial" w:cs="Arial"/>
          <w:color w:val="000000"/>
          <w:sz w:val="19"/>
          <w:szCs w:val="19"/>
        </w:rPr>
      </w:pPr>
      <w:r w:rsidRPr="000D3453">
        <w:rPr>
          <w:rStyle w:val="Refdenotaalpie"/>
          <w:rFonts w:ascii="Arial" w:hAnsi="Arial" w:cs="Arial"/>
          <w:color w:val="000000"/>
          <w:sz w:val="19"/>
          <w:szCs w:val="19"/>
        </w:rPr>
        <w:footnoteRef/>
      </w:r>
      <w:r w:rsidRPr="000D3453">
        <w:rPr>
          <w:rFonts w:ascii="Arial" w:hAnsi="Arial" w:cs="Arial"/>
          <w:color w:val="000000"/>
          <w:sz w:val="19"/>
          <w:szCs w:val="19"/>
        </w:rPr>
        <w:t xml:space="preserve"> Ley 1150 de 2007: </w:t>
      </w:r>
      <w:r>
        <w:rPr>
          <w:rFonts w:ascii="Arial" w:hAnsi="Arial" w:cs="Arial"/>
          <w:color w:val="000000"/>
          <w:sz w:val="19"/>
          <w:szCs w:val="19"/>
        </w:rPr>
        <w:t>“</w:t>
      </w:r>
      <w:r w:rsidRPr="000D3453">
        <w:rPr>
          <w:rFonts w:ascii="Arial" w:hAnsi="Arial" w:cs="Arial"/>
          <w:color w:val="000000"/>
          <w:sz w:val="19"/>
          <w:szCs w:val="19"/>
        </w:rPr>
        <w:t>Artículo 6. De la verificación de las condiciones de los proponentes.</w:t>
      </w:r>
    </w:p>
    <w:p w14:paraId="00966C70" w14:textId="77777777" w:rsidR="00D43FFE" w:rsidRPr="000D3453" w:rsidRDefault="00D43FFE" w:rsidP="00D43FFE">
      <w:pPr>
        <w:pStyle w:val="Textonotapie"/>
        <w:ind w:firstLine="709"/>
        <w:contextualSpacing/>
        <w:jc w:val="both"/>
        <w:rPr>
          <w:rFonts w:ascii="Arial" w:hAnsi="Arial" w:cs="Arial"/>
          <w:color w:val="000000"/>
          <w:sz w:val="19"/>
          <w:szCs w:val="19"/>
          <w:lang w:eastAsia="es-CO"/>
        </w:rPr>
      </w:pPr>
      <w:r w:rsidRPr="000D3453">
        <w:rPr>
          <w:rFonts w:ascii="Arial" w:hAnsi="Arial" w:cs="Arial"/>
          <w:color w:val="000000"/>
          <w:sz w:val="19"/>
          <w:szCs w:val="19"/>
          <w:lang w:eastAsia="es-CO"/>
        </w:rPr>
        <w:t>[…]</w:t>
      </w:r>
    </w:p>
    <w:p w14:paraId="25CAB47E" w14:textId="77777777" w:rsidR="00D43FFE" w:rsidRPr="000D3453" w:rsidRDefault="00D43FFE" w:rsidP="00D43FFE">
      <w:pPr>
        <w:pStyle w:val="Textonotapie"/>
        <w:ind w:firstLine="709"/>
        <w:contextualSpacing/>
        <w:jc w:val="both"/>
        <w:rPr>
          <w:rFonts w:ascii="Arial" w:hAnsi="Arial" w:cs="Arial"/>
          <w:color w:val="000000"/>
          <w:sz w:val="19"/>
          <w:szCs w:val="19"/>
          <w:lang w:eastAsia="es-CO"/>
        </w:rPr>
      </w:pPr>
      <w:r w:rsidRPr="000D3453">
        <w:rPr>
          <w:rFonts w:ascii="Arial" w:hAnsi="Arial" w:cs="Arial"/>
          <w:color w:val="000000"/>
          <w:sz w:val="19"/>
          <w:szCs w:val="19"/>
          <w:lang w:eastAsia="es-CO"/>
        </w:rPr>
        <w:t>6.1. […]</w:t>
      </w:r>
    </w:p>
    <w:p w14:paraId="6C7B1B44" w14:textId="77777777" w:rsidR="00D43FFE" w:rsidRPr="000D3453" w:rsidRDefault="00D43FFE" w:rsidP="00D43FFE">
      <w:pPr>
        <w:pStyle w:val="Textonotapie"/>
        <w:ind w:firstLine="709"/>
        <w:contextualSpacing/>
        <w:jc w:val="both"/>
        <w:rPr>
          <w:rFonts w:ascii="Arial" w:hAnsi="Arial" w:cs="Arial"/>
          <w:color w:val="000000"/>
          <w:sz w:val="19"/>
          <w:szCs w:val="19"/>
          <w:lang w:eastAsia="es-CO"/>
        </w:rPr>
      </w:pPr>
      <w:r w:rsidRPr="000D3453">
        <w:rPr>
          <w:rFonts w:ascii="Arial" w:hAnsi="Arial" w:cs="Arial"/>
          <w:color w:val="000000"/>
          <w:sz w:val="19"/>
          <w:szCs w:val="19"/>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49D1EEB6" w14:textId="77777777" w:rsidR="00D43FFE" w:rsidRPr="000D3453" w:rsidRDefault="00D43FFE" w:rsidP="00D43FFE">
      <w:pPr>
        <w:pStyle w:val="Textonotapie"/>
        <w:ind w:firstLine="709"/>
        <w:contextualSpacing/>
        <w:jc w:val="both"/>
        <w:rPr>
          <w:rFonts w:ascii="Arial" w:hAnsi="Arial" w:cs="Arial"/>
          <w:color w:val="000000"/>
          <w:sz w:val="19"/>
          <w:szCs w:val="19"/>
          <w:lang w:eastAsia="es-CO"/>
        </w:rPr>
      </w:pPr>
      <w:r w:rsidRPr="000D3453">
        <w:rPr>
          <w:rFonts w:ascii="Arial" w:hAnsi="Arial" w:cs="Arial"/>
          <w:color w:val="000000"/>
          <w:sz w:val="19"/>
          <w:szCs w:val="19"/>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15BF86AC" w14:textId="77777777" w:rsidR="00D43FFE" w:rsidRPr="00AA65B8" w:rsidRDefault="00D43FFE" w:rsidP="00D43FFE">
      <w:pPr>
        <w:pStyle w:val="Textonotapie"/>
        <w:ind w:firstLine="709"/>
        <w:contextualSpacing/>
        <w:jc w:val="both"/>
        <w:rPr>
          <w:rFonts w:ascii="Arial" w:hAnsi="Arial" w:cs="Arial"/>
          <w:color w:val="000000"/>
          <w:sz w:val="19"/>
          <w:szCs w:val="19"/>
          <w:lang w:eastAsia="es-CO"/>
        </w:rPr>
      </w:pPr>
      <w:r w:rsidRPr="000D3453">
        <w:rPr>
          <w:rFonts w:ascii="Arial" w:hAnsi="Arial" w:cs="Arial"/>
          <w:color w:val="000000"/>
          <w:sz w:val="19"/>
          <w:szCs w:val="19"/>
          <w:lang w:eastAsia="es-CO"/>
        </w:rPr>
        <w:t>[…]</w:t>
      </w:r>
      <w:r>
        <w:rPr>
          <w:rFonts w:ascii="Arial" w:hAnsi="Arial" w:cs="Arial"/>
          <w:color w:val="000000"/>
          <w:sz w:val="19"/>
          <w:szCs w:val="19"/>
          <w:lang w:eastAsia="es-CO"/>
        </w:rPr>
        <w:t>”</w:t>
      </w:r>
      <w:r w:rsidRPr="000D3453">
        <w:rPr>
          <w:rFonts w:ascii="Arial" w:hAnsi="Arial" w:cs="Arial"/>
          <w:color w:val="000000"/>
          <w:sz w:val="19"/>
          <w:szCs w:val="19"/>
          <w:lang w:eastAsia="es-CO"/>
        </w:rPr>
        <w:t>.</w:t>
      </w:r>
    </w:p>
  </w:footnote>
  <w:footnote w:id="4">
    <w:p w14:paraId="6F9E440E" w14:textId="77777777" w:rsidR="00D43FFE" w:rsidRPr="000D3453" w:rsidRDefault="00D43FFE" w:rsidP="00D43FFE">
      <w:pPr>
        <w:pStyle w:val="Textonotapie"/>
        <w:ind w:firstLine="709"/>
        <w:contextualSpacing/>
        <w:jc w:val="both"/>
        <w:rPr>
          <w:rFonts w:ascii="Arial" w:hAnsi="Arial" w:cs="Arial"/>
          <w:color w:val="000000"/>
          <w:sz w:val="19"/>
          <w:szCs w:val="19"/>
          <w:lang w:eastAsia="es-CO"/>
        </w:rPr>
      </w:pPr>
      <w:r w:rsidRPr="000D3453">
        <w:rPr>
          <w:rStyle w:val="Refdenotaalpie"/>
          <w:rFonts w:ascii="Arial" w:hAnsi="Arial" w:cs="Arial"/>
          <w:color w:val="000000"/>
          <w:sz w:val="19"/>
          <w:szCs w:val="19"/>
        </w:rPr>
        <w:footnoteRef/>
      </w:r>
      <w:r w:rsidRPr="000D3453">
        <w:rPr>
          <w:rFonts w:ascii="Arial" w:hAnsi="Arial" w:cs="Arial"/>
          <w:color w:val="000000"/>
          <w:sz w:val="19"/>
          <w:szCs w:val="19"/>
        </w:rPr>
        <w:t xml:space="preserve"> Ley 1150 de 2007: </w:t>
      </w:r>
      <w:r>
        <w:rPr>
          <w:rFonts w:ascii="Arial" w:hAnsi="Arial" w:cs="Arial"/>
          <w:color w:val="000000"/>
          <w:sz w:val="19"/>
          <w:szCs w:val="19"/>
        </w:rPr>
        <w:t>“</w:t>
      </w:r>
      <w:r w:rsidRPr="000D3453">
        <w:rPr>
          <w:rFonts w:ascii="Arial" w:hAnsi="Arial" w:cs="Arial"/>
          <w:color w:val="000000"/>
          <w:sz w:val="19"/>
          <w:szCs w:val="19"/>
        </w:rPr>
        <w:t>Artículo 5. De la selección objetiva.</w:t>
      </w:r>
      <w:r w:rsidRPr="000D3453">
        <w:rPr>
          <w:rFonts w:ascii="Arial" w:hAnsi="Arial" w:cs="Arial"/>
          <w:color w:val="000000"/>
          <w:sz w:val="19"/>
          <w:szCs w:val="19"/>
          <w:lang w:eastAsia="es-CO"/>
        </w:rPr>
        <w:t xml:space="preserve"> </w:t>
      </w:r>
    </w:p>
    <w:p w14:paraId="25A5C98B" w14:textId="77777777" w:rsidR="00D43FFE" w:rsidRPr="000D3453" w:rsidRDefault="00D43FFE" w:rsidP="00D43FFE">
      <w:pPr>
        <w:pStyle w:val="Textonotapie"/>
        <w:ind w:firstLine="709"/>
        <w:contextualSpacing/>
        <w:jc w:val="both"/>
        <w:rPr>
          <w:rFonts w:ascii="Arial" w:hAnsi="Arial" w:cs="Arial"/>
          <w:color w:val="000000"/>
          <w:sz w:val="19"/>
          <w:szCs w:val="19"/>
          <w:lang w:eastAsia="es-CO"/>
        </w:rPr>
      </w:pPr>
      <w:r w:rsidRPr="000D3453">
        <w:rPr>
          <w:rFonts w:ascii="Arial" w:hAnsi="Arial" w:cs="Arial"/>
          <w:color w:val="000000"/>
          <w:sz w:val="19"/>
          <w:szCs w:val="19"/>
          <w:lang w:eastAsia="es-CO"/>
        </w:rPr>
        <w:t>[…]</w:t>
      </w:r>
    </w:p>
    <w:p w14:paraId="6431A818" w14:textId="77777777" w:rsidR="00D43FFE" w:rsidRPr="000D3453" w:rsidRDefault="00D43FFE" w:rsidP="00D43FFE">
      <w:pPr>
        <w:pStyle w:val="Textonotapie"/>
        <w:ind w:firstLine="709"/>
        <w:contextualSpacing/>
        <w:jc w:val="both"/>
        <w:rPr>
          <w:rFonts w:ascii="Arial" w:hAnsi="Arial" w:cs="Arial"/>
          <w:color w:val="000000"/>
          <w:sz w:val="19"/>
          <w:szCs w:val="19"/>
          <w:lang w:val="es-ES"/>
        </w:rPr>
      </w:pPr>
      <w:r w:rsidRPr="000D3453">
        <w:rPr>
          <w:rFonts w:ascii="Arial" w:hAnsi="Arial" w:cs="Arial"/>
          <w:color w:val="000000"/>
          <w:sz w:val="19"/>
          <w:szCs w:val="19"/>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 […]</w:t>
      </w:r>
      <w:r>
        <w:rPr>
          <w:rFonts w:ascii="Arial" w:hAnsi="Arial" w:cs="Arial"/>
          <w:color w:val="000000"/>
          <w:sz w:val="19"/>
          <w:szCs w:val="19"/>
          <w:lang w:eastAsia="es-CO"/>
        </w:rPr>
        <w:t>”</w:t>
      </w:r>
      <w:r w:rsidRPr="000D3453">
        <w:rPr>
          <w:rFonts w:ascii="Arial" w:hAnsi="Arial" w:cs="Arial"/>
          <w:color w:val="000000"/>
          <w:sz w:val="19"/>
          <w:szCs w:val="19"/>
          <w:lang w:eastAsia="es-CO"/>
        </w:rPr>
        <w:t>.</w:t>
      </w:r>
    </w:p>
  </w:footnote>
  <w:footnote w:id="5">
    <w:p w14:paraId="600A8F50" w14:textId="77777777" w:rsidR="00D43FFE" w:rsidRPr="000D3453" w:rsidRDefault="00D43FFE" w:rsidP="00D43FFE">
      <w:pPr>
        <w:pStyle w:val="Textonotapie"/>
        <w:ind w:firstLine="709"/>
        <w:contextualSpacing/>
        <w:jc w:val="both"/>
        <w:rPr>
          <w:rFonts w:ascii="Arial" w:hAnsi="Arial" w:cs="Arial"/>
          <w:color w:val="000000"/>
          <w:sz w:val="19"/>
          <w:szCs w:val="19"/>
        </w:rPr>
      </w:pPr>
      <w:r w:rsidRPr="000D3453">
        <w:rPr>
          <w:rStyle w:val="Refdenotaalpie"/>
          <w:rFonts w:ascii="Arial" w:hAnsi="Arial" w:cs="Arial"/>
          <w:color w:val="000000"/>
          <w:sz w:val="19"/>
          <w:szCs w:val="19"/>
        </w:rPr>
        <w:footnoteRef/>
      </w:r>
      <w:r w:rsidRPr="000D3453">
        <w:rPr>
          <w:rFonts w:ascii="Arial" w:hAnsi="Arial" w:cs="Arial"/>
          <w:color w:val="000000"/>
          <w:sz w:val="19"/>
          <w:szCs w:val="19"/>
        </w:rPr>
        <w:t xml:space="preserve"> </w:t>
      </w:r>
      <w:r w:rsidRPr="000D3453">
        <w:rPr>
          <w:rFonts w:ascii="Arial" w:hAnsi="Arial" w:cs="Arial"/>
          <w:color w:val="000000"/>
          <w:sz w:val="19"/>
          <w:szCs w:val="19"/>
          <w:lang w:eastAsia="es-CO"/>
        </w:rPr>
        <w:t xml:space="preserve">Consejo de Estado. Sección Tercera. Subsección A. Sentencia del 12 de febrero de 2014. Exp. 31.753. C.P. Mauricio Fajardo Gómez: </w:t>
      </w:r>
      <w:r>
        <w:rPr>
          <w:rFonts w:ascii="Arial" w:hAnsi="Arial" w:cs="Arial"/>
          <w:color w:val="000000"/>
          <w:sz w:val="19"/>
          <w:szCs w:val="19"/>
          <w:lang w:eastAsia="es-CO"/>
        </w:rPr>
        <w:t>“</w:t>
      </w:r>
      <w:r w:rsidRPr="000D3453">
        <w:rPr>
          <w:rFonts w:ascii="Arial" w:hAnsi="Arial" w:cs="Arial"/>
          <w:color w:val="000000"/>
          <w:sz w:val="19"/>
          <w:szCs w:val="19"/>
          <w:lang w:eastAsia="es-CO"/>
        </w:rPr>
        <w:t>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r>
        <w:rPr>
          <w:rFonts w:ascii="Arial" w:hAnsi="Arial" w:cs="Arial"/>
          <w:color w:val="000000"/>
          <w:sz w:val="19"/>
          <w:szCs w:val="19"/>
          <w:lang w:eastAsia="es-CO"/>
        </w:rPr>
        <w:t>”</w:t>
      </w:r>
      <w:r w:rsidRPr="000D3453">
        <w:rPr>
          <w:rFonts w:ascii="Arial" w:hAnsi="Arial" w:cs="Arial"/>
          <w:color w:val="000000"/>
          <w:sz w:val="19"/>
          <w:szCs w:val="19"/>
          <w:lang w:eastAsia="es-CO"/>
        </w:rPr>
        <w:t>.</w:t>
      </w:r>
    </w:p>
    <w:p w14:paraId="1028CDCD" w14:textId="77777777" w:rsidR="00D43FFE" w:rsidRPr="000D3453" w:rsidRDefault="00D43FFE" w:rsidP="00D43FFE">
      <w:pPr>
        <w:pStyle w:val="Textonotapie"/>
        <w:ind w:firstLine="709"/>
        <w:contextualSpacing/>
        <w:jc w:val="both"/>
        <w:rPr>
          <w:rFonts w:ascii="Arial" w:hAnsi="Arial" w:cs="Arial"/>
          <w:color w:val="000000"/>
          <w:sz w:val="19"/>
          <w:szCs w:val="19"/>
          <w:lang w:val="es-ES"/>
        </w:rPr>
      </w:pPr>
    </w:p>
  </w:footnote>
  <w:footnote w:id="6">
    <w:p w14:paraId="086BEDDE" w14:textId="77777777" w:rsidR="00D43FFE" w:rsidRPr="000D3453" w:rsidRDefault="00D43FFE" w:rsidP="00D43FFE">
      <w:pPr>
        <w:pStyle w:val="Textonotapie"/>
        <w:ind w:firstLine="709"/>
        <w:contextualSpacing/>
        <w:jc w:val="both"/>
        <w:rPr>
          <w:rFonts w:ascii="Arial" w:hAnsi="Arial" w:cs="Arial"/>
          <w:color w:val="000000"/>
          <w:sz w:val="19"/>
          <w:szCs w:val="19"/>
          <w:lang w:eastAsia="es-CO"/>
        </w:rPr>
      </w:pPr>
      <w:r w:rsidRPr="000D3453">
        <w:rPr>
          <w:rStyle w:val="Refdenotaalpie"/>
          <w:rFonts w:ascii="Arial" w:hAnsi="Arial" w:cs="Arial"/>
          <w:color w:val="000000"/>
          <w:sz w:val="19"/>
          <w:szCs w:val="19"/>
        </w:rPr>
        <w:footnoteRef/>
      </w:r>
      <w:r w:rsidRPr="000D3453">
        <w:rPr>
          <w:rFonts w:ascii="Arial" w:hAnsi="Arial" w:cs="Arial"/>
          <w:color w:val="000000"/>
          <w:sz w:val="19"/>
          <w:szCs w:val="19"/>
        </w:rPr>
        <w:t xml:space="preserve"> </w:t>
      </w:r>
      <w:r w:rsidRPr="000D3453">
        <w:rPr>
          <w:rFonts w:ascii="Arial" w:hAnsi="Arial" w:cs="Arial"/>
          <w:color w:val="000000"/>
          <w:sz w:val="19"/>
          <w:szCs w:val="19"/>
          <w:lang w:eastAsia="es-CO"/>
        </w:rPr>
        <w:t xml:space="preserve">Ley 1150 de 2007: </w:t>
      </w:r>
      <w:r>
        <w:rPr>
          <w:rFonts w:ascii="Arial" w:hAnsi="Arial" w:cs="Arial"/>
          <w:color w:val="000000"/>
          <w:sz w:val="19"/>
          <w:szCs w:val="19"/>
          <w:lang w:eastAsia="es-CO"/>
        </w:rPr>
        <w:t>“</w:t>
      </w:r>
      <w:r w:rsidRPr="000D3453">
        <w:rPr>
          <w:rFonts w:ascii="Arial" w:hAnsi="Arial" w:cs="Arial"/>
          <w:color w:val="000000"/>
          <w:sz w:val="19"/>
          <w:szCs w:val="19"/>
          <w:lang w:eastAsia="es-CO"/>
        </w:rPr>
        <w:t xml:space="preserve">Artículo 6.  De la verificación de las condiciones de los proponentes. </w:t>
      </w:r>
    </w:p>
    <w:p w14:paraId="2F912090" w14:textId="77777777" w:rsidR="00D43FFE" w:rsidRPr="000D3453" w:rsidRDefault="00D43FFE" w:rsidP="00D43FFE">
      <w:pPr>
        <w:pStyle w:val="Textonotapie"/>
        <w:ind w:firstLine="709"/>
        <w:contextualSpacing/>
        <w:jc w:val="both"/>
        <w:rPr>
          <w:rFonts w:ascii="Arial" w:hAnsi="Arial" w:cs="Arial"/>
          <w:color w:val="000000"/>
          <w:sz w:val="19"/>
          <w:szCs w:val="19"/>
          <w:lang w:eastAsia="es-CO"/>
        </w:rPr>
      </w:pPr>
      <w:r w:rsidRPr="000D3453">
        <w:rPr>
          <w:rFonts w:ascii="Arial" w:hAnsi="Arial" w:cs="Arial"/>
          <w:color w:val="000000"/>
          <w:sz w:val="19"/>
          <w:szCs w:val="19"/>
          <w:lang w:eastAsia="es-CO"/>
        </w:rPr>
        <w:t xml:space="preserve">[...] </w:t>
      </w:r>
    </w:p>
    <w:p w14:paraId="6D9AEFA7" w14:textId="77777777" w:rsidR="00D43FFE" w:rsidRPr="000D3453" w:rsidRDefault="00D43FFE" w:rsidP="00D43FFE">
      <w:pPr>
        <w:pStyle w:val="Textonotapie"/>
        <w:ind w:firstLine="709"/>
        <w:contextualSpacing/>
        <w:jc w:val="both"/>
        <w:rPr>
          <w:rFonts w:ascii="Arial" w:hAnsi="Arial" w:cs="Arial"/>
          <w:color w:val="000000"/>
          <w:sz w:val="19"/>
          <w:szCs w:val="19"/>
          <w:lang w:eastAsia="es-CO"/>
        </w:rPr>
      </w:pPr>
      <w:r w:rsidRPr="000D3453">
        <w:rPr>
          <w:rFonts w:ascii="Arial" w:hAnsi="Arial" w:cs="Arial"/>
          <w:color w:val="000000"/>
          <w:sz w:val="19"/>
          <w:szCs w:val="19"/>
          <w:lang w:eastAsia="es-CO"/>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6BE8D479" w14:textId="77777777" w:rsidR="00D43FFE" w:rsidRPr="000D3453" w:rsidRDefault="00D43FFE" w:rsidP="00D43FFE">
      <w:pPr>
        <w:pStyle w:val="Textonotapie"/>
        <w:ind w:firstLine="709"/>
        <w:contextualSpacing/>
        <w:jc w:val="both"/>
        <w:rPr>
          <w:rFonts w:ascii="Arial" w:hAnsi="Arial" w:cs="Arial"/>
          <w:color w:val="000000"/>
          <w:sz w:val="19"/>
          <w:szCs w:val="19"/>
          <w:lang w:eastAsia="es-CO"/>
        </w:rPr>
      </w:pPr>
      <w:r w:rsidRPr="000D3453">
        <w:rPr>
          <w:rFonts w:ascii="Arial" w:hAnsi="Arial" w:cs="Arial"/>
          <w:color w:val="000000"/>
          <w:sz w:val="19"/>
          <w:szCs w:val="19"/>
          <w:lang w:eastAsia="es-CO"/>
        </w:rPr>
        <w:t>[...]</w:t>
      </w:r>
      <w:r>
        <w:rPr>
          <w:rFonts w:ascii="Arial" w:hAnsi="Arial" w:cs="Arial"/>
          <w:color w:val="000000"/>
          <w:sz w:val="19"/>
          <w:szCs w:val="19"/>
          <w:lang w:eastAsia="es-CO"/>
        </w:rPr>
        <w:t>”</w:t>
      </w:r>
      <w:r w:rsidRPr="000D3453">
        <w:rPr>
          <w:rFonts w:ascii="Arial" w:hAnsi="Arial" w:cs="Arial"/>
          <w:color w:val="000000"/>
          <w:sz w:val="19"/>
          <w:szCs w:val="19"/>
          <w:lang w:eastAsia="es-CO"/>
        </w:rPr>
        <w:t xml:space="preserve">. </w:t>
      </w:r>
    </w:p>
  </w:footnote>
  <w:footnote w:id="7">
    <w:p w14:paraId="5E2C1B12" w14:textId="77777777" w:rsidR="00D43FFE" w:rsidRPr="000D3453" w:rsidRDefault="00D43FFE" w:rsidP="00D43FFE">
      <w:pPr>
        <w:pStyle w:val="Textonotapie"/>
        <w:ind w:firstLine="709"/>
        <w:contextualSpacing/>
        <w:jc w:val="both"/>
        <w:rPr>
          <w:rFonts w:ascii="Arial" w:hAnsi="Arial" w:cs="Arial"/>
          <w:color w:val="000000"/>
          <w:sz w:val="19"/>
          <w:szCs w:val="19"/>
          <w:lang w:eastAsia="es-CO"/>
        </w:rPr>
      </w:pPr>
      <w:r w:rsidRPr="000D3453">
        <w:rPr>
          <w:rStyle w:val="Refdenotaalpie"/>
          <w:rFonts w:ascii="Arial" w:hAnsi="Arial" w:cs="Arial"/>
          <w:color w:val="000000"/>
          <w:sz w:val="19"/>
          <w:szCs w:val="19"/>
        </w:rPr>
        <w:footnoteRef/>
      </w:r>
      <w:r w:rsidRPr="000D3453">
        <w:rPr>
          <w:rFonts w:ascii="Arial" w:hAnsi="Arial" w:cs="Arial"/>
          <w:color w:val="000000"/>
          <w:sz w:val="19"/>
          <w:szCs w:val="19"/>
        </w:rPr>
        <w:t xml:space="preserve"> </w:t>
      </w:r>
      <w:r w:rsidRPr="000D3453">
        <w:rPr>
          <w:rFonts w:ascii="Arial" w:hAnsi="Arial" w:cs="Arial"/>
          <w:color w:val="000000"/>
          <w:sz w:val="19"/>
          <w:szCs w:val="19"/>
          <w:lang w:eastAsia="es-CO"/>
        </w:rPr>
        <w:t xml:space="preserve"> </w:t>
      </w:r>
      <w:r>
        <w:rPr>
          <w:rFonts w:ascii="Arial" w:hAnsi="Arial" w:cs="Arial"/>
          <w:color w:val="000000"/>
          <w:sz w:val="19"/>
          <w:szCs w:val="19"/>
          <w:lang w:eastAsia="es-CO"/>
        </w:rPr>
        <w:t>“</w:t>
      </w:r>
      <w:r w:rsidRPr="000D3453">
        <w:rPr>
          <w:rFonts w:ascii="Arial" w:hAnsi="Arial" w:cs="Arial"/>
          <w:color w:val="000000"/>
          <w:sz w:val="19"/>
          <w:szCs w:val="19"/>
          <w:lang w:eastAsia="es-CO"/>
        </w:rPr>
        <w:t>6.1. [...] No obstante lo anterior, sólo en aquellos casos en que por las características del objeto a contratar se requiera la verificación de requisitos del proponente adicionales a los contenidos en el Registro, la entidad podrá hacer tal verificación en forma directa</w:t>
      </w:r>
      <w:r>
        <w:rPr>
          <w:rFonts w:ascii="Arial" w:hAnsi="Arial" w:cs="Arial"/>
          <w:color w:val="000000"/>
          <w:sz w:val="19"/>
          <w:szCs w:val="19"/>
          <w:lang w:eastAsia="es-CO"/>
        </w:rPr>
        <w:t>”</w:t>
      </w:r>
      <w:r w:rsidRPr="000D3453">
        <w:rPr>
          <w:rFonts w:ascii="Arial" w:hAnsi="Arial" w:cs="Arial"/>
          <w:color w:val="000000"/>
          <w:sz w:val="19"/>
          <w:szCs w:val="19"/>
          <w:lang w:eastAsia="es-CO"/>
        </w:rPr>
        <w:t>.</w:t>
      </w:r>
    </w:p>
  </w:footnote>
  <w:footnote w:id="8">
    <w:p w14:paraId="5D1757C8" w14:textId="77777777" w:rsidR="00D43FFE" w:rsidRPr="000D3453" w:rsidRDefault="00D43FFE" w:rsidP="00D43FFE">
      <w:pPr>
        <w:pStyle w:val="Textonotapie"/>
        <w:ind w:firstLine="709"/>
        <w:contextualSpacing/>
        <w:jc w:val="both"/>
        <w:rPr>
          <w:rFonts w:ascii="Arial" w:hAnsi="Arial" w:cs="Arial"/>
          <w:color w:val="000000"/>
          <w:sz w:val="19"/>
          <w:szCs w:val="19"/>
          <w:lang w:eastAsia="es-CO"/>
        </w:rPr>
      </w:pPr>
      <w:r w:rsidRPr="000D3453">
        <w:rPr>
          <w:rStyle w:val="Refdenotaalpie"/>
          <w:rFonts w:ascii="Arial" w:hAnsi="Arial" w:cs="Arial"/>
          <w:color w:val="000000"/>
          <w:sz w:val="19"/>
          <w:szCs w:val="19"/>
        </w:rPr>
        <w:footnoteRef/>
      </w:r>
      <w:r w:rsidRPr="000D3453">
        <w:rPr>
          <w:rFonts w:ascii="Arial" w:hAnsi="Arial" w:cs="Arial"/>
          <w:color w:val="000000"/>
          <w:sz w:val="19"/>
          <w:szCs w:val="19"/>
        </w:rPr>
        <w:t xml:space="preserve"> </w:t>
      </w:r>
      <w:r>
        <w:rPr>
          <w:rFonts w:ascii="Arial" w:hAnsi="Arial" w:cs="Arial"/>
          <w:color w:val="000000"/>
          <w:sz w:val="19"/>
          <w:szCs w:val="19"/>
        </w:rPr>
        <w:t>“</w:t>
      </w:r>
      <w:r w:rsidRPr="000D3453">
        <w:rPr>
          <w:rFonts w:ascii="Arial" w:hAnsi="Arial" w:cs="Arial"/>
          <w:color w:val="000000"/>
          <w:sz w:val="19"/>
          <w:szCs w:val="19"/>
          <w:lang w:eastAsia="es-CO"/>
        </w:rPr>
        <w:t>Esta separación de las condiciones del proponente de las de la oferta busca evitar el direccionamiento de los procesos desde los propios pliegos de condiciones, dentro de la cual surge un elemento de vital importancia para la materialización de la estrategia, cual es la reforma al Registro Único de Proponentes, de manera que sea ese el único sitio en el que las condiciones mínimas de participación se acrediten, dándole valor agregado al esfuerzo ya realizado por el administrador del registro, que no se aprovecha en toda su extensión por una evidente miopía de la regulación vigente. De lograrse los cometidos de la reforma, las entidades públicas se verán por fin liberadas de tener que examinar el detalle de las interminables resmas de papel que acompañan hoy las ofertas, conteniendo las certificaciones de experiencia del proponente y de su equipo de trabajo, los estados financieros de los últimos años, toda clase de indicadores, etc. Sobra decir que esta sola medida reducirá considerablemente los precios finales de los bienes o servicios que se adquieran, en la medida en la cual el proponente no tendrá que cargar más con este costo asociado a la participación en cada proceso de selección, sino que deberá mantener actualizada la información pertinente en el respectivo registro.</w:t>
      </w:r>
    </w:p>
    <w:p w14:paraId="638F701E" w14:textId="77777777" w:rsidR="00D43FFE" w:rsidRPr="000D3453" w:rsidRDefault="00D43FFE" w:rsidP="00D43FFE">
      <w:pPr>
        <w:pStyle w:val="Textonotapie"/>
        <w:ind w:firstLine="709"/>
        <w:contextualSpacing/>
        <w:jc w:val="both"/>
        <w:rPr>
          <w:rFonts w:ascii="Arial" w:hAnsi="Arial" w:cs="Arial"/>
          <w:color w:val="000000"/>
          <w:sz w:val="19"/>
          <w:szCs w:val="19"/>
          <w:lang w:eastAsia="es-CO"/>
        </w:rPr>
      </w:pPr>
      <w:r w:rsidRPr="000D3453">
        <w:rPr>
          <w:rFonts w:ascii="Arial" w:hAnsi="Arial" w:cs="Arial"/>
          <w:color w:val="000000"/>
          <w:sz w:val="19"/>
          <w:szCs w:val="19"/>
          <w:lang w:eastAsia="es-CO"/>
        </w:rPr>
        <w:t>[…] La redacción propuesta entrega a las Cámaras de Comercio la carga de la verificación de la información contenida en el registro, a efecto de que esta sea la fuente de las entidades para la verificación de la capacidad jurídica del proponente y de las condiciones referidas a su capacidad administrativa, operacional y financiera, con el objeto de que la valoración de las propuestas de las entidades se centre en los aspectos técnicos y económicos, que se refuerza con el contenido normativo propuesto para la selección objetiva (artículo 5º)</w:t>
      </w:r>
      <w:r>
        <w:rPr>
          <w:rFonts w:ascii="Arial" w:hAnsi="Arial" w:cs="Arial"/>
          <w:color w:val="000000"/>
          <w:sz w:val="19"/>
          <w:szCs w:val="19"/>
          <w:lang w:eastAsia="es-CO"/>
        </w:rPr>
        <w:t>”</w:t>
      </w:r>
      <w:r w:rsidRPr="000D3453">
        <w:rPr>
          <w:rFonts w:ascii="Arial" w:hAnsi="Arial" w:cs="Arial"/>
          <w:color w:val="000000"/>
          <w:sz w:val="19"/>
          <w:szCs w:val="19"/>
          <w:lang w:eastAsia="es-CO"/>
        </w:rPr>
        <w:t>.</w:t>
      </w:r>
    </w:p>
  </w:footnote>
  <w:footnote w:id="9">
    <w:p w14:paraId="10CD0E49" w14:textId="77777777" w:rsidR="00D43FFE" w:rsidRPr="000D3453" w:rsidRDefault="00D43FFE" w:rsidP="00D43FFE">
      <w:pPr>
        <w:pStyle w:val="Textonotapie"/>
        <w:ind w:firstLine="709"/>
        <w:contextualSpacing/>
        <w:jc w:val="both"/>
        <w:rPr>
          <w:rFonts w:ascii="Arial" w:hAnsi="Arial" w:cs="Arial"/>
          <w:color w:val="000000"/>
          <w:sz w:val="19"/>
          <w:szCs w:val="19"/>
        </w:rPr>
      </w:pPr>
      <w:r w:rsidRPr="000D3453">
        <w:rPr>
          <w:rStyle w:val="Refdenotaalpie"/>
          <w:rFonts w:ascii="Arial" w:hAnsi="Arial" w:cs="Arial"/>
          <w:color w:val="000000"/>
          <w:sz w:val="19"/>
          <w:szCs w:val="19"/>
        </w:rPr>
        <w:footnoteRef/>
      </w:r>
      <w:r w:rsidRPr="000D3453">
        <w:rPr>
          <w:rFonts w:ascii="Arial" w:hAnsi="Arial" w:cs="Arial"/>
          <w:color w:val="000000"/>
          <w:sz w:val="19"/>
          <w:szCs w:val="19"/>
        </w:rPr>
        <w:t xml:space="preserve"> </w:t>
      </w:r>
      <w:r w:rsidRPr="000D3453">
        <w:rPr>
          <w:rFonts w:ascii="Arial" w:hAnsi="Arial" w:cs="Arial"/>
          <w:color w:val="000000"/>
          <w:sz w:val="19"/>
          <w:szCs w:val="19"/>
          <w:lang w:eastAsia="es-CO"/>
        </w:rPr>
        <w:t>Consejo de Estado. Sala de Consulta y Servicio Civil. Consulta del 20 de mayo de 2010. Exp.1992. C. P. Enrique José Arboleda Perdomo.</w:t>
      </w:r>
    </w:p>
  </w:footnote>
  <w:footnote w:id="10">
    <w:p w14:paraId="25A9C2C4" w14:textId="77777777" w:rsidR="00D43FFE" w:rsidRPr="000D3453" w:rsidRDefault="00D43FFE" w:rsidP="00D43FFE">
      <w:pPr>
        <w:pStyle w:val="Textonotapie"/>
        <w:ind w:firstLine="709"/>
        <w:contextualSpacing/>
        <w:jc w:val="both"/>
        <w:rPr>
          <w:rFonts w:ascii="Arial" w:hAnsi="Arial" w:cs="Arial"/>
          <w:color w:val="000000"/>
          <w:sz w:val="19"/>
          <w:szCs w:val="19"/>
          <w:lang w:eastAsia="es-CO"/>
        </w:rPr>
      </w:pPr>
      <w:r w:rsidRPr="000D3453">
        <w:rPr>
          <w:rStyle w:val="Refdenotaalpie"/>
          <w:rFonts w:ascii="Arial" w:hAnsi="Arial" w:cs="Arial"/>
          <w:color w:val="000000"/>
          <w:sz w:val="19"/>
          <w:szCs w:val="19"/>
        </w:rPr>
        <w:footnoteRef/>
      </w:r>
      <w:r>
        <w:rPr>
          <w:rFonts w:ascii="Arial" w:hAnsi="Arial" w:cs="Arial"/>
          <w:color w:val="000000"/>
          <w:sz w:val="19"/>
          <w:szCs w:val="19"/>
          <w:lang w:eastAsia="es-CO"/>
        </w:rPr>
        <w:t xml:space="preserve"> </w:t>
      </w:r>
      <w:r w:rsidRPr="000D3453">
        <w:rPr>
          <w:rFonts w:ascii="Arial" w:hAnsi="Arial" w:cs="Arial"/>
          <w:color w:val="000000"/>
          <w:sz w:val="19"/>
          <w:szCs w:val="19"/>
          <w:lang w:eastAsia="es-CO"/>
        </w:rPr>
        <w:t xml:space="preserve">Ley 1150 de 2007: </w:t>
      </w:r>
      <w:r>
        <w:rPr>
          <w:rFonts w:ascii="Arial" w:hAnsi="Arial" w:cs="Arial"/>
          <w:color w:val="000000"/>
          <w:sz w:val="19"/>
          <w:szCs w:val="19"/>
          <w:lang w:eastAsia="es-CO"/>
        </w:rPr>
        <w:t>“</w:t>
      </w:r>
      <w:r w:rsidRPr="000D3453">
        <w:rPr>
          <w:rFonts w:ascii="Arial" w:hAnsi="Arial" w:cs="Arial"/>
          <w:color w:val="000000"/>
          <w:sz w:val="19"/>
          <w:szCs w:val="19"/>
          <w:lang w:eastAsia="es-CO"/>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CA18E2D" w14:textId="77777777" w:rsidR="00D43FFE" w:rsidRPr="00AA65B8" w:rsidRDefault="00D43FFE" w:rsidP="00D43FFE">
      <w:pPr>
        <w:pStyle w:val="Textonotapie"/>
        <w:ind w:firstLine="708"/>
        <w:contextualSpacing/>
        <w:jc w:val="both"/>
        <w:rPr>
          <w:rFonts w:ascii="Arial" w:hAnsi="Arial" w:cs="Arial"/>
          <w:color w:val="000000"/>
          <w:sz w:val="19"/>
          <w:szCs w:val="19"/>
        </w:rPr>
      </w:pPr>
      <w:r w:rsidRPr="000D3453">
        <w:rPr>
          <w:rFonts w:ascii="Arial" w:hAnsi="Arial" w:cs="Arial"/>
          <w:color w:val="000000"/>
          <w:sz w:val="19"/>
          <w:szCs w:val="19"/>
          <w:lang w:eastAsia="es-CO"/>
        </w:rPr>
        <w:t>[...]</w:t>
      </w:r>
      <w:r>
        <w:rPr>
          <w:rFonts w:ascii="Arial" w:hAnsi="Arial" w:cs="Arial"/>
          <w:color w:val="000000"/>
          <w:sz w:val="19"/>
          <w:szCs w:val="19"/>
          <w:lang w:eastAsia="es-CO"/>
        </w:rPr>
        <w:t>”</w:t>
      </w:r>
      <w:r w:rsidRPr="000D3453">
        <w:rPr>
          <w:rFonts w:ascii="Arial" w:hAnsi="Arial" w:cs="Arial"/>
          <w:color w:val="000000"/>
          <w:sz w:val="19"/>
          <w:szCs w:val="19"/>
          <w:lang w:eastAsia="es-CO"/>
        </w:rPr>
        <w:t xml:space="preserve">. </w:t>
      </w:r>
      <w:r w:rsidRPr="000D3453">
        <w:rPr>
          <w:rFonts w:ascii="Arial" w:hAnsi="Arial" w:cs="Arial"/>
          <w:color w:val="000000"/>
          <w:sz w:val="19"/>
          <w:szCs w:val="19"/>
        </w:rPr>
        <w:t xml:space="preserve"> </w:t>
      </w:r>
    </w:p>
  </w:footnote>
  <w:footnote w:id="11">
    <w:p w14:paraId="5CD83E4B" w14:textId="77777777" w:rsidR="00D43FFE" w:rsidRPr="0039015C" w:rsidRDefault="00D43FFE" w:rsidP="00D43FFE">
      <w:pPr>
        <w:pStyle w:val="Textonotapie"/>
        <w:ind w:firstLine="708"/>
        <w:contextualSpacing/>
        <w:jc w:val="both"/>
        <w:rPr>
          <w:rFonts w:ascii="Arial" w:hAnsi="Arial" w:cs="Arial"/>
          <w:color w:val="000000"/>
          <w:sz w:val="19"/>
          <w:szCs w:val="19"/>
          <w:shd w:val="clear" w:color="auto" w:fill="FFFFFF"/>
        </w:rPr>
      </w:pPr>
      <w:r w:rsidRPr="000D3453">
        <w:rPr>
          <w:rStyle w:val="Refdenotaalpie"/>
          <w:rFonts w:ascii="Arial" w:hAnsi="Arial" w:cs="Arial"/>
          <w:color w:val="000000"/>
          <w:sz w:val="19"/>
          <w:szCs w:val="19"/>
        </w:rPr>
        <w:footnoteRef/>
      </w:r>
      <w:r>
        <w:rPr>
          <w:rFonts w:ascii="Arial" w:hAnsi="Arial" w:cs="Arial"/>
          <w:color w:val="000000"/>
          <w:sz w:val="19"/>
          <w:szCs w:val="19"/>
          <w:lang w:eastAsia="es-CO"/>
        </w:rPr>
        <w:t xml:space="preserve"> “</w:t>
      </w:r>
      <w:r w:rsidRPr="00A34F71">
        <w:rPr>
          <w:rStyle w:val="Textoennegrita"/>
          <w:color w:val="000000"/>
          <w:sz w:val="19"/>
          <w:szCs w:val="19"/>
          <w:shd w:val="clear" w:color="auto" w:fill="FFFFFF"/>
        </w:rPr>
        <w:t>Artículo 2.2.1.1.1.5.1.</w:t>
      </w:r>
      <w:r w:rsidRPr="000D3453">
        <w:rPr>
          <w:rStyle w:val="Textoennegrita"/>
          <w:i/>
          <w:color w:val="000000"/>
          <w:sz w:val="19"/>
          <w:szCs w:val="19"/>
          <w:shd w:val="clear" w:color="auto" w:fill="FFFFFF"/>
        </w:rPr>
        <w:t> </w:t>
      </w:r>
      <w:r w:rsidRPr="000D3453">
        <w:rPr>
          <w:rStyle w:val="nfasis"/>
          <w:rFonts w:ascii="Arial" w:hAnsi="Arial" w:cs="Arial"/>
          <w:bCs/>
          <w:color w:val="000000"/>
          <w:sz w:val="19"/>
          <w:szCs w:val="19"/>
          <w:shd w:val="clear" w:color="auto" w:fill="FFFFFF"/>
        </w:rPr>
        <w:t>Inscripción, renovación, actualización y cancelación del RUP.</w:t>
      </w:r>
      <w:r w:rsidRPr="000D3453">
        <w:rPr>
          <w:rStyle w:val="nfasis"/>
          <w:rFonts w:ascii="Arial" w:hAnsi="Arial" w:cs="Arial"/>
          <w:color w:val="000000"/>
          <w:sz w:val="19"/>
          <w:szCs w:val="19"/>
          <w:shd w:val="clear" w:color="auto" w:fill="FFFFFF"/>
        </w:rPr>
        <w:t> </w:t>
      </w:r>
      <w:r w:rsidRPr="000D3453">
        <w:rPr>
          <w:rFonts w:ascii="Arial" w:hAnsi="Arial" w:cs="Arial"/>
          <w:color w:val="000000"/>
          <w:sz w:val="19"/>
          <w:szCs w:val="19"/>
          <w:shd w:val="clear" w:color="auto" w:fill="FFFFFF"/>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Pr>
          <w:rFonts w:ascii="Arial" w:hAnsi="Arial" w:cs="Arial"/>
          <w:color w:val="000000"/>
          <w:sz w:val="19"/>
          <w:szCs w:val="19"/>
          <w:lang w:eastAsia="es-CO"/>
        </w:rPr>
        <w:t>”</w:t>
      </w:r>
      <w:r w:rsidRPr="000D3453">
        <w:rPr>
          <w:rFonts w:ascii="Arial" w:hAnsi="Arial" w:cs="Arial"/>
          <w:color w:val="000000"/>
          <w:sz w:val="19"/>
          <w:szCs w:val="19"/>
          <w:shd w:val="clear" w:color="auto" w:fill="FFFFFF"/>
        </w:rPr>
        <w:t>.</w:t>
      </w:r>
    </w:p>
  </w:footnote>
  <w:footnote w:id="12">
    <w:p w14:paraId="6EDABD74" w14:textId="77777777" w:rsidR="00D43FFE" w:rsidRPr="000D3453" w:rsidRDefault="00D43FFE" w:rsidP="00D43FFE">
      <w:pPr>
        <w:pStyle w:val="Textonotapie"/>
        <w:ind w:firstLine="709"/>
        <w:contextualSpacing/>
        <w:jc w:val="both"/>
        <w:rPr>
          <w:rFonts w:ascii="Arial" w:hAnsi="Arial" w:cs="Arial"/>
          <w:color w:val="000000"/>
          <w:sz w:val="19"/>
          <w:szCs w:val="19"/>
          <w:lang w:eastAsia="es-CO"/>
        </w:rPr>
      </w:pPr>
      <w:r w:rsidRPr="000D3453">
        <w:rPr>
          <w:rStyle w:val="Refdenotaalpie"/>
          <w:rFonts w:ascii="Arial" w:hAnsi="Arial" w:cs="Arial"/>
          <w:color w:val="000000"/>
          <w:sz w:val="19"/>
          <w:szCs w:val="19"/>
        </w:rPr>
        <w:footnoteRef/>
      </w:r>
      <w:r w:rsidRPr="000D3453">
        <w:rPr>
          <w:rFonts w:ascii="Arial" w:hAnsi="Arial" w:cs="Arial"/>
          <w:color w:val="000000"/>
          <w:sz w:val="19"/>
          <w:szCs w:val="19"/>
        </w:rPr>
        <w:t xml:space="preserve"> </w:t>
      </w:r>
      <w:r w:rsidRPr="000D3453">
        <w:rPr>
          <w:rFonts w:ascii="Arial" w:hAnsi="Arial" w:cs="Arial"/>
          <w:color w:val="000000"/>
          <w:sz w:val="19"/>
          <w:szCs w:val="19"/>
          <w:lang w:eastAsia="es-CO"/>
        </w:rPr>
        <w:t>Decreto 1082 de 2015:</w:t>
      </w:r>
      <w:r w:rsidRPr="000D3453">
        <w:rPr>
          <w:rFonts w:ascii="Arial" w:hAnsi="Arial" w:cs="Arial"/>
          <w:color w:val="000000"/>
          <w:sz w:val="19"/>
          <w:szCs w:val="19"/>
        </w:rPr>
        <w:t xml:space="preserve"> </w:t>
      </w:r>
      <w:r>
        <w:rPr>
          <w:rFonts w:ascii="Arial" w:hAnsi="Arial" w:cs="Arial"/>
          <w:color w:val="000000"/>
          <w:sz w:val="19"/>
          <w:szCs w:val="19"/>
          <w:lang w:eastAsia="es-CO"/>
        </w:rPr>
        <w:t>“</w:t>
      </w:r>
      <w:r w:rsidRPr="000D3453">
        <w:rPr>
          <w:rFonts w:ascii="Arial" w:hAnsi="Arial" w:cs="Arial"/>
          <w:color w:val="000000"/>
          <w:sz w:val="19"/>
          <w:szCs w:val="19"/>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58A2EECB" w14:textId="77777777" w:rsidR="00D43FFE" w:rsidRPr="000D3453" w:rsidRDefault="00D43FFE" w:rsidP="00D43FFE">
      <w:pPr>
        <w:pStyle w:val="Textonotapie"/>
        <w:ind w:firstLine="709"/>
        <w:contextualSpacing/>
        <w:jc w:val="both"/>
        <w:rPr>
          <w:rFonts w:ascii="Arial" w:hAnsi="Arial" w:cs="Arial"/>
          <w:color w:val="000000"/>
          <w:sz w:val="19"/>
          <w:szCs w:val="19"/>
          <w:lang w:eastAsia="es-CO"/>
        </w:rPr>
      </w:pPr>
      <w:r w:rsidRPr="000D3453">
        <w:rPr>
          <w:rFonts w:ascii="Arial" w:hAnsi="Arial" w:cs="Arial"/>
          <w:color w:val="000000"/>
          <w:sz w:val="19"/>
          <w:szCs w:val="19"/>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7DAFD20F" w14:textId="77777777" w:rsidR="00D43FFE" w:rsidRPr="00AA65B8" w:rsidRDefault="00D43FFE" w:rsidP="00D43FFE">
      <w:pPr>
        <w:pStyle w:val="Textonotapie"/>
        <w:ind w:firstLine="709"/>
        <w:contextualSpacing/>
        <w:jc w:val="both"/>
        <w:rPr>
          <w:rFonts w:ascii="Arial" w:hAnsi="Arial" w:cs="Arial"/>
          <w:color w:val="000000"/>
          <w:sz w:val="19"/>
          <w:szCs w:val="19"/>
          <w:lang w:eastAsia="es-CO"/>
        </w:rPr>
      </w:pPr>
      <w:r w:rsidRPr="000D3453">
        <w:rPr>
          <w:rFonts w:ascii="Arial" w:hAnsi="Arial" w:cs="Arial"/>
          <w:color w:val="000000"/>
          <w:sz w:val="19"/>
          <w:szCs w:val="19"/>
          <w:lang w:eastAsia="es-CO"/>
        </w:rPr>
        <w:t>Los inscritos en el RUP pueden en cualquier momento solicitar a la cámara de comercio cancelar su inscripción</w:t>
      </w:r>
      <w:r>
        <w:rPr>
          <w:rFonts w:ascii="Arial" w:hAnsi="Arial" w:cs="Arial"/>
          <w:color w:val="000000"/>
          <w:sz w:val="19"/>
          <w:szCs w:val="19"/>
          <w:lang w:eastAsia="es-CO"/>
        </w:rPr>
        <w:t>”</w:t>
      </w:r>
      <w:r w:rsidRPr="000D3453">
        <w:rPr>
          <w:rFonts w:ascii="Arial" w:hAnsi="Arial" w:cs="Arial"/>
          <w:color w:val="000000"/>
          <w:sz w:val="19"/>
          <w:szCs w:val="19"/>
          <w:lang w:eastAsia="es-CO"/>
        </w:rPr>
        <w:t>.</w:t>
      </w:r>
      <w:r>
        <w:rPr>
          <w:rFonts w:ascii="Arial" w:hAnsi="Arial" w:cs="Arial"/>
          <w:color w:val="000000"/>
          <w:sz w:val="19"/>
          <w:szCs w:val="19"/>
          <w:lang w:eastAsia="es-CO"/>
        </w:rPr>
        <w:t xml:space="preserve"> </w:t>
      </w:r>
    </w:p>
  </w:footnote>
  <w:footnote w:id="13">
    <w:p w14:paraId="5D1A945D" w14:textId="77777777" w:rsidR="00D43FFE" w:rsidRPr="00A810DF" w:rsidRDefault="00D43FFE" w:rsidP="00D43FFE">
      <w:pPr>
        <w:pStyle w:val="Textonotapie"/>
        <w:ind w:firstLine="709"/>
        <w:jc w:val="both"/>
        <w:rPr>
          <w:rFonts w:ascii="Arial" w:hAnsi="Arial" w:cs="Arial"/>
          <w:color w:val="000000"/>
          <w:sz w:val="19"/>
          <w:szCs w:val="19"/>
        </w:rPr>
      </w:pPr>
    </w:p>
    <w:p w14:paraId="5FBAAAFF" w14:textId="77777777" w:rsidR="00D43FFE" w:rsidRPr="00A810DF" w:rsidRDefault="00D43FFE" w:rsidP="00D43FFE">
      <w:pPr>
        <w:pStyle w:val="Textonotapie"/>
        <w:ind w:firstLine="709"/>
        <w:jc w:val="both"/>
        <w:rPr>
          <w:rFonts w:ascii="Arial" w:hAnsi="Arial" w:cs="Arial"/>
          <w:color w:val="000000"/>
          <w:sz w:val="19"/>
          <w:szCs w:val="19"/>
        </w:rPr>
      </w:pPr>
      <w:r w:rsidRPr="00A810DF">
        <w:rPr>
          <w:rStyle w:val="Refdenotaalpie"/>
          <w:rFonts w:ascii="Arial" w:hAnsi="Arial" w:cs="Arial"/>
          <w:color w:val="000000"/>
          <w:sz w:val="19"/>
          <w:szCs w:val="19"/>
        </w:rPr>
        <w:footnoteRef/>
      </w:r>
      <w:r w:rsidRPr="00A810DF">
        <w:rPr>
          <w:rFonts w:ascii="Arial" w:hAnsi="Arial" w:cs="Arial"/>
          <w:color w:val="000000"/>
          <w:sz w:val="19"/>
          <w:szCs w:val="19"/>
        </w:rPr>
        <w:t xml:space="preserve"> CONSEJO DE ESTADO. Sección Tercera. Subsección A. Auto del 25 de julio de 2018. Rad. 56.165A. C.P. Marta Nubia Velásquez Rico. </w:t>
      </w:r>
    </w:p>
    <w:p w14:paraId="173ED21B" w14:textId="77777777" w:rsidR="00D43FFE" w:rsidRPr="00A810DF" w:rsidRDefault="00D43FFE" w:rsidP="00D43FFE">
      <w:pPr>
        <w:pStyle w:val="Textonotapie"/>
        <w:ind w:firstLine="709"/>
        <w:jc w:val="both"/>
        <w:rPr>
          <w:rFonts w:ascii="Arial" w:hAnsi="Arial" w:cs="Arial"/>
          <w:color w:val="000000"/>
          <w:sz w:val="19"/>
          <w:szCs w:val="19"/>
          <w:lang w:val="es-ES"/>
        </w:rPr>
      </w:pPr>
    </w:p>
  </w:footnote>
  <w:footnote w:id="14">
    <w:p w14:paraId="600F04A3" w14:textId="77777777" w:rsidR="00D43FFE" w:rsidRPr="00A810DF" w:rsidRDefault="00D43FFE" w:rsidP="00D43FFE">
      <w:pPr>
        <w:pStyle w:val="Textonotapie"/>
        <w:ind w:firstLine="709"/>
        <w:jc w:val="both"/>
        <w:rPr>
          <w:rFonts w:ascii="Arial" w:hAnsi="Arial" w:cs="Arial"/>
          <w:color w:val="000000"/>
          <w:sz w:val="19"/>
          <w:szCs w:val="19"/>
          <w:lang w:val="es-ES"/>
        </w:rPr>
      </w:pPr>
      <w:r w:rsidRPr="00A810DF">
        <w:rPr>
          <w:rStyle w:val="Refdenotaalpie"/>
          <w:rFonts w:ascii="Arial" w:hAnsi="Arial" w:cs="Arial"/>
          <w:color w:val="000000"/>
          <w:sz w:val="19"/>
          <w:szCs w:val="19"/>
        </w:rPr>
        <w:footnoteRef/>
      </w:r>
      <w:r w:rsidRPr="00A810DF">
        <w:rPr>
          <w:rFonts w:ascii="Arial" w:hAnsi="Arial" w:cs="Arial"/>
          <w:color w:val="000000"/>
          <w:sz w:val="19"/>
          <w:szCs w:val="19"/>
        </w:rPr>
        <w:t xml:space="preserve"> </w:t>
      </w:r>
      <w:bookmarkStart w:id="4" w:name="_Hlk43903111"/>
      <w:r w:rsidRPr="00A810DF">
        <w:rPr>
          <w:rFonts w:ascii="Arial" w:hAnsi="Arial" w:cs="Arial"/>
          <w:color w:val="000000"/>
          <w:sz w:val="19"/>
          <w:szCs w:val="19"/>
        </w:rPr>
        <w:t>CONSEJO DE ESTADO. Sección Tercera. Subsección A. Auto del 20 de febrero de 2019. Rad. 61.463. C.P. Carlos Alberto Zambrano Barrera.</w:t>
      </w:r>
      <w:bookmarkEnd w:id="4"/>
    </w:p>
  </w:footnote>
  <w:footnote w:id="15">
    <w:p w14:paraId="3B31CF36" w14:textId="77777777" w:rsidR="00D43FFE" w:rsidRPr="00A810DF" w:rsidRDefault="00D43FFE" w:rsidP="00D43FFE">
      <w:pPr>
        <w:pStyle w:val="Textonotapie"/>
        <w:ind w:firstLine="709"/>
        <w:jc w:val="both"/>
        <w:rPr>
          <w:rFonts w:ascii="Arial" w:hAnsi="Arial" w:cs="Arial"/>
          <w:sz w:val="19"/>
          <w:szCs w:val="19"/>
        </w:rPr>
      </w:pPr>
    </w:p>
    <w:p w14:paraId="00E716F9" w14:textId="77777777" w:rsidR="00D43FFE" w:rsidRPr="00A810DF" w:rsidRDefault="00D43FFE" w:rsidP="00D43FFE">
      <w:pPr>
        <w:pStyle w:val="Textonotapie"/>
        <w:ind w:firstLine="709"/>
        <w:jc w:val="both"/>
        <w:rPr>
          <w:rFonts w:ascii="Arial" w:hAnsi="Arial" w:cs="Arial"/>
          <w:sz w:val="19"/>
          <w:szCs w:val="19"/>
        </w:rPr>
      </w:pPr>
      <w:r w:rsidRPr="00A810DF">
        <w:rPr>
          <w:rStyle w:val="Refdenotaalpie"/>
          <w:rFonts w:ascii="Arial" w:hAnsi="Arial" w:cs="Arial"/>
          <w:sz w:val="19"/>
          <w:szCs w:val="19"/>
        </w:rPr>
        <w:footnoteRef/>
      </w:r>
      <w:r w:rsidRPr="00A810DF">
        <w:rPr>
          <w:rFonts w:ascii="Arial" w:hAnsi="Arial" w:cs="Arial"/>
          <w:sz w:val="19"/>
          <w:szCs w:val="19"/>
        </w:rPr>
        <w:t xml:space="preserve"> Sobre este aspecto, «[…] los numerales 3, 4 y 5 del artículo 2.2.1.2.1.3.2 del decreto acusado resultan violatorios del citado artículo 5, numeral 4, de la Ley 1150 de 2007, pues, en efecto, revisar la coherencia del «[…] precio ofrecido […]» con la disponibilidad presupuestal (núm. 4, art. 2.2.1.2.1.3.2), así como disponer que se debe llegar a un «acuerdo» sobre el mismo (numerales 4 y 5, art. 2.2.1.2.1.3.2), como lo hace el decreto acusado, desconoce el principio de selección objetiva, en la medida en que incluir factores económicos en los concursos de méritos implica, necesariamente, que el precio se torne determinante para la escogencia de los contratistas, circunstancia que, como se ve, viola la citada norma, pues en ningún caso el precio puede ser factor de escogencia bajo la modalidad del concurso de méritos.</w:t>
      </w:r>
    </w:p>
    <w:p w14:paraId="3C690574" w14:textId="77777777" w:rsidR="00D43FFE" w:rsidRPr="00A810DF" w:rsidRDefault="00D43FFE" w:rsidP="00D43FFE">
      <w:pPr>
        <w:pStyle w:val="Textonotapie"/>
        <w:ind w:firstLine="709"/>
        <w:jc w:val="both"/>
        <w:rPr>
          <w:rFonts w:ascii="Arial" w:hAnsi="Arial" w:cs="Arial"/>
          <w:sz w:val="19"/>
          <w:szCs w:val="19"/>
        </w:rPr>
      </w:pPr>
      <w:r w:rsidRPr="00A810DF">
        <w:rPr>
          <w:rFonts w:ascii="Arial" w:hAnsi="Arial" w:cs="Arial"/>
          <w:sz w:val="19"/>
          <w:szCs w:val="19"/>
        </w:rPr>
        <w:t>»Sumado a lo anterior, el Despacho encuentra que los numerales 4 y 5 del artículo 2.2.1.2.1.3.2 del decreto acusado violan lo dispuesto en el numeral 2 del artículo 25 de la ley 80 de 1993, pues es claro que se siguen «[…] trámites distintos y adicionales a los expresamente previstos […]» en la ley; en efecto, celebrar un «acuerdo» sobre el precio ofrecido es una situación que, de una u otra forma, aboca a la entidad a una segunda evaluación de lo que para ella sería la oferta más favorable –según el precio–, cuando para este segundo momento se supone que ya se debió haber verificado el cumplimiento de los requisitos exigidos en los pliegos de condiciones para la escogencia del contratista; en consecuencia, no se entiende porqué, luego de agotado todo el procedimiento de selección objetiva, se tenga que realizar un acuerdo sobre el precio ofrecido» (CONSEJO DE ESTADO. Sección Tercera. Subsección A. Auto del 20 de febrero de 2019. Rad. 61.463. C.P. Carlos Alberto Zambrano Barrera).</w:t>
      </w:r>
    </w:p>
    <w:p w14:paraId="2403196C" w14:textId="77777777" w:rsidR="00D43FFE" w:rsidRPr="00A810DF" w:rsidRDefault="00D43FFE" w:rsidP="00D43FFE">
      <w:pPr>
        <w:pStyle w:val="Textonotapie"/>
        <w:ind w:firstLine="709"/>
        <w:jc w:val="both"/>
        <w:rPr>
          <w:rFonts w:ascii="Arial" w:hAnsi="Arial" w:cs="Arial"/>
          <w:sz w:val="19"/>
          <w:szCs w:val="19"/>
          <w:lang w:val="es-ES"/>
        </w:rPr>
      </w:pPr>
    </w:p>
  </w:footnote>
  <w:footnote w:id="16">
    <w:p w14:paraId="25F300DA" w14:textId="77777777" w:rsidR="00D43FFE" w:rsidRPr="00A810DF" w:rsidRDefault="00D43FFE" w:rsidP="00D43FFE">
      <w:pPr>
        <w:pStyle w:val="Textonotapie"/>
        <w:ind w:firstLine="709"/>
        <w:jc w:val="both"/>
        <w:rPr>
          <w:rFonts w:ascii="Arial" w:hAnsi="Arial" w:cs="Arial"/>
          <w:color w:val="000000"/>
          <w:sz w:val="19"/>
          <w:szCs w:val="19"/>
        </w:rPr>
      </w:pPr>
      <w:r w:rsidRPr="00A810DF">
        <w:rPr>
          <w:rStyle w:val="Refdenotaalpie"/>
          <w:rFonts w:ascii="Arial" w:hAnsi="Arial" w:cs="Arial"/>
          <w:sz w:val="19"/>
          <w:szCs w:val="19"/>
        </w:rPr>
        <w:footnoteRef/>
      </w:r>
      <w:r w:rsidRPr="00A810DF">
        <w:rPr>
          <w:rFonts w:ascii="Arial" w:hAnsi="Arial" w:cs="Arial"/>
          <w:sz w:val="19"/>
          <w:szCs w:val="19"/>
        </w:rPr>
        <w:t xml:space="preserve"> En efecto, «[…] cuando el numeral 6 del artículo 2.2.1.2.1.3.2 del Decreto 1082 de 2015 dispuso que la entidad estatal debe declarar desierto el concurso de méritos cuando aquella no llegue a un acuerdo con el segundo lugar de elegibilidad, sí excedió el contenido de los artículos 25 (numeral 18) de la Ley 80 de 1993 y 5 de la Ley 1150 de 2007, puesto que, se reitera, dado que el legislador previó dicha decisión para cuando se presentaran motivos que impidieran la selección objetiva, sin restringirlos» (</w:t>
      </w:r>
      <w:r w:rsidRPr="00A810DF">
        <w:rPr>
          <w:rFonts w:ascii="Arial" w:hAnsi="Arial" w:cs="Arial"/>
          <w:color w:val="000000"/>
          <w:sz w:val="19"/>
          <w:szCs w:val="19"/>
        </w:rPr>
        <w:t>CONSEJO DE ESTADO. Sección Tercera. Subsección A. Auto del 25 de julio de 2018. Rad. 56.165A. C.P. Marta Nubia Velásquez Rico)</w:t>
      </w:r>
      <w:r w:rsidRPr="00A810DF">
        <w:rPr>
          <w:rFonts w:ascii="Arial" w:hAnsi="Arial" w:cs="Arial"/>
          <w:sz w:val="19"/>
          <w:szCs w:val="19"/>
        </w:rPr>
        <w:t>.</w:t>
      </w:r>
    </w:p>
  </w:footnote>
  <w:footnote w:id="17">
    <w:p w14:paraId="76748302" w14:textId="77777777" w:rsidR="00D43FFE" w:rsidRPr="00A810DF" w:rsidRDefault="00D43FFE" w:rsidP="00D43FFE">
      <w:pPr>
        <w:spacing w:after="0" w:line="240" w:lineRule="auto"/>
        <w:ind w:firstLine="709"/>
        <w:jc w:val="both"/>
        <w:rPr>
          <w:rFonts w:ascii="Arial" w:hAnsi="Arial" w:cs="Arial"/>
          <w:sz w:val="19"/>
          <w:szCs w:val="19"/>
        </w:rPr>
      </w:pPr>
    </w:p>
    <w:p w14:paraId="6ED2DF6E" w14:textId="77777777" w:rsidR="00D43FFE" w:rsidRPr="00A810DF" w:rsidRDefault="00D43FFE" w:rsidP="00D43FFE">
      <w:pPr>
        <w:spacing w:after="0" w:line="240" w:lineRule="auto"/>
        <w:ind w:firstLine="709"/>
        <w:jc w:val="both"/>
        <w:rPr>
          <w:rFonts w:ascii="Arial" w:hAnsi="Arial" w:cs="Arial"/>
          <w:sz w:val="19"/>
          <w:szCs w:val="19"/>
          <w:lang w:val="es-ES"/>
        </w:rPr>
      </w:pPr>
      <w:r w:rsidRPr="00A810DF">
        <w:rPr>
          <w:rStyle w:val="Refdenotaalpie"/>
          <w:rFonts w:ascii="Arial" w:hAnsi="Arial" w:cs="Arial"/>
          <w:sz w:val="19"/>
          <w:szCs w:val="19"/>
        </w:rPr>
        <w:footnoteRef/>
      </w:r>
      <w:r w:rsidRPr="00A810DF">
        <w:rPr>
          <w:rFonts w:ascii="Arial" w:hAnsi="Arial" w:cs="Arial"/>
          <w:sz w:val="19"/>
          <w:szCs w:val="19"/>
        </w:rPr>
        <w:t xml:space="preserve"> </w:t>
      </w:r>
      <w:r w:rsidRPr="00A810DF">
        <w:rPr>
          <w:rFonts w:ascii="Arial" w:hAnsi="Arial" w:cs="Arial"/>
          <w:sz w:val="19"/>
          <w:szCs w:val="19"/>
          <w:lang w:val="es-ES"/>
        </w:rPr>
        <w:t>En efecto, dentro de las consideraciones que motivan el Decreto 399 de 2021 se lee la siguiente: «Que teniendo en cuenta que el Auto del 20 de febrero de 2019 Exp. 61.463 de la Subsección A de la Sección Tercera del Consejo de Estado suspendió provisionalmente los numerales 3, 4 y 5 del artículo 2.2.1.2.1.3.2. del Decreto 1082 de 2015, Único Reglamentario del Sector Administrativo de Planeación Nacional y que el Auto del 25 de julio de 2018 Exp. 56.165 de la Subsección A de la Sección Tercera del Consejo de Estado suspendió provisionalmente el numeral 6 de la misma disposición, los cuales están relacionados con las reglas aplicables al procedimiento de concurso de méritos, es necesario modificar dicho artículo para establecer las reglas aplicables a esta modalidad de selección».</w:t>
      </w:r>
    </w:p>
    <w:p w14:paraId="2AD27AF8" w14:textId="77777777" w:rsidR="00D43FFE" w:rsidRPr="00A810DF" w:rsidRDefault="00D43FFE" w:rsidP="00D43FFE">
      <w:pPr>
        <w:pStyle w:val="Textonotapie"/>
        <w:ind w:firstLine="709"/>
        <w:jc w:val="both"/>
        <w:rPr>
          <w:rFonts w:ascii="Arial" w:hAnsi="Arial" w:cs="Arial"/>
          <w:sz w:val="19"/>
          <w:szCs w:val="19"/>
          <w:lang w:val="es-CO"/>
        </w:rPr>
      </w:pPr>
    </w:p>
  </w:footnote>
  <w:footnote w:id="18">
    <w:p w14:paraId="67C4473F" w14:textId="77777777" w:rsidR="00D43FFE" w:rsidRPr="00A810DF" w:rsidRDefault="00D43FFE" w:rsidP="00D43FFE">
      <w:pPr>
        <w:pStyle w:val="Textonotapie"/>
        <w:ind w:firstLine="709"/>
        <w:jc w:val="both"/>
        <w:rPr>
          <w:rFonts w:ascii="Arial" w:hAnsi="Arial" w:cs="Arial"/>
          <w:sz w:val="19"/>
          <w:szCs w:val="19"/>
        </w:rPr>
      </w:pPr>
    </w:p>
    <w:p w14:paraId="6FEE1CD7" w14:textId="77777777" w:rsidR="00D43FFE" w:rsidRPr="00A810DF" w:rsidRDefault="00D43FFE" w:rsidP="00D43FFE">
      <w:pPr>
        <w:pStyle w:val="Textonotapie"/>
        <w:ind w:firstLine="709"/>
        <w:jc w:val="both"/>
        <w:rPr>
          <w:rFonts w:ascii="Arial" w:hAnsi="Arial" w:cs="Arial"/>
          <w:sz w:val="19"/>
          <w:szCs w:val="19"/>
          <w:lang w:val="es-ES"/>
        </w:rPr>
      </w:pPr>
      <w:r w:rsidRPr="00A810DF">
        <w:rPr>
          <w:rStyle w:val="Refdenotaalpie"/>
          <w:rFonts w:ascii="Arial" w:hAnsi="Arial" w:cs="Arial"/>
          <w:sz w:val="19"/>
          <w:szCs w:val="19"/>
        </w:rPr>
        <w:footnoteRef/>
      </w:r>
      <w:r w:rsidRPr="00A810DF">
        <w:rPr>
          <w:rFonts w:ascii="Arial" w:hAnsi="Arial" w:cs="Arial"/>
          <w:sz w:val="19"/>
          <w:szCs w:val="19"/>
        </w:rPr>
        <w:t xml:space="preserve"> </w:t>
      </w:r>
      <w:r w:rsidRPr="00A810DF">
        <w:rPr>
          <w:rFonts w:ascii="Arial" w:hAnsi="Arial" w:cs="Arial"/>
          <w:sz w:val="19"/>
          <w:szCs w:val="19"/>
          <w:lang w:val="es-ES"/>
        </w:rPr>
        <w:t>Decreto 1082 de 2015. Artículo 2.2.1.2.1.3.2. Procedimiento de Concurso de méritos. […]</w:t>
      </w:r>
    </w:p>
    <w:p w14:paraId="1CD565F5" w14:textId="77777777" w:rsidR="00D43FFE" w:rsidRPr="00A810DF" w:rsidRDefault="00D43FFE" w:rsidP="00D43FFE">
      <w:pPr>
        <w:pStyle w:val="Textonotapie"/>
        <w:ind w:firstLine="709"/>
        <w:jc w:val="both"/>
        <w:rPr>
          <w:rFonts w:ascii="Arial" w:hAnsi="Arial" w:cs="Arial"/>
          <w:sz w:val="19"/>
          <w:szCs w:val="19"/>
          <w:lang w:val="es-ES"/>
        </w:rPr>
      </w:pPr>
      <w:r w:rsidRPr="00A810DF">
        <w:rPr>
          <w:rFonts w:ascii="Arial" w:hAnsi="Arial" w:cs="Arial"/>
          <w:sz w:val="19"/>
          <w:szCs w:val="19"/>
          <w:lang w:val="es-ES"/>
        </w:rPr>
        <w:t xml:space="preserve">«1. </w:t>
      </w:r>
      <w:r w:rsidRPr="00A810DF">
        <w:rPr>
          <w:rFonts w:ascii="Arial" w:hAnsi="Arial" w:cs="Arial"/>
          <w:sz w:val="19"/>
          <w:szCs w:val="19"/>
          <w:lang w:val="es-CO"/>
        </w:rPr>
        <w:t xml:space="preserve">La </w:t>
      </w:r>
      <w:r w:rsidRPr="00A810DF">
        <w:rPr>
          <w:rFonts w:ascii="Arial" w:hAnsi="Arial" w:cs="Arial"/>
          <w:sz w:val="19"/>
          <w:szCs w:val="19"/>
          <w:lang w:val="es-ES"/>
        </w:rPr>
        <w:t xml:space="preserve">Entidad Estatal en los pliegos de condiciones debe indicar la forma como calificará, entre otros, los siguientes criterios: (a) la experiencia del interesado y del equipo de trabajo; y (b) la formación académica y las publicaciones técnicas y científicas del equipo de trabajo. </w:t>
      </w:r>
    </w:p>
    <w:p w14:paraId="41B5399A" w14:textId="77777777" w:rsidR="00D43FFE" w:rsidRPr="00A810DF" w:rsidRDefault="00D43FFE" w:rsidP="00D43FFE">
      <w:pPr>
        <w:pStyle w:val="Textonotapie"/>
        <w:ind w:firstLine="709"/>
        <w:jc w:val="both"/>
        <w:rPr>
          <w:rFonts w:ascii="Arial" w:hAnsi="Arial" w:cs="Arial"/>
          <w:sz w:val="19"/>
          <w:szCs w:val="19"/>
          <w:lang w:val="es-ES"/>
        </w:rPr>
      </w:pPr>
      <w:r w:rsidRPr="00A810DF">
        <w:rPr>
          <w:rFonts w:ascii="Arial" w:hAnsi="Arial" w:cs="Arial"/>
          <w:sz w:val="19"/>
          <w:szCs w:val="19"/>
          <w:lang w:val="es-ES"/>
        </w:rPr>
        <w:t xml:space="preserve">»2. La Entidad Estatal debe publicar durante tres (3) días hábiles el informe de evaluación, el cual debe contener la calificación técnica y el orden de elegibilidad. </w:t>
      </w:r>
    </w:p>
    <w:p w14:paraId="606F9B5D" w14:textId="77777777" w:rsidR="00D43FFE" w:rsidRPr="00A810DF" w:rsidRDefault="00D43FFE" w:rsidP="00D43FFE">
      <w:pPr>
        <w:pStyle w:val="Textonotapie"/>
        <w:ind w:firstLine="709"/>
        <w:jc w:val="both"/>
        <w:rPr>
          <w:rFonts w:ascii="Arial" w:hAnsi="Arial" w:cs="Arial"/>
          <w:sz w:val="19"/>
          <w:szCs w:val="19"/>
          <w:lang w:val="es-ES"/>
        </w:rPr>
      </w:pPr>
      <w:r w:rsidRPr="00A810DF">
        <w:rPr>
          <w:rFonts w:ascii="Arial" w:hAnsi="Arial" w:cs="Arial"/>
          <w:sz w:val="19"/>
          <w:szCs w:val="19"/>
          <w:lang w:val="es-ES"/>
        </w:rPr>
        <w:t>»3. La Entidad Estatal debe revisar la oferta económica y verificar que está en el rango del valor estimado consignado en los documentos y estudios previos y del presupuesto asignado para el contrato.</w:t>
      </w:r>
    </w:p>
    <w:p w14:paraId="34A8377F" w14:textId="77777777" w:rsidR="00D43FFE" w:rsidRPr="00A810DF" w:rsidRDefault="00D43FFE" w:rsidP="00D43FFE">
      <w:pPr>
        <w:pStyle w:val="Textonotapie"/>
        <w:ind w:firstLine="709"/>
        <w:jc w:val="both"/>
        <w:rPr>
          <w:rFonts w:ascii="Arial" w:hAnsi="Arial" w:cs="Arial"/>
          <w:sz w:val="19"/>
          <w:szCs w:val="19"/>
          <w:lang w:val="es-ES"/>
        </w:rPr>
      </w:pPr>
      <w:r w:rsidRPr="00A810DF">
        <w:rPr>
          <w:rFonts w:ascii="Arial" w:hAnsi="Arial" w:cs="Arial"/>
          <w:sz w:val="19"/>
          <w:szCs w:val="19"/>
          <w:lang w:val="es-ES"/>
        </w:rPr>
        <w:t>»4. La Entidad Estatal debe revisar con el oferente calificado en el primer lugar de elegibilidad la coherencia y consistencia entre: (i) la necesidad identificada por la Entidad Estatal y el alcance de la oferta; (ii) la consultoría y el precio ofrecidos; y (iii) el precio ofrecido y la disponibilidad presupuestal del respectivo Proceso de Contratación. Si la Entidad Estatal y el oferente llegan a un acuerdo sobre el alcance y el valor del contrato, dejarán constancia de este y firmarán el contrato.</w:t>
      </w:r>
    </w:p>
    <w:p w14:paraId="3465CE84" w14:textId="77777777" w:rsidR="00D43FFE" w:rsidRPr="00A810DF" w:rsidRDefault="00D43FFE" w:rsidP="00D43FFE">
      <w:pPr>
        <w:pStyle w:val="Textonotapie"/>
        <w:ind w:firstLine="709"/>
        <w:jc w:val="both"/>
        <w:rPr>
          <w:rFonts w:ascii="Arial" w:hAnsi="Arial" w:cs="Arial"/>
          <w:sz w:val="19"/>
          <w:szCs w:val="19"/>
          <w:lang w:val="es-ES"/>
        </w:rPr>
      </w:pPr>
      <w:r w:rsidRPr="00A810DF">
        <w:rPr>
          <w:rFonts w:ascii="Arial" w:hAnsi="Arial" w:cs="Arial"/>
          <w:sz w:val="19"/>
          <w:szCs w:val="19"/>
          <w:lang w:val="es-ES"/>
        </w:rPr>
        <w:t>[…]»</w:t>
      </w:r>
    </w:p>
  </w:footnote>
  <w:footnote w:id="19">
    <w:p w14:paraId="40B06D74" w14:textId="77777777" w:rsidR="00D43FFE" w:rsidRPr="00BD5ED5" w:rsidRDefault="00D43FFE" w:rsidP="00D43FFE">
      <w:pPr>
        <w:pStyle w:val="Textonotapie"/>
        <w:ind w:firstLine="709"/>
        <w:rPr>
          <w:rFonts w:ascii="Arial" w:hAnsi="Arial" w:cs="Arial"/>
          <w:color w:val="000000" w:themeColor="text1"/>
          <w:sz w:val="19"/>
          <w:szCs w:val="19"/>
        </w:rPr>
      </w:pPr>
    </w:p>
    <w:p w14:paraId="4B63CA44" w14:textId="77777777" w:rsidR="00D43FFE" w:rsidRPr="00BD5ED5" w:rsidRDefault="00D43FFE" w:rsidP="00D43FFE">
      <w:pPr>
        <w:pStyle w:val="Textonotapie"/>
        <w:ind w:firstLine="709"/>
        <w:rPr>
          <w:rFonts w:ascii="Arial" w:hAnsi="Arial" w:cs="Arial"/>
          <w:color w:val="000000" w:themeColor="text1"/>
          <w:sz w:val="19"/>
          <w:szCs w:val="19"/>
        </w:rPr>
      </w:pPr>
      <w:r w:rsidRPr="00BD5ED5">
        <w:rPr>
          <w:rStyle w:val="Refdenotaalpie"/>
          <w:rFonts w:ascii="Arial" w:hAnsi="Arial" w:cs="Arial"/>
          <w:color w:val="000000" w:themeColor="text1"/>
          <w:sz w:val="19"/>
          <w:szCs w:val="19"/>
        </w:rPr>
        <w:footnoteRef/>
      </w:r>
      <w:r w:rsidRPr="00BD5ED5">
        <w:rPr>
          <w:rFonts w:ascii="Arial" w:hAnsi="Arial" w:cs="Arial"/>
          <w:color w:val="000000" w:themeColor="text1"/>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4E536559" w14:textId="77777777" w:rsidR="00D43FFE" w:rsidRPr="00BD5ED5" w:rsidRDefault="00D43FFE" w:rsidP="00D43FFE">
      <w:pPr>
        <w:pStyle w:val="Textonotapie"/>
        <w:ind w:firstLine="709"/>
        <w:rPr>
          <w:rFonts w:ascii="Arial" w:hAnsi="Arial" w:cs="Arial"/>
          <w:color w:val="000000" w:themeColor="text1"/>
          <w:sz w:val="19"/>
          <w:szCs w:val="19"/>
        </w:rPr>
      </w:pPr>
    </w:p>
  </w:footnote>
  <w:footnote w:id="20">
    <w:p w14:paraId="7063EE95" w14:textId="77777777" w:rsidR="00D43FFE" w:rsidRPr="00BD5ED5" w:rsidRDefault="00D43FFE" w:rsidP="00D43FFE">
      <w:pPr>
        <w:pStyle w:val="Textonotapie"/>
        <w:ind w:firstLine="709"/>
        <w:rPr>
          <w:rFonts w:ascii="Arial" w:hAnsi="Arial" w:cs="Arial"/>
          <w:color w:val="000000" w:themeColor="text1"/>
          <w:sz w:val="19"/>
          <w:szCs w:val="19"/>
        </w:rPr>
      </w:pPr>
      <w:r w:rsidRPr="00BD5ED5">
        <w:rPr>
          <w:rStyle w:val="Refdenotaalpie"/>
          <w:rFonts w:ascii="Arial" w:hAnsi="Arial" w:cs="Arial"/>
          <w:color w:val="000000" w:themeColor="text1"/>
          <w:sz w:val="19"/>
          <w:szCs w:val="19"/>
        </w:rPr>
        <w:footnoteRef/>
      </w:r>
      <w:r w:rsidRPr="00BD5ED5">
        <w:rPr>
          <w:rFonts w:ascii="Arial" w:hAnsi="Arial" w:cs="Arial"/>
          <w:color w:val="000000" w:themeColor="text1"/>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21">
    <w:p w14:paraId="44C4AF82" w14:textId="77777777" w:rsidR="00D43FFE" w:rsidRPr="00BD5ED5" w:rsidRDefault="00D43FFE" w:rsidP="00D43FFE">
      <w:pPr>
        <w:pStyle w:val="Textonotapie"/>
        <w:ind w:firstLine="709"/>
        <w:rPr>
          <w:rFonts w:ascii="Arial" w:hAnsi="Arial" w:cs="Arial"/>
          <w:color w:val="000000" w:themeColor="text1"/>
          <w:sz w:val="19"/>
          <w:szCs w:val="19"/>
        </w:rPr>
      </w:pPr>
    </w:p>
    <w:p w14:paraId="488DDEED" w14:textId="77777777" w:rsidR="00D43FFE" w:rsidRPr="00BD5ED5" w:rsidRDefault="00D43FFE" w:rsidP="00D43FFE">
      <w:pPr>
        <w:pStyle w:val="Textonotapie"/>
        <w:ind w:firstLine="709"/>
        <w:rPr>
          <w:rFonts w:ascii="Arial" w:hAnsi="Arial" w:cs="Arial"/>
          <w:color w:val="000000" w:themeColor="text1"/>
          <w:sz w:val="19"/>
          <w:szCs w:val="19"/>
        </w:rPr>
      </w:pPr>
      <w:r w:rsidRPr="00BD5ED5">
        <w:rPr>
          <w:rStyle w:val="Refdenotaalpie"/>
          <w:rFonts w:ascii="Arial" w:hAnsi="Arial" w:cs="Arial"/>
          <w:color w:val="000000" w:themeColor="text1"/>
          <w:sz w:val="19"/>
          <w:szCs w:val="19"/>
        </w:rPr>
        <w:footnoteRef/>
      </w:r>
      <w:r w:rsidRPr="00BD5ED5">
        <w:rPr>
          <w:rFonts w:ascii="Arial" w:hAnsi="Arial" w:cs="Arial"/>
          <w:color w:val="000000" w:themeColor="text1"/>
          <w:sz w:val="19"/>
          <w:szCs w:val="19"/>
        </w:rPr>
        <w:t xml:space="preserve"> Consejo de Estado. Sección Tercera. Subsección C. Sentencia del 26 de febrero de 2014. Expediente: 25.804. Consejero Ponente: Enrique Gil Botero.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D43FFE" w:rsidRDefault="00906B3C" w:rsidP="008614E5">
    <w:pPr>
      <w:spacing w:after="0"/>
      <w:rPr>
        <w:rFonts w:ascii="Geomanist Light" w:hAnsi="Geomanist Light"/>
        <w:color w:val="002060"/>
        <w:sz w:val="16"/>
        <w:szCs w:val="16"/>
        <w:lang w:val="pt-PT"/>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Picture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D43FFE">
      <w:rPr>
        <w:rFonts w:ascii="Geomanist Light" w:hAnsi="Geomanist Light"/>
        <w:color w:val="002060"/>
        <w:sz w:val="16"/>
        <w:szCs w:val="16"/>
        <w:lang w:val="pt-PT"/>
      </w:rPr>
      <w:t>FORMATO PQRSD</w:t>
    </w:r>
  </w:p>
  <w:p w14:paraId="077278A1" w14:textId="2CAB5B77" w:rsidR="007566FE" w:rsidRPr="00D43F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val="pt-PT" w:eastAsia="es-CO"/>
      </w:rPr>
    </w:pPr>
    <w:r w:rsidRPr="00D43FFE">
      <w:rPr>
        <w:rFonts w:ascii="Geomanist Light" w:eastAsia="Geo" w:hAnsi="Geomanist Light" w:cs="Geo"/>
        <w:b/>
        <w:color w:val="000000"/>
        <w:sz w:val="16"/>
        <w:szCs w:val="16"/>
        <w:lang w:val="pt-PT" w:eastAsia="es-CO"/>
      </w:rPr>
      <w:t xml:space="preserve">Código: </w:t>
    </w:r>
    <w:r w:rsidRPr="00D43FFE">
      <w:rPr>
        <w:rFonts w:ascii="Geomanist Light" w:eastAsia="Geo" w:hAnsi="Geomanist Light" w:cs="Geo"/>
        <w:bCs/>
        <w:color w:val="000000"/>
        <w:sz w:val="16"/>
        <w:szCs w:val="16"/>
        <w:lang w:val="pt-PT"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Picture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751C0253"/>
    <w:multiLevelType w:val="hybridMultilevel"/>
    <w:tmpl w:val="BE9E2BB6"/>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567034888">
    <w:abstractNumId w:val="0"/>
  </w:num>
  <w:num w:numId="5" w16cid:durableId="19041743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95B8A"/>
    <w:rsid w:val="000A683E"/>
    <w:rsid w:val="0011595A"/>
    <w:rsid w:val="001220C5"/>
    <w:rsid w:val="001267F7"/>
    <w:rsid w:val="00127233"/>
    <w:rsid w:val="00130999"/>
    <w:rsid w:val="00164D81"/>
    <w:rsid w:val="001A1011"/>
    <w:rsid w:val="001A48D0"/>
    <w:rsid w:val="002653C1"/>
    <w:rsid w:val="0026611D"/>
    <w:rsid w:val="002951A0"/>
    <w:rsid w:val="002A64FD"/>
    <w:rsid w:val="002F0839"/>
    <w:rsid w:val="00301469"/>
    <w:rsid w:val="00306EE1"/>
    <w:rsid w:val="00310B9B"/>
    <w:rsid w:val="0036461C"/>
    <w:rsid w:val="00367884"/>
    <w:rsid w:val="0039439C"/>
    <w:rsid w:val="003B69E7"/>
    <w:rsid w:val="003C013B"/>
    <w:rsid w:val="003C6647"/>
    <w:rsid w:val="003D0F4D"/>
    <w:rsid w:val="003F58A1"/>
    <w:rsid w:val="00410DD6"/>
    <w:rsid w:val="004134C9"/>
    <w:rsid w:val="0043138C"/>
    <w:rsid w:val="00462A59"/>
    <w:rsid w:val="004A1847"/>
    <w:rsid w:val="004B6B0E"/>
    <w:rsid w:val="004D25B3"/>
    <w:rsid w:val="00511405"/>
    <w:rsid w:val="00526E9D"/>
    <w:rsid w:val="00547856"/>
    <w:rsid w:val="00547A74"/>
    <w:rsid w:val="005566E8"/>
    <w:rsid w:val="005746AB"/>
    <w:rsid w:val="0059357F"/>
    <w:rsid w:val="005A1130"/>
    <w:rsid w:val="005D65C8"/>
    <w:rsid w:val="006219F8"/>
    <w:rsid w:val="00681FDB"/>
    <w:rsid w:val="006A7DAD"/>
    <w:rsid w:val="006D70BA"/>
    <w:rsid w:val="00740DF7"/>
    <w:rsid w:val="007566FE"/>
    <w:rsid w:val="0076726F"/>
    <w:rsid w:val="0077144B"/>
    <w:rsid w:val="0078310D"/>
    <w:rsid w:val="00793403"/>
    <w:rsid w:val="007C0CDF"/>
    <w:rsid w:val="007E2A2F"/>
    <w:rsid w:val="007F2B7C"/>
    <w:rsid w:val="00811651"/>
    <w:rsid w:val="00820F5B"/>
    <w:rsid w:val="00833452"/>
    <w:rsid w:val="008614E5"/>
    <w:rsid w:val="008678EB"/>
    <w:rsid w:val="00875894"/>
    <w:rsid w:val="00881C10"/>
    <w:rsid w:val="00890411"/>
    <w:rsid w:val="008D5C70"/>
    <w:rsid w:val="009025AF"/>
    <w:rsid w:val="00904F23"/>
    <w:rsid w:val="00906B3C"/>
    <w:rsid w:val="00927746"/>
    <w:rsid w:val="0095342C"/>
    <w:rsid w:val="009F33F2"/>
    <w:rsid w:val="009F6C77"/>
    <w:rsid w:val="00A07532"/>
    <w:rsid w:val="00A1085C"/>
    <w:rsid w:val="00A309E2"/>
    <w:rsid w:val="00A7750F"/>
    <w:rsid w:val="00A8066E"/>
    <w:rsid w:val="00AA4B8A"/>
    <w:rsid w:val="00AA6BF7"/>
    <w:rsid w:val="00B01ED6"/>
    <w:rsid w:val="00B06D09"/>
    <w:rsid w:val="00B771A9"/>
    <w:rsid w:val="00B809BB"/>
    <w:rsid w:val="00B8248A"/>
    <w:rsid w:val="00BB7726"/>
    <w:rsid w:val="00BF394F"/>
    <w:rsid w:val="00C2329E"/>
    <w:rsid w:val="00C30461"/>
    <w:rsid w:val="00C56D61"/>
    <w:rsid w:val="00C754BE"/>
    <w:rsid w:val="00C87572"/>
    <w:rsid w:val="00C9405D"/>
    <w:rsid w:val="00CC1B26"/>
    <w:rsid w:val="00CC4487"/>
    <w:rsid w:val="00CD284F"/>
    <w:rsid w:val="00CF23AA"/>
    <w:rsid w:val="00D01921"/>
    <w:rsid w:val="00D43FFE"/>
    <w:rsid w:val="00D752B7"/>
    <w:rsid w:val="00DA1854"/>
    <w:rsid w:val="00DB0887"/>
    <w:rsid w:val="00DF1E43"/>
    <w:rsid w:val="00DF7473"/>
    <w:rsid w:val="00E20894"/>
    <w:rsid w:val="00E26B7C"/>
    <w:rsid w:val="00EA3003"/>
    <w:rsid w:val="00EB3C91"/>
    <w:rsid w:val="00EB66DA"/>
    <w:rsid w:val="00F605F2"/>
    <w:rsid w:val="00F76AFC"/>
    <w:rsid w:val="00F8319B"/>
    <w:rsid w:val="00F906BB"/>
    <w:rsid w:val="00FA5516"/>
    <w:rsid w:val="00FD6F73"/>
    <w:rsid w:val="1CC63BF5"/>
    <w:rsid w:val="2F9951DC"/>
    <w:rsid w:val="327E31DF"/>
    <w:rsid w:val="3EA192D0"/>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BB660BE-3549-492E-9102-198253830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uiPriority w:val="99"/>
    <w:rsid w:val="00D43FF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43FFE"/>
    <w:rPr>
      <w:rFonts w:ascii="Geomanist Light" w:hAnsi="Geomanist Light"/>
      <w:lang w:val="es-ES"/>
    </w:rPr>
  </w:style>
  <w:style w:type="character" w:styleId="Textoennegrita">
    <w:name w:val="Strong"/>
    <w:basedOn w:val="Fuentedeprrafopredeter"/>
    <w:uiPriority w:val="22"/>
    <w:qFormat/>
    <w:rsid w:val="00D43FFE"/>
    <w:rPr>
      <w:b/>
      <w:bCs/>
    </w:rPr>
  </w:style>
  <w:style w:type="character" w:customStyle="1" w:styleId="eop">
    <w:name w:val="eop"/>
    <w:basedOn w:val="Fuentedeprrafopredeter"/>
    <w:rsid w:val="00D43FFE"/>
  </w:style>
  <w:style w:type="character" w:styleId="nfasis">
    <w:name w:val="Emphasis"/>
    <w:basedOn w:val="Fuentedeprrafopredeter"/>
    <w:uiPriority w:val="20"/>
    <w:qFormat/>
    <w:rsid w:val="00D43FFE"/>
    <w:rPr>
      <w:i/>
      <w:iCs/>
    </w:rPr>
  </w:style>
  <w:style w:type="paragraph" w:styleId="Textoindependiente">
    <w:name w:val="Body Text"/>
    <w:basedOn w:val="Normal"/>
    <w:link w:val="TextoindependienteCar"/>
    <w:uiPriority w:val="1"/>
    <w:qFormat/>
    <w:rsid w:val="00A7750F"/>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A7750F"/>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745AC8B3-D9AC-4BEF-86C8-2EFFBA06B123}"/>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28</Pages>
  <Words>11404</Words>
  <Characters>62723</Characters>
  <Application>Microsoft Office Word</Application>
  <DocSecurity>0</DocSecurity>
  <Lines>522</Lines>
  <Paragraphs>147</Paragraphs>
  <ScaleCrop>false</ScaleCrop>
  <Company/>
  <LinksUpToDate>false</LinksUpToDate>
  <CharactersWithSpaces>73980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Melissa Fernández Reinoso</cp:lastModifiedBy>
  <cp:revision>3</cp:revision>
  <dcterms:created xsi:type="dcterms:W3CDTF">2023-06-14T16:30:00Z</dcterms:created>
  <dcterms:modified xsi:type="dcterms:W3CDTF">2023-06-14T16:39:00Z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