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E5CFE8" w14:textId="77777777" w:rsidR="001F5C43" w:rsidRPr="00BA5F9B" w:rsidRDefault="001F5C43" w:rsidP="001F5C43">
      <w:pPr>
        <w:spacing w:after="0" w:line="240" w:lineRule="auto"/>
        <w:rPr>
          <w:rFonts w:ascii="Verdana" w:eastAsia="Geomanist Light" w:hAnsi="Verdana" w:cs="Arial"/>
          <w:lang w:val="es-MX"/>
        </w:rPr>
      </w:pPr>
    </w:p>
    <w:p w14:paraId="6F65CE6C" w14:textId="77777777" w:rsidR="001F5C43" w:rsidRPr="00BA5F9B" w:rsidRDefault="001F5C43" w:rsidP="001F5C43">
      <w:pPr>
        <w:spacing w:after="0" w:line="240" w:lineRule="auto"/>
        <w:rPr>
          <w:rFonts w:ascii="Verdana" w:eastAsia="Geomanist Light" w:hAnsi="Verdana" w:cs="Arial"/>
          <w:lang w:val="es-MX"/>
        </w:rPr>
      </w:pPr>
    </w:p>
    <w:p w14:paraId="1763BD4D" w14:textId="01EEEC31" w:rsidR="001F5C43" w:rsidRPr="00BA5F9B" w:rsidRDefault="00EF56BB" w:rsidP="001F5C43">
      <w:pPr>
        <w:spacing w:after="0" w:line="240" w:lineRule="auto"/>
        <w:rPr>
          <w:rFonts w:ascii="Verdana" w:eastAsia="Calibri" w:hAnsi="Verdana" w:cs="Arial"/>
          <w:b/>
          <w:bCs/>
          <w:lang w:val="es-ES" w:eastAsia="es-ES"/>
        </w:rPr>
      </w:pPr>
      <w:r w:rsidRPr="00BA5F9B">
        <w:rPr>
          <w:rFonts w:ascii="Verdana" w:eastAsia="Calibri" w:hAnsi="Verdana" w:cs="Arial"/>
          <w:b/>
          <w:bCs/>
          <w:lang w:val="es-ES" w:eastAsia="es-ES"/>
        </w:rPr>
        <w:t>INHABILIDADES E INCOMPATIBILIDADES ― Límites a la capacidad ― Régimen</w:t>
      </w:r>
    </w:p>
    <w:p w14:paraId="4DD1AC71" w14:textId="77777777" w:rsidR="002D66BC" w:rsidRPr="00BA5F9B" w:rsidRDefault="002D66BC" w:rsidP="001F5C43">
      <w:pPr>
        <w:spacing w:after="0" w:line="240" w:lineRule="auto"/>
        <w:rPr>
          <w:rFonts w:ascii="Verdana" w:eastAsia="Calibri" w:hAnsi="Verdana" w:cs="Arial"/>
          <w:b/>
          <w:bCs/>
          <w:lang w:val="es-ES" w:eastAsia="es-ES"/>
        </w:rPr>
      </w:pPr>
    </w:p>
    <w:p w14:paraId="686201A5" w14:textId="03632638" w:rsidR="001F5C43" w:rsidRPr="00BA5F9B" w:rsidRDefault="001F09D9" w:rsidP="000B3D0E">
      <w:pPr>
        <w:spacing w:line="240" w:lineRule="auto"/>
        <w:jc w:val="both"/>
        <w:rPr>
          <w:rFonts w:ascii="Verdana" w:eastAsia="Calibri" w:hAnsi="Verdana" w:cs="Arial"/>
          <w:sz w:val="20"/>
          <w:szCs w:val="20"/>
          <w:lang w:val="es-ES"/>
        </w:rPr>
      </w:pPr>
      <w:r w:rsidRPr="00BA5F9B">
        <w:rPr>
          <w:rFonts w:ascii="Verdana" w:eastAsia="Calibri" w:hAnsi="Verdana" w:cs="Arial"/>
          <w:sz w:val="20"/>
          <w:szCs w:val="20"/>
          <w:lang w:val="es-ES"/>
        </w:rPr>
        <w:t xml:space="preserve">[…] </w:t>
      </w:r>
      <w:r w:rsidRPr="00BA5F9B">
        <w:rPr>
          <w:rFonts w:ascii="Verdana" w:eastAsia="Calibri" w:hAnsi="Verdana" w:cs="Arial"/>
          <w:sz w:val="20"/>
          <w:szCs w:val="20"/>
          <w:lang w:val="es-ES"/>
        </w:rPr>
        <w:t>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Al respecto, la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r w:rsidR="001F5C43" w:rsidRPr="00BA5F9B">
        <w:rPr>
          <w:rFonts w:ascii="Verdana" w:eastAsia="Calibri" w:hAnsi="Verdana" w:cs="Arial"/>
          <w:sz w:val="20"/>
          <w:szCs w:val="20"/>
          <w:lang w:val="es-ES"/>
        </w:rPr>
        <w:t>.</w:t>
      </w:r>
    </w:p>
    <w:p w14:paraId="1DBC48EE" w14:textId="77777777" w:rsidR="002D66BC" w:rsidRPr="00BA5F9B" w:rsidRDefault="002D66BC" w:rsidP="000B3D0E">
      <w:pPr>
        <w:spacing w:line="240" w:lineRule="auto"/>
        <w:jc w:val="both"/>
        <w:rPr>
          <w:rFonts w:ascii="Verdana" w:eastAsia="Calibri" w:hAnsi="Verdana" w:cs="Arial"/>
          <w:sz w:val="20"/>
          <w:szCs w:val="20"/>
          <w:lang w:val="es-ES"/>
        </w:rPr>
      </w:pPr>
    </w:p>
    <w:p w14:paraId="12E60C82" w14:textId="4C7F9D9A" w:rsidR="001F5C43" w:rsidRPr="00BA5F9B" w:rsidRDefault="00EF56BB" w:rsidP="001F5C43">
      <w:pPr>
        <w:spacing w:after="0" w:line="276" w:lineRule="auto"/>
        <w:jc w:val="both"/>
        <w:rPr>
          <w:rFonts w:ascii="Verdana" w:eastAsia="Calibri" w:hAnsi="Verdana" w:cs="Arial"/>
          <w:b/>
          <w:bCs/>
        </w:rPr>
      </w:pPr>
      <w:r w:rsidRPr="00BA5F9B">
        <w:rPr>
          <w:rFonts w:ascii="Verdana" w:eastAsia="Calibri" w:hAnsi="Verdana" w:cs="Arial"/>
          <w:b/>
          <w:bCs/>
          <w:lang w:val="es-ES" w:eastAsia="es-ES"/>
        </w:rPr>
        <w:t>INHABILIDADES E INCOMPATIBILIDADES ― Concepto</w:t>
      </w:r>
      <w:r w:rsidRPr="00BA5F9B">
        <w:rPr>
          <w:rFonts w:ascii="Verdana" w:eastAsia="Calibri" w:hAnsi="Verdana" w:cs="Arial"/>
          <w:b/>
          <w:bCs/>
          <w:lang w:val="es-ES" w:eastAsia="es-ES"/>
        </w:rPr>
        <w:t xml:space="preserve"> </w:t>
      </w:r>
    </w:p>
    <w:p w14:paraId="1E7A8A7B" w14:textId="77777777" w:rsidR="001F5C43" w:rsidRPr="00BA5F9B" w:rsidRDefault="001F5C43" w:rsidP="001F5C43">
      <w:pPr>
        <w:spacing w:after="0" w:line="240" w:lineRule="auto"/>
        <w:rPr>
          <w:rFonts w:ascii="Verdana" w:eastAsia="Geomanist Light" w:hAnsi="Verdana" w:cs="Arial"/>
          <w:b/>
          <w:bCs/>
          <w:lang w:val="es-ES"/>
        </w:rPr>
      </w:pPr>
    </w:p>
    <w:p w14:paraId="5E1F4D73" w14:textId="24712AD2" w:rsidR="001F5C43" w:rsidRPr="00BA5F9B" w:rsidRDefault="00EF0A01" w:rsidP="001F5C43">
      <w:pPr>
        <w:spacing w:after="0" w:line="240" w:lineRule="auto"/>
        <w:jc w:val="both"/>
        <w:rPr>
          <w:rFonts w:ascii="Verdana" w:eastAsia="Calibri" w:hAnsi="Verdana" w:cs="Arial"/>
          <w:sz w:val="20"/>
          <w:szCs w:val="20"/>
          <w:lang w:val="es-ES"/>
        </w:rPr>
      </w:pPr>
      <w:r w:rsidRPr="00BA5F9B">
        <w:rPr>
          <w:rFonts w:ascii="Verdana" w:eastAsia="Calibri" w:hAnsi="Verdana" w:cs="Arial"/>
          <w:sz w:val="20"/>
          <w:szCs w:val="20"/>
          <w:lang w:val="es-ES"/>
        </w:rPr>
        <w:t>[…]</w:t>
      </w:r>
      <w:r w:rsidR="001F5C43" w:rsidRPr="00BA5F9B">
        <w:rPr>
          <w:rFonts w:ascii="Verdana" w:eastAsia="Calibri" w:hAnsi="Verdana" w:cs="Arial"/>
          <w:sz w:val="20"/>
          <w:szCs w:val="20"/>
          <w:lang w:val="es-ES"/>
        </w:rPr>
        <w:t xml:space="preserve"> </w:t>
      </w:r>
      <w:r w:rsidR="00FC7E4C" w:rsidRPr="00BA5F9B">
        <w:rPr>
          <w:rFonts w:ascii="Verdana" w:eastAsia="Calibri" w:hAnsi="Verdana" w:cs="Arial"/>
          <w:sz w:val="20"/>
          <w:szCs w:val="20"/>
          <w:lang w:val="es-ES"/>
        </w:rPr>
        <w:t>las</w:t>
      </w:r>
      <w:r w:rsidRPr="00BA5F9B">
        <w:rPr>
          <w:rFonts w:ascii="Verdana" w:eastAsia="Calibri" w:hAnsi="Verdana" w:cs="Arial"/>
          <w:sz w:val="20"/>
          <w:szCs w:val="20"/>
          <w:lang w:val="es-ES"/>
        </w:rPr>
        <w:t xml:space="preserve"> inhabilidades son circunstancias establecidas por la Constitución o en la ley que impiden que personas naturales o jurídicas sean elegidas o designadas en un cargo público o celebren contratos con el Estado, con el objetivo de garantizar la idoneidad, imparcialidad, probidad, transparencia y moralidad de la función pública, garantizando el interés general.</w:t>
      </w:r>
    </w:p>
    <w:p w14:paraId="3C39921A" w14:textId="77777777" w:rsidR="002D66BC" w:rsidRPr="00BA5F9B" w:rsidRDefault="002D66BC" w:rsidP="001F5C43">
      <w:pPr>
        <w:spacing w:after="0" w:line="240" w:lineRule="auto"/>
        <w:jc w:val="both"/>
        <w:rPr>
          <w:rFonts w:ascii="Verdana" w:eastAsia="Geomanist Light" w:hAnsi="Verdana" w:cs="Arial"/>
          <w:b/>
          <w:bCs/>
          <w:sz w:val="20"/>
          <w:szCs w:val="20"/>
          <w:lang w:val="es-ES"/>
        </w:rPr>
      </w:pPr>
    </w:p>
    <w:p w14:paraId="71EB1A87" w14:textId="77777777" w:rsidR="001F5C43" w:rsidRPr="00BA5F9B" w:rsidRDefault="001F5C43" w:rsidP="001F5C43">
      <w:pPr>
        <w:spacing w:after="0" w:line="240" w:lineRule="auto"/>
        <w:rPr>
          <w:rFonts w:ascii="Verdana" w:eastAsia="Geomanist Light" w:hAnsi="Verdana" w:cs="Arial"/>
          <w:lang w:val="es-MX"/>
        </w:rPr>
      </w:pPr>
    </w:p>
    <w:p w14:paraId="0FD811E5" w14:textId="3CCFCBB2" w:rsidR="00926A38" w:rsidRPr="00BA5F9B" w:rsidRDefault="00926A38" w:rsidP="00926A38">
      <w:pPr>
        <w:spacing w:after="0" w:line="240" w:lineRule="auto"/>
        <w:rPr>
          <w:rFonts w:ascii="Verdana" w:eastAsia="Calibri" w:hAnsi="Verdana" w:cs="Arial"/>
          <w:b/>
          <w:bCs/>
          <w:lang w:val="es-ES" w:eastAsia="es-ES"/>
        </w:rPr>
      </w:pPr>
      <w:r w:rsidRPr="00BA5F9B">
        <w:rPr>
          <w:rFonts w:ascii="Verdana" w:eastAsia="Calibri" w:hAnsi="Verdana" w:cs="Arial"/>
          <w:b/>
          <w:bCs/>
          <w:lang w:val="es-ES" w:eastAsia="es-ES"/>
        </w:rPr>
        <w:t>INHABILIDADES E INCOMPATIBILIDADES ― Interpretación restrictiva ― Principio pro libertate</w:t>
      </w:r>
    </w:p>
    <w:p w14:paraId="7539C274" w14:textId="77777777" w:rsidR="00926A38" w:rsidRPr="00BA5F9B" w:rsidRDefault="00926A38" w:rsidP="00926A38">
      <w:pPr>
        <w:spacing w:after="0" w:line="240" w:lineRule="auto"/>
        <w:rPr>
          <w:rFonts w:ascii="Verdana" w:eastAsia="Geomanist Light" w:hAnsi="Verdana" w:cs="Arial"/>
          <w:b/>
          <w:bCs/>
          <w:lang w:val="es-ES"/>
        </w:rPr>
      </w:pPr>
    </w:p>
    <w:p w14:paraId="258E3CE7" w14:textId="77777777" w:rsidR="00BA5F9B" w:rsidRDefault="00561EBA" w:rsidP="00926A38">
      <w:pPr>
        <w:spacing w:after="0" w:line="240" w:lineRule="auto"/>
        <w:jc w:val="both"/>
        <w:rPr>
          <w:rFonts w:ascii="Verdana" w:eastAsia="Calibri" w:hAnsi="Verdana" w:cs="Arial"/>
          <w:sz w:val="20"/>
          <w:szCs w:val="20"/>
          <w:lang w:val="es-ES"/>
        </w:rPr>
      </w:pPr>
      <w:r w:rsidRPr="00BA5F9B">
        <w:rPr>
          <w:rFonts w:ascii="Verdana" w:eastAsia="Calibri" w:hAnsi="Verdana" w:cs="Arial"/>
          <w:sz w:val="20"/>
          <w:szCs w:val="20"/>
          <w:lang w:val="es-ES"/>
        </w:rPr>
        <w:t xml:space="preserve">[..] </w:t>
      </w:r>
      <w:r w:rsidRPr="00BA5F9B">
        <w:rPr>
          <w:rFonts w:ascii="Verdana" w:eastAsia="Calibri" w:hAnsi="Verdana" w:cs="Arial"/>
          <w:sz w:val="20"/>
          <w:szCs w:val="20"/>
          <w:lang w:val="es-ES"/>
        </w:rPr>
        <w:t>las inhabilidades e incompatibilidades –como ya se dijo– al ser restricciones o límites especiales a la capacidad para presentar ofertas y celebrar contratos estatales, solo pueden tipificarse en la ley –o sea, deben satisfacer el principio de legalidad– y su interpretación debe ser restrictiva, pues si se admitiera una interpretación amplia, extensiva o finalista de las mismas, tales enunciados normativos podrían contemplar múltiples supuestos indeterminados, según el parecer o el sentido común de los operadores jurídicos, poniendo en riesgo principios como la igualdad, el debido proceso, la libre concurrencia y el ejercicio de la profesión u oficio</w:t>
      </w:r>
      <w:r w:rsidR="00BA5F9B" w:rsidRPr="00BA5F9B">
        <w:rPr>
          <w:rFonts w:ascii="Verdana" w:eastAsia="Calibri" w:hAnsi="Verdana" w:cs="Arial"/>
          <w:sz w:val="20"/>
          <w:szCs w:val="20"/>
          <w:lang w:val="es-ES"/>
        </w:rPr>
        <w:t>.</w:t>
      </w:r>
    </w:p>
    <w:p w14:paraId="6C0C6142" w14:textId="77777777" w:rsidR="00BA5F9B" w:rsidRPr="00BA5F9B" w:rsidRDefault="00BA5F9B" w:rsidP="00926A38">
      <w:pPr>
        <w:spacing w:after="0" w:line="240" w:lineRule="auto"/>
        <w:jc w:val="both"/>
        <w:rPr>
          <w:rFonts w:ascii="Verdana" w:eastAsia="Calibri" w:hAnsi="Verdana" w:cs="Arial"/>
          <w:sz w:val="20"/>
          <w:szCs w:val="20"/>
          <w:lang w:val="es-ES"/>
        </w:rPr>
      </w:pPr>
    </w:p>
    <w:p w14:paraId="6F333C01" w14:textId="3A73AB70" w:rsidR="00926A38" w:rsidRPr="00BA5F9B" w:rsidRDefault="00BA5F9B" w:rsidP="00926A38">
      <w:pPr>
        <w:spacing w:after="0" w:line="240" w:lineRule="auto"/>
        <w:jc w:val="both"/>
        <w:rPr>
          <w:rFonts w:ascii="Verdana" w:eastAsia="Calibri" w:hAnsi="Verdana" w:cs="Arial"/>
          <w:sz w:val="20"/>
          <w:szCs w:val="20"/>
          <w:lang w:val="es-ES"/>
        </w:rPr>
      </w:pPr>
      <w:r w:rsidRPr="00BA5F9B">
        <w:rPr>
          <w:rFonts w:ascii="Verdana" w:eastAsia="Calibri" w:hAnsi="Verdana" w:cs="Arial"/>
          <w:sz w:val="20"/>
          <w:szCs w:val="20"/>
          <w:lang w:val="es-ES"/>
        </w:rPr>
        <w:t xml:space="preserve">[…] </w:t>
      </w:r>
      <w:r w:rsidRPr="00BA5F9B">
        <w:rPr>
          <w:rFonts w:ascii="Verdana" w:eastAsia="Calibri" w:hAnsi="Verdana" w:cs="Arial"/>
          <w:sz w:val="20"/>
          <w:szCs w:val="20"/>
          <w:lang w:val="es-ES"/>
        </w:rPr>
        <w:t>el principio pro libertate es el que debe dirigir la interpretación de las disposiciones normativas que consagran restricciones de derechos, como sucede con las causales de inhabilidad e incompatibilidad en la contratación estatal. Por lo tanto, no es posible llevar a cabo la interpretación extensiva de estas, debiendo preferirse aquella que menos limita el derecho de las personas, salvaguardando el interés general en la contratación pública de manera que implique el menor sacrificio posible al derecho de igualdad</w:t>
      </w:r>
      <w:r w:rsidR="00926A38" w:rsidRPr="00BA5F9B">
        <w:rPr>
          <w:rFonts w:ascii="Verdana" w:eastAsia="Calibri" w:hAnsi="Verdana" w:cs="Arial"/>
          <w:sz w:val="20"/>
          <w:szCs w:val="20"/>
          <w:lang w:val="es-ES"/>
        </w:rPr>
        <w:t>.</w:t>
      </w:r>
    </w:p>
    <w:p w14:paraId="44FD8977" w14:textId="77777777" w:rsidR="00BA5F9B" w:rsidRPr="00BA5F9B" w:rsidRDefault="00BA5F9B" w:rsidP="00926A38">
      <w:pPr>
        <w:spacing w:after="0" w:line="240" w:lineRule="auto"/>
        <w:jc w:val="both"/>
        <w:rPr>
          <w:rFonts w:ascii="Verdana" w:eastAsia="Geomanist Light" w:hAnsi="Verdana" w:cs="Arial"/>
          <w:b/>
          <w:bCs/>
          <w:sz w:val="20"/>
          <w:szCs w:val="20"/>
          <w:lang w:val="es-ES"/>
        </w:rPr>
      </w:pPr>
    </w:p>
    <w:p w14:paraId="57F6DF6A" w14:textId="77777777" w:rsidR="001F5C43" w:rsidRPr="00BA5F9B" w:rsidRDefault="001F5C43" w:rsidP="00605F17">
      <w:pPr>
        <w:spacing w:after="0" w:line="240" w:lineRule="auto"/>
        <w:rPr>
          <w:rFonts w:ascii="Verdana" w:eastAsia="Geomanist Light" w:hAnsi="Verdana" w:cs="Arial"/>
          <w:lang w:val="es-MX"/>
        </w:rPr>
      </w:pPr>
    </w:p>
    <w:p w14:paraId="343193CF" w14:textId="77777777" w:rsidR="001F5C43" w:rsidRDefault="001F5C43" w:rsidP="00605F17">
      <w:pPr>
        <w:spacing w:after="0" w:line="240" w:lineRule="auto"/>
        <w:rPr>
          <w:rFonts w:ascii="Verdana" w:eastAsia="Geomanist Light" w:hAnsi="Verdana" w:cs="Arial"/>
          <w:lang w:val="es-MX"/>
        </w:rPr>
      </w:pPr>
    </w:p>
    <w:p w14:paraId="0A647C01" w14:textId="77777777" w:rsidR="00155F8C" w:rsidRDefault="00155F8C" w:rsidP="00605F17">
      <w:pPr>
        <w:spacing w:after="0" w:line="240" w:lineRule="auto"/>
        <w:rPr>
          <w:rFonts w:ascii="Verdana" w:eastAsia="Geomanist Light" w:hAnsi="Verdana" w:cs="Arial"/>
          <w:color w:val="000000" w:themeColor="text1"/>
          <w:lang w:val="es-MX"/>
        </w:rPr>
      </w:pPr>
    </w:p>
    <w:p w14:paraId="25522B94" w14:textId="67B0EE5D" w:rsidR="00605F17" w:rsidRPr="00AA0A90" w:rsidRDefault="00605F17" w:rsidP="00605F17">
      <w:pPr>
        <w:spacing w:after="0" w:line="240" w:lineRule="auto"/>
        <w:rPr>
          <w:rFonts w:ascii="Verdana" w:eastAsia="Geomanist Light" w:hAnsi="Verdana" w:cs="Arial"/>
          <w:color w:val="201F1E"/>
          <w:lang w:val="es-MX"/>
        </w:rPr>
      </w:pPr>
      <w:r w:rsidRPr="00AA0A90">
        <w:rPr>
          <w:rFonts w:ascii="Verdana" w:eastAsia="Geomanist Light" w:hAnsi="Verdana" w:cs="Arial"/>
          <w:color w:val="000000" w:themeColor="text1"/>
          <w:lang w:val="es-MX"/>
        </w:rPr>
        <w:lastRenderedPageBreak/>
        <w:t>Bogotá D.C., </w:t>
      </w:r>
      <w:r w:rsidR="009179F3">
        <w:rPr>
          <w:rFonts w:ascii="Verdana" w:eastAsia="Geomanist Light" w:hAnsi="Verdana" w:cs="Arial"/>
          <w:color w:val="201F1E"/>
          <w:lang w:val="es-MX"/>
        </w:rPr>
        <w:t>30 de Julio de 2024</w:t>
      </w:r>
    </w:p>
    <w:p w14:paraId="5C5EA33B" w14:textId="55BEEC40" w:rsidR="00605F17" w:rsidRPr="00AA0A90" w:rsidRDefault="00FC7E4C" w:rsidP="00605F17">
      <w:pPr>
        <w:spacing w:after="0" w:line="240" w:lineRule="auto"/>
        <w:jc w:val="both"/>
        <w:rPr>
          <w:rFonts w:ascii="Verdana" w:eastAsia="Calibri" w:hAnsi="Verdana" w:cs="Arial"/>
          <w:color w:val="000000"/>
          <w:lang w:val="es-ES"/>
        </w:rPr>
      </w:pPr>
      <w:r w:rsidRPr="009179F3">
        <w:rPr>
          <w:rFonts w:ascii="Verdana" w:eastAsia="Calibri" w:hAnsi="Verdana" w:cs="Arial"/>
          <w:b/>
          <w:lang w:val="es-ES_tradnl" w:eastAsia="es-ES_tradnl"/>
        </w:rPr>
        <w:drawing>
          <wp:anchor distT="0" distB="0" distL="114300" distR="114300" simplePos="0" relativeHeight="251658240" behindDoc="0" locked="0" layoutInCell="1" allowOverlap="1" wp14:anchorId="1B772BE6" wp14:editId="187A32B6">
            <wp:simplePos x="0" y="0"/>
            <wp:positionH relativeFrom="margin">
              <wp:align>right</wp:align>
            </wp:positionH>
            <wp:positionV relativeFrom="paragraph">
              <wp:posOffset>13970</wp:posOffset>
            </wp:positionV>
            <wp:extent cx="2828925" cy="811778"/>
            <wp:effectExtent l="0" t="0" r="0" b="7620"/>
            <wp:wrapNone/>
            <wp:docPr id="141999274"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99274" name="Imagen 1" descr="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2828925" cy="811778"/>
                    </a:xfrm>
                    <a:prstGeom prst="rect">
                      <a:avLst/>
                    </a:prstGeom>
                  </pic:spPr>
                </pic:pic>
              </a:graphicData>
            </a:graphic>
            <wp14:sizeRelH relativeFrom="margin">
              <wp14:pctWidth>0</wp14:pctWidth>
            </wp14:sizeRelH>
            <wp14:sizeRelV relativeFrom="margin">
              <wp14:pctHeight>0</wp14:pctHeight>
            </wp14:sizeRelV>
          </wp:anchor>
        </w:drawing>
      </w:r>
    </w:p>
    <w:p w14:paraId="35A8FFCD" w14:textId="65BE6F41" w:rsidR="00605F17" w:rsidRPr="00AA0A90" w:rsidRDefault="00605F17" w:rsidP="00605F17">
      <w:pPr>
        <w:spacing w:after="0" w:line="240" w:lineRule="auto"/>
        <w:jc w:val="both"/>
        <w:rPr>
          <w:rFonts w:ascii="Verdana" w:eastAsia="Calibri" w:hAnsi="Verdana" w:cs="Arial"/>
          <w:lang w:val="es-ES" w:eastAsia="es-ES"/>
        </w:rPr>
      </w:pPr>
      <w:r w:rsidRPr="00AA0A90">
        <w:rPr>
          <w:rFonts w:ascii="Verdana" w:eastAsia="Calibri" w:hAnsi="Verdana" w:cs="Arial"/>
          <w:lang w:val="es-ES" w:eastAsia="es-ES"/>
        </w:rPr>
        <w:t>Señora</w:t>
      </w:r>
    </w:p>
    <w:p w14:paraId="2F6A2E7F" w14:textId="30276803" w:rsidR="00605F17" w:rsidRPr="00AA0A90" w:rsidRDefault="00605F17" w:rsidP="00605F17">
      <w:pPr>
        <w:spacing w:after="0" w:line="240" w:lineRule="auto"/>
        <w:rPr>
          <w:rFonts w:ascii="Verdana" w:eastAsia="Calibri" w:hAnsi="Verdana" w:cs="Arial"/>
          <w:b/>
          <w:lang w:val="es-ES_tradnl" w:eastAsia="es-ES_tradnl"/>
        </w:rPr>
      </w:pPr>
      <w:r w:rsidRPr="00AA0A90">
        <w:rPr>
          <w:rFonts w:ascii="Verdana" w:eastAsia="Calibri" w:hAnsi="Verdana" w:cs="Arial"/>
          <w:b/>
          <w:lang w:val="es-ES_tradnl" w:eastAsia="es-ES_tradnl"/>
        </w:rPr>
        <w:t>María Camila Burgos Jiménez</w:t>
      </w:r>
      <w:r w:rsidR="009179F3" w:rsidRPr="009179F3">
        <w:rPr>
          <w:noProof/>
        </w:rPr>
        <w:t xml:space="preserve"> </w:t>
      </w:r>
    </w:p>
    <w:p w14:paraId="17867B81" w14:textId="77777777" w:rsidR="00605F17" w:rsidRPr="00AA0A90" w:rsidRDefault="00155F8C" w:rsidP="00605F17">
      <w:pPr>
        <w:spacing w:after="0" w:line="240" w:lineRule="auto"/>
        <w:rPr>
          <w:rFonts w:ascii="Verdana" w:eastAsia="Calibri" w:hAnsi="Verdana" w:cs="Arial"/>
          <w:color w:val="4472C4" w:themeColor="accent1"/>
          <w:u w:val="single"/>
          <w:lang w:val="es-ES" w:eastAsia="es-ES"/>
        </w:rPr>
      </w:pPr>
      <w:hyperlink r:id="rId12" w:history="1">
        <w:r w:rsidR="00605F17" w:rsidRPr="00AA0A90">
          <w:rPr>
            <w:rStyle w:val="Hipervnculo"/>
            <w:rFonts w:ascii="Verdana" w:eastAsia="Calibri" w:hAnsi="Verdana" w:cs="Arial"/>
            <w:color w:val="4472C4" w:themeColor="accent1"/>
            <w:lang w:val="es-ES" w:eastAsia="es-ES"/>
          </w:rPr>
          <w:t>mariacamilaburgos7@hotmail.com</w:t>
        </w:r>
      </w:hyperlink>
      <w:r w:rsidR="00605F17" w:rsidRPr="00AA0A90">
        <w:rPr>
          <w:rFonts w:ascii="Verdana" w:eastAsia="Calibri" w:hAnsi="Verdana" w:cs="Arial"/>
          <w:color w:val="4472C4" w:themeColor="accent1"/>
          <w:u w:val="single"/>
          <w:lang w:val="es-ES" w:eastAsia="es-ES"/>
        </w:rPr>
        <w:t xml:space="preserve"> </w:t>
      </w:r>
    </w:p>
    <w:p w14:paraId="1D3CD4A3" w14:textId="77777777" w:rsidR="00605F17" w:rsidRPr="00AA0A90" w:rsidRDefault="00605F17" w:rsidP="00605F17">
      <w:pPr>
        <w:spacing w:after="0" w:line="240" w:lineRule="auto"/>
        <w:rPr>
          <w:rFonts w:ascii="Verdana" w:eastAsia="Calibri" w:hAnsi="Verdana" w:cs="Arial"/>
          <w:b/>
          <w:bCs/>
          <w:lang w:val="es-ES" w:eastAsia="es-ES"/>
        </w:rPr>
      </w:pPr>
      <w:r w:rsidRPr="00AA0A90">
        <w:rPr>
          <w:rFonts w:ascii="Verdana" w:eastAsia="Calibri" w:hAnsi="Verdana" w:cs="Arial"/>
          <w:lang w:val="es-ES" w:eastAsia="es-ES"/>
        </w:rPr>
        <w:t>El Tambo, Nariño</w:t>
      </w:r>
    </w:p>
    <w:p w14:paraId="41B643B6" w14:textId="77777777" w:rsidR="00605F17" w:rsidRPr="00AA0A90" w:rsidRDefault="00605F17" w:rsidP="00605F17">
      <w:pPr>
        <w:spacing w:after="0" w:line="240" w:lineRule="auto"/>
        <w:rPr>
          <w:rFonts w:ascii="Verdana" w:eastAsia="Calibri" w:hAnsi="Verdana" w:cs="Arial"/>
          <w:b/>
          <w:bCs/>
          <w:color w:val="000000"/>
          <w:lang w:val="es-ES_tradnl" w:eastAsia="es-ES_tradnl"/>
        </w:rPr>
      </w:pPr>
    </w:p>
    <w:p w14:paraId="0850766F" w14:textId="77777777" w:rsidR="00605F17" w:rsidRPr="00AA0A90" w:rsidRDefault="00605F17" w:rsidP="00605F17">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605F17" w:rsidRPr="00AA0A90" w14:paraId="4D87C4F7" w14:textId="77777777" w:rsidTr="0064021E">
        <w:trPr>
          <w:trHeight w:val="884"/>
        </w:trPr>
        <w:tc>
          <w:tcPr>
            <w:tcW w:w="2689" w:type="dxa"/>
          </w:tcPr>
          <w:p w14:paraId="11DC4796" w14:textId="77777777" w:rsidR="00605F17" w:rsidRPr="00AA0A90" w:rsidRDefault="00605F17" w:rsidP="0064021E">
            <w:pPr>
              <w:jc w:val="both"/>
              <w:rPr>
                <w:rFonts w:ascii="Verdana" w:eastAsia="Calibri" w:hAnsi="Verdana" w:cs="Arial"/>
                <w:b/>
                <w:bCs/>
                <w:lang w:val="es-ES_tradnl" w:eastAsia="es-ES_tradnl"/>
              </w:rPr>
            </w:pPr>
          </w:p>
        </w:tc>
        <w:tc>
          <w:tcPr>
            <w:tcW w:w="6100" w:type="dxa"/>
          </w:tcPr>
          <w:p w14:paraId="4AB2EF01" w14:textId="77777777" w:rsidR="00605F17" w:rsidRPr="00AA0A90" w:rsidRDefault="00605F17" w:rsidP="0064021E">
            <w:pPr>
              <w:jc w:val="both"/>
              <w:rPr>
                <w:rFonts w:ascii="Verdana" w:eastAsia="Calibri" w:hAnsi="Verdana" w:cs="Arial"/>
                <w:b/>
                <w:bCs/>
                <w:lang w:val="es-ES" w:eastAsia="es-ES"/>
              </w:rPr>
            </w:pPr>
            <w:r w:rsidRPr="00AA0A90">
              <w:rPr>
                <w:rFonts w:ascii="Verdana" w:eastAsia="Calibri" w:hAnsi="Verdana" w:cs="Arial"/>
                <w:b/>
                <w:bCs/>
                <w:lang w:val="es-ES" w:eastAsia="es-ES"/>
              </w:rPr>
              <w:t>Concepto C- 185 de 2024</w:t>
            </w:r>
          </w:p>
        </w:tc>
      </w:tr>
      <w:tr w:rsidR="00605F17" w:rsidRPr="00AA0A90" w14:paraId="0754AFEB" w14:textId="77777777" w:rsidTr="0064021E">
        <w:trPr>
          <w:trHeight w:val="884"/>
        </w:trPr>
        <w:tc>
          <w:tcPr>
            <w:tcW w:w="2689" w:type="dxa"/>
          </w:tcPr>
          <w:p w14:paraId="6C9C1C22" w14:textId="77777777" w:rsidR="00605F17" w:rsidRPr="00AA0A90" w:rsidRDefault="00605F17" w:rsidP="0064021E">
            <w:pPr>
              <w:jc w:val="both"/>
              <w:rPr>
                <w:rFonts w:ascii="Verdana" w:eastAsia="Calibri" w:hAnsi="Verdana" w:cs="Arial"/>
                <w:lang w:val="es-ES_tradnl" w:eastAsia="es-ES_tradnl"/>
              </w:rPr>
            </w:pPr>
            <w:r w:rsidRPr="00AA0A90">
              <w:rPr>
                <w:rFonts w:ascii="Verdana" w:eastAsia="Calibri" w:hAnsi="Verdana" w:cs="Arial"/>
                <w:b/>
                <w:lang w:val="es-ES_tradnl" w:eastAsia="es-ES_tradnl"/>
              </w:rPr>
              <w:t>Temas:</w:t>
            </w:r>
            <w:r w:rsidRPr="00AA0A90">
              <w:rPr>
                <w:rFonts w:ascii="Verdana" w:eastAsia="Calibri" w:hAnsi="Verdana" w:cs="Arial"/>
                <w:lang w:val="es-ES_tradnl" w:eastAsia="es-ES_tradnl"/>
              </w:rPr>
              <w:t xml:space="preserve">                   </w:t>
            </w:r>
          </w:p>
        </w:tc>
        <w:tc>
          <w:tcPr>
            <w:tcW w:w="6100" w:type="dxa"/>
          </w:tcPr>
          <w:p w14:paraId="3BF02D7A" w14:textId="77777777" w:rsidR="00605F17" w:rsidRPr="00AA0A90" w:rsidRDefault="00605F17" w:rsidP="0064021E">
            <w:pPr>
              <w:spacing w:line="276" w:lineRule="auto"/>
              <w:jc w:val="both"/>
              <w:rPr>
                <w:rFonts w:ascii="Verdana" w:eastAsia="Calibri" w:hAnsi="Verdana" w:cs="Arial"/>
                <w:lang w:val="es-ES" w:eastAsia="es-ES"/>
              </w:rPr>
            </w:pPr>
            <w:r w:rsidRPr="00AA0A90">
              <w:rPr>
                <w:rFonts w:ascii="Verdana" w:eastAsia="Calibri" w:hAnsi="Verdana" w:cs="Arial"/>
                <w:lang w:val="es-ES" w:eastAsia="es-ES"/>
              </w:rPr>
              <w:t xml:space="preserve">INHABILIDADES E INCOMPATIBILIDADES ― Límites a la capacidad ― Régimen / </w:t>
            </w:r>
            <w:bookmarkStart w:id="0" w:name="_Hlk174096995"/>
            <w:r w:rsidRPr="00AA0A90">
              <w:rPr>
                <w:rFonts w:ascii="Verdana" w:eastAsia="Calibri" w:hAnsi="Verdana" w:cs="Arial"/>
                <w:lang w:val="es-ES" w:eastAsia="es-ES"/>
              </w:rPr>
              <w:t>INHABILIDADES E INCOMPATIBILIDADES ― Concepto</w:t>
            </w:r>
            <w:bookmarkEnd w:id="0"/>
            <w:r w:rsidRPr="00AA0A90">
              <w:rPr>
                <w:rFonts w:ascii="Verdana" w:eastAsia="Calibri" w:hAnsi="Verdana" w:cs="Arial"/>
                <w:lang w:val="es-ES" w:eastAsia="es-ES"/>
              </w:rPr>
              <w:t xml:space="preserve"> / INHABILIDADES E INCOMPATIBILIDADES ― Interpretación restrictiva ― Principio pro libertate / INHABILIDADES ― Interpretación restrictiva ― Artículo 8 ― Ley 80 de 1993</w:t>
            </w:r>
          </w:p>
          <w:p w14:paraId="080D752B" w14:textId="77777777" w:rsidR="00605F17" w:rsidRPr="00AA0A90" w:rsidRDefault="00605F17" w:rsidP="0064021E">
            <w:pPr>
              <w:spacing w:line="276" w:lineRule="auto"/>
              <w:jc w:val="both"/>
              <w:rPr>
                <w:rFonts w:ascii="Verdana" w:eastAsia="Calibri" w:hAnsi="Verdana" w:cs="Arial"/>
                <w:lang w:val="es-ES" w:eastAsia="es-ES"/>
              </w:rPr>
            </w:pPr>
          </w:p>
        </w:tc>
      </w:tr>
      <w:tr w:rsidR="00605F17" w:rsidRPr="00AA0A90" w14:paraId="5F400CA6" w14:textId="77777777" w:rsidTr="0064021E">
        <w:tc>
          <w:tcPr>
            <w:tcW w:w="2689" w:type="dxa"/>
          </w:tcPr>
          <w:p w14:paraId="56ED6DD0" w14:textId="77777777" w:rsidR="00605F17" w:rsidRPr="00AA0A90" w:rsidRDefault="00605F17" w:rsidP="0064021E">
            <w:pPr>
              <w:jc w:val="both"/>
              <w:rPr>
                <w:rFonts w:ascii="Verdana" w:eastAsia="Calibri" w:hAnsi="Verdana" w:cs="Arial"/>
                <w:b/>
                <w:lang w:val="es-ES_tradnl" w:eastAsia="es-ES_tradnl"/>
              </w:rPr>
            </w:pPr>
            <w:r w:rsidRPr="00AA0A90">
              <w:rPr>
                <w:rFonts w:ascii="Verdana" w:eastAsia="Calibri" w:hAnsi="Verdana" w:cs="Arial"/>
                <w:b/>
                <w:lang w:val="es-ES_tradnl" w:eastAsia="es-ES_tradnl"/>
              </w:rPr>
              <w:t>Radicación:</w:t>
            </w:r>
            <w:r w:rsidRPr="00AA0A90">
              <w:rPr>
                <w:rFonts w:ascii="Verdana" w:eastAsia="Calibri" w:hAnsi="Verdana" w:cs="Arial"/>
                <w:lang w:val="es-ES_tradnl" w:eastAsia="es-ES_tradnl"/>
              </w:rPr>
              <w:t xml:space="preserve">               </w:t>
            </w:r>
          </w:p>
        </w:tc>
        <w:tc>
          <w:tcPr>
            <w:tcW w:w="6100" w:type="dxa"/>
          </w:tcPr>
          <w:p w14:paraId="6D9A9B2D" w14:textId="77777777" w:rsidR="00605F17" w:rsidRPr="00AA0A90" w:rsidRDefault="00605F17" w:rsidP="0064021E">
            <w:pPr>
              <w:jc w:val="both"/>
              <w:rPr>
                <w:rFonts w:ascii="Verdana" w:eastAsia="Calibri" w:hAnsi="Verdana" w:cs="Arial"/>
                <w:lang w:val="es-ES_tradnl" w:eastAsia="es-ES_tradnl"/>
              </w:rPr>
            </w:pPr>
            <w:r w:rsidRPr="00AA0A90">
              <w:rPr>
                <w:rFonts w:ascii="Verdana" w:eastAsia="Calibri" w:hAnsi="Verdana" w:cs="Arial"/>
                <w:lang w:val="es-ES_tradnl" w:eastAsia="es-ES_tradnl"/>
              </w:rPr>
              <w:t>Respuesta a consulta con radicado No. P20240618006188</w:t>
            </w:r>
          </w:p>
        </w:tc>
      </w:tr>
    </w:tbl>
    <w:p w14:paraId="37322D86" w14:textId="77777777" w:rsidR="00605F17" w:rsidRPr="00AA0A90" w:rsidRDefault="00605F17" w:rsidP="00605F17">
      <w:pPr>
        <w:spacing w:after="0" w:line="240" w:lineRule="auto"/>
        <w:jc w:val="both"/>
        <w:rPr>
          <w:rFonts w:ascii="Verdana" w:eastAsia="Calibri" w:hAnsi="Verdana" w:cs="Arial"/>
          <w:lang w:val="es-ES_tradnl" w:eastAsia="es-ES_tradnl"/>
        </w:rPr>
      </w:pPr>
    </w:p>
    <w:p w14:paraId="1B0932C4" w14:textId="77777777" w:rsidR="00605F17" w:rsidRPr="00AA0A90" w:rsidRDefault="00605F17" w:rsidP="00605F17">
      <w:pPr>
        <w:spacing w:after="0" w:line="240" w:lineRule="auto"/>
        <w:jc w:val="both"/>
        <w:rPr>
          <w:rFonts w:ascii="Verdana" w:eastAsia="Calibri" w:hAnsi="Verdana" w:cs="Arial"/>
          <w:lang w:val="es-ES_tradnl" w:eastAsia="es-ES_tradnl"/>
        </w:rPr>
      </w:pPr>
    </w:p>
    <w:p w14:paraId="4AED4ED0" w14:textId="77777777" w:rsidR="00605F17" w:rsidRPr="00AA0A90" w:rsidRDefault="00605F17" w:rsidP="00605F17">
      <w:pPr>
        <w:spacing w:after="0" w:line="276" w:lineRule="auto"/>
        <w:jc w:val="both"/>
        <w:rPr>
          <w:rFonts w:ascii="Verdana" w:eastAsia="Calibri" w:hAnsi="Verdana" w:cs="Arial"/>
          <w:lang w:val="es-ES" w:eastAsia="es-ES"/>
        </w:rPr>
      </w:pPr>
      <w:r w:rsidRPr="00AA0A90">
        <w:rPr>
          <w:rFonts w:ascii="Verdana" w:eastAsia="Calibri" w:hAnsi="Verdana" w:cs="Arial"/>
          <w:lang w:val="es-ES" w:eastAsia="es-ES"/>
        </w:rPr>
        <w:t xml:space="preserve">Estimado señora María Camila: </w:t>
      </w:r>
    </w:p>
    <w:p w14:paraId="0CF55197" w14:textId="77777777" w:rsidR="00605F17" w:rsidRPr="00AA0A90" w:rsidRDefault="00605F17" w:rsidP="00605F17">
      <w:pPr>
        <w:tabs>
          <w:tab w:val="left" w:pos="3768"/>
        </w:tabs>
        <w:spacing w:after="0" w:line="276" w:lineRule="auto"/>
        <w:jc w:val="both"/>
        <w:rPr>
          <w:rFonts w:ascii="Verdana" w:eastAsia="Calibri" w:hAnsi="Verdana" w:cs="Arial"/>
          <w:lang w:val="es-ES" w:eastAsia="es-ES"/>
        </w:rPr>
      </w:pPr>
      <w:r w:rsidRPr="00AA0A90">
        <w:rPr>
          <w:rFonts w:ascii="Verdana" w:eastAsia="Calibri" w:hAnsi="Verdana" w:cs="Arial"/>
          <w:lang w:val="es-ES" w:eastAsia="es-ES"/>
        </w:rPr>
        <w:tab/>
      </w:r>
    </w:p>
    <w:p w14:paraId="3A47C108" w14:textId="77777777" w:rsidR="00605F17" w:rsidRPr="00AA0A90" w:rsidRDefault="00605F17" w:rsidP="00605F17">
      <w:pPr>
        <w:spacing w:after="0" w:line="276" w:lineRule="auto"/>
        <w:jc w:val="both"/>
        <w:rPr>
          <w:rFonts w:ascii="Verdana" w:eastAsia="Calibri" w:hAnsi="Verdana" w:cs="Arial"/>
          <w:lang w:val="es-ES" w:eastAsia="es-ES"/>
        </w:rPr>
      </w:pPr>
      <w:r w:rsidRPr="00AA0A90">
        <w:rPr>
          <w:rFonts w:ascii="Verdana" w:eastAsia="Calibri" w:hAnsi="Verdana" w:cs="Arial"/>
          <w:lang w:val="es-ES" w:eastAsia="es-ES"/>
        </w:rPr>
        <w:t>En ejercicio de la competencia otorgada por los artículos 3, numeral 5º, y 11, numeral 8º, del Decreto Ley 4170 de 2011,</w:t>
      </w:r>
      <w:r w:rsidRPr="00AA0A90">
        <w:rPr>
          <w:rFonts w:ascii="Verdana" w:eastAsia="Arial MT" w:hAnsi="Verdana" w:cs="Arial MT"/>
          <w:lang w:val="es-ES" w:eastAsia="es-ES"/>
        </w:rPr>
        <w:t xml:space="preserve"> </w:t>
      </w:r>
      <w:r w:rsidRPr="00AA0A90">
        <w:rPr>
          <w:rFonts w:ascii="Verdana" w:hAnsi="Verdana" w:cs="Arial"/>
        </w:rPr>
        <w:t xml:space="preserve">así como lo establecido en el artículo 4 de la Resolución 1707 de 2018 expedida por esta Entidad, </w:t>
      </w:r>
      <w:r w:rsidRPr="00AA0A90">
        <w:rPr>
          <w:rFonts w:ascii="Verdana" w:eastAsia="Calibri" w:hAnsi="Verdana" w:cs="Arial"/>
          <w:lang w:val="es-ES" w:eastAsia="es-ES"/>
        </w:rPr>
        <w:t xml:space="preserve">la Agencia Nacional de Contratación Pública – Colombia Compra Eficiente– responde su solicitud de consulta de fecha 18 de junio de 2024, en la cual manifiesta lo siguiente: </w:t>
      </w:r>
    </w:p>
    <w:p w14:paraId="6DC52C11" w14:textId="77777777" w:rsidR="00605F17" w:rsidRPr="00AA0A90" w:rsidRDefault="00605F17" w:rsidP="00605F17">
      <w:pPr>
        <w:pStyle w:val="Prrafodelista"/>
        <w:tabs>
          <w:tab w:val="left" w:pos="142"/>
          <w:tab w:val="left" w:pos="284"/>
        </w:tabs>
        <w:spacing w:line="276" w:lineRule="auto"/>
        <w:ind w:left="0"/>
        <w:jc w:val="both"/>
        <w:rPr>
          <w:rFonts w:ascii="Verdana" w:eastAsia="Century Gothic" w:hAnsi="Verdana" w:cs="Century Gothic"/>
          <w:b/>
          <w:bCs/>
        </w:rPr>
      </w:pPr>
    </w:p>
    <w:p w14:paraId="4038720D" w14:textId="77777777" w:rsidR="00605F17" w:rsidRPr="00AA0A90" w:rsidRDefault="00605F17" w:rsidP="00605F17">
      <w:pPr>
        <w:spacing w:after="0" w:line="240" w:lineRule="auto"/>
        <w:ind w:left="709" w:right="709"/>
        <w:jc w:val="both"/>
        <w:rPr>
          <w:rFonts w:ascii="Verdana" w:eastAsia="Century Gothic" w:hAnsi="Verdana" w:cs="Century Gothic"/>
          <w:sz w:val="20"/>
          <w:szCs w:val="20"/>
          <w:lang w:val="es-ES"/>
        </w:rPr>
      </w:pPr>
      <w:bookmarkStart w:id="1" w:name="_Hlk95313578"/>
      <w:r w:rsidRPr="00AA0A90">
        <w:rPr>
          <w:rFonts w:ascii="Verdana" w:eastAsia="Century Gothic" w:hAnsi="Verdana" w:cs="Century Gothic"/>
          <w:sz w:val="20"/>
          <w:szCs w:val="20"/>
          <w:lang w:val="es-ES"/>
        </w:rPr>
        <w:t>“</w:t>
      </w:r>
      <w:r w:rsidRPr="00AA0A90">
        <w:rPr>
          <w:rStyle w:val="normaltextrun"/>
          <w:rFonts w:ascii="Verdana" w:hAnsi="Verdana" w:cs="Arial"/>
          <w:sz w:val="20"/>
          <w:szCs w:val="20"/>
          <w:shd w:val="clear" w:color="auto" w:fill="FFFFFF"/>
          <w:lang w:val="es-ES"/>
        </w:rPr>
        <w:t>Una persona natural dentro de sus medidas correctivas de la policía tiene un expediente activo y no ha cumplido con la imposición, ¿puede contratar con una entidad pública?</w:t>
      </w:r>
      <w:r w:rsidRPr="00AA0A90">
        <w:rPr>
          <w:rFonts w:ascii="Verdana" w:eastAsia="Century Gothic" w:hAnsi="Verdana" w:cs="Century Gothic"/>
          <w:sz w:val="20"/>
          <w:szCs w:val="20"/>
          <w:lang w:val="es-ES"/>
        </w:rPr>
        <w:t>”</w:t>
      </w:r>
      <w:bookmarkEnd w:id="1"/>
      <w:r w:rsidRPr="00AA0A90">
        <w:rPr>
          <w:rFonts w:ascii="Verdana" w:eastAsia="Century Gothic" w:hAnsi="Verdana" w:cs="Century Gothic"/>
          <w:sz w:val="20"/>
          <w:szCs w:val="20"/>
          <w:lang w:val="es-ES"/>
        </w:rPr>
        <w:t>.</w:t>
      </w:r>
    </w:p>
    <w:p w14:paraId="507C2986" w14:textId="77777777" w:rsidR="00605F17" w:rsidRPr="00AA0A90" w:rsidRDefault="00605F17" w:rsidP="00605F17">
      <w:pPr>
        <w:pStyle w:val="Prrafodelista"/>
        <w:tabs>
          <w:tab w:val="left" w:pos="142"/>
          <w:tab w:val="left" w:pos="284"/>
        </w:tabs>
        <w:spacing w:line="276" w:lineRule="auto"/>
        <w:ind w:left="0"/>
        <w:jc w:val="both"/>
        <w:rPr>
          <w:rFonts w:ascii="Verdana" w:eastAsia="Century Gothic" w:hAnsi="Verdana" w:cs="Century Gothic"/>
          <w:b/>
          <w:bCs/>
        </w:rPr>
      </w:pPr>
    </w:p>
    <w:p w14:paraId="4651DA7D" w14:textId="77777777" w:rsidR="00605F17" w:rsidRPr="00AA0A90" w:rsidRDefault="00605F17" w:rsidP="00605F17">
      <w:pPr>
        <w:spacing w:after="120" w:line="276" w:lineRule="auto"/>
        <w:ind w:firstLine="709"/>
        <w:jc w:val="both"/>
        <w:rPr>
          <w:rFonts w:ascii="Verdana" w:eastAsia="Calibri" w:hAnsi="Verdana" w:cs="Arial"/>
          <w:szCs w:val="24"/>
          <w:lang w:val="es-ES_tradnl" w:eastAsia="es-ES_tradnl"/>
        </w:rPr>
      </w:pPr>
      <w:r w:rsidRPr="00AA0A90">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w:t>
      </w:r>
      <w:r w:rsidRPr="00AA0A90">
        <w:rPr>
          <w:rFonts w:ascii="Verdana" w:eastAsia="Calibri" w:hAnsi="Verdana" w:cs="Arial"/>
          <w:lang w:val="es-ES" w:eastAsia="es-ES"/>
        </w:rPr>
        <w:lastRenderedPageBreak/>
        <w:t xml:space="preserve">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AA0A90">
        <w:rPr>
          <w:rFonts w:ascii="Verdana" w:eastAsia="Calibri" w:hAnsi="Verdana" w:cs="Arial"/>
          <w:szCs w:val="24"/>
          <w:lang w:val="es-ES_tradnl" w:eastAsia="es-ES_tradnl"/>
        </w:rPr>
        <w:tab/>
      </w:r>
    </w:p>
    <w:p w14:paraId="4D37BAF6" w14:textId="77777777" w:rsidR="00605F17" w:rsidRPr="00AA0A90" w:rsidRDefault="00605F17" w:rsidP="00605F17">
      <w:pPr>
        <w:spacing w:after="0" w:line="276" w:lineRule="auto"/>
        <w:ind w:firstLine="709"/>
        <w:jc w:val="both"/>
        <w:rPr>
          <w:rFonts w:ascii="Verdana" w:eastAsia="Calibri" w:hAnsi="Verdana" w:cs="Arial"/>
          <w:lang w:val="es-ES" w:eastAsia="es-ES"/>
        </w:rPr>
      </w:pPr>
      <w:r w:rsidRPr="00AA0A90">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6E0C4921" w14:textId="77777777" w:rsidR="00605F17" w:rsidRPr="00AA0A90" w:rsidRDefault="00605F17" w:rsidP="00605F17">
      <w:pPr>
        <w:spacing w:after="0" w:line="276" w:lineRule="auto"/>
        <w:ind w:firstLine="709"/>
        <w:jc w:val="both"/>
        <w:rPr>
          <w:rFonts w:ascii="Verdana" w:eastAsia="Calibri" w:hAnsi="Verdana" w:cs="Arial"/>
          <w:lang w:val="es-ES" w:eastAsia="es-ES"/>
        </w:rPr>
      </w:pPr>
    </w:p>
    <w:p w14:paraId="685E680E" w14:textId="77777777" w:rsidR="00605F17" w:rsidRPr="00AA0A90" w:rsidRDefault="00605F17" w:rsidP="00605F17">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AA0A90">
        <w:rPr>
          <w:rFonts w:ascii="Verdana" w:eastAsia="Century Gothic" w:hAnsi="Verdana" w:cs="Century Gothic"/>
          <w:b/>
          <w:bCs/>
        </w:rPr>
        <w:t>Problema planteado:</w:t>
      </w:r>
    </w:p>
    <w:p w14:paraId="08CABEAD" w14:textId="77777777" w:rsidR="00605F17" w:rsidRPr="00AA0A90" w:rsidRDefault="00605F17" w:rsidP="00605F17">
      <w:pPr>
        <w:tabs>
          <w:tab w:val="left" w:pos="426"/>
        </w:tabs>
        <w:spacing w:after="0" w:line="276" w:lineRule="auto"/>
        <w:jc w:val="both"/>
        <w:rPr>
          <w:rFonts w:ascii="Verdana" w:eastAsia="Century Gothic" w:hAnsi="Verdana" w:cs="Century Gothic"/>
          <w:lang w:val="es-ES"/>
        </w:rPr>
      </w:pPr>
    </w:p>
    <w:p w14:paraId="6501A14D" w14:textId="77777777" w:rsidR="00605F17" w:rsidRPr="00AA0A90" w:rsidRDefault="00605F17" w:rsidP="00605F17">
      <w:pPr>
        <w:spacing w:after="0" w:line="276" w:lineRule="auto"/>
        <w:jc w:val="both"/>
        <w:rPr>
          <w:rFonts w:ascii="Verdana" w:eastAsia="Century Gothic" w:hAnsi="Verdana" w:cs="Century Gothic"/>
        </w:rPr>
      </w:pPr>
      <w:r w:rsidRPr="00AA0A90">
        <w:rPr>
          <w:rFonts w:ascii="Verdana" w:eastAsia="Century Gothic" w:hAnsi="Verdana" w:cs="Century Gothic"/>
        </w:rPr>
        <w:t xml:space="preserve">De acuerdo con el contenido de su solicitud, esta Agencia resolverá el siguiente problema jurídico: ¿la incursión en una sanción por medidas correctivas configura una inhabilidad para contratar con el estado? </w:t>
      </w:r>
    </w:p>
    <w:p w14:paraId="0A95F87E" w14:textId="77777777" w:rsidR="00605F17" w:rsidRPr="00AA0A90" w:rsidRDefault="00605F17" w:rsidP="00605F17">
      <w:pPr>
        <w:spacing w:after="0" w:line="276" w:lineRule="auto"/>
        <w:jc w:val="both"/>
        <w:rPr>
          <w:rFonts w:ascii="Verdana" w:eastAsia="Calibri" w:hAnsi="Verdana" w:cs="Arial"/>
          <w:lang w:val="es-ES"/>
        </w:rPr>
      </w:pPr>
    </w:p>
    <w:p w14:paraId="366AB45E" w14:textId="77777777" w:rsidR="00605F17" w:rsidRPr="00AA0A90" w:rsidRDefault="00605F17" w:rsidP="00605F1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AA0A90">
        <w:rPr>
          <w:rFonts w:ascii="Verdana" w:eastAsia="Century Gothic" w:hAnsi="Verdana" w:cs="Century Gothic"/>
          <w:b/>
          <w:bCs/>
        </w:rPr>
        <w:t>Respuesta:</w:t>
      </w:r>
    </w:p>
    <w:p w14:paraId="369655A3" w14:textId="77777777" w:rsidR="00605F17" w:rsidRPr="00AA0A90" w:rsidRDefault="00605F17" w:rsidP="00605F17">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05F17" w:rsidRPr="00AA0A90" w14:paraId="42AE611D" w14:textId="77777777" w:rsidTr="0064021E">
        <w:tc>
          <w:tcPr>
            <w:tcW w:w="8828" w:type="dxa"/>
            <w:shd w:val="clear" w:color="auto" w:fill="auto"/>
          </w:tcPr>
          <w:p w14:paraId="48A2DC9E" w14:textId="0ACA23F5" w:rsidR="008F493B" w:rsidRPr="00AA0A90" w:rsidRDefault="00605F17" w:rsidP="0064021E">
            <w:pPr>
              <w:spacing w:line="276" w:lineRule="auto"/>
              <w:jc w:val="both"/>
              <w:rPr>
                <w:rFonts w:ascii="Verdana" w:eastAsia="Times New Roman" w:hAnsi="Verdana" w:cs="Arial"/>
                <w:lang w:val="es-ES_tradnl" w:eastAsia="es-ES"/>
              </w:rPr>
            </w:pPr>
            <w:r w:rsidRPr="00AA0A90">
              <w:rPr>
                <w:rFonts w:ascii="Verdana" w:eastAsia="Calibri" w:hAnsi="Verdana" w:cs="Arial"/>
                <w:lang w:val="es-ES"/>
              </w:rPr>
              <w:t xml:space="preserve">Las </w:t>
            </w:r>
            <w:r w:rsidRPr="00AA0A90">
              <w:rPr>
                <w:rFonts w:ascii="Verdana" w:eastAsia="Times New Roman" w:hAnsi="Verdana" w:cs="Arial"/>
                <w:lang w:val="es-ES_tradnl" w:eastAsia="es-ES"/>
              </w:rPr>
              <w:t>inhabilidades e incompatibilidades son restricciones que establece el legislador para limitar la capacidad de contratación de las personas naturales o jurídicas para contratar con el estado</w:t>
            </w:r>
            <w:r w:rsidR="008F493B" w:rsidRPr="00AA0A90">
              <w:rPr>
                <w:rFonts w:ascii="Verdana" w:eastAsia="Times New Roman" w:hAnsi="Verdana" w:cs="Arial"/>
                <w:lang w:val="es-ES_tradnl" w:eastAsia="es-ES"/>
              </w:rPr>
              <w:t xml:space="preserve">, estas son </w:t>
            </w:r>
            <w:r w:rsidR="008F493B" w:rsidRPr="00AA0A90">
              <w:rPr>
                <w:rFonts w:ascii="Verdana" w:eastAsia="Times New Roman" w:hAnsi="Verdana" w:cs="Arial"/>
                <w:lang w:eastAsia="es-ES"/>
              </w:rPr>
              <w:t xml:space="preserve">son taxativas, expresas y </w:t>
            </w:r>
            <w:r w:rsidRPr="00AA0A90">
              <w:rPr>
                <w:rFonts w:ascii="Verdana" w:eastAsia="Times New Roman" w:hAnsi="Verdana" w:cs="Arial"/>
                <w:lang w:val="es-ES_tradnl" w:eastAsia="es-ES"/>
              </w:rPr>
              <w:t xml:space="preserve">gozan de una interpretación restrictiva, la cual excluye cualquier analogía o entendimiento de la norma alejado a lo estrictamente expresado en la Ley. </w:t>
            </w:r>
          </w:p>
          <w:p w14:paraId="4B3CC201" w14:textId="77777777" w:rsidR="008F493B" w:rsidRPr="00AA0A90" w:rsidRDefault="008F493B" w:rsidP="0064021E">
            <w:pPr>
              <w:spacing w:line="276" w:lineRule="auto"/>
              <w:jc w:val="both"/>
              <w:rPr>
                <w:rFonts w:ascii="Verdana" w:eastAsia="Times New Roman" w:hAnsi="Verdana" w:cs="Arial"/>
                <w:lang w:val="es-ES_tradnl" w:eastAsia="es-ES"/>
              </w:rPr>
            </w:pPr>
          </w:p>
          <w:p w14:paraId="40601FBD" w14:textId="7E2E8D81" w:rsidR="00605F17" w:rsidRPr="00AA0A90" w:rsidRDefault="00605F17" w:rsidP="0064021E">
            <w:pPr>
              <w:spacing w:line="276" w:lineRule="auto"/>
              <w:jc w:val="both"/>
              <w:rPr>
                <w:rFonts w:ascii="Verdana" w:eastAsia="Calibri" w:hAnsi="Verdana" w:cs="Arial"/>
                <w:lang w:val="es-ES"/>
              </w:rPr>
            </w:pPr>
            <w:r w:rsidRPr="00AA0A90">
              <w:rPr>
                <w:rFonts w:ascii="Verdana" w:eastAsia="Times New Roman" w:hAnsi="Verdana" w:cs="Arial"/>
                <w:lang w:val="es-ES_tradnl" w:eastAsia="es-ES"/>
              </w:rPr>
              <w:t xml:space="preserve">Por lo tanto, respecto al objeto de su consulta, dentro del </w:t>
            </w:r>
            <w:r w:rsidRPr="00AA0A90">
              <w:rPr>
                <w:rFonts w:ascii="Verdana" w:eastAsia="Calibri" w:hAnsi="Verdana" w:cs="Arial"/>
                <w:lang w:val="es-ES"/>
              </w:rPr>
              <w:t>artículo 8 de la Ley 80 de 1993 no se contempla expresamente una inhabilidad que se refiera estrictamente a limitar la capacidad de contratación para quien esté incurso en medidas correctivas.</w:t>
            </w:r>
            <w:r w:rsidRPr="00AA0A90">
              <w:rPr>
                <w:rFonts w:ascii="Verdana" w:eastAsia="Times New Roman" w:hAnsi="Verdana" w:cs="Arial"/>
                <w:lang w:val="es-ES" w:eastAsia="es-ES"/>
              </w:rPr>
              <w:t xml:space="preserve"> </w:t>
            </w:r>
            <w:r w:rsidR="0066129A" w:rsidRPr="00AA0A90">
              <w:rPr>
                <w:rFonts w:ascii="Verdana" w:eastAsia="Times New Roman" w:hAnsi="Verdana" w:cs="Arial"/>
                <w:lang w:val="es-ES" w:eastAsia="es-ES"/>
              </w:rPr>
              <w:t xml:space="preserve">Ahora </w:t>
            </w:r>
            <w:r w:rsidR="00041564" w:rsidRPr="00AA0A90">
              <w:rPr>
                <w:rFonts w:ascii="Verdana" w:eastAsia="Times New Roman" w:hAnsi="Verdana" w:cs="Arial"/>
                <w:lang w:val="es-ES" w:eastAsia="es-ES"/>
              </w:rPr>
              <w:t>bien,</w:t>
            </w:r>
            <w:r w:rsidRPr="00AA0A90">
              <w:rPr>
                <w:rFonts w:ascii="Verdana" w:eastAsia="Times New Roman" w:hAnsi="Verdana" w:cs="Arial"/>
                <w:lang w:val="es-ES" w:eastAsia="es-ES"/>
              </w:rPr>
              <w:t xml:space="preserve"> será la entidad estatal contratante</w:t>
            </w:r>
            <w:r w:rsidR="0066129A" w:rsidRPr="00AA0A90">
              <w:rPr>
                <w:rFonts w:ascii="Verdana" w:eastAsia="Times New Roman" w:hAnsi="Verdana" w:cs="Arial"/>
                <w:lang w:val="es-ES" w:eastAsia="es-ES"/>
              </w:rPr>
              <w:t xml:space="preserve"> </w:t>
            </w:r>
            <w:r w:rsidRPr="00AA0A90">
              <w:rPr>
                <w:rFonts w:ascii="Verdana" w:eastAsia="Times New Roman" w:hAnsi="Verdana" w:cs="Arial"/>
                <w:lang w:val="es-ES" w:eastAsia="es-ES"/>
              </w:rPr>
              <w:t>dentro de sus facultades, quien deba conocer el contexto de la sanción producto del expediente mencionado en la consulta y si esta lleva consigo una responsabilidad penal, hecho que podrá contrastarse con lo que reposa en el artículo antes mencionado, para determinar la existencia, o no, de una causal de inhabilidad o incompatibilidad</w:t>
            </w:r>
            <w:r w:rsidRPr="00AA0A90">
              <w:rPr>
                <w:rFonts w:ascii="Verdana" w:eastAsia="Calibri" w:hAnsi="Verdana" w:cs="Arial"/>
                <w:lang w:val="es-ES"/>
              </w:rPr>
              <w:t xml:space="preserve">. </w:t>
            </w:r>
          </w:p>
        </w:tc>
      </w:tr>
    </w:tbl>
    <w:p w14:paraId="36D06C01" w14:textId="77777777" w:rsidR="00605F17" w:rsidRPr="00AA0A90" w:rsidRDefault="00605F17" w:rsidP="00605F17">
      <w:pPr>
        <w:tabs>
          <w:tab w:val="left" w:pos="142"/>
          <w:tab w:val="left" w:pos="284"/>
        </w:tabs>
        <w:spacing w:after="0" w:line="276" w:lineRule="auto"/>
        <w:jc w:val="both"/>
        <w:rPr>
          <w:rFonts w:ascii="Verdana" w:eastAsia="Century Gothic" w:hAnsi="Verdana" w:cs="Century Gothic"/>
          <w:b/>
          <w:bCs/>
          <w:lang w:val="es-ES"/>
        </w:rPr>
      </w:pPr>
    </w:p>
    <w:p w14:paraId="74CC2D5D" w14:textId="77777777" w:rsidR="00605F17" w:rsidRPr="00AA0A90" w:rsidRDefault="00605F17" w:rsidP="00605F1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AA0A90">
        <w:rPr>
          <w:rFonts w:ascii="Verdana" w:eastAsia="Century Gothic" w:hAnsi="Verdana" w:cs="Century Gothic"/>
          <w:b/>
          <w:bCs/>
        </w:rPr>
        <w:t>Razones de la respuesta:</w:t>
      </w:r>
    </w:p>
    <w:p w14:paraId="57F5422B" w14:textId="77777777" w:rsidR="00605F17" w:rsidRPr="00AA0A90" w:rsidRDefault="00605F17" w:rsidP="00605F17">
      <w:pPr>
        <w:spacing w:after="0" w:line="276" w:lineRule="auto"/>
        <w:jc w:val="both"/>
        <w:rPr>
          <w:rFonts w:ascii="Verdana" w:eastAsia="Calibri" w:hAnsi="Verdana" w:cs="Arial"/>
          <w:lang w:val="es-ES"/>
        </w:rPr>
      </w:pPr>
    </w:p>
    <w:p w14:paraId="76F84F59" w14:textId="77777777" w:rsidR="00605F17" w:rsidRPr="00AA0A90" w:rsidRDefault="00605F17" w:rsidP="00605F17">
      <w:pPr>
        <w:spacing w:after="0" w:line="276" w:lineRule="auto"/>
        <w:jc w:val="both"/>
        <w:rPr>
          <w:rFonts w:ascii="Verdana" w:eastAsia="Calibri" w:hAnsi="Verdana" w:cs="Arial"/>
          <w:lang w:val="es-ES"/>
        </w:rPr>
      </w:pPr>
      <w:r w:rsidRPr="00AA0A90">
        <w:rPr>
          <w:rFonts w:ascii="Verdana" w:eastAsia="Calibri" w:hAnsi="Verdana" w:cs="Arial"/>
          <w:lang w:val="es-ES"/>
        </w:rPr>
        <w:t xml:space="preserve">Lo anterior se sustenta en las siguientes consideraciones: </w:t>
      </w:r>
    </w:p>
    <w:p w14:paraId="2F090078" w14:textId="77777777" w:rsidR="00605F17" w:rsidRPr="00AA0A90" w:rsidRDefault="00605F17" w:rsidP="00605F17">
      <w:pPr>
        <w:spacing w:after="0" w:line="276" w:lineRule="auto"/>
        <w:jc w:val="both"/>
        <w:rPr>
          <w:rFonts w:ascii="Verdana" w:eastAsia="Calibri" w:hAnsi="Verdana" w:cs="Arial"/>
          <w:lang w:val="es-ES"/>
        </w:rPr>
      </w:pPr>
    </w:p>
    <w:p w14:paraId="0763CE3E" w14:textId="77777777" w:rsidR="00605F17" w:rsidRPr="00AA0A90" w:rsidRDefault="00605F17" w:rsidP="00605F17">
      <w:pPr>
        <w:pStyle w:val="Prrafodelista"/>
        <w:numPr>
          <w:ilvl w:val="0"/>
          <w:numId w:val="17"/>
        </w:numPr>
        <w:spacing w:after="0" w:line="276" w:lineRule="auto"/>
        <w:jc w:val="both"/>
        <w:rPr>
          <w:rFonts w:ascii="Verdana" w:eastAsia="Calibri" w:hAnsi="Verdana" w:cs="Arial"/>
        </w:rPr>
      </w:pPr>
      <w:r w:rsidRPr="00AA0A90">
        <w:rPr>
          <w:rFonts w:ascii="Verdana" w:eastAsia="Calibri" w:hAnsi="Verdana" w:cs="Arial"/>
        </w:rPr>
        <w:t xml:space="preserve">En primer lugar, debe advertirse que, las inhabilidades son circunstancias establecidas por la Constitución o en la ley que impiden que personas naturales o jurídicas sean elegidas o designadas en un cargo público o celebren contratos con el Estado, con el objetivo de garantizar la idoneidad, imparcialidad, probidad, transparencia y moralidad de la función pública, garantizando el interés general. </w:t>
      </w:r>
    </w:p>
    <w:p w14:paraId="1AEBE16A" w14:textId="77777777" w:rsidR="00605F17" w:rsidRPr="00AA0A90" w:rsidRDefault="00605F17" w:rsidP="00605F17">
      <w:pPr>
        <w:pStyle w:val="Prrafodelista"/>
        <w:spacing w:line="276" w:lineRule="auto"/>
        <w:jc w:val="both"/>
        <w:rPr>
          <w:rFonts w:ascii="Verdana" w:eastAsia="Calibri" w:hAnsi="Verdana" w:cs="Arial"/>
        </w:rPr>
      </w:pPr>
    </w:p>
    <w:p w14:paraId="66335E85" w14:textId="77777777" w:rsidR="00605F17" w:rsidRPr="00AA0A90" w:rsidRDefault="00605F17" w:rsidP="00605F17">
      <w:pPr>
        <w:pStyle w:val="Prrafodelista"/>
        <w:numPr>
          <w:ilvl w:val="0"/>
          <w:numId w:val="17"/>
        </w:numPr>
        <w:spacing w:after="120" w:line="276" w:lineRule="auto"/>
        <w:jc w:val="both"/>
        <w:rPr>
          <w:rFonts w:ascii="Verdana" w:eastAsia="Aptos" w:hAnsi="Verdana" w:cs="Arial"/>
          <w:lang w:val="es-MX"/>
        </w:rPr>
      </w:pPr>
      <w:r w:rsidRPr="00AA0A90">
        <w:rPr>
          <w:rFonts w:ascii="Verdana" w:eastAsia="Aptos" w:hAnsi="Verdana" w:cs="Arial"/>
          <w:lang w:val="es-MX"/>
        </w:rPr>
        <w:t>El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Al respecto, la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r w:rsidRPr="00AA0A90">
        <w:rPr>
          <w:rFonts w:ascii="Verdana" w:hAnsi="Verdana"/>
          <w:vertAlign w:val="superscript"/>
          <w:lang w:val="es-MX"/>
        </w:rPr>
        <w:footnoteReference w:id="1"/>
      </w:r>
      <w:r w:rsidRPr="00AA0A90">
        <w:rPr>
          <w:rFonts w:ascii="Verdana" w:eastAsia="Aptos" w:hAnsi="Verdana" w:cs="Arial"/>
          <w:lang w:val="es-MX"/>
        </w:rPr>
        <w:t xml:space="preserve">. </w:t>
      </w:r>
    </w:p>
    <w:p w14:paraId="5BBE0B4D" w14:textId="77777777" w:rsidR="00605F17" w:rsidRPr="00AA0A90" w:rsidRDefault="00605F17" w:rsidP="00605F17">
      <w:pPr>
        <w:pStyle w:val="Prrafodelista"/>
        <w:rPr>
          <w:rFonts w:ascii="Verdana" w:eastAsia="Aptos" w:hAnsi="Verdana" w:cs="Arial"/>
          <w:lang w:val="es-MX"/>
        </w:rPr>
      </w:pPr>
    </w:p>
    <w:p w14:paraId="24C473E6" w14:textId="77777777" w:rsidR="00605F17" w:rsidRPr="00AA0A90" w:rsidRDefault="00605F17" w:rsidP="00605F17">
      <w:pPr>
        <w:pStyle w:val="Prrafodelista"/>
        <w:numPr>
          <w:ilvl w:val="0"/>
          <w:numId w:val="17"/>
        </w:numPr>
        <w:spacing w:after="0" w:line="276" w:lineRule="auto"/>
        <w:jc w:val="both"/>
        <w:rPr>
          <w:rFonts w:ascii="Verdana" w:eastAsia="Aptos" w:hAnsi="Verdana" w:cs="Arial"/>
          <w:lang w:val="es-MX"/>
        </w:rPr>
      </w:pPr>
      <w:r w:rsidRPr="00AA0A90">
        <w:rPr>
          <w:rFonts w:ascii="Verdana" w:eastAsia="Aptos" w:hAnsi="Verdana" w:cs="Arial"/>
          <w:lang w:val="es-MX"/>
        </w:rPr>
        <w:t xml:space="preserve">Se puede afirmar que las inhabilidades son medios que garantizan la transparencia y eficiencia en la actividad contractual del Estado, imponiendo restricciones en la personalidad jurídica, la igualdad, la libre empresa y, particularmente, en el derecho a participar en procesos de selección y celebrar contratos con el Estado. La Corte Constitucional ha reconocido que estas limitaciones deben estar justificadas en la salvaguarda del interés general y que su lectura e interpretación es taxativa y restrictiva: </w:t>
      </w:r>
    </w:p>
    <w:p w14:paraId="1F9EF9C0" w14:textId="77777777" w:rsidR="00605F17" w:rsidRPr="00AA0A90" w:rsidRDefault="00605F17" w:rsidP="00605F17">
      <w:pPr>
        <w:pStyle w:val="Prrafodelista"/>
        <w:spacing w:after="0" w:line="276" w:lineRule="auto"/>
        <w:jc w:val="both"/>
        <w:rPr>
          <w:rFonts w:ascii="Verdana" w:eastAsia="Times New Roman" w:hAnsi="Verdana" w:cs="Arial"/>
          <w:shd w:val="clear" w:color="auto" w:fill="FFFFFF"/>
          <w:lang w:eastAsia="es-ES_tradnl"/>
        </w:rPr>
      </w:pPr>
    </w:p>
    <w:p w14:paraId="30E00142" w14:textId="77777777" w:rsidR="00605F17" w:rsidRPr="00AA0A90" w:rsidRDefault="00605F17" w:rsidP="00605F17">
      <w:pPr>
        <w:pStyle w:val="Prrafodelista"/>
        <w:spacing w:after="0" w:line="240" w:lineRule="auto"/>
        <w:ind w:left="709" w:right="709"/>
        <w:jc w:val="both"/>
        <w:rPr>
          <w:rFonts w:ascii="Verdana" w:eastAsia="Times New Roman" w:hAnsi="Verdana" w:cs="Arial"/>
          <w:sz w:val="20"/>
          <w:szCs w:val="20"/>
          <w:lang w:eastAsia="es-MX"/>
        </w:rPr>
      </w:pPr>
      <w:r w:rsidRPr="00AA0A90">
        <w:rPr>
          <w:rFonts w:ascii="Verdana" w:eastAsia="Times New Roman" w:hAnsi="Verdana" w:cs="Arial"/>
          <w:sz w:val="20"/>
          <w:szCs w:val="20"/>
          <w:lang w:eastAsia="es-MX"/>
        </w:rPr>
        <w:t xml:space="preserve">“Todo régimen de inhabilidades e incompatibilidades de suyo excluye a ciertas categorías de personas del proceso de contratación, generando incapacidades especiales, impedimentos y prohibiciones de variada naturaleza, que en cierta medida afectan el derecho a la personalidad jurídica traducido, a su turno, en el principio general de capacidad legal </w:t>
      </w:r>
      <w:r w:rsidRPr="00AA0A90">
        <w:rPr>
          <w:rFonts w:ascii="Verdana" w:eastAsia="Times New Roman" w:hAnsi="Verdana" w:cs="Arial"/>
          <w:sz w:val="20"/>
          <w:szCs w:val="20"/>
          <w:lang w:eastAsia="es-MX"/>
        </w:rPr>
        <w:lastRenderedPageBreak/>
        <w:t>[CC arts. 1502 y 1503; ley 80 de 1993, art. 6]. De ordinario, como ocurre en la contratación estatal, la inobservancia del régimen de inhabilidades e incompatibilidades, se erige en causal de nulidad del contrato celebrado en esas condiciones (ley 80 de 1993, art. 44).</w:t>
      </w:r>
    </w:p>
    <w:p w14:paraId="1C9D17E5" w14:textId="77777777" w:rsidR="00605F17" w:rsidRPr="00AA0A90" w:rsidRDefault="00605F17" w:rsidP="00605F17">
      <w:pPr>
        <w:pStyle w:val="Prrafodelista"/>
        <w:spacing w:after="0" w:line="240" w:lineRule="auto"/>
        <w:ind w:left="709" w:right="709"/>
        <w:jc w:val="both"/>
        <w:rPr>
          <w:rFonts w:ascii="Verdana" w:eastAsia="Times New Roman" w:hAnsi="Verdana" w:cs="Arial"/>
          <w:sz w:val="20"/>
          <w:szCs w:val="20"/>
          <w:lang w:eastAsia="es-MX"/>
        </w:rPr>
      </w:pPr>
    </w:p>
    <w:p w14:paraId="51AA7AA4" w14:textId="77777777" w:rsidR="00605F17" w:rsidRPr="00AA0A90" w:rsidRDefault="00605F17" w:rsidP="00605F17">
      <w:pPr>
        <w:pStyle w:val="Prrafodelista"/>
        <w:spacing w:after="0" w:line="240" w:lineRule="auto"/>
        <w:ind w:left="709" w:right="709"/>
        <w:jc w:val="both"/>
        <w:rPr>
          <w:rFonts w:ascii="Verdana" w:eastAsia="Times New Roman" w:hAnsi="Verdana" w:cs="Arial"/>
          <w:sz w:val="20"/>
          <w:szCs w:val="20"/>
          <w:lang w:eastAsia="es-MX"/>
        </w:rPr>
      </w:pPr>
      <w:r w:rsidRPr="00AA0A90">
        <w:rPr>
          <w:rFonts w:ascii="Verdana" w:eastAsia="Times New Roman" w:hAnsi="Verdana" w:cs="Arial"/>
          <w:sz w:val="20"/>
          <w:szCs w:val="20"/>
          <w:lang w:eastAsia="es-MX"/>
        </w:rPr>
        <w:t>El carácter reconocidamente taxativo y restrictivo de este régimen y el de las correlativas nulidades, obedece a la necesidad de salvaguardar el interés general ínsito en la contratación pública de manera que implique el menor sacrificio posible al derecho de igualdad y de reconocimiento de la personalidad jurídica de quienes aspiran a contratar con el Estado. Es evidente que si la restricción legal [incompatibilidad o inhabilidad] no se sustenta en ninguna necesidad de protección del interés general o ésta es irrazonable o desproporcionada, en esa misma medida pierde justificación constitucional como medio legítimo para restringir, en ese caso, el derecho a la igualdad y el reconocimiento de la personalidad jurídica de las personas que resultan rechazadas del ámbito contractual del Estado”</w:t>
      </w:r>
      <w:r w:rsidRPr="00AA0A90">
        <w:rPr>
          <w:rFonts w:ascii="Verdana" w:hAnsi="Verdana"/>
          <w:sz w:val="20"/>
          <w:szCs w:val="20"/>
          <w:vertAlign w:val="superscript"/>
          <w:lang w:eastAsia="es-MX"/>
        </w:rPr>
        <w:footnoteReference w:id="2"/>
      </w:r>
      <w:r w:rsidRPr="00AA0A90">
        <w:rPr>
          <w:rFonts w:ascii="Verdana" w:eastAsia="Times New Roman" w:hAnsi="Verdana" w:cs="Arial"/>
          <w:sz w:val="20"/>
          <w:szCs w:val="20"/>
          <w:lang w:eastAsia="es-MX"/>
        </w:rPr>
        <w:t>.</w:t>
      </w:r>
    </w:p>
    <w:p w14:paraId="142FC63D" w14:textId="77777777" w:rsidR="00605F17" w:rsidRPr="00AA0A90" w:rsidRDefault="00605F17" w:rsidP="00605F17">
      <w:pPr>
        <w:pStyle w:val="Prrafodelista"/>
        <w:spacing w:after="0" w:line="240" w:lineRule="auto"/>
        <w:ind w:right="709"/>
        <w:jc w:val="both"/>
        <w:rPr>
          <w:rFonts w:ascii="Verdana" w:eastAsia="Times New Roman" w:hAnsi="Verdana" w:cs="Arial"/>
          <w:sz w:val="20"/>
          <w:szCs w:val="20"/>
          <w:lang w:eastAsia="es-MX"/>
        </w:rPr>
      </w:pPr>
    </w:p>
    <w:p w14:paraId="07D4D1C7" w14:textId="77777777" w:rsidR="00605F17" w:rsidRPr="00AA0A90" w:rsidRDefault="00605F17" w:rsidP="00605F17">
      <w:pPr>
        <w:pStyle w:val="Prrafodelista"/>
        <w:numPr>
          <w:ilvl w:val="0"/>
          <w:numId w:val="17"/>
        </w:numPr>
        <w:spacing w:after="120" w:line="276" w:lineRule="auto"/>
        <w:jc w:val="both"/>
        <w:rPr>
          <w:rFonts w:ascii="Verdana" w:eastAsia="Times New Roman" w:hAnsi="Verdana" w:cs="Arial"/>
          <w:szCs w:val="24"/>
          <w:lang w:eastAsia="es-MX"/>
        </w:rPr>
      </w:pPr>
      <w:r w:rsidRPr="00AA0A90">
        <w:rPr>
          <w:rFonts w:ascii="Verdana" w:eastAsia="Times New Roman" w:hAnsi="Verdana" w:cs="Arial"/>
          <w:szCs w:val="24"/>
          <w:lang w:eastAsia="es-MX"/>
        </w:rPr>
        <w:t xml:space="preserve">Conviene también distinguir las fuentes de las inhabilidades, las cuales han sido clasificadas en dos (2) grupos: i) inhabilidades-sanción y ii) inhabilidades-requisito. En el </w:t>
      </w:r>
      <w:r w:rsidRPr="00AA0A90">
        <w:rPr>
          <w:rFonts w:ascii="Verdana" w:eastAsia="Times New Roman" w:hAnsi="Verdana" w:cs="Arial"/>
          <w:i/>
          <w:iCs/>
          <w:szCs w:val="24"/>
          <w:lang w:eastAsia="es-MX"/>
        </w:rPr>
        <w:t>primer</w:t>
      </w:r>
      <w:r w:rsidRPr="00AA0A90">
        <w:rPr>
          <w:rFonts w:ascii="Verdana" w:eastAsia="Times New Roman" w:hAnsi="Verdana" w:cs="Arial"/>
          <w:szCs w:val="24"/>
          <w:lang w:eastAsia="es-MX"/>
        </w:rPr>
        <w:t xml:space="preserve"> grupo se encuentran las inhabilidades que surgen como consecuencia de un proceso sancionatorio, en los ámbitos penal, disciplinario, contravencional o de pérdida de investidura. En el </w:t>
      </w:r>
      <w:r w:rsidRPr="00AA0A90">
        <w:rPr>
          <w:rFonts w:ascii="Verdana" w:eastAsia="Times New Roman" w:hAnsi="Verdana" w:cs="Arial"/>
          <w:i/>
          <w:iCs/>
          <w:szCs w:val="24"/>
          <w:lang w:eastAsia="es-MX"/>
        </w:rPr>
        <w:t>segundo</w:t>
      </w:r>
      <w:r w:rsidRPr="00AA0A90">
        <w:rPr>
          <w:rFonts w:ascii="Verdana" w:eastAsia="Times New Roman" w:hAnsi="Verdana" w:cs="Arial"/>
          <w:szCs w:val="24"/>
          <w:lang w:eastAsia="es-MX"/>
        </w:rPr>
        <w:t xml:space="preserve"> grupo están aquellas que no devienen de un proceso sancionatorio, sino de condiciones propias de la persona y garantizan la moralidad, la imparcialidad, la eficacia y la transparencia</w:t>
      </w:r>
      <w:r w:rsidRPr="00AA0A90">
        <w:rPr>
          <w:rFonts w:ascii="Verdana" w:hAnsi="Verdana"/>
          <w:vertAlign w:val="superscript"/>
          <w:lang w:eastAsia="es-MX"/>
        </w:rPr>
        <w:footnoteReference w:id="3"/>
      </w:r>
      <w:r w:rsidRPr="00AA0A90">
        <w:rPr>
          <w:rFonts w:ascii="Verdana" w:eastAsia="Times New Roman" w:hAnsi="Verdana" w:cs="Arial"/>
          <w:szCs w:val="24"/>
          <w:lang w:eastAsia="es-MX"/>
        </w:rPr>
        <w:t xml:space="preserve">. </w:t>
      </w:r>
    </w:p>
    <w:p w14:paraId="0A807AF1" w14:textId="77777777" w:rsidR="00605F17" w:rsidRPr="00AA0A90" w:rsidRDefault="00605F17" w:rsidP="00605F17">
      <w:pPr>
        <w:pStyle w:val="Prrafodelista"/>
        <w:spacing w:after="120" w:line="276" w:lineRule="auto"/>
        <w:jc w:val="both"/>
        <w:rPr>
          <w:rFonts w:ascii="Verdana" w:eastAsia="Times New Roman" w:hAnsi="Verdana" w:cs="Arial"/>
          <w:szCs w:val="24"/>
          <w:lang w:eastAsia="es-MX"/>
        </w:rPr>
      </w:pPr>
    </w:p>
    <w:p w14:paraId="576030A1" w14:textId="048220E7" w:rsidR="00605F17" w:rsidRPr="00AA0A90" w:rsidRDefault="00605F17" w:rsidP="00041564">
      <w:pPr>
        <w:pStyle w:val="Prrafodelista"/>
        <w:numPr>
          <w:ilvl w:val="0"/>
          <w:numId w:val="17"/>
        </w:numPr>
        <w:spacing w:after="120" w:line="276" w:lineRule="auto"/>
        <w:jc w:val="both"/>
        <w:rPr>
          <w:rFonts w:ascii="Verdana" w:eastAsia="Calibri" w:hAnsi="Verdana" w:cs="Arial"/>
          <w:szCs w:val="24"/>
          <w:lang w:val="es-ES_tradnl" w:eastAsia="es-ES_tradnl"/>
        </w:rPr>
      </w:pPr>
      <w:r w:rsidRPr="00AA0A90">
        <w:rPr>
          <w:rFonts w:ascii="Verdana" w:eastAsia="Calibri" w:hAnsi="Verdana" w:cs="Arial"/>
          <w:szCs w:val="24"/>
          <w:lang w:val="es-ES_tradnl" w:eastAsia="es-ES_tradnl"/>
        </w:rPr>
        <w:t xml:space="preserve">Ahora bien, las inhabilidades e incompatibilidades –como ya se dijo– al ser restricciones o límites especiales a la capacidad para presentar ofertas y celebrar contratos estatales, solo pueden tipificarse en la ley –o sea, deben satisfacer el principio de legalidad– y su interpretación debe ser </w:t>
      </w:r>
      <w:r w:rsidRPr="00AA0A90">
        <w:rPr>
          <w:rFonts w:ascii="Verdana" w:eastAsia="Calibri" w:hAnsi="Verdana" w:cs="Arial"/>
          <w:i/>
          <w:iCs/>
          <w:szCs w:val="24"/>
          <w:lang w:val="es-ES_tradnl" w:eastAsia="es-ES_tradnl"/>
        </w:rPr>
        <w:t>restrictiva</w:t>
      </w:r>
      <w:r w:rsidRPr="00AA0A90">
        <w:rPr>
          <w:rFonts w:ascii="Verdana" w:eastAsia="Calibri" w:hAnsi="Verdana" w:cs="Arial"/>
          <w:szCs w:val="24"/>
          <w:lang w:val="es-ES_tradnl" w:eastAsia="es-ES_tradnl"/>
        </w:rPr>
        <w:t xml:space="preserve">, pues si se admitiera una interpretación amplia, extensiva o finalista de las mismas, tales enunciados normativos podrían contemplar múltiples supuestos indeterminados, según el parecer o el sentido común de los operadores jurídicos, poniendo en riesgo principios como la igualdad, el debido proceso, la libre concurrencia y el ejercicio de la profesión u oficio. </w:t>
      </w:r>
    </w:p>
    <w:p w14:paraId="203687B4" w14:textId="77777777" w:rsidR="00605F17" w:rsidRPr="00AA0A90" w:rsidRDefault="00605F17" w:rsidP="00605F17">
      <w:pPr>
        <w:pStyle w:val="Prrafodelista"/>
        <w:spacing w:after="120" w:line="276" w:lineRule="auto"/>
        <w:jc w:val="both"/>
        <w:rPr>
          <w:rFonts w:ascii="Verdana" w:eastAsia="Calibri" w:hAnsi="Verdana" w:cs="Arial"/>
          <w:szCs w:val="24"/>
          <w:lang w:val="es-ES_tradnl" w:eastAsia="es-ES_tradnl"/>
        </w:rPr>
      </w:pPr>
    </w:p>
    <w:p w14:paraId="67A927C6" w14:textId="55934B5D" w:rsidR="0066129A" w:rsidRPr="00AA0A90" w:rsidRDefault="0066129A" w:rsidP="00605F17">
      <w:pPr>
        <w:pStyle w:val="Prrafodelista"/>
        <w:numPr>
          <w:ilvl w:val="0"/>
          <w:numId w:val="17"/>
        </w:numPr>
        <w:spacing w:after="0" w:line="276" w:lineRule="auto"/>
        <w:jc w:val="both"/>
        <w:rPr>
          <w:rFonts w:ascii="Verdana" w:hAnsi="Verdana"/>
        </w:rPr>
      </w:pPr>
      <w:r w:rsidRPr="00AA0A90">
        <w:rPr>
          <w:rFonts w:ascii="Verdana" w:eastAsia="Calibri" w:hAnsi="Verdana" w:cs="Arial"/>
          <w:szCs w:val="24"/>
          <w:lang w:val="es-ES_tradnl" w:eastAsia="es-ES_tradnl"/>
        </w:rPr>
        <w:lastRenderedPageBreak/>
        <w:t>Al respecto, la Corte Constitucional</w:t>
      </w:r>
      <w:r w:rsidR="00605F17" w:rsidRPr="00AA0A90">
        <w:rPr>
          <w:rFonts w:ascii="Verdana" w:eastAsia="Calibri" w:hAnsi="Verdana" w:cs="Arial"/>
          <w:szCs w:val="24"/>
          <w:lang w:val="es-ES_tradnl" w:eastAsia="es-ES_tradnl"/>
        </w:rPr>
        <w:t xml:space="preserve"> ha indicado que, al precisar el sentido de este tipo de normas,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sidR="00605F17" w:rsidRPr="00AA0A90">
        <w:rPr>
          <w:rFonts w:ascii="Verdana" w:eastAsia="Aptos" w:hAnsi="Verdana" w:cs="Times New Roman"/>
          <w:vertAlign w:val="superscript"/>
        </w:rPr>
        <w:footnoteReference w:id="4"/>
      </w:r>
      <w:r w:rsidR="00605F17" w:rsidRPr="00AA0A90">
        <w:rPr>
          <w:rFonts w:ascii="Verdana" w:eastAsia="Calibri" w:hAnsi="Verdana" w:cs="Arial"/>
          <w:szCs w:val="24"/>
          <w:lang w:val="es-ES_tradnl" w:eastAsia="es-ES_tradnl"/>
        </w:rPr>
        <w:t xml:space="preserve">. </w:t>
      </w:r>
    </w:p>
    <w:p w14:paraId="1A6D99A9" w14:textId="77777777" w:rsidR="0066129A" w:rsidRPr="00AA0A90" w:rsidRDefault="0066129A" w:rsidP="00BB3D3F">
      <w:pPr>
        <w:pStyle w:val="Prrafodelista"/>
        <w:spacing w:after="0" w:line="276" w:lineRule="auto"/>
        <w:jc w:val="both"/>
        <w:rPr>
          <w:rFonts w:ascii="Verdana" w:hAnsi="Verdana"/>
        </w:rPr>
      </w:pPr>
    </w:p>
    <w:p w14:paraId="6700B77D" w14:textId="12873281" w:rsidR="00605F17" w:rsidRPr="00AA0A90" w:rsidRDefault="00605F17" w:rsidP="00605F17">
      <w:pPr>
        <w:pStyle w:val="Prrafodelista"/>
        <w:numPr>
          <w:ilvl w:val="0"/>
          <w:numId w:val="17"/>
        </w:numPr>
        <w:spacing w:after="0" w:line="276" w:lineRule="auto"/>
        <w:jc w:val="both"/>
        <w:rPr>
          <w:rFonts w:ascii="Verdana" w:hAnsi="Verdana"/>
        </w:rPr>
      </w:pPr>
      <w:r w:rsidRPr="00AA0A90">
        <w:rPr>
          <w:rFonts w:ascii="Verdana" w:eastAsia="Calibri" w:hAnsi="Verdana" w:cs="Arial"/>
          <w:szCs w:val="24"/>
          <w:lang w:val="es-ES_tradnl" w:eastAsia="es-ES_tradnl"/>
        </w:rPr>
        <w:t>Por su parte, el Consejo de Estado ha acogido también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sidRPr="00AA0A90">
        <w:rPr>
          <w:rFonts w:ascii="Verdana" w:eastAsia="Aptos" w:hAnsi="Verdana" w:cs="Times New Roman"/>
          <w:vertAlign w:val="superscript"/>
        </w:rPr>
        <w:footnoteReference w:id="5"/>
      </w:r>
      <w:r w:rsidRPr="00AA0A90">
        <w:rPr>
          <w:rFonts w:ascii="Verdana" w:eastAsia="Calibri" w:hAnsi="Verdana" w:cs="Arial"/>
          <w:szCs w:val="24"/>
          <w:lang w:val="es-ES_tradnl" w:eastAsia="es-ES_tradnl"/>
        </w:rPr>
        <w:t>.</w:t>
      </w:r>
    </w:p>
    <w:p w14:paraId="218C31F8" w14:textId="77777777" w:rsidR="00605F17" w:rsidRPr="00AA0A90" w:rsidRDefault="00605F17" w:rsidP="00605F17">
      <w:pPr>
        <w:pStyle w:val="Prrafodelista"/>
        <w:spacing w:after="0" w:line="276" w:lineRule="auto"/>
        <w:jc w:val="both"/>
        <w:rPr>
          <w:rFonts w:ascii="Verdana" w:hAnsi="Verdana"/>
        </w:rPr>
      </w:pPr>
    </w:p>
    <w:p w14:paraId="1A65BEBA" w14:textId="0A5FFA41" w:rsidR="00605F17" w:rsidRPr="00AA0A90" w:rsidRDefault="00605F17" w:rsidP="00605F17">
      <w:pPr>
        <w:pStyle w:val="Prrafodelista"/>
        <w:numPr>
          <w:ilvl w:val="0"/>
          <w:numId w:val="17"/>
        </w:numPr>
        <w:spacing w:after="0" w:line="276" w:lineRule="auto"/>
        <w:jc w:val="both"/>
        <w:rPr>
          <w:rFonts w:ascii="Verdana" w:eastAsia="Calibri" w:hAnsi="Verdana" w:cs="Arial"/>
          <w:szCs w:val="24"/>
          <w:lang w:val="es-ES_tradnl" w:eastAsia="es-ES_tradnl"/>
        </w:rPr>
      </w:pPr>
      <w:r w:rsidRPr="00AA0A90">
        <w:rPr>
          <w:rFonts w:ascii="Verdana" w:eastAsia="Calibri" w:hAnsi="Verdana" w:cs="Arial"/>
          <w:szCs w:val="24"/>
          <w:lang w:val="es-ES_tradnl" w:eastAsia="es-ES_tradnl"/>
        </w:rPr>
        <w:t xml:space="preserve">En tal sentido, la Sección Tercera </w:t>
      </w:r>
      <w:r w:rsidR="0066129A" w:rsidRPr="00AA0A90">
        <w:rPr>
          <w:rFonts w:ascii="Verdana" w:eastAsia="Calibri" w:hAnsi="Verdana" w:cs="Arial"/>
          <w:szCs w:val="24"/>
          <w:lang w:val="es-ES_tradnl" w:eastAsia="es-ES_tradnl"/>
        </w:rPr>
        <w:t xml:space="preserve">del Consejo de Estado </w:t>
      </w:r>
      <w:r w:rsidRPr="00AA0A90">
        <w:rPr>
          <w:rFonts w:ascii="Verdana" w:eastAsia="Calibri" w:hAnsi="Verdana" w:cs="Arial"/>
          <w:szCs w:val="24"/>
          <w:lang w:val="es-ES_tradnl" w:eastAsia="es-ES_tradnl"/>
        </w:rPr>
        <w:t>ha señalado que:</w:t>
      </w:r>
    </w:p>
    <w:p w14:paraId="4C52B1EC" w14:textId="77777777" w:rsidR="00605F17" w:rsidRPr="00AA0A90" w:rsidRDefault="00605F17" w:rsidP="00605F17">
      <w:pPr>
        <w:pStyle w:val="Prrafodelista"/>
        <w:spacing w:after="0" w:line="276" w:lineRule="auto"/>
        <w:jc w:val="both"/>
        <w:rPr>
          <w:rFonts w:ascii="Verdana" w:eastAsia="Calibri" w:hAnsi="Verdana" w:cs="Arial"/>
          <w:szCs w:val="24"/>
          <w:lang w:val="es-ES_tradnl" w:eastAsia="es-ES_tradnl"/>
        </w:rPr>
      </w:pPr>
    </w:p>
    <w:p w14:paraId="1B808819" w14:textId="77777777" w:rsidR="00605F17" w:rsidRPr="00AA0A90" w:rsidRDefault="00605F17" w:rsidP="00605F17">
      <w:pPr>
        <w:pStyle w:val="Prrafodelista"/>
        <w:spacing w:after="0" w:line="240" w:lineRule="auto"/>
        <w:ind w:right="709"/>
        <w:jc w:val="both"/>
        <w:rPr>
          <w:rFonts w:ascii="Verdana" w:eastAsia="Times New Roman" w:hAnsi="Verdana" w:cs="Arial"/>
          <w:bCs/>
          <w:sz w:val="20"/>
          <w:szCs w:val="20"/>
          <w:lang w:val="es-ES_tradnl" w:eastAsia="es-ES_tradnl"/>
        </w:rPr>
      </w:pPr>
      <w:r w:rsidRPr="00AA0A90">
        <w:rPr>
          <w:rFonts w:ascii="Verdana" w:eastAsia="Times New Roman" w:hAnsi="Verdana" w:cs="Arial"/>
          <w:sz w:val="20"/>
          <w:szCs w:val="20"/>
          <w:lang w:val="es-ES_tradnl" w:eastAsia="es-ES_tradnl"/>
        </w:rPr>
        <w:t>“[…] de conformidad con la jurisprudencia uniforme y reiterada de esta Corporación, la aplicación de las normas que contemplan inhabilidades e incompatibilidades, como en general de todas aquellas que comportan prohibiciones o limitaciones, deben responder a una interpretación restrictiva que no permite su extensión, por vía de la figura de la analogía, a supuestos no contemplados por el ordenamiento</w:t>
      </w:r>
      <w:r w:rsidRPr="00AA0A90">
        <w:rPr>
          <w:rFonts w:ascii="Verdana" w:eastAsia="Aptos" w:hAnsi="Verdana" w:cs="Times New Roman"/>
          <w:vertAlign w:val="superscript"/>
        </w:rPr>
        <w:footnoteReference w:id="6"/>
      </w:r>
      <w:r w:rsidRPr="00AA0A90">
        <w:rPr>
          <w:rFonts w:ascii="Verdana" w:eastAsia="Times New Roman" w:hAnsi="Verdana" w:cs="Arial"/>
          <w:sz w:val="20"/>
          <w:szCs w:val="20"/>
          <w:lang w:val="es-ES_tradnl" w:eastAsia="es-ES_tradnl"/>
        </w:rPr>
        <w:t>.</w:t>
      </w:r>
    </w:p>
    <w:p w14:paraId="2CF1E6FF" w14:textId="77777777" w:rsidR="00605F17" w:rsidRPr="00AA0A90" w:rsidRDefault="00605F17" w:rsidP="00605F17">
      <w:pPr>
        <w:pStyle w:val="Prrafodelista"/>
        <w:spacing w:after="0" w:line="240" w:lineRule="auto"/>
        <w:ind w:right="709"/>
        <w:jc w:val="both"/>
        <w:rPr>
          <w:rFonts w:ascii="Verdana" w:eastAsia="Times New Roman" w:hAnsi="Verdana" w:cs="Arial"/>
          <w:bCs/>
          <w:sz w:val="20"/>
          <w:szCs w:val="20"/>
          <w:lang w:val="es-ES_tradnl" w:eastAsia="es-ES_tradnl"/>
        </w:rPr>
      </w:pPr>
    </w:p>
    <w:p w14:paraId="57379C27" w14:textId="77777777" w:rsidR="00605F17" w:rsidRPr="00AA0A90" w:rsidRDefault="00605F17" w:rsidP="00605F17">
      <w:pPr>
        <w:pStyle w:val="Prrafodelista"/>
        <w:spacing w:after="0" w:line="240" w:lineRule="auto"/>
        <w:ind w:right="709"/>
        <w:jc w:val="both"/>
        <w:rPr>
          <w:rFonts w:ascii="Verdana" w:eastAsia="Times New Roman" w:hAnsi="Verdana" w:cs="Arial"/>
          <w:bCs/>
          <w:sz w:val="20"/>
          <w:szCs w:val="20"/>
          <w:lang w:val="es-ES_tradnl" w:eastAsia="es-ES_tradnl"/>
        </w:rPr>
      </w:pPr>
      <w:r w:rsidRPr="00AA0A90">
        <w:rPr>
          <w:rFonts w:ascii="Verdana" w:eastAsia="Calibri" w:hAnsi="Verdana" w:cs="Arial"/>
          <w:sz w:val="20"/>
          <w:szCs w:val="20"/>
          <w:lang w:val="es-ES_tradnl" w:eastAsia="es-ES_tradnl"/>
        </w:rPr>
        <w:t>También ha dicho que:</w:t>
      </w:r>
    </w:p>
    <w:p w14:paraId="0B6E6401" w14:textId="77777777" w:rsidR="00605F17" w:rsidRPr="00AA0A90" w:rsidRDefault="00605F17" w:rsidP="00605F17">
      <w:pPr>
        <w:pStyle w:val="Prrafodelista"/>
        <w:spacing w:after="0" w:line="240" w:lineRule="auto"/>
        <w:ind w:right="709"/>
        <w:jc w:val="both"/>
        <w:rPr>
          <w:rFonts w:ascii="Verdana" w:eastAsia="Calibri" w:hAnsi="Verdana" w:cs="Arial"/>
          <w:sz w:val="20"/>
          <w:szCs w:val="20"/>
          <w:lang w:val="es-ES_tradnl" w:eastAsia="es-ES_tradnl"/>
        </w:rPr>
      </w:pPr>
    </w:p>
    <w:p w14:paraId="24FF3A0E" w14:textId="77777777" w:rsidR="00605F17" w:rsidRPr="00AA0A90" w:rsidRDefault="00605F17" w:rsidP="00605F17">
      <w:pPr>
        <w:pStyle w:val="Prrafodelista"/>
        <w:spacing w:after="0" w:line="240" w:lineRule="auto"/>
        <w:ind w:right="709"/>
        <w:jc w:val="both"/>
        <w:rPr>
          <w:rFonts w:ascii="Verdana" w:eastAsia="Times New Roman" w:hAnsi="Verdana" w:cs="Arial"/>
          <w:sz w:val="20"/>
          <w:szCs w:val="20"/>
          <w:lang w:val="es-ES_tradnl" w:eastAsia="es-ES_tradnl"/>
        </w:rPr>
      </w:pPr>
      <w:r w:rsidRPr="00AA0A90">
        <w:rPr>
          <w:rFonts w:ascii="Verdana" w:eastAsia="Times New Roman" w:hAnsi="Verdana" w:cs="Arial"/>
          <w:sz w:val="20"/>
          <w:szCs w:val="20"/>
          <w:lang w:val="es-ES_tradnl" w:eastAsia="es-ES_tradnl"/>
        </w:rPr>
        <w:t xml:space="preserve">[…] la aplicación de estos preceptos exige una interpretación restrictiva, dado que según el principio hermenéutico </w:t>
      </w:r>
      <w:r w:rsidRPr="00AA0A90">
        <w:rPr>
          <w:rFonts w:ascii="Verdana" w:eastAsia="Times New Roman" w:hAnsi="Verdana" w:cs="Arial"/>
          <w:i/>
          <w:iCs/>
          <w:sz w:val="20"/>
          <w:szCs w:val="20"/>
          <w:lang w:val="es-ES_tradnl" w:eastAsia="es-ES_tradnl"/>
        </w:rPr>
        <w:t>pro libertate</w:t>
      </w:r>
      <w:r w:rsidRPr="00AA0A90">
        <w:rPr>
          <w:rFonts w:ascii="Verdana" w:eastAsia="Times New Roman" w:hAnsi="Verdana" w:cs="Arial"/>
          <w:sz w:val="20"/>
          <w:szCs w:val="20"/>
          <w:lang w:val="es-ES_tradnl" w:eastAsia="es-ES_tradnl"/>
        </w:rPr>
        <w:t xml:space="preserve">,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w:t>
      </w:r>
      <w:r w:rsidRPr="00AA0A90">
        <w:rPr>
          <w:rFonts w:ascii="Verdana" w:eastAsia="Times New Roman" w:hAnsi="Verdana" w:cs="Arial"/>
          <w:sz w:val="20"/>
          <w:szCs w:val="20"/>
          <w:lang w:val="es-ES_tradnl" w:eastAsia="es-ES_tradnl"/>
        </w:rPr>
        <w:lastRenderedPageBreak/>
        <w:t>de las mismas, pues de hacerlo se vulnerarían los derechos fundamentales al debido proceso (art. 29 CN) y a la igualdad (art. 13 Ibid.); […]</w:t>
      </w:r>
      <w:r w:rsidRPr="00AA0A90">
        <w:rPr>
          <w:rFonts w:ascii="Verdana" w:eastAsia="Aptos" w:hAnsi="Verdana" w:cs="Times New Roman"/>
          <w:vertAlign w:val="superscript"/>
        </w:rPr>
        <w:footnoteReference w:id="7"/>
      </w:r>
      <w:r w:rsidRPr="00AA0A90">
        <w:rPr>
          <w:rFonts w:ascii="Verdana" w:eastAsia="Times New Roman" w:hAnsi="Verdana" w:cs="Arial"/>
          <w:sz w:val="20"/>
          <w:szCs w:val="20"/>
          <w:lang w:val="es-ES_tradnl" w:eastAsia="es-ES_tradnl"/>
        </w:rPr>
        <w:t>.</w:t>
      </w:r>
    </w:p>
    <w:p w14:paraId="6E62EDB2" w14:textId="77777777" w:rsidR="00605F17" w:rsidRPr="00AA0A90" w:rsidRDefault="00605F17" w:rsidP="00605F17">
      <w:pPr>
        <w:pStyle w:val="Prrafodelista"/>
        <w:spacing w:after="0" w:line="276" w:lineRule="auto"/>
        <w:jc w:val="both"/>
        <w:rPr>
          <w:rFonts w:ascii="Verdana" w:hAnsi="Verdana"/>
        </w:rPr>
      </w:pPr>
    </w:p>
    <w:p w14:paraId="6445B1DC" w14:textId="0EBF09FA" w:rsidR="00605F17" w:rsidRPr="00AA0A90" w:rsidRDefault="0066129A" w:rsidP="00605F17">
      <w:pPr>
        <w:pStyle w:val="Prrafodelista"/>
        <w:numPr>
          <w:ilvl w:val="0"/>
          <w:numId w:val="17"/>
        </w:numPr>
        <w:spacing w:after="120" w:line="276" w:lineRule="auto"/>
        <w:jc w:val="both"/>
        <w:rPr>
          <w:rFonts w:ascii="Verdana" w:eastAsia="Times New Roman" w:hAnsi="Verdana" w:cs="Arial"/>
          <w:shd w:val="clear" w:color="auto" w:fill="FFFFFF"/>
          <w:lang w:eastAsia="es-ES_tradnl"/>
        </w:rPr>
      </w:pPr>
      <w:r w:rsidRPr="00AA0A90">
        <w:rPr>
          <w:rFonts w:ascii="Verdana" w:eastAsia="Calibri" w:hAnsi="Verdana" w:cs="Arial"/>
          <w:szCs w:val="24"/>
          <w:lang w:val="es-ES_tradnl" w:eastAsia="es-ES_tradnl"/>
        </w:rPr>
        <w:t>Ahora bien, c</w:t>
      </w:r>
      <w:r w:rsidR="00605F17" w:rsidRPr="00AA0A90">
        <w:rPr>
          <w:rFonts w:ascii="Verdana" w:eastAsia="Calibri" w:hAnsi="Verdana" w:cs="Arial"/>
          <w:szCs w:val="24"/>
          <w:lang w:val="es-ES_tradnl" w:eastAsia="es-ES_tradnl"/>
        </w:rPr>
        <w:t xml:space="preserve">omo se aprecia, el principio </w:t>
      </w:r>
      <w:r w:rsidR="00605F17" w:rsidRPr="00AA0A90">
        <w:rPr>
          <w:rFonts w:ascii="Verdana" w:eastAsia="Calibri" w:hAnsi="Verdana" w:cs="Arial"/>
          <w:i/>
          <w:iCs/>
          <w:szCs w:val="24"/>
          <w:lang w:val="es-ES_tradnl" w:eastAsia="es-ES_tradnl"/>
        </w:rPr>
        <w:t>pro libertate</w:t>
      </w:r>
      <w:r w:rsidR="00605F17" w:rsidRPr="00AA0A90">
        <w:rPr>
          <w:rFonts w:ascii="Verdana" w:eastAsia="Calibri" w:hAnsi="Verdana" w:cs="Arial"/>
          <w:szCs w:val="24"/>
          <w:lang w:val="es-ES_tradnl" w:eastAsia="es-ES_tradnl"/>
        </w:rPr>
        <w:t xml:space="preserve"> es el que debe dirigir la interpretación de las disposiciones normativas que consagran restricciones de derechos, como sucede con las causales de inhabilidad e incompatibilidad en la contratación estatal. </w:t>
      </w:r>
      <w:r w:rsidR="00605F17" w:rsidRPr="00AA0A90">
        <w:rPr>
          <w:rFonts w:ascii="Verdana" w:eastAsia="Times New Roman" w:hAnsi="Verdana" w:cs="Arial"/>
          <w:shd w:val="clear" w:color="auto" w:fill="FFFFFF"/>
          <w:lang w:eastAsia="es-ES_tradnl"/>
        </w:rPr>
        <w:t>Por lo tanto, no es posible llevar a cabo la interpretación extensiva de estas, debiendo preferirse aquella que menos limita el derecho de las personas, salvaguardando el interés general en la contratación pública de manera que implique el menor sacrificio posible al derecho de igualdad.</w:t>
      </w:r>
    </w:p>
    <w:p w14:paraId="60C529D9" w14:textId="77777777" w:rsidR="00605F17" w:rsidRPr="00AA0A90" w:rsidRDefault="00605F17" w:rsidP="00605F17">
      <w:pPr>
        <w:pStyle w:val="Prrafodelista"/>
        <w:spacing w:after="120" w:line="276" w:lineRule="auto"/>
        <w:jc w:val="both"/>
        <w:rPr>
          <w:rFonts w:ascii="Verdana" w:eastAsia="Times New Roman" w:hAnsi="Verdana" w:cs="Arial"/>
          <w:shd w:val="clear" w:color="auto" w:fill="FFFFFF"/>
          <w:lang w:eastAsia="es-ES_tradnl"/>
        </w:rPr>
      </w:pPr>
    </w:p>
    <w:p w14:paraId="7C6744E1" w14:textId="735C57F6" w:rsidR="004C5849" w:rsidRPr="00AA0A90" w:rsidRDefault="00605F17" w:rsidP="004C5849">
      <w:pPr>
        <w:pStyle w:val="Prrafodelista"/>
        <w:numPr>
          <w:ilvl w:val="0"/>
          <w:numId w:val="17"/>
        </w:numPr>
        <w:spacing w:after="0" w:line="240" w:lineRule="auto"/>
        <w:jc w:val="both"/>
        <w:rPr>
          <w:rFonts w:ascii="Verdana" w:hAnsi="Verdana"/>
          <w:sz w:val="20"/>
          <w:szCs w:val="20"/>
        </w:rPr>
      </w:pPr>
      <w:r w:rsidRPr="00AA0A90">
        <w:rPr>
          <w:rFonts w:ascii="Verdana" w:hAnsi="Verdana"/>
        </w:rPr>
        <w:t xml:space="preserve">Por su parte, el artículo 25 de la Ley 1801 de 2016, </w:t>
      </w:r>
      <w:r w:rsidR="0066129A" w:rsidRPr="00AA0A90">
        <w:rPr>
          <w:rFonts w:ascii="Verdana" w:hAnsi="Verdana"/>
        </w:rPr>
        <w:t>define las medidas correctivas como</w:t>
      </w:r>
      <w:r w:rsidR="004C5849" w:rsidRPr="00AA0A90">
        <w:rPr>
          <w:rFonts w:ascii="Verdana" w:hAnsi="Verdana"/>
        </w:rPr>
        <w:t>:</w:t>
      </w:r>
    </w:p>
    <w:p w14:paraId="20CA5B75" w14:textId="77777777" w:rsidR="004C5849" w:rsidRPr="00AA0A90" w:rsidRDefault="004C5849" w:rsidP="004C5849">
      <w:pPr>
        <w:pStyle w:val="Prrafodelista"/>
        <w:rPr>
          <w:rFonts w:ascii="Verdana" w:hAnsi="Verdana"/>
          <w:sz w:val="20"/>
          <w:szCs w:val="20"/>
        </w:rPr>
      </w:pPr>
    </w:p>
    <w:p w14:paraId="5B81E2CC" w14:textId="206C78E9" w:rsidR="00605F17" w:rsidRPr="00AA0A90" w:rsidRDefault="00605F17" w:rsidP="004C5849">
      <w:pPr>
        <w:pStyle w:val="Prrafodelista"/>
        <w:spacing w:after="0" w:line="240" w:lineRule="auto"/>
        <w:ind w:right="709"/>
        <w:jc w:val="both"/>
        <w:rPr>
          <w:rFonts w:ascii="Verdana" w:hAnsi="Verdana"/>
          <w:sz w:val="20"/>
          <w:szCs w:val="20"/>
        </w:rPr>
      </w:pPr>
      <w:r w:rsidRPr="00AA0A90">
        <w:rPr>
          <w:rFonts w:ascii="Verdana" w:hAnsi="Verdana"/>
          <w:sz w:val="20"/>
          <w:szCs w:val="20"/>
        </w:rPr>
        <w:t>“Comportamientos contrarios a la convivencia y medidas correctivas. Quienes incurran en comportamientos contrarios a la convivencia serán objeto de medidas correctivas de conformidad con esta ley, sin perjuicio de las demás acciones que en derecho correspondan.</w:t>
      </w:r>
    </w:p>
    <w:p w14:paraId="20E68B6C" w14:textId="77777777" w:rsidR="00605F17" w:rsidRPr="00AA0A90" w:rsidRDefault="00605F17" w:rsidP="00605F17">
      <w:pPr>
        <w:pStyle w:val="Prrafodelista"/>
        <w:spacing w:after="0" w:line="240" w:lineRule="auto"/>
        <w:ind w:right="709"/>
        <w:jc w:val="both"/>
        <w:rPr>
          <w:rFonts w:ascii="Verdana" w:hAnsi="Verdana"/>
          <w:sz w:val="20"/>
          <w:szCs w:val="20"/>
        </w:rPr>
      </w:pPr>
    </w:p>
    <w:p w14:paraId="477F6382" w14:textId="77777777" w:rsidR="00605F17" w:rsidRPr="00AA0A90" w:rsidRDefault="00605F17" w:rsidP="00605F17">
      <w:pPr>
        <w:pStyle w:val="Prrafodelista"/>
        <w:spacing w:after="0" w:line="240" w:lineRule="auto"/>
        <w:ind w:right="709"/>
        <w:jc w:val="both"/>
        <w:rPr>
          <w:rFonts w:ascii="Verdana" w:hAnsi="Verdana"/>
          <w:sz w:val="20"/>
          <w:szCs w:val="20"/>
        </w:rPr>
      </w:pPr>
      <w:r w:rsidRPr="00AA0A90">
        <w:rPr>
          <w:rFonts w:ascii="Verdana" w:hAnsi="Verdana"/>
          <w:sz w:val="20"/>
          <w:szCs w:val="20"/>
        </w:rPr>
        <w:t>PARÁGRAFO 1. En atención a los comportamientos relacionados en el presente Código, corresponde a las autoridades de Policía dentro del ámbito de su competencia adelantar las acciones que en derecho correspondan respetando las garantías constitucionales.</w:t>
      </w:r>
    </w:p>
    <w:p w14:paraId="7D1951AF" w14:textId="77777777" w:rsidR="00605F17" w:rsidRPr="00AA0A90" w:rsidRDefault="00605F17" w:rsidP="00605F17">
      <w:pPr>
        <w:pStyle w:val="Prrafodelista"/>
        <w:spacing w:after="0" w:line="240" w:lineRule="auto"/>
        <w:ind w:right="709"/>
        <w:jc w:val="both"/>
        <w:rPr>
          <w:rFonts w:ascii="Verdana" w:hAnsi="Verdana"/>
          <w:sz w:val="20"/>
          <w:szCs w:val="20"/>
        </w:rPr>
      </w:pPr>
    </w:p>
    <w:p w14:paraId="4F5F9026" w14:textId="1B0FA79E" w:rsidR="00605F17" w:rsidRPr="00AA0A90" w:rsidRDefault="00605F17" w:rsidP="00605F17">
      <w:pPr>
        <w:pStyle w:val="Prrafodelista"/>
        <w:spacing w:after="0" w:line="240" w:lineRule="auto"/>
        <w:ind w:right="709"/>
        <w:jc w:val="both"/>
        <w:rPr>
          <w:rFonts w:ascii="Verdana" w:hAnsi="Verdana"/>
          <w:sz w:val="20"/>
          <w:szCs w:val="20"/>
        </w:rPr>
      </w:pPr>
      <w:r w:rsidRPr="00AA0A90">
        <w:rPr>
          <w:rFonts w:ascii="Verdana" w:hAnsi="Verdana"/>
          <w:sz w:val="20"/>
          <w:szCs w:val="20"/>
        </w:rPr>
        <w:t>PARÁGRAFO 2. En caso de que el comportamiento contrario a la con-vivencia también constituya una conducta tipificada en el Código Penal, la medida correctiva a imponer no podrá tener la misma naturaleza que la sanción prevista en este último. La autoridad de Policía lo pondrá en conocimiento de la Fiscalía General de la Nación e impondrá las medidas de naturaleza distinta previstas en el presente Código.”</w:t>
      </w:r>
      <w:r w:rsidR="00EA75A5" w:rsidRPr="00AA0A90">
        <w:rPr>
          <w:rStyle w:val="Refdenotaalpie"/>
          <w:rFonts w:ascii="Verdana" w:hAnsi="Verdana"/>
          <w:sz w:val="20"/>
          <w:szCs w:val="20"/>
        </w:rPr>
        <w:footnoteReference w:id="8"/>
      </w:r>
    </w:p>
    <w:p w14:paraId="2029D919" w14:textId="77777777" w:rsidR="00605F17" w:rsidRPr="00AA0A90" w:rsidRDefault="00605F17" w:rsidP="00605F17">
      <w:pPr>
        <w:pStyle w:val="Prrafodelista"/>
        <w:rPr>
          <w:rFonts w:ascii="Verdana" w:eastAsia="Calibri" w:hAnsi="Verdana" w:cs="Arial"/>
        </w:rPr>
      </w:pPr>
    </w:p>
    <w:p w14:paraId="007A5F04" w14:textId="20E62DDA" w:rsidR="00605F17" w:rsidRPr="00AA0A90" w:rsidRDefault="0066129A" w:rsidP="00605F17">
      <w:pPr>
        <w:pStyle w:val="Prrafodelista"/>
        <w:numPr>
          <w:ilvl w:val="0"/>
          <w:numId w:val="17"/>
        </w:numPr>
        <w:spacing w:after="0" w:line="276" w:lineRule="auto"/>
        <w:jc w:val="both"/>
        <w:rPr>
          <w:rFonts w:ascii="Verdana" w:hAnsi="Verdana"/>
        </w:rPr>
      </w:pPr>
      <w:r w:rsidRPr="00AA0A90">
        <w:rPr>
          <w:rFonts w:ascii="Verdana" w:eastAsia="Calibri" w:hAnsi="Verdana" w:cs="Arial"/>
        </w:rPr>
        <w:t xml:space="preserve">En ese orden de ideas, </w:t>
      </w:r>
      <w:r w:rsidR="00605F17" w:rsidRPr="00AA0A90">
        <w:rPr>
          <w:rFonts w:ascii="Verdana" w:eastAsia="Calibri" w:hAnsi="Verdana" w:cs="Arial"/>
        </w:rPr>
        <w:t xml:space="preserve">dentro del artículo 8 de la Ley 80 de 1993, no se encuentra tipificada una causal que establezca estrecha relación con las medidas correctivas </w:t>
      </w:r>
      <w:r w:rsidRPr="00AA0A90">
        <w:rPr>
          <w:rFonts w:ascii="Verdana" w:eastAsia="Calibri" w:hAnsi="Verdana" w:cs="Arial"/>
        </w:rPr>
        <w:t xml:space="preserve">que indique que </w:t>
      </w:r>
      <w:r w:rsidR="00041564" w:rsidRPr="00AA0A90">
        <w:rPr>
          <w:rFonts w:ascii="Verdana" w:eastAsia="Calibri" w:hAnsi="Verdana" w:cs="Arial"/>
        </w:rPr>
        <w:t>estas introducen</w:t>
      </w:r>
      <w:r w:rsidRPr="00AA0A90">
        <w:rPr>
          <w:rFonts w:ascii="Verdana" w:eastAsia="Calibri" w:hAnsi="Verdana" w:cs="Arial"/>
        </w:rPr>
        <w:t xml:space="preserve"> a una inhabilidad o incompatibilidad para contratar con el estado.</w:t>
      </w:r>
    </w:p>
    <w:p w14:paraId="719BC224" w14:textId="10A18175" w:rsidR="00605F17" w:rsidRPr="00AA0A90" w:rsidRDefault="0066129A" w:rsidP="00605F17">
      <w:pPr>
        <w:pStyle w:val="Prrafodelista"/>
        <w:numPr>
          <w:ilvl w:val="0"/>
          <w:numId w:val="17"/>
        </w:numPr>
        <w:spacing w:after="0" w:line="276" w:lineRule="auto"/>
        <w:jc w:val="both"/>
        <w:rPr>
          <w:rFonts w:ascii="Verdana" w:eastAsia="Calibri" w:hAnsi="Verdana" w:cs="Arial"/>
        </w:rPr>
      </w:pPr>
      <w:r w:rsidRPr="00AA0A90">
        <w:rPr>
          <w:rFonts w:ascii="Verdana" w:hAnsi="Verdana" w:cs="Arial"/>
        </w:rPr>
        <w:t>Téngase presente que las</w:t>
      </w:r>
      <w:r w:rsidR="00605F17" w:rsidRPr="00AA0A90">
        <w:rPr>
          <w:rFonts w:ascii="Verdana" w:hAnsi="Verdana" w:cs="Arial"/>
        </w:rPr>
        <w:t xml:space="preserve"> </w:t>
      </w:r>
      <w:r w:rsidR="00605F17" w:rsidRPr="00AA0A90">
        <w:rPr>
          <w:rFonts w:ascii="Verdana" w:hAnsi="Verdana" w:cs="Arial"/>
          <w:i/>
          <w:iCs/>
          <w:lang w:eastAsia="es-ES_tradnl"/>
        </w:rPr>
        <w:t xml:space="preserve">Inhabilidades e Incompatibilidades </w:t>
      </w:r>
      <w:r w:rsidR="00605F17" w:rsidRPr="00AA0A90">
        <w:rPr>
          <w:rFonts w:ascii="Verdana" w:eastAsia="Times New Roman" w:hAnsi="Verdana" w:cs="Arial"/>
          <w:lang w:val="es-ES_tradnl" w:eastAsia="es-ES"/>
        </w:rPr>
        <w:t xml:space="preserve">restricciones que establece el legislador para limitar la capacidad de contratación de las </w:t>
      </w:r>
      <w:r w:rsidR="00605F17" w:rsidRPr="00AA0A90">
        <w:rPr>
          <w:rFonts w:ascii="Verdana" w:eastAsia="Times New Roman" w:hAnsi="Verdana" w:cs="Arial"/>
          <w:lang w:val="es-ES_tradnl" w:eastAsia="es-ES"/>
        </w:rPr>
        <w:lastRenderedPageBreak/>
        <w:t xml:space="preserve">personas naturales o jurídicas para contratar con el estado, y las mismas gozan de una interpretación restrictiva, la cual aleja cualquier analogía o entendimiento de la norma alejado a lo estrictamente expresado en </w:t>
      </w:r>
      <w:r w:rsidRPr="00AA0A90">
        <w:rPr>
          <w:rFonts w:ascii="Verdana" w:eastAsia="Times New Roman" w:hAnsi="Verdana" w:cs="Arial"/>
          <w:lang w:val="es-ES_tradnl" w:eastAsia="es-ES"/>
        </w:rPr>
        <w:t>l</w:t>
      </w:r>
      <w:r w:rsidR="00605F17" w:rsidRPr="00AA0A90">
        <w:rPr>
          <w:rFonts w:ascii="Verdana" w:eastAsia="Times New Roman" w:hAnsi="Verdana" w:cs="Arial"/>
          <w:lang w:val="es-ES_tradnl" w:eastAsia="es-ES"/>
        </w:rPr>
        <w:t xml:space="preserve">a norma. Por lo tanto, respecto al objeto de su consulta, dentro del </w:t>
      </w:r>
      <w:r w:rsidR="00605F17" w:rsidRPr="00AA0A90">
        <w:rPr>
          <w:rFonts w:ascii="Verdana" w:eastAsia="Calibri" w:hAnsi="Verdana" w:cs="Arial"/>
        </w:rPr>
        <w:t>artículo 8 de la Ley 80 de 1993 no se contempla expresamente una inhabilidad que se refiera estrictamente a limitar la capacidad de contratación para quien esté incurso en medidas correctivas</w:t>
      </w:r>
      <w:r w:rsidR="006C54B6" w:rsidRPr="00AA0A90">
        <w:rPr>
          <w:rFonts w:ascii="Verdana" w:eastAsia="Calibri" w:hAnsi="Verdana" w:cs="Arial"/>
        </w:rPr>
        <w:t>, tal y como se indicó previamente.</w:t>
      </w:r>
    </w:p>
    <w:p w14:paraId="7F73C6ED" w14:textId="77777777" w:rsidR="00605F17" w:rsidRPr="00AA0A90" w:rsidRDefault="00605F17" w:rsidP="00605F17">
      <w:pPr>
        <w:pStyle w:val="Prrafodelista"/>
        <w:spacing w:line="276" w:lineRule="auto"/>
        <w:rPr>
          <w:rFonts w:ascii="Verdana" w:eastAsia="Times New Roman" w:hAnsi="Verdana" w:cs="Arial"/>
          <w:lang w:eastAsia="es-ES"/>
        </w:rPr>
      </w:pPr>
    </w:p>
    <w:p w14:paraId="17A37467" w14:textId="77777777" w:rsidR="00605F17" w:rsidRPr="00AA0A90" w:rsidRDefault="00605F17" w:rsidP="00605F17">
      <w:pPr>
        <w:pStyle w:val="Prrafodelista"/>
        <w:numPr>
          <w:ilvl w:val="0"/>
          <w:numId w:val="17"/>
        </w:numPr>
        <w:spacing w:after="0" w:line="276" w:lineRule="auto"/>
        <w:jc w:val="both"/>
        <w:rPr>
          <w:rFonts w:ascii="Verdana" w:eastAsia="Calibri" w:hAnsi="Verdana" w:cs="Arial"/>
        </w:rPr>
      </w:pPr>
      <w:r w:rsidRPr="00AA0A90">
        <w:rPr>
          <w:rFonts w:ascii="Verdana" w:eastAsia="Times New Roman" w:hAnsi="Verdana" w:cs="Arial"/>
          <w:lang w:eastAsia="es-ES"/>
        </w:rPr>
        <w:t xml:space="preserve">Sin perjuicio de lo anterior debe advertirse que este concepto tiene un sentido ilustrativo por medio del cual se busca orientar al peticionario en relación con el objeto de su consulta, por lo mismo será la entidad estatal contratante, dentro de sus facultades, quien deba conocer el contexto de la sanción producto del expediente mencionado en la consulta y si esta lleva consigo una responsabilidad penal, hecho que podrá contrastarse con lo que reposa en el artículo antes mencionado. De esta manera, lo explicado en el presente concepto no puede ser interpretado como un pronunciamiento respecto del objeto contractual aludido en la petición, ni las afirmaciones aquí realizadas pueden ser interpretadas como juicios de valor sobre circunstancias relacionadas con los hechos que motivan la petición. </w:t>
      </w:r>
    </w:p>
    <w:p w14:paraId="74B54218" w14:textId="77777777" w:rsidR="00605F17" w:rsidRPr="00AA0A90" w:rsidRDefault="00605F17" w:rsidP="00605F17">
      <w:pPr>
        <w:widowControl w:val="0"/>
        <w:autoSpaceDE w:val="0"/>
        <w:autoSpaceDN w:val="0"/>
        <w:spacing w:after="0" w:line="276" w:lineRule="auto"/>
        <w:jc w:val="both"/>
        <w:rPr>
          <w:rFonts w:ascii="Verdana" w:hAnsi="Verdana" w:cs="Arial"/>
        </w:rPr>
      </w:pPr>
    </w:p>
    <w:p w14:paraId="68B59923" w14:textId="77777777" w:rsidR="00605F17" w:rsidRPr="00AA0A90" w:rsidRDefault="00605F17" w:rsidP="00605F1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AA0A90">
        <w:rPr>
          <w:rFonts w:ascii="Verdana" w:eastAsia="Century Gothic" w:hAnsi="Verdana" w:cs="Century Gothic"/>
          <w:b/>
          <w:bCs/>
        </w:rPr>
        <w:t>Referencias normativas, jurisprudenciales y otras fuentes:</w:t>
      </w:r>
    </w:p>
    <w:p w14:paraId="19C0CED3" w14:textId="77777777" w:rsidR="00605F17" w:rsidRPr="00AA0A90" w:rsidRDefault="00605F17" w:rsidP="00605F17">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05F17" w:rsidRPr="00AA0A90" w14:paraId="742BA975" w14:textId="77777777" w:rsidTr="0064021E">
        <w:trPr>
          <w:trHeight w:val="870"/>
        </w:trPr>
        <w:tc>
          <w:tcPr>
            <w:tcW w:w="8647" w:type="dxa"/>
          </w:tcPr>
          <w:p w14:paraId="14CB38D7" w14:textId="77777777" w:rsidR="00605F17" w:rsidRPr="00AA0A90" w:rsidRDefault="00605F17" w:rsidP="00605F17">
            <w:pPr>
              <w:pStyle w:val="Prrafodelista"/>
              <w:widowControl w:val="0"/>
              <w:numPr>
                <w:ilvl w:val="0"/>
                <w:numId w:val="18"/>
              </w:numPr>
              <w:autoSpaceDE w:val="0"/>
              <w:autoSpaceDN w:val="0"/>
              <w:spacing w:after="120" w:line="276" w:lineRule="auto"/>
              <w:jc w:val="both"/>
              <w:rPr>
                <w:rFonts w:ascii="Verdana" w:hAnsi="Verdana" w:cs="Arial"/>
              </w:rPr>
            </w:pPr>
            <w:r w:rsidRPr="00AA0A90">
              <w:rPr>
                <w:rFonts w:ascii="Verdana" w:hAnsi="Verdana" w:cs="Arial"/>
              </w:rPr>
              <w:t xml:space="preserve">Ley 1801 de 2016: artículo 25 </w:t>
            </w:r>
          </w:p>
          <w:p w14:paraId="4AECA967" w14:textId="4BA7FB36" w:rsidR="00605F17" w:rsidRPr="00AA0A90" w:rsidRDefault="00605F17" w:rsidP="0064021E">
            <w:pPr>
              <w:pStyle w:val="Prrafodelista"/>
              <w:widowControl w:val="0"/>
              <w:numPr>
                <w:ilvl w:val="0"/>
                <w:numId w:val="18"/>
              </w:numPr>
              <w:autoSpaceDE w:val="0"/>
              <w:autoSpaceDN w:val="0"/>
              <w:spacing w:after="120" w:line="276" w:lineRule="auto"/>
              <w:jc w:val="both"/>
              <w:rPr>
                <w:rFonts w:ascii="Verdana" w:hAnsi="Verdana" w:cs="Arial"/>
              </w:rPr>
            </w:pPr>
            <w:r w:rsidRPr="00AA0A90">
              <w:rPr>
                <w:rFonts w:ascii="Verdana" w:hAnsi="Verdana" w:cs="Arial"/>
              </w:rPr>
              <w:t>Ley 80 de 1993: artículo 8</w:t>
            </w:r>
          </w:p>
        </w:tc>
      </w:tr>
    </w:tbl>
    <w:p w14:paraId="4A10F3ED" w14:textId="77777777" w:rsidR="00605F17" w:rsidRPr="00AA0A90" w:rsidRDefault="00605F17" w:rsidP="00605F17">
      <w:pPr>
        <w:widowControl w:val="0"/>
        <w:autoSpaceDE w:val="0"/>
        <w:autoSpaceDN w:val="0"/>
        <w:spacing w:after="0" w:line="276" w:lineRule="auto"/>
        <w:jc w:val="both"/>
        <w:rPr>
          <w:rFonts w:ascii="Verdana" w:hAnsi="Verdana" w:cs="Arial"/>
        </w:rPr>
      </w:pPr>
    </w:p>
    <w:p w14:paraId="076A9FD8" w14:textId="77777777" w:rsidR="00605F17" w:rsidRPr="00AA0A90" w:rsidRDefault="00605F17" w:rsidP="00605F1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AA0A90">
        <w:rPr>
          <w:rFonts w:ascii="Verdana" w:eastAsia="Century Gothic" w:hAnsi="Verdana" w:cs="Century Gothic"/>
          <w:b/>
          <w:bCs/>
        </w:rPr>
        <w:t>Doctrina de la Agencia Nacional de Contratación Pública:</w:t>
      </w:r>
    </w:p>
    <w:p w14:paraId="2082E5A8" w14:textId="77777777" w:rsidR="00605F17" w:rsidRPr="00AA0A90" w:rsidRDefault="00605F17" w:rsidP="00605F17">
      <w:pPr>
        <w:widowControl w:val="0"/>
        <w:autoSpaceDE w:val="0"/>
        <w:autoSpaceDN w:val="0"/>
        <w:spacing w:after="0" w:line="276" w:lineRule="auto"/>
        <w:jc w:val="both"/>
        <w:rPr>
          <w:rFonts w:ascii="Verdana" w:hAnsi="Verdana" w:cs="Arial"/>
        </w:rPr>
      </w:pPr>
    </w:p>
    <w:p w14:paraId="58B11CBF" w14:textId="27814CD3" w:rsidR="00605F17" w:rsidRPr="00AA0A90" w:rsidRDefault="00605F17" w:rsidP="00605F17">
      <w:pPr>
        <w:widowControl w:val="0"/>
        <w:autoSpaceDE w:val="0"/>
        <w:autoSpaceDN w:val="0"/>
        <w:spacing w:after="0" w:line="276" w:lineRule="auto"/>
        <w:jc w:val="both"/>
        <w:rPr>
          <w:rStyle w:val="normaltextrun"/>
          <w:rFonts w:ascii="Verdana" w:hAnsi="Verdana" w:cs="Arial"/>
          <w:shd w:val="clear" w:color="auto" w:fill="FFFFFF"/>
        </w:rPr>
      </w:pPr>
      <w:r w:rsidRPr="00AA0A90">
        <w:rPr>
          <w:rStyle w:val="normaltextrun"/>
          <w:rFonts w:ascii="Verdana" w:hAnsi="Verdana" w:cs="Arial"/>
          <w:shd w:val="clear" w:color="auto" w:fill="FFFFFF"/>
          <w:lang w:val="es-ES"/>
        </w:rPr>
        <w:t xml:space="preserve">Sobre el régimen de inhabilidades e incompatibilidades en la contratación pública, sus criterios de interpretación –restrictivo y pro libertate– y sus efectos en la capacidad contractual, entre otros, en los conceptos: C-090 del 24 de febrero de 2020, C-125 del 3 de marzo de 2020, C-157 del 17 de marzo de 2020, C-273 del 21 de mayo de 2020, C-402 del 26 de junio de 2020, C-386 del 24 de julio de 2020, C-701 del 6 de enero de 2021, C-004 del 12 de febrero de 2021, C-210 del 12 de mayo de 2021, C-275 del 11 de junio de 2021, C-449 del 31 de agosto de 2021, C-028 del 28 de febrero de 2022, C-318 del 18 de mayo </w:t>
      </w:r>
      <w:r w:rsidRPr="00AA0A90">
        <w:rPr>
          <w:rStyle w:val="normaltextrun"/>
          <w:rFonts w:ascii="Verdana" w:hAnsi="Verdana" w:cs="Arial"/>
          <w:shd w:val="clear" w:color="auto" w:fill="FFFFFF"/>
          <w:lang w:val="es-ES"/>
        </w:rPr>
        <w:lastRenderedPageBreak/>
        <w:t>de 2022, C-252 del 30 de mayo de 2022, C-619 del 27 de septiembre de 2022, C-731 de 10 de noviembre de 2022, C-059 de 13 de junio de 2023,</w:t>
      </w:r>
      <w:r w:rsidR="001C7BB4" w:rsidRPr="00AA0A90">
        <w:rPr>
          <w:rStyle w:val="normaltextrun"/>
          <w:rFonts w:ascii="Verdana" w:hAnsi="Verdana" w:cs="Arial"/>
          <w:shd w:val="clear" w:color="auto" w:fill="FFFFFF"/>
          <w:lang w:val="es-ES"/>
        </w:rPr>
        <w:t xml:space="preserve"> </w:t>
      </w:r>
      <w:r w:rsidR="00F629FC" w:rsidRPr="00AA0A90">
        <w:rPr>
          <w:rFonts w:ascii="Verdana" w:hAnsi="Verdana" w:cs="Arial"/>
          <w:shd w:val="clear" w:color="auto" w:fill="FFFFFF"/>
        </w:rPr>
        <w:t xml:space="preserve">C-352 del 22 de diciembre de 2023, </w:t>
      </w:r>
      <w:r w:rsidR="00AA3A82" w:rsidRPr="00AA0A90">
        <w:rPr>
          <w:rFonts w:ascii="Verdana" w:hAnsi="Verdana" w:cs="Arial"/>
          <w:shd w:val="clear" w:color="auto" w:fill="FFFFFF"/>
        </w:rPr>
        <w:t xml:space="preserve">C-010 del 31 de enero de 2024, </w:t>
      </w:r>
      <w:r w:rsidR="002100E0" w:rsidRPr="00AA0A90">
        <w:rPr>
          <w:rFonts w:ascii="Verdana" w:hAnsi="Verdana" w:cs="Arial"/>
          <w:shd w:val="clear" w:color="auto" w:fill="FFFFFF"/>
        </w:rPr>
        <w:t xml:space="preserve">C-023 del 26 de febrero de 2024, </w:t>
      </w:r>
      <w:r w:rsidR="003E69BF" w:rsidRPr="00AA0A90">
        <w:rPr>
          <w:rFonts w:ascii="Verdana" w:hAnsi="Verdana" w:cs="Arial"/>
          <w:shd w:val="clear" w:color="auto" w:fill="FFFFFF"/>
        </w:rPr>
        <w:t xml:space="preserve">C-035 del 24 de abril de 2024, </w:t>
      </w:r>
      <w:r w:rsidR="008E7945" w:rsidRPr="00AA0A90">
        <w:rPr>
          <w:rFonts w:ascii="Verdana" w:hAnsi="Verdana" w:cs="Arial"/>
          <w:shd w:val="clear" w:color="auto" w:fill="FFFFFF"/>
        </w:rPr>
        <w:t xml:space="preserve">C-039 del 23 de abril de 2024, </w:t>
      </w:r>
      <w:r w:rsidR="001C7BB4" w:rsidRPr="00AA0A90">
        <w:rPr>
          <w:rFonts w:ascii="Verdana" w:hAnsi="Verdana" w:cs="Arial"/>
          <w:shd w:val="clear" w:color="auto" w:fill="FFFFFF"/>
        </w:rPr>
        <w:t>C-041 del</w:t>
      </w:r>
      <w:r w:rsidR="00687571" w:rsidRPr="00AA0A90">
        <w:rPr>
          <w:rFonts w:ascii="Verdana" w:hAnsi="Verdana" w:cs="Arial"/>
          <w:shd w:val="clear" w:color="auto" w:fill="FFFFFF"/>
        </w:rPr>
        <w:t xml:space="preserve"> 29 de mayo </w:t>
      </w:r>
      <w:r w:rsidR="001C7BB4" w:rsidRPr="00AA0A90">
        <w:rPr>
          <w:rFonts w:ascii="Verdana" w:hAnsi="Verdana" w:cs="Arial"/>
          <w:shd w:val="clear" w:color="auto" w:fill="FFFFFF"/>
        </w:rPr>
        <w:t>de 2024</w:t>
      </w:r>
      <w:r w:rsidR="001C7BB4" w:rsidRPr="00AA0A90">
        <w:rPr>
          <w:rStyle w:val="normaltextrun"/>
          <w:rFonts w:ascii="Verdana" w:hAnsi="Verdana" w:cs="Arial"/>
          <w:shd w:val="clear" w:color="auto" w:fill="FFFFFF"/>
          <w:lang w:val="es-ES"/>
        </w:rPr>
        <w:t>,</w:t>
      </w:r>
      <w:r w:rsidR="00687571" w:rsidRPr="00AA0A90">
        <w:rPr>
          <w:rStyle w:val="normaltextrun"/>
          <w:rFonts w:ascii="Verdana" w:hAnsi="Verdana" w:cs="Arial"/>
          <w:shd w:val="clear" w:color="auto" w:fill="FFFFFF"/>
          <w:lang w:val="es-ES"/>
        </w:rPr>
        <w:t xml:space="preserve"> </w:t>
      </w:r>
      <w:r w:rsidR="00687571" w:rsidRPr="00AA0A90">
        <w:rPr>
          <w:rFonts w:ascii="Verdana" w:hAnsi="Verdana" w:cs="Arial"/>
          <w:shd w:val="clear" w:color="auto" w:fill="FFFFFF"/>
        </w:rPr>
        <w:t>C-067 del 16 de mayo de 2024</w:t>
      </w:r>
      <w:r w:rsidR="00687571" w:rsidRPr="00AA0A90">
        <w:rPr>
          <w:rStyle w:val="normaltextrun"/>
          <w:rFonts w:ascii="Verdana" w:hAnsi="Verdana" w:cs="Arial"/>
          <w:shd w:val="clear" w:color="auto" w:fill="FFFFFF"/>
          <w:lang w:val="es-ES"/>
        </w:rPr>
        <w:t>,</w:t>
      </w:r>
      <w:r w:rsidR="004C20FD" w:rsidRPr="00AA0A90">
        <w:rPr>
          <w:rStyle w:val="normaltextrun"/>
          <w:rFonts w:ascii="Verdana" w:hAnsi="Verdana" w:cs="Arial"/>
          <w:shd w:val="clear" w:color="auto" w:fill="FFFFFF"/>
          <w:lang w:val="es-ES"/>
        </w:rPr>
        <w:t xml:space="preserve"> </w:t>
      </w:r>
      <w:r w:rsidR="004C20FD" w:rsidRPr="00AA0A90">
        <w:rPr>
          <w:rFonts w:ascii="Verdana" w:hAnsi="Verdana" w:cs="Arial"/>
          <w:shd w:val="clear" w:color="auto" w:fill="FFFFFF"/>
        </w:rPr>
        <w:t xml:space="preserve">C-078 del </w:t>
      </w:r>
      <w:r w:rsidR="00E975E9" w:rsidRPr="00AA0A90">
        <w:rPr>
          <w:rFonts w:ascii="Verdana" w:hAnsi="Verdana" w:cs="Arial"/>
          <w:shd w:val="clear" w:color="auto" w:fill="FFFFFF"/>
        </w:rPr>
        <w:t xml:space="preserve">4 de junio </w:t>
      </w:r>
      <w:r w:rsidR="004C20FD" w:rsidRPr="00AA0A90">
        <w:rPr>
          <w:rFonts w:ascii="Verdana" w:hAnsi="Verdana" w:cs="Arial"/>
          <w:shd w:val="clear" w:color="auto" w:fill="FFFFFF"/>
        </w:rPr>
        <w:t>de 2024,</w:t>
      </w:r>
      <w:r w:rsidRPr="00AA0A90">
        <w:rPr>
          <w:rStyle w:val="normaltextrun"/>
          <w:rFonts w:ascii="Verdana" w:hAnsi="Verdana" w:cs="Arial"/>
          <w:shd w:val="clear" w:color="auto" w:fill="FFFFFF"/>
          <w:lang w:val="es-ES"/>
        </w:rPr>
        <w:t xml:space="preserve"> C-289 del 15 de agosto de 2023, </w:t>
      </w:r>
      <w:r w:rsidR="00F54598" w:rsidRPr="00AA0A90">
        <w:rPr>
          <w:rStyle w:val="normaltextrun"/>
          <w:rFonts w:ascii="Verdana" w:hAnsi="Verdana" w:cs="Arial"/>
          <w:shd w:val="clear" w:color="auto" w:fill="FFFFFF"/>
          <w:lang w:val="es-ES"/>
        </w:rPr>
        <w:t>C-172</w:t>
      </w:r>
      <w:r w:rsidR="000A647D" w:rsidRPr="00AA0A90">
        <w:rPr>
          <w:rStyle w:val="normaltextrun"/>
          <w:rFonts w:ascii="Verdana" w:hAnsi="Verdana" w:cs="Arial"/>
          <w:shd w:val="clear" w:color="auto" w:fill="FFFFFF"/>
          <w:lang w:val="es-ES"/>
        </w:rPr>
        <w:t xml:space="preserve"> de 25 de julio </w:t>
      </w:r>
      <w:r w:rsidR="00F54598" w:rsidRPr="00AA0A90">
        <w:rPr>
          <w:rStyle w:val="normaltextrun"/>
          <w:rFonts w:ascii="Verdana" w:hAnsi="Verdana" w:cs="Arial"/>
          <w:shd w:val="clear" w:color="auto" w:fill="FFFFFF"/>
          <w:lang w:val="es-ES"/>
        </w:rPr>
        <w:t>de</w:t>
      </w:r>
      <w:r w:rsidR="000A647D" w:rsidRPr="00AA0A90">
        <w:rPr>
          <w:rStyle w:val="normaltextrun"/>
          <w:rFonts w:ascii="Verdana" w:hAnsi="Verdana" w:cs="Arial"/>
          <w:shd w:val="clear" w:color="auto" w:fill="FFFFFF"/>
          <w:lang w:val="es-ES"/>
        </w:rPr>
        <w:t xml:space="preserve"> </w:t>
      </w:r>
      <w:r w:rsidR="00F54598" w:rsidRPr="00AA0A90">
        <w:rPr>
          <w:rStyle w:val="normaltextrun"/>
          <w:rFonts w:ascii="Verdana" w:hAnsi="Verdana" w:cs="Arial"/>
          <w:shd w:val="clear" w:color="auto" w:fill="FFFFFF"/>
          <w:lang w:val="es-ES"/>
        </w:rPr>
        <w:t>2024</w:t>
      </w:r>
      <w:r w:rsidR="000A647D" w:rsidRPr="00AA0A90">
        <w:rPr>
          <w:rStyle w:val="normaltextrun"/>
          <w:rFonts w:ascii="Verdana" w:hAnsi="Verdana" w:cs="Arial"/>
          <w:shd w:val="clear" w:color="auto" w:fill="FFFFFF"/>
          <w:lang w:val="es-ES"/>
        </w:rPr>
        <w:t xml:space="preserve">, C-271 </w:t>
      </w:r>
      <w:r w:rsidR="004C20FD" w:rsidRPr="00AA0A90">
        <w:rPr>
          <w:rStyle w:val="normaltextrun"/>
          <w:rFonts w:ascii="Verdana" w:hAnsi="Verdana" w:cs="Arial"/>
          <w:shd w:val="clear" w:color="auto" w:fill="FFFFFF"/>
          <w:lang w:val="es-ES"/>
        </w:rPr>
        <w:t xml:space="preserve">del 22 de julio </w:t>
      </w:r>
      <w:r w:rsidR="000A647D" w:rsidRPr="00AA0A90">
        <w:rPr>
          <w:rStyle w:val="normaltextrun"/>
          <w:rFonts w:ascii="Verdana" w:hAnsi="Verdana" w:cs="Arial"/>
          <w:shd w:val="clear" w:color="auto" w:fill="FFFFFF"/>
          <w:lang w:val="es-ES"/>
        </w:rPr>
        <w:t>de 2024</w:t>
      </w:r>
      <w:r w:rsidRPr="00AA0A90">
        <w:rPr>
          <w:rStyle w:val="normaltextrun"/>
          <w:rFonts w:ascii="Verdana" w:hAnsi="Verdana" w:cs="Arial"/>
          <w:shd w:val="clear" w:color="auto" w:fill="FFFFFF"/>
          <w:lang w:val="es-ES"/>
        </w:rPr>
        <w:t>entre otros. Es</w:t>
      </w:r>
      <w:r w:rsidRPr="00AA0A90">
        <w:rPr>
          <w:rFonts w:ascii="Verdana" w:hAnsi="Verdana"/>
        </w:rPr>
        <w:t>tos y otros conceptos se encuentran disponibles para consulta en el Sistema de relatoría de la Agencia, al cual se puede acceder a través del siguiente enlace:</w:t>
      </w:r>
      <w:r w:rsidRPr="00AA0A90">
        <w:rPr>
          <w:rStyle w:val="normaltextrun"/>
          <w:rFonts w:ascii="Verdana" w:hAnsi="Verdana" w:cs="Arial"/>
          <w:shd w:val="clear" w:color="auto" w:fill="FFFFFF"/>
          <w:lang w:val="es-ES"/>
        </w:rPr>
        <w:t xml:space="preserve"> </w:t>
      </w:r>
      <w:hyperlink r:id="rId13" w:history="1">
        <w:r w:rsidRPr="00AA0A90">
          <w:rPr>
            <w:rStyle w:val="Hipervnculo"/>
            <w:rFonts w:ascii="Verdana" w:hAnsi="Verdana" w:cs="Arial"/>
            <w:color w:val="4472C4" w:themeColor="accent1"/>
            <w:shd w:val="clear" w:color="auto" w:fill="FFFFFF"/>
            <w:lang w:val="es-ES"/>
          </w:rPr>
          <w:t>https://relatoria.colombiacompra.gov.co/busqueda/conceptos</w:t>
        </w:r>
      </w:hyperlink>
      <w:r w:rsidRPr="00AA0A90">
        <w:rPr>
          <w:rStyle w:val="normaltextrun"/>
          <w:rFonts w:ascii="Verdana" w:hAnsi="Verdana" w:cs="Arial"/>
          <w:color w:val="4472C4" w:themeColor="accent1"/>
          <w:shd w:val="clear" w:color="auto" w:fill="FFFFFF"/>
          <w:lang w:val="es-ES"/>
        </w:rPr>
        <w:t xml:space="preserve">. </w:t>
      </w:r>
    </w:p>
    <w:p w14:paraId="1DA8A680" w14:textId="77777777" w:rsidR="00605F17" w:rsidRPr="00AA0A90" w:rsidRDefault="00605F17" w:rsidP="00605F17">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1C58F5E3" w14:textId="77777777" w:rsidR="005F2D5E" w:rsidRPr="00AA0A90" w:rsidRDefault="00605F17" w:rsidP="00605F17">
      <w:pPr>
        <w:widowControl w:val="0"/>
        <w:autoSpaceDE w:val="0"/>
        <w:autoSpaceDN w:val="0"/>
        <w:spacing w:after="0" w:line="276" w:lineRule="auto"/>
        <w:jc w:val="both"/>
        <w:rPr>
          <w:rStyle w:val="normaltextrun"/>
          <w:rFonts w:ascii="Verdana" w:hAnsi="Verdana" w:cs="Arial"/>
          <w:color w:val="4472C4" w:themeColor="accent1"/>
          <w:shd w:val="clear" w:color="auto" w:fill="FFFFFF"/>
          <w:lang w:val="es-ES"/>
        </w:rPr>
      </w:pPr>
      <w:r w:rsidRPr="00AA0A90">
        <w:rPr>
          <w:rStyle w:val="normaltextrun"/>
          <w:rFonts w:ascii="Verdana" w:hAnsi="Verdana"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sidRPr="00AA0A90">
        <w:rPr>
          <w:rStyle w:val="normaltextrun"/>
          <w:rFonts w:ascii="Verdana" w:hAnsi="Verdana" w:cs="Arial"/>
          <w:color w:val="FF0000"/>
          <w:shd w:val="clear" w:color="auto" w:fill="FFFFFF"/>
          <w:lang w:val="es-ES"/>
        </w:rPr>
        <w:t xml:space="preserve"> </w:t>
      </w:r>
      <w:hyperlink r:id="rId14" w:history="1">
        <w:r w:rsidRPr="00AA0A90">
          <w:rPr>
            <w:rStyle w:val="Hipervnculo"/>
            <w:rFonts w:ascii="Verdana" w:hAnsi="Verdana" w:cs="Arial"/>
            <w:color w:val="4472C4" w:themeColor="accent1"/>
            <w:shd w:val="clear" w:color="auto" w:fill="FFFFFF"/>
            <w:lang w:val="es-ES"/>
          </w:rPr>
          <w:t>https://www.colombiacompra.gov.co/sala-de-prensa/boletin-digital</w:t>
        </w:r>
      </w:hyperlink>
      <w:r w:rsidRPr="00AA0A90">
        <w:rPr>
          <w:rStyle w:val="normaltextrun"/>
          <w:rFonts w:ascii="Verdana" w:hAnsi="Verdana" w:cs="Arial"/>
          <w:color w:val="4472C4" w:themeColor="accent1"/>
          <w:shd w:val="clear" w:color="auto" w:fill="FFFFFF"/>
          <w:lang w:val="es-ES"/>
        </w:rPr>
        <w:t xml:space="preserve">  </w:t>
      </w:r>
    </w:p>
    <w:p w14:paraId="6A08518B" w14:textId="14D3CC80" w:rsidR="00605F17" w:rsidRPr="00AA0A90" w:rsidRDefault="00605F17" w:rsidP="00605F17">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AA0A90">
        <w:rPr>
          <w:rStyle w:val="normaltextrun"/>
          <w:rFonts w:ascii="Verdana" w:hAnsi="Verdana" w:cs="Arial"/>
          <w:color w:val="4472C4" w:themeColor="accent1"/>
          <w:shd w:val="clear" w:color="auto" w:fill="FFFFFF"/>
          <w:lang w:val="es-ES"/>
        </w:rPr>
        <w:t xml:space="preserve">    </w:t>
      </w:r>
    </w:p>
    <w:p w14:paraId="5C2D218E" w14:textId="77777777" w:rsidR="00605F17" w:rsidRPr="00AA0A90" w:rsidRDefault="00605F17" w:rsidP="00605F17">
      <w:pPr>
        <w:spacing w:after="0" w:line="240" w:lineRule="auto"/>
        <w:jc w:val="both"/>
        <w:rPr>
          <w:rFonts w:ascii="Verdana" w:hAnsi="Verdana"/>
        </w:rPr>
      </w:pPr>
      <w:r w:rsidRPr="00AA0A90">
        <w:rPr>
          <w:rFonts w:ascii="Verdana" w:hAnsi="Verdana"/>
        </w:rPr>
        <w:t xml:space="preserve">Por último, lo invitamos a seguirnos en las redes sociales en las cuales se difunde información institucional: </w:t>
      </w:r>
    </w:p>
    <w:p w14:paraId="4A6D192E" w14:textId="77777777" w:rsidR="00605F17" w:rsidRPr="00AA0A90" w:rsidRDefault="00605F17" w:rsidP="00605F17">
      <w:pPr>
        <w:spacing w:after="0" w:line="240" w:lineRule="auto"/>
        <w:jc w:val="both"/>
        <w:rPr>
          <w:rFonts w:ascii="Verdana" w:hAnsi="Verdana"/>
        </w:rPr>
      </w:pPr>
    </w:p>
    <w:p w14:paraId="566BD652" w14:textId="77777777" w:rsidR="00605F17" w:rsidRPr="00AA0A90" w:rsidRDefault="00605F17" w:rsidP="00605F17">
      <w:pPr>
        <w:spacing w:after="0" w:line="240" w:lineRule="auto"/>
        <w:jc w:val="both"/>
        <w:rPr>
          <w:rFonts w:ascii="Verdana" w:hAnsi="Verdana"/>
        </w:rPr>
      </w:pPr>
      <w:r w:rsidRPr="00AA0A90">
        <w:rPr>
          <w:rFonts w:ascii="Verdana" w:hAnsi="Verdana"/>
        </w:rPr>
        <w:t xml:space="preserve">Twitter: </w:t>
      </w:r>
      <w:r w:rsidRPr="00AA0A90">
        <w:rPr>
          <w:rStyle w:val="Hipervnculo"/>
          <w:rFonts w:ascii="Verdana" w:hAnsi="Verdana"/>
          <w:color w:val="4472C4" w:themeColor="accent1"/>
        </w:rPr>
        <w:t>@colombiacompra</w:t>
      </w:r>
      <w:r w:rsidRPr="00AA0A90">
        <w:rPr>
          <w:rFonts w:ascii="Verdana" w:hAnsi="Verdana"/>
          <w:color w:val="4472C4" w:themeColor="accent1"/>
        </w:rPr>
        <w:t xml:space="preserve"> </w:t>
      </w:r>
    </w:p>
    <w:p w14:paraId="0209F51D" w14:textId="77777777" w:rsidR="00605F17" w:rsidRPr="00AA0A90" w:rsidRDefault="00605F17" w:rsidP="00605F17">
      <w:pPr>
        <w:spacing w:after="0" w:line="240" w:lineRule="auto"/>
        <w:jc w:val="both"/>
        <w:rPr>
          <w:rFonts w:ascii="Verdana" w:hAnsi="Verdana"/>
        </w:rPr>
      </w:pPr>
      <w:r w:rsidRPr="00AA0A90">
        <w:rPr>
          <w:rFonts w:ascii="Verdana" w:hAnsi="Verdana"/>
        </w:rPr>
        <w:t xml:space="preserve">Facebook: </w:t>
      </w:r>
      <w:r w:rsidRPr="00AA0A90">
        <w:rPr>
          <w:rStyle w:val="Hipervnculo"/>
          <w:rFonts w:ascii="Verdana" w:hAnsi="Verdana"/>
          <w:color w:val="4472C4" w:themeColor="accent1"/>
        </w:rPr>
        <w:t>ColombiaCompraEficiente</w:t>
      </w:r>
    </w:p>
    <w:p w14:paraId="530D0D89" w14:textId="77777777" w:rsidR="00605F17" w:rsidRPr="00AA0A90" w:rsidRDefault="00605F17" w:rsidP="00605F17">
      <w:pPr>
        <w:spacing w:after="0" w:line="240" w:lineRule="auto"/>
        <w:jc w:val="both"/>
        <w:rPr>
          <w:rFonts w:ascii="Verdana" w:hAnsi="Verdana"/>
        </w:rPr>
      </w:pPr>
      <w:r w:rsidRPr="00AA0A90">
        <w:rPr>
          <w:rFonts w:ascii="Verdana" w:hAnsi="Verdana"/>
        </w:rPr>
        <w:t xml:space="preserve">LinkedIn: </w:t>
      </w:r>
      <w:r w:rsidRPr="00AA0A90">
        <w:rPr>
          <w:rStyle w:val="Hipervnculo"/>
          <w:rFonts w:ascii="Verdana" w:hAnsi="Verdana"/>
          <w:color w:val="4472C4" w:themeColor="accent1"/>
        </w:rPr>
        <w:t>Agencia Nacional de Contratación Pública - Colombia Compra Eficiente</w:t>
      </w:r>
      <w:r w:rsidRPr="00AA0A90">
        <w:rPr>
          <w:rFonts w:ascii="Verdana" w:hAnsi="Verdana"/>
          <w:color w:val="4472C4" w:themeColor="accent1"/>
        </w:rPr>
        <w:t xml:space="preserve"> </w:t>
      </w:r>
      <w:r w:rsidRPr="00AA0A90">
        <w:rPr>
          <w:rFonts w:ascii="Verdana" w:hAnsi="Verdana"/>
        </w:rPr>
        <w:t xml:space="preserve">Instagram: </w:t>
      </w:r>
      <w:r w:rsidRPr="00AA0A90">
        <w:rPr>
          <w:rStyle w:val="Hipervnculo"/>
          <w:rFonts w:ascii="Verdana" w:hAnsi="Verdana"/>
          <w:color w:val="4472C4" w:themeColor="accent1"/>
        </w:rPr>
        <w:t>@colombiacompraeficiente_cce</w:t>
      </w:r>
    </w:p>
    <w:p w14:paraId="36CD1CDC" w14:textId="77777777" w:rsidR="00605F17" w:rsidRPr="00AA0A90" w:rsidRDefault="00605F17" w:rsidP="00605F17">
      <w:pPr>
        <w:widowControl w:val="0"/>
        <w:autoSpaceDE w:val="0"/>
        <w:autoSpaceDN w:val="0"/>
        <w:spacing w:after="0" w:line="276" w:lineRule="auto"/>
        <w:jc w:val="both"/>
        <w:rPr>
          <w:rFonts w:ascii="Verdana" w:hAnsi="Verdana" w:cs="Arial"/>
        </w:rPr>
      </w:pPr>
    </w:p>
    <w:p w14:paraId="75D8F777" w14:textId="77777777" w:rsidR="00605F17" w:rsidRPr="00AA0A90" w:rsidRDefault="00605F17" w:rsidP="00605F17">
      <w:pPr>
        <w:widowControl w:val="0"/>
        <w:autoSpaceDE w:val="0"/>
        <w:autoSpaceDN w:val="0"/>
        <w:spacing w:after="0" w:line="276" w:lineRule="auto"/>
        <w:jc w:val="both"/>
        <w:rPr>
          <w:rFonts w:ascii="Verdana" w:hAnsi="Verdana" w:cs="Arial"/>
          <w:lang w:val="es-ES_tradnl"/>
        </w:rPr>
      </w:pPr>
      <w:r w:rsidRPr="00AA0A90">
        <w:rPr>
          <w:rFonts w:ascii="Verdana" w:hAnsi="Verdana" w:cs="Arial"/>
        </w:rPr>
        <w:t xml:space="preserve">Este concepto tiene el alcance previsto en el artículo 28 del Código de Procedimiento Administrativo y de lo Contencioso Administrativo </w:t>
      </w:r>
      <w:r w:rsidRPr="00AA0A90">
        <w:rPr>
          <w:rFonts w:ascii="Verdana" w:hAnsi="Verdana" w:cs="Arial"/>
          <w:lang w:val="es-ES_tradnl"/>
        </w:rPr>
        <w:t>y las expresiones aquí utilizadas con mayúscula inicial deben ser entendidas con el significado que les otorga el artículo 2.2.1.1.1.3.1. del Decreto 1082 de 2015.</w:t>
      </w:r>
    </w:p>
    <w:p w14:paraId="1F9A7E61" w14:textId="77777777" w:rsidR="00605F17" w:rsidRPr="00AA0A90" w:rsidRDefault="00605F17" w:rsidP="00605F17">
      <w:pPr>
        <w:widowControl w:val="0"/>
        <w:autoSpaceDE w:val="0"/>
        <w:autoSpaceDN w:val="0"/>
        <w:spacing w:after="0" w:line="276" w:lineRule="auto"/>
        <w:jc w:val="both"/>
        <w:rPr>
          <w:rFonts w:ascii="Verdana" w:hAnsi="Verdana" w:cs="Arial"/>
        </w:rPr>
      </w:pPr>
    </w:p>
    <w:p w14:paraId="04EF0351" w14:textId="77777777" w:rsidR="00605F17" w:rsidRPr="00AA0A90" w:rsidRDefault="00605F17" w:rsidP="00605F17">
      <w:pPr>
        <w:spacing w:after="0" w:line="240" w:lineRule="auto"/>
        <w:rPr>
          <w:rFonts w:ascii="Verdana" w:hAnsi="Verdana" w:cs="Arial"/>
          <w:lang w:eastAsia="es-CO"/>
        </w:rPr>
      </w:pPr>
      <w:r w:rsidRPr="00AA0A90">
        <w:rPr>
          <w:rFonts w:ascii="Verdana" w:eastAsia="Times New Roman" w:hAnsi="Verdana" w:cs="Arial"/>
          <w:lang w:eastAsia="es-CO"/>
        </w:rPr>
        <w:t>Atentamente,</w:t>
      </w:r>
      <w:r w:rsidRPr="00AA0A90">
        <w:rPr>
          <w:rFonts w:ascii="Verdana" w:hAnsi="Verdana" w:cs="Arial"/>
          <w:lang w:eastAsia="es-CO"/>
        </w:rPr>
        <w:t xml:space="preserve"> </w:t>
      </w:r>
    </w:p>
    <w:p w14:paraId="605EF71E" w14:textId="25012567" w:rsidR="00605F17" w:rsidRPr="00AA0A90" w:rsidRDefault="00E832AD" w:rsidP="00605F17">
      <w:pPr>
        <w:spacing w:line="276" w:lineRule="auto"/>
        <w:jc w:val="center"/>
        <w:rPr>
          <w:rFonts w:ascii="Verdana" w:hAnsi="Verdana" w:cs="Arial"/>
          <w:lang w:val="es-ES_tradnl" w:eastAsia="es-CO"/>
        </w:rPr>
      </w:pPr>
      <w:r>
        <w:rPr>
          <w:noProof/>
        </w:rPr>
        <w:drawing>
          <wp:inline distT="0" distB="0" distL="0" distR="0" wp14:anchorId="378408AA" wp14:editId="66C4BFDB">
            <wp:extent cx="3771429" cy="1400000"/>
            <wp:effectExtent l="0" t="0" r="635" b="0"/>
            <wp:docPr id="1251618755"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618755" name="Imagen 1" descr="Texto&#10;&#10;Descripción generada automáticamente"/>
                    <pic:cNvPicPr/>
                  </pic:nvPicPr>
                  <pic:blipFill>
                    <a:blip r:embed="rId15"/>
                    <a:stretch>
                      <a:fillRect/>
                    </a:stretch>
                  </pic:blipFill>
                  <pic:spPr>
                    <a:xfrm>
                      <a:off x="0" y="0"/>
                      <a:ext cx="3771429" cy="140000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05F17" w:rsidRPr="00AA0A90" w14:paraId="0733F3AE" w14:textId="77777777" w:rsidTr="0064021E">
        <w:trPr>
          <w:trHeight w:val="315"/>
        </w:trPr>
        <w:tc>
          <w:tcPr>
            <w:tcW w:w="893" w:type="dxa"/>
            <w:vAlign w:val="center"/>
            <w:hideMark/>
          </w:tcPr>
          <w:p w14:paraId="363B18AF" w14:textId="77777777" w:rsidR="00605F17" w:rsidRPr="00AA0A90" w:rsidRDefault="00605F17" w:rsidP="0064021E">
            <w:pPr>
              <w:contextualSpacing/>
              <w:rPr>
                <w:rFonts w:ascii="Verdana" w:hAnsi="Verdana" w:cs="Arial"/>
                <w:sz w:val="16"/>
                <w:szCs w:val="16"/>
                <w:lang w:val="es-ES" w:eastAsia="es-ES"/>
              </w:rPr>
            </w:pPr>
            <w:r w:rsidRPr="00AA0A90">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42EC2CD" w14:textId="77777777" w:rsidR="00605F17" w:rsidRPr="00AA0A90" w:rsidRDefault="00605F17" w:rsidP="0064021E">
            <w:pPr>
              <w:contextualSpacing/>
              <w:rPr>
                <w:rStyle w:val="normaltextrun"/>
                <w:rFonts w:ascii="Verdana" w:hAnsi="Verdana"/>
                <w:sz w:val="16"/>
                <w:szCs w:val="16"/>
              </w:rPr>
            </w:pPr>
            <w:r w:rsidRPr="00AA0A90">
              <w:rPr>
                <w:rStyle w:val="normaltextrun"/>
                <w:rFonts w:ascii="Verdana" w:hAnsi="Verdana"/>
                <w:sz w:val="16"/>
                <w:szCs w:val="16"/>
              </w:rPr>
              <w:t>Santiago Alberto Herrera Morillo</w:t>
            </w:r>
          </w:p>
          <w:p w14:paraId="60F3E20D" w14:textId="77777777" w:rsidR="00605F17" w:rsidRPr="00AA0A90" w:rsidRDefault="00605F17" w:rsidP="0064021E">
            <w:pPr>
              <w:contextualSpacing/>
              <w:rPr>
                <w:rFonts w:ascii="Verdana" w:eastAsia="Arial" w:hAnsi="Verdana" w:cs="Arial"/>
                <w:sz w:val="16"/>
                <w:szCs w:val="16"/>
              </w:rPr>
            </w:pPr>
            <w:r w:rsidRPr="00AA0A90">
              <w:rPr>
                <w:rStyle w:val="normaltextrun"/>
                <w:rFonts w:ascii="Verdana" w:hAnsi="Verdana"/>
                <w:sz w:val="16"/>
                <w:szCs w:val="16"/>
              </w:rPr>
              <w:t>Analista T2-02 de la Subdirección de Gestión Contractual</w:t>
            </w:r>
          </w:p>
        </w:tc>
      </w:tr>
      <w:tr w:rsidR="00605F17" w:rsidRPr="00AA0A90" w14:paraId="056AB3D7" w14:textId="77777777" w:rsidTr="0064021E">
        <w:trPr>
          <w:trHeight w:val="330"/>
        </w:trPr>
        <w:tc>
          <w:tcPr>
            <w:tcW w:w="893" w:type="dxa"/>
            <w:vAlign w:val="center"/>
            <w:hideMark/>
          </w:tcPr>
          <w:p w14:paraId="6F17FD5A" w14:textId="77777777" w:rsidR="00605F17" w:rsidRPr="00AA0A90" w:rsidRDefault="00605F17" w:rsidP="0064021E">
            <w:pPr>
              <w:contextualSpacing/>
              <w:rPr>
                <w:rFonts w:ascii="Verdana" w:hAnsi="Verdana" w:cs="Arial"/>
                <w:sz w:val="16"/>
                <w:szCs w:val="16"/>
                <w:lang w:val="es-ES" w:eastAsia="es-ES"/>
              </w:rPr>
            </w:pPr>
            <w:r w:rsidRPr="00AA0A90">
              <w:rPr>
                <w:rFonts w:ascii="Verdana" w:hAnsi="Verdana" w:cs="Arial"/>
                <w:sz w:val="16"/>
                <w:szCs w:val="16"/>
                <w:lang w:val="es-ES" w:eastAsia="es-ES"/>
              </w:rPr>
              <w:lastRenderedPageBreak/>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65F46CE" w14:textId="77777777" w:rsidR="00605F17" w:rsidRPr="00AA0A90" w:rsidRDefault="00605F17" w:rsidP="0064021E">
            <w:pPr>
              <w:pStyle w:val="paragraph"/>
              <w:spacing w:after="0"/>
              <w:contextualSpacing/>
              <w:textAlignment w:val="baseline"/>
              <w:rPr>
                <w:rStyle w:val="normaltextrun"/>
                <w:rFonts w:ascii="Verdana" w:hAnsi="Verdana" w:cs="Arial"/>
                <w:sz w:val="16"/>
                <w:szCs w:val="16"/>
                <w:lang w:val="es-ES"/>
              </w:rPr>
            </w:pPr>
            <w:r w:rsidRPr="00AA0A90">
              <w:rPr>
                <w:rStyle w:val="normaltextrun"/>
                <w:rFonts w:ascii="Verdana" w:hAnsi="Verdana" w:cs="Arial"/>
                <w:sz w:val="16"/>
                <w:szCs w:val="16"/>
                <w:lang w:val="es-ES"/>
              </w:rPr>
              <w:t xml:space="preserve">Cielo Victoria González Meza </w:t>
            </w:r>
          </w:p>
          <w:p w14:paraId="102C0FE6" w14:textId="77777777" w:rsidR="00605F17" w:rsidRPr="00AA0A90" w:rsidRDefault="00605F17" w:rsidP="0064021E">
            <w:pPr>
              <w:pStyle w:val="paragraph"/>
              <w:spacing w:before="0" w:beforeAutospacing="0" w:after="0" w:afterAutospacing="0"/>
              <w:contextualSpacing/>
              <w:textAlignment w:val="baseline"/>
              <w:rPr>
                <w:rFonts w:ascii="Verdana" w:hAnsi="Verdana" w:cs="Segoe UI"/>
                <w:sz w:val="16"/>
                <w:szCs w:val="16"/>
              </w:rPr>
            </w:pPr>
            <w:r w:rsidRPr="00AA0A90">
              <w:rPr>
                <w:rStyle w:val="normaltextrun"/>
                <w:rFonts w:ascii="Verdana" w:hAnsi="Verdana" w:cs="Arial"/>
                <w:sz w:val="16"/>
                <w:szCs w:val="16"/>
                <w:lang w:val="es-ES"/>
              </w:rPr>
              <w:t>Contratista de la Subdirección de Gestión Contractual</w:t>
            </w:r>
          </w:p>
        </w:tc>
      </w:tr>
      <w:tr w:rsidR="00605F17" w:rsidRPr="00AA0A90" w14:paraId="7FC95B9A" w14:textId="77777777" w:rsidTr="0064021E">
        <w:trPr>
          <w:trHeight w:val="300"/>
        </w:trPr>
        <w:tc>
          <w:tcPr>
            <w:tcW w:w="893" w:type="dxa"/>
            <w:vAlign w:val="center"/>
          </w:tcPr>
          <w:p w14:paraId="6981E4F1" w14:textId="77777777" w:rsidR="00605F17" w:rsidRPr="00AA0A90" w:rsidRDefault="00605F17" w:rsidP="0064021E">
            <w:pPr>
              <w:contextualSpacing/>
              <w:rPr>
                <w:rFonts w:ascii="Verdana" w:hAnsi="Verdana" w:cs="Arial"/>
                <w:sz w:val="16"/>
                <w:szCs w:val="16"/>
                <w:lang w:val="es-ES" w:eastAsia="es-ES"/>
              </w:rPr>
            </w:pPr>
            <w:r w:rsidRPr="00AA0A90">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738E757" w14:textId="77777777" w:rsidR="00605F17" w:rsidRPr="00AA0A90" w:rsidRDefault="00605F17" w:rsidP="0064021E">
            <w:pPr>
              <w:contextualSpacing/>
              <w:rPr>
                <w:rFonts w:ascii="Verdana" w:eastAsia="Calibri" w:hAnsi="Verdana" w:cs="Arial"/>
                <w:sz w:val="16"/>
                <w:szCs w:val="16"/>
                <w:lang w:val="pt-BR" w:eastAsia="es-ES"/>
              </w:rPr>
            </w:pPr>
            <w:r w:rsidRPr="00AA0A90">
              <w:rPr>
                <w:rFonts w:ascii="Verdana" w:eastAsia="Calibri" w:hAnsi="Verdana" w:cs="Arial"/>
                <w:sz w:val="16"/>
                <w:szCs w:val="16"/>
                <w:lang w:val="pt-BR" w:eastAsia="es-ES"/>
              </w:rPr>
              <w:t>Carolina Quintero Gacharná</w:t>
            </w:r>
          </w:p>
          <w:p w14:paraId="1D0FBCC4" w14:textId="77777777" w:rsidR="00605F17" w:rsidRPr="00AA0A90" w:rsidRDefault="00605F17" w:rsidP="0064021E">
            <w:pPr>
              <w:contextualSpacing/>
              <w:rPr>
                <w:rFonts w:ascii="Verdana" w:eastAsia="Calibri" w:hAnsi="Verdana" w:cs="Arial"/>
                <w:sz w:val="16"/>
                <w:szCs w:val="16"/>
                <w:lang w:val="pt-BR" w:eastAsia="es-ES"/>
              </w:rPr>
            </w:pPr>
            <w:r w:rsidRPr="00AA0A90">
              <w:rPr>
                <w:rFonts w:ascii="Verdana" w:eastAsia="Calibri" w:hAnsi="Verdana" w:cs="Arial"/>
                <w:sz w:val="16"/>
                <w:szCs w:val="16"/>
                <w:lang w:eastAsia="es-ES"/>
              </w:rPr>
              <w:t>Subdirectora</w:t>
            </w:r>
            <w:r w:rsidRPr="00AA0A90">
              <w:rPr>
                <w:rFonts w:ascii="Verdana" w:eastAsia="Calibri" w:hAnsi="Verdana" w:cs="Arial"/>
                <w:sz w:val="16"/>
                <w:szCs w:val="16"/>
                <w:lang w:val="pt-BR" w:eastAsia="es-ES"/>
              </w:rPr>
              <w:t xml:space="preserve"> de Gestión Contractual ANCP – CCE</w:t>
            </w:r>
          </w:p>
        </w:tc>
      </w:tr>
    </w:tbl>
    <w:p w14:paraId="0F293BF4" w14:textId="7BBFAB11" w:rsidR="00127233" w:rsidRPr="00AA0A90" w:rsidRDefault="00127233" w:rsidP="00605F17">
      <w:pPr>
        <w:rPr>
          <w:rFonts w:ascii="Verdana" w:hAnsi="Verdana"/>
        </w:rPr>
      </w:pPr>
    </w:p>
    <w:sectPr w:rsidR="00127233" w:rsidRPr="00AA0A90"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6D3562" w14:textId="77777777" w:rsidR="00A07CBF" w:rsidRDefault="00A07CBF" w:rsidP="004A1847">
      <w:pPr>
        <w:spacing w:after="0" w:line="240" w:lineRule="auto"/>
      </w:pPr>
      <w:r>
        <w:separator/>
      </w:r>
    </w:p>
  </w:endnote>
  <w:endnote w:type="continuationSeparator" w:id="0">
    <w:p w14:paraId="1521C123" w14:textId="77777777" w:rsidR="00A07CBF" w:rsidRDefault="00A07CBF"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manist Light">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3A7E93" w14:textId="77777777" w:rsidR="00A07CBF" w:rsidRDefault="00A07CBF" w:rsidP="004A1847">
      <w:pPr>
        <w:spacing w:after="0" w:line="240" w:lineRule="auto"/>
      </w:pPr>
      <w:r>
        <w:separator/>
      </w:r>
    </w:p>
  </w:footnote>
  <w:footnote w:type="continuationSeparator" w:id="0">
    <w:p w14:paraId="3318C0E0" w14:textId="77777777" w:rsidR="00A07CBF" w:rsidRDefault="00A07CBF" w:rsidP="004A1847">
      <w:pPr>
        <w:spacing w:after="0" w:line="240" w:lineRule="auto"/>
      </w:pPr>
      <w:r>
        <w:continuationSeparator/>
      </w:r>
    </w:p>
  </w:footnote>
  <w:footnote w:id="1">
    <w:p w14:paraId="6DC66704" w14:textId="77777777" w:rsidR="00605F17" w:rsidRPr="004C5849" w:rsidRDefault="00605F17" w:rsidP="00605F17">
      <w:pPr>
        <w:pStyle w:val="Textonotapie"/>
        <w:ind w:firstLine="708"/>
        <w:contextualSpacing/>
        <w:jc w:val="both"/>
        <w:rPr>
          <w:rFonts w:ascii="Verdana" w:hAnsi="Verdana" w:cs="Arial"/>
          <w:sz w:val="16"/>
          <w:szCs w:val="16"/>
          <w:lang w:val="pt-BR"/>
        </w:rPr>
      </w:pPr>
      <w:r w:rsidRPr="004C5849">
        <w:rPr>
          <w:rStyle w:val="Refdenotaalpie"/>
          <w:rFonts w:ascii="Verdana" w:hAnsi="Verdana" w:cs="Arial"/>
          <w:sz w:val="16"/>
          <w:szCs w:val="16"/>
        </w:rPr>
        <w:footnoteRef/>
      </w:r>
      <w:r w:rsidRPr="004C5849">
        <w:rPr>
          <w:rFonts w:ascii="Verdana" w:hAnsi="Verdana" w:cs="Arial"/>
          <w:sz w:val="16"/>
          <w:szCs w:val="16"/>
          <w:lang w:val="pt-BR"/>
        </w:rPr>
        <w:t xml:space="preserve"> Corte Constitucional. Sentencia C-1016 de 2012. M.P. Jorge Iván Palacio. </w:t>
      </w:r>
    </w:p>
    <w:p w14:paraId="6F6B0879" w14:textId="77777777" w:rsidR="00605F17" w:rsidRPr="004C5849" w:rsidRDefault="00605F17" w:rsidP="00605F17">
      <w:pPr>
        <w:pStyle w:val="Textonotapie"/>
        <w:ind w:firstLine="708"/>
        <w:contextualSpacing/>
        <w:jc w:val="both"/>
        <w:rPr>
          <w:rFonts w:ascii="Verdana" w:hAnsi="Verdana" w:cs="Arial"/>
          <w:sz w:val="16"/>
          <w:szCs w:val="16"/>
          <w:lang w:val="pt-BR"/>
        </w:rPr>
      </w:pPr>
    </w:p>
  </w:footnote>
  <w:footnote w:id="2">
    <w:p w14:paraId="78310C41" w14:textId="77777777" w:rsidR="00605F17" w:rsidRPr="004C5849" w:rsidRDefault="00605F17" w:rsidP="00605F17">
      <w:pPr>
        <w:pStyle w:val="Textonotapie"/>
        <w:ind w:firstLine="708"/>
        <w:contextualSpacing/>
        <w:jc w:val="both"/>
        <w:rPr>
          <w:rFonts w:ascii="Verdana" w:hAnsi="Verdana" w:cs="Arial"/>
          <w:sz w:val="16"/>
          <w:szCs w:val="16"/>
          <w:lang w:val="pt-BR"/>
        </w:rPr>
      </w:pPr>
      <w:r w:rsidRPr="004C5849">
        <w:rPr>
          <w:rFonts w:ascii="Verdana" w:hAnsi="Verdana" w:cs="Arial"/>
          <w:sz w:val="16"/>
          <w:szCs w:val="16"/>
          <w:vertAlign w:val="superscript"/>
        </w:rPr>
        <w:footnoteRef/>
      </w:r>
      <w:r w:rsidRPr="004C5849">
        <w:rPr>
          <w:rFonts w:ascii="Verdana" w:hAnsi="Verdana" w:cs="Arial"/>
          <w:sz w:val="16"/>
          <w:szCs w:val="16"/>
          <w:lang w:val="pt-BR"/>
        </w:rPr>
        <w:t xml:space="preserve"> Corte Constitucional. Sentencia C-415 de 1994. M.P. Eduardo </w:t>
      </w:r>
      <w:r w:rsidRPr="004C5849">
        <w:rPr>
          <w:rFonts w:ascii="Verdana" w:hAnsi="Verdana" w:cs="Arial"/>
          <w:sz w:val="16"/>
          <w:szCs w:val="16"/>
          <w:lang w:val="es-CO"/>
        </w:rPr>
        <w:t>Cifuentes Muñoz.</w:t>
      </w:r>
      <w:r w:rsidRPr="004C5849">
        <w:rPr>
          <w:rFonts w:ascii="Verdana" w:hAnsi="Verdana" w:cs="Arial"/>
          <w:sz w:val="16"/>
          <w:szCs w:val="16"/>
          <w:lang w:val="pt-BR"/>
        </w:rPr>
        <w:t xml:space="preserve"> </w:t>
      </w:r>
    </w:p>
    <w:p w14:paraId="0CB01506" w14:textId="77777777" w:rsidR="00605F17" w:rsidRPr="004C5849" w:rsidRDefault="00605F17" w:rsidP="00605F17">
      <w:pPr>
        <w:pStyle w:val="Textonotapie"/>
        <w:ind w:firstLine="708"/>
        <w:contextualSpacing/>
        <w:jc w:val="both"/>
        <w:rPr>
          <w:rFonts w:ascii="Verdana" w:hAnsi="Verdana" w:cs="Arial"/>
          <w:sz w:val="16"/>
          <w:szCs w:val="16"/>
          <w:lang w:val="pt-BR"/>
        </w:rPr>
      </w:pPr>
    </w:p>
  </w:footnote>
  <w:footnote w:id="3">
    <w:p w14:paraId="5A2340F3" w14:textId="77777777" w:rsidR="00605F17" w:rsidRPr="004C5849" w:rsidRDefault="00605F17" w:rsidP="00605F17">
      <w:pPr>
        <w:pStyle w:val="Textonotapie"/>
        <w:ind w:firstLine="708"/>
        <w:contextualSpacing/>
        <w:jc w:val="both"/>
        <w:rPr>
          <w:rFonts w:ascii="Verdana" w:hAnsi="Verdana" w:cs="Arial"/>
          <w:sz w:val="16"/>
          <w:szCs w:val="16"/>
        </w:rPr>
      </w:pPr>
      <w:r w:rsidRPr="004C5849">
        <w:rPr>
          <w:rStyle w:val="Refdenotaalpie"/>
          <w:rFonts w:ascii="Verdana" w:hAnsi="Verdana" w:cs="Arial"/>
          <w:sz w:val="16"/>
          <w:szCs w:val="16"/>
        </w:rPr>
        <w:footnoteRef/>
      </w:r>
      <w:r w:rsidRPr="004C5849">
        <w:rPr>
          <w:rFonts w:ascii="Verdana" w:hAnsi="Verdana" w:cs="Arial"/>
          <w:sz w:val="16"/>
          <w:szCs w:val="16"/>
          <w:lang w:val="pt-BR"/>
        </w:rPr>
        <w:t xml:space="preserve"> Corte Constitucional. </w:t>
      </w:r>
      <w:r w:rsidRPr="004C5849">
        <w:rPr>
          <w:rFonts w:ascii="Verdana" w:hAnsi="Verdana" w:cs="Arial"/>
          <w:sz w:val="16"/>
          <w:szCs w:val="16"/>
        </w:rPr>
        <w:t xml:space="preserve">Sentencia C-780 de 2001. M.P. Jaime Córdoba Triviño. </w:t>
      </w:r>
    </w:p>
    <w:p w14:paraId="157F85D8" w14:textId="77777777" w:rsidR="00605F17" w:rsidRPr="004C5849" w:rsidRDefault="00605F17" w:rsidP="00605F17">
      <w:pPr>
        <w:pStyle w:val="Textonotapie"/>
        <w:ind w:firstLine="708"/>
        <w:contextualSpacing/>
        <w:jc w:val="both"/>
        <w:rPr>
          <w:rFonts w:ascii="Verdana" w:hAnsi="Verdana" w:cs="Arial"/>
          <w:sz w:val="16"/>
          <w:szCs w:val="16"/>
        </w:rPr>
      </w:pPr>
    </w:p>
  </w:footnote>
  <w:footnote w:id="4">
    <w:p w14:paraId="797774D9" w14:textId="77777777" w:rsidR="00605F17" w:rsidRPr="004C5849" w:rsidRDefault="00605F17" w:rsidP="00605F17">
      <w:pPr>
        <w:pStyle w:val="Textonotapie"/>
        <w:ind w:firstLine="709"/>
        <w:contextualSpacing/>
        <w:jc w:val="both"/>
        <w:rPr>
          <w:rFonts w:ascii="Verdana" w:hAnsi="Verdana" w:cs="Arial"/>
          <w:color w:val="000000"/>
          <w:sz w:val="16"/>
          <w:szCs w:val="16"/>
          <w:lang w:val="es-ES"/>
        </w:rPr>
      </w:pPr>
      <w:r w:rsidRPr="004C5849">
        <w:rPr>
          <w:rStyle w:val="Refdenotaalpie"/>
          <w:rFonts w:ascii="Verdana" w:hAnsi="Verdana"/>
          <w:sz w:val="16"/>
          <w:szCs w:val="16"/>
        </w:rPr>
        <w:footnoteRef/>
      </w:r>
      <w:r w:rsidRPr="004C5849">
        <w:rPr>
          <w:rFonts w:ascii="Verdana" w:hAnsi="Verdana" w:cs="Arial"/>
          <w:color w:val="000000"/>
          <w:sz w:val="16"/>
          <w:szCs w:val="16"/>
        </w:rPr>
        <w:t xml:space="preserve"> </w:t>
      </w:r>
      <w:r w:rsidRPr="004C5849">
        <w:rPr>
          <w:rFonts w:ascii="Verdana" w:hAnsi="Verdana" w:cs="Arial"/>
          <w:color w:val="000000"/>
          <w:sz w:val="16"/>
          <w:szCs w:val="16"/>
          <w:lang w:val="es-ES"/>
        </w:rPr>
        <w:t xml:space="preserve">Corte Constitucional. Sentencia T-1039 de 2006. </w:t>
      </w:r>
      <w:r w:rsidRPr="004C5849">
        <w:rPr>
          <w:rFonts w:ascii="Verdana" w:hAnsi="Verdana" w:cs="Arial"/>
          <w:color w:val="000000"/>
          <w:sz w:val="16"/>
          <w:szCs w:val="16"/>
          <w:lang w:val="it-IT"/>
        </w:rPr>
        <w:t xml:space="preserve">Magistrado Ponente: Humberto Sierra Porto. </w:t>
      </w:r>
      <w:r w:rsidRPr="004C5849">
        <w:rPr>
          <w:rFonts w:ascii="Verdana" w:hAnsi="Verdana" w:cs="Arial"/>
          <w:color w:val="000000"/>
          <w:sz w:val="16"/>
          <w:szCs w:val="16"/>
          <w:lang w:val="es-ES"/>
        </w:rPr>
        <w:t xml:space="preserve">La Corte ha mantenido este criterio en las sentencias: C-903 de 2008. Magistrado Ponente: Jaime Araujo Rentería; C-101 de 2018. Magistrada Ponente Gloria Stella Ortiz Delgado; entre otras. </w:t>
      </w:r>
    </w:p>
    <w:p w14:paraId="76CA96C0" w14:textId="77777777" w:rsidR="00605F17" w:rsidRPr="004C5849" w:rsidRDefault="00605F17" w:rsidP="00605F17">
      <w:pPr>
        <w:pStyle w:val="Textonotapie"/>
        <w:ind w:firstLine="709"/>
        <w:contextualSpacing/>
        <w:jc w:val="both"/>
        <w:rPr>
          <w:rFonts w:ascii="Verdana" w:hAnsi="Verdana" w:cs="Arial"/>
          <w:color w:val="000000"/>
          <w:sz w:val="16"/>
          <w:szCs w:val="16"/>
          <w:lang w:val="es-ES"/>
        </w:rPr>
      </w:pPr>
    </w:p>
  </w:footnote>
  <w:footnote w:id="5">
    <w:p w14:paraId="55062F92" w14:textId="77777777" w:rsidR="00605F17" w:rsidRPr="004C5849" w:rsidRDefault="00605F17" w:rsidP="00605F17">
      <w:pPr>
        <w:pStyle w:val="Textonotapie"/>
        <w:ind w:firstLine="709"/>
        <w:contextualSpacing/>
        <w:jc w:val="both"/>
        <w:rPr>
          <w:rFonts w:ascii="Verdana" w:hAnsi="Verdana" w:cs="Arial"/>
          <w:color w:val="000000"/>
          <w:sz w:val="16"/>
          <w:szCs w:val="16"/>
          <w:lang w:val="es-ES"/>
        </w:rPr>
      </w:pPr>
      <w:r w:rsidRPr="004C5849">
        <w:rPr>
          <w:rStyle w:val="Refdenotaalpie"/>
          <w:rFonts w:ascii="Verdana" w:hAnsi="Verdana"/>
          <w:sz w:val="16"/>
          <w:szCs w:val="16"/>
        </w:rPr>
        <w:footnoteRef/>
      </w:r>
      <w:r w:rsidRPr="004C5849">
        <w:rPr>
          <w:rFonts w:ascii="Verdana" w:hAnsi="Verdana" w:cs="Arial"/>
          <w:color w:val="000000"/>
          <w:sz w:val="16"/>
          <w:szCs w:val="16"/>
        </w:rPr>
        <w:t xml:space="preserve"> </w:t>
      </w:r>
      <w:r w:rsidRPr="004C5849">
        <w:rPr>
          <w:rFonts w:ascii="Verdana" w:hAnsi="Verdana" w:cs="Arial"/>
          <w:color w:val="000000"/>
          <w:sz w:val="16"/>
          <w:szCs w:val="16"/>
          <w:lang w:val="es-ES"/>
        </w:rPr>
        <w:t>Consejo de Estado. Sala de Consulta y Servicio Civil. Concepto del 30 de abril de 2015. Expediente: 2.251. Consejero Ponente: Álvaro Namén Vargas.</w:t>
      </w:r>
    </w:p>
    <w:p w14:paraId="695BDC90" w14:textId="77777777" w:rsidR="00605F17" w:rsidRPr="004C5849" w:rsidRDefault="00605F17" w:rsidP="00605F17">
      <w:pPr>
        <w:pStyle w:val="Textonotapie"/>
        <w:ind w:firstLine="709"/>
        <w:contextualSpacing/>
        <w:jc w:val="both"/>
        <w:rPr>
          <w:rFonts w:ascii="Verdana" w:hAnsi="Verdana" w:cs="Arial"/>
          <w:color w:val="000000"/>
          <w:sz w:val="16"/>
          <w:szCs w:val="16"/>
          <w:lang w:val="es-ES"/>
        </w:rPr>
      </w:pPr>
    </w:p>
  </w:footnote>
  <w:footnote w:id="6">
    <w:p w14:paraId="04296911" w14:textId="77777777" w:rsidR="00605F17" w:rsidRPr="004C5849" w:rsidRDefault="00605F17" w:rsidP="00605F17">
      <w:pPr>
        <w:pStyle w:val="Textonotapie"/>
        <w:ind w:firstLine="709"/>
        <w:contextualSpacing/>
        <w:jc w:val="both"/>
        <w:rPr>
          <w:rFonts w:ascii="Verdana" w:hAnsi="Verdana" w:cs="Arial"/>
          <w:color w:val="000000"/>
          <w:sz w:val="16"/>
          <w:szCs w:val="16"/>
        </w:rPr>
      </w:pPr>
      <w:r w:rsidRPr="004C5849">
        <w:rPr>
          <w:rStyle w:val="Refdenotaalpie"/>
          <w:rFonts w:ascii="Verdana" w:hAnsi="Verdana"/>
          <w:sz w:val="16"/>
          <w:szCs w:val="16"/>
        </w:rPr>
        <w:footnoteRef/>
      </w:r>
      <w:r w:rsidRPr="004C5849">
        <w:rPr>
          <w:rFonts w:ascii="Verdana" w:hAnsi="Verdana" w:cs="Arial"/>
          <w:color w:val="000000"/>
          <w:sz w:val="16"/>
          <w:szCs w:val="16"/>
        </w:rPr>
        <w:t xml:space="preserve"> Consejo de Estado. Sección Tercera. Subsección A. Sentencia del 24 de junio de 2015. Exp. 40.635. Consejero Ponente: Hernán Andrade Rincón (E).</w:t>
      </w:r>
    </w:p>
    <w:p w14:paraId="43B0621B" w14:textId="77777777" w:rsidR="00605F17" w:rsidRPr="004C5849" w:rsidRDefault="00605F17" w:rsidP="00605F17">
      <w:pPr>
        <w:pStyle w:val="Textonotapie"/>
        <w:ind w:firstLine="709"/>
        <w:contextualSpacing/>
        <w:jc w:val="both"/>
        <w:rPr>
          <w:rFonts w:ascii="Verdana" w:hAnsi="Verdana" w:cs="Arial"/>
          <w:color w:val="000000"/>
          <w:sz w:val="16"/>
          <w:szCs w:val="16"/>
          <w:lang w:val="es-ES"/>
        </w:rPr>
      </w:pPr>
    </w:p>
  </w:footnote>
  <w:footnote w:id="7">
    <w:p w14:paraId="60B070BC" w14:textId="77777777" w:rsidR="00605F17" w:rsidRPr="004C5849" w:rsidRDefault="00605F17" w:rsidP="00605F17">
      <w:pPr>
        <w:pStyle w:val="Textonotapie"/>
        <w:ind w:firstLine="709"/>
        <w:contextualSpacing/>
        <w:jc w:val="both"/>
        <w:rPr>
          <w:rFonts w:ascii="Verdana" w:hAnsi="Verdana" w:cs="Arial"/>
          <w:color w:val="000000"/>
          <w:sz w:val="16"/>
          <w:szCs w:val="16"/>
        </w:rPr>
      </w:pPr>
      <w:r w:rsidRPr="004C5849">
        <w:rPr>
          <w:rStyle w:val="Refdenotaalpie"/>
          <w:rFonts w:ascii="Verdana" w:hAnsi="Verdana"/>
          <w:sz w:val="16"/>
          <w:szCs w:val="16"/>
        </w:rPr>
        <w:footnoteRef/>
      </w:r>
      <w:r w:rsidRPr="004C5849">
        <w:rPr>
          <w:rFonts w:ascii="Verdana" w:hAnsi="Verdana" w:cs="Arial"/>
          <w:color w:val="000000"/>
          <w:sz w:val="16"/>
          <w:szCs w:val="16"/>
        </w:rPr>
        <w:t xml:space="preserve"> Consejo de Estado. Sección Tercera. Subsección C. Sentencia del 22 de mayo de 2013. Exp. 24.057. Consejera Ponente: Olga Melida Valle De De La Hoz.</w:t>
      </w:r>
    </w:p>
    <w:p w14:paraId="6BE1CEB6" w14:textId="77777777" w:rsidR="00605F17" w:rsidRPr="004C5849" w:rsidRDefault="00605F17" w:rsidP="00605F17">
      <w:pPr>
        <w:pStyle w:val="Textonotapie"/>
        <w:ind w:firstLine="709"/>
        <w:contextualSpacing/>
        <w:jc w:val="both"/>
        <w:rPr>
          <w:rFonts w:ascii="Verdana" w:hAnsi="Verdana" w:cs="Arial"/>
          <w:color w:val="000000"/>
          <w:sz w:val="16"/>
          <w:szCs w:val="16"/>
          <w:lang w:val="es-ES"/>
        </w:rPr>
      </w:pPr>
    </w:p>
  </w:footnote>
  <w:footnote w:id="8">
    <w:p w14:paraId="429E08E1" w14:textId="3D3C8FAB" w:rsidR="00EA75A5" w:rsidRPr="004C5849" w:rsidRDefault="00EA75A5" w:rsidP="004C5849">
      <w:pPr>
        <w:pStyle w:val="Textonotapie"/>
        <w:ind w:firstLine="708"/>
        <w:rPr>
          <w:rFonts w:ascii="Verdana" w:hAnsi="Verdana"/>
          <w:sz w:val="16"/>
          <w:szCs w:val="16"/>
          <w:lang w:val="es-CO"/>
        </w:rPr>
      </w:pPr>
      <w:r w:rsidRPr="004C5849">
        <w:rPr>
          <w:rStyle w:val="Refdenotaalpie"/>
          <w:rFonts w:ascii="Verdana" w:hAnsi="Verdana"/>
          <w:sz w:val="16"/>
          <w:szCs w:val="16"/>
        </w:rPr>
        <w:footnoteRef/>
      </w:r>
      <w:r w:rsidRPr="004C5849">
        <w:rPr>
          <w:rFonts w:ascii="Verdana" w:hAnsi="Verdana"/>
          <w:sz w:val="16"/>
          <w:szCs w:val="16"/>
        </w:rPr>
        <w:t xml:space="preserve"> </w:t>
      </w:r>
      <w:r w:rsidRPr="004C5849">
        <w:rPr>
          <w:rFonts w:ascii="Verdana" w:hAnsi="Verdana"/>
          <w:sz w:val="16"/>
          <w:szCs w:val="16"/>
          <w:lang w:val="es-CO"/>
        </w:rPr>
        <w:t>Ley 1801</w:t>
      </w:r>
      <w:r w:rsidR="00DC533A" w:rsidRPr="004C5849">
        <w:rPr>
          <w:rFonts w:ascii="Verdana" w:hAnsi="Verdana"/>
          <w:sz w:val="16"/>
          <w:szCs w:val="16"/>
          <w:lang w:val="es-CO"/>
        </w:rPr>
        <w:t xml:space="preserve"> de 2016. Artículo 25. </w:t>
      </w:r>
      <w:r w:rsidR="004C5849" w:rsidRPr="004C5849">
        <w:rPr>
          <w:rFonts w:ascii="Verdana" w:hAnsi="Verdana"/>
          <w:sz w:val="16"/>
          <w:szCs w:val="16"/>
          <w:lang w:val="es-CO"/>
        </w:rPr>
        <w:t>Comportamientos contrarios a la convivencia y medidas correctivas.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27" type="#_x0000_t75" style="width:14.25pt;height:14.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16411012">
    <w:abstractNumId w:val="7"/>
  </w:num>
  <w:num w:numId="2" w16cid:durableId="436146789">
    <w:abstractNumId w:val="2"/>
  </w:num>
  <w:num w:numId="3" w16cid:durableId="1811169163">
    <w:abstractNumId w:val="4"/>
  </w:num>
  <w:num w:numId="4" w16cid:durableId="506917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21615848">
    <w:abstractNumId w:val="2"/>
  </w:num>
  <w:num w:numId="6" w16cid:durableId="185677337">
    <w:abstractNumId w:val="14"/>
  </w:num>
  <w:num w:numId="7" w16cid:durableId="1054695908">
    <w:abstractNumId w:val="6"/>
  </w:num>
  <w:num w:numId="8" w16cid:durableId="545215692">
    <w:abstractNumId w:val="13"/>
  </w:num>
  <w:num w:numId="9" w16cid:durableId="413088263">
    <w:abstractNumId w:val="8"/>
  </w:num>
  <w:num w:numId="10" w16cid:durableId="692266425">
    <w:abstractNumId w:val="12"/>
  </w:num>
  <w:num w:numId="11" w16cid:durableId="2096903090">
    <w:abstractNumId w:val="9"/>
  </w:num>
  <w:num w:numId="12" w16cid:durableId="708799851">
    <w:abstractNumId w:val="1"/>
  </w:num>
  <w:num w:numId="13" w16cid:durableId="298803014">
    <w:abstractNumId w:val="3"/>
  </w:num>
  <w:num w:numId="14" w16cid:durableId="988435262">
    <w:abstractNumId w:val="15"/>
  </w:num>
  <w:num w:numId="15" w16cid:durableId="1241713610">
    <w:abstractNumId w:val="11"/>
  </w:num>
  <w:num w:numId="16" w16cid:durableId="2052994928">
    <w:abstractNumId w:val="0"/>
  </w:num>
  <w:num w:numId="17" w16cid:durableId="1470629983">
    <w:abstractNumId w:val="5"/>
  </w:num>
  <w:num w:numId="18" w16cid:durableId="17984520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4095F"/>
    <w:rsid w:val="00041564"/>
    <w:rsid w:val="00061B2A"/>
    <w:rsid w:val="00082362"/>
    <w:rsid w:val="000A647D"/>
    <w:rsid w:val="000A683E"/>
    <w:rsid w:val="000B19B9"/>
    <w:rsid w:val="000B3D0E"/>
    <w:rsid w:val="000D0334"/>
    <w:rsid w:val="000F6486"/>
    <w:rsid w:val="00125105"/>
    <w:rsid w:val="00127233"/>
    <w:rsid w:val="0013405F"/>
    <w:rsid w:val="00155F8C"/>
    <w:rsid w:val="001C7BB4"/>
    <w:rsid w:val="001E4177"/>
    <w:rsid w:val="001F09D9"/>
    <w:rsid w:val="001F4B07"/>
    <w:rsid w:val="001F5C43"/>
    <w:rsid w:val="001F7DC6"/>
    <w:rsid w:val="002100E0"/>
    <w:rsid w:val="002421BB"/>
    <w:rsid w:val="0025796E"/>
    <w:rsid w:val="002707A2"/>
    <w:rsid w:val="002951A0"/>
    <w:rsid w:val="002962BC"/>
    <w:rsid w:val="002A093D"/>
    <w:rsid w:val="002A0DD0"/>
    <w:rsid w:val="002A49AC"/>
    <w:rsid w:val="002A64FD"/>
    <w:rsid w:val="002C1EB8"/>
    <w:rsid w:val="002C7A84"/>
    <w:rsid w:val="002D66BC"/>
    <w:rsid w:val="002E4FD9"/>
    <w:rsid w:val="00322A85"/>
    <w:rsid w:val="00324168"/>
    <w:rsid w:val="003253D2"/>
    <w:rsid w:val="003448F4"/>
    <w:rsid w:val="00374F5E"/>
    <w:rsid w:val="00377E3E"/>
    <w:rsid w:val="003A26D1"/>
    <w:rsid w:val="003A779E"/>
    <w:rsid w:val="003D0F4D"/>
    <w:rsid w:val="003D5B0D"/>
    <w:rsid w:val="003E0499"/>
    <w:rsid w:val="003E69BF"/>
    <w:rsid w:val="003F3941"/>
    <w:rsid w:val="004016CF"/>
    <w:rsid w:val="00406575"/>
    <w:rsid w:val="00424EA2"/>
    <w:rsid w:val="0042722E"/>
    <w:rsid w:val="0044528D"/>
    <w:rsid w:val="00450526"/>
    <w:rsid w:val="004A1847"/>
    <w:rsid w:val="004A305D"/>
    <w:rsid w:val="004C20FD"/>
    <w:rsid w:val="004C5849"/>
    <w:rsid w:val="004F21C4"/>
    <w:rsid w:val="004F685F"/>
    <w:rsid w:val="005566E8"/>
    <w:rsid w:val="00561EBA"/>
    <w:rsid w:val="00574867"/>
    <w:rsid w:val="00591460"/>
    <w:rsid w:val="00592628"/>
    <w:rsid w:val="005C3777"/>
    <w:rsid w:val="005C5CDC"/>
    <w:rsid w:val="005D476C"/>
    <w:rsid w:val="005F2D5E"/>
    <w:rsid w:val="00605F17"/>
    <w:rsid w:val="00610812"/>
    <w:rsid w:val="006219F8"/>
    <w:rsid w:val="00650FF7"/>
    <w:rsid w:val="0066129A"/>
    <w:rsid w:val="00665D70"/>
    <w:rsid w:val="00671DAC"/>
    <w:rsid w:val="00687571"/>
    <w:rsid w:val="006900D9"/>
    <w:rsid w:val="006C54B6"/>
    <w:rsid w:val="006D12F8"/>
    <w:rsid w:val="006E65D7"/>
    <w:rsid w:val="007056AF"/>
    <w:rsid w:val="00706C16"/>
    <w:rsid w:val="00713D10"/>
    <w:rsid w:val="00756841"/>
    <w:rsid w:val="007649AB"/>
    <w:rsid w:val="00771D0C"/>
    <w:rsid w:val="007833AC"/>
    <w:rsid w:val="00795E59"/>
    <w:rsid w:val="007A4C7B"/>
    <w:rsid w:val="007B268C"/>
    <w:rsid w:val="007B7171"/>
    <w:rsid w:val="007C0C0F"/>
    <w:rsid w:val="007C3DC2"/>
    <w:rsid w:val="007E5497"/>
    <w:rsid w:val="00806F5F"/>
    <w:rsid w:val="00820278"/>
    <w:rsid w:val="008843B6"/>
    <w:rsid w:val="00891928"/>
    <w:rsid w:val="008A446D"/>
    <w:rsid w:val="008D180B"/>
    <w:rsid w:val="008E7945"/>
    <w:rsid w:val="008F0EA7"/>
    <w:rsid w:val="008F493B"/>
    <w:rsid w:val="009179F3"/>
    <w:rsid w:val="00923EEF"/>
    <w:rsid w:val="00926A38"/>
    <w:rsid w:val="009419F9"/>
    <w:rsid w:val="00945759"/>
    <w:rsid w:val="00955930"/>
    <w:rsid w:val="0095685E"/>
    <w:rsid w:val="00961B09"/>
    <w:rsid w:val="00965334"/>
    <w:rsid w:val="0097093E"/>
    <w:rsid w:val="009A0DFA"/>
    <w:rsid w:val="009B2D26"/>
    <w:rsid w:val="009C71FA"/>
    <w:rsid w:val="009C72E7"/>
    <w:rsid w:val="009D3058"/>
    <w:rsid w:val="009E36EF"/>
    <w:rsid w:val="009F3A13"/>
    <w:rsid w:val="00A07CBF"/>
    <w:rsid w:val="00A122D3"/>
    <w:rsid w:val="00A17F13"/>
    <w:rsid w:val="00A20739"/>
    <w:rsid w:val="00A33C78"/>
    <w:rsid w:val="00AA0A90"/>
    <w:rsid w:val="00AA3A82"/>
    <w:rsid w:val="00AB0ADB"/>
    <w:rsid w:val="00AF2DC2"/>
    <w:rsid w:val="00B01B1A"/>
    <w:rsid w:val="00B522B6"/>
    <w:rsid w:val="00B72CD3"/>
    <w:rsid w:val="00B72FFF"/>
    <w:rsid w:val="00BA2783"/>
    <w:rsid w:val="00BA5F9B"/>
    <w:rsid w:val="00BA6E49"/>
    <w:rsid w:val="00BB3D3F"/>
    <w:rsid w:val="00BC3D36"/>
    <w:rsid w:val="00BD7F72"/>
    <w:rsid w:val="00C04FB3"/>
    <w:rsid w:val="00C330EB"/>
    <w:rsid w:val="00C754BE"/>
    <w:rsid w:val="00C76B1C"/>
    <w:rsid w:val="00CA7A56"/>
    <w:rsid w:val="00CB6357"/>
    <w:rsid w:val="00CC1B26"/>
    <w:rsid w:val="00D423A2"/>
    <w:rsid w:val="00D520D8"/>
    <w:rsid w:val="00D63AC2"/>
    <w:rsid w:val="00D7383B"/>
    <w:rsid w:val="00DA231B"/>
    <w:rsid w:val="00DA23A0"/>
    <w:rsid w:val="00DC39FC"/>
    <w:rsid w:val="00DC533A"/>
    <w:rsid w:val="00DF5254"/>
    <w:rsid w:val="00E16408"/>
    <w:rsid w:val="00E20894"/>
    <w:rsid w:val="00E245AB"/>
    <w:rsid w:val="00E2764C"/>
    <w:rsid w:val="00E27F2E"/>
    <w:rsid w:val="00E413EA"/>
    <w:rsid w:val="00E46A7F"/>
    <w:rsid w:val="00E50AFE"/>
    <w:rsid w:val="00E75C92"/>
    <w:rsid w:val="00E771DC"/>
    <w:rsid w:val="00E832AD"/>
    <w:rsid w:val="00E8772A"/>
    <w:rsid w:val="00E90F6B"/>
    <w:rsid w:val="00E92C27"/>
    <w:rsid w:val="00E975E9"/>
    <w:rsid w:val="00EA0E3D"/>
    <w:rsid w:val="00EA75A5"/>
    <w:rsid w:val="00EC38A7"/>
    <w:rsid w:val="00EE1AA8"/>
    <w:rsid w:val="00EF0A01"/>
    <w:rsid w:val="00EF56BB"/>
    <w:rsid w:val="00F31EDC"/>
    <w:rsid w:val="00F462B3"/>
    <w:rsid w:val="00F54598"/>
    <w:rsid w:val="00F5664F"/>
    <w:rsid w:val="00F629FC"/>
    <w:rsid w:val="00F666C4"/>
    <w:rsid w:val="00F76AFC"/>
    <w:rsid w:val="00FA47C0"/>
    <w:rsid w:val="00FB5DD1"/>
    <w:rsid w:val="00FC2B5D"/>
    <w:rsid w:val="00FC7E4C"/>
    <w:rsid w:val="00FE4E52"/>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6A38"/>
  </w:style>
  <w:style w:type="paragraph" w:styleId="Ttulo1">
    <w:name w:val="heading 1"/>
    <w:basedOn w:val="Normal"/>
    <w:next w:val="Normal"/>
    <w:link w:val="Ttulo1Car"/>
    <w:uiPriority w:val="9"/>
    <w:qFormat/>
    <w:rsid w:val="004C20F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rsid w:val="00605F17"/>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05F17"/>
    <w:rPr>
      <w:rFonts w:ascii="Geomanist Light" w:hAnsi="Geomanist Light"/>
      <w:lang w:val="es-ES"/>
    </w:rPr>
  </w:style>
  <w:style w:type="paragraph" w:styleId="Textodeglobo">
    <w:name w:val="Balloon Text"/>
    <w:basedOn w:val="Normal"/>
    <w:link w:val="TextodegloboCar"/>
    <w:uiPriority w:val="99"/>
    <w:semiHidden/>
    <w:unhideWhenUsed/>
    <w:rsid w:val="007A4C7B"/>
    <w:pPr>
      <w:spacing w:after="0" w:line="240" w:lineRule="auto"/>
    </w:pPr>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7A4C7B"/>
    <w:rPr>
      <w:rFonts w:ascii="Times New Roman" w:hAnsi="Times New Roman" w:cs="Times New Roman"/>
      <w:sz w:val="18"/>
      <w:szCs w:val="18"/>
    </w:rPr>
  </w:style>
  <w:style w:type="character" w:styleId="Refdecomentario">
    <w:name w:val="annotation reference"/>
    <w:basedOn w:val="Fuentedeprrafopredeter"/>
    <w:uiPriority w:val="99"/>
    <w:semiHidden/>
    <w:unhideWhenUsed/>
    <w:rsid w:val="007A4C7B"/>
    <w:rPr>
      <w:sz w:val="16"/>
      <w:szCs w:val="16"/>
    </w:rPr>
  </w:style>
  <w:style w:type="paragraph" w:styleId="Textocomentario">
    <w:name w:val="annotation text"/>
    <w:basedOn w:val="Normal"/>
    <w:link w:val="TextocomentarioCar"/>
    <w:uiPriority w:val="99"/>
    <w:semiHidden/>
    <w:unhideWhenUsed/>
    <w:rsid w:val="007A4C7B"/>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A4C7B"/>
    <w:rPr>
      <w:sz w:val="20"/>
      <w:szCs w:val="20"/>
    </w:rPr>
  </w:style>
  <w:style w:type="paragraph" w:styleId="Asuntodelcomentario">
    <w:name w:val="annotation subject"/>
    <w:basedOn w:val="Textocomentario"/>
    <w:next w:val="Textocomentario"/>
    <w:link w:val="AsuntodelcomentarioCar"/>
    <w:uiPriority w:val="99"/>
    <w:semiHidden/>
    <w:unhideWhenUsed/>
    <w:rsid w:val="007A4C7B"/>
    <w:rPr>
      <w:b/>
      <w:bCs/>
    </w:rPr>
  </w:style>
  <w:style w:type="character" w:customStyle="1" w:styleId="AsuntodelcomentarioCar">
    <w:name w:val="Asunto del comentario Car"/>
    <w:basedOn w:val="TextocomentarioCar"/>
    <w:link w:val="Asuntodelcomentario"/>
    <w:uiPriority w:val="99"/>
    <w:semiHidden/>
    <w:rsid w:val="007A4C7B"/>
    <w:rPr>
      <w:b/>
      <w:bCs/>
      <w:sz w:val="20"/>
      <w:szCs w:val="20"/>
    </w:rPr>
  </w:style>
  <w:style w:type="character" w:customStyle="1" w:styleId="Ttulo1Car">
    <w:name w:val="Título 1 Car"/>
    <w:basedOn w:val="Fuentedeprrafopredeter"/>
    <w:link w:val="Ttulo1"/>
    <w:uiPriority w:val="9"/>
    <w:rsid w:val="004C20FD"/>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222762487">
      <w:bodyDiv w:val="1"/>
      <w:marLeft w:val="0"/>
      <w:marRight w:val="0"/>
      <w:marTop w:val="0"/>
      <w:marBottom w:val="0"/>
      <w:divBdr>
        <w:top w:val="none" w:sz="0" w:space="0" w:color="auto"/>
        <w:left w:val="none" w:sz="0" w:space="0" w:color="auto"/>
        <w:bottom w:val="none" w:sz="0" w:space="0" w:color="auto"/>
        <w:right w:val="none" w:sz="0" w:space="0" w:color="auto"/>
      </w:divBdr>
    </w:div>
    <w:div w:id="309798411">
      <w:bodyDiv w:val="1"/>
      <w:marLeft w:val="0"/>
      <w:marRight w:val="0"/>
      <w:marTop w:val="0"/>
      <w:marBottom w:val="0"/>
      <w:divBdr>
        <w:top w:val="none" w:sz="0" w:space="0" w:color="auto"/>
        <w:left w:val="none" w:sz="0" w:space="0" w:color="auto"/>
        <w:bottom w:val="none" w:sz="0" w:space="0" w:color="auto"/>
        <w:right w:val="none" w:sz="0" w:space="0" w:color="auto"/>
      </w:divBdr>
    </w:div>
    <w:div w:id="372578723">
      <w:bodyDiv w:val="1"/>
      <w:marLeft w:val="0"/>
      <w:marRight w:val="0"/>
      <w:marTop w:val="0"/>
      <w:marBottom w:val="0"/>
      <w:divBdr>
        <w:top w:val="none" w:sz="0" w:space="0" w:color="auto"/>
        <w:left w:val="none" w:sz="0" w:space="0" w:color="auto"/>
        <w:bottom w:val="none" w:sz="0" w:space="0" w:color="auto"/>
        <w:right w:val="none" w:sz="0" w:space="0" w:color="auto"/>
      </w:divBdr>
    </w:div>
    <w:div w:id="485240885">
      <w:bodyDiv w:val="1"/>
      <w:marLeft w:val="0"/>
      <w:marRight w:val="0"/>
      <w:marTop w:val="0"/>
      <w:marBottom w:val="0"/>
      <w:divBdr>
        <w:top w:val="none" w:sz="0" w:space="0" w:color="auto"/>
        <w:left w:val="none" w:sz="0" w:space="0" w:color="auto"/>
        <w:bottom w:val="none" w:sz="0" w:space="0" w:color="auto"/>
        <w:right w:val="none" w:sz="0" w:space="0" w:color="auto"/>
      </w:divBdr>
    </w:div>
    <w:div w:id="598173889">
      <w:bodyDiv w:val="1"/>
      <w:marLeft w:val="0"/>
      <w:marRight w:val="0"/>
      <w:marTop w:val="0"/>
      <w:marBottom w:val="0"/>
      <w:divBdr>
        <w:top w:val="none" w:sz="0" w:space="0" w:color="auto"/>
        <w:left w:val="none" w:sz="0" w:space="0" w:color="auto"/>
        <w:bottom w:val="none" w:sz="0" w:space="0" w:color="auto"/>
        <w:right w:val="none" w:sz="0" w:space="0" w:color="auto"/>
      </w:divBdr>
    </w:div>
    <w:div w:id="608009525">
      <w:bodyDiv w:val="1"/>
      <w:marLeft w:val="0"/>
      <w:marRight w:val="0"/>
      <w:marTop w:val="0"/>
      <w:marBottom w:val="0"/>
      <w:divBdr>
        <w:top w:val="none" w:sz="0" w:space="0" w:color="auto"/>
        <w:left w:val="none" w:sz="0" w:space="0" w:color="auto"/>
        <w:bottom w:val="none" w:sz="0" w:space="0" w:color="auto"/>
        <w:right w:val="none" w:sz="0" w:space="0" w:color="auto"/>
      </w:divBdr>
    </w:div>
    <w:div w:id="609513514">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04738575">
      <w:bodyDiv w:val="1"/>
      <w:marLeft w:val="0"/>
      <w:marRight w:val="0"/>
      <w:marTop w:val="0"/>
      <w:marBottom w:val="0"/>
      <w:divBdr>
        <w:top w:val="none" w:sz="0" w:space="0" w:color="auto"/>
        <w:left w:val="none" w:sz="0" w:space="0" w:color="auto"/>
        <w:bottom w:val="none" w:sz="0" w:space="0" w:color="auto"/>
        <w:right w:val="none" w:sz="0" w:space="0" w:color="auto"/>
      </w:divBdr>
    </w:div>
    <w:div w:id="823087715">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862129743">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71869647">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14483103">
      <w:bodyDiv w:val="1"/>
      <w:marLeft w:val="0"/>
      <w:marRight w:val="0"/>
      <w:marTop w:val="0"/>
      <w:marBottom w:val="0"/>
      <w:divBdr>
        <w:top w:val="none" w:sz="0" w:space="0" w:color="auto"/>
        <w:left w:val="none" w:sz="0" w:space="0" w:color="auto"/>
        <w:bottom w:val="none" w:sz="0" w:space="0" w:color="auto"/>
        <w:right w:val="none" w:sz="0" w:space="0" w:color="auto"/>
      </w:divBdr>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465348451">
      <w:bodyDiv w:val="1"/>
      <w:marLeft w:val="0"/>
      <w:marRight w:val="0"/>
      <w:marTop w:val="0"/>
      <w:marBottom w:val="0"/>
      <w:divBdr>
        <w:top w:val="none" w:sz="0" w:space="0" w:color="auto"/>
        <w:left w:val="none" w:sz="0" w:space="0" w:color="auto"/>
        <w:bottom w:val="none" w:sz="0" w:space="0" w:color="auto"/>
        <w:right w:val="none" w:sz="0" w:space="0" w:color="auto"/>
      </w:divBdr>
    </w:div>
    <w:div w:id="1658143257">
      <w:bodyDiv w:val="1"/>
      <w:marLeft w:val="0"/>
      <w:marRight w:val="0"/>
      <w:marTop w:val="0"/>
      <w:marBottom w:val="0"/>
      <w:divBdr>
        <w:top w:val="none" w:sz="0" w:space="0" w:color="auto"/>
        <w:left w:val="none" w:sz="0" w:space="0" w:color="auto"/>
        <w:bottom w:val="none" w:sz="0" w:space="0" w:color="auto"/>
        <w:right w:val="none" w:sz="0" w:space="0" w:color="auto"/>
      </w:divBdr>
    </w:div>
    <w:div w:id="1790661180">
      <w:bodyDiv w:val="1"/>
      <w:marLeft w:val="0"/>
      <w:marRight w:val="0"/>
      <w:marTop w:val="0"/>
      <w:marBottom w:val="0"/>
      <w:divBdr>
        <w:top w:val="none" w:sz="0" w:space="0" w:color="auto"/>
        <w:left w:val="none" w:sz="0" w:space="0" w:color="auto"/>
        <w:bottom w:val="none" w:sz="0" w:space="0" w:color="auto"/>
        <w:right w:val="none" w:sz="0" w:space="0" w:color="auto"/>
      </w:divBdr>
    </w:div>
    <w:div w:id="2002927846">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050377479">
      <w:bodyDiv w:val="1"/>
      <w:marLeft w:val="0"/>
      <w:marRight w:val="0"/>
      <w:marTop w:val="0"/>
      <w:marBottom w:val="0"/>
      <w:divBdr>
        <w:top w:val="none" w:sz="0" w:space="0" w:color="auto"/>
        <w:left w:val="none" w:sz="0" w:space="0" w:color="auto"/>
        <w:bottom w:val="none" w:sz="0" w:space="0" w:color="auto"/>
        <w:right w:val="none" w:sz="0" w:space="0" w:color="auto"/>
      </w:divBdr>
    </w:div>
    <w:div w:id="2097823211">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ariacamilaburgos7@hotmail.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sala-de-prensa/boletin-digita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8ae15d26-076e-464e-81a7-6f76a0fb3917">
      <UserInfo>
        <DisplayName>Poxta IOIP</DisplayName>
        <AccountId>719</AccountId>
        <AccountType/>
      </UserInfo>
    </SharedWithUsers>
    <lcf76f155ced4ddcb4097134ff3c332f xmlns="36c82cfe-0eda-494d-b392-a9281b89aaf0">
      <Terms xmlns="http://schemas.microsoft.com/office/infopath/2007/PartnerControls"/>
    </lcf76f155ced4ddcb4097134ff3c332f>
    <TaxCatchAll xmlns="8ae15d26-076e-464e-81a7-6f76a0fb391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5B4CA33565ABFA4887DD024B77D849DF" ma:contentTypeVersion="13" ma:contentTypeDescription="Crear nuevo documento." ma:contentTypeScope="" ma:versionID="d00b3bc8a4e11ace844c69ffa9b74cd5">
  <xsd:schema xmlns:xsd="http://www.w3.org/2001/XMLSchema" xmlns:xs="http://www.w3.org/2001/XMLSchema" xmlns:p="http://schemas.microsoft.com/office/2006/metadata/properties" xmlns:ns2="8ae15d26-076e-464e-81a7-6f76a0fb3917" xmlns:ns3="36c82cfe-0eda-494d-b392-a9281b89aaf0" targetNamespace="http://schemas.microsoft.com/office/2006/metadata/properties" ma:root="true" ma:fieldsID="283a496a8d33ff127bd02a70b3db076a" ns2:_="" ns3:_="">
    <xsd:import namespace="8ae15d26-076e-464e-81a7-6f76a0fb3917"/>
    <xsd:import namespace="36c82cfe-0eda-494d-b392-a9281b89aaf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e15d26-076e-464e-81a7-6f76a0fb3917"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3ad88d4a-7227-4e1d-b72c-ce765edc4aa4}" ma:internalName="TaxCatchAll" ma:showField="CatchAllData" ma:web="8ae15d26-076e-464e-81a7-6f76a0fb39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6c82cfe-0eda-494d-b392-a9281b89aaf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2.xml><?xml version="1.0" encoding="utf-8"?>
<ds:datastoreItem xmlns:ds="http://schemas.openxmlformats.org/officeDocument/2006/customXml" ds:itemID="{FE0D16DC-9D02-4A82-9095-A71ED96FB0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e15d26-076e-464e-81a7-6f76a0fb3917"/>
    <ds:schemaRef ds:uri="36c82cfe-0eda-494d-b392-a9281b89aa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AA8D3838-16C3-433D-B554-2E56CD679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10</Pages>
  <Words>2900</Words>
  <Characters>15956</Characters>
  <Application>Microsoft Office Word</Application>
  <DocSecurity>0</DocSecurity>
  <Lines>132</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Santiago Alberto Herrera Morillo</cp:lastModifiedBy>
  <cp:revision>56</cp:revision>
  <cp:lastPrinted>2023-01-10T21:18:00Z</cp:lastPrinted>
  <dcterms:created xsi:type="dcterms:W3CDTF">2024-07-29T20:40:00Z</dcterms:created>
  <dcterms:modified xsi:type="dcterms:W3CDTF">2024-08-09T17:12:00Z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0x0101005B4CA33565ABFA4887DD024B77D849DF</vt:lpwstr>
  </property>
  <property fmtid="{D5CDD505-2E9C-101B-9397-08002B2CF9AE}" pid="3" name="MediaServiceImageTags">
    <vt:lpwstr/>
  </property>
</Properties>
</file>