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E2ED1" w14:textId="77777777" w:rsidR="00A41D37" w:rsidRPr="00682C93" w:rsidRDefault="00A41D37" w:rsidP="00AC47E2">
      <w:pPr>
        <w:spacing w:after="0" w:line="240" w:lineRule="auto"/>
        <w:jc w:val="both"/>
        <w:rPr>
          <w:rFonts w:ascii="Verdana" w:hAnsi="Verdana" w:cs="Arial"/>
          <w:b/>
          <w:lang w:val="es-MX" w:eastAsia="es-ES_tradnl"/>
        </w:rPr>
      </w:pPr>
      <w:bookmarkStart w:id="0" w:name="_Hlk143780582"/>
      <w:r w:rsidRPr="00682C93">
        <w:rPr>
          <w:rFonts w:ascii="Verdana" w:hAnsi="Verdana" w:cs="Arial"/>
          <w:b/>
          <w:lang w:val="es-MX" w:eastAsia="es-ES_tradnl"/>
        </w:rPr>
        <w:t xml:space="preserve">LEY DE GARANTÍAS ELECTORALES </w:t>
      </w:r>
      <w:r w:rsidRPr="00682C93">
        <w:rPr>
          <w:rFonts w:ascii="Verdana" w:hAnsi="Verdana" w:cs="Arial"/>
          <w:b/>
          <w:bCs/>
          <w:lang w:val="es-MX" w:eastAsia="es-ES_tradnl"/>
        </w:rPr>
        <w:t>‒</w:t>
      </w:r>
      <w:r w:rsidRPr="00682C93">
        <w:rPr>
          <w:rFonts w:ascii="Verdana" w:hAnsi="Verdana" w:cs="Arial"/>
          <w:b/>
          <w:lang w:val="es-MX" w:eastAsia="es-ES_tradnl"/>
        </w:rPr>
        <w:t xml:space="preserve"> Finalidad </w:t>
      </w:r>
    </w:p>
    <w:p w14:paraId="2786BEED" w14:textId="77777777" w:rsidR="00A41D37" w:rsidRDefault="00A41D37" w:rsidP="00AC47E2">
      <w:pPr>
        <w:spacing w:after="0" w:line="240" w:lineRule="auto"/>
        <w:jc w:val="both"/>
        <w:rPr>
          <w:rFonts w:ascii="Verdana" w:hAnsi="Verdana" w:cs="Arial"/>
          <w:b/>
          <w:lang w:val="es-MX" w:eastAsia="es-ES_tradnl"/>
        </w:rPr>
      </w:pPr>
    </w:p>
    <w:p w14:paraId="77574A02" w14:textId="77777777" w:rsidR="00A41D37" w:rsidRDefault="00A41D37" w:rsidP="00AC47E2">
      <w:pPr>
        <w:spacing w:after="0" w:line="240" w:lineRule="auto"/>
        <w:jc w:val="both"/>
        <w:rPr>
          <w:rFonts w:ascii="Verdana" w:eastAsia="Times New Roman" w:hAnsi="Verdana" w:cs="Arial"/>
          <w:sz w:val="20"/>
          <w:lang w:val="es-MX" w:eastAsia="es-CO"/>
        </w:rPr>
      </w:pPr>
      <w:r w:rsidRPr="00682C93">
        <w:rPr>
          <w:rFonts w:ascii="Verdana" w:eastAsia="Times New Roman" w:hAnsi="Verdana" w:cs="Arial"/>
          <w:sz w:val="20"/>
          <w:lang w:val="es-MX" w:eastAsia="es-CO"/>
        </w:rPr>
        <w:t>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6ABF2C9B" w14:textId="77777777" w:rsidR="00A41D37" w:rsidRPr="00682C93" w:rsidRDefault="00A41D37" w:rsidP="00AC47E2">
      <w:pPr>
        <w:spacing w:after="0" w:line="240" w:lineRule="auto"/>
        <w:jc w:val="both"/>
        <w:rPr>
          <w:rFonts w:ascii="Verdana" w:hAnsi="Verdana" w:cs="Arial"/>
          <w:b/>
          <w:sz w:val="20"/>
          <w:lang w:val="es-MX" w:eastAsia="es-ES_tradnl"/>
        </w:rPr>
      </w:pPr>
    </w:p>
    <w:p w14:paraId="431F1624" w14:textId="603A2B85" w:rsidR="00A41D37" w:rsidRPr="00682C93" w:rsidRDefault="00A41D37" w:rsidP="00AC47E2">
      <w:pPr>
        <w:spacing w:after="0" w:line="240" w:lineRule="auto"/>
        <w:jc w:val="both"/>
        <w:rPr>
          <w:rFonts w:ascii="Verdana" w:hAnsi="Verdana" w:cs="Arial"/>
          <w:b/>
          <w:lang w:val="es-MX" w:eastAsia="es-ES_tradnl"/>
        </w:rPr>
      </w:pPr>
      <w:r w:rsidRPr="00682C93">
        <w:rPr>
          <w:rFonts w:ascii="Verdana" w:hAnsi="Verdana" w:cs="Arial"/>
          <w:b/>
          <w:lang w:val="es-MX" w:eastAsia="es-ES_tradnl"/>
        </w:rPr>
        <w:t xml:space="preserve">LEY DE GARANTÍAS ELECTORALES </w:t>
      </w:r>
      <w:r w:rsidRPr="00682C93">
        <w:rPr>
          <w:rFonts w:ascii="Verdana" w:hAnsi="Verdana" w:cs="Arial"/>
          <w:b/>
          <w:bCs/>
          <w:lang w:val="es-MX" w:eastAsia="es-ES_tradnl"/>
        </w:rPr>
        <w:t>‒</w:t>
      </w:r>
      <w:r w:rsidRPr="00682C93">
        <w:rPr>
          <w:rFonts w:ascii="Verdana" w:hAnsi="Verdana" w:cs="Arial"/>
          <w:b/>
          <w:lang w:val="es-MX" w:eastAsia="es-ES_tradnl"/>
        </w:rPr>
        <w:t xml:space="preserve"> Tipos de restricciones </w:t>
      </w:r>
      <w:r w:rsidRPr="00682C93">
        <w:rPr>
          <w:rFonts w:ascii="Verdana" w:hAnsi="Verdana" w:cs="Arial"/>
          <w:b/>
          <w:bCs/>
          <w:lang w:val="es-MX" w:eastAsia="es-ES_tradnl"/>
        </w:rPr>
        <w:t>‒</w:t>
      </w:r>
      <w:r w:rsidRPr="00682C93">
        <w:rPr>
          <w:rFonts w:ascii="Verdana" w:hAnsi="Verdana" w:cs="Arial"/>
          <w:b/>
          <w:lang w:val="es-MX" w:eastAsia="es-ES_tradnl"/>
        </w:rPr>
        <w:t xml:space="preserve"> Ámbito temporal – </w:t>
      </w:r>
      <w:r w:rsidR="004A0320">
        <w:rPr>
          <w:rFonts w:ascii="Verdana" w:hAnsi="Verdana" w:cs="Arial"/>
          <w:b/>
          <w:lang w:val="es-MX" w:eastAsia="es-ES_tradnl"/>
        </w:rPr>
        <w:t>C</w:t>
      </w:r>
      <w:r w:rsidRPr="00682C93">
        <w:rPr>
          <w:rFonts w:ascii="Verdana" w:hAnsi="Verdana" w:cs="Arial"/>
          <w:b/>
          <w:lang w:val="es-MX" w:eastAsia="es-ES_tradnl"/>
        </w:rPr>
        <w:t>elebración</w:t>
      </w:r>
      <w:r w:rsidR="004A0320">
        <w:rPr>
          <w:rFonts w:ascii="Verdana" w:hAnsi="Verdana" w:cs="Arial"/>
          <w:b/>
          <w:lang w:val="es-MX" w:eastAsia="es-ES_tradnl"/>
        </w:rPr>
        <w:t xml:space="preserve"> </w:t>
      </w:r>
      <w:r w:rsidR="004A0320" w:rsidRPr="004A0320">
        <w:rPr>
          <w:rFonts w:ascii="Verdana" w:hAnsi="Verdana" w:cs="Arial"/>
          <w:b/>
          <w:bCs/>
          <w:lang w:val="es-ES" w:eastAsia="es-ES_tradnl"/>
        </w:rPr>
        <w:t>–</w:t>
      </w:r>
      <w:r w:rsidRPr="00682C93">
        <w:rPr>
          <w:rFonts w:ascii="Verdana" w:hAnsi="Verdana" w:cs="Arial"/>
          <w:b/>
          <w:lang w:val="es-MX" w:eastAsia="es-ES_tradnl"/>
        </w:rPr>
        <w:t xml:space="preserve"> </w:t>
      </w:r>
      <w:r w:rsidR="004A0320">
        <w:rPr>
          <w:rFonts w:ascii="Verdana" w:hAnsi="Verdana" w:cs="Arial"/>
          <w:b/>
          <w:lang w:val="es-MX" w:eastAsia="es-ES_tradnl"/>
        </w:rPr>
        <w:t>L</w:t>
      </w:r>
      <w:r w:rsidRPr="00682C93">
        <w:rPr>
          <w:rFonts w:ascii="Verdana" w:hAnsi="Verdana" w:cs="Arial"/>
          <w:b/>
          <w:lang w:val="es-MX" w:eastAsia="es-ES_tradnl"/>
        </w:rPr>
        <w:t>ímite</w:t>
      </w:r>
    </w:p>
    <w:p w14:paraId="1AA14922" w14:textId="77777777" w:rsidR="00A41D37" w:rsidRDefault="00A41D37" w:rsidP="00AC47E2">
      <w:pPr>
        <w:spacing w:after="0" w:line="240" w:lineRule="auto"/>
        <w:jc w:val="both"/>
        <w:rPr>
          <w:rFonts w:ascii="Verdana" w:hAnsi="Verdana" w:cs="Arial"/>
          <w:b/>
          <w:lang w:val="es-MX" w:eastAsia="es-ES_tradnl"/>
        </w:rPr>
      </w:pPr>
    </w:p>
    <w:p w14:paraId="387F5FF7" w14:textId="77777777" w:rsidR="00A41D37" w:rsidRPr="00E41F23" w:rsidRDefault="00A41D37" w:rsidP="00AC47E2">
      <w:pPr>
        <w:spacing w:after="0" w:line="240" w:lineRule="auto"/>
        <w:jc w:val="both"/>
        <w:rPr>
          <w:rFonts w:ascii="Verdana" w:eastAsia="Calibri" w:hAnsi="Verdana" w:cs="Arial"/>
          <w:sz w:val="20"/>
        </w:rPr>
      </w:pPr>
      <w:r w:rsidRPr="00E41F23">
        <w:rPr>
          <w:rFonts w:ascii="Verdana" w:eastAsia="Calibri" w:hAnsi="Verdana" w:cs="Arial"/>
          <w:sz w:val="20"/>
        </w:rPr>
        <w:t xml:space="preserve">Por un lado, el </w:t>
      </w:r>
      <w:r w:rsidRPr="00E41F23">
        <w:rPr>
          <w:rFonts w:ascii="Verdana" w:eastAsia="Calibri" w:hAnsi="Verdana" w:cs="Arial"/>
          <w:i/>
          <w:iCs/>
          <w:sz w:val="20"/>
        </w:rPr>
        <w:t>artículo 33 de la Ley 996 de 2005</w:t>
      </w:r>
      <w:r w:rsidRPr="00E41F23">
        <w:rPr>
          <w:rFonts w:ascii="Verdana" w:eastAsia="Calibri" w:hAnsi="Verdana" w:cs="Arial"/>
          <w:sz w:val="20"/>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09914C91" w14:textId="77777777" w:rsidR="00A41D37" w:rsidRPr="00E41F23" w:rsidRDefault="00A41D37" w:rsidP="00AC47E2">
      <w:pPr>
        <w:spacing w:after="0" w:line="240" w:lineRule="auto"/>
        <w:jc w:val="both"/>
        <w:rPr>
          <w:rFonts w:ascii="Verdana" w:eastAsia="Calibri" w:hAnsi="Verdana" w:cs="Arial"/>
          <w:sz w:val="20"/>
        </w:rPr>
      </w:pPr>
    </w:p>
    <w:p w14:paraId="2633153E" w14:textId="77777777" w:rsidR="00A41D37" w:rsidRDefault="00A41D37" w:rsidP="00AC47E2">
      <w:pPr>
        <w:widowControl w:val="0"/>
        <w:autoSpaceDE w:val="0"/>
        <w:autoSpaceDN w:val="0"/>
        <w:spacing w:after="0" w:line="240" w:lineRule="auto"/>
        <w:ind w:right="113"/>
        <w:jc w:val="both"/>
        <w:rPr>
          <w:rFonts w:ascii="Verdana" w:eastAsia="Arial" w:hAnsi="Verdana" w:cs="Arial"/>
          <w:sz w:val="20"/>
          <w:lang w:val="es-ES" w:eastAsia="es-ES" w:bidi="es-ES"/>
        </w:rPr>
      </w:pPr>
      <w:r w:rsidRPr="00E41F23">
        <w:rPr>
          <w:rFonts w:ascii="Verdana" w:eastAsia="Calibri" w:hAnsi="Verdana" w:cs="Arial"/>
          <w:sz w:val="20"/>
        </w:rPr>
        <w:t xml:space="preserve">Por otro lado, </w:t>
      </w:r>
      <w:r w:rsidRPr="00E41F23">
        <w:rPr>
          <w:rFonts w:ascii="Verdana" w:eastAsia="Calibri" w:hAnsi="Verdana" w:cs="Arial"/>
          <w:i/>
          <w:iCs/>
          <w:sz w:val="20"/>
        </w:rPr>
        <w:t>el parágrafo del artículo 38 de la Ley 996 de 2005</w:t>
      </w:r>
      <w:r w:rsidRPr="00E41F23">
        <w:rPr>
          <w:rFonts w:ascii="Verdana" w:eastAsia="Calibri" w:hAnsi="Verdana" w:cs="Arial"/>
          <w:sz w:val="20"/>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E41F23">
        <w:rPr>
          <w:rFonts w:ascii="Verdana" w:eastAsia="Calibri" w:hAnsi="Verdana" w:cs="Arial"/>
          <w:sz w:val="20"/>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41F23">
        <w:rPr>
          <w:rFonts w:ascii="Verdana" w:eastAsia="Calibri" w:hAnsi="Verdana" w:cs="Arial"/>
          <w:sz w:val="20"/>
        </w:rPr>
        <w:t>”</w:t>
      </w:r>
      <w:r w:rsidRPr="00E41F23">
        <w:rPr>
          <w:rFonts w:ascii="Verdana" w:eastAsia="Calibri" w:hAnsi="Verdana" w:cs="Arial"/>
          <w:sz w:val="20"/>
          <w:lang w:val="es-MX"/>
        </w:rPr>
        <w:t>.</w:t>
      </w:r>
      <w:r w:rsidRPr="00E41F23">
        <w:rPr>
          <w:rFonts w:ascii="Verdana" w:eastAsia="Arial" w:hAnsi="Verdana" w:cs="Arial"/>
          <w:sz w:val="20"/>
          <w:lang w:val="es-ES" w:eastAsia="es-ES" w:bidi="es-ES"/>
        </w:rPr>
        <w:t xml:space="preserve"> </w:t>
      </w:r>
    </w:p>
    <w:p w14:paraId="10C2B8B4" w14:textId="77777777" w:rsidR="00A41D37" w:rsidRPr="00E41F23" w:rsidRDefault="00A41D37" w:rsidP="00AC47E2">
      <w:pPr>
        <w:widowControl w:val="0"/>
        <w:autoSpaceDE w:val="0"/>
        <w:autoSpaceDN w:val="0"/>
        <w:spacing w:after="0" w:line="240" w:lineRule="auto"/>
        <w:ind w:right="113"/>
        <w:jc w:val="both"/>
        <w:rPr>
          <w:rFonts w:ascii="Verdana" w:eastAsia="Arial" w:hAnsi="Verdana" w:cs="Arial"/>
          <w:sz w:val="20"/>
          <w:lang w:val="es-ES" w:eastAsia="es-ES" w:bidi="es-ES"/>
        </w:rPr>
      </w:pPr>
    </w:p>
    <w:p w14:paraId="19348851" w14:textId="77777777" w:rsidR="00A41D37" w:rsidRPr="00E41F23" w:rsidRDefault="00A41D37" w:rsidP="00AC47E2">
      <w:pPr>
        <w:spacing w:after="0" w:line="240" w:lineRule="auto"/>
        <w:jc w:val="both"/>
        <w:rPr>
          <w:rFonts w:ascii="Verdana" w:eastAsia="Times New Roman" w:hAnsi="Verdana" w:cs="Arial"/>
          <w:bCs/>
          <w:sz w:val="20"/>
          <w:lang w:val="es-ES" w:eastAsia="es-CO"/>
        </w:rPr>
      </w:pPr>
      <w:r w:rsidRPr="00E41F23">
        <w:rPr>
          <w:rFonts w:ascii="Verdana" w:eastAsia="Times New Roman" w:hAnsi="Verdana" w:cs="Arial"/>
          <w:bCs/>
          <w:sz w:val="20"/>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E41F23">
        <w:rPr>
          <w:rFonts w:ascii="Verdana" w:eastAsia="Times New Roman" w:hAnsi="Verdana" w:cs="Arial"/>
          <w:bCs/>
          <w:sz w:val="20"/>
          <w:lang w:val="es-ES" w:eastAsia="es-CO"/>
        </w:rPr>
        <w:t xml:space="preserve">la existencia de los contratos estatales, es decir, la producción de efectos jurídicos en los términos del artículo 1501 </w:t>
      </w:r>
      <w:proofErr w:type="spellStart"/>
      <w:r w:rsidRPr="00E41F23">
        <w:rPr>
          <w:rFonts w:ascii="Verdana" w:eastAsia="Times New Roman" w:hAnsi="Verdana" w:cs="Arial"/>
          <w:bCs/>
          <w:i/>
          <w:sz w:val="20"/>
          <w:lang w:val="es-ES" w:eastAsia="es-CO"/>
        </w:rPr>
        <w:t>ibídem</w:t>
      </w:r>
      <w:proofErr w:type="spellEnd"/>
      <w:r w:rsidRPr="00E41F23">
        <w:rPr>
          <w:rFonts w:ascii="Verdana" w:eastAsia="Times New Roman" w:hAnsi="Verdana" w:cs="Arial"/>
          <w:bCs/>
          <w:sz w:val="20"/>
          <w:lang w:val="es-ES"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0F5E4460" w14:textId="77777777" w:rsidR="00A41D37" w:rsidRPr="003F2A9C" w:rsidRDefault="00A41D37" w:rsidP="00AC47E2">
      <w:pPr>
        <w:spacing w:after="0" w:line="240" w:lineRule="auto"/>
        <w:jc w:val="both"/>
        <w:rPr>
          <w:rFonts w:ascii="Verdana" w:hAnsi="Verdana" w:cs="Arial"/>
          <w:b/>
          <w:sz w:val="20"/>
          <w:lang w:val="es-MX" w:eastAsia="es-ES_tradnl"/>
        </w:rPr>
      </w:pPr>
    </w:p>
    <w:p w14:paraId="2E71CC27" w14:textId="77777777" w:rsidR="00A41D37" w:rsidRPr="00682C93" w:rsidRDefault="00A41D37" w:rsidP="00AC47E2">
      <w:pPr>
        <w:spacing w:after="0" w:line="240" w:lineRule="auto"/>
        <w:jc w:val="both"/>
        <w:rPr>
          <w:rFonts w:ascii="Verdana" w:hAnsi="Verdana" w:cs="Arial"/>
          <w:b/>
          <w:lang w:val="es-MX" w:eastAsia="es-ES_tradnl"/>
        </w:rPr>
      </w:pPr>
      <w:r w:rsidRPr="00682C93">
        <w:rPr>
          <w:rFonts w:ascii="Verdana" w:hAnsi="Verdana" w:cs="Arial"/>
          <w:b/>
          <w:lang w:val="es-MX" w:eastAsia="es-ES_tradnl"/>
        </w:rPr>
        <w:lastRenderedPageBreak/>
        <w:t xml:space="preserve">LEY DE GARANTÍAS ELECTORALES – Prohibición artículo 33 – Contratación directa – Alcance </w:t>
      </w:r>
    </w:p>
    <w:p w14:paraId="5EB1AD43" w14:textId="77777777" w:rsidR="00A41D37" w:rsidRDefault="00A41D37" w:rsidP="00AC47E2">
      <w:pPr>
        <w:spacing w:after="0" w:line="240" w:lineRule="auto"/>
        <w:jc w:val="both"/>
        <w:rPr>
          <w:rFonts w:ascii="Verdana" w:hAnsi="Verdana" w:cs="Arial"/>
          <w:b/>
          <w:lang w:val="es-MX" w:eastAsia="es-ES_tradnl"/>
        </w:rPr>
      </w:pPr>
    </w:p>
    <w:p w14:paraId="6150CCE9" w14:textId="77777777" w:rsidR="00A41D37" w:rsidRPr="00E41F23" w:rsidRDefault="00A41D37" w:rsidP="00AC47E2">
      <w:pPr>
        <w:spacing w:after="0" w:line="240" w:lineRule="auto"/>
        <w:jc w:val="both"/>
        <w:rPr>
          <w:rFonts w:ascii="Verdana" w:eastAsia="Times New Roman" w:hAnsi="Verdana" w:cs="Arial"/>
          <w:bCs/>
          <w:sz w:val="20"/>
          <w:lang w:eastAsia="x-none"/>
        </w:rPr>
      </w:pPr>
      <w:r w:rsidRPr="00E41F23">
        <w:rPr>
          <w:rFonts w:ascii="Verdana" w:eastAsia="Times New Roman" w:hAnsi="Verdana" w:cs="Arial"/>
          <w:sz w:val="20"/>
          <w:lang w:eastAsia="x-none"/>
        </w:rPr>
        <w:t xml:space="preserve">De acuerdo con el citado concepto, la prohibición del artículo 33 de la Ley de Garantías Electorales se refiere a </w:t>
      </w:r>
      <w:r w:rsidRPr="00E41F23">
        <w:rPr>
          <w:rFonts w:ascii="Verdana" w:eastAsia="Times New Roman" w:hAnsi="Verdana" w:cs="Arial"/>
          <w:sz w:val="18"/>
          <w:szCs w:val="19"/>
          <w:lang w:eastAsia="en-GB"/>
        </w:rPr>
        <w:t>“</w:t>
      </w:r>
      <w:r w:rsidRPr="00E41F23">
        <w:rPr>
          <w:rFonts w:ascii="Verdana" w:eastAsia="Times New Roman" w:hAnsi="Verdana" w:cs="Arial"/>
          <w:sz w:val="20"/>
          <w:lang w:eastAsia="x-none"/>
        </w:rPr>
        <w:t>cualquier sistema que no implique convocatoria pública y posibilidad de pluralidad de oferentes</w:t>
      </w:r>
      <w:r w:rsidRPr="00E41F23">
        <w:rPr>
          <w:rFonts w:ascii="Verdana" w:eastAsia="Times New Roman" w:hAnsi="Verdana" w:cs="Arial"/>
          <w:sz w:val="20"/>
          <w:lang w:eastAsia="en-GB"/>
        </w:rPr>
        <w:t>”</w:t>
      </w:r>
      <w:r w:rsidRPr="00E41F23">
        <w:rPr>
          <w:rFonts w:ascii="Verdana" w:eastAsia="Times New Roman" w:hAnsi="Verdana" w:cs="Arial"/>
          <w:sz w:val="20"/>
          <w:lang w:eastAsia="x-none"/>
        </w:rPr>
        <w:t xml:space="preserve">, por lo que excluye las demás modalidades de contratación previstas en la Ley 1150 de 2007, es decir, la licitación pública, la selección abreviada, el concurso de méritos </w:t>
      </w:r>
      <w:r w:rsidRPr="00E41F23">
        <w:rPr>
          <w:rFonts w:ascii="Verdana" w:eastAsia="Times New Roman" w:hAnsi="Verdana" w:cs="Arial"/>
          <w:sz w:val="20"/>
          <w:lang w:val="es-ES_tradnl" w:eastAsia="x-none"/>
        </w:rPr>
        <w:t>y la mínima cuantía</w:t>
      </w:r>
      <w:r w:rsidRPr="00E41F23" w:rsidDel="00A85D9F">
        <w:rPr>
          <w:rFonts w:ascii="Verdana" w:eastAsia="Times New Roman" w:hAnsi="Verdana" w:cs="Arial"/>
          <w:sz w:val="20"/>
          <w:lang w:eastAsia="x-none"/>
        </w:rPr>
        <w:t xml:space="preserve"> </w:t>
      </w:r>
      <w:r w:rsidRPr="00E41F23">
        <w:rPr>
          <w:rFonts w:ascii="Verdana" w:eastAsia="Times New Roman" w:hAnsi="Verdana" w:cs="Arial"/>
          <w:sz w:val="20"/>
          <w:lang w:eastAsia="x-none"/>
        </w:rPr>
        <w:t xml:space="preserve">u otros previstos en normas especiales. Esta posición es congruente con la expedición de la Ley 1150 de 2007 que, entre otras reformas, introdujo la selección abreviada, rediseñó el concurso de méritos y sistematizó las causales de contratación directa, </w:t>
      </w:r>
      <w:r w:rsidRPr="00E41F23">
        <w:rPr>
          <w:rFonts w:ascii="Verdana" w:eastAsia="Calibri" w:hAnsi="Verdana" w:cs="Arial"/>
          <w:sz w:val="20"/>
          <w:szCs w:val="24"/>
          <w:lang w:eastAsia="x-none"/>
        </w:rPr>
        <w:t>además lo es con la posterior creación de la modalidad de mínima cuantía establecida actualmente en el numeral 5 del artículo 2 de la Ley 1150 de 2007, de acuerdo con las modificaciones realizadas por leyes posteriores.</w:t>
      </w:r>
    </w:p>
    <w:p w14:paraId="73D20439" w14:textId="77777777" w:rsidR="00A41D37" w:rsidRPr="00E41F23" w:rsidRDefault="00A41D37" w:rsidP="00AC47E2">
      <w:pPr>
        <w:spacing w:after="0" w:line="240" w:lineRule="auto"/>
        <w:jc w:val="both"/>
        <w:rPr>
          <w:rFonts w:ascii="Verdana" w:hAnsi="Verdana" w:cs="Arial"/>
          <w:b/>
          <w:lang w:eastAsia="es-ES_tradnl"/>
        </w:rPr>
      </w:pPr>
    </w:p>
    <w:p w14:paraId="5AF8E907" w14:textId="77777777" w:rsidR="00A41D37" w:rsidRPr="00682C93" w:rsidRDefault="00A41D37" w:rsidP="00AC47E2">
      <w:pPr>
        <w:spacing w:after="0" w:line="240" w:lineRule="auto"/>
        <w:jc w:val="both"/>
        <w:rPr>
          <w:rFonts w:ascii="Verdana" w:hAnsi="Verdana" w:cs="Arial"/>
          <w:b/>
          <w:lang w:val="es-MX" w:eastAsia="es-ES_tradnl"/>
        </w:rPr>
      </w:pPr>
      <w:r w:rsidRPr="00682C93">
        <w:rPr>
          <w:rFonts w:ascii="Verdana" w:hAnsi="Verdana" w:cs="Arial"/>
          <w:b/>
          <w:lang w:val="es-MX" w:eastAsia="es-ES_tradnl"/>
        </w:rPr>
        <w:t>LEY DE GARANTÍAS ELECTORALES – Excepciones</w:t>
      </w:r>
    </w:p>
    <w:p w14:paraId="1A10A828" w14:textId="77777777" w:rsidR="00A41D37" w:rsidRPr="00E41F23" w:rsidRDefault="00A41D37" w:rsidP="00AC47E2">
      <w:pPr>
        <w:spacing w:after="0" w:line="240" w:lineRule="auto"/>
        <w:jc w:val="both"/>
        <w:rPr>
          <w:rFonts w:ascii="Verdana" w:hAnsi="Verdana" w:cs="Arial"/>
          <w:b/>
          <w:sz w:val="20"/>
          <w:lang w:val="es-MX" w:eastAsia="es-ES_tradnl"/>
        </w:rPr>
      </w:pPr>
    </w:p>
    <w:p w14:paraId="0C0FCE9E" w14:textId="77777777" w:rsidR="00A41D37" w:rsidRPr="00E41F23" w:rsidRDefault="00A41D37" w:rsidP="00AC47E2">
      <w:pPr>
        <w:spacing w:after="0" w:line="240" w:lineRule="auto"/>
        <w:jc w:val="both"/>
        <w:rPr>
          <w:rFonts w:ascii="Verdana" w:eastAsia="Times New Roman" w:hAnsi="Verdana" w:cs="Arial"/>
          <w:bCs/>
          <w:sz w:val="20"/>
          <w:lang w:val="es-MX" w:eastAsia="es-CO"/>
        </w:rPr>
      </w:pPr>
      <w:r w:rsidRPr="00E41F23">
        <w:rPr>
          <w:rFonts w:ascii="Verdana" w:eastAsia="Times New Roman" w:hAnsi="Verdana" w:cs="Arial"/>
          <w:bCs/>
          <w:sz w:val="20"/>
          <w:lang w:val="es-MX"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w:t>
      </w:r>
      <w:proofErr w:type="spellStart"/>
      <w:r w:rsidRPr="00E41F23">
        <w:rPr>
          <w:rFonts w:ascii="Verdana" w:eastAsia="Times New Roman" w:hAnsi="Verdana" w:cs="Arial"/>
          <w:bCs/>
          <w:sz w:val="20"/>
          <w:lang w:val="es-MX" w:eastAsia="x-none"/>
        </w:rPr>
        <w:t>ii</w:t>
      </w:r>
      <w:proofErr w:type="spellEnd"/>
      <w:r w:rsidRPr="00E41F23">
        <w:rPr>
          <w:rFonts w:ascii="Verdana" w:eastAsia="Times New Roman" w:hAnsi="Verdana" w:cs="Arial"/>
          <w:bCs/>
          <w:sz w:val="20"/>
          <w:lang w:val="es-MX" w:eastAsia="x-none"/>
        </w:rPr>
        <w:t xml:space="preserve">) los contratos de crédito público; </w:t>
      </w:r>
      <w:proofErr w:type="spellStart"/>
      <w:r w:rsidRPr="00E41F23">
        <w:rPr>
          <w:rFonts w:ascii="Verdana" w:eastAsia="Times New Roman" w:hAnsi="Verdana" w:cs="Arial"/>
          <w:bCs/>
          <w:sz w:val="20"/>
          <w:lang w:val="es-MX" w:eastAsia="x-none"/>
        </w:rPr>
        <w:t>iii</w:t>
      </w:r>
      <w:proofErr w:type="spellEnd"/>
      <w:r w:rsidRPr="00E41F23">
        <w:rPr>
          <w:rFonts w:ascii="Verdana" w:eastAsia="Times New Roman" w:hAnsi="Verdana" w:cs="Arial"/>
          <w:bCs/>
          <w:sz w:val="20"/>
          <w:lang w:val="es-MX" w:eastAsia="x-none"/>
        </w:rPr>
        <w:t xml:space="preserve">) los requeridos para cubrir las emergencias educativas, sanitarias y desastres; </w:t>
      </w:r>
      <w:proofErr w:type="spellStart"/>
      <w:r w:rsidRPr="00E41F23">
        <w:rPr>
          <w:rFonts w:ascii="Verdana" w:eastAsia="Times New Roman" w:hAnsi="Verdana" w:cs="Arial"/>
          <w:bCs/>
          <w:sz w:val="20"/>
          <w:lang w:val="es-MX" w:eastAsia="x-none"/>
        </w:rPr>
        <w:t>iv</w:t>
      </w:r>
      <w:proofErr w:type="spellEnd"/>
      <w:r w:rsidRPr="00E41F23">
        <w:rPr>
          <w:rFonts w:ascii="Verdana" w:eastAsia="Times New Roman" w:hAnsi="Verdana" w:cs="Arial"/>
          <w:bCs/>
          <w:sz w:val="20"/>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E41F23">
        <w:rPr>
          <w:rFonts w:ascii="Verdana" w:eastAsia="Times New Roman" w:hAnsi="Verdana" w:cs="Arial"/>
          <w:bCs/>
          <w:sz w:val="20"/>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55762CD5" w14:textId="77777777" w:rsidR="00A41D37" w:rsidRPr="00682C93" w:rsidRDefault="00A41D37" w:rsidP="00AC47E2">
      <w:pPr>
        <w:spacing w:after="0" w:line="240" w:lineRule="auto"/>
        <w:jc w:val="both"/>
        <w:rPr>
          <w:rFonts w:ascii="Verdana" w:hAnsi="Verdana" w:cs="Arial"/>
          <w:b/>
          <w:lang w:val="es-MX" w:eastAsia="es-ES_tradnl"/>
        </w:rPr>
      </w:pPr>
    </w:p>
    <w:p w14:paraId="31A2D261" w14:textId="77777777" w:rsidR="00A41D37" w:rsidRPr="00682C93" w:rsidRDefault="00A41D37" w:rsidP="00AC47E2">
      <w:pPr>
        <w:spacing w:after="0" w:line="240" w:lineRule="auto"/>
        <w:jc w:val="both"/>
        <w:rPr>
          <w:rFonts w:ascii="Verdana" w:hAnsi="Verdana" w:cs="Arial"/>
          <w:b/>
          <w:lang w:val="es-MX" w:eastAsia="es-ES_tradnl"/>
        </w:rPr>
      </w:pPr>
      <w:r w:rsidRPr="00682C93">
        <w:rPr>
          <w:rFonts w:ascii="Verdana" w:hAnsi="Verdana" w:cs="Arial"/>
          <w:b/>
          <w:lang w:val="es-MX" w:eastAsia="es-ES_tradnl"/>
        </w:rPr>
        <w:t xml:space="preserve"> LEY DE GARANTÍAS ELECTORALES – Prohibición del artículo 33 – Destinatarios </w:t>
      </w:r>
    </w:p>
    <w:p w14:paraId="4E6D9566" w14:textId="77777777" w:rsidR="00A41D37" w:rsidRDefault="00A41D37" w:rsidP="00AC47E2">
      <w:pPr>
        <w:spacing w:after="0" w:line="240" w:lineRule="auto"/>
        <w:rPr>
          <w:rFonts w:ascii="Verdana" w:hAnsi="Verdana" w:cs="Arial"/>
          <w:lang w:val="es-MX" w:eastAsia="es-ES_tradnl"/>
        </w:rPr>
      </w:pPr>
    </w:p>
    <w:p w14:paraId="5D0952CE" w14:textId="77777777" w:rsidR="00A41D37" w:rsidRDefault="00A41D37" w:rsidP="00AC47E2">
      <w:pPr>
        <w:spacing w:after="0" w:line="240" w:lineRule="auto"/>
        <w:jc w:val="both"/>
        <w:rPr>
          <w:rFonts w:ascii="Verdana" w:eastAsia="Calibri" w:hAnsi="Verdana" w:cs="Arial"/>
          <w:sz w:val="20"/>
          <w:lang w:val="es-MX"/>
        </w:rPr>
      </w:pPr>
      <w:r w:rsidRPr="00E41F23">
        <w:rPr>
          <w:rFonts w:ascii="Verdana" w:eastAsia="Calibri" w:hAnsi="Verdana" w:cs="Arial"/>
          <w:sz w:val="20"/>
          <w:lang w:val="es-MX"/>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sidRPr="00E41F23">
        <w:rPr>
          <w:rFonts w:ascii="Verdana" w:eastAsia="Times New Roman" w:hAnsi="Verdana" w:cs="Arial"/>
          <w:bCs/>
          <w:sz w:val="20"/>
          <w:lang w:val="es-MX" w:eastAsia="x-none"/>
        </w:rPr>
        <w:t>establecimientos de crédito, las sociedades de servicios financieros y las entidades aseguradoras</w:t>
      </w:r>
      <w:r w:rsidRPr="00E41F23">
        <w:rPr>
          <w:rFonts w:ascii="Verdana" w:eastAsia="Calibri" w:hAnsi="Verdana" w:cs="Arial"/>
          <w:sz w:val="20"/>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w:t>
      </w:r>
      <w:r w:rsidRPr="00E41F23">
        <w:rPr>
          <w:rFonts w:ascii="Verdana" w:eastAsia="Calibri" w:hAnsi="Verdana" w:cs="Arial"/>
          <w:sz w:val="20"/>
          <w:lang w:val="es-MX"/>
        </w:rPr>
        <w:lastRenderedPageBreak/>
        <w:t>públicos a su cargo a nuevas personas, ni dejar de renovar los contratos existentes, pues significaría la parálisis de una actividad propia de la administración, que incluso podría desconocer los derechos fundamentales”</w:t>
      </w:r>
      <w:r>
        <w:rPr>
          <w:rFonts w:ascii="Verdana" w:eastAsia="Calibri" w:hAnsi="Verdana" w:cs="Arial"/>
          <w:sz w:val="20"/>
          <w:lang w:val="es-MX"/>
        </w:rPr>
        <w:t>.</w:t>
      </w:r>
    </w:p>
    <w:p w14:paraId="49BA8021" w14:textId="77777777" w:rsidR="00A41D37" w:rsidRPr="008835B4" w:rsidRDefault="00A41D37" w:rsidP="00AC47E2">
      <w:pPr>
        <w:spacing w:after="0" w:line="240" w:lineRule="auto"/>
        <w:jc w:val="both"/>
        <w:rPr>
          <w:rFonts w:ascii="Verdana" w:hAnsi="Verdana" w:cs="Arial"/>
          <w:sz w:val="20"/>
          <w:lang w:val="es-MX" w:eastAsia="es-ES_tradnl"/>
        </w:rPr>
      </w:pPr>
    </w:p>
    <w:p w14:paraId="12D23CEB" w14:textId="77777777" w:rsidR="00A41D37" w:rsidRPr="008835B4" w:rsidRDefault="00A41D37" w:rsidP="00AC47E2">
      <w:pPr>
        <w:spacing w:after="0" w:line="240" w:lineRule="auto"/>
        <w:jc w:val="both"/>
        <w:rPr>
          <w:rFonts w:ascii="Verdana" w:eastAsia="Calibri" w:hAnsi="Verdana" w:cs="Arial"/>
          <w:b/>
          <w:color w:val="000000"/>
          <w:lang w:val="es-MX"/>
        </w:rPr>
      </w:pPr>
      <w:r w:rsidRPr="008835B4">
        <w:rPr>
          <w:rFonts w:ascii="Verdana" w:eastAsia="Calibri" w:hAnsi="Verdana" w:cs="Arial"/>
          <w:b/>
          <w:color w:val="000000"/>
          <w:lang w:val="es-MX"/>
        </w:rPr>
        <w:t xml:space="preserve">LEY DE GARANTÍAS ELECTORALES – Contratos y convenios interadministrativos – Criterio orgánico </w:t>
      </w:r>
    </w:p>
    <w:p w14:paraId="2677CF6D" w14:textId="77777777" w:rsidR="00A41D37" w:rsidRDefault="00A41D37" w:rsidP="00AC47E2">
      <w:pPr>
        <w:spacing w:after="0" w:line="240" w:lineRule="auto"/>
        <w:jc w:val="both"/>
        <w:rPr>
          <w:rFonts w:ascii="Verdana" w:eastAsia="Calibri" w:hAnsi="Verdana" w:cs="Arial"/>
          <w:color w:val="000000"/>
          <w:lang w:val="es-MX"/>
        </w:rPr>
      </w:pPr>
    </w:p>
    <w:p w14:paraId="5D5D4A15" w14:textId="77777777" w:rsidR="00A41D37" w:rsidRDefault="00A41D37" w:rsidP="00AC47E2">
      <w:pPr>
        <w:spacing w:after="0" w:line="240" w:lineRule="auto"/>
        <w:jc w:val="both"/>
        <w:rPr>
          <w:rFonts w:ascii="Verdana" w:eastAsia="Calibri" w:hAnsi="Verdana" w:cs="Arial"/>
          <w:color w:val="000000"/>
          <w:sz w:val="20"/>
        </w:rPr>
      </w:pPr>
      <w:r w:rsidRPr="008835B4">
        <w:rPr>
          <w:rFonts w:ascii="Verdana" w:eastAsia="Calibri" w:hAnsi="Verdana" w:cs="Arial"/>
          <w:color w:val="000000"/>
          <w:sz w:val="20"/>
          <w:lang w:val="es-ES"/>
        </w:rPr>
        <w:t xml:space="preserve">Para tales efectos, debe precisarse que los contratos o convenios interadministrativos están determinados por un criterio orgánico, pues es necesario que los extremos de la relación contractual sean entidades públicas, </w:t>
      </w:r>
      <w:r w:rsidRPr="008835B4">
        <w:rPr>
          <w:rFonts w:ascii="Verdana" w:eastAsia="Calibri" w:hAnsi="Verdana" w:cs="Arial"/>
          <w:color w:val="000000"/>
          <w:sz w:val="20"/>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p>
    <w:p w14:paraId="5EEFFE64" w14:textId="77777777" w:rsidR="00A41D37" w:rsidRPr="008835B4" w:rsidRDefault="00A41D37" w:rsidP="00AC47E2">
      <w:pPr>
        <w:spacing w:after="0" w:line="240" w:lineRule="auto"/>
        <w:jc w:val="both"/>
        <w:rPr>
          <w:rFonts w:ascii="Verdana" w:eastAsia="Calibri" w:hAnsi="Verdana" w:cs="Arial"/>
          <w:color w:val="000000"/>
          <w:sz w:val="20"/>
        </w:rPr>
      </w:pPr>
    </w:p>
    <w:p w14:paraId="37FF1859" w14:textId="77777777" w:rsidR="00A41D37" w:rsidRDefault="00A41D37" w:rsidP="00AC47E2">
      <w:pPr>
        <w:spacing w:after="0" w:line="240" w:lineRule="auto"/>
        <w:jc w:val="both"/>
        <w:rPr>
          <w:rFonts w:ascii="Verdana" w:eastAsia="Calibri" w:hAnsi="Verdana" w:cs="Arial"/>
          <w:color w:val="000000"/>
          <w:sz w:val="20"/>
          <w:lang w:val="es-ES_tradnl"/>
        </w:rPr>
      </w:pPr>
      <w:r w:rsidRPr="008835B4">
        <w:rPr>
          <w:rFonts w:ascii="Verdana" w:eastAsia="Calibri" w:hAnsi="Verdana" w:cs="Arial"/>
          <w:color w:val="000000"/>
          <w:sz w:val="20"/>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5055D5E3" w14:textId="77777777" w:rsidR="00A41D37" w:rsidRPr="008835B4" w:rsidRDefault="00A41D37" w:rsidP="00AC47E2">
      <w:pPr>
        <w:spacing w:after="0" w:line="240" w:lineRule="auto"/>
        <w:jc w:val="both"/>
        <w:rPr>
          <w:rFonts w:ascii="Verdana" w:eastAsia="Calibri" w:hAnsi="Verdana" w:cs="Arial"/>
          <w:color w:val="000000"/>
          <w:sz w:val="20"/>
          <w:lang w:val="es-ES_tradnl"/>
        </w:rPr>
      </w:pPr>
    </w:p>
    <w:p w14:paraId="07FB5137" w14:textId="77777777" w:rsidR="00A41D37" w:rsidRPr="008835B4" w:rsidRDefault="00A41D37" w:rsidP="00AC47E2">
      <w:pPr>
        <w:spacing w:after="0" w:line="240" w:lineRule="auto"/>
        <w:jc w:val="both"/>
        <w:rPr>
          <w:rFonts w:ascii="Verdana" w:eastAsia="Calibri" w:hAnsi="Verdana" w:cs="Arial"/>
          <w:color w:val="000000"/>
          <w:sz w:val="20"/>
          <w:lang w:val="es-ES_tradnl"/>
        </w:rPr>
      </w:pPr>
      <w:r w:rsidRPr="008835B4">
        <w:rPr>
          <w:rFonts w:ascii="Verdana" w:eastAsia="Calibri" w:hAnsi="Verdana" w:cs="Arial"/>
          <w:color w:val="000000"/>
          <w:sz w:val="20"/>
          <w:lang w:val="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 Nótese que, en este caso, lo que cambia es la modalidad de selección y no la naturaleza de contrato interadministrativo.</w:t>
      </w:r>
    </w:p>
    <w:p w14:paraId="4F676619" w14:textId="77777777" w:rsidR="00A41D37" w:rsidRPr="008835B4" w:rsidRDefault="00A41D37" w:rsidP="00AC47E2">
      <w:pPr>
        <w:spacing w:after="0" w:line="240" w:lineRule="auto"/>
        <w:jc w:val="both"/>
        <w:rPr>
          <w:rFonts w:ascii="Verdana" w:eastAsia="Calibri" w:hAnsi="Verdana" w:cs="Arial"/>
          <w:color w:val="000000"/>
          <w:lang w:val="es-ES_tradnl"/>
        </w:rPr>
      </w:pPr>
    </w:p>
    <w:p w14:paraId="4CC4B2FC" w14:textId="53EF8C54" w:rsidR="00A41D37" w:rsidRPr="008835B4" w:rsidRDefault="00A41D37" w:rsidP="00AC47E2">
      <w:pPr>
        <w:spacing w:after="0" w:line="240" w:lineRule="auto"/>
        <w:jc w:val="both"/>
        <w:rPr>
          <w:rFonts w:ascii="Verdana" w:eastAsia="Calibri" w:hAnsi="Verdana" w:cs="Arial"/>
          <w:b/>
          <w:color w:val="000000"/>
          <w:lang w:val="es-MX"/>
        </w:rPr>
      </w:pPr>
      <w:r w:rsidRPr="008835B4">
        <w:rPr>
          <w:rFonts w:ascii="Verdana" w:eastAsia="Calibri" w:hAnsi="Verdana" w:cs="Arial"/>
          <w:b/>
          <w:color w:val="000000"/>
          <w:lang w:val="es-MX"/>
        </w:rPr>
        <w:t>LEY DE GARANTÍAS ELECTORALES –</w:t>
      </w:r>
      <w:r w:rsidR="004A0320">
        <w:rPr>
          <w:rFonts w:ascii="Verdana" w:eastAsia="Calibri" w:hAnsi="Verdana" w:cs="Arial"/>
          <w:b/>
          <w:color w:val="000000"/>
          <w:lang w:val="es-MX"/>
        </w:rPr>
        <w:t xml:space="preserve"> </w:t>
      </w:r>
      <w:r w:rsidRPr="008835B4">
        <w:rPr>
          <w:rFonts w:ascii="Verdana" w:eastAsia="Calibri" w:hAnsi="Verdana" w:cs="Arial"/>
          <w:b/>
          <w:color w:val="000000"/>
          <w:lang w:val="es-MX"/>
        </w:rPr>
        <w:t>Restricción</w:t>
      </w:r>
      <w:r w:rsidR="004A0320">
        <w:rPr>
          <w:rFonts w:ascii="Verdana" w:eastAsia="Calibri" w:hAnsi="Verdana" w:cs="Arial"/>
          <w:b/>
          <w:color w:val="000000"/>
          <w:lang w:val="es-MX"/>
        </w:rPr>
        <w:t xml:space="preserve"> </w:t>
      </w:r>
      <w:r w:rsidR="004A0320" w:rsidRPr="004A0320">
        <w:rPr>
          <w:rFonts w:ascii="Verdana" w:eastAsia="Calibri" w:hAnsi="Verdana" w:cs="Arial"/>
          <w:b/>
          <w:bCs/>
          <w:color w:val="000000"/>
          <w:lang w:val="es-ES"/>
        </w:rPr>
        <w:t>–</w:t>
      </w:r>
      <w:r w:rsidRPr="008835B4">
        <w:rPr>
          <w:rFonts w:ascii="Verdana" w:eastAsia="Calibri" w:hAnsi="Verdana" w:cs="Arial"/>
          <w:b/>
          <w:color w:val="000000"/>
          <w:lang w:val="es-MX"/>
        </w:rPr>
        <w:t xml:space="preserve"> Convenios interadministrativos – Postura del Consejo de Estado</w:t>
      </w:r>
    </w:p>
    <w:p w14:paraId="31134896" w14:textId="77777777" w:rsidR="00A41D37" w:rsidRDefault="00A41D37" w:rsidP="00AC47E2">
      <w:pPr>
        <w:spacing w:after="0" w:line="240" w:lineRule="auto"/>
        <w:jc w:val="both"/>
        <w:rPr>
          <w:rFonts w:ascii="Verdana" w:eastAsia="Calibri" w:hAnsi="Verdana" w:cs="Arial"/>
          <w:color w:val="000000"/>
        </w:rPr>
      </w:pPr>
    </w:p>
    <w:p w14:paraId="4BD47091" w14:textId="77777777" w:rsidR="00A41D37" w:rsidRPr="00A07EBF" w:rsidRDefault="00A41D37" w:rsidP="00AC47E2">
      <w:pPr>
        <w:spacing w:after="0" w:line="240" w:lineRule="auto"/>
        <w:jc w:val="both"/>
        <w:rPr>
          <w:rFonts w:ascii="Verdana" w:eastAsia="Calibri" w:hAnsi="Verdana" w:cs="Arial"/>
          <w:color w:val="000000"/>
          <w:sz w:val="20"/>
        </w:rPr>
      </w:pPr>
      <w:r w:rsidRPr="00A07EBF">
        <w:rPr>
          <w:rFonts w:ascii="Verdana" w:eastAsia="Calibri" w:hAnsi="Verdana" w:cs="Arial"/>
          <w:color w:val="000000"/>
          <w:sz w:val="20"/>
        </w:rPr>
        <w:t xml:space="preserve">Finalmente, mediante sentencia del 17 de octubre de 2025, emitida por la Sala de lo Contencioso Administrativo del Consejo de Estado, dentro del expediente 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 </w:t>
      </w:r>
    </w:p>
    <w:p w14:paraId="2FEF4EDB" w14:textId="77777777" w:rsidR="00A41D37" w:rsidRPr="00A07EBF" w:rsidRDefault="00A41D37" w:rsidP="00AC47E2">
      <w:pPr>
        <w:spacing w:after="0" w:line="240" w:lineRule="auto"/>
        <w:jc w:val="both"/>
        <w:rPr>
          <w:rFonts w:ascii="Verdana" w:eastAsia="Calibri" w:hAnsi="Verdana" w:cs="Arial"/>
          <w:color w:val="000000"/>
          <w:sz w:val="20"/>
        </w:rPr>
      </w:pPr>
    </w:p>
    <w:p w14:paraId="0AB0FBC8" w14:textId="77777777" w:rsidR="00A41D37" w:rsidRPr="00A07EBF" w:rsidRDefault="00A41D37" w:rsidP="00AC47E2">
      <w:pPr>
        <w:spacing w:after="0" w:line="240" w:lineRule="auto"/>
        <w:jc w:val="both"/>
        <w:rPr>
          <w:rFonts w:ascii="Verdana" w:eastAsia="Calibri" w:hAnsi="Verdana" w:cs="Arial"/>
          <w:color w:val="000000"/>
          <w:sz w:val="20"/>
        </w:rPr>
      </w:pPr>
      <w:r w:rsidRPr="00A07EBF">
        <w:rPr>
          <w:rFonts w:ascii="Verdana" w:eastAsia="Calibri" w:hAnsi="Verdana" w:cs="Arial"/>
          <w:color w:val="000000"/>
          <w:sz w:val="20"/>
        </w:rPr>
        <w:t xml:space="preserve">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 Sobre el particular, la Sala concluyó que contratos y convenios interadministrativos son figuras distintas en naturaleza, objeto y efectos, pues mientras los contratos implican obligaciones patrimoniales y contraprestación, los </w:t>
      </w:r>
      <w:r w:rsidRPr="00A07EBF">
        <w:rPr>
          <w:rFonts w:ascii="Verdana" w:eastAsia="Calibri" w:hAnsi="Verdana" w:cs="Arial"/>
          <w:color w:val="000000"/>
          <w:sz w:val="20"/>
        </w:rPr>
        <w:lastRenderedPageBreak/>
        <w:t xml:space="preserve">convenios se basan en cooperación sin ánimo económico. Por ello, la restricción legal no podía aplicarse extensivamente a los contratos. </w:t>
      </w:r>
    </w:p>
    <w:p w14:paraId="42B7E16D" w14:textId="77777777" w:rsidR="00A41D37" w:rsidRPr="00A07EBF" w:rsidRDefault="00A41D37" w:rsidP="00AC47E2">
      <w:pPr>
        <w:spacing w:after="0" w:line="240" w:lineRule="auto"/>
        <w:jc w:val="both"/>
        <w:rPr>
          <w:rFonts w:ascii="Verdana" w:eastAsia="Calibri" w:hAnsi="Verdana" w:cs="Arial"/>
          <w:color w:val="000000"/>
          <w:sz w:val="20"/>
        </w:rPr>
      </w:pPr>
    </w:p>
    <w:p w14:paraId="234FEE29" w14:textId="77777777" w:rsidR="00A41D37" w:rsidRPr="00A07EBF" w:rsidRDefault="00A41D37" w:rsidP="00AC47E2">
      <w:pPr>
        <w:spacing w:after="0" w:line="240" w:lineRule="auto"/>
        <w:jc w:val="both"/>
        <w:rPr>
          <w:rFonts w:ascii="Verdana" w:eastAsia="Calibri" w:hAnsi="Verdana" w:cs="Arial"/>
          <w:color w:val="000000"/>
          <w:sz w:val="20"/>
        </w:rPr>
      </w:pPr>
      <w:r w:rsidRPr="00A07EBF">
        <w:rPr>
          <w:rFonts w:ascii="Verdana" w:eastAsia="Calibri" w:hAnsi="Verdana" w:cs="Arial"/>
          <w:color w:val="000000"/>
          <w:sz w:val="20"/>
        </w:rPr>
        <w:t xml:space="preserve">A juicio de la Sala, aunque el propósito de la Circular Externa era legítimo –evitar el uso indebido de recursos en época electoral–, el numeral 16.2. desconoció el alcance literal del artículo 38 de la Ley 996 de 2005 y los límites de la potestad reglamentaria, lo que configuró un vicio de contenido. Así las cosas, a la luz de lo expuesto por el Consejo de Estado, en la sentencia expedida por la Sección Tercera de la Sala de lo Contencioso Administrativo del 17 de octubre de 2025, en los autos del 4 de octubre de 2024 y 6 de noviembre de 2025, no resultaría aplicable la prohibición del parágrafo del artículo 38 de la Ley de Garantías Electorales a los </w:t>
      </w:r>
      <w:r w:rsidRPr="00A07EBF">
        <w:rPr>
          <w:rFonts w:ascii="Verdana" w:eastAsia="Calibri" w:hAnsi="Verdana" w:cs="Arial"/>
          <w:i/>
          <w:iCs/>
          <w:color w:val="000000"/>
          <w:sz w:val="20"/>
        </w:rPr>
        <w:t>contratos interadministrativos</w:t>
      </w:r>
      <w:r w:rsidRPr="00A07EBF">
        <w:rPr>
          <w:rFonts w:ascii="Verdana" w:eastAsia="Calibri" w:hAnsi="Verdana" w:cs="Arial"/>
          <w:color w:val="000000"/>
          <w:sz w:val="20"/>
        </w:rPr>
        <w:t xml:space="preserve">, esta prohibición solo aplicaría a los convenios interadministrativos que impliquen la ejecución de recursos públicos. Conforme a lo señalado por el Consejo de Estado, cuando dos entidades públicas celebren un </w:t>
      </w:r>
      <w:r w:rsidRPr="00A07EBF">
        <w:rPr>
          <w:rFonts w:ascii="Verdana" w:eastAsia="Calibri" w:hAnsi="Verdana" w:cs="Arial"/>
          <w:i/>
          <w:iCs/>
          <w:color w:val="000000"/>
          <w:sz w:val="20"/>
        </w:rPr>
        <w:t>contrato interadministrativo,</w:t>
      </w:r>
      <w:r w:rsidRPr="00A07EBF">
        <w:rPr>
          <w:rFonts w:ascii="Verdana" w:eastAsia="Calibri" w:hAnsi="Verdana" w:cs="Arial"/>
          <w:color w:val="000000"/>
          <w:sz w:val="20"/>
        </w:rPr>
        <w:t xml:space="preserve"> independientemente del objeto, dicho contrato puede suscribirse durante el periodo preelectoral.</w:t>
      </w:r>
    </w:p>
    <w:p w14:paraId="5E607CFE" w14:textId="52342868" w:rsidR="00A41D37" w:rsidRPr="00A41D37" w:rsidRDefault="00A41D37" w:rsidP="00AC47E2">
      <w:pPr>
        <w:spacing w:after="0" w:line="240" w:lineRule="auto"/>
        <w:jc w:val="both"/>
        <w:rPr>
          <w:rFonts w:ascii="Verdana" w:eastAsia="Verdana" w:hAnsi="Verdana" w:cs="Verdana"/>
          <w:b/>
        </w:rPr>
      </w:pPr>
    </w:p>
    <w:p w14:paraId="2E589A3C" w14:textId="77777777" w:rsidR="00A41D37" w:rsidRPr="00A41D37" w:rsidRDefault="00A41D37" w:rsidP="00AC47E2">
      <w:pPr>
        <w:spacing w:after="0" w:line="240" w:lineRule="auto"/>
        <w:jc w:val="both"/>
        <w:rPr>
          <w:rFonts w:ascii="Verdana" w:eastAsia="Verdana" w:hAnsi="Verdana" w:cs="Verdana"/>
          <w:b/>
          <w:bCs/>
          <w:lang w:val="es-ES_tradnl"/>
        </w:rPr>
      </w:pPr>
      <w:r w:rsidRPr="00A41D37">
        <w:rPr>
          <w:rFonts w:ascii="Verdana" w:eastAsia="Verdana" w:hAnsi="Verdana" w:cs="Verdana"/>
          <w:b/>
          <w:bCs/>
          <w:lang w:val="es-ES_tradnl"/>
        </w:rPr>
        <w:t xml:space="preserve">CONTRATO DE ARRENDAMIENTO – Definición – Características </w:t>
      </w:r>
    </w:p>
    <w:p w14:paraId="03432D7E" w14:textId="77777777" w:rsidR="00A41D37" w:rsidRPr="00A41D37" w:rsidRDefault="00A41D37" w:rsidP="00AC47E2">
      <w:pPr>
        <w:spacing w:after="0" w:line="240" w:lineRule="auto"/>
        <w:jc w:val="both"/>
        <w:rPr>
          <w:rFonts w:ascii="Verdana" w:eastAsia="Verdana" w:hAnsi="Verdana" w:cs="Verdana"/>
          <w:bCs/>
          <w:sz w:val="20"/>
          <w:lang w:val="es-ES_tradnl"/>
        </w:rPr>
      </w:pPr>
    </w:p>
    <w:p w14:paraId="3B130B5F" w14:textId="60342992" w:rsidR="00A41D37" w:rsidRDefault="00A41D37" w:rsidP="00AC47E2">
      <w:pPr>
        <w:spacing w:after="0" w:line="240" w:lineRule="auto"/>
        <w:jc w:val="both"/>
        <w:rPr>
          <w:rFonts w:ascii="Verdana" w:eastAsia="Verdana" w:hAnsi="Verdana" w:cs="Verdana"/>
          <w:bCs/>
          <w:sz w:val="20"/>
        </w:rPr>
      </w:pPr>
      <w:r w:rsidRPr="00A41D37">
        <w:rPr>
          <w:rFonts w:ascii="Verdana" w:eastAsia="Verdana" w:hAnsi="Verdana" w:cs="Verdana"/>
          <w:bCs/>
          <w:sz w:val="20"/>
        </w:rPr>
        <w:t>El artículo 1973 del Código Civil define el arrendamiento como “[…] un contrato en que las dos partes se obligan recíprocamente, la una a conceder el goce de una cosa, o a ejecutar una obra o prestar un servicio, y la otra a pagar por este goce, obra o servicio un precio determinado”. Se trata pues del acuerdo de voluntades en virtud del cual una de las partes –llamada arrendador– se obliga a concederle a otra –llamada arrendatario– el uso y goce de un bien, a cambio de una renta o canon. Por tanto, se diferencia del contrato de compraventa en que no opera una transferencia del dominio del bien cuyo uso y goce se entrega.</w:t>
      </w:r>
    </w:p>
    <w:p w14:paraId="4C2BAB7E" w14:textId="77777777" w:rsidR="00A41D37" w:rsidRPr="00A41D37" w:rsidRDefault="00A41D37" w:rsidP="00AC47E2">
      <w:pPr>
        <w:spacing w:after="0" w:line="240" w:lineRule="auto"/>
        <w:jc w:val="both"/>
        <w:rPr>
          <w:rFonts w:ascii="Verdana" w:eastAsia="Verdana" w:hAnsi="Verdana" w:cs="Verdana"/>
          <w:bCs/>
          <w:sz w:val="20"/>
        </w:rPr>
      </w:pPr>
    </w:p>
    <w:p w14:paraId="64A80371" w14:textId="58C5FBE4" w:rsidR="00A41D37" w:rsidRPr="00A41D37" w:rsidRDefault="00A41D37" w:rsidP="00AC47E2">
      <w:pPr>
        <w:spacing w:after="0" w:line="240" w:lineRule="auto"/>
        <w:jc w:val="both"/>
        <w:rPr>
          <w:rFonts w:ascii="Verdana" w:eastAsia="Verdana" w:hAnsi="Verdana" w:cs="Verdana"/>
          <w:bCs/>
          <w:sz w:val="20"/>
          <w:lang w:val="es-ES"/>
        </w:rPr>
      </w:pPr>
      <w:r w:rsidRPr="00A41D37">
        <w:rPr>
          <w:rFonts w:ascii="Verdana" w:eastAsia="Verdana" w:hAnsi="Verdana" w:cs="Verdana"/>
          <w:bCs/>
          <w:sz w:val="20"/>
          <w:lang w:val="es-ES"/>
        </w:rPr>
        <w:t xml:space="preserve">En cuanto a sus características, la doctrina ha indicado que el arrendamiento es un contrato: i) bilateral, pues ambas partes se obligan recíprocamente; </w:t>
      </w:r>
      <w:proofErr w:type="spellStart"/>
      <w:r w:rsidRPr="00A41D37">
        <w:rPr>
          <w:rFonts w:ascii="Verdana" w:eastAsia="Verdana" w:hAnsi="Verdana" w:cs="Verdana"/>
          <w:bCs/>
          <w:sz w:val="20"/>
          <w:lang w:val="es-ES"/>
        </w:rPr>
        <w:t>ii</w:t>
      </w:r>
      <w:proofErr w:type="spellEnd"/>
      <w:r w:rsidRPr="00A41D37">
        <w:rPr>
          <w:rFonts w:ascii="Verdana" w:eastAsia="Verdana" w:hAnsi="Verdana" w:cs="Verdana"/>
          <w:bCs/>
          <w:sz w:val="20"/>
          <w:lang w:val="es-ES"/>
        </w:rPr>
        <w:t xml:space="preserve">) consensual, dado que se perfecciona con el consentimiento; </w:t>
      </w:r>
      <w:proofErr w:type="spellStart"/>
      <w:r w:rsidRPr="00A41D37">
        <w:rPr>
          <w:rFonts w:ascii="Verdana" w:eastAsia="Verdana" w:hAnsi="Verdana" w:cs="Verdana"/>
          <w:bCs/>
          <w:sz w:val="20"/>
          <w:lang w:val="es-ES"/>
        </w:rPr>
        <w:t>iii</w:t>
      </w:r>
      <w:proofErr w:type="spellEnd"/>
      <w:r w:rsidRPr="00A41D37">
        <w:rPr>
          <w:rFonts w:ascii="Verdana" w:eastAsia="Verdana" w:hAnsi="Verdana" w:cs="Verdana"/>
          <w:bCs/>
          <w:sz w:val="20"/>
          <w:lang w:val="es-ES"/>
        </w:rPr>
        <w:t xml:space="preserve">) oneroso, ya que ambas partes obtienen utilidades –el arrendatario, el uso y goce del bien, y el arrendador la renta o canon–; </w:t>
      </w:r>
      <w:proofErr w:type="spellStart"/>
      <w:r w:rsidRPr="00A41D37">
        <w:rPr>
          <w:rFonts w:ascii="Verdana" w:eastAsia="Verdana" w:hAnsi="Verdana" w:cs="Verdana"/>
          <w:bCs/>
          <w:sz w:val="20"/>
          <w:lang w:val="es-ES"/>
        </w:rPr>
        <w:t>iv</w:t>
      </w:r>
      <w:proofErr w:type="spellEnd"/>
      <w:r w:rsidRPr="00A41D37">
        <w:rPr>
          <w:rFonts w:ascii="Verdana" w:eastAsia="Verdana" w:hAnsi="Verdana" w:cs="Verdana"/>
          <w:bCs/>
          <w:sz w:val="20"/>
          <w:lang w:val="es-ES"/>
        </w:rPr>
        <w:t xml:space="preserve">) de ejecución sucesiva, en la medida en que se ejecuta en forma periódica; v) principal, porque existe en forma autónoma; y v) nominado, porque está tipificado y desarrollado en la ley. </w:t>
      </w:r>
    </w:p>
    <w:p w14:paraId="6CB82318" w14:textId="77777777" w:rsidR="00A41D37" w:rsidRPr="00A41D37" w:rsidRDefault="00A41D37" w:rsidP="00AC47E2">
      <w:pPr>
        <w:spacing w:after="0" w:line="240" w:lineRule="auto"/>
        <w:jc w:val="both"/>
        <w:rPr>
          <w:rFonts w:ascii="Verdana" w:eastAsia="Verdana" w:hAnsi="Verdana" w:cs="Verdana"/>
          <w:b/>
          <w:bCs/>
          <w:lang w:val="es-ES"/>
        </w:rPr>
      </w:pPr>
    </w:p>
    <w:p w14:paraId="61DF7595" w14:textId="77777777" w:rsidR="00A41D37" w:rsidRPr="00A41D37" w:rsidRDefault="00A41D37" w:rsidP="00AC47E2">
      <w:pPr>
        <w:spacing w:after="0" w:line="240" w:lineRule="auto"/>
        <w:jc w:val="both"/>
        <w:rPr>
          <w:rFonts w:ascii="Verdana" w:eastAsia="Verdana" w:hAnsi="Verdana" w:cs="Verdana"/>
          <w:b/>
          <w:bCs/>
          <w:lang w:val="es-ES_tradnl"/>
        </w:rPr>
      </w:pPr>
      <w:r w:rsidRPr="00A41D37">
        <w:rPr>
          <w:rFonts w:ascii="Verdana" w:eastAsia="Verdana" w:hAnsi="Verdana" w:cs="Verdana"/>
          <w:b/>
          <w:bCs/>
          <w:lang w:val="es-ES_tradnl"/>
        </w:rPr>
        <w:t xml:space="preserve">CONTRATO DE ARRENDAMIENTO – Procedencia – Restricción – Contratación Directa – Artículo 33 </w:t>
      </w:r>
    </w:p>
    <w:p w14:paraId="66A14FC0" w14:textId="77777777" w:rsidR="00A41D37" w:rsidRPr="00A41D37" w:rsidRDefault="00A41D37" w:rsidP="00AC47E2">
      <w:pPr>
        <w:spacing w:after="0" w:line="240" w:lineRule="auto"/>
        <w:jc w:val="both"/>
        <w:rPr>
          <w:rFonts w:ascii="Verdana" w:eastAsia="Verdana" w:hAnsi="Verdana" w:cs="Verdana"/>
          <w:b/>
          <w:bCs/>
          <w:lang w:val="es-ES_tradnl"/>
        </w:rPr>
      </w:pPr>
    </w:p>
    <w:p w14:paraId="32FAE2C7" w14:textId="77777777" w:rsidR="00A41D37" w:rsidRPr="00A41D37" w:rsidRDefault="00A41D37" w:rsidP="00AC47E2">
      <w:pPr>
        <w:spacing w:after="0" w:line="240" w:lineRule="auto"/>
        <w:jc w:val="both"/>
        <w:rPr>
          <w:rFonts w:ascii="Verdana" w:eastAsia="Verdana" w:hAnsi="Verdana" w:cs="Verdana"/>
          <w:bCs/>
          <w:sz w:val="20"/>
          <w:lang w:val="es-MX"/>
        </w:rPr>
      </w:pPr>
      <w:r w:rsidRPr="00A41D37">
        <w:rPr>
          <w:rFonts w:ascii="Verdana" w:eastAsia="Verdana" w:hAnsi="Verdana" w:cs="Verdana"/>
          <w:bCs/>
          <w:sz w:val="20"/>
        </w:rPr>
        <w:t xml:space="preserve">Bajo esta lógica, no es posible que la entidad estatal en calidad de arrendadora de un bien inmueble pueda suscribir un contrato de arrendamiento, pues se encuentra dentro de la restricción del artículo 33 de la Ley 996 de 2005, la cual </w:t>
      </w:r>
      <w:r w:rsidRPr="00A41D37">
        <w:rPr>
          <w:rFonts w:ascii="Verdana" w:eastAsia="Verdana" w:hAnsi="Verdana" w:cs="Verdana"/>
          <w:bCs/>
          <w:sz w:val="20"/>
          <w:lang w:val="es-MX"/>
        </w:rPr>
        <w:t xml:space="preserve">prohíbe adelantar cualquier forma de contratación directa, entendida como todo mecanismo no competitivo. Es decir, dicha restricción aplica en aquellos supuestos, en los que se pretenda celebrar contratos de arrendamiento de bienes inmuebles de forma directa, ya sea en calidad de arrendadora o de arrendataria, conforme a la causal de contratación directa </w:t>
      </w:r>
      <w:r w:rsidRPr="00A41D37">
        <w:rPr>
          <w:rFonts w:ascii="Verdana" w:eastAsia="Verdana" w:hAnsi="Verdana" w:cs="Verdana"/>
          <w:bCs/>
          <w:sz w:val="20"/>
        </w:rPr>
        <w:t xml:space="preserve">del artículo </w:t>
      </w:r>
      <w:r w:rsidRPr="00A41D37">
        <w:rPr>
          <w:rFonts w:ascii="Verdana" w:eastAsia="Verdana" w:hAnsi="Verdana" w:cs="Verdana"/>
          <w:bCs/>
          <w:sz w:val="20"/>
        </w:rPr>
        <w:lastRenderedPageBreak/>
        <w:t>2º, numeral 4° literal i) de la Ley 1150 de 2007.</w:t>
      </w:r>
      <w:r w:rsidRPr="00A41D37">
        <w:rPr>
          <w:rFonts w:ascii="Verdana" w:eastAsia="Verdana" w:hAnsi="Verdana" w:cs="Verdana"/>
          <w:bCs/>
          <w:sz w:val="20"/>
          <w:lang w:val="es-MX"/>
        </w:rPr>
        <w:t xml:space="preserve"> En este sentido, todos los entes del Estado, independiente del régimen jurídico aplicable, están sujetos a la restricción del artículo 33 de la Ley 996 de 2005, es decir, no podrán adelantar sistema que implique contratación directa respecto de las elecciones presidenciales, dentro de los cuatro (4) meses anteriores a la celebración de dichos comicios. </w:t>
      </w:r>
    </w:p>
    <w:p w14:paraId="025640B9" w14:textId="77777777" w:rsidR="00A41D37" w:rsidRPr="00A41D37" w:rsidRDefault="00A41D37" w:rsidP="00AC47E2">
      <w:pPr>
        <w:spacing w:after="0" w:line="240" w:lineRule="auto"/>
        <w:jc w:val="both"/>
        <w:rPr>
          <w:rFonts w:ascii="Verdana" w:eastAsia="Verdana" w:hAnsi="Verdana" w:cs="Verdana"/>
          <w:b/>
          <w:bCs/>
          <w:lang w:val="es-MX"/>
        </w:rPr>
      </w:pPr>
    </w:p>
    <w:p w14:paraId="35FF0555" w14:textId="1148182D" w:rsidR="00A41D37" w:rsidRPr="00A41D37" w:rsidRDefault="00A41D37" w:rsidP="00AC47E2">
      <w:pPr>
        <w:spacing w:after="0" w:line="240" w:lineRule="auto"/>
        <w:jc w:val="both"/>
        <w:rPr>
          <w:rFonts w:ascii="Verdana" w:eastAsia="Verdana" w:hAnsi="Verdana" w:cs="Verdana"/>
          <w:b/>
          <w:bCs/>
          <w:lang w:val="es-ES_tradnl"/>
        </w:rPr>
      </w:pPr>
      <w:r w:rsidRPr="00A41D37">
        <w:rPr>
          <w:rFonts w:ascii="Verdana" w:eastAsia="Verdana" w:hAnsi="Verdana" w:cs="Verdana"/>
          <w:b/>
          <w:bCs/>
          <w:lang w:val="es-ES_tradnl"/>
        </w:rPr>
        <w:t>CONTRATO DE ARRENDAMIENTO – No procedencia – Revisión – Artículo 38 – Convenios Interadministrativos – Restricción – Contratos Interadministrativos – Artículo 33</w:t>
      </w:r>
    </w:p>
    <w:p w14:paraId="15D43AC3" w14:textId="15966157" w:rsidR="00A41D37" w:rsidRDefault="00A41D37" w:rsidP="00AC47E2">
      <w:pPr>
        <w:spacing w:after="0" w:line="240" w:lineRule="auto"/>
        <w:rPr>
          <w:rFonts w:ascii="Verdana" w:eastAsia="Verdana" w:hAnsi="Verdana" w:cs="Verdana"/>
          <w:bCs/>
          <w:lang w:val="es-ES_tradnl"/>
        </w:rPr>
      </w:pPr>
    </w:p>
    <w:p w14:paraId="7FA005E5" w14:textId="4F5A48E3" w:rsidR="00F12FAC" w:rsidRDefault="00F12FAC" w:rsidP="00AC47E2">
      <w:pPr>
        <w:spacing w:after="0" w:line="240" w:lineRule="auto"/>
        <w:jc w:val="both"/>
        <w:rPr>
          <w:rFonts w:ascii="Verdana" w:eastAsia="Verdana" w:hAnsi="Verdana" w:cs="Verdana"/>
          <w:bCs/>
          <w:sz w:val="20"/>
        </w:rPr>
      </w:pPr>
      <w:r w:rsidRPr="00F12FAC">
        <w:rPr>
          <w:rFonts w:ascii="Verdana" w:eastAsia="Verdana" w:hAnsi="Verdana" w:cs="Verdana"/>
          <w:bCs/>
          <w:sz w:val="20"/>
        </w:rPr>
        <w:t>De igual manera, resulta pertinente precisar que los contratos de arrendamiento de bienes inmuebles no encajan en la restricción del artículo 38 de la Ley 996 de 2005, la cual establece la prohibición de celebrar convenios interadministrativos para la ejecución de recursos públicos por parte de alcaldes, gobernadores, secretarios, gerentes y directores de entidades del orden municipal, departamental o distrital. Por tanto, esta limitación no afecta directamente la relación bilateral propia del contrato de arrendamiento, sino únicamente convenios de naturaleza asociativa o cooperativa, en que dos o más partes aúnan esfuerzos para un objetivo común.</w:t>
      </w:r>
    </w:p>
    <w:p w14:paraId="55AB14EA" w14:textId="77777777" w:rsidR="00F12FAC" w:rsidRPr="00F12FAC" w:rsidRDefault="00F12FAC" w:rsidP="00AC47E2">
      <w:pPr>
        <w:spacing w:after="0" w:line="240" w:lineRule="auto"/>
        <w:jc w:val="both"/>
        <w:rPr>
          <w:rFonts w:ascii="Verdana" w:eastAsia="Verdana" w:hAnsi="Verdana" w:cs="Verdana"/>
          <w:bCs/>
          <w:sz w:val="20"/>
        </w:rPr>
      </w:pPr>
    </w:p>
    <w:p w14:paraId="390F0F4A" w14:textId="77777777" w:rsidR="00F12FAC" w:rsidRPr="00F12FAC" w:rsidRDefault="00F12FAC" w:rsidP="00AC47E2">
      <w:pPr>
        <w:spacing w:after="0" w:line="240" w:lineRule="auto"/>
        <w:jc w:val="both"/>
        <w:rPr>
          <w:rFonts w:ascii="Verdana" w:eastAsia="Verdana" w:hAnsi="Verdana" w:cs="Verdana"/>
          <w:bCs/>
          <w:sz w:val="20"/>
        </w:rPr>
      </w:pPr>
      <w:r w:rsidRPr="00F12FAC">
        <w:rPr>
          <w:rFonts w:ascii="Verdana" w:eastAsia="Verdana" w:hAnsi="Verdana" w:cs="Verdana"/>
          <w:bCs/>
          <w:sz w:val="20"/>
        </w:rPr>
        <w:t>Sin embargo, cabe destacar que, tratándose de un contrato interadministrativo de arrendamiento, este también se encuentra sujeto a la restricción prevista en el artículo 33, siempre que se celebre mediante la modalidad de contratación directa. En consecuencia, cualquier contrato de arrendamiento de bienes inmuebles suscrito por entidades estatales bajo esta forma, dentro de los cuatro meses anteriores a las elecciones presidenciales —programadas para el 31 de mayo de 2026—, así como respecto de una eventual segunda vuelta prevista para el 21 de junio del mismo año, quedará igualmente comprendido en dicha limitación.</w:t>
      </w:r>
    </w:p>
    <w:p w14:paraId="4520F86F" w14:textId="1EF84AB6" w:rsidR="00A41D37" w:rsidRPr="00F12FAC" w:rsidRDefault="00A41D37" w:rsidP="00AC47E2">
      <w:pPr>
        <w:spacing w:after="0" w:line="240" w:lineRule="auto"/>
        <w:rPr>
          <w:rFonts w:ascii="Verdana" w:eastAsia="Verdana" w:hAnsi="Verdana" w:cs="Verdana"/>
          <w:bCs/>
        </w:rPr>
      </w:pPr>
    </w:p>
    <w:p w14:paraId="3656D886" w14:textId="38B91BF6" w:rsidR="00A41D37" w:rsidRDefault="00A41D37" w:rsidP="00AC47E2">
      <w:pPr>
        <w:spacing w:after="0" w:line="240" w:lineRule="auto"/>
        <w:rPr>
          <w:rFonts w:ascii="Verdana" w:eastAsia="Verdana" w:hAnsi="Verdana" w:cs="Verdana"/>
        </w:rPr>
      </w:pPr>
    </w:p>
    <w:p w14:paraId="30728D7A" w14:textId="7BEBAA9C" w:rsidR="00F12FAC" w:rsidRDefault="00F12FAC" w:rsidP="00AC47E2">
      <w:pPr>
        <w:spacing w:after="0" w:line="240" w:lineRule="auto"/>
        <w:rPr>
          <w:rFonts w:ascii="Verdana" w:eastAsia="Verdana" w:hAnsi="Verdana" w:cs="Verdana"/>
        </w:rPr>
      </w:pPr>
    </w:p>
    <w:p w14:paraId="1AFD28F2" w14:textId="52A32295" w:rsidR="00F12FAC" w:rsidRDefault="00F12FAC" w:rsidP="00AC47E2">
      <w:pPr>
        <w:spacing w:after="0" w:line="240" w:lineRule="auto"/>
        <w:rPr>
          <w:rFonts w:ascii="Verdana" w:eastAsia="Verdana" w:hAnsi="Verdana" w:cs="Verdana"/>
        </w:rPr>
      </w:pPr>
    </w:p>
    <w:p w14:paraId="577297DA" w14:textId="241704CC" w:rsidR="00F12FAC" w:rsidRDefault="00F12FAC" w:rsidP="00AC47E2">
      <w:pPr>
        <w:spacing w:after="0" w:line="240" w:lineRule="auto"/>
        <w:rPr>
          <w:rFonts w:ascii="Verdana" w:eastAsia="Verdana" w:hAnsi="Verdana" w:cs="Verdana"/>
        </w:rPr>
      </w:pPr>
    </w:p>
    <w:p w14:paraId="221FD9A8" w14:textId="3138E9DC" w:rsidR="00F12FAC" w:rsidRDefault="00F12FAC" w:rsidP="00AC47E2">
      <w:pPr>
        <w:spacing w:after="0" w:line="240" w:lineRule="auto"/>
        <w:rPr>
          <w:rFonts w:ascii="Verdana" w:eastAsia="Verdana" w:hAnsi="Verdana" w:cs="Verdana"/>
        </w:rPr>
      </w:pPr>
    </w:p>
    <w:p w14:paraId="6F706633" w14:textId="0D19C050" w:rsidR="00F12FAC" w:rsidRDefault="00F12FAC" w:rsidP="00A41D37">
      <w:pPr>
        <w:spacing w:after="0" w:line="240" w:lineRule="auto"/>
        <w:rPr>
          <w:rFonts w:ascii="Verdana" w:eastAsia="Verdana" w:hAnsi="Verdana" w:cs="Verdana"/>
        </w:rPr>
      </w:pPr>
    </w:p>
    <w:p w14:paraId="2FF36440" w14:textId="0E15FA9E" w:rsidR="00F12FAC" w:rsidRDefault="00F12FAC" w:rsidP="00A41D37">
      <w:pPr>
        <w:spacing w:after="0" w:line="240" w:lineRule="auto"/>
        <w:rPr>
          <w:rFonts w:ascii="Verdana" w:eastAsia="Verdana" w:hAnsi="Verdana" w:cs="Verdana"/>
        </w:rPr>
      </w:pPr>
    </w:p>
    <w:p w14:paraId="7C3C2A8E" w14:textId="3B2D0972" w:rsidR="00F12FAC" w:rsidRDefault="00F12FAC" w:rsidP="00A41D37">
      <w:pPr>
        <w:spacing w:after="0" w:line="240" w:lineRule="auto"/>
        <w:rPr>
          <w:rFonts w:ascii="Verdana" w:eastAsia="Verdana" w:hAnsi="Verdana" w:cs="Verdana"/>
        </w:rPr>
      </w:pPr>
    </w:p>
    <w:p w14:paraId="49D031DB" w14:textId="5F33B155" w:rsidR="00F12FAC" w:rsidRDefault="00F12FAC" w:rsidP="00A41D37">
      <w:pPr>
        <w:spacing w:after="0" w:line="240" w:lineRule="auto"/>
        <w:rPr>
          <w:rFonts w:ascii="Verdana" w:eastAsia="Verdana" w:hAnsi="Verdana" w:cs="Verdana"/>
        </w:rPr>
      </w:pPr>
    </w:p>
    <w:p w14:paraId="5D26FB3E" w14:textId="77E634DB" w:rsidR="00F12FAC" w:rsidRDefault="00F12FAC" w:rsidP="00A41D37">
      <w:pPr>
        <w:spacing w:after="0" w:line="240" w:lineRule="auto"/>
        <w:rPr>
          <w:rFonts w:ascii="Verdana" w:eastAsia="Verdana" w:hAnsi="Verdana" w:cs="Verdana"/>
        </w:rPr>
      </w:pPr>
    </w:p>
    <w:p w14:paraId="5586AA98" w14:textId="0F6CF1AC" w:rsidR="00F12FAC" w:rsidRDefault="00F12FAC" w:rsidP="00A41D37">
      <w:pPr>
        <w:spacing w:after="0" w:line="240" w:lineRule="auto"/>
        <w:rPr>
          <w:rFonts w:ascii="Verdana" w:eastAsia="Verdana" w:hAnsi="Verdana" w:cs="Verdana"/>
        </w:rPr>
      </w:pPr>
    </w:p>
    <w:p w14:paraId="618018CB" w14:textId="639E3352" w:rsidR="00F12FAC" w:rsidRDefault="00F12FAC" w:rsidP="00A41D37">
      <w:pPr>
        <w:spacing w:after="0" w:line="240" w:lineRule="auto"/>
        <w:rPr>
          <w:rFonts w:ascii="Verdana" w:eastAsia="Verdana" w:hAnsi="Verdana" w:cs="Verdana"/>
        </w:rPr>
      </w:pPr>
    </w:p>
    <w:p w14:paraId="4723CF58" w14:textId="09A70EC6" w:rsidR="00F12FAC" w:rsidRDefault="00F12FAC" w:rsidP="00A41D37">
      <w:pPr>
        <w:spacing w:after="0" w:line="240" w:lineRule="auto"/>
        <w:rPr>
          <w:rFonts w:ascii="Verdana" w:eastAsia="Verdana" w:hAnsi="Verdana" w:cs="Verdana"/>
        </w:rPr>
      </w:pPr>
    </w:p>
    <w:p w14:paraId="68EE8789" w14:textId="1687DB2E" w:rsidR="00F12FAC" w:rsidRDefault="00F12FAC" w:rsidP="00A41D37">
      <w:pPr>
        <w:spacing w:after="0" w:line="240" w:lineRule="auto"/>
        <w:rPr>
          <w:rFonts w:ascii="Verdana" w:eastAsia="Verdana" w:hAnsi="Verdana" w:cs="Verdana"/>
        </w:rPr>
      </w:pPr>
    </w:p>
    <w:p w14:paraId="7728ACD1" w14:textId="1CD3CEAF" w:rsidR="00F12FAC" w:rsidRPr="00A41D37" w:rsidRDefault="00F12FAC" w:rsidP="00A41D37">
      <w:pPr>
        <w:spacing w:after="0" w:line="240" w:lineRule="auto"/>
        <w:rPr>
          <w:rFonts w:ascii="Verdana" w:eastAsia="Verdana" w:hAnsi="Verdana" w:cs="Verdana"/>
        </w:rPr>
      </w:pPr>
    </w:p>
    <w:p w14:paraId="637605A4" w14:textId="63045F0F" w:rsidR="006803AB" w:rsidRPr="00920937" w:rsidRDefault="00920937" w:rsidP="00A41D37">
      <w:pPr>
        <w:spacing w:after="0" w:line="240" w:lineRule="auto"/>
        <w:rPr>
          <w:rFonts w:ascii="Verdana" w:hAnsi="Verdana"/>
        </w:rPr>
      </w:pPr>
      <w:r w:rsidRPr="00920937">
        <w:rPr>
          <w:rFonts w:ascii="Verdana" w:hAnsi="Verdana"/>
          <w:noProof/>
          <w:lang w:val="en-US"/>
        </w:rPr>
        <w:lastRenderedPageBreak/>
        <w:drawing>
          <wp:anchor distT="0" distB="0" distL="114300" distR="114300" simplePos="0" relativeHeight="251658240" behindDoc="0" locked="0" layoutInCell="1" allowOverlap="1" wp14:anchorId="5A3DB784" wp14:editId="5A587DEB">
            <wp:simplePos x="0" y="0"/>
            <wp:positionH relativeFrom="column">
              <wp:posOffset>2794000</wp:posOffset>
            </wp:positionH>
            <wp:positionV relativeFrom="paragraph">
              <wp:posOffset>203200</wp:posOffset>
            </wp:positionV>
            <wp:extent cx="2799080" cy="772160"/>
            <wp:effectExtent l="0" t="0" r="1270" b="889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99080" cy="772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41D37">
        <w:rPr>
          <w:rFonts w:ascii="Verdana" w:eastAsia="Verdana" w:hAnsi="Verdana" w:cs="Verdana"/>
        </w:rPr>
        <w:t>Bogotá D.C., 23 de febrero de 2026</w:t>
      </w:r>
      <w:r w:rsidR="006803AB">
        <w:tab/>
      </w:r>
      <w:r w:rsidR="006803AB">
        <w:br/>
      </w:r>
    </w:p>
    <w:p w14:paraId="41C340AA" w14:textId="77777777" w:rsidR="006803AB" w:rsidRPr="009B39AC" w:rsidRDefault="006803AB" w:rsidP="00A41D37">
      <w:pPr>
        <w:spacing w:after="0" w:line="240" w:lineRule="auto"/>
        <w:rPr>
          <w:rFonts w:ascii="Verdana" w:hAnsi="Verdana"/>
        </w:rPr>
      </w:pPr>
    </w:p>
    <w:p w14:paraId="7A949CA9" w14:textId="77777777" w:rsidR="006803AB" w:rsidRPr="000C555D" w:rsidRDefault="006803AB" w:rsidP="00A41D37">
      <w:pPr>
        <w:spacing w:after="0" w:line="240" w:lineRule="auto"/>
        <w:jc w:val="both"/>
        <w:rPr>
          <w:rFonts w:ascii="Verdana" w:eastAsia="Calibri" w:hAnsi="Verdana" w:cs="Arial"/>
          <w:lang w:val="es-ES" w:eastAsia="es-ES"/>
        </w:rPr>
      </w:pPr>
      <w:r>
        <w:rPr>
          <w:rFonts w:ascii="Verdana" w:eastAsia="Calibri" w:hAnsi="Verdana" w:cs="Arial"/>
          <w:lang w:val="es-ES" w:eastAsia="es-ES"/>
        </w:rPr>
        <w:t>Doctora</w:t>
      </w:r>
    </w:p>
    <w:p w14:paraId="324AF69B" w14:textId="77777777" w:rsidR="006803AB" w:rsidRPr="005A1150" w:rsidRDefault="006803AB" w:rsidP="00A41D37">
      <w:pPr>
        <w:spacing w:after="0" w:line="240" w:lineRule="auto"/>
        <w:rPr>
          <w:rFonts w:ascii="Verdana" w:eastAsia="Calibri" w:hAnsi="Verdana" w:cs="Arial"/>
          <w:b/>
          <w:bCs/>
          <w:color w:val="000000"/>
          <w:lang w:val="es-ES_tradnl" w:eastAsia="es-ES_tradnl"/>
        </w:rPr>
      </w:pPr>
      <w:r w:rsidRPr="005A1150">
        <w:rPr>
          <w:rFonts w:ascii="Verdana" w:eastAsia="Calibri" w:hAnsi="Verdana" w:cs="Arial"/>
          <w:b/>
          <w:bCs/>
          <w:color w:val="000000"/>
          <w:lang w:val="es-ES_tradnl" w:eastAsia="es-ES_tradnl"/>
        </w:rPr>
        <w:t>Doria S. Vanegas Sánchez</w:t>
      </w:r>
    </w:p>
    <w:p w14:paraId="00E371DA" w14:textId="77777777" w:rsidR="006803AB" w:rsidRDefault="006803AB" w:rsidP="00A41D37">
      <w:pPr>
        <w:spacing w:after="0" w:line="240" w:lineRule="auto"/>
        <w:rPr>
          <w:rFonts w:ascii="Verdana" w:eastAsia="Calibri" w:hAnsi="Verdana" w:cs="Arial"/>
          <w:bCs/>
          <w:color w:val="000000"/>
          <w:lang w:val="es-ES_tradnl" w:eastAsia="es-ES_tradnl"/>
        </w:rPr>
      </w:pPr>
      <w:hyperlink r:id="rId12" w:history="1">
        <w:r w:rsidRPr="004C4658">
          <w:rPr>
            <w:rStyle w:val="Hipervnculo"/>
            <w:rFonts w:ascii="Verdana" w:eastAsia="Calibri" w:hAnsi="Verdana" w:cs="Arial"/>
            <w:bCs/>
            <w:lang w:val="es-ES_tradnl" w:eastAsia="es-ES_tradnl"/>
          </w:rPr>
          <w:t>jefejuridica@indev-yopal.gov.co</w:t>
        </w:r>
      </w:hyperlink>
    </w:p>
    <w:p w14:paraId="30936DFF" w14:textId="77777777" w:rsidR="006803AB" w:rsidRDefault="006803AB" w:rsidP="00A41D37">
      <w:pPr>
        <w:spacing w:after="0" w:line="240" w:lineRule="auto"/>
        <w:rPr>
          <w:rFonts w:ascii="Verdana" w:eastAsia="Calibri" w:hAnsi="Verdana" w:cs="Arial"/>
          <w:bCs/>
          <w:color w:val="000000"/>
          <w:lang w:val="es-ES_tradnl" w:eastAsia="es-ES_tradnl"/>
        </w:rPr>
      </w:pPr>
      <w:r>
        <w:rPr>
          <w:rFonts w:ascii="Verdana" w:eastAsia="Calibri" w:hAnsi="Verdana" w:cs="Arial"/>
          <w:bCs/>
          <w:color w:val="000000"/>
          <w:lang w:val="es-ES_tradnl" w:eastAsia="es-ES_tradnl"/>
        </w:rPr>
        <w:t>Yopal, Casanare</w:t>
      </w:r>
    </w:p>
    <w:p w14:paraId="22EF9326" w14:textId="77777777" w:rsidR="006803AB" w:rsidRDefault="006803AB" w:rsidP="00A41D37">
      <w:pPr>
        <w:spacing w:after="0" w:line="240" w:lineRule="auto"/>
        <w:rPr>
          <w:rFonts w:ascii="Verdana" w:eastAsia="Calibri" w:hAnsi="Verdana" w:cs="Times New Roman"/>
        </w:rPr>
      </w:pPr>
    </w:p>
    <w:p w14:paraId="5BECF108" w14:textId="77777777" w:rsidR="006803AB" w:rsidRPr="00A12CB6" w:rsidRDefault="006803AB" w:rsidP="00A41D37">
      <w:pPr>
        <w:spacing w:after="0" w:line="240" w:lineRule="auto"/>
        <w:rPr>
          <w:rFonts w:ascii="Verdana" w:eastAsia="Calibri" w:hAnsi="Verdana" w:cs="Times New Roman"/>
        </w:rPr>
      </w:pPr>
    </w:p>
    <w:p w14:paraId="2BE7A865" w14:textId="77777777" w:rsidR="006803AB" w:rsidRPr="00A12CB6" w:rsidRDefault="006803AB" w:rsidP="006803AB">
      <w:pPr>
        <w:spacing w:after="0" w:line="240" w:lineRule="auto"/>
        <w:rPr>
          <w:rFonts w:ascii="Verdana" w:eastAsia="Calibri" w:hAnsi="Verdana" w:cs="Times New Roman"/>
          <w:b/>
          <w:bCs/>
          <w:lang w:val="es-ES"/>
        </w:rPr>
      </w:pPr>
      <w:r w:rsidRPr="00A12CB6">
        <w:rPr>
          <w:rFonts w:ascii="Verdana" w:eastAsia="Calibri" w:hAnsi="Verdana" w:cs="Times New Roman"/>
          <w:b/>
          <w:bCs/>
          <w:lang w:val="es-ES"/>
        </w:rPr>
        <w:t xml:space="preserve">                  </w:t>
      </w:r>
      <w:r>
        <w:rPr>
          <w:rFonts w:ascii="Verdana" w:eastAsia="Calibri" w:hAnsi="Verdana" w:cs="Times New Roman"/>
          <w:b/>
          <w:bCs/>
          <w:lang w:val="es-ES"/>
        </w:rPr>
        <w:t xml:space="preserve">                  Concepto C- 185 de 2026</w:t>
      </w:r>
    </w:p>
    <w:p w14:paraId="7133FCCF" w14:textId="77777777" w:rsidR="006803AB" w:rsidRPr="00A12CB6" w:rsidRDefault="006803AB" w:rsidP="006803AB">
      <w:pPr>
        <w:spacing w:after="0" w:line="240"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6803AB" w:rsidRPr="00A12CB6" w14:paraId="52315C7C" w14:textId="77777777" w:rsidTr="00CE268D">
        <w:trPr>
          <w:trHeight w:val="645"/>
        </w:trPr>
        <w:tc>
          <w:tcPr>
            <w:tcW w:w="2685" w:type="dxa"/>
            <w:hideMark/>
          </w:tcPr>
          <w:p w14:paraId="72769465" w14:textId="77777777" w:rsidR="006803AB" w:rsidRPr="00A12CB6" w:rsidRDefault="006803AB" w:rsidP="00CE268D">
            <w:pPr>
              <w:spacing w:line="256" w:lineRule="auto"/>
              <w:rPr>
                <w:rFonts w:ascii="Verdana" w:hAnsi="Verdana"/>
                <w:b/>
                <w:bCs/>
                <w:lang w:val="es-ES_tradnl"/>
              </w:rPr>
            </w:pPr>
            <w:r w:rsidRPr="00A12CB6">
              <w:rPr>
                <w:rFonts w:ascii="Verdana" w:hAnsi="Verdana"/>
                <w:b/>
                <w:bCs/>
                <w:lang w:val="es-ES_tradnl"/>
              </w:rPr>
              <w:t xml:space="preserve">Temas:                   </w:t>
            </w:r>
          </w:p>
        </w:tc>
        <w:tc>
          <w:tcPr>
            <w:tcW w:w="6241" w:type="dxa"/>
            <w:hideMark/>
          </w:tcPr>
          <w:p w14:paraId="4A27E8FE" w14:textId="77777777" w:rsidR="006803AB" w:rsidRPr="00817856" w:rsidRDefault="006803AB" w:rsidP="00CE268D">
            <w:pPr>
              <w:spacing w:line="276" w:lineRule="auto"/>
              <w:jc w:val="both"/>
              <w:rPr>
                <w:rFonts w:ascii="Verdana" w:hAnsi="Verdana" w:cs="Arial"/>
                <w:lang w:val="es-ES" w:eastAsia="es-ES_tradnl"/>
              </w:rPr>
            </w:pPr>
            <w:r w:rsidRPr="00273620">
              <w:rPr>
                <w:rFonts w:ascii="Verdana" w:hAnsi="Verdana" w:cs="Arial"/>
                <w:lang w:val="es-MX" w:eastAsia="es-ES_tradnl"/>
              </w:rPr>
              <w:t xml:space="preserve">LEY DE GARANTÍAS ELECTORALES </w:t>
            </w:r>
            <w:r w:rsidRPr="00273620">
              <w:rPr>
                <w:rFonts w:ascii="Verdana" w:hAnsi="Verdana" w:cs="Arial"/>
                <w:bCs/>
                <w:lang w:val="es-MX" w:eastAsia="es-ES_tradnl"/>
              </w:rPr>
              <w:t>‒</w:t>
            </w:r>
            <w:r w:rsidRPr="00273620">
              <w:rPr>
                <w:rFonts w:ascii="Verdana" w:hAnsi="Verdana" w:cs="Arial"/>
                <w:lang w:val="es-MX" w:eastAsia="es-ES_tradnl"/>
              </w:rPr>
              <w:t xml:space="preserve"> Finalidad / LEY DE GARANTÍAS ELECTORALES </w:t>
            </w:r>
            <w:r w:rsidRPr="00273620">
              <w:rPr>
                <w:rFonts w:ascii="Verdana" w:hAnsi="Verdana" w:cs="Arial"/>
                <w:bCs/>
                <w:lang w:val="es-MX" w:eastAsia="es-ES_tradnl"/>
              </w:rPr>
              <w:t>‒</w:t>
            </w:r>
            <w:r w:rsidRPr="00273620">
              <w:rPr>
                <w:rFonts w:ascii="Verdana" w:hAnsi="Verdana" w:cs="Arial"/>
                <w:lang w:val="es-MX" w:eastAsia="es-ES_tradnl"/>
              </w:rPr>
              <w:t xml:space="preserve"> Tipos de restricciones </w:t>
            </w:r>
            <w:r w:rsidRPr="00273620">
              <w:rPr>
                <w:rFonts w:ascii="Verdana" w:hAnsi="Verdana" w:cs="Arial"/>
                <w:bCs/>
                <w:lang w:val="es-MX" w:eastAsia="es-ES_tradnl"/>
              </w:rPr>
              <w:t>‒</w:t>
            </w:r>
            <w:r w:rsidRPr="00273620">
              <w:rPr>
                <w:rFonts w:ascii="Verdana" w:hAnsi="Verdana" w:cs="Arial"/>
                <w:lang w:val="es-MX" w:eastAsia="es-ES_tradnl"/>
              </w:rPr>
              <w:t xml:space="preserve"> Ámbito temporal</w:t>
            </w:r>
            <w:r>
              <w:rPr>
                <w:rFonts w:ascii="Verdana" w:hAnsi="Verdana" w:cs="Arial"/>
                <w:lang w:val="es-MX" w:eastAsia="es-ES_tradnl"/>
              </w:rPr>
              <w:t xml:space="preserve"> – celebración- límite / LEY DE GARANTÍAS ELECTORALES – Prohibición artículo 33 – Contratación directa – Alcance / LEY DE GARANTÍAS ELECTORALES – Excepciones / LEY DE GARANTÍAS ELECTORALES – Prohibición del artículo 33 – Destinatarios / </w:t>
            </w:r>
            <w:r w:rsidRPr="009F27AB">
              <w:rPr>
                <w:rFonts w:ascii="Verdana" w:hAnsi="Verdana" w:cs="Arial"/>
                <w:lang w:val="es-MX" w:eastAsia="es-ES_tradnl"/>
              </w:rPr>
              <w:t>LEY DE GARANTÍAS ELECTORALES – Contratos y convenios interadministrativos – Criterio orgánico / LEY DE GARANTÍAS ELECTORALES –Restricción- Convenios interadministrativos – Postura del Consejo de Estado</w:t>
            </w:r>
            <w:r>
              <w:rPr>
                <w:rFonts w:ascii="Verdana" w:hAnsi="Verdana" w:cs="Arial"/>
                <w:lang w:val="es-MX" w:eastAsia="es-ES_tradnl"/>
              </w:rPr>
              <w:t xml:space="preserve"> </w:t>
            </w:r>
            <w:r w:rsidRPr="009D0D83">
              <w:rPr>
                <w:rFonts w:ascii="Verdana" w:hAnsi="Verdana" w:cs="Arial"/>
                <w:bCs/>
                <w:lang w:val="es-ES" w:eastAsia="es-ES_tradnl"/>
              </w:rPr>
              <w:t xml:space="preserve">/ </w:t>
            </w:r>
            <w:r w:rsidRPr="009D0D83">
              <w:rPr>
                <w:rFonts w:ascii="Verdana" w:hAnsi="Verdana" w:cs="Arial"/>
                <w:bCs/>
                <w:lang w:val="es-ES_tradnl" w:eastAsia="es-ES_tradnl"/>
              </w:rPr>
              <w:t xml:space="preserve">CONTRATO DE ARRENDAMIENTO – Definición – Características </w:t>
            </w:r>
            <w:r>
              <w:rPr>
                <w:rFonts w:ascii="Verdana" w:hAnsi="Verdana" w:cs="Arial"/>
                <w:bCs/>
                <w:lang w:val="es-ES_tradnl" w:eastAsia="es-ES_tradnl"/>
              </w:rPr>
              <w:t xml:space="preserve">/ CONTRATO DE ARRENDAMIENTO – Procedencia – Restricción – Contratación Directa – Artículo 33 / CONTRATO DE ARRENDAMIENTO – No procedencia – Revisión – Artículo 38 – Convenios Interadministrativos – Restricción – Contratos Interadministrativos – Artículo 33 </w:t>
            </w:r>
          </w:p>
        </w:tc>
        <w:tc>
          <w:tcPr>
            <w:tcW w:w="6237" w:type="dxa"/>
          </w:tcPr>
          <w:p w14:paraId="78222D50" w14:textId="77777777" w:rsidR="006803AB" w:rsidRPr="00A12CB6" w:rsidRDefault="006803AB" w:rsidP="00CE268D">
            <w:pPr>
              <w:spacing w:line="256" w:lineRule="auto"/>
              <w:rPr>
                <w:rFonts w:ascii="Verdana" w:hAnsi="Verdana"/>
              </w:rPr>
            </w:pPr>
          </w:p>
        </w:tc>
      </w:tr>
    </w:tbl>
    <w:p w14:paraId="4AB5D5CA" w14:textId="77777777" w:rsidR="006803AB" w:rsidRPr="00593A5F" w:rsidRDefault="006803AB" w:rsidP="006803AB">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803AB" w:rsidRPr="008E6AD9" w14:paraId="0B8F8C40" w14:textId="77777777" w:rsidTr="00CE268D">
        <w:tc>
          <w:tcPr>
            <w:tcW w:w="2689" w:type="dxa"/>
          </w:tcPr>
          <w:p w14:paraId="3CD790EE" w14:textId="77777777" w:rsidR="006803AB" w:rsidRPr="008E6AD9" w:rsidRDefault="006803AB" w:rsidP="00CE268D">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34DFDF8A" w14:textId="77777777" w:rsidR="006803AB" w:rsidRPr="00792AB0" w:rsidRDefault="006803AB" w:rsidP="00CE268D">
            <w:pPr>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w:t>
            </w:r>
            <w:r>
              <w:rPr>
                <w:rFonts w:ascii="Verdana" w:eastAsia="Calibri" w:hAnsi="Verdana" w:cs="Arial"/>
                <w:lang w:val="es-ES_tradnl" w:eastAsia="es-ES_tradnl"/>
              </w:rPr>
              <w:t xml:space="preserve"> </w:t>
            </w:r>
            <w:r w:rsidRPr="008E6AD9">
              <w:rPr>
                <w:rFonts w:ascii="Verdana" w:eastAsia="Calibri" w:hAnsi="Verdana" w:cs="Arial"/>
                <w:lang w:val="es-ES_tradnl" w:eastAsia="es-ES_tradnl"/>
              </w:rPr>
              <w:t>No.</w:t>
            </w:r>
            <w:r>
              <w:rPr>
                <w:rFonts w:ascii="Verdana" w:eastAsia="Calibri" w:hAnsi="Verdana" w:cs="Arial"/>
                <w:lang w:val="es-ES_tradnl" w:eastAsia="es-ES_tradnl"/>
              </w:rPr>
              <w:t xml:space="preserve"> </w:t>
            </w:r>
            <w:r w:rsidRPr="00A95DA4">
              <w:rPr>
                <w:rFonts w:ascii="Verdana" w:eastAsia="Calibri" w:hAnsi="Verdana" w:cs="Arial"/>
                <w:lang w:eastAsia="es-ES_tradnl"/>
              </w:rPr>
              <w:t>1_2026_02_09_001657</w:t>
            </w:r>
          </w:p>
        </w:tc>
      </w:tr>
    </w:tbl>
    <w:p w14:paraId="1D0421EF" w14:textId="77777777" w:rsidR="006803AB" w:rsidRPr="00593A5F" w:rsidRDefault="006803AB" w:rsidP="006803AB">
      <w:pPr>
        <w:spacing w:after="0" w:line="240" w:lineRule="auto"/>
        <w:jc w:val="both"/>
        <w:rPr>
          <w:rFonts w:ascii="Verdana" w:eastAsia="Calibri" w:hAnsi="Verdana" w:cs="Arial"/>
          <w:color w:val="000000"/>
          <w:lang w:val="es-ES_tradnl" w:eastAsia="es-ES_tradnl"/>
        </w:rPr>
      </w:pPr>
    </w:p>
    <w:p w14:paraId="42968785" w14:textId="77777777" w:rsidR="006803AB" w:rsidRPr="00593A5F" w:rsidRDefault="006803AB" w:rsidP="006803AB">
      <w:pPr>
        <w:spacing w:after="0" w:line="240" w:lineRule="auto"/>
        <w:jc w:val="both"/>
        <w:rPr>
          <w:rFonts w:ascii="Verdana" w:eastAsia="Calibri" w:hAnsi="Verdana" w:cs="Arial"/>
          <w:color w:val="000000"/>
          <w:lang w:val="es-ES_tradnl" w:eastAsia="es-ES_tradnl"/>
        </w:rPr>
      </w:pPr>
    </w:p>
    <w:p w14:paraId="23D9CDEA" w14:textId="77777777" w:rsidR="006803AB" w:rsidRPr="008E6AD9" w:rsidRDefault="006803AB" w:rsidP="006803AB">
      <w:pPr>
        <w:spacing w:after="0" w:line="240"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 Doctora Vanegas</w:t>
      </w:r>
      <w:r w:rsidRPr="008E6AD9">
        <w:rPr>
          <w:rFonts w:ascii="Verdana" w:eastAsia="Calibri" w:hAnsi="Verdana" w:cs="Arial"/>
          <w:lang w:val="es-ES" w:eastAsia="es-ES"/>
        </w:rPr>
        <w:t xml:space="preserve">: </w:t>
      </w:r>
    </w:p>
    <w:p w14:paraId="75BD4041" w14:textId="77777777" w:rsidR="006803AB" w:rsidRDefault="006803AB" w:rsidP="006803AB">
      <w:pPr>
        <w:tabs>
          <w:tab w:val="left" w:pos="3768"/>
        </w:tabs>
        <w:spacing w:after="0" w:line="240"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7856EAEE" w14:textId="77777777" w:rsidR="006803AB" w:rsidRPr="00102203" w:rsidRDefault="006803AB" w:rsidP="006803AB">
      <w:pPr>
        <w:spacing w:after="0" w:line="276" w:lineRule="auto"/>
        <w:jc w:val="both"/>
        <w:rPr>
          <w:rFonts w:ascii="Verdana" w:eastAsia="Calibri" w:hAnsi="Verdana" w:cs="Arial"/>
          <w:bCs/>
          <w:color w:val="000000" w:themeColor="text1"/>
          <w:lang w:val="es-ES" w:eastAsia="es-ES" w:bidi="es-ES"/>
        </w:rPr>
      </w:pPr>
      <w:r w:rsidRPr="00102203">
        <w:rPr>
          <w:rFonts w:ascii="Verdana" w:eastAsia="Calibri" w:hAnsi="Verdana" w:cs="Arial"/>
          <w:bCs/>
          <w:color w:val="000000" w:themeColor="text1"/>
          <w:lang w:val="es-ES" w:eastAsia="es-ES" w:bidi="es-ES"/>
        </w:rPr>
        <w:t xml:space="preserve">En ejercicio de la competencia otorgada por los artículos 3, numeral 5º, y 11, numeral 8º, del Decreto Ley 4170 de 2011, </w:t>
      </w:r>
      <w:r w:rsidRPr="00102203">
        <w:rPr>
          <w:rFonts w:ascii="Verdana" w:eastAsia="Calibri" w:hAnsi="Verdana" w:cs="Arial"/>
          <w:bCs/>
          <w:color w:val="000000" w:themeColor="text1"/>
          <w:lang w:eastAsia="es-ES"/>
        </w:rPr>
        <w:t xml:space="preserve">así como lo establecido por la Resolución 469 de 2025 expedida por esta Entidad, </w:t>
      </w:r>
      <w:r w:rsidRPr="00102203">
        <w:rPr>
          <w:rFonts w:ascii="Verdana" w:eastAsia="Calibri" w:hAnsi="Verdana" w:cs="Arial"/>
          <w:bCs/>
          <w:color w:val="000000" w:themeColor="text1"/>
          <w:lang w:val="es-ES" w:eastAsia="es-ES" w:bidi="es-ES"/>
        </w:rPr>
        <w:t xml:space="preserve">la Agencia Nacional de </w:t>
      </w:r>
      <w:r w:rsidRPr="00102203">
        <w:rPr>
          <w:rFonts w:ascii="Verdana" w:eastAsia="Calibri" w:hAnsi="Verdana" w:cs="Arial"/>
          <w:bCs/>
          <w:color w:val="000000" w:themeColor="text1"/>
          <w:lang w:val="es-ES" w:eastAsia="es-ES" w:bidi="es-ES"/>
        </w:rPr>
        <w:lastRenderedPageBreak/>
        <w:t>Contratación Pública –Colombia Compra Eficiente– responde l</w:t>
      </w:r>
      <w:r>
        <w:rPr>
          <w:rFonts w:ascii="Verdana" w:eastAsia="Calibri" w:hAnsi="Verdana" w:cs="Arial"/>
          <w:bCs/>
          <w:color w:val="000000" w:themeColor="text1"/>
          <w:lang w:val="es-ES" w:eastAsia="es-ES" w:bidi="es-ES"/>
        </w:rPr>
        <w:t>a solicitud de consulta del 9 de febrero de 2026, en la cual manifiesta</w:t>
      </w:r>
      <w:r w:rsidRPr="00102203">
        <w:rPr>
          <w:rFonts w:ascii="Verdana" w:eastAsia="Calibri" w:hAnsi="Verdana" w:cs="Arial"/>
          <w:bCs/>
          <w:color w:val="000000" w:themeColor="text1"/>
          <w:lang w:val="es-ES" w:eastAsia="es-ES" w:bidi="es-ES"/>
        </w:rPr>
        <w:t xml:space="preserve">: </w:t>
      </w:r>
    </w:p>
    <w:p w14:paraId="397FAD43" w14:textId="77777777" w:rsidR="006803AB" w:rsidRPr="00272A7B" w:rsidRDefault="006803AB" w:rsidP="006803AB">
      <w:pPr>
        <w:pStyle w:val="Prrafodelista"/>
        <w:tabs>
          <w:tab w:val="left" w:pos="142"/>
          <w:tab w:val="left" w:pos="284"/>
        </w:tabs>
        <w:spacing w:after="0" w:line="240" w:lineRule="auto"/>
        <w:ind w:left="0"/>
        <w:jc w:val="both"/>
        <w:rPr>
          <w:rFonts w:ascii="Verdana" w:eastAsia="Century Gothic" w:hAnsi="Verdana" w:cs="Century Gothic"/>
          <w:b/>
          <w:bCs/>
        </w:rPr>
      </w:pPr>
    </w:p>
    <w:p w14:paraId="7226C678" w14:textId="77777777" w:rsidR="006803AB" w:rsidRPr="00792AB0" w:rsidRDefault="006803AB" w:rsidP="006803AB">
      <w:pPr>
        <w:spacing w:after="0" w:line="240" w:lineRule="auto"/>
        <w:ind w:left="709" w:right="709"/>
        <w:jc w:val="both"/>
        <w:rPr>
          <w:rFonts w:ascii="Verdana" w:eastAsia="Century Gothic" w:hAnsi="Verdana" w:cs="Century Gothic"/>
          <w:sz w:val="20"/>
          <w:szCs w:val="20"/>
        </w:rPr>
      </w:pPr>
      <w:bookmarkStart w:id="1" w:name="_Hlk95313578"/>
      <w:r w:rsidRPr="00D10E3B">
        <w:rPr>
          <w:rFonts w:ascii="Verdana" w:eastAsia="Century Gothic" w:hAnsi="Verdana" w:cs="Century Gothic"/>
          <w:sz w:val="20"/>
          <w:szCs w:val="20"/>
          <w:lang w:val="es-ES"/>
        </w:rPr>
        <w:t>“</w:t>
      </w:r>
      <w:bookmarkEnd w:id="1"/>
      <w:r>
        <w:rPr>
          <w:rFonts w:ascii="Verdana" w:eastAsia="Century Gothic" w:hAnsi="Verdana" w:cs="Century Gothic"/>
          <w:sz w:val="20"/>
          <w:szCs w:val="20"/>
          <w:lang w:val="es-ES"/>
        </w:rPr>
        <w:t xml:space="preserve">[…] </w:t>
      </w:r>
      <w:r w:rsidRPr="00792AB0">
        <w:rPr>
          <w:rFonts w:ascii="Verdana" w:eastAsia="Century Gothic" w:hAnsi="Verdana" w:cs="Century Gothic"/>
          <w:sz w:val="20"/>
          <w:szCs w:val="20"/>
        </w:rPr>
        <w:t>de manera respetuosa solicitamos información relacionada co</w:t>
      </w:r>
      <w:r>
        <w:rPr>
          <w:rFonts w:ascii="Verdana" w:eastAsia="Century Gothic" w:hAnsi="Verdana" w:cs="Century Gothic"/>
          <w:sz w:val="20"/>
          <w:szCs w:val="20"/>
        </w:rPr>
        <w:t>n la realización de contrato de arrendamiento sin CDP</w:t>
      </w:r>
      <w:r w:rsidRPr="00792AB0">
        <w:rPr>
          <w:rFonts w:ascii="Verdana" w:eastAsia="Century Gothic" w:hAnsi="Verdana" w:cs="Century Gothic"/>
          <w:sz w:val="20"/>
          <w:szCs w:val="20"/>
        </w:rPr>
        <w:t>, emitidos por la entidad, entendiendo que la entidad tiene a</w:t>
      </w:r>
      <w:r>
        <w:rPr>
          <w:rFonts w:ascii="Verdana" w:eastAsia="Century Gothic" w:hAnsi="Verdana" w:cs="Century Gothic"/>
          <w:sz w:val="20"/>
          <w:szCs w:val="20"/>
        </w:rPr>
        <w:t xml:space="preserve"> </w:t>
      </w:r>
      <w:r w:rsidRPr="00792AB0">
        <w:rPr>
          <w:rFonts w:ascii="Verdana" w:eastAsia="Century Gothic" w:hAnsi="Verdana" w:cs="Century Gothic"/>
          <w:sz w:val="20"/>
          <w:szCs w:val="20"/>
        </w:rPr>
        <w:t>su cargo inmuebles</w:t>
      </w:r>
      <w:r>
        <w:rPr>
          <w:rFonts w:ascii="Verdana" w:eastAsia="Century Gothic" w:hAnsi="Verdana" w:cs="Century Gothic"/>
          <w:sz w:val="20"/>
          <w:szCs w:val="20"/>
        </w:rPr>
        <w:t xml:space="preserve"> </w:t>
      </w:r>
      <w:r w:rsidRPr="00792AB0">
        <w:rPr>
          <w:rFonts w:ascii="Verdana" w:eastAsia="Century Gothic" w:hAnsi="Verdana" w:cs="Century Gothic"/>
          <w:sz w:val="20"/>
          <w:szCs w:val="20"/>
        </w:rPr>
        <w:t>fiscales (plaza de mercado de la ciudad y una unidad comercial ), motivo por el cual la entidad realiza</w:t>
      </w:r>
      <w:r>
        <w:rPr>
          <w:rFonts w:ascii="Verdana" w:eastAsia="Century Gothic" w:hAnsi="Verdana" w:cs="Century Gothic"/>
          <w:sz w:val="20"/>
          <w:szCs w:val="20"/>
        </w:rPr>
        <w:t xml:space="preserve"> </w:t>
      </w:r>
      <w:r w:rsidRPr="00792AB0">
        <w:rPr>
          <w:rFonts w:ascii="Verdana" w:eastAsia="Century Gothic" w:hAnsi="Verdana" w:cs="Century Gothic"/>
          <w:sz w:val="20"/>
          <w:szCs w:val="20"/>
        </w:rPr>
        <w:t>contratos de arrendamiento los cuales son cargados y reportados al SECOP II, entendiendo que estos NO</w:t>
      </w:r>
      <w:r>
        <w:rPr>
          <w:rFonts w:ascii="Verdana" w:eastAsia="Century Gothic" w:hAnsi="Verdana" w:cs="Century Gothic"/>
          <w:sz w:val="20"/>
          <w:szCs w:val="20"/>
        </w:rPr>
        <w:t xml:space="preserve"> </w:t>
      </w:r>
      <w:r w:rsidRPr="00792AB0">
        <w:rPr>
          <w:rFonts w:ascii="Verdana" w:eastAsia="Century Gothic" w:hAnsi="Verdana" w:cs="Century Gothic"/>
          <w:sz w:val="20"/>
          <w:szCs w:val="20"/>
        </w:rPr>
        <w:t>tienen afectación presupuestal (CDP), puesto que este tipo de contratos se cobra un CANON de</w:t>
      </w:r>
      <w:r>
        <w:rPr>
          <w:rFonts w:ascii="Verdana" w:eastAsia="Century Gothic" w:hAnsi="Verdana" w:cs="Century Gothic"/>
          <w:sz w:val="20"/>
          <w:szCs w:val="20"/>
        </w:rPr>
        <w:t xml:space="preserve"> </w:t>
      </w:r>
      <w:r w:rsidRPr="00792AB0">
        <w:rPr>
          <w:rFonts w:ascii="Verdana" w:eastAsia="Century Gothic" w:hAnsi="Verdana" w:cs="Century Gothic"/>
          <w:sz w:val="20"/>
          <w:szCs w:val="20"/>
        </w:rPr>
        <w:t>arrendamiento mensual el cual el arren</w:t>
      </w:r>
      <w:r>
        <w:rPr>
          <w:rFonts w:ascii="Verdana" w:eastAsia="Century Gothic" w:hAnsi="Verdana" w:cs="Century Gothic"/>
          <w:sz w:val="20"/>
          <w:szCs w:val="20"/>
        </w:rPr>
        <w:t>datario debe pagar mensualmente</w:t>
      </w:r>
      <w:r w:rsidRPr="00792AB0">
        <w:rPr>
          <w:rFonts w:ascii="Verdana" w:eastAsia="Century Gothic" w:hAnsi="Verdana" w:cs="Century Gothic"/>
          <w:sz w:val="20"/>
          <w:szCs w:val="20"/>
        </w:rPr>
        <w:t>, fruto de la utilización del bien</w:t>
      </w:r>
      <w:r>
        <w:rPr>
          <w:rFonts w:ascii="Verdana" w:eastAsia="Century Gothic" w:hAnsi="Verdana" w:cs="Century Gothic"/>
          <w:sz w:val="20"/>
          <w:szCs w:val="20"/>
        </w:rPr>
        <w:t xml:space="preserve"> </w:t>
      </w:r>
      <w:r w:rsidRPr="00792AB0">
        <w:rPr>
          <w:rFonts w:ascii="Verdana" w:eastAsia="Century Gothic" w:hAnsi="Verdana" w:cs="Century Gothic"/>
          <w:sz w:val="20"/>
          <w:szCs w:val="20"/>
        </w:rPr>
        <w:t>fiscal.</w:t>
      </w:r>
    </w:p>
    <w:p w14:paraId="5498CF58" w14:textId="77777777" w:rsidR="006803AB" w:rsidRPr="002E60E4" w:rsidRDefault="006803AB" w:rsidP="006803AB">
      <w:pPr>
        <w:spacing w:after="0" w:line="240" w:lineRule="auto"/>
        <w:ind w:left="709" w:right="709"/>
        <w:jc w:val="both"/>
        <w:rPr>
          <w:rFonts w:ascii="Verdana" w:eastAsia="Century Gothic" w:hAnsi="Verdana" w:cs="Century Gothic"/>
          <w:sz w:val="20"/>
          <w:szCs w:val="20"/>
        </w:rPr>
      </w:pPr>
      <w:proofErr w:type="gramStart"/>
      <w:r w:rsidRPr="00792AB0">
        <w:rPr>
          <w:rFonts w:ascii="Verdana" w:eastAsia="Century Gothic" w:hAnsi="Verdana" w:cs="Century Gothic"/>
          <w:sz w:val="20"/>
          <w:szCs w:val="20"/>
        </w:rPr>
        <w:t>Que</w:t>
      </w:r>
      <w:proofErr w:type="gramEnd"/>
      <w:r w:rsidRPr="00792AB0">
        <w:rPr>
          <w:rFonts w:ascii="Verdana" w:eastAsia="Century Gothic" w:hAnsi="Verdana" w:cs="Century Gothic"/>
          <w:sz w:val="20"/>
          <w:szCs w:val="20"/>
        </w:rPr>
        <w:t xml:space="preserve"> por lo anterior, se hace necesario solicitar claridad </w:t>
      </w:r>
      <w:proofErr w:type="gramStart"/>
      <w:r w:rsidRPr="00792AB0">
        <w:rPr>
          <w:rFonts w:ascii="Verdana" w:eastAsia="Century Gothic" w:hAnsi="Verdana" w:cs="Century Gothic"/>
          <w:sz w:val="20"/>
          <w:szCs w:val="20"/>
        </w:rPr>
        <w:t>en relación a</w:t>
      </w:r>
      <w:proofErr w:type="gramEnd"/>
      <w:r w:rsidRPr="00792AB0">
        <w:rPr>
          <w:rFonts w:ascii="Verdana" w:eastAsia="Century Gothic" w:hAnsi="Verdana" w:cs="Century Gothic"/>
          <w:sz w:val="20"/>
          <w:szCs w:val="20"/>
        </w:rPr>
        <w:t xml:space="preserve"> la suscripción de contratos de</w:t>
      </w:r>
      <w:r>
        <w:rPr>
          <w:rFonts w:ascii="Verdana" w:eastAsia="Century Gothic" w:hAnsi="Verdana" w:cs="Century Gothic"/>
          <w:sz w:val="20"/>
          <w:szCs w:val="20"/>
        </w:rPr>
        <w:t xml:space="preserve"> </w:t>
      </w:r>
      <w:r w:rsidRPr="00792AB0">
        <w:rPr>
          <w:rFonts w:ascii="Verdana" w:eastAsia="Century Gothic" w:hAnsi="Verdana" w:cs="Century Gothic"/>
          <w:sz w:val="20"/>
          <w:szCs w:val="20"/>
        </w:rPr>
        <w:t>arrendamiento (sin CDP), si estos les aplica la ley de garantías (Comienza la prohibición de contratación</w:t>
      </w:r>
      <w:r>
        <w:rPr>
          <w:rFonts w:ascii="Verdana" w:eastAsia="Century Gothic" w:hAnsi="Verdana" w:cs="Century Gothic"/>
          <w:sz w:val="20"/>
          <w:szCs w:val="20"/>
        </w:rPr>
        <w:t xml:space="preserve"> </w:t>
      </w:r>
      <w:r w:rsidRPr="00792AB0">
        <w:rPr>
          <w:rFonts w:ascii="Verdana" w:eastAsia="Century Gothic" w:hAnsi="Verdana" w:cs="Century Gothic"/>
          <w:sz w:val="20"/>
          <w:szCs w:val="20"/>
        </w:rPr>
        <w:t>directa y de convenios interadministrativos para todas las entidades públicas, sin excepción (Art. 33 y</w:t>
      </w:r>
      <w:r>
        <w:rPr>
          <w:rFonts w:ascii="Verdana" w:eastAsia="Century Gothic" w:hAnsi="Verdana" w:cs="Century Gothic"/>
          <w:sz w:val="20"/>
          <w:szCs w:val="20"/>
        </w:rPr>
        <w:t xml:space="preserve"> 38 </w:t>
      </w:r>
      <w:r w:rsidRPr="00792AB0">
        <w:rPr>
          <w:rFonts w:ascii="Verdana" w:eastAsia="Century Gothic" w:hAnsi="Verdana" w:cs="Century Gothic"/>
          <w:sz w:val="20"/>
          <w:szCs w:val="20"/>
        </w:rPr>
        <w:t>LEY 996 DE 2005)</w:t>
      </w:r>
      <w:r>
        <w:rPr>
          <w:rFonts w:ascii="Verdana" w:eastAsia="Century Gothic" w:hAnsi="Verdana" w:cs="Century Gothic"/>
          <w:sz w:val="20"/>
          <w:szCs w:val="20"/>
        </w:rPr>
        <w:t>”</w:t>
      </w:r>
      <w:r w:rsidRPr="00792AB0">
        <w:rPr>
          <w:rFonts w:ascii="Verdana" w:eastAsia="Century Gothic" w:hAnsi="Verdana" w:cs="Century Gothic"/>
          <w:sz w:val="20"/>
          <w:szCs w:val="20"/>
        </w:rPr>
        <w:t>.</w:t>
      </w:r>
    </w:p>
    <w:p w14:paraId="05575696" w14:textId="77777777" w:rsidR="006803AB" w:rsidRPr="008E6AD9" w:rsidRDefault="006803AB" w:rsidP="006803AB">
      <w:pPr>
        <w:pStyle w:val="Prrafodelista"/>
        <w:tabs>
          <w:tab w:val="left" w:pos="142"/>
          <w:tab w:val="left" w:pos="284"/>
        </w:tabs>
        <w:spacing w:after="0" w:line="276" w:lineRule="auto"/>
        <w:ind w:left="0"/>
        <w:jc w:val="both"/>
        <w:rPr>
          <w:rFonts w:ascii="Verdana" w:eastAsia="Century Gothic" w:hAnsi="Verdana" w:cs="Century Gothic"/>
          <w:b/>
          <w:bCs/>
        </w:rPr>
      </w:pPr>
    </w:p>
    <w:p w14:paraId="02A17663" w14:textId="77777777" w:rsidR="006803AB" w:rsidRPr="00A652FF" w:rsidRDefault="006803AB" w:rsidP="006803AB">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074768CB" w14:textId="77777777" w:rsidR="006803AB" w:rsidRPr="00423BE7" w:rsidRDefault="006803AB" w:rsidP="006803AB">
      <w:pPr>
        <w:spacing w:after="0" w:line="276" w:lineRule="auto"/>
        <w:ind w:firstLine="708"/>
        <w:jc w:val="both"/>
        <w:rPr>
          <w:rFonts w:ascii="Verdana" w:eastAsia="Calibri" w:hAnsi="Verdana" w:cs="Arial"/>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 xml:space="preserve">el problema jurídico de su consulta. </w:t>
      </w:r>
    </w:p>
    <w:p w14:paraId="598BE965" w14:textId="77777777" w:rsidR="006803AB" w:rsidRPr="00593A5F" w:rsidRDefault="006803AB" w:rsidP="006803AB">
      <w:pPr>
        <w:spacing w:after="0" w:line="276" w:lineRule="auto"/>
        <w:ind w:firstLine="709"/>
        <w:jc w:val="both"/>
        <w:rPr>
          <w:rFonts w:ascii="Verdana" w:eastAsia="Calibri" w:hAnsi="Verdana" w:cs="Arial"/>
          <w:color w:val="000000"/>
          <w:lang w:val="es-ES" w:eastAsia="es-ES"/>
        </w:rPr>
      </w:pPr>
    </w:p>
    <w:p w14:paraId="6785BA9F" w14:textId="77777777" w:rsidR="006803AB" w:rsidRPr="00593A5F" w:rsidRDefault="006803AB" w:rsidP="006803A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105548BF" w14:textId="77777777" w:rsidR="006803AB" w:rsidRPr="00593A5F" w:rsidRDefault="006803AB" w:rsidP="006803AB">
      <w:pPr>
        <w:tabs>
          <w:tab w:val="left" w:pos="426"/>
        </w:tabs>
        <w:spacing w:after="0" w:line="276" w:lineRule="auto"/>
        <w:jc w:val="both"/>
        <w:rPr>
          <w:rFonts w:ascii="Verdana" w:eastAsia="Century Gothic" w:hAnsi="Verdana" w:cs="Century Gothic"/>
          <w:lang w:val="es-ES"/>
        </w:rPr>
      </w:pPr>
    </w:p>
    <w:p w14:paraId="32D478D7" w14:textId="77777777" w:rsidR="006803AB" w:rsidRDefault="006803AB" w:rsidP="006803AB">
      <w:pPr>
        <w:spacing w:after="0" w:line="276" w:lineRule="auto"/>
        <w:jc w:val="both"/>
        <w:rPr>
          <w:rFonts w:ascii="Verdana" w:eastAsia="Century Gothic" w:hAnsi="Verdana" w:cs="Century Gothic"/>
        </w:rPr>
      </w:pPr>
      <w:r w:rsidRPr="00906BE9">
        <w:rPr>
          <w:rFonts w:ascii="Verdana" w:eastAsia="Century Gothic" w:hAnsi="Verdana" w:cs="Century Gothic"/>
        </w:rPr>
        <w:lastRenderedPageBreak/>
        <w:t xml:space="preserve">De acuerdo con el contenido de su solicitud, esta Agencia resolverá </w:t>
      </w:r>
      <w:r>
        <w:rPr>
          <w:rFonts w:ascii="Verdana" w:eastAsia="Century Gothic" w:hAnsi="Verdana" w:cs="Century Gothic"/>
        </w:rPr>
        <w:t>el siguiente problema jurídico</w:t>
      </w:r>
      <w:r w:rsidRPr="00906BE9">
        <w:rPr>
          <w:rFonts w:ascii="Verdana" w:eastAsia="Century Gothic" w:hAnsi="Verdana" w:cs="Century Gothic"/>
        </w:rPr>
        <w:t>:</w:t>
      </w:r>
      <w:r>
        <w:rPr>
          <w:rFonts w:ascii="Verdana" w:eastAsia="Century Gothic" w:hAnsi="Verdana" w:cs="Century Gothic"/>
        </w:rPr>
        <w:t xml:space="preserve"> </w:t>
      </w:r>
      <w:r w:rsidRPr="006D5A89">
        <w:rPr>
          <w:rFonts w:ascii="Verdana" w:eastAsia="Century Gothic" w:hAnsi="Verdana" w:cs="Century Gothic"/>
        </w:rPr>
        <w:t>¿La suscripción de contratos de arrendamiento de bienes fiscales por parte de entidades públicas que no requieren Certificado de Disponibilidad Presupuestal (CDP) está sujeta a las restricciones previstas en los artículos 33 y 38 de la Ley de Garantías Electorales?</w:t>
      </w:r>
      <w:r>
        <w:rPr>
          <w:rFonts w:ascii="Verdana" w:eastAsia="Century Gothic" w:hAnsi="Verdana" w:cs="Century Gothic"/>
        </w:rPr>
        <w:t xml:space="preserve"> </w:t>
      </w:r>
    </w:p>
    <w:p w14:paraId="1C2CA574" w14:textId="77777777" w:rsidR="006803AB" w:rsidRPr="004B140F" w:rsidRDefault="006803AB" w:rsidP="006803AB">
      <w:pPr>
        <w:spacing w:after="0" w:line="276" w:lineRule="auto"/>
        <w:jc w:val="both"/>
        <w:rPr>
          <w:rFonts w:ascii="Verdana" w:eastAsia="Calibri" w:hAnsi="Verdana" w:cs="Arial"/>
          <w:color w:val="7030A0"/>
        </w:rPr>
      </w:pPr>
    </w:p>
    <w:p w14:paraId="77D40258" w14:textId="77777777" w:rsidR="006803AB" w:rsidRPr="00593A5F" w:rsidRDefault="006803AB" w:rsidP="006803A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1B6AD472" w14:textId="77777777" w:rsidR="006803AB" w:rsidRPr="00593A5F" w:rsidRDefault="006803AB" w:rsidP="006803A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803AB" w:rsidRPr="00593A5F" w14:paraId="398EA68C" w14:textId="77777777" w:rsidTr="00CE268D">
        <w:trPr>
          <w:jc w:val="center"/>
        </w:trPr>
        <w:tc>
          <w:tcPr>
            <w:tcW w:w="8828" w:type="dxa"/>
          </w:tcPr>
          <w:p w14:paraId="6C64D13C" w14:textId="77777777" w:rsidR="006803AB" w:rsidRPr="004C1120" w:rsidRDefault="006803AB" w:rsidP="00CE268D">
            <w:pPr>
              <w:spacing w:after="120" w:line="276" w:lineRule="auto"/>
              <w:jc w:val="both"/>
              <w:rPr>
                <w:rFonts w:ascii="Verdana" w:eastAsiaTheme="minorEastAsia" w:hAnsi="Verdana" w:cs="Arial"/>
                <w:bCs/>
                <w:lang w:val="es-MX" w:eastAsia="es-CO"/>
              </w:rPr>
            </w:pPr>
            <w:bookmarkStart w:id="2" w:name="_Hlk171694685"/>
            <w:r w:rsidRPr="004F1C0A">
              <w:rPr>
                <w:rFonts w:ascii="Verdana" w:eastAsia="Calibri" w:hAnsi="Verdana" w:cs="Arial"/>
                <w:lang w:val="es-MX"/>
              </w:rPr>
              <w:t>De acuerdo con el problema jurídico</w:t>
            </w:r>
            <w:r>
              <w:rPr>
                <w:rFonts w:ascii="Verdana" w:eastAsia="Calibri" w:hAnsi="Verdana" w:cs="Arial"/>
                <w:lang w:val="es-MX"/>
              </w:rPr>
              <w:t xml:space="preserve">, objeto de consulta, </w:t>
            </w:r>
            <w:r>
              <w:rPr>
                <w:rFonts w:ascii="Verdana" w:eastAsia="Calibri" w:hAnsi="Verdana"/>
                <w:color w:val="000000" w:themeColor="text1"/>
              </w:rPr>
              <w:t xml:space="preserve">no es posible que la entidad estatal en calidad de arrendadora de un bien inmueble pueda suscribir un contrato de arrendamiento de forma directa, pues se encuentra dentro de la restricción del artículo 33 </w:t>
            </w:r>
            <w:r>
              <w:rPr>
                <w:rFonts w:ascii="Verdana" w:eastAsiaTheme="minorEastAsia" w:hAnsi="Verdana" w:cs="Arial"/>
                <w:lang w:eastAsia="es-CO"/>
              </w:rPr>
              <w:t xml:space="preserve">de la Ley 996 de 2005, la cual </w:t>
            </w:r>
            <w:r w:rsidRPr="004C1120">
              <w:rPr>
                <w:rFonts w:ascii="Verdana" w:eastAsiaTheme="minorEastAsia" w:hAnsi="Verdana" w:cs="Arial"/>
                <w:bCs/>
                <w:lang w:val="es-MX" w:eastAsia="es-CO"/>
              </w:rPr>
              <w:t xml:space="preserve">prohíbe adelantar cualquier </w:t>
            </w:r>
            <w:r>
              <w:rPr>
                <w:rFonts w:ascii="Verdana" w:eastAsiaTheme="minorEastAsia" w:hAnsi="Verdana" w:cs="Arial"/>
                <w:bCs/>
                <w:lang w:val="es-MX" w:eastAsia="es-CO"/>
              </w:rPr>
              <w:t xml:space="preserve">forma </w:t>
            </w:r>
            <w:r w:rsidRPr="004C1120">
              <w:rPr>
                <w:rFonts w:ascii="Verdana" w:eastAsiaTheme="minorEastAsia" w:hAnsi="Verdana" w:cs="Arial"/>
                <w:bCs/>
                <w:lang w:val="es-MX" w:eastAsia="es-CO"/>
              </w:rPr>
              <w:t xml:space="preserve">de contratación directa, entendida como todo mecanismo no competitivo. Es decir, </w:t>
            </w:r>
            <w:r>
              <w:rPr>
                <w:rFonts w:ascii="Verdana" w:eastAsiaTheme="minorEastAsia" w:hAnsi="Verdana" w:cs="Arial"/>
                <w:bCs/>
                <w:lang w:val="es-MX" w:eastAsia="es-CO"/>
              </w:rPr>
              <w:t xml:space="preserve">dicha restricción aplica en aquellos supuestos, en los que se pretenda </w:t>
            </w:r>
            <w:r w:rsidRPr="004C1120">
              <w:rPr>
                <w:rFonts w:ascii="Verdana" w:eastAsiaTheme="minorEastAsia" w:hAnsi="Verdana" w:cs="Arial"/>
                <w:bCs/>
                <w:lang w:val="es-MX" w:eastAsia="es-CO"/>
              </w:rPr>
              <w:t xml:space="preserve">celebrar </w:t>
            </w:r>
            <w:r>
              <w:rPr>
                <w:rFonts w:ascii="Verdana" w:eastAsiaTheme="minorEastAsia" w:hAnsi="Verdana" w:cs="Arial"/>
                <w:bCs/>
                <w:lang w:val="es-MX" w:eastAsia="es-CO"/>
              </w:rPr>
              <w:t xml:space="preserve">contratos de arrendamiento de bienes inmuebles </w:t>
            </w:r>
            <w:r w:rsidRPr="004C1120">
              <w:rPr>
                <w:rFonts w:ascii="Verdana" w:eastAsiaTheme="minorEastAsia" w:hAnsi="Verdana" w:cs="Arial"/>
                <w:bCs/>
                <w:lang w:val="es-MX" w:eastAsia="es-CO"/>
              </w:rPr>
              <w:t>de forma directa,</w:t>
            </w:r>
            <w:r>
              <w:rPr>
                <w:rFonts w:ascii="Verdana" w:eastAsiaTheme="minorEastAsia" w:hAnsi="Verdana" w:cs="Arial"/>
                <w:bCs/>
                <w:lang w:val="es-MX" w:eastAsia="es-CO"/>
              </w:rPr>
              <w:t xml:space="preserve"> ya sea en calidad de arrendadora o de arrendataria, conforme a la causal de contratación directa </w:t>
            </w:r>
            <w:r>
              <w:rPr>
                <w:rFonts w:ascii="Verdana" w:eastAsiaTheme="minorEastAsia" w:hAnsi="Verdana" w:cs="Arial"/>
                <w:bCs/>
                <w:lang w:eastAsia="es-CO"/>
              </w:rPr>
              <w:t>de</w:t>
            </w:r>
            <w:r w:rsidRPr="00F45DD2">
              <w:rPr>
                <w:rFonts w:ascii="Verdana" w:eastAsiaTheme="minorEastAsia" w:hAnsi="Verdana" w:cs="Arial"/>
                <w:bCs/>
                <w:lang w:eastAsia="es-CO"/>
              </w:rPr>
              <w:t>l artículo 2º, numeral 4° literal i) de la Ley 1150 de 2007</w:t>
            </w:r>
            <w:r>
              <w:rPr>
                <w:rFonts w:ascii="Verdana" w:eastAsiaTheme="minorEastAsia" w:hAnsi="Verdana" w:cs="Arial"/>
                <w:bCs/>
                <w:lang w:eastAsia="es-CO"/>
              </w:rPr>
              <w:t>.</w:t>
            </w:r>
            <w:r>
              <w:rPr>
                <w:rFonts w:ascii="Verdana" w:eastAsiaTheme="minorEastAsia" w:hAnsi="Verdana" w:cs="Arial"/>
                <w:bCs/>
                <w:lang w:val="es-MX" w:eastAsia="es-CO"/>
              </w:rPr>
              <w:t xml:space="preserve"> E</w:t>
            </w:r>
            <w:r w:rsidRPr="004C1120">
              <w:rPr>
                <w:rFonts w:ascii="Verdana" w:eastAsiaTheme="minorEastAsia" w:hAnsi="Verdana" w:cs="Arial"/>
                <w:bCs/>
                <w:lang w:val="es-MX" w:eastAsia="es-CO"/>
              </w:rPr>
              <w:t xml:space="preserve">n este sentido, todos los entes del Estado, independiente del régimen jurídico aplicable, están sujetos a la restricción del artículo 33 de la Ley 996 de 2005, es decir, no podrán adelantar sistema que implique contratación directa respecto de las elecciones presidenciales, dentro de los cuatro (4) meses anteriores a la celebración de dichos comicios. </w:t>
            </w:r>
          </w:p>
          <w:p w14:paraId="72BBD0FF" w14:textId="77777777" w:rsidR="006803AB" w:rsidRPr="005C008F" w:rsidRDefault="006803AB" w:rsidP="00CE268D">
            <w:pPr>
              <w:spacing w:after="120" w:line="276" w:lineRule="auto"/>
              <w:ind w:firstLine="709"/>
              <w:jc w:val="both"/>
              <w:rPr>
                <w:rFonts w:ascii="Verdana" w:eastAsia="Calibri" w:hAnsi="Verdana"/>
                <w:color w:val="000000" w:themeColor="text1"/>
              </w:rPr>
            </w:pPr>
            <w:r w:rsidRPr="00FF1C59">
              <w:rPr>
                <w:rFonts w:ascii="Verdana" w:eastAsiaTheme="minorEastAsia" w:hAnsi="Verdana" w:cs="Arial"/>
                <w:lang w:eastAsia="es-CO"/>
              </w:rPr>
              <w:t>De igual manera, resulta pertinente precisar</w:t>
            </w:r>
            <w:r>
              <w:rPr>
                <w:rFonts w:ascii="Verdana" w:eastAsiaTheme="minorEastAsia" w:hAnsi="Verdana" w:cs="Arial"/>
                <w:lang w:eastAsia="es-CO"/>
              </w:rPr>
              <w:t xml:space="preserve"> que los contratos de arrendamientos de bienes inmuebles no encajan en la restricción del artículo 38 de la Ley 996 de 2005, la cual </w:t>
            </w:r>
            <w:r w:rsidRPr="00FF1C59">
              <w:rPr>
                <w:rFonts w:ascii="Verdana" w:eastAsiaTheme="minorEastAsia" w:hAnsi="Verdana" w:cs="Arial"/>
                <w:lang w:eastAsia="es-CO"/>
              </w:rPr>
              <w:t xml:space="preserve">establece </w:t>
            </w:r>
            <w:r>
              <w:rPr>
                <w:rFonts w:ascii="Verdana" w:eastAsiaTheme="minorEastAsia" w:hAnsi="Verdana" w:cs="Arial"/>
                <w:lang w:eastAsia="es-CO"/>
              </w:rPr>
              <w:t>la prohibición</w:t>
            </w:r>
            <w:r w:rsidRPr="00FF1C59">
              <w:rPr>
                <w:rFonts w:ascii="Verdana" w:eastAsiaTheme="minorEastAsia" w:hAnsi="Verdana" w:cs="Arial"/>
                <w:lang w:eastAsia="es-CO"/>
              </w:rPr>
              <w:t xml:space="preserve"> de </w:t>
            </w:r>
            <w:r>
              <w:rPr>
                <w:rFonts w:ascii="Verdana" w:eastAsiaTheme="minorEastAsia" w:hAnsi="Verdana" w:cs="Arial"/>
                <w:lang w:eastAsia="es-CO"/>
              </w:rPr>
              <w:t xml:space="preserve">celebrar </w:t>
            </w:r>
            <w:r w:rsidRPr="00FF1C59">
              <w:rPr>
                <w:rFonts w:ascii="Verdana" w:eastAsiaTheme="minorEastAsia" w:hAnsi="Verdana" w:cs="Arial"/>
                <w:lang w:eastAsia="es-CO"/>
              </w:rPr>
              <w:t xml:space="preserve">convenios </w:t>
            </w:r>
            <w:r>
              <w:rPr>
                <w:rFonts w:ascii="Verdana" w:eastAsiaTheme="minorEastAsia" w:hAnsi="Verdana" w:cs="Arial"/>
                <w:lang w:eastAsia="es-CO"/>
              </w:rPr>
              <w:t>interadministrativos para la ejecución de recursos públicos</w:t>
            </w:r>
            <w:r w:rsidRPr="00FF1C59">
              <w:rPr>
                <w:rFonts w:ascii="Verdana" w:eastAsiaTheme="minorEastAsia" w:hAnsi="Verdana" w:cs="Arial"/>
                <w:lang w:eastAsia="es-CO"/>
              </w:rPr>
              <w:t xml:space="preserve"> por parte de alcaldes, gobernadores, secretarios, gerentes y directores de entidades del orden municipal, departamental o distrital.</w:t>
            </w:r>
            <w:r>
              <w:rPr>
                <w:rFonts w:ascii="Verdana" w:eastAsiaTheme="minorEastAsia" w:hAnsi="Verdana" w:cs="Arial"/>
                <w:lang w:eastAsia="es-CO"/>
              </w:rPr>
              <w:t xml:space="preserve"> </w:t>
            </w:r>
            <w:r w:rsidRPr="005C008F">
              <w:rPr>
                <w:rFonts w:ascii="Verdana" w:eastAsia="Calibri" w:hAnsi="Verdana"/>
                <w:color w:val="000000" w:themeColor="text1"/>
              </w:rPr>
              <w:t>Por tanto, esta limitación no afecta directamente la relación bilateral propia del contrato de arrendamiento, sino únicamente convenios de naturaleza asociativa</w:t>
            </w:r>
            <w:r>
              <w:rPr>
                <w:rFonts w:ascii="Verdana" w:eastAsia="Calibri" w:hAnsi="Verdana"/>
                <w:color w:val="000000" w:themeColor="text1"/>
              </w:rPr>
              <w:t xml:space="preserve"> o cooperativa, en que dos o más partes aúnan esfuerzos para un objetivo común</w:t>
            </w:r>
            <w:r w:rsidRPr="005C008F">
              <w:rPr>
                <w:rFonts w:ascii="Verdana" w:eastAsia="Calibri" w:hAnsi="Verdana"/>
                <w:color w:val="000000" w:themeColor="text1"/>
              </w:rPr>
              <w:t>.</w:t>
            </w:r>
          </w:p>
          <w:p w14:paraId="2A4DBD8D" w14:textId="77777777" w:rsidR="006803AB" w:rsidRDefault="006803AB" w:rsidP="00CE268D">
            <w:pPr>
              <w:spacing w:after="120" w:line="276" w:lineRule="auto"/>
              <w:ind w:firstLine="708"/>
              <w:jc w:val="both"/>
              <w:rPr>
                <w:rFonts w:ascii="Verdana" w:eastAsia="Calibri" w:hAnsi="Verdana"/>
                <w:color w:val="000000" w:themeColor="text1"/>
              </w:rPr>
            </w:pPr>
            <w:r>
              <w:rPr>
                <w:rFonts w:ascii="Verdana" w:eastAsiaTheme="minorEastAsia" w:hAnsi="Verdana" w:cs="Arial"/>
                <w:lang w:eastAsia="es-CO"/>
              </w:rPr>
              <w:t>Sin embargo, c</w:t>
            </w:r>
            <w:r w:rsidRPr="005C008F">
              <w:rPr>
                <w:rFonts w:ascii="Verdana" w:eastAsiaTheme="minorEastAsia" w:hAnsi="Verdana" w:cs="Arial"/>
                <w:lang w:eastAsia="es-CO"/>
              </w:rPr>
              <w:t>abe destacar que, tratándose de un contrato interadministrativo de arrendamiento, este también se encuentra sujeto a la restricción prevista en el artículo 33, siempre que se celebre mediante la modalidad de contratación directa</w:t>
            </w:r>
            <w:r>
              <w:rPr>
                <w:rFonts w:ascii="Verdana" w:eastAsiaTheme="minorEastAsia" w:hAnsi="Verdana" w:cs="Arial"/>
                <w:lang w:eastAsia="es-CO"/>
              </w:rPr>
              <w:t xml:space="preserve">, esto es, mediante un procedimiento no </w:t>
            </w:r>
            <w:r>
              <w:rPr>
                <w:rFonts w:ascii="Verdana" w:eastAsiaTheme="minorEastAsia" w:hAnsi="Verdana" w:cs="Arial"/>
                <w:lang w:eastAsia="es-CO"/>
              </w:rPr>
              <w:lastRenderedPageBreak/>
              <w:t>competitivo</w:t>
            </w:r>
            <w:r w:rsidRPr="005C008F">
              <w:rPr>
                <w:rFonts w:ascii="Verdana" w:eastAsiaTheme="minorEastAsia" w:hAnsi="Verdana" w:cs="Arial"/>
                <w:lang w:eastAsia="es-CO"/>
              </w:rPr>
              <w:t>. En consecuencia, cualquier contrato de arrendamiento de bienes inmuebles suscrito por entidades estatales bajo esta forma, dentro de los cuatro meses anteriores a las elecciones presidenciales —programadas para el 31 de mayo de 2026—, así como respecto de una eventual segunda vuelta prevista para el 21 de junio del mismo año, quedará igualmente comprendido en dicha limitación.</w:t>
            </w:r>
          </w:p>
          <w:p w14:paraId="036D87E5" w14:textId="77777777" w:rsidR="006803AB" w:rsidRDefault="006803AB" w:rsidP="00CE268D">
            <w:pPr>
              <w:spacing w:after="120" w:line="276" w:lineRule="auto"/>
              <w:ind w:firstLine="709"/>
              <w:jc w:val="both"/>
              <w:rPr>
                <w:rFonts w:ascii="Verdana" w:eastAsia="Times New Roman" w:hAnsi="Verdana" w:cs="Arial"/>
                <w:bCs/>
                <w:lang w:eastAsia="x-none"/>
              </w:rPr>
            </w:pPr>
            <w:r w:rsidRPr="004F1C0A">
              <w:rPr>
                <w:rFonts w:ascii="Verdana" w:eastAsia="Times New Roman" w:hAnsi="Verdana" w:cs="Arial"/>
                <w:bCs/>
                <w:lang w:val="es-MX" w:eastAsia="x-none"/>
              </w:rPr>
              <w:t xml:space="preserve">Esto, sin perjuicio de las excepciones a la prohibición establecidas en el inciso segundo del mismo artículo 33, como son: i) la defensa y seguridad del Estado; </w:t>
            </w:r>
            <w:proofErr w:type="spellStart"/>
            <w:r w:rsidRPr="004F1C0A">
              <w:rPr>
                <w:rFonts w:ascii="Verdana" w:eastAsia="Times New Roman" w:hAnsi="Verdana" w:cs="Arial"/>
                <w:bCs/>
                <w:lang w:val="es-MX" w:eastAsia="x-none"/>
              </w:rPr>
              <w:t>ii</w:t>
            </w:r>
            <w:proofErr w:type="spellEnd"/>
            <w:r w:rsidRPr="004F1C0A">
              <w:rPr>
                <w:rFonts w:ascii="Verdana" w:eastAsia="Times New Roman" w:hAnsi="Verdana" w:cs="Arial"/>
                <w:bCs/>
                <w:lang w:val="es-MX" w:eastAsia="x-none"/>
              </w:rPr>
              <w:t xml:space="preserve">) los contratos de crédito público; </w:t>
            </w:r>
            <w:proofErr w:type="spellStart"/>
            <w:r w:rsidRPr="004F1C0A">
              <w:rPr>
                <w:rFonts w:ascii="Verdana" w:eastAsia="Times New Roman" w:hAnsi="Verdana" w:cs="Arial"/>
                <w:bCs/>
                <w:lang w:val="es-MX" w:eastAsia="x-none"/>
              </w:rPr>
              <w:t>iii</w:t>
            </w:r>
            <w:proofErr w:type="spellEnd"/>
            <w:r w:rsidRPr="004F1C0A">
              <w:rPr>
                <w:rFonts w:ascii="Verdana" w:eastAsia="Times New Roman" w:hAnsi="Verdana" w:cs="Arial"/>
                <w:bCs/>
                <w:lang w:val="es-MX" w:eastAsia="x-none"/>
              </w:rPr>
              <w:t xml:space="preserve">) los requeridos para cubrir las emergencias educativas, sanitarias y desastres; </w:t>
            </w:r>
            <w:proofErr w:type="spellStart"/>
            <w:r w:rsidRPr="004F1C0A">
              <w:rPr>
                <w:rFonts w:ascii="Verdana" w:eastAsia="Times New Roman" w:hAnsi="Verdana" w:cs="Arial"/>
                <w:bCs/>
                <w:lang w:val="es-MX" w:eastAsia="x-none"/>
              </w:rPr>
              <w:t>iv</w:t>
            </w:r>
            <w:proofErr w:type="spellEnd"/>
            <w:r w:rsidRPr="004F1C0A">
              <w:rPr>
                <w:rFonts w:ascii="Verdana" w:eastAsia="Times New Roman"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1C02FC1D" w14:textId="77777777" w:rsidR="006803AB" w:rsidRPr="008E17DE" w:rsidRDefault="006803AB" w:rsidP="00CE268D">
            <w:pPr>
              <w:spacing w:after="120" w:line="276" w:lineRule="auto"/>
              <w:ind w:firstLine="708"/>
              <w:jc w:val="both"/>
              <w:rPr>
                <w:rFonts w:ascii="Verdana" w:eastAsia="Calibri" w:hAnsi="Verdana"/>
                <w:color w:val="000000" w:themeColor="text1"/>
                <w:lang w:val="es-MX"/>
              </w:rPr>
            </w:pPr>
            <w:r>
              <w:rPr>
                <w:rFonts w:ascii="Verdana" w:eastAsia="Times New Roman" w:hAnsi="Verdana" w:cs="Arial"/>
                <w:bCs/>
                <w:lang w:eastAsia="x-none"/>
              </w:rPr>
              <w:t>Por último</w:t>
            </w:r>
            <w:r w:rsidRPr="004F1C0A">
              <w:rPr>
                <w:rFonts w:ascii="Verdana" w:eastAsia="Times New Roman" w:hAnsi="Verdana" w:cs="Arial"/>
                <w:bCs/>
                <w:lang w:val="es-MX" w:eastAsia="x-none"/>
              </w:rPr>
              <w:t xml:space="preserve">, se reitera, </w:t>
            </w:r>
            <w:r w:rsidRPr="004F1C0A">
              <w:rPr>
                <w:rFonts w:ascii="Verdana" w:eastAsia="Times New Roman" w:hAnsi="Verdana" w:cs="Arial"/>
                <w:bCs/>
                <w:lang w:val="es-MX" w:eastAsia="es-CO"/>
              </w:rPr>
              <w:t xml:space="preserve">que las prórrogas, modificaciones o adiciones de los contratos suscritos antes de la entrada en vigor de las prohibiciones anotadas, así como la cesión de </w:t>
            </w:r>
            <w:proofErr w:type="gramStart"/>
            <w:r w:rsidRPr="004F1C0A">
              <w:rPr>
                <w:rFonts w:ascii="Verdana" w:eastAsia="Times New Roman" w:hAnsi="Verdana" w:cs="Arial"/>
                <w:bCs/>
                <w:lang w:val="es-MX" w:eastAsia="es-CO"/>
              </w:rPr>
              <w:t>los mismos</w:t>
            </w:r>
            <w:proofErr w:type="gramEnd"/>
            <w:r w:rsidRPr="004F1C0A">
              <w:rPr>
                <w:rFonts w:ascii="Verdana" w:eastAsia="Times New Roman" w:hAnsi="Verdana" w:cs="Arial"/>
                <w:bCs/>
                <w:lang w:val="es-MX" w:eastAsia="es-CO"/>
              </w:rPr>
              <w:t>, pueden tener lugar en el período de aplicación de la</w:t>
            </w:r>
            <w:r>
              <w:rPr>
                <w:rFonts w:ascii="Verdana" w:eastAsia="Times New Roman" w:hAnsi="Verdana" w:cs="Arial"/>
                <w:bCs/>
                <w:lang w:val="es-MX" w:eastAsia="es-CO"/>
              </w:rPr>
              <w:t>s restricciones a la contratación que comporta la</w:t>
            </w:r>
            <w:r w:rsidRPr="004F1C0A">
              <w:rPr>
                <w:rFonts w:ascii="Verdana" w:eastAsia="Times New Roman" w:hAnsi="Verdana" w:cs="Arial"/>
                <w:bCs/>
                <w:lang w:val="es-MX" w:eastAsia="es-CO"/>
              </w:rPr>
              <w:t xml:space="preserve"> Ley de Garantías</w:t>
            </w:r>
            <w:r>
              <w:rPr>
                <w:rFonts w:ascii="Verdana" w:eastAsia="Times New Roman" w:hAnsi="Verdana" w:cs="Arial"/>
                <w:bCs/>
                <w:lang w:val="es-MX" w:eastAsia="es-CO"/>
              </w:rPr>
              <w:t xml:space="preserve"> electorales</w:t>
            </w:r>
            <w:r w:rsidRPr="004F1C0A">
              <w:rPr>
                <w:rFonts w:ascii="Verdana" w:eastAsia="Times New Roman" w:hAnsi="Verdana" w:cs="Arial"/>
                <w:bCs/>
                <w:lang w:val="es-MX" w:eastAsia="es-CO"/>
              </w:rPr>
              <w:t xml:space="preserve">, sin que ello haga nugatoria la restricción de la contratación directa y siempre que cumplan los principios de planeación, transparencia y responsabilidad. </w:t>
            </w:r>
          </w:p>
        </w:tc>
      </w:tr>
    </w:tbl>
    <w:p w14:paraId="309823AC" w14:textId="77777777" w:rsidR="006803AB" w:rsidRPr="00593A5F" w:rsidRDefault="006803AB" w:rsidP="006803AB">
      <w:pPr>
        <w:tabs>
          <w:tab w:val="left" w:pos="142"/>
          <w:tab w:val="left" w:pos="284"/>
        </w:tabs>
        <w:spacing w:after="0" w:line="276" w:lineRule="auto"/>
        <w:jc w:val="both"/>
        <w:rPr>
          <w:rFonts w:ascii="Verdana" w:eastAsia="Century Gothic" w:hAnsi="Verdana" w:cs="Century Gothic"/>
          <w:b/>
          <w:bCs/>
          <w:lang w:val="es-ES"/>
        </w:rPr>
      </w:pPr>
    </w:p>
    <w:bookmarkEnd w:id="2"/>
    <w:p w14:paraId="579D5D04" w14:textId="77777777" w:rsidR="006803AB" w:rsidRPr="00593A5F" w:rsidRDefault="006803AB" w:rsidP="006803A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4B0652FF" w14:textId="77777777" w:rsidR="006803AB" w:rsidRPr="00593A5F" w:rsidRDefault="006803AB" w:rsidP="006803AB">
      <w:pPr>
        <w:spacing w:after="0" w:line="276" w:lineRule="auto"/>
        <w:jc w:val="both"/>
        <w:rPr>
          <w:rFonts w:ascii="Verdana" w:eastAsia="Calibri" w:hAnsi="Verdana" w:cs="Arial"/>
          <w:color w:val="7030A0"/>
          <w:lang w:val="es-ES"/>
        </w:rPr>
      </w:pPr>
    </w:p>
    <w:p w14:paraId="4CAAD3BB" w14:textId="77777777" w:rsidR="006803AB" w:rsidRDefault="006803AB" w:rsidP="006803AB">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508997A1" w14:textId="77777777" w:rsidR="006803AB" w:rsidRDefault="006803AB" w:rsidP="006803AB">
      <w:pPr>
        <w:spacing w:after="0" w:line="276" w:lineRule="auto"/>
        <w:jc w:val="both"/>
        <w:rPr>
          <w:rFonts w:ascii="Verdana" w:eastAsia="Calibri" w:hAnsi="Verdana" w:cs="Arial"/>
          <w:lang w:val="es-ES"/>
        </w:rPr>
      </w:pPr>
    </w:p>
    <w:p w14:paraId="498AEE81" w14:textId="77777777" w:rsidR="006803AB" w:rsidRPr="002D6B43" w:rsidRDefault="006803AB" w:rsidP="006803AB">
      <w:pPr>
        <w:tabs>
          <w:tab w:val="left" w:pos="426"/>
        </w:tabs>
        <w:spacing w:after="120" w:line="276" w:lineRule="auto"/>
        <w:jc w:val="both"/>
        <w:rPr>
          <w:rFonts w:ascii="Verdana" w:eastAsia="Times New Roman" w:hAnsi="Verdana" w:cs="Arial"/>
          <w:lang w:eastAsia="es-CO"/>
        </w:rPr>
      </w:pPr>
      <w:r w:rsidRPr="002D6B43">
        <w:rPr>
          <w:rFonts w:ascii="Verdana" w:eastAsia="Calibri" w:hAnsi="Verdana" w:cs="Arial"/>
        </w:rPr>
        <w:t>i. El ordenamiento jurídico colombiano contempla previsiones claras para evitar la obtención de beneficios personales en asuntos propios de la administración pública</w:t>
      </w:r>
      <w:r w:rsidRPr="002D6B43">
        <w:rPr>
          <w:rFonts w:ascii="Verdana" w:eastAsia="Calibri" w:hAnsi="Verdana" w:cs="Arial"/>
          <w:i/>
        </w:rPr>
        <w:t xml:space="preserve">. </w:t>
      </w:r>
      <w:r w:rsidRPr="002D6B43">
        <w:rPr>
          <w:rFonts w:ascii="Verdana" w:eastAsia="Calibri" w:hAnsi="Verdana" w:cs="Arial"/>
        </w:rPr>
        <w:t xml:space="preserve">Por ejemplo, el artículo 127 de la Constitución Política establece una prohibición contractual a los servidores públicos y, en cuanto a aspectos </w:t>
      </w:r>
      <w:r w:rsidRPr="002D6B43">
        <w:rPr>
          <w:rFonts w:ascii="Verdana" w:eastAsia="Calibri" w:hAnsi="Verdana" w:cs="Arial"/>
        </w:rPr>
        <w:lastRenderedPageBreak/>
        <w:t>políticos, establece restricciones a ciertos empleados del Estado, incluso en época no electoral</w:t>
      </w:r>
      <w:r w:rsidRPr="001924B7">
        <w:rPr>
          <w:rFonts w:ascii="Verdana" w:hAnsi="Verdana"/>
          <w:vertAlign w:val="superscript"/>
        </w:rPr>
        <w:footnoteReference w:id="2"/>
      </w:r>
      <w:r w:rsidRPr="002D6B43">
        <w:rPr>
          <w:rFonts w:ascii="Verdana" w:eastAsia="Calibri" w:hAnsi="Verdana" w:cs="Arial"/>
        </w:rPr>
        <w:t xml:space="preserve">. </w:t>
      </w:r>
    </w:p>
    <w:p w14:paraId="71EC9DBB" w14:textId="77777777" w:rsidR="006803AB" w:rsidRPr="006B14B5" w:rsidRDefault="006803AB" w:rsidP="006803AB">
      <w:pPr>
        <w:tabs>
          <w:tab w:val="left" w:pos="426"/>
        </w:tabs>
        <w:spacing w:after="0" w:line="276" w:lineRule="auto"/>
        <w:ind w:firstLine="709"/>
        <w:jc w:val="both"/>
        <w:rPr>
          <w:rFonts w:ascii="Verdana" w:eastAsia="Calibri" w:hAnsi="Verdana" w:cs="Arial"/>
          <w:lang w:val="es-ES_tradnl"/>
        </w:rPr>
      </w:pPr>
      <w:r w:rsidRPr="00E2397D">
        <w:rPr>
          <w:rFonts w:ascii="Verdana" w:eastAsia="Times New Roman" w:hAnsi="Verdana" w:cs="Arial"/>
          <w:lang w:eastAsia="es-CO"/>
        </w:rPr>
        <w:t>En el mismo sentido</w:t>
      </w:r>
      <w:r w:rsidRPr="00E2397D">
        <w:rPr>
          <w:rFonts w:ascii="Verdana" w:eastAsia="Times New Roman" w:hAnsi="Verdana" w:cs="Arial"/>
          <w:lang w:val="es-MX" w:eastAsia="es-CO"/>
        </w:rPr>
        <w:t xml:space="preserve">, </w:t>
      </w:r>
      <w:bookmarkStart w:id="3" w:name="_Hlk99576829"/>
      <w:r w:rsidRPr="00E2397D">
        <w:rPr>
          <w:rFonts w:ascii="Verdana" w:eastAsia="Times New Roman" w:hAnsi="Verdana"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E2397D">
        <w:rPr>
          <w:rFonts w:ascii="Verdana" w:eastAsia="Times New Roman" w:hAnsi="Verdana" w:cs="Arial"/>
          <w:vertAlign w:val="superscript"/>
          <w:lang w:val="es-MX" w:eastAsia="es-CO"/>
        </w:rPr>
        <w:footnoteReference w:id="3"/>
      </w:r>
      <w:r w:rsidRPr="00E2397D">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E2397D">
        <w:rPr>
          <w:rFonts w:ascii="Verdana" w:eastAsia="Calibri" w:hAnsi="Verdana" w:cs="Arial"/>
          <w:lang w:val="es-ES_tradnl"/>
        </w:rPr>
        <w:t xml:space="preserve"> </w:t>
      </w:r>
      <w:bookmarkEnd w:id="3"/>
      <w:r w:rsidRPr="00E2397D">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1D6C0B18" w14:textId="77777777" w:rsidR="006803AB" w:rsidRPr="00E2397D" w:rsidRDefault="006803AB" w:rsidP="006803AB">
      <w:pPr>
        <w:spacing w:after="0" w:line="276" w:lineRule="auto"/>
        <w:ind w:right="709"/>
        <w:contextualSpacing/>
        <w:jc w:val="both"/>
        <w:rPr>
          <w:rFonts w:ascii="Verdana" w:eastAsia="Times New Roman" w:hAnsi="Verdana" w:cs="Arial"/>
          <w:lang w:val="es-ES" w:eastAsia="es-CO"/>
        </w:rPr>
      </w:pPr>
    </w:p>
    <w:p w14:paraId="54F24A72" w14:textId="77777777" w:rsidR="006803AB" w:rsidRPr="00E2397D" w:rsidRDefault="006803AB" w:rsidP="006803AB">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ES" w:eastAsia="es-CO"/>
        </w:rPr>
        <w:t xml:space="preserve">“[…] </w:t>
      </w:r>
      <w:r w:rsidRPr="00E2397D">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6E1ED020" w14:textId="77777777" w:rsidR="006803AB" w:rsidRPr="008E17DE" w:rsidRDefault="006803AB" w:rsidP="006803AB">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 xml:space="preserve">[…] </w:t>
      </w:r>
    </w:p>
    <w:p w14:paraId="2F235E3A" w14:textId="77777777" w:rsidR="006803AB" w:rsidRPr="00E2397D" w:rsidRDefault="006803AB" w:rsidP="006803AB">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E2397D">
        <w:rPr>
          <w:rFonts w:ascii="Verdana" w:eastAsia="Calibri" w:hAnsi="Verdana" w:cs="Arial"/>
          <w:sz w:val="20"/>
          <w:szCs w:val="20"/>
          <w:vertAlign w:val="superscript"/>
          <w:lang w:val="es-MX"/>
        </w:rPr>
        <w:footnoteReference w:id="4"/>
      </w:r>
    </w:p>
    <w:p w14:paraId="7AE2A19F" w14:textId="77777777" w:rsidR="006803AB" w:rsidRPr="00E2397D" w:rsidRDefault="006803AB" w:rsidP="006803AB">
      <w:pPr>
        <w:spacing w:after="0" w:line="276" w:lineRule="auto"/>
        <w:ind w:firstLine="709"/>
        <w:jc w:val="both"/>
        <w:rPr>
          <w:rFonts w:ascii="Verdana" w:eastAsia="Times New Roman" w:hAnsi="Verdana" w:cs="Arial"/>
          <w:lang w:val="es-MX" w:eastAsia="es-CO"/>
        </w:rPr>
      </w:pPr>
      <w:bookmarkStart w:id="4" w:name="_Hlk78818186"/>
    </w:p>
    <w:p w14:paraId="635F46B2" w14:textId="77777777" w:rsidR="006803AB" w:rsidRPr="00E2397D" w:rsidRDefault="006803AB" w:rsidP="006803AB">
      <w:pPr>
        <w:spacing w:after="0" w:line="276" w:lineRule="auto"/>
        <w:ind w:firstLine="709"/>
        <w:jc w:val="both"/>
        <w:rPr>
          <w:rFonts w:ascii="Verdana" w:eastAsia="Times New Roman" w:hAnsi="Verdana" w:cs="Arial"/>
          <w:lang w:val="es-MX" w:eastAsia="es-CO"/>
        </w:rPr>
      </w:pPr>
      <w:r w:rsidRPr="00E2397D">
        <w:rPr>
          <w:rFonts w:ascii="Verdana" w:eastAsia="Times New Roman" w:hAnsi="Verdana" w:cs="Arial"/>
          <w:lang w:val="es-MX" w:eastAsia="es-CO"/>
        </w:rPr>
        <w:t xml:space="preserve">En este contexto, la Ley de Garantías Electorales establece el marco jurídico para el desarrollo de las elecciones, procurando condiciones de igualdad </w:t>
      </w:r>
      <w:r w:rsidRPr="00E2397D">
        <w:rPr>
          <w:rFonts w:ascii="Verdana" w:eastAsia="Times New Roman" w:hAnsi="Verdana" w:cs="Arial"/>
          <w:lang w:val="es-MX" w:eastAsia="es-CO"/>
        </w:rPr>
        <w:lastRenderedPageBreak/>
        <w:t>y transparencia para los aspirantes. Paralelamente,</w:t>
      </w:r>
      <w:r>
        <w:rPr>
          <w:rFonts w:ascii="Verdana" w:eastAsia="Times New Roman" w:hAnsi="Verdana" w:cs="Arial"/>
          <w:lang w:val="es-MX" w:eastAsia="es-CO"/>
        </w:rPr>
        <w:t xml:space="preserve"> se incluyen restricciones en las actuaciones</w:t>
      </w:r>
      <w:r w:rsidRPr="00E2397D">
        <w:rPr>
          <w:rFonts w:ascii="Verdana" w:eastAsia="Times New Roman" w:hAnsi="Verdana" w:cs="Arial"/>
          <w:lang w:val="es-MX" w:eastAsia="es-CO"/>
        </w:rPr>
        <w:t xml:space="preserve"> de los servidores públicos, evitando interferencias en la contienda electoral, así como la posible desviación de recursos públicos en aspiraciones electorales. </w:t>
      </w:r>
      <w:bookmarkEnd w:id="4"/>
      <w:r w:rsidRPr="00E2397D">
        <w:rPr>
          <w:rFonts w:ascii="Verdana" w:eastAsia="Times New Roman" w:hAnsi="Verdana"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w:t>
      </w:r>
      <w:r>
        <w:rPr>
          <w:rFonts w:ascii="Verdana" w:eastAsia="Times New Roman" w:hAnsi="Verdana" w:cs="Arial"/>
          <w:lang w:val="es-MX" w:eastAsia="es-CO"/>
        </w:rPr>
        <w:t>cisó</w:t>
      </w:r>
      <w:r w:rsidRPr="00E2397D">
        <w:rPr>
          <w:rFonts w:ascii="Verdana" w:eastAsia="Times New Roman" w:hAnsi="Verdana" w:cs="Arial"/>
          <w:lang w:val="es-MX" w:eastAsia="es-CO"/>
        </w:rPr>
        <w:t>:</w:t>
      </w:r>
    </w:p>
    <w:p w14:paraId="59281745" w14:textId="77777777" w:rsidR="006803AB" w:rsidRPr="00886C02" w:rsidRDefault="006803AB" w:rsidP="006803AB">
      <w:pPr>
        <w:spacing w:after="0" w:line="276" w:lineRule="auto"/>
        <w:ind w:firstLine="709"/>
        <w:jc w:val="both"/>
        <w:rPr>
          <w:rFonts w:ascii="Verdana" w:eastAsia="Times New Roman" w:hAnsi="Verdana" w:cs="Arial"/>
          <w:lang w:val="es-MX" w:eastAsia="es-CO"/>
        </w:rPr>
      </w:pPr>
    </w:p>
    <w:p w14:paraId="72118E86" w14:textId="77777777" w:rsidR="006803AB" w:rsidRPr="00E2397D" w:rsidRDefault="006803AB" w:rsidP="006803AB">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E2397D">
        <w:rPr>
          <w:rFonts w:ascii="Verdana" w:eastAsia="Times New Roman" w:hAnsi="Verdana" w:cs="Arial"/>
          <w:sz w:val="20"/>
          <w:szCs w:val="20"/>
          <w:lang w:val="es-MX" w:eastAsia="es-CO"/>
        </w:rPr>
        <w:t>legis</w:t>
      </w:r>
      <w:proofErr w:type="spellEnd"/>
      <w:r w:rsidRPr="00E2397D">
        <w:rPr>
          <w:rFonts w:ascii="Verdana" w:eastAsia="Times New Roman" w:hAnsi="Verdana" w:cs="Arial"/>
          <w:sz w:val="20"/>
          <w:szCs w:val="20"/>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2695B06E" w14:textId="77777777" w:rsidR="006803AB" w:rsidRPr="000B35C5" w:rsidRDefault="006803AB" w:rsidP="006803AB">
      <w:pPr>
        <w:spacing w:after="0" w:line="240" w:lineRule="auto"/>
        <w:ind w:right="709"/>
        <w:contextualSpacing/>
        <w:jc w:val="both"/>
        <w:rPr>
          <w:rFonts w:ascii="Verdana" w:eastAsia="Times New Roman" w:hAnsi="Verdana" w:cs="Arial"/>
          <w:sz w:val="12"/>
          <w:szCs w:val="12"/>
          <w:lang w:val="es-MX" w:eastAsia="es-CO"/>
        </w:rPr>
      </w:pPr>
    </w:p>
    <w:p w14:paraId="579E2847" w14:textId="77777777" w:rsidR="006803AB" w:rsidRPr="00E2397D" w:rsidRDefault="006803AB" w:rsidP="006803AB">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La jurisprudencia de la Corte Constitucional</w:t>
      </w:r>
      <w:r w:rsidRPr="00E2397D">
        <w:rPr>
          <w:rFonts w:ascii="Verdana" w:eastAsia="Times New Roman" w:hAnsi="Verdana" w:cs="Arial"/>
          <w:sz w:val="20"/>
          <w:szCs w:val="20"/>
          <w:vertAlign w:val="superscript"/>
          <w:lang w:val="es-MX" w:eastAsia="es-CO"/>
        </w:rPr>
        <w:footnoteReference w:id="5"/>
      </w:r>
      <w:r w:rsidRPr="00E2397D">
        <w:rPr>
          <w:rFonts w:ascii="Verdana" w:eastAsia="Times New Roman" w:hAnsi="Verdana" w:cs="Arial"/>
          <w:sz w:val="20"/>
          <w:szCs w:val="20"/>
          <w:lang w:val="es-MX" w:eastAsia="es-CO"/>
        </w:rPr>
        <w:t> y del Consejo de Estado</w:t>
      </w:r>
      <w:r w:rsidRPr="00E2397D">
        <w:rPr>
          <w:rFonts w:ascii="Verdana" w:eastAsia="Times New Roman" w:hAnsi="Verdana" w:cs="Arial"/>
          <w:sz w:val="20"/>
          <w:szCs w:val="20"/>
          <w:vertAlign w:val="superscript"/>
          <w:lang w:val="es-MX" w:eastAsia="es-CO"/>
        </w:rPr>
        <w:footnoteReference w:id="6"/>
      </w:r>
      <w:r w:rsidRPr="00E2397D">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E2397D">
        <w:rPr>
          <w:rFonts w:ascii="Verdana" w:eastAsia="Times New Roman" w:hAnsi="Verdana" w:cs="Arial"/>
          <w:sz w:val="20"/>
          <w:szCs w:val="20"/>
          <w:vertAlign w:val="superscript"/>
          <w:lang w:val="es-MX" w:eastAsia="es-CO"/>
        </w:rPr>
        <w:footnoteReference w:id="7"/>
      </w:r>
      <w:r w:rsidRPr="00E2397D">
        <w:rPr>
          <w:rFonts w:ascii="Verdana" w:eastAsia="Times New Roman" w:hAnsi="Verdana" w:cs="Arial"/>
          <w:sz w:val="20"/>
          <w:szCs w:val="20"/>
          <w:lang w:val="es-MX" w:eastAsia="es-CO"/>
        </w:rPr>
        <w:t>.</w:t>
      </w:r>
    </w:p>
    <w:p w14:paraId="697C0E19" w14:textId="77777777" w:rsidR="006803AB" w:rsidRPr="00E2397D" w:rsidRDefault="006803AB" w:rsidP="006803AB">
      <w:pPr>
        <w:spacing w:after="0" w:line="276" w:lineRule="auto"/>
        <w:jc w:val="both"/>
        <w:rPr>
          <w:rFonts w:ascii="Verdana" w:eastAsia="Calibri" w:hAnsi="Verdana" w:cs="Arial"/>
          <w:bCs/>
          <w:lang w:val="es-ES_tradnl"/>
        </w:rPr>
      </w:pPr>
    </w:p>
    <w:p w14:paraId="5735BAE9" w14:textId="77777777" w:rsidR="006803AB" w:rsidRDefault="006803AB" w:rsidP="006803AB">
      <w:pPr>
        <w:spacing w:after="0" w:line="276" w:lineRule="auto"/>
        <w:ind w:firstLine="709"/>
        <w:jc w:val="both"/>
        <w:rPr>
          <w:rFonts w:ascii="Verdana" w:eastAsia="Arial" w:hAnsi="Verdana" w:cs="Arial"/>
          <w:lang w:val="es-ES" w:eastAsia="es-ES" w:bidi="es-ES"/>
        </w:rPr>
      </w:pPr>
      <w:r w:rsidRPr="00E2397D">
        <w:rPr>
          <w:rFonts w:ascii="Verdana" w:eastAsia="Times New Roman" w:hAnsi="Verdana" w:cs="Arial"/>
          <w:lang w:val="es-MX" w:eastAsia="es-CO"/>
        </w:rPr>
        <w:t>De</w:t>
      </w:r>
      <w:r w:rsidRPr="00E2397D">
        <w:rPr>
          <w:rFonts w:ascii="Verdana" w:eastAsia="Arial" w:hAnsi="Verdana" w:cs="Arial"/>
          <w:lang w:val="es-ES" w:eastAsia="es-ES" w:bidi="es-ES"/>
        </w:rPr>
        <w:t xml:space="preserve"> conformidad con lo anterior, </w:t>
      </w:r>
      <w:bookmarkStart w:id="5" w:name="_Hlk77236098"/>
      <w:bookmarkStart w:id="6" w:name="_Hlk100679383"/>
      <w:r w:rsidRPr="00E2397D">
        <w:rPr>
          <w:rFonts w:ascii="Verdana" w:eastAsia="Arial" w:hAnsi="Verdana" w:cs="Arial"/>
          <w:lang w:val="es-ES" w:eastAsia="es-ES" w:bidi="es-ES"/>
        </w:rPr>
        <w:t>la L</w:t>
      </w:r>
      <w:r>
        <w:rPr>
          <w:rFonts w:ascii="Verdana" w:eastAsia="Arial" w:hAnsi="Verdana" w:cs="Arial"/>
          <w:lang w:val="es-ES" w:eastAsia="es-ES" w:bidi="es-ES"/>
        </w:rPr>
        <w:t>ey de Garantías Electorales estableció</w:t>
      </w:r>
      <w:r w:rsidRPr="00E2397D">
        <w:rPr>
          <w:rFonts w:ascii="Verdana" w:eastAsia="Arial" w:hAnsi="Verdana" w:cs="Arial"/>
          <w:lang w:val="es-ES" w:eastAsia="es-ES" w:bidi="es-ES"/>
        </w:rPr>
        <w:t xml:space="preserve"> una serie de regulaciones y prohibiciones dirigidas a los servidores públicos. Con la finalidad de preservar la igualdad entre los candidatos en las elecciones, aumentó las garantías en materia de contratación, de forma que no exista </w:t>
      </w:r>
      <w:r w:rsidRPr="00E2397D">
        <w:rPr>
          <w:rFonts w:ascii="Verdana" w:eastAsia="Arial" w:hAnsi="Verdana" w:cs="Arial"/>
          <w:lang w:val="es-ES" w:eastAsia="es-ES" w:bidi="es-ES"/>
        </w:rPr>
        <w:lastRenderedPageBreak/>
        <w:t xml:space="preserve">siquiera sospecha de que, por ese medio, en los periodos previos a la contienda electoral, se altere las condiciones de igualdad entre los candidatos. </w:t>
      </w:r>
    </w:p>
    <w:p w14:paraId="435050B7" w14:textId="77777777" w:rsidR="006803AB" w:rsidRPr="00E2397D" w:rsidRDefault="006803AB" w:rsidP="006803AB">
      <w:pPr>
        <w:spacing w:after="0" w:line="276" w:lineRule="auto"/>
        <w:ind w:firstLine="709"/>
        <w:jc w:val="both"/>
        <w:rPr>
          <w:rFonts w:ascii="Verdana" w:eastAsia="Arial" w:hAnsi="Verdana" w:cs="Arial"/>
          <w:lang w:val="es-ES" w:eastAsia="es-ES" w:bidi="es-ES"/>
        </w:rPr>
      </w:pPr>
    </w:p>
    <w:p w14:paraId="7B354EAC" w14:textId="77777777" w:rsidR="006803AB" w:rsidRPr="00E2397D" w:rsidRDefault="006803AB" w:rsidP="006803AB">
      <w:pPr>
        <w:spacing w:after="120" w:line="276" w:lineRule="auto"/>
        <w:jc w:val="both"/>
        <w:rPr>
          <w:rFonts w:ascii="Verdana" w:eastAsia="Arial" w:hAnsi="Verdana" w:cs="Arial"/>
          <w:lang w:val="es-ES" w:eastAsia="es-ES" w:bidi="es-ES"/>
        </w:rPr>
      </w:pPr>
      <w:proofErr w:type="spellStart"/>
      <w:r w:rsidRPr="00E2397D">
        <w:rPr>
          <w:rFonts w:ascii="Verdana" w:eastAsia="Arial" w:hAnsi="Verdana" w:cs="Arial"/>
          <w:lang w:val="es-ES" w:eastAsia="es-ES" w:bidi="es-ES"/>
        </w:rPr>
        <w:t>ii</w:t>
      </w:r>
      <w:proofErr w:type="spellEnd"/>
      <w:r w:rsidRPr="00E2397D">
        <w:rPr>
          <w:rFonts w:ascii="Verdana" w:eastAsia="Arial" w:hAnsi="Verdana" w:cs="Arial"/>
          <w:lang w:val="es-ES" w:eastAsia="es-ES" w:bidi="es-ES"/>
        </w:rPr>
        <w:t>. Precisado el propósito de la Ley,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5"/>
    </w:p>
    <w:p w14:paraId="471826A7" w14:textId="77777777" w:rsidR="006803AB" w:rsidRPr="00E2397D" w:rsidRDefault="006803AB" w:rsidP="006803AB">
      <w:pPr>
        <w:spacing w:after="120" w:line="276" w:lineRule="auto"/>
        <w:ind w:firstLine="708"/>
        <w:jc w:val="both"/>
        <w:rPr>
          <w:rFonts w:ascii="Verdana" w:eastAsia="Calibri" w:hAnsi="Verdana" w:cs="Arial"/>
        </w:rPr>
      </w:pPr>
      <w:r w:rsidRPr="00E2397D">
        <w:rPr>
          <w:rFonts w:ascii="Verdana" w:eastAsia="Calibri" w:hAnsi="Verdana" w:cs="Arial"/>
        </w:rPr>
        <w:t xml:space="preserve">Por un lado, el </w:t>
      </w:r>
      <w:r w:rsidRPr="00E2397D">
        <w:rPr>
          <w:rFonts w:ascii="Verdana" w:eastAsia="Calibri" w:hAnsi="Verdana" w:cs="Arial"/>
          <w:i/>
          <w:iCs/>
        </w:rPr>
        <w:t>artículo 33 de la Ley 996 de 2005</w:t>
      </w:r>
      <w:r w:rsidRPr="00E2397D">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E2397D">
        <w:rPr>
          <w:rFonts w:ascii="Verdana" w:eastAsia="Calibri" w:hAnsi="Verdana" w:cs="Arial"/>
          <w:vertAlign w:val="superscript"/>
        </w:rPr>
        <w:footnoteReference w:id="8"/>
      </w:r>
      <w:r w:rsidRPr="00E2397D">
        <w:rPr>
          <w:rFonts w:ascii="Verdana" w:eastAsia="Calibri" w:hAnsi="Verdana" w:cs="Arial"/>
        </w:rPr>
        <w:t>.</w:t>
      </w:r>
    </w:p>
    <w:p w14:paraId="048FAC6A" w14:textId="77777777" w:rsidR="006803AB" w:rsidRDefault="006803AB" w:rsidP="006803AB">
      <w:pPr>
        <w:widowControl w:val="0"/>
        <w:autoSpaceDE w:val="0"/>
        <w:autoSpaceDN w:val="0"/>
        <w:spacing w:after="120" w:line="276" w:lineRule="auto"/>
        <w:ind w:right="113" w:firstLine="709"/>
        <w:jc w:val="both"/>
        <w:rPr>
          <w:rFonts w:ascii="Verdana" w:eastAsia="Arial" w:hAnsi="Verdana" w:cs="Arial"/>
          <w:lang w:val="es-ES" w:eastAsia="es-ES" w:bidi="es-ES"/>
        </w:rPr>
      </w:pPr>
      <w:r w:rsidRPr="00E2397D">
        <w:rPr>
          <w:rFonts w:ascii="Verdana" w:eastAsia="Calibri" w:hAnsi="Verdana" w:cs="Arial"/>
        </w:rPr>
        <w:t xml:space="preserve">Por otro lado, </w:t>
      </w:r>
      <w:r w:rsidRPr="00E2397D">
        <w:rPr>
          <w:rFonts w:ascii="Verdana" w:eastAsia="Calibri" w:hAnsi="Verdana" w:cs="Arial"/>
          <w:i/>
          <w:iCs/>
        </w:rPr>
        <w:t>el parágrafo del artículo 38 de la Ley 996 de 2005</w:t>
      </w:r>
      <w:r w:rsidRPr="00E2397D">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E2397D">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2397D">
        <w:rPr>
          <w:rFonts w:ascii="Verdana" w:eastAsia="Calibri" w:hAnsi="Verdana" w:cs="Arial"/>
        </w:rPr>
        <w:t>”</w:t>
      </w:r>
      <w:bookmarkEnd w:id="6"/>
      <w:r w:rsidRPr="00E2397D">
        <w:rPr>
          <w:rFonts w:ascii="Verdana" w:eastAsia="Calibri" w:hAnsi="Verdana" w:cs="Arial"/>
          <w:vertAlign w:val="superscript"/>
        </w:rPr>
        <w:footnoteReference w:id="9"/>
      </w:r>
      <w:r w:rsidRPr="00E2397D">
        <w:rPr>
          <w:rFonts w:ascii="Verdana" w:eastAsia="Calibri" w:hAnsi="Verdana" w:cs="Arial"/>
          <w:lang w:val="es-MX"/>
        </w:rPr>
        <w:t>.</w:t>
      </w:r>
      <w:r w:rsidRPr="00E2397D">
        <w:rPr>
          <w:rFonts w:ascii="Verdana" w:eastAsia="Arial" w:hAnsi="Verdana" w:cs="Arial"/>
          <w:lang w:val="es-ES" w:eastAsia="es-ES" w:bidi="es-ES"/>
        </w:rPr>
        <w:t xml:space="preserve"> </w:t>
      </w:r>
    </w:p>
    <w:p w14:paraId="16D60686" w14:textId="77777777" w:rsidR="006803AB" w:rsidRDefault="006803AB" w:rsidP="006803AB">
      <w:pPr>
        <w:spacing w:after="120" w:line="276" w:lineRule="auto"/>
        <w:ind w:firstLine="708"/>
        <w:jc w:val="both"/>
        <w:rPr>
          <w:rFonts w:ascii="Verdana" w:eastAsia="Times New Roman" w:hAnsi="Verdana" w:cs="Arial"/>
          <w:bCs/>
          <w:lang w:eastAsia="es-CO"/>
        </w:rPr>
      </w:pPr>
      <w:r>
        <w:rPr>
          <w:rFonts w:ascii="Verdana" w:eastAsia="Times New Roman" w:hAnsi="Verdana" w:cs="Arial"/>
          <w:bCs/>
          <w:lang w:val="es-MX" w:eastAsia="es-CO"/>
        </w:rPr>
        <w:lastRenderedPageBreak/>
        <w:t>Para entender el momento de aplicación de estas restricciones, es preciso señalar que el vocablo “celebrar” es definido por el Diccionario Panhispánico del Español Jurídico como:</w:t>
      </w:r>
      <w:r w:rsidRPr="00116894">
        <w:rPr>
          <w:rFonts w:ascii="Verdana" w:eastAsia="Times New Roman" w:hAnsi="Verdana" w:cs="Arial"/>
          <w:bCs/>
          <w:lang w:val="es-MX" w:eastAsia="es-CO"/>
        </w:rPr>
        <w:t xml:space="preserve"> “</w:t>
      </w:r>
      <w:r w:rsidRPr="00116894">
        <w:rPr>
          <w:rFonts w:ascii="Verdana" w:eastAsia="Times New Roman" w:hAnsi="Verdana" w:cs="Arial"/>
          <w:bCs/>
          <w:lang w:eastAsia="es-CO"/>
        </w:rPr>
        <w:t>1. </w:t>
      </w:r>
      <w:r w:rsidRPr="00116894">
        <w:rPr>
          <w:rFonts w:ascii="Verdana" w:eastAsia="Times New Roman" w:hAnsi="Verdana" w:cs="Arial"/>
          <w:bCs/>
          <w:i/>
          <w:iCs/>
          <w:lang w:eastAsia="es-CO"/>
        </w:rPr>
        <w:t>Gral.</w:t>
      </w:r>
      <w:r>
        <w:rPr>
          <w:rFonts w:ascii="Verdana" w:eastAsia="Times New Roman" w:hAnsi="Verdana" w:cs="Arial"/>
          <w:bCs/>
          <w:lang w:eastAsia="es-CO"/>
        </w:rPr>
        <w:t xml:space="preserve"> </w:t>
      </w:r>
      <w:r w:rsidRPr="00116894">
        <w:rPr>
          <w:rFonts w:ascii="Verdana" w:eastAsia="Times New Roman" w:hAnsi="Verdana" w:cs="Arial"/>
          <w:bCs/>
          <w:lang w:eastAsia="es-CO"/>
        </w:rPr>
        <w:t>Otorgar o firmar un contrato. 2</w:t>
      </w:r>
      <w:r>
        <w:rPr>
          <w:rFonts w:ascii="Verdana" w:eastAsia="Times New Roman" w:hAnsi="Verdana" w:cs="Arial"/>
          <w:bCs/>
          <w:lang w:eastAsia="es-CO"/>
        </w:rPr>
        <w:t xml:space="preserve">. </w:t>
      </w:r>
      <w:proofErr w:type="spellStart"/>
      <w:r w:rsidRPr="00116894">
        <w:rPr>
          <w:rFonts w:ascii="Verdana" w:eastAsia="Times New Roman" w:hAnsi="Verdana" w:cs="Arial"/>
          <w:bCs/>
          <w:i/>
          <w:iCs/>
          <w:lang w:eastAsia="es-CO"/>
        </w:rPr>
        <w:t>Proc</w:t>
      </w:r>
      <w:proofErr w:type="spellEnd"/>
      <w:r w:rsidRPr="00116894">
        <w:rPr>
          <w:rFonts w:ascii="Verdana" w:eastAsia="Times New Roman" w:hAnsi="Verdana" w:cs="Arial"/>
          <w:bCs/>
          <w:i/>
          <w:iCs/>
          <w:lang w:eastAsia="es-CO"/>
        </w:rPr>
        <w:t>.</w:t>
      </w:r>
      <w:r>
        <w:rPr>
          <w:rFonts w:ascii="Verdana" w:eastAsia="Times New Roman" w:hAnsi="Verdana" w:cs="Arial"/>
          <w:bCs/>
          <w:lang w:eastAsia="es-CO"/>
        </w:rPr>
        <w:t xml:space="preserve"> </w:t>
      </w:r>
      <w:r w:rsidRPr="00116894">
        <w:rPr>
          <w:rFonts w:ascii="Verdana" w:eastAsia="Times New Roman" w:hAnsi="Verdana" w:cs="Arial"/>
          <w:bCs/>
          <w:lang w:eastAsia="es-CO"/>
        </w:rPr>
        <w:t>Realizar los actos procesa</w:t>
      </w:r>
      <w:r>
        <w:rPr>
          <w:rFonts w:ascii="Verdana" w:eastAsia="Times New Roman" w:hAnsi="Verdana" w:cs="Arial"/>
          <w:bCs/>
          <w:lang w:eastAsia="es-CO"/>
        </w:rPr>
        <w:t xml:space="preserve">les propios de un juicio o vista”. Dentro de las dos definiciones, la que se acerca a la expresión “celebrar” en el contexto de la Ley de Garantías Electorales es la primera, esto es, al perfeccionamiento del contrato. </w:t>
      </w:r>
    </w:p>
    <w:p w14:paraId="2BC4F602" w14:textId="77777777" w:rsidR="006803AB" w:rsidRDefault="006803AB" w:rsidP="006803AB">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447D82">
        <w:rPr>
          <w:rFonts w:ascii="Verdana" w:eastAsia="Times New Roman" w:hAnsi="Verdana" w:cs="Arial"/>
          <w:bCs/>
          <w:lang w:val="es-ES" w:eastAsia="es-CO"/>
        </w:rPr>
        <w:t xml:space="preserve">la existencia de los contratos estatales, es decir, la producción de efectos jurídicos en los términos del artículo 1501 </w:t>
      </w:r>
      <w:r w:rsidRPr="00447D82">
        <w:rPr>
          <w:rFonts w:ascii="Verdana" w:eastAsia="Times New Roman" w:hAnsi="Verdana" w:cs="Arial"/>
          <w:bCs/>
          <w:i/>
          <w:lang w:val="es-ES" w:eastAsia="es-CO"/>
        </w:rPr>
        <w:t>ib</w:t>
      </w:r>
      <w:r>
        <w:rPr>
          <w:rFonts w:ascii="Verdana" w:eastAsia="Times New Roman" w:hAnsi="Verdana" w:cs="Arial"/>
          <w:bCs/>
          <w:i/>
          <w:lang w:val="es-ES" w:eastAsia="es-CO"/>
        </w:rPr>
        <w:t>i</w:t>
      </w:r>
      <w:r w:rsidRPr="00447D82">
        <w:rPr>
          <w:rFonts w:ascii="Verdana" w:eastAsia="Times New Roman" w:hAnsi="Verdana" w:cs="Arial"/>
          <w:bCs/>
          <w:i/>
          <w:lang w:val="es-ES" w:eastAsia="es-CO"/>
        </w:rPr>
        <w:t>dem</w:t>
      </w:r>
      <w:r w:rsidRPr="00447D82">
        <w:rPr>
          <w:rFonts w:ascii="Verdana" w:eastAsia="Times New Roman" w:hAnsi="Verdana" w:cs="Arial"/>
          <w:bCs/>
          <w:lang w:val="es-ES" w:eastAsia="es-CO"/>
        </w:rPr>
        <w:t>, depende de la regulación del inciso primero d</w:t>
      </w:r>
      <w:r>
        <w:rPr>
          <w:rFonts w:ascii="Verdana" w:eastAsia="Times New Roman" w:hAnsi="Verdana" w:cs="Arial"/>
          <w:bCs/>
          <w:lang w:val="es-ES" w:eastAsia="es-CO"/>
        </w:rPr>
        <w:t>e los artículos 39 y 41 de la Ley 80 de 1993</w:t>
      </w:r>
      <w:r w:rsidRPr="00447D82">
        <w:rPr>
          <w:rFonts w:ascii="Verdana" w:eastAsia="Times New Roman" w:hAnsi="Verdana" w:cs="Arial"/>
          <w:bCs/>
          <w:lang w:val="es-ES" w:eastAsia="es-CO"/>
        </w:rPr>
        <w:t>.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w:t>
      </w:r>
      <w:r>
        <w:rPr>
          <w:rFonts w:ascii="Verdana" w:eastAsia="Times New Roman" w:hAnsi="Verdana" w:cs="Arial"/>
          <w:bCs/>
          <w:lang w:val="es-ES" w:eastAsia="es-CO"/>
        </w:rPr>
        <w:t xml:space="preserve"> </w:t>
      </w:r>
    </w:p>
    <w:p w14:paraId="3E1E6E76" w14:textId="77777777" w:rsidR="006803AB" w:rsidRDefault="006803AB" w:rsidP="006803AB">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registro presupuestal, o en algunos casos, la firma del acta de inicio, si así se determinó. </w:t>
      </w:r>
    </w:p>
    <w:p w14:paraId="30808680" w14:textId="77777777" w:rsidR="006803AB" w:rsidRPr="005B4B74" w:rsidRDefault="006803AB" w:rsidP="006803AB">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Asimismo, </w:t>
      </w:r>
      <w:r>
        <w:rPr>
          <w:rFonts w:ascii="Verdana" w:eastAsia="Times New Roman" w:hAnsi="Verdana" w:cs="Arial"/>
          <w:bCs/>
          <w:lang w:val="es-MX" w:eastAsia="es-CO"/>
        </w:rPr>
        <w:t>c</w:t>
      </w:r>
      <w:r w:rsidRPr="00894384">
        <w:rPr>
          <w:rFonts w:ascii="Verdana" w:eastAsia="Times New Roman" w:hAnsi="Verdana" w:cs="Arial"/>
          <w:bCs/>
          <w:lang w:val="es-MX" w:eastAsia="es-CO"/>
        </w:rPr>
        <w:t xml:space="preserve">omo en otras oportunidades lo ha manifestado esta Agencia, las prórrogas, modificaciones o adiciones de los contratos suscritos antes de la </w:t>
      </w:r>
      <w:proofErr w:type="gramStart"/>
      <w:r w:rsidRPr="00894384">
        <w:rPr>
          <w:rFonts w:ascii="Verdana" w:eastAsia="Times New Roman" w:hAnsi="Verdana" w:cs="Arial"/>
          <w:bCs/>
          <w:lang w:val="es-MX" w:eastAsia="es-CO"/>
        </w:rPr>
        <w:t>entrada en vigencia</w:t>
      </w:r>
      <w:proofErr w:type="gramEnd"/>
      <w:r w:rsidRPr="00894384">
        <w:rPr>
          <w:rFonts w:ascii="Verdana" w:eastAsia="Times New Roman" w:hAnsi="Verdana" w:cs="Arial"/>
          <w:bCs/>
          <w:lang w:val="es-MX" w:eastAsia="es-CO"/>
        </w:rPr>
        <w:t xml:space="preserve"> de las prohibiciones anotadas, así como la cesión de </w:t>
      </w:r>
      <w:proofErr w:type="gramStart"/>
      <w:r w:rsidRPr="00894384">
        <w:rPr>
          <w:rFonts w:ascii="Verdana" w:eastAsia="Times New Roman" w:hAnsi="Verdana" w:cs="Arial"/>
          <w:bCs/>
          <w:lang w:val="es-MX" w:eastAsia="es-CO"/>
        </w:rPr>
        <w:t>los mismos</w:t>
      </w:r>
      <w:proofErr w:type="gramEnd"/>
      <w:r w:rsidRPr="00894384">
        <w:rPr>
          <w:rFonts w:ascii="Verdana" w:eastAsia="Times New Roman" w:hAnsi="Verdana" w:cs="Arial"/>
          <w:bCs/>
          <w:lang w:val="es-MX" w:eastAsia="es-CO"/>
        </w:rPr>
        <w:t xml:space="preserve">, pueden tener lugar en el período de aplicación de la Ley de Garantías, sin que ello haga nugatoria la restricción de la contratación directa y siempre </w:t>
      </w:r>
      <w:r w:rsidRPr="00894384">
        <w:rPr>
          <w:rFonts w:ascii="Verdana" w:eastAsia="Times New Roman" w:hAnsi="Verdana" w:cs="Arial"/>
          <w:bCs/>
          <w:lang w:val="es-MX" w:eastAsia="es-CO"/>
        </w:rPr>
        <w:lastRenderedPageBreak/>
        <w:t>que cumplan los principios de planeación, transparencia y responsabilidad</w:t>
      </w:r>
      <w:r w:rsidRPr="00894384">
        <w:rPr>
          <w:rFonts w:ascii="Verdana" w:eastAsia="Times New Roman" w:hAnsi="Verdana" w:cs="Arial"/>
          <w:bCs/>
          <w:vertAlign w:val="superscript"/>
          <w:lang w:val="es-MX" w:eastAsia="es-CO"/>
        </w:rPr>
        <w:footnoteReference w:id="10"/>
      </w:r>
      <w:r w:rsidRPr="00894384">
        <w:rPr>
          <w:rFonts w:ascii="Verdana" w:eastAsia="Times New Roman" w:hAnsi="Verdana" w:cs="Arial"/>
          <w:bCs/>
          <w:lang w:val="es-MX" w:eastAsia="es-CO"/>
        </w:rPr>
        <w:t xml:space="preserve">. </w:t>
      </w:r>
      <w:r w:rsidRPr="00E2397D">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w:t>
      </w:r>
      <w:r>
        <w:rPr>
          <w:rFonts w:ascii="Verdana" w:eastAsia="Arial" w:hAnsi="Verdana" w:cs="Arial"/>
          <w:lang w:val="es-ES" w:eastAsia="es-ES" w:bidi="es-ES"/>
        </w:rPr>
        <w:t>era</w:t>
      </w:r>
      <w:r w:rsidRPr="00E2397D">
        <w:rPr>
          <w:rFonts w:ascii="Verdana" w:eastAsia="Arial" w:hAnsi="Verdana" w:cs="Arial"/>
          <w:lang w:val="es-ES" w:eastAsia="es-ES" w:bidi="es-ES"/>
        </w:rPr>
        <w:t>:</w:t>
      </w:r>
    </w:p>
    <w:p w14:paraId="4DB4A9FA" w14:textId="77777777" w:rsidR="006803AB" w:rsidRPr="00E2397D" w:rsidRDefault="006803AB" w:rsidP="006803AB">
      <w:pPr>
        <w:widowControl w:val="0"/>
        <w:autoSpaceDE w:val="0"/>
        <w:autoSpaceDN w:val="0"/>
        <w:spacing w:after="0" w:line="276" w:lineRule="auto"/>
        <w:ind w:left="805" w:right="812"/>
        <w:contextualSpacing/>
        <w:jc w:val="both"/>
        <w:rPr>
          <w:rFonts w:ascii="Verdana" w:eastAsia="Arial" w:hAnsi="Verdana" w:cs="Arial"/>
          <w:lang w:val="es-ES" w:eastAsia="es-ES" w:bidi="es-ES"/>
        </w:rPr>
      </w:pPr>
    </w:p>
    <w:p w14:paraId="26E9AE9E" w14:textId="77777777" w:rsidR="006803AB" w:rsidRPr="00E2397D" w:rsidRDefault="006803AB" w:rsidP="006803AB">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E2397D">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9" w:name="_Hlk76109421"/>
      <w:r w:rsidRPr="00E2397D">
        <w:rPr>
          <w:rFonts w:ascii="Verdana" w:eastAsia="Arial" w:hAnsi="Verdana" w:cs="Arial"/>
          <w:sz w:val="20"/>
          <w:szCs w:val="20"/>
          <w:lang w:eastAsia="es-ES" w:bidi="es-ES"/>
        </w:rPr>
        <w:t>se integran parcialmente</w:t>
      </w:r>
      <w:bookmarkEnd w:id="9"/>
      <w:r w:rsidRPr="00E2397D">
        <w:rPr>
          <w:rFonts w:ascii="Verdana" w:eastAsia="Arial" w:hAnsi="Verdana" w:cs="Arial"/>
          <w:sz w:val="20"/>
          <w:szCs w:val="20"/>
          <w:lang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E2397D">
        <w:rPr>
          <w:rFonts w:ascii="Verdana" w:eastAsia="Arial" w:hAnsi="Verdana" w:cs="Arial"/>
          <w:sz w:val="20"/>
          <w:szCs w:val="20"/>
          <w:lang w:eastAsia="es-ES" w:bidi="es-ES"/>
        </w:rPr>
        <w:t>Presidente</w:t>
      </w:r>
      <w:proofErr w:type="gramEnd"/>
      <w:r w:rsidRPr="00E2397D">
        <w:rPr>
          <w:rFonts w:ascii="Verdana" w:eastAsia="Arial" w:hAnsi="Verdana" w:cs="Arial"/>
          <w:sz w:val="20"/>
          <w:szCs w:val="20"/>
          <w:lang w:eastAsia="es-ES" w:bidi="es-ES"/>
        </w:rPr>
        <w:t xml:space="preserve"> de la República, a las autoridades territoriales allí mencionadas sólo se aplican las restricciones contenidas en el parágrafo del artículo 38”.</w:t>
      </w:r>
      <w:r w:rsidRPr="00E2397D">
        <w:rPr>
          <w:rFonts w:ascii="Verdana" w:eastAsia="Arial" w:hAnsi="Verdana" w:cs="Arial"/>
          <w:sz w:val="20"/>
          <w:szCs w:val="20"/>
          <w:vertAlign w:val="superscript"/>
          <w:lang w:eastAsia="es-ES" w:bidi="es-ES"/>
        </w:rPr>
        <w:footnoteReference w:id="11"/>
      </w:r>
    </w:p>
    <w:p w14:paraId="6DDCB238" w14:textId="77777777" w:rsidR="006803AB" w:rsidRPr="00E2397D" w:rsidRDefault="006803AB" w:rsidP="006803AB">
      <w:pPr>
        <w:widowControl w:val="0"/>
        <w:autoSpaceDE w:val="0"/>
        <w:autoSpaceDN w:val="0"/>
        <w:spacing w:after="0" w:line="276" w:lineRule="auto"/>
        <w:contextualSpacing/>
        <w:rPr>
          <w:rFonts w:ascii="Verdana" w:eastAsia="Arial" w:hAnsi="Verdana" w:cs="Arial"/>
          <w:lang w:val="es-ES" w:eastAsia="es-ES" w:bidi="es-ES"/>
        </w:rPr>
      </w:pPr>
    </w:p>
    <w:p w14:paraId="46AE11D8" w14:textId="77777777" w:rsidR="006803AB" w:rsidRPr="00E2397D" w:rsidRDefault="006803AB" w:rsidP="006803AB">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De conformidad con lo anterior, </w:t>
      </w:r>
      <w:bookmarkStart w:id="10" w:name="_Hlk77236420"/>
      <w:bookmarkStart w:id="11" w:name="_Hlk78818435"/>
      <w:bookmarkStart w:id="12" w:name="_Hlk75780333"/>
      <w:r w:rsidRPr="00E2397D">
        <w:rPr>
          <w:rFonts w:ascii="Verdana" w:eastAsia="Arial" w:hAnsi="Verdana" w:cs="Arial"/>
          <w:lang w:val="es-ES" w:eastAsia="es-ES" w:bidi="es-ES"/>
        </w:rPr>
        <w:t xml:space="preserve">la Ley 996 de 2005 establece dos (2) tipos de restricciones en materia de contratación, las cuales coinciden parcialmente. </w:t>
      </w:r>
      <w:r w:rsidRPr="00E2397D">
        <w:rPr>
          <w:rFonts w:ascii="Verdana" w:eastAsia="Arial" w:hAnsi="Verdana" w:cs="Arial"/>
          <w:i/>
          <w:lang w:val="es-ES" w:eastAsia="es-ES" w:bidi="es-ES"/>
        </w:rPr>
        <w:t>En primer lugar</w:t>
      </w:r>
      <w:r w:rsidRPr="00E2397D">
        <w:rPr>
          <w:rFonts w:ascii="Verdana" w:eastAsia="Arial" w:hAnsi="Verdana" w:cs="Arial"/>
          <w:lang w:val="es-ES" w:eastAsia="es-ES" w:bidi="es-ES"/>
        </w:rPr>
        <w:t xml:space="preserve">, la del artículo 33 que </w:t>
      </w:r>
      <w:r>
        <w:rPr>
          <w:rFonts w:ascii="Verdana" w:eastAsia="Arial" w:hAnsi="Verdana" w:cs="Arial"/>
          <w:lang w:val="es-ES" w:eastAsia="es-ES" w:bidi="es-ES"/>
        </w:rPr>
        <w:t xml:space="preserve">aplica </w:t>
      </w:r>
      <w:r w:rsidRPr="00E2397D">
        <w:rPr>
          <w:rFonts w:ascii="Verdana" w:eastAsia="Arial" w:hAnsi="Verdana" w:cs="Arial"/>
          <w:lang w:val="es-ES" w:eastAsia="es-ES" w:bidi="es-ES"/>
        </w:rPr>
        <w:t xml:space="preserve">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E2397D">
        <w:rPr>
          <w:rFonts w:ascii="Verdana" w:eastAsia="Arial" w:hAnsi="Verdana" w:cs="Arial"/>
          <w:i/>
          <w:lang w:val="es-ES" w:eastAsia="es-ES" w:bidi="es-ES"/>
        </w:rPr>
        <w:t>En segundo lugar</w:t>
      </w:r>
      <w:r w:rsidRPr="00E2397D">
        <w:rPr>
          <w:rFonts w:ascii="Verdana" w:eastAsia="Arial" w:hAnsi="Verdana" w:cs="Arial"/>
          <w:lang w:val="es-ES" w:eastAsia="es-ES" w:bidi="es-ES"/>
        </w:rPr>
        <w:t xml:space="preserve">, también se encuentra la prohibición del parágrafo del artículo 38, el cual debe aplicarse respecto de cualquier tipo de contienda electoral, y que prohíbe la celebración de convenios </w:t>
      </w:r>
      <w:r w:rsidRPr="00E2397D">
        <w:rPr>
          <w:rFonts w:ascii="Verdana" w:eastAsia="Arial" w:hAnsi="Verdana" w:cs="Arial"/>
          <w:lang w:val="es-ES" w:eastAsia="es-ES" w:bidi="es-ES"/>
        </w:rPr>
        <w:lastRenderedPageBreak/>
        <w:t>interadministrativos que impliquen la ejecución de recursos públicos dentro de los cuatro (4) meses anteriores a la respectiva jornada de votaciones.</w:t>
      </w:r>
      <w:bookmarkEnd w:id="10"/>
    </w:p>
    <w:bookmarkEnd w:id="11"/>
    <w:p w14:paraId="1EEF5CEB" w14:textId="77777777" w:rsidR="006803AB" w:rsidRPr="00E2397D" w:rsidRDefault="006803AB" w:rsidP="006803AB">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Ambas restricciones no son excluyentes, lo que permite concluir que</w:t>
      </w:r>
      <w:r>
        <w:rPr>
          <w:rFonts w:ascii="Verdana" w:eastAsia="Arial" w:hAnsi="Verdana" w:cs="Arial"/>
          <w:lang w:val="es-ES" w:eastAsia="es-ES" w:bidi="es-ES"/>
        </w:rPr>
        <w:t>,</w:t>
      </w:r>
      <w:r w:rsidRPr="00E2397D">
        <w:rPr>
          <w:rFonts w:ascii="Verdana" w:eastAsia="Arial" w:hAnsi="Verdana" w:cs="Arial"/>
          <w:lang w:val="es-ES" w:eastAsia="es-ES" w:bidi="es-ES"/>
        </w:rPr>
        <w:t xml:space="preserve"> en el período preelectoral para elección de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de la República, las autoridades allí mencionadas sólo deben aplicar las restricciones contenidas en el parágrafo del artículo 38.</w:t>
      </w:r>
    </w:p>
    <w:bookmarkEnd w:id="12"/>
    <w:p w14:paraId="5FCC67DB" w14:textId="77777777" w:rsidR="006803AB" w:rsidRDefault="006803AB" w:rsidP="006803AB">
      <w:pPr>
        <w:spacing w:after="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o el </w:t>
      </w:r>
      <w:proofErr w:type="gramStart"/>
      <w:r w:rsidRPr="00E2397D">
        <w:rPr>
          <w:rFonts w:ascii="Verdana" w:eastAsia="Arial" w:hAnsi="Verdana" w:cs="Arial"/>
          <w:lang w:val="es-ES" w:eastAsia="es-ES" w:bidi="es-ES"/>
        </w:rPr>
        <w:t>Vicepresidente</w:t>
      </w:r>
      <w:proofErr w:type="gramEnd"/>
      <w:r w:rsidRPr="00E2397D">
        <w:rPr>
          <w:rFonts w:ascii="Verdana" w:eastAsia="Arial" w:hAnsi="Verdana" w:cs="Arial"/>
          <w:lang w:val="es-ES" w:eastAsia="es-ES" w:bidi="es-ES"/>
        </w:rPr>
        <w:t xml:space="preserv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y el </w:t>
      </w:r>
      <w:proofErr w:type="gramStart"/>
      <w:r w:rsidRPr="00E2397D">
        <w:rPr>
          <w:rFonts w:ascii="Verdana" w:eastAsia="Arial" w:hAnsi="Verdana" w:cs="Arial"/>
          <w:lang w:val="es-ES" w:eastAsia="es-ES" w:bidi="es-ES"/>
        </w:rPr>
        <w:t>Vicepresidente</w:t>
      </w:r>
      <w:proofErr w:type="gramEnd"/>
      <w:r w:rsidRPr="00E2397D">
        <w:rPr>
          <w:rFonts w:ascii="Verdana" w:eastAsia="Arial" w:hAnsi="Verdana" w:cs="Arial"/>
          <w:lang w:val="es-ES" w:eastAsia="es-ES" w:bidi="es-ES"/>
        </w:rPr>
        <w:t xml:space="preserve"> de la República, ha perdido vigencia ante la prohibición de la reelección presidencial, restablecida por el Acto Legislativo 2 de 2015. Esto excepto para el </w:t>
      </w:r>
      <w:proofErr w:type="gramStart"/>
      <w:r w:rsidRPr="00E2397D">
        <w:rPr>
          <w:rFonts w:ascii="Verdana" w:eastAsia="Arial" w:hAnsi="Verdana" w:cs="Arial"/>
          <w:lang w:val="es-ES" w:eastAsia="es-ES" w:bidi="es-ES"/>
        </w:rPr>
        <w:t>Vicepresidente</w:t>
      </w:r>
      <w:proofErr w:type="gramEnd"/>
      <w:r w:rsidRPr="00E2397D">
        <w:rPr>
          <w:rFonts w:ascii="Verdana" w:eastAsia="Arial" w:hAnsi="Verdana" w:cs="Arial"/>
          <w:lang w:val="es-ES" w:eastAsia="es-ES" w:bidi="es-ES"/>
        </w:rPr>
        <w:t xml:space="preserve"> que no haya ejercido la presidencia o que la haya ejercido por un tiempo inferior a tres (3) meses durante el respectivo cuatrienio, en forma continua o discontinua, conforme al artículo 197 de la Constitución Política. </w:t>
      </w:r>
    </w:p>
    <w:p w14:paraId="3FB91726" w14:textId="77777777" w:rsidR="006803AB" w:rsidRPr="00E2397D" w:rsidRDefault="006803AB" w:rsidP="006803AB">
      <w:pPr>
        <w:spacing w:after="0" w:line="276" w:lineRule="auto"/>
        <w:ind w:firstLine="708"/>
        <w:jc w:val="both"/>
        <w:rPr>
          <w:rFonts w:ascii="Verdana" w:eastAsia="Arial" w:hAnsi="Verdana" w:cs="Arial"/>
          <w:lang w:val="es-ES" w:eastAsia="es-ES" w:bidi="es-ES"/>
        </w:rPr>
      </w:pPr>
      <w:r w:rsidRPr="00E2397D">
        <w:rPr>
          <w:rFonts w:ascii="Verdana" w:eastAsia="Arial" w:hAnsi="Verdana" w:cs="Arial"/>
          <w:lang w:val="es-ES" w:eastAsia="es-ES" w:bidi="es-ES"/>
        </w:rPr>
        <w:t xml:space="preserve"> </w:t>
      </w:r>
      <w:bookmarkStart w:id="13" w:name="_Hlk78820161"/>
    </w:p>
    <w:p w14:paraId="3AB9D76F" w14:textId="77777777" w:rsidR="006803AB" w:rsidRPr="0057193B" w:rsidRDefault="006803AB" w:rsidP="006803AB">
      <w:pPr>
        <w:spacing w:line="276" w:lineRule="auto"/>
        <w:jc w:val="both"/>
        <w:rPr>
          <w:rFonts w:ascii="Verdana" w:eastAsia="Times New Roman" w:hAnsi="Verdana" w:cs="Arial"/>
          <w:bCs/>
          <w:lang w:val="es-MX" w:eastAsia="es-CO"/>
        </w:rPr>
      </w:pPr>
      <w:proofErr w:type="spellStart"/>
      <w:r>
        <w:rPr>
          <w:rFonts w:ascii="Verdana" w:eastAsia="Arial" w:hAnsi="Verdana" w:cs="Arial"/>
          <w:lang w:val="es-ES" w:eastAsia="es-ES" w:bidi="es-ES"/>
        </w:rPr>
        <w:t>iii</w:t>
      </w:r>
      <w:proofErr w:type="spellEnd"/>
      <w:r>
        <w:rPr>
          <w:rFonts w:ascii="Verdana" w:eastAsia="Arial" w:hAnsi="Verdana" w:cs="Arial"/>
          <w:lang w:val="es-ES" w:eastAsia="es-ES" w:bidi="es-ES"/>
        </w:rPr>
        <w:t>.</w:t>
      </w:r>
      <w:r w:rsidRPr="0057193B">
        <w:rPr>
          <w:rFonts w:ascii="Verdana" w:eastAsia="Arial" w:hAnsi="Verdana" w:cs="Arial"/>
          <w:lang w:val="es-ES" w:eastAsia="es-ES" w:bidi="es-ES"/>
        </w:rPr>
        <w:t xml:space="preserve"> </w:t>
      </w:r>
      <w:bookmarkEnd w:id="13"/>
      <w:r w:rsidRPr="0057193B">
        <w:rPr>
          <w:rFonts w:ascii="Verdana" w:eastAsia="Times New Roman" w:hAnsi="Verdana" w:cs="Arial"/>
          <w:bCs/>
          <w:lang w:val="es-MX" w:eastAsia="x-none"/>
        </w:rPr>
        <w:t xml:space="preserve">El ámbito material de la prohibición contenida en el artículo 33 de la ley 996 de 2005 está delimitado por la expresión </w:t>
      </w:r>
      <w:r>
        <w:rPr>
          <w:rFonts w:ascii="Verdana" w:eastAsia="Calibri" w:hAnsi="Verdana" w:cs="Arial"/>
          <w:bCs/>
          <w:sz w:val="20"/>
          <w:szCs w:val="20"/>
          <w:lang w:val="es-MX"/>
        </w:rPr>
        <w:t>“</w:t>
      </w:r>
      <w:r w:rsidRPr="0057193B">
        <w:rPr>
          <w:rFonts w:ascii="Verdana" w:eastAsia="Times New Roman" w:hAnsi="Verdana" w:cs="Arial"/>
          <w:bCs/>
          <w:lang w:val="es-MX" w:eastAsia="x-none"/>
        </w:rPr>
        <w:t>queda prohibida la contratación directa</w:t>
      </w:r>
      <w:r>
        <w:rPr>
          <w:rFonts w:ascii="Verdana" w:eastAsia="Calibri" w:hAnsi="Verdana" w:cs="Arial"/>
          <w:sz w:val="20"/>
          <w:szCs w:val="20"/>
          <w:lang w:val="es-MX"/>
        </w:rPr>
        <w:t>”</w:t>
      </w:r>
      <w:r w:rsidRPr="0057193B">
        <w:rPr>
          <w:rFonts w:ascii="Verdana" w:eastAsia="Times New Roman" w:hAnsi="Verdana" w:cs="Arial"/>
          <w:bCs/>
          <w:lang w:val="es-MX" w:eastAsia="x-none"/>
        </w:rPr>
        <w:t xml:space="preserve">. </w:t>
      </w:r>
      <w:r w:rsidRPr="0057193B">
        <w:rPr>
          <w:rFonts w:ascii="Verdana" w:eastAsia="Times New Roman" w:hAnsi="Verdana" w:cs="Arial"/>
          <w:lang w:val="es-MX" w:eastAsia="es-CO"/>
        </w:rPr>
        <w:t xml:space="preserve"> A propósito de </w:t>
      </w:r>
      <w:r w:rsidRPr="0057193B">
        <w:rPr>
          <w:rFonts w:ascii="Verdana" w:eastAsia="Times New Roman" w:hAnsi="Verdana" w:cs="Arial"/>
          <w:lang w:eastAsia="es-CO"/>
        </w:rPr>
        <w:t>esta restricción de la Ley de Garantías Electorales, la Sala de Consulta y Servicio Civil del Consejo de Estado ha considerado que:</w:t>
      </w:r>
    </w:p>
    <w:p w14:paraId="068A93DF" w14:textId="77777777" w:rsidR="006803AB" w:rsidRPr="00817856" w:rsidRDefault="006803AB" w:rsidP="006803AB">
      <w:pPr>
        <w:spacing w:after="0" w:line="240" w:lineRule="auto"/>
        <w:ind w:left="708" w:right="709"/>
        <w:jc w:val="both"/>
        <w:rPr>
          <w:rFonts w:ascii="Verdana" w:eastAsia="Calibri" w:hAnsi="Verdana" w:cs="Arial"/>
          <w:sz w:val="20"/>
          <w:szCs w:val="20"/>
          <w:lang w:val="es-MX"/>
        </w:rPr>
      </w:pPr>
    </w:p>
    <w:p w14:paraId="0D577DA0" w14:textId="77777777" w:rsidR="006803AB" w:rsidRPr="00817856" w:rsidRDefault="006803AB" w:rsidP="006803AB">
      <w:pPr>
        <w:spacing w:after="120" w:line="240" w:lineRule="auto"/>
        <w:ind w:left="709" w:right="709"/>
        <w:jc w:val="both"/>
        <w:rPr>
          <w:rFonts w:ascii="Verdana" w:eastAsia="Calibri" w:hAnsi="Verdana" w:cs="Arial"/>
          <w:sz w:val="20"/>
          <w:szCs w:val="20"/>
          <w:lang w:val="es-MX"/>
        </w:rPr>
      </w:pPr>
      <w:r w:rsidRPr="00817856">
        <w:rPr>
          <w:rFonts w:ascii="Verdana" w:eastAsia="Calibri" w:hAnsi="Verdana" w:cs="Arial"/>
          <w:sz w:val="20"/>
          <w:szCs w:val="20"/>
          <w:lang w:val="es-MX"/>
        </w:rPr>
        <w:t xml:space="preserve">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w:t>
      </w:r>
      <w:r w:rsidRPr="00817856">
        <w:rPr>
          <w:rFonts w:ascii="Verdana" w:eastAsia="Calibri" w:hAnsi="Verdana" w:cs="Arial"/>
          <w:sz w:val="20"/>
          <w:szCs w:val="20"/>
          <w:lang w:val="es-MX"/>
        </w:rPr>
        <w:lastRenderedPageBreak/>
        <w:t>2, ley 1150 de 2007), y cumpliendo siempre los principios que rigen la contratación pública</w:t>
      </w:r>
      <w:r w:rsidRPr="00817856">
        <w:rPr>
          <w:rFonts w:ascii="Verdana" w:eastAsia="Times New Roman" w:hAnsi="Verdana" w:cs="Arial"/>
          <w:sz w:val="20"/>
          <w:szCs w:val="20"/>
          <w:vertAlign w:val="superscript"/>
          <w:lang w:eastAsia="es-CO"/>
        </w:rPr>
        <w:footnoteReference w:id="12"/>
      </w:r>
      <w:r w:rsidRPr="00817856">
        <w:rPr>
          <w:rFonts w:ascii="Verdana" w:eastAsia="Calibri" w:hAnsi="Verdana" w:cs="Arial"/>
          <w:sz w:val="20"/>
          <w:szCs w:val="20"/>
          <w:lang w:val="es-MX"/>
        </w:rPr>
        <w:t>.</w:t>
      </w:r>
    </w:p>
    <w:p w14:paraId="707B0BA9" w14:textId="77777777" w:rsidR="006803AB" w:rsidRPr="00817856" w:rsidRDefault="006803AB" w:rsidP="006803AB">
      <w:pPr>
        <w:spacing w:after="0" w:line="240" w:lineRule="auto"/>
        <w:ind w:left="708" w:right="709"/>
        <w:jc w:val="both"/>
        <w:rPr>
          <w:rFonts w:ascii="Verdana" w:eastAsia="Calibri" w:hAnsi="Verdana" w:cs="Arial"/>
          <w:sz w:val="20"/>
          <w:szCs w:val="20"/>
          <w:lang w:val="es-MX"/>
        </w:rPr>
      </w:pPr>
      <w:r w:rsidRPr="00817856">
        <w:rPr>
          <w:rFonts w:ascii="Verdana" w:eastAsia="Calibri" w:hAnsi="Verdana" w:cs="Arial"/>
          <w:sz w:val="20"/>
          <w:szCs w:val="20"/>
          <w:lang w:val="es-MX"/>
        </w:rPr>
        <w:t xml:space="preserve">Esta Sala ha entendido </w:t>
      </w:r>
      <w:proofErr w:type="gramStart"/>
      <w:r w:rsidRPr="00817856">
        <w:rPr>
          <w:rFonts w:ascii="Verdana" w:eastAsia="Calibri" w:hAnsi="Verdana" w:cs="Arial"/>
          <w:sz w:val="20"/>
          <w:szCs w:val="20"/>
          <w:lang w:val="es-MX"/>
        </w:rPr>
        <w:t>que</w:t>
      </w:r>
      <w:proofErr w:type="gramEnd"/>
      <w:r w:rsidRPr="00817856">
        <w:rPr>
          <w:rFonts w:ascii="Verdana" w:eastAsia="Calibri" w:hAnsi="Verdana" w:cs="Arial"/>
          <w:sz w:val="20"/>
          <w:szCs w:val="20"/>
          <w:lang w:val="es-MX"/>
        </w:rPr>
        <w:t xml:space="preserv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817856">
        <w:rPr>
          <w:rFonts w:ascii="Verdana" w:eastAsia="Times New Roman" w:hAnsi="Verdana" w:cs="Arial"/>
          <w:sz w:val="20"/>
          <w:szCs w:val="20"/>
          <w:vertAlign w:val="superscript"/>
          <w:lang w:val="es-MX"/>
        </w:rPr>
        <w:footnoteReference w:id="13"/>
      </w:r>
      <w:r w:rsidRPr="00817856">
        <w:rPr>
          <w:rFonts w:ascii="Verdana" w:eastAsia="Times New Roman" w:hAnsi="Verdana" w:cs="Arial"/>
          <w:sz w:val="20"/>
          <w:szCs w:val="20"/>
          <w:vertAlign w:val="superscript"/>
          <w:lang w:val="es-MX"/>
        </w:rPr>
        <w:t>.</w:t>
      </w:r>
      <w:r w:rsidRPr="00817856">
        <w:rPr>
          <w:rFonts w:ascii="Verdana" w:eastAsia="Calibri" w:hAnsi="Verdana" w:cs="Arial"/>
          <w:sz w:val="20"/>
          <w:szCs w:val="20"/>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817856">
        <w:rPr>
          <w:rFonts w:ascii="Verdana" w:eastAsia="Times New Roman" w:hAnsi="Verdana" w:cs="Arial"/>
          <w:sz w:val="20"/>
          <w:szCs w:val="20"/>
          <w:vertAlign w:val="superscript"/>
          <w:lang w:eastAsia="es-CO"/>
        </w:rPr>
        <w:footnoteReference w:id="14"/>
      </w:r>
      <w:r w:rsidRPr="00817856">
        <w:rPr>
          <w:rFonts w:ascii="Verdana" w:eastAsia="Calibri" w:hAnsi="Verdana" w:cs="Arial"/>
          <w:sz w:val="20"/>
          <w:szCs w:val="20"/>
          <w:lang w:val="es-MX"/>
        </w:rPr>
        <w:t xml:space="preserve"> .</w:t>
      </w:r>
    </w:p>
    <w:p w14:paraId="3B7B3680" w14:textId="77777777" w:rsidR="006803AB" w:rsidRPr="0057193B" w:rsidRDefault="006803AB" w:rsidP="006803AB">
      <w:pPr>
        <w:shd w:val="clear" w:color="auto" w:fill="FFFFFF"/>
        <w:spacing w:after="0" w:line="276" w:lineRule="auto"/>
        <w:ind w:firstLine="709"/>
        <w:jc w:val="both"/>
        <w:rPr>
          <w:rFonts w:ascii="Verdana" w:eastAsia="Times New Roman" w:hAnsi="Verdana" w:cs="Arial"/>
          <w:lang w:eastAsia="x-none"/>
        </w:rPr>
      </w:pPr>
    </w:p>
    <w:p w14:paraId="00E699C1" w14:textId="77777777" w:rsidR="006803AB" w:rsidRPr="0057193B" w:rsidRDefault="006803AB" w:rsidP="006803AB">
      <w:pPr>
        <w:spacing w:after="120" w:line="276" w:lineRule="auto"/>
        <w:ind w:firstLine="708"/>
        <w:jc w:val="both"/>
        <w:rPr>
          <w:rFonts w:ascii="Verdana" w:eastAsia="Times New Roman" w:hAnsi="Verdana" w:cs="Arial"/>
          <w:bCs/>
          <w:lang w:eastAsia="x-none"/>
        </w:rPr>
      </w:pPr>
      <w:r w:rsidRPr="0057193B">
        <w:rPr>
          <w:rFonts w:ascii="Verdana" w:eastAsia="Times New Roman" w:hAnsi="Verdana" w:cs="Arial"/>
          <w:lang w:eastAsia="x-none"/>
        </w:rPr>
        <w:t xml:space="preserve">De acuerdo con el citado concepto, la prohibición del artículo 33 de la Ley de Garantías Electorales se refiere a </w:t>
      </w:r>
      <w:r>
        <w:rPr>
          <w:rFonts w:ascii="Verdana" w:eastAsia="Times New Roman" w:hAnsi="Verdana" w:cs="Arial"/>
          <w:sz w:val="19"/>
          <w:szCs w:val="19"/>
          <w:lang w:eastAsia="en-GB"/>
        </w:rPr>
        <w:t>“</w:t>
      </w:r>
      <w:r w:rsidRPr="0057193B">
        <w:rPr>
          <w:rFonts w:ascii="Verdana" w:eastAsia="Times New Roman" w:hAnsi="Verdana" w:cs="Arial"/>
          <w:lang w:eastAsia="x-none"/>
        </w:rPr>
        <w:t>cualquier sistema que no implique convocatoria pública y posibilidad de pluralidad de oferentes</w:t>
      </w:r>
      <w:r>
        <w:rPr>
          <w:rFonts w:ascii="Verdana" w:eastAsia="Times New Roman" w:hAnsi="Verdana" w:cs="Arial"/>
          <w:lang w:eastAsia="en-GB"/>
        </w:rPr>
        <w:t>”</w:t>
      </w:r>
      <w:r w:rsidRPr="0057193B">
        <w:rPr>
          <w:rFonts w:ascii="Verdana" w:eastAsia="Times New Roman" w:hAnsi="Verdana" w:cs="Arial"/>
          <w:lang w:eastAsia="x-none"/>
        </w:rPr>
        <w:t xml:space="preserve">, por lo que excluye las demás modalidades de contratación previstas en la Ley 1150 de 2007, es decir, la licitación pública, la selección abreviada, el concurso de méritos </w:t>
      </w:r>
      <w:r w:rsidRPr="0057193B">
        <w:rPr>
          <w:rFonts w:ascii="Verdana" w:eastAsia="Times New Roman" w:hAnsi="Verdana" w:cs="Arial"/>
          <w:lang w:val="es-ES_tradnl" w:eastAsia="x-none"/>
        </w:rPr>
        <w:t>y la mínima cuantía</w:t>
      </w:r>
      <w:r w:rsidRPr="0057193B" w:rsidDel="00A85D9F">
        <w:rPr>
          <w:rFonts w:ascii="Verdana" w:eastAsia="Times New Roman" w:hAnsi="Verdana" w:cs="Arial"/>
          <w:lang w:eastAsia="x-none"/>
        </w:rPr>
        <w:t xml:space="preserve"> </w:t>
      </w:r>
      <w:r w:rsidRPr="0057193B">
        <w:rPr>
          <w:rFonts w:ascii="Verdana" w:eastAsia="Times New Roman" w:hAnsi="Verdana" w:cs="Arial"/>
          <w:lang w:eastAsia="x-none"/>
        </w:rPr>
        <w:t>u otros previstos en normas especiales. Esta posición es congruente con la expedición de la Ley 1150 de 2007 que, entre otras reformas, introdujo la selección abreviada, rediseñó el concurso de méritos</w:t>
      </w:r>
      <w:r w:rsidRPr="0057193B">
        <w:rPr>
          <w:rFonts w:ascii="Verdana" w:eastAsia="Times New Roman" w:hAnsi="Verdana" w:cs="Arial"/>
          <w:vertAlign w:val="superscript"/>
          <w:lang w:val="en-GB" w:eastAsia="x-none"/>
        </w:rPr>
        <w:footnoteReference w:id="15"/>
      </w:r>
      <w:r w:rsidRPr="0057193B">
        <w:rPr>
          <w:rFonts w:ascii="Verdana" w:eastAsia="Times New Roman" w:hAnsi="Verdana" w:cs="Arial"/>
          <w:lang w:eastAsia="x-none"/>
        </w:rPr>
        <w:t xml:space="preserve"> y sistematizó las causales de contratación directa</w:t>
      </w:r>
      <w:r w:rsidRPr="0057193B">
        <w:rPr>
          <w:rFonts w:ascii="Verdana" w:eastAsia="Times New Roman" w:hAnsi="Verdana" w:cs="Arial"/>
          <w:vertAlign w:val="superscript"/>
          <w:lang w:val="en-GB" w:eastAsia="x-none"/>
        </w:rPr>
        <w:footnoteReference w:id="16"/>
      </w:r>
      <w:r w:rsidRPr="0057193B">
        <w:rPr>
          <w:rFonts w:ascii="Verdana" w:eastAsia="Times New Roman" w:hAnsi="Verdana" w:cs="Arial"/>
          <w:lang w:eastAsia="x-none"/>
        </w:rPr>
        <w:t xml:space="preserve">, </w:t>
      </w:r>
      <w:r w:rsidRPr="0057193B">
        <w:rPr>
          <w:rFonts w:ascii="Verdana" w:eastAsia="Calibri" w:hAnsi="Verdana" w:cs="Arial"/>
          <w:szCs w:val="24"/>
          <w:lang w:eastAsia="x-none"/>
        </w:rPr>
        <w:t>además lo es con la posterior creación de la modalidad de mínima cuantía establecida actualmente en el numeral 5 del artículo 2 de la Ley 1150 de 2007, de acuerdo con las modificaciones realizadas por leyes posteriores.</w:t>
      </w:r>
    </w:p>
    <w:p w14:paraId="29A53F01" w14:textId="77777777" w:rsidR="006803AB" w:rsidRPr="0057193B" w:rsidRDefault="006803AB" w:rsidP="006803AB">
      <w:pPr>
        <w:spacing w:after="120" w:line="276" w:lineRule="auto"/>
        <w:ind w:firstLine="708"/>
        <w:jc w:val="both"/>
        <w:rPr>
          <w:rFonts w:ascii="Verdana" w:eastAsia="Times New Roman" w:hAnsi="Verdana" w:cs="Arial"/>
          <w:lang w:val="es-MX" w:eastAsia="x-none"/>
        </w:rPr>
      </w:pPr>
      <w:r w:rsidRPr="0057193B">
        <w:rPr>
          <w:rFonts w:ascii="Verdana" w:eastAsia="Times New Roman" w:hAnsi="Verdana" w:cs="Arial"/>
          <w:lang w:eastAsia="x-none"/>
        </w:rPr>
        <w:t xml:space="preserve">De esta forma, con fundamento en la evolución de la normativa sobre la contratación pública, se ha depurado la noción de </w:t>
      </w:r>
      <w:r>
        <w:rPr>
          <w:rFonts w:ascii="Verdana" w:eastAsia="Times New Roman" w:hAnsi="Verdana" w:cs="Arial"/>
          <w:sz w:val="19"/>
          <w:szCs w:val="19"/>
          <w:lang w:eastAsia="en-GB"/>
        </w:rPr>
        <w:t>“</w:t>
      </w:r>
      <w:r w:rsidRPr="0057193B">
        <w:rPr>
          <w:rFonts w:ascii="Verdana" w:eastAsia="Times New Roman" w:hAnsi="Verdana" w:cs="Arial"/>
          <w:lang w:eastAsia="x-none"/>
        </w:rPr>
        <w:t>contratación directa</w:t>
      </w:r>
      <w:r>
        <w:rPr>
          <w:rFonts w:ascii="Verdana" w:eastAsia="Times New Roman" w:hAnsi="Verdana" w:cs="Arial"/>
          <w:lang w:eastAsia="en-GB"/>
        </w:rPr>
        <w:t>”</w:t>
      </w:r>
      <w:r w:rsidRPr="0057193B">
        <w:rPr>
          <w:rFonts w:ascii="Verdana" w:eastAsia="Times New Roman" w:hAnsi="Verdana" w:cs="Arial"/>
          <w:lang w:eastAsia="x-none"/>
        </w:rPr>
        <w:t>, precisando el Consejo de Estad</w:t>
      </w:r>
      <w:r>
        <w:rPr>
          <w:rFonts w:ascii="Verdana" w:eastAsia="Times New Roman" w:hAnsi="Verdana" w:cs="Arial"/>
          <w:lang w:eastAsia="x-none"/>
        </w:rPr>
        <w:t>o –en el concepto citado– que, “</w:t>
      </w:r>
      <w:r w:rsidRPr="0057193B">
        <w:rPr>
          <w:rFonts w:ascii="Verdana" w:eastAsia="Times New Roman" w:hAnsi="Verdana" w:cs="Arial"/>
          <w:lang w:eastAsia="x-none"/>
        </w:rPr>
        <w:t xml:space="preserve">aun cuando no coincide única y exactamente con la regulación que de dicho sistema de selección hace el artículo 2º de la Ley 1150 de 2007, tampoco puede afirmarse que sea cualquier procedimiento de contratación distinto de la licitación pública, pues </w:t>
      </w:r>
      <w:r w:rsidRPr="0057193B">
        <w:rPr>
          <w:rFonts w:ascii="Verdana" w:eastAsia="Times New Roman" w:hAnsi="Verdana" w:cs="Arial"/>
          <w:lang w:eastAsia="x-none"/>
        </w:rPr>
        <w:lastRenderedPageBreak/>
        <w:t>esto sería tanto como desconocer que el legislador, no solo en el Estatuto General de la Contratación de la Administración Pública, sino también en leyes especiales e, incluso, en el derecho privado</w:t>
      </w:r>
      <w:r w:rsidRPr="0057193B">
        <w:rPr>
          <w:rFonts w:ascii="Verdana" w:eastAsia="Times New Roman" w:hAnsi="Verdana" w:cs="Arial"/>
          <w:vertAlign w:val="superscript"/>
          <w:lang w:val="en-GB" w:eastAsia="x-none"/>
        </w:rPr>
        <w:footnoteReference w:id="17"/>
      </w:r>
      <w:r w:rsidRPr="0057193B">
        <w:rPr>
          <w:rFonts w:ascii="Verdana" w:eastAsia="Times New Roman" w:hAnsi="Verdana" w:cs="Arial"/>
          <w:lang w:eastAsia="x-none"/>
        </w:rPr>
        <w:t>, han establecido sistemas de contratación que implican convocatoria pública y participación de varios oferentes</w:t>
      </w:r>
      <w:r>
        <w:rPr>
          <w:rFonts w:ascii="Verdana" w:eastAsia="Times New Roman" w:hAnsi="Verdana" w:cs="Arial"/>
          <w:lang w:eastAsia="en-GB"/>
        </w:rPr>
        <w:t>”</w:t>
      </w:r>
      <w:r w:rsidRPr="0057193B">
        <w:rPr>
          <w:rFonts w:ascii="Verdana" w:eastAsia="Times New Roman" w:hAnsi="Verdana" w:cs="Arial"/>
          <w:lang w:eastAsia="x-none"/>
        </w:rPr>
        <w:t xml:space="preserve">. </w:t>
      </w:r>
    </w:p>
    <w:p w14:paraId="436EE48D" w14:textId="77777777" w:rsidR="006803AB" w:rsidRPr="005154AE" w:rsidRDefault="006803AB" w:rsidP="006803AB">
      <w:pPr>
        <w:spacing w:after="120" w:line="276" w:lineRule="auto"/>
        <w:ind w:firstLine="708"/>
        <w:jc w:val="both"/>
        <w:rPr>
          <w:rFonts w:ascii="Verdana" w:eastAsia="Times New Roman" w:hAnsi="Verdana" w:cs="Arial"/>
          <w:lang w:eastAsia="x-none"/>
        </w:rPr>
      </w:pPr>
      <w:r w:rsidRPr="0057193B">
        <w:rPr>
          <w:rFonts w:ascii="Verdana" w:eastAsia="Times New Roman" w:hAnsi="Verdana" w:cs="Arial"/>
          <w:bCs/>
          <w:lang w:val="es-MX" w:eastAsia="x-none"/>
        </w:rPr>
        <w:t>E</w:t>
      </w:r>
      <w:r w:rsidRPr="0057193B">
        <w:rPr>
          <w:rFonts w:ascii="Verdana" w:eastAsia="Times New Roman" w:hAnsi="Verdana" w:cs="Arial"/>
          <w:lang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w:t>
      </w:r>
      <w:r>
        <w:rPr>
          <w:rFonts w:ascii="Verdana" w:eastAsia="Times New Roman" w:hAnsi="Verdana" w:cs="Arial"/>
          <w:lang w:eastAsia="x-none"/>
        </w:rPr>
        <w:t>ue dicho sistema no constituye “contratación directa”</w:t>
      </w:r>
      <w:r w:rsidRPr="0057193B">
        <w:rPr>
          <w:rFonts w:ascii="Verdana" w:eastAsia="Times New Roman" w:hAnsi="Verdana" w:cs="Arial"/>
          <w:lang w:eastAsia="x-none"/>
        </w:rPr>
        <w:t>, es que la convocatoria para inscribirse en forma previa se haga de manera pública, y que se permita la participación de una pluralidad de oferentes</w:t>
      </w:r>
      <w:r w:rsidRPr="0057193B">
        <w:rPr>
          <w:rFonts w:ascii="Verdana" w:eastAsia="Times New Roman" w:hAnsi="Verdana" w:cs="Arial"/>
          <w:vertAlign w:val="superscript"/>
          <w:lang w:eastAsia="x-none"/>
        </w:rPr>
        <w:footnoteReference w:id="18"/>
      </w:r>
      <w:r w:rsidRPr="0057193B">
        <w:rPr>
          <w:rFonts w:ascii="Verdana" w:eastAsia="Times New Roman" w:hAnsi="Verdana" w:cs="Arial"/>
          <w:lang w:eastAsia="x-none"/>
        </w:rPr>
        <w:t xml:space="preserve">. </w:t>
      </w:r>
    </w:p>
    <w:p w14:paraId="1042DCBD" w14:textId="77777777" w:rsidR="006803AB" w:rsidRPr="0057193B" w:rsidRDefault="006803AB" w:rsidP="006803AB">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701B02D8" w14:textId="77777777" w:rsidR="006803AB" w:rsidRPr="0057193B" w:rsidRDefault="006803AB" w:rsidP="006803AB">
      <w:pPr>
        <w:spacing w:after="120" w:line="276" w:lineRule="auto"/>
        <w:ind w:firstLine="708"/>
        <w:jc w:val="both"/>
        <w:rPr>
          <w:rFonts w:ascii="Verdana" w:eastAsia="Times New Roman" w:hAnsi="Verdana" w:cs="Arial"/>
          <w:bCs/>
          <w:lang w:val="es-MX" w:eastAsia="x-none"/>
        </w:rPr>
      </w:pPr>
      <w:r w:rsidRPr="0057193B">
        <w:rPr>
          <w:rFonts w:ascii="Verdana" w:eastAsia="Times New Roman" w:hAnsi="Verdana" w:cs="Arial"/>
          <w:bCs/>
          <w:lang w:val="es-MX" w:eastAsia="x-none"/>
        </w:rPr>
        <w:t xml:space="preserve"> Así las cosas, ha de entenderse que, para los efectos de la Ley de Garantías Electorales y, en particular, para la prohibición o restricción tempora</w:t>
      </w:r>
      <w:r>
        <w:rPr>
          <w:rFonts w:ascii="Verdana" w:eastAsia="Times New Roman" w:hAnsi="Verdana" w:cs="Arial"/>
          <w:bCs/>
          <w:lang w:val="es-MX" w:eastAsia="x-none"/>
        </w:rPr>
        <w:t>l contenida en su artículo 33, “contratación directa”</w:t>
      </w:r>
      <w:r w:rsidRPr="0057193B">
        <w:rPr>
          <w:rFonts w:ascii="Verdana" w:eastAsia="Times New Roman" w:hAnsi="Verdana" w:cs="Arial"/>
          <w:bCs/>
          <w:lang w:val="es-MX" w:eastAsia="x-none"/>
        </w:rPr>
        <w:t xml:space="preserve"> es cualquier sistema de selección o procedimiento de contratación utilizado por las entidades estatales que no incluya la convocatoria pública en alguna de sus etapas, ni permita la participación de una pluralidad de oferentes</w:t>
      </w:r>
      <w:r w:rsidRPr="0057193B">
        <w:rPr>
          <w:rFonts w:ascii="Verdana" w:eastAsia="Times New Roman" w:hAnsi="Verdana" w:cs="Arial"/>
          <w:vertAlign w:val="superscript"/>
          <w:lang w:eastAsia="x-none"/>
        </w:rPr>
        <w:footnoteReference w:id="19"/>
      </w:r>
      <w:r w:rsidRPr="0057193B">
        <w:rPr>
          <w:rFonts w:ascii="Verdana" w:eastAsia="Times New Roman" w:hAnsi="Verdana" w:cs="Arial"/>
          <w:bCs/>
          <w:lang w:val="es-MX" w:eastAsia="x-none"/>
        </w:rPr>
        <w:t>.</w:t>
      </w:r>
      <w:r w:rsidRPr="0057193B">
        <w:rPr>
          <w:rFonts w:ascii="Verdana" w:eastAsia="Times New Roman" w:hAnsi="Verdana" w:cs="Arial"/>
          <w:vertAlign w:val="superscript"/>
          <w:lang w:eastAsia="x-none"/>
        </w:rPr>
        <w:t xml:space="preserve"> </w:t>
      </w:r>
    </w:p>
    <w:p w14:paraId="5748FD8C" w14:textId="77777777" w:rsidR="006803AB" w:rsidRPr="0057193B" w:rsidRDefault="006803AB" w:rsidP="006803AB">
      <w:pPr>
        <w:spacing w:after="120" w:line="276" w:lineRule="auto"/>
        <w:ind w:firstLine="708"/>
        <w:jc w:val="both"/>
        <w:rPr>
          <w:rFonts w:ascii="Verdana" w:eastAsia="Times New Roman" w:hAnsi="Verdana" w:cs="Arial"/>
          <w:lang w:eastAsia="x-none"/>
        </w:rPr>
      </w:pPr>
      <w:r w:rsidRPr="0057193B">
        <w:rPr>
          <w:rFonts w:ascii="Verdana" w:eastAsia="Times New Roman" w:hAnsi="Verdana" w:cs="Arial"/>
          <w:bCs/>
          <w:lang w:val="es-MX" w:eastAsia="x-none"/>
        </w:rPr>
        <w:t xml:space="preserve">De lo anterior se desprende que la restricción aplica, sin perjuicio de las excepciones establecidas en la misma ley, para celebrar cualquier contrato de </w:t>
      </w:r>
      <w:r w:rsidRPr="0057193B">
        <w:rPr>
          <w:rFonts w:ascii="Verdana" w:eastAsia="Times New Roman" w:hAnsi="Verdana" w:cs="Arial"/>
          <w:bCs/>
          <w:lang w:val="es-MX" w:eastAsia="x-none"/>
        </w:rPr>
        <w:lastRenderedPageBreak/>
        <w:t>forma directa, esto es, sin que exista un proceso abierto y competitivo.</w:t>
      </w:r>
      <w:r w:rsidRPr="0057193B">
        <w:rPr>
          <w:rFonts w:ascii="Verdana" w:eastAsia="Times New Roman" w:hAnsi="Verdana" w:cs="Arial"/>
          <w:lang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2633BF0D" w14:textId="77777777" w:rsidR="006803AB" w:rsidRPr="0057193B" w:rsidRDefault="006803AB" w:rsidP="006803AB">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w:t>
      </w:r>
      <w:proofErr w:type="spellStart"/>
      <w:r w:rsidRPr="0057193B">
        <w:rPr>
          <w:rFonts w:ascii="Verdana" w:eastAsia="Times New Roman" w:hAnsi="Verdana" w:cs="Arial"/>
          <w:bCs/>
          <w:lang w:val="es-MX" w:eastAsia="x-none"/>
        </w:rPr>
        <w:t>ii</w:t>
      </w:r>
      <w:proofErr w:type="spellEnd"/>
      <w:r w:rsidRPr="0057193B">
        <w:rPr>
          <w:rFonts w:ascii="Verdana" w:eastAsia="Times New Roman" w:hAnsi="Verdana" w:cs="Arial"/>
          <w:bCs/>
          <w:lang w:val="es-MX" w:eastAsia="x-none"/>
        </w:rPr>
        <w:t xml:space="preserve">) los contratos de crédito público; </w:t>
      </w:r>
      <w:proofErr w:type="spellStart"/>
      <w:r w:rsidRPr="0057193B">
        <w:rPr>
          <w:rFonts w:ascii="Verdana" w:eastAsia="Times New Roman" w:hAnsi="Verdana" w:cs="Arial"/>
          <w:bCs/>
          <w:lang w:val="es-MX" w:eastAsia="x-none"/>
        </w:rPr>
        <w:t>iii</w:t>
      </w:r>
      <w:proofErr w:type="spellEnd"/>
      <w:r w:rsidRPr="0057193B">
        <w:rPr>
          <w:rFonts w:ascii="Verdana" w:eastAsia="Times New Roman" w:hAnsi="Verdana" w:cs="Arial"/>
          <w:bCs/>
          <w:lang w:val="es-MX" w:eastAsia="x-none"/>
        </w:rPr>
        <w:t xml:space="preserve">) los requeridos para cubrir las emergencias educativas, sanitarias y desastres; </w:t>
      </w:r>
      <w:proofErr w:type="spellStart"/>
      <w:r w:rsidRPr="0057193B">
        <w:rPr>
          <w:rFonts w:ascii="Verdana" w:eastAsia="Times New Roman" w:hAnsi="Verdana" w:cs="Arial"/>
          <w:bCs/>
          <w:lang w:val="es-MX" w:eastAsia="x-none"/>
        </w:rPr>
        <w:t>iv</w:t>
      </w:r>
      <w:proofErr w:type="spellEnd"/>
      <w:r w:rsidRPr="0057193B">
        <w:rPr>
          <w:rFonts w:ascii="Verdana" w:eastAsia="Times New Roman"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57193B">
        <w:rPr>
          <w:rFonts w:ascii="Verdana" w:eastAsia="Times New Roman" w:hAnsi="Verdana" w:cs="Arial"/>
          <w:bCs/>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2A350B5F" w14:textId="77777777" w:rsidR="006803AB" w:rsidRPr="0057193B" w:rsidRDefault="006803AB" w:rsidP="006803AB">
      <w:pPr>
        <w:spacing w:after="120" w:line="276" w:lineRule="auto"/>
        <w:ind w:firstLine="709"/>
        <w:jc w:val="both"/>
        <w:rPr>
          <w:rFonts w:ascii="Verdana" w:eastAsia="Times New Roman" w:hAnsi="Verdana" w:cs="Arial"/>
          <w:bCs/>
          <w:lang w:val="es-MX" w:eastAsia="x-none"/>
        </w:rPr>
      </w:pPr>
      <w:r w:rsidRPr="0057193B">
        <w:rPr>
          <w:rFonts w:ascii="Verdana" w:eastAsia="Times New Roman" w:hAnsi="Verdana" w:cs="Arial"/>
          <w:bCs/>
          <w:lang w:val="es-MX" w:eastAsia="x-none"/>
        </w:rPr>
        <w:t>En esta labor es importante tener en cuenta, como lo anotó la Corte Constitucional, en Sentencia C-11</w:t>
      </w:r>
      <w:r>
        <w:rPr>
          <w:rFonts w:ascii="Verdana" w:eastAsia="Times New Roman" w:hAnsi="Verdana" w:cs="Arial"/>
          <w:bCs/>
          <w:lang w:val="es-MX" w:eastAsia="x-none"/>
        </w:rPr>
        <w:t>53 de noviembre 11 de 2005 que “</w:t>
      </w:r>
      <w:r w:rsidRPr="0057193B">
        <w:rPr>
          <w:rFonts w:ascii="Verdana" w:eastAsia="Times New Roman" w:hAnsi="Verdana" w:cs="Arial"/>
          <w:bCs/>
          <w:lang w:val="es-MX" w:eastAsia="x-none"/>
        </w:rPr>
        <w:t>si bien la limitación garantiza la igualdad de condiciones, también es necesario que tal limitación que pretende la igualdad no termine yendo en detrimento de intereses públicos, cuya garantía está en cabeza del ejecutivo, como son los inmersos en las excepciones para</w:t>
      </w:r>
      <w:r>
        <w:rPr>
          <w:rFonts w:ascii="Verdana" w:eastAsia="Times New Roman" w:hAnsi="Verdana" w:cs="Arial"/>
          <w:bCs/>
          <w:lang w:val="es-MX" w:eastAsia="x-none"/>
        </w:rPr>
        <w:t xml:space="preserve"> la prohibición de contratación”</w:t>
      </w:r>
      <w:r w:rsidRPr="0057193B">
        <w:rPr>
          <w:rFonts w:ascii="Verdana" w:eastAsia="Calibri" w:hAnsi="Verdana" w:cs="Arial"/>
          <w:vertAlign w:val="superscript"/>
          <w:lang w:val="es-MX"/>
        </w:rPr>
        <w:footnoteReference w:id="20"/>
      </w:r>
      <w:r w:rsidRPr="0057193B">
        <w:rPr>
          <w:rFonts w:ascii="Verdana" w:eastAsia="Times New Roman" w:hAnsi="Verdana" w:cs="Arial"/>
          <w:bCs/>
          <w:lang w:val="es-MX"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50021773" w14:textId="77777777" w:rsidR="006803AB" w:rsidRPr="0057193B" w:rsidRDefault="006803AB" w:rsidP="006803AB">
      <w:pPr>
        <w:spacing w:after="0" w:line="276" w:lineRule="auto"/>
        <w:ind w:firstLine="708"/>
        <w:jc w:val="both"/>
        <w:rPr>
          <w:rFonts w:ascii="Verdana" w:eastAsia="Times New Roman" w:hAnsi="Verdana" w:cs="Arial"/>
          <w:bCs/>
          <w:lang w:val="es-MX" w:eastAsia="x-none"/>
        </w:rPr>
      </w:pPr>
      <w:r w:rsidRPr="0057193B">
        <w:rPr>
          <w:rFonts w:ascii="Verdana" w:eastAsia="Times New Roman" w:hAnsi="Verdana" w:cs="Arial"/>
          <w:bCs/>
          <w:lang w:val="es-MX" w:eastAsia="x-none"/>
        </w:rPr>
        <w:lastRenderedPageBreak/>
        <w:t>En relación con los destinatarios de la restricción analizada, el artículo 33 de la Ley 996 de 2005 los señala expresamente</w:t>
      </w:r>
      <w:r>
        <w:rPr>
          <w:rFonts w:ascii="Verdana" w:eastAsia="Times New Roman" w:hAnsi="Verdana" w:cs="Arial"/>
          <w:bCs/>
          <w:lang w:val="es-MX" w:eastAsia="x-none"/>
        </w:rPr>
        <w:t>, en el sentido de que son “todos los entes del Estado”</w:t>
      </w:r>
      <w:r w:rsidRPr="0057193B">
        <w:rPr>
          <w:rFonts w:ascii="Verdana" w:eastAsia="Times New Roman" w:hAnsi="Verdana" w:cs="Arial"/>
          <w:bCs/>
          <w:lang w:val="es-MX" w:eastAsia="x-none"/>
        </w:rPr>
        <w:t>, expresión que contempla a los diferentes organismos o entidades autorizadas por la ley para suscribir contratos.</w:t>
      </w:r>
      <w:r w:rsidRPr="0057193B">
        <w:rPr>
          <w:rFonts w:ascii="Verdana" w:eastAsia="Calibri" w:hAnsi="Verdana" w:cs="Arial"/>
          <w:sz w:val="24"/>
          <w:lang w:val="es-MX"/>
        </w:rPr>
        <w:t xml:space="preserve"> </w:t>
      </w:r>
      <w:r w:rsidRPr="0057193B">
        <w:rPr>
          <w:rFonts w:ascii="Verdana" w:eastAsia="Times New Roman" w:hAnsi="Verdana" w:cs="Arial"/>
          <w:bCs/>
          <w:lang w:val="es-MX" w:eastAsia="x-none"/>
        </w:rPr>
        <w:t>En efecto, tal como lo ha sostenido el</w:t>
      </w:r>
      <w:r>
        <w:rPr>
          <w:rFonts w:ascii="Verdana" w:eastAsia="Times New Roman" w:hAnsi="Verdana" w:cs="Arial"/>
          <w:bCs/>
          <w:lang w:val="es-MX" w:eastAsia="x-none"/>
        </w:rPr>
        <w:t xml:space="preserve"> Consejo de Estado, el vocablo “todos”</w:t>
      </w:r>
      <w:r w:rsidRPr="0057193B">
        <w:rPr>
          <w:rFonts w:ascii="Verdana" w:eastAsia="Times New Roman" w:hAnsi="Verdana" w:cs="Arial"/>
          <w:bCs/>
          <w:lang w:val="es-MX" w:eastAsia="x-none"/>
        </w:rPr>
        <w:t xml:space="preserve"> utilizado por el legislador comprende</w:t>
      </w:r>
      <w:r w:rsidRPr="0057193B">
        <w:rPr>
          <w:rFonts w:ascii="Verdana" w:eastAsia="Calibri" w:hAnsi="Verdana" w:cs="Arial"/>
          <w:sz w:val="24"/>
          <w:lang w:val="es-MX"/>
        </w:rPr>
        <w:t xml:space="preserve"> </w:t>
      </w:r>
      <w:r w:rsidRPr="0057193B">
        <w:rPr>
          <w:rFonts w:ascii="Verdana" w:eastAsia="Times New Roman" w:hAnsi="Verdana" w:cs="Arial"/>
          <w:bCs/>
          <w:lang w:val="es-MX"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r w:rsidRPr="0057193B">
        <w:rPr>
          <w:rFonts w:ascii="Verdana" w:eastAsia="Times New Roman" w:hAnsi="Verdana" w:cs="Arial"/>
          <w:bCs/>
          <w:lang w:val="es-ES_tradnl" w:eastAsia="x-none"/>
        </w:rPr>
        <w:t xml:space="preserve">La Sala de Consulta y Servicio Civil del Consejo de Estado, en Concepto 1727 de fecha 20 de febrero de 2006, consideró que: </w:t>
      </w:r>
    </w:p>
    <w:p w14:paraId="7B4A6BBE" w14:textId="77777777" w:rsidR="006803AB" w:rsidRPr="0057193B" w:rsidRDefault="006803AB" w:rsidP="006803AB">
      <w:pPr>
        <w:spacing w:after="0" w:line="276" w:lineRule="auto"/>
        <w:jc w:val="both"/>
        <w:rPr>
          <w:rFonts w:ascii="Verdana" w:eastAsia="Times New Roman" w:hAnsi="Verdana" w:cs="Arial"/>
          <w:bCs/>
          <w:lang w:val="es-MX" w:eastAsia="x-none"/>
        </w:rPr>
      </w:pPr>
    </w:p>
    <w:p w14:paraId="71145779" w14:textId="77777777" w:rsidR="006803AB" w:rsidRPr="0057193B" w:rsidRDefault="006803AB" w:rsidP="006803AB">
      <w:pPr>
        <w:spacing w:after="0" w:line="240" w:lineRule="auto"/>
        <w:ind w:left="708" w:right="709"/>
        <w:jc w:val="both"/>
        <w:rPr>
          <w:rFonts w:ascii="Verdana" w:eastAsia="Times New Roman" w:hAnsi="Verdana" w:cs="Arial"/>
          <w:bCs/>
          <w:sz w:val="21"/>
          <w:szCs w:val="21"/>
          <w:lang w:val="es-MX" w:eastAsia="es-CO"/>
        </w:rPr>
      </w:pPr>
      <w:r w:rsidRPr="0057193B">
        <w:rPr>
          <w:rFonts w:ascii="Verdana" w:eastAsia="Times New Roman" w:hAnsi="Verdana" w:cs="Arial"/>
          <w:bCs/>
          <w:sz w:val="21"/>
          <w:szCs w:val="21"/>
          <w:lang w:val="es-MX" w:eastAsia="x-none"/>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57193B">
        <w:rPr>
          <w:rFonts w:ascii="Verdana" w:eastAsia="Times New Roman" w:hAnsi="Verdana" w:cs="Arial"/>
          <w:bCs/>
          <w:sz w:val="21"/>
          <w:szCs w:val="21"/>
          <w:vertAlign w:val="superscript"/>
          <w:lang w:val="es-MX" w:eastAsia="x-none"/>
        </w:rPr>
        <w:footnoteReference w:id="21"/>
      </w:r>
      <w:r w:rsidRPr="0057193B">
        <w:rPr>
          <w:rFonts w:ascii="Verdana" w:eastAsia="Times New Roman" w:hAnsi="Verdana" w:cs="Arial"/>
          <w:bCs/>
          <w:sz w:val="21"/>
          <w:szCs w:val="21"/>
          <w:lang w:val="es-MX" w:eastAsia="x-none"/>
        </w:rPr>
        <w:t>.</w:t>
      </w:r>
      <w:r w:rsidRPr="0057193B">
        <w:rPr>
          <w:rFonts w:ascii="Verdana" w:eastAsia="Times New Roman" w:hAnsi="Verdana" w:cs="Arial"/>
          <w:bCs/>
          <w:sz w:val="21"/>
          <w:szCs w:val="21"/>
          <w:lang w:val="es-MX" w:eastAsia="es-CO"/>
        </w:rPr>
        <w:t xml:space="preserve"> </w:t>
      </w:r>
    </w:p>
    <w:p w14:paraId="346CBC1D" w14:textId="77777777" w:rsidR="006803AB" w:rsidRPr="0057193B" w:rsidRDefault="006803AB" w:rsidP="006803AB">
      <w:pPr>
        <w:spacing w:after="0" w:line="276" w:lineRule="auto"/>
        <w:ind w:firstLine="708"/>
        <w:jc w:val="both"/>
        <w:rPr>
          <w:rFonts w:ascii="Verdana" w:eastAsia="Times New Roman" w:hAnsi="Verdana" w:cs="Arial"/>
          <w:bCs/>
          <w:lang w:val="es-MX" w:eastAsia="es-CO"/>
        </w:rPr>
      </w:pPr>
    </w:p>
    <w:p w14:paraId="4A796174" w14:textId="77777777" w:rsidR="006803AB" w:rsidRPr="0057193B" w:rsidRDefault="006803AB" w:rsidP="006803AB">
      <w:pPr>
        <w:spacing w:after="0" w:line="276" w:lineRule="auto"/>
        <w:ind w:firstLine="708"/>
        <w:jc w:val="both"/>
        <w:rPr>
          <w:rFonts w:ascii="Verdana" w:eastAsia="Calibri" w:hAnsi="Verdana" w:cs="Arial"/>
          <w:lang w:val="es-MX"/>
        </w:rPr>
      </w:pPr>
      <w:r w:rsidRPr="0057193B">
        <w:rPr>
          <w:rFonts w:ascii="Verdana" w:eastAsia="Times New Roman" w:hAnsi="Verdana" w:cs="Arial"/>
          <w:bCs/>
          <w:lang w:val="es-MX" w:eastAsia="x-none"/>
        </w:rPr>
        <w:t>De igual forma, en Concepto con radicado 1738 del 6 de abril de 2006, esa m</w:t>
      </w:r>
      <w:r>
        <w:rPr>
          <w:rFonts w:ascii="Verdana" w:eastAsia="Times New Roman" w:hAnsi="Verdana" w:cs="Arial"/>
          <w:bCs/>
          <w:lang w:val="es-MX" w:eastAsia="x-none"/>
        </w:rPr>
        <w:t>isma Corporación manifestó que “</w:t>
      </w:r>
      <w:r w:rsidRPr="0057193B">
        <w:rPr>
          <w:rFonts w:ascii="Verdana" w:eastAsia="Times New Roman" w:hAnsi="Verdana" w:cs="Arial"/>
          <w:bCs/>
          <w:lang w:val="es-MX" w:eastAsia="x-none"/>
        </w:rPr>
        <w:t xml:space="preserve">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w:t>
      </w:r>
      <w:r>
        <w:rPr>
          <w:rFonts w:ascii="Verdana" w:eastAsia="Times New Roman" w:hAnsi="Verdana" w:cs="Arial"/>
          <w:bCs/>
          <w:lang w:val="es-MX" w:eastAsia="x-none"/>
        </w:rPr>
        <w:t>ambas partes, por el Legislador”</w:t>
      </w:r>
      <w:r w:rsidRPr="0057193B">
        <w:rPr>
          <w:rFonts w:ascii="Verdana" w:eastAsia="Calibri" w:hAnsi="Verdana" w:cs="Arial"/>
          <w:sz w:val="24"/>
          <w:vertAlign w:val="superscript"/>
          <w:lang w:val="es-MX"/>
        </w:rPr>
        <w:footnoteReference w:id="22"/>
      </w:r>
      <w:r w:rsidRPr="0057193B">
        <w:rPr>
          <w:rFonts w:ascii="Verdana" w:eastAsia="Times New Roman" w:hAnsi="Verdana" w:cs="Arial"/>
          <w:bCs/>
          <w:lang w:val="es-MX" w:eastAsia="x-none"/>
        </w:rPr>
        <w:t>.</w:t>
      </w:r>
      <w:r w:rsidRPr="0057193B">
        <w:rPr>
          <w:rFonts w:ascii="Verdana" w:eastAsia="Calibri" w:hAnsi="Verdana" w:cs="Arial"/>
          <w:lang w:val="es-MX"/>
        </w:rPr>
        <w:t xml:space="preserve"> Además, la Sala de Consulta y Servicio Civil del Consejo de Estado </w:t>
      </w:r>
      <w:r w:rsidRPr="0057193B">
        <w:rPr>
          <w:rFonts w:ascii="Verdana" w:eastAsia="Calibri" w:hAnsi="Verdana" w:cs="Arial"/>
          <w:lang w:val="es-MX"/>
        </w:rPr>
        <w:lastRenderedPageBreak/>
        <w:t>realizó la siguiente distinción, retomando el pronunciamiento de la misma sala del 20 de febrero de 2006, citado anteriormente:</w:t>
      </w:r>
    </w:p>
    <w:p w14:paraId="2D9C6C78" w14:textId="77777777" w:rsidR="006803AB" w:rsidRPr="0057193B" w:rsidRDefault="006803AB" w:rsidP="006803AB">
      <w:pPr>
        <w:spacing w:after="0" w:line="276" w:lineRule="auto"/>
        <w:jc w:val="both"/>
        <w:rPr>
          <w:rFonts w:ascii="Verdana" w:eastAsia="Calibri" w:hAnsi="Verdana" w:cs="Arial"/>
          <w:lang w:val="es-MX"/>
        </w:rPr>
      </w:pPr>
    </w:p>
    <w:p w14:paraId="64F9FC73" w14:textId="77777777" w:rsidR="006803AB" w:rsidRPr="001924B7" w:rsidRDefault="006803AB" w:rsidP="006803AB">
      <w:pPr>
        <w:spacing w:after="0" w:line="240" w:lineRule="auto"/>
        <w:ind w:left="708" w:right="709"/>
        <w:jc w:val="both"/>
        <w:rPr>
          <w:rFonts w:ascii="Verdana" w:eastAsia="Calibri" w:hAnsi="Verdana" w:cs="Arial"/>
          <w:sz w:val="20"/>
          <w:szCs w:val="20"/>
          <w:lang w:val="es-MX"/>
        </w:rPr>
      </w:pPr>
      <w:r w:rsidRPr="001924B7">
        <w:rPr>
          <w:rFonts w:ascii="Verdana" w:eastAsia="Calibri" w:hAnsi="Verdana" w:cs="Arial"/>
          <w:sz w:val="20"/>
          <w:szCs w:val="20"/>
          <w:lang w:val="es-MX"/>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6556C535" w14:textId="77777777" w:rsidR="006803AB" w:rsidRPr="001924B7" w:rsidRDefault="006803AB" w:rsidP="006803AB">
      <w:pPr>
        <w:spacing w:after="0" w:line="240" w:lineRule="auto"/>
        <w:ind w:left="708" w:right="709"/>
        <w:jc w:val="both"/>
        <w:rPr>
          <w:rFonts w:ascii="Verdana" w:eastAsia="Calibri" w:hAnsi="Verdana" w:cs="Arial"/>
          <w:sz w:val="20"/>
          <w:szCs w:val="20"/>
          <w:lang w:val="es-MX"/>
        </w:rPr>
      </w:pPr>
    </w:p>
    <w:p w14:paraId="4CD85EA4" w14:textId="77777777" w:rsidR="006803AB" w:rsidRPr="001924B7" w:rsidRDefault="006803AB" w:rsidP="006803AB">
      <w:pPr>
        <w:spacing w:after="0" w:line="240" w:lineRule="auto"/>
        <w:ind w:left="708" w:right="709"/>
        <w:jc w:val="both"/>
        <w:rPr>
          <w:rFonts w:ascii="Verdana" w:eastAsia="Calibri" w:hAnsi="Verdana" w:cs="Arial"/>
          <w:sz w:val="20"/>
          <w:szCs w:val="20"/>
          <w:lang w:val="es-MX"/>
        </w:rPr>
      </w:pPr>
      <w:r w:rsidRPr="001924B7">
        <w:rPr>
          <w:rFonts w:ascii="Verdana" w:eastAsia="Times New Roman" w:hAnsi="Verdana" w:cs="Arial"/>
          <w:bCs/>
          <w:sz w:val="20"/>
          <w:szCs w:val="20"/>
          <w:lang w:val="es-MX" w:eastAsia="x-none"/>
        </w:rPr>
        <w:t>Aplicando este razonamiento a los establecimientos de crédito, a las sociedades de servicios financieros y a las entidades aseguradoras, 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sidRPr="001924B7">
        <w:rPr>
          <w:rFonts w:ascii="Verdana" w:eastAsia="Calibri" w:hAnsi="Verdana" w:cs="Arial"/>
          <w:sz w:val="20"/>
          <w:szCs w:val="20"/>
          <w:vertAlign w:val="superscript"/>
          <w:lang w:val="es-MX"/>
        </w:rPr>
        <w:footnoteReference w:id="23"/>
      </w:r>
      <w:r w:rsidRPr="001924B7">
        <w:rPr>
          <w:rFonts w:ascii="Verdana" w:eastAsia="Times New Roman" w:hAnsi="Verdana" w:cs="Arial"/>
          <w:bCs/>
          <w:sz w:val="20"/>
          <w:szCs w:val="20"/>
          <w:lang w:val="es-MX" w:eastAsia="x-none"/>
        </w:rPr>
        <w:t>.</w:t>
      </w:r>
    </w:p>
    <w:p w14:paraId="23B391FF" w14:textId="77777777" w:rsidR="006803AB" w:rsidRPr="0057193B" w:rsidRDefault="006803AB" w:rsidP="006803AB">
      <w:pPr>
        <w:spacing w:after="0" w:line="276" w:lineRule="auto"/>
        <w:jc w:val="both"/>
        <w:rPr>
          <w:rFonts w:ascii="Verdana" w:eastAsia="Calibri" w:hAnsi="Verdana" w:cs="Arial"/>
          <w:lang w:val="es-MX"/>
        </w:rPr>
      </w:pPr>
    </w:p>
    <w:p w14:paraId="3AF4A400" w14:textId="77777777" w:rsidR="006803AB" w:rsidRPr="0057193B" w:rsidRDefault="006803AB" w:rsidP="006803AB">
      <w:pPr>
        <w:spacing w:after="120" w:line="276" w:lineRule="auto"/>
        <w:ind w:firstLine="709"/>
        <w:jc w:val="both"/>
        <w:rPr>
          <w:rFonts w:ascii="Verdana" w:eastAsia="Times New Roman" w:hAnsi="Verdana" w:cs="Arial"/>
          <w:lang w:eastAsia="es-CO"/>
        </w:rPr>
      </w:pPr>
      <w:r w:rsidRPr="0057193B">
        <w:rPr>
          <w:rFonts w:ascii="Verdana" w:eastAsia="Calibri" w:hAnsi="Verdana" w:cs="Arial"/>
          <w:lang w:val="es-MX"/>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sidRPr="0057193B">
        <w:rPr>
          <w:rFonts w:ascii="Verdana" w:eastAsia="Times New Roman" w:hAnsi="Verdana" w:cs="Arial"/>
          <w:bCs/>
          <w:lang w:val="es-MX" w:eastAsia="x-none"/>
        </w:rPr>
        <w:t>establecimientos de crédito, las sociedades de servicios financieros y las entidades aseguradoras</w:t>
      </w:r>
      <w:r w:rsidRPr="0057193B">
        <w:rPr>
          <w:rFonts w:ascii="Verdana" w:eastAsia="Calibri" w:hAnsi="Verdana" w:cs="Arial"/>
          <w:lang w:val="es-MX"/>
        </w:rPr>
        <w:t xml:space="preserve"> no pueden adquirir los suministros de bienes y servicios necesarios para la realización de su actividad por contratación directa, sino por mecanismos competitivos que impliquen convocatoria pública </w:t>
      </w:r>
      <w:r w:rsidRPr="0057193B">
        <w:rPr>
          <w:rFonts w:ascii="Verdana" w:eastAsia="Calibri" w:hAnsi="Verdana" w:cs="Arial"/>
          <w:lang w:val="es-MX"/>
        </w:rPr>
        <w:lastRenderedPageBreak/>
        <w:t xml:space="preserve">y la posibilidad de la existencia de pluralidad de oferentes, pero indicó que en estos casos </w:t>
      </w:r>
      <w:r>
        <w:rPr>
          <w:rFonts w:ascii="Verdana" w:eastAsia="Calibri" w:hAnsi="Verdana" w:cs="Arial"/>
          <w:lang w:val="es-MX"/>
        </w:rPr>
        <w:t>“</w:t>
      </w:r>
      <w:r w:rsidRPr="0057193B">
        <w:rPr>
          <w:rFonts w:ascii="Verdana" w:eastAsia="Calibri" w:hAnsi="Verdana" w:cs="Arial"/>
          <w:lang w:val="es-MX"/>
        </w:rPr>
        <w:t>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Pr>
          <w:rFonts w:ascii="Verdana" w:eastAsia="Calibri" w:hAnsi="Verdana" w:cs="Arial"/>
          <w:lang w:val="es-MX"/>
        </w:rPr>
        <w:t>”</w:t>
      </w:r>
      <w:r w:rsidRPr="0057193B">
        <w:rPr>
          <w:rFonts w:ascii="Verdana" w:eastAsia="Calibri" w:hAnsi="Verdana" w:cs="Arial"/>
          <w:vertAlign w:val="superscript"/>
          <w:lang w:val="es-MX"/>
        </w:rPr>
        <w:footnoteReference w:id="24"/>
      </w:r>
      <w:r w:rsidRPr="0057193B">
        <w:rPr>
          <w:rFonts w:ascii="Verdana" w:eastAsia="Calibri" w:hAnsi="Verdana" w:cs="Arial"/>
          <w:lang w:val="es-MX"/>
        </w:rPr>
        <w:t>.</w:t>
      </w:r>
      <w:r w:rsidRPr="0057193B">
        <w:rPr>
          <w:rFonts w:ascii="Verdana" w:eastAsia="Times New Roman" w:hAnsi="Verdana" w:cs="Arial"/>
          <w:lang w:eastAsia="es-CO"/>
        </w:rPr>
        <w:t xml:space="preserve"> </w:t>
      </w:r>
    </w:p>
    <w:p w14:paraId="56446EF6" w14:textId="77777777" w:rsidR="006803AB" w:rsidRDefault="006803AB" w:rsidP="006803AB">
      <w:pPr>
        <w:spacing w:after="120" w:line="276" w:lineRule="auto"/>
        <w:ind w:firstLine="709"/>
        <w:jc w:val="both"/>
        <w:rPr>
          <w:rFonts w:ascii="Verdana" w:eastAsia="Times New Roman" w:hAnsi="Verdana" w:cs="Arial"/>
          <w:bCs/>
          <w:lang w:val="es-MX" w:eastAsia="x-none"/>
        </w:rPr>
      </w:pPr>
      <w:r w:rsidRPr="0057193B">
        <w:rPr>
          <w:rFonts w:ascii="Verdana" w:eastAsia="Times New Roman" w:hAnsi="Verdana" w:cs="Arial"/>
          <w:lang w:eastAsia="es-CO"/>
        </w:rPr>
        <w:t>Sin perjuicio de estos pronunciamientos de la Sala de Consulta y Servicio Civil</w:t>
      </w:r>
      <w:r w:rsidRPr="0057193B">
        <w:rPr>
          <w:rFonts w:ascii="Verdana" w:eastAsia="Calibri" w:hAnsi="Verdana" w:cs="Arial"/>
          <w:lang w:val="es-MX"/>
        </w:rPr>
        <w:t xml:space="preserve">, como la ha señalado esa misma Corporación, la restricción prevista en la Ley 996 de 2005 </w:t>
      </w:r>
      <w:r w:rsidRPr="0057193B">
        <w:rPr>
          <w:rFonts w:ascii="Verdana" w:eastAsia="Times New Roman" w:hAnsi="Verdana" w:cs="Arial"/>
          <w:bCs/>
          <w:lang w:val="es-MX" w:eastAsia="x-none"/>
        </w:rPr>
        <w:t>cobija a cualquier entidad pública independiente del régimen jurídico, que pueda mediante la contratación directa romper el equilibrio entre los candidatos en desarrollo de las elecciones presidenciales. Tampoco existe un supuesto de exoneración a la prohibición por tener un régimen especial de los actos o contratos</w:t>
      </w:r>
      <w:r>
        <w:rPr>
          <w:rFonts w:ascii="Verdana" w:eastAsia="Times New Roman" w:hAnsi="Verdana" w:cs="Arial"/>
          <w:bCs/>
          <w:lang w:val="es-MX" w:eastAsia="x-none"/>
        </w:rPr>
        <w:t xml:space="preserve"> o por la ejecución de un cierto tipo de recursos en sus contrataciones</w:t>
      </w:r>
      <w:r w:rsidRPr="0057193B">
        <w:rPr>
          <w:rFonts w:ascii="Verdana" w:eastAsia="Times New Roman" w:hAnsi="Verdana" w:cs="Arial"/>
          <w:bCs/>
          <w:lang w:val="es-MX" w:eastAsia="x-none"/>
        </w:rPr>
        <w:t>, pues, la posibilidad de que lo</w:t>
      </w:r>
      <w:r>
        <w:rPr>
          <w:rFonts w:ascii="Verdana" w:eastAsia="Times New Roman" w:hAnsi="Verdana" w:cs="Arial"/>
          <w:bCs/>
          <w:lang w:val="es-MX" w:eastAsia="x-none"/>
        </w:rPr>
        <w:t>s entes del Estado usen</w:t>
      </w:r>
      <w:r w:rsidRPr="0057193B">
        <w:rPr>
          <w:rFonts w:ascii="Verdana" w:eastAsia="Times New Roman" w:hAnsi="Verdana" w:cs="Arial"/>
          <w:bCs/>
          <w:lang w:val="es-MX" w:eastAsia="x-none"/>
        </w:rPr>
        <w:t xml:space="preserve"> la contratación con fines políticos, esto es, con la intención de influir a los electores y alterar la voluntad popular en las contiendas electorales, puede presentarse tanto en la contratación regulada por la Ley 80 de 1993 como en la regida por normas especiales.</w:t>
      </w:r>
    </w:p>
    <w:p w14:paraId="1A61C0D7" w14:textId="77777777" w:rsidR="006803AB" w:rsidRPr="00186DE9" w:rsidRDefault="006803AB" w:rsidP="006803AB">
      <w:pPr>
        <w:spacing w:after="120" w:line="276" w:lineRule="auto"/>
        <w:ind w:firstLine="709"/>
        <w:jc w:val="both"/>
        <w:rPr>
          <w:rFonts w:ascii="Verdana" w:eastAsia="Times New Roman" w:hAnsi="Verdana" w:cs="Arial"/>
          <w:bCs/>
          <w:lang w:val="es-MX" w:eastAsia="x-none" w:bidi="es-ES"/>
        </w:rPr>
      </w:pPr>
      <w:r w:rsidRPr="00186DE9">
        <w:rPr>
          <w:rFonts w:ascii="Verdana" w:eastAsia="Times New Roman" w:hAnsi="Verdana" w:cs="Arial"/>
          <w:bCs/>
          <w:lang w:val="es-MX" w:eastAsia="x-none"/>
        </w:rPr>
        <w:t xml:space="preserve">En este sentido, todos los entes del Estado, independiente del régimen jurídico aplicable, están sujetos a la restricción del artículo 33 de la Ley 996 de 2005, es decir, no podrán adelantar sistema que implique contratación directa respecto de </w:t>
      </w:r>
      <w:r w:rsidRPr="00186DE9">
        <w:rPr>
          <w:rFonts w:ascii="Verdana" w:eastAsia="Times New Roman" w:hAnsi="Verdana" w:cs="Arial"/>
          <w:bCs/>
          <w:lang w:val="es-MX" w:eastAsia="x-none" w:bidi="es-ES"/>
        </w:rPr>
        <w:t xml:space="preserve">las elecciones presidenciales, dentro de los cuatro (4) meses anteriores a la celebración de los comicios, salvo las excepciones dispuestas en esta. </w:t>
      </w:r>
      <w:r w:rsidRPr="00186DE9">
        <w:rPr>
          <w:rFonts w:ascii="Verdana" w:eastAsia="Times New Roman" w:hAnsi="Verdana" w:cs="Arial"/>
          <w:bCs/>
          <w:lang w:val="es-MX" w:eastAsia="x-none"/>
        </w:rPr>
        <w:t>En efecto, los entes del Estado independiente de su régimen especial no podrán celebrar contratos de forma directa desde el 31 de enero de 2026, teniendo en cuenta que la Resolución 02580 del 5 de marzo de 2025 de la Registraduría Nacional del Estado Civil dispuso que las elecciones presidenciales se celebrarán el 31 de mayo de 2026.</w:t>
      </w:r>
    </w:p>
    <w:p w14:paraId="332FBA0B" w14:textId="77777777" w:rsidR="006803AB" w:rsidRPr="00A63F17" w:rsidRDefault="006803AB" w:rsidP="006803AB">
      <w:pPr>
        <w:spacing w:after="120" w:line="276" w:lineRule="auto"/>
        <w:ind w:firstLine="709"/>
        <w:jc w:val="both"/>
        <w:rPr>
          <w:rFonts w:ascii="Verdana" w:eastAsia="Times New Roman" w:hAnsi="Verdana" w:cs="Arial"/>
          <w:bCs/>
          <w:lang w:val="es-MX" w:eastAsia="x-none"/>
        </w:rPr>
      </w:pPr>
      <w:r w:rsidRPr="00355EA0">
        <w:rPr>
          <w:rFonts w:ascii="Verdana" w:eastAsia="Times New Roman" w:hAnsi="Verdana" w:cs="Arial"/>
          <w:bCs/>
          <w:lang w:val="es-MX" w:eastAsia="x-none" w:bidi="es-ES"/>
        </w:rPr>
        <w:t xml:space="preserve">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w:t>
      </w:r>
      <w:r w:rsidRPr="00355EA0">
        <w:rPr>
          <w:rFonts w:ascii="Verdana" w:eastAsia="Times New Roman" w:hAnsi="Verdana" w:cs="Arial"/>
          <w:bCs/>
          <w:lang w:val="es-MX" w:eastAsia="x-none" w:bidi="es-ES"/>
        </w:rPr>
        <w:lastRenderedPageBreak/>
        <w:t>la restricción se extenderá hasta la fecha en la que se realice la segunda vuelta</w:t>
      </w:r>
      <w:r>
        <w:rPr>
          <w:rFonts w:ascii="Verdana" w:eastAsia="Times New Roman" w:hAnsi="Verdana" w:cs="Arial"/>
          <w:bCs/>
          <w:lang w:val="es-MX" w:eastAsia="x-none" w:bidi="es-ES"/>
        </w:rPr>
        <w:t>, que, de acuerdo con lo expuesto, se celebraría el 21 de junio de 2026.</w:t>
      </w:r>
    </w:p>
    <w:p w14:paraId="49010BD7" w14:textId="77777777" w:rsidR="006803AB" w:rsidRPr="003B7D6C" w:rsidRDefault="006803AB" w:rsidP="006803AB">
      <w:pPr>
        <w:spacing w:after="120" w:line="276" w:lineRule="auto"/>
        <w:ind w:firstLine="709"/>
        <w:jc w:val="both"/>
        <w:rPr>
          <w:rFonts w:ascii="Verdana" w:eastAsia="Times New Roman" w:hAnsi="Verdana" w:cs="Arial"/>
          <w:bCs/>
          <w:lang w:eastAsia="x-none"/>
        </w:rPr>
      </w:pPr>
      <w:r>
        <w:rPr>
          <w:rFonts w:ascii="Verdana" w:eastAsia="Times New Roman" w:hAnsi="Verdana" w:cs="Arial"/>
          <w:bCs/>
          <w:lang w:val="es-MX" w:eastAsia="x-none"/>
        </w:rPr>
        <w:t xml:space="preserve">Esto, sin perjuicio de </w:t>
      </w:r>
      <w:r w:rsidRPr="0057193B">
        <w:rPr>
          <w:rFonts w:ascii="Verdana" w:eastAsia="Times New Roman" w:hAnsi="Verdana" w:cs="Arial"/>
          <w:bCs/>
          <w:lang w:val="es-MX" w:eastAsia="x-none"/>
        </w:rPr>
        <w:t>las excepciones a la prohibición establecidas en el inciso</w:t>
      </w:r>
      <w:r>
        <w:rPr>
          <w:rFonts w:ascii="Verdana" w:eastAsia="Times New Roman" w:hAnsi="Verdana" w:cs="Arial"/>
          <w:bCs/>
          <w:lang w:val="es-MX" w:eastAsia="x-none"/>
        </w:rPr>
        <w:t xml:space="preserve"> segundo del mismo artículo 33, como son: </w:t>
      </w:r>
      <w:r w:rsidRPr="00333EDB">
        <w:rPr>
          <w:rFonts w:ascii="Verdana" w:eastAsia="Times New Roman" w:hAnsi="Verdana" w:cs="Arial"/>
          <w:bCs/>
          <w:lang w:val="es-MX" w:eastAsia="x-none"/>
        </w:rPr>
        <w:t xml:space="preserve">i) la defensa y seguridad del Estado; </w:t>
      </w:r>
      <w:proofErr w:type="spellStart"/>
      <w:r w:rsidRPr="00333EDB">
        <w:rPr>
          <w:rFonts w:ascii="Verdana" w:eastAsia="Times New Roman" w:hAnsi="Verdana" w:cs="Arial"/>
          <w:bCs/>
          <w:lang w:val="es-MX" w:eastAsia="x-none"/>
        </w:rPr>
        <w:t>ii</w:t>
      </w:r>
      <w:proofErr w:type="spellEnd"/>
      <w:r w:rsidRPr="00333EDB">
        <w:rPr>
          <w:rFonts w:ascii="Verdana" w:eastAsia="Times New Roman" w:hAnsi="Verdana" w:cs="Arial"/>
          <w:bCs/>
          <w:lang w:val="es-MX" w:eastAsia="x-none"/>
        </w:rPr>
        <w:t xml:space="preserve">) los contratos de crédito público; </w:t>
      </w:r>
      <w:proofErr w:type="spellStart"/>
      <w:r w:rsidRPr="00333EDB">
        <w:rPr>
          <w:rFonts w:ascii="Verdana" w:eastAsia="Times New Roman" w:hAnsi="Verdana" w:cs="Arial"/>
          <w:bCs/>
          <w:lang w:val="es-MX" w:eastAsia="x-none"/>
        </w:rPr>
        <w:t>iii</w:t>
      </w:r>
      <w:proofErr w:type="spellEnd"/>
      <w:r w:rsidRPr="00333EDB">
        <w:rPr>
          <w:rFonts w:ascii="Verdana" w:eastAsia="Times New Roman" w:hAnsi="Verdana" w:cs="Arial"/>
          <w:bCs/>
          <w:lang w:val="es-MX" w:eastAsia="x-none"/>
        </w:rPr>
        <w:t xml:space="preserve">) los requeridos para cubrir las emergencias educativas, sanitarias y desastres; </w:t>
      </w:r>
      <w:proofErr w:type="spellStart"/>
      <w:r w:rsidRPr="00333EDB">
        <w:rPr>
          <w:rFonts w:ascii="Verdana" w:eastAsia="Times New Roman" w:hAnsi="Verdana" w:cs="Arial"/>
          <w:bCs/>
          <w:lang w:val="es-MX" w:eastAsia="x-none"/>
        </w:rPr>
        <w:t>iv</w:t>
      </w:r>
      <w:proofErr w:type="spellEnd"/>
      <w:r w:rsidRPr="00333EDB">
        <w:rPr>
          <w:rFonts w:ascii="Verdana" w:eastAsia="Times New Roman"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48301AC3" w14:textId="77777777" w:rsidR="006803AB" w:rsidRPr="004C2E9A" w:rsidRDefault="006803AB" w:rsidP="006803AB">
      <w:pPr>
        <w:spacing w:after="0" w:line="276" w:lineRule="auto"/>
        <w:ind w:firstLine="709"/>
        <w:jc w:val="both"/>
        <w:rPr>
          <w:rFonts w:ascii="Verdana" w:eastAsia="Times New Roman" w:hAnsi="Verdana" w:cs="Arial"/>
          <w:bCs/>
          <w:lang w:val="es-MX" w:eastAsia="x-none"/>
        </w:rPr>
      </w:pPr>
      <w:r w:rsidRPr="0057193B">
        <w:rPr>
          <w:rFonts w:ascii="Verdana" w:eastAsia="Times New Roman" w:hAnsi="Verdana" w:cs="Arial"/>
          <w:bCs/>
          <w:lang w:val="es-MX" w:eastAsia="x-none"/>
        </w:rPr>
        <w:t>Finalmente, se reitera, c</w:t>
      </w:r>
      <w:r w:rsidRPr="0057193B">
        <w:rPr>
          <w:rFonts w:ascii="Verdana" w:eastAsia="Times New Roman" w:hAnsi="Verdana" w:cs="Arial"/>
          <w:bCs/>
          <w:lang w:val="es-MX" w:eastAsia="es-CO"/>
        </w:rPr>
        <w:t xml:space="preserve">omo en otras oportunidades lo ha manifestado esta Agencia, que las prórrogas, modificaciones o adiciones de los contratos suscritos antes de la entrada en vigor de las prohibiciones anotadas, así como la cesión de </w:t>
      </w:r>
      <w:proofErr w:type="gramStart"/>
      <w:r w:rsidRPr="0057193B">
        <w:rPr>
          <w:rFonts w:ascii="Verdana" w:eastAsia="Times New Roman" w:hAnsi="Verdana" w:cs="Arial"/>
          <w:bCs/>
          <w:lang w:val="es-MX" w:eastAsia="es-CO"/>
        </w:rPr>
        <w:t>los mismos</w:t>
      </w:r>
      <w:proofErr w:type="gramEnd"/>
      <w:r w:rsidRPr="0057193B">
        <w:rPr>
          <w:rFonts w:ascii="Verdana" w:eastAsia="Times New Roman" w:hAnsi="Verdana" w:cs="Arial"/>
          <w:bCs/>
          <w:lang w:val="es-MX" w:eastAsia="es-CO"/>
        </w:rPr>
        <w:t>, pueden tener lugar en el período de aplicación de la Ley de Garantías, sin que ello haga nugatoria la restricción de la contratación directa y siempre que cumplan los principios de planeación, transparencia y responsabilidad</w:t>
      </w:r>
      <w:r w:rsidRPr="0057193B">
        <w:rPr>
          <w:rFonts w:ascii="Verdana" w:eastAsia="Times New Roman" w:hAnsi="Verdana" w:cs="Arial"/>
          <w:bCs/>
          <w:vertAlign w:val="superscript"/>
          <w:lang w:val="es-MX" w:eastAsia="es-CO"/>
        </w:rPr>
        <w:footnoteReference w:id="25"/>
      </w:r>
      <w:r w:rsidRPr="0057193B">
        <w:rPr>
          <w:rFonts w:ascii="Verdana" w:eastAsia="Times New Roman" w:hAnsi="Verdana" w:cs="Arial"/>
          <w:bCs/>
          <w:lang w:val="es-MX" w:eastAsia="es-CO"/>
        </w:rPr>
        <w:t>. Además, también es posible que contratos celebrados previamente se continúen ejecutando con normalidad.</w:t>
      </w:r>
    </w:p>
    <w:p w14:paraId="787F74A4" w14:textId="77777777" w:rsidR="006803AB" w:rsidRDefault="006803AB" w:rsidP="006803AB">
      <w:pPr>
        <w:spacing w:after="0" w:line="276" w:lineRule="auto"/>
        <w:jc w:val="both"/>
        <w:rPr>
          <w:rFonts w:ascii="Verdana" w:eastAsia="Arial" w:hAnsi="Verdana" w:cs="Arial"/>
          <w:lang w:val="es-ES" w:eastAsia="es-ES" w:bidi="es-ES"/>
        </w:rPr>
      </w:pPr>
    </w:p>
    <w:p w14:paraId="4CAAB48F" w14:textId="77777777" w:rsidR="006803AB" w:rsidRPr="00667CD6" w:rsidRDefault="006803AB" w:rsidP="006803AB">
      <w:pPr>
        <w:spacing w:after="120" w:line="276" w:lineRule="auto"/>
        <w:jc w:val="both"/>
        <w:rPr>
          <w:rFonts w:ascii="Verdana" w:hAnsi="Verdana" w:cs="Arial"/>
          <w:lang w:val="es-ES"/>
        </w:rPr>
      </w:pPr>
      <w:proofErr w:type="spellStart"/>
      <w:r>
        <w:rPr>
          <w:rFonts w:ascii="Verdana" w:eastAsia="Arial" w:hAnsi="Verdana" w:cs="Arial"/>
          <w:lang w:val="es-ES" w:eastAsia="es-ES" w:bidi="es-ES"/>
        </w:rPr>
        <w:t>iv</w:t>
      </w:r>
      <w:proofErr w:type="spellEnd"/>
      <w:r>
        <w:rPr>
          <w:rFonts w:ascii="Verdana" w:eastAsia="Arial" w:hAnsi="Verdana" w:cs="Arial"/>
          <w:lang w:val="es-ES" w:eastAsia="es-ES" w:bidi="es-ES"/>
        </w:rPr>
        <w:t xml:space="preserve">. </w:t>
      </w:r>
      <w:r w:rsidRPr="00667CD6">
        <w:rPr>
          <w:rFonts w:ascii="Verdana" w:hAnsi="Verdana" w:cs="Arial"/>
          <w:lang w:val="es-ES"/>
        </w:rPr>
        <w:t xml:space="preserve">Ahora bien, respecto del alcance del parágrafo </w:t>
      </w:r>
      <w:r w:rsidRPr="00667CD6">
        <w:rPr>
          <w:rFonts w:ascii="Verdana" w:hAnsi="Verdana" w:cs="Arial"/>
        </w:rPr>
        <w:t xml:space="preserve">del artículo 38 de la Ley 996 de 2005, esta prohibición dispone </w:t>
      </w:r>
      <w:r>
        <w:rPr>
          <w:rFonts w:ascii="Verdana" w:hAnsi="Verdana" w:cs="Arial"/>
        </w:rPr>
        <w:t xml:space="preserve">en primera medida </w:t>
      </w:r>
      <w:r w:rsidRPr="00667CD6">
        <w:rPr>
          <w:rFonts w:ascii="Verdana" w:hAnsi="Verdana" w:cs="Arial"/>
        </w:rPr>
        <w:t xml:space="preserve">que: “[l]os Gobernadores, </w:t>
      </w:r>
      <w:proofErr w:type="gramStart"/>
      <w:r w:rsidRPr="00667CD6">
        <w:rPr>
          <w:rFonts w:ascii="Verdana" w:hAnsi="Verdana" w:cs="Arial"/>
        </w:rPr>
        <w:t>Alcaldes</w:t>
      </w:r>
      <w:proofErr w:type="gramEnd"/>
      <w:r w:rsidRPr="00667CD6">
        <w:rPr>
          <w:rFonts w:ascii="Verdana" w:hAnsi="Verdana" w:cs="Arial"/>
        </w:rPr>
        <w:t xml:space="preserve"> Municipales y/o Distritales, </w:t>
      </w:r>
      <w:proofErr w:type="gramStart"/>
      <w:r w:rsidRPr="00667CD6">
        <w:rPr>
          <w:rFonts w:ascii="Verdana" w:hAnsi="Verdana" w:cs="Arial"/>
        </w:rPr>
        <w:t>Secretarios</w:t>
      </w:r>
      <w:proofErr w:type="gramEnd"/>
      <w:r w:rsidRPr="00667CD6">
        <w:rPr>
          <w:rFonts w:ascii="Verdana" w:hAnsi="Verdana" w:cs="Arial"/>
        </w:rPr>
        <w:t xml:space="preserve">, Gerentes y directores de Entidades Descentralizadas del orden Municipal, Departamental o Distrital, dentro de los cuatro (4) meses anteriores a las elecciones, no podrán celebrar </w:t>
      </w:r>
      <w:r w:rsidRPr="00667CD6">
        <w:rPr>
          <w:rFonts w:ascii="Verdana" w:hAnsi="Verdana" w:cs="Arial"/>
          <w:i/>
          <w:iCs/>
        </w:rPr>
        <w:t>convenios interadministrativos</w:t>
      </w:r>
      <w:r w:rsidRPr="00667CD6">
        <w:rPr>
          <w:rFonts w:ascii="Verdana" w:hAnsi="Verdana" w:cs="Arial"/>
        </w:rPr>
        <w:t xml:space="preserve"> </w:t>
      </w:r>
      <w:r w:rsidRPr="00667CD6">
        <w:rPr>
          <w:rFonts w:ascii="Verdana" w:hAnsi="Verdana" w:cs="Arial"/>
          <w:i/>
          <w:iCs/>
        </w:rPr>
        <w:t>para la ejecución de recursos públicos</w:t>
      </w:r>
      <w:r w:rsidRPr="00667CD6">
        <w:rPr>
          <w:rFonts w:ascii="Verdana" w:hAnsi="Verdana" w:cs="Arial"/>
        </w:rPr>
        <w:t>”.</w:t>
      </w:r>
      <w:r w:rsidRPr="00667CD6">
        <w:rPr>
          <w:rFonts w:ascii="Verdana" w:eastAsia="Times New Roman" w:hAnsi="Verdana" w:cs="Arial"/>
          <w:lang w:val="es-MX" w:eastAsia="x-none"/>
        </w:rPr>
        <w:t xml:space="preserve"> [Énfasis fuera del texto original]</w:t>
      </w:r>
    </w:p>
    <w:p w14:paraId="4BDDAAE4" w14:textId="77777777" w:rsidR="006803AB" w:rsidRPr="00667CD6" w:rsidRDefault="006803AB" w:rsidP="006803AB">
      <w:pPr>
        <w:spacing w:after="120" w:line="276" w:lineRule="auto"/>
        <w:ind w:firstLine="709"/>
        <w:jc w:val="both"/>
        <w:rPr>
          <w:rFonts w:ascii="Verdana" w:hAnsi="Verdana" w:cs="Arial"/>
          <w:lang w:eastAsia="es-ES"/>
        </w:rPr>
      </w:pPr>
      <w:r w:rsidRPr="2035D652">
        <w:rPr>
          <w:rFonts w:ascii="Verdana" w:eastAsia="Times New Roman" w:hAnsi="Verdana" w:cs="Arial"/>
          <w:lang w:val="es-ES" w:eastAsia="es-ES"/>
        </w:rPr>
        <w:t xml:space="preserve">Para tales efectos, debe precisarse que </w:t>
      </w:r>
      <w:r w:rsidRPr="00667CD6">
        <w:rPr>
          <w:rFonts w:ascii="Verdana" w:eastAsia="Times New Roman" w:hAnsi="Verdana" w:cs="Arial"/>
          <w:color w:val="000000" w:themeColor="text1"/>
          <w:lang w:val="es-ES" w:eastAsia="es-CO"/>
        </w:rPr>
        <w:t xml:space="preserve">los contratos o convenios interadministrativos están determinados por un criterio orgánico, pues es necesario que los extremos de la relación contractual sean entidades públicas, </w:t>
      </w:r>
      <w:r w:rsidRPr="00667CD6">
        <w:rPr>
          <w:rFonts w:ascii="Verdana" w:hAnsi="Verdana" w:cs="Arial"/>
          <w:lang w:eastAsia="es-ES"/>
        </w:rPr>
        <w:lastRenderedPageBreak/>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r w:rsidRPr="00667CD6">
        <w:rPr>
          <w:rFonts w:ascii="Verdana" w:hAnsi="Verdana" w:cs="Arial"/>
          <w:vertAlign w:val="superscript"/>
          <w:lang w:eastAsia="es-ES"/>
        </w:rPr>
        <w:footnoteReference w:id="26"/>
      </w:r>
      <w:r w:rsidRPr="00667CD6">
        <w:rPr>
          <w:rFonts w:ascii="Verdana" w:hAnsi="Verdana" w:cs="Arial"/>
          <w:lang w:eastAsia="es-ES"/>
        </w:rPr>
        <w:t>.</w:t>
      </w:r>
    </w:p>
    <w:p w14:paraId="11F1B79C" w14:textId="77777777" w:rsidR="006803AB" w:rsidRPr="00667CD6" w:rsidRDefault="006803AB" w:rsidP="006803AB">
      <w:pPr>
        <w:spacing w:after="120" w:line="276" w:lineRule="auto"/>
        <w:ind w:firstLine="709"/>
        <w:jc w:val="both"/>
        <w:rPr>
          <w:rFonts w:ascii="Verdana" w:hAnsi="Verdana" w:cs="Arial"/>
          <w:color w:val="000000" w:themeColor="text1"/>
          <w:lang w:val="es-ES_tradnl"/>
        </w:rPr>
      </w:pPr>
      <w:r w:rsidRPr="00667CD6">
        <w:rPr>
          <w:rFonts w:ascii="Verdana" w:hAnsi="Verdana" w:cs="Arial"/>
          <w:color w:val="000000" w:themeColor="text1"/>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011D99CB" w14:textId="77777777" w:rsidR="006803AB" w:rsidRPr="00667CD6" w:rsidRDefault="006803AB" w:rsidP="006803AB">
      <w:pPr>
        <w:spacing w:before="120" w:after="0" w:line="276" w:lineRule="auto"/>
        <w:ind w:firstLine="708"/>
        <w:jc w:val="both"/>
        <w:rPr>
          <w:rFonts w:ascii="Verdana" w:hAnsi="Verdana" w:cs="Arial"/>
          <w:lang w:val="es-ES_tradnl"/>
        </w:rPr>
      </w:pPr>
      <w:r w:rsidRPr="2035D652">
        <w:rPr>
          <w:rFonts w:ascii="Verdana" w:hAnsi="Verdana" w:cs="Arial"/>
          <w:lang w:val="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Pr="2035D652">
        <w:rPr>
          <w:rFonts w:ascii="Verdana" w:hAnsi="Verdana" w:cs="Arial"/>
          <w:vertAlign w:val="superscript"/>
          <w:lang w:val="es-ES"/>
        </w:rPr>
        <w:footnoteReference w:id="27"/>
      </w:r>
      <w:r w:rsidRPr="2035D652">
        <w:rPr>
          <w:rFonts w:ascii="Verdana" w:hAnsi="Verdana" w:cs="Arial"/>
          <w:lang w:val="es-ES"/>
        </w:rPr>
        <w:t>. Nótese que, en este caso, lo que cambia es la modalidad de selección y no la naturaleza de contrato interadministrativo.</w:t>
      </w:r>
    </w:p>
    <w:p w14:paraId="67A1A41C" w14:textId="77777777" w:rsidR="006803AB" w:rsidRPr="00667CD6" w:rsidRDefault="006803AB" w:rsidP="006803AB">
      <w:pPr>
        <w:spacing w:before="120" w:after="0" w:line="276" w:lineRule="auto"/>
        <w:ind w:firstLine="708"/>
        <w:jc w:val="both"/>
        <w:rPr>
          <w:rFonts w:ascii="Verdana" w:hAnsi="Verdana" w:cs="Arial"/>
          <w:lang w:val="es-ES_tradnl"/>
        </w:rPr>
      </w:pPr>
      <w:r w:rsidRPr="2035D652">
        <w:rPr>
          <w:rFonts w:ascii="Verdana" w:hAnsi="Verdana" w:cs="Arial"/>
          <w:lang w:val="es-ES"/>
        </w:rPr>
        <w:t>Además, es necesario tener en cuenta que para que un contrato o convenio interadministrativo exista debe cumplir con los siguientes elementos: acuerdo sobre el objeto y la contraprestación y que conste por escrito</w:t>
      </w:r>
      <w:r w:rsidRPr="2035D652">
        <w:rPr>
          <w:rFonts w:ascii="Verdana" w:hAnsi="Verdana" w:cs="Arial"/>
          <w:vertAlign w:val="superscript"/>
          <w:lang w:val="es-ES"/>
        </w:rPr>
        <w:footnoteReference w:id="28"/>
      </w:r>
      <w:r w:rsidRPr="2035D652">
        <w:rPr>
          <w:rFonts w:ascii="Verdana" w:hAnsi="Verdana" w:cs="Arial"/>
          <w:lang w:val="es-ES"/>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3F21BC2F" w14:textId="77777777" w:rsidR="006803AB" w:rsidRPr="00667CD6" w:rsidRDefault="006803AB" w:rsidP="006803AB">
      <w:pPr>
        <w:spacing w:before="120" w:after="0" w:line="276" w:lineRule="auto"/>
        <w:ind w:firstLine="708"/>
        <w:jc w:val="both"/>
        <w:rPr>
          <w:rFonts w:ascii="Verdana" w:hAnsi="Verdana"/>
          <w:sz w:val="24"/>
          <w:szCs w:val="24"/>
          <w:lang w:eastAsia="es-CO"/>
        </w:rPr>
      </w:pPr>
      <w:r w:rsidRPr="2035D652">
        <w:rPr>
          <w:rFonts w:ascii="Verdana" w:hAnsi="Verdana" w:cs="Arial"/>
          <w:lang w:val="es-ES"/>
        </w:rPr>
        <w:lastRenderedPageBreak/>
        <w:t>Sobre este aspecto, se resalta que la Corte Constitucional señaló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atendiendo a la literalidad de las normas enunciadas, no cabe una interpretación diferente</w:t>
      </w:r>
      <w:r w:rsidRPr="2035D652">
        <w:rPr>
          <w:rFonts w:ascii="Verdana" w:hAnsi="Verdana" w:cs="Arial"/>
          <w:vertAlign w:val="superscript"/>
          <w:lang w:val="es-ES"/>
        </w:rPr>
        <w:footnoteReference w:id="29"/>
      </w:r>
      <w:r w:rsidRPr="2035D652">
        <w:rPr>
          <w:rFonts w:ascii="Verdana" w:hAnsi="Verdana" w:cs="Arial"/>
          <w:lang w:val="es-ES"/>
        </w:rPr>
        <w:t>, pues, de acuerdo con lo anotado, esta clase de acuerdos de voluntades se definen por un criterio orgánico, por lo que uno de sus elementos esenciales es que en los extremos de la relación jurídico negocial concurran personas de derecho público</w:t>
      </w:r>
      <w:r w:rsidRPr="00667CD6">
        <w:rPr>
          <w:rFonts w:ascii="Verdana" w:hAnsi="Verdana"/>
          <w:sz w:val="24"/>
          <w:szCs w:val="24"/>
          <w:lang w:eastAsia="es-CO"/>
        </w:rPr>
        <w:t>.</w:t>
      </w:r>
    </w:p>
    <w:p w14:paraId="0C3D3F9A" w14:textId="77777777" w:rsidR="006803AB" w:rsidRDefault="006803AB" w:rsidP="006803AB">
      <w:pPr>
        <w:spacing w:before="120" w:after="0" w:line="276" w:lineRule="auto"/>
        <w:ind w:firstLine="708"/>
        <w:jc w:val="both"/>
        <w:rPr>
          <w:rFonts w:ascii="Verdana" w:eastAsia="Times New Roman" w:hAnsi="Verdana" w:cs="Arial"/>
          <w:lang w:val="es-MX" w:eastAsia="es-CO"/>
        </w:rPr>
      </w:pPr>
      <w:r w:rsidRPr="00667CD6">
        <w:rPr>
          <w:rFonts w:ascii="Verdana" w:eastAsia="Arial" w:hAnsi="Verdana" w:cs="Arial"/>
          <w:lang w:val="es-MX" w:eastAsia="es-ES" w:bidi="es-ES"/>
        </w:rPr>
        <w:t>De esta manera, se</w:t>
      </w:r>
      <w:r w:rsidRPr="00667CD6">
        <w:rPr>
          <w:rFonts w:ascii="Verdana" w:eastAsia="Times New Roman" w:hAnsi="Verdana" w:cs="Arial"/>
          <w:lang w:eastAsia="es-CO"/>
        </w:rPr>
        <w:t xml:space="preserve"> observa entonces que </w:t>
      </w:r>
      <w:r w:rsidRPr="00667CD6">
        <w:rPr>
          <w:rFonts w:ascii="Verdana" w:eastAsia="Times New Roman" w:hAnsi="Verdana" w:cs="Arial"/>
          <w:lang w:val="es-MX" w:eastAsia="es-CO"/>
        </w:rPr>
        <w:t xml:space="preserve">el parágrafo del artículo 38 de la Ley 996 de 2005 prohíbe a los </w:t>
      </w:r>
      <w:proofErr w:type="gramStart"/>
      <w:r w:rsidRPr="00667CD6">
        <w:rPr>
          <w:rFonts w:ascii="Verdana" w:eastAsia="Times New Roman" w:hAnsi="Verdana" w:cs="Arial"/>
          <w:lang w:val="es-MX" w:eastAsia="es-CO"/>
        </w:rPr>
        <w:t>Alcaldes</w:t>
      </w:r>
      <w:proofErr w:type="gramEnd"/>
      <w:r w:rsidRPr="00667CD6">
        <w:rPr>
          <w:rFonts w:ascii="Verdana" w:eastAsia="Times New Roman" w:hAnsi="Verdana" w:cs="Arial"/>
          <w:lang w:val="es-MX" w:eastAsia="es-CO"/>
        </w:rPr>
        <w:t xml:space="preserve">, Gobernadores, </w:t>
      </w:r>
      <w:proofErr w:type="gramStart"/>
      <w:r w:rsidRPr="00667CD6">
        <w:rPr>
          <w:rFonts w:ascii="Verdana" w:eastAsia="Times New Roman" w:hAnsi="Verdana" w:cs="Arial"/>
          <w:lang w:val="es-MX" w:eastAsia="es-CO"/>
        </w:rPr>
        <w:t>Secretarios</w:t>
      </w:r>
      <w:proofErr w:type="gramEnd"/>
      <w:r w:rsidRPr="00667CD6">
        <w:rPr>
          <w:rFonts w:ascii="Verdana" w:eastAsia="Times New Roman" w:hAnsi="Verdana" w:cs="Arial"/>
          <w:lang w:val="es-MX" w:eastAsia="es-CO"/>
        </w:rPr>
        <w:t xml:space="preserve">, Gerentes y </w:t>
      </w:r>
      <w:proofErr w:type="gramStart"/>
      <w:r w:rsidRPr="00667CD6">
        <w:rPr>
          <w:rFonts w:ascii="Verdana" w:eastAsia="Times New Roman" w:hAnsi="Verdana" w:cs="Arial"/>
          <w:lang w:val="es-MX" w:eastAsia="es-CO"/>
        </w:rPr>
        <w:t>Directores</w:t>
      </w:r>
      <w:proofErr w:type="gramEnd"/>
      <w:r w:rsidRPr="00667CD6">
        <w:rPr>
          <w:rFonts w:ascii="Verdana" w:eastAsia="Times New Roman" w:hAnsi="Verdana" w:cs="Arial"/>
          <w:lang w:val="es-MX" w:eastAsia="es-CO"/>
        </w:rPr>
        <w:t xml:space="preserve"> de las entidades del orden municipal, departamental o distrital celebrar </w:t>
      </w:r>
      <w:r w:rsidRPr="00667CD6">
        <w:rPr>
          <w:rFonts w:ascii="Verdana" w:eastAsia="Times New Roman" w:hAnsi="Verdana" w:cs="Arial"/>
          <w:i/>
          <w:iCs/>
          <w:lang w:val="es-MX" w:eastAsia="es-CO"/>
        </w:rPr>
        <w:t>convenios interadministrativos</w:t>
      </w:r>
      <w:r w:rsidRPr="00667CD6">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667CD6">
        <w:rPr>
          <w:rFonts w:ascii="Verdana" w:eastAsia="Times New Roman" w:hAnsi="Verdana" w:cs="Arial"/>
          <w:i/>
          <w:lang w:val="es-MX" w:eastAsia="es-CO"/>
        </w:rPr>
        <w:t>ibidem</w:t>
      </w:r>
      <w:r w:rsidRPr="00667CD6">
        <w:rPr>
          <w:rFonts w:ascii="Verdana" w:eastAsia="Times New Roman" w:hAnsi="Verdana" w:cs="Arial"/>
          <w:lang w:val="es-MX" w:eastAsia="es-CO"/>
        </w:rPr>
        <w:t xml:space="preserve">, </w:t>
      </w:r>
      <w:r>
        <w:rPr>
          <w:rFonts w:ascii="Verdana" w:eastAsia="Times New Roman" w:hAnsi="Verdana" w:cs="Arial"/>
          <w:lang w:val="es-MX" w:eastAsia="es-CO"/>
        </w:rPr>
        <w:t xml:space="preserve">es decir, </w:t>
      </w:r>
      <w:r w:rsidRPr="00E60AD8">
        <w:rPr>
          <w:rFonts w:ascii="Verdana" w:eastAsia="Times New Roman" w:hAnsi="Verdana" w:cs="Arial"/>
          <w:lang w:eastAsia="es-CO"/>
        </w:rPr>
        <w:t>alcaldías, gobernaciones, secretarías de despacho, así como entidades</w:t>
      </w:r>
      <w:r>
        <w:rPr>
          <w:rFonts w:ascii="Verdana" w:eastAsia="Times New Roman" w:hAnsi="Verdana" w:cs="Arial"/>
          <w:lang w:eastAsia="es-CO"/>
        </w:rPr>
        <w:t xml:space="preserve"> descentralizadas por servicios del orden municipal, departamental o distrital</w:t>
      </w:r>
      <w:r w:rsidRPr="00E60AD8">
        <w:rPr>
          <w:rFonts w:ascii="Verdana" w:eastAsia="Times New Roman" w:hAnsi="Verdana" w:cs="Arial"/>
          <w:lang w:eastAsia="es-CO"/>
        </w:rPr>
        <w:t xml:space="preserve"> </w:t>
      </w:r>
      <w:r w:rsidRPr="00667CD6">
        <w:rPr>
          <w:rFonts w:ascii="Verdana" w:eastAsia="Times New Roman" w:hAnsi="Verdana" w:cs="Arial"/>
          <w:lang w:val="es-MX" w:eastAsia="es-CO"/>
        </w:rPr>
        <w:t xml:space="preserve">no podrá celebrar tales </w:t>
      </w:r>
      <w:r w:rsidRPr="00667CD6">
        <w:rPr>
          <w:rFonts w:ascii="Verdana" w:eastAsia="Times New Roman" w:hAnsi="Verdana" w:cs="Arial"/>
          <w:i/>
          <w:iCs/>
          <w:lang w:val="es-MX" w:eastAsia="es-CO"/>
        </w:rPr>
        <w:t>convenios</w:t>
      </w:r>
      <w:r w:rsidRPr="00667CD6">
        <w:rPr>
          <w:rFonts w:ascii="Verdana" w:eastAsia="Times New Roman" w:hAnsi="Verdana" w:cs="Arial"/>
          <w:lang w:val="es-MX" w:eastAsia="es-CO"/>
        </w:rPr>
        <w:t xml:space="preserve"> durante la aplicación de la Ley de Garantías Electorales, toda vez que la citada disposición </w:t>
      </w:r>
      <w:r>
        <w:rPr>
          <w:rFonts w:ascii="Verdana" w:eastAsia="Times New Roman" w:hAnsi="Verdana" w:cs="Arial"/>
          <w:lang w:val="es-MX" w:eastAsia="es-CO"/>
        </w:rPr>
        <w:t xml:space="preserve">se refiere </w:t>
      </w:r>
      <w:r w:rsidRPr="00667CD6">
        <w:rPr>
          <w:rFonts w:ascii="Verdana" w:eastAsia="Times New Roman" w:hAnsi="Verdana" w:cs="Arial"/>
          <w:lang w:val="es-MX" w:eastAsia="es-CO"/>
        </w:rPr>
        <w:t xml:space="preserve">a dicha tipología contractual sin que el legislador hubiere contemplado un efecto extensivo a otra tipología. </w:t>
      </w:r>
    </w:p>
    <w:p w14:paraId="24BDB955" w14:textId="77777777" w:rsidR="006803AB" w:rsidRPr="00E60AD8" w:rsidRDefault="006803AB" w:rsidP="006803AB">
      <w:pPr>
        <w:spacing w:before="120" w:after="0" w:line="276" w:lineRule="auto"/>
        <w:ind w:firstLine="708"/>
        <w:jc w:val="both"/>
        <w:rPr>
          <w:rFonts w:ascii="Verdana" w:eastAsia="Calibri" w:hAnsi="Verdana" w:cs="Arial"/>
          <w:color w:val="000000"/>
        </w:rPr>
      </w:pPr>
      <w:r>
        <w:rPr>
          <w:rFonts w:ascii="Verdana" w:eastAsia="Times New Roman" w:hAnsi="Verdana" w:cs="Arial"/>
          <w:lang w:val="es-MX" w:eastAsia="es-CO"/>
        </w:rPr>
        <w:t xml:space="preserve">En este aspecto, se destaca que uno de los sujetos de aplicación de dicha restricción son las entidades descentralizadas por servicios, </w:t>
      </w:r>
      <w:r>
        <w:rPr>
          <w:rFonts w:ascii="Verdana" w:eastAsia="Times New Roman" w:hAnsi="Verdana" w:cs="Arial"/>
          <w:lang w:eastAsia="es-CO"/>
        </w:rPr>
        <w:t xml:space="preserve">las cuales </w:t>
      </w:r>
      <w:r w:rsidRPr="004A1A19">
        <w:rPr>
          <w:rFonts w:ascii="Verdana" w:eastAsia="Calibri" w:hAnsi="Verdana" w:cs="Arial"/>
          <w:color w:val="000000"/>
        </w:rPr>
        <w:t>–sin perjuicio del control de tutela– tienen personería jurídica, autonomía administrativa y patrimonio propio.</w:t>
      </w:r>
      <w:r w:rsidRPr="004A1A19">
        <w:rPr>
          <w:rFonts w:ascii="Verdana" w:eastAsia="Calibri" w:hAnsi="Verdana" w:cs="Arial"/>
          <w:b/>
          <w:bCs/>
          <w:color w:val="000000"/>
        </w:rPr>
        <w:t xml:space="preserve"> </w:t>
      </w:r>
      <w:r>
        <w:rPr>
          <w:rFonts w:ascii="Verdana" w:eastAsia="Calibri" w:hAnsi="Verdana" w:cs="Arial"/>
          <w:color w:val="000000"/>
        </w:rPr>
        <w:t xml:space="preserve">Dentro de la categoría amplia de entidades descentralizadas por servicios se encuentran las Empresas Industriales y Comerciales del Estado, los establecimientos públicos, las sociedades públicas, las sociedades de economía mixta, las empresas sociales del Estado, entre otras entidades. </w:t>
      </w:r>
    </w:p>
    <w:p w14:paraId="1D7BC92C" w14:textId="77777777" w:rsidR="006803AB" w:rsidRDefault="006803AB" w:rsidP="006803AB">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val="es-MX" w:eastAsia="es-CO"/>
        </w:rPr>
        <w:t xml:space="preserve">Respecto del alcance de esta prohibición la Circular Externa No. 006 de 2025 expedida por la ANCP -CCE, en los literales </w:t>
      </w:r>
      <w:proofErr w:type="spellStart"/>
      <w:r w:rsidRPr="00667CD6">
        <w:rPr>
          <w:rFonts w:ascii="Verdana" w:eastAsia="Times New Roman" w:hAnsi="Verdana" w:cs="Arial"/>
          <w:lang w:val="es-MX" w:eastAsia="es-CO"/>
        </w:rPr>
        <w:t>ii</w:t>
      </w:r>
      <w:proofErr w:type="spellEnd"/>
      <w:r w:rsidRPr="00667CD6">
        <w:rPr>
          <w:rFonts w:ascii="Verdana" w:eastAsia="Times New Roman" w:hAnsi="Verdana" w:cs="Arial"/>
          <w:lang w:val="es-MX" w:eastAsia="es-CO"/>
        </w:rPr>
        <w:t xml:space="preserve">) y </w:t>
      </w:r>
      <w:proofErr w:type="spellStart"/>
      <w:r w:rsidRPr="00667CD6">
        <w:rPr>
          <w:rFonts w:ascii="Verdana" w:eastAsia="Times New Roman" w:hAnsi="Verdana" w:cs="Arial"/>
          <w:lang w:val="es-MX" w:eastAsia="es-CO"/>
        </w:rPr>
        <w:t>iv</w:t>
      </w:r>
      <w:proofErr w:type="spellEnd"/>
      <w:r w:rsidRPr="00667CD6">
        <w:rPr>
          <w:rFonts w:ascii="Verdana" w:eastAsia="Times New Roman" w:hAnsi="Verdana" w:cs="Arial"/>
          <w:lang w:val="es-MX" w:eastAsia="es-CO"/>
        </w:rPr>
        <w:t>) del numeral 2</w:t>
      </w:r>
      <w:r w:rsidRPr="00667CD6">
        <w:rPr>
          <w:rFonts w:ascii="Verdana" w:eastAsia="Times New Roman" w:hAnsi="Verdana" w:cs="Arial"/>
          <w:lang w:eastAsia="es-CO"/>
        </w:rPr>
        <w:t>,</w:t>
      </w:r>
      <w:r w:rsidRPr="00667CD6">
        <w:rPr>
          <w:rFonts w:ascii="Verdana" w:eastAsia="Times New Roman" w:hAnsi="Verdana" w:cs="Arial"/>
          <w:lang w:val="es-MX" w:eastAsia="es-CO"/>
        </w:rPr>
        <w:t xml:space="preserve"> indica que el </w:t>
      </w:r>
      <w:r w:rsidRPr="00667CD6">
        <w:rPr>
          <w:rFonts w:ascii="Verdana" w:eastAsia="Times New Roman" w:hAnsi="Verdana" w:cs="Arial"/>
          <w:lang w:eastAsia="es-CO"/>
        </w:rPr>
        <w:t xml:space="preserve">parágrafo del artículo 38 de la Ley 996 de 2005 cobija expresamente a los </w:t>
      </w:r>
      <w:r w:rsidRPr="00667CD6">
        <w:rPr>
          <w:rFonts w:ascii="Verdana" w:eastAsia="Times New Roman" w:hAnsi="Verdana" w:cs="Arial"/>
          <w:i/>
          <w:iCs/>
          <w:lang w:eastAsia="es-CO"/>
        </w:rPr>
        <w:t>convenios interadministrativos</w:t>
      </w:r>
      <w:r w:rsidRPr="00667CD6">
        <w:rPr>
          <w:rFonts w:ascii="Verdana" w:eastAsia="Times New Roman" w:hAnsi="Verdana" w:cs="Arial"/>
          <w:lang w:eastAsia="es-CO"/>
        </w:rPr>
        <w:t xml:space="preserve"> en los que se contemple la ejecución de </w:t>
      </w:r>
      <w:r w:rsidRPr="00667CD6">
        <w:rPr>
          <w:rFonts w:ascii="Verdana" w:eastAsia="Times New Roman" w:hAnsi="Verdana" w:cs="Arial"/>
          <w:lang w:eastAsia="es-CO"/>
        </w:rPr>
        <w:lastRenderedPageBreak/>
        <w:t xml:space="preserve">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667CD6">
        <w:rPr>
          <w:rFonts w:ascii="Verdana" w:eastAsia="Times New Roman" w:hAnsi="Verdana" w:cs="Arial"/>
          <w:i/>
          <w:iCs/>
          <w:lang w:eastAsia="es-CO"/>
        </w:rPr>
        <w:t>“aunque se configure alguno de los supuestos de excepción que señaló el inciso final del artículo 33”.</w:t>
      </w:r>
      <w:r w:rsidRPr="00667CD6">
        <w:rPr>
          <w:rFonts w:ascii="Verdana" w:eastAsia="Times New Roman" w:hAnsi="Verdana" w:cs="Arial"/>
          <w:lang w:eastAsia="es-CO"/>
        </w:rPr>
        <w:t xml:space="preserve"> </w:t>
      </w:r>
    </w:p>
    <w:p w14:paraId="30E167EA" w14:textId="77777777" w:rsidR="006803AB" w:rsidRPr="00667CD6" w:rsidRDefault="006803AB" w:rsidP="006803AB">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Sin embargo, el ámbito de aplicación de la restricción prevista en el parágrafo del artículo 38 de la Ley 996 de 2005 </w:t>
      </w:r>
      <w:r>
        <w:rPr>
          <w:rFonts w:ascii="Verdana" w:eastAsia="Times New Roman" w:hAnsi="Verdana" w:cs="Arial"/>
          <w:lang w:eastAsia="es-CO"/>
        </w:rPr>
        <w:t>comprende</w:t>
      </w:r>
      <w:r w:rsidRPr="00667CD6">
        <w:rPr>
          <w:rFonts w:ascii="Verdana" w:eastAsia="Times New Roman" w:hAnsi="Verdana" w:cs="Arial"/>
          <w:lang w:eastAsia="es-CO"/>
        </w:rPr>
        <w:t xml:space="preserve"> a los </w:t>
      </w:r>
      <w:r w:rsidRPr="00667CD6">
        <w:rPr>
          <w:rFonts w:ascii="Verdana" w:eastAsia="Times New Roman" w:hAnsi="Verdana" w:cs="Arial"/>
          <w:i/>
          <w:iCs/>
          <w:lang w:eastAsia="es-CO"/>
        </w:rPr>
        <w:t>convenios interadministrativos</w:t>
      </w:r>
      <w:r w:rsidRPr="00667CD6">
        <w:rPr>
          <w:rFonts w:ascii="Verdana" w:eastAsia="Times New Roman" w:hAnsi="Verdana" w:cs="Arial"/>
          <w:lang w:eastAsia="es-CO"/>
        </w:rPr>
        <w:t xml:space="preserve"> en los que </w:t>
      </w:r>
      <w:r>
        <w:rPr>
          <w:rFonts w:ascii="Verdana" w:eastAsia="Times New Roman" w:hAnsi="Verdana" w:cs="Arial"/>
          <w:lang w:eastAsia="es-CO"/>
        </w:rPr>
        <w:t>exista</w:t>
      </w:r>
      <w:r w:rsidRPr="00667CD6">
        <w:rPr>
          <w:rFonts w:ascii="Verdana" w:eastAsia="Times New Roman" w:hAnsi="Verdana" w:cs="Arial"/>
          <w:lang w:eastAsia="es-CO"/>
        </w:rPr>
        <w:t xml:space="preserve"> </w:t>
      </w:r>
      <w:r w:rsidRPr="00667CD6">
        <w:rPr>
          <w:rFonts w:ascii="Verdana" w:eastAsia="Times New Roman" w:hAnsi="Verdana" w:cs="Arial"/>
          <w:i/>
          <w:iCs/>
          <w:lang w:eastAsia="es-CO"/>
        </w:rPr>
        <w:t>ejecución de recursos públicos</w:t>
      </w:r>
      <w:r>
        <w:rPr>
          <w:rFonts w:ascii="Verdana" w:eastAsia="Times New Roman" w:hAnsi="Verdana" w:cs="Arial"/>
          <w:lang w:eastAsia="es-CO"/>
        </w:rPr>
        <w:t>, sin importar de que estos sean en dinero o en especie, ya que la norma no distingue</w:t>
      </w:r>
      <w:r w:rsidRPr="00667CD6">
        <w:rPr>
          <w:rFonts w:ascii="Verdana" w:eastAsia="Times New Roman" w:hAnsi="Verdana" w:cs="Arial"/>
          <w:lang w:eastAsia="es-CO"/>
        </w:rPr>
        <w:t xml:space="preserve">. </w:t>
      </w:r>
      <w:r w:rsidRPr="00C016C8">
        <w:rPr>
          <w:rFonts w:ascii="Verdana" w:eastAsia="Times New Roman" w:hAnsi="Verdana" w:cs="Arial"/>
          <w:lang w:val="es-ES" w:eastAsia="es-CO"/>
        </w:rPr>
        <w:t>Lo anterior conforme a la directriz interpretativa del artículo 31 del Código Civil, según la cual “Lo favorable u odioso de una disposición no se tomará en cuenta para ampliar o restringir su interpretación. La extensión que deba darse a toda ley se determinará por su genuino sentido, y según las reglas de interpretación precedentes”</w:t>
      </w:r>
      <w:r>
        <w:rPr>
          <w:rStyle w:val="Refdenotaalpie"/>
          <w:rFonts w:ascii="Verdana" w:hAnsi="Verdana" w:cs="Arial"/>
          <w:lang w:val="es-ES"/>
        </w:rPr>
        <w:footnoteReference w:id="30"/>
      </w:r>
      <w:r>
        <w:rPr>
          <w:rFonts w:ascii="Verdana" w:eastAsia="Times New Roman" w:hAnsi="Verdana" w:cs="Arial"/>
          <w:lang w:val="es-ES" w:eastAsia="es-CO"/>
        </w:rPr>
        <w:t>.</w:t>
      </w:r>
      <w:r w:rsidRPr="00667CD6">
        <w:rPr>
          <w:rFonts w:ascii="Verdana" w:eastAsia="Times New Roman" w:hAnsi="Verdana" w:cs="Arial"/>
          <w:lang w:eastAsia="es-CO"/>
        </w:rPr>
        <w:t xml:space="preserve"> </w:t>
      </w:r>
      <w:r>
        <w:rPr>
          <w:rFonts w:ascii="Verdana" w:eastAsia="Times New Roman" w:hAnsi="Verdana" w:cs="Arial"/>
          <w:lang w:eastAsia="es-CO"/>
        </w:rPr>
        <w:t xml:space="preserve">Por ello, en el Concepto </w:t>
      </w:r>
      <w:r w:rsidRPr="00C016C8">
        <w:rPr>
          <w:rFonts w:ascii="Verdana" w:eastAsia="Times New Roman" w:hAnsi="Verdana" w:cs="Arial"/>
          <w:lang w:eastAsia="es-CO"/>
        </w:rPr>
        <w:t>2201913000006634</w:t>
      </w:r>
      <w:r>
        <w:rPr>
          <w:rFonts w:ascii="Verdana" w:eastAsia="Times New Roman" w:hAnsi="Verdana" w:cs="Arial"/>
          <w:lang w:eastAsia="es-CO"/>
        </w:rPr>
        <w:t xml:space="preserve"> del 6 de septiembre de 2019, la Agencia sostuvo que la ejecución de recursos no se agota en el “[…] </w:t>
      </w:r>
      <w:r w:rsidRPr="00C016C8">
        <w:rPr>
          <w:rFonts w:ascii="Verdana" w:eastAsia="Times New Roman" w:hAnsi="Verdana" w:cs="Arial"/>
          <w:lang w:eastAsia="es-CO"/>
        </w:rPr>
        <w:t>el dinero que integra el ciclo presupuestal de la entidad</w:t>
      </w:r>
      <w:r>
        <w:rPr>
          <w:rFonts w:ascii="Verdana" w:eastAsia="Times New Roman" w:hAnsi="Verdana" w:cs="Arial"/>
          <w:lang w:eastAsia="es-CO"/>
        </w:rPr>
        <w:t xml:space="preserve"> […]”, pues “[…] </w:t>
      </w:r>
      <w:r w:rsidRPr="00C016C8">
        <w:rPr>
          <w:rFonts w:ascii="Verdana" w:eastAsia="Times New Roman" w:hAnsi="Verdana" w:cs="Arial"/>
          <w:lang w:eastAsia="es-CO"/>
        </w:rPr>
        <w:t xml:space="preserve">también los bienes muebles, inmuebles y personal hacen parte del concepto de </w:t>
      </w:r>
      <w:r>
        <w:rPr>
          <w:rFonts w:ascii="Verdana" w:eastAsia="Times New Roman" w:hAnsi="Verdana" w:cs="Arial"/>
          <w:lang w:eastAsia="es-CO"/>
        </w:rPr>
        <w:t>‘</w:t>
      </w:r>
      <w:r w:rsidRPr="00C016C8">
        <w:rPr>
          <w:rFonts w:ascii="Verdana" w:eastAsia="Times New Roman" w:hAnsi="Verdana" w:cs="Arial"/>
          <w:lang w:eastAsia="es-CO"/>
        </w:rPr>
        <w:t>recursos públicos</w:t>
      </w:r>
      <w:r>
        <w:rPr>
          <w:rFonts w:ascii="Verdana" w:eastAsia="Times New Roman" w:hAnsi="Verdana" w:cs="Arial"/>
          <w:lang w:eastAsia="es-CO"/>
        </w:rPr>
        <w:t>’”.</w:t>
      </w:r>
    </w:p>
    <w:p w14:paraId="525C480F" w14:textId="77777777" w:rsidR="006803AB" w:rsidRPr="00667CD6" w:rsidRDefault="006803AB" w:rsidP="006803AB">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De esta manera, conforme a lo dispuesto en la Circular referida, si se suscriben </w:t>
      </w:r>
      <w:r w:rsidRPr="00667CD6">
        <w:rPr>
          <w:rFonts w:ascii="Verdana" w:eastAsia="Times New Roman" w:hAnsi="Verdana" w:cs="Arial"/>
          <w:i/>
          <w:iCs/>
          <w:lang w:eastAsia="es-CO"/>
        </w:rPr>
        <w:t>convenios interadministrativos para la ejecución de recursos públicos</w:t>
      </w:r>
      <w:r w:rsidRPr="00667CD6">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667CD6">
        <w:rPr>
          <w:rFonts w:ascii="Verdana" w:eastAsia="Times New Roman" w:hAnsi="Verdana" w:cs="Arial"/>
          <w:i/>
          <w:iCs/>
          <w:lang w:eastAsia="es-CO"/>
        </w:rPr>
        <w:t>ibidem</w:t>
      </w:r>
      <w:r w:rsidRPr="00667CD6">
        <w:rPr>
          <w:rFonts w:ascii="Verdana" w:eastAsia="Times New Roman" w:hAnsi="Verdana" w:cs="Arial"/>
          <w:lang w:eastAsia="es-CO"/>
        </w:rPr>
        <w:t>, independientemente de que se configure alguno de los supuestos de excepción que señaló el inciso final del artículo 33, es decir, que se trate de:</w:t>
      </w:r>
      <w:r w:rsidRPr="00667CD6">
        <w:rPr>
          <w:rFonts w:ascii="Verdana" w:hAnsi="Verdana" w:cs="Arial"/>
          <w:bCs/>
          <w:lang w:val="es-MX" w:eastAsia="x-none"/>
        </w:rPr>
        <w:t xml:space="preserve"> i) la defensa y seguridad del Estado; </w:t>
      </w:r>
      <w:proofErr w:type="spellStart"/>
      <w:r w:rsidRPr="00667CD6">
        <w:rPr>
          <w:rFonts w:ascii="Verdana" w:hAnsi="Verdana" w:cs="Arial"/>
          <w:bCs/>
          <w:lang w:val="es-MX" w:eastAsia="x-none"/>
        </w:rPr>
        <w:t>ii</w:t>
      </w:r>
      <w:proofErr w:type="spellEnd"/>
      <w:r w:rsidRPr="00667CD6">
        <w:rPr>
          <w:rFonts w:ascii="Verdana" w:hAnsi="Verdana" w:cs="Arial"/>
          <w:bCs/>
          <w:lang w:val="es-MX" w:eastAsia="x-none"/>
        </w:rPr>
        <w:t xml:space="preserve">) los contratos de crédito público; </w:t>
      </w:r>
      <w:proofErr w:type="spellStart"/>
      <w:r w:rsidRPr="00667CD6">
        <w:rPr>
          <w:rFonts w:ascii="Verdana" w:hAnsi="Verdana" w:cs="Arial"/>
          <w:bCs/>
          <w:lang w:val="es-MX" w:eastAsia="x-none"/>
        </w:rPr>
        <w:t>iii</w:t>
      </w:r>
      <w:proofErr w:type="spellEnd"/>
      <w:r w:rsidRPr="00667CD6">
        <w:rPr>
          <w:rFonts w:ascii="Verdana" w:hAnsi="Verdana" w:cs="Arial"/>
          <w:bCs/>
          <w:lang w:val="es-MX" w:eastAsia="x-none"/>
        </w:rPr>
        <w:t xml:space="preserve">) los requeridos para cubrir las emergencias educativas, </w:t>
      </w:r>
      <w:r w:rsidRPr="00667CD6">
        <w:rPr>
          <w:rFonts w:ascii="Verdana" w:hAnsi="Verdana" w:cs="Arial"/>
          <w:bCs/>
          <w:lang w:val="es-MX" w:eastAsia="x-none"/>
        </w:rPr>
        <w:lastRenderedPageBreak/>
        <w:t xml:space="preserve">sanitarias y desastres; </w:t>
      </w:r>
      <w:proofErr w:type="spellStart"/>
      <w:r w:rsidRPr="00667CD6">
        <w:rPr>
          <w:rFonts w:ascii="Verdana" w:hAnsi="Verdana" w:cs="Arial"/>
          <w:bCs/>
          <w:lang w:val="es-MX" w:eastAsia="x-none"/>
        </w:rPr>
        <w:t>iv</w:t>
      </w:r>
      <w:proofErr w:type="spellEnd"/>
      <w:r w:rsidRPr="00667CD6">
        <w:rPr>
          <w:rFonts w:ascii="Verdana"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667CD6">
        <w:rPr>
          <w:rFonts w:ascii="Verdana" w:hAnsi="Verdana" w:cs="Arial"/>
          <w:bCs/>
          <w:lang w:val="es-MX" w:eastAsia="es-CO"/>
        </w:rPr>
        <w:t xml:space="preserve"> </w:t>
      </w:r>
      <w:r w:rsidRPr="00667CD6">
        <w:rPr>
          <w:rFonts w:ascii="Verdana" w:eastAsia="Times New Roman" w:hAnsi="Verdana" w:cs="Arial"/>
          <w:lang w:eastAsia="es-CO"/>
        </w:rPr>
        <w:t xml:space="preserve">  </w:t>
      </w:r>
    </w:p>
    <w:p w14:paraId="39454F4D" w14:textId="77777777" w:rsidR="006803AB" w:rsidRPr="00667CD6" w:rsidRDefault="006803AB" w:rsidP="006803AB">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En este punto, </w:t>
      </w:r>
      <w:r>
        <w:rPr>
          <w:rFonts w:ascii="Verdana" w:eastAsia="Times New Roman" w:hAnsi="Verdana" w:cs="Arial"/>
          <w:lang w:eastAsia="es-CO"/>
        </w:rPr>
        <w:t>teniendo en cuenta lo señalado en el contenido de su petición</w:t>
      </w:r>
      <w:r w:rsidRPr="00667CD6">
        <w:rPr>
          <w:rFonts w:ascii="Verdana" w:eastAsia="Times New Roman" w:hAnsi="Verdana" w:cs="Arial"/>
          <w:lang w:eastAsia="es-CO"/>
        </w:rPr>
        <w:t xml:space="preserve">, vale la pena destacar </w:t>
      </w:r>
      <w:proofErr w:type="gramStart"/>
      <w:r w:rsidRPr="00667CD6">
        <w:rPr>
          <w:rFonts w:ascii="Verdana" w:eastAsia="Times New Roman" w:hAnsi="Verdana" w:cs="Arial"/>
          <w:lang w:eastAsia="es-CO"/>
        </w:rPr>
        <w:t>que</w:t>
      </w:r>
      <w:proofErr w:type="gramEnd"/>
      <w:r w:rsidRPr="00667CD6">
        <w:rPr>
          <w:rFonts w:ascii="Verdana" w:eastAsia="Times New Roman" w:hAnsi="Verdana" w:cs="Arial"/>
          <w:lang w:eastAsia="es-CO"/>
        </w:rPr>
        <w:t xml:space="preserve"> </w:t>
      </w:r>
      <w:r w:rsidRPr="00667CD6">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sidRPr="00667CD6">
        <w:rPr>
          <w:rFonts w:ascii="Verdana" w:hAnsi="Verdana" w:cs="Arial"/>
        </w:rPr>
        <w:t xml:space="preserve">numeral 16.2 de la Circular Externa Única de 2022 expedida por la Agencia Nacional de Contratación Pública </w:t>
      </w:r>
      <w:r>
        <w:rPr>
          <w:rFonts w:ascii="Verdana" w:hAnsi="Verdana" w:cs="Arial"/>
        </w:rPr>
        <w:t xml:space="preserve">– </w:t>
      </w:r>
      <w:r w:rsidRPr="00667CD6">
        <w:rPr>
          <w:rFonts w:ascii="Verdana" w:hAnsi="Verdana" w:cs="Arial"/>
        </w:rPr>
        <w:t>Colombia Compra Eficiente, concretamente, respecto de los siguientes apartes normativos</w:t>
      </w:r>
      <w:r w:rsidRPr="00667CD6">
        <w:rPr>
          <w:rFonts w:ascii="Verdana" w:hAnsi="Verdana" w:cs="Arial"/>
          <w:vertAlign w:val="superscript"/>
        </w:rPr>
        <w:footnoteReference w:id="31"/>
      </w:r>
      <w:r w:rsidRPr="00667CD6">
        <w:rPr>
          <w:rFonts w:ascii="Verdana" w:hAnsi="Verdana" w:cs="Arial"/>
        </w:rPr>
        <w:t xml:space="preserve">: </w:t>
      </w:r>
    </w:p>
    <w:p w14:paraId="33000D5F" w14:textId="77777777" w:rsidR="006803AB" w:rsidRPr="00667CD6" w:rsidRDefault="006803AB" w:rsidP="006803AB">
      <w:pPr>
        <w:spacing w:after="0" w:line="276" w:lineRule="auto"/>
        <w:ind w:firstLine="709"/>
        <w:jc w:val="both"/>
        <w:rPr>
          <w:rFonts w:ascii="Verdana" w:hAnsi="Verdana" w:cs="Arial"/>
        </w:rPr>
      </w:pPr>
    </w:p>
    <w:p w14:paraId="240DCB88" w14:textId="77777777" w:rsidR="006803AB" w:rsidRDefault="006803AB" w:rsidP="006803AB">
      <w:pPr>
        <w:spacing w:after="0" w:line="240" w:lineRule="auto"/>
        <w:ind w:left="709" w:right="709"/>
        <w:jc w:val="both"/>
        <w:rPr>
          <w:rFonts w:ascii="Verdana" w:hAnsi="Verdana" w:cs="Arial"/>
          <w:sz w:val="20"/>
          <w:szCs w:val="20"/>
        </w:rPr>
      </w:pPr>
      <w:r>
        <w:rPr>
          <w:rFonts w:ascii="Verdana" w:hAnsi="Verdana" w:cs="Arial"/>
          <w:sz w:val="20"/>
          <w:szCs w:val="20"/>
          <w:lang w:val="es-MX"/>
        </w:rPr>
        <w:t>“</w:t>
      </w:r>
      <w:r w:rsidRPr="00667CD6">
        <w:rPr>
          <w:rFonts w:ascii="Verdana" w:hAnsi="Verdana" w:cs="Arial"/>
          <w:sz w:val="20"/>
          <w:szCs w:val="20"/>
          <w:lang w:val="es-MX"/>
        </w:rPr>
        <w:t>i)</w:t>
      </w:r>
      <w:r w:rsidRPr="00667CD6">
        <w:rPr>
          <w:rFonts w:ascii="Verdana" w:hAnsi="Verdana" w:cs="Arial"/>
          <w:sz w:val="20"/>
          <w:szCs w:val="20"/>
        </w:rPr>
        <w:t xml:space="preserve"> el inciso segundo 2 que dispone: </w:t>
      </w:r>
      <w:r>
        <w:rPr>
          <w:rFonts w:ascii="Verdana" w:hAnsi="Verdana" w:cs="Arial"/>
          <w:sz w:val="20"/>
          <w:szCs w:val="20"/>
        </w:rPr>
        <w:t>‘</w:t>
      </w:r>
      <w:r w:rsidRPr="00667CD6">
        <w:rPr>
          <w:rFonts w:ascii="Verdana" w:hAnsi="Verdana" w:cs="Arial"/>
          <w:sz w:val="20"/>
          <w:szCs w:val="20"/>
        </w:rPr>
        <w:t>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Pr>
          <w:rFonts w:ascii="Verdana" w:hAnsi="Verdana" w:cs="Arial"/>
          <w:sz w:val="20"/>
          <w:szCs w:val="20"/>
        </w:rPr>
        <w:t>’</w:t>
      </w:r>
      <w:r w:rsidRPr="00667CD6">
        <w:rPr>
          <w:rFonts w:ascii="Verdana" w:hAnsi="Verdana" w:cs="Arial"/>
          <w:sz w:val="20"/>
          <w:szCs w:val="20"/>
        </w:rPr>
        <w:t xml:space="preserve"> y, </w:t>
      </w:r>
    </w:p>
    <w:p w14:paraId="4045E7F7" w14:textId="77777777" w:rsidR="006803AB" w:rsidRPr="00667CD6" w:rsidRDefault="006803AB" w:rsidP="006803AB">
      <w:pPr>
        <w:spacing w:after="0" w:line="240" w:lineRule="auto"/>
        <w:ind w:left="709" w:right="709"/>
        <w:jc w:val="both"/>
        <w:rPr>
          <w:rFonts w:ascii="Verdana" w:hAnsi="Verdana" w:cs="Arial"/>
          <w:sz w:val="20"/>
          <w:szCs w:val="20"/>
        </w:rPr>
      </w:pPr>
    </w:p>
    <w:p w14:paraId="54E0B41D" w14:textId="77777777" w:rsidR="006803AB" w:rsidRPr="00667CD6" w:rsidRDefault="006803AB" w:rsidP="006803AB">
      <w:pPr>
        <w:spacing w:after="0" w:line="240" w:lineRule="auto"/>
        <w:ind w:left="709" w:right="709"/>
        <w:jc w:val="both"/>
        <w:rPr>
          <w:rFonts w:ascii="Verdana" w:hAnsi="Verdana" w:cs="Arial"/>
          <w:sz w:val="20"/>
          <w:szCs w:val="20"/>
        </w:rPr>
      </w:pPr>
      <w:proofErr w:type="spellStart"/>
      <w:r w:rsidRPr="00667CD6">
        <w:rPr>
          <w:rFonts w:ascii="Verdana" w:hAnsi="Verdana" w:cs="Arial"/>
          <w:sz w:val="20"/>
          <w:szCs w:val="20"/>
        </w:rPr>
        <w:t>ii</w:t>
      </w:r>
      <w:proofErr w:type="spellEnd"/>
      <w:r w:rsidRPr="00667CD6">
        <w:rPr>
          <w:rFonts w:ascii="Verdana" w:hAnsi="Verdana" w:cs="Arial"/>
          <w:sz w:val="20"/>
          <w:szCs w:val="20"/>
        </w:rPr>
        <w:t xml:space="preserve">) la expresión y el siguiente párrafo contenidos en el inciso cuarto </w:t>
      </w:r>
      <w:r>
        <w:rPr>
          <w:rFonts w:ascii="Verdana" w:hAnsi="Verdana" w:cs="Arial"/>
          <w:sz w:val="20"/>
          <w:szCs w:val="20"/>
        </w:rPr>
        <w:t>‘</w:t>
      </w:r>
      <w:r w:rsidRPr="00667CD6">
        <w:rPr>
          <w:rFonts w:ascii="Verdana" w:hAnsi="Verdana" w:cs="Arial"/>
          <w:sz w:val="20"/>
          <w:szCs w:val="20"/>
        </w:rPr>
        <w:t>contratos</w:t>
      </w:r>
      <w:r>
        <w:rPr>
          <w:rFonts w:ascii="Verdana" w:hAnsi="Verdana" w:cs="Arial"/>
          <w:sz w:val="20"/>
          <w:szCs w:val="20"/>
        </w:rPr>
        <w:t>’</w:t>
      </w:r>
      <w:r w:rsidRPr="00667CD6">
        <w:rPr>
          <w:rFonts w:ascii="Verdana" w:hAnsi="Verdana" w:cs="Arial"/>
          <w:sz w:val="20"/>
          <w:szCs w:val="20"/>
        </w:rPr>
        <w:t xml:space="preserve"> y </w:t>
      </w:r>
      <w:r>
        <w:rPr>
          <w:rFonts w:ascii="Verdana" w:hAnsi="Verdana" w:cs="Arial"/>
          <w:sz w:val="20"/>
          <w:szCs w:val="20"/>
        </w:rPr>
        <w:t>‘</w:t>
      </w:r>
      <w:r w:rsidRPr="00667CD6">
        <w:rPr>
          <w:rFonts w:ascii="Verdana" w:hAnsi="Verdana" w:cs="Arial"/>
          <w:sz w:val="20"/>
          <w:szCs w:val="20"/>
        </w:rPr>
        <w:t>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r>
        <w:rPr>
          <w:rFonts w:ascii="Verdana" w:hAnsi="Verdana" w:cs="Arial"/>
          <w:sz w:val="20"/>
          <w:szCs w:val="20"/>
        </w:rPr>
        <w:t>’”</w:t>
      </w:r>
      <w:r w:rsidRPr="00667CD6">
        <w:rPr>
          <w:rFonts w:ascii="Verdana" w:hAnsi="Verdana" w:cs="Arial"/>
          <w:sz w:val="20"/>
          <w:szCs w:val="20"/>
        </w:rPr>
        <w:t xml:space="preserve">. </w:t>
      </w:r>
    </w:p>
    <w:p w14:paraId="4B6A9E04" w14:textId="77777777" w:rsidR="006803AB" w:rsidRPr="00667CD6" w:rsidRDefault="006803AB" w:rsidP="006803AB">
      <w:pPr>
        <w:spacing w:after="0" w:line="276" w:lineRule="auto"/>
        <w:ind w:left="709" w:right="709"/>
        <w:jc w:val="both"/>
        <w:rPr>
          <w:rFonts w:ascii="Verdana" w:hAnsi="Verdana" w:cs="Arial"/>
        </w:rPr>
      </w:pPr>
    </w:p>
    <w:p w14:paraId="543CE55B" w14:textId="77777777" w:rsidR="006803AB" w:rsidRPr="00667CD6" w:rsidRDefault="006803AB" w:rsidP="006803AB">
      <w:pPr>
        <w:spacing w:after="120" w:line="276" w:lineRule="auto"/>
        <w:ind w:firstLine="709"/>
        <w:jc w:val="both"/>
        <w:rPr>
          <w:rFonts w:ascii="Verdana" w:eastAsia="Arial" w:hAnsi="Verdana" w:cs="Arial"/>
          <w:i/>
          <w:iCs/>
          <w:lang w:eastAsia="es-ES" w:bidi="es-ES"/>
        </w:rPr>
      </w:pPr>
      <w:r w:rsidRPr="00667CD6">
        <w:rPr>
          <w:rFonts w:ascii="Verdana" w:eastAsia="Arial" w:hAnsi="Verdana" w:cs="Arial"/>
          <w:lang w:val="es-MX" w:eastAsia="es-ES" w:bidi="es-ES"/>
        </w:rPr>
        <w:t xml:space="preserve">De conformidad con los argumentos de dicha providencia, se parte de la distinción entre los conceptos </w:t>
      </w:r>
      <w:r w:rsidRPr="00667CD6">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667CD6">
        <w:rPr>
          <w:rFonts w:ascii="Verdana" w:hAnsi="Verdana"/>
          <w:sz w:val="24"/>
          <w:szCs w:val="24"/>
          <w:lang w:eastAsia="es-CO"/>
        </w:rPr>
        <w:t xml:space="preserve"> </w:t>
      </w:r>
      <w:r w:rsidRPr="00667CD6">
        <w:rPr>
          <w:rFonts w:ascii="Verdana" w:eastAsia="Arial" w:hAnsi="Verdana" w:cs="Arial"/>
          <w:lang w:eastAsia="es-ES" w:bidi="es-ES"/>
        </w:rPr>
        <w:t xml:space="preserve">En este sentido, en relación con el parágrafo del artículo 38 de la Ley 996 de 2005 concluyó que </w:t>
      </w:r>
      <w:r w:rsidRPr="00667CD6">
        <w:rPr>
          <w:rFonts w:ascii="Verdana" w:eastAsia="Arial" w:hAnsi="Verdana" w:cs="Arial"/>
          <w:i/>
          <w:iCs/>
          <w:lang w:eastAsia="es-ES" w:bidi="es-ES"/>
        </w:rPr>
        <w:t xml:space="preserve">“si el legislador no diferenció al establecer la </w:t>
      </w:r>
      <w:r w:rsidRPr="00667CD6">
        <w:rPr>
          <w:rFonts w:ascii="Verdana" w:eastAsia="Arial" w:hAnsi="Verdana" w:cs="Arial"/>
          <w:i/>
          <w:iCs/>
          <w:lang w:eastAsia="es-ES" w:bidi="es-ES"/>
        </w:rPr>
        <w:lastRenderedPageBreak/>
        <w:t xml:space="preserve">prohibición o la restricción, mal haría el reglamento en aplicar un efecto expansivo o extensivo para incluir una categoría no cobijada con la limitación, (…)”. </w:t>
      </w:r>
      <w:r w:rsidRPr="00667CD6">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667CD6">
        <w:rPr>
          <w:rFonts w:ascii="Verdana" w:eastAsia="Arial" w:hAnsi="Verdana" w:cs="Arial"/>
          <w:i/>
          <w:iCs/>
          <w:lang w:eastAsia="es-ES" w:bidi="es-ES"/>
        </w:rPr>
        <w:t>“con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w:t>
      </w:r>
      <w:r>
        <w:rPr>
          <w:rFonts w:ascii="Verdana" w:eastAsia="Arial" w:hAnsi="Verdana" w:cs="Arial"/>
          <w:lang w:eastAsia="es-ES" w:bidi="es-ES"/>
        </w:rPr>
        <w:t>”</w:t>
      </w:r>
      <w:r w:rsidRPr="00667CD6">
        <w:rPr>
          <w:rFonts w:ascii="Verdana" w:eastAsia="Arial" w:hAnsi="Verdana" w:cs="Arial"/>
          <w:i/>
          <w:iCs/>
          <w:lang w:eastAsia="es-ES" w:bidi="es-ES"/>
        </w:rPr>
        <w:t xml:space="preserve">. </w:t>
      </w:r>
    </w:p>
    <w:p w14:paraId="3F37AF19" w14:textId="77777777" w:rsidR="006803AB" w:rsidRPr="00667CD6" w:rsidRDefault="006803AB" w:rsidP="006803AB">
      <w:pPr>
        <w:spacing w:after="120" w:line="276" w:lineRule="auto"/>
        <w:ind w:firstLine="709"/>
        <w:jc w:val="both"/>
        <w:rPr>
          <w:rFonts w:ascii="Verdana" w:eastAsia="Arial" w:hAnsi="Verdana" w:cs="Arial"/>
          <w:lang w:eastAsia="es-ES" w:bidi="es-ES"/>
        </w:rPr>
      </w:pPr>
      <w:r w:rsidRPr="00667CD6">
        <w:rPr>
          <w:rFonts w:ascii="Verdana" w:eastAsia="Arial" w:hAnsi="Verdana" w:cs="Arial"/>
          <w:lang w:eastAsia="es-ES" w:bidi="es-ES"/>
        </w:rPr>
        <w:t>De igual manera, mediante auto del 6 de noviembre de 2025, el Consejo de Estado, Subsección A de la Sección Tercera, decretó</w:t>
      </w:r>
      <w:r w:rsidRPr="00667CD6">
        <w:rPr>
          <w:rFonts w:ascii="Verdana" w:eastAsia="Arial" w:hAnsi="Verdana" w:cs="Arial"/>
          <w:b/>
          <w:bCs/>
          <w:lang w:eastAsia="es-ES" w:bidi="es-ES"/>
        </w:rPr>
        <w:t xml:space="preserve"> </w:t>
      </w:r>
      <w:r w:rsidRPr="00667CD6">
        <w:rPr>
          <w:rFonts w:ascii="Verdana" w:eastAsia="Arial" w:hAnsi="Verdana" w:cs="Arial"/>
          <w:lang w:eastAsia="es-ES" w:bidi="es-ES"/>
        </w:rPr>
        <w:t>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w:t>
      </w:r>
      <w:r w:rsidRPr="00667CD6">
        <w:rPr>
          <w:rFonts w:ascii="Verdana" w:eastAsia="Arial" w:hAnsi="Verdana" w:cs="Arial"/>
          <w:vertAlign w:val="superscript"/>
          <w:lang w:eastAsia="es-ES" w:bidi="es-ES"/>
        </w:rPr>
        <w:footnoteReference w:id="32"/>
      </w:r>
      <w:r w:rsidRPr="00667CD6">
        <w:rPr>
          <w:rFonts w:ascii="Verdana" w:eastAsia="Arial" w:hAnsi="Verdana" w:cs="Arial"/>
          <w:lang w:eastAsia="es-ES" w:bidi="es-ES"/>
        </w:rPr>
        <w:t xml:space="preserve">. Para tales efectos, el alto tribunal resaltó la interpretación restrictiva de las normas que contienen prohibiciones, como la del parágrafo del artículo 38 de la Ley 996 de 2005, por manera que se excluye la analogía </w:t>
      </w:r>
      <w:proofErr w:type="spellStart"/>
      <w:r w:rsidRPr="00667CD6">
        <w:rPr>
          <w:rFonts w:ascii="Verdana" w:eastAsia="Arial" w:hAnsi="Verdana" w:cs="Arial"/>
          <w:lang w:eastAsia="es-ES" w:bidi="es-ES"/>
        </w:rPr>
        <w:t>legis</w:t>
      </w:r>
      <w:proofErr w:type="spellEnd"/>
      <w:r w:rsidRPr="00667CD6">
        <w:rPr>
          <w:rFonts w:ascii="Verdana" w:eastAsia="Arial" w:hAnsi="Verdana" w:cs="Arial"/>
          <w:lang w:eastAsia="es-ES" w:bidi="es-ES"/>
        </w:rPr>
        <w:t xml:space="preserve"> o iuris y la interpretación extensiva y reiteró los argumentos sobre la diferencia entre contratos y convenios interadministrativos. </w:t>
      </w:r>
    </w:p>
    <w:p w14:paraId="56452028" w14:textId="77777777" w:rsidR="006803AB" w:rsidRDefault="006803AB" w:rsidP="006803AB">
      <w:pPr>
        <w:spacing w:after="120" w:line="276" w:lineRule="auto"/>
        <w:ind w:firstLine="709"/>
        <w:jc w:val="both"/>
        <w:rPr>
          <w:rFonts w:ascii="Verdana" w:eastAsia="Times New Roman" w:hAnsi="Verdana" w:cs="Times New Roman"/>
          <w:lang w:eastAsia="es-ES"/>
        </w:rPr>
      </w:pPr>
      <w:r w:rsidRPr="31E4E861">
        <w:rPr>
          <w:rFonts w:ascii="Verdana" w:eastAsia="Arial" w:hAnsi="Verdana" w:cs="Arial"/>
          <w:lang w:eastAsia="es-ES" w:bidi="es-ES"/>
        </w:rPr>
        <w:t>Finalmente, mediante sentencia del 17 de octubre de 2025, emitida por la S</w:t>
      </w:r>
      <w:r>
        <w:rPr>
          <w:rFonts w:ascii="Verdana" w:eastAsia="Arial" w:hAnsi="Verdana" w:cs="Arial"/>
          <w:lang w:eastAsia="es-ES" w:bidi="es-ES"/>
        </w:rPr>
        <w:t xml:space="preserve">ección Tercera del </w:t>
      </w:r>
      <w:r w:rsidRPr="31E4E861">
        <w:rPr>
          <w:rFonts w:ascii="Verdana" w:eastAsia="Arial" w:hAnsi="Verdana" w:cs="Arial"/>
          <w:lang w:eastAsia="es-ES" w:bidi="es-ES"/>
        </w:rPr>
        <w:t xml:space="preserve">Consejo de Estado, dentro del expediente </w:t>
      </w:r>
      <w:r w:rsidRPr="31E4E861">
        <w:rPr>
          <w:rFonts w:ascii="Verdana" w:eastAsia="Times New Roman" w:hAnsi="Verdana" w:cs="Times New Roman"/>
          <w:lang w:eastAsia="es-ES"/>
        </w:rPr>
        <w:t xml:space="preserve">11001-03-26-000-2023-00139-00, se declaró la nulidad parcial del numeral 16.2 de la Circular Externa Única de 2022 expedida por la Agencia Nacional de Contratación Pública </w:t>
      </w:r>
      <w:r w:rsidRPr="31E4E861">
        <w:rPr>
          <w:rFonts w:ascii="Verdana" w:eastAsia="Times New Roman" w:hAnsi="Verdana" w:cs="Times New Roman"/>
          <w:lang w:eastAsia="es-ES"/>
        </w:rPr>
        <w:lastRenderedPageBreak/>
        <w:t>- Colombia Compra Eficiente que indicaba: “Esta restricción es aplicable tanto a los convenios como a los</w:t>
      </w:r>
      <w:r>
        <w:rPr>
          <w:rFonts w:ascii="Verdana" w:eastAsia="Times New Roman" w:hAnsi="Verdana" w:cs="Times New Roman"/>
          <w:lang w:eastAsia="es-ES"/>
        </w:rPr>
        <w:t xml:space="preserve"> contratos interadministrativos […]</w:t>
      </w:r>
      <w:r w:rsidRPr="31E4E861">
        <w:rPr>
          <w:rFonts w:ascii="Verdana" w:eastAsia="Times New Roman" w:hAnsi="Verdana" w:cs="Times New Roman"/>
          <w:lang w:eastAsia="es-ES"/>
        </w:rPr>
        <w:t xml:space="preserve">”. </w:t>
      </w:r>
    </w:p>
    <w:p w14:paraId="34EF82B6" w14:textId="77777777" w:rsidR="006803AB" w:rsidRDefault="006803AB" w:rsidP="006803AB">
      <w:pPr>
        <w:spacing w:after="120" w:line="276" w:lineRule="auto"/>
        <w:ind w:firstLine="709"/>
        <w:jc w:val="both"/>
        <w:rPr>
          <w:rFonts w:ascii="Verdana" w:eastAsia="Times New Roman" w:hAnsi="Verdana" w:cs="Times New Roman"/>
          <w:lang w:eastAsia="es-ES"/>
        </w:rPr>
      </w:pPr>
      <w:r w:rsidRPr="2035D652">
        <w:rPr>
          <w:rFonts w:ascii="Verdana" w:eastAsia="Times New Roman" w:hAnsi="Verdana" w:cs="Times New Roman"/>
          <w:lang w:eastAsia="es-ES"/>
        </w:rPr>
        <w:t>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w:t>
      </w:r>
      <w:r w:rsidRPr="2035D652">
        <w:rPr>
          <w:rStyle w:val="Refdenotaalpie"/>
          <w:rFonts w:ascii="Verdana" w:eastAsia="Times New Roman" w:hAnsi="Verdana" w:cs="Times New Roman"/>
          <w:lang w:eastAsia="es-ES"/>
        </w:rPr>
        <w:footnoteReference w:id="33"/>
      </w:r>
      <w:r w:rsidRPr="2035D652">
        <w:rPr>
          <w:rFonts w:ascii="Verdana" w:eastAsia="Times New Roman" w:hAnsi="Verdana" w:cs="Times New Roman"/>
          <w:lang w:eastAsia="es-ES"/>
        </w:rPr>
        <w:t xml:space="preserve">. Sobre el 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p>
    <w:p w14:paraId="63765456" w14:textId="77777777" w:rsidR="006803AB" w:rsidRDefault="006803AB" w:rsidP="006803AB">
      <w:pPr>
        <w:spacing w:after="120" w:line="276" w:lineRule="auto"/>
        <w:ind w:firstLine="709"/>
        <w:jc w:val="both"/>
        <w:rPr>
          <w:rFonts w:ascii="Verdana" w:eastAsia="Times New Roman" w:hAnsi="Verdana" w:cs="Arial"/>
          <w:lang w:eastAsia="es-CO"/>
        </w:rPr>
      </w:pPr>
      <w:r w:rsidRPr="2035D652">
        <w:rPr>
          <w:rFonts w:ascii="Verdana" w:eastAsia="Times New Roman" w:hAnsi="Verdana" w:cs="Times New Roman"/>
          <w:lang w:eastAsia="es-ES"/>
        </w:rPr>
        <w:t xml:space="preserve">A juicio de la Sala, aunque el propósito de la Circular Externa era legítimo </w:t>
      </w:r>
      <w:r>
        <w:rPr>
          <w:rFonts w:ascii="Verdana" w:eastAsia="Times New Roman" w:hAnsi="Verdana" w:cs="Times New Roman"/>
          <w:lang w:eastAsia="es-ES"/>
        </w:rPr>
        <w:t>–</w:t>
      </w:r>
      <w:r w:rsidRPr="2035D652">
        <w:rPr>
          <w:rFonts w:ascii="Verdana" w:eastAsia="Times New Roman" w:hAnsi="Verdana" w:cs="Times New Roman"/>
          <w:lang w:eastAsia="es-ES"/>
        </w:rPr>
        <w:t>evitar el uso indebido de recursos en época electoral</w:t>
      </w:r>
      <w:r>
        <w:rPr>
          <w:rFonts w:ascii="Verdana" w:eastAsia="Times New Roman" w:hAnsi="Verdana" w:cs="Times New Roman"/>
          <w:lang w:eastAsia="es-ES"/>
        </w:rPr>
        <w:t>–</w:t>
      </w:r>
      <w:r w:rsidRPr="2035D652">
        <w:rPr>
          <w:rFonts w:ascii="Verdana" w:eastAsia="Times New Roman" w:hAnsi="Verdana" w:cs="Times New Roman"/>
          <w:lang w:eastAsia="es-ES"/>
        </w:rPr>
        <w:t>, el numeral 16.2. desconoció el alcance literal del artículo 38 de la Ley 996 de 2005 y los límites de la potestad reglamentaria, lo que configuró un vicio de contenido.</w:t>
      </w:r>
      <w:r>
        <w:rPr>
          <w:rFonts w:ascii="Verdana" w:eastAsia="Times New Roman" w:hAnsi="Verdana" w:cs="Times New Roman"/>
          <w:lang w:eastAsia="es-ES"/>
        </w:rPr>
        <w:t xml:space="preserve"> </w:t>
      </w:r>
      <w:r w:rsidRPr="00667CD6">
        <w:rPr>
          <w:rFonts w:ascii="Verdana" w:eastAsia="Times New Roman" w:hAnsi="Verdana" w:cs="Arial"/>
          <w:lang w:eastAsia="es-CO"/>
        </w:rPr>
        <w:t>Así las cosas, a la luz de lo expuesto por el Consejo de Estado</w:t>
      </w:r>
      <w:r>
        <w:rPr>
          <w:rFonts w:ascii="Verdana" w:eastAsia="Times New Roman" w:hAnsi="Verdana" w:cs="Arial"/>
          <w:lang w:eastAsia="es-CO"/>
        </w:rPr>
        <w:t xml:space="preserve">, </w:t>
      </w:r>
      <w:r w:rsidRPr="2035D652">
        <w:rPr>
          <w:rFonts w:ascii="Verdana" w:eastAsia="Times New Roman" w:hAnsi="Verdana" w:cs="Arial"/>
          <w:lang w:eastAsia="es-CO"/>
        </w:rPr>
        <w:t>en la sentencia expedida por la Sección Tercera de la Sala de lo Contencioso Administrativo del 17 de octubre de 2025</w:t>
      </w:r>
      <w:r>
        <w:rPr>
          <w:rFonts w:ascii="Verdana" w:eastAsia="Times New Roman" w:hAnsi="Verdana" w:cs="Arial"/>
          <w:lang w:eastAsia="es-CO"/>
        </w:rPr>
        <w:t>,</w:t>
      </w:r>
      <w:r w:rsidRPr="00667CD6">
        <w:rPr>
          <w:rFonts w:ascii="Verdana" w:eastAsia="Times New Roman" w:hAnsi="Verdana" w:cs="Arial"/>
          <w:lang w:eastAsia="es-CO"/>
        </w:rPr>
        <w:t xml:space="preserve"> en los autos del 4 de octubre de 2024 y 6 de noviembre de 2025, no resultaría aplicable la prohibición del parágrafo del artículo 38 de la Ley de Garantías Electorales a los </w:t>
      </w:r>
      <w:r w:rsidRPr="00667CD6">
        <w:rPr>
          <w:rFonts w:ascii="Verdana" w:eastAsia="Times New Roman" w:hAnsi="Verdana" w:cs="Arial"/>
          <w:i/>
          <w:iCs/>
          <w:lang w:eastAsia="es-CO"/>
        </w:rPr>
        <w:t>contratos interadministrativos</w:t>
      </w:r>
      <w:r>
        <w:rPr>
          <w:rFonts w:ascii="Verdana" w:eastAsia="Times New Roman" w:hAnsi="Verdana" w:cs="Arial"/>
          <w:lang w:eastAsia="es-CO"/>
        </w:rPr>
        <w:t>, esta prohibición solo aplicaría a los convenios interadministrativos que impliquen la ejecución de recursos públicos</w:t>
      </w:r>
      <w:r>
        <w:rPr>
          <w:rStyle w:val="Refdenotaalpie"/>
          <w:rFonts w:ascii="Verdana" w:eastAsia="Times New Roman" w:hAnsi="Verdana" w:cs="Arial"/>
          <w:lang w:eastAsia="es-CO"/>
        </w:rPr>
        <w:footnoteReference w:id="34"/>
      </w:r>
      <w:r>
        <w:rPr>
          <w:rFonts w:ascii="Verdana" w:eastAsia="Times New Roman" w:hAnsi="Verdana" w:cs="Arial"/>
          <w:lang w:eastAsia="es-CO"/>
        </w:rPr>
        <w:t>. C</w:t>
      </w:r>
      <w:r w:rsidRPr="00667CD6">
        <w:rPr>
          <w:rFonts w:ascii="Verdana" w:eastAsia="Times New Roman" w:hAnsi="Verdana" w:cs="Arial"/>
          <w:lang w:eastAsia="es-CO"/>
        </w:rPr>
        <w:t xml:space="preserve">onforme a lo señalado por el Consejo de Estado, cuando dos entidades públicas celebren un </w:t>
      </w:r>
      <w:r w:rsidRPr="00667CD6">
        <w:rPr>
          <w:rFonts w:ascii="Verdana" w:eastAsia="Times New Roman" w:hAnsi="Verdana" w:cs="Arial"/>
          <w:i/>
          <w:iCs/>
          <w:lang w:eastAsia="es-CO"/>
        </w:rPr>
        <w:t>contrato interadministrativo,</w:t>
      </w:r>
      <w:r w:rsidRPr="00667CD6">
        <w:rPr>
          <w:rFonts w:ascii="Verdana" w:eastAsia="Times New Roman" w:hAnsi="Verdana" w:cs="Arial"/>
          <w:lang w:eastAsia="es-CO"/>
        </w:rPr>
        <w:t xml:space="preserve"> </w:t>
      </w:r>
      <w:r w:rsidRPr="00667CD6">
        <w:rPr>
          <w:rFonts w:ascii="Verdana" w:eastAsia="Times New Roman" w:hAnsi="Verdana" w:cs="Arial"/>
          <w:lang w:eastAsia="es-CO"/>
        </w:rPr>
        <w:lastRenderedPageBreak/>
        <w:t>independientemente del objeto, dicho contrato puede suscribirse durante el periodo preelectoral.</w:t>
      </w:r>
    </w:p>
    <w:p w14:paraId="4D8E4760" w14:textId="77777777" w:rsidR="006803AB" w:rsidRDefault="006803AB" w:rsidP="006803AB">
      <w:pPr>
        <w:spacing w:after="120" w:line="276" w:lineRule="auto"/>
        <w:ind w:firstLine="708"/>
        <w:jc w:val="both"/>
        <w:rPr>
          <w:rFonts w:ascii="Verdana" w:eastAsia="Times New Roman" w:hAnsi="Verdana" w:cs="Arial"/>
          <w:lang w:eastAsia="es-CO"/>
        </w:rPr>
      </w:pPr>
      <w:r>
        <w:rPr>
          <w:rFonts w:ascii="Verdana" w:eastAsia="Times New Roman" w:hAnsi="Verdana" w:cs="Arial"/>
          <w:lang w:eastAsia="es-CO"/>
        </w:rPr>
        <w:t>En este aspecto, se encuentra que la restricción para la celebración de convenios interadministrativos para la ejecución de recursos públicos no puede aludirse a contratantes o contratistas, sino de partes cooperantes o colaboradoras. Así mismo, aplica para cualquier tipo de elección, lo que implica que la restricción del parágrafo del artículo 38</w:t>
      </w:r>
      <w:r>
        <w:rPr>
          <w:rFonts w:ascii="Verdana" w:eastAsia="Times New Roman" w:hAnsi="Verdana" w:cs="Arial"/>
          <w:bCs/>
          <w:lang w:val="es-MX" w:eastAsia="x-none"/>
        </w:rPr>
        <w:t xml:space="preserve"> aplica desde el 8 de noviembre de 2025, teniendo en cuenta que la Resolución 02580 del 5 de marzo de 2025 de la Registraduría Nacional del Estado Civil dispuso que las elecciones de senado y cámara se celebrarán el 8 de marzo de 2026. Esta restricción se extiende a las elecciones presidenciales que se celebrarán el 31 de mayo de 2026, así como una posible segunda vuelta tres semanas después, es decir, el 21 de junio de 2026. </w:t>
      </w:r>
    </w:p>
    <w:p w14:paraId="6655096F" w14:textId="77777777" w:rsidR="006803AB" w:rsidRDefault="006803AB" w:rsidP="006803AB">
      <w:pPr>
        <w:spacing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 </w:t>
      </w:r>
      <w:r w:rsidRPr="605533EB">
        <w:rPr>
          <w:rFonts w:ascii="Verdana" w:eastAsia="Times New Roman" w:hAnsi="Verdana" w:cs="Arial"/>
          <w:lang w:eastAsia="es-CO"/>
        </w:rPr>
        <w:t xml:space="preserve">No </w:t>
      </w:r>
      <w:r>
        <w:rPr>
          <w:rFonts w:ascii="Verdana" w:eastAsia="Times New Roman" w:hAnsi="Verdana" w:cs="Arial"/>
          <w:lang w:eastAsia="es-CO"/>
        </w:rPr>
        <w:t>obstante</w:t>
      </w:r>
      <w:r w:rsidRPr="605533EB">
        <w:rPr>
          <w:rFonts w:ascii="Verdana" w:eastAsia="Times New Roman" w:hAnsi="Verdana" w:cs="Arial"/>
          <w:lang w:eastAsia="es-CO"/>
        </w:rPr>
        <w:t xml:space="preserve">, es importante mencionar que aún se encuentra por definir la demanda </w:t>
      </w:r>
      <w:r w:rsidRPr="605533EB">
        <w:rPr>
          <w:rFonts w:ascii="Verdana" w:eastAsia="Calibri" w:hAnsi="Verdana" w:cs="Arial"/>
          <w:lang w:val="es-ES" w:eastAsia="es-ES"/>
        </w:rPr>
        <w:t xml:space="preserve">de nulidad simple, identificada con el Radicado número 11001-03-26-000-2025-00016-00, en la cual se cuestiona </w:t>
      </w:r>
      <w:r w:rsidRPr="605533EB">
        <w:rPr>
          <w:rFonts w:ascii="Verdana" w:eastAsia="Calibri" w:hAnsi="Verdana" w:cs="Arial"/>
          <w:lang w:eastAsia="es-ES"/>
        </w:rPr>
        <w:t>parcialmente el numeral 16.2 de la Circular Externa Única CCE-EICP-MA-06, Versión 03 del 27 de diciembre de 2023.</w:t>
      </w:r>
      <w:r w:rsidRPr="605533EB">
        <w:rPr>
          <w:rFonts w:ascii="Verdana" w:eastAsia="Calibri" w:hAnsi="Verdana" w:cs="Arial"/>
          <w:lang w:val="es-ES" w:eastAsia="es-ES"/>
        </w:rPr>
        <w:t xml:space="preserve"> </w:t>
      </w:r>
      <w:r w:rsidRPr="00667CD6">
        <w:rPr>
          <w:rFonts w:ascii="Verdana" w:eastAsia="Arial" w:hAnsi="Verdana" w:cs="Arial"/>
          <w:bCs/>
          <w:color w:val="000000" w:themeColor="text1"/>
        </w:rPr>
        <w:t xml:space="preserve">En todo caso, vale anotar que es responsabilidad del respectivo ente del Estado examinar en cada caso la naturaleza de las actividades que adelanta y justificar si las mismas se enmarcan en alguna de las excepciones, de manera que pueda realizar la contratación directa durante el periodo de la prohibición. Igualmente, le corresponde a cada entidad </w:t>
      </w:r>
      <w:r w:rsidRPr="00667CD6">
        <w:rPr>
          <w:rFonts w:ascii="Verdana" w:eastAsia="Arial" w:hAnsi="Verdana" w:cs="Arial"/>
          <w:color w:val="000000" w:themeColor="text1"/>
        </w:rPr>
        <w:t>establecer si el instrumento jurídico que se pretende suscribir tiene la naturaleza de contrato o de convenio interadministrativo para la ejecución de recursos públicos. En este último supuesto, resulta aplicable la prohibición contenida en el parágrafo del artículo 38 de la Ley de Garantías Electorales, conforme se explicó.</w:t>
      </w:r>
    </w:p>
    <w:p w14:paraId="6757E62D" w14:textId="77777777" w:rsidR="006803AB" w:rsidRDefault="006803AB" w:rsidP="006803AB">
      <w:pPr>
        <w:spacing w:after="0" w:line="276" w:lineRule="auto"/>
        <w:jc w:val="both"/>
        <w:rPr>
          <w:rFonts w:ascii="Verdana" w:eastAsia="Times New Roman" w:hAnsi="Verdana" w:cs="Arial"/>
          <w:lang w:eastAsia="es-CO"/>
        </w:rPr>
      </w:pPr>
    </w:p>
    <w:p w14:paraId="32263A0B" w14:textId="77777777" w:rsidR="006803AB" w:rsidRPr="00BB46CC" w:rsidRDefault="006803AB" w:rsidP="006803AB">
      <w:pPr>
        <w:spacing w:after="120" w:line="276" w:lineRule="auto"/>
        <w:jc w:val="both"/>
        <w:rPr>
          <w:rFonts w:ascii="Verdana" w:eastAsia="Calibri" w:hAnsi="Verdana"/>
          <w:color w:val="000000" w:themeColor="text1"/>
        </w:rPr>
      </w:pPr>
      <w:r>
        <w:rPr>
          <w:rFonts w:ascii="Verdana" w:eastAsia="Arial" w:hAnsi="Verdana" w:cs="Arial"/>
          <w:lang w:val="es-ES" w:eastAsia="es-ES" w:bidi="es-ES"/>
        </w:rPr>
        <w:t xml:space="preserve">v. </w:t>
      </w:r>
      <w:r w:rsidRPr="00DA60DB">
        <w:rPr>
          <w:rFonts w:ascii="Verdana" w:eastAsia="Calibri" w:hAnsi="Verdana"/>
          <w:bCs/>
          <w:color w:val="000000" w:themeColor="text1"/>
        </w:rPr>
        <w:t xml:space="preserve">El artículo 1973 del Código Civil define el arrendamiento como “[…] un contrato en que las dos partes se obligan recíprocamente, la una a conceder el goce de una cosa, o a ejecutar una obra o prestar un servicio, y la otra a pagar por este goce, obra o servicio un precio determinado”. Se trata pues del acuerdo de voluntades en virtud del cual una de las partes –llamada arrendador– se obliga a concederle a otra –llamada arrendatario– el uso y goce de un bien, a </w:t>
      </w:r>
      <w:r w:rsidRPr="00DA60DB">
        <w:rPr>
          <w:rFonts w:ascii="Verdana" w:eastAsia="Calibri" w:hAnsi="Verdana"/>
          <w:bCs/>
          <w:color w:val="000000" w:themeColor="text1"/>
        </w:rPr>
        <w:lastRenderedPageBreak/>
        <w:t>cambio de una renta o canon</w:t>
      </w:r>
      <w:r w:rsidRPr="00DA60DB">
        <w:rPr>
          <w:rFonts w:ascii="Verdana" w:eastAsia="Calibri" w:hAnsi="Verdana"/>
          <w:bCs/>
          <w:color w:val="000000" w:themeColor="text1"/>
          <w:vertAlign w:val="superscript"/>
        </w:rPr>
        <w:footnoteReference w:id="35"/>
      </w:r>
      <w:r w:rsidRPr="00DA60DB">
        <w:rPr>
          <w:rFonts w:ascii="Verdana" w:eastAsia="Calibri" w:hAnsi="Verdana"/>
          <w:bCs/>
          <w:color w:val="000000" w:themeColor="text1"/>
        </w:rPr>
        <w:t>. Por tanto, se diferencia del contrato de compraventa en que no opera una transferencia del dominio del bien cuyo uso y goce se entrega.</w:t>
      </w:r>
    </w:p>
    <w:p w14:paraId="7F8D8ED6" w14:textId="77777777" w:rsidR="006803AB" w:rsidRPr="00DA60DB" w:rsidRDefault="006803AB" w:rsidP="006803AB">
      <w:pPr>
        <w:spacing w:after="120" w:line="276" w:lineRule="auto"/>
        <w:ind w:firstLine="708"/>
        <w:jc w:val="both"/>
        <w:rPr>
          <w:rFonts w:ascii="Verdana" w:eastAsia="Calibri" w:hAnsi="Verdana"/>
          <w:bCs/>
          <w:color w:val="000000" w:themeColor="text1"/>
          <w:lang w:val="es-ES"/>
        </w:rPr>
      </w:pPr>
      <w:r w:rsidRPr="00DA60DB">
        <w:rPr>
          <w:rFonts w:ascii="Verdana" w:eastAsia="Calibri" w:hAnsi="Verdana"/>
          <w:bCs/>
          <w:color w:val="000000" w:themeColor="text1"/>
          <w:lang w:val="es-ES"/>
        </w:rPr>
        <w:t xml:space="preserve">En </w:t>
      </w:r>
      <w:r w:rsidRPr="00DA60DB">
        <w:rPr>
          <w:rFonts w:ascii="Verdana" w:eastAsia="Calibri" w:hAnsi="Verdana"/>
          <w:color w:val="000000" w:themeColor="text1"/>
          <w:lang w:val="es-ES"/>
        </w:rPr>
        <w:t>cuanto</w:t>
      </w:r>
      <w:r w:rsidRPr="00DA60DB">
        <w:rPr>
          <w:rFonts w:ascii="Verdana" w:eastAsia="Calibri" w:hAnsi="Verdana"/>
          <w:bCs/>
          <w:color w:val="000000" w:themeColor="text1"/>
          <w:lang w:val="es-ES"/>
        </w:rPr>
        <w:t xml:space="preserve"> a sus características, la doctrina ha indicado que el arrendamiento es un contrato: i) bilateral, pues ambas partes se obligan recíprocamente; </w:t>
      </w:r>
      <w:proofErr w:type="spellStart"/>
      <w:r w:rsidRPr="00DA60DB">
        <w:rPr>
          <w:rFonts w:ascii="Verdana" w:eastAsia="Calibri" w:hAnsi="Verdana"/>
          <w:bCs/>
          <w:color w:val="000000" w:themeColor="text1"/>
          <w:lang w:val="es-ES"/>
        </w:rPr>
        <w:t>ii</w:t>
      </w:r>
      <w:proofErr w:type="spellEnd"/>
      <w:r w:rsidRPr="00DA60DB">
        <w:rPr>
          <w:rFonts w:ascii="Verdana" w:eastAsia="Calibri" w:hAnsi="Verdana"/>
          <w:bCs/>
          <w:color w:val="000000" w:themeColor="text1"/>
          <w:lang w:val="es-ES"/>
        </w:rPr>
        <w:t>) consensual, dado que se perfecciona con el consentimiento</w:t>
      </w:r>
      <w:r w:rsidRPr="00DA60DB">
        <w:rPr>
          <w:rFonts w:ascii="Verdana" w:eastAsia="Calibri" w:hAnsi="Verdana"/>
          <w:bCs/>
          <w:color w:val="000000" w:themeColor="text1"/>
          <w:vertAlign w:val="superscript"/>
          <w:lang w:val="es-ES"/>
        </w:rPr>
        <w:footnoteReference w:id="36"/>
      </w:r>
      <w:r w:rsidRPr="00DA60DB">
        <w:rPr>
          <w:rFonts w:ascii="Verdana" w:eastAsia="Calibri" w:hAnsi="Verdana"/>
          <w:bCs/>
          <w:color w:val="000000" w:themeColor="text1"/>
          <w:lang w:val="es-ES"/>
        </w:rPr>
        <w:t xml:space="preserve">; </w:t>
      </w:r>
      <w:proofErr w:type="spellStart"/>
      <w:r w:rsidRPr="00DA60DB">
        <w:rPr>
          <w:rFonts w:ascii="Verdana" w:eastAsia="Calibri" w:hAnsi="Verdana"/>
          <w:bCs/>
          <w:color w:val="000000" w:themeColor="text1"/>
          <w:lang w:val="es-ES"/>
        </w:rPr>
        <w:t>iii</w:t>
      </w:r>
      <w:proofErr w:type="spellEnd"/>
      <w:r w:rsidRPr="00DA60DB">
        <w:rPr>
          <w:rFonts w:ascii="Verdana" w:eastAsia="Calibri" w:hAnsi="Verdana"/>
          <w:bCs/>
          <w:color w:val="000000" w:themeColor="text1"/>
          <w:lang w:val="es-ES"/>
        </w:rPr>
        <w:t xml:space="preserve">) oneroso, ya que ambas partes obtienen utilidades –el arrendatario, el uso y goce del bien, y el arrendador la renta o canon–; </w:t>
      </w:r>
      <w:proofErr w:type="spellStart"/>
      <w:r w:rsidRPr="00DA60DB">
        <w:rPr>
          <w:rFonts w:ascii="Verdana" w:eastAsia="Calibri" w:hAnsi="Verdana"/>
          <w:bCs/>
          <w:color w:val="000000" w:themeColor="text1"/>
          <w:lang w:val="es-ES"/>
        </w:rPr>
        <w:t>iv</w:t>
      </w:r>
      <w:proofErr w:type="spellEnd"/>
      <w:r w:rsidRPr="00DA60DB">
        <w:rPr>
          <w:rFonts w:ascii="Verdana" w:eastAsia="Calibri" w:hAnsi="Verdana"/>
          <w:bCs/>
          <w:color w:val="000000" w:themeColor="text1"/>
          <w:lang w:val="es-ES"/>
        </w:rPr>
        <w:t>) de ejecución sucesiva, en la medida en que se ejecuta en forma periódica; v) principal, porque existe en forma autónoma; y v) nominado, porque está tipificado y desarrollado en la ley</w:t>
      </w:r>
      <w:r w:rsidRPr="00DA60DB">
        <w:rPr>
          <w:rFonts w:ascii="Verdana" w:eastAsia="Calibri" w:hAnsi="Verdana"/>
          <w:bCs/>
          <w:color w:val="000000" w:themeColor="text1"/>
          <w:vertAlign w:val="superscript"/>
          <w:lang w:val="es-ES"/>
        </w:rPr>
        <w:footnoteReference w:id="37"/>
      </w:r>
      <w:r w:rsidRPr="00DA60DB">
        <w:rPr>
          <w:rFonts w:ascii="Verdana" w:eastAsia="Calibri" w:hAnsi="Verdana"/>
          <w:bCs/>
          <w:color w:val="000000" w:themeColor="text1"/>
          <w:lang w:val="es-ES"/>
        </w:rPr>
        <w:t xml:space="preserve">. </w:t>
      </w:r>
    </w:p>
    <w:p w14:paraId="74AD9596" w14:textId="77777777" w:rsidR="006803AB" w:rsidRPr="00BB46CC" w:rsidRDefault="006803AB" w:rsidP="006803AB">
      <w:pPr>
        <w:spacing w:after="120" w:line="276" w:lineRule="auto"/>
        <w:ind w:firstLine="708"/>
        <w:jc w:val="both"/>
        <w:rPr>
          <w:rFonts w:ascii="Verdana" w:eastAsia="Calibri" w:hAnsi="Verdana"/>
          <w:color w:val="000000" w:themeColor="text1"/>
        </w:rPr>
      </w:pPr>
      <w:r w:rsidRPr="00BB46CC">
        <w:rPr>
          <w:rFonts w:ascii="Verdana" w:eastAsia="Calibri" w:hAnsi="Verdana"/>
          <w:color w:val="000000" w:themeColor="text1"/>
        </w:rPr>
        <w:t xml:space="preserve">En </w:t>
      </w:r>
      <w:r>
        <w:rPr>
          <w:rFonts w:ascii="Verdana" w:eastAsia="Calibri" w:hAnsi="Verdana"/>
          <w:color w:val="000000" w:themeColor="text1"/>
        </w:rPr>
        <w:t>torno</w:t>
      </w:r>
      <w:r w:rsidRPr="00BB46CC">
        <w:rPr>
          <w:rFonts w:ascii="Verdana" w:eastAsia="Calibri" w:hAnsi="Verdana"/>
          <w:color w:val="000000" w:themeColor="text1"/>
        </w:rPr>
        <w:t xml:space="preserve"> a su regulación, son, principalmente, los artículos 1973 al 2078 del Código Civil los que lo desarrollan. Pero también existen normas especiales sobre el contrato de arrendamiento en los artículos 518 al 523 del Código de Comercio –sobre arrendamiento de inmuebles para los establecimientos de comercio–, 1678 al 1687 y 1890 al 1899 de la misma codificación –sobre arrendamiento de naves–; y en la Ley 820 de 2003, </w:t>
      </w:r>
      <w:r>
        <w:rPr>
          <w:rFonts w:ascii="Verdana" w:eastAsia="Calibri" w:hAnsi="Verdana"/>
          <w:color w:val="000000" w:themeColor="text1"/>
        </w:rPr>
        <w:t>“</w:t>
      </w:r>
      <w:r w:rsidRPr="00E21DBA">
        <w:rPr>
          <w:rFonts w:ascii="Verdana" w:eastAsia="Calibri" w:hAnsi="Verdana"/>
          <w:color w:val="000000" w:themeColor="text1"/>
        </w:rPr>
        <w:t>Por la cual se expide el régimen de arrendamiento de vivienda urbana y se dictan otras disposiciones</w:t>
      </w:r>
      <w:r>
        <w:rPr>
          <w:rFonts w:ascii="Verdana" w:eastAsia="Calibri" w:hAnsi="Verdana"/>
          <w:color w:val="000000" w:themeColor="text1"/>
        </w:rPr>
        <w:t>”</w:t>
      </w:r>
      <w:r w:rsidRPr="00BB46CC">
        <w:rPr>
          <w:rFonts w:ascii="Verdana" w:eastAsia="Calibri" w:hAnsi="Verdana"/>
          <w:color w:val="000000" w:themeColor="text1"/>
        </w:rPr>
        <w:t>.</w:t>
      </w:r>
    </w:p>
    <w:p w14:paraId="4250806C" w14:textId="77777777" w:rsidR="006803AB" w:rsidRDefault="006803AB" w:rsidP="006803AB">
      <w:pPr>
        <w:spacing w:after="120" w:line="276" w:lineRule="auto"/>
        <w:ind w:firstLine="708"/>
        <w:jc w:val="both"/>
        <w:rPr>
          <w:rFonts w:ascii="Verdana" w:eastAsia="Calibri" w:hAnsi="Verdana"/>
          <w:color w:val="000000" w:themeColor="text1"/>
        </w:rPr>
      </w:pPr>
      <w:r w:rsidRPr="00BB46CC">
        <w:rPr>
          <w:rFonts w:ascii="Verdana" w:eastAsia="Calibri" w:hAnsi="Verdana"/>
          <w:color w:val="000000" w:themeColor="text1"/>
        </w:rPr>
        <w:t xml:space="preserve">En igual sentido, por su importancia en la contratación estatal, debe precisarse que la modalidad de selección aplicable a la celebración de los contratos de arrendamiento depende del régimen aplicable a la entidad estatal. Si se rige por el derecho privado, es decir, si está exceptuada del Estatuto General de Contratación de la Administración Pública, debe aplicar en principio las normas civiles y comerciales mencionadas, en las cuales se permite la celebración directa del contrato de arrendamiento, pero si el reglamento o </w:t>
      </w:r>
      <w:r w:rsidRPr="00BB46CC">
        <w:rPr>
          <w:rFonts w:ascii="Verdana" w:eastAsia="Calibri" w:hAnsi="Verdana"/>
          <w:color w:val="000000" w:themeColor="text1"/>
        </w:rPr>
        <w:lastRenderedPageBreak/>
        <w:t xml:space="preserve">manual interno de contratación de la entidad dispone que debe efectuar algún procedimiento especial, este prevalece. </w:t>
      </w:r>
    </w:p>
    <w:p w14:paraId="255B7C7D" w14:textId="77777777" w:rsidR="006803AB" w:rsidRDefault="006803AB" w:rsidP="006803AB">
      <w:pPr>
        <w:spacing w:after="120" w:line="276" w:lineRule="auto"/>
        <w:ind w:firstLine="708"/>
        <w:jc w:val="both"/>
        <w:rPr>
          <w:rFonts w:ascii="Verdana" w:eastAsia="Calibri" w:hAnsi="Verdana"/>
          <w:color w:val="000000" w:themeColor="text1"/>
        </w:rPr>
      </w:pPr>
      <w:r w:rsidRPr="00BB46CC">
        <w:rPr>
          <w:rFonts w:ascii="Verdana" w:eastAsia="Calibri" w:hAnsi="Verdana"/>
          <w:color w:val="000000" w:themeColor="text1"/>
        </w:rPr>
        <w:t xml:space="preserve">En contrate, si la entidad estatal se rige por el Estatuto General de Contratación de la Administración Pública, bien sea que obre en calidad de arrendadora o arrendataria, debe acudir a la modalidad de selección de contratación directa si arrendara un inmueble, pues el artículo 2º, numeral 4° literal i) de la Ley 1150 de 2007 establece que una de las causales de este procedimiento es “i) El arrendamiento o adquisición de inmuebles”. En ambos supuestos la entidad estatal </w:t>
      </w:r>
      <w:r>
        <w:rPr>
          <w:rFonts w:ascii="Verdana" w:eastAsia="Calibri" w:hAnsi="Verdana"/>
          <w:color w:val="000000" w:themeColor="text1"/>
        </w:rPr>
        <w:t xml:space="preserve">–arrendadora o arrendataria- </w:t>
      </w:r>
      <w:r w:rsidRPr="00BB46CC">
        <w:rPr>
          <w:rFonts w:ascii="Verdana" w:eastAsia="Calibri" w:hAnsi="Verdana"/>
          <w:color w:val="000000" w:themeColor="text1"/>
        </w:rPr>
        <w:t>también debe aplicar las normas civiles y comerciales que regulan la sustantividad del contrato de arrendamiento, porque a estas se remiten los artículos 13, 32 y 40 de la Ley 80 de 1993.</w:t>
      </w:r>
      <w:r>
        <w:rPr>
          <w:rFonts w:ascii="Verdana" w:eastAsia="Calibri" w:hAnsi="Verdana"/>
          <w:color w:val="000000" w:themeColor="text1"/>
        </w:rPr>
        <w:t xml:space="preserve"> </w:t>
      </w:r>
      <w:r w:rsidRPr="00BB46CC">
        <w:rPr>
          <w:rFonts w:ascii="Verdana" w:eastAsia="Calibri" w:hAnsi="Verdana"/>
          <w:color w:val="000000" w:themeColor="text1"/>
        </w:rPr>
        <w:t xml:space="preserve">Por otro lado, La Ley 80 de 1993, en el texto original del artículo 41, estableció que los requisitos para perfeccionar el contrato eran: i) llegar a un acuerdo sobre el objeto y la contraprestación y </w:t>
      </w:r>
      <w:proofErr w:type="spellStart"/>
      <w:r w:rsidRPr="00BB46CC">
        <w:rPr>
          <w:rFonts w:ascii="Verdana" w:eastAsia="Calibri" w:hAnsi="Verdana"/>
          <w:color w:val="000000" w:themeColor="text1"/>
        </w:rPr>
        <w:t>ii</w:t>
      </w:r>
      <w:proofErr w:type="spellEnd"/>
      <w:r w:rsidRPr="00BB46CC">
        <w:rPr>
          <w:rFonts w:ascii="Verdana" w:eastAsia="Calibri" w:hAnsi="Verdana"/>
          <w:color w:val="000000" w:themeColor="text1"/>
        </w:rPr>
        <w:t xml:space="preserve">) que conste por escrito. Por su parte, para iniciar la ejecución se requería: i) la constitución y aprobación de la garantía y </w:t>
      </w:r>
      <w:proofErr w:type="spellStart"/>
      <w:r w:rsidRPr="00BB46CC">
        <w:rPr>
          <w:rFonts w:ascii="Verdana" w:eastAsia="Calibri" w:hAnsi="Verdana"/>
          <w:color w:val="000000" w:themeColor="text1"/>
        </w:rPr>
        <w:t>ii</w:t>
      </w:r>
      <w:proofErr w:type="spellEnd"/>
      <w:r w:rsidRPr="00BB46CC">
        <w:rPr>
          <w:rFonts w:ascii="Verdana" w:eastAsia="Calibri" w:hAnsi="Verdana"/>
          <w:color w:val="000000" w:themeColor="text1"/>
        </w:rPr>
        <w:t>) la existencia del registro presupuestal.</w:t>
      </w:r>
    </w:p>
    <w:p w14:paraId="41C3854D" w14:textId="77777777" w:rsidR="006803AB" w:rsidRPr="005C008F" w:rsidRDefault="006803AB" w:rsidP="006803AB">
      <w:pPr>
        <w:spacing w:after="120" w:line="276" w:lineRule="auto"/>
        <w:ind w:firstLine="709"/>
        <w:jc w:val="both"/>
        <w:rPr>
          <w:rFonts w:ascii="Verdana" w:eastAsia="Calibri" w:hAnsi="Verdana"/>
          <w:color w:val="000000" w:themeColor="text1"/>
        </w:rPr>
      </w:pPr>
      <w:r>
        <w:rPr>
          <w:rFonts w:ascii="Verdana" w:eastAsia="Calibri" w:hAnsi="Verdana"/>
          <w:color w:val="000000" w:themeColor="text1"/>
        </w:rPr>
        <w:t>Teniendo en cuenta lo expuesto anteriormente, c</w:t>
      </w:r>
      <w:r w:rsidRPr="005C008F">
        <w:rPr>
          <w:rFonts w:ascii="Verdana" w:eastAsia="Calibri" w:hAnsi="Verdana"/>
          <w:color w:val="000000" w:themeColor="text1"/>
        </w:rPr>
        <w:t>uando una entidad estatal actúa como arrendadora de un bien inmueble, no requiere disponibilidad presupuestal ni registro o compromiso presupuestal, dado que el pago corresponde al arrendatario, quien generalmente es un particular. La excepción se presenta cuando el arrendatario es otra entidad pública, en cuyo caso sí debe contar con la respectiva disponibilidad y compromiso presupuestal para cumplir con la obligación de pago.</w:t>
      </w:r>
    </w:p>
    <w:p w14:paraId="04DDB62A" w14:textId="77777777" w:rsidR="006803AB" w:rsidRPr="00BB46CC" w:rsidRDefault="006803AB" w:rsidP="006803AB">
      <w:pPr>
        <w:spacing w:after="120" w:line="276" w:lineRule="auto"/>
        <w:ind w:firstLine="708"/>
        <w:jc w:val="both"/>
        <w:rPr>
          <w:rFonts w:ascii="Verdana" w:eastAsia="Calibri" w:hAnsi="Verdana"/>
          <w:color w:val="000000" w:themeColor="text1"/>
        </w:rPr>
      </w:pPr>
      <w:r w:rsidRPr="00BB46CC">
        <w:rPr>
          <w:rFonts w:ascii="Verdana" w:eastAsia="Calibri" w:hAnsi="Verdana"/>
          <w:color w:val="000000" w:themeColor="text1"/>
        </w:rPr>
        <w:t xml:space="preserve">En virtud de este contrato, las partes se obligan, una a conceder el goce del inmueble, y otra a pagar un precio por el mismo. Estos contratos tienen como elementos característicos, conforme a la ley y a la jurisprudencia del Consejo de Estado, los siguientes: i) entrega de un bien que efectúa el arrendador al arrendatario para el goce o uso exclusivo de este y </w:t>
      </w:r>
      <w:proofErr w:type="spellStart"/>
      <w:r w:rsidRPr="00BB46CC">
        <w:rPr>
          <w:rFonts w:ascii="Verdana" w:eastAsia="Calibri" w:hAnsi="Verdana"/>
          <w:color w:val="000000" w:themeColor="text1"/>
        </w:rPr>
        <w:t>ii</w:t>
      </w:r>
      <w:proofErr w:type="spellEnd"/>
      <w:r w:rsidRPr="00BB46CC">
        <w:rPr>
          <w:rFonts w:ascii="Verdana" w:eastAsia="Calibri" w:hAnsi="Verdana"/>
          <w:color w:val="000000" w:themeColor="text1"/>
        </w:rPr>
        <w:t xml:space="preserve">) el pago de un precio por el uso o goce del bien arrendado. </w:t>
      </w:r>
    </w:p>
    <w:p w14:paraId="48A21EE8" w14:textId="77777777" w:rsidR="006803AB" w:rsidRPr="004C1120" w:rsidRDefault="006803AB" w:rsidP="006803AB">
      <w:pPr>
        <w:spacing w:after="120" w:line="276" w:lineRule="auto"/>
        <w:ind w:firstLine="708"/>
        <w:jc w:val="both"/>
        <w:rPr>
          <w:rFonts w:ascii="Verdana" w:eastAsiaTheme="minorEastAsia" w:hAnsi="Verdana" w:cs="Arial"/>
          <w:bCs/>
          <w:lang w:val="es-MX" w:eastAsia="es-CO"/>
        </w:rPr>
      </w:pPr>
      <w:r>
        <w:rPr>
          <w:rFonts w:ascii="Verdana" w:eastAsia="Calibri" w:hAnsi="Verdana"/>
          <w:color w:val="000000" w:themeColor="text1"/>
        </w:rPr>
        <w:t xml:space="preserve">Bajo esta lógica, no es posible que la entidad estatal en calidad de arrendadora de un bien inmueble pueda suscribir un contrato de arrendamiento, pues se encuentra dentro de la restricción del artículo 33 </w:t>
      </w:r>
      <w:r>
        <w:rPr>
          <w:rFonts w:ascii="Verdana" w:eastAsiaTheme="minorEastAsia" w:hAnsi="Verdana" w:cs="Arial"/>
          <w:lang w:eastAsia="es-CO"/>
        </w:rPr>
        <w:t xml:space="preserve">de la Ley 996 de 2005, la cual </w:t>
      </w:r>
      <w:r w:rsidRPr="004C1120">
        <w:rPr>
          <w:rFonts w:ascii="Verdana" w:eastAsiaTheme="minorEastAsia" w:hAnsi="Verdana" w:cs="Arial"/>
          <w:bCs/>
          <w:lang w:val="es-MX" w:eastAsia="es-CO"/>
        </w:rPr>
        <w:t xml:space="preserve">prohíbe adelantar cualquier </w:t>
      </w:r>
      <w:r>
        <w:rPr>
          <w:rFonts w:ascii="Verdana" w:eastAsiaTheme="minorEastAsia" w:hAnsi="Verdana" w:cs="Arial"/>
          <w:bCs/>
          <w:lang w:val="es-MX" w:eastAsia="es-CO"/>
        </w:rPr>
        <w:t xml:space="preserve">forma </w:t>
      </w:r>
      <w:r w:rsidRPr="004C1120">
        <w:rPr>
          <w:rFonts w:ascii="Verdana" w:eastAsiaTheme="minorEastAsia" w:hAnsi="Verdana" w:cs="Arial"/>
          <w:bCs/>
          <w:lang w:val="es-MX" w:eastAsia="es-CO"/>
        </w:rPr>
        <w:t xml:space="preserve">de contratación directa, entendida como todo mecanismo no competitivo. Es decir, </w:t>
      </w:r>
      <w:r>
        <w:rPr>
          <w:rFonts w:ascii="Verdana" w:eastAsiaTheme="minorEastAsia" w:hAnsi="Verdana" w:cs="Arial"/>
          <w:bCs/>
          <w:lang w:val="es-MX" w:eastAsia="es-CO"/>
        </w:rPr>
        <w:t xml:space="preserve">dicha restricción aplica en aquellos supuestos, en los que se pretenda </w:t>
      </w:r>
      <w:r w:rsidRPr="004C1120">
        <w:rPr>
          <w:rFonts w:ascii="Verdana" w:eastAsiaTheme="minorEastAsia" w:hAnsi="Verdana" w:cs="Arial"/>
          <w:bCs/>
          <w:lang w:val="es-MX" w:eastAsia="es-CO"/>
        </w:rPr>
        <w:t xml:space="preserve">celebrar </w:t>
      </w:r>
      <w:r>
        <w:rPr>
          <w:rFonts w:ascii="Verdana" w:eastAsiaTheme="minorEastAsia" w:hAnsi="Verdana" w:cs="Arial"/>
          <w:bCs/>
          <w:lang w:val="es-MX" w:eastAsia="es-CO"/>
        </w:rPr>
        <w:t xml:space="preserve">contratos de arrendamiento </w:t>
      </w:r>
      <w:r>
        <w:rPr>
          <w:rFonts w:ascii="Verdana" w:eastAsiaTheme="minorEastAsia" w:hAnsi="Verdana" w:cs="Arial"/>
          <w:bCs/>
          <w:lang w:val="es-MX" w:eastAsia="es-CO"/>
        </w:rPr>
        <w:lastRenderedPageBreak/>
        <w:t xml:space="preserve">de bienes inmuebles </w:t>
      </w:r>
      <w:r w:rsidRPr="004C1120">
        <w:rPr>
          <w:rFonts w:ascii="Verdana" w:eastAsiaTheme="minorEastAsia" w:hAnsi="Verdana" w:cs="Arial"/>
          <w:bCs/>
          <w:lang w:val="es-MX" w:eastAsia="es-CO"/>
        </w:rPr>
        <w:t>de forma directa,</w:t>
      </w:r>
      <w:r>
        <w:rPr>
          <w:rFonts w:ascii="Verdana" w:eastAsiaTheme="minorEastAsia" w:hAnsi="Verdana" w:cs="Arial"/>
          <w:bCs/>
          <w:lang w:val="es-MX" w:eastAsia="es-CO"/>
        </w:rPr>
        <w:t xml:space="preserve"> ya sea en calidad de arrendadora o de arrendataria, conforme a la causal de contratación directa </w:t>
      </w:r>
      <w:r>
        <w:rPr>
          <w:rFonts w:ascii="Verdana" w:eastAsiaTheme="minorEastAsia" w:hAnsi="Verdana" w:cs="Arial"/>
          <w:bCs/>
          <w:lang w:eastAsia="es-CO"/>
        </w:rPr>
        <w:t>de</w:t>
      </w:r>
      <w:r w:rsidRPr="00F45DD2">
        <w:rPr>
          <w:rFonts w:ascii="Verdana" w:eastAsiaTheme="minorEastAsia" w:hAnsi="Verdana" w:cs="Arial"/>
          <w:bCs/>
          <w:lang w:eastAsia="es-CO"/>
        </w:rPr>
        <w:t>l artículo 2º, numeral 4° literal i) de la Ley 1150 de 2007</w:t>
      </w:r>
      <w:r>
        <w:rPr>
          <w:rFonts w:ascii="Verdana" w:eastAsiaTheme="minorEastAsia" w:hAnsi="Verdana" w:cs="Arial"/>
          <w:bCs/>
          <w:lang w:eastAsia="es-CO"/>
        </w:rPr>
        <w:t>.</w:t>
      </w:r>
      <w:r>
        <w:rPr>
          <w:rFonts w:ascii="Verdana" w:eastAsiaTheme="minorEastAsia" w:hAnsi="Verdana" w:cs="Arial"/>
          <w:bCs/>
          <w:lang w:val="es-MX" w:eastAsia="es-CO"/>
        </w:rPr>
        <w:t xml:space="preserve"> E</w:t>
      </w:r>
      <w:r w:rsidRPr="004C1120">
        <w:rPr>
          <w:rFonts w:ascii="Verdana" w:eastAsiaTheme="minorEastAsia" w:hAnsi="Verdana" w:cs="Arial"/>
          <w:bCs/>
          <w:lang w:val="es-MX" w:eastAsia="es-CO"/>
        </w:rPr>
        <w:t xml:space="preserve">n este sentido, todos los entes del Estado, independiente del régimen jurídico aplicable, están sujetos a la restricción del artículo 33 de la Ley 996 de 2005, es decir, no podrán adelantar sistema que implique contratación directa respecto de las elecciones presidenciales, dentro de los cuatro (4) meses anteriores a la celebración de dichos comicios. </w:t>
      </w:r>
    </w:p>
    <w:p w14:paraId="0E888639" w14:textId="538226F1" w:rsidR="006803AB" w:rsidRPr="005C008F" w:rsidRDefault="006803AB" w:rsidP="006803AB">
      <w:pPr>
        <w:spacing w:after="120" w:line="276" w:lineRule="auto"/>
        <w:ind w:firstLine="709"/>
        <w:jc w:val="both"/>
        <w:rPr>
          <w:rFonts w:ascii="Verdana" w:eastAsia="Calibri" w:hAnsi="Verdana"/>
          <w:color w:val="000000" w:themeColor="text1"/>
        </w:rPr>
      </w:pPr>
      <w:r w:rsidRPr="00FF1C59">
        <w:rPr>
          <w:rFonts w:ascii="Verdana" w:eastAsiaTheme="minorEastAsia" w:hAnsi="Verdana" w:cs="Arial"/>
          <w:lang w:eastAsia="es-CO"/>
        </w:rPr>
        <w:t>De igual manera, resulta pertinente precisar</w:t>
      </w:r>
      <w:r>
        <w:rPr>
          <w:rFonts w:ascii="Verdana" w:eastAsiaTheme="minorEastAsia" w:hAnsi="Verdana" w:cs="Arial"/>
          <w:lang w:eastAsia="es-CO"/>
        </w:rPr>
        <w:t xml:space="preserve"> que</w:t>
      </w:r>
      <w:r w:rsidR="00F12FAC">
        <w:rPr>
          <w:rFonts w:ascii="Verdana" w:eastAsiaTheme="minorEastAsia" w:hAnsi="Verdana" w:cs="Arial"/>
          <w:lang w:eastAsia="es-CO"/>
        </w:rPr>
        <w:t xml:space="preserve"> los contratos de arrendamiento</w:t>
      </w:r>
      <w:r>
        <w:rPr>
          <w:rFonts w:ascii="Verdana" w:eastAsiaTheme="minorEastAsia" w:hAnsi="Verdana" w:cs="Arial"/>
          <w:lang w:eastAsia="es-CO"/>
        </w:rPr>
        <w:t xml:space="preserve"> de bienes inmuebles no encajan en la restricción del artículo 38 de la Ley 996 de 2005, la cual </w:t>
      </w:r>
      <w:r w:rsidRPr="00FF1C59">
        <w:rPr>
          <w:rFonts w:ascii="Verdana" w:eastAsiaTheme="minorEastAsia" w:hAnsi="Verdana" w:cs="Arial"/>
          <w:lang w:eastAsia="es-CO"/>
        </w:rPr>
        <w:t xml:space="preserve">establece </w:t>
      </w:r>
      <w:r>
        <w:rPr>
          <w:rFonts w:ascii="Verdana" w:eastAsiaTheme="minorEastAsia" w:hAnsi="Verdana" w:cs="Arial"/>
          <w:lang w:eastAsia="es-CO"/>
        </w:rPr>
        <w:t>la prohibición</w:t>
      </w:r>
      <w:r w:rsidRPr="00FF1C59">
        <w:rPr>
          <w:rFonts w:ascii="Verdana" w:eastAsiaTheme="minorEastAsia" w:hAnsi="Verdana" w:cs="Arial"/>
          <w:lang w:eastAsia="es-CO"/>
        </w:rPr>
        <w:t xml:space="preserve"> de </w:t>
      </w:r>
      <w:r>
        <w:rPr>
          <w:rFonts w:ascii="Verdana" w:eastAsiaTheme="minorEastAsia" w:hAnsi="Verdana" w:cs="Arial"/>
          <w:lang w:eastAsia="es-CO"/>
        </w:rPr>
        <w:t xml:space="preserve">celebrar </w:t>
      </w:r>
      <w:r w:rsidRPr="00FF1C59">
        <w:rPr>
          <w:rFonts w:ascii="Verdana" w:eastAsiaTheme="minorEastAsia" w:hAnsi="Verdana" w:cs="Arial"/>
          <w:lang w:eastAsia="es-CO"/>
        </w:rPr>
        <w:t xml:space="preserve">convenios </w:t>
      </w:r>
      <w:r>
        <w:rPr>
          <w:rFonts w:ascii="Verdana" w:eastAsiaTheme="minorEastAsia" w:hAnsi="Verdana" w:cs="Arial"/>
          <w:lang w:eastAsia="es-CO"/>
        </w:rPr>
        <w:t>interadministrativos para la ejecución de recursos públicos</w:t>
      </w:r>
      <w:r w:rsidRPr="00FF1C59">
        <w:rPr>
          <w:rFonts w:ascii="Verdana" w:eastAsiaTheme="minorEastAsia" w:hAnsi="Verdana" w:cs="Arial"/>
          <w:lang w:eastAsia="es-CO"/>
        </w:rPr>
        <w:t xml:space="preserve"> por parte de alcaldes, gobernadores, secretarios, gerentes y directores de entidades del orden municipal, departamental o distrital.</w:t>
      </w:r>
      <w:r>
        <w:rPr>
          <w:rFonts w:ascii="Verdana" w:eastAsiaTheme="minorEastAsia" w:hAnsi="Verdana" w:cs="Arial"/>
          <w:lang w:eastAsia="es-CO"/>
        </w:rPr>
        <w:t xml:space="preserve"> </w:t>
      </w:r>
      <w:r w:rsidRPr="005C008F">
        <w:rPr>
          <w:rFonts w:ascii="Verdana" w:eastAsia="Calibri" w:hAnsi="Verdana"/>
          <w:color w:val="000000" w:themeColor="text1"/>
        </w:rPr>
        <w:t>Por tanto, esta limitación no afecta directamente la relación bilateral propia del contrato de arrendamiento, sino únicamente convenios de naturaleza asociativa</w:t>
      </w:r>
      <w:r>
        <w:rPr>
          <w:rFonts w:ascii="Verdana" w:eastAsia="Calibri" w:hAnsi="Verdana"/>
          <w:color w:val="000000" w:themeColor="text1"/>
        </w:rPr>
        <w:t xml:space="preserve"> o cooperativa, en que dos o más partes aúnan esfuerzos para un objetivo común</w:t>
      </w:r>
      <w:r w:rsidRPr="005C008F">
        <w:rPr>
          <w:rFonts w:ascii="Verdana" w:eastAsia="Calibri" w:hAnsi="Verdana"/>
          <w:color w:val="000000" w:themeColor="text1"/>
        </w:rPr>
        <w:t>.</w:t>
      </w:r>
    </w:p>
    <w:p w14:paraId="2691E750" w14:textId="77777777" w:rsidR="006803AB" w:rsidRDefault="006803AB" w:rsidP="006803AB">
      <w:pPr>
        <w:spacing w:after="120" w:line="276" w:lineRule="auto"/>
        <w:ind w:firstLine="708"/>
        <w:jc w:val="both"/>
        <w:rPr>
          <w:rFonts w:ascii="Verdana" w:eastAsia="Calibri" w:hAnsi="Verdana"/>
          <w:color w:val="000000" w:themeColor="text1"/>
        </w:rPr>
      </w:pPr>
      <w:r>
        <w:rPr>
          <w:rFonts w:ascii="Verdana" w:eastAsiaTheme="minorEastAsia" w:hAnsi="Verdana" w:cs="Arial"/>
          <w:lang w:eastAsia="es-CO"/>
        </w:rPr>
        <w:t>Sin embargo, c</w:t>
      </w:r>
      <w:r w:rsidRPr="005C008F">
        <w:rPr>
          <w:rFonts w:ascii="Verdana" w:eastAsiaTheme="minorEastAsia" w:hAnsi="Verdana" w:cs="Arial"/>
          <w:lang w:eastAsia="es-CO"/>
        </w:rPr>
        <w:t>abe destacar que, tratándose de un contrato interadministrativo de arrendamiento, este también se encuentra sujeto a la restricción prevista en el artículo 33, siempre que se celebre mediante la modalidad de contratación directa. En consecuencia, cualquier contrato de arrendamiento de bienes inmuebles suscrito por entidades estatales bajo esta forma, dentro de los cuatro meses anteriores a las elecciones presidenciales —programadas para el 31 de mayo de 2026—, así como respecto de una eventual segunda vuelta prevista para el 21 de junio del mismo año, quedará igualmente comprendido en dicha limitación.</w:t>
      </w:r>
    </w:p>
    <w:p w14:paraId="4663C127" w14:textId="77777777" w:rsidR="006803AB" w:rsidRPr="004F1C0A" w:rsidRDefault="006803AB" w:rsidP="006803AB">
      <w:pPr>
        <w:spacing w:after="120" w:line="276" w:lineRule="auto"/>
        <w:ind w:firstLine="709"/>
        <w:jc w:val="both"/>
        <w:rPr>
          <w:rFonts w:ascii="Verdana" w:eastAsia="Times New Roman" w:hAnsi="Verdana" w:cs="Arial"/>
          <w:bCs/>
          <w:lang w:eastAsia="x-none"/>
        </w:rPr>
      </w:pPr>
      <w:r>
        <w:rPr>
          <w:rFonts w:ascii="Verdana" w:eastAsia="Calibri" w:hAnsi="Verdana"/>
          <w:color w:val="000000" w:themeColor="text1"/>
        </w:rPr>
        <w:t xml:space="preserve"> </w:t>
      </w:r>
      <w:r w:rsidRPr="004F1C0A">
        <w:rPr>
          <w:rFonts w:ascii="Verdana" w:eastAsia="Times New Roman" w:hAnsi="Verdana" w:cs="Arial"/>
          <w:bCs/>
          <w:lang w:val="es-MX" w:eastAsia="x-none"/>
        </w:rPr>
        <w:t xml:space="preserve">Esto, sin perjuicio de las excepciones a la prohibición establecidas en el inciso segundo del mismo artículo 33, como son: i) la defensa y seguridad del Estado; </w:t>
      </w:r>
      <w:proofErr w:type="spellStart"/>
      <w:r w:rsidRPr="004F1C0A">
        <w:rPr>
          <w:rFonts w:ascii="Verdana" w:eastAsia="Times New Roman" w:hAnsi="Verdana" w:cs="Arial"/>
          <w:bCs/>
          <w:lang w:val="es-MX" w:eastAsia="x-none"/>
        </w:rPr>
        <w:t>ii</w:t>
      </w:r>
      <w:proofErr w:type="spellEnd"/>
      <w:r w:rsidRPr="004F1C0A">
        <w:rPr>
          <w:rFonts w:ascii="Verdana" w:eastAsia="Times New Roman" w:hAnsi="Verdana" w:cs="Arial"/>
          <w:bCs/>
          <w:lang w:val="es-MX" w:eastAsia="x-none"/>
        </w:rPr>
        <w:t xml:space="preserve">) los contratos de crédito público; </w:t>
      </w:r>
      <w:proofErr w:type="spellStart"/>
      <w:r w:rsidRPr="004F1C0A">
        <w:rPr>
          <w:rFonts w:ascii="Verdana" w:eastAsia="Times New Roman" w:hAnsi="Verdana" w:cs="Arial"/>
          <w:bCs/>
          <w:lang w:val="es-MX" w:eastAsia="x-none"/>
        </w:rPr>
        <w:t>iii</w:t>
      </w:r>
      <w:proofErr w:type="spellEnd"/>
      <w:r w:rsidRPr="004F1C0A">
        <w:rPr>
          <w:rFonts w:ascii="Verdana" w:eastAsia="Times New Roman" w:hAnsi="Verdana" w:cs="Arial"/>
          <w:bCs/>
          <w:lang w:val="es-MX" w:eastAsia="x-none"/>
        </w:rPr>
        <w:t xml:space="preserve">) los requeridos para cubrir las emergencias educativas, sanitarias y desastres; </w:t>
      </w:r>
      <w:proofErr w:type="spellStart"/>
      <w:r w:rsidRPr="004F1C0A">
        <w:rPr>
          <w:rFonts w:ascii="Verdana" w:eastAsia="Times New Roman" w:hAnsi="Verdana" w:cs="Arial"/>
          <w:bCs/>
          <w:lang w:val="es-MX" w:eastAsia="x-none"/>
        </w:rPr>
        <w:t>iv</w:t>
      </w:r>
      <w:proofErr w:type="spellEnd"/>
      <w:r w:rsidRPr="004F1C0A">
        <w:rPr>
          <w:rFonts w:ascii="Verdana" w:eastAsia="Times New Roman" w:hAnsi="Verdana" w:cs="Arial"/>
          <w:bCs/>
          <w:lang w:val="es-MX" w:eastAsia="x-none"/>
        </w:rPr>
        <w:t xml:space="preserve">)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w:t>
      </w:r>
      <w:r w:rsidRPr="004F1C0A">
        <w:rPr>
          <w:rFonts w:ascii="Verdana" w:eastAsia="Times New Roman" w:hAnsi="Verdana" w:cs="Arial"/>
          <w:bCs/>
          <w:lang w:val="es-MX" w:eastAsia="x-none"/>
        </w:rPr>
        <w:lastRenderedPageBreak/>
        <w:t>adelanta y determinar si las mismas se enmarcan en alguna de las mencionadas excepciones, de manera que se le permita realizar la contratación que necesite en forma directa.</w:t>
      </w:r>
    </w:p>
    <w:p w14:paraId="7BF5CDE1" w14:textId="77777777" w:rsidR="006803AB" w:rsidRPr="005C008F" w:rsidRDefault="006803AB" w:rsidP="006803AB">
      <w:pPr>
        <w:spacing w:after="120" w:line="276" w:lineRule="auto"/>
        <w:ind w:firstLine="708"/>
        <w:jc w:val="both"/>
        <w:rPr>
          <w:rFonts w:ascii="Verdana" w:eastAsia="Calibri" w:hAnsi="Verdana"/>
          <w:color w:val="000000" w:themeColor="text1"/>
          <w:lang w:val="es-MX"/>
        </w:rPr>
      </w:pPr>
      <w:r>
        <w:rPr>
          <w:rFonts w:ascii="Verdana" w:eastAsia="Times New Roman" w:hAnsi="Verdana" w:cs="Arial"/>
          <w:bCs/>
          <w:lang w:eastAsia="x-none"/>
        </w:rPr>
        <w:t>Por último</w:t>
      </w:r>
      <w:r w:rsidRPr="004F1C0A">
        <w:rPr>
          <w:rFonts w:ascii="Verdana" w:eastAsia="Times New Roman" w:hAnsi="Verdana" w:cs="Arial"/>
          <w:bCs/>
          <w:lang w:val="es-MX" w:eastAsia="x-none"/>
        </w:rPr>
        <w:t xml:space="preserve">, se reitera, </w:t>
      </w:r>
      <w:r w:rsidRPr="004F1C0A">
        <w:rPr>
          <w:rFonts w:ascii="Verdana" w:eastAsia="Times New Roman" w:hAnsi="Verdana" w:cs="Arial"/>
          <w:bCs/>
          <w:lang w:val="es-MX" w:eastAsia="es-CO"/>
        </w:rPr>
        <w:t xml:space="preserve">que las prórrogas, modificaciones o adiciones de los contratos suscritos antes de la entrada en vigor de las prohibiciones anotadas, así como la cesión de </w:t>
      </w:r>
      <w:proofErr w:type="gramStart"/>
      <w:r w:rsidRPr="004F1C0A">
        <w:rPr>
          <w:rFonts w:ascii="Verdana" w:eastAsia="Times New Roman" w:hAnsi="Verdana" w:cs="Arial"/>
          <w:bCs/>
          <w:lang w:val="es-MX" w:eastAsia="es-CO"/>
        </w:rPr>
        <w:t>los mismos</w:t>
      </w:r>
      <w:proofErr w:type="gramEnd"/>
      <w:r w:rsidRPr="004F1C0A">
        <w:rPr>
          <w:rFonts w:ascii="Verdana" w:eastAsia="Times New Roman" w:hAnsi="Verdana" w:cs="Arial"/>
          <w:bCs/>
          <w:lang w:val="es-MX" w:eastAsia="es-CO"/>
        </w:rPr>
        <w:t>, pueden tener lugar en el período de aplicación de la Ley de Garantías, sin que ello haga nugatoria la restricción de la contratación directa y siempre que cumplan los principios de planeación, transparencia y responsabilidad</w:t>
      </w:r>
      <w:r w:rsidRPr="004F1C0A">
        <w:rPr>
          <w:rFonts w:ascii="Verdana" w:eastAsia="Times New Roman" w:hAnsi="Verdana" w:cs="Arial"/>
          <w:bCs/>
          <w:vertAlign w:val="superscript"/>
          <w:lang w:val="es-MX" w:eastAsia="es-CO"/>
        </w:rPr>
        <w:footnoteReference w:id="38"/>
      </w:r>
      <w:r w:rsidRPr="004F1C0A">
        <w:rPr>
          <w:rFonts w:ascii="Verdana" w:eastAsia="Times New Roman" w:hAnsi="Verdana" w:cs="Arial"/>
          <w:bCs/>
          <w:lang w:val="es-MX" w:eastAsia="es-CO"/>
        </w:rPr>
        <w:t>. Además, también es posible que contratos celebrados previamente se continúen ejecutando con normalidad.</w:t>
      </w:r>
    </w:p>
    <w:p w14:paraId="1FE83357" w14:textId="77777777" w:rsidR="006803AB" w:rsidRDefault="006803AB" w:rsidP="006803AB">
      <w:pPr>
        <w:spacing w:after="0" w:line="276" w:lineRule="auto"/>
        <w:jc w:val="both"/>
        <w:rPr>
          <w:rFonts w:ascii="Verdana" w:eastAsia="Arial" w:hAnsi="Verdana" w:cs="Arial"/>
          <w:lang w:eastAsia="es-ES" w:bidi="es-ES"/>
        </w:rPr>
      </w:pPr>
    </w:p>
    <w:p w14:paraId="2A065B29" w14:textId="77777777" w:rsidR="006803AB" w:rsidRPr="005154AE" w:rsidRDefault="006803AB" w:rsidP="006803AB">
      <w:pPr>
        <w:spacing w:after="120" w:line="276" w:lineRule="auto"/>
        <w:jc w:val="both"/>
        <w:rPr>
          <w:rFonts w:ascii="Verdana" w:eastAsia="Arial" w:hAnsi="Verdana" w:cs="Arial"/>
          <w:bCs/>
          <w:color w:val="000000" w:themeColor="text1"/>
        </w:rPr>
      </w:pPr>
      <w:r>
        <w:rPr>
          <w:rFonts w:ascii="Verdana" w:eastAsia="Calibri" w:hAnsi="Verdana" w:cs="Arial"/>
          <w:bCs/>
          <w:color w:val="000000" w:themeColor="text1"/>
        </w:rPr>
        <w:t xml:space="preserve">vi. </w:t>
      </w:r>
      <w:r w:rsidRPr="00F4158D">
        <w:rPr>
          <w:rFonts w:ascii="Verdana" w:eastAsia="Calibri" w:hAnsi="Verdana" w:cs="Arial"/>
          <w:bCs/>
          <w:color w:val="000000" w:themeColor="text1"/>
        </w:rPr>
        <w:t xml:space="preserve">Al margen de la explicación precedente debe advertirse que el análisis requerido para resolver problemas específicos en torno a la gestión contractual de </w:t>
      </w:r>
      <w:r>
        <w:rPr>
          <w:rFonts w:ascii="Verdana" w:eastAsia="Calibri" w:hAnsi="Verdana" w:cs="Arial"/>
          <w:bCs/>
          <w:color w:val="000000" w:themeColor="text1"/>
        </w:rPr>
        <w:t xml:space="preserve">las entidades públicas debe realizarse </w:t>
      </w:r>
      <w:r w:rsidRPr="00F4158D">
        <w:rPr>
          <w:rFonts w:ascii="Verdana" w:eastAsia="Calibri" w:hAnsi="Verdana" w:cs="Arial"/>
          <w:bCs/>
          <w:color w:val="000000" w:themeColor="text1"/>
        </w:rPr>
        <w:t>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0E40378" w14:textId="77777777" w:rsidR="006803AB" w:rsidRPr="00F4158D" w:rsidRDefault="006803AB" w:rsidP="006803AB">
      <w:pPr>
        <w:spacing w:after="0" w:line="276" w:lineRule="auto"/>
        <w:ind w:firstLine="708"/>
        <w:jc w:val="both"/>
        <w:rPr>
          <w:rFonts w:ascii="Verdana" w:hAnsi="Verdana" w:cs="Arial"/>
          <w:color w:val="000000" w:themeColor="text1"/>
        </w:rPr>
      </w:pPr>
      <w:r w:rsidRPr="00F4158D">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5665E8AF" w14:textId="77777777" w:rsidR="006803AB" w:rsidRPr="00F4158D" w:rsidRDefault="006803AB" w:rsidP="006803AB">
      <w:pPr>
        <w:spacing w:after="0" w:line="276" w:lineRule="auto"/>
        <w:jc w:val="both"/>
        <w:rPr>
          <w:rFonts w:ascii="Verdana" w:eastAsia="Calibri" w:hAnsi="Verdana" w:cs="Arial"/>
          <w:bCs/>
          <w:color w:val="000000" w:themeColor="text1"/>
        </w:rPr>
      </w:pPr>
      <w:r w:rsidRPr="00F4158D">
        <w:rPr>
          <w:rFonts w:ascii="Verdana" w:eastAsia="Calibri" w:hAnsi="Verdana" w:cs="Arial"/>
          <w:bCs/>
          <w:color w:val="000000" w:themeColor="text1"/>
        </w:rPr>
        <w:t xml:space="preserve"> </w:t>
      </w:r>
    </w:p>
    <w:p w14:paraId="1E9C7677" w14:textId="77777777" w:rsidR="006803AB" w:rsidRPr="00593A5F" w:rsidRDefault="006803AB" w:rsidP="006803A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r>
        <w:rPr>
          <w:rFonts w:ascii="Verdana" w:eastAsia="Century Gothic" w:hAnsi="Verdana" w:cs="Century Gothic"/>
          <w:b/>
          <w:bCs/>
        </w:rPr>
        <w:t>, jurisprudenciales y otras fuentes</w:t>
      </w:r>
      <w:r w:rsidRPr="00593A5F">
        <w:rPr>
          <w:rFonts w:ascii="Verdana" w:eastAsia="Century Gothic" w:hAnsi="Verdana" w:cs="Century Gothic"/>
          <w:b/>
          <w:bCs/>
        </w:rPr>
        <w:t>:</w:t>
      </w:r>
    </w:p>
    <w:p w14:paraId="7379747D" w14:textId="77777777" w:rsidR="006803AB" w:rsidRPr="00593A5F" w:rsidRDefault="006803AB" w:rsidP="006803AB">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803AB" w:rsidRPr="002407CE" w14:paraId="3F23C240" w14:textId="77777777" w:rsidTr="00CE268D">
        <w:trPr>
          <w:trHeight w:val="311"/>
          <w:jc w:val="center"/>
        </w:trPr>
        <w:tc>
          <w:tcPr>
            <w:tcW w:w="8647" w:type="dxa"/>
          </w:tcPr>
          <w:p w14:paraId="1576E7A2" w14:textId="77777777" w:rsidR="006803AB" w:rsidRDefault="006803AB" w:rsidP="00CE268D">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lastRenderedPageBreak/>
              <w:t>Constitución Política de 1991, artículos 127, 190, 197 y 286.</w:t>
            </w:r>
          </w:p>
          <w:p w14:paraId="0DA0EE06" w14:textId="77777777" w:rsidR="006803AB" w:rsidRDefault="006803AB" w:rsidP="00CE268D">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Ley 80 de 1993, artículos 2, 13, 32, 39, 40 y 41.</w:t>
            </w:r>
          </w:p>
          <w:p w14:paraId="71D80A2F" w14:textId="77777777" w:rsidR="006803AB" w:rsidRDefault="006803AB" w:rsidP="00CE268D">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Ley 996 de 2005, artículos 33 y 38.</w:t>
            </w:r>
          </w:p>
          <w:p w14:paraId="080B9B26" w14:textId="77777777" w:rsidR="006803AB" w:rsidRDefault="006803AB" w:rsidP="00CE268D">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Ley 1150 de 2007, artículo 2.</w:t>
            </w:r>
          </w:p>
          <w:p w14:paraId="404BADD6" w14:textId="77777777" w:rsidR="006803AB" w:rsidRPr="00F45DD2" w:rsidRDefault="006803AB" w:rsidP="00CE268D">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Código Civil, artículos 27, 31, 1501,</w:t>
            </w:r>
            <w:r w:rsidRPr="00F45DD2">
              <w:rPr>
                <w:rFonts w:ascii="Verdana" w:eastAsia="Calibri" w:hAnsi="Verdana"/>
                <w:color w:val="000000" w:themeColor="text1"/>
                <w:lang w:val="es-CO"/>
              </w:rPr>
              <w:t xml:space="preserve"> </w:t>
            </w:r>
            <w:r w:rsidRPr="00F45DD2">
              <w:rPr>
                <w:rFonts w:ascii="Verdana" w:hAnsi="Verdana" w:cs="Arial"/>
                <w:lang w:val="es-CO"/>
              </w:rPr>
              <w:t xml:space="preserve">1973 al 2078 </w:t>
            </w:r>
          </w:p>
          <w:p w14:paraId="3258CAF4" w14:textId="77777777" w:rsidR="006803AB" w:rsidRDefault="006803AB" w:rsidP="00CE268D">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lang w:val="es-CO"/>
              </w:rPr>
              <w:t xml:space="preserve">Código de Comercio, </w:t>
            </w:r>
            <w:r w:rsidRPr="00F45DD2">
              <w:rPr>
                <w:rFonts w:ascii="Verdana" w:hAnsi="Verdana" w:cs="Arial"/>
                <w:lang w:val="es-CO"/>
              </w:rPr>
              <w:t>artículos 518</w:t>
            </w:r>
            <w:r>
              <w:rPr>
                <w:rFonts w:ascii="Verdana" w:hAnsi="Verdana" w:cs="Arial"/>
                <w:lang w:val="es-CO"/>
              </w:rPr>
              <w:t xml:space="preserve"> al 523. </w:t>
            </w:r>
          </w:p>
          <w:p w14:paraId="136EAED0" w14:textId="77777777" w:rsidR="006803AB" w:rsidRDefault="006803AB" w:rsidP="00CE268D">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960121">
              <w:rPr>
                <w:rFonts w:ascii="Verdana" w:hAnsi="Verdana" w:cs="Arial"/>
                <w:bCs/>
                <w:lang w:val="es-MX"/>
              </w:rPr>
              <w:t>Resolución 02580 del 5 de marzo de 2025 de la Registraduría Nacional del Estado Civil</w:t>
            </w:r>
            <w:r>
              <w:rPr>
                <w:rFonts w:ascii="Verdana" w:hAnsi="Verdana" w:cs="Arial"/>
                <w:bCs/>
                <w:lang w:val="es-MX"/>
              </w:rPr>
              <w:t>.</w:t>
            </w:r>
          </w:p>
          <w:p w14:paraId="18350F92" w14:textId="77777777" w:rsidR="006803AB" w:rsidRPr="00401590" w:rsidRDefault="006803AB" w:rsidP="00CE268D">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401590">
              <w:rPr>
                <w:rFonts w:ascii="Verdana" w:hAnsi="Verdana" w:cs="Arial"/>
              </w:rPr>
              <w:t xml:space="preserve">Consejo de Estado, Sala de Consulta y Servicio Civil. Concepto de 20 de febrero de 2006. C.P. Enrique José Arboleda Perdomo. Rad. 1727. </w:t>
            </w:r>
          </w:p>
          <w:p w14:paraId="46A31BBF" w14:textId="77777777" w:rsidR="006803AB" w:rsidRPr="00401590" w:rsidRDefault="006803AB" w:rsidP="00CE268D">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401590">
              <w:rPr>
                <w:rFonts w:ascii="Verdana" w:hAnsi="Verdana" w:cs="Arial"/>
              </w:rPr>
              <w:t>Consejo de Estado, Sala de Consulta y Servicio Civil. Concepto de 6 de abril de 2006.C.P. Enrique José Arboleda Perdomo. Rad. 1738</w:t>
            </w:r>
          </w:p>
          <w:p w14:paraId="7A6C41B4" w14:textId="77777777" w:rsidR="006803AB" w:rsidRPr="00401590" w:rsidRDefault="006803AB" w:rsidP="00CE268D">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401590">
              <w:rPr>
                <w:rFonts w:ascii="Verdana" w:hAnsi="Verdana" w:cs="Arial"/>
              </w:rPr>
              <w:t xml:space="preserve">Consejo de Estado, Sala de Consulta y Servicio Civil de fecha 24 de julio de 2013. C. P. Álvaro Namén Vargas. Rad. 2166, </w:t>
            </w:r>
          </w:p>
          <w:p w14:paraId="262195FF" w14:textId="77777777" w:rsidR="006803AB" w:rsidRPr="00401590" w:rsidRDefault="006803AB" w:rsidP="00CE268D">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401590">
              <w:rPr>
                <w:rFonts w:ascii="Verdana" w:hAnsi="Verdana" w:cs="Arial"/>
              </w:rPr>
              <w:t xml:space="preserve">Consejo de Estado. Sala de Consulta y Servicio Civil. Concepto del 2 de septiembre de 2013. C.P. Álvaro Namén </w:t>
            </w:r>
            <w:proofErr w:type="spellStart"/>
            <w:r w:rsidRPr="00401590">
              <w:rPr>
                <w:rFonts w:ascii="Verdana" w:hAnsi="Verdana" w:cs="Arial"/>
              </w:rPr>
              <w:t>Vargas.Rad</w:t>
            </w:r>
            <w:proofErr w:type="spellEnd"/>
            <w:r w:rsidRPr="00401590">
              <w:rPr>
                <w:rFonts w:ascii="Verdana" w:hAnsi="Verdana" w:cs="Arial"/>
              </w:rPr>
              <w:t xml:space="preserve">. 2168. </w:t>
            </w:r>
          </w:p>
          <w:p w14:paraId="718417FF" w14:textId="77777777" w:rsidR="006803AB" w:rsidRPr="00401590" w:rsidRDefault="006803AB" w:rsidP="00CE268D">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401590">
              <w:rPr>
                <w:rFonts w:ascii="Verdana" w:hAnsi="Verdana" w:cs="Arial"/>
              </w:rPr>
              <w:t>Consejo de Estado. Sala de Consulta y Servicio Civil. Concepto del 17 de febrero de 2015. C.P. William Zambrano Cetina. Rad. 2269.</w:t>
            </w:r>
          </w:p>
          <w:p w14:paraId="739992F6" w14:textId="77777777" w:rsidR="006803AB" w:rsidRPr="00401590" w:rsidRDefault="006803AB" w:rsidP="00CE268D">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401590">
              <w:rPr>
                <w:rFonts w:ascii="Verdana" w:hAnsi="Verdana" w:cs="Arial"/>
              </w:rPr>
              <w:t>Consejo de Estado, Sala de Consulta y Servicio Civil, Concepto de 8 de mayo de 2018. C.P. Álvaro Namén Vargas. Rad. 2382.</w:t>
            </w:r>
          </w:p>
          <w:p w14:paraId="65A7D4FC" w14:textId="77777777" w:rsidR="006803AB" w:rsidRPr="00401590" w:rsidRDefault="006803AB" w:rsidP="00CE268D">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401590">
              <w:rPr>
                <w:rFonts w:ascii="Verdana" w:hAnsi="Verdana" w:cs="Arial"/>
              </w:rPr>
              <w:t xml:space="preserve">Consejo de Estado, Sección Tercera, Subsección B. Auto del 4 de octubre de 2024. C.P: Fredy Ibarra Martínez. </w:t>
            </w:r>
            <w:proofErr w:type="spellStart"/>
            <w:r w:rsidRPr="00401590">
              <w:rPr>
                <w:rFonts w:ascii="Verdana" w:hAnsi="Verdana" w:cs="Arial"/>
              </w:rPr>
              <w:t>Exp</w:t>
            </w:r>
            <w:proofErr w:type="spellEnd"/>
            <w:r w:rsidRPr="00401590">
              <w:rPr>
                <w:rFonts w:ascii="Verdana" w:hAnsi="Verdana" w:cs="Arial"/>
              </w:rPr>
              <w:t>. 70.313.</w:t>
            </w:r>
          </w:p>
          <w:p w14:paraId="72A2BDDB" w14:textId="77777777" w:rsidR="006803AB" w:rsidRPr="00401590" w:rsidRDefault="006803AB" w:rsidP="00CE268D">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401590">
              <w:rPr>
                <w:rFonts w:ascii="Verdana" w:hAnsi="Verdana" w:cs="Arial"/>
              </w:rPr>
              <w:t>Consejo de Estado, Sección Tercera. Subsección B. Sentencia 17 de octubre de 2025. C.P. Fredy Ibarra Martínez</w:t>
            </w:r>
          </w:p>
          <w:p w14:paraId="685A737E" w14:textId="77777777" w:rsidR="006803AB" w:rsidRPr="00401590" w:rsidRDefault="006803AB" w:rsidP="00CE268D">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BF5885">
              <w:rPr>
                <w:rFonts w:ascii="Verdana" w:hAnsi="Verdana" w:cs="Arial"/>
                <w:lang w:val="pt-BR"/>
              </w:rPr>
              <w:t xml:space="preserve">Corte Constitucional. Sentencia C-671 de 2005. </w:t>
            </w:r>
            <w:r w:rsidRPr="00401590">
              <w:rPr>
                <w:rFonts w:ascii="Verdana" w:hAnsi="Verdana" w:cs="Arial"/>
              </w:rPr>
              <w:t xml:space="preserve">M.P. Álvaro Tafur Galvis. </w:t>
            </w:r>
          </w:p>
          <w:p w14:paraId="710D8934" w14:textId="77777777" w:rsidR="006803AB" w:rsidRDefault="006803AB" w:rsidP="00CE268D">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401590">
              <w:rPr>
                <w:rFonts w:ascii="Verdana" w:hAnsi="Verdana" w:cs="Arial"/>
              </w:rPr>
              <w:t>Corte Constitucional, Sentencia C- 1153 de 2005, M.P. Marco Gerardo Monroy Cabra.</w:t>
            </w:r>
          </w:p>
          <w:p w14:paraId="2F558754" w14:textId="77777777" w:rsidR="006803AB" w:rsidRPr="00401590" w:rsidRDefault="006803AB" w:rsidP="00CE268D">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8E17DE">
              <w:rPr>
                <w:rFonts w:ascii="Verdana" w:hAnsi="Verdana" w:cs="Arial"/>
                <w:lang w:val="es-CO"/>
              </w:rPr>
              <w:t xml:space="preserve">BONIVENTO FERNANDEZ, José. Los principales contratos civiles y su </w:t>
            </w:r>
            <w:r w:rsidRPr="008E17DE">
              <w:rPr>
                <w:rFonts w:ascii="Verdana" w:hAnsi="Verdana" w:cs="Arial"/>
                <w:lang w:val="es-CO"/>
              </w:rPr>
              <w:lastRenderedPageBreak/>
              <w:t>paralelo con los comerciales. Vigésimo segunda edición. Bogotá: Tirant lo Blanch, 2024.</w:t>
            </w:r>
          </w:p>
          <w:p w14:paraId="7F3569AB" w14:textId="77777777" w:rsidR="006803AB" w:rsidRPr="009D0D83" w:rsidRDefault="006803AB" w:rsidP="00CE268D">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401590">
              <w:rPr>
                <w:rFonts w:ascii="Verdana" w:hAnsi="Verdana" w:cs="Arial"/>
              </w:rPr>
              <w:t>CLARO SOLAR, Luis. Explicaciones de derecho civil chileno y comparado. Volumen I. Tomo I. Santiago: Editorial J</w:t>
            </w:r>
            <w:r>
              <w:rPr>
                <w:rFonts w:ascii="Verdana" w:hAnsi="Verdana" w:cs="Arial"/>
              </w:rPr>
              <w:t xml:space="preserve">urídica de Chile, 2013. </w:t>
            </w:r>
          </w:p>
        </w:tc>
      </w:tr>
    </w:tbl>
    <w:p w14:paraId="59DFF846" w14:textId="77777777" w:rsidR="006803AB" w:rsidRPr="002407CE" w:rsidRDefault="006803AB" w:rsidP="006803AB">
      <w:pPr>
        <w:widowControl w:val="0"/>
        <w:autoSpaceDE w:val="0"/>
        <w:autoSpaceDN w:val="0"/>
        <w:spacing w:after="0" w:line="276" w:lineRule="auto"/>
        <w:jc w:val="both"/>
        <w:rPr>
          <w:rFonts w:ascii="Verdana" w:hAnsi="Verdana" w:cs="Arial"/>
        </w:rPr>
      </w:pPr>
    </w:p>
    <w:p w14:paraId="00448C45" w14:textId="77777777" w:rsidR="006803AB" w:rsidRPr="00593A5F" w:rsidRDefault="006803AB" w:rsidP="006803A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60C5E9B0" w14:textId="77777777" w:rsidR="006803AB" w:rsidRPr="00593A5F" w:rsidRDefault="006803AB" w:rsidP="006803AB">
      <w:pPr>
        <w:widowControl w:val="0"/>
        <w:autoSpaceDE w:val="0"/>
        <w:autoSpaceDN w:val="0"/>
        <w:spacing w:after="0" w:line="276" w:lineRule="auto"/>
        <w:jc w:val="both"/>
        <w:rPr>
          <w:rFonts w:ascii="Verdana" w:hAnsi="Verdana" w:cs="Arial"/>
        </w:rPr>
      </w:pPr>
    </w:p>
    <w:p w14:paraId="23A2EEBD" w14:textId="77777777" w:rsidR="006803AB" w:rsidRPr="007D6CC8" w:rsidRDefault="006803AB" w:rsidP="006803AB">
      <w:pPr>
        <w:widowControl w:val="0"/>
        <w:autoSpaceDE w:val="0"/>
        <w:autoSpaceDN w:val="0"/>
        <w:spacing w:after="0" w:line="276" w:lineRule="auto"/>
        <w:jc w:val="both"/>
        <w:rPr>
          <w:rFonts w:ascii="Verdana" w:hAnsi="Verdana" w:cs="Arial"/>
          <w:shd w:val="clear" w:color="auto" w:fill="FFFFFF"/>
        </w:rPr>
      </w:pPr>
      <w:r w:rsidRPr="00177E85">
        <w:rPr>
          <w:rFonts w:ascii="Verdana" w:hAnsi="Verdana" w:cs="Arial"/>
          <w:shd w:val="clear" w:color="auto" w:fill="FFFFFF"/>
        </w:rPr>
        <w:t xml:space="preserve">Sobre la finalidad y propósito de la Ley de Garantías Electorales, la ANCP- CCE se ha pronunciado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 C-317 del 25 de abril de 2025, C-510 del 4 de junio de 2025, 646 del 26 de junio de 2025, C-957 del 23 de agosto de 2025, C-975 del 28 de agosto de 2025, C-1015 del 4 de septiembre de 2025, C-1096 del 28 de agosto de 2025, C-1174 del 29 de septiembre de 2025, C- 1170 del 16 de septiembre de 2025, C-1194 del 3 de octubre de 2025, </w:t>
      </w:r>
      <w:r>
        <w:rPr>
          <w:rFonts w:ascii="Verdana" w:hAnsi="Verdana" w:cs="Arial"/>
          <w:shd w:val="clear" w:color="auto" w:fill="FFFFFF"/>
        </w:rPr>
        <w:t>C-1343 del 20 de octubre de 2025, C-1350 del 1˚ de octubre de 2025, C-1401 del 22 de octubre de 2025, C-1512 del 27 de octubre de 2025, C-1488 del 30 de octubre de 2025, C-1596 del 6 de noviembre de 2025, C-1509 del 19 de noviembre de 2025, C-1773 del 5 de diciembre de 2025, C-1646 del 17 de diciembre de 2025, C-1703 del 29 de diciembre de 2025, C-068 del 27 de enero de 2026,</w:t>
      </w:r>
      <w:r w:rsidRPr="00033FA1">
        <w:rPr>
          <w:rFonts w:ascii="Verdana" w:hAnsi="Verdana" w:cs="Arial"/>
          <w:shd w:val="clear" w:color="auto" w:fill="FFFFFF"/>
        </w:rPr>
        <w:t xml:space="preserve"> C-111 del 6 de febrero de 2026, C-127 del 6 de febrero de 2026, entre otros</w:t>
      </w:r>
      <w:r>
        <w:rPr>
          <w:rFonts w:ascii="Verdana" w:hAnsi="Verdana"/>
        </w:rPr>
        <w:t>.</w:t>
      </w:r>
      <w:r>
        <w:rPr>
          <w:rFonts w:ascii="Verdana" w:hAnsi="Verdana" w:cs="Arial"/>
          <w:shd w:val="clear" w:color="auto" w:fill="FFFFFF"/>
        </w:rPr>
        <w:t xml:space="preserve"> </w:t>
      </w:r>
      <w:r w:rsidRPr="00185EE9">
        <w:rPr>
          <w:rFonts w:ascii="Verdana" w:eastAsia="Calibri" w:hAnsi="Verdana" w:cs="Times New Roman"/>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w:t>
      </w:r>
      <w:r w:rsidRPr="00185EE9">
        <w:rPr>
          <w:rFonts w:ascii="Verdana" w:eastAsia="Calibri" w:hAnsi="Verdana" w:cs="Times New Roman"/>
        </w:rPr>
        <w:lastRenderedPageBreak/>
        <w:t>Contractual, accede a través del siguiente enlace:</w:t>
      </w:r>
    </w:p>
    <w:p w14:paraId="3CAD9CCE" w14:textId="77777777" w:rsidR="006803AB" w:rsidRPr="00185EE9" w:rsidRDefault="006803AB" w:rsidP="006803AB">
      <w:pPr>
        <w:spacing w:after="0" w:line="256" w:lineRule="auto"/>
        <w:jc w:val="both"/>
        <w:rPr>
          <w:rFonts w:ascii="Verdana" w:eastAsia="Calibri" w:hAnsi="Verdana" w:cs="Times New Roman"/>
        </w:rPr>
      </w:pPr>
      <w:hyperlink r:id="rId13" w:history="1">
        <w:r w:rsidRPr="00F14AAD">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 xml:space="preserve">. </w:t>
      </w:r>
    </w:p>
    <w:p w14:paraId="6B656400" w14:textId="77777777" w:rsidR="006803AB" w:rsidRPr="00096788" w:rsidRDefault="006803AB" w:rsidP="006803AB">
      <w:pPr>
        <w:widowControl w:val="0"/>
        <w:autoSpaceDE w:val="0"/>
        <w:autoSpaceDN w:val="0"/>
        <w:spacing w:after="0" w:line="276" w:lineRule="auto"/>
        <w:jc w:val="both"/>
        <w:rPr>
          <w:rFonts w:ascii="Verdana" w:hAnsi="Verdana" w:cs="Arial"/>
          <w:color w:val="000000" w:themeColor="text1"/>
          <w:shd w:val="clear" w:color="auto" w:fill="FFFFFF"/>
        </w:rPr>
      </w:pPr>
    </w:p>
    <w:p w14:paraId="2BBA33AF" w14:textId="77777777" w:rsidR="006803AB" w:rsidRDefault="006803AB" w:rsidP="006803AB">
      <w:pPr>
        <w:shd w:val="clear" w:color="auto" w:fill="FFFFFF"/>
        <w:spacing w:after="0" w:line="276" w:lineRule="auto"/>
        <w:jc w:val="both"/>
        <w:rPr>
          <w:rFonts w:ascii="Verdana" w:hAnsi="Verdana"/>
          <w:color w:val="000000"/>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sidRPr="00032009">
        <w:rPr>
          <w:rFonts w:ascii="Verdana" w:hAnsi="Verdana"/>
          <w:color w:val="000000"/>
          <w:u w:val="single"/>
        </w:rPr>
        <w:t>"</w:t>
      </w:r>
      <w:r>
        <w:rPr>
          <w:rFonts w:ascii="Verdana" w:hAnsi="Verdana"/>
          <w:color w:val="000000"/>
          <w:u w:val="single"/>
        </w:rPr>
        <w:t>.</w:t>
      </w:r>
    </w:p>
    <w:p w14:paraId="215D98C4" w14:textId="77777777" w:rsidR="006803AB" w:rsidRDefault="006803AB" w:rsidP="006803AB">
      <w:pPr>
        <w:shd w:val="clear" w:color="auto" w:fill="FFFFFF"/>
        <w:spacing w:after="0" w:line="276" w:lineRule="auto"/>
        <w:jc w:val="both"/>
        <w:rPr>
          <w:rFonts w:ascii="Verdana" w:hAnsi="Verdana"/>
          <w:color w:val="000000"/>
          <w:u w:val="single"/>
        </w:rPr>
      </w:pPr>
    </w:p>
    <w:p w14:paraId="1EBA6907" w14:textId="77777777" w:rsidR="006803AB" w:rsidRPr="00116940" w:rsidRDefault="006803AB" w:rsidP="006803AB">
      <w:pPr>
        <w:spacing w:after="0"/>
        <w:jc w:val="both"/>
        <w:rPr>
          <w:rFonts w:ascii="Verdana" w:hAnsi="Verdana"/>
        </w:rPr>
      </w:pPr>
      <w:r w:rsidRPr="00E02524">
        <w:rPr>
          <w:rFonts w:ascii="Verdana" w:hAnsi="Verdana"/>
        </w:rPr>
        <w:t xml:space="preserve">Por último, aprovechamos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705BF281" w14:textId="77777777" w:rsidR="006803AB" w:rsidRPr="00116940" w:rsidRDefault="006803AB" w:rsidP="006803AB">
      <w:pPr>
        <w:spacing w:after="0"/>
        <w:jc w:val="both"/>
        <w:rPr>
          <w:rFonts w:ascii="Verdana" w:hAnsi="Verdana"/>
        </w:rPr>
      </w:pPr>
    </w:p>
    <w:p w14:paraId="12732B36" w14:textId="77777777" w:rsidR="006803AB" w:rsidRPr="00116940" w:rsidRDefault="006803AB" w:rsidP="006803AB">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674D8344" w14:textId="77777777" w:rsidR="006803AB" w:rsidRPr="00116940" w:rsidRDefault="006803AB" w:rsidP="006803AB">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23B1C0F0" w14:textId="77777777" w:rsidR="006803AB" w:rsidRPr="00116940" w:rsidRDefault="006803AB" w:rsidP="006803AB">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5">
        <w:r w:rsidRPr="00116940">
          <w:rPr>
            <w:rStyle w:val="Hipervnculo"/>
            <w:rFonts w:ascii="Verdana" w:eastAsia="Verdana" w:hAnsi="Verdana" w:cs="Verdana"/>
            <w:lang w:val="es-MX"/>
          </w:rPr>
          <w:t>ventanilladeradicacion@colombiacompra.gov.co</w:t>
        </w:r>
      </w:hyperlink>
    </w:p>
    <w:p w14:paraId="75438CFA" w14:textId="77777777" w:rsidR="006803AB" w:rsidRPr="00116940" w:rsidRDefault="006803AB" w:rsidP="006803AB">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6">
        <w:r w:rsidRPr="00116940">
          <w:rPr>
            <w:rStyle w:val="Hipervnculo"/>
            <w:rFonts w:ascii="Verdana" w:eastAsia="Verdana" w:hAnsi="Verdana" w:cs="Verdana"/>
            <w:lang w:val="es-MX"/>
          </w:rPr>
          <w:t>https://www.colombiacompra.gov.co/pqrsd/informacion-importante-antes-de-formular-una-pqrsd</w:t>
        </w:r>
      </w:hyperlink>
    </w:p>
    <w:p w14:paraId="3B845233" w14:textId="77777777" w:rsidR="006803AB" w:rsidRPr="00116940" w:rsidRDefault="006803AB" w:rsidP="006803AB">
      <w:pPr>
        <w:spacing w:after="0" w:line="240" w:lineRule="auto"/>
        <w:ind w:left="720"/>
        <w:jc w:val="both"/>
        <w:rPr>
          <w:rFonts w:ascii="Verdana" w:hAnsi="Verdana"/>
        </w:rPr>
      </w:pPr>
    </w:p>
    <w:p w14:paraId="5E524046" w14:textId="77777777" w:rsidR="006803AB" w:rsidRPr="00116940" w:rsidRDefault="006803AB" w:rsidP="006803AB">
      <w:pPr>
        <w:spacing w:after="0" w:line="240" w:lineRule="auto"/>
        <w:rPr>
          <w:rFonts w:ascii="Verdana" w:hAnsi="Verdana"/>
        </w:rPr>
      </w:pPr>
      <w:r w:rsidRPr="00116940">
        <w:rPr>
          <w:rFonts w:ascii="Verdana" w:hAnsi="Verdana"/>
        </w:rPr>
        <w:t xml:space="preserve">Evalúa el servicio que ofrece la Agencia por el canal de atención de PQRSD en el siguiente </w:t>
      </w:r>
      <w:proofErr w:type="gramStart"/>
      <w:r w:rsidRPr="00116940">
        <w:rPr>
          <w:rFonts w:ascii="Verdana" w:hAnsi="Verdana"/>
        </w:rPr>
        <w:t>enlace :</w:t>
      </w:r>
      <w:proofErr w:type="gramEnd"/>
      <w:hyperlink r:id="rId17"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14789DCA" w14:textId="77777777" w:rsidR="006803AB" w:rsidRPr="00116940" w:rsidRDefault="006803AB" w:rsidP="006803AB">
      <w:pPr>
        <w:spacing w:after="0" w:line="240" w:lineRule="auto"/>
        <w:rPr>
          <w:rFonts w:ascii="Verdana" w:hAnsi="Verdana"/>
        </w:rPr>
      </w:pPr>
    </w:p>
    <w:p w14:paraId="724A187C" w14:textId="77777777" w:rsidR="006803AB" w:rsidRPr="00116940" w:rsidRDefault="006803AB" w:rsidP="006803AB">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1F9A3F8A" w14:textId="77777777" w:rsidR="006803AB" w:rsidRPr="00116940" w:rsidRDefault="006803AB" w:rsidP="006803AB">
      <w:pPr>
        <w:spacing w:after="0" w:line="240" w:lineRule="auto"/>
        <w:jc w:val="both"/>
        <w:rPr>
          <w:rFonts w:ascii="Verdana" w:hAnsi="Verdana"/>
        </w:rPr>
      </w:pPr>
    </w:p>
    <w:p w14:paraId="7B845996" w14:textId="77777777" w:rsidR="006803AB" w:rsidRPr="00116940" w:rsidRDefault="006803AB" w:rsidP="006803AB">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1F6DC223" w14:textId="77777777" w:rsidR="006803AB" w:rsidRPr="00116940" w:rsidRDefault="006803AB" w:rsidP="006803AB">
      <w:pPr>
        <w:spacing w:after="0" w:line="240" w:lineRule="auto"/>
        <w:jc w:val="both"/>
        <w:rPr>
          <w:rFonts w:ascii="Verdana" w:hAnsi="Verdana"/>
        </w:rPr>
      </w:pPr>
      <w:r w:rsidRPr="00116940">
        <w:rPr>
          <w:rFonts w:ascii="Verdana" w:hAnsi="Verdana"/>
        </w:rPr>
        <w:lastRenderedPageBreak/>
        <w:t xml:space="preserve">Facebook: </w:t>
      </w:r>
      <w:proofErr w:type="spellStart"/>
      <w:r w:rsidRPr="00116940">
        <w:rPr>
          <w:rStyle w:val="Hipervnculo"/>
          <w:rFonts w:ascii="Verdana" w:hAnsi="Verdana"/>
        </w:rPr>
        <w:t>ColombiaCompraEficiente</w:t>
      </w:r>
      <w:proofErr w:type="spellEnd"/>
    </w:p>
    <w:p w14:paraId="50BD68E5" w14:textId="77777777" w:rsidR="006803AB" w:rsidRPr="00116940" w:rsidRDefault="006803AB" w:rsidP="006803AB">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0D6DEB2B" w14:textId="77777777" w:rsidR="006803AB" w:rsidRPr="00116940" w:rsidRDefault="006803AB" w:rsidP="006803AB">
      <w:pPr>
        <w:spacing w:after="0" w:line="240" w:lineRule="auto"/>
        <w:jc w:val="both"/>
        <w:rPr>
          <w:rFonts w:ascii="Verdana" w:hAnsi="Verdana"/>
        </w:rPr>
      </w:pPr>
    </w:p>
    <w:p w14:paraId="4CE37928" w14:textId="77777777" w:rsidR="006803AB" w:rsidRPr="009037F6" w:rsidRDefault="006803AB" w:rsidP="006803AB">
      <w:pPr>
        <w:spacing w:after="0" w:line="256" w:lineRule="auto"/>
        <w:jc w:val="both"/>
        <w:rPr>
          <w:rFonts w:ascii="Verdana" w:eastAsia="Calibri" w:hAnsi="Verdana" w:cs="Times New Roman"/>
          <w:bCs/>
          <w:lang w:val="es-ES_tradnl"/>
        </w:rPr>
      </w:pPr>
      <w:r w:rsidRPr="009037F6">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DABD7A3" w14:textId="77777777" w:rsidR="006803AB" w:rsidRPr="00492C4A" w:rsidRDefault="006803AB" w:rsidP="006803AB">
      <w:pPr>
        <w:spacing w:after="0" w:line="256" w:lineRule="auto"/>
        <w:jc w:val="both"/>
        <w:rPr>
          <w:rFonts w:ascii="Verdana" w:eastAsia="Calibri" w:hAnsi="Verdana" w:cs="Times New Roman"/>
          <w:lang w:val="es-ES_tradnl"/>
        </w:rPr>
      </w:pPr>
    </w:p>
    <w:p w14:paraId="547C5577" w14:textId="77777777" w:rsidR="006803AB" w:rsidRDefault="006803AB" w:rsidP="006803AB">
      <w:pPr>
        <w:spacing w:after="0" w:line="256" w:lineRule="auto"/>
        <w:jc w:val="both"/>
        <w:rPr>
          <w:rFonts w:ascii="Verdana" w:eastAsia="Calibri" w:hAnsi="Verdana" w:cs="Times New Roman"/>
        </w:rPr>
      </w:pPr>
      <w:r w:rsidRPr="009037F6">
        <w:rPr>
          <w:rFonts w:ascii="Verdana" w:eastAsia="Calibri" w:hAnsi="Verdana" w:cs="Times New Roman"/>
        </w:rPr>
        <w:t>Atentamente,</w:t>
      </w:r>
    </w:p>
    <w:p w14:paraId="40E79A7C" w14:textId="77777777" w:rsidR="006803AB" w:rsidRDefault="006803AB" w:rsidP="006803AB">
      <w:pPr>
        <w:spacing w:after="0" w:line="256" w:lineRule="auto"/>
        <w:jc w:val="both"/>
        <w:rPr>
          <w:rFonts w:ascii="Verdana" w:eastAsia="Calibri" w:hAnsi="Verdana" w:cs="Times New Roman"/>
        </w:rPr>
      </w:pPr>
    </w:p>
    <w:p w14:paraId="101E623D" w14:textId="06765F05" w:rsidR="006803AB" w:rsidRPr="00286830" w:rsidRDefault="00A41D37" w:rsidP="006803AB">
      <w:pPr>
        <w:spacing w:after="0" w:line="256" w:lineRule="auto"/>
        <w:jc w:val="center"/>
        <w:rPr>
          <w:rFonts w:ascii="Century Gothic" w:hAnsi="Century Gothic"/>
          <w:noProof/>
          <w:lang w:val="en-US"/>
        </w:rPr>
      </w:pPr>
      <w:r w:rsidRPr="002C3AD6">
        <w:rPr>
          <w:rFonts w:ascii="Century Gothic" w:hAnsi="Century Gothic"/>
          <w:noProof/>
          <w:lang w:val="en-US"/>
        </w:rPr>
        <w:drawing>
          <wp:inline distT="0" distB="0" distL="0" distR="0" wp14:anchorId="0627FACB" wp14:editId="46CCE529">
            <wp:extent cx="3279697" cy="1217463"/>
            <wp:effectExtent l="0" t="0" r="0" b="190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8"/>
                    <a:stretch>
                      <a:fillRect/>
                    </a:stretch>
                  </pic:blipFill>
                  <pic:spPr>
                    <a:xfrm>
                      <a:off x="0" y="0"/>
                      <a:ext cx="3312722" cy="1229722"/>
                    </a:xfrm>
                    <a:prstGeom prst="rect">
                      <a:avLst/>
                    </a:prstGeom>
                  </pic:spPr>
                </pic:pic>
              </a:graphicData>
            </a:graphic>
          </wp:inline>
        </w:drawing>
      </w:r>
      <w:r w:rsidR="006803AB" w:rsidRPr="00FD1DDC">
        <w:rPr>
          <w:rFonts w:ascii="Verdana" w:hAnsi="Verdana"/>
          <w:sz w:val="16"/>
          <w:szCs w:val="16"/>
        </w:rPr>
        <w:t xml:space="preserve"> </w:t>
      </w:r>
    </w:p>
    <w:p w14:paraId="78AB73CE" w14:textId="77777777" w:rsidR="006803AB" w:rsidRPr="003B2F20" w:rsidRDefault="006803AB" w:rsidP="006803AB">
      <w:pPr>
        <w:spacing w:after="0" w:line="256" w:lineRule="auto"/>
        <w:jc w:val="center"/>
        <w:rPr>
          <w:rFonts w:ascii="Century Gothic" w:hAnsi="Century Gothic"/>
          <w:noProof/>
          <w:sz w:val="16"/>
          <w:szCs w:val="16"/>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6803AB" w:rsidRPr="00286830" w14:paraId="1B63795E" w14:textId="77777777" w:rsidTr="00CE268D">
        <w:trPr>
          <w:trHeight w:val="409"/>
        </w:trPr>
        <w:tc>
          <w:tcPr>
            <w:tcW w:w="817" w:type="dxa"/>
            <w:tcBorders>
              <w:top w:val="nil"/>
              <w:left w:val="nil"/>
              <w:bottom w:val="nil"/>
              <w:right w:val="nil"/>
            </w:tcBorders>
            <w:vAlign w:val="center"/>
            <w:hideMark/>
          </w:tcPr>
          <w:p w14:paraId="6486A822" w14:textId="77777777" w:rsidR="006803AB" w:rsidRPr="00286830" w:rsidRDefault="006803AB" w:rsidP="00CE268D">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1CED1BC3" w14:textId="77777777" w:rsidR="006803AB" w:rsidRPr="00286830" w:rsidRDefault="006803AB" w:rsidP="00CE268D">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José Luis Sánchez Cardona</w:t>
            </w:r>
          </w:p>
          <w:p w14:paraId="4F4EC189" w14:textId="77777777" w:rsidR="006803AB" w:rsidRPr="00286830" w:rsidRDefault="006803AB" w:rsidP="00CE268D">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Contratista de la Subdirección de Gestión Contractual</w:t>
            </w:r>
          </w:p>
        </w:tc>
      </w:tr>
      <w:tr w:rsidR="006803AB" w:rsidRPr="00286830" w14:paraId="76048C39" w14:textId="77777777" w:rsidTr="00CE268D">
        <w:trPr>
          <w:trHeight w:val="409"/>
        </w:trPr>
        <w:tc>
          <w:tcPr>
            <w:tcW w:w="817" w:type="dxa"/>
            <w:tcBorders>
              <w:top w:val="nil"/>
              <w:left w:val="nil"/>
              <w:bottom w:val="nil"/>
              <w:right w:val="nil"/>
            </w:tcBorders>
            <w:vAlign w:val="center"/>
            <w:hideMark/>
          </w:tcPr>
          <w:p w14:paraId="5233C165" w14:textId="77777777" w:rsidR="006803AB" w:rsidRPr="00286830" w:rsidRDefault="006803AB" w:rsidP="00CE268D">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268F2D03" w14:textId="77777777" w:rsidR="006803AB" w:rsidRPr="00286830" w:rsidRDefault="006803AB" w:rsidP="00CE268D">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 xml:space="preserve">Alejandro </w:t>
            </w:r>
            <w:r>
              <w:rPr>
                <w:rFonts w:ascii="Verdana" w:eastAsia="Calibri" w:hAnsi="Verdana" w:cs="Times New Roman"/>
                <w:sz w:val="16"/>
                <w:szCs w:val="16"/>
              </w:rPr>
              <w:t xml:space="preserve">R. </w:t>
            </w:r>
            <w:r w:rsidRPr="00286830">
              <w:rPr>
                <w:rFonts w:ascii="Verdana" w:eastAsia="Calibri" w:hAnsi="Verdana" w:cs="Times New Roman"/>
                <w:sz w:val="16"/>
                <w:szCs w:val="16"/>
              </w:rPr>
              <w:t>Sarmiento Cantillo</w:t>
            </w:r>
          </w:p>
          <w:p w14:paraId="5DBEA674" w14:textId="77777777" w:rsidR="006803AB" w:rsidRPr="00286830" w:rsidRDefault="006803AB" w:rsidP="00CE268D">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Gestor T1-15 de la Subdirección de Gestión Contractual </w:t>
            </w:r>
          </w:p>
        </w:tc>
      </w:tr>
      <w:tr w:rsidR="006803AB" w:rsidRPr="00286830" w14:paraId="59462EAF" w14:textId="77777777" w:rsidTr="00CE268D">
        <w:trPr>
          <w:trHeight w:val="389"/>
        </w:trPr>
        <w:tc>
          <w:tcPr>
            <w:tcW w:w="817" w:type="dxa"/>
            <w:tcBorders>
              <w:top w:val="nil"/>
              <w:left w:val="nil"/>
              <w:bottom w:val="nil"/>
              <w:right w:val="nil"/>
            </w:tcBorders>
            <w:vAlign w:val="center"/>
            <w:hideMark/>
          </w:tcPr>
          <w:p w14:paraId="27846FFA" w14:textId="77777777" w:rsidR="006803AB" w:rsidRPr="00286830" w:rsidRDefault="006803AB" w:rsidP="00CE268D">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1EC89AAC" w14:textId="77777777" w:rsidR="006803AB" w:rsidRPr="00286830" w:rsidRDefault="006803AB" w:rsidP="00CE268D">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Carolina Quintero Gacharná</w:t>
            </w:r>
          </w:p>
          <w:p w14:paraId="10E26B97" w14:textId="77777777" w:rsidR="006803AB" w:rsidRPr="00286830" w:rsidRDefault="006803AB" w:rsidP="00CE268D">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Subdirectora de Gestión Contractual ANCP – CCE</w:t>
            </w:r>
          </w:p>
        </w:tc>
      </w:tr>
      <w:bookmarkEnd w:id="0"/>
    </w:tbl>
    <w:p w14:paraId="41FD1E17" w14:textId="4A991C81" w:rsidR="004674CF" w:rsidRPr="00A41D37" w:rsidRDefault="004674CF" w:rsidP="00A41D37">
      <w:pPr>
        <w:spacing w:after="0" w:line="240" w:lineRule="auto"/>
        <w:textAlignment w:val="baseline"/>
        <w:rPr>
          <w:rFonts w:ascii="Verdana" w:eastAsia="Verdana" w:hAnsi="Verdana" w:cs="Verdana"/>
          <w:lang w:eastAsia="es-CO"/>
        </w:rPr>
      </w:pPr>
    </w:p>
    <w:sectPr w:rsidR="004674CF" w:rsidRPr="00A41D37"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AB05C" w14:textId="77777777" w:rsidR="00136E2E" w:rsidRDefault="00136E2E" w:rsidP="004A1847">
      <w:pPr>
        <w:spacing w:after="0" w:line="240" w:lineRule="auto"/>
      </w:pPr>
      <w:r>
        <w:separator/>
      </w:r>
    </w:p>
  </w:endnote>
  <w:endnote w:type="continuationSeparator" w:id="0">
    <w:p w14:paraId="404893B6" w14:textId="77777777" w:rsidR="00136E2E" w:rsidRDefault="00136E2E" w:rsidP="004A1847">
      <w:pPr>
        <w:spacing w:after="0" w:line="240" w:lineRule="auto"/>
      </w:pPr>
      <w:r>
        <w:continuationSeparator/>
      </w:r>
    </w:p>
  </w:endnote>
  <w:endnote w:type="continuationNotice" w:id="1">
    <w:p w14:paraId="27FDF562" w14:textId="77777777" w:rsidR="00136E2E" w:rsidRDefault="00136E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0EA06CAB"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920937" w:rsidRPr="00920937">
      <w:rPr>
        <w:rFonts w:ascii="Verdana" w:eastAsiaTheme="minorEastAsia" w:hAnsi="Verdana"/>
        <w:b/>
        <w:bCs/>
        <w:noProof/>
        <w:sz w:val="16"/>
        <w:szCs w:val="16"/>
      </w:rPr>
      <w:t>6</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64AB6" w14:textId="77777777" w:rsidR="00136E2E" w:rsidRDefault="00136E2E" w:rsidP="004A1847">
      <w:pPr>
        <w:spacing w:after="0" w:line="240" w:lineRule="auto"/>
      </w:pPr>
      <w:r>
        <w:separator/>
      </w:r>
    </w:p>
  </w:footnote>
  <w:footnote w:type="continuationSeparator" w:id="0">
    <w:p w14:paraId="066ACEEB" w14:textId="77777777" w:rsidR="00136E2E" w:rsidRDefault="00136E2E" w:rsidP="004A1847">
      <w:pPr>
        <w:spacing w:after="0" w:line="240" w:lineRule="auto"/>
      </w:pPr>
      <w:r>
        <w:continuationSeparator/>
      </w:r>
    </w:p>
  </w:footnote>
  <w:footnote w:type="continuationNotice" w:id="1">
    <w:p w14:paraId="2EBBD113" w14:textId="77777777" w:rsidR="00136E2E" w:rsidRDefault="00136E2E">
      <w:pPr>
        <w:spacing w:after="0" w:line="240" w:lineRule="auto"/>
      </w:pPr>
    </w:p>
  </w:footnote>
  <w:footnote w:id="2">
    <w:p w14:paraId="2395FAD7" w14:textId="77777777" w:rsidR="006803AB" w:rsidRPr="009D0D83" w:rsidRDefault="006803AB" w:rsidP="006803AB">
      <w:pPr>
        <w:pStyle w:val="Textonotapie"/>
        <w:ind w:firstLine="709"/>
        <w:jc w:val="both"/>
        <w:rPr>
          <w:rFonts w:ascii="Verdana" w:hAnsi="Verdana" w:cs="Arial"/>
          <w:sz w:val="16"/>
          <w:szCs w:val="16"/>
        </w:rPr>
      </w:pPr>
      <w:r w:rsidRPr="009D0D83">
        <w:rPr>
          <w:rStyle w:val="Refdenotaalpie"/>
          <w:rFonts w:ascii="Verdana" w:hAnsi="Verdana" w:cs="Arial"/>
          <w:sz w:val="16"/>
          <w:szCs w:val="16"/>
        </w:rPr>
        <w:footnoteRef/>
      </w:r>
      <w:r w:rsidRPr="009D0D83">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4BC4DEC6" w14:textId="77777777" w:rsidR="006803AB" w:rsidRPr="009D0D83" w:rsidRDefault="006803AB" w:rsidP="006803AB">
      <w:pPr>
        <w:pStyle w:val="Textonotapie"/>
        <w:ind w:firstLine="709"/>
        <w:jc w:val="both"/>
        <w:rPr>
          <w:rFonts w:ascii="Verdana" w:hAnsi="Verdana" w:cs="Arial"/>
          <w:sz w:val="16"/>
          <w:szCs w:val="16"/>
        </w:rPr>
      </w:pPr>
      <w:r w:rsidRPr="009D0D83">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5AA33582" w14:textId="77777777" w:rsidR="006803AB" w:rsidRPr="009D0D83" w:rsidRDefault="006803AB" w:rsidP="006803AB">
      <w:pPr>
        <w:pStyle w:val="Textonotapie"/>
        <w:ind w:firstLine="709"/>
        <w:jc w:val="both"/>
        <w:rPr>
          <w:rFonts w:ascii="Verdana" w:hAnsi="Verdana" w:cs="Arial"/>
          <w:sz w:val="16"/>
          <w:szCs w:val="16"/>
        </w:rPr>
      </w:pPr>
      <w:r w:rsidRPr="009D0D83">
        <w:rPr>
          <w:rStyle w:val="Refdenotaalpie"/>
          <w:rFonts w:ascii="Verdana" w:hAnsi="Verdana" w:cs="Arial"/>
          <w:sz w:val="16"/>
          <w:szCs w:val="16"/>
        </w:rPr>
        <w:footnoteRef/>
      </w:r>
      <w:r w:rsidRPr="009D0D83">
        <w:rPr>
          <w:rFonts w:ascii="Verdana" w:hAnsi="Verdana" w:cs="Arial"/>
          <w:sz w:val="16"/>
          <w:szCs w:val="16"/>
        </w:rPr>
        <w:t xml:space="preserve"> Gaceta del Congreso de la República No. 71 del 2005.</w:t>
      </w:r>
    </w:p>
  </w:footnote>
  <w:footnote w:id="4">
    <w:p w14:paraId="4248A56D" w14:textId="77777777" w:rsidR="006803AB" w:rsidRPr="009D0D83" w:rsidRDefault="006803AB" w:rsidP="006803AB">
      <w:pPr>
        <w:pStyle w:val="Textonotapie"/>
        <w:ind w:firstLine="709"/>
        <w:jc w:val="both"/>
        <w:rPr>
          <w:rFonts w:ascii="Verdana" w:hAnsi="Verdana" w:cs="Arial"/>
          <w:sz w:val="16"/>
          <w:szCs w:val="16"/>
          <w:lang w:val="pt-BR"/>
        </w:rPr>
      </w:pPr>
      <w:r w:rsidRPr="009D0D83">
        <w:rPr>
          <w:rStyle w:val="Refdenotaalpie"/>
          <w:rFonts w:ascii="Verdana" w:hAnsi="Verdana" w:cs="Arial"/>
          <w:sz w:val="16"/>
          <w:szCs w:val="16"/>
        </w:rPr>
        <w:footnoteRef/>
      </w:r>
      <w:r w:rsidRPr="009D0D83">
        <w:rPr>
          <w:rFonts w:ascii="Verdana" w:hAnsi="Verdana" w:cs="Arial"/>
          <w:sz w:val="16"/>
          <w:szCs w:val="16"/>
          <w:lang w:val="pt-BR"/>
        </w:rPr>
        <w:t xml:space="preserve"> Corte Constitucional, Sentencia C- 1153 de 2005, M.P. Marco Gerardo </w:t>
      </w:r>
      <w:proofErr w:type="spellStart"/>
      <w:r w:rsidRPr="009D0D83">
        <w:rPr>
          <w:rFonts w:ascii="Verdana" w:hAnsi="Verdana" w:cs="Arial"/>
          <w:sz w:val="16"/>
          <w:szCs w:val="16"/>
          <w:lang w:val="pt-BR"/>
        </w:rPr>
        <w:t>Monroy</w:t>
      </w:r>
      <w:proofErr w:type="spellEnd"/>
      <w:r w:rsidRPr="009D0D83">
        <w:rPr>
          <w:rFonts w:ascii="Verdana" w:hAnsi="Verdana" w:cs="Arial"/>
          <w:sz w:val="16"/>
          <w:szCs w:val="16"/>
          <w:lang w:val="pt-BR"/>
        </w:rPr>
        <w:t xml:space="preserve"> Cabra.</w:t>
      </w:r>
    </w:p>
  </w:footnote>
  <w:footnote w:id="5">
    <w:p w14:paraId="77FF2155" w14:textId="77777777" w:rsidR="006803AB" w:rsidRPr="009D0D83" w:rsidRDefault="006803AB" w:rsidP="006803AB">
      <w:pPr>
        <w:pStyle w:val="Textonotapie"/>
        <w:ind w:firstLine="709"/>
        <w:jc w:val="both"/>
        <w:rPr>
          <w:rFonts w:ascii="Verdana" w:hAnsi="Verdana" w:cs="Arial"/>
          <w:sz w:val="16"/>
          <w:szCs w:val="16"/>
          <w:lang w:val="pt-BR"/>
        </w:rPr>
      </w:pPr>
      <w:r w:rsidRPr="009D0D83">
        <w:rPr>
          <w:rStyle w:val="Refdenotaalpie"/>
          <w:rFonts w:ascii="Verdana" w:hAnsi="Verdana" w:cs="Arial"/>
          <w:sz w:val="16"/>
          <w:szCs w:val="16"/>
        </w:rPr>
        <w:footnoteRef/>
      </w:r>
      <w:r w:rsidRPr="009D0D83">
        <w:rPr>
          <w:rFonts w:ascii="Verdana" w:hAnsi="Verdana" w:cs="Arial"/>
          <w:sz w:val="16"/>
          <w:szCs w:val="16"/>
          <w:lang w:val="pt-BR"/>
        </w:rPr>
        <w:t xml:space="preserve"> Corte Constitucional. Sentencias: C-233 de 4 de abril de 2002, expediente: D-3704; C-551 de 9 de </w:t>
      </w:r>
      <w:proofErr w:type="spellStart"/>
      <w:r w:rsidRPr="009D0D83">
        <w:rPr>
          <w:rFonts w:ascii="Verdana" w:hAnsi="Verdana" w:cs="Arial"/>
          <w:sz w:val="16"/>
          <w:szCs w:val="16"/>
          <w:lang w:val="pt-BR"/>
        </w:rPr>
        <w:t>julio</w:t>
      </w:r>
      <w:proofErr w:type="spellEnd"/>
      <w:r w:rsidRPr="009D0D83">
        <w:rPr>
          <w:rFonts w:ascii="Verdana" w:hAnsi="Verdana" w:cs="Arial"/>
          <w:sz w:val="16"/>
          <w:szCs w:val="16"/>
          <w:lang w:val="pt-BR"/>
        </w:rPr>
        <w:t xml:space="preserve"> de 2003, expediente: CRF-001 de 9 de </w:t>
      </w:r>
      <w:proofErr w:type="spellStart"/>
      <w:r w:rsidRPr="009D0D83">
        <w:rPr>
          <w:rFonts w:ascii="Verdana" w:hAnsi="Verdana" w:cs="Arial"/>
          <w:sz w:val="16"/>
          <w:szCs w:val="16"/>
          <w:lang w:val="pt-BR"/>
        </w:rPr>
        <w:t>julio</w:t>
      </w:r>
      <w:proofErr w:type="spellEnd"/>
      <w:r w:rsidRPr="009D0D83">
        <w:rPr>
          <w:rFonts w:ascii="Verdana" w:hAnsi="Verdana" w:cs="Arial"/>
          <w:sz w:val="16"/>
          <w:szCs w:val="16"/>
          <w:lang w:val="pt-BR"/>
        </w:rPr>
        <w:t xml:space="preserve"> de 2003; C-652 de 5 de agosto de 2003, expediente: D-4330; C-353 de 20 de </w:t>
      </w:r>
      <w:proofErr w:type="spellStart"/>
      <w:r w:rsidRPr="009D0D83">
        <w:rPr>
          <w:rFonts w:ascii="Verdana" w:hAnsi="Verdana" w:cs="Arial"/>
          <w:sz w:val="16"/>
          <w:szCs w:val="16"/>
          <w:lang w:val="pt-BR"/>
        </w:rPr>
        <w:t>mayo</w:t>
      </w:r>
      <w:proofErr w:type="spellEnd"/>
      <w:r w:rsidRPr="009D0D83">
        <w:rPr>
          <w:rFonts w:ascii="Verdana" w:hAnsi="Verdana" w:cs="Arial"/>
          <w:sz w:val="16"/>
          <w:szCs w:val="16"/>
          <w:lang w:val="pt-BR"/>
        </w:rPr>
        <w:t xml:space="preserve"> de 2009, expediente: D-7518, C-541 de 30 de </w:t>
      </w:r>
      <w:proofErr w:type="spellStart"/>
      <w:r w:rsidRPr="009D0D83">
        <w:rPr>
          <w:rFonts w:ascii="Verdana" w:hAnsi="Verdana" w:cs="Arial"/>
          <w:sz w:val="16"/>
          <w:szCs w:val="16"/>
          <w:lang w:val="pt-BR"/>
        </w:rPr>
        <w:t>junio</w:t>
      </w:r>
      <w:proofErr w:type="spellEnd"/>
      <w:r w:rsidRPr="009D0D83">
        <w:rPr>
          <w:rFonts w:ascii="Verdana" w:hAnsi="Verdana" w:cs="Arial"/>
          <w:sz w:val="16"/>
          <w:szCs w:val="16"/>
          <w:lang w:val="pt-BR"/>
        </w:rPr>
        <w:t xml:space="preserve"> de 2010, expediente: DD7966; entre otras.</w:t>
      </w:r>
    </w:p>
  </w:footnote>
  <w:footnote w:id="6">
    <w:p w14:paraId="11AEB8D0" w14:textId="77777777" w:rsidR="006803AB" w:rsidRPr="009D0D83" w:rsidRDefault="006803AB" w:rsidP="006803AB">
      <w:pPr>
        <w:pStyle w:val="Textonotapie"/>
        <w:ind w:firstLine="709"/>
        <w:jc w:val="both"/>
        <w:rPr>
          <w:rFonts w:ascii="Verdana" w:hAnsi="Verdana" w:cs="Arial"/>
          <w:sz w:val="16"/>
          <w:szCs w:val="16"/>
          <w:lang w:val="es-CO"/>
        </w:rPr>
      </w:pPr>
      <w:r w:rsidRPr="009D0D83">
        <w:rPr>
          <w:rStyle w:val="Refdenotaalpie"/>
          <w:rFonts w:ascii="Verdana" w:hAnsi="Verdana" w:cs="Arial"/>
          <w:sz w:val="16"/>
          <w:szCs w:val="16"/>
        </w:rPr>
        <w:footnoteRef/>
      </w:r>
      <w:r w:rsidRPr="009D0D83">
        <w:rPr>
          <w:rFonts w:ascii="Verdana" w:hAnsi="Verdana" w:cs="Arial"/>
          <w:sz w:val="16"/>
          <w:szCs w:val="16"/>
          <w:lang w:val="es-CO"/>
        </w:rPr>
        <w:t xml:space="preserve"> Consejo de Estado,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76F4ABA5" w14:textId="77777777" w:rsidR="006803AB" w:rsidRPr="009D0D83" w:rsidRDefault="006803AB" w:rsidP="006803AB">
      <w:pPr>
        <w:pStyle w:val="Textonotapie"/>
        <w:ind w:firstLine="709"/>
        <w:jc w:val="both"/>
        <w:rPr>
          <w:rFonts w:ascii="Verdana" w:hAnsi="Verdana" w:cs="Arial"/>
          <w:sz w:val="16"/>
          <w:szCs w:val="16"/>
        </w:rPr>
      </w:pPr>
      <w:r w:rsidRPr="009D0D83">
        <w:rPr>
          <w:rStyle w:val="Refdenotaalpie"/>
          <w:rFonts w:ascii="Verdana" w:hAnsi="Verdana" w:cs="Arial"/>
          <w:sz w:val="16"/>
          <w:szCs w:val="16"/>
        </w:rPr>
        <w:footnoteRef/>
      </w:r>
      <w:r w:rsidRPr="009D0D83">
        <w:rPr>
          <w:rFonts w:ascii="Verdana" w:hAnsi="Verdana" w:cs="Arial"/>
          <w:sz w:val="16"/>
          <w:szCs w:val="16"/>
        </w:rPr>
        <w:t xml:space="preserve"> Consejo de Estado, Sala de Consulta y Servicio Civil de fecha 24 de julio de 2013. </w:t>
      </w:r>
      <w:r w:rsidRPr="009D0D83">
        <w:rPr>
          <w:rFonts w:ascii="Verdana" w:hAnsi="Verdana" w:cs="Arial"/>
          <w:sz w:val="16"/>
          <w:szCs w:val="16"/>
          <w:lang w:val="es-CO"/>
        </w:rPr>
        <w:t>C. P. Álvaro Namén Vargas. Rad.</w:t>
      </w:r>
      <w:r w:rsidRPr="009D0D83">
        <w:rPr>
          <w:rFonts w:ascii="Verdana" w:hAnsi="Verdana" w:cs="Arial"/>
          <w:sz w:val="16"/>
          <w:szCs w:val="16"/>
        </w:rPr>
        <w:t xml:space="preserve"> 2166, </w:t>
      </w:r>
    </w:p>
  </w:footnote>
  <w:footnote w:id="8">
    <w:p w14:paraId="2369DFF7" w14:textId="77777777" w:rsidR="006803AB" w:rsidRPr="009D0D83" w:rsidRDefault="006803AB" w:rsidP="006803AB">
      <w:pPr>
        <w:spacing w:after="0" w:line="240" w:lineRule="auto"/>
        <w:ind w:firstLine="709"/>
        <w:jc w:val="both"/>
        <w:rPr>
          <w:rFonts w:ascii="Verdana" w:eastAsia="Times New Roman" w:hAnsi="Verdana" w:cs="Arial"/>
          <w:sz w:val="16"/>
          <w:szCs w:val="16"/>
        </w:rPr>
      </w:pPr>
      <w:r w:rsidRPr="009D0D83">
        <w:rPr>
          <w:rStyle w:val="Refdenotaalpie"/>
          <w:rFonts w:ascii="Verdana" w:hAnsi="Verdana" w:cs="Arial"/>
          <w:sz w:val="16"/>
          <w:szCs w:val="16"/>
        </w:rPr>
        <w:footnoteRef/>
      </w:r>
      <w:r w:rsidRPr="009D0D83">
        <w:rPr>
          <w:rFonts w:ascii="Verdana" w:hAnsi="Verdana" w:cs="Arial"/>
          <w:sz w:val="16"/>
          <w:szCs w:val="16"/>
        </w:rPr>
        <w:t xml:space="preserve"> </w:t>
      </w:r>
      <w:bookmarkStart w:id="7" w:name="33"/>
      <w:r w:rsidRPr="009D0D83">
        <w:rPr>
          <w:rFonts w:ascii="Verdana" w:eastAsia="Calibri" w:hAnsi="Verdana" w:cs="Arial"/>
          <w:color w:val="000000"/>
          <w:sz w:val="16"/>
          <w:szCs w:val="16"/>
        </w:rPr>
        <w:t>“</w:t>
      </w:r>
      <w:r w:rsidRPr="009D0D83">
        <w:rPr>
          <w:rFonts w:ascii="Verdana" w:eastAsia="Times New Roman" w:hAnsi="Verdana" w:cs="Arial"/>
          <w:sz w:val="16"/>
          <w:szCs w:val="16"/>
        </w:rPr>
        <w:t>Artículo 33. Restricciones a la contratación pública.</w:t>
      </w:r>
      <w:bookmarkEnd w:id="7"/>
      <w:r w:rsidRPr="009D0D83">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2FC1C67F" w14:textId="77777777" w:rsidR="006803AB" w:rsidRPr="009D0D83" w:rsidRDefault="006803AB" w:rsidP="006803AB">
      <w:pPr>
        <w:spacing w:after="0" w:line="240" w:lineRule="auto"/>
        <w:ind w:firstLine="709"/>
        <w:jc w:val="both"/>
        <w:rPr>
          <w:rFonts w:ascii="Verdana" w:eastAsia="Times New Roman" w:hAnsi="Verdana" w:cs="Arial"/>
          <w:sz w:val="16"/>
          <w:szCs w:val="16"/>
        </w:rPr>
      </w:pPr>
      <w:r w:rsidRPr="009D0D83">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9D0D83">
        <w:rPr>
          <w:rFonts w:ascii="Verdana" w:eastAsia="Calibri" w:hAnsi="Verdana" w:cs="Arial"/>
          <w:color w:val="000000"/>
          <w:sz w:val="16"/>
          <w:szCs w:val="16"/>
        </w:rPr>
        <w:t>”</w:t>
      </w:r>
      <w:r w:rsidRPr="009D0D83">
        <w:rPr>
          <w:rFonts w:ascii="Verdana" w:eastAsia="Times New Roman" w:hAnsi="Verdana" w:cs="Arial"/>
          <w:sz w:val="16"/>
          <w:szCs w:val="16"/>
        </w:rPr>
        <w:t>.</w:t>
      </w:r>
    </w:p>
  </w:footnote>
  <w:footnote w:id="9">
    <w:p w14:paraId="37E8BFB8" w14:textId="77777777" w:rsidR="006803AB" w:rsidRPr="009D0D83" w:rsidRDefault="006803AB" w:rsidP="006803AB">
      <w:pPr>
        <w:pStyle w:val="NormalWeb"/>
        <w:spacing w:before="0" w:beforeAutospacing="0" w:after="0" w:afterAutospacing="0"/>
        <w:ind w:firstLine="709"/>
        <w:jc w:val="both"/>
        <w:rPr>
          <w:rFonts w:ascii="Verdana" w:hAnsi="Verdana" w:cs="Arial"/>
          <w:sz w:val="16"/>
          <w:szCs w:val="16"/>
          <w:lang w:val="es-MX"/>
        </w:rPr>
      </w:pPr>
      <w:r w:rsidRPr="009D0D83">
        <w:rPr>
          <w:rStyle w:val="Refdenotaalpie"/>
          <w:rFonts w:ascii="Verdana" w:hAnsi="Verdana" w:cs="Arial"/>
          <w:sz w:val="16"/>
          <w:szCs w:val="16"/>
        </w:rPr>
        <w:footnoteRef/>
      </w:r>
      <w:r w:rsidRPr="009D0D83">
        <w:rPr>
          <w:rFonts w:ascii="Verdana" w:hAnsi="Verdana" w:cs="Arial"/>
          <w:sz w:val="16"/>
          <w:szCs w:val="16"/>
        </w:rPr>
        <w:t xml:space="preserve"> </w:t>
      </w:r>
      <w:bookmarkStart w:id="8" w:name="38"/>
      <w:r w:rsidRPr="009D0D83">
        <w:rPr>
          <w:rFonts w:ascii="Verdana" w:eastAsia="Calibri" w:hAnsi="Verdana" w:cs="Arial"/>
          <w:color w:val="000000"/>
          <w:sz w:val="16"/>
          <w:szCs w:val="16"/>
        </w:rPr>
        <w:t>“</w:t>
      </w:r>
      <w:r w:rsidRPr="009D0D83">
        <w:rPr>
          <w:rFonts w:ascii="Verdana" w:hAnsi="Verdana" w:cs="Arial"/>
          <w:sz w:val="16"/>
          <w:szCs w:val="16"/>
          <w:lang w:val="es-MX"/>
        </w:rPr>
        <w:t>Artículo 38. Prohibiciones para los servidores públicos. A los empleados del Estado les está prohibido:</w:t>
      </w:r>
      <w:bookmarkEnd w:id="8"/>
      <w:r w:rsidRPr="009D0D83">
        <w:rPr>
          <w:rFonts w:ascii="Verdana" w:hAnsi="Verdana" w:cs="Arial"/>
          <w:sz w:val="16"/>
          <w:szCs w:val="16"/>
          <w:lang w:val="es-MX"/>
        </w:rPr>
        <w:t xml:space="preserve"> […]</w:t>
      </w:r>
    </w:p>
    <w:p w14:paraId="770FB78E" w14:textId="77777777" w:rsidR="006803AB" w:rsidRPr="009D0D83" w:rsidRDefault="006803AB" w:rsidP="006803AB">
      <w:pPr>
        <w:pStyle w:val="NormalWeb"/>
        <w:spacing w:before="0" w:beforeAutospacing="0" w:after="0" w:afterAutospacing="0"/>
        <w:ind w:firstLine="709"/>
        <w:jc w:val="both"/>
        <w:rPr>
          <w:rFonts w:ascii="Verdana" w:hAnsi="Verdana" w:cs="Arial"/>
          <w:sz w:val="16"/>
          <w:szCs w:val="16"/>
          <w:lang w:val="es-MX"/>
        </w:rPr>
      </w:pPr>
      <w:r w:rsidRPr="009D0D83">
        <w:rPr>
          <w:rStyle w:val="baj"/>
          <w:rFonts w:ascii="Verdana" w:hAnsi="Verdana" w:cs="Arial"/>
          <w:sz w:val="16"/>
          <w:szCs w:val="16"/>
          <w:lang w:val="es-MX"/>
        </w:rPr>
        <w:t>Parágrafo.</w:t>
      </w:r>
      <w:r w:rsidRPr="009D0D83">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9D0D83">
        <w:rPr>
          <w:rFonts w:ascii="Verdana" w:eastAsia="Calibri" w:hAnsi="Verdana" w:cs="Arial"/>
          <w:color w:val="000000"/>
          <w:sz w:val="16"/>
          <w:szCs w:val="16"/>
        </w:rPr>
        <w:t>”</w:t>
      </w:r>
      <w:r w:rsidRPr="009D0D83">
        <w:rPr>
          <w:rFonts w:ascii="Verdana" w:hAnsi="Verdana" w:cs="Arial"/>
          <w:sz w:val="16"/>
          <w:szCs w:val="16"/>
          <w:lang w:val="es-MX"/>
        </w:rPr>
        <w:t>.</w:t>
      </w:r>
    </w:p>
  </w:footnote>
  <w:footnote w:id="10">
    <w:p w14:paraId="3101A7E4" w14:textId="77777777" w:rsidR="006803AB" w:rsidRPr="009D0D83" w:rsidRDefault="006803AB" w:rsidP="006803AB">
      <w:pPr>
        <w:pStyle w:val="Textonotapie"/>
        <w:ind w:firstLine="708"/>
        <w:jc w:val="both"/>
        <w:rPr>
          <w:rFonts w:ascii="Verdana" w:hAnsi="Verdana" w:cs="Arial"/>
          <w:sz w:val="16"/>
          <w:szCs w:val="16"/>
        </w:rPr>
      </w:pPr>
      <w:r w:rsidRPr="009D0D83">
        <w:rPr>
          <w:rStyle w:val="Refdenotaalpie"/>
          <w:rFonts w:ascii="Verdana" w:hAnsi="Verdana" w:cs="Arial"/>
          <w:sz w:val="16"/>
          <w:szCs w:val="16"/>
        </w:rPr>
        <w:footnoteRef/>
      </w:r>
      <w:r w:rsidRPr="009D0D83">
        <w:rPr>
          <w:rFonts w:ascii="Verdana" w:hAnsi="Verdana" w:cs="Arial"/>
          <w:sz w:val="16"/>
          <w:szCs w:val="16"/>
        </w:rPr>
        <w:t xml:space="preserve"> Colombia Compra Eficiente. Circular Externa Única. Numeral 16.5. </w:t>
      </w:r>
    </w:p>
  </w:footnote>
  <w:footnote w:id="11">
    <w:p w14:paraId="27929F7C" w14:textId="77777777" w:rsidR="006803AB" w:rsidRPr="009D0D83" w:rsidRDefault="006803AB" w:rsidP="006803AB">
      <w:pPr>
        <w:spacing w:after="0" w:line="240" w:lineRule="auto"/>
        <w:ind w:left="100" w:right="244" w:firstLine="608"/>
        <w:jc w:val="both"/>
        <w:rPr>
          <w:rFonts w:ascii="Verdana" w:hAnsi="Verdana" w:cs="Arial"/>
          <w:sz w:val="16"/>
          <w:szCs w:val="16"/>
          <w:lang w:val="es-ES"/>
        </w:rPr>
      </w:pPr>
      <w:r w:rsidRPr="009D0D83">
        <w:rPr>
          <w:rStyle w:val="Refdenotaalpie"/>
          <w:rFonts w:ascii="Verdana" w:hAnsi="Verdana" w:cs="Arial"/>
          <w:sz w:val="16"/>
          <w:szCs w:val="16"/>
        </w:rPr>
        <w:footnoteRef/>
      </w:r>
      <w:r w:rsidRPr="009D0D83">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2">
    <w:p w14:paraId="3EFD20BA" w14:textId="77777777" w:rsidR="006803AB" w:rsidRPr="009D0D83" w:rsidRDefault="006803AB" w:rsidP="006803AB">
      <w:pPr>
        <w:pStyle w:val="Textonotapie"/>
        <w:ind w:right="51" w:firstLine="709"/>
        <w:jc w:val="both"/>
        <w:rPr>
          <w:rFonts w:ascii="Verdana" w:hAnsi="Verdana" w:cs="Arial"/>
          <w:sz w:val="16"/>
          <w:szCs w:val="16"/>
        </w:rPr>
      </w:pPr>
      <w:r w:rsidRPr="009D0D83">
        <w:rPr>
          <w:rStyle w:val="Refdenotaalpie"/>
          <w:rFonts w:ascii="Verdana" w:hAnsi="Verdana" w:cs="Arial"/>
          <w:sz w:val="16"/>
          <w:szCs w:val="16"/>
        </w:rPr>
        <w:footnoteRef/>
      </w:r>
      <w:r w:rsidRPr="009D0D83">
        <w:rPr>
          <w:rFonts w:ascii="Verdana" w:hAnsi="Verdana" w:cs="Arial"/>
          <w:sz w:val="16"/>
          <w:szCs w:val="16"/>
        </w:rPr>
        <w:t xml:space="preserve"> “</w:t>
      </w:r>
      <w:r w:rsidRPr="009D0D83">
        <w:rPr>
          <w:rFonts w:ascii="Verdana" w:hAnsi="Verdana" w:cs="Arial"/>
          <w:sz w:val="16"/>
          <w:szCs w:val="16"/>
          <w:lang w:val="es-ES"/>
        </w:rPr>
        <w:t xml:space="preserve">[25] </w:t>
      </w:r>
      <w:r w:rsidRPr="009D0D83">
        <w:rPr>
          <w:rFonts w:ascii="Verdana" w:hAnsi="Verdana" w:cs="Arial"/>
          <w:sz w:val="16"/>
          <w:szCs w:val="16"/>
        </w:rPr>
        <w:t>Cfr. Consejo de Estado. Sección Tercera. Sentencia de 3 de diciembre de 2007. Radicados: 24.715, 25.206, 25.409, 24.524, 27.834, 25.410, 26.105, 28.244, 31.447 -acumulados</w:t>
      </w:r>
      <w:proofErr w:type="gramStart"/>
      <w:r w:rsidRPr="009D0D83">
        <w:rPr>
          <w:rFonts w:ascii="Verdana" w:hAnsi="Verdana" w:cs="Arial"/>
          <w:sz w:val="16"/>
          <w:szCs w:val="16"/>
        </w:rPr>
        <w:t>-“</w:t>
      </w:r>
      <w:proofErr w:type="gramEnd"/>
      <w:r w:rsidRPr="009D0D83">
        <w:rPr>
          <w:rFonts w:ascii="Verdana" w:hAnsi="Verdana" w:cs="Arial"/>
          <w:sz w:val="16"/>
          <w:szCs w:val="16"/>
        </w:rPr>
        <w:t>.</w:t>
      </w:r>
    </w:p>
  </w:footnote>
  <w:footnote w:id="13">
    <w:p w14:paraId="0FDD60C1" w14:textId="77777777" w:rsidR="006803AB" w:rsidRPr="009D0D83" w:rsidRDefault="006803AB" w:rsidP="006803AB">
      <w:pPr>
        <w:pStyle w:val="Textonotapie"/>
        <w:ind w:right="51" w:firstLine="709"/>
        <w:jc w:val="both"/>
        <w:rPr>
          <w:rFonts w:ascii="Verdana" w:hAnsi="Verdana" w:cs="Arial"/>
          <w:sz w:val="16"/>
          <w:szCs w:val="16"/>
        </w:rPr>
      </w:pPr>
      <w:r w:rsidRPr="009D0D83">
        <w:rPr>
          <w:rStyle w:val="Refdenotaalpie"/>
          <w:rFonts w:ascii="Verdana" w:hAnsi="Verdana" w:cs="Arial"/>
          <w:sz w:val="16"/>
          <w:szCs w:val="16"/>
        </w:rPr>
        <w:footnoteRef/>
      </w:r>
      <w:r w:rsidRPr="009D0D83">
        <w:rPr>
          <w:rFonts w:ascii="Verdana" w:hAnsi="Verdana" w:cs="Arial"/>
          <w:sz w:val="16"/>
          <w:szCs w:val="16"/>
        </w:rPr>
        <w:t xml:space="preserve"> “</w:t>
      </w:r>
      <w:r w:rsidRPr="009D0D83">
        <w:rPr>
          <w:rFonts w:ascii="Verdana" w:hAnsi="Verdana" w:cs="Arial"/>
          <w:sz w:val="16"/>
          <w:szCs w:val="16"/>
          <w:lang w:val="es-ES"/>
        </w:rPr>
        <w:t xml:space="preserve">[26] </w:t>
      </w:r>
      <w:r w:rsidRPr="009D0D83">
        <w:rPr>
          <w:rFonts w:ascii="Verdana" w:hAnsi="Verdana" w:cs="Arial"/>
          <w:sz w:val="16"/>
          <w:szCs w:val="16"/>
        </w:rPr>
        <w:t>Al respecto ver el concepto 1712 de 2 de febrero de 2006. Consejo de Estado Sala de Consulta y Servicio Civil”.</w:t>
      </w:r>
    </w:p>
  </w:footnote>
  <w:footnote w:id="14">
    <w:p w14:paraId="3AD59625" w14:textId="77777777" w:rsidR="006803AB" w:rsidRPr="009D0D83" w:rsidRDefault="006803AB" w:rsidP="006803AB">
      <w:pPr>
        <w:pStyle w:val="Textonotapie"/>
        <w:ind w:firstLine="709"/>
        <w:jc w:val="both"/>
        <w:rPr>
          <w:rFonts w:ascii="Verdana" w:hAnsi="Verdana" w:cs="Arial"/>
          <w:sz w:val="16"/>
          <w:szCs w:val="16"/>
        </w:rPr>
      </w:pPr>
      <w:r w:rsidRPr="009D0D83">
        <w:rPr>
          <w:rStyle w:val="Refdenotaalpie"/>
          <w:rFonts w:ascii="Verdana" w:hAnsi="Verdana" w:cs="Arial"/>
          <w:sz w:val="16"/>
          <w:szCs w:val="16"/>
        </w:rPr>
        <w:footnoteRef/>
      </w:r>
      <w:r w:rsidRPr="009D0D83">
        <w:rPr>
          <w:rFonts w:ascii="Verdana" w:hAnsi="Verdana" w:cs="Arial"/>
          <w:sz w:val="16"/>
          <w:szCs w:val="16"/>
        </w:rPr>
        <w:t xml:space="preserve"> Consejo de Estado. Sala de Consulta y Servicio Civil. Concepto del 2 de septiembre de 2013. </w:t>
      </w:r>
      <w:r w:rsidRPr="009D0D83">
        <w:rPr>
          <w:rFonts w:ascii="Verdana" w:hAnsi="Verdana" w:cs="Arial"/>
          <w:sz w:val="16"/>
          <w:szCs w:val="16"/>
          <w:lang w:val="es-CO"/>
        </w:rPr>
        <w:t>C.P. Álvaro Namén Vargas.</w:t>
      </w:r>
      <w:r w:rsidRPr="009D0D83">
        <w:rPr>
          <w:rFonts w:ascii="Verdana" w:hAnsi="Verdana" w:cs="Arial"/>
          <w:sz w:val="16"/>
          <w:szCs w:val="16"/>
        </w:rPr>
        <w:t xml:space="preserve">Rad. 2168. </w:t>
      </w:r>
    </w:p>
  </w:footnote>
  <w:footnote w:id="15">
    <w:p w14:paraId="2EEDCE9A" w14:textId="77777777" w:rsidR="006803AB" w:rsidRPr="009D0D83" w:rsidRDefault="006803AB" w:rsidP="006803AB">
      <w:pPr>
        <w:pStyle w:val="Textonotapie"/>
        <w:ind w:firstLine="709"/>
        <w:jc w:val="both"/>
        <w:rPr>
          <w:rFonts w:ascii="Verdana" w:hAnsi="Verdana" w:cs="Arial"/>
          <w:sz w:val="16"/>
          <w:szCs w:val="16"/>
          <w:lang w:val="es-ES"/>
        </w:rPr>
      </w:pPr>
      <w:r w:rsidRPr="009D0D83">
        <w:rPr>
          <w:rStyle w:val="Refdenotaalpie"/>
          <w:rFonts w:ascii="Verdana" w:hAnsi="Verdana" w:cs="Arial"/>
          <w:sz w:val="16"/>
          <w:szCs w:val="16"/>
        </w:rPr>
        <w:footnoteRef/>
      </w:r>
      <w:r w:rsidRPr="009D0D83">
        <w:rPr>
          <w:rFonts w:ascii="Verdana" w:hAnsi="Verdana" w:cs="Arial"/>
          <w:sz w:val="16"/>
          <w:szCs w:val="16"/>
        </w:rPr>
        <w:t xml:space="preserve"> </w:t>
      </w:r>
      <w:r w:rsidRPr="009D0D83">
        <w:rPr>
          <w:rFonts w:ascii="Verdana" w:hAnsi="Verdana" w:cs="Arial"/>
          <w:sz w:val="16"/>
          <w:szCs w:val="16"/>
          <w:lang w:val="es-ES"/>
        </w:rPr>
        <w:t xml:space="preserve">Artículo 2. </w:t>
      </w:r>
    </w:p>
  </w:footnote>
  <w:footnote w:id="16">
    <w:p w14:paraId="741BB685" w14:textId="77777777" w:rsidR="006803AB" w:rsidRPr="009D0D83" w:rsidRDefault="006803AB" w:rsidP="006803AB">
      <w:pPr>
        <w:pStyle w:val="Textonotapie"/>
        <w:ind w:firstLine="709"/>
        <w:jc w:val="both"/>
        <w:rPr>
          <w:rFonts w:ascii="Verdana" w:hAnsi="Verdana" w:cs="Arial"/>
          <w:sz w:val="16"/>
          <w:szCs w:val="16"/>
          <w:lang w:val="es-ES"/>
        </w:rPr>
      </w:pPr>
      <w:r w:rsidRPr="009D0D83">
        <w:rPr>
          <w:rStyle w:val="Refdenotaalpie"/>
          <w:rFonts w:ascii="Verdana" w:hAnsi="Verdana" w:cs="Arial"/>
          <w:sz w:val="16"/>
          <w:szCs w:val="16"/>
        </w:rPr>
        <w:footnoteRef/>
      </w:r>
      <w:r w:rsidRPr="009D0D83">
        <w:rPr>
          <w:rFonts w:ascii="Verdana" w:hAnsi="Verdana" w:cs="Arial"/>
          <w:sz w:val="16"/>
          <w:szCs w:val="16"/>
        </w:rPr>
        <w:t xml:space="preserve"> </w:t>
      </w:r>
      <w:r w:rsidRPr="009D0D83">
        <w:rPr>
          <w:rFonts w:ascii="Verdana" w:hAnsi="Verdana" w:cs="Arial"/>
          <w:i/>
          <w:sz w:val="16"/>
          <w:szCs w:val="16"/>
          <w:lang w:val="es-ES"/>
        </w:rPr>
        <w:t>Ídem</w:t>
      </w:r>
      <w:r w:rsidRPr="009D0D83">
        <w:rPr>
          <w:rFonts w:ascii="Verdana" w:hAnsi="Verdana" w:cs="Arial"/>
          <w:sz w:val="16"/>
          <w:szCs w:val="16"/>
          <w:lang w:val="es-ES"/>
        </w:rPr>
        <w:t>.</w:t>
      </w:r>
    </w:p>
  </w:footnote>
  <w:footnote w:id="17">
    <w:p w14:paraId="6635FE94" w14:textId="77777777" w:rsidR="006803AB" w:rsidRPr="009D0D83" w:rsidRDefault="006803AB" w:rsidP="006803AB">
      <w:pPr>
        <w:pStyle w:val="Textonotapie"/>
        <w:ind w:firstLine="709"/>
        <w:jc w:val="both"/>
        <w:rPr>
          <w:rFonts w:ascii="Verdana" w:hAnsi="Verdana" w:cs="Arial"/>
          <w:sz w:val="16"/>
          <w:szCs w:val="16"/>
          <w:lang w:val="es-ES"/>
        </w:rPr>
      </w:pPr>
      <w:r w:rsidRPr="009D0D83">
        <w:rPr>
          <w:rStyle w:val="Refdenotaalpie"/>
          <w:rFonts w:ascii="Verdana" w:hAnsi="Verdana" w:cs="Arial"/>
          <w:sz w:val="16"/>
          <w:szCs w:val="16"/>
        </w:rPr>
        <w:footnoteRef/>
      </w:r>
      <w:r w:rsidRPr="009D0D83">
        <w:rPr>
          <w:rStyle w:val="Refdenotaalpie"/>
          <w:rFonts w:ascii="Verdana" w:hAnsi="Verdana" w:cs="Arial"/>
          <w:sz w:val="16"/>
          <w:szCs w:val="16"/>
        </w:rPr>
        <w:t xml:space="preserve"> </w:t>
      </w:r>
      <w:r w:rsidRPr="009D0D83">
        <w:rPr>
          <w:rFonts w:ascii="Verdana" w:hAnsi="Verdana" w:cs="Arial"/>
          <w:sz w:val="16"/>
          <w:szCs w:val="16"/>
          <w:lang w:val="es-ES"/>
        </w:rPr>
        <w:t xml:space="preserve">“[…] A este respecto, cabe recordar que el artículo 860 del Código de Comercio regula la licitación en el derecho privado”. </w:t>
      </w:r>
    </w:p>
  </w:footnote>
  <w:footnote w:id="18">
    <w:p w14:paraId="4074741E" w14:textId="77777777" w:rsidR="006803AB" w:rsidRPr="009D0D83" w:rsidRDefault="006803AB" w:rsidP="006803AB">
      <w:pPr>
        <w:shd w:val="clear" w:color="auto" w:fill="FFFFFF"/>
        <w:spacing w:after="0" w:line="240" w:lineRule="auto"/>
        <w:ind w:firstLine="709"/>
        <w:jc w:val="both"/>
        <w:rPr>
          <w:rFonts w:ascii="Verdana" w:hAnsi="Verdana" w:cs="Arial"/>
          <w:sz w:val="16"/>
          <w:szCs w:val="16"/>
          <w:lang w:val="es-ES"/>
        </w:rPr>
      </w:pPr>
      <w:r w:rsidRPr="009D0D83">
        <w:rPr>
          <w:rStyle w:val="Refdenotaalpie"/>
          <w:rFonts w:ascii="Verdana" w:hAnsi="Verdana" w:cs="Arial"/>
          <w:sz w:val="16"/>
          <w:szCs w:val="16"/>
        </w:rPr>
        <w:footnoteRef/>
      </w:r>
      <w:r w:rsidRPr="009D0D83">
        <w:rPr>
          <w:rStyle w:val="Refdenotaalpie"/>
          <w:rFonts w:ascii="Verdana" w:hAnsi="Verdana" w:cs="Arial"/>
          <w:sz w:val="16"/>
          <w:szCs w:val="16"/>
        </w:rPr>
        <w:t xml:space="preserve"> </w:t>
      </w:r>
      <w:r w:rsidRPr="009D0D83">
        <w:rPr>
          <w:rFonts w:ascii="Verdana" w:hAnsi="Verdana" w:cs="Arial"/>
          <w:sz w:val="16"/>
          <w:szCs w:val="16"/>
          <w:lang w:val="es-ES"/>
        </w:rPr>
        <w:t>Consejo de Estado, Sala de Consulta y Servicio Civil, Concepto de 8 de mayo de 2018. C.P. Álvaro Namén Vargas. Rad. 2382.</w:t>
      </w:r>
    </w:p>
  </w:footnote>
  <w:footnote w:id="19">
    <w:p w14:paraId="4E978282" w14:textId="77777777" w:rsidR="006803AB" w:rsidRPr="009D0D83" w:rsidRDefault="006803AB" w:rsidP="006803AB">
      <w:pPr>
        <w:pStyle w:val="Textonotapie"/>
        <w:ind w:firstLine="709"/>
        <w:jc w:val="both"/>
        <w:rPr>
          <w:rFonts w:ascii="Verdana" w:hAnsi="Verdana" w:cs="Arial"/>
          <w:sz w:val="16"/>
          <w:szCs w:val="16"/>
        </w:rPr>
      </w:pPr>
      <w:r w:rsidRPr="009D0D83">
        <w:rPr>
          <w:rStyle w:val="Refdenotaalpie"/>
          <w:rFonts w:ascii="Verdana" w:hAnsi="Verdana" w:cs="Arial"/>
          <w:sz w:val="16"/>
          <w:szCs w:val="16"/>
        </w:rPr>
        <w:footnoteRef/>
      </w:r>
      <w:r w:rsidRPr="009D0D83">
        <w:rPr>
          <w:rFonts w:ascii="Verdana" w:hAnsi="Verdana" w:cs="Arial"/>
          <w:sz w:val="16"/>
          <w:szCs w:val="16"/>
        </w:rPr>
        <w:t xml:space="preserve"> </w:t>
      </w:r>
      <w:proofErr w:type="spellStart"/>
      <w:r w:rsidRPr="009D0D83">
        <w:rPr>
          <w:rFonts w:ascii="Verdana" w:hAnsi="Verdana" w:cs="Arial"/>
          <w:sz w:val="16"/>
          <w:szCs w:val="16"/>
        </w:rPr>
        <w:t>Ibídem</w:t>
      </w:r>
      <w:proofErr w:type="spellEnd"/>
      <w:r w:rsidRPr="009D0D83">
        <w:rPr>
          <w:rFonts w:ascii="Verdana" w:hAnsi="Verdana" w:cs="Arial"/>
          <w:sz w:val="16"/>
          <w:szCs w:val="16"/>
        </w:rPr>
        <w:t xml:space="preserve">. </w:t>
      </w:r>
    </w:p>
  </w:footnote>
  <w:footnote w:id="20">
    <w:p w14:paraId="25768660" w14:textId="77777777" w:rsidR="006803AB" w:rsidRPr="009D0D83" w:rsidRDefault="006803AB" w:rsidP="006803AB">
      <w:pPr>
        <w:pStyle w:val="Textonotapie"/>
        <w:ind w:firstLine="709"/>
        <w:jc w:val="both"/>
        <w:rPr>
          <w:rFonts w:ascii="Verdana" w:hAnsi="Verdana" w:cs="Arial"/>
          <w:sz w:val="16"/>
          <w:szCs w:val="16"/>
        </w:rPr>
      </w:pPr>
      <w:r w:rsidRPr="009D0D83">
        <w:rPr>
          <w:rStyle w:val="Refdenotaalpie"/>
          <w:rFonts w:ascii="Verdana" w:hAnsi="Verdana" w:cs="Arial"/>
          <w:sz w:val="16"/>
          <w:szCs w:val="16"/>
        </w:rPr>
        <w:footnoteRef/>
      </w:r>
      <w:r w:rsidRPr="009D0D83">
        <w:rPr>
          <w:rFonts w:ascii="Verdana" w:hAnsi="Verdana" w:cs="Arial"/>
          <w:sz w:val="16"/>
          <w:szCs w:val="16"/>
        </w:rPr>
        <w:t xml:space="preserve"> La Corte Constitucional mediante Sentencia C-1153-05 de 11 de noviembre de 2005, Magistrado Ponente Marco Gerardo Monroy Cabra, efectuó el Control constitucional al Proyecto de Ley Estatutaria </w:t>
      </w:r>
      <w:proofErr w:type="spellStart"/>
      <w:r w:rsidRPr="009D0D83">
        <w:rPr>
          <w:rFonts w:ascii="Verdana" w:hAnsi="Verdana" w:cs="Arial"/>
          <w:sz w:val="16"/>
          <w:szCs w:val="16"/>
        </w:rPr>
        <w:t>N°</w:t>
      </w:r>
      <w:proofErr w:type="spellEnd"/>
      <w:r w:rsidRPr="009D0D83">
        <w:rPr>
          <w:rFonts w:ascii="Verdana" w:hAnsi="Verdana" w:cs="Arial"/>
          <w:sz w:val="16"/>
          <w:szCs w:val="16"/>
        </w:rPr>
        <w:t xml:space="preserve"> 216/05 Senado, </w:t>
      </w:r>
      <w:proofErr w:type="spellStart"/>
      <w:r w:rsidRPr="009D0D83">
        <w:rPr>
          <w:rFonts w:ascii="Verdana" w:hAnsi="Verdana" w:cs="Arial"/>
          <w:sz w:val="16"/>
          <w:szCs w:val="16"/>
        </w:rPr>
        <w:t>N°</w:t>
      </w:r>
      <w:proofErr w:type="spellEnd"/>
      <w:r w:rsidRPr="009D0D83">
        <w:rPr>
          <w:rFonts w:ascii="Verdana" w:hAnsi="Verdana" w:cs="Arial"/>
          <w:sz w:val="16"/>
          <w:szCs w:val="16"/>
        </w:rPr>
        <w:t xml:space="preserve"> 235-Cámara que dio lugar a la Ley de Garantías Electorales.</w:t>
      </w:r>
    </w:p>
  </w:footnote>
  <w:footnote w:id="21">
    <w:p w14:paraId="4F0DDFD9" w14:textId="77777777" w:rsidR="006803AB" w:rsidRPr="009D0D83" w:rsidRDefault="006803AB" w:rsidP="006803AB">
      <w:pPr>
        <w:spacing w:after="0" w:line="240" w:lineRule="auto"/>
        <w:ind w:firstLine="709"/>
        <w:jc w:val="both"/>
        <w:rPr>
          <w:rFonts w:ascii="Verdana" w:hAnsi="Verdana" w:cs="Arial"/>
          <w:sz w:val="16"/>
          <w:szCs w:val="16"/>
        </w:rPr>
      </w:pPr>
      <w:r w:rsidRPr="009D0D83">
        <w:rPr>
          <w:rStyle w:val="Refdenotaalpie"/>
          <w:rFonts w:ascii="Verdana" w:hAnsi="Verdana" w:cs="Arial"/>
          <w:sz w:val="16"/>
          <w:szCs w:val="16"/>
        </w:rPr>
        <w:footnoteRef/>
      </w:r>
      <w:r w:rsidRPr="009D0D83">
        <w:rPr>
          <w:rFonts w:ascii="Verdana" w:hAnsi="Verdana" w:cs="Arial"/>
          <w:sz w:val="16"/>
          <w:szCs w:val="16"/>
        </w:rPr>
        <w:t xml:space="preserve"> Consejo de Estado, Sala de Consulta y Servicio Civil. Concepto de 20 de febrero de 2006. C.P. Enrique José Arboleda Perdomo. Rad. 1727.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2">
    <w:p w14:paraId="625172E7" w14:textId="77777777" w:rsidR="006803AB" w:rsidRPr="009D0D83" w:rsidRDefault="006803AB" w:rsidP="006803AB">
      <w:pPr>
        <w:pStyle w:val="Textonotapie"/>
        <w:ind w:right="51" w:firstLine="709"/>
        <w:jc w:val="both"/>
        <w:rPr>
          <w:rFonts w:ascii="Verdana" w:eastAsia="Times New Roman" w:hAnsi="Verdana" w:cs="Arial"/>
          <w:bCs/>
          <w:sz w:val="16"/>
          <w:szCs w:val="16"/>
          <w:lang w:eastAsia="x-none"/>
        </w:rPr>
      </w:pPr>
      <w:r w:rsidRPr="009D0D83">
        <w:rPr>
          <w:rStyle w:val="Refdenotaalpie"/>
          <w:rFonts w:ascii="Verdana" w:hAnsi="Verdana" w:cs="Arial"/>
          <w:sz w:val="16"/>
          <w:szCs w:val="16"/>
        </w:rPr>
        <w:footnoteRef/>
      </w:r>
      <w:r w:rsidRPr="009D0D83">
        <w:rPr>
          <w:rFonts w:ascii="Verdana" w:hAnsi="Verdana" w:cs="Arial"/>
          <w:sz w:val="16"/>
          <w:szCs w:val="16"/>
        </w:rPr>
        <w:t xml:space="preserve"> Consejo de Estado, Sala de Consulta y Servicio Civil. Concepto de 6 de abril de 2006.C.P. Enrique José Arboleda Perdomo. </w:t>
      </w:r>
      <w:r w:rsidRPr="009D0D83">
        <w:rPr>
          <w:rFonts w:ascii="Verdana" w:hAnsi="Verdana" w:cs="Arial"/>
          <w:sz w:val="16"/>
          <w:szCs w:val="16"/>
          <w:lang w:val="es-CO"/>
        </w:rPr>
        <w:t>Rad. 1738</w:t>
      </w:r>
      <w:r w:rsidRPr="009D0D83">
        <w:rPr>
          <w:rFonts w:ascii="Verdana" w:eastAsia="Times New Roman" w:hAnsi="Verdana" w:cs="Arial"/>
          <w:bCs/>
          <w:sz w:val="16"/>
          <w:szCs w:val="16"/>
          <w:lang w:eastAsia="x-none"/>
        </w:rPr>
        <w:t xml:space="preserve"> “</w:t>
      </w:r>
      <w:r w:rsidRPr="009D0D83">
        <w:rPr>
          <w:rFonts w:ascii="Verdana" w:hAnsi="Verdana" w:cs="Arial"/>
          <w:sz w:val="16"/>
          <w:szCs w:val="16"/>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9D0D83">
        <w:rPr>
          <w:rFonts w:ascii="Verdana" w:eastAsia="Times New Roman" w:hAnsi="Verdana" w:cs="Arial"/>
          <w:bCs/>
          <w:sz w:val="16"/>
          <w:szCs w:val="16"/>
          <w:lang w:eastAsia="x-none"/>
        </w:rPr>
        <w:t>”.</w:t>
      </w:r>
    </w:p>
  </w:footnote>
  <w:footnote w:id="23">
    <w:p w14:paraId="69B1F769" w14:textId="77777777" w:rsidR="006803AB" w:rsidRPr="009D0D83" w:rsidRDefault="006803AB" w:rsidP="006803AB">
      <w:pPr>
        <w:spacing w:after="0" w:line="240" w:lineRule="auto"/>
        <w:ind w:firstLine="708"/>
        <w:jc w:val="both"/>
        <w:rPr>
          <w:rFonts w:ascii="Verdana" w:hAnsi="Verdana" w:cs="Arial"/>
          <w:sz w:val="16"/>
          <w:szCs w:val="16"/>
        </w:rPr>
      </w:pPr>
      <w:r w:rsidRPr="009D0D83">
        <w:rPr>
          <w:rStyle w:val="Refdenotaalpie"/>
          <w:rFonts w:ascii="Verdana" w:hAnsi="Verdana" w:cs="Arial"/>
          <w:sz w:val="16"/>
          <w:szCs w:val="16"/>
        </w:rPr>
        <w:footnoteRef/>
      </w:r>
      <w:r w:rsidRPr="009D0D83">
        <w:rPr>
          <w:rFonts w:ascii="Verdana" w:hAnsi="Verdana" w:cs="Arial"/>
          <w:sz w:val="16"/>
          <w:szCs w:val="16"/>
        </w:rPr>
        <w:t xml:space="preserve"> Consejo de Estado. Sala de Consulta y Servicio Civil. Concepto de 6 de abril de 2006. C.P. Enrique José Arboleda Perdomo. Rad. 1738. </w:t>
      </w:r>
    </w:p>
  </w:footnote>
  <w:footnote w:id="24">
    <w:p w14:paraId="6B6D5BC5" w14:textId="77777777" w:rsidR="006803AB" w:rsidRPr="009D0D83" w:rsidRDefault="006803AB" w:rsidP="006803AB">
      <w:pPr>
        <w:pStyle w:val="Textonotapie"/>
        <w:ind w:right="51" w:firstLine="709"/>
        <w:jc w:val="both"/>
        <w:rPr>
          <w:rFonts w:ascii="Verdana" w:hAnsi="Verdana" w:cs="Arial"/>
          <w:sz w:val="16"/>
          <w:szCs w:val="16"/>
        </w:rPr>
      </w:pPr>
      <w:r w:rsidRPr="009D0D83">
        <w:rPr>
          <w:rStyle w:val="Refdenotaalpie"/>
          <w:rFonts w:ascii="Verdana" w:hAnsi="Verdana" w:cs="Arial"/>
          <w:sz w:val="16"/>
          <w:szCs w:val="16"/>
        </w:rPr>
        <w:footnoteRef/>
      </w:r>
      <w:r w:rsidRPr="009D0D83">
        <w:rPr>
          <w:rFonts w:ascii="Verdana" w:hAnsi="Verdana" w:cs="Arial"/>
          <w:sz w:val="16"/>
          <w:szCs w:val="16"/>
        </w:rPr>
        <w:t xml:space="preserve"> Consejo de Estado. Sala de Consulta y Servicio Civil, ídem.</w:t>
      </w:r>
    </w:p>
  </w:footnote>
  <w:footnote w:id="25">
    <w:p w14:paraId="5D669298" w14:textId="77777777" w:rsidR="006803AB" w:rsidRPr="009D0D83" w:rsidRDefault="006803AB" w:rsidP="006803AB">
      <w:pPr>
        <w:pStyle w:val="Textonotapie"/>
        <w:ind w:firstLine="708"/>
        <w:jc w:val="both"/>
        <w:rPr>
          <w:rFonts w:ascii="Arial" w:hAnsi="Arial" w:cs="Arial"/>
          <w:sz w:val="16"/>
          <w:szCs w:val="16"/>
        </w:rPr>
      </w:pPr>
      <w:r w:rsidRPr="009D0D83">
        <w:rPr>
          <w:rStyle w:val="Refdenotaalpie"/>
          <w:rFonts w:ascii="Verdana" w:hAnsi="Verdana" w:cs="Arial"/>
          <w:sz w:val="16"/>
          <w:szCs w:val="16"/>
        </w:rPr>
        <w:footnoteRef/>
      </w:r>
      <w:r w:rsidRPr="009D0D83">
        <w:rPr>
          <w:rFonts w:ascii="Verdana" w:hAnsi="Verdana" w:cs="Arial"/>
          <w:sz w:val="16"/>
          <w:szCs w:val="16"/>
        </w:rPr>
        <w:t xml:space="preserve"> Colombia Compra Eficiente. Circular Externa Única. Numeral 15.5.</w:t>
      </w:r>
    </w:p>
  </w:footnote>
  <w:footnote w:id="26">
    <w:p w14:paraId="4312BF24" w14:textId="77777777" w:rsidR="006803AB" w:rsidRPr="009D0D83" w:rsidRDefault="006803AB" w:rsidP="006803AB">
      <w:pPr>
        <w:pStyle w:val="Textonotapie"/>
        <w:ind w:firstLine="709"/>
        <w:contextualSpacing/>
        <w:jc w:val="both"/>
        <w:rPr>
          <w:rFonts w:ascii="Verdana" w:hAnsi="Verdana" w:cs="Arial"/>
          <w:sz w:val="16"/>
          <w:szCs w:val="16"/>
        </w:rPr>
      </w:pPr>
      <w:r w:rsidRPr="009D0D83">
        <w:rPr>
          <w:rStyle w:val="Refdenotaalpie"/>
          <w:rFonts w:ascii="Verdana" w:hAnsi="Verdana"/>
          <w:sz w:val="16"/>
          <w:szCs w:val="16"/>
        </w:rPr>
        <w:footnoteRef/>
      </w:r>
      <w:r w:rsidRPr="009D0D83">
        <w:rPr>
          <w:rFonts w:ascii="Verdana" w:hAnsi="Verdana"/>
          <w:sz w:val="16"/>
          <w:szCs w:val="16"/>
        </w:rPr>
        <w:t xml:space="preserve"> </w:t>
      </w:r>
      <w:r w:rsidRPr="009D0D83">
        <w:rPr>
          <w:rFonts w:ascii="Verdana" w:hAnsi="Verdana" w:cs="Arial"/>
          <w:sz w:val="16"/>
          <w:szCs w:val="16"/>
        </w:rPr>
        <w:t xml:space="preserve">Consejo de Estado -Sección Tercera-. Sentencia del 21 de febrero de 2025. CP: José Roberto Sáchica Méndez. </w:t>
      </w:r>
      <w:proofErr w:type="spellStart"/>
      <w:r w:rsidRPr="009D0D83">
        <w:rPr>
          <w:rFonts w:ascii="Verdana" w:hAnsi="Verdana" w:cs="Arial"/>
          <w:sz w:val="16"/>
          <w:szCs w:val="16"/>
        </w:rPr>
        <w:t>Exp</w:t>
      </w:r>
      <w:proofErr w:type="spellEnd"/>
      <w:r w:rsidRPr="009D0D83">
        <w:rPr>
          <w:rFonts w:ascii="Verdana" w:hAnsi="Verdana" w:cs="Arial"/>
          <w:sz w:val="16"/>
          <w:szCs w:val="16"/>
        </w:rPr>
        <w:t xml:space="preserve">. 68.280. </w:t>
      </w:r>
    </w:p>
  </w:footnote>
  <w:footnote w:id="27">
    <w:p w14:paraId="413B8D76" w14:textId="77777777" w:rsidR="006803AB" w:rsidRPr="009D0D83" w:rsidRDefault="006803AB" w:rsidP="006803AB">
      <w:pPr>
        <w:pStyle w:val="Textonotapie"/>
        <w:ind w:firstLine="709"/>
        <w:contextualSpacing/>
        <w:jc w:val="both"/>
        <w:rPr>
          <w:rFonts w:ascii="Verdana" w:hAnsi="Verdana" w:cs="Arial"/>
          <w:sz w:val="16"/>
          <w:szCs w:val="16"/>
        </w:rPr>
      </w:pPr>
      <w:r w:rsidRPr="009D0D83">
        <w:rPr>
          <w:rFonts w:ascii="Verdana" w:hAnsi="Verdana"/>
          <w:sz w:val="16"/>
          <w:szCs w:val="16"/>
          <w:vertAlign w:val="superscript"/>
        </w:rPr>
        <w:footnoteRef/>
      </w:r>
      <w:r w:rsidRPr="009D0D83">
        <w:rPr>
          <w:rFonts w:ascii="Verdana" w:hAnsi="Verdana"/>
          <w:sz w:val="16"/>
          <w:szCs w:val="16"/>
          <w:vertAlign w:val="superscript"/>
        </w:rPr>
        <w:t xml:space="preserve"> </w:t>
      </w:r>
      <w:r w:rsidRPr="009D0D83">
        <w:rPr>
          <w:rFonts w:ascii="Verdana" w:hAnsi="Verdana" w:cs="Arial"/>
          <w:sz w:val="16"/>
          <w:szCs w:val="16"/>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footnote>
  <w:footnote w:id="28">
    <w:p w14:paraId="24AEC95A" w14:textId="77777777" w:rsidR="006803AB" w:rsidRPr="009D0D83" w:rsidRDefault="006803AB" w:rsidP="006803AB">
      <w:pPr>
        <w:pStyle w:val="Textonotapie"/>
        <w:ind w:firstLine="709"/>
        <w:contextualSpacing/>
        <w:jc w:val="both"/>
        <w:rPr>
          <w:rFonts w:ascii="Verdana" w:hAnsi="Verdana" w:cs="Arial"/>
          <w:sz w:val="16"/>
          <w:szCs w:val="16"/>
        </w:rPr>
      </w:pPr>
      <w:r w:rsidRPr="009D0D83">
        <w:rPr>
          <w:rFonts w:ascii="Verdana" w:hAnsi="Verdana"/>
          <w:sz w:val="16"/>
          <w:szCs w:val="16"/>
          <w:vertAlign w:val="superscript"/>
        </w:rPr>
        <w:footnoteRef/>
      </w:r>
      <w:r w:rsidRPr="009D0D83">
        <w:rPr>
          <w:rFonts w:ascii="Verdana" w:hAnsi="Verdana" w:cs="Arial"/>
          <w:sz w:val="16"/>
          <w:szCs w:val="16"/>
          <w:vertAlign w:val="superscript"/>
        </w:rPr>
        <w:t xml:space="preserve"> </w:t>
      </w:r>
      <w:r w:rsidRPr="009D0D83">
        <w:rPr>
          <w:rFonts w:ascii="Verdana" w:hAnsi="Verdana" w:cs="Arial"/>
          <w:sz w:val="16"/>
          <w:szCs w:val="16"/>
        </w:rPr>
        <w:t>Ley 80 de 1993: “Artículo 41. Del perfeccionamiento del contrato. Los contratos del Estado se perfeccionan cuando se logre acuerdo sobre el objeto y la contraprestación y éste se eleve a escrito.</w:t>
      </w:r>
    </w:p>
    <w:p w14:paraId="606F413C" w14:textId="77777777" w:rsidR="006803AB" w:rsidRPr="009D0D83" w:rsidRDefault="006803AB" w:rsidP="006803AB">
      <w:pPr>
        <w:pStyle w:val="Textonotapie"/>
        <w:ind w:firstLine="709"/>
        <w:contextualSpacing/>
        <w:jc w:val="both"/>
        <w:rPr>
          <w:rFonts w:ascii="Verdana" w:hAnsi="Verdana" w:cs="Arial"/>
          <w:sz w:val="16"/>
          <w:szCs w:val="16"/>
        </w:rPr>
      </w:pPr>
      <w:r w:rsidRPr="009D0D83">
        <w:rPr>
          <w:rFonts w:ascii="Verdana" w:hAnsi="Verdana" w:cs="Arial"/>
          <w:sz w:val="16"/>
          <w:szCs w:val="16"/>
        </w:rPr>
        <w:t>[…]”.</w:t>
      </w:r>
    </w:p>
  </w:footnote>
  <w:footnote w:id="29">
    <w:p w14:paraId="272675D6" w14:textId="77777777" w:rsidR="006803AB" w:rsidRPr="009D0D83" w:rsidRDefault="006803AB" w:rsidP="006803AB">
      <w:pPr>
        <w:pStyle w:val="Textonotapie"/>
        <w:ind w:firstLine="709"/>
        <w:contextualSpacing/>
        <w:jc w:val="both"/>
        <w:rPr>
          <w:rFonts w:ascii="Verdana" w:hAnsi="Verdana" w:cs="Arial"/>
          <w:sz w:val="16"/>
          <w:szCs w:val="16"/>
        </w:rPr>
      </w:pPr>
      <w:r w:rsidRPr="009D0D83">
        <w:rPr>
          <w:rFonts w:ascii="Verdana" w:hAnsi="Verdana"/>
          <w:sz w:val="16"/>
          <w:szCs w:val="16"/>
          <w:vertAlign w:val="superscript"/>
        </w:rPr>
        <w:footnoteRef/>
      </w:r>
      <w:r w:rsidRPr="009D0D83">
        <w:rPr>
          <w:rFonts w:ascii="Verdana" w:hAnsi="Verdana" w:cs="Arial"/>
          <w:sz w:val="16"/>
          <w:szCs w:val="16"/>
          <w:vertAlign w:val="superscript"/>
        </w:rPr>
        <w:t xml:space="preserve"> </w:t>
      </w:r>
      <w:r w:rsidRPr="009D0D83">
        <w:rPr>
          <w:rFonts w:ascii="Verdana" w:hAnsi="Verdana" w:cs="Arial"/>
          <w:sz w:val="16"/>
          <w:szCs w:val="16"/>
        </w:rPr>
        <w:t>Código Civil: “Artículo 27. Cuando el sentido de la ley sea claro, no se desatenderá su tenor a pretexto de consultar su espíritu”.</w:t>
      </w:r>
    </w:p>
  </w:footnote>
  <w:footnote w:id="30">
    <w:p w14:paraId="098360D2" w14:textId="77777777" w:rsidR="006803AB" w:rsidRPr="009D0D83" w:rsidRDefault="006803AB" w:rsidP="006803AB">
      <w:pPr>
        <w:pStyle w:val="Textonotapie"/>
        <w:ind w:firstLine="708"/>
        <w:jc w:val="both"/>
        <w:rPr>
          <w:rFonts w:ascii="Verdana" w:hAnsi="Verdana"/>
          <w:sz w:val="16"/>
          <w:szCs w:val="16"/>
          <w:lang w:val="es-ES"/>
        </w:rPr>
      </w:pPr>
      <w:r w:rsidRPr="009D0D83">
        <w:rPr>
          <w:rStyle w:val="Refdenotaalpie"/>
          <w:rFonts w:ascii="Verdana" w:hAnsi="Verdana"/>
          <w:sz w:val="16"/>
          <w:szCs w:val="16"/>
        </w:rPr>
        <w:footnoteRef/>
      </w:r>
      <w:r w:rsidRPr="009D0D83">
        <w:rPr>
          <w:rFonts w:ascii="Verdana" w:hAnsi="Verdana"/>
          <w:sz w:val="16"/>
          <w:szCs w:val="16"/>
        </w:rPr>
        <w:t xml:space="preserve"> </w:t>
      </w:r>
      <w:r w:rsidRPr="009D0D83">
        <w:rPr>
          <w:rFonts w:ascii="Verdana" w:hAnsi="Verdana"/>
          <w:sz w:val="16"/>
          <w:szCs w:val="16"/>
          <w:lang w:val="es-ES"/>
        </w:rPr>
        <w:t xml:space="preserve">La doctrina chilena ilustra su aplicación en los siguientes términos: “La ley se ha de entender general e indistintamente. Cuando la ley no hace excepción alguna, pudiendo haberla hecho, no podemos separarnos de su disposición general por medio de una distinción que ella no ha formulado. </w:t>
      </w:r>
      <w:proofErr w:type="spellStart"/>
      <w:r w:rsidRPr="009D0D83">
        <w:rPr>
          <w:rFonts w:ascii="Verdana" w:hAnsi="Verdana"/>
          <w:i/>
          <w:iCs/>
          <w:sz w:val="16"/>
          <w:szCs w:val="16"/>
          <w:lang w:val="es-ES"/>
        </w:rPr>
        <w:t>Ubi</w:t>
      </w:r>
      <w:proofErr w:type="spellEnd"/>
      <w:r w:rsidRPr="009D0D83">
        <w:rPr>
          <w:rFonts w:ascii="Verdana" w:hAnsi="Verdana"/>
          <w:i/>
          <w:iCs/>
          <w:sz w:val="16"/>
          <w:szCs w:val="16"/>
          <w:lang w:val="es-ES"/>
        </w:rPr>
        <w:t xml:space="preserve"> lex non </w:t>
      </w:r>
      <w:proofErr w:type="spellStart"/>
      <w:r w:rsidRPr="009D0D83">
        <w:rPr>
          <w:rFonts w:ascii="Verdana" w:hAnsi="Verdana"/>
          <w:i/>
          <w:iCs/>
          <w:sz w:val="16"/>
          <w:szCs w:val="16"/>
          <w:lang w:val="es-ES"/>
        </w:rPr>
        <w:t>distinguit</w:t>
      </w:r>
      <w:proofErr w:type="spellEnd"/>
      <w:r w:rsidRPr="009D0D83">
        <w:rPr>
          <w:rFonts w:ascii="Verdana" w:hAnsi="Verdana"/>
          <w:i/>
          <w:iCs/>
          <w:sz w:val="16"/>
          <w:szCs w:val="16"/>
          <w:lang w:val="es-ES"/>
        </w:rPr>
        <w:t xml:space="preserve"> </w:t>
      </w:r>
      <w:proofErr w:type="spellStart"/>
      <w:r w:rsidRPr="009D0D83">
        <w:rPr>
          <w:rFonts w:ascii="Verdana" w:hAnsi="Verdana"/>
          <w:i/>
          <w:iCs/>
          <w:sz w:val="16"/>
          <w:szCs w:val="16"/>
          <w:lang w:val="es-ES"/>
        </w:rPr>
        <w:t>nec</w:t>
      </w:r>
      <w:proofErr w:type="spellEnd"/>
      <w:r w:rsidRPr="009D0D83">
        <w:rPr>
          <w:rFonts w:ascii="Verdana" w:hAnsi="Verdana"/>
          <w:i/>
          <w:iCs/>
          <w:sz w:val="16"/>
          <w:szCs w:val="16"/>
          <w:lang w:val="es-ES"/>
        </w:rPr>
        <w:t xml:space="preserve"> nos </w:t>
      </w:r>
      <w:proofErr w:type="spellStart"/>
      <w:r w:rsidRPr="009D0D83">
        <w:rPr>
          <w:rFonts w:ascii="Verdana" w:hAnsi="Verdana"/>
          <w:i/>
          <w:iCs/>
          <w:sz w:val="16"/>
          <w:szCs w:val="16"/>
          <w:lang w:val="es-ES"/>
        </w:rPr>
        <w:t>distinguere</w:t>
      </w:r>
      <w:proofErr w:type="spellEnd"/>
      <w:r w:rsidRPr="009D0D83">
        <w:rPr>
          <w:rFonts w:ascii="Verdana" w:hAnsi="Verdana"/>
          <w:i/>
          <w:iCs/>
          <w:sz w:val="16"/>
          <w:szCs w:val="16"/>
          <w:lang w:val="es-ES"/>
        </w:rPr>
        <w:t xml:space="preserve"> </w:t>
      </w:r>
      <w:proofErr w:type="spellStart"/>
      <w:r w:rsidRPr="009D0D83">
        <w:rPr>
          <w:rFonts w:ascii="Verdana" w:hAnsi="Verdana"/>
          <w:i/>
          <w:iCs/>
          <w:sz w:val="16"/>
          <w:szCs w:val="16"/>
          <w:lang w:val="es-ES"/>
        </w:rPr>
        <w:t>debemus</w:t>
      </w:r>
      <w:proofErr w:type="spellEnd"/>
      <w:r w:rsidRPr="009D0D83">
        <w:rPr>
          <w:rFonts w:ascii="Verdana" w:hAnsi="Verdana"/>
          <w:sz w:val="16"/>
          <w:szCs w:val="16"/>
          <w:lang w:val="es-ES"/>
        </w:rPr>
        <w:t>, ‘donde la ley no distingue no puede el hombre distinguir’. ‘La extensión que deba dársele a la ley se determinará por su genuino sentido y según las reglas de interpretación precedentes’, dice el artículo 23.</w:t>
      </w:r>
    </w:p>
    <w:p w14:paraId="1026161C" w14:textId="77777777" w:rsidR="006803AB" w:rsidRPr="009D0D83" w:rsidRDefault="006803AB" w:rsidP="006803AB">
      <w:pPr>
        <w:pStyle w:val="Textonotapie"/>
        <w:ind w:firstLine="708"/>
        <w:jc w:val="both"/>
        <w:rPr>
          <w:rFonts w:ascii="Verdana" w:hAnsi="Verdana"/>
          <w:sz w:val="16"/>
          <w:szCs w:val="16"/>
          <w:lang w:val="es-CO"/>
        </w:rPr>
      </w:pPr>
      <w:r w:rsidRPr="009D0D83">
        <w:rPr>
          <w:rFonts w:ascii="Verdana" w:hAnsi="Verdana"/>
          <w:sz w:val="16"/>
          <w:szCs w:val="16"/>
          <w:lang w:val="es-ES"/>
        </w:rPr>
        <w:t xml:space="preserve">En el derecho antiguo y en el derecho canónico se distinguían las leyes en favorables y odiosas, para ampliar o restringir su interpretación. </w:t>
      </w:r>
      <w:r w:rsidRPr="009D0D83">
        <w:rPr>
          <w:rFonts w:ascii="Verdana" w:hAnsi="Verdana"/>
          <w:i/>
          <w:iCs/>
          <w:sz w:val="16"/>
          <w:szCs w:val="16"/>
          <w:lang w:val="es-ES"/>
        </w:rPr>
        <w:t xml:space="preserve">Odia restringí et favores </w:t>
      </w:r>
      <w:proofErr w:type="spellStart"/>
      <w:r w:rsidRPr="009D0D83">
        <w:rPr>
          <w:rFonts w:ascii="Verdana" w:hAnsi="Verdana"/>
          <w:i/>
          <w:iCs/>
          <w:sz w:val="16"/>
          <w:szCs w:val="16"/>
          <w:lang w:val="es-ES"/>
        </w:rPr>
        <w:t>convenit</w:t>
      </w:r>
      <w:proofErr w:type="spellEnd"/>
      <w:r w:rsidRPr="009D0D83">
        <w:rPr>
          <w:rFonts w:ascii="Verdana" w:hAnsi="Verdana"/>
          <w:i/>
          <w:iCs/>
          <w:sz w:val="16"/>
          <w:szCs w:val="16"/>
          <w:lang w:val="es-ES"/>
        </w:rPr>
        <w:t xml:space="preserve"> </w:t>
      </w:r>
      <w:proofErr w:type="spellStart"/>
      <w:r w:rsidRPr="009D0D83">
        <w:rPr>
          <w:rFonts w:ascii="Verdana" w:hAnsi="Verdana"/>
          <w:i/>
          <w:iCs/>
          <w:sz w:val="16"/>
          <w:szCs w:val="16"/>
          <w:lang w:val="es-ES"/>
        </w:rPr>
        <w:t>ampliari</w:t>
      </w:r>
      <w:proofErr w:type="spellEnd"/>
      <w:r w:rsidRPr="009D0D83">
        <w:rPr>
          <w:rFonts w:ascii="Verdana" w:hAnsi="Verdana"/>
          <w:sz w:val="16"/>
          <w:szCs w:val="16"/>
          <w:lang w:val="es-ES"/>
        </w:rPr>
        <w:t xml:space="preserve">. Según esto se tomaban las palabras en su más amplia y extensa significación en materia favorable y se procuraba limitar en lo posible, en caso de duda, en materia odiosa. Estas reglas de aplicación de las leyes eran contrarias a los principios de una correcta interpretación, que no tiene otro objeto que reconstruir el pensamiento del legislador y llegar por este medio al conocimiento completo de la ley. Por este motivo el Código no las admite […]” (Cfr. </w:t>
      </w:r>
      <w:r w:rsidRPr="009D0D83">
        <w:rPr>
          <w:rFonts w:ascii="Verdana" w:hAnsi="Verdana"/>
          <w:sz w:val="16"/>
          <w:szCs w:val="16"/>
        </w:rPr>
        <w:t>CLARO SOLAR, Luis. Explicaciones de derecho civil chileno y comparado. Volumen I. Tomo I. Santiago: Editorial Jurídica de Chile, 2013. p. 119. Énfasis dentro del texto).</w:t>
      </w:r>
    </w:p>
  </w:footnote>
  <w:footnote w:id="31">
    <w:p w14:paraId="202ADE08" w14:textId="77777777" w:rsidR="006803AB" w:rsidRPr="009D0D83" w:rsidRDefault="006803AB" w:rsidP="006803AB">
      <w:pPr>
        <w:pStyle w:val="Textonotapie"/>
        <w:ind w:firstLine="709"/>
        <w:contextualSpacing/>
        <w:jc w:val="both"/>
        <w:rPr>
          <w:rFonts w:ascii="Verdana" w:hAnsi="Verdana"/>
          <w:sz w:val="16"/>
          <w:szCs w:val="16"/>
          <w:lang w:val="es-CO"/>
        </w:rPr>
      </w:pPr>
      <w:r w:rsidRPr="009D0D83">
        <w:rPr>
          <w:rStyle w:val="Refdenotaalpie"/>
          <w:rFonts w:ascii="Verdana" w:hAnsi="Verdana"/>
          <w:sz w:val="16"/>
          <w:szCs w:val="16"/>
        </w:rPr>
        <w:footnoteRef/>
      </w:r>
      <w:r w:rsidRPr="009D0D83">
        <w:rPr>
          <w:rFonts w:ascii="Verdana" w:hAnsi="Verdana"/>
          <w:sz w:val="16"/>
          <w:szCs w:val="16"/>
          <w:lang w:val="es-CO"/>
        </w:rPr>
        <w:t xml:space="preserve"> Consejo de Estado, Sección Tercera, Subsección B. Auto del 4 de octubre de 2024. C.P: Fredy Ibarra Martínez. </w:t>
      </w:r>
      <w:proofErr w:type="spellStart"/>
      <w:r w:rsidRPr="009D0D83">
        <w:rPr>
          <w:rFonts w:ascii="Verdana" w:hAnsi="Verdana"/>
          <w:sz w:val="16"/>
          <w:szCs w:val="16"/>
          <w:lang w:val="es-CO"/>
        </w:rPr>
        <w:t>Exp</w:t>
      </w:r>
      <w:proofErr w:type="spellEnd"/>
      <w:r w:rsidRPr="009D0D83">
        <w:rPr>
          <w:rFonts w:ascii="Verdana" w:hAnsi="Verdana"/>
          <w:sz w:val="16"/>
          <w:szCs w:val="16"/>
          <w:lang w:val="es-CO"/>
        </w:rPr>
        <w:t>. 70.313.</w:t>
      </w:r>
    </w:p>
  </w:footnote>
  <w:footnote w:id="32">
    <w:p w14:paraId="279492AE" w14:textId="77777777" w:rsidR="006803AB" w:rsidRPr="009D0D83" w:rsidRDefault="006803AB" w:rsidP="006803AB">
      <w:pPr>
        <w:pStyle w:val="Textonotapie"/>
        <w:ind w:firstLine="709"/>
        <w:contextualSpacing/>
        <w:jc w:val="both"/>
        <w:rPr>
          <w:rFonts w:ascii="Verdana" w:hAnsi="Verdana"/>
          <w:sz w:val="16"/>
          <w:szCs w:val="16"/>
          <w:lang w:val="es-CO"/>
        </w:rPr>
      </w:pPr>
      <w:r w:rsidRPr="009D0D83">
        <w:rPr>
          <w:rStyle w:val="Refdenotaalpie"/>
          <w:rFonts w:ascii="Verdana" w:hAnsi="Verdana"/>
          <w:sz w:val="16"/>
          <w:szCs w:val="16"/>
        </w:rPr>
        <w:footnoteRef/>
      </w:r>
      <w:r w:rsidRPr="009D0D83">
        <w:rPr>
          <w:rFonts w:ascii="Verdana" w:hAnsi="Verdana"/>
          <w:sz w:val="16"/>
          <w:szCs w:val="16"/>
        </w:rPr>
        <w:t xml:space="preserve"> La parte resolutiva del auto dispone lo siguiente; “</w:t>
      </w:r>
      <w:r w:rsidRPr="009D0D83">
        <w:rPr>
          <w:rFonts w:ascii="Verdana" w:hAnsi="Verdana"/>
          <w:b/>
          <w:sz w:val="16"/>
          <w:szCs w:val="16"/>
          <w:lang w:val="es-CO"/>
        </w:rPr>
        <w:t xml:space="preserve">PRIMERO: DECRETAR </w:t>
      </w:r>
      <w:r w:rsidRPr="009D0D83">
        <w:rPr>
          <w:rFonts w:ascii="Verdana" w:hAnsi="Verdana"/>
          <w:sz w:val="16"/>
          <w:szCs w:val="16"/>
          <w:lang w:val="es-CO"/>
        </w:rPr>
        <w:t xml:space="preserve">la suspensión provisional de los apartes cuestionados del inciso segundo del numeral 16.2 de la Circular Externa única, versión 3 del 27 de diciembre de 2023, expedida por la Agencia Nacional de Contratación Pública – Colombia Compra Eficiente, según el cual </w:t>
      </w:r>
      <w:r w:rsidRPr="009D0D83">
        <w:rPr>
          <w:rFonts w:ascii="Verdana" w:hAnsi="Verdana"/>
          <w:i/>
          <w:sz w:val="16"/>
          <w:szCs w:val="16"/>
          <w:lang w:val="es-CO"/>
        </w:rPr>
        <w:t>“[e]</w:t>
      </w:r>
      <w:proofErr w:type="spellStart"/>
      <w:r w:rsidRPr="009D0D83">
        <w:rPr>
          <w:rFonts w:ascii="Verdana" w:hAnsi="Verdana"/>
          <w:i/>
          <w:sz w:val="16"/>
          <w:szCs w:val="16"/>
          <w:lang w:val="es-CO"/>
        </w:rPr>
        <w:t>sta</w:t>
      </w:r>
      <w:proofErr w:type="spellEnd"/>
      <w:r w:rsidRPr="009D0D83">
        <w:rPr>
          <w:rFonts w:ascii="Verdana" w:hAnsi="Verdana"/>
          <w:i/>
          <w:sz w:val="16"/>
          <w:szCs w:val="16"/>
          <w:lang w:val="es-CO"/>
        </w:rPr>
        <w:t xml:space="preserve">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9D0D83">
        <w:rPr>
          <w:rFonts w:ascii="Verdana" w:hAnsi="Verdana"/>
          <w:sz w:val="16"/>
          <w:szCs w:val="16"/>
          <w:lang w:val="es-CO"/>
        </w:rPr>
        <w:t xml:space="preserve">, por las razones expuestas en precedencia. </w:t>
      </w:r>
    </w:p>
    <w:p w14:paraId="09CBD26A" w14:textId="77777777" w:rsidR="006803AB" w:rsidRPr="009D0D83" w:rsidRDefault="006803AB" w:rsidP="006803AB">
      <w:pPr>
        <w:pStyle w:val="Textonotapie"/>
        <w:ind w:firstLine="709"/>
        <w:contextualSpacing/>
        <w:jc w:val="both"/>
        <w:rPr>
          <w:rFonts w:ascii="Verdana" w:hAnsi="Verdana"/>
          <w:sz w:val="16"/>
          <w:szCs w:val="16"/>
          <w:lang w:val="es-CO"/>
        </w:rPr>
      </w:pPr>
      <w:r w:rsidRPr="009D0D83">
        <w:rPr>
          <w:rFonts w:ascii="Verdana" w:hAnsi="Verdana"/>
          <w:b/>
          <w:sz w:val="16"/>
          <w:szCs w:val="16"/>
          <w:lang w:val="es-CO"/>
        </w:rPr>
        <w:t xml:space="preserve">SEGUNDO: DECRETAR </w:t>
      </w:r>
      <w:r w:rsidRPr="009D0D83">
        <w:rPr>
          <w:rFonts w:ascii="Verdana" w:hAnsi="Verdana"/>
          <w:sz w:val="16"/>
          <w:szCs w:val="16"/>
          <w:lang w:val="es-CO"/>
        </w:rPr>
        <w:t>la suspensión provisional de la expresión “</w:t>
      </w:r>
      <w:r w:rsidRPr="009D0D83">
        <w:rPr>
          <w:rFonts w:ascii="Verdana" w:hAnsi="Verdana"/>
          <w:i/>
          <w:sz w:val="16"/>
          <w:szCs w:val="16"/>
          <w:lang w:val="es-CO"/>
        </w:rPr>
        <w:t>contratos</w:t>
      </w:r>
      <w:r w:rsidRPr="009D0D83">
        <w:rPr>
          <w:rFonts w:ascii="Verdana" w:hAnsi="Verdana"/>
          <w:sz w:val="16"/>
          <w:szCs w:val="16"/>
          <w:lang w:val="es-CO"/>
        </w:rPr>
        <w:t xml:space="preserve">” y del párrafo </w:t>
      </w:r>
      <w:r w:rsidRPr="009D0D83">
        <w:rPr>
          <w:rFonts w:ascii="Verdana" w:hAnsi="Verdana"/>
          <w:i/>
          <w:sz w:val="16"/>
          <w:szCs w:val="16"/>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9D0D83">
        <w:rPr>
          <w:rFonts w:ascii="Verdana" w:hAnsi="Verdana"/>
          <w:sz w:val="16"/>
          <w:szCs w:val="16"/>
          <w:lang w:val="es-CO"/>
        </w:rPr>
        <w:t xml:space="preserve">”,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w:t>
      </w:r>
      <w:proofErr w:type="spellStart"/>
      <w:r w:rsidRPr="009D0D83">
        <w:rPr>
          <w:rFonts w:ascii="Verdana" w:hAnsi="Verdana"/>
          <w:sz w:val="16"/>
          <w:szCs w:val="16"/>
          <w:lang w:val="es-CO"/>
        </w:rPr>
        <w:t>Exp</w:t>
      </w:r>
      <w:proofErr w:type="spellEnd"/>
      <w:r w:rsidRPr="009D0D83">
        <w:rPr>
          <w:rFonts w:ascii="Verdana" w:hAnsi="Verdana"/>
          <w:sz w:val="16"/>
          <w:szCs w:val="16"/>
          <w:lang w:val="es-CO"/>
        </w:rPr>
        <w:t xml:space="preserve">. 72.424. C.P: Fernando Alexei Pardo Flórez. </w:t>
      </w:r>
    </w:p>
  </w:footnote>
  <w:footnote w:id="33">
    <w:p w14:paraId="6B53DEA2" w14:textId="77777777" w:rsidR="006803AB" w:rsidRPr="009D0D83" w:rsidRDefault="006803AB" w:rsidP="006803AB">
      <w:pPr>
        <w:spacing w:after="0" w:line="240" w:lineRule="auto"/>
        <w:ind w:firstLine="709"/>
        <w:contextualSpacing/>
        <w:jc w:val="both"/>
        <w:rPr>
          <w:rFonts w:ascii="Verdana" w:eastAsia="Times New Roman" w:hAnsi="Verdana" w:cs="Times New Roman"/>
          <w:sz w:val="16"/>
          <w:szCs w:val="16"/>
          <w:lang w:eastAsia="es-ES"/>
        </w:rPr>
      </w:pPr>
      <w:r w:rsidRPr="009D0D83">
        <w:rPr>
          <w:rStyle w:val="Refdenotaalpie"/>
          <w:rFonts w:ascii="Verdana" w:hAnsi="Verdana"/>
          <w:sz w:val="16"/>
          <w:szCs w:val="16"/>
        </w:rPr>
        <w:footnoteRef/>
      </w:r>
      <w:r w:rsidRPr="009D0D83">
        <w:rPr>
          <w:rFonts w:ascii="Verdana" w:hAnsi="Verdana"/>
          <w:sz w:val="16"/>
          <w:szCs w:val="16"/>
        </w:rPr>
        <w:t xml:space="preserve"> </w:t>
      </w:r>
      <w:r w:rsidRPr="009D0D83">
        <w:rPr>
          <w:rFonts w:ascii="Verdana" w:eastAsia="Times New Roman" w:hAnsi="Verdana" w:cs="Times New Roman"/>
          <w:sz w:val="16"/>
          <w:szCs w:val="16"/>
          <w:lang w:eastAsia="es-ES"/>
        </w:rPr>
        <w:t xml:space="preserve">Consejo de Estado. Sección Tercera. Subsección B. 17 de octubre de 2025. C.P. Fredy Ibarra Martínez. </w:t>
      </w:r>
      <w:r w:rsidRPr="009D0D83">
        <w:rPr>
          <w:rFonts w:ascii="Verdana" w:hAnsi="Verdana"/>
          <w:sz w:val="16"/>
          <w:szCs w:val="16"/>
        </w:rPr>
        <w:t xml:space="preserve">La parte de la providencia señala: </w:t>
      </w:r>
      <w:r w:rsidRPr="009D0D83">
        <w:rPr>
          <w:rFonts w:ascii="Verdana" w:eastAsia="Times New Roman" w:hAnsi="Verdana" w:cs="Times New Roman"/>
          <w:sz w:val="16"/>
          <w:szCs w:val="16"/>
          <w:lang w:eastAsia="es-ES"/>
        </w:rPr>
        <w:t xml:space="preserve">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roofErr w:type="spellStart"/>
      <w:r w:rsidRPr="009D0D83">
        <w:rPr>
          <w:rFonts w:ascii="Verdana" w:eastAsia="Times New Roman" w:hAnsi="Verdana" w:cs="Times New Roman"/>
          <w:sz w:val="16"/>
          <w:szCs w:val="16"/>
          <w:lang w:eastAsia="es-ES"/>
        </w:rPr>
        <w:t>ii</w:t>
      </w:r>
      <w:proofErr w:type="spellEnd"/>
      <w:r w:rsidRPr="009D0D83">
        <w:rPr>
          <w:rFonts w:ascii="Verdana" w:eastAsia="Times New Roman" w:hAnsi="Verdana" w:cs="Times New Roman"/>
          <w:sz w:val="16"/>
          <w:szCs w:val="16"/>
          <w:lang w:eastAsia="es-ES"/>
        </w:rPr>
        <w:t>)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footnote>
  <w:footnote w:id="34">
    <w:p w14:paraId="0B90DA8D" w14:textId="77777777" w:rsidR="006803AB" w:rsidRPr="009D0D83" w:rsidRDefault="006803AB" w:rsidP="006803AB">
      <w:pPr>
        <w:pStyle w:val="Textonotapie"/>
        <w:ind w:firstLine="709"/>
        <w:jc w:val="both"/>
        <w:rPr>
          <w:rFonts w:ascii="Verdana" w:hAnsi="Verdana"/>
          <w:sz w:val="16"/>
          <w:szCs w:val="16"/>
          <w:lang w:val="es-CO"/>
        </w:rPr>
      </w:pPr>
      <w:r w:rsidRPr="009D0D83">
        <w:rPr>
          <w:rStyle w:val="Refdenotaalpie"/>
          <w:rFonts w:ascii="Verdana" w:hAnsi="Verdana"/>
          <w:sz w:val="16"/>
          <w:szCs w:val="16"/>
        </w:rPr>
        <w:footnoteRef/>
      </w:r>
      <w:r w:rsidRPr="009D0D83">
        <w:rPr>
          <w:rFonts w:ascii="Verdana" w:hAnsi="Verdana"/>
          <w:sz w:val="16"/>
          <w:szCs w:val="16"/>
        </w:rPr>
        <w:t xml:space="preserve"> No </w:t>
      </w:r>
      <w:proofErr w:type="gramStart"/>
      <w:r w:rsidRPr="009D0D83">
        <w:rPr>
          <w:rFonts w:ascii="Verdana" w:hAnsi="Verdana"/>
          <w:sz w:val="16"/>
          <w:szCs w:val="16"/>
        </w:rPr>
        <w:t>obstante</w:t>
      </w:r>
      <w:proofErr w:type="gramEnd"/>
      <w:r w:rsidRPr="009D0D83">
        <w:rPr>
          <w:rFonts w:ascii="Verdana" w:hAnsi="Verdana"/>
          <w:sz w:val="16"/>
          <w:szCs w:val="16"/>
        </w:rPr>
        <w:t xml:space="preserv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footnote>
  <w:footnote w:id="35">
    <w:p w14:paraId="4F1D03B3" w14:textId="77777777" w:rsidR="006803AB" w:rsidRPr="009D0D83" w:rsidRDefault="006803AB" w:rsidP="006803AB">
      <w:pPr>
        <w:pStyle w:val="Textonotapie"/>
        <w:ind w:firstLine="709"/>
        <w:jc w:val="both"/>
        <w:rPr>
          <w:rFonts w:ascii="Verdana" w:hAnsi="Verdana" w:cs="Arial"/>
          <w:color w:val="000000" w:themeColor="text1"/>
          <w:sz w:val="16"/>
          <w:szCs w:val="16"/>
          <w:lang w:val="es-ES"/>
        </w:rPr>
      </w:pPr>
      <w:r w:rsidRPr="009D0D83">
        <w:rPr>
          <w:rStyle w:val="Refdenotaalpie"/>
          <w:rFonts w:ascii="Verdana" w:hAnsi="Verdana" w:cs="Arial"/>
          <w:color w:val="000000" w:themeColor="text1"/>
          <w:sz w:val="16"/>
          <w:szCs w:val="16"/>
        </w:rPr>
        <w:footnoteRef/>
      </w:r>
      <w:r w:rsidRPr="009D0D83">
        <w:rPr>
          <w:rFonts w:ascii="Verdana" w:hAnsi="Verdana" w:cs="Arial"/>
          <w:color w:val="000000" w:themeColor="text1"/>
          <w:sz w:val="16"/>
          <w:szCs w:val="16"/>
        </w:rPr>
        <w:t xml:space="preserve"> </w:t>
      </w:r>
      <w:r w:rsidRPr="009D0D83">
        <w:rPr>
          <w:rFonts w:ascii="Verdana" w:hAnsi="Verdana" w:cs="Arial"/>
          <w:color w:val="000000" w:themeColor="text1"/>
          <w:sz w:val="16"/>
          <w:szCs w:val="16"/>
          <w:lang w:val="es-ES"/>
        </w:rPr>
        <w:t>Para la doctrina, “El arrendamiento es el contrato en virtud del cual una de las partes se obliga a proporcionarle a otra el uso y goce de una cosa, durante cierto tiempo, y ésta a pagar, como contraprestación, un precio determinado.</w:t>
      </w:r>
    </w:p>
    <w:p w14:paraId="2723D7E0" w14:textId="77777777" w:rsidR="006803AB" w:rsidRPr="009D0D83" w:rsidRDefault="006803AB" w:rsidP="006803AB">
      <w:pPr>
        <w:pStyle w:val="Textonotapie"/>
        <w:ind w:firstLine="709"/>
        <w:jc w:val="both"/>
        <w:rPr>
          <w:rFonts w:ascii="Verdana" w:hAnsi="Verdana" w:cs="Arial"/>
          <w:color w:val="000000" w:themeColor="text1"/>
          <w:sz w:val="16"/>
          <w:szCs w:val="16"/>
          <w:lang w:val="es-ES"/>
        </w:rPr>
      </w:pPr>
      <w:r w:rsidRPr="009D0D83">
        <w:rPr>
          <w:rFonts w:ascii="Verdana" w:hAnsi="Verdana" w:cs="Arial"/>
          <w:color w:val="000000" w:themeColor="text1"/>
          <w:sz w:val="16"/>
          <w:szCs w:val="16"/>
          <w:lang w:val="es-ES"/>
        </w:rPr>
        <w:t xml:space="preserve">La parte que proporciona el goce se llama </w:t>
      </w:r>
      <w:r w:rsidRPr="009D0D83">
        <w:rPr>
          <w:rFonts w:ascii="Verdana" w:hAnsi="Verdana" w:cs="Arial"/>
          <w:b/>
          <w:bCs/>
          <w:color w:val="000000" w:themeColor="text1"/>
          <w:sz w:val="16"/>
          <w:szCs w:val="16"/>
          <w:lang w:val="es-ES"/>
        </w:rPr>
        <w:t>arrendador</w:t>
      </w:r>
      <w:r w:rsidRPr="009D0D83">
        <w:rPr>
          <w:rFonts w:ascii="Verdana" w:hAnsi="Verdana" w:cs="Arial"/>
          <w:color w:val="000000" w:themeColor="text1"/>
          <w:sz w:val="16"/>
          <w:szCs w:val="16"/>
          <w:lang w:val="es-ES"/>
        </w:rPr>
        <w:t xml:space="preserve"> y la parte que da el precio </w:t>
      </w:r>
      <w:r w:rsidRPr="009D0D83">
        <w:rPr>
          <w:rFonts w:ascii="Verdana" w:hAnsi="Verdana" w:cs="Arial"/>
          <w:b/>
          <w:bCs/>
          <w:color w:val="000000" w:themeColor="text1"/>
          <w:sz w:val="16"/>
          <w:szCs w:val="16"/>
          <w:lang w:val="es-ES"/>
        </w:rPr>
        <w:t>arrendatario</w:t>
      </w:r>
      <w:r w:rsidRPr="009D0D83">
        <w:rPr>
          <w:rFonts w:ascii="Verdana" w:hAnsi="Verdana" w:cs="Arial"/>
          <w:color w:val="000000" w:themeColor="text1"/>
          <w:sz w:val="16"/>
          <w:szCs w:val="16"/>
          <w:lang w:val="es-ES"/>
        </w:rPr>
        <w:t xml:space="preserve">. También se conoce con el nombre de </w:t>
      </w:r>
      <w:r w:rsidRPr="009D0D83">
        <w:rPr>
          <w:rFonts w:ascii="Verdana" w:hAnsi="Verdana" w:cs="Arial"/>
          <w:b/>
          <w:bCs/>
          <w:color w:val="000000" w:themeColor="text1"/>
          <w:sz w:val="16"/>
          <w:szCs w:val="16"/>
          <w:lang w:val="es-ES"/>
        </w:rPr>
        <w:t>inquilino</w:t>
      </w:r>
      <w:r w:rsidRPr="009D0D83">
        <w:rPr>
          <w:rFonts w:ascii="Verdana" w:hAnsi="Verdana" w:cs="Arial"/>
          <w:color w:val="000000" w:themeColor="text1"/>
          <w:sz w:val="16"/>
          <w:szCs w:val="16"/>
          <w:lang w:val="es-ES"/>
        </w:rPr>
        <w:t xml:space="preserve"> cuando se trata de arrendamiento de casas, almacenes u otros edificios, y </w:t>
      </w:r>
      <w:r w:rsidRPr="009D0D83">
        <w:rPr>
          <w:rFonts w:ascii="Verdana" w:hAnsi="Verdana" w:cs="Arial"/>
          <w:b/>
          <w:bCs/>
          <w:color w:val="000000" w:themeColor="text1"/>
          <w:sz w:val="16"/>
          <w:szCs w:val="16"/>
          <w:lang w:val="es-ES"/>
        </w:rPr>
        <w:t>colono</w:t>
      </w:r>
      <w:r w:rsidRPr="009D0D83">
        <w:rPr>
          <w:rFonts w:ascii="Verdana" w:hAnsi="Verdana" w:cs="Arial"/>
          <w:color w:val="000000" w:themeColor="text1"/>
          <w:sz w:val="16"/>
          <w:szCs w:val="16"/>
          <w:lang w:val="es-ES"/>
        </w:rPr>
        <w:t xml:space="preserve"> cuando el goce radica en predio rústico. Son expresiones que, indistintamente, hace uso el Código Civil, por ejemplo, en los artículos 1977, 2028, 2037, respectivamente” (BONIVENTO FERNANDEZ, José. Los principales contratos civiles y su paralelo con los comerciales. Vigésimo segunda edición. Bogotá: Tirant lo Blanch, 2024. p. 524. Énfasis dentro del texto). </w:t>
      </w:r>
    </w:p>
  </w:footnote>
  <w:footnote w:id="36">
    <w:p w14:paraId="251D6ACB" w14:textId="77777777" w:rsidR="006803AB" w:rsidRPr="009D0D83" w:rsidRDefault="006803AB" w:rsidP="006803AB">
      <w:pPr>
        <w:pStyle w:val="Textonotapie"/>
        <w:ind w:firstLine="708"/>
        <w:jc w:val="both"/>
        <w:rPr>
          <w:rFonts w:ascii="Verdana" w:hAnsi="Verdana" w:cs="Arial"/>
          <w:sz w:val="16"/>
          <w:szCs w:val="16"/>
        </w:rPr>
      </w:pPr>
      <w:r w:rsidRPr="009D0D83">
        <w:rPr>
          <w:rStyle w:val="Refdenotaalpie"/>
          <w:rFonts w:ascii="Verdana" w:hAnsi="Verdana" w:cs="Arial"/>
          <w:sz w:val="16"/>
          <w:szCs w:val="16"/>
        </w:rPr>
        <w:footnoteRef/>
      </w:r>
      <w:r w:rsidRPr="009D0D83">
        <w:rPr>
          <w:rFonts w:ascii="Verdana" w:hAnsi="Verdana" w:cs="Arial"/>
          <w:sz w:val="16"/>
          <w:szCs w:val="16"/>
        </w:rPr>
        <w:t xml:space="preserve"> Lo anterior bajo el régimen del derecho privado, sin perjuicio de que cuando se trata de un contrato estatal deben cumplirse los requisitos de perfeccionamiento establecidos en el artículo 41 de la Ley 80 de 1993.</w:t>
      </w:r>
    </w:p>
  </w:footnote>
  <w:footnote w:id="37">
    <w:p w14:paraId="7496ACFC" w14:textId="77777777" w:rsidR="006803AB" w:rsidRPr="009D0D83" w:rsidRDefault="006803AB" w:rsidP="006803AB">
      <w:pPr>
        <w:pStyle w:val="Textonotapie"/>
        <w:ind w:firstLine="709"/>
        <w:jc w:val="both"/>
        <w:rPr>
          <w:rFonts w:ascii="Verdana" w:hAnsi="Verdana" w:cs="Arial"/>
          <w:color w:val="000000" w:themeColor="text1"/>
          <w:sz w:val="16"/>
          <w:szCs w:val="16"/>
        </w:rPr>
      </w:pPr>
      <w:r w:rsidRPr="009D0D83">
        <w:rPr>
          <w:rStyle w:val="Refdenotaalpie"/>
          <w:rFonts w:ascii="Verdana" w:hAnsi="Verdana" w:cs="Arial"/>
          <w:color w:val="000000" w:themeColor="text1"/>
          <w:sz w:val="16"/>
          <w:szCs w:val="16"/>
        </w:rPr>
        <w:footnoteRef/>
      </w:r>
      <w:r w:rsidRPr="009D0D83">
        <w:rPr>
          <w:rFonts w:ascii="Verdana" w:hAnsi="Verdana" w:cs="Arial"/>
          <w:color w:val="000000" w:themeColor="text1"/>
          <w:sz w:val="16"/>
          <w:szCs w:val="16"/>
        </w:rPr>
        <w:t xml:space="preserve"> </w:t>
      </w:r>
      <w:r w:rsidRPr="009D0D83">
        <w:rPr>
          <w:rFonts w:ascii="Verdana" w:hAnsi="Verdana" w:cs="Arial"/>
          <w:i/>
          <w:iCs/>
          <w:color w:val="000000" w:themeColor="text1"/>
          <w:sz w:val="16"/>
          <w:szCs w:val="16"/>
        </w:rPr>
        <w:t>Ibidem</w:t>
      </w:r>
      <w:r w:rsidRPr="009D0D83">
        <w:rPr>
          <w:rFonts w:ascii="Verdana" w:hAnsi="Verdana" w:cs="Arial"/>
          <w:color w:val="000000" w:themeColor="text1"/>
          <w:sz w:val="16"/>
          <w:szCs w:val="16"/>
        </w:rPr>
        <w:t>. pp. 569-570.</w:t>
      </w:r>
    </w:p>
  </w:footnote>
  <w:footnote w:id="38">
    <w:p w14:paraId="53772513" w14:textId="77777777" w:rsidR="006803AB" w:rsidRPr="004674CF" w:rsidRDefault="006803AB" w:rsidP="006803AB">
      <w:pPr>
        <w:pStyle w:val="Textonotapie"/>
        <w:ind w:firstLine="708"/>
        <w:jc w:val="both"/>
        <w:rPr>
          <w:rFonts w:ascii="Arial" w:hAnsi="Arial" w:cs="Arial"/>
          <w:sz w:val="16"/>
          <w:szCs w:val="16"/>
        </w:rPr>
      </w:pPr>
      <w:r w:rsidRPr="004674CF">
        <w:rPr>
          <w:rStyle w:val="Refdenotaalpie"/>
          <w:rFonts w:ascii="Verdana" w:hAnsi="Verdana" w:cs="Arial"/>
          <w:sz w:val="16"/>
          <w:szCs w:val="16"/>
        </w:rPr>
        <w:footnoteRef/>
      </w:r>
      <w:r w:rsidRPr="004674CF">
        <w:rPr>
          <w:rFonts w:ascii="Verdana" w:hAnsi="Verdana" w:cs="Arial"/>
          <w:sz w:val="16"/>
          <w:szCs w:val="16"/>
        </w:rPr>
        <w:t xml:space="preserve"> Colombia Compra Eficiente. Circular Externa Única. Numeral 15.5.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pt;height:12.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4CA4EFE"/>
    <w:multiLevelType w:val="hybridMultilevel"/>
    <w:tmpl w:val="535A062C"/>
    <w:lvl w:ilvl="0" w:tplc="0C0A52FC">
      <w:start w:val="1"/>
      <w:numFmt w:val="bullet"/>
      <w:lvlText w:val="•"/>
      <w:lvlJc w:val="left"/>
      <w:pPr>
        <w:tabs>
          <w:tab w:val="num" w:pos="720"/>
        </w:tabs>
        <w:ind w:left="720" w:hanging="360"/>
      </w:pPr>
      <w:rPr>
        <w:rFonts w:ascii="Arial" w:hAnsi="Arial" w:hint="default"/>
      </w:rPr>
    </w:lvl>
    <w:lvl w:ilvl="1" w:tplc="ECE23108" w:tentative="1">
      <w:start w:val="1"/>
      <w:numFmt w:val="bullet"/>
      <w:lvlText w:val="•"/>
      <w:lvlJc w:val="left"/>
      <w:pPr>
        <w:tabs>
          <w:tab w:val="num" w:pos="1440"/>
        </w:tabs>
        <w:ind w:left="1440" w:hanging="360"/>
      </w:pPr>
      <w:rPr>
        <w:rFonts w:ascii="Arial" w:hAnsi="Arial" w:hint="default"/>
      </w:rPr>
    </w:lvl>
    <w:lvl w:ilvl="2" w:tplc="5E0E9E88" w:tentative="1">
      <w:start w:val="1"/>
      <w:numFmt w:val="bullet"/>
      <w:lvlText w:val="•"/>
      <w:lvlJc w:val="left"/>
      <w:pPr>
        <w:tabs>
          <w:tab w:val="num" w:pos="2160"/>
        </w:tabs>
        <w:ind w:left="2160" w:hanging="360"/>
      </w:pPr>
      <w:rPr>
        <w:rFonts w:ascii="Arial" w:hAnsi="Arial" w:hint="default"/>
      </w:rPr>
    </w:lvl>
    <w:lvl w:ilvl="3" w:tplc="35927F38" w:tentative="1">
      <w:start w:val="1"/>
      <w:numFmt w:val="bullet"/>
      <w:lvlText w:val="•"/>
      <w:lvlJc w:val="left"/>
      <w:pPr>
        <w:tabs>
          <w:tab w:val="num" w:pos="2880"/>
        </w:tabs>
        <w:ind w:left="2880" w:hanging="360"/>
      </w:pPr>
      <w:rPr>
        <w:rFonts w:ascii="Arial" w:hAnsi="Arial" w:hint="default"/>
      </w:rPr>
    </w:lvl>
    <w:lvl w:ilvl="4" w:tplc="1CAC6EF0" w:tentative="1">
      <w:start w:val="1"/>
      <w:numFmt w:val="bullet"/>
      <w:lvlText w:val="•"/>
      <w:lvlJc w:val="left"/>
      <w:pPr>
        <w:tabs>
          <w:tab w:val="num" w:pos="3600"/>
        </w:tabs>
        <w:ind w:left="3600" w:hanging="360"/>
      </w:pPr>
      <w:rPr>
        <w:rFonts w:ascii="Arial" w:hAnsi="Arial" w:hint="default"/>
      </w:rPr>
    </w:lvl>
    <w:lvl w:ilvl="5" w:tplc="664865F0" w:tentative="1">
      <w:start w:val="1"/>
      <w:numFmt w:val="bullet"/>
      <w:lvlText w:val="•"/>
      <w:lvlJc w:val="left"/>
      <w:pPr>
        <w:tabs>
          <w:tab w:val="num" w:pos="4320"/>
        </w:tabs>
        <w:ind w:left="4320" w:hanging="360"/>
      </w:pPr>
      <w:rPr>
        <w:rFonts w:ascii="Arial" w:hAnsi="Arial" w:hint="default"/>
      </w:rPr>
    </w:lvl>
    <w:lvl w:ilvl="6" w:tplc="29840596" w:tentative="1">
      <w:start w:val="1"/>
      <w:numFmt w:val="bullet"/>
      <w:lvlText w:val="•"/>
      <w:lvlJc w:val="left"/>
      <w:pPr>
        <w:tabs>
          <w:tab w:val="num" w:pos="5040"/>
        </w:tabs>
        <w:ind w:left="5040" w:hanging="360"/>
      </w:pPr>
      <w:rPr>
        <w:rFonts w:ascii="Arial" w:hAnsi="Arial" w:hint="default"/>
      </w:rPr>
    </w:lvl>
    <w:lvl w:ilvl="7" w:tplc="B95EFAC0" w:tentative="1">
      <w:start w:val="1"/>
      <w:numFmt w:val="bullet"/>
      <w:lvlText w:val="•"/>
      <w:lvlJc w:val="left"/>
      <w:pPr>
        <w:tabs>
          <w:tab w:val="num" w:pos="5760"/>
        </w:tabs>
        <w:ind w:left="5760" w:hanging="360"/>
      </w:pPr>
      <w:rPr>
        <w:rFonts w:ascii="Arial" w:hAnsi="Arial" w:hint="default"/>
      </w:rPr>
    </w:lvl>
    <w:lvl w:ilvl="8" w:tplc="2DAC8E9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5D54189"/>
    <w:multiLevelType w:val="hybridMultilevel"/>
    <w:tmpl w:val="41C69838"/>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66451640">
    <w:abstractNumId w:val="7"/>
  </w:num>
  <w:num w:numId="2" w16cid:durableId="933245255">
    <w:abstractNumId w:val="2"/>
  </w:num>
  <w:num w:numId="3" w16cid:durableId="49766697">
    <w:abstractNumId w:val="5"/>
  </w:num>
  <w:num w:numId="4" w16cid:durableId="14216767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85208001">
    <w:abstractNumId w:val="2"/>
  </w:num>
  <w:num w:numId="6" w16cid:durableId="1450735969">
    <w:abstractNumId w:val="15"/>
  </w:num>
  <w:num w:numId="7" w16cid:durableId="1537623536">
    <w:abstractNumId w:val="6"/>
  </w:num>
  <w:num w:numId="8" w16cid:durableId="983853787">
    <w:abstractNumId w:val="14"/>
  </w:num>
  <w:num w:numId="9" w16cid:durableId="517548656">
    <w:abstractNumId w:val="8"/>
  </w:num>
  <w:num w:numId="10" w16cid:durableId="1304578704">
    <w:abstractNumId w:val="13"/>
  </w:num>
  <w:num w:numId="11" w16cid:durableId="571965150">
    <w:abstractNumId w:val="9"/>
  </w:num>
  <w:num w:numId="12" w16cid:durableId="811407802">
    <w:abstractNumId w:val="1"/>
  </w:num>
  <w:num w:numId="13" w16cid:durableId="1881548214">
    <w:abstractNumId w:val="4"/>
  </w:num>
  <w:num w:numId="14" w16cid:durableId="1686445045">
    <w:abstractNumId w:val="16"/>
  </w:num>
  <w:num w:numId="15" w16cid:durableId="197473870">
    <w:abstractNumId w:val="12"/>
  </w:num>
  <w:num w:numId="16" w16cid:durableId="171535358">
    <w:abstractNumId w:val="0"/>
  </w:num>
  <w:num w:numId="17" w16cid:durableId="1357002944">
    <w:abstractNumId w:val="10"/>
  </w:num>
  <w:num w:numId="18" w16cid:durableId="867136376">
    <w:abstractNumId w:val="11"/>
  </w:num>
  <w:num w:numId="19" w16cid:durableId="299385740">
    <w:abstractNumId w:val="3"/>
  </w:num>
  <w:num w:numId="20" w16cid:durableId="129540168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452B"/>
    <w:rsid w:val="0001041D"/>
    <w:rsid w:val="00015FCF"/>
    <w:rsid w:val="00016F78"/>
    <w:rsid w:val="00033FA1"/>
    <w:rsid w:val="00046945"/>
    <w:rsid w:val="00056DA8"/>
    <w:rsid w:val="00061B2A"/>
    <w:rsid w:val="00081367"/>
    <w:rsid w:val="00082362"/>
    <w:rsid w:val="000825A6"/>
    <w:rsid w:val="00095DAE"/>
    <w:rsid w:val="000A683E"/>
    <w:rsid w:val="000B19B9"/>
    <w:rsid w:val="000D0334"/>
    <w:rsid w:val="000D5040"/>
    <w:rsid w:val="000D5DA7"/>
    <w:rsid w:val="000F4BC5"/>
    <w:rsid w:val="000F4EFB"/>
    <w:rsid w:val="000F6486"/>
    <w:rsid w:val="00102203"/>
    <w:rsid w:val="00116940"/>
    <w:rsid w:val="00125105"/>
    <w:rsid w:val="00127233"/>
    <w:rsid w:val="0012746B"/>
    <w:rsid w:val="00127474"/>
    <w:rsid w:val="00136E2E"/>
    <w:rsid w:val="0015699B"/>
    <w:rsid w:val="00164F92"/>
    <w:rsid w:val="00164FB3"/>
    <w:rsid w:val="00186DE9"/>
    <w:rsid w:val="001967FD"/>
    <w:rsid w:val="001A33BF"/>
    <w:rsid w:val="001A65C5"/>
    <w:rsid w:val="001A786D"/>
    <w:rsid w:val="001E194B"/>
    <w:rsid w:val="001E4177"/>
    <w:rsid w:val="001E5EA0"/>
    <w:rsid w:val="001F0B24"/>
    <w:rsid w:val="001F7DC6"/>
    <w:rsid w:val="0020079E"/>
    <w:rsid w:val="0022400B"/>
    <w:rsid w:val="00226CC2"/>
    <w:rsid w:val="002421BB"/>
    <w:rsid w:val="0024692A"/>
    <w:rsid w:val="0025796E"/>
    <w:rsid w:val="00261121"/>
    <w:rsid w:val="00263FAD"/>
    <w:rsid w:val="002707A2"/>
    <w:rsid w:val="00272A28"/>
    <w:rsid w:val="002826F0"/>
    <w:rsid w:val="002845F4"/>
    <w:rsid w:val="002857D9"/>
    <w:rsid w:val="00293441"/>
    <w:rsid w:val="002951A0"/>
    <w:rsid w:val="002962BC"/>
    <w:rsid w:val="002A093D"/>
    <w:rsid w:val="002A0DD0"/>
    <w:rsid w:val="002A49AC"/>
    <w:rsid w:val="002A5E3E"/>
    <w:rsid w:val="002A64FD"/>
    <w:rsid w:val="002A760C"/>
    <w:rsid w:val="002C5725"/>
    <w:rsid w:val="002C7A84"/>
    <w:rsid w:val="002E2BF8"/>
    <w:rsid w:val="002E4FD9"/>
    <w:rsid w:val="002E60E4"/>
    <w:rsid w:val="002F3CDF"/>
    <w:rsid w:val="0030657A"/>
    <w:rsid w:val="00322A85"/>
    <w:rsid w:val="00324168"/>
    <w:rsid w:val="00330834"/>
    <w:rsid w:val="003318AB"/>
    <w:rsid w:val="00341304"/>
    <w:rsid w:val="003448F4"/>
    <w:rsid w:val="00355EA0"/>
    <w:rsid w:val="003604F5"/>
    <w:rsid w:val="00374F5E"/>
    <w:rsid w:val="00377E3E"/>
    <w:rsid w:val="003A779E"/>
    <w:rsid w:val="003B2F20"/>
    <w:rsid w:val="003C5B9E"/>
    <w:rsid w:val="003C64B8"/>
    <w:rsid w:val="003D0F4D"/>
    <w:rsid w:val="003D1CF9"/>
    <w:rsid w:val="003D5B0D"/>
    <w:rsid w:val="003E0499"/>
    <w:rsid w:val="003E4F80"/>
    <w:rsid w:val="003E6439"/>
    <w:rsid w:val="003E6646"/>
    <w:rsid w:val="003F0A7D"/>
    <w:rsid w:val="003F3941"/>
    <w:rsid w:val="00401590"/>
    <w:rsid w:val="00406575"/>
    <w:rsid w:val="00414C74"/>
    <w:rsid w:val="00417B5B"/>
    <w:rsid w:val="0042722E"/>
    <w:rsid w:val="00437377"/>
    <w:rsid w:val="0044158F"/>
    <w:rsid w:val="0044528D"/>
    <w:rsid w:val="00447D22"/>
    <w:rsid w:val="00461D39"/>
    <w:rsid w:val="00466302"/>
    <w:rsid w:val="00466E39"/>
    <w:rsid w:val="004674CF"/>
    <w:rsid w:val="00473BEB"/>
    <w:rsid w:val="0048398A"/>
    <w:rsid w:val="00494C69"/>
    <w:rsid w:val="0049570F"/>
    <w:rsid w:val="004A0320"/>
    <w:rsid w:val="004A1847"/>
    <w:rsid w:val="004A305D"/>
    <w:rsid w:val="004A6099"/>
    <w:rsid w:val="004B7D74"/>
    <w:rsid w:val="004C1120"/>
    <w:rsid w:val="004C446E"/>
    <w:rsid w:val="004D3BDD"/>
    <w:rsid w:val="004D420F"/>
    <w:rsid w:val="004E71EE"/>
    <w:rsid w:val="004F1C0A"/>
    <w:rsid w:val="004F21C4"/>
    <w:rsid w:val="004F685F"/>
    <w:rsid w:val="005154AE"/>
    <w:rsid w:val="0053199F"/>
    <w:rsid w:val="005461C4"/>
    <w:rsid w:val="005566E8"/>
    <w:rsid w:val="00574867"/>
    <w:rsid w:val="00580BC6"/>
    <w:rsid w:val="00585673"/>
    <w:rsid w:val="00591460"/>
    <w:rsid w:val="00597A19"/>
    <w:rsid w:val="005A1150"/>
    <w:rsid w:val="005A65E0"/>
    <w:rsid w:val="005B0452"/>
    <w:rsid w:val="005B189F"/>
    <w:rsid w:val="005B4B74"/>
    <w:rsid w:val="005C008F"/>
    <w:rsid w:val="005C3777"/>
    <w:rsid w:val="005C5CDC"/>
    <w:rsid w:val="005C6BC8"/>
    <w:rsid w:val="005D476C"/>
    <w:rsid w:val="005E6B20"/>
    <w:rsid w:val="005F181C"/>
    <w:rsid w:val="00614323"/>
    <w:rsid w:val="006200BF"/>
    <w:rsid w:val="006219F8"/>
    <w:rsid w:val="006229C7"/>
    <w:rsid w:val="006302F7"/>
    <w:rsid w:val="00646B9F"/>
    <w:rsid w:val="00656F96"/>
    <w:rsid w:val="00662D62"/>
    <w:rsid w:val="00665485"/>
    <w:rsid w:val="00665D70"/>
    <w:rsid w:val="006769BD"/>
    <w:rsid w:val="006803AB"/>
    <w:rsid w:val="00686C01"/>
    <w:rsid w:val="006900D9"/>
    <w:rsid w:val="006C04F1"/>
    <w:rsid w:val="006D5A89"/>
    <w:rsid w:val="006D76F7"/>
    <w:rsid w:val="006E2BF4"/>
    <w:rsid w:val="00706C16"/>
    <w:rsid w:val="00721364"/>
    <w:rsid w:val="0073108D"/>
    <w:rsid w:val="007317FA"/>
    <w:rsid w:val="007340C3"/>
    <w:rsid w:val="00737DF0"/>
    <w:rsid w:val="0075235A"/>
    <w:rsid w:val="00752490"/>
    <w:rsid w:val="00756841"/>
    <w:rsid w:val="007649AB"/>
    <w:rsid w:val="00771D0C"/>
    <w:rsid w:val="00771E47"/>
    <w:rsid w:val="007744FB"/>
    <w:rsid w:val="007829E1"/>
    <w:rsid w:val="007833AC"/>
    <w:rsid w:val="0078433B"/>
    <w:rsid w:val="00792AB0"/>
    <w:rsid w:val="007A153F"/>
    <w:rsid w:val="007B268C"/>
    <w:rsid w:val="007B7171"/>
    <w:rsid w:val="007C0C0F"/>
    <w:rsid w:val="007C3DC2"/>
    <w:rsid w:val="007D3968"/>
    <w:rsid w:val="007E0EF2"/>
    <w:rsid w:val="007E5497"/>
    <w:rsid w:val="007F019B"/>
    <w:rsid w:val="007F0FED"/>
    <w:rsid w:val="00806F5F"/>
    <w:rsid w:val="00815B83"/>
    <w:rsid w:val="008160D9"/>
    <w:rsid w:val="00817856"/>
    <w:rsid w:val="00820169"/>
    <w:rsid w:val="00820278"/>
    <w:rsid w:val="00824114"/>
    <w:rsid w:val="008258C9"/>
    <w:rsid w:val="00826EE8"/>
    <w:rsid w:val="00844AE9"/>
    <w:rsid w:val="0085430E"/>
    <w:rsid w:val="00861467"/>
    <w:rsid w:val="00867F95"/>
    <w:rsid w:val="008835B4"/>
    <w:rsid w:val="008843B6"/>
    <w:rsid w:val="00891928"/>
    <w:rsid w:val="008934CB"/>
    <w:rsid w:val="00895356"/>
    <w:rsid w:val="008A1896"/>
    <w:rsid w:val="008A446D"/>
    <w:rsid w:val="008B104D"/>
    <w:rsid w:val="008B25F1"/>
    <w:rsid w:val="008B49DE"/>
    <w:rsid w:val="008C098E"/>
    <w:rsid w:val="008C571F"/>
    <w:rsid w:val="008C5A84"/>
    <w:rsid w:val="008D180B"/>
    <w:rsid w:val="008E17DE"/>
    <w:rsid w:val="008E72AF"/>
    <w:rsid w:val="008E7CAD"/>
    <w:rsid w:val="008F0EA7"/>
    <w:rsid w:val="008F327E"/>
    <w:rsid w:val="008F3366"/>
    <w:rsid w:val="00920937"/>
    <w:rsid w:val="00923EEF"/>
    <w:rsid w:val="009305DC"/>
    <w:rsid w:val="009419F9"/>
    <w:rsid w:val="0095685E"/>
    <w:rsid w:val="00960121"/>
    <w:rsid w:val="00961B09"/>
    <w:rsid w:val="00965334"/>
    <w:rsid w:val="0097093E"/>
    <w:rsid w:val="00973E63"/>
    <w:rsid w:val="00990BF1"/>
    <w:rsid w:val="009A027F"/>
    <w:rsid w:val="009A0DFA"/>
    <w:rsid w:val="009A1C6F"/>
    <w:rsid w:val="009B2D26"/>
    <w:rsid w:val="009B651B"/>
    <w:rsid w:val="009B7652"/>
    <w:rsid w:val="009C71FA"/>
    <w:rsid w:val="009C72E7"/>
    <w:rsid w:val="009C7F7E"/>
    <w:rsid w:val="009D0D83"/>
    <w:rsid w:val="009D3058"/>
    <w:rsid w:val="009E6333"/>
    <w:rsid w:val="009F27AB"/>
    <w:rsid w:val="009F3A13"/>
    <w:rsid w:val="00A07EBF"/>
    <w:rsid w:val="00A1025E"/>
    <w:rsid w:val="00A122D3"/>
    <w:rsid w:val="00A14468"/>
    <w:rsid w:val="00A17F13"/>
    <w:rsid w:val="00A20739"/>
    <w:rsid w:val="00A218FA"/>
    <w:rsid w:val="00A23AF9"/>
    <w:rsid w:val="00A33C78"/>
    <w:rsid w:val="00A41D37"/>
    <w:rsid w:val="00A63F17"/>
    <w:rsid w:val="00A83161"/>
    <w:rsid w:val="00A86E5C"/>
    <w:rsid w:val="00A95DA4"/>
    <w:rsid w:val="00AB0ADB"/>
    <w:rsid w:val="00AC47E2"/>
    <w:rsid w:val="00AD67E7"/>
    <w:rsid w:val="00B00C0E"/>
    <w:rsid w:val="00B01B1A"/>
    <w:rsid w:val="00B0381D"/>
    <w:rsid w:val="00B13882"/>
    <w:rsid w:val="00B14F11"/>
    <w:rsid w:val="00B14F36"/>
    <w:rsid w:val="00B44A47"/>
    <w:rsid w:val="00B45051"/>
    <w:rsid w:val="00B72CD3"/>
    <w:rsid w:val="00B72FFF"/>
    <w:rsid w:val="00B7443D"/>
    <w:rsid w:val="00B944AA"/>
    <w:rsid w:val="00B95ED8"/>
    <w:rsid w:val="00BA15D8"/>
    <w:rsid w:val="00BA7A2E"/>
    <w:rsid w:val="00BC3D36"/>
    <w:rsid w:val="00BD54A6"/>
    <w:rsid w:val="00BD7F72"/>
    <w:rsid w:val="00BE0FC4"/>
    <w:rsid w:val="00BF58CD"/>
    <w:rsid w:val="00BF6651"/>
    <w:rsid w:val="00BF7425"/>
    <w:rsid w:val="00BF78B9"/>
    <w:rsid w:val="00C04FB3"/>
    <w:rsid w:val="00C11D8B"/>
    <w:rsid w:val="00C15139"/>
    <w:rsid w:val="00C330EB"/>
    <w:rsid w:val="00C46EE5"/>
    <w:rsid w:val="00C50D69"/>
    <w:rsid w:val="00C5365C"/>
    <w:rsid w:val="00C63036"/>
    <w:rsid w:val="00C67C8B"/>
    <w:rsid w:val="00C729D3"/>
    <w:rsid w:val="00C754BE"/>
    <w:rsid w:val="00C76B1C"/>
    <w:rsid w:val="00C925AC"/>
    <w:rsid w:val="00C9323E"/>
    <w:rsid w:val="00C9400D"/>
    <w:rsid w:val="00C946BF"/>
    <w:rsid w:val="00C958D1"/>
    <w:rsid w:val="00CA0E68"/>
    <w:rsid w:val="00CB4E0C"/>
    <w:rsid w:val="00CB6357"/>
    <w:rsid w:val="00CC1B26"/>
    <w:rsid w:val="00CD6067"/>
    <w:rsid w:val="00CE4589"/>
    <w:rsid w:val="00CE72C3"/>
    <w:rsid w:val="00CF4861"/>
    <w:rsid w:val="00CF6ED5"/>
    <w:rsid w:val="00D13C5D"/>
    <w:rsid w:val="00D14E75"/>
    <w:rsid w:val="00D16C15"/>
    <w:rsid w:val="00D31EC6"/>
    <w:rsid w:val="00D350D3"/>
    <w:rsid w:val="00D361FD"/>
    <w:rsid w:val="00D417C8"/>
    <w:rsid w:val="00D423A2"/>
    <w:rsid w:val="00D439FC"/>
    <w:rsid w:val="00D44E26"/>
    <w:rsid w:val="00D520D8"/>
    <w:rsid w:val="00D53F94"/>
    <w:rsid w:val="00D63AC2"/>
    <w:rsid w:val="00D7383B"/>
    <w:rsid w:val="00D7788A"/>
    <w:rsid w:val="00DA231B"/>
    <w:rsid w:val="00DC39FC"/>
    <w:rsid w:val="00DD0992"/>
    <w:rsid w:val="00DD4F85"/>
    <w:rsid w:val="00DF3F1B"/>
    <w:rsid w:val="00DF5254"/>
    <w:rsid w:val="00E02524"/>
    <w:rsid w:val="00E16408"/>
    <w:rsid w:val="00E20894"/>
    <w:rsid w:val="00E22A1A"/>
    <w:rsid w:val="00E245AB"/>
    <w:rsid w:val="00E2764C"/>
    <w:rsid w:val="00E27F2E"/>
    <w:rsid w:val="00E35083"/>
    <w:rsid w:val="00E5016B"/>
    <w:rsid w:val="00E50AFE"/>
    <w:rsid w:val="00E54809"/>
    <w:rsid w:val="00E56EE8"/>
    <w:rsid w:val="00E60AD8"/>
    <w:rsid w:val="00E75C92"/>
    <w:rsid w:val="00E760D9"/>
    <w:rsid w:val="00E771DC"/>
    <w:rsid w:val="00E8252C"/>
    <w:rsid w:val="00E83EFE"/>
    <w:rsid w:val="00E8772A"/>
    <w:rsid w:val="00E90AC3"/>
    <w:rsid w:val="00E90F6B"/>
    <w:rsid w:val="00E92C27"/>
    <w:rsid w:val="00EA0E3D"/>
    <w:rsid w:val="00EA4B5D"/>
    <w:rsid w:val="00EB0E94"/>
    <w:rsid w:val="00EC101D"/>
    <w:rsid w:val="00EC38A7"/>
    <w:rsid w:val="00EE1AA8"/>
    <w:rsid w:val="00F04FFA"/>
    <w:rsid w:val="00F12FAC"/>
    <w:rsid w:val="00F163B0"/>
    <w:rsid w:val="00F16BC8"/>
    <w:rsid w:val="00F23FEA"/>
    <w:rsid w:val="00F31A4A"/>
    <w:rsid w:val="00F31EDC"/>
    <w:rsid w:val="00F45DD2"/>
    <w:rsid w:val="00F462B3"/>
    <w:rsid w:val="00F5664F"/>
    <w:rsid w:val="00F624DD"/>
    <w:rsid w:val="00F666C4"/>
    <w:rsid w:val="00F7339B"/>
    <w:rsid w:val="00F76AFC"/>
    <w:rsid w:val="00FA3E17"/>
    <w:rsid w:val="00FA47C0"/>
    <w:rsid w:val="00FB2271"/>
    <w:rsid w:val="00FB5DD1"/>
    <w:rsid w:val="00FC2B5D"/>
    <w:rsid w:val="00FD63E7"/>
    <w:rsid w:val="00FF1449"/>
    <w:rsid w:val="00FF1C5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03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53F9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53F94"/>
    <w:rPr>
      <w:rFonts w:ascii="Geomanist Light" w:hAnsi="Geomanist Light"/>
      <w:lang w:val="es-ES"/>
    </w:rPr>
  </w:style>
  <w:style w:type="character" w:customStyle="1" w:styleId="s15">
    <w:name w:val="s15"/>
    <w:basedOn w:val="Fuentedeprrafopredeter"/>
    <w:rsid w:val="00D53F94"/>
  </w:style>
  <w:style w:type="paragraph" w:styleId="Textoindependiente">
    <w:name w:val="Body Text"/>
    <w:basedOn w:val="Normal"/>
    <w:link w:val="TextoindependienteCar"/>
    <w:uiPriority w:val="1"/>
    <w:qFormat/>
    <w:rsid w:val="00D53F94"/>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D53F94"/>
    <w:rPr>
      <w:rFonts w:ascii="Verdana" w:eastAsia="Verdana" w:hAnsi="Verdana" w:cs="Verdana"/>
      <w:lang w:val="es-ES"/>
    </w:rPr>
  </w:style>
  <w:style w:type="character" w:customStyle="1" w:styleId="NormalWebCar">
    <w:name w:val="Normal (Web) Car"/>
    <w:link w:val="NormalWeb"/>
    <w:uiPriority w:val="99"/>
    <w:locked/>
    <w:rsid w:val="00D53F94"/>
    <w:rPr>
      <w:rFonts w:ascii="Times New Roman" w:eastAsia="Times New Roman" w:hAnsi="Times New Roman" w:cs="Times New Roman"/>
      <w:sz w:val="24"/>
      <w:szCs w:val="24"/>
      <w:lang w:eastAsia="es-CO"/>
    </w:rPr>
  </w:style>
  <w:style w:type="character" w:customStyle="1" w:styleId="baj">
    <w:name w:val="b_aj"/>
    <w:basedOn w:val="Fuentedeprrafopredeter"/>
    <w:rsid w:val="00D53F94"/>
  </w:style>
  <w:style w:type="character" w:styleId="Refdecomentario">
    <w:name w:val="annotation reference"/>
    <w:basedOn w:val="Fuentedeprrafopredeter"/>
    <w:uiPriority w:val="99"/>
    <w:semiHidden/>
    <w:unhideWhenUsed/>
    <w:rsid w:val="008F327E"/>
    <w:rPr>
      <w:sz w:val="16"/>
      <w:szCs w:val="16"/>
    </w:rPr>
  </w:style>
  <w:style w:type="paragraph" w:styleId="Textocomentario">
    <w:name w:val="annotation text"/>
    <w:basedOn w:val="Normal"/>
    <w:link w:val="TextocomentarioCar"/>
    <w:uiPriority w:val="99"/>
    <w:unhideWhenUsed/>
    <w:rsid w:val="008F327E"/>
    <w:pPr>
      <w:spacing w:line="240" w:lineRule="auto"/>
    </w:pPr>
    <w:rPr>
      <w:sz w:val="20"/>
      <w:szCs w:val="20"/>
    </w:rPr>
  </w:style>
  <w:style w:type="character" w:customStyle="1" w:styleId="TextocomentarioCar">
    <w:name w:val="Texto comentario Car"/>
    <w:basedOn w:val="Fuentedeprrafopredeter"/>
    <w:link w:val="Textocomentario"/>
    <w:uiPriority w:val="99"/>
    <w:rsid w:val="008F327E"/>
    <w:rPr>
      <w:sz w:val="20"/>
      <w:szCs w:val="20"/>
    </w:rPr>
  </w:style>
  <w:style w:type="paragraph" w:styleId="Asuntodelcomentario">
    <w:name w:val="annotation subject"/>
    <w:basedOn w:val="Textocomentario"/>
    <w:next w:val="Textocomentario"/>
    <w:link w:val="AsuntodelcomentarioCar"/>
    <w:uiPriority w:val="99"/>
    <w:semiHidden/>
    <w:unhideWhenUsed/>
    <w:rsid w:val="008F327E"/>
    <w:rPr>
      <w:b/>
      <w:bCs/>
    </w:rPr>
  </w:style>
  <w:style w:type="character" w:customStyle="1" w:styleId="AsuntodelcomentarioCar">
    <w:name w:val="Asunto del comentario Car"/>
    <w:basedOn w:val="TextocomentarioCar"/>
    <w:link w:val="Asuntodelcomentario"/>
    <w:uiPriority w:val="99"/>
    <w:semiHidden/>
    <w:rsid w:val="008F327E"/>
    <w:rPr>
      <w:b/>
      <w:bCs/>
      <w:sz w:val="20"/>
      <w:szCs w:val="20"/>
    </w:rPr>
  </w:style>
  <w:style w:type="table" w:customStyle="1" w:styleId="Tablaconcuadrcula1">
    <w:name w:val="Tabla con cuadrícula1"/>
    <w:basedOn w:val="Tablanormal"/>
    <w:next w:val="Tablaconcuadrcula"/>
    <w:uiPriority w:val="39"/>
    <w:qFormat/>
    <w:rsid w:val="009305D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CE72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jefejuridica@indev-yopal.gov.co" TargetMode="External"/><Relationship Id="rId17" Type="http://schemas.openxmlformats.org/officeDocument/2006/relationships/hyperlink" Target="https://forms.office.com/r/pPHyWVs2SZ" TargetMode="External"/><Relationship Id="rId2" Type="http://schemas.openxmlformats.org/officeDocument/2006/relationships/customXml" Target="../customXml/item2.xml"/><Relationship Id="rId16" Type="http://schemas.openxmlformats.org/officeDocument/2006/relationships/hyperlink" Target="https://www.colombiacompra.gov.co/pqrsd/informacion-importante-antes-de-formular-una-pqrs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mailto:ventanilladeradicacion@colombiacompra.gov.co"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5B3E8576-9026-46BB-984A-A4D71494ABB4}">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980D7D2-B1F3-4773-B688-14C68F1254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49</TotalTime>
  <Pages>37</Pages>
  <Words>12892</Words>
  <Characters>69875</Characters>
  <Application>Microsoft Office Word</Application>
  <DocSecurity>0</DocSecurity>
  <Lines>1270</Lines>
  <Paragraphs>211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2026-02-22T21:12:00Z</dcterms:created>
  <dcterms:modified xsi:type="dcterms:W3CDTF">2026-02-24T14:11:00Z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