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44CB3" w14:textId="77777777" w:rsidR="005F4C77" w:rsidRDefault="005F4C77" w:rsidP="005F4C77">
      <w:pPr>
        <w:spacing w:after="0" w:line="240" w:lineRule="auto"/>
        <w:jc w:val="both"/>
        <w:rPr>
          <w:rFonts w:ascii="Verdana" w:hAnsi="Verdana" w:cs="Arial"/>
          <w:b/>
          <w:bCs/>
          <w:lang w:val="es-MX" w:eastAsia="es-ES_tradnl"/>
        </w:rPr>
      </w:pPr>
      <w:r w:rsidRPr="00A249CD">
        <w:rPr>
          <w:rFonts w:ascii="Verdana" w:hAnsi="Verdana" w:cs="Arial"/>
          <w:b/>
          <w:bCs/>
          <w:lang w:val="es-MX" w:eastAsia="es-ES_tradnl"/>
        </w:rPr>
        <w:t>LEY DE GARANTÍAS ELECTORALES ‒ Finalidad</w:t>
      </w:r>
    </w:p>
    <w:p w14:paraId="50EF603E" w14:textId="77777777" w:rsidR="005F4C77" w:rsidRDefault="005F4C77" w:rsidP="005F4C77">
      <w:pPr>
        <w:spacing w:after="0" w:line="240" w:lineRule="auto"/>
        <w:jc w:val="both"/>
        <w:rPr>
          <w:rFonts w:ascii="Verdana" w:hAnsi="Verdana" w:cs="Arial"/>
          <w:b/>
          <w:bCs/>
          <w:lang w:val="es-MX" w:eastAsia="es-ES_tradnl"/>
        </w:rPr>
      </w:pPr>
    </w:p>
    <w:p w14:paraId="0A4C15F9" w14:textId="77777777" w:rsidR="005F4C77" w:rsidRDefault="005F4C77" w:rsidP="005F4C77">
      <w:pPr>
        <w:spacing w:after="0" w:line="240" w:lineRule="auto"/>
        <w:jc w:val="both"/>
        <w:rPr>
          <w:rFonts w:ascii="Verdana" w:eastAsia="Times New Roman" w:hAnsi="Verdana" w:cs="Arial"/>
          <w:bCs/>
          <w:sz w:val="20"/>
          <w:szCs w:val="20"/>
          <w:lang w:eastAsia="es-CO"/>
        </w:rPr>
      </w:pPr>
      <w:r w:rsidRPr="00A249CD">
        <w:rPr>
          <w:rFonts w:ascii="Verdana" w:eastAsia="Times New Roman" w:hAnsi="Verdana" w:cs="Arial"/>
          <w:bCs/>
          <w:sz w:val="20"/>
          <w:szCs w:val="20"/>
          <w:lang w:eastAsia="es-CO"/>
        </w:rPr>
        <w:t>La Ley 996 de 2005, conocida como “Ley de Garantías Electorales”, tiene como propósito evitar la injerencia inadecuada de intereses particulares en el ejercicio de la función pública. Esta ley busca evitar cualquier tipo de arbitrariedad, de ventaja injustificada, de uso irregular de los recursos del Estado en las campañas o falta de garantías en la elección presidencial</w:t>
      </w:r>
      <w:r>
        <w:rPr>
          <w:rFonts w:ascii="Verdana" w:eastAsia="Times New Roman" w:hAnsi="Verdana" w:cs="Arial"/>
          <w:bCs/>
          <w:sz w:val="20"/>
          <w:szCs w:val="20"/>
          <w:lang w:eastAsia="es-CO"/>
        </w:rPr>
        <w:t>.</w:t>
      </w:r>
    </w:p>
    <w:p w14:paraId="1AFEBFC4" w14:textId="77777777" w:rsidR="005F4C77" w:rsidRDefault="005F4C77" w:rsidP="005F4C77">
      <w:pPr>
        <w:spacing w:after="0" w:line="240" w:lineRule="auto"/>
        <w:jc w:val="both"/>
        <w:rPr>
          <w:rFonts w:ascii="Verdana" w:eastAsia="Times New Roman" w:hAnsi="Verdana" w:cs="Arial"/>
          <w:sz w:val="20"/>
          <w:szCs w:val="20"/>
          <w:lang w:val="es-MX" w:eastAsia="x-none"/>
        </w:rPr>
      </w:pPr>
    </w:p>
    <w:p w14:paraId="3A0F8D48" w14:textId="77777777" w:rsidR="005F4C77" w:rsidRPr="000855C8" w:rsidRDefault="005F4C77" w:rsidP="005F4C77">
      <w:pPr>
        <w:spacing w:after="0" w:line="240" w:lineRule="auto"/>
        <w:jc w:val="both"/>
        <w:rPr>
          <w:rFonts w:ascii="Verdana" w:eastAsia="Times New Roman" w:hAnsi="Verdana" w:cs="Arial"/>
          <w:b/>
          <w:bCs/>
          <w:lang w:eastAsia="es-ES_tradnl"/>
        </w:rPr>
      </w:pPr>
      <w:r w:rsidRPr="000855C8">
        <w:rPr>
          <w:rFonts w:ascii="Verdana" w:eastAsia="Times New Roman" w:hAnsi="Verdana" w:cs="Arial"/>
          <w:b/>
          <w:bCs/>
          <w:lang w:eastAsia="es-ES_tradnl"/>
        </w:rPr>
        <w:t>DECRETO 092 DE 2017 – Finalidad – Clases de contratos</w:t>
      </w:r>
    </w:p>
    <w:p w14:paraId="01ABDD26" w14:textId="77777777" w:rsidR="005F4C77" w:rsidRDefault="005F4C77" w:rsidP="005F4C77">
      <w:pPr>
        <w:spacing w:after="0" w:line="240" w:lineRule="auto"/>
        <w:jc w:val="both"/>
        <w:rPr>
          <w:rFonts w:ascii="Verdana" w:eastAsia="Calibri" w:hAnsi="Verdana" w:cs="Arial"/>
          <w:lang w:val="es-ES"/>
        </w:rPr>
      </w:pPr>
    </w:p>
    <w:p w14:paraId="394FB40D" w14:textId="77777777" w:rsidR="005F4C77" w:rsidRPr="000855C8" w:rsidRDefault="005F4C77" w:rsidP="005F4C7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0855C8">
        <w:rPr>
          <w:rFonts w:ascii="Verdana" w:eastAsia="Calibri" w:hAnsi="Verdana" w:cs="Arial"/>
          <w:sz w:val="20"/>
          <w:szCs w:val="20"/>
          <w:lang w:val="es-ES"/>
        </w:rPr>
        <w:t>ii</w:t>
      </w:r>
      <w:proofErr w:type="spellEnd"/>
      <w:r w:rsidRPr="000855C8">
        <w:rPr>
          <w:rFonts w:ascii="Verdana" w:eastAsia="Calibri" w:hAnsi="Verdana" w:cs="Arial"/>
          <w:sz w:val="20"/>
          <w:szCs w:val="20"/>
          <w:lang w:val="es-ES"/>
        </w:rPr>
        <w:t xml:space="preserve">) los convenios de asociación, para el desarrollo conjunto de actividades relacionadas con las funciones de las entidades estatales, en desarrollo del artículo 96 de la Ley 489 de 1998. </w:t>
      </w:r>
    </w:p>
    <w:p w14:paraId="41BB27DF" w14:textId="77777777" w:rsidR="005F4C77" w:rsidRDefault="005F4C77" w:rsidP="005F4C77">
      <w:pPr>
        <w:spacing w:after="0" w:line="240" w:lineRule="auto"/>
        <w:jc w:val="both"/>
        <w:rPr>
          <w:rFonts w:ascii="Verdana" w:eastAsia="Times New Roman" w:hAnsi="Verdana" w:cs="Arial"/>
          <w:b/>
          <w:bCs/>
          <w:lang w:eastAsia="es-ES_tradnl"/>
        </w:rPr>
      </w:pPr>
    </w:p>
    <w:p w14:paraId="43F57BFD" w14:textId="77777777" w:rsidR="005F4C77" w:rsidRPr="000855C8" w:rsidRDefault="005F4C77" w:rsidP="005F4C77">
      <w:pPr>
        <w:spacing w:after="0" w:line="240" w:lineRule="auto"/>
        <w:jc w:val="both"/>
        <w:rPr>
          <w:rFonts w:ascii="Verdana" w:eastAsia="Calibri" w:hAnsi="Verdana" w:cs="Arial"/>
          <w:b/>
          <w:bCs/>
          <w:lang w:val="es-ES"/>
        </w:rPr>
      </w:pPr>
      <w:r w:rsidRPr="000855C8">
        <w:rPr>
          <w:rFonts w:ascii="Verdana" w:eastAsia="Times New Roman" w:hAnsi="Verdana" w:cs="Arial"/>
          <w:b/>
          <w:bCs/>
          <w:lang w:eastAsia="es-ES_tradnl"/>
        </w:rPr>
        <w:t>CONTRATACIÓN CON ESAL – Contrato de colaboración – Objeto – Alcance</w:t>
      </w:r>
    </w:p>
    <w:p w14:paraId="3BA27AEB" w14:textId="77777777" w:rsidR="005F4C77" w:rsidRDefault="005F4C77" w:rsidP="005F4C77">
      <w:pPr>
        <w:spacing w:after="0" w:line="240" w:lineRule="auto"/>
        <w:jc w:val="both"/>
        <w:rPr>
          <w:rFonts w:ascii="Verdana" w:eastAsia="Calibri" w:hAnsi="Verdana" w:cs="Arial"/>
          <w:sz w:val="20"/>
          <w:szCs w:val="20"/>
          <w:lang w:val="es-ES"/>
        </w:rPr>
      </w:pPr>
    </w:p>
    <w:p w14:paraId="63525353" w14:textId="77777777" w:rsidR="005F4C77" w:rsidRPr="000855C8" w:rsidRDefault="005F4C77" w:rsidP="005F4C7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 xml:space="preserve">Los </w:t>
      </w:r>
      <w:r w:rsidRPr="000855C8">
        <w:rPr>
          <w:rFonts w:ascii="Verdana" w:eastAsia="Calibri" w:hAnsi="Verdana" w:cs="Arial"/>
          <w:i/>
          <w:iCs/>
          <w:sz w:val="20"/>
          <w:szCs w:val="20"/>
          <w:lang w:val="es-ES"/>
        </w:rPr>
        <w:t>contratos del artículo 355 de la Constitución Política</w:t>
      </w:r>
      <w:r w:rsidRPr="000855C8">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68537BB4" w14:textId="77777777" w:rsidR="005F4C77" w:rsidRPr="000855C8" w:rsidRDefault="005F4C77" w:rsidP="005F4C77">
      <w:pPr>
        <w:spacing w:after="0" w:line="240" w:lineRule="auto"/>
        <w:jc w:val="both"/>
        <w:rPr>
          <w:rFonts w:ascii="Verdana" w:eastAsia="Times New Roman" w:hAnsi="Verdana" w:cs="Arial"/>
          <w:sz w:val="20"/>
          <w:szCs w:val="20"/>
          <w:lang w:val="es-ES" w:eastAsia="x-none"/>
        </w:rPr>
      </w:pPr>
    </w:p>
    <w:p w14:paraId="65BD9F73" w14:textId="77777777" w:rsidR="005F4C77" w:rsidRDefault="005F4C77" w:rsidP="005F4C77">
      <w:pPr>
        <w:spacing w:after="0" w:line="240" w:lineRule="auto"/>
        <w:jc w:val="both"/>
        <w:rPr>
          <w:rFonts w:ascii="Verdana" w:eastAsia="Calibri" w:hAnsi="Verdana" w:cs="Arial"/>
          <w:sz w:val="20"/>
          <w:szCs w:val="20"/>
          <w:lang w:val="es-ES"/>
        </w:rPr>
      </w:pPr>
      <w:r w:rsidRPr="000855C8">
        <w:rPr>
          <w:rFonts w:ascii="Verdana" w:eastAsia="Calibri" w:hAnsi="Verdana" w:cs="Arial"/>
          <w:sz w:val="20"/>
          <w:szCs w:val="20"/>
          <w:lang w:val="es-ES"/>
        </w:rPr>
        <w:t>Para celebrar estos contratos, según lo establece el artículo 3 del Decreto 092 de 2017, por regla general, la entidad debe adelantar un proceso competitivo para seleccionar la entidad sin ánimo de lucro contratista</w:t>
      </w:r>
      <w:r>
        <w:rPr>
          <w:rFonts w:ascii="Verdana" w:eastAsia="Calibri" w:hAnsi="Verdana" w:cs="Arial"/>
          <w:sz w:val="20"/>
          <w:szCs w:val="20"/>
          <w:lang w:val="es-ES"/>
        </w:rPr>
        <w:t>.</w:t>
      </w:r>
    </w:p>
    <w:p w14:paraId="369AF0AB" w14:textId="77777777" w:rsidR="005F4C77" w:rsidRDefault="005F4C77" w:rsidP="005F4C77">
      <w:pPr>
        <w:spacing w:after="0" w:line="240" w:lineRule="auto"/>
        <w:jc w:val="both"/>
        <w:rPr>
          <w:rFonts w:ascii="Verdana" w:eastAsia="Calibri" w:hAnsi="Verdana" w:cs="Arial"/>
          <w:sz w:val="20"/>
          <w:szCs w:val="20"/>
          <w:lang w:val="es-ES"/>
        </w:rPr>
      </w:pPr>
    </w:p>
    <w:p w14:paraId="710FAD8E" w14:textId="77777777" w:rsidR="005F4C77" w:rsidRPr="001D68DC" w:rsidRDefault="005F4C77" w:rsidP="005F4C77">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t>[…] Ahora bien, por disposición del artículo 4 del Decreto 092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001D68DC">
        <w:rPr>
          <w:rFonts w:ascii="Verdana" w:eastAsia="Calibri" w:hAnsi="Verdana" w:cs="Arial"/>
          <w:sz w:val="20"/>
          <w:szCs w:val="20"/>
          <w:lang w:val="es-ES"/>
        </w:rPr>
        <w:t>ii</w:t>
      </w:r>
      <w:proofErr w:type="spellEnd"/>
      <w:r w:rsidRPr="001D68DC">
        <w:rPr>
          <w:rFonts w:ascii="Verdana" w:eastAsia="Calibri" w:hAnsi="Verdana" w:cs="Arial"/>
          <w:sz w:val="20"/>
          <w:szCs w:val="20"/>
          <w:lang w:val="es-ES"/>
        </w:rPr>
        <w:t>) definición de un plazo razonable para que las entidades privadas sin ánimo de lucro de reconocida idoneidad presenten a la Entidad Estatal sus ofertas y los documentos que acrediten su idoneidad, y (</w:t>
      </w:r>
      <w:proofErr w:type="spellStart"/>
      <w:r w:rsidRPr="001D68DC">
        <w:rPr>
          <w:rFonts w:ascii="Verdana" w:eastAsia="Calibri" w:hAnsi="Verdana" w:cs="Arial"/>
          <w:sz w:val="20"/>
          <w:szCs w:val="20"/>
          <w:lang w:val="es-ES"/>
        </w:rPr>
        <w:t>iii</w:t>
      </w:r>
      <w:proofErr w:type="spellEnd"/>
      <w:r w:rsidRPr="001D68DC">
        <w:rPr>
          <w:rFonts w:ascii="Verdana" w:eastAsia="Calibri" w:hAnsi="Verdana" w:cs="Arial"/>
          <w:sz w:val="20"/>
          <w:szCs w:val="20"/>
          <w:lang w:val="es-ES"/>
        </w:rPr>
        <w:t xml:space="preserve">) evaluación de las ofertas por parte de la Entidad Estatal teniendo en cuenta los criterios definidos para el efecto. </w:t>
      </w:r>
    </w:p>
    <w:p w14:paraId="01820DD6" w14:textId="77777777" w:rsidR="005F4C77" w:rsidRPr="001D68DC" w:rsidRDefault="005F4C77" w:rsidP="005F4C77">
      <w:pPr>
        <w:spacing w:after="0" w:line="240" w:lineRule="auto"/>
        <w:jc w:val="both"/>
        <w:rPr>
          <w:rFonts w:ascii="Verdana" w:eastAsia="Calibri" w:hAnsi="Verdana" w:cs="Arial"/>
          <w:sz w:val="20"/>
          <w:szCs w:val="20"/>
          <w:lang w:val="es-ES"/>
        </w:rPr>
      </w:pPr>
      <w:r w:rsidRPr="001D68DC">
        <w:rPr>
          <w:rFonts w:ascii="Verdana" w:eastAsia="Calibri" w:hAnsi="Verdana" w:cs="Arial"/>
          <w:sz w:val="20"/>
          <w:szCs w:val="20"/>
          <w:lang w:val="es-ES"/>
        </w:rPr>
        <w:t xml:space="preserve">De acuerdo con esto, la celebración de los contratos los que se refiere el artículo 355 superior, regidos por los artículos 2, 3 y 4 del Decreto 092 de 2017, no se afecta por la </w:t>
      </w:r>
      <w:r w:rsidRPr="001D68DC">
        <w:rPr>
          <w:rFonts w:ascii="Verdana" w:eastAsia="Calibri" w:hAnsi="Verdana" w:cs="Arial"/>
          <w:sz w:val="20"/>
          <w:szCs w:val="20"/>
          <w:lang w:val="es-ES"/>
        </w:rPr>
        <w:lastRenderedPageBreak/>
        <w:t xml:space="preserve">restricción del artículo 33 de la Ley 996 de 2005, en la medida en que su suscripción debe darse previo desarrollo de proceso competitivo.  </w:t>
      </w:r>
    </w:p>
    <w:p w14:paraId="755977EC" w14:textId="77777777" w:rsidR="005F4C77" w:rsidRPr="001D68DC" w:rsidRDefault="005F4C77" w:rsidP="005F4C77">
      <w:pPr>
        <w:spacing w:after="0" w:line="240" w:lineRule="auto"/>
        <w:jc w:val="both"/>
        <w:rPr>
          <w:rFonts w:ascii="Verdana" w:eastAsia="Times New Roman" w:hAnsi="Verdana" w:cs="Arial"/>
          <w:sz w:val="20"/>
          <w:szCs w:val="20"/>
          <w:lang w:val="es-ES" w:eastAsia="x-none"/>
        </w:rPr>
      </w:pPr>
    </w:p>
    <w:p w14:paraId="5C000EEA" w14:textId="77777777" w:rsidR="00AB5073" w:rsidRDefault="00AB5073" w:rsidP="005F4C77">
      <w:pPr>
        <w:spacing w:after="0" w:line="240" w:lineRule="auto"/>
        <w:jc w:val="both"/>
        <w:rPr>
          <w:rFonts w:ascii="Verdana" w:eastAsia="Times New Roman" w:hAnsi="Verdana" w:cs="Arial"/>
          <w:b/>
          <w:bCs/>
          <w:lang w:eastAsia="es-ES_tradnl"/>
        </w:rPr>
      </w:pPr>
      <w:r w:rsidRPr="00AB5073">
        <w:rPr>
          <w:rFonts w:ascii="Verdana" w:eastAsia="Times New Roman" w:hAnsi="Verdana" w:cs="Arial"/>
          <w:b/>
          <w:bCs/>
          <w:lang w:eastAsia="es-ES_tradnl"/>
        </w:rPr>
        <w:t xml:space="preserve">LEY DE GARANTÍAS - Aplicación a procesos a contratación con ESALES </w:t>
      </w:r>
    </w:p>
    <w:p w14:paraId="514D8F85" w14:textId="77777777" w:rsidR="00AB5073" w:rsidRDefault="00AB5073" w:rsidP="005F4C77">
      <w:pPr>
        <w:spacing w:after="0" w:line="240" w:lineRule="auto"/>
        <w:jc w:val="both"/>
        <w:rPr>
          <w:rFonts w:ascii="Verdana" w:eastAsia="Times New Roman" w:hAnsi="Verdana" w:cs="Arial"/>
          <w:b/>
          <w:bCs/>
          <w:lang w:eastAsia="es-ES_tradnl"/>
        </w:rPr>
      </w:pPr>
    </w:p>
    <w:p w14:paraId="12D809D4" w14:textId="77777777" w:rsidR="0054026C" w:rsidRDefault="0054026C" w:rsidP="0054026C">
      <w:pPr>
        <w:spacing w:after="0" w:line="240" w:lineRule="auto"/>
        <w:jc w:val="both"/>
        <w:rPr>
          <w:rFonts w:ascii="Verdana" w:eastAsia="Calibri" w:hAnsi="Verdana" w:cs="Arial"/>
          <w:color w:val="000000" w:themeColor="text1"/>
          <w:sz w:val="20"/>
          <w:szCs w:val="20"/>
        </w:rPr>
      </w:pPr>
      <w:r w:rsidRPr="0054026C">
        <w:rPr>
          <w:rFonts w:ascii="Verdana" w:eastAsia="Calibri" w:hAnsi="Verdana" w:cs="Arial"/>
          <w:color w:val="000000" w:themeColor="text1"/>
          <w:sz w:val="20"/>
          <w:szCs w:val="20"/>
        </w:rPr>
        <w:t xml:space="preserve">En respuesta al objeto de la consulta se debe advertir que ni la prohibición del artículo 33 de la Ley 996 de 2005, ni la consagrada en el parágrafo del artículo 38, son aplicables a los procedimientos competitivos que se adelanten en desarrollo de lo dispuesto en el Decreto 092 de 2017. Debido a esto, es posible afirmar que, en los periodos prelectorales durante los que rigen tales restricciones, las entidades estatales a las que se refiere dicha reglamentación pueden adelantar con normalidad procesos competitivos para la contratación u asociación con entidades privadas sin ánimo de lucro, garantizando selección objetiva y pluralidad de oferentes. </w:t>
      </w:r>
    </w:p>
    <w:p w14:paraId="4B4AF58B" w14:textId="77777777" w:rsidR="0054026C" w:rsidRPr="0054026C" w:rsidRDefault="0054026C" w:rsidP="0054026C">
      <w:pPr>
        <w:spacing w:after="0" w:line="240" w:lineRule="auto"/>
        <w:jc w:val="both"/>
        <w:rPr>
          <w:rFonts w:ascii="Verdana" w:eastAsia="Calibri" w:hAnsi="Verdana" w:cs="Arial"/>
          <w:color w:val="000000" w:themeColor="text1"/>
          <w:sz w:val="20"/>
          <w:szCs w:val="20"/>
        </w:rPr>
      </w:pPr>
    </w:p>
    <w:p w14:paraId="21B60CC1" w14:textId="04FDC537" w:rsidR="005F4C77" w:rsidRDefault="0054026C" w:rsidP="0054026C">
      <w:pPr>
        <w:spacing w:after="0" w:line="240" w:lineRule="auto"/>
        <w:jc w:val="both"/>
        <w:rPr>
          <w:rFonts w:ascii="Verdana" w:eastAsia="Calibri" w:hAnsi="Verdana" w:cs="Arial"/>
          <w:color w:val="000000" w:themeColor="text1"/>
          <w:sz w:val="20"/>
          <w:szCs w:val="20"/>
        </w:rPr>
      </w:pPr>
      <w:r w:rsidRPr="0054026C">
        <w:rPr>
          <w:rFonts w:ascii="Verdana" w:eastAsia="Calibri" w:hAnsi="Verdana" w:cs="Arial"/>
          <w:color w:val="000000" w:themeColor="text1"/>
          <w:sz w:val="20"/>
          <w:szCs w:val="20"/>
        </w:rPr>
        <w:t xml:space="preserve">Lo anterior comoquiera que, la restricción del artículo 33 se aplica únicamente a la “contratación directa”, la cual se refiere a “cualquier sistema que no implique convocatoria pública y posibilidad de pluralidad de oferentes”, definición que excluye las tanto a las modalidades de selección competitivas previstas en el artículo 2 de la Ley 1150 de 2007, es decir, la licitación pública, la selección abreviada, el concurso de méritos y la mínima cuantía, así como a los procesos con pluralidad de oferentes contemplados en normas especiales, como, por ejemplo, los artículos 4 y 5 del Decreto 092 de 2017. Tampoco resulta aplicable la prohibición prevista en el parágrafo del artículo 38, en la medida que, lo que esta proscribe es que los Alcaldes, Gobernadores, Secretarios, Gerentes y Directores de las entidades del orden municipal, departamental o distrital celebren convenios interadministrativos para la ejecución de recursos públicos durante el periodo prelectoral, supuesto de hecho que no se configura respecto de la contratación  a la que se refieren los artículos 355 superior y 96 de la Ley 489 de 1998, reglamentada por el Decreto 092 de 2017, en la medida en que, en los negocios jurídicos que regula dicha normativa, uno de los extremos de la relación es una entidad sin ánimo de lucro de naturaleza privada, lo que significa que no son convenios interadministrativos.   </w:t>
      </w:r>
    </w:p>
    <w:p w14:paraId="6014107E" w14:textId="77777777" w:rsidR="005F4C77" w:rsidRDefault="005F4C77" w:rsidP="005F4C77">
      <w:pPr>
        <w:rPr>
          <w:rFonts w:ascii="Verdana" w:hAnsi="Verdana"/>
        </w:rPr>
      </w:pPr>
    </w:p>
    <w:p w14:paraId="7CC99D71" w14:textId="77777777" w:rsidR="005F4C77" w:rsidRDefault="005F4C77" w:rsidP="005F4C77">
      <w:pPr>
        <w:rPr>
          <w:rFonts w:ascii="Verdana" w:hAnsi="Verdana"/>
        </w:rPr>
      </w:pPr>
    </w:p>
    <w:p w14:paraId="34305B93" w14:textId="77777777" w:rsidR="0054026C" w:rsidRDefault="0054026C" w:rsidP="005F4C77">
      <w:pPr>
        <w:rPr>
          <w:rFonts w:ascii="Verdana" w:hAnsi="Verdana"/>
        </w:rPr>
      </w:pPr>
    </w:p>
    <w:p w14:paraId="32603976" w14:textId="77777777" w:rsidR="0054026C" w:rsidRDefault="0054026C" w:rsidP="005F4C77">
      <w:pPr>
        <w:rPr>
          <w:rFonts w:ascii="Verdana" w:hAnsi="Verdana"/>
        </w:rPr>
      </w:pPr>
    </w:p>
    <w:p w14:paraId="19AFB5D8" w14:textId="77777777" w:rsidR="0054026C" w:rsidRDefault="0054026C" w:rsidP="005F4C77">
      <w:pPr>
        <w:rPr>
          <w:rFonts w:ascii="Verdana" w:hAnsi="Verdana"/>
        </w:rPr>
      </w:pPr>
    </w:p>
    <w:p w14:paraId="5DA9F8ED" w14:textId="77777777" w:rsidR="005F4C77" w:rsidRDefault="005F4C77" w:rsidP="005F4C77">
      <w:pPr>
        <w:rPr>
          <w:rFonts w:ascii="Verdana" w:hAnsi="Verdana"/>
        </w:rPr>
      </w:pPr>
    </w:p>
    <w:p w14:paraId="1E37B2CA" w14:textId="77777777" w:rsidR="00AB5073" w:rsidRDefault="00AB5073" w:rsidP="005F4C77">
      <w:pPr>
        <w:rPr>
          <w:rFonts w:ascii="Verdana" w:hAnsi="Verdana"/>
        </w:rPr>
      </w:pPr>
    </w:p>
    <w:p w14:paraId="5CBF861F" w14:textId="77777777" w:rsidR="005F4C77" w:rsidRDefault="005F4C77" w:rsidP="005F4C77">
      <w:pPr>
        <w:rPr>
          <w:rFonts w:ascii="Verdana" w:hAnsi="Verdana"/>
        </w:rPr>
      </w:pPr>
    </w:p>
    <w:p w14:paraId="1A395472" w14:textId="08C4FD4A" w:rsidR="00890E1B" w:rsidRDefault="00890E1B" w:rsidP="00890E1B">
      <w:pPr>
        <w:spacing w:after="0" w:line="240" w:lineRule="auto"/>
        <w:rPr>
          <w:rFonts w:ascii="Verdana" w:eastAsia="Geomanist Light" w:hAnsi="Verdana" w:cs="Arial"/>
        </w:rPr>
      </w:pPr>
      <w:r w:rsidRPr="00960F72">
        <w:rPr>
          <w:rFonts w:ascii="Verdana" w:eastAsia="Geomanist Light" w:hAnsi="Verdana" w:cs="Arial"/>
        </w:rPr>
        <w:lastRenderedPageBreak/>
        <w:t>Bogotá D.C., </w:t>
      </w:r>
      <w:r w:rsidR="007F4444">
        <w:rPr>
          <w:rFonts w:ascii="Verdana" w:eastAsia="Geomanist Light" w:hAnsi="Verdana" w:cs="Arial"/>
        </w:rPr>
        <w:t>15 de enero de 2026</w:t>
      </w:r>
    </w:p>
    <w:p w14:paraId="02BCB982" w14:textId="77777777" w:rsidR="007F4444" w:rsidRDefault="007F4444" w:rsidP="00890E1B">
      <w:pPr>
        <w:spacing w:after="0" w:line="240" w:lineRule="auto"/>
        <w:rPr>
          <w:rFonts w:ascii="Verdana" w:eastAsia="Geomanist Light" w:hAnsi="Verdana" w:cs="Arial"/>
        </w:rPr>
      </w:pPr>
    </w:p>
    <w:p w14:paraId="40576C14" w14:textId="6D9E1E3F" w:rsidR="007F4444" w:rsidRPr="00960F72" w:rsidRDefault="0072359F" w:rsidP="0072359F">
      <w:pPr>
        <w:spacing w:after="0" w:line="240" w:lineRule="auto"/>
        <w:jc w:val="right"/>
        <w:rPr>
          <w:rFonts w:ascii="Verdana" w:eastAsia="Calibri" w:hAnsi="Verdana" w:cs="Arial"/>
          <w:bCs/>
          <w:sz w:val="20"/>
          <w:szCs w:val="20"/>
          <w:lang w:eastAsia="es-ES_tradnl"/>
        </w:rPr>
      </w:pPr>
      <w:r w:rsidRPr="0072359F">
        <w:rPr>
          <w:rFonts w:ascii="Verdana" w:eastAsia="Calibri" w:hAnsi="Verdana" w:cs="Arial"/>
          <w:bCs/>
          <w:sz w:val="20"/>
          <w:szCs w:val="20"/>
          <w:lang w:eastAsia="es-ES_tradnl"/>
        </w:rPr>
        <w:drawing>
          <wp:inline distT="0" distB="0" distL="0" distR="0" wp14:anchorId="65FB5477" wp14:editId="75E4438D">
            <wp:extent cx="3391373" cy="981212"/>
            <wp:effectExtent l="0" t="0" r="0" b="9525"/>
            <wp:docPr id="10339357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35751" name=""/>
                    <pic:cNvPicPr/>
                  </pic:nvPicPr>
                  <pic:blipFill>
                    <a:blip r:embed="rId10"/>
                    <a:stretch>
                      <a:fillRect/>
                    </a:stretch>
                  </pic:blipFill>
                  <pic:spPr>
                    <a:xfrm>
                      <a:off x="0" y="0"/>
                      <a:ext cx="3391373" cy="981212"/>
                    </a:xfrm>
                    <a:prstGeom prst="rect">
                      <a:avLst/>
                    </a:prstGeom>
                  </pic:spPr>
                </pic:pic>
              </a:graphicData>
            </a:graphic>
          </wp:inline>
        </w:drawing>
      </w:r>
    </w:p>
    <w:p w14:paraId="24696B2A" w14:textId="77777777" w:rsidR="00890E1B" w:rsidRDefault="00890E1B" w:rsidP="00890E1B">
      <w:pPr>
        <w:spacing w:after="0" w:line="240" w:lineRule="auto"/>
        <w:jc w:val="both"/>
        <w:rPr>
          <w:rFonts w:ascii="Verdana" w:eastAsia="Calibri" w:hAnsi="Verdana" w:cs="Arial"/>
        </w:rPr>
      </w:pPr>
    </w:p>
    <w:p w14:paraId="7B40E440" w14:textId="77777777" w:rsidR="00890E1B" w:rsidRDefault="00890E1B" w:rsidP="00890E1B">
      <w:pPr>
        <w:spacing w:after="0" w:line="240" w:lineRule="auto"/>
        <w:jc w:val="both"/>
        <w:rPr>
          <w:rFonts w:ascii="Verdana" w:eastAsia="Calibri" w:hAnsi="Verdana" w:cs="Arial"/>
        </w:rPr>
      </w:pPr>
    </w:p>
    <w:p w14:paraId="03815BB9" w14:textId="77777777" w:rsidR="00890E1B" w:rsidRPr="00960F72" w:rsidRDefault="00890E1B" w:rsidP="00890E1B">
      <w:pPr>
        <w:spacing w:after="0" w:line="240" w:lineRule="auto"/>
        <w:jc w:val="both"/>
        <w:rPr>
          <w:rFonts w:ascii="Verdana" w:eastAsia="Calibri" w:hAnsi="Verdana" w:cs="Arial"/>
        </w:rPr>
      </w:pPr>
    </w:p>
    <w:p w14:paraId="14A86E0C" w14:textId="77777777" w:rsidR="00890E1B" w:rsidRPr="00A518F4" w:rsidRDefault="00890E1B" w:rsidP="00890E1B">
      <w:pPr>
        <w:spacing w:after="0" w:line="240" w:lineRule="auto"/>
        <w:jc w:val="both"/>
        <w:rPr>
          <w:rFonts w:ascii="Verdana" w:eastAsia="Calibri" w:hAnsi="Verdana" w:cs="Arial"/>
          <w:lang w:eastAsia="es-ES"/>
        </w:rPr>
      </w:pPr>
      <w:r w:rsidRPr="00A518F4">
        <w:rPr>
          <w:rFonts w:ascii="Verdana" w:eastAsia="Calibri" w:hAnsi="Verdana" w:cs="Arial"/>
          <w:lang w:eastAsia="es-ES"/>
        </w:rPr>
        <w:t>Señor</w:t>
      </w:r>
    </w:p>
    <w:p w14:paraId="1C9291C9" w14:textId="77777777" w:rsidR="00890E1B" w:rsidRDefault="00890E1B" w:rsidP="00890E1B">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Fernando José </w:t>
      </w:r>
      <w:r w:rsidRPr="21FECA91">
        <w:rPr>
          <w:rFonts w:ascii="Verdana" w:eastAsia="Calibri" w:hAnsi="Verdana" w:cs="Arial"/>
          <w:b/>
          <w:bCs/>
          <w:lang w:eastAsia="es-ES"/>
        </w:rPr>
        <w:t>Gutiérrez</w:t>
      </w:r>
      <w:r>
        <w:rPr>
          <w:rFonts w:ascii="Verdana" w:eastAsia="Calibri" w:hAnsi="Verdana" w:cs="Arial"/>
          <w:b/>
          <w:bCs/>
          <w:lang w:eastAsia="es-ES"/>
        </w:rPr>
        <w:t xml:space="preserve"> Ibañez</w:t>
      </w:r>
    </w:p>
    <w:p w14:paraId="3DEF942D" w14:textId="77777777" w:rsidR="00890E1B" w:rsidRPr="00A518F4" w:rsidRDefault="00890E1B" w:rsidP="00890E1B">
      <w:pPr>
        <w:spacing w:after="0" w:line="240" w:lineRule="auto"/>
        <w:rPr>
          <w:rFonts w:ascii="Verdana" w:eastAsia="Calibri" w:hAnsi="Verdana" w:cs="Arial"/>
          <w:b/>
          <w:bCs/>
          <w:lang w:eastAsia="es-ES"/>
        </w:rPr>
      </w:pPr>
      <w:r>
        <w:rPr>
          <w:rFonts w:ascii="Verdana" w:eastAsia="Calibri" w:hAnsi="Verdana" w:cs="Arial"/>
          <w:lang w:eastAsia="es-ES"/>
        </w:rPr>
        <w:t>Valledupar, Cesar</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55"/>
        <w:gridCol w:w="6434"/>
      </w:tblGrid>
      <w:tr w:rsidR="00890E1B" w:rsidRPr="00960F72" w14:paraId="56339048" w14:textId="77777777" w:rsidTr="000E0B41">
        <w:trPr>
          <w:trHeight w:val="190"/>
        </w:trPr>
        <w:tc>
          <w:tcPr>
            <w:tcW w:w="2355" w:type="dxa"/>
          </w:tcPr>
          <w:p w14:paraId="2B14591E" w14:textId="77777777" w:rsidR="00890E1B" w:rsidRDefault="00890E1B" w:rsidP="000E0B41">
            <w:pPr>
              <w:jc w:val="both"/>
              <w:rPr>
                <w:rFonts w:ascii="Verdana" w:eastAsia="Calibri" w:hAnsi="Verdana" w:cs="Arial"/>
                <w:b/>
                <w:bCs/>
                <w:lang w:eastAsia="es-ES_tradnl"/>
              </w:rPr>
            </w:pPr>
          </w:p>
          <w:p w14:paraId="46AB9469" w14:textId="77777777" w:rsidR="00890E1B" w:rsidRDefault="00890E1B" w:rsidP="000E0B41">
            <w:pPr>
              <w:jc w:val="both"/>
              <w:rPr>
                <w:rFonts w:ascii="Verdana" w:eastAsia="Calibri" w:hAnsi="Verdana" w:cs="Arial"/>
                <w:b/>
                <w:bCs/>
                <w:lang w:eastAsia="es-ES_tradnl"/>
              </w:rPr>
            </w:pPr>
          </w:p>
          <w:p w14:paraId="3F69690B" w14:textId="77777777" w:rsidR="00890E1B" w:rsidRDefault="00890E1B" w:rsidP="000E0B41">
            <w:pPr>
              <w:jc w:val="both"/>
              <w:rPr>
                <w:rFonts w:ascii="Verdana" w:eastAsia="Calibri" w:hAnsi="Verdana" w:cs="Arial"/>
                <w:b/>
                <w:bCs/>
                <w:lang w:eastAsia="es-ES_tradnl"/>
              </w:rPr>
            </w:pPr>
          </w:p>
          <w:p w14:paraId="49EFB039" w14:textId="77777777" w:rsidR="00890E1B" w:rsidRDefault="00890E1B" w:rsidP="000E0B41">
            <w:pPr>
              <w:jc w:val="both"/>
              <w:rPr>
                <w:rFonts w:ascii="Verdana" w:eastAsia="Calibri" w:hAnsi="Verdana" w:cs="Arial"/>
                <w:b/>
                <w:bCs/>
                <w:lang w:eastAsia="es-ES_tradnl"/>
              </w:rPr>
            </w:pPr>
          </w:p>
          <w:p w14:paraId="0B4863C3" w14:textId="77777777" w:rsidR="00890E1B" w:rsidRDefault="00890E1B" w:rsidP="000E0B41">
            <w:pPr>
              <w:jc w:val="both"/>
              <w:rPr>
                <w:rFonts w:ascii="Verdana" w:eastAsia="Calibri" w:hAnsi="Verdana" w:cs="Arial"/>
                <w:b/>
                <w:bCs/>
                <w:lang w:eastAsia="es-ES_tradnl"/>
              </w:rPr>
            </w:pPr>
          </w:p>
          <w:p w14:paraId="7327D646" w14:textId="77777777" w:rsidR="00890E1B" w:rsidRDefault="00890E1B" w:rsidP="000E0B41">
            <w:pPr>
              <w:jc w:val="both"/>
              <w:rPr>
                <w:rFonts w:ascii="Verdana" w:eastAsia="Calibri" w:hAnsi="Verdana" w:cs="Arial"/>
                <w:b/>
                <w:bCs/>
                <w:lang w:eastAsia="es-ES_tradnl"/>
              </w:rPr>
            </w:pPr>
          </w:p>
          <w:p w14:paraId="5A544299" w14:textId="77777777" w:rsidR="00890E1B" w:rsidRDefault="00890E1B" w:rsidP="000E0B41">
            <w:pPr>
              <w:jc w:val="both"/>
              <w:rPr>
                <w:rFonts w:ascii="Verdana" w:eastAsia="Calibri" w:hAnsi="Verdana" w:cs="Arial"/>
                <w:b/>
                <w:bCs/>
                <w:lang w:eastAsia="es-ES_tradnl"/>
              </w:rPr>
            </w:pPr>
          </w:p>
          <w:p w14:paraId="6D8BDB7E" w14:textId="77777777" w:rsidR="00890E1B" w:rsidRPr="00960F72" w:rsidRDefault="00890E1B" w:rsidP="000E0B41">
            <w:pPr>
              <w:jc w:val="both"/>
              <w:rPr>
                <w:rFonts w:ascii="Verdana" w:eastAsia="Calibri" w:hAnsi="Verdana" w:cs="Arial"/>
                <w:b/>
                <w:bCs/>
                <w:lang w:eastAsia="es-ES_tradnl"/>
              </w:rPr>
            </w:pPr>
          </w:p>
        </w:tc>
        <w:tc>
          <w:tcPr>
            <w:tcW w:w="6434" w:type="dxa"/>
          </w:tcPr>
          <w:p w14:paraId="297070E7" w14:textId="77777777" w:rsidR="00890E1B" w:rsidRDefault="00890E1B" w:rsidP="000E0B41">
            <w:pPr>
              <w:jc w:val="both"/>
              <w:rPr>
                <w:rFonts w:ascii="Verdana" w:eastAsia="Calibri" w:hAnsi="Verdana" w:cs="Arial"/>
                <w:b/>
                <w:bCs/>
                <w:lang w:eastAsia="es-ES"/>
              </w:rPr>
            </w:pPr>
          </w:p>
          <w:p w14:paraId="59A818C5" w14:textId="77777777" w:rsidR="00890E1B" w:rsidRDefault="00890E1B" w:rsidP="000E0B41">
            <w:pPr>
              <w:jc w:val="both"/>
              <w:rPr>
                <w:rFonts w:ascii="Verdana" w:eastAsia="Calibri" w:hAnsi="Verdana" w:cs="Arial"/>
                <w:b/>
                <w:bCs/>
                <w:lang w:eastAsia="es-ES"/>
              </w:rPr>
            </w:pPr>
          </w:p>
          <w:p w14:paraId="20CB2904" w14:textId="77777777" w:rsidR="00890E1B" w:rsidRDefault="00890E1B" w:rsidP="000E0B41">
            <w:pPr>
              <w:jc w:val="both"/>
              <w:rPr>
                <w:rFonts w:ascii="Verdana" w:eastAsia="Calibri" w:hAnsi="Verdana" w:cs="Arial"/>
                <w:b/>
                <w:bCs/>
                <w:lang w:eastAsia="es-ES"/>
              </w:rPr>
            </w:pPr>
          </w:p>
          <w:p w14:paraId="2CF14410" w14:textId="77777777" w:rsidR="00890E1B" w:rsidRPr="00960F72" w:rsidRDefault="00890E1B" w:rsidP="000E0B41">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 xml:space="preserve">869 </w:t>
            </w:r>
            <w:r w:rsidRPr="00960F72">
              <w:rPr>
                <w:rFonts w:ascii="Verdana" w:eastAsia="Calibri" w:hAnsi="Verdana" w:cs="Arial"/>
                <w:b/>
                <w:bCs/>
                <w:lang w:eastAsia="es-ES"/>
              </w:rPr>
              <w:t>de 2025</w:t>
            </w:r>
          </w:p>
          <w:p w14:paraId="3ECCE9D6" w14:textId="77777777" w:rsidR="00890E1B" w:rsidRPr="00960F72" w:rsidRDefault="00890E1B" w:rsidP="000E0B41">
            <w:pPr>
              <w:jc w:val="both"/>
              <w:rPr>
                <w:rFonts w:ascii="Verdana" w:eastAsia="Calibri" w:hAnsi="Verdana" w:cs="Arial"/>
                <w:b/>
                <w:bCs/>
                <w:lang w:eastAsia="es-ES"/>
              </w:rPr>
            </w:pPr>
          </w:p>
        </w:tc>
      </w:tr>
      <w:tr w:rsidR="00890E1B" w:rsidRPr="00960F72" w14:paraId="7A35EDDD" w14:textId="77777777" w:rsidTr="000E0B41">
        <w:trPr>
          <w:trHeight w:val="884"/>
        </w:trPr>
        <w:tc>
          <w:tcPr>
            <w:tcW w:w="2355" w:type="dxa"/>
          </w:tcPr>
          <w:p w14:paraId="1332F652" w14:textId="77777777" w:rsidR="00890E1B" w:rsidRPr="00960F72" w:rsidRDefault="00890E1B" w:rsidP="000E0B41">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434" w:type="dxa"/>
          </w:tcPr>
          <w:p w14:paraId="25206B4D" w14:textId="77777777" w:rsidR="00890E1B" w:rsidRDefault="00890E1B" w:rsidP="000E0B41">
            <w:pPr>
              <w:spacing w:line="276" w:lineRule="auto"/>
              <w:jc w:val="both"/>
              <w:rPr>
                <w:rFonts w:ascii="Verdana" w:eastAsia="Times New Roman" w:hAnsi="Verdana" w:cs="Arial"/>
                <w:lang w:eastAsia="es-ES_tradnl"/>
              </w:rPr>
            </w:pPr>
            <w:r w:rsidRPr="00284B9D">
              <w:rPr>
                <w:rFonts w:ascii="Verdana" w:hAnsi="Verdana" w:cs="Arial"/>
                <w:lang w:val="es-MX" w:eastAsia="es-ES_tradnl"/>
              </w:rPr>
              <w:t xml:space="preserve">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Finalidad </w:t>
            </w:r>
            <w:r>
              <w:rPr>
                <w:rFonts w:ascii="Verdana" w:eastAsia="Times New Roman" w:hAnsi="Verdana" w:cs="Arial"/>
                <w:lang w:eastAsia="es-ES_tradnl"/>
              </w:rPr>
              <w:t xml:space="preserve">/ </w:t>
            </w:r>
            <w:r w:rsidRPr="00376467">
              <w:rPr>
                <w:rFonts w:ascii="Verdana" w:eastAsia="Times New Roman" w:hAnsi="Verdana" w:cs="Arial"/>
                <w:lang w:eastAsia="es-ES_tradnl"/>
              </w:rPr>
              <w:t xml:space="preserve">DECRETO 092 DE 2017 – Finalidad – Clases de contratos / CONTRATACIÓN CON ESAL – Contrato de colaboración – Objeto – Alcance </w:t>
            </w:r>
            <w:r>
              <w:rPr>
                <w:rFonts w:ascii="Verdana" w:eastAsia="Times New Roman" w:hAnsi="Verdana" w:cs="Arial"/>
                <w:lang w:eastAsia="es-ES_tradnl"/>
              </w:rPr>
              <w:t>/ LEY DE GARANTÍAS - Aplicación a procesos a contratación con ESALES</w:t>
            </w:r>
          </w:p>
          <w:p w14:paraId="67C135B2" w14:textId="77777777" w:rsidR="00890E1B" w:rsidRPr="00E3405D" w:rsidRDefault="00890E1B" w:rsidP="000E0B41">
            <w:pPr>
              <w:spacing w:line="276" w:lineRule="auto"/>
              <w:jc w:val="both"/>
              <w:rPr>
                <w:rFonts w:ascii="Verdana" w:eastAsia="Calibri" w:hAnsi="Verdana" w:cs="Arial"/>
                <w:lang w:val="es-ES"/>
              </w:rPr>
            </w:pPr>
          </w:p>
        </w:tc>
      </w:tr>
      <w:tr w:rsidR="00890E1B" w:rsidRPr="00960F72" w14:paraId="511010AE" w14:textId="77777777" w:rsidTr="000E0B41">
        <w:tc>
          <w:tcPr>
            <w:tcW w:w="2355" w:type="dxa"/>
          </w:tcPr>
          <w:p w14:paraId="01F32F53" w14:textId="77777777" w:rsidR="00890E1B" w:rsidRPr="00960F72" w:rsidRDefault="00890E1B" w:rsidP="000E0B41">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434" w:type="dxa"/>
          </w:tcPr>
          <w:p w14:paraId="696B3653" w14:textId="77777777" w:rsidR="00890E1B" w:rsidRPr="00960F72" w:rsidRDefault="00890E1B" w:rsidP="000E0B41">
            <w:pPr>
              <w:jc w:val="both"/>
              <w:rPr>
                <w:rFonts w:ascii="Verdana" w:eastAsia="Calibri" w:hAnsi="Verdana" w:cs="Arial"/>
                <w:lang w:eastAsia="es-ES_tradnl"/>
              </w:rPr>
            </w:pPr>
            <w:r w:rsidRPr="00960F72">
              <w:rPr>
                <w:rFonts w:ascii="Verdana" w:eastAsia="Calibri" w:hAnsi="Verdana" w:cs="Arial"/>
                <w:lang w:eastAsia="es-ES_tradnl"/>
              </w:rPr>
              <w:t>Respuesta a consulta con radicado No.</w:t>
            </w:r>
            <w:r>
              <w:rPr>
                <w:rFonts w:ascii="Verdana" w:eastAsia="Calibri" w:hAnsi="Verdana" w:cs="Arial"/>
                <w:lang w:eastAsia="es-ES_tradnl"/>
              </w:rPr>
              <w:t xml:space="preserve"> </w:t>
            </w:r>
            <w:r w:rsidRPr="00FC4B69">
              <w:rPr>
                <w:rFonts w:ascii="Verdana" w:eastAsia="Calibri" w:hAnsi="Verdana" w:cs="Arial"/>
                <w:lang w:eastAsia="es-ES_tradnl"/>
              </w:rPr>
              <w:t>1_2025_12_27_014380</w:t>
            </w:r>
          </w:p>
        </w:tc>
      </w:tr>
    </w:tbl>
    <w:p w14:paraId="705CBDB9" w14:textId="77777777" w:rsidR="00890E1B" w:rsidRPr="00960F72" w:rsidRDefault="00890E1B" w:rsidP="00890E1B">
      <w:pPr>
        <w:spacing w:after="0" w:line="240" w:lineRule="auto"/>
        <w:jc w:val="both"/>
        <w:rPr>
          <w:rFonts w:ascii="Verdana" w:eastAsia="Calibri" w:hAnsi="Verdana" w:cs="Arial"/>
          <w:lang w:eastAsia="es-ES_tradnl"/>
        </w:rPr>
      </w:pPr>
    </w:p>
    <w:p w14:paraId="30E74C3B" w14:textId="77777777" w:rsidR="00890E1B" w:rsidRDefault="00890E1B" w:rsidP="00890E1B">
      <w:pPr>
        <w:spacing w:after="0" w:line="240" w:lineRule="auto"/>
        <w:jc w:val="both"/>
        <w:rPr>
          <w:rFonts w:ascii="Verdana" w:eastAsia="Calibri" w:hAnsi="Verdana" w:cs="Arial"/>
          <w:lang w:eastAsia="es-ES_tradnl"/>
        </w:rPr>
      </w:pPr>
    </w:p>
    <w:p w14:paraId="34644E2C" w14:textId="77777777" w:rsidR="00890E1B" w:rsidRDefault="00890E1B" w:rsidP="00890E1B">
      <w:pPr>
        <w:spacing w:after="0" w:line="240" w:lineRule="auto"/>
        <w:jc w:val="both"/>
        <w:rPr>
          <w:rFonts w:ascii="Verdana" w:eastAsia="Calibri" w:hAnsi="Verdana" w:cs="Arial"/>
          <w:lang w:eastAsia="es-ES_tradnl"/>
        </w:rPr>
      </w:pPr>
    </w:p>
    <w:p w14:paraId="0717C68E" w14:textId="77777777" w:rsidR="00890E1B" w:rsidRDefault="00890E1B" w:rsidP="00890E1B">
      <w:pPr>
        <w:spacing w:after="0" w:line="240" w:lineRule="auto"/>
        <w:jc w:val="both"/>
        <w:rPr>
          <w:rFonts w:ascii="Verdana" w:eastAsia="Calibri" w:hAnsi="Verdana" w:cs="Arial"/>
          <w:lang w:eastAsia="es-ES_tradnl"/>
        </w:rPr>
      </w:pPr>
    </w:p>
    <w:p w14:paraId="3628DD86" w14:textId="77777777" w:rsidR="00890E1B" w:rsidRDefault="00890E1B" w:rsidP="00890E1B">
      <w:pPr>
        <w:spacing w:after="0" w:line="240" w:lineRule="auto"/>
        <w:jc w:val="both"/>
        <w:rPr>
          <w:rFonts w:ascii="Verdana" w:eastAsia="Calibri" w:hAnsi="Verdana" w:cs="Arial"/>
          <w:lang w:eastAsia="es-ES_tradnl"/>
        </w:rPr>
      </w:pPr>
    </w:p>
    <w:p w14:paraId="58C73066" w14:textId="77777777" w:rsidR="00890E1B" w:rsidRDefault="00890E1B" w:rsidP="00890E1B">
      <w:pPr>
        <w:spacing w:after="0" w:line="240" w:lineRule="auto"/>
        <w:jc w:val="both"/>
        <w:rPr>
          <w:rFonts w:ascii="Verdana" w:eastAsia="Calibri" w:hAnsi="Verdana" w:cs="Arial"/>
          <w:lang w:eastAsia="es-ES_tradnl"/>
        </w:rPr>
      </w:pPr>
    </w:p>
    <w:p w14:paraId="6C98A746" w14:textId="77777777" w:rsidR="00890E1B" w:rsidRPr="00960F72" w:rsidRDefault="00890E1B" w:rsidP="00890E1B">
      <w:pPr>
        <w:spacing w:after="0" w:line="240" w:lineRule="auto"/>
        <w:jc w:val="both"/>
        <w:rPr>
          <w:rFonts w:ascii="Verdana" w:eastAsia="Calibri" w:hAnsi="Verdana" w:cs="Arial"/>
          <w:lang w:eastAsia="es-ES_tradnl"/>
        </w:rPr>
      </w:pPr>
    </w:p>
    <w:p w14:paraId="375609B0" w14:textId="77777777" w:rsidR="00890E1B" w:rsidRPr="00960F72" w:rsidRDefault="00890E1B" w:rsidP="00890E1B">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 xml:space="preserve">o </w:t>
      </w:r>
      <w:r w:rsidRPr="00960F72">
        <w:rPr>
          <w:rFonts w:ascii="Verdana" w:eastAsia="Calibri" w:hAnsi="Verdana" w:cs="Arial"/>
          <w:lang w:eastAsia="es-ES"/>
        </w:rPr>
        <w:t>señor</w:t>
      </w:r>
      <w:r>
        <w:rPr>
          <w:rFonts w:ascii="Verdana" w:eastAsia="Calibri" w:hAnsi="Verdana" w:cs="Arial"/>
          <w:lang w:eastAsia="es-ES"/>
        </w:rPr>
        <w:t xml:space="preserve"> Gutierrez</w:t>
      </w:r>
      <w:r w:rsidRPr="00960F72">
        <w:rPr>
          <w:rFonts w:ascii="Verdana" w:eastAsia="Calibri" w:hAnsi="Verdana" w:cs="Arial"/>
          <w:lang w:eastAsia="es-ES"/>
        </w:rPr>
        <w:t xml:space="preserve">: </w:t>
      </w:r>
    </w:p>
    <w:p w14:paraId="7ABE7615" w14:textId="77777777" w:rsidR="00890E1B" w:rsidRPr="00960F72" w:rsidRDefault="00890E1B" w:rsidP="00890E1B">
      <w:pPr>
        <w:tabs>
          <w:tab w:val="left" w:pos="3768"/>
        </w:tabs>
        <w:spacing w:after="0" w:line="276" w:lineRule="auto"/>
        <w:jc w:val="both"/>
        <w:rPr>
          <w:rFonts w:ascii="Verdana" w:eastAsia="Calibri" w:hAnsi="Verdana" w:cs="Arial"/>
          <w:lang w:eastAsia="es-ES"/>
        </w:rPr>
      </w:pPr>
    </w:p>
    <w:p w14:paraId="77C4F8F7" w14:textId="77777777" w:rsidR="00890E1B" w:rsidRDefault="00890E1B" w:rsidP="00890E1B">
      <w:pPr>
        <w:spacing w:after="120" w:line="276" w:lineRule="auto"/>
        <w:jc w:val="both"/>
        <w:rPr>
          <w:rFonts w:ascii="Verdana" w:eastAsia="Calibri" w:hAnsi="Verdana" w:cs="Arial"/>
          <w:sz w:val="20"/>
          <w:szCs w:val="20"/>
          <w:lang w:eastAsia="es-ES"/>
        </w:rPr>
      </w:pPr>
      <w:r w:rsidRPr="00960F72">
        <w:rPr>
          <w:rFonts w:ascii="Verdana" w:eastAsia="Calibri" w:hAnsi="Verdana" w:cs="Arial"/>
          <w:lang w:eastAsia="es-ES"/>
        </w:rPr>
        <w:lastRenderedPageBreak/>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27</w:t>
      </w:r>
      <w:r w:rsidRPr="00960F72">
        <w:rPr>
          <w:rFonts w:ascii="Verdana" w:eastAsia="Calibri" w:hAnsi="Verdana" w:cs="Arial"/>
          <w:lang w:eastAsia="es-ES"/>
        </w:rPr>
        <w:t xml:space="preserve"> de </w:t>
      </w:r>
      <w:r>
        <w:rPr>
          <w:rFonts w:ascii="Verdana" w:eastAsia="Calibri" w:hAnsi="Verdana" w:cs="Arial"/>
          <w:lang w:eastAsia="es-ES"/>
        </w:rPr>
        <w:t xml:space="preserve">diciembre </w:t>
      </w:r>
      <w:r w:rsidRPr="00960F72">
        <w:rPr>
          <w:rFonts w:ascii="Verdana" w:eastAsia="Calibri" w:hAnsi="Verdana" w:cs="Arial"/>
          <w:lang w:eastAsia="es-ES"/>
        </w:rPr>
        <w:t>de 2025, en la cual manifiesta lo siguiente:</w:t>
      </w:r>
      <w:r>
        <w:rPr>
          <w:rFonts w:ascii="Verdana" w:eastAsia="Calibri" w:hAnsi="Verdana" w:cs="Arial"/>
          <w:sz w:val="20"/>
          <w:szCs w:val="20"/>
          <w:lang w:eastAsia="es-ES"/>
        </w:rPr>
        <w:t xml:space="preserve"> </w:t>
      </w:r>
      <w:r w:rsidRPr="00AE18AA">
        <w:rPr>
          <w:rFonts w:ascii="Verdana" w:eastAsia="Calibri" w:hAnsi="Verdana" w:cs="Arial"/>
          <w:i/>
          <w:sz w:val="20"/>
          <w:szCs w:val="20"/>
          <w:lang w:eastAsia="es-ES"/>
        </w:rPr>
        <w:t>“LOS PROCESOS COMPETITIVOS DESCRITOS EN EL DECRETO 092 DE 2017 SE ENCUENTRA PROHIBIDOS EN LEY DE GARANTIAS ELECTORAL?”</w:t>
      </w:r>
      <w:r>
        <w:rPr>
          <w:rFonts w:ascii="Verdana" w:eastAsia="Calibri" w:hAnsi="Verdana" w:cs="Arial"/>
          <w:i/>
          <w:iCs/>
          <w:sz w:val="20"/>
          <w:szCs w:val="20"/>
          <w:lang w:eastAsia="es-ES"/>
        </w:rPr>
        <w:t xml:space="preserve"> </w:t>
      </w:r>
      <w:r>
        <w:rPr>
          <w:rFonts w:ascii="Verdana" w:eastAsia="Calibri" w:hAnsi="Verdana" w:cs="Arial"/>
          <w:sz w:val="20"/>
          <w:szCs w:val="20"/>
          <w:lang w:eastAsia="es-ES"/>
        </w:rPr>
        <w:t>(sic)</w:t>
      </w:r>
      <w:r>
        <w:rPr>
          <w:rFonts w:ascii="Verdana" w:eastAsia="Calibri" w:hAnsi="Verdana" w:cs="Arial"/>
          <w:i/>
          <w:iCs/>
          <w:sz w:val="20"/>
          <w:szCs w:val="20"/>
          <w:lang w:eastAsia="es-ES"/>
        </w:rPr>
        <w:t>.</w:t>
      </w:r>
    </w:p>
    <w:p w14:paraId="5A9006F4" w14:textId="77777777" w:rsidR="00890E1B" w:rsidRPr="00960F72" w:rsidRDefault="00890E1B" w:rsidP="00890E1B">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626795C8" w14:textId="77777777" w:rsidR="00890E1B" w:rsidRPr="00960F72" w:rsidRDefault="00890E1B" w:rsidP="00890E1B">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3AE9FD03" w14:textId="77777777" w:rsidR="00890E1B" w:rsidRPr="00960F72" w:rsidRDefault="00890E1B" w:rsidP="00890E1B">
      <w:pPr>
        <w:spacing w:after="0" w:line="276" w:lineRule="auto"/>
        <w:ind w:firstLine="709"/>
        <w:jc w:val="both"/>
        <w:rPr>
          <w:rFonts w:ascii="Verdana" w:eastAsia="Calibri" w:hAnsi="Verdana" w:cs="Arial"/>
          <w:lang w:eastAsia="es-ES"/>
        </w:rPr>
      </w:pPr>
    </w:p>
    <w:p w14:paraId="3D9C3062" w14:textId="77777777" w:rsidR="00890E1B" w:rsidRPr="00960F72" w:rsidRDefault="00890E1B" w:rsidP="00890E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2BF906B4" w14:textId="77777777" w:rsidR="00890E1B" w:rsidRPr="00960F72" w:rsidRDefault="00890E1B" w:rsidP="00890E1B">
      <w:pPr>
        <w:tabs>
          <w:tab w:val="left" w:pos="426"/>
        </w:tabs>
        <w:spacing w:after="0" w:line="276" w:lineRule="auto"/>
        <w:jc w:val="both"/>
        <w:rPr>
          <w:rFonts w:ascii="Verdana" w:eastAsia="Century Gothic" w:hAnsi="Verdana" w:cs="Century Gothic"/>
        </w:rPr>
      </w:pPr>
    </w:p>
    <w:p w14:paraId="0B82FED6" w14:textId="77777777" w:rsidR="00890E1B" w:rsidRDefault="00890E1B" w:rsidP="00890E1B">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D644AF">
        <w:rPr>
          <w:rFonts w:ascii="Verdana" w:eastAsia="Century Gothic" w:hAnsi="Verdana" w:cs="Century Gothic"/>
        </w:rPr>
        <w:t>¿</w:t>
      </w:r>
      <w:r w:rsidRPr="004A4F18">
        <w:rPr>
          <w:rFonts w:ascii="Verdana" w:eastAsia="Century Gothic" w:hAnsi="Verdana" w:cs="Century Gothic"/>
        </w:rPr>
        <w:t>La</w:t>
      </w:r>
      <w:r>
        <w:rPr>
          <w:rFonts w:ascii="Verdana" w:eastAsia="Century Gothic" w:hAnsi="Verdana" w:cs="Century Gothic"/>
        </w:rPr>
        <w:t>s</w:t>
      </w:r>
      <w:r w:rsidRPr="00382CF7">
        <w:rPr>
          <w:rFonts w:ascii="Verdana" w:eastAsia="Century Gothic" w:hAnsi="Verdana" w:cs="Century Gothic"/>
        </w:rPr>
        <w:t xml:space="preserve"> restricci</w:t>
      </w:r>
      <w:r>
        <w:rPr>
          <w:rFonts w:ascii="Verdana" w:eastAsia="Century Gothic" w:hAnsi="Verdana" w:cs="Century Gothic"/>
        </w:rPr>
        <w:t>o</w:t>
      </w:r>
      <w:r w:rsidRPr="00382CF7">
        <w:rPr>
          <w:rFonts w:ascii="Verdana" w:eastAsia="Century Gothic" w:hAnsi="Verdana" w:cs="Century Gothic"/>
        </w:rPr>
        <w:t>n</w:t>
      </w:r>
      <w:r>
        <w:rPr>
          <w:rFonts w:ascii="Verdana" w:eastAsia="Century Gothic" w:hAnsi="Verdana" w:cs="Century Gothic"/>
        </w:rPr>
        <w:t>es</w:t>
      </w:r>
      <w:r w:rsidRPr="00382CF7">
        <w:rPr>
          <w:rFonts w:ascii="Verdana" w:eastAsia="Century Gothic" w:hAnsi="Verdana" w:cs="Century Gothic"/>
        </w:rPr>
        <w:t xml:space="preserve"> </w:t>
      </w:r>
      <w:r>
        <w:rPr>
          <w:rFonts w:ascii="Verdana" w:eastAsia="Century Gothic" w:hAnsi="Verdana" w:cs="Century Gothic"/>
        </w:rPr>
        <w:t>contenidas en los artículos 33 y</w:t>
      </w:r>
      <w:r w:rsidRPr="00D644AF">
        <w:rPr>
          <w:rFonts w:ascii="Verdana" w:eastAsia="Century Gothic" w:hAnsi="Verdana" w:cs="Century Gothic"/>
        </w:rPr>
        <w:t xml:space="preserve"> artículo 38 </w:t>
      </w:r>
      <w:r>
        <w:rPr>
          <w:rFonts w:ascii="Verdana" w:eastAsia="Century Gothic" w:hAnsi="Verdana" w:cs="Century Gothic"/>
        </w:rPr>
        <w:t>– parágrafo –</w:t>
      </w:r>
      <w:r w:rsidRPr="00382CF7">
        <w:rPr>
          <w:rFonts w:ascii="Verdana" w:eastAsia="Century Gothic" w:hAnsi="Verdana" w:cs="Century Gothic"/>
        </w:rPr>
        <w:t xml:space="preserve"> </w:t>
      </w:r>
      <w:r w:rsidRPr="00D644AF">
        <w:rPr>
          <w:rFonts w:ascii="Verdana" w:eastAsia="Century Gothic" w:hAnsi="Verdana" w:cs="Century Gothic"/>
        </w:rPr>
        <w:t xml:space="preserve">de la Ley 996 de 2005 </w:t>
      </w:r>
      <w:r>
        <w:rPr>
          <w:rFonts w:ascii="Verdana" w:eastAsia="Century Gothic" w:hAnsi="Verdana" w:cs="Century Gothic"/>
        </w:rPr>
        <w:t>son aplicables a</w:t>
      </w:r>
      <w:r w:rsidRPr="00D644AF">
        <w:rPr>
          <w:rFonts w:ascii="Verdana" w:eastAsia="Century Gothic" w:hAnsi="Verdana" w:cs="Century Gothic"/>
        </w:rPr>
        <w:t xml:space="preserve"> </w:t>
      </w:r>
      <w:r>
        <w:rPr>
          <w:rFonts w:ascii="Verdana" w:eastAsia="Century Gothic" w:hAnsi="Verdana" w:cs="Century Gothic"/>
        </w:rPr>
        <w:t>los procedimientos competitivos</w:t>
      </w:r>
      <w:r w:rsidRPr="00D644AF">
        <w:rPr>
          <w:rFonts w:ascii="Verdana" w:eastAsia="Century Gothic" w:hAnsi="Verdana" w:cs="Century Gothic"/>
        </w:rPr>
        <w:t xml:space="preserve"> de </w:t>
      </w:r>
      <w:r w:rsidRPr="00382CF7">
        <w:rPr>
          <w:rFonts w:ascii="Verdana" w:eastAsia="Century Gothic" w:hAnsi="Verdana" w:cs="Century Gothic"/>
        </w:rPr>
        <w:t xml:space="preserve">que trata el </w:t>
      </w:r>
      <w:r>
        <w:rPr>
          <w:rFonts w:ascii="Verdana" w:eastAsia="Century Gothic" w:hAnsi="Verdana" w:cs="Century Gothic"/>
        </w:rPr>
        <w:t>Decreto 092 de 2017</w:t>
      </w:r>
      <w:r w:rsidRPr="00D644AF">
        <w:rPr>
          <w:rFonts w:ascii="Verdana" w:eastAsia="Century Gothic" w:hAnsi="Verdana" w:cs="Century Gothic"/>
        </w:rPr>
        <w:t>?</w:t>
      </w:r>
    </w:p>
    <w:p w14:paraId="3B770A3F" w14:textId="77777777" w:rsidR="00890E1B" w:rsidRPr="00960F72" w:rsidRDefault="00890E1B" w:rsidP="00890E1B">
      <w:pPr>
        <w:spacing w:after="0" w:line="276" w:lineRule="auto"/>
        <w:jc w:val="both"/>
        <w:rPr>
          <w:rFonts w:ascii="Verdana" w:eastAsia="Century Gothic" w:hAnsi="Verdana" w:cs="Century Gothic"/>
        </w:rPr>
      </w:pPr>
    </w:p>
    <w:p w14:paraId="60D0D6B2" w14:textId="77777777" w:rsidR="00890E1B" w:rsidRPr="00E3405D" w:rsidRDefault="00890E1B" w:rsidP="00890E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r>
        <w:rPr>
          <w:rFonts w:ascii="Verdana" w:eastAsia="Century Gothic" w:hAnsi="Verdana" w:cs="Century Gothic"/>
          <w:b/>
          <w:bCs/>
          <w:lang w:val="es-CO"/>
        </w:rPr>
        <w:t xml:space="preserve">: </w:t>
      </w:r>
    </w:p>
    <w:p w14:paraId="46C95344" w14:textId="77777777" w:rsidR="00890E1B" w:rsidRPr="00E3405D" w:rsidRDefault="00890E1B" w:rsidP="00890E1B">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31"/>
      </w:tblGrid>
      <w:tr w:rsidR="00890E1B" w:rsidRPr="00960F72" w14:paraId="01AD1212" w14:textId="77777777" w:rsidTr="000E0B41">
        <w:tc>
          <w:tcPr>
            <w:tcW w:w="8931" w:type="dxa"/>
          </w:tcPr>
          <w:p w14:paraId="348C210F" w14:textId="77777777" w:rsidR="00890E1B" w:rsidRDefault="00890E1B" w:rsidP="000E0B41">
            <w:pPr>
              <w:spacing w:after="120" w:line="276" w:lineRule="auto"/>
              <w:jc w:val="both"/>
              <w:rPr>
                <w:rFonts w:ascii="Verdana" w:eastAsia="Times New Roman" w:hAnsi="Verdana" w:cs="Arial"/>
                <w:bCs/>
                <w:lang w:eastAsia="es-CO"/>
              </w:rPr>
            </w:pPr>
            <w:r>
              <w:rPr>
                <w:rFonts w:ascii="Verdana" w:eastAsia="Times New Roman" w:hAnsi="Verdana" w:cs="Arial"/>
                <w:bCs/>
                <w:lang w:eastAsia="es-CO"/>
              </w:rPr>
              <w:lastRenderedPageBreak/>
              <w:t xml:space="preserve">En respuesta al objeto de la consulta se debe advertir que ni la prohibición del artículo 33 de la Ley 996 de 2005, ni la consagrada en el parágrafo del artículo 38, son aplicables a los procedimientos competitivos que se adelanten en desarrollo de lo dispuesto en el Decreto 092 de 2017. Debido a esto, es posible afirmar que, en los periodos prelectorales durante los que rigen tales restricciones, las entidades estatales a las que se refiere dicha reglamentación pueden adelantar con normalidad procesos competitivos para la contratación u asociación con entidades privadas sin ánimo de lucro, garantizando selección objetiva y pluralidad de oferentes. </w:t>
            </w:r>
          </w:p>
          <w:p w14:paraId="7EDD0F9E" w14:textId="77777777" w:rsidR="00890E1B" w:rsidRPr="004513DD" w:rsidRDefault="00890E1B" w:rsidP="000E0B41">
            <w:pPr>
              <w:spacing w:after="120" w:line="276" w:lineRule="auto"/>
              <w:ind w:firstLine="709"/>
              <w:jc w:val="both"/>
              <w:rPr>
                <w:rFonts w:ascii="Verdana" w:eastAsia="Times New Roman" w:hAnsi="Verdana" w:cs="Arial"/>
                <w:lang w:val="es-MX" w:eastAsia="es-CO"/>
              </w:rPr>
            </w:pPr>
            <w:r>
              <w:rPr>
                <w:rFonts w:ascii="Verdana" w:eastAsia="Times New Roman" w:hAnsi="Verdana" w:cs="Arial"/>
                <w:bCs/>
                <w:lang w:eastAsia="es-CO"/>
              </w:rPr>
              <w:t xml:space="preserve">Lo anterior comoquiera que, la restricción del artículo 33 se </w:t>
            </w:r>
            <w:r>
              <w:rPr>
                <w:rFonts w:ascii="Verdana" w:eastAsia="Times New Roman" w:hAnsi="Verdana" w:cs="Arial"/>
                <w:lang w:val="es-MX" w:eastAsia="x-none"/>
              </w:rPr>
              <w:t xml:space="preserve">aplica únicamente a la </w:t>
            </w:r>
            <w:r w:rsidRPr="00095A2F">
              <w:rPr>
                <w:rFonts w:ascii="Verdana" w:eastAsia="Calibri" w:hAnsi="Verdana" w:cs="Arial"/>
                <w:i/>
                <w:lang w:val="es-MX"/>
              </w:rPr>
              <w:t>“</w:t>
            </w:r>
            <w:r w:rsidRPr="00095A2F">
              <w:rPr>
                <w:rFonts w:ascii="Verdana" w:eastAsia="Times New Roman" w:hAnsi="Verdana" w:cs="Arial"/>
                <w:i/>
                <w:lang w:val="es-MX" w:eastAsia="x-none"/>
              </w:rPr>
              <w:t>contratación directa</w:t>
            </w:r>
            <w:r w:rsidRPr="00095A2F">
              <w:rPr>
                <w:rFonts w:ascii="Verdana" w:eastAsia="Calibri" w:hAnsi="Verdana" w:cs="Arial"/>
                <w:i/>
                <w:lang w:val="es-MX"/>
              </w:rPr>
              <w:t>”,</w:t>
            </w:r>
            <w:r w:rsidRPr="003F4079">
              <w:rPr>
                <w:rFonts w:ascii="Verdana" w:eastAsia="Calibri" w:hAnsi="Verdana" w:cs="Arial"/>
                <w:lang w:val="es-MX"/>
              </w:rPr>
              <w:t xml:space="preserve"> </w:t>
            </w:r>
            <w:r>
              <w:rPr>
                <w:rFonts w:ascii="Verdana" w:eastAsia="Calibri" w:hAnsi="Verdana" w:cs="Arial"/>
                <w:lang w:val="es-MX"/>
              </w:rPr>
              <w:t>la cual</w:t>
            </w:r>
            <w:r w:rsidRPr="003F4079">
              <w:rPr>
                <w:rFonts w:ascii="Verdana" w:eastAsia="Calibri" w:hAnsi="Verdana" w:cs="Arial"/>
                <w:lang w:val="es-MX"/>
              </w:rPr>
              <w:t xml:space="preserve"> </w:t>
            </w:r>
            <w:r w:rsidRPr="003F4079">
              <w:rPr>
                <w:rFonts w:ascii="Verdana" w:eastAsia="Times New Roman" w:hAnsi="Verdana" w:cs="Arial"/>
                <w:lang w:eastAsia="x-none"/>
              </w:rPr>
              <w:t>se refiere a</w:t>
            </w:r>
            <w:r w:rsidRPr="00095A2F">
              <w:rPr>
                <w:rFonts w:ascii="Verdana" w:eastAsia="Times New Roman" w:hAnsi="Verdana" w:cs="Arial"/>
                <w:i/>
                <w:lang w:eastAsia="x-none"/>
              </w:rPr>
              <w:t xml:space="preserve"> </w:t>
            </w:r>
            <w:r w:rsidRPr="00095A2F">
              <w:rPr>
                <w:rFonts w:ascii="Verdana" w:eastAsia="Times New Roman" w:hAnsi="Verdana" w:cs="Arial"/>
                <w:i/>
                <w:lang w:eastAsia="en-GB"/>
              </w:rPr>
              <w:t>“</w:t>
            </w:r>
            <w:r w:rsidRPr="00095A2F">
              <w:rPr>
                <w:rFonts w:ascii="Verdana" w:eastAsia="Times New Roman" w:hAnsi="Verdana" w:cs="Arial"/>
                <w:i/>
                <w:lang w:eastAsia="x-none"/>
              </w:rPr>
              <w:t>cualquier sistema que no implique convocatoria pública y posibilidad de pluralidad de oferentes</w:t>
            </w:r>
            <w:r w:rsidRPr="00095A2F">
              <w:rPr>
                <w:rFonts w:ascii="Verdana" w:eastAsia="Times New Roman" w:hAnsi="Verdana" w:cs="Arial"/>
                <w:i/>
                <w:lang w:eastAsia="en-GB"/>
              </w:rPr>
              <w:t>”</w:t>
            </w:r>
            <w:r w:rsidRPr="003F4079">
              <w:rPr>
                <w:rFonts w:ascii="Verdana" w:eastAsia="Times New Roman" w:hAnsi="Verdana" w:cs="Arial"/>
                <w:lang w:eastAsia="x-none"/>
              </w:rPr>
              <w:t xml:space="preserve">, </w:t>
            </w:r>
            <w:r>
              <w:rPr>
                <w:rFonts w:ascii="Verdana" w:eastAsia="Times New Roman" w:hAnsi="Verdana" w:cs="Arial"/>
                <w:lang w:eastAsia="x-none"/>
              </w:rPr>
              <w:t xml:space="preserve">definición </w:t>
            </w:r>
            <w:r w:rsidRPr="003F4079">
              <w:rPr>
                <w:rFonts w:ascii="Verdana" w:eastAsia="Times New Roman" w:hAnsi="Verdana" w:cs="Arial"/>
                <w:lang w:eastAsia="x-none"/>
              </w:rPr>
              <w:t>que excluye las</w:t>
            </w:r>
            <w:r>
              <w:rPr>
                <w:rFonts w:ascii="Verdana" w:eastAsia="Times New Roman" w:hAnsi="Verdana" w:cs="Arial"/>
                <w:lang w:eastAsia="x-none"/>
              </w:rPr>
              <w:t xml:space="preserve"> tanto a las</w:t>
            </w:r>
            <w:r w:rsidRPr="003F4079">
              <w:rPr>
                <w:rFonts w:ascii="Verdana" w:eastAsia="Times New Roman" w:hAnsi="Verdana" w:cs="Arial"/>
                <w:lang w:eastAsia="x-none"/>
              </w:rPr>
              <w:t xml:space="preserve"> modalidades de </w:t>
            </w:r>
            <w:r>
              <w:rPr>
                <w:rFonts w:ascii="Verdana" w:eastAsia="Times New Roman" w:hAnsi="Verdana" w:cs="Arial"/>
                <w:lang w:eastAsia="x-none"/>
              </w:rPr>
              <w:t>selección competitivas</w:t>
            </w:r>
            <w:r w:rsidRPr="003F4079">
              <w:rPr>
                <w:rFonts w:ascii="Verdana" w:eastAsia="Times New Roman" w:hAnsi="Verdana" w:cs="Arial"/>
                <w:lang w:eastAsia="x-none"/>
              </w:rPr>
              <w:t xml:space="preserve"> previstas en </w:t>
            </w:r>
            <w:r>
              <w:rPr>
                <w:rFonts w:ascii="Verdana" w:eastAsia="Times New Roman" w:hAnsi="Verdana" w:cs="Arial"/>
                <w:lang w:eastAsia="x-none"/>
              </w:rPr>
              <w:t>el artículo 2 de la</w:t>
            </w:r>
            <w:r w:rsidRPr="003F4079">
              <w:rPr>
                <w:rFonts w:ascii="Verdana" w:eastAsia="Times New Roman" w:hAnsi="Verdana" w:cs="Arial"/>
                <w:lang w:eastAsia="x-none"/>
              </w:rPr>
              <w:t xml:space="preserve"> Ley 1150 de 2007, es decir, la licitación pública, la selección abreviada</w:t>
            </w:r>
            <w:r>
              <w:rPr>
                <w:rFonts w:ascii="Verdana" w:eastAsia="Times New Roman" w:hAnsi="Verdana" w:cs="Arial"/>
                <w:lang w:eastAsia="x-none"/>
              </w:rPr>
              <w:t xml:space="preserve">, </w:t>
            </w:r>
            <w:r w:rsidRPr="003F4079">
              <w:rPr>
                <w:rFonts w:ascii="Verdana" w:eastAsia="Times New Roman" w:hAnsi="Verdana" w:cs="Arial"/>
                <w:lang w:eastAsia="x-none"/>
              </w:rPr>
              <w:t xml:space="preserve">el concurso de méritos </w:t>
            </w:r>
            <w:r>
              <w:rPr>
                <w:rFonts w:ascii="Verdana" w:eastAsia="Times New Roman" w:hAnsi="Verdana" w:cs="Arial"/>
                <w:lang w:eastAsia="x-none"/>
              </w:rPr>
              <w:t>y la mínima cuantía, así como a los procesos con pluralidad de oferentes contemplados en normas</w:t>
            </w:r>
            <w:r w:rsidRPr="003F4079">
              <w:rPr>
                <w:rFonts w:ascii="Verdana" w:eastAsia="Times New Roman" w:hAnsi="Verdana" w:cs="Arial"/>
                <w:lang w:eastAsia="x-none"/>
              </w:rPr>
              <w:t xml:space="preserve"> especiales</w:t>
            </w:r>
            <w:r>
              <w:rPr>
                <w:rFonts w:ascii="Verdana" w:eastAsia="Times New Roman" w:hAnsi="Verdana" w:cs="Arial"/>
                <w:lang w:eastAsia="x-none"/>
              </w:rPr>
              <w:t>, como, por ejemplo, los artículos 4 y 5 del Decreto 092 de 2017. Tampoco resulta aplicable la prohibición prevista en el</w:t>
            </w:r>
            <w:r w:rsidRPr="00AA31F3">
              <w:rPr>
                <w:rFonts w:ascii="Verdana" w:hAnsi="Verdana" w:cs="Arial"/>
                <w:lang w:val="es-ES"/>
              </w:rPr>
              <w:t xml:space="preserve"> parágrafo </w:t>
            </w:r>
            <w:r w:rsidRPr="00AA31F3">
              <w:rPr>
                <w:rFonts w:ascii="Verdana" w:eastAsia="Times New Roman" w:hAnsi="Verdana" w:cs="Arial"/>
                <w:lang w:eastAsia="es-CO"/>
              </w:rPr>
              <w:t xml:space="preserve">del artículo 38, </w:t>
            </w:r>
            <w:r>
              <w:rPr>
                <w:rFonts w:ascii="Verdana" w:eastAsia="Times New Roman" w:hAnsi="Verdana" w:cs="Arial"/>
                <w:lang w:eastAsia="es-CO"/>
              </w:rPr>
              <w:t>en la medida</w:t>
            </w:r>
            <w:r w:rsidRPr="00AA31F3">
              <w:rPr>
                <w:rFonts w:ascii="Verdana" w:eastAsia="Times New Roman" w:hAnsi="Verdana" w:cs="Arial"/>
                <w:lang w:eastAsia="es-CO"/>
              </w:rPr>
              <w:t xml:space="preserve"> que, </w:t>
            </w:r>
            <w:r>
              <w:rPr>
                <w:rFonts w:ascii="Verdana" w:eastAsia="Times New Roman" w:hAnsi="Verdana" w:cs="Arial"/>
                <w:lang w:eastAsia="es-CO"/>
              </w:rPr>
              <w:t xml:space="preserve">lo que </w:t>
            </w:r>
            <w:r w:rsidRPr="00AA31F3">
              <w:rPr>
                <w:rFonts w:ascii="Verdana" w:eastAsia="Times New Roman" w:hAnsi="Verdana" w:cs="Arial"/>
                <w:lang w:eastAsia="es-CO"/>
              </w:rPr>
              <w:t>est</w:t>
            </w:r>
            <w:r>
              <w:rPr>
                <w:rFonts w:ascii="Verdana" w:eastAsia="Times New Roman" w:hAnsi="Verdana" w:cs="Arial"/>
                <w:lang w:eastAsia="es-CO"/>
              </w:rPr>
              <w:t>a</w:t>
            </w:r>
            <w:r w:rsidRPr="00AA31F3">
              <w:rPr>
                <w:rFonts w:ascii="Verdana" w:eastAsia="Times New Roman" w:hAnsi="Verdana" w:cs="Arial"/>
                <w:lang w:eastAsia="es-CO"/>
              </w:rPr>
              <w:t xml:space="preserve"> </w:t>
            </w:r>
            <w:r>
              <w:rPr>
                <w:rFonts w:ascii="Verdana" w:eastAsia="Times New Roman" w:hAnsi="Verdana" w:cs="Arial"/>
                <w:lang w:eastAsia="es-CO"/>
              </w:rPr>
              <w:t>proscribe es que</w:t>
            </w:r>
            <w:r w:rsidRPr="00AA31F3">
              <w:rPr>
                <w:rFonts w:ascii="Verdana" w:eastAsia="Times New Roman" w:hAnsi="Verdana" w:cs="Arial"/>
                <w:lang w:eastAsia="es-CO"/>
              </w:rPr>
              <w:t xml:space="preserve"> los Alcaldes, Gobernadores, Secretarios, Gerentes y Directores de las entidades del orden municipal, departamental o distrital celebr</w:t>
            </w:r>
            <w:r>
              <w:rPr>
                <w:rFonts w:ascii="Verdana" w:eastAsia="Times New Roman" w:hAnsi="Verdana" w:cs="Arial"/>
                <w:lang w:eastAsia="es-CO"/>
              </w:rPr>
              <w:t>en</w:t>
            </w:r>
            <w:r w:rsidRPr="00AA31F3">
              <w:rPr>
                <w:rFonts w:ascii="Verdana" w:eastAsia="Times New Roman" w:hAnsi="Verdana" w:cs="Arial"/>
                <w:lang w:eastAsia="es-CO"/>
              </w:rPr>
              <w:t xml:space="preserve"> </w:t>
            </w:r>
            <w:r w:rsidRPr="00AA31F3">
              <w:rPr>
                <w:rFonts w:ascii="Verdana" w:eastAsia="Times New Roman" w:hAnsi="Verdana" w:cs="Arial"/>
                <w:i/>
                <w:iCs/>
                <w:lang w:eastAsia="es-CO"/>
              </w:rPr>
              <w:t>convenios interadministrativos</w:t>
            </w:r>
            <w:r w:rsidRPr="00AA31F3">
              <w:rPr>
                <w:rFonts w:ascii="Verdana" w:eastAsia="Times New Roman" w:hAnsi="Verdana" w:cs="Arial"/>
                <w:lang w:eastAsia="es-CO"/>
              </w:rPr>
              <w:t xml:space="preserve"> </w:t>
            </w:r>
            <w:r w:rsidRPr="00AA31F3">
              <w:rPr>
                <w:rFonts w:ascii="Verdana" w:eastAsia="Times New Roman" w:hAnsi="Verdana" w:cs="Arial"/>
                <w:i/>
                <w:iCs/>
                <w:lang w:eastAsia="es-CO"/>
              </w:rPr>
              <w:t>para la ejecución de recursos públicos</w:t>
            </w:r>
            <w:r>
              <w:rPr>
                <w:rFonts w:ascii="Verdana" w:eastAsia="Times New Roman" w:hAnsi="Verdana" w:cs="Arial"/>
                <w:i/>
                <w:iCs/>
                <w:lang w:eastAsia="es-CO"/>
              </w:rPr>
              <w:t xml:space="preserve"> </w:t>
            </w:r>
            <w:r>
              <w:rPr>
                <w:rFonts w:ascii="Verdana" w:eastAsia="Times New Roman" w:hAnsi="Verdana" w:cs="Arial"/>
                <w:lang w:eastAsia="es-CO"/>
              </w:rPr>
              <w:t xml:space="preserve">durante el periodo prelectoral, supuesto de hecho que no se configura respecto de la contratación  a la que se refieren los artículos 355 superior y 96 de la Ley 489 de 1998, reglamentada por el Decreto 092 de 2017, en la medida en que, en los negocios jurídicos que regula dicha normativa, uno de los extremos de la relación es una entidad sin ánimo de lucro de naturaleza </w:t>
            </w:r>
            <w:r w:rsidRPr="00AE18AA">
              <w:rPr>
                <w:rFonts w:ascii="Verdana" w:eastAsia="Times New Roman" w:hAnsi="Verdana" w:cs="Arial"/>
                <w:i/>
                <w:iCs/>
                <w:lang w:eastAsia="es-CO"/>
              </w:rPr>
              <w:t>privada</w:t>
            </w:r>
            <w:r>
              <w:rPr>
                <w:rFonts w:ascii="Verdana" w:eastAsia="Times New Roman" w:hAnsi="Verdana" w:cs="Arial"/>
                <w:lang w:eastAsia="es-CO"/>
              </w:rPr>
              <w:t xml:space="preserve">, lo que significa que no son </w:t>
            </w:r>
            <w:r w:rsidRPr="00AE18AA">
              <w:rPr>
                <w:rFonts w:ascii="Verdana" w:eastAsia="Times New Roman" w:hAnsi="Verdana" w:cs="Arial"/>
                <w:i/>
                <w:iCs/>
                <w:lang w:eastAsia="es-CO"/>
              </w:rPr>
              <w:t>convenios interadministrativos</w:t>
            </w:r>
            <w:r>
              <w:rPr>
                <w:rFonts w:ascii="Verdana" w:eastAsia="Times New Roman" w:hAnsi="Verdana" w:cs="Arial"/>
                <w:lang w:eastAsia="es-CO"/>
              </w:rPr>
              <w:t xml:space="preserve">.  </w:t>
            </w:r>
            <w:r>
              <w:rPr>
                <w:rFonts w:ascii="Verdana" w:eastAsia="Times New Roman" w:hAnsi="Verdana" w:cs="Arial"/>
                <w:lang w:val="es-MX" w:eastAsia="es-CO"/>
              </w:rPr>
              <w:t xml:space="preserve"> </w:t>
            </w:r>
          </w:p>
        </w:tc>
      </w:tr>
    </w:tbl>
    <w:p w14:paraId="679ADEC7" w14:textId="77777777" w:rsidR="00890E1B" w:rsidRDefault="00890E1B" w:rsidP="00890E1B">
      <w:pPr>
        <w:tabs>
          <w:tab w:val="left" w:pos="142"/>
          <w:tab w:val="left" w:pos="284"/>
        </w:tabs>
        <w:spacing w:after="0" w:line="276" w:lineRule="auto"/>
        <w:jc w:val="both"/>
        <w:rPr>
          <w:rFonts w:ascii="Verdana" w:eastAsia="Century Gothic" w:hAnsi="Verdana" w:cs="Century Gothic"/>
          <w:b/>
          <w:bCs/>
        </w:rPr>
      </w:pPr>
    </w:p>
    <w:p w14:paraId="3B6178DF" w14:textId="77777777" w:rsidR="00890E1B" w:rsidRDefault="00890E1B" w:rsidP="00890E1B">
      <w:pPr>
        <w:tabs>
          <w:tab w:val="left" w:pos="142"/>
          <w:tab w:val="left" w:pos="284"/>
        </w:tabs>
        <w:spacing w:after="0" w:line="276" w:lineRule="auto"/>
        <w:jc w:val="both"/>
        <w:rPr>
          <w:rFonts w:ascii="Verdana" w:eastAsia="Century Gothic" w:hAnsi="Verdana" w:cs="Century Gothic"/>
          <w:b/>
          <w:bCs/>
        </w:rPr>
      </w:pPr>
    </w:p>
    <w:p w14:paraId="2566E82B" w14:textId="77777777" w:rsidR="00890E1B" w:rsidRPr="00960F72" w:rsidRDefault="00890E1B" w:rsidP="00890E1B">
      <w:pPr>
        <w:tabs>
          <w:tab w:val="left" w:pos="142"/>
          <w:tab w:val="left" w:pos="284"/>
        </w:tabs>
        <w:spacing w:after="0" w:line="276" w:lineRule="auto"/>
        <w:jc w:val="both"/>
        <w:rPr>
          <w:rFonts w:ascii="Verdana" w:eastAsia="Century Gothic" w:hAnsi="Verdana" w:cs="Century Gothic"/>
          <w:b/>
          <w:bCs/>
        </w:rPr>
      </w:pPr>
    </w:p>
    <w:p w14:paraId="77E57556" w14:textId="77777777" w:rsidR="00890E1B" w:rsidRDefault="00890E1B" w:rsidP="00890E1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38D35B87" w14:textId="77777777" w:rsidR="00890E1B" w:rsidRDefault="00890E1B" w:rsidP="00890E1B">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1F6B2A7A" w14:textId="77777777" w:rsidR="00890E1B" w:rsidRDefault="00890E1B" w:rsidP="00890E1B">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6D495B64" w14:textId="77777777" w:rsidR="00890E1B" w:rsidRPr="004A4F18" w:rsidRDefault="00890E1B" w:rsidP="00890E1B">
      <w:pPr>
        <w:spacing w:after="0" w:line="276" w:lineRule="auto"/>
        <w:jc w:val="both"/>
        <w:rPr>
          <w:rFonts w:ascii="Verdana" w:eastAsia="Calibri" w:hAnsi="Verdana" w:cs="Arial"/>
          <w:lang w:val="es-ES"/>
        </w:rPr>
      </w:pPr>
    </w:p>
    <w:p w14:paraId="3243F9B3" w14:textId="77777777" w:rsidR="00890E1B" w:rsidRDefault="00890E1B" w:rsidP="00890E1B">
      <w:pPr>
        <w:tabs>
          <w:tab w:val="left" w:pos="426"/>
        </w:tabs>
        <w:spacing w:after="120" w:line="276" w:lineRule="auto"/>
        <w:jc w:val="both"/>
        <w:rPr>
          <w:rFonts w:ascii="Verdana" w:eastAsia="Calibri" w:hAnsi="Verdana" w:cs="Arial"/>
          <w:noProof/>
          <w:lang w:val="es-ES_tradnl"/>
        </w:rPr>
      </w:pPr>
      <w:r>
        <w:rPr>
          <w:rFonts w:ascii="Verdana" w:eastAsia="Times New Roman" w:hAnsi="Verdana" w:cs="Arial"/>
          <w:bCs/>
          <w:lang w:eastAsia="es-CO"/>
        </w:rPr>
        <w:lastRenderedPageBreak/>
        <w:t>i. 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xml:space="preserve">, </w:t>
      </w:r>
      <w:r>
        <w:rPr>
          <w:rFonts w:ascii="Verdana" w:eastAsia="Times New Roman" w:hAnsi="Verdana" w:cs="Arial"/>
          <w:bCs/>
          <w:lang w:eastAsia="es-CO"/>
        </w:rPr>
        <w:t xml:space="preserve">tiene como propósito </w:t>
      </w:r>
      <w:r w:rsidRPr="003E638E">
        <w:rPr>
          <w:rFonts w:ascii="Verdana" w:eastAsia="Times New Roman" w:hAnsi="Verdana" w:cs="Arial"/>
          <w:bCs/>
          <w:lang w:eastAsia="es-CO"/>
        </w:rPr>
        <w:t xml:space="preserve">evitar la injerencia inadecuada de intereses particulares en el ejercicio de la función pública. Esta ley </w:t>
      </w:r>
      <w:r>
        <w:rPr>
          <w:rFonts w:ascii="Verdana" w:eastAsia="Times New Roman" w:hAnsi="Verdana" w:cs="Arial"/>
          <w:bCs/>
          <w:lang w:eastAsia="es-CO"/>
        </w:rPr>
        <w:t>busca</w:t>
      </w:r>
      <w:r w:rsidRPr="003E638E">
        <w:rPr>
          <w:rFonts w:ascii="Verdana" w:eastAsia="Times New Roman" w:hAnsi="Verdana" w:cs="Arial"/>
          <w:bCs/>
          <w:lang w:eastAsia="es-CO"/>
        </w:rPr>
        <w:t xml:space="preserve">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2"/>
      </w:r>
      <w:r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74CF10EE" w14:textId="77777777" w:rsidR="00890E1B" w:rsidRPr="003E638E" w:rsidRDefault="00890E1B" w:rsidP="00890E1B">
      <w:pPr>
        <w:tabs>
          <w:tab w:val="left" w:pos="426"/>
        </w:tabs>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46C9708C" w14:textId="77777777" w:rsidR="00890E1B" w:rsidRPr="004513DD" w:rsidRDefault="00890E1B" w:rsidP="00890E1B">
      <w:pPr>
        <w:spacing w:after="0" w:line="240" w:lineRule="auto"/>
        <w:ind w:right="709"/>
        <w:rPr>
          <w:rFonts w:ascii="Verdana" w:eastAsia="Times New Roman" w:hAnsi="Verdana" w:cs="Arial"/>
          <w:sz w:val="21"/>
          <w:szCs w:val="21"/>
          <w:lang w:val="es-ES" w:eastAsia="es-CO"/>
        </w:rPr>
      </w:pPr>
    </w:p>
    <w:p w14:paraId="38EF8EE4" w14:textId="77777777" w:rsidR="00890E1B" w:rsidRPr="003E638E" w:rsidRDefault="00890E1B" w:rsidP="00890E1B">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sz w:val="20"/>
          <w:szCs w:val="20"/>
          <w:lang w:val="es-ES" w:eastAsia="es-CO"/>
        </w:rPr>
        <w:t>“(…)</w:t>
      </w:r>
      <w:r>
        <w:rPr>
          <w:rFonts w:ascii="Verdana" w:eastAsia="Times New Roman" w:hAnsi="Verdana" w:cs="Arial"/>
          <w:bCs/>
          <w:sz w:val="20"/>
          <w:szCs w:val="20"/>
          <w:lang w:val="es-ES" w:eastAsia="es-CO"/>
        </w:rPr>
        <w:t xml:space="preserve"> </w:t>
      </w: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w:t>
      </w:r>
      <w:r w:rsidRPr="003E638E">
        <w:rPr>
          <w:rFonts w:ascii="Verdana" w:eastAsia="Times New Roman" w:hAnsi="Verdana" w:cs="Arial"/>
          <w:bCs/>
          <w:sz w:val="20"/>
          <w:szCs w:val="20"/>
          <w:lang w:eastAsia="es-CO"/>
        </w:rPr>
        <w:t>.</w:t>
      </w:r>
      <w:r w:rsidRPr="003E638E">
        <w:rPr>
          <w:rStyle w:val="Refdenotaalpie"/>
          <w:rFonts w:ascii="Verdana" w:hAnsi="Verdana" w:cs="Arial"/>
          <w:sz w:val="20"/>
          <w:szCs w:val="20"/>
        </w:rPr>
        <w:footnoteReference w:id="3"/>
      </w:r>
    </w:p>
    <w:p w14:paraId="5949871C" w14:textId="77777777" w:rsidR="00890E1B" w:rsidRPr="003E638E" w:rsidRDefault="00890E1B" w:rsidP="00890E1B">
      <w:pPr>
        <w:spacing w:after="0"/>
        <w:ind w:left="709" w:right="709"/>
        <w:jc w:val="both"/>
        <w:rPr>
          <w:rFonts w:ascii="Verdana" w:eastAsia="Times New Roman" w:hAnsi="Verdana" w:cs="Arial"/>
          <w:bCs/>
          <w:sz w:val="21"/>
          <w:szCs w:val="21"/>
          <w:lang w:eastAsia="es-CO"/>
        </w:rPr>
      </w:pPr>
    </w:p>
    <w:p w14:paraId="74D1258B" w14:textId="77777777" w:rsidR="00890E1B" w:rsidRPr="004A4F18" w:rsidRDefault="00890E1B" w:rsidP="00890E1B">
      <w:pPr>
        <w:spacing w:after="120" w:line="276" w:lineRule="auto"/>
        <w:ind w:firstLine="709"/>
        <w:jc w:val="both"/>
        <w:rPr>
          <w:rFonts w:ascii="Verdana" w:eastAsia="Times New Roman" w:hAnsi="Verdana" w:cs="Arial"/>
          <w:bCs/>
          <w:lang w:eastAsia="es-CO"/>
        </w:rPr>
      </w:pPr>
      <w:bookmarkStart w:id="0" w:name="_Hlk78818186"/>
      <w:r w:rsidRPr="003E638E">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0"/>
      <w:r w:rsidRPr="003E638E">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169A46AD" w14:textId="77777777" w:rsidR="00890E1B" w:rsidRPr="003E638E" w:rsidRDefault="00890E1B" w:rsidP="00890E1B">
      <w:pPr>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efecto, la Sala de Consulta y Servicio Civil del Consejo de Estado al analizar la referida ley, precisó lo siguiente:</w:t>
      </w:r>
    </w:p>
    <w:p w14:paraId="37961405" w14:textId="77777777" w:rsidR="00890E1B" w:rsidRPr="003E638E" w:rsidRDefault="00890E1B" w:rsidP="00890E1B">
      <w:pPr>
        <w:spacing w:after="0"/>
        <w:ind w:firstLine="709"/>
        <w:jc w:val="both"/>
        <w:rPr>
          <w:rFonts w:ascii="Verdana" w:eastAsia="Times New Roman" w:hAnsi="Verdana" w:cs="Arial"/>
          <w:bCs/>
          <w:lang w:eastAsia="es-CO"/>
        </w:rPr>
      </w:pPr>
    </w:p>
    <w:p w14:paraId="138ACE00" w14:textId="77777777" w:rsidR="00890E1B" w:rsidRDefault="00890E1B" w:rsidP="00890E1B">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lastRenderedPageBreak/>
        <w:t xml:space="preserve">“(…) </w:t>
      </w: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F0D82BB" w14:textId="77777777" w:rsidR="00890E1B" w:rsidRPr="003E638E" w:rsidRDefault="00890E1B" w:rsidP="00890E1B">
      <w:pPr>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4"/>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5"/>
      </w:r>
      <w:r w:rsidRPr="003E638E">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3E638E">
        <w:rPr>
          <w:rStyle w:val="Refdenotaalpie"/>
          <w:rFonts w:ascii="Verdana" w:eastAsia="Times New Roman" w:hAnsi="Verdana" w:cs="Arial"/>
          <w:bCs/>
          <w:sz w:val="20"/>
          <w:szCs w:val="20"/>
          <w:lang w:eastAsia="es-CO"/>
        </w:rPr>
        <w:footnoteReference w:id="6"/>
      </w:r>
      <w:r w:rsidRPr="003E638E">
        <w:rPr>
          <w:rFonts w:ascii="Verdana" w:eastAsia="Times New Roman" w:hAnsi="Verdana" w:cs="Arial"/>
          <w:bCs/>
          <w:sz w:val="20"/>
          <w:szCs w:val="20"/>
          <w:lang w:eastAsia="es-CO"/>
        </w:rPr>
        <w:t>.</w:t>
      </w:r>
    </w:p>
    <w:p w14:paraId="545D2AA1" w14:textId="77777777" w:rsidR="00890E1B" w:rsidRPr="004513DD" w:rsidRDefault="00890E1B" w:rsidP="00890E1B">
      <w:pPr>
        <w:spacing w:after="0" w:line="276" w:lineRule="auto"/>
        <w:ind w:right="709"/>
        <w:rPr>
          <w:rFonts w:ascii="Verdana" w:eastAsia="Times New Roman" w:hAnsi="Verdana" w:cs="Arial"/>
          <w:lang w:eastAsia="es-CO"/>
        </w:rPr>
      </w:pPr>
    </w:p>
    <w:p w14:paraId="15395582" w14:textId="77777777" w:rsidR="00890E1B" w:rsidRPr="003E638E" w:rsidRDefault="00890E1B" w:rsidP="00890E1B">
      <w:pPr>
        <w:spacing w:after="0" w:line="276" w:lineRule="auto"/>
        <w:jc w:val="both"/>
        <w:rPr>
          <w:rFonts w:ascii="Verdana" w:eastAsia="Arial" w:hAnsi="Verdana" w:cs="Arial"/>
          <w:lang w:val="es-ES" w:eastAsia="es-ES" w:bidi="es-ES"/>
        </w:rPr>
      </w:pPr>
      <w:r w:rsidRPr="004513DD">
        <w:rPr>
          <w:rFonts w:ascii="Verdana" w:eastAsia="Times New Roman" w:hAnsi="Verdana" w:cs="Arial"/>
          <w:lang w:eastAsia="es-CO"/>
        </w:rPr>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1"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
    </w:p>
    <w:p w14:paraId="539208BC" w14:textId="77777777" w:rsidR="00890E1B" w:rsidRDefault="00890E1B" w:rsidP="00890E1B">
      <w:pPr>
        <w:spacing w:after="0" w:line="276" w:lineRule="auto"/>
        <w:jc w:val="both"/>
        <w:rPr>
          <w:rFonts w:ascii="Verdana" w:eastAsia="Calibri" w:hAnsi="Verdana" w:cs="Arial"/>
        </w:rPr>
      </w:pPr>
    </w:p>
    <w:p w14:paraId="2465EA17" w14:textId="77777777" w:rsidR="00890E1B" w:rsidRPr="003E638E" w:rsidRDefault="00890E1B" w:rsidP="00890E1B">
      <w:pPr>
        <w:spacing w:after="120"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xml:space="preserve">. El </w:t>
      </w:r>
      <w:r w:rsidRPr="003E638E">
        <w:rPr>
          <w:rFonts w:ascii="Verdana" w:eastAsia="Calibri" w:hAnsi="Verdana" w:cs="Arial"/>
        </w:rPr>
        <w:t xml:space="preserve">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7"/>
      </w:r>
      <w:r w:rsidRPr="003E638E">
        <w:rPr>
          <w:rFonts w:ascii="Verdana" w:eastAsia="Calibri" w:hAnsi="Verdana" w:cs="Arial"/>
        </w:rPr>
        <w:t>.</w:t>
      </w:r>
    </w:p>
    <w:p w14:paraId="74D24D5E" w14:textId="77777777" w:rsidR="00890E1B" w:rsidRPr="00F02C5A" w:rsidRDefault="00890E1B" w:rsidP="00890E1B">
      <w:pPr>
        <w:spacing w:after="0" w:line="276" w:lineRule="auto"/>
        <w:ind w:firstLine="708"/>
        <w:contextualSpacing/>
        <w:jc w:val="both"/>
        <w:rPr>
          <w:rFonts w:ascii="Verdana" w:eastAsia="Times New Roman" w:hAnsi="Verdana" w:cs="Arial"/>
          <w:lang w:val="es-MX" w:eastAsia="es-CO"/>
        </w:rPr>
      </w:pPr>
      <w:r w:rsidRPr="00F02C5A">
        <w:rPr>
          <w:rFonts w:ascii="Verdana" w:eastAsia="Times New Roman" w:hAnsi="Verdana" w:cs="Arial"/>
          <w:lang w:val="es-MX" w:eastAsia="x-none"/>
        </w:rPr>
        <w:t xml:space="preserve">El ámbito material de la prohibición contenida </w:t>
      </w:r>
      <w:bookmarkStart w:id="3" w:name="_Hlk75628761"/>
      <w:r w:rsidRPr="00F02C5A">
        <w:rPr>
          <w:rFonts w:ascii="Verdana" w:eastAsia="Times New Roman" w:hAnsi="Verdana" w:cs="Arial"/>
          <w:lang w:val="es-MX" w:eastAsia="x-none"/>
        </w:rPr>
        <w:t xml:space="preserve">en el artículo 33 de la Ley 996 de 2005 </w:t>
      </w:r>
      <w:bookmarkEnd w:id="3"/>
      <w:r w:rsidRPr="00F02C5A">
        <w:rPr>
          <w:rFonts w:ascii="Verdana" w:eastAsia="Times New Roman" w:hAnsi="Verdana" w:cs="Arial"/>
          <w:lang w:val="es-MX" w:eastAsia="x-none"/>
        </w:rPr>
        <w:t xml:space="preserve">está delimitado por la expresión </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queda prohibida la contratación directa</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w:t>
      </w:r>
      <w:r w:rsidRPr="002817AD">
        <w:rPr>
          <w:rFonts w:ascii="Verdana" w:eastAsia="Times New Roman" w:hAnsi="Verdana" w:cs="Arial"/>
          <w:i/>
          <w:lang w:val="es-MX" w:eastAsia="es-CO"/>
        </w:rPr>
        <w:t xml:space="preserve"> </w:t>
      </w:r>
      <w:r w:rsidRPr="00F02C5A">
        <w:rPr>
          <w:rFonts w:ascii="Verdana" w:eastAsia="Times New Roman" w:hAnsi="Verdana" w:cs="Arial"/>
          <w:lang w:val="es-MX" w:eastAsia="es-CO"/>
        </w:rPr>
        <w:t xml:space="preserve">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42EF0742" w14:textId="77777777" w:rsidR="00890E1B" w:rsidRPr="00F02C5A" w:rsidRDefault="00890E1B" w:rsidP="00890E1B">
      <w:pPr>
        <w:spacing w:after="0" w:line="276" w:lineRule="auto"/>
        <w:ind w:left="708" w:right="709"/>
        <w:contextualSpacing/>
        <w:jc w:val="both"/>
        <w:rPr>
          <w:rFonts w:ascii="Verdana" w:eastAsia="Calibri" w:hAnsi="Verdana" w:cs="Arial"/>
          <w:sz w:val="21"/>
          <w:szCs w:val="21"/>
          <w:lang w:val="es-MX"/>
        </w:rPr>
      </w:pPr>
    </w:p>
    <w:p w14:paraId="66F64F68" w14:textId="77777777" w:rsidR="00890E1B" w:rsidRPr="002817AD" w:rsidRDefault="00890E1B" w:rsidP="00890E1B">
      <w:pPr>
        <w:spacing w:after="0" w:line="240" w:lineRule="auto"/>
        <w:ind w:left="709"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817AD">
        <w:rPr>
          <w:rFonts w:ascii="Verdana" w:eastAsia="Times New Roman" w:hAnsi="Verdana" w:cs="Arial"/>
          <w:sz w:val="20"/>
          <w:szCs w:val="20"/>
          <w:vertAlign w:val="superscript"/>
          <w:lang w:eastAsia="es-CO"/>
        </w:rPr>
        <w:footnoteReference w:id="8"/>
      </w:r>
      <w:r w:rsidRPr="002817AD">
        <w:rPr>
          <w:rFonts w:ascii="Verdana" w:eastAsia="Calibri" w:hAnsi="Verdana" w:cs="Arial"/>
          <w:sz w:val="20"/>
          <w:szCs w:val="20"/>
          <w:lang w:val="es-MX"/>
        </w:rPr>
        <w:t>.</w:t>
      </w:r>
    </w:p>
    <w:p w14:paraId="12514038" w14:textId="77777777" w:rsidR="00890E1B" w:rsidRPr="002817AD" w:rsidRDefault="00890E1B" w:rsidP="00890E1B">
      <w:pPr>
        <w:spacing w:after="0" w:line="240" w:lineRule="auto"/>
        <w:ind w:left="709" w:right="709"/>
        <w:contextualSpacing/>
        <w:jc w:val="both"/>
        <w:rPr>
          <w:rFonts w:ascii="Verdana" w:eastAsia="Calibri" w:hAnsi="Verdana" w:cs="Arial"/>
          <w:sz w:val="20"/>
          <w:szCs w:val="20"/>
          <w:lang w:val="es-MX"/>
        </w:rPr>
      </w:pPr>
    </w:p>
    <w:p w14:paraId="52196C59" w14:textId="77777777" w:rsidR="00890E1B" w:rsidRPr="002817AD" w:rsidRDefault="00890E1B" w:rsidP="00890E1B">
      <w:pPr>
        <w:spacing w:after="0" w:line="240" w:lineRule="auto"/>
        <w:ind w:left="708" w:right="709"/>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 xml:space="preserve">Esta Sala ha entendido que para los efectos de la ley de garantías, y dada su finalidad, el enunciado ´contratación directa´ es sinónimo </w:t>
      </w:r>
      <w:bookmarkStart w:id="4" w:name="_Hlk75741738"/>
      <w:r w:rsidRPr="002817AD">
        <w:rPr>
          <w:rFonts w:ascii="Verdana" w:eastAsia="Calibri" w:hAnsi="Verdana" w:cs="Arial"/>
          <w:sz w:val="20"/>
          <w:szCs w:val="20"/>
          <w:lang w:val="es-MX"/>
        </w:rPr>
        <w:t xml:space="preserve">de cualquier sistema que no implique convocatoria pública y posibilidad de pluralidad de oferentes, </w:t>
      </w:r>
      <w:bookmarkEnd w:id="4"/>
      <w:r w:rsidRPr="002817AD">
        <w:rPr>
          <w:rFonts w:ascii="Verdana" w:eastAsia="Calibri" w:hAnsi="Verdana" w:cs="Arial"/>
          <w:sz w:val="20"/>
          <w:szCs w:val="20"/>
          <w:lang w:val="es-MX"/>
        </w:rPr>
        <w:t xml:space="preserve">y que, además, no necesariamente hace referencia al procedimiento especial regulado por la ley de contratación estatal, sino a cualquier otro que prescinda de un proceso de licitación pública o </w:t>
      </w:r>
      <w:r w:rsidRPr="002817AD">
        <w:rPr>
          <w:rFonts w:ascii="Verdana" w:eastAsia="Calibri" w:hAnsi="Verdana" w:cs="Arial"/>
          <w:sz w:val="20"/>
          <w:szCs w:val="20"/>
          <w:lang w:val="es-MX"/>
        </w:rPr>
        <w:lastRenderedPageBreak/>
        <w:t>concurso</w:t>
      </w:r>
      <w:r w:rsidRPr="002817AD">
        <w:rPr>
          <w:rFonts w:ascii="Verdana" w:eastAsia="Times New Roman" w:hAnsi="Verdana" w:cs="Arial"/>
          <w:sz w:val="20"/>
          <w:szCs w:val="20"/>
          <w:vertAlign w:val="superscript"/>
          <w:lang w:val="es-MX"/>
        </w:rPr>
        <w:footnoteReference w:id="9"/>
      </w:r>
      <w:r w:rsidRPr="002817AD">
        <w:rPr>
          <w:rFonts w:ascii="Verdana" w:eastAsia="Times New Roman" w:hAnsi="Verdana" w:cs="Arial"/>
          <w:sz w:val="20"/>
          <w:szCs w:val="20"/>
          <w:vertAlign w:val="superscript"/>
          <w:lang w:val="es-MX"/>
        </w:rPr>
        <w:t>.</w:t>
      </w:r>
      <w:r w:rsidRPr="002817AD">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817AD">
        <w:rPr>
          <w:rFonts w:ascii="Verdana" w:eastAsia="Times New Roman" w:hAnsi="Verdana" w:cs="Arial"/>
          <w:sz w:val="20"/>
          <w:szCs w:val="20"/>
          <w:vertAlign w:val="superscript"/>
          <w:lang w:eastAsia="es-CO"/>
        </w:rPr>
        <w:footnoteReference w:id="10"/>
      </w:r>
      <w:r w:rsidRPr="002817AD">
        <w:rPr>
          <w:rFonts w:ascii="Verdana" w:eastAsia="Calibri" w:hAnsi="Verdana" w:cs="Arial"/>
          <w:sz w:val="20"/>
          <w:szCs w:val="20"/>
          <w:lang w:val="es-MX"/>
        </w:rPr>
        <w:t>”.</w:t>
      </w:r>
    </w:p>
    <w:p w14:paraId="345E8187" w14:textId="77777777" w:rsidR="00890E1B" w:rsidRPr="00F02C5A" w:rsidRDefault="00890E1B" w:rsidP="00890E1B">
      <w:pPr>
        <w:shd w:val="clear" w:color="auto" w:fill="FFFFFF"/>
        <w:spacing w:after="0" w:line="276" w:lineRule="auto"/>
        <w:ind w:firstLine="709"/>
        <w:contextualSpacing/>
        <w:jc w:val="both"/>
        <w:rPr>
          <w:rFonts w:ascii="Verdana" w:eastAsia="Times New Roman" w:hAnsi="Verdana" w:cs="Arial"/>
          <w:lang w:eastAsia="x-none"/>
        </w:rPr>
      </w:pPr>
    </w:p>
    <w:p w14:paraId="289BE0CD" w14:textId="77777777" w:rsidR="00890E1B" w:rsidRPr="00F02C5A" w:rsidRDefault="00890E1B" w:rsidP="00890E1B">
      <w:pPr>
        <w:spacing w:after="120" w:line="276" w:lineRule="auto"/>
        <w:ind w:firstLine="709"/>
        <w:jc w:val="both"/>
        <w:rPr>
          <w:rFonts w:ascii="Verdana" w:eastAsia="Times New Roman" w:hAnsi="Verdana" w:cs="Arial"/>
          <w:lang w:eastAsia="x-none"/>
        </w:rPr>
      </w:pPr>
      <w:bookmarkStart w:id="6"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6"/>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1"/>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2"/>
      </w:r>
      <w:r w:rsidRPr="00F02C5A">
        <w:rPr>
          <w:rFonts w:ascii="Verdana" w:eastAsia="Times New Roman" w:hAnsi="Verdana" w:cs="Arial"/>
          <w:lang w:eastAsia="x-none"/>
        </w:rPr>
        <w:t xml:space="preserve">. </w:t>
      </w:r>
    </w:p>
    <w:p w14:paraId="7F0BDA42" w14:textId="77777777" w:rsidR="00890E1B" w:rsidRPr="00F02C5A" w:rsidRDefault="00890E1B" w:rsidP="00890E1B">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3"/>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04C10240" w14:textId="77777777" w:rsidR="00890E1B" w:rsidRPr="00F02C5A" w:rsidRDefault="00890E1B" w:rsidP="00890E1B">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7" w:name="_Hlk75636073"/>
      <w:r w:rsidRPr="00F02C5A">
        <w:rPr>
          <w:rFonts w:ascii="Verdana" w:eastAsia="Times New Roman" w:hAnsi="Verdana" w:cs="Arial"/>
          <w:lang w:eastAsia="x-none"/>
        </w:rPr>
        <w:t xml:space="preserve">en algunos sistemas de contratación, utilizados por entidades públicas con regímenes especiales, o </w:t>
      </w:r>
      <w:r w:rsidRPr="00F02C5A">
        <w:rPr>
          <w:rFonts w:ascii="Verdana" w:eastAsia="Times New Roman" w:hAnsi="Verdana" w:cs="Arial"/>
          <w:lang w:eastAsia="x-none"/>
        </w:rPr>
        <w:lastRenderedPageBreak/>
        <w:t>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7"/>
      <w:r w:rsidRPr="00F02C5A">
        <w:rPr>
          <w:rFonts w:ascii="Verdana" w:eastAsia="Times New Roman" w:hAnsi="Verdana" w:cs="Arial"/>
          <w:vertAlign w:val="superscript"/>
          <w:lang w:eastAsia="x-none"/>
        </w:rPr>
        <w:footnoteReference w:id="14"/>
      </w:r>
      <w:r w:rsidRPr="00F02C5A">
        <w:rPr>
          <w:rFonts w:ascii="Verdana" w:eastAsia="Times New Roman" w:hAnsi="Verdana" w:cs="Arial"/>
          <w:lang w:eastAsia="x-none"/>
        </w:rPr>
        <w:t xml:space="preserve">. </w:t>
      </w:r>
    </w:p>
    <w:p w14:paraId="7B8016DB" w14:textId="77777777" w:rsidR="00890E1B" w:rsidRPr="00F02C5A" w:rsidRDefault="00890E1B" w:rsidP="00890E1B">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BF9C5F1" w14:textId="77777777" w:rsidR="00890E1B" w:rsidRPr="00F02C5A" w:rsidRDefault="00890E1B" w:rsidP="00890E1B">
      <w:pPr>
        <w:spacing w:after="120" w:line="276" w:lineRule="auto"/>
        <w:ind w:firstLine="709"/>
        <w:jc w:val="both"/>
        <w:rPr>
          <w:rFonts w:ascii="Verdana" w:eastAsia="Times New Roman" w:hAnsi="Verdana" w:cs="Arial"/>
          <w:lang w:val="es-MX" w:eastAsia="x-none"/>
        </w:rPr>
      </w:pPr>
      <w:bookmarkStart w:id="8" w:name="_Hlk78818796"/>
      <w:r w:rsidRPr="00F02C5A">
        <w:rPr>
          <w:rFonts w:ascii="Verdana" w:eastAsia="Times New Roman" w:hAnsi="Verdana" w:cs="Arial"/>
          <w:lang w:val="es-MX" w:eastAsia="x-none"/>
        </w:rPr>
        <w:t xml:space="preserve"> Así las cosas, </w:t>
      </w:r>
      <w:bookmarkStart w:id="9"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5"/>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8"/>
    <w:p w14:paraId="382BAE74" w14:textId="77777777" w:rsidR="00890E1B" w:rsidRPr="00F02C5A" w:rsidRDefault="00890E1B" w:rsidP="00890E1B">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ED07460" w14:textId="77777777" w:rsidR="00890E1B" w:rsidRPr="00F02C5A" w:rsidRDefault="00890E1B" w:rsidP="00890E1B">
      <w:pPr>
        <w:spacing w:after="120" w:line="276" w:lineRule="auto"/>
        <w:ind w:firstLine="709"/>
        <w:jc w:val="both"/>
        <w:rPr>
          <w:rFonts w:ascii="Verdana" w:eastAsia="Times New Roman" w:hAnsi="Verdana" w:cs="Arial"/>
          <w:lang w:val="es-MX" w:eastAsia="x-none"/>
        </w:rPr>
      </w:pPr>
      <w:bookmarkStart w:id="10" w:name="_Hlk77237094"/>
      <w:bookmarkEnd w:id="9"/>
      <w:r w:rsidRPr="00F02C5A">
        <w:rPr>
          <w:rFonts w:ascii="Verdana" w:eastAsia="Times New Roman" w:hAnsi="Verdana" w:cs="Arial"/>
          <w:lang w:val="es-MX" w:eastAsia="es-CO"/>
        </w:rPr>
        <w:lastRenderedPageBreak/>
        <w:t xml:space="preserve">Como en otras oportunidades lo ha manifestado esta Agencia, las prórrogas, modificaciones o adiciones de los contratos suscritos antes de la entrada en vigencia de las prohibiciones anotadas, así como la cesión de </w:t>
      </w:r>
      <w:proofErr w:type="gramStart"/>
      <w:r w:rsidRPr="00F02C5A">
        <w:rPr>
          <w:rFonts w:ascii="Verdana" w:eastAsia="Times New Roman" w:hAnsi="Verdana" w:cs="Arial"/>
          <w:lang w:val="es-MX" w:eastAsia="es-CO"/>
        </w:rPr>
        <w:t>los mismos</w:t>
      </w:r>
      <w:proofErr w:type="gramEnd"/>
      <w:r w:rsidRPr="00F02C5A">
        <w:rPr>
          <w:rFonts w:ascii="Verdana" w:eastAsia="Times New Roman" w:hAnsi="Verdana" w:cs="Arial"/>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10"/>
    </w:p>
    <w:p w14:paraId="1E0D77B8" w14:textId="77777777" w:rsidR="00890E1B" w:rsidRPr="00F02C5A" w:rsidRDefault="00890E1B" w:rsidP="00890E1B">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11" w:name="_Hlk99577887"/>
      <w:bookmarkStart w:id="12" w:name="_Hlk100679762"/>
      <w:r w:rsidRPr="00F02C5A">
        <w:rPr>
          <w:rFonts w:ascii="Verdana" w:eastAsia="Times New Roman" w:hAnsi="Verdana"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1"/>
    </w:p>
    <w:bookmarkEnd w:id="12"/>
    <w:p w14:paraId="05B6969A" w14:textId="77777777" w:rsidR="00890E1B" w:rsidRPr="00D42A84" w:rsidRDefault="00890E1B" w:rsidP="00890E1B">
      <w:pPr>
        <w:spacing w:after="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w:t>
      </w:r>
      <w:bookmarkStart w:id="13" w:name="_Hlk74309042"/>
      <w:r w:rsidRPr="00F02C5A">
        <w:rPr>
          <w:rFonts w:ascii="Verdana" w:eastAsia="Times New Roman" w:hAnsi="Verdana" w:cs="Arial"/>
          <w:lang w:val="es-MX" w:eastAsia="x-none"/>
        </w:rPr>
        <w:t>que “</w:t>
      </w:r>
      <w:bookmarkEnd w:id="13"/>
      <w:r w:rsidRPr="00F02C5A">
        <w:rPr>
          <w:rFonts w:ascii="Verdana" w:eastAsia="Times New Roman" w:hAnsi="Verdana" w:cs="Arial"/>
          <w:lang w:val="es-MX" w:eastAsia="x-none"/>
        </w:rPr>
        <w:t xml:space="preserve">si bien la limitación garantiza la igualdad de condiciones, también es necesario que tal limitación que pretende la igualdad </w:t>
      </w:r>
      <w:bookmarkStart w:id="14" w:name="_Hlk75768308"/>
      <w:r w:rsidRPr="00F02C5A">
        <w:rPr>
          <w:rFonts w:ascii="Verdana" w:eastAsia="Times New Roman" w:hAnsi="Verdana" w:cs="Arial"/>
          <w:lang w:val="es-MX" w:eastAsia="x-none"/>
        </w:rPr>
        <w:t>no termine yendo en detrimento de intereses públicos, cuya garantía está en cabeza del ejecutivo, como son los inmersos en las excepciones para la prohibición de contratación”</w:t>
      </w:r>
      <w:r w:rsidRPr="00F02C5A">
        <w:rPr>
          <w:rFonts w:ascii="Verdana" w:eastAsia="Calibri" w:hAnsi="Verdana" w:cs="Arial"/>
          <w:vertAlign w:val="superscript"/>
          <w:lang w:val="es-MX"/>
        </w:rPr>
        <w:footnoteReference w:id="16"/>
      </w:r>
      <w:r w:rsidRPr="00F02C5A">
        <w:rPr>
          <w:rFonts w:ascii="Verdana" w:eastAsia="Times New Roman" w:hAnsi="Verdana" w:cs="Arial"/>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bookmarkEnd w:id="14"/>
    </w:p>
    <w:p w14:paraId="48BC53BB" w14:textId="77777777" w:rsidR="00890E1B" w:rsidRDefault="00890E1B" w:rsidP="00890E1B">
      <w:pPr>
        <w:spacing w:after="0" w:line="276" w:lineRule="auto"/>
        <w:jc w:val="both"/>
        <w:rPr>
          <w:rFonts w:ascii="Verdana" w:eastAsia="Times New Roman" w:hAnsi="Verdana" w:cs="Arial"/>
          <w:bCs/>
          <w:lang w:eastAsia="es-CO"/>
        </w:rPr>
      </w:pPr>
    </w:p>
    <w:p w14:paraId="7BE51934" w14:textId="77777777" w:rsidR="00890E1B" w:rsidRPr="00AA31F3" w:rsidRDefault="00890E1B" w:rsidP="00890E1B">
      <w:pPr>
        <w:spacing w:after="120" w:line="276" w:lineRule="auto"/>
        <w:jc w:val="both"/>
        <w:rPr>
          <w:rFonts w:ascii="Verdana" w:hAnsi="Verdana" w:cs="Arial"/>
          <w:lang w:val="es-ES"/>
        </w:rPr>
      </w:pPr>
      <w:proofErr w:type="spellStart"/>
      <w:r w:rsidRPr="00382CF7">
        <w:rPr>
          <w:rFonts w:ascii="Verdana" w:eastAsia="Times New Roman" w:hAnsi="Verdana" w:cs="Arial"/>
          <w:bCs/>
          <w:lang w:eastAsia="es-CO"/>
        </w:rPr>
        <w:t>ii</w:t>
      </w:r>
      <w:r>
        <w:rPr>
          <w:rFonts w:ascii="Verdana" w:eastAsia="Times New Roman" w:hAnsi="Verdana" w:cs="Arial"/>
          <w:bCs/>
          <w:lang w:eastAsia="es-CO"/>
        </w:rPr>
        <w:t>i</w:t>
      </w:r>
      <w:proofErr w:type="spellEnd"/>
      <w:r w:rsidRPr="009A4996">
        <w:rPr>
          <w:rFonts w:ascii="Verdana" w:eastAsia="Times New Roman" w:hAnsi="Verdana" w:cs="Arial"/>
          <w:bCs/>
          <w:lang w:eastAsia="es-CO"/>
        </w:rPr>
        <w:t xml:space="preserve">. </w:t>
      </w:r>
      <w:r w:rsidRPr="00AA31F3">
        <w:rPr>
          <w:rFonts w:ascii="Verdana" w:hAnsi="Verdana" w:cs="Arial"/>
          <w:lang w:val="es-ES"/>
        </w:rPr>
        <w:t xml:space="preserve">Ahora bien, respecto del alcance del parágrafo </w:t>
      </w:r>
      <w:r w:rsidRPr="00AA31F3">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AA31F3">
        <w:rPr>
          <w:rFonts w:ascii="Verdana" w:hAnsi="Verdana" w:cs="Arial"/>
          <w:i/>
          <w:iCs/>
        </w:rPr>
        <w:t>convenios interadministrativos</w:t>
      </w:r>
      <w:r w:rsidRPr="00AA31F3">
        <w:rPr>
          <w:rFonts w:ascii="Verdana" w:hAnsi="Verdana" w:cs="Arial"/>
        </w:rPr>
        <w:t xml:space="preserve"> </w:t>
      </w:r>
      <w:r w:rsidRPr="00AA31F3">
        <w:rPr>
          <w:rFonts w:ascii="Verdana" w:hAnsi="Verdana" w:cs="Arial"/>
          <w:i/>
          <w:iCs/>
        </w:rPr>
        <w:t>para la ejecución de recursos públicos</w:t>
      </w:r>
      <w:r w:rsidRPr="00AA31F3">
        <w:rPr>
          <w:rFonts w:ascii="Verdana" w:hAnsi="Verdana" w:cs="Arial"/>
        </w:rPr>
        <w:t>”.</w:t>
      </w:r>
      <w:r w:rsidRPr="00AA31F3">
        <w:rPr>
          <w:rFonts w:ascii="Verdana" w:eastAsia="Times New Roman" w:hAnsi="Verdana" w:cs="Arial"/>
          <w:lang w:val="es-MX" w:eastAsia="x-none"/>
        </w:rPr>
        <w:t xml:space="preserve"> [Énfasis fuera del texto original]</w:t>
      </w:r>
    </w:p>
    <w:p w14:paraId="1F04CBCA" w14:textId="77777777" w:rsidR="00890E1B" w:rsidRPr="00AA31F3" w:rsidRDefault="00890E1B" w:rsidP="00890E1B">
      <w:pPr>
        <w:spacing w:after="120" w:line="276" w:lineRule="auto"/>
        <w:ind w:firstLine="709"/>
        <w:jc w:val="both"/>
        <w:rPr>
          <w:rFonts w:ascii="Verdana" w:hAnsi="Verdana" w:cs="Arial"/>
          <w:lang w:eastAsia="es-ES"/>
        </w:rPr>
      </w:pPr>
      <w:r w:rsidRPr="00AA31F3">
        <w:rPr>
          <w:rFonts w:ascii="Verdana" w:eastAsia="Times New Roman" w:hAnsi="Verdana" w:cs="Arial"/>
          <w:lang w:val="es-ES" w:eastAsia="es-ES"/>
        </w:rPr>
        <w:t xml:space="preserve">Para tales efectos, debe precisarse que </w:t>
      </w:r>
      <w:r w:rsidRPr="00AA31F3">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AA31F3">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AA31F3">
        <w:rPr>
          <w:rFonts w:ascii="Verdana" w:hAnsi="Verdana" w:cs="Arial"/>
          <w:vertAlign w:val="superscript"/>
          <w:lang w:eastAsia="es-ES"/>
        </w:rPr>
        <w:footnoteReference w:id="17"/>
      </w:r>
      <w:r w:rsidRPr="00AA31F3">
        <w:rPr>
          <w:rFonts w:ascii="Verdana" w:hAnsi="Verdana" w:cs="Arial"/>
          <w:lang w:eastAsia="es-ES"/>
        </w:rPr>
        <w:t>.</w:t>
      </w:r>
    </w:p>
    <w:p w14:paraId="160ACD71" w14:textId="77777777" w:rsidR="00890E1B" w:rsidRPr="00AA31F3" w:rsidRDefault="00890E1B" w:rsidP="00890E1B">
      <w:pPr>
        <w:spacing w:after="120" w:line="276" w:lineRule="auto"/>
        <w:ind w:firstLine="709"/>
        <w:jc w:val="both"/>
        <w:rPr>
          <w:rFonts w:ascii="Verdana" w:hAnsi="Verdana" w:cs="Arial"/>
          <w:color w:val="000000" w:themeColor="text1"/>
          <w:lang w:val="es-ES_tradnl"/>
        </w:rPr>
      </w:pPr>
      <w:r w:rsidRPr="00AA31F3">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37781F59" w14:textId="77777777" w:rsidR="00890E1B" w:rsidRPr="00AA31F3" w:rsidRDefault="00890E1B" w:rsidP="00890E1B">
      <w:pPr>
        <w:spacing w:before="120" w:after="0" w:line="276" w:lineRule="auto"/>
        <w:ind w:firstLine="708"/>
        <w:jc w:val="both"/>
        <w:rPr>
          <w:rFonts w:ascii="Verdana" w:hAnsi="Verdana" w:cs="Arial"/>
          <w:lang w:val="es-ES_tradnl"/>
        </w:rPr>
      </w:pPr>
      <w:r w:rsidRPr="00AA31F3">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AA31F3">
        <w:rPr>
          <w:rFonts w:ascii="Verdana" w:hAnsi="Verdana" w:cs="Arial"/>
          <w:vertAlign w:val="superscript"/>
          <w:lang w:val="es-ES"/>
        </w:rPr>
        <w:footnoteReference w:id="18"/>
      </w:r>
      <w:r w:rsidRPr="00AA31F3">
        <w:rPr>
          <w:rFonts w:ascii="Verdana" w:hAnsi="Verdana" w:cs="Arial"/>
          <w:lang w:val="es-ES"/>
        </w:rPr>
        <w:t>. Nótese que, en este caso, lo que cambia es la modalidad de selección y no la naturaleza de contrato interadministrativo.</w:t>
      </w:r>
    </w:p>
    <w:p w14:paraId="1657751F" w14:textId="77777777" w:rsidR="00890E1B" w:rsidRPr="00AA31F3" w:rsidRDefault="00890E1B" w:rsidP="00890E1B">
      <w:pPr>
        <w:spacing w:before="120" w:after="0" w:line="276" w:lineRule="auto"/>
        <w:ind w:firstLine="708"/>
        <w:jc w:val="both"/>
        <w:rPr>
          <w:rFonts w:ascii="Verdana" w:hAnsi="Verdana" w:cs="Arial"/>
          <w:lang w:val="es-ES_tradnl"/>
        </w:rPr>
      </w:pPr>
      <w:r w:rsidRPr="00AA31F3">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00AA31F3">
        <w:rPr>
          <w:rFonts w:ascii="Verdana" w:hAnsi="Verdana" w:cs="Arial"/>
          <w:vertAlign w:val="superscript"/>
          <w:lang w:val="es-ES"/>
        </w:rPr>
        <w:footnoteReference w:id="19"/>
      </w:r>
      <w:r w:rsidRPr="00AA31F3">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434ED4B" w14:textId="77777777" w:rsidR="00890E1B" w:rsidRPr="00AA31F3" w:rsidRDefault="00890E1B" w:rsidP="00890E1B">
      <w:pPr>
        <w:spacing w:before="120" w:after="0" w:line="276" w:lineRule="auto"/>
        <w:ind w:firstLine="708"/>
        <w:jc w:val="both"/>
        <w:rPr>
          <w:rFonts w:ascii="Verdana" w:hAnsi="Verdana"/>
          <w:sz w:val="24"/>
          <w:szCs w:val="24"/>
          <w:lang w:eastAsia="es-CO"/>
        </w:rPr>
      </w:pPr>
      <w:r w:rsidRPr="00AA31F3">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AA31F3">
        <w:rPr>
          <w:rFonts w:ascii="Verdana" w:hAnsi="Verdana" w:cs="Arial"/>
          <w:vertAlign w:val="superscript"/>
          <w:lang w:val="es-ES"/>
        </w:rPr>
        <w:footnoteReference w:id="20"/>
      </w:r>
      <w:r w:rsidRPr="00AA31F3">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AA31F3">
        <w:rPr>
          <w:rFonts w:ascii="Verdana" w:hAnsi="Verdana"/>
          <w:sz w:val="24"/>
          <w:szCs w:val="24"/>
          <w:lang w:eastAsia="es-CO"/>
        </w:rPr>
        <w:t>.</w:t>
      </w:r>
    </w:p>
    <w:p w14:paraId="6D803793" w14:textId="77777777" w:rsidR="00890E1B" w:rsidRPr="00AA31F3" w:rsidRDefault="00890E1B" w:rsidP="00890E1B">
      <w:pPr>
        <w:spacing w:before="120" w:after="0" w:line="276" w:lineRule="auto"/>
        <w:ind w:firstLine="708"/>
        <w:jc w:val="both"/>
        <w:rPr>
          <w:rFonts w:ascii="Verdana" w:eastAsia="Times New Roman" w:hAnsi="Verdana" w:cs="Arial"/>
          <w:lang w:val="es-MX" w:eastAsia="es-CO"/>
        </w:rPr>
      </w:pPr>
      <w:r w:rsidRPr="00AA31F3">
        <w:rPr>
          <w:rFonts w:ascii="Verdana" w:eastAsia="Arial" w:hAnsi="Verdana" w:cs="Arial"/>
          <w:lang w:val="es-MX" w:eastAsia="es-ES" w:bidi="es-ES"/>
        </w:rPr>
        <w:t>De esta manera, se</w:t>
      </w:r>
      <w:r w:rsidRPr="00AA31F3">
        <w:rPr>
          <w:rFonts w:ascii="Verdana" w:eastAsia="Times New Roman" w:hAnsi="Verdana" w:cs="Arial"/>
          <w:lang w:eastAsia="es-CO"/>
        </w:rPr>
        <w:t xml:space="preserve"> observa entonces que </w:t>
      </w:r>
      <w:r w:rsidRPr="00AA31F3">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AA31F3">
        <w:rPr>
          <w:rFonts w:ascii="Verdana" w:eastAsia="Times New Roman" w:hAnsi="Verdana" w:cs="Arial"/>
          <w:i/>
          <w:iCs/>
          <w:lang w:val="es-MX" w:eastAsia="es-CO"/>
        </w:rPr>
        <w:t>convenios interadministrativos</w:t>
      </w:r>
      <w:r w:rsidRPr="00AA31F3">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AA31F3">
        <w:rPr>
          <w:rFonts w:ascii="Verdana" w:eastAsia="Times New Roman" w:hAnsi="Verdana" w:cs="Arial"/>
          <w:i/>
          <w:lang w:val="es-MX" w:eastAsia="es-CO"/>
        </w:rPr>
        <w:t>ibidem</w:t>
      </w:r>
      <w:r w:rsidRPr="00AA31F3">
        <w:rPr>
          <w:rFonts w:ascii="Verdana" w:eastAsia="Times New Roman" w:hAnsi="Verdana" w:cs="Arial"/>
          <w:lang w:val="es-MX" w:eastAsia="es-CO"/>
        </w:rPr>
        <w:t xml:space="preserve">, no podrá celebrar tales </w:t>
      </w:r>
      <w:r w:rsidRPr="00AA31F3">
        <w:rPr>
          <w:rFonts w:ascii="Verdana" w:eastAsia="Times New Roman" w:hAnsi="Verdana" w:cs="Arial"/>
          <w:i/>
          <w:iCs/>
          <w:lang w:val="es-MX" w:eastAsia="es-CO"/>
        </w:rPr>
        <w:t>convenios</w:t>
      </w:r>
      <w:r w:rsidRPr="00AA31F3">
        <w:rPr>
          <w:rFonts w:ascii="Verdana" w:eastAsia="Times New Roman" w:hAnsi="Verdana" w:cs="Arial"/>
          <w:lang w:val="es-MX" w:eastAsia="es-CO"/>
        </w:rPr>
        <w:t xml:space="preserve"> durante la aplicación de la Ley de Garantías Electorales, toda vez que la citada </w:t>
      </w:r>
      <w:r w:rsidRPr="00AA31F3">
        <w:rPr>
          <w:rFonts w:ascii="Verdana" w:eastAsia="Times New Roman" w:hAnsi="Verdana" w:cs="Arial"/>
          <w:lang w:val="es-MX" w:eastAsia="es-CO"/>
        </w:rPr>
        <w:lastRenderedPageBreak/>
        <w:t xml:space="preserve">disposición hace referencia a dicha tipología contractual sin que el legislador hubiere contemplado un efecto extensivo a otra tipología. </w:t>
      </w:r>
    </w:p>
    <w:p w14:paraId="6AE100BB" w14:textId="77777777" w:rsidR="00890E1B" w:rsidRPr="00AA31F3" w:rsidRDefault="00890E1B" w:rsidP="00890E1B">
      <w:pPr>
        <w:spacing w:before="120" w:after="0" w:line="276" w:lineRule="auto"/>
        <w:ind w:firstLine="708"/>
        <w:jc w:val="both"/>
        <w:rPr>
          <w:rFonts w:ascii="Verdana" w:eastAsia="Times New Roman" w:hAnsi="Verdana" w:cs="Arial"/>
          <w:lang w:eastAsia="es-CO"/>
        </w:rPr>
      </w:pPr>
      <w:r w:rsidRPr="00AA31F3">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AA31F3">
        <w:rPr>
          <w:rFonts w:ascii="Verdana" w:eastAsia="Times New Roman" w:hAnsi="Verdana" w:cs="Arial"/>
          <w:lang w:val="es-MX" w:eastAsia="es-CO"/>
        </w:rPr>
        <w:t>ii</w:t>
      </w:r>
      <w:proofErr w:type="spellEnd"/>
      <w:r w:rsidRPr="00AA31F3">
        <w:rPr>
          <w:rFonts w:ascii="Verdana" w:eastAsia="Times New Roman" w:hAnsi="Verdana" w:cs="Arial"/>
          <w:lang w:val="es-MX" w:eastAsia="es-CO"/>
        </w:rPr>
        <w:t xml:space="preserve">) y </w:t>
      </w:r>
      <w:proofErr w:type="spellStart"/>
      <w:r w:rsidRPr="00AA31F3">
        <w:rPr>
          <w:rFonts w:ascii="Verdana" w:eastAsia="Times New Roman" w:hAnsi="Verdana" w:cs="Arial"/>
          <w:lang w:val="es-MX" w:eastAsia="es-CO"/>
        </w:rPr>
        <w:t>iv</w:t>
      </w:r>
      <w:proofErr w:type="spellEnd"/>
      <w:r w:rsidRPr="00AA31F3">
        <w:rPr>
          <w:rFonts w:ascii="Verdana" w:eastAsia="Times New Roman" w:hAnsi="Verdana" w:cs="Arial"/>
          <w:lang w:val="es-MX" w:eastAsia="es-CO"/>
        </w:rPr>
        <w:t>) del numeral 2</w:t>
      </w:r>
      <w:r w:rsidRPr="00AA31F3">
        <w:rPr>
          <w:rFonts w:ascii="Verdana" w:eastAsia="Times New Roman" w:hAnsi="Verdana" w:cs="Arial"/>
          <w:lang w:eastAsia="es-CO"/>
        </w:rPr>
        <w:t>,</w:t>
      </w:r>
      <w:r w:rsidRPr="00AA31F3">
        <w:rPr>
          <w:rFonts w:ascii="Verdana" w:eastAsia="Times New Roman" w:hAnsi="Verdana" w:cs="Arial"/>
          <w:lang w:val="es-MX" w:eastAsia="es-CO"/>
        </w:rPr>
        <w:t xml:space="preserve"> indica que el </w:t>
      </w:r>
      <w:r w:rsidRPr="00AA31F3">
        <w:rPr>
          <w:rFonts w:ascii="Verdana" w:eastAsia="Times New Roman" w:hAnsi="Verdana" w:cs="Arial"/>
          <w:lang w:eastAsia="es-CO"/>
        </w:rPr>
        <w:t xml:space="preserve">parágrafo del artículo 38 de la Ley 996 de 2005 cobija expresamente a los </w:t>
      </w:r>
      <w:r w:rsidRPr="00AA31F3">
        <w:rPr>
          <w:rFonts w:ascii="Verdana" w:eastAsia="Times New Roman" w:hAnsi="Verdana" w:cs="Arial"/>
          <w:i/>
          <w:iCs/>
          <w:lang w:eastAsia="es-CO"/>
        </w:rPr>
        <w:t>convenios interadministrativos</w:t>
      </w:r>
      <w:r w:rsidRPr="00AA31F3">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AA31F3">
        <w:rPr>
          <w:rFonts w:ascii="Verdana" w:eastAsia="Times New Roman" w:hAnsi="Verdana" w:cs="Arial"/>
          <w:i/>
          <w:iCs/>
          <w:lang w:eastAsia="es-CO"/>
        </w:rPr>
        <w:t>“aunque se configure alguno de los supuestos de excepción que señaló el inciso final del artículo 33”.</w:t>
      </w:r>
      <w:r w:rsidRPr="00AA31F3">
        <w:rPr>
          <w:rFonts w:ascii="Verdana" w:eastAsia="Times New Roman" w:hAnsi="Verdana" w:cs="Arial"/>
          <w:lang w:eastAsia="es-CO"/>
        </w:rPr>
        <w:t xml:space="preserve"> </w:t>
      </w:r>
    </w:p>
    <w:p w14:paraId="54E5E95D" w14:textId="77777777" w:rsidR="00890E1B" w:rsidRPr="00AA31F3" w:rsidRDefault="00890E1B" w:rsidP="00890E1B">
      <w:pPr>
        <w:spacing w:before="120" w:after="0" w:line="276" w:lineRule="auto"/>
        <w:ind w:firstLine="708"/>
        <w:jc w:val="both"/>
        <w:rPr>
          <w:rFonts w:ascii="Verdana" w:eastAsia="Times New Roman" w:hAnsi="Verdana" w:cs="Arial"/>
          <w:lang w:val="es-MX" w:eastAsia="es-CO"/>
        </w:rPr>
      </w:pPr>
      <w:r w:rsidRPr="00AA31F3">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AA31F3">
        <w:rPr>
          <w:rFonts w:ascii="Verdana" w:eastAsia="Times New Roman" w:hAnsi="Verdana" w:cs="Arial"/>
          <w:i/>
          <w:iCs/>
          <w:lang w:eastAsia="es-CO"/>
        </w:rPr>
        <w:t>convenios interadministrativos</w:t>
      </w:r>
      <w:r w:rsidRPr="00AA31F3">
        <w:rPr>
          <w:rFonts w:ascii="Verdana" w:eastAsia="Times New Roman" w:hAnsi="Verdana" w:cs="Arial"/>
          <w:lang w:eastAsia="es-CO"/>
        </w:rPr>
        <w:t xml:space="preserve"> en los que se contemple la </w:t>
      </w:r>
      <w:r w:rsidRPr="00AA31F3">
        <w:rPr>
          <w:rFonts w:ascii="Verdana" w:eastAsia="Times New Roman" w:hAnsi="Verdana" w:cs="Arial"/>
          <w:i/>
          <w:iCs/>
          <w:lang w:eastAsia="es-CO"/>
        </w:rPr>
        <w:t>ejecución de recursos públicos</w:t>
      </w:r>
      <w:r w:rsidRPr="00AA31F3">
        <w:rPr>
          <w:rFonts w:ascii="Verdana" w:eastAsia="Times New Roman" w:hAnsi="Verdana" w:cs="Arial"/>
          <w:lang w:eastAsia="es-CO"/>
        </w:rPr>
        <w:t xml:space="preserve">. Esto significa que la prohibición no resulta aplicable a </w:t>
      </w:r>
      <w:r w:rsidRPr="00AA31F3">
        <w:rPr>
          <w:rFonts w:ascii="Verdana" w:eastAsia="Times New Roman" w:hAnsi="Verdana" w:cs="Arial"/>
          <w:i/>
          <w:iCs/>
          <w:lang w:eastAsia="es-CO"/>
        </w:rPr>
        <w:t>convenios interadministrativos a título gratuito,</w:t>
      </w:r>
      <w:r w:rsidRPr="00AA31F3">
        <w:rPr>
          <w:rFonts w:ascii="Verdana" w:eastAsia="Times New Roman" w:hAnsi="Verdana" w:cs="Arial"/>
          <w:lang w:eastAsia="es-CO"/>
        </w:rPr>
        <w:t xml:space="preserve"> los cuales pueden celebrarse válidamente durante la vigencia de la mencionada restricción. </w:t>
      </w:r>
    </w:p>
    <w:p w14:paraId="13367020" w14:textId="77777777" w:rsidR="00890E1B" w:rsidRPr="00AA31F3" w:rsidRDefault="00890E1B" w:rsidP="00890E1B">
      <w:pPr>
        <w:spacing w:before="120" w:after="0" w:line="276" w:lineRule="auto"/>
        <w:ind w:firstLine="708"/>
        <w:jc w:val="both"/>
        <w:rPr>
          <w:rFonts w:ascii="Verdana" w:eastAsia="Times New Roman" w:hAnsi="Verdana" w:cs="Arial"/>
          <w:lang w:eastAsia="es-CO"/>
        </w:rPr>
      </w:pPr>
      <w:r w:rsidRPr="00AA31F3">
        <w:rPr>
          <w:rFonts w:ascii="Verdana" w:eastAsia="Times New Roman" w:hAnsi="Verdana" w:cs="Arial"/>
          <w:lang w:eastAsia="es-CO"/>
        </w:rPr>
        <w:t xml:space="preserve">De esta manera, conforme a lo dispuesto en la Circular referida, si se suscriben </w:t>
      </w:r>
      <w:r w:rsidRPr="00AA31F3">
        <w:rPr>
          <w:rFonts w:ascii="Verdana" w:eastAsia="Times New Roman" w:hAnsi="Verdana" w:cs="Arial"/>
          <w:i/>
          <w:iCs/>
          <w:lang w:eastAsia="es-CO"/>
        </w:rPr>
        <w:t>convenios interadministrativos para la ejecución de recursos públicos</w:t>
      </w:r>
      <w:r w:rsidRPr="00AA31F3">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AA31F3">
        <w:rPr>
          <w:rFonts w:ascii="Verdana" w:eastAsia="Times New Roman" w:hAnsi="Verdana" w:cs="Arial"/>
          <w:i/>
          <w:iCs/>
          <w:lang w:eastAsia="es-CO"/>
        </w:rPr>
        <w:t>ibidem</w:t>
      </w:r>
      <w:r w:rsidRPr="00AA31F3">
        <w:rPr>
          <w:rFonts w:ascii="Verdana" w:eastAsia="Times New Roman" w:hAnsi="Verdana" w:cs="Arial"/>
          <w:lang w:eastAsia="es-CO"/>
        </w:rPr>
        <w:t>, independientemente de que se configure alguno de los supuestos de excepción que señaló el inciso final del artículo 33, es decir, que se trate de:</w:t>
      </w:r>
      <w:r w:rsidRPr="00AA31F3">
        <w:rPr>
          <w:rFonts w:ascii="Verdana" w:hAnsi="Verdana" w:cs="Arial"/>
          <w:bCs/>
          <w:lang w:val="es-MX" w:eastAsia="x-none"/>
        </w:rPr>
        <w:t xml:space="preserve"> i) la defensa y seguridad del Estado; </w:t>
      </w:r>
      <w:proofErr w:type="spellStart"/>
      <w:r w:rsidRPr="00AA31F3">
        <w:rPr>
          <w:rFonts w:ascii="Verdana" w:hAnsi="Verdana" w:cs="Arial"/>
          <w:bCs/>
          <w:lang w:val="es-MX" w:eastAsia="x-none"/>
        </w:rPr>
        <w:t>ii</w:t>
      </w:r>
      <w:proofErr w:type="spellEnd"/>
      <w:r w:rsidRPr="00AA31F3">
        <w:rPr>
          <w:rFonts w:ascii="Verdana" w:hAnsi="Verdana" w:cs="Arial"/>
          <w:bCs/>
          <w:lang w:val="es-MX" w:eastAsia="x-none"/>
        </w:rPr>
        <w:t xml:space="preserve">) los contratos de crédito público; </w:t>
      </w:r>
      <w:proofErr w:type="spellStart"/>
      <w:r w:rsidRPr="00AA31F3">
        <w:rPr>
          <w:rFonts w:ascii="Verdana" w:hAnsi="Verdana" w:cs="Arial"/>
          <w:bCs/>
          <w:lang w:val="es-MX" w:eastAsia="x-none"/>
        </w:rPr>
        <w:t>iii</w:t>
      </w:r>
      <w:proofErr w:type="spellEnd"/>
      <w:r w:rsidRPr="00AA31F3">
        <w:rPr>
          <w:rFonts w:ascii="Verdana" w:hAnsi="Verdana" w:cs="Arial"/>
          <w:bCs/>
          <w:lang w:val="es-MX" w:eastAsia="x-none"/>
        </w:rPr>
        <w:t xml:space="preserve">) los requeridos para cubrir las emergencias educativas, sanitarias y desastres; </w:t>
      </w:r>
      <w:proofErr w:type="spellStart"/>
      <w:r w:rsidRPr="00AA31F3">
        <w:rPr>
          <w:rFonts w:ascii="Verdana" w:hAnsi="Verdana" w:cs="Arial"/>
          <w:bCs/>
          <w:lang w:val="es-MX" w:eastAsia="x-none"/>
        </w:rPr>
        <w:t>iv</w:t>
      </w:r>
      <w:proofErr w:type="spellEnd"/>
      <w:r w:rsidRPr="00AA31F3">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AA31F3">
        <w:rPr>
          <w:rFonts w:ascii="Verdana" w:hAnsi="Verdana" w:cs="Arial"/>
          <w:bCs/>
          <w:lang w:val="es-MX" w:eastAsia="es-CO"/>
        </w:rPr>
        <w:t xml:space="preserve"> </w:t>
      </w:r>
      <w:r w:rsidRPr="00AA31F3">
        <w:rPr>
          <w:rFonts w:ascii="Verdana" w:eastAsia="Times New Roman" w:hAnsi="Verdana" w:cs="Arial"/>
          <w:lang w:eastAsia="es-CO"/>
        </w:rPr>
        <w:t xml:space="preserve">  </w:t>
      </w:r>
    </w:p>
    <w:p w14:paraId="2A783F36" w14:textId="77777777" w:rsidR="00890E1B" w:rsidRPr="00AA31F3" w:rsidRDefault="00890E1B" w:rsidP="00890E1B">
      <w:pPr>
        <w:spacing w:before="120" w:after="0" w:line="276" w:lineRule="auto"/>
        <w:ind w:firstLine="708"/>
        <w:jc w:val="both"/>
        <w:rPr>
          <w:rFonts w:ascii="Verdana" w:eastAsia="Times New Roman" w:hAnsi="Verdana" w:cs="Arial"/>
          <w:lang w:eastAsia="es-CO"/>
        </w:rPr>
      </w:pPr>
      <w:r w:rsidRPr="00AA31F3">
        <w:rPr>
          <w:rFonts w:ascii="Verdana" w:eastAsia="Times New Roman" w:hAnsi="Verdana" w:cs="Arial"/>
          <w:lang w:eastAsia="es-CO"/>
        </w:rPr>
        <w:t xml:space="preserve">En este punto, teniendo en cuenta lo señalado en el contenido de su petición, vale la pena destacar que </w:t>
      </w:r>
      <w:r w:rsidRPr="00AA31F3">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AA31F3">
        <w:rPr>
          <w:rFonts w:ascii="Verdana" w:hAnsi="Verdana" w:cs="Arial"/>
        </w:rPr>
        <w:t xml:space="preserve">numeral 16.2 de la Circular Externa Única de 2022 expedida por la Agencia Nacional de Contratación Pública -Colombia </w:t>
      </w:r>
      <w:r w:rsidRPr="00AA31F3">
        <w:rPr>
          <w:rFonts w:ascii="Verdana" w:hAnsi="Verdana" w:cs="Arial"/>
        </w:rPr>
        <w:lastRenderedPageBreak/>
        <w:t>Compra Eficiente-, concretamente, respecto de los siguientes apartes normativos</w:t>
      </w:r>
      <w:r w:rsidRPr="00AA31F3">
        <w:rPr>
          <w:rFonts w:ascii="Verdana" w:hAnsi="Verdana" w:cs="Arial"/>
          <w:vertAlign w:val="superscript"/>
        </w:rPr>
        <w:footnoteReference w:id="21"/>
      </w:r>
      <w:r w:rsidRPr="00AA31F3">
        <w:rPr>
          <w:rFonts w:ascii="Verdana" w:hAnsi="Verdana" w:cs="Arial"/>
        </w:rPr>
        <w:t xml:space="preserve">: </w:t>
      </w:r>
    </w:p>
    <w:p w14:paraId="621DCE4F" w14:textId="77777777" w:rsidR="00890E1B" w:rsidRPr="00AA31F3" w:rsidRDefault="00890E1B" w:rsidP="00890E1B">
      <w:pPr>
        <w:spacing w:after="0" w:line="276" w:lineRule="auto"/>
        <w:ind w:firstLine="709"/>
        <w:jc w:val="both"/>
        <w:rPr>
          <w:rFonts w:ascii="Verdana" w:hAnsi="Verdana" w:cs="Arial"/>
        </w:rPr>
      </w:pPr>
    </w:p>
    <w:p w14:paraId="2C80A8C8" w14:textId="77777777" w:rsidR="00890E1B" w:rsidRPr="00AA31F3" w:rsidRDefault="00890E1B" w:rsidP="00890E1B">
      <w:pPr>
        <w:spacing w:after="0" w:line="240" w:lineRule="auto"/>
        <w:ind w:left="709" w:right="709"/>
        <w:jc w:val="both"/>
        <w:rPr>
          <w:rFonts w:ascii="Verdana" w:hAnsi="Verdana" w:cs="Arial"/>
          <w:sz w:val="20"/>
          <w:szCs w:val="20"/>
        </w:rPr>
      </w:pPr>
      <w:r w:rsidRPr="00AA31F3">
        <w:rPr>
          <w:rFonts w:ascii="Verdana" w:hAnsi="Verdana" w:cs="Arial"/>
          <w:sz w:val="20"/>
          <w:szCs w:val="20"/>
          <w:lang w:val="es-MX"/>
        </w:rPr>
        <w:t>“i)</w:t>
      </w:r>
      <w:r w:rsidRPr="00AA31F3">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5ED7D2B4" w14:textId="77777777" w:rsidR="00890E1B" w:rsidRPr="00AA31F3" w:rsidRDefault="00890E1B" w:rsidP="00890E1B">
      <w:pPr>
        <w:spacing w:after="0" w:line="240" w:lineRule="auto"/>
        <w:ind w:left="709" w:right="709"/>
        <w:jc w:val="both"/>
        <w:rPr>
          <w:rFonts w:ascii="Verdana" w:hAnsi="Verdana" w:cs="Arial"/>
          <w:sz w:val="20"/>
          <w:szCs w:val="20"/>
        </w:rPr>
      </w:pPr>
    </w:p>
    <w:p w14:paraId="18BB1943" w14:textId="77777777" w:rsidR="00890E1B" w:rsidRPr="00AA31F3" w:rsidRDefault="00890E1B" w:rsidP="00890E1B">
      <w:pPr>
        <w:spacing w:after="0" w:line="240" w:lineRule="auto"/>
        <w:ind w:left="709" w:right="709"/>
        <w:jc w:val="both"/>
        <w:rPr>
          <w:rFonts w:ascii="Verdana" w:hAnsi="Verdana" w:cs="Arial"/>
          <w:sz w:val="20"/>
          <w:szCs w:val="20"/>
        </w:rPr>
      </w:pPr>
      <w:proofErr w:type="spellStart"/>
      <w:r w:rsidRPr="00AA31F3">
        <w:rPr>
          <w:rFonts w:ascii="Verdana" w:hAnsi="Verdana" w:cs="Arial"/>
          <w:sz w:val="20"/>
          <w:szCs w:val="20"/>
        </w:rPr>
        <w:t>ii</w:t>
      </w:r>
      <w:proofErr w:type="spellEnd"/>
      <w:r w:rsidRPr="00AA31F3">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CC4D8F5" w14:textId="77777777" w:rsidR="00890E1B" w:rsidRPr="00AA31F3" w:rsidRDefault="00890E1B" w:rsidP="00890E1B">
      <w:pPr>
        <w:spacing w:after="0" w:line="276" w:lineRule="auto"/>
        <w:ind w:left="709" w:right="709"/>
        <w:jc w:val="both"/>
        <w:rPr>
          <w:rFonts w:ascii="Verdana" w:hAnsi="Verdana" w:cs="Arial"/>
        </w:rPr>
      </w:pPr>
    </w:p>
    <w:p w14:paraId="06C422FF" w14:textId="77777777" w:rsidR="00890E1B" w:rsidRDefault="00890E1B" w:rsidP="00890E1B">
      <w:pPr>
        <w:spacing w:after="120" w:line="276" w:lineRule="auto"/>
        <w:ind w:firstLine="709"/>
        <w:jc w:val="both"/>
        <w:rPr>
          <w:rFonts w:ascii="Verdana" w:eastAsia="Arial" w:hAnsi="Verdana" w:cs="Arial"/>
          <w:lang w:val="es-MX" w:eastAsia="es-ES" w:bidi="es-ES"/>
        </w:rPr>
      </w:pPr>
    </w:p>
    <w:p w14:paraId="2D7F4B02" w14:textId="77777777" w:rsidR="00890E1B" w:rsidRDefault="00890E1B" w:rsidP="00890E1B">
      <w:pPr>
        <w:spacing w:after="120" w:line="276" w:lineRule="auto"/>
        <w:ind w:firstLine="709"/>
        <w:jc w:val="both"/>
        <w:rPr>
          <w:rFonts w:ascii="Verdana" w:eastAsia="Arial" w:hAnsi="Verdana" w:cs="Arial"/>
          <w:lang w:val="es-MX" w:eastAsia="es-ES" w:bidi="es-ES"/>
        </w:rPr>
      </w:pPr>
    </w:p>
    <w:p w14:paraId="076D5250" w14:textId="77777777" w:rsidR="00890E1B" w:rsidRDefault="00890E1B" w:rsidP="00890E1B">
      <w:pPr>
        <w:spacing w:after="120" w:line="276" w:lineRule="auto"/>
        <w:ind w:firstLine="709"/>
        <w:jc w:val="both"/>
        <w:rPr>
          <w:rFonts w:ascii="Verdana" w:eastAsia="Arial" w:hAnsi="Verdana" w:cs="Arial"/>
          <w:lang w:val="es-MX" w:eastAsia="es-ES" w:bidi="es-ES"/>
        </w:rPr>
      </w:pPr>
    </w:p>
    <w:p w14:paraId="07FB7E97" w14:textId="77777777" w:rsidR="00890E1B" w:rsidRPr="00AA31F3" w:rsidRDefault="00890E1B" w:rsidP="00890E1B">
      <w:pPr>
        <w:spacing w:after="120" w:line="276" w:lineRule="auto"/>
        <w:ind w:firstLine="709"/>
        <w:jc w:val="both"/>
        <w:rPr>
          <w:rFonts w:ascii="Verdana" w:eastAsia="Arial" w:hAnsi="Verdana" w:cs="Arial"/>
          <w:i/>
          <w:iCs/>
          <w:lang w:eastAsia="es-ES" w:bidi="es-ES"/>
        </w:rPr>
      </w:pPr>
      <w:r w:rsidRPr="00AA31F3">
        <w:rPr>
          <w:rFonts w:ascii="Verdana" w:eastAsia="Arial" w:hAnsi="Verdana" w:cs="Arial"/>
          <w:lang w:val="es-MX" w:eastAsia="es-ES" w:bidi="es-ES"/>
        </w:rPr>
        <w:t xml:space="preserve">De conformidad con los argumentos de dicha providencia, se parte de la distinción entre los conceptos </w:t>
      </w:r>
      <w:r w:rsidRPr="00AA31F3">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AA31F3">
        <w:rPr>
          <w:rFonts w:ascii="Verdana" w:hAnsi="Verdana"/>
          <w:sz w:val="24"/>
          <w:szCs w:val="24"/>
          <w:lang w:eastAsia="es-CO"/>
        </w:rPr>
        <w:t xml:space="preserve"> </w:t>
      </w:r>
      <w:r w:rsidRPr="00AA31F3">
        <w:rPr>
          <w:rFonts w:ascii="Verdana" w:eastAsia="Arial" w:hAnsi="Verdana" w:cs="Arial"/>
          <w:lang w:eastAsia="es-ES" w:bidi="es-ES"/>
        </w:rPr>
        <w:t xml:space="preserve">En este sentido, en relación con el parágrafo del artículo 38 de la Ley 996 de 2005 concluyó que </w:t>
      </w:r>
      <w:r w:rsidRPr="00AA31F3">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AA31F3">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AA31F3">
        <w:rPr>
          <w:rFonts w:ascii="Verdana" w:eastAsia="Arial" w:hAnsi="Verdana" w:cs="Arial"/>
          <w:i/>
          <w:iCs/>
          <w:lang w:eastAsia="es-ES" w:bidi="es-ES"/>
        </w:rPr>
        <w:t xml:space="preserve">“con independencia del propósito loable o plausible de la disposición ya que, procura que no se usen los recursos estatales para incidir o </w:t>
      </w:r>
      <w:r w:rsidRPr="00AA31F3">
        <w:rPr>
          <w:rFonts w:ascii="Verdana" w:eastAsia="Arial" w:hAnsi="Verdana" w:cs="Arial"/>
          <w:i/>
          <w:iCs/>
          <w:lang w:eastAsia="es-ES" w:bidi="es-ES"/>
        </w:rPr>
        <w:lastRenderedPageBreak/>
        <w:t xml:space="preserve">afectar la contienda electoral, no cabe duda de que la entidad demandada incorporó en la prohibición una categoría que no quedó comprendida expresa e inequívocamente en la ley. </w:t>
      </w:r>
    </w:p>
    <w:p w14:paraId="56340AD2" w14:textId="77777777" w:rsidR="00890E1B" w:rsidRPr="00AA31F3" w:rsidRDefault="00890E1B" w:rsidP="00890E1B">
      <w:pPr>
        <w:spacing w:after="120" w:line="276" w:lineRule="auto"/>
        <w:ind w:firstLine="709"/>
        <w:jc w:val="both"/>
        <w:rPr>
          <w:rFonts w:ascii="Verdana" w:eastAsia="Arial" w:hAnsi="Verdana" w:cs="Arial"/>
          <w:lang w:eastAsia="es-ES" w:bidi="es-ES"/>
        </w:rPr>
      </w:pPr>
      <w:r w:rsidRPr="00AA31F3">
        <w:rPr>
          <w:rFonts w:ascii="Verdana" w:eastAsia="Arial" w:hAnsi="Verdana" w:cs="Arial"/>
          <w:lang w:eastAsia="es-ES" w:bidi="es-ES"/>
        </w:rPr>
        <w:t>De igual manera, mediante auto del 6 de noviembre de 2025, el Consejo de Estado, Subsección A de la Sección Tercera, decretó</w:t>
      </w:r>
      <w:r w:rsidRPr="00AA31F3">
        <w:rPr>
          <w:rFonts w:ascii="Verdana" w:eastAsia="Arial" w:hAnsi="Verdana" w:cs="Arial"/>
          <w:b/>
          <w:bCs/>
          <w:lang w:eastAsia="es-ES" w:bidi="es-ES"/>
        </w:rPr>
        <w:t xml:space="preserve"> </w:t>
      </w:r>
      <w:r w:rsidRPr="00AA31F3">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AA31F3">
        <w:rPr>
          <w:rFonts w:ascii="Verdana" w:eastAsia="Arial" w:hAnsi="Verdana" w:cs="Arial"/>
          <w:vertAlign w:val="superscript"/>
          <w:lang w:eastAsia="es-ES" w:bidi="es-ES"/>
        </w:rPr>
        <w:footnoteReference w:id="22"/>
      </w:r>
      <w:r w:rsidRPr="00AA31F3">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AA31F3">
        <w:rPr>
          <w:rFonts w:ascii="Verdana" w:eastAsia="Arial" w:hAnsi="Verdana" w:cs="Arial"/>
          <w:lang w:eastAsia="es-ES" w:bidi="es-ES"/>
        </w:rPr>
        <w:t>legis</w:t>
      </w:r>
      <w:proofErr w:type="spellEnd"/>
      <w:r w:rsidRPr="00AA31F3">
        <w:rPr>
          <w:rFonts w:ascii="Verdana" w:eastAsia="Arial" w:hAnsi="Verdana" w:cs="Arial"/>
          <w:lang w:eastAsia="es-ES" w:bidi="es-ES"/>
        </w:rPr>
        <w:t xml:space="preserve"> o iuris y la interpretación extensiva y reiteró los argumentos sobre la diferencia entre contratos y convenios interadministrativos. </w:t>
      </w:r>
    </w:p>
    <w:p w14:paraId="258FFB53" w14:textId="77777777" w:rsidR="00890E1B" w:rsidRPr="00AA31F3" w:rsidRDefault="00890E1B" w:rsidP="00890E1B">
      <w:pPr>
        <w:spacing w:after="120" w:line="276" w:lineRule="auto"/>
        <w:ind w:firstLine="709"/>
        <w:jc w:val="both"/>
        <w:rPr>
          <w:rFonts w:ascii="Verdana" w:eastAsia="Times New Roman" w:hAnsi="Verdana" w:cs="Times New Roman"/>
          <w:lang w:eastAsia="es-ES"/>
        </w:rPr>
      </w:pPr>
      <w:r w:rsidRPr="00AA31F3">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AA31F3">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FA95B3F" w14:textId="77777777" w:rsidR="00890E1B" w:rsidRPr="00AA31F3" w:rsidRDefault="00890E1B" w:rsidP="00890E1B">
      <w:pPr>
        <w:spacing w:after="120" w:line="276" w:lineRule="auto"/>
        <w:ind w:firstLine="709"/>
        <w:jc w:val="both"/>
        <w:rPr>
          <w:rFonts w:ascii="Verdana" w:eastAsia="Times New Roman" w:hAnsi="Verdana" w:cs="Times New Roman"/>
          <w:lang w:eastAsia="es-ES"/>
        </w:rPr>
      </w:pPr>
      <w:r w:rsidRPr="00AA31F3">
        <w:rPr>
          <w:rFonts w:ascii="Verdana" w:eastAsia="Times New Roman" w:hAnsi="Verdana" w:cs="Times New Roman"/>
          <w:lang w:eastAsia="es-ES"/>
        </w:rPr>
        <w:lastRenderedPageBreak/>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AA31F3">
        <w:rPr>
          <w:rStyle w:val="Refdenotaalpie"/>
          <w:rFonts w:ascii="Verdana" w:eastAsia="Times New Roman" w:hAnsi="Verdana" w:cs="Times New Roman"/>
          <w:lang w:eastAsia="es-ES"/>
        </w:rPr>
        <w:footnoteReference w:id="23"/>
      </w:r>
      <w:r w:rsidRPr="00AA31F3">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3F1E4D4A" w14:textId="77777777" w:rsidR="00890E1B" w:rsidRPr="00AA31F3" w:rsidRDefault="00890E1B" w:rsidP="00890E1B">
      <w:pPr>
        <w:spacing w:after="120" w:line="276" w:lineRule="auto"/>
        <w:ind w:firstLine="709"/>
        <w:jc w:val="both"/>
        <w:rPr>
          <w:rFonts w:ascii="Verdana" w:eastAsia="Times New Roman" w:hAnsi="Verdana" w:cs="Times New Roman"/>
          <w:lang w:eastAsia="es-ES"/>
        </w:rPr>
      </w:pPr>
      <w:r w:rsidRPr="00AA31F3">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0887DBB7" w14:textId="77777777" w:rsidR="00890E1B" w:rsidRPr="00382CF7" w:rsidRDefault="00890E1B" w:rsidP="00890E1B">
      <w:pPr>
        <w:spacing w:after="0" w:line="276" w:lineRule="auto"/>
        <w:ind w:firstLine="709"/>
        <w:jc w:val="both"/>
        <w:rPr>
          <w:rFonts w:ascii="Verdana" w:eastAsia="Times New Roman" w:hAnsi="Verdana" w:cs="Arial"/>
          <w:lang w:eastAsia="es-CO"/>
        </w:rPr>
      </w:pPr>
      <w:r w:rsidRPr="00AA31F3">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AA31F3">
        <w:rPr>
          <w:rFonts w:ascii="Verdana" w:eastAsia="Times New Roman" w:hAnsi="Verdana" w:cs="Arial"/>
          <w:i/>
          <w:iCs/>
          <w:lang w:eastAsia="es-CO"/>
        </w:rPr>
        <w:t>contratos interadministrativos</w:t>
      </w:r>
      <w:r w:rsidRPr="00AA31F3">
        <w:rPr>
          <w:rFonts w:ascii="Verdana" w:eastAsia="Times New Roman" w:hAnsi="Verdana" w:cs="Arial"/>
          <w:lang w:eastAsia="es-CO"/>
        </w:rPr>
        <w:t>, esta prohibición solo aplicaría a los convenios interadministrativos que impliquen la ejecución de recursos públicos</w:t>
      </w:r>
      <w:r w:rsidRPr="00AA31F3">
        <w:rPr>
          <w:rStyle w:val="Refdenotaalpie"/>
          <w:rFonts w:ascii="Verdana" w:eastAsia="Times New Roman" w:hAnsi="Verdana" w:cs="Arial"/>
          <w:lang w:eastAsia="es-CO"/>
        </w:rPr>
        <w:footnoteReference w:id="24"/>
      </w:r>
      <w:r w:rsidRPr="00AA31F3">
        <w:rPr>
          <w:rFonts w:ascii="Verdana" w:eastAsia="Times New Roman" w:hAnsi="Verdana" w:cs="Arial"/>
          <w:lang w:eastAsia="es-CO"/>
        </w:rPr>
        <w:t>.</w:t>
      </w:r>
    </w:p>
    <w:p w14:paraId="5F04A810" w14:textId="77777777" w:rsidR="00890E1B" w:rsidRDefault="00890E1B" w:rsidP="00890E1B">
      <w:pPr>
        <w:spacing w:after="0" w:line="276" w:lineRule="auto"/>
        <w:jc w:val="both"/>
        <w:rPr>
          <w:rFonts w:ascii="Verdana" w:eastAsia="Times New Roman" w:hAnsi="Verdana" w:cs="Arial"/>
          <w:bCs/>
          <w:lang w:eastAsia="es-CO"/>
        </w:rPr>
      </w:pPr>
    </w:p>
    <w:p w14:paraId="50B04A93" w14:textId="77777777" w:rsidR="00890E1B" w:rsidRPr="00A90DCC" w:rsidRDefault="00890E1B" w:rsidP="00890E1B">
      <w:pPr>
        <w:spacing w:before="120" w:after="120" w:line="276" w:lineRule="auto"/>
        <w:jc w:val="both"/>
        <w:rPr>
          <w:rFonts w:ascii="Verdana" w:eastAsia="Calibri" w:hAnsi="Verdana" w:cs="Arial"/>
          <w:lang w:val="es-ES"/>
        </w:rPr>
      </w:pPr>
      <w:proofErr w:type="spellStart"/>
      <w:r>
        <w:rPr>
          <w:rFonts w:ascii="Verdana" w:eastAsia="Times New Roman" w:hAnsi="Verdana" w:cs="Arial"/>
          <w:bCs/>
          <w:lang w:eastAsia="es-CO"/>
        </w:rPr>
        <w:t>iv</w:t>
      </w:r>
      <w:proofErr w:type="spellEnd"/>
      <w:r>
        <w:rPr>
          <w:rFonts w:ascii="Verdana" w:eastAsia="Times New Roman" w:hAnsi="Verdana" w:cs="Arial"/>
          <w:bCs/>
          <w:lang w:eastAsia="es-CO"/>
        </w:rPr>
        <w:t xml:space="preserve">. Ahora bien, para dar respuesta al problema jurídico planteado, </w:t>
      </w:r>
      <w:r w:rsidRPr="00A90DCC">
        <w:rPr>
          <w:rFonts w:ascii="Verdana" w:eastAsia="Times New Roman" w:hAnsi="Verdana" w:cs="Arial"/>
          <w:bCs/>
          <w:lang w:eastAsia="es-CO"/>
        </w:rPr>
        <w:t xml:space="preserve">es necesario poner en contexto los contratos del artículo 355 de la Constitución Política y los convenios de asociación </w:t>
      </w:r>
      <w:r w:rsidRPr="00A90DCC">
        <w:rPr>
          <w:rFonts w:ascii="Verdana" w:eastAsia="Calibri" w:hAnsi="Verdana" w:cs="Arial"/>
          <w:lang w:val="es-ES"/>
        </w:rPr>
        <w:t>del artículo 96 de la Ley 489 de 19</w:t>
      </w:r>
      <w:r w:rsidRPr="00377ED6">
        <w:rPr>
          <w:rFonts w:ascii="Verdana" w:eastAsia="Calibri" w:hAnsi="Verdana" w:cs="Arial"/>
          <w:lang w:val="es-ES"/>
        </w:rPr>
        <w:t>98</w:t>
      </w:r>
      <w:r>
        <w:rPr>
          <w:rFonts w:ascii="Verdana" w:eastAsia="Calibri" w:hAnsi="Verdana" w:cs="Arial"/>
          <w:lang w:val="es-ES"/>
        </w:rPr>
        <w:t>, con el fin de determinar si a este tipo de negocios jurídicos le es aplicable el artículo 33 o el artículo 38</w:t>
      </w:r>
      <w:r w:rsidRPr="009A4996">
        <w:rPr>
          <w:rFonts w:ascii="Verdana" w:eastAsia="Calibri" w:hAnsi="Verdana" w:cs="Arial"/>
          <w:lang w:val="es-ES"/>
        </w:rPr>
        <w:t xml:space="preserve"> </w:t>
      </w:r>
      <w:r>
        <w:rPr>
          <w:rFonts w:ascii="Verdana" w:eastAsia="Calibri" w:hAnsi="Verdana" w:cs="Arial"/>
          <w:lang w:val="es-ES"/>
        </w:rPr>
        <w:t>de la Ley 996 de 2005.</w:t>
      </w:r>
      <w:r w:rsidRPr="00377ED6">
        <w:rPr>
          <w:rFonts w:ascii="Verdana" w:eastAsia="Calibri" w:hAnsi="Verdana" w:cs="Arial"/>
          <w:lang w:val="es-ES"/>
        </w:rPr>
        <w:t xml:space="preserve"> </w:t>
      </w:r>
    </w:p>
    <w:p w14:paraId="1629BE4D" w14:textId="77777777" w:rsidR="00890E1B" w:rsidRPr="00377ED6" w:rsidRDefault="00890E1B" w:rsidP="00890E1B">
      <w:pPr>
        <w:spacing w:before="120" w:after="120" w:line="276" w:lineRule="auto"/>
        <w:ind w:firstLine="709"/>
        <w:jc w:val="both"/>
        <w:rPr>
          <w:rFonts w:ascii="Verdana" w:eastAsia="Calibri" w:hAnsi="Verdana" w:cs="Arial"/>
          <w:lang w:val="es-ES"/>
        </w:rPr>
      </w:pPr>
      <w:bookmarkStart w:id="15" w:name="_Hlk38819155"/>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15"/>
    </w:p>
    <w:p w14:paraId="5A763BBB" w14:textId="77777777" w:rsidR="00890E1B" w:rsidRDefault="00890E1B" w:rsidP="00890E1B">
      <w:pPr>
        <w:spacing w:before="120" w:after="120" w:line="276" w:lineRule="auto"/>
        <w:ind w:firstLine="709"/>
        <w:jc w:val="both"/>
        <w:rPr>
          <w:rFonts w:ascii="Verdana" w:eastAsia="Calibri" w:hAnsi="Verdana" w:cs="Arial"/>
          <w:lang w:val="es-ES"/>
        </w:rPr>
      </w:pPr>
      <w:bookmarkStart w:id="16"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04DE51C6" w14:textId="77777777" w:rsidR="00890E1B" w:rsidRDefault="00890E1B" w:rsidP="00890E1B">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w:t>
      </w:r>
      <w:r w:rsidRPr="00377ED6">
        <w:rPr>
          <w:rFonts w:ascii="Verdana" w:eastAsia="Calibri" w:hAnsi="Verdana" w:cs="Arial"/>
          <w:lang w:val="es-ES"/>
        </w:rPr>
        <w:lastRenderedPageBreak/>
        <w:t>artículo 355 de la Constitución Política; de lo contrario, se aplicarán las normas del Estatuto General de Contratación de la Administración Pública.</w:t>
      </w:r>
    </w:p>
    <w:p w14:paraId="5FF3CE6D" w14:textId="77777777" w:rsidR="00890E1B" w:rsidRDefault="00890E1B" w:rsidP="00890E1B">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5F8BC1B5">
        <w:rPr>
          <w:rFonts w:ascii="Verdana" w:eastAsia="Calibri" w:hAnsi="Verdana" w:cs="Arial"/>
          <w:lang w:val="es-ES"/>
        </w:rPr>
        <w:t>ii</w:t>
      </w:r>
      <w:proofErr w:type="spellEnd"/>
      <w:r w:rsidRPr="5F8BC1B5">
        <w:rPr>
          <w:rFonts w:ascii="Verdana" w:eastAsia="Calibri" w:hAnsi="Verdana" w:cs="Arial"/>
          <w:lang w:val="es-ES"/>
        </w:rPr>
        <w:t>) definición de un plazo razonable para que las entidades privadas sin ánimo de lucro de reconocida idoneidad presenten a la Entidad Estatal sus ofertas y los documentos que acrediten su idoneidad, y (</w:t>
      </w:r>
      <w:proofErr w:type="spellStart"/>
      <w:r w:rsidRPr="5F8BC1B5">
        <w:rPr>
          <w:rFonts w:ascii="Verdana" w:eastAsia="Calibri" w:hAnsi="Verdana" w:cs="Arial"/>
          <w:lang w:val="es-ES"/>
        </w:rPr>
        <w:t>iii</w:t>
      </w:r>
      <w:proofErr w:type="spellEnd"/>
      <w:r w:rsidRPr="5F8BC1B5">
        <w:rPr>
          <w:rFonts w:ascii="Verdana" w:eastAsia="Calibri" w:hAnsi="Verdana" w:cs="Arial"/>
          <w:lang w:val="es-ES"/>
        </w:rPr>
        <w:t xml:space="preserve">) evaluación de las ofertas por parte de la Entidad Estatal teniendo en cuenta los criterios definidos para el efecto. </w:t>
      </w:r>
    </w:p>
    <w:p w14:paraId="27431FF7" w14:textId="77777777" w:rsidR="00890E1B" w:rsidRDefault="00890E1B" w:rsidP="00890E1B">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bookmarkEnd w:id="16"/>
    <w:p w14:paraId="552DFD94" w14:textId="77777777" w:rsidR="00890E1B" w:rsidRPr="00377ED6" w:rsidRDefault="00890E1B" w:rsidP="00890E1B">
      <w:pPr>
        <w:spacing w:before="120"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w:t>
      </w:r>
      <w:r>
        <w:rPr>
          <w:rFonts w:ascii="Verdana" w:eastAsia="Calibri" w:hAnsi="Verdana" w:cs="Arial"/>
          <w:bCs/>
          <w:lang w:val="es-ES_tradnl"/>
        </w:rPr>
        <w:t xml:space="preserve">la celebración de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25"/>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B47839">
        <w:rPr>
          <w:rFonts w:ascii="Verdana" w:eastAsia="Calibri" w:hAnsi="Verdana" w:cs="Arial"/>
          <w:bCs/>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w:t>
      </w:r>
      <w:r w:rsidRPr="00377ED6">
        <w:rPr>
          <w:rFonts w:ascii="Verdana" w:eastAsia="Calibri" w:hAnsi="Verdana" w:cs="Arial"/>
          <w:bCs/>
          <w:lang w:val="es-ES_tradnl"/>
        </w:rPr>
        <w:t>El convenio de asociación no es conmutativo, y por tanto, la entidad no instruye al contratista para desarrollar los programas o actividades previstas, sino que se asocia con él para el cumplimiento de objetivos comunes</w:t>
      </w:r>
      <w:r w:rsidRPr="00377ED6">
        <w:rPr>
          <w:rFonts w:ascii="Verdana" w:hAnsi="Verdana" w:cs="Arial"/>
          <w:vertAlign w:val="superscript"/>
        </w:rPr>
        <w:footnoteReference w:id="26"/>
      </w:r>
      <w:r w:rsidRPr="00377ED6">
        <w:rPr>
          <w:rFonts w:ascii="Verdana" w:eastAsia="Calibri" w:hAnsi="Verdana" w:cs="Arial"/>
          <w:bCs/>
          <w:lang w:val="es-ES_tradnl"/>
        </w:rPr>
        <w:t>.</w:t>
      </w:r>
    </w:p>
    <w:p w14:paraId="6065EF1B" w14:textId="77777777" w:rsidR="00890E1B" w:rsidRDefault="00890E1B" w:rsidP="00890E1B">
      <w:pPr>
        <w:spacing w:before="120" w:after="120" w:line="276" w:lineRule="auto"/>
        <w:ind w:firstLine="709"/>
        <w:jc w:val="both"/>
        <w:rPr>
          <w:rFonts w:ascii="Verdana" w:eastAsia="Calibri" w:hAnsi="Verdana" w:cs="Arial"/>
          <w:bCs/>
        </w:rPr>
      </w:pPr>
      <w:r w:rsidRPr="00377ED6">
        <w:rPr>
          <w:rFonts w:ascii="Verdana" w:eastAsia="Calibri" w:hAnsi="Verdana" w:cs="Arial"/>
          <w:bCs/>
          <w:lang w:val="es-ES_tradnl"/>
        </w:rPr>
        <w:lastRenderedPageBreak/>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4192BE91" w14:textId="77777777" w:rsidR="00890E1B" w:rsidRPr="00377ED6" w:rsidRDefault="00890E1B" w:rsidP="00890E1B">
      <w:pPr>
        <w:spacing w:before="120" w:after="120" w:line="276" w:lineRule="auto"/>
        <w:ind w:firstLine="709"/>
        <w:jc w:val="both"/>
        <w:rPr>
          <w:rFonts w:ascii="Verdana" w:eastAsia="Calibri" w:hAnsi="Verdana" w:cs="Arial"/>
          <w:bCs/>
        </w:rPr>
      </w:pPr>
      <w:r w:rsidRPr="00377ED6">
        <w:rPr>
          <w:rFonts w:ascii="Verdana" w:eastAsia="Calibri" w:hAnsi="Verdana" w:cs="Arial"/>
          <w:bCs/>
        </w:rPr>
        <w:t>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35A59FC3" w14:textId="77777777" w:rsidR="00890E1B" w:rsidRPr="00377ED6" w:rsidRDefault="00890E1B" w:rsidP="00890E1B">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2DEEC293" w14:textId="77777777" w:rsidR="00890E1B" w:rsidRPr="00377ED6" w:rsidRDefault="00890E1B" w:rsidP="00890E1B">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w:t>
      </w:r>
      <w:r>
        <w:rPr>
          <w:rFonts w:ascii="Verdana" w:hAnsi="Verdana" w:cs="Arial"/>
          <w:color w:val="000000" w:themeColor="text1"/>
          <w:lang w:val="es-MX"/>
        </w:rPr>
        <w:t xml:space="preserve">(…) </w:t>
      </w:r>
      <w:r w:rsidRPr="00377ED6">
        <w:rPr>
          <w:rFonts w:ascii="Verdana" w:hAnsi="Verdana" w:cs="Arial"/>
          <w:color w:val="000000" w:themeColor="text1"/>
          <w:lang w:val="es-MX"/>
        </w:rPr>
        <w:t>son esencialmente distintos a los contratos para la adquisición y aprovisionamiento de bienes, obras o servicios regulados por el estatuto de 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[como tal,] no hacen parte del sistema de compra pública. </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De acuerdo con lo anterior, si la entidad estatal adquiere o se abastece de un bien, obra o servicio en un contrato conmutativo en el cual el proveedor es una </w:t>
      </w:r>
      <w:r w:rsidRPr="00377ED6">
        <w:rPr>
          <w:rFonts w:ascii="Verdana" w:hAnsi="Verdana" w:cs="Arial"/>
          <w:color w:val="000000" w:themeColor="text1"/>
          <w:lang w:val="es-MX"/>
        </w:rPr>
        <w:lastRenderedPageBreak/>
        <w:t>[ESAL],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27"/>
      </w:r>
      <w:r w:rsidRPr="00377ED6">
        <w:rPr>
          <w:rFonts w:ascii="Verdana" w:hAnsi="Verdana" w:cs="Arial"/>
          <w:color w:val="000000" w:themeColor="text1"/>
          <w:lang w:val="es-MX"/>
        </w:rPr>
        <w:t>. Así lo consideró la Sala de Consulta y Servicio Civil del Consejo de Estado:</w:t>
      </w:r>
    </w:p>
    <w:p w14:paraId="3BAB46DD" w14:textId="77777777" w:rsidR="00890E1B" w:rsidRPr="00377ED6" w:rsidRDefault="00890E1B" w:rsidP="00890E1B">
      <w:pPr>
        <w:spacing w:after="0" w:line="276" w:lineRule="auto"/>
        <w:jc w:val="both"/>
        <w:rPr>
          <w:rFonts w:ascii="Verdana" w:hAnsi="Verdana" w:cs="Arial"/>
          <w:color w:val="000000" w:themeColor="text1"/>
          <w:lang w:val="es-MX"/>
        </w:rPr>
      </w:pPr>
    </w:p>
    <w:p w14:paraId="34CA4E5F" w14:textId="77777777" w:rsidR="00890E1B" w:rsidRPr="003E7CD1" w:rsidRDefault="00890E1B" w:rsidP="00890E1B">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502D744B" w14:textId="77777777" w:rsidR="00890E1B" w:rsidRPr="003E7CD1" w:rsidRDefault="00890E1B" w:rsidP="00890E1B">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28"/>
      </w:r>
      <w:r w:rsidRPr="003E7CD1">
        <w:rPr>
          <w:rFonts w:ascii="Verdana" w:eastAsia="Calibri" w:hAnsi="Verdana" w:cs="Arial"/>
          <w:color w:val="000000" w:themeColor="text1"/>
          <w:sz w:val="20"/>
          <w:szCs w:val="20"/>
        </w:rPr>
        <w:t>.</w:t>
      </w:r>
    </w:p>
    <w:p w14:paraId="7AD33CA8" w14:textId="77777777" w:rsidR="00890E1B" w:rsidRPr="00377ED6" w:rsidRDefault="00890E1B" w:rsidP="00890E1B">
      <w:pPr>
        <w:spacing w:after="0" w:line="276" w:lineRule="auto"/>
        <w:ind w:firstLine="708"/>
        <w:jc w:val="both"/>
        <w:rPr>
          <w:rFonts w:ascii="Verdana" w:eastAsia="Calibri" w:hAnsi="Verdana" w:cs="Arial"/>
          <w:color w:val="000000" w:themeColor="text1"/>
        </w:rPr>
      </w:pPr>
      <w:bookmarkStart w:id="17" w:name="_Hlk95756200"/>
    </w:p>
    <w:p w14:paraId="14CAE9F3" w14:textId="77777777" w:rsidR="00890E1B" w:rsidRPr="00377ED6" w:rsidRDefault="00890E1B" w:rsidP="00890E1B">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7"/>
      <w:r w:rsidRPr="00377ED6">
        <w:rPr>
          <w:rFonts w:ascii="Verdana" w:eastAsia="Calibri" w:hAnsi="Verdana" w:cs="Arial"/>
          <w:color w:val="000000" w:themeColor="text1"/>
        </w:rPr>
        <w:t>Así lo reconoció la Corte Constitucional en la sentencia C-287 del 18 de abril de 2012, en la que sostuvo lo siguiente:</w:t>
      </w:r>
    </w:p>
    <w:p w14:paraId="477DDEED" w14:textId="77777777" w:rsidR="00890E1B" w:rsidRPr="00377ED6" w:rsidRDefault="00890E1B" w:rsidP="00890E1B">
      <w:pPr>
        <w:spacing w:after="0" w:line="240" w:lineRule="auto"/>
        <w:ind w:firstLine="709"/>
        <w:jc w:val="both"/>
        <w:rPr>
          <w:rFonts w:ascii="Verdana" w:eastAsia="Calibri" w:hAnsi="Verdana" w:cs="Arial"/>
          <w:color w:val="000000" w:themeColor="text1"/>
        </w:rPr>
      </w:pPr>
    </w:p>
    <w:p w14:paraId="42DE0729" w14:textId="77777777" w:rsidR="00890E1B" w:rsidRPr="003E7CD1" w:rsidRDefault="00890E1B" w:rsidP="00890E1B">
      <w:pPr>
        <w:spacing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5AC57A4C" w14:textId="77777777" w:rsidR="00890E1B" w:rsidRPr="003E7CD1" w:rsidRDefault="00890E1B" w:rsidP="00890E1B">
      <w:pPr>
        <w:spacing w:after="0" w:line="240" w:lineRule="auto"/>
        <w:ind w:left="709" w:right="709"/>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lastRenderedPageBreak/>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3E7CD1">
        <w:rPr>
          <w:rFonts w:ascii="Verdana" w:eastAsia="Calibri" w:hAnsi="Verdana" w:cs="Arial"/>
          <w:color w:val="000000" w:themeColor="text1"/>
          <w:sz w:val="20"/>
          <w:szCs w:val="20"/>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3E7CD1">
        <w:rPr>
          <w:rFonts w:ascii="Verdana" w:eastAsia="Calibri" w:hAnsi="Verdana" w:cs="Arial"/>
          <w:color w:val="000000" w:themeColor="text1"/>
          <w:sz w:val="20"/>
          <w:szCs w:val="20"/>
        </w:rPr>
        <w:t>del mismo</w:t>
      </w:r>
      <w:proofErr w:type="gramEnd"/>
      <w:r w:rsidRPr="003E7CD1">
        <w:rPr>
          <w:rFonts w:ascii="Verdana" w:eastAsia="Calibri" w:hAnsi="Verdana" w:cs="Arial"/>
          <w:color w:val="000000" w:themeColor="text1"/>
          <w:sz w:val="20"/>
          <w:szCs w:val="20"/>
        </w:rPr>
        <w:t xml:space="preserve"> en el momento de su disolución o liquidación”. (Cursivas propias)</w:t>
      </w:r>
    </w:p>
    <w:p w14:paraId="64F19D9C" w14:textId="77777777" w:rsidR="00890E1B" w:rsidRPr="00377ED6" w:rsidRDefault="00890E1B" w:rsidP="00890E1B">
      <w:pPr>
        <w:spacing w:after="0" w:line="276" w:lineRule="auto"/>
        <w:ind w:firstLine="709"/>
        <w:jc w:val="both"/>
        <w:rPr>
          <w:rFonts w:ascii="Verdana" w:eastAsia="Calibri" w:hAnsi="Verdana" w:cs="Arial"/>
          <w:color w:val="000000" w:themeColor="text1"/>
        </w:rPr>
      </w:pPr>
    </w:p>
    <w:p w14:paraId="24384802" w14:textId="77777777" w:rsidR="00890E1B" w:rsidRPr="00377ED6" w:rsidRDefault="00890E1B" w:rsidP="00890E1B">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1E2F4281" w14:textId="77777777" w:rsidR="00890E1B" w:rsidRPr="00377ED6" w:rsidRDefault="00890E1B" w:rsidP="00890E1B">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w:t>
      </w:r>
      <w:r>
        <w:rPr>
          <w:rFonts w:ascii="Verdana" w:hAnsi="Verdana" w:cs="Arial"/>
          <w:color w:val="000000" w:themeColor="text1"/>
        </w:rPr>
        <w:t xml:space="preserve">ESAL </w:t>
      </w:r>
      <w:r w:rsidRPr="00377ED6">
        <w:rPr>
          <w:rFonts w:ascii="Verdana" w:hAnsi="Verdana" w:cs="Arial"/>
          <w:color w:val="000000" w:themeColor="text1"/>
        </w:rPr>
        <w:t xml:space="preserve">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377ED6">
        <w:rPr>
          <w:rFonts w:ascii="Verdana" w:hAnsi="Verdana" w:cs="Arial"/>
          <w:color w:val="000000" w:themeColor="text1"/>
        </w:rPr>
        <w:t>ii</w:t>
      </w:r>
      <w:proofErr w:type="spellEnd"/>
      <w:r w:rsidRPr="00377ED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xml:space="preserve">) el objeto del contrato debe estar acorde con el plan nacional o seccional de desarrollo; </w:t>
      </w:r>
      <w:proofErr w:type="spellStart"/>
      <w:r w:rsidRPr="00377ED6">
        <w:rPr>
          <w:rFonts w:ascii="Verdana" w:hAnsi="Verdana" w:cs="Arial"/>
          <w:color w:val="000000" w:themeColor="text1"/>
        </w:rPr>
        <w:t>iv</w:t>
      </w:r>
      <w:proofErr w:type="spellEnd"/>
      <w:r w:rsidRPr="00377ED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w:t>
      </w:r>
      <w:r w:rsidRPr="00377ED6">
        <w:rPr>
          <w:rFonts w:ascii="Verdana" w:hAnsi="Verdana" w:cs="Arial"/>
          <w:color w:val="000000" w:themeColor="text1"/>
        </w:rPr>
        <w:lastRenderedPageBreak/>
        <w:t xml:space="preserve">colombiana, por lo que basta con cumplir el anterior numeral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1617172C" w14:textId="77777777" w:rsidR="00890E1B" w:rsidRPr="004513DD" w:rsidRDefault="00890E1B" w:rsidP="00890E1B">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xml:space="preserve">, deben estar sujetos a competencia, salvo en aquellos casos en que una </w:t>
      </w:r>
      <w:r>
        <w:rPr>
          <w:rFonts w:ascii="Verdana" w:eastAsia="Calibri" w:hAnsi="Verdana" w:cs="Arial"/>
          <w:color w:val="000000" w:themeColor="text1"/>
        </w:rPr>
        <w:t>ESAL</w:t>
      </w:r>
      <w:r w:rsidRPr="00377ED6">
        <w:rPr>
          <w:rFonts w:ascii="Verdana" w:eastAsia="Calibri" w:hAnsi="Verdana" w:cs="Arial"/>
          <w:color w:val="000000" w:themeColor="text1"/>
        </w:rPr>
        <w:t xml:space="preserve"> comprometa recursos en dinero por un valor igual o superior al </w:t>
      </w:r>
      <w:r>
        <w:rPr>
          <w:rFonts w:ascii="Verdana" w:eastAsia="Calibri" w:hAnsi="Verdana" w:cs="Arial"/>
          <w:color w:val="000000" w:themeColor="text1"/>
        </w:rPr>
        <w:t>treinta por ciento (</w:t>
      </w:r>
      <w:r w:rsidRPr="00377ED6">
        <w:rPr>
          <w:rFonts w:ascii="Verdana" w:eastAsia="Calibri" w:hAnsi="Verdana" w:cs="Arial"/>
          <w:color w:val="000000" w:themeColor="text1"/>
        </w:rPr>
        <w:t>30</w:t>
      </w:r>
      <w:r w:rsidRPr="009A4996">
        <w:rPr>
          <w:rFonts w:ascii="Verdana" w:eastAsia="Calibri" w:hAnsi="Verdana" w:cs="Arial"/>
          <w:color w:val="000000" w:themeColor="text1"/>
        </w:rPr>
        <w:t>%</w:t>
      </w:r>
      <w:r>
        <w:rPr>
          <w:rFonts w:ascii="Verdana" w:eastAsia="Calibri" w:hAnsi="Verdana" w:cs="Arial"/>
          <w:color w:val="000000" w:themeColor="text1"/>
        </w:rPr>
        <w:t>)</w:t>
      </w:r>
      <w:r w:rsidRPr="00377ED6">
        <w:rPr>
          <w:rFonts w:ascii="Verdana" w:eastAsia="Calibri" w:hAnsi="Verdana" w:cs="Arial"/>
          <w:color w:val="000000" w:themeColor="text1"/>
        </w:rPr>
        <w:t xml:space="preserve"> del valor total del convenio</w:t>
      </w:r>
      <w:r w:rsidRPr="00377ED6">
        <w:rPr>
          <w:rFonts w:ascii="Verdana" w:hAnsi="Verdana" w:cs="Arial"/>
          <w:color w:val="000000" w:themeColor="text1"/>
          <w:vertAlign w:val="superscript"/>
        </w:rPr>
        <w:footnoteReference w:id="29"/>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Pr>
          <w:rFonts w:ascii="Verdana" w:eastAsia="Calibri" w:hAnsi="Verdana" w:cs="Arial"/>
          <w:color w:val="000000"/>
        </w:rPr>
        <w:t xml:space="preserve"> Electorales, según el artículo 5 del Decreto 092 de 2017, solo podrán celebrarse convenios previo desarrollo de proceso competitivo.</w:t>
      </w:r>
    </w:p>
    <w:p w14:paraId="0EE0B154" w14:textId="77777777" w:rsidR="00890E1B" w:rsidRDefault="00890E1B" w:rsidP="00890E1B">
      <w:pPr>
        <w:spacing w:before="120" w:after="120" w:line="276" w:lineRule="auto"/>
        <w:ind w:firstLine="709"/>
        <w:jc w:val="both"/>
        <w:rPr>
          <w:rFonts w:ascii="Verdana" w:eastAsia="Calibri" w:hAnsi="Verdana" w:cs="Arial"/>
          <w:lang w:val="es-ES"/>
        </w:rPr>
      </w:pPr>
      <w:r>
        <w:rPr>
          <w:rFonts w:ascii="Verdana" w:eastAsia="Calibri" w:hAnsi="Verdana" w:cs="Arial"/>
          <w:color w:val="000000"/>
        </w:rPr>
        <w:t xml:space="preserve">En otras palabras, los 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w:t>
      </w:r>
      <w:r>
        <w:rPr>
          <w:rFonts w:ascii="Verdana" w:eastAsia="Calibri" w:hAnsi="Verdana" w:cs="Arial"/>
          <w:lang w:val="es-ES"/>
        </w:rPr>
        <w:t>no</w:t>
      </w:r>
      <w:r w:rsidRPr="697BF333">
        <w:rPr>
          <w:rFonts w:ascii="Verdana" w:eastAsia="Calibri" w:hAnsi="Verdana" w:cs="Arial"/>
          <w:lang w:val="es-ES"/>
        </w:rPr>
        <w:t xml:space="preserve"> debería verse afectada por la restricción del artículo 33 de la Ley 996 de 2005. Esto a excepción de la posibilidad celebrar convenios de asociación de manera directa, en aquellos casos en los que una </w:t>
      </w:r>
      <w:r>
        <w:rPr>
          <w:rFonts w:ascii="Verdana" w:eastAsia="Calibri" w:hAnsi="Verdana" w:cs="Arial"/>
          <w:lang w:val="es-ES"/>
        </w:rPr>
        <w:t>ESAL</w:t>
      </w:r>
      <w:r w:rsidRPr="697BF333">
        <w:rPr>
          <w:rFonts w:ascii="Verdana" w:eastAsia="Calibri" w:hAnsi="Verdana" w:cs="Arial"/>
          <w:lang w:val="es-ES"/>
        </w:rPr>
        <w:t xml:space="preserve"> aporte el </w:t>
      </w:r>
      <w:r>
        <w:rPr>
          <w:rFonts w:ascii="Verdana" w:eastAsia="Calibri" w:hAnsi="Verdana" w:cs="Arial"/>
          <w:lang w:val="es-ES"/>
        </w:rPr>
        <w:t>treinta por ciento (</w:t>
      </w:r>
      <w:r w:rsidRPr="697BF333">
        <w:rPr>
          <w:rFonts w:ascii="Verdana" w:eastAsia="Calibri" w:hAnsi="Verdana" w:cs="Arial"/>
          <w:lang w:val="es-ES"/>
        </w:rPr>
        <w:t>30</w:t>
      </w:r>
      <w:r w:rsidRPr="009A4996">
        <w:rPr>
          <w:rFonts w:ascii="Verdana" w:eastAsia="Calibri" w:hAnsi="Verdana" w:cs="Arial"/>
          <w:lang w:val="es-ES"/>
        </w:rPr>
        <w:t>%</w:t>
      </w:r>
      <w:r>
        <w:rPr>
          <w:rFonts w:ascii="Verdana" w:eastAsia="Calibri" w:hAnsi="Verdana" w:cs="Arial"/>
          <w:lang w:val="es-ES"/>
        </w:rPr>
        <w:t>)</w:t>
      </w:r>
      <w:r w:rsidRPr="697BF333">
        <w:rPr>
          <w:rFonts w:ascii="Verdana" w:eastAsia="Calibri" w:hAnsi="Verdana" w:cs="Arial"/>
          <w:lang w:val="es-ES"/>
        </w:rPr>
        <w:t xml:space="preserve"> de los recursos en dinero requeridos, supuesto que, al excluir la pluralidad de oferentes, </w:t>
      </w:r>
      <w:r>
        <w:rPr>
          <w:rFonts w:ascii="Verdana" w:eastAsia="Calibri" w:hAnsi="Verdana" w:cs="Arial"/>
          <w:lang w:val="es-ES"/>
        </w:rPr>
        <w:t>se encuadra</w:t>
      </w:r>
      <w:r w:rsidRPr="697BF333">
        <w:rPr>
          <w:rFonts w:ascii="Verdana" w:eastAsia="Calibri" w:hAnsi="Verdana" w:cs="Arial"/>
          <w:lang w:val="es-ES"/>
        </w:rPr>
        <w:t xml:space="preserve"> dentro del ámbito de aplicación de la mencionada prohibición, de manera que no es posible su aplicación en vigencia de la restricción a la contratación directa.</w:t>
      </w:r>
    </w:p>
    <w:p w14:paraId="5CFF9BC9" w14:textId="77777777" w:rsidR="00890E1B" w:rsidRDefault="00890E1B" w:rsidP="00890E1B">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 xml:space="preserve">manera </w:t>
      </w:r>
      <w:r w:rsidRPr="00F02C5A">
        <w:rPr>
          <w:rFonts w:ascii="Verdana" w:eastAsia="Times New Roman" w:hAnsi="Verdana" w:cs="Arial"/>
          <w:lang w:val="es-MX" w:eastAsia="x-none"/>
        </w:rPr>
        <w:lastRenderedPageBreak/>
        <w:t>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w:t>
      </w:r>
      <w:r>
        <w:rPr>
          <w:rFonts w:ascii="Verdana" w:eastAsia="Times New Roman" w:hAnsi="Verdana" w:cs="Arial"/>
          <w:lang w:val="es-MX" w:eastAsia="es-CO"/>
        </w:rPr>
        <w:t xml:space="preserve"> la entidad estatal</w:t>
      </w:r>
      <w:r w:rsidRPr="00F02C5A">
        <w:rPr>
          <w:rFonts w:ascii="Verdana" w:eastAsia="Times New Roman" w:hAnsi="Verdana" w:cs="Arial"/>
          <w:lang w:val="es-MX" w:eastAsia="es-CO"/>
        </w:rPr>
        <w:t>, examinar en cada caso la naturaleza de las actividades que adelanta y determinar si las mismas se enmarcan en alguna de las mencionadas excepciones</w:t>
      </w:r>
      <w:r>
        <w:rPr>
          <w:rFonts w:ascii="Verdana" w:eastAsia="Times New Roman" w:hAnsi="Verdana" w:cs="Arial"/>
          <w:lang w:val="es-MX" w:eastAsia="es-CO"/>
        </w:rPr>
        <w:t xml:space="preserve">. </w:t>
      </w:r>
      <w:r w:rsidRPr="697BF333">
        <w:rPr>
          <w:rFonts w:ascii="Verdana" w:eastAsia="Calibri" w:hAnsi="Verdana" w:cs="Arial"/>
          <w:lang w:val="es-ES"/>
        </w:rPr>
        <w:t xml:space="preserve"> </w:t>
      </w:r>
    </w:p>
    <w:p w14:paraId="550857AB" w14:textId="77777777" w:rsidR="00890E1B" w:rsidRPr="00B10400" w:rsidRDefault="00890E1B" w:rsidP="00890E1B">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es-CO"/>
        </w:rPr>
        <w:t>Ahora bien, en relación con el parágrafo del artículo 38 debe señalarse que, dado que este prohíbe la celebración de convenios interadministrativos, entendidos como aquellos que se celebran entre dos entidades estatales, no es aplicable a los contratos de colaboración – de que trata el artículo 355 de la Constitución Política – ni los convenios de asociación – del artículo 96 de la 489 – pues uno de los extremos es una ESAL de naturaleza privada, por lo que el negocio jurídico no se cataloga en aquellos que se prohíben.</w:t>
      </w:r>
    </w:p>
    <w:p w14:paraId="3C18194E" w14:textId="77777777" w:rsidR="00890E1B" w:rsidRDefault="00890E1B" w:rsidP="00890E1B">
      <w:pPr>
        <w:spacing w:after="120" w:line="276" w:lineRule="auto"/>
        <w:ind w:firstLine="709"/>
        <w:jc w:val="both"/>
        <w:rPr>
          <w:rFonts w:ascii="Verdana" w:eastAsia="Calibri" w:hAnsi="Verdana" w:cs="Arial"/>
          <w:color w:val="000000" w:themeColor="text1"/>
        </w:rPr>
      </w:pPr>
      <w:r w:rsidRPr="005E4C47">
        <w:rPr>
          <w:rFonts w:ascii="Verdana" w:eastAsia="Calibri" w:hAnsi="Verdana" w:cs="Arial"/>
          <w:color w:val="000000" w:themeColor="text1"/>
        </w:rPr>
        <w:t xml:space="preserve">Por último,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038FAB8B" w14:textId="77777777" w:rsidR="00890E1B" w:rsidRPr="005E0657" w:rsidRDefault="00890E1B" w:rsidP="00890E1B">
      <w:pPr>
        <w:spacing w:after="120" w:line="276" w:lineRule="auto"/>
        <w:ind w:firstLine="709"/>
        <w:jc w:val="both"/>
        <w:rPr>
          <w:rFonts w:ascii="Verdana" w:eastAsia="Calibri" w:hAnsi="Verdana" w:cs="Arial"/>
          <w:color w:val="000000" w:themeColor="text1"/>
        </w:rPr>
      </w:pPr>
      <w:r w:rsidRPr="005E0657">
        <w:rPr>
          <w:rFonts w:ascii="Verdana" w:eastAsia="Calibri" w:hAnsi="Verdana" w:cs="Arial"/>
          <w:color w:val="000000" w:themeColor="text1"/>
        </w:rPr>
        <w:t xml:space="preserve">En síntesis, en respuesta al objeto de la consulta, es preciso señalar que </w:t>
      </w:r>
      <w:r w:rsidRPr="00AE18AA">
        <w:rPr>
          <w:rFonts w:ascii="Verdana" w:eastAsia="Calibri" w:hAnsi="Verdana" w:cs="Arial"/>
          <w:color w:val="000000" w:themeColor="text1"/>
        </w:rPr>
        <w:t>las prohibiciones previstas en el artículo 33 de la Ley 996 de 2005 y en el parágrafo del artículo 38 de la misma normativa no resultan aplicables</w:t>
      </w:r>
      <w:r w:rsidRPr="005E0657">
        <w:rPr>
          <w:rFonts w:ascii="Verdana" w:eastAsia="Calibri" w:hAnsi="Verdana" w:cs="Arial"/>
          <w:color w:val="000000" w:themeColor="text1"/>
        </w:rPr>
        <w:t xml:space="preserve"> a los </w:t>
      </w:r>
      <w:r w:rsidRPr="00AE18AA">
        <w:rPr>
          <w:rFonts w:ascii="Verdana" w:eastAsia="Calibri" w:hAnsi="Verdana" w:cs="Arial"/>
          <w:color w:val="000000" w:themeColor="text1"/>
        </w:rPr>
        <w:t>procedimientos competitivos</w:t>
      </w:r>
      <w:r w:rsidRPr="005E0657">
        <w:rPr>
          <w:rFonts w:ascii="Verdana" w:eastAsia="Calibri" w:hAnsi="Verdana" w:cs="Arial"/>
          <w:color w:val="000000" w:themeColor="text1"/>
        </w:rPr>
        <w:t xml:space="preserve"> que se adelanten en desarrollo del </w:t>
      </w:r>
      <w:r w:rsidRPr="00AE18AA">
        <w:rPr>
          <w:rFonts w:ascii="Verdana" w:eastAsia="Calibri" w:hAnsi="Verdana" w:cs="Arial"/>
          <w:color w:val="000000" w:themeColor="text1"/>
        </w:rPr>
        <w:t>Decreto 092 de 2017</w:t>
      </w:r>
      <w:r w:rsidRPr="005E0657">
        <w:rPr>
          <w:rFonts w:ascii="Verdana" w:eastAsia="Calibri" w:hAnsi="Verdana" w:cs="Arial"/>
          <w:color w:val="000000" w:themeColor="text1"/>
        </w:rPr>
        <w:t xml:space="preserve">. En consecuencia, durante los periodos preelectorales en los que operan dichas restricciones, </w:t>
      </w:r>
      <w:r w:rsidRPr="00AE18AA">
        <w:rPr>
          <w:rFonts w:ascii="Verdana" w:eastAsia="Calibri" w:hAnsi="Verdana" w:cs="Arial"/>
          <w:color w:val="000000" w:themeColor="text1"/>
        </w:rPr>
        <w:t>las entidades estatales cobijadas por esta reglamentación pueden continuar adelantando procesos competitivos</w:t>
      </w:r>
      <w:r w:rsidRPr="005E0657">
        <w:rPr>
          <w:rFonts w:ascii="Verdana" w:eastAsia="Calibri" w:hAnsi="Verdana" w:cs="Arial"/>
          <w:color w:val="000000" w:themeColor="text1"/>
        </w:rPr>
        <w:t xml:space="preserve"> para la contratación o asociación con entidades privadas sin ánimo de lucro, siempre que se garantice la </w:t>
      </w:r>
      <w:r w:rsidRPr="00AE18AA">
        <w:rPr>
          <w:rFonts w:ascii="Verdana" w:eastAsia="Calibri" w:hAnsi="Verdana" w:cs="Arial"/>
          <w:color w:val="000000" w:themeColor="text1"/>
        </w:rPr>
        <w:t>selección objetiva</w:t>
      </w:r>
      <w:r w:rsidRPr="005E0657">
        <w:rPr>
          <w:rFonts w:ascii="Verdana" w:eastAsia="Calibri" w:hAnsi="Verdana" w:cs="Arial"/>
          <w:color w:val="000000" w:themeColor="text1"/>
        </w:rPr>
        <w:t xml:space="preserve"> y la </w:t>
      </w:r>
      <w:r w:rsidRPr="00AE18AA">
        <w:rPr>
          <w:rFonts w:ascii="Verdana" w:eastAsia="Calibri" w:hAnsi="Verdana" w:cs="Arial"/>
          <w:color w:val="000000" w:themeColor="text1"/>
        </w:rPr>
        <w:t>pluralidad de oferentes</w:t>
      </w:r>
      <w:r w:rsidRPr="005E0657">
        <w:rPr>
          <w:rFonts w:ascii="Verdana" w:eastAsia="Calibri" w:hAnsi="Verdana" w:cs="Arial"/>
          <w:color w:val="000000" w:themeColor="text1"/>
        </w:rPr>
        <w:t>.</w:t>
      </w:r>
    </w:p>
    <w:p w14:paraId="39B49DAE" w14:textId="77777777" w:rsidR="00890E1B" w:rsidRPr="005E0657" w:rsidRDefault="00890E1B" w:rsidP="00890E1B">
      <w:pPr>
        <w:spacing w:after="0" w:line="276" w:lineRule="auto"/>
        <w:ind w:firstLine="709"/>
        <w:jc w:val="both"/>
        <w:rPr>
          <w:rFonts w:ascii="Verdana" w:eastAsia="Calibri" w:hAnsi="Verdana" w:cs="Arial"/>
          <w:color w:val="000000" w:themeColor="text1"/>
        </w:rPr>
      </w:pPr>
      <w:r w:rsidRPr="005E0657">
        <w:rPr>
          <w:rFonts w:ascii="Verdana" w:eastAsia="Calibri" w:hAnsi="Verdana" w:cs="Arial"/>
          <w:color w:val="000000" w:themeColor="text1"/>
        </w:rPr>
        <w:t xml:space="preserve">Lo anterior obedece a que la restricción contenida en el artículo 33 de la Ley 996 de 2005 </w:t>
      </w:r>
      <w:r w:rsidRPr="00AE18AA">
        <w:rPr>
          <w:rFonts w:ascii="Verdana" w:eastAsia="Calibri" w:hAnsi="Verdana" w:cs="Arial"/>
          <w:color w:val="000000" w:themeColor="text1"/>
        </w:rPr>
        <w:t>se circunscribe exclusivamente a la contratación directa</w:t>
      </w:r>
      <w:r w:rsidRPr="005E0657">
        <w:rPr>
          <w:rFonts w:ascii="Verdana" w:eastAsia="Calibri" w:hAnsi="Verdana" w:cs="Arial"/>
          <w:color w:val="000000" w:themeColor="text1"/>
        </w:rPr>
        <w:t xml:space="preserve">, entendida como aquella que </w:t>
      </w:r>
      <w:r w:rsidRPr="00AE18AA">
        <w:rPr>
          <w:rFonts w:ascii="Verdana" w:eastAsia="Calibri" w:hAnsi="Verdana" w:cs="Arial"/>
          <w:color w:val="000000" w:themeColor="text1"/>
        </w:rPr>
        <w:t>no comporta convocatoria pública ni posibilidad de concurrencia plural de oferentes</w:t>
      </w:r>
      <w:r w:rsidRPr="005E0657">
        <w:rPr>
          <w:rFonts w:ascii="Verdana" w:eastAsia="Calibri" w:hAnsi="Verdana" w:cs="Arial"/>
          <w:color w:val="000000" w:themeColor="text1"/>
        </w:rPr>
        <w:t xml:space="preserve">, noción que excluye tanto las modalidades de selección objetiva previstas en el artículo 2 de la Ley 1150 de 2007 —licitación pública, selección abreviada, concurso de méritos y mínima cuantía— como los procedimientos competitivos con pluralidad de oferentes regulados en </w:t>
      </w:r>
      <w:r w:rsidRPr="005E0657">
        <w:rPr>
          <w:rFonts w:ascii="Verdana" w:eastAsia="Calibri" w:hAnsi="Verdana" w:cs="Arial"/>
          <w:color w:val="000000" w:themeColor="text1"/>
        </w:rPr>
        <w:lastRenderedPageBreak/>
        <w:t>disposiciones especiales, entre ellas el Decreto 092 de 2017</w:t>
      </w:r>
      <w:r>
        <w:rPr>
          <w:rFonts w:ascii="Verdana" w:eastAsia="Calibri" w:hAnsi="Verdana" w:cs="Arial"/>
          <w:color w:val="000000" w:themeColor="text1"/>
        </w:rPr>
        <w:t>–artículos 4 y 5–</w:t>
      </w:r>
      <w:r w:rsidRPr="005E0657">
        <w:rPr>
          <w:rFonts w:ascii="Verdana" w:eastAsia="Calibri" w:hAnsi="Verdana" w:cs="Arial"/>
          <w:color w:val="000000" w:themeColor="text1"/>
        </w:rPr>
        <w:t xml:space="preserve">. De igual forma, </w:t>
      </w:r>
      <w:r w:rsidRPr="00AE18AA">
        <w:rPr>
          <w:rFonts w:ascii="Verdana" w:eastAsia="Calibri" w:hAnsi="Verdana" w:cs="Arial"/>
          <w:color w:val="000000" w:themeColor="text1"/>
        </w:rPr>
        <w:t>no resulta aplicable la prohibición prevista en el parágrafo del artículo 38</w:t>
      </w:r>
      <w:r w:rsidRPr="005E0657">
        <w:rPr>
          <w:rFonts w:ascii="Verdana" w:eastAsia="Calibri" w:hAnsi="Verdana" w:cs="Arial"/>
          <w:color w:val="000000" w:themeColor="text1"/>
        </w:rPr>
        <w:t xml:space="preserve">, toda vez que esta se refiere de manera específica a la celebración de </w:t>
      </w:r>
      <w:r w:rsidRPr="00AE18AA">
        <w:rPr>
          <w:rFonts w:ascii="Verdana" w:eastAsia="Calibri" w:hAnsi="Verdana" w:cs="Arial"/>
          <w:color w:val="000000" w:themeColor="text1"/>
        </w:rPr>
        <w:t>convenios interadministrativos</w:t>
      </w:r>
      <w:r w:rsidRPr="005E0657">
        <w:rPr>
          <w:rFonts w:ascii="Verdana" w:eastAsia="Calibri" w:hAnsi="Verdana" w:cs="Arial"/>
          <w:color w:val="000000" w:themeColor="text1"/>
        </w:rPr>
        <w:t xml:space="preserve"> para la ejecución de recursos públicos durante el periodo preelectoral por parte de determinadas autoridades territoriales, supuesto que </w:t>
      </w:r>
      <w:r w:rsidRPr="00AE18AA">
        <w:rPr>
          <w:rFonts w:ascii="Verdana" w:eastAsia="Calibri" w:hAnsi="Verdana" w:cs="Arial"/>
          <w:color w:val="000000" w:themeColor="text1"/>
        </w:rPr>
        <w:t>no se configura en la contratación regulada por los artículos 355 de la Constitución Política y 96 de la Ley 489 de 1998</w:t>
      </w:r>
      <w:r w:rsidRPr="005E0657">
        <w:rPr>
          <w:rFonts w:ascii="Verdana" w:eastAsia="Calibri" w:hAnsi="Verdana" w:cs="Arial"/>
          <w:color w:val="000000" w:themeColor="text1"/>
        </w:rPr>
        <w:t xml:space="preserve">, reglamentada por el Decreto 092 de 2017, en la medida en que uno de los sujetos de la relación contractual es una </w:t>
      </w:r>
      <w:r w:rsidRPr="00AE18AA">
        <w:rPr>
          <w:rFonts w:ascii="Verdana" w:eastAsia="Calibri" w:hAnsi="Verdana" w:cs="Arial"/>
          <w:color w:val="000000" w:themeColor="text1"/>
        </w:rPr>
        <w:t>entidad privada sin ánimo de lucro</w:t>
      </w:r>
      <w:r w:rsidRPr="005E0657">
        <w:rPr>
          <w:rFonts w:ascii="Verdana" w:eastAsia="Calibri" w:hAnsi="Verdana" w:cs="Arial"/>
          <w:color w:val="000000" w:themeColor="text1"/>
        </w:rPr>
        <w:t>, lo que excluye su calificación como convenio interadministrativo.</w:t>
      </w:r>
    </w:p>
    <w:p w14:paraId="6112002A" w14:textId="77777777" w:rsidR="00890E1B" w:rsidRDefault="00890E1B" w:rsidP="00890E1B">
      <w:pPr>
        <w:spacing w:after="0" w:line="276" w:lineRule="auto"/>
        <w:ind w:firstLine="709"/>
        <w:jc w:val="both"/>
        <w:rPr>
          <w:rFonts w:ascii="Verdana" w:eastAsia="Calibri" w:hAnsi="Verdana" w:cs="Arial"/>
          <w:color w:val="000000" w:themeColor="text1"/>
        </w:rPr>
      </w:pPr>
    </w:p>
    <w:p w14:paraId="0A9D30F0" w14:textId="77777777" w:rsidR="00890E1B" w:rsidRDefault="00890E1B" w:rsidP="00890E1B">
      <w:pPr>
        <w:tabs>
          <w:tab w:val="left" w:pos="142"/>
          <w:tab w:val="left" w:pos="284"/>
        </w:tabs>
        <w:spacing w:after="0" w:line="276" w:lineRule="auto"/>
        <w:rPr>
          <w:rFonts w:ascii="Verdana" w:eastAsia="Century Gothic" w:hAnsi="Verdana" w:cs="Century Gothic"/>
          <w:b/>
          <w:bCs/>
        </w:rPr>
      </w:pPr>
      <w:bookmarkStart w:id="18" w:name="_Hlk204854194"/>
      <w:r w:rsidRPr="00FF007A">
        <w:rPr>
          <w:rFonts w:ascii="Verdana" w:eastAsia="Century Gothic" w:hAnsi="Verdana" w:cs="Century Gothic"/>
          <w:b/>
          <w:bCs/>
        </w:rPr>
        <w:t>4. Referencias normativas:</w:t>
      </w:r>
    </w:p>
    <w:bookmarkEnd w:id="18"/>
    <w:p w14:paraId="4B6B2D52" w14:textId="77777777" w:rsidR="00890E1B" w:rsidRPr="00FF007A" w:rsidRDefault="00890E1B" w:rsidP="00890E1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90E1B" w:rsidRPr="00FF007A" w14:paraId="524C50C9" w14:textId="77777777" w:rsidTr="000E0B41">
        <w:trPr>
          <w:trHeight w:val="581"/>
          <w:jc w:val="center"/>
        </w:trPr>
        <w:tc>
          <w:tcPr>
            <w:tcW w:w="8647" w:type="dxa"/>
          </w:tcPr>
          <w:p w14:paraId="69B67D3A"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Constitución Política. Artículo 355. </w:t>
            </w:r>
          </w:p>
          <w:p w14:paraId="18EEFD21"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996 de 2005. </w:t>
            </w:r>
            <w:r w:rsidRPr="004A4F18">
              <w:rPr>
                <w:rFonts w:ascii="Verdana" w:eastAsia="Arial MT" w:hAnsi="Verdana" w:cs="Arial"/>
                <w:lang w:val="es-CO" w:eastAsia="es-ES" w:bidi="es-ES"/>
              </w:rPr>
              <w:t>Artículo 33</w:t>
            </w:r>
            <w:r>
              <w:rPr>
                <w:rFonts w:ascii="Verdana" w:eastAsia="Arial MT" w:hAnsi="Verdana" w:cs="Arial"/>
                <w:lang w:val="es-CO" w:eastAsia="es-ES" w:bidi="es-ES"/>
              </w:rPr>
              <w:t xml:space="preserve"> y parágrafo del artículo 38</w:t>
            </w:r>
            <w:r w:rsidRPr="00B10400">
              <w:rPr>
                <w:rFonts w:ascii="Verdana" w:eastAsia="Arial MT" w:hAnsi="Verdana" w:cs="Arial"/>
                <w:lang w:val="es-CO" w:eastAsia="es-ES" w:bidi="es-ES"/>
              </w:rPr>
              <w:t xml:space="preserve">. </w:t>
            </w:r>
          </w:p>
          <w:p w14:paraId="23719369"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1150 de 2007. Artículo 2. </w:t>
            </w:r>
          </w:p>
          <w:p w14:paraId="5730F45E" w14:textId="77777777" w:rsidR="00890E1B" w:rsidRPr="00CB71FC"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5F8BC1B5">
              <w:rPr>
                <w:rFonts w:ascii="Verdana" w:eastAsia="Calibri" w:hAnsi="Verdana" w:cs="Arial"/>
              </w:rPr>
              <w:t xml:space="preserve">Decreto </w:t>
            </w:r>
            <w:r>
              <w:rPr>
                <w:rFonts w:ascii="Verdana" w:eastAsia="Calibri" w:hAnsi="Verdana" w:cs="Arial"/>
              </w:rPr>
              <w:t>0</w:t>
            </w:r>
            <w:r w:rsidRPr="5F8BC1B5">
              <w:rPr>
                <w:rFonts w:ascii="Verdana" w:eastAsia="Calibri" w:hAnsi="Verdana" w:cs="Arial"/>
              </w:rPr>
              <w:t>92 de 2017</w:t>
            </w:r>
            <w:r>
              <w:rPr>
                <w:rFonts w:ascii="Verdana" w:eastAsia="Calibri" w:hAnsi="Verdana" w:cs="Arial"/>
              </w:rPr>
              <w:t xml:space="preserve">. </w:t>
            </w:r>
          </w:p>
          <w:p w14:paraId="0C1B9018"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Pr>
                <w:rFonts w:ascii="Verdana" w:eastAsia="Calibri" w:hAnsi="Verdana" w:cs="Arial"/>
              </w:rPr>
              <w:t xml:space="preserve">Ley 489 de 1998. Artículo 96. </w:t>
            </w:r>
          </w:p>
          <w:p w14:paraId="1873A94F"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Consejo de Estado. Sala de lo Contencioso Administrativo. Sección Primera. Sentencia de 3 de marzo de 2005. Radicado: 25001-23-15-000-2004-00823-01 (PI). C.P: Camilo Arciniegas Andrade. </w:t>
            </w:r>
          </w:p>
          <w:p w14:paraId="28330535"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22 de enero de 2002. Radicado: 2001-0148-01</w:t>
            </w:r>
            <w:r>
              <w:rPr>
                <w:rFonts w:ascii="Verdana" w:eastAsia="Arial MT" w:hAnsi="Verdana" w:cs="Arial"/>
                <w:lang w:val="es-CO" w:eastAsia="es-ES" w:bidi="es-ES"/>
              </w:rPr>
              <w:t>.</w:t>
            </w:r>
          </w:p>
          <w:p w14:paraId="485B7CFF"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20 de noviembre de 2001. Radicado: 2001-0130-01(PI).</w:t>
            </w:r>
          </w:p>
          <w:p w14:paraId="78D72C0F"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Consulta y Servicio Civil de fecha 24 de julio de 2013, radicado 2166, C</w:t>
            </w:r>
            <w:r>
              <w:rPr>
                <w:rFonts w:ascii="Verdana" w:eastAsia="Arial MT" w:hAnsi="Verdana" w:cs="Arial"/>
                <w:lang w:val="es-CO" w:eastAsia="es-ES" w:bidi="es-ES"/>
              </w:rPr>
              <w:t>.P:</w:t>
            </w:r>
            <w:r w:rsidRPr="00FA68B6">
              <w:rPr>
                <w:rFonts w:ascii="Verdana" w:eastAsia="Arial MT" w:hAnsi="Verdana" w:cs="Arial"/>
                <w:lang w:val="es-CO" w:eastAsia="es-ES" w:bidi="es-ES"/>
              </w:rPr>
              <w:t xml:space="preserve"> Álvaro Namén Vargas.  </w:t>
            </w:r>
          </w:p>
          <w:p w14:paraId="71C22B17"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Consejo de Estado. Sala de Consulta y Servicio Civil. Concepto del 2 de septiembre de 2013. Radicación número: 11001-03-06-000-2013-00412-00 (2168). Consejero Ponente: Álvaro Namén Vargas.</w:t>
            </w:r>
          </w:p>
          <w:p w14:paraId="40FC0412"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Consejo de Estado. Sala de Consulta y Servicio Civil, Concepto de 8 de mayo de 2018. Radicación Número: 11001-03-06-000-2018-00095-00(2382). Consejero Ponente: Álvaro Namén Vargas.</w:t>
            </w:r>
          </w:p>
          <w:p w14:paraId="1F3503FA" w14:textId="77777777" w:rsidR="00890E1B" w:rsidRDefault="00890E1B" w:rsidP="000E0B41">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Consejo de Estado. Sala de Consulta y Servicio Civil. </w:t>
            </w:r>
            <w:r w:rsidRPr="00CB71FC">
              <w:rPr>
                <w:rFonts w:ascii="Verdana" w:eastAsia="Arial MT" w:hAnsi="Verdana" w:cs="Arial"/>
                <w:lang w:val="es-CO" w:eastAsia="es-ES" w:bidi="es-ES"/>
              </w:rPr>
              <w:t>Concepto del 24 de febrero de 2005. Radicado:1626, C.P. Gloria Duque Hernández.</w:t>
            </w:r>
          </w:p>
          <w:p w14:paraId="4FE654B4" w14:textId="77777777" w:rsidR="00890E1B" w:rsidRPr="00A877DF" w:rsidRDefault="00890E1B" w:rsidP="000E0B41">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lastRenderedPageBreak/>
              <w:t>Corte Constitucional, Sentencia C- 1153 de 2005, M.P. Marco Gerardo Monroy Cabra.</w:t>
            </w:r>
          </w:p>
        </w:tc>
      </w:tr>
    </w:tbl>
    <w:p w14:paraId="54C40F3A" w14:textId="77777777" w:rsidR="00890E1B" w:rsidRPr="00FF007A" w:rsidRDefault="00890E1B" w:rsidP="00890E1B">
      <w:pPr>
        <w:widowControl w:val="0"/>
        <w:autoSpaceDE w:val="0"/>
        <w:autoSpaceDN w:val="0"/>
        <w:spacing w:after="0" w:line="276" w:lineRule="auto"/>
        <w:jc w:val="both"/>
        <w:rPr>
          <w:rFonts w:ascii="Verdana" w:hAnsi="Verdana" w:cs="Arial"/>
        </w:rPr>
      </w:pPr>
    </w:p>
    <w:p w14:paraId="0089069B" w14:textId="77777777" w:rsidR="00890E1B" w:rsidRPr="00FF007A" w:rsidRDefault="00890E1B" w:rsidP="00890E1B">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23CF1651" w14:textId="77777777" w:rsidR="00890E1B" w:rsidRPr="00FF007A" w:rsidRDefault="00890E1B" w:rsidP="00890E1B">
      <w:pPr>
        <w:widowControl w:val="0"/>
        <w:autoSpaceDE w:val="0"/>
        <w:autoSpaceDN w:val="0"/>
        <w:spacing w:after="0" w:line="276" w:lineRule="auto"/>
        <w:jc w:val="both"/>
        <w:rPr>
          <w:rStyle w:val="normaltextrun"/>
          <w:rFonts w:ascii="Verdana" w:hAnsi="Verdana" w:cs="Arial"/>
          <w:shd w:val="clear" w:color="auto" w:fill="FFFFFF"/>
        </w:rPr>
      </w:pPr>
    </w:p>
    <w:p w14:paraId="5A97E922" w14:textId="77777777" w:rsidR="00890E1B" w:rsidRDefault="00890E1B" w:rsidP="00890E1B">
      <w:pPr>
        <w:widowControl w:val="0"/>
        <w:autoSpaceDE w:val="0"/>
        <w:autoSpaceDN w:val="0"/>
        <w:spacing w:after="0" w:line="276" w:lineRule="auto"/>
        <w:jc w:val="both"/>
        <w:rPr>
          <w:rFonts w:ascii="Verdana" w:hAnsi="Verdana" w:cs="Arial"/>
          <w:shd w:val="clear" w:color="auto" w:fill="FFFFFF"/>
        </w:rPr>
      </w:pPr>
      <w:r>
        <w:rPr>
          <w:rFonts w:ascii="Verdana" w:hAnsi="Verdana" w:cs="Arial"/>
          <w:shd w:val="clear" w:color="auto" w:fill="FFFFFF"/>
          <w:lang w:val="es-ES"/>
        </w:rPr>
        <w:t xml:space="preserve">Sobre la aplicación de la Ley de garantías en el marco de la celebración de contratos del artículo 355 de la Constitución Política y los convenios de asociación del Decreto 092 de 2017, la Subdirección se ha pronunciado en los conceptos C-584 del 24 de junio de 2025, C-986 del 23 de agosto de 2025, C-1015 del 4 de septiembre de 2025, C-1186 del 19 de septiembre de 2025, C-1697 del 23 de diciembre de 2025, entre otros. </w:t>
      </w:r>
      <w:r w:rsidRPr="00FF007A">
        <w:rPr>
          <w:rFonts w:ascii="Verdana" w:hAnsi="Verdana" w:cs="Arial"/>
        </w:rPr>
        <w:t xml:space="preserve">Estos </w:t>
      </w:r>
      <w:r w:rsidRPr="00FF007A">
        <w:rPr>
          <w:rFonts w:ascii="Verdana" w:hAnsi="Verdana"/>
        </w:rPr>
        <w:t>conceptos se encuentran disponibles para consulta en el Sistema de relatoría de la Agencia, al cual se puede acceder a través del siguiente enlace:</w:t>
      </w:r>
      <w:r w:rsidRPr="00FF007A">
        <w:rPr>
          <w:rFonts w:ascii="Verdana" w:hAnsi="Verdana" w:cs="Arial"/>
          <w:shd w:val="clear" w:color="auto" w:fill="FFFFFF"/>
        </w:rPr>
        <w:t xml:space="preserve"> </w:t>
      </w:r>
      <w:hyperlink r:id="rId11" w:history="1">
        <w:r w:rsidRPr="004A4F18">
          <w:rPr>
            <w:rFonts w:ascii="Verdana" w:hAnsi="Verdana" w:cs="Arial"/>
            <w:color w:val="0563C1" w:themeColor="hyperlink"/>
            <w:u w:val="single"/>
            <w:shd w:val="clear" w:color="auto" w:fill="FFFFFF"/>
          </w:rPr>
          <w:t>https://relatoria.colombiacompra.gov.co/busqueda/conceptos</w:t>
        </w:r>
      </w:hyperlink>
    </w:p>
    <w:p w14:paraId="10D79C2D" w14:textId="77777777" w:rsidR="00890E1B" w:rsidRDefault="00890E1B" w:rsidP="00890E1B">
      <w:pPr>
        <w:widowControl w:val="0"/>
        <w:autoSpaceDE w:val="0"/>
        <w:autoSpaceDN w:val="0"/>
        <w:spacing w:after="0" w:line="276" w:lineRule="auto"/>
        <w:jc w:val="both"/>
        <w:rPr>
          <w:rFonts w:ascii="Verdana" w:hAnsi="Verdana" w:cs="Arial"/>
          <w:shd w:val="clear" w:color="auto" w:fill="FFFFFF"/>
        </w:rPr>
      </w:pPr>
    </w:p>
    <w:p w14:paraId="3A8F2BD6" w14:textId="77777777" w:rsidR="00890E1B" w:rsidRPr="00904135" w:rsidRDefault="00890E1B" w:rsidP="00890E1B">
      <w:pPr>
        <w:widowControl w:val="0"/>
        <w:autoSpaceDE w:val="0"/>
        <w:autoSpaceDN w:val="0"/>
        <w:spacing w:after="120" w:line="276" w:lineRule="auto"/>
        <w:jc w:val="both"/>
        <w:rPr>
          <w:rFonts w:ascii="Verdana" w:eastAsia="Calibri" w:hAnsi="Verdana" w:cs="Times New Roman"/>
        </w:rPr>
      </w:pPr>
      <w:r w:rsidRPr="00904135">
        <w:rPr>
          <w:rFonts w:ascii="Verdana" w:eastAsia="Calibri" w:hAnsi="Verdana" w:cs="Times New Roman"/>
        </w:rPr>
        <w:t>También le contamos que ya se encuentra disponible la </w:t>
      </w:r>
      <w:r w:rsidRPr="00904135">
        <w:rPr>
          <w:rFonts w:ascii="Verdana" w:eastAsia="Calibri" w:hAnsi="Verdana" w:cs="Times New Roman"/>
          <w:b/>
          <w:bCs/>
        </w:rPr>
        <w:t>Guía de lineamientos de transparencia y selección objetiva para el departamento de La Guajira – Objetivo sexto constitucional de la Sentencia T-302 del 2017. </w:t>
      </w:r>
      <w:r w:rsidRPr="00904135">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904135">
        <w:rPr>
          <w:rFonts w:ascii="Verdana" w:eastAsia="Calibri" w:hAnsi="Verdana" w:cs="Times New Roman"/>
        </w:rPr>
        <w:t>Wayúu</w:t>
      </w:r>
      <w:proofErr w:type="spellEnd"/>
      <w:r w:rsidRPr="00904135">
        <w:rPr>
          <w:rFonts w:ascii="Verdana" w:eastAsia="Calibri" w:hAnsi="Verdana" w:cs="Times New Roman"/>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904135">
          <w:rPr>
            <w:rFonts w:ascii="Verdana" w:eastAsia="Calibri" w:hAnsi="Verdana" w:cs="Times New Roman"/>
            <w:color w:val="0000FF"/>
            <w:u w:val="single"/>
          </w:rPr>
          <w:t>Guía de lineamientos de transparencia y selección objetiva para el departamento de La Guajira – Objetivo sexto constitucional de la Sentencia T-302 del 2017</w:t>
        </w:r>
      </w:hyperlink>
      <w:r w:rsidRPr="00904135">
        <w:rPr>
          <w:rFonts w:ascii="Verdana" w:eastAsia="Calibri" w:hAnsi="Verdana" w:cs="Times New Roman"/>
          <w:u w:val="single"/>
        </w:rPr>
        <w:t>"</w:t>
      </w:r>
    </w:p>
    <w:p w14:paraId="21918124" w14:textId="77777777" w:rsidR="00890E1B" w:rsidRPr="00904135" w:rsidRDefault="00890E1B" w:rsidP="00890E1B">
      <w:pPr>
        <w:spacing w:after="0" w:line="276" w:lineRule="auto"/>
        <w:jc w:val="both"/>
        <w:rPr>
          <w:rFonts w:ascii="Verdana" w:eastAsia="Calibri" w:hAnsi="Verdana" w:cs="Times New Roman"/>
        </w:rPr>
      </w:pPr>
    </w:p>
    <w:p w14:paraId="66141818" w14:textId="77777777" w:rsidR="00890E1B" w:rsidRPr="00904135" w:rsidRDefault="00890E1B" w:rsidP="00890E1B">
      <w:pPr>
        <w:spacing w:after="0" w:line="276" w:lineRule="auto"/>
        <w:jc w:val="both"/>
        <w:rPr>
          <w:rFonts w:ascii="Verdana" w:eastAsia="Calibri" w:hAnsi="Verdana" w:cs="Times New Roman"/>
        </w:rPr>
      </w:pPr>
      <w:r w:rsidRPr="00904135">
        <w:rPr>
          <w:rFonts w:ascii="Verdana" w:eastAsia="Calibri" w:hAnsi="Verdana" w:cs="Times New Roman"/>
        </w:rPr>
        <w:t xml:space="preserve">Por último, lo invitamos a seguirnos en las redes sociales en las cuales se difunde información institucional: </w:t>
      </w:r>
    </w:p>
    <w:p w14:paraId="2BED3EA4" w14:textId="77777777" w:rsidR="00890E1B" w:rsidRPr="00904135" w:rsidRDefault="00890E1B" w:rsidP="00890E1B">
      <w:pPr>
        <w:spacing w:after="0" w:line="240" w:lineRule="auto"/>
        <w:jc w:val="both"/>
        <w:rPr>
          <w:rFonts w:ascii="Verdana" w:eastAsia="Calibri" w:hAnsi="Verdana" w:cs="Times New Roman"/>
        </w:rPr>
      </w:pPr>
    </w:p>
    <w:p w14:paraId="4788DEF6" w14:textId="77777777" w:rsidR="00890E1B" w:rsidRPr="00904135" w:rsidRDefault="00890E1B" w:rsidP="00890E1B">
      <w:pPr>
        <w:spacing w:after="0" w:line="240" w:lineRule="auto"/>
        <w:jc w:val="both"/>
        <w:rPr>
          <w:rFonts w:ascii="Verdana" w:eastAsia="Calibri" w:hAnsi="Verdana" w:cs="Times New Roman"/>
        </w:rPr>
      </w:pPr>
      <w:r w:rsidRPr="00904135">
        <w:rPr>
          <w:rFonts w:ascii="Verdana" w:eastAsia="Calibri" w:hAnsi="Verdana" w:cs="Times New Roman"/>
        </w:rPr>
        <w:t xml:space="preserve">Twitter: </w:t>
      </w:r>
      <w:r w:rsidRPr="00904135">
        <w:rPr>
          <w:rFonts w:ascii="Verdana" w:eastAsia="Calibri" w:hAnsi="Verdana" w:cs="Times New Roman"/>
          <w:color w:val="4472C4" w:themeColor="accent1"/>
          <w:u w:val="single"/>
        </w:rPr>
        <w:t>@colombiacompra</w:t>
      </w:r>
      <w:r w:rsidRPr="00904135">
        <w:rPr>
          <w:rFonts w:ascii="Verdana" w:eastAsia="Calibri" w:hAnsi="Verdana" w:cs="Times New Roman"/>
          <w:color w:val="4472C4" w:themeColor="accent1"/>
        </w:rPr>
        <w:t xml:space="preserve"> </w:t>
      </w:r>
    </w:p>
    <w:p w14:paraId="68DE64D9" w14:textId="77777777" w:rsidR="00890E1B" w:rsidRPr="00904135" w:rsidRDefault="00890E1B" w:rsidP="00890E1B">
      <w:pPr>
        <w:spacing w:after="0" w:line="240" w:lineRule="auto"/>
        <w:jc w:val="both"/>
        <w:rPr>
          <w:rFonts w:ascii="Verdana" w:eastAsia="Calibri" w:hAnsi="Verdana" w:cs="Times New Roman"/>
        </w:rPr>
      </w:pPr>
      <w:r w:rsidRPr="00904135">
        <w:rPr>
          <w:rFonts w:ascii="Verdana" w:eastAsia="Calibri" w:hAnsi="Verdana" w:cs="Times New Roman"/>
        </w:rPr>
        <w:t xml:space="preserve">Facebook: </w:t>
      </w:r>
      <w:proofErr w:type="spellStart"/>
      <w:r w:rsidRPr="00904135">
        <w:rPr>
          <w:rFonts w:ascii="Verdana" w:eastAsia="Calibri" w:hAnsi="Verdana" w:cs="Times New Roman"/>
          <w:color w:val="4472C4" w:themeColor="accent1"/>
          <w:u w:val="single"/>
        </w:rPr>
        <w:t>ColombiaCompraEficiente</w:t>
      </w:r>
      <w:proofErr w:type="spellEnd"/>
    </w:p>
    <w:p w14:paraId="36CFBEBC" w14:textId="77777777" w:rsidR="00890E1B" w:rsidRPr="00904135" w:rsidRDefault="00890E1B" w:rsidP="00890E1B">
      <w:pPr>
        <w:spacing w:after="0" w:line="240" w:lineRule="auto"/>
        <w:jc w:val="both"/>
        <w:rPr>
          <w:rFonts w:ascii="Verdana" w:eastAsia="Calibri" w:hAnsi="Verdana" w:cs="Times New Roman"/>
        </w:rPr>
      </w:pPr>
      <w:r w:rsidRPr="00904135">
        <w:rPr>
          <w:rFonts w:ascii="Verdana" w:eastAsia="Calibri" w:hAnsi="Verdana" w:cs="Times New Roman"/>
        </w:rPr>
        <w:t xml:space="preserve">LinkedIn: </w:t>
      </w:r>
      <w:r w:rsidRPr="00904135">
        <w:rPr>
          <w:rFonts w:ascii="Verdana" w:eastAsia="Calibri" w:hAnsi="Verdana" w:cs="Times New Roman"/>
          <w:color w:val="4472C4" w:themeColor="accent1"/>
          <w:u w:val="single"/>
        </w:rPr>
        <w:t>Agencia Nacional de Contratación Pública - Colombia Compra Eficiente</w:t>
      </w:r>
      <w:r w:rsidRPr="00904135">
        <w:rPr>
          <w:rFonts w:ascii="Verdana" w:eastAsia="Calibri" w:hAnsi="Verdana" w:cs="Times New Roman"/>
          <w:color w:val="4472C4" w:themeColor="accent1"/>
        </w:rPr>
        <w:t xml:space="preserve"> </w:t>
      </w:r>
      <w:r w:rsidRPr="00904135">
        <w:rPr>
          <w:rFonts w:ascii="Verdana" w:eastAsia="Calibri" w:hAnsi="Verdana" w:cs="Times New Roman"/>
        </w:rPr>
        <w:t xml:space="preserve">Instagram: </w:t>
      </w:r>
      <w:r w:rsidRPr="00904135">
        <w:rPr>
          <w:rFonts w:ascii="Verdana" w:eastAsia="Calibri" w:hAnsi="Verdana" w:cs="Times New Roman"/>
          <w:color w:val="4472C4" w:themeColor="accent1"/>
          <w:u w:val="single"/>
        </w:rPr>
        <w:t>@colombiacompraeficiente_cce</w:t>
      </w:r>
    </w:p>
    <w:p w14:paraId="5AD50D55" w14:textId="77777777" w:rsidR="00890E1B" w:rsidRPr="00904135" w:rsidRDefault="00890E1B" w:rsidP="00890E1B">
      <w:pPr>
        <w:widowControl w:val="0"/>
        <w:autoSpaceDE w:val="0"/>
        <w:autoSpaceDN w:val="0"/>
        <w:spacing w:after="0" w:line="276" w:lineRule="auto"/>
        <w:jc w:val="both"/>
        <w:rPr>
          <w:rFonts w:ascii="Verdana" w:eastAsia="Calibri" w:hAnsi="Verdana" w:cs="Arial"/>
        </w:rPr>
      </w:pPr>
    </w:p>
    <w:p w14:paraId="3A6D6A51" w14:textId="77777777" w:rsidR="00890E1B" w:rsidRPr="00904135" w:rsidRDefault="00890E1B" w:rsidP="00890E1B">
      <w:pPr>
        <w:widowControl w:val="0"/>
        <w:autoSpaceDE w:val="0"/>
        <w:autoSpaceDN w:val="0"/>
        <w:spacing w:after="0" w:line="276" w:lineRule="auto"/>
        <w:jc w:val="both"/>
        <w:rPr>
          <w:rFonts w:ascii="Verdana" w:eastAsia="Calibri" w:hAnsi="Verdana" w:cs="Arial"/>
          <w:lang w:val="es-ES_tradnl"/>
        </w:rPr>
      </w:pPr>
      <w:r w:rsidRPr="00904135">
        <w:rPr>
          <w:rFonts w:ascii="Verdana" w:eastAsia="Calibri" w:hAnsi="Verdana" w:cs="Arial"/>
        </w:rPr>
        <w:t xml:space="preserve">Este concepto tiene el alcance previsto en el artículo 28 del Código de </w:t>
      </w:r>
      <w:r w:rsidRPr="00904135">
        <w:rPr>
          <w:rFonts w:ascii="Verdana" w:eastAsia="Calibri" w:hAnsi="Verdana" w:cs="Arial"/>
        </w:rPr>
        <w:lastRenderedPageBreak/>
        <w:t xml:space="preserve">Procedimiento Administrativo y de lo Contencioso Administrativo </w:t>
      </w:r>
      <w:r w:rsidRPr="00904135">
        <w:rPr>
          <w:rFonts w:ascii="Verdana" w:eastAsia="Calibri" w:hAnsi="Verdana" w:cs="Arial"/>
          <w:lang w:val="es-ES_tradnl"/>
        </w:rPr>
        <w:t>y las expresiones aquí utilizadas con mayúscula inicial deben ser entendidas con el significado que les otorga el artículo 2.2.1.1.1.3.1. del Decreto 1082 de 2015.</w:t>
      </w:r>
    </w:p>
    <w:p w14:paraId="1294899C" w14:textId="77777777" w:rsidR="00890E1B" w:rsidRPr="00904135" w:rsidRDefault="00890E1B" w:rsidP="00890E1B">
      <w:pPr>
        <w:widowControl w:val="0"/>
        <w:autoSpaceDE w:val="0"/>
        <w:autoSpaceDN w:val="0"/>
        <w:spacing w:after="0" w:line="276" w:lineRule="auto"/>
        <w:jc w:val="both"/>
        <w:rPr>
          <w:rFonts w:ascii="Verdana" w:eastAsia="Calibri" w:hAnsi="Verdana" w:cs="Arial"/>
        </w:rPr>
      </w:pPr>
    </w:p>
    <w:p w14:paraId="676FD387" w14:textId="77777777" w:rsidR="00890E1B" w:rsidRPr="00904135" w:rsidRDefault="00890E1B" w:rsidP="00890E1B">
      <w:pPr>
        <w:spacing w:after="0" w:line="276" w:lineRule="auto"/>
        <w:rPr>
          <w:rFonts w:ascii="Verdana" w:eastAsia="Calibri" w:hAnsi="Verdana" w:cs="Arial"/>
          <w:lang w:eastAsia="es-CO"/>
        </w:rPr>
      </w:pPr>
      <w:r w:rsidRPr="00904135">
        <w:rPr>
          <w:rFonts w:ascii="Verdana" w:eastAsia="Times New Roman" w:hAnsi="Verdana" w:cs="Arial"/>
          <w:lang w:eastAsia="es-CO"/>
        </w:rPr>
        <w:t>Atentamente,</w:t>
      </w:r>
      <w:r w:rsidRPr="00904135">
        <w:rPr>
          <w:rFonts w:ascii="Verdana" w:eastAsia="Calibri" w:hAnsi="Verdana" w:cs="Arial"/>
          <w:lang w:eastAsia="es-CO"/>
        </w:rPr>
        <w:t xml:space="preserve"> </w:t>
      </w:r>
    </w:p>
    <w:p w14:paraId="4812C22D" w14:textId="5DB718C3" w:rsidR="00890E1B" w:rsidRPr="00904135" w:rsidRDefault="007F4444" w:rsidP="00890E1B">
      <w:pPr>
        <w:spacing w:line="276" w:lineRule="auto"/>
        <w:jc w:val="center"/>
        <w:rPr>
          <w:rFonts w:ascii="Verdana" w:eastAsia="Times New Roman" w:hAnsi="Verdana" w:cs="Arial"/>
          <w:sz w:val="24"/>
          <w:szCs w:val="24"/>
          <w:lang w:eastAsia="es-ES"/>
        </w:rPr>
      </w:pPr>
      <w:r>
        <w:rPr>
          <w:noProof/>
        </w:rPr>
        <w:drawing>
          <wp:inline distT="0" distB="0" distL="0" distR="0" wp14:anchorId="543DE281" wp14:editId="65275DC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890E1B" w:rsidRPr="00904135" w14:paraId="4B3E4B33" w14:textId="77777777" w:rsidTr="000E0B41">
        <w:trPr>
          <w:trHeight w:val="315"/>
        </w:trPr>
        <w:tc>
          <w:tcPr>
            <w:tcW w:w="993" w:type="dxa"/>
            <w:vAlign w:val="center"/>
            <w:hideMark/>
          </w:tcPr>
          <w:p w14:paraId="12B013EA" w14:textId="77777777" w:rsidR="00890E1B" w:rsidRPr="00904135" w:rsidRDefault="00890E1B" w:rsidP="000E0B41">
            <w:pPr>
              <w:spacing w:after="0" w:line="276" w:lineRule="auto"/>
              <w:rPr>
                <w:rFonts w:ascii="Verdana" w:eastAsia="Calibri" w:hAnsi="Verdana" w:cs="Arial"/>
                <w:bCs/>
                <w:sz w:val="16"/>
                <w:szCs w:val="16"/>
                <w:lang w:eastAsia="es-CO"/>
              </w:rPr>
            </w:pPr>
            <w:r w:rsidRPr="00904135">
              <w:rPr>
                <w:rFonts w:ascii="Verdana" w:eastAsia="Calibri" w:hAnsi="Verdana" w:cs="Arial"/>
                <w:bCs/>
                <w:sz w:val="16"/>
                <w:szCs w:val="16"/>
                <w:lang w:eastAsia="es-CO"/>
              </w:rPr>
              <w:t>Elaboró:</w:t>
            </w:r>
          </w:p>
        </w:tc>
        <w:tc>
          <w:tcPr>
            <w:tcW w:w="4677" w:type="dxa"/>
            <w:tcBorders>
              <w:top w:val="nil"/>
              <w:left w:val="nil"/>
              <w:bottom w:val="dotted" w:sz="4" w:space="0" w:color="7F7F7F"/>
              <w:right w:val="nil"/>
            </w:tcBorders>
            <w:vAlign w:val="center"/>
            <w:hideMark/>
          </w:tcPr>
          <w:p w14:paraId="07F8AA23" w14:textId="77777777" w:rsidR="00890E1B" w:rsidRPr="00904135" w:rsidRDefault="00890E1B" w:rsidP="000E0B41">
            <w:pPr>
              <w:spacing w:after="0" w:line="240" w:lineRule="auto"/>
              <w:rPr>
                <w:rFonts w:ascii="Verdana" w:eastAsia="Calibri" w:hAnsi="Verdana" w:cs="Arial"/>
                <w:sz w:val="16"/>
                <w:szCs w:val="16"/>
                <w:lang w:eastAsia="es-CO"/>
              </w:rPr>
            </w:pPr>
            <w:r w:rsidRPr="00904135">
              <w:rPr>
                <w:rFonts w:ascii="Verdana" w:eastAsia="Calibri" w:hAnsi="Verdana" w:cs="Arial"/>
                <w:sz w:val="16"/>
                <w:szCs w:val="16"/>
                <w:lang w:eastAsia="es-CO"/>
              </w:rPr>
              <w:t>Ximena Ríos López</w:t>
            </w:r>
          </w:p>
          <w:p w14:paraId="69A3C80B" w14:textId="77777777" w:rsidR="00890E1B" w:rsidRPr="00904135" w:rsidRDefault="00890E1B" w:rsidP="000E0B41">
            <w:pPr>
              <w:spacing w:after="0" w:line="240" w:lineRule="auto"/>
              <w:rPr>
                <w:rFonts w:ascii="Verdana" w:eastAsia="Calibri" w:hAnsi="Verdana" w:cs="Arial"/>
                <w:sz w:val="16"/>
                <w:szCs w:val="16"/>
                <w:lang w:eastAsia="es-CO"/>
              </w:rPr>
            </w:pPr>
            <w:r w:rsidRPr="00904135">
              <w:rPr>
                <w:rFonts w:ascii="Verdana" w:eastAsia="Calibri" w:hAnsi="Verdana" w:cs="Arial"/>
                <w:sz w:val="16"/>
                <w:szCs w:val="16"/>
                <w:lang w:eastAsia="es-CO"/>
              </w:rPr>
              <w:t>Gestor T1 -11 Subdirección de Gestión Contractual</w:t>
            </w:r>
          </w:p>
        </w:tc>
      </w:tr>
      <w:tr w:rsidR="00890E1B" w:rsidRPr="00904135" w14:paraId="3E670493" w14:textId="77777777" w:rsidTr="000E0B41">
        <w:trPr>
          <w:trHeight w:val="330"/>
        </w:trPr>
        <w:tc>
          <w:tcPr>
            <w:tcW w:w="993" w:type="dxa"/>
            <w:vAlign w:val="center"/>
            <w:hideMark/>
          </w:tcPr>
          <w:p w14:paraId="2FD7D160" w14:textId="77777777" w:rsidR="00890E1B" w:rsidRPr="00904135" w:rsidRDefault="00890E1B" w:rsidP="000E0B41">
            <w:pPr>
              <w:spacing w:after="0" w:line="276" w:lineRule="auto"/>
              <w:rPr>
                <w:rFonts w:ascii="Verdana" w:eastAsia="Calibri" w:hAnsi="Verdana" w:cs="Arial"/>
                <w:bCs/>
                <w:sz w:val="16"/>
                <w:szCs w:val="16"/>
                <w:lang w:eastAsia="es-CO"/>
              </w:rPr>
            </w:pPr>
            <w:r w:rsidRPr="00904135">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05880E4B" w14:textId="77777777" w:rsidR="00890E1B" w:rsidRPr="00904135" w:rsidRDefault="00890E1B" w:rsidP="000E0B41">
            <w:pPr>
              <w:spacing w:after="0" w:line="240" w:lineRule="auto"/>
              <w:rPr>
                <w:rFonts w:ascii="Verdana" w:eastAsia="Calibri" w:hAnsi="Verdana" w:cs="Arial"/>
                <w:sz w:val="16"/>
                <w:szCs w:val="16"/>
                <w:lang w:eastAsia="es-CO"/>
              </w:rPr>
            </w:pPr>
            <w:r>
              <w:rPr>
                <w:rFonts w:ascii="Verdana" w:eastAsia="Calibri" w:hAnsi="Verdana" w:cs="Arial"/>
                <w:sz w:val="16"/>
                <w:szCs w:val="16"/>
                <w:lang w:eastAsia="es-CO"/>
              </w:rPr>
              <w:t>Alejandro Sarmiento</w:t>
            </w:r>
          </w:p>
          <w:p w14:paraId="4F99127C" w14:textId="77777777" w:rsidR="00890E1B" w:rsidRPr="00904135" w:rsidRDefault="00890E1B" w:rsidP="000E0B41">
            <w:pPr>
              <w:spacing w:after="0" w:line="240" w:lineRule="auto"/>
              <w:rPr>
                <w:rFonts w:ascii="Verdana" w:eastAsia="Calibri" w:hAnsi="Verdana" w:cs="Arial"/>
                <w:sz w:val="16"/>
                <w:szCs w:val="16"/>
                <w:lang w:eastAsia="es-CO"/>
              </w:rPr>
            </w:pPr>
            <w:r w:rsidRPr="00904135">
              <w:rPr>
                <w:rFonts w:ascii="Verdana" w:eastAsia="Calibri" w:hAnsi="Verdana" w:cs="Arial"/>
                <w:sz w:val="16"/>
                <w:szCs w:val="16"/>
                <w:lang w:eastAsia="es-CO"/>
              </w:rPr>
              <w:t>Gestor T1 -15 Subdirección de Gestión Contractual</w:t>
            </w:r>
          </w:p>
        </w:tc>
      </w:tr>
      <w:tr w:rsidR="00890E1B" w:rsidRPr="00904135" w14:paraId="606C1295" w14:textId="77777777" w:rsidTr="000E0B41">
        <w:trPr>
          <w:trHeight w:val="300"/>
        </w:trPr>
        <w:tc>
          <w:tcPr>
            <w:tcW w:w="993" w:type="dxa"/>
            <w:vAlign w:val="center"/>
            <w:hideMark/>
          </w:tcPr>
          <w:p w14:paraId="112759F7" w14:textId="77777777" w:rsidR="00890E1B" w:rsidRPr="00904135" w:rsidRDefault="00890E1B" w:rsidP="000E0B41">
            <w:pPr>
              <w:spacing w:after="0" w:line="276" w:lineRule="auto"/>
              <w:rPr>
                <w:rFonts w:ascii="Verdana" w:eastAsia="Calibri" w:hAnsi="Verdana" w:cs="Arial"/>
                <w:bCs/>
                <w:sz w:val="16"/>
                <w:szCs w:val="16"/>
                <w:lang w:eastAsia="es-CO"/>
              </w:rPr>
            </w:pPr>
            <w:r w:rsidRPr="00904135">
              <w:rPr>
                <w:rFonts w:ascii="Verdana" w:eastAsia="Calibri"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hideMark/>
          </w:tcPr>
          <w:p w14:paraId="2DB3150D" w14:textId="77777777" w:rsidR="00890E1B" w:rsidRPr="00904135" w:rsidRDefault="00890E1B" w:rsidP="000E0B41">
            <w:pPr>
              <w:spacing w:after="0" w:line="240" w:lineRule="auto"/>
              <w:rPr>
                <w:rFonts w:ascii="Verdana" w:eastAsia="Calibri" w:hAnsi="Verdana" w:cs="Arial"/>
                <w:sz w:val="16"/>
                <w:szCs w:val="16"/>
                <w:lang w:eastAsia="es-CO"/>
              </w:rPr>
            </w:pPr>
            <w:r w:rsidRPr="00904135">
              <w:rPr>
                <w:rFonts w:ascii="Verdana" w:eastAsia="Calibri" w:hAnsi="Verdana" w:cs="Arial"/>
                <w:sz w:val="16"/>
                <w:szCs w:val="16"/>
                <w:lang w:eastAsia="es-CO"/>
              </w:rPr>
              <w:t>Carolina Quintero Gacharná</w:t>
            </w:r>
          </w:p>
          <w:p w14:paraId="4A3B4FAA" w14:textId="77777777" w:rsidR="00890E1B" w:rsidRPr="00904135" w:rsidRDefault="00890E1B" w:rsidP="000E0B41">
            <w:pPr>
              <w:spacing w:after="0" w:line="240" w:lineRule="auto"/>
              <w:rPr>
                <w:rFonts w:ascii="Verdana" w:eastAsia="Calibri" w:hAnsi="Verdana" w:cs="Arial"/>
                <w:sz w:val="16"/>
                <w:szCs w:val="16"/>
                <w:lang w:eastAsia="es-CO"/>
              </w:rPr>
            </w:pPr>
            <w:r w:rsidRPr="00904135">
              <w:rPr>
                <w:rFonts w:ascii="Verdana" w:eastAsia="Calibri" w:hAnsi="Verdana" w:cs="Arial"/>
                <w:sz w:val="16"/>
                <w:szCs w:val="16"/>
                <w:lang w:eastAsia="es-CO"/>
              </w:rPr>
              <w:t>Subdirectora de Gestión Contractual ANCP – CCE</w:t>
            </w:r>
          </w:p>
        </w:tc>
      </w:tr>
    </w:tbl>
    <w:p w14:paraId="2D11D890" w14:textId="77777777" w:rsidR="00890E1B" w:rsidRPr="00904135" w:rsidRDefault="00890E1B" w:rsidP="00890E1B">
      <w:pPr>
        <w:spacing w:after="0" w:line="276" w:lineRule="auto"/>
        <w:jc w:val="both"/>
        <w:rPr>
          <w:rFonts w:ascii="Calibri" w:eastAsia="Calibri" w:hAnsi="Calibri" w:cs="Times New Roman"/>
        </w:rPr>
      </w:pPr>
    </w:p>
    <w:p w14:paraId="20ADDE83" w14:textId="77777777" w:rsidR="00890E1B" w:rsidRPr="00904135" w:rsidRDefault="00890E1B" w:rsidP="00890E1B">
      <w:pPr>
        <w:spacing w:line="256" w:lineRule="auto"/>
        <w:rPr>
          <w:rFonts w:ascii="Calibri" w:eastAsia="Calibri" w:hAnsi="Calibri" w:cs="Times New Roman"/>
        </w:rPr>
      </w:pPr>
    </w:p>
    <w:p w14:paraId="493E0508" w14:textId="77777777" w:rsidR="00890E1B" w:rsidRPr="00904135" w:rsidRDefault="00890E1B" w:rsidP="00890E1B">
      <w:pPr>
        <w:spacing w:after="120" w:line="256" w:lineRule="auto"/>
        <w:jc w:val="both"/>
        <w:rPr>
          <w:rFonts w:ascii="Calibri" w:eastAsia="Calibri" w:hAnsi="Calibri" w:cs="Times New Roman"/>
        </w:rPr>
      </w:pPr>
    </w:p>
    <w:p w14:paraId="6B53DBA5" w14:textId="77777777" w:rsidR="00890E1B" w:rsidRPr="004513DD" w:rsidRDefault="00890E1B" w:rsidP="00890E1B">
      <w:pPr>
        <w:widowControl w:val="0"/>
        <w:autoSpaceDE w:val="0"/>
        <w:autoSpaceDN w:val="0"/>
        <w:spacing w:after="0" w:line="276" w:lineRule="auto"/>
        <w:jc w:val="both"/>
        <w:rPr>
          <w:rFonts w:ascii="Verdana" w:hAnsi="Verdana"/>
        </w:rPr>
      </w:pPr>
    </w:p>
    <w:p w14:paraId="0B1E3DAF" w14:textId="77777777" w:rsidR="00890E1B" w:rsidRPr="008018E1" w:rsidRDefault="00890E1B" w:rsidP="00890E1B"/>
    <w:p w14:paraId="7B7A3467" w14:textId="77777777" w:rsidR="00890E1B" w:rsidRDefault="00890E1B" w:rsidP="005F4C77">
      <w:pPr>
        <w:rPr>
          <w:rFonts w:ascii="Verdana" w:hAnsi="Verdana"/>
        </w:rPr>
      </w:pPr>
    </w:p>
    <w:sectPr w:rsidR="00890E1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CA908" w14:textId="77777777" w:rsidR="009E3E0D" w:rsidRDefault="009E3E0D" w:rsidP="004A1847">
      <w:pPr>
        <w:spacing w:after="0" w:line="240" w:lineRule="auto"/>
      </w:pPr>
      <w:r>
        <w:separator/>
      </w:r>
    </w:p>
  </w:endnote>
  <w:endnote w:type="continuationSeparator" w:id="0">
    <w:p w14:paraId="5346ECEE" w14:textId="77777777" w:rsidR="009E3E0D" w:rsidRDefault="009E3E0D" w:rsidP="004A1847">
      <w:pPr>
        <w:spacing w:after="0" w:line="240" w:lineRule="auto"/>
      </w:pPr>
      <w:r>
        <w:continuationSeparator/>
      </w:r>
    </w:p>
  </w:endnote>
  <w:endnote w:type="continuationNotice" w:id="1">
    <w:p w14:paraId="0432A504" w14:textId="77777777" w:rsidR="009E3E0D" w:rsidRDefault="009E3E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A0825" w14:textId="77777777" w:rsidR="009E3E0D" w:rsidRDefault="009E3E0D" w:rsidP="004A1847">
      <w:pPr>
        <w:spacing w:after="0" w:line="240" w:lineRule="auto"/>
      </w:pPr>
      <w:r>
        <w:separator/>
      </w:r>
    </w:p>
  </w:footnote>
  <w:footnote w:type="continuationSeparator" w:id="0">
    <w:p w14:paraId="3450A35F" w14:textId="77777777" w:rsidR="009E3E0D" w:rsidRDefault="009E3E0D" w:rsidP="004A1847">
      <w:pPr>
        <w:spacing w:after="0" w:line="240" w:lineRule="auto"/>
      </w:pPr>
      <w:r>
        <w:continuationSeparator/>
      </w:r>
    </w:p>
  </w:footnote>
  <w:footnote w:type="continuationNotice" w:id="1">
    <w:p w14:paraId="2EE84962" w14:textId="77777777" w:rsidR="009E3E0D" w:rsidRDefault="009E3E0D">
      <w:pPr>
        <w:spacing w:after="0" w:line="240" w:lineRule="auto"/>
      </w:pPr>
    </w:p>
  </w:footnote>
  <w:footnote w:id="2">
    <w:p w14:paraId="20597615" w14:textId="77777777" w:rsidR="00890E1B" w:rsidRPr="00D42A84" w:rsidRDefault="00890E1B" w:rsidP="00890E1B">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Gaceta del Congreso de la República No. 71 del 2005.</w:t>
      </w:r>
    </w:p>
    <w:p w14:paraId="2313D1DB" w14:textId="77777777" w:rsidR="00890E1B" w:rsidRPr="00D42A84" w:rsidRDefault="00890E1B" w:rsidP="00890E1B">
      <w:pPr>
        <w:pStyle w:val="Textonotapie"/>
        <w:ind w:firstLine="709"/>
        <w:rPr>
          <w:rFonts w:ascii="Verdana" w:hAnsi="Verdana" w:cs="Arial"/>
          <w:sz w:val="16"/>
          <w:szCs w:val="16"/>
        </w:rPr>
      </w:pPr>
    </w:p>
  </w:footnote>
  <w:footnote w:id="3">
    <w:p w14:paraId="4A668A50" w14:textId="77777777" w:rsidR="00890E1B" w:rsidRDefault="00890E1B" w:rsidP="00890E1B">
      <w:pPr>
        <w:pStyle w:val="Textonotapie"/>
        <w:ind w:firstLine="709"/>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Corte Constitucional, Sentencia C- 1153 de 2005, M.P. Marco Gerardo Monroy Cabra.</w:t>
      </w:r>
    </w:p>
    <w:p w14:paraId="5AD4EB0A" w14:textId="77777777" w:rsidR="00890E1B" w:rsidRPr="002817AD" w:rsidRDefault="00890E1B" w:rsidP="00890E1B">
      <w:pPr>
        <w:pStyle w:val="Textonotapie"/>
        <w:ind w:firstLine="709"/>
        <w:rPr>
          <w:rFonts w:ascii="Verdana" w:hAnsi="Verdana" w:cs="Arial"/>
          <w:sz w:val="16"/>
          <w:szCs w:val="16"/>
        </w:rPr>
      </w:pPr>
    </w:p>
  </w:footnote>
  <w:footnote w:id="4">
    <w:p w14:paraId="3549BF84" w14:textId="77777777" w:rsidR="00890E1B" w:rsidRPr="00D42A84" w:rsidRDefault="00890E1B" w:rsidP="00890E1B">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6944FF78" w14:textId="77777777" w:rsidR="00890E1B" w:rsidRPr="00D42A84" w:rsidRDefault="00890E1B" w:rsidP="00890E1B">
      <w:pPr>
        <w:pStyle w:val="Textonotapie"/>
        <w:ind w:firstLine="709"/>
        <w:jc w:val="both"/>
        <w:rPr>
          <w:rFonts w:ascii="Verdana" w:hAnsi="Verdana" w:cs="Arial"/>
          <w:sz w:val="16"/>
          <w:szCs w:val="16"/>
        </w:rPr>
      </w:pPr>
    </w:p>
  </w:footnote>
  <w:footnote w:id="5">
    <w:p w14:paraId="17099A9A" w14:textId="77777777" w:rsidR="00890E1B" w:rsidRPr="00D42A84" w:rsidRDefault="00890E1B" w:rsidP="00890E1B">
      <w:pPr>
        <w:pStyle w:val="Textonotapie"/>
        <w:ind w:firstLine="709"/>
        <w:jc w:val="both"/>
        <w:rPr>
          <w:rFonts w:ascii="Verdana" w:hAnsi="Verdana" w:cs="Arial"/>
          <w:sz w:val="16"/>
          <w:szCs w:val="16"/>
          <w:lang w:val="es-CO"/>
        </w:rPr>
      </w:pPr>
      <w:r w:rsidRPr="00D42A84">
        <w:rPr>
          <w:rStyle w:val="Refdenotaalpie"/>
          <w:rFonts w:ascii="Verdana" w:hAnsi="Verdana" w:cs="Arial"/>
          <w:sz w:val="16"/>
          <w:szCs w:val="16"/>
        </w:rPr>
        <w:footnoteRef/>
      </w:r>
      <w:r w:rsidRPr="00D42A84">
        <w:rPr>
          <w:rFonts w:ascii="Verdana" w:hAnsi="Verdana" w:cs="Arial"/>
          <w:sz w:val="16"/>
          <w:szCs w:val="16"/>
          <w:lang w:val="es-CO"/>
        </w:rPr>
        <w:t xml:space="preserve"> Consejo de Estado. Sala de lo Contencioso Administrativo. Sección Primera. Sentencia de 3 de marzo de 2005. Radicado: 25001-23-15-000-2004-00823-01 (PI). C.P: Camilo Arciniegas Andrade. Ver también, Consejo de Estado. Sala de lo Contencioso Administrativo. Sección Tercera. Sentencia de 22 de enero de 2002. Radicado: 2001-0148-01 y, Consejo de Estado. Sala de lo Contencioso Administrativo. Sección Tercera. Sentencia de 20 de noviembre de 2001. Radicado: 2001-0130-01(PI), entre otras.</w:t>
      </w:r>
    </w:p>
    <w:p w14:paraId="667CD105" w14:textId="77777777" w:rsidR="00890E1B" w:rsidRPr="00D42A84" w:rsidRDefault="00890E1B" w:rsidP="00890E1B">
      <w:pPr>
        <w:pStyle w:val="Textonotapie"/>
        <w:ind w:firstLine="709"/>
        <w:jc w:val="both"/>
        <w:rPr>
          <w:rFonts w:ascii="Verdana" w:hAnsi="Verdana" w:cs="Arial"/>
          <w:sz w:val="16"/>
          <w:szCs w:val="16"/>
          <w:lang w:val="es-CO"/>
        </w:rPr>
      </w:pPr>
    </w:p>
  </w:footnote>
  <w:footnote w:id="6">
    <w:p w14:paraId="5D6BAD2B" w14:textId="77777777" w:rsidR="00890E1B" w:rsidRPr="002817AD" w:rsidRDefault="00890E1B" w:rsidP="00890E1B">
      <w:pPr>
        <w:pStyle w:val="Textonotapie"/>
        <w:ind w:firstLine="709"/>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Consejo de Estado, Sala de Consulta y Servicio Civil de fecha 24 de julio de 2013, radicado 2166, Consejero Ponente: Álvaro Namén Vargas</w:t>
      </w:r>
      <w:r w:rsidRPr="002817AD">
        <w:rPr>
          <w:rFonts w:ascii="Verdana" w:hAnsi="Verdana" w:cs="Arial"/>
          <w:sz w:val="16"/>
          <w:szCs w:val="16"/>
        </w:rPr>
        <w:t xml:space="preserve">.  </w:t>
      </w:r>
    </w:p>
    <w:p w14:paraId="06DF2A3C" w14:textId="77777777" w:rsidR="00890E1B" w:rsidRPr="002817AD" w:rsidRDefault="00890E1B" w:rsidP="00890E1B">
      <w:pPr>
        <w:pStyle w:val="Textonotapie"/>
        <w:ind w:firstLine="709"/>
        <w:jc w:val="both"/>
        <w:rPr>
          <w:rFonts w:ascii="Verdana" w:hAnsi="Verdana" w:cs="Arial"/>
          <w:sz w:val="16"/>
          <w:szCs w:val="16"/>
        </w:rPr>
      </w:pPr>
    </w:p>
  </w:footnote>
  <w:footnote w:id="7">
    <w:p w14:paraId="3A63EA95" w14:textId="77777777" w:rsidR="00890E1B" w:rsidRPr="00D42A84" w:rsidRDefault="00890E1B" w:rsidP="00890E1B">
      <w:pPr>
        <w:spacing w:after="0" w:line="240" w:lineRule="auto"/>
        <w:ind w:firstLine="709"/>
        <w:jc w:val="both"/>
        <w:rPr>
          <w:rFonts w:ascii="Verdana" w:eastAsia="Times New Roman"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2" w:name="33"/>
      <w:r w:rsidRPr="00D42A84">
        <w:rPr>
          <w:rFonts w:ascii="Verdana" w:eastAsia="Times New Roman" w:hAnsi="Verdana" w:cs="Arial"/>
          <w:sz w:val="16"/>
          <w:szCs w:val="16"/>
        </w:rPr>
        <w:t>Artículo 33. Restricciones a la contratación pública.</w:t>
      </w:r>
      <w:bookmarkEnd w:id="2"/>
      <w:r w:rsidRPr="00D42A84">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262B251B" w14:textId="77777777" w:rsidR="00890E1B" w:rsidRPr="00D42A84" w:rsidRDefault="00890E1B" w:rsidP="00890E1B">
      <w:pPr>
        <w:spacing w:after="0" w:line="240" w:lineRule="auto"/>
        <w:ind w:firstLine="709"/>
        <w:jc w:val="both"/>
        <w:rPr>
          <w:rFonts w:ascii="Verdana" w:eastAsia="Times New Roman" w:hAnsi="Verdana" w:cs="Arial"/>
          <w:sz w:val="16"/>
          <w:szCs w:val="16"/>
        </w:rPr>
      </w:pPr>
    </w:p>
    <w:p w14:paraId="603B4184" w14:textId="77777777" w:rsidR="00890E1B" w:rsidRPr="00D42A84" w:rsidRDefault="00890E1B" w:rsidP="00890E1B">
      <w:pPr>
        <w:spacing w:after="0" w:line="240" w:lineRule="auto"/>
        <w:ind w:firstLine="709"/>
        <w:jc w:val="both"/>
        <w:rPr>
          <w:rFonts w:ascii="Verdana" w:eastAsia="Times New Roman" w:hAnsi="Verdana" w:cs="Arial"/>
          <w:sz w:val="16"/>
          <w:szCs w:val="16"/>
        </w:rPr>
      </w:pPr>
      <w:r w:rsidRPr="00D42A84">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C4D5472" w14:textId="77777777" w:rsidR="00890E1B" w:rsidRPr="00D42A84" w:rsidRDefault="00890E1B" w:rsidP="00890E1B">
      <w:pPr>
        <w:spacing w:after="0" w:line="240" w:lineRule="auto"/>
        <w:ind w:firstLine="709"/>
        <w:jc w:val="both"/>
        <w:rPr>
          <w:rFonts w:ascii="Verdana" w:eastAsia="Times New Roman" w:hAnsi="Verdana" w:cs="Arial"/>
          <w:sz w:val="16"/>
          <w:szCs w:val="16"/>
        </w:rPr>
      </w:pPr>
    </w:p>
  </w:footnote>
  <w:footnote w:id="8">
    <w:p w14:paraId="1DAD7E0C" w14:textId="77777777" w:rsidR="00890E1B" w:rsidRDefault="00890E1B" w:rsidP="00890E1B">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r w:rsidRPr="00D42A84">
        <w:rPr>
          <w:rFonts w:ascii="Verdana" w:hAnsi="Verdana" w:cs="Arial"/>
          <w:sz w:val="16"/>
          <w:szCs w:val="16"/>
          <w:lang w:val="es-ES"/>
        </w:rPr>
        <w:t xml:space="preserve">[25] </w:t>
      </w:r>
      <w:r w:rsidRPr="00D42A84">
        <w:rPr>
          <w:rFonts w:ascii="Verdana" w:hAnsi="Verdana" w:cs="Arial"/>
          <w:sz w:val="16"/>
          <w:szCs w:val="16"/>
        </w:rPr>
        <w:t>Cfr. Consejo de Estado. Sección Tercera. Sentencia de 3 de diciembre de 2007. Radicados: 24.715, 25.206, 25.409, 24.524, 27.834, 25.410, 26.105, 28.244, 31.447 -acumulados-”.</w:t>
      </w:r>
    </w:p>
    <w:p w14:paraId="23C943AA" w14:textId="77777777" w:rsidR="00890E1B" w:rsidRPr="00D42A84" w:rsidRDefault="00890E1B" w:rsidP="00890E1B">
      <w:pPr>
        <w:pStyle w:val="Textonotapie"/>
        <w:ind w:right="51" w:firstLine="709"/>
        <w:contextualSpacing/>
        <w:jc w:val="both"/>
        <w:rPr>
          <w:rFonts w:ascii="Verdana" w:hAnsi="Verdana" w:cs="Arial"/>
          <w:sz w:val="16"/>
          <w:szCs w:val="16"/>
        </w:rPr>
      </w:pPr>
    </w:p>
  </w:footnote>
  <w:footnote w:id="9">
    <w:p w14:paraId="7B359829" w14:textId="77777777" w:rsidR="00890E1B" w:rsidRPr="00D42A84" w:rsidRDefault="00890E1B" w:rsidP="00890E1B">
      <w:pPr>
        <w:pStyle w:val="Textonotapie"/>
        <w:ind w:right="51" w:firstLine="709"/>
        <w:contextualSpacing/>
        <w:jc w:val="both"/>
        <w:rPr>
          <w:rFonts w:ascii="Verdana" w:hAnsi="Verdana" w:cs="Arial"/>
          <w:sz w:val="16"/>
          <w:szCs w:val="16"/>
        </w:rPr>
      </w:pPr>
      <w:r w:rsidRPr="00D42A84">
        <w:rPr>
          <w:rStyle w:val="Refdenotaalpie"/>
          <w:rFonts w:ascii="Verdana" w:hAnsi="Verdana" w:cs="Arial"/>
          <w:sz w:val="16"/>
          <w:szCs w:val="16"/>
        </w:rPr>
        <w:footnoteRef/>
      </w:r>
      <w:r w:rsidRPr="00D42A84">
        <w:rPr>
          <w:rFonts w:ascii="Verdana" w:hAnsi="Verdana" w:cs="Arial"/>
          <w:sz w:val="16"/>
          <w:szCs w:val="16"/>
        </w:rPr>
        <w:t xml:space="preserve"> </w:t>
      </w:r>
      <w:bookmarkStart w:id="5" w:name="_Hlk74294506"/>
      <w:r w:rsidRPr="00D42A84">
        <w:rPr>
          <w:rFonts w:ascii="Verdana" w:hAnsi="Verdana" w:cs="Arial"/>
          <w:sz w:val="16"/>
          <w:szCs w:val="16"/>
        </w:rPr>
        <w:t>“</w:t>
      </w:r>
      <w:r>
        <w:rPr>
          <w:rFonts w:ascii="Verdana" w:hAnsi="Verdana" w:cs="Arial"/>
          <w:sz w:val="16"/>
          <w:szCs w:val="16"/>
        </w:rPr>
        <w:t>(</w:t>
      </w:r>
      <w:r w:rsidRPr="00D42A84">
        <w:rPr>
          <w:rFonts w:ascii="Verdana" w:hAnsi="Verdana" w:cs="Arial"/>
          <w:sz w:val="16"/>
          <w:szCs w:val="16"/>
          <w:lang w:val="es-ES"/>
        </w:rPr>
        <w:t>26</w:t>
      </w:r>
      <w:r>
        <w:rPr>
          <w:rFonts w:ascii="Verdana" w:hAnsi="Verdana" w:cs="Arial"/>
          <w:sz w:val="16"/>
          <w:szCs w:val="16"/>
          <w:lang w:val="es-ES"/>
        </w:rPr>
        <w:t>)</w:t>
      </w:r>
      <w:r w:rsidRPr="00D42A84">
        <w:rPr>
          <w:rFonts w:ascii="Verdana" w:hAnsi="Verdana" w:cs="Arial"/>
          <w:sz w:val="16"/>
          <w:szCs w:val="16"/>
          <w:lang w:val="es-ES"/>
        </w:rPr>
        <w:t xml:space="preserve"> </w:t>
      </w:r>
      <w:bookmarkEnd w:id="5"/>
      <w:r w:rsidRPr="00D42A84">
        <w:rPr>
          <w:rFonts w:ascii="Verdana" w:hAnsi="Verdana" w:cs="Arial"/>
          <w:sz w:val="16"/>
          <w:szCs w:val="16"/>
        </w:rPr>
        <w:t>Al respecto ver el concepto 1712 de 2 de febrero de 2006. Consejo de Estado Sala de Consulta y Servicio Civil”.</w:t>
      </w:r>
    </w:p>
    <w:p w14:paraId="521B6111" w14:textId="77777777" w:rsidR="00890E1B" w:rsidRPr="00B93D47" w:rsidRDefault="00890E1B" w:rsidP="00890E1B">
      <w:pPr>
        <w:pStyle w:val="Textonotapie"/>
        <w:ind w:right="51" w:firstLine="709"/>
        <w:contextualSpacing/>
        <w:jc w:val="both"/>
        <w:rPr>
          <w:rFonts w:ascii="Verdana" w:hAnsi="Verdana" w:cs="Arial"/>
          <w:sz w:val="16"/>
          <w:szCs w:val="16"/>
        </w:rPr>
      </w:pPr>
    </w:p>
  </w:footnote>
  <w:footnote w:id="10">
    <w:p w14:paraId="7F67B2E5" w14:textId="77777777" w:rsidR="00890E1B" w:rsidRPr="00B93D47" w:rsidRDefault="00890E1B" w:rsidP="00890E1B">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484706B5" w14:textId="77777777" w:rsidR="00890E1B" w:rsidRPr="00B93D47" w:rsidRDefault="00890E1B" w:rsidP="00890E1B">
      <w:pPr>
        <w:pStyle w:val="Textonotapie"/>
        <w:ind w:firstLine="709"/>
        <w:contextualSpacing/>
        <w:jc w:val="both"/>
        <w:rPr>
          <w:rFonts w:ascii="Verdana" w:hAnsi="Verdana" w:cs="Arial"/>
          <w:sz w:val="16"/>
          <w:szCs w:val="16"/>
        </w:rPr>
      </w:pPr>
    </w:p>
  </w:footnote>
  <w:footnote w:id="11">
    <w:p w14:paraId="67D92FFC" w14:textId="77777777" w:rsidR="00890E1B" w:rsidRPr="00B93D47" w:rsidRDefault="00890E1B" w:rsidP="00890E1B">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12">
    <w:p w14:paraId="1212B569" w14:textId="77777777" w:rsidR="00890E1B" w:rsidRPr="00B93D47" w:rsidRDefault="00890E1B" w:rsidP="00890E1B">
      <w:pPr>
        <w:pStyle w:val="Textonotapie"/>
        <w:ind w:firstLine="709"/>
        <w:contextualSpacing/>
        <w:jc w:val="both"/>
        <w:rPr>
          <w:rFonts w:ascii="Verdana" w:hAnsi="Verdana" w:cs="Arial"/>
          <w:sz w:val="16"/>
          <w:szCs w:val="16"/>
        </w:rPr>
      </w:pPr>
    </w:p>
    <w:p w14:paraId="72C62EF8" w14:textId="77777777" w:rsidR="00890E1B" w:rsidRDefault="00890E1B" w:rsidP="00890E1B">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p w14:paraId="3804D848" w14:textId="77777777" w:rsidR="00890E1B" w:rsidRPr="00B93D47" w:rsidRDefault="00890E1B" w:rsidP="00890E1B">
      <w:pPr>
        <w:pStyle w:val="Textonotapie"/>
        <w:ind w:firstLine="709"/>
        <w:contextualSpacing/>
        <w:jc w:val="both"/>
        <w:rPr>
          <w:rFonts w:ascii="Verdana" w:hAnsi="Verdana" w:cs="Arial"/>
          <w:sz w:val="16"/>
          <w:szCs w:val="16"/>
          <w:lang w:val="es-ES"/>
        </w:rPr>
      </w:pPr>
    </w:p>
  </w:footnote>
  <w:footnote w:id="13">
    <w:p w14:paraId="2CEA031F" w14:textId="77777777" w:rsidR="00890E1B" w:rsidRDefault="00890E1B" w:rsidP="00890E1B">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w:t>
      </w:r>
      <w:r>
        <w:rPr>
          <w:rFonts w:ascii="Verdana" w:hAnsi="Verdana" w:cs="Arial"/>
          <w:sz w:val="16"/>
          <w:szCs w:val="16"/>
          <w:lang w:val="es-ES"/>
        </w:rPr>
        <w:t xml:space="preserve">(…) </w:t>
      </w:r>
      <w:r w:rsidRPr="00B93D47">
        <w:rPr>
          <w:rFonts w:ascii="Verdana" w:hAnsi="Verdana" w:cs="Arial"/>
          <w:sz w:val="16"/>
          <w:szCs w:val="16"/>
          <w:lang w:val="es-ES"/>
        </w:rPr>
        <w:t xml:space="preserve">A este respecto, cabe recordar que el artículo 860 del Código de Comercio regula la licitación en el derecho privado”. </w:t>
      </w:r>
    </w:p>
    <w:p w14:paraId="2886823F" w14:textId="77777777" w:rsidR="00890E1B" w:rsidRPr="00B93D47" w:rsidRDefault="00890E1B" w:rsidP="00890E1B">
      <w:pPr>
        <w:pStyle w:val="Textonotapie"/>
        <w:ind w:firstLine="709"/>
        <w:contextualSpacing/>
        <w:jc w:val="both"/>
        <w:rPr>
          <w:rFonts w:ascii="Verdana" w:hAnsi="Verdana" w:cs="Arial"/>
          <w:sz w:val="16"/>
          <w:szCs w:val="16"/>
          <w:lang w:val="es-ES"/>
        </w:rPr>
      </w:pPr>
    </w:p>
  </w:footnote>
  <w:footnote w:id="14">
    <w:p w14:paraId="4B3F7763" w14:textId="77777777" w:rsidR="00890E1B" w:rsidRPr="00B93D47" w:rsidRDefault="00890E1B" w:rsidP="00890E1B">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5">
    <w:p w14:paraId="5CD3FC43" w14:textId="77777777" w:rsidR="00890E1B" w:rsidRDefault="00890E1B" w:rsidP="00890E1B">
      <w:pPr>
        <w:pStyle w:val="Textonotapie"/>
        <w:contextualSpacing/>
        <w:jc w:val="both"/>
        <w:rPr>
          <w:rFonts w:ascii="Verdana" w:hAnsi="Verdana" w:cs="Arial"/>
          <w:sz w:val="16"/>
          <w:szCs w:val="16"/>
        </w:rPr>
      </w:pPr>
    </w:p>
    <w:p w14:paraId="4B817460" w14:textId="77777777" w:rsidR="00890E1B" w:rsidRDefault="00890E1B" w:rsidP="00890E1B">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Pr>
          <w:rFonts w:ascii="Verdana" w:hAnsi="Verdana" w:cs="Arial"/>
          <w:sz w:val="16"/>
          <w:szCs w:val="16"/>
        </w:rPr>
        <w:t xml:space="preserve">Ibidem </w:t>
      </w:r>
    </w:p>
    <w:p w14:paraId="405A5F24" w14:textId="77777777" w:rsidR="00890E1B" w:rsidRPr="00B93D47" w:rsidRDefault="00890E1B" w:rsidP="00890E1B">
      <w:pPr>
        <w:pStyle w:val="Textonotapie"/>
        <w:ind w:firstLine="709"/>
        <w:contextualSpacing/>
        <w:jc w:val="both"/>
        <w:rPr>
          <w:rFonts w:ascii="Verdana" w:hAnsi="Verdana" w:cs="Arial"/>
          <w:sz w:val="16"/>
          <w:szCs w:val="16"/>
        </w:rPr>
      </w:pPr>
    </w:p>
  </w:footnote>
  <w:footnote w:id="16">
    <w:p w14:paraId="6600C0DE" w14:textId="77777777" w:rsidR="00890E1B" w:rsidRPr="00B93D47" w:rsidRDefault="00890E1B" w:rsidP="00890E1B">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7">
    <w:p w14:paraId="45F3E7DA" w14:textId="77777777" w:rsidR="00890E1B" w:rsidRPr="00B36BA8" w:rsidRDefault="00890E1B" w:rsidP="00890E1B">
      <w:pPr>
        <w:pStyle w:val="Textonotapie"/>
        <w:ind w:firstLine="709"/>
        <w:contextualSpacing/>
        <w:jc w:val="both"/>
        <w:rPr>
          <w:rFonts w:ascii="Verdana" w:hAnsi="Verdana" w:cs="Arial"/>
          <w:sz w:val="18"/>
          <w:szCs w:val="18"/>
        </w:rPr>
      </w:pPr>
      <w:r w:rsidRPr="00B36BA8">
        <w:rPr>
          <w:rStyle w:val="Refdenotaalpie"/>
          <w:rFonts w:ascii="Verdana" w:hAnsi="Verdana"/>
          <w:sz w:val="18"/>
          <w:szCs w:val="18"/>
        </w:rPr>
        <w:footnoteRef/>
      </w:r>
      <w:r w:rsidRPr="00B36BA8">
        <w:rPr>
          <w:rFonts w:ascii="Verdana" w:hAnsi="Verdana"/>
          <w:sz w:val="18"/>
          <w:szCs w:val="18"/>
        </w:rPr>
        <w:t xml:space="preserve"> </w:t>
      </w:r>
      <w:r w:rsidRPr="00B36BA8">
        <w:rPr>
          <w:rFonts w:ascii="Verdana" w:hAnsi="Verdana" w:cs="Arial"/>
          <w:sz w:val="18"/>
          <w:szCs w:val="18"/>
        </w:rPr>
        <w:t>Consejo de Estado -Sección Tercera-. Sentencia del 21 de febrero de 2025. Radicación Número: 68.280. CP: José Roberto Sáchica Méndez.</w:t>
      </w:r>
    </w:p>
    <w:p w14:paraId="391282EB" w14:textId="77777777" w:rsidR="00890E1B" w:rsidRPr="00B36BA8" w:rsidRDefault="00890E1B" w:rsidP="00890E1B">
      <w:pPr>
        <w:pStyle w:val="Textonotapie"/>
        <w:ind w:firstLine="709"/>
        <w:contextualSpacing/>
        <w:jc w:val="both"/>
        <w:rPr>
          <w:rFonts w:ascii="Verdana" w:hAnsi="Verdana" w:cs="Arial"/>
          <w:sz w:val="18"/>
          <w:szCs w:val="18"/>
        </w:rPr>
      </w:pPr>
    </w:p>
  </w:footnote>
  <w:footnote w:id="18">
    <w:p w14:paraId="16353A5B" w14:textId="77777777" w:rsidR="00890E1B" w:rsidRPr="00B36BA8" w:rsidRDefault="00890E1B" w:rsidP="00890E1B">
      <w:pPr>
        <w:pStyle w:val="Textonotapie"/>
        <w:ind w:firstLine="709"/>
        <w:contextualSpacing/>
        <w:jc w:val="both"/>
        <w:rPr>
          <w:rFonts w:ascii="Verdana" w:hAnsi="Verdana" w:cs="Arial"/>
          <w:sz w:val="18"/>
          <w:szCs w:val="18"/>
        </w:rPr>
      </w:pPr>
      <w:r w:rsidRPr="00B36BA8">
        <w:rPr>
          <w:rFonts w:ascii="Verdana" w:hAnsi="Verdana"/>
          <w:sz w:val="18"/>
          <w:szCs w:val="18"/>
          <w:vertAlign w:val="superscript"/>
        </w:rPr>
        <w:footnoteRef/>
      </w:r>
      <w:r w:rsidRPr="00B36BA8">
        <w:rPr>
          <w:rFonts w:ascii="Verdana" w:hAnsi="Verdana"/>
          <w:sz w:val="18"/>
          <w:szCs w:val="18"/>
          <w:vertAlign w:val="superscript"/>
        </w:rPr>
        <w:t xml:space="preserve"> </w:t>
      </w:r>
      <w:r w:rsidRPr="00B36BA8">
        <w:rPr>
          <w:rFonts w:ascii="Verdana" w:hAnsi="Verdana"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30C6564" w14:textId="77777777" w:rsidR="00890E1B" w:rsidRPr="00B36BA8" w:rsidRDefault="00890E1B" w:rsidP="00890E1B">
      <w:pPr>
        <w:pStyle w:val="Textonotapie"/>
        <w:ind w:firstLine="709"/>
        <w:contextualSpacing/>
        <w:jc w:val="both"/>
        <w:rPr>
          <w:rFonts w:ascii="Verdana" w:hAnsi="Verdana" w:cs="Arial"/>
          <w:sz w:val="18"/>
          <w:szCs w:val="18"/>
        </w:rPr>
      </w:pPr>
    </w:p>
  </w:footnote>
  <w:footnote w:id="19">
    <w:p w14:paraId="5D9A66DF" w14:textId="77777777" w:rsidR="00890E1B" w:rsidRPr="00B36BA8" w:rsidRDefault="00890E1B" w:rsidP="00890E1B">
      <w:pPr>
        <w:pStyle w:val="Textonotapie"/>
        <w:ind w:firstLine="709"/>
        <w:contextualSpacing/>
        <w:jc w:val="both"/>
        <w:rPr>
          <w:rFonts w:ascii="Verdana" w:hAnsi="Verdana" w:cs="Arial"/>
          <w:sz w:val="18"/>
          <w:szCs w:val="18"/>
        </w:rPr>
      </w:pPr>
      <w:r w:rsidRPr="00B36BA8">
        <w:rPr>
          <w:rFonts w:ascii="Verdana" w:hAnsi="Verdana"/>
          <w:sz w:val="18"/>
          <w:szCs w:val="18"/>
          <w:vertAlign w:val="superscript"/>
        </w:rPr>
        <w:footnoteRef/>
      </w:r>
      <w:r w:rsidRPr="00B36BA8">
        <w:rPr>
          <w:rFonts w:ascii="Verdana" w:hAnsi="Verdana" w:cs="Arial"/>
          <w:sz w:val="18"/>
          <w:szCs w:val="18"/>
          <w:vertAlign w:val="superscript"/>
        </w:rPr>
        <w:t xml:space="preserve"> </w:t>
      </w:r>
      <w:r w:rsidRPr="00B36BA8">
        <w:rPr>
          <w:rFonts w:ascii="Verdana" w:hAnsi="Verdana" w:cs="Arial"/>
          <w:sz w:val="18"/>
          <w:szCs w:val="18"/>
        </w:rPr>
        <w:t>Ley 80 de 1993: “Artículo 41. Del perfeccionamiento del contrato. Los contratos del Estado se perfeccionan cuando se logre acuerdo sobre el objeto y la contraprestación y éste se eleve a escrito.</w:t>
      </w:r>
    </w:p>
    <w:p w14:paraId="07696609" w14:textId="77777777" w:rsidR="00890E1B" w:rsidRPr="00B36BA8" w:rsidRDefault="00890E1B" w:rsidP="00890E1B">
      <w:pPr>
        <w:pStyle w:val="Textonotapie"/>
        <w:ind w:firstLine="709"/>
        <w:contextualSpacing/>
        <w:jc w:val="both"/>
        <w:rPr>
          <w:rFonts w:ascii="Verdana" w:hAnsi="Verdana" w:cs="Arial"/>
          <w:sz w:val="18"/>
          <w:szCs w:val="18"/>
        </w:rPr>
      </w:pPr>
      <w:r w:rsidRPr="00B36BA8">
        <w:rPr>
          <w:rFonts w:ascii="Verdana" w:hAnsi="Verdana" w:cs="Arial"/>
          <w:sz w:val="18"/>
          <w:szCs w:val="18"/>
        </w:rPr>
        <w:t>[…]”.</w:t>
      </w:r>
    </w:p>
    <w:p w14:paraId="717C25C2" w14:textId="77777777" w:rsidR="00890E1B" w:rsidRPr="00B36BA8" w:rsidRDefault="00890E1B" w:rsidP="00890E1B">
      <w:pPr>
        <w:pStyle w:val="Textonotapie"/>
        <w:ind w:firstLine="709"/>
        <w:contextualSpacing/>
        <w:jc w:val="both"/>
        <w:rPr>
          <w:rFonts w:ascii="Verdana" w:hAnsi="Verdana" w:cs="Arial"/>
          <w:sz w:val="18"/>
          <w:szCs w:val="18"/>
        </w:rPr>
      </w:pPr>
    </w:p>
  </w:footnote>
  <w:footnote w:id="20">
    <w:p w14:paraId="42C1700C" w14:textId="77777777" w:rsidR="00890E1B" w:rsidRPr="00B36BA8" w:rsidRDefault="00890E1B" w:rsidP="00890E1B">
      <w:pPr>
        <w:pStyle w:val="Textonotapie"/>
        <w:ind w:firstLine="709"/>
        <w:contextualSpacing/>
        <w:jc w:val="both"/>
        <w:rPr>
          <w:rFonts w:ascii="Verdana" w:hAnsi="Verdana" w:cs="Arial"/>
          <w:sz w:val="18"/>
          <w:szCs w:val="18"/>
        </w:rPr>
      </w:pPr>
      <w:r w:rsidRPr="00B36BA8">
        <w:rPr>
          <w:rFonts w:ascii="Verdana" w:hAnsi="Verdana"/>
          <w:sz w:val="18"/>
          <w:szCs w:val="18"/>
          <w:vertAlign w:val="superscript"/>
        </w:rPr>
        <w:footnoteRef/>
      </w:r>
      <w:r w:rsidRPr="00B36BA8">
        <w:rPr>
          <w:rFonts w:ascii="Verdana" w:hAnsi="Verdana" w:cs="Arial"/>
          <w:sz w:val="18"/>
          <w:szCs w:val="18"/>
          <w:vertAlign w:val="superscript"/>
        </w:rPr>
        <w:t xml:space="preserve"> </w:t>
      </w:r>
      <w:r w:rsidRPr="00B36BA8">
        <w:rPr>
          <w:rFonts w:ascii="Verdana" w:hAnsi="Verdana" w:cs="Arial"/>
          <w:sz w:val="18"/>
          <w:szCs w:val="18"/>
        </w:rPr>
        <w:t>Código Civil: “Artículo 27. Cuando el sentido de la ley sea claro, no se desatenderá su tenor a pretexto de consultar su espíritu”.</w:t>
      </w:r>
    </w:p>
  </w:footnote>
  <w:footnote w:id="21">
    <w:p w14:paraId="11F45DD8" w14:textId="77777777" w:rsidR="00890E1B" w:rsidRPr="00B36BA8" w:rsidRDefault="00890E1B" w:rsidP="00890E1B">
      <w:pPr>
        <w:pStyle w:val="Textonotapie"/>
        <w:ind w:firstLine="709"/>
        <w:contextualSpacing/>
        <w:jc w:val="both"/>
        <w:rPr>
          <w:rFonts w:ascii="Verdana" w:hAnsi="Verdana"/>
          <w:sz w:val="18"/>
          <w:szCs w:val="18"/>
          <w:lang w:val="es-CO"/>
        </w:rPr>
      </w:pPr>
      <w:r w:rsidRPr="00B36BA8">
        <w:rPr>
          <w:rStyle w:val="Refdenotaalpie"/>
          <w:rFonts w:ascii="Verdana" w:hAnsi="Verdana"/>
          <w:sz w:val="18"/>
          <w:szCs w:val="18"/>
        </w:rPr>
        <w:footnoteRef/>
      </w:r>
      <w:r w:rsidRPr="00B36BA8">
        <w:rPr>
          <w:rFonts w:ascii="Verdana" w:hAnsi="Verdana"/>
          <w:sz w:val="18"/>
          <w:szCs w:val="18"/>
          <w:lang w:val="es-CO"/>
        </w:rPr>
        <w:t xml:space="preserve"> Consejo de Estado, Sección Tercera. Auto del 4 de octubre de 2024. Exp. 70.313. C.P: Fredy Ibarra Martínez.</w:t>
      </w:r>
    </w:p>
  </w:footnote>
  <w:footnote w:id="22">
    <w:p w14:paraId="66C0E702" w14:textId="77777777" w:rsidR="00890E1B" w:rsidRPr="00B36BA8" w:rsidRDefault="00890E1B" w:rsidP="00890E1B">
      <w:pPr>
        <w:pStyle w:val="Textonotapie"/>
        <w:ind w:firstLine="709"/>
        <w:contextualSpacing/>
        <w:jc w:val="both"/>
        <w:rPr>
          <w:rFonts w:ascii="Verdana" w:hAnsi="Verdana"/>
          <w:sz w:val="18"/>
          <w:szCs w:val="18"/>
          <w:lang w:val="es-CO"/>
        </w:rPr>
      </w:pPr>
      <w:r w:rsidRPr="00B36BA8">
        <w:rPr>
          <w:rStyle w:val="Refdenotaalpie"/>
          <w:rFonts w:ascii="Verdana" w:hAnsi="Verdana"/>
          <w:sz w:val="18"/>
          <w:szCs w:val="18"/>
        </w:rPr>
        <w:footnoteRef/>
      </w:r>
      <w:r w:rsidRPr="00B36BA8">
        <w:rPr>
          <w:rFonts w:ascii="Verdana" w:hAnsi="Verdana"/>
          <w:sz w:val="18"/>
          <w:szCs w:val="18"/>
        </w:rPr>
        <w:t xml:space="preserve"> La parte resolutiva del auto dispone lo siguiente; “</w:t>
      </w:r>
      <w:r w:rsidRPr="00B36BA8">
        <w:rPr>
          <w:rFonts w:ascii="Verdana" w:hAnsi="Verdana"/>
          <w:b/>
          <w:sz w:val="18"/>
          <w:szCs w:val="18"/>
          <w:lang w:val="es-CO"/>
        </w:rPr>
        <w:t xml:space="preserve">PRIMERO: DECRETAR </w:t>
      </w:r>
      <w:r w:rsidRPr="00B36BA8">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36BA8">
        <w:rPr>
          <w:rFonts w:ascii="Verdana" w:hAnsi="Verdana"/>
          <w:i/>
          <w:sz w:val="18"/>
          <w:szCs w:val="18"/>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36BA8">
        <w:rPr>
          <w:rFonts w:ascii="Verdana" w:hAnsi="Verdana"/>
          <w:sz w:val="18"/>
          <w:szCs w:val="18"/>
          <w:lang w:val="es-CO"/>
        </w:rPr>
        <w:t xml:space="preserve">, por las razones expuestas en precedencia. </w:t>
      </w:r>
    </w:p>
    <w:p w14:paraId="116B12C5" w14:textId="77777777" w:rsidR="00890E1B" w:rsidRPr="00B36BA8" w:rsidRDefault="00890E1B" w:rsidP="00890E1B">
      <w:pPr>
        <w:pStyle w:val="Textonotapie"/>
        <w:ind w:firstLine="709"/>
        <w:contextualSpacing/>
        <w:jc w:val="both"/>
        <w:rPr>
          <w:rFonts w:ascii="Verdana" w:hAnsi="Verdana"/>
          <w:sz w:val="18"/>
          <w:szCs w:val="18"/>
          <w:lang w:val="es-CO"/>
        </w:rPr>
      </w:pPr>
      <w:r w:rsidRPr="00B36BA8">
        <w:rPr>
          <w:rFonts w:ascii="Verdana" w:hAnsi="Verdana"/>
          <w:b/>
          <w:sz w:val="18"/>
          <w:szCs w:val="18"/>
          <w:lang w:val="es-CO"/>
        </w:rPr>
        <w:t xml:space="preserve">SEGUNDO: DECRETAR </w:t>
      </w:r>
      <w:r w:rsidRPr="00B36BA8">
        <w:rPr>
          <w:rFonts w:ascii="Verdana" w:hAnsi="Verdana"/>
          <w:sz w:val="18"/>
          <w:szCs w:val="18"/>
          <w:lang w:val="es-CO"/>
        </w:rPr>
        <w:t>la suspensión provisional de la expresión “</w:t>
      </w:r>
      <w:r w:rsidRPr="00B36BA8">
        <w:rPr>
          <w:rFonts w:ascii="Verdana" w:hAnsi="Verdana"/>
          <w:i/>
          <w:sz w:val="18"/>
          <w:szCs w:val="18"/>
          <w:lang w:val="es-CO"/>
        </w:rPr>
        <w:t>contratos</w:t>
      </w:r>
      <w:r w:rsidRPr="00B36BA8">
        <w:rPr>
          <w:rFonts w:ascii="Verdana" w:hAnsi="Verdana"/>
          <w:sz w:val="18"/>
          <w:szCs w:val="18"/>
          <w:lang w:val="es-CO"/>
        </w:rPr>
        <w:t xml:space="preserve">” y del párrafo </w:t>
      </w:r>
      <w:r w:rsidRPr="00B36BA8">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36BA8">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3">
    <w:p w14:paraId="53BBB747" w14:textId="77777777" w:rsidR="00890E1B" w:rsidRPr="00B36BA8" w:rsidRDefault="00890E1B" w:rsidP="00890E1B">
      <w:pPr>
        <w:spacing w:after="0" w:line="240" w:lineRule="auto"/>
        <w:ind w:firstLine="709"/>
        <w:contextualSpacing/>
        <w:jc w:val="both"/>
        <w:rPr>
          <w:rFonts w:ascii="Verdana" w:eastAsia="Times New Roman" w:hAnsi="Verdana" w:cs="Times New Roman"/>
          <w:sz w:val="18"/>
          <w:szCs w:val="18"/>
          <w:lang w:eastAsia="es-ES"/>
        </w:rPr>
      </w:pPr>
      <w:r w:rsidRPr="00B36BA8">
        <w:rPr>
          <w:rStyle w:val="Refdenotaalpie"/>
          <w:rFonts w:ascii="Verdana" w:hAnsi="Verdana"/>
          <w:sz w:val="18"/>
          <w:szCs w:val="18"/>
        </w:rPr>
        <w:footnoteRef/>
      </w:r>
      <w:r w:rsidRPr="00B36BA8">
        <w:rPr>
          <w:rFonts w:ascii="Verdana" w:hAnsi="Verdana"/>
          <w:sz w:val="18"/>
          <w:szCs w:val="18"/>
        </w:rPr>
        <w:t xml:space="preserve"> </w:t>
      </w:r>
      <w:r w:rsidRPr="00B36BA8">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B36BA8">
        <w:rPr>
          <w:rFonts w:ascii="Verdana" w:hAnsi="Verdana"/>
          <w:sz w:val="18"/>
          <w:szCs w:val="18"/>
        </w:rPr>
        <w:t xml:space="preserve">La parte de la providencia señala: </w:t>
      </w:r>
      <w:r w:rsidRPr="00B36BA8">
        <w:rPr>
          <w:rFonts w:ascii="Verdana" w:eastAsia="Times New Roman" w:hAnsi="Verdana" w:cs="Times New Roman"/>
          <w:sz w:val="18"/>
          <w:szCs w:val="18"/>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637302F8" w14:textId="77777777" w:rsidR="00890E1B" w:rsidRPr="00B36BA8" w:rsidRDefault="00890E1B" w:rsidP="00890E1B">
      <w:pPr>
        <w:spacing w:after="0" w:line="240" w:lineRule="auto"/>
        <w:ind w:firstLine="709"/>
        <w:contextualSpacing/>
        <w:jc w:val="both"/>
        <w:rPr>
          <w:rFonts w:ascii="Verdana" w:eastAsia="Times New Roman" w:hAnsi="Verdana" w:cs="Times New Roman"/>
          <w:sz w:val="18"/>
          <w:szCs w:val="18"/>
          <w:lang w:eastAsia="es-ES"/>
        </w:rPr>
      </w:pPr>
    </w:p>
  </w:footnote>
  <w:footnote w:id="24">
    <w:p w14:paraId="4E45DEAD" w14:textId="77777777" w:rsidR="00890E1B" w:rsidRPr="00454929" w:rsidRDefault="00890E1B" w:rsidP="00890E1B">
      <w:pPr>
        <w:pStyle w:val="Textonotapie"/>
        <w:ind w:firstLine="709"/>
        <w:rPr>
          <w:rFonts w:ascii="Verdana" w:hAnsi="Verdana"/>
          <w:sz w:val="16"/>
          <w:szCs w:val="16"/>
          <w:lang w:val="es-CO"/>
        </w:rPr>
      </w:pPr>
      <w:r w:rsidRPr="00B36BA8">
        <w:rPr>
          <w:rStyle w:val="Refdenotaalpie"/>
          <w:rFonts w:ascii="Verdana" w:hAnsi="Verdana"/>
          <w:sz w:val="18"/>
          <w:szCs w:val="18"/>
        </w:rPr>
        <w:footnoteRef/>
      </w:r>
      <w:r w:rsidRPr="00B36BA8">
        <w:rPr>
          <w:rFonts w:ascii="Verdana" w:hAnsi="Verdana"/>
          <w:sz w:val="18"/>
          <w:szCs w:val="18"/>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5">
    <w:p w14:paraId="697C72FA" w14:textId="77777777" w:rsidR="00890E1B" w:rsidRPr="00B47839" w:rsidRDefault="00890E1B" w:rsidP="00890E1B">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Concepto del 3 de septiembre de 2019, con radicado No. 2201913000006512.</w:t>
      </w:r>
    </w:p>
    <w:p w14:paraId="6653E2BE" w14:textId="77777777" w:rsidR="00890E1B" w:rsidRPr="00B47839" w:rsidRDefault="00890E1B" w:rsidP="00890E1B">
      <w:pPr>
        <w:pStyle w:val="Textonotapie"/>
        <w:ind w:firstLine="708"/>
        <w:jc w:val="both"/>
        <w:rPr>
          <w:rFonts w:ascii="Verdana" w:hAnsi="Verdana" w:cs="Arial"/>
          <w:sz w:val="16"/>
          <w:szCs w:val="16"/>
        </w:rPr>
      </w:pPr>
    </w:p>
  </w:footnote>
  <w:footnote w:id="26">
    <w:p w14:paraId="3B2E91E1" w14:textId="77777777" w:rsidR="00890E1B" w:rsidRPr="00B47839" w:rsidRDefault="00890E1B" w:rsidP="00890E1B">
      <w:pPr>
        <w:pStyle w:val="Textonotapie"/>
        <w:ind w:firstLine="708"/>
        <w:jc w:val="both"/>
        <w:rPr>
          <w:rFonts w:ascii="Verdana" w:hAnsi="Verdana" w:cs="Arial"/>
          <w:sz w:val="16"/>
          <w:szCs w:val="16"/>
        </w:rPr>
      </w:pPr>
      <w:r w:rsidRPr="00B47839">
        <w:rPr>
          <w:rStyle w:val="Refdenotaalpie"/>
          <w:rFonts w:ascii="Verdana" w:hAnsi="Verdana" w:cs="Arial"/>
          <w:sz w:val="16"/>
          <w:szCs w:val="16"/>
        </w:rPr>
        <w:footnoteRef/>
      </w:r>
      <w:r w:rsidRPr="00B47839">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27">
    <w:p w14:paraId="049F2C13" w14:textId="77777777" w:rsidR="00890E1B" w:rsidRPr="00B47839" w:rsidRDefault="00890E1B" w:rsidP="00890E1B">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Cfr. Concepto del 21 de agosto de 2019, dictado dentro del radicado No. 2201913000006047.</w:t>
      </w:r>
    </w:p>
    <w:p w14:paraId="696A8561" w14:textId="77777777" w:rsidR="00890E1B" w:rsidRPr="00B47839" w:rsidRDefault="00890E1B" w:rsidP="00890E1B">
      <w:pPr>
        <w:pStyle w:val="Textonotapie"/>
        <w:ind w:firstLine="708"/>
        <w:jc w:val="both"/>
        <w:rPr>
          <w:rFonts w:ascii="Verdana" w:hAnsi="Verdana" w:cs="Arial"/>
          <w:color w:val="000000" w:themeColor="text1"/>
          <w:sz w:val="16"/>
          <w:szCs w:val="16"/>
        </w:rPr>
      </w:pPr>
    </w:p>
  </w:footnote>
  <w:footnote w:id="28">
    <w:p w14:paraId="368BC816" w14:textId="77777777" w:rsidR="00890E1B" w:rsidRPr="00B47839" w:rsidRDefault="00890E1B" w:rsidP="00890E1B">
      <w:pPr>
        <w:pStyle w:val="Textonotapie"/>
        <w:ind w:firstLine="708"/>
        <w:jc w:val="both"/>
        <w:rPr>
          <w:rFonts w:ascii="Verdana" w:hAnsi="Verdana" w:cs="Arial"/>
          <w:color w:val="000000" w:themeColor="text1"/>
          <w:sz w:val="16"/>
          <w:szCs w:val="16"/>
          <w:lang w:val="es-ES"/>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Concepto del 24 de febrero de 2005. Radicado:1626, C.P. Gloria Duque Hernández.</w:t>
      </w:r>
    </w:p>
  </w:footnote>
  <w:footnote w:id="29">
    <w:p w14:paraId="2B87B269" w14:textId="77777777" w:rsidR="00890E1B" w:rsidRPr="00B47839" w:rsidRDefault="00890E1B" w:rsidP="00890E1B">
      <w:pPr>
        <w:pStyle w:val="Textonotapie"/>
        <w:ind w:firstLine="708"/>
        <w:jc w:val="both"/>
        <w:rPr>
          <w:rFonts w:ascii="Verdana" w:hAnsi="Verdana" w:cs="Arial"/>
          <w:color w:val="000000" w:themeColor="text1"/>
          <w:sz w:val="16"/>
          <w:szCs w:val="16"/>
        </w:rPr>
      </w:pPr>
      <w:r w:rsidRPr="00B47839">
        <w:rPr>
          <w:rStyle w:val="Refdenotaalpie"/>
          <w:rFonts w:ascii="Verdana" w:hAnsi="Verdana" w:cs="Arial"/>
          <w:color w:val="000000" w:themeColor="text1"/>
          <w:sz w:val="16"/>
          <w:szCs w:val="16"/>
        </w:rPr>
        <w:footnoteRef/>
      </w:r>
      <w:r w:rsidRPr="00B47839">
        <w:rPr>
          <w:rFonts w:ascii="Verdana" w:hAnsi="Verdana" w:cs="Arial"/>
          <w:color w:val="000000" w:themeColor="text1"/>
          <w:sz w:val="16"/>
          <w:szCs w:val="16"/>
        </w:rPr>
        <w:t xml:space="preserve"> Decreto 092 de 2017,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B92"/>
    <w:rsid w:val="000D0334"/>
    <w:rsid w:val="000D5DA7"/>
    <w:rsid w:val="000F6486"/>
    <w:rsid w:val="00116940"/>
    <w:rsid w:val="00125105"/>
    <w:rsid w:val="00127233"/>
    <w:rsid w:val="001400CD"/>
    <w:rsid w:val="0015699B"/>
    <w:rsid w:val="0018691B"/>
    <w:rsid w:val="001A04D1"/>
    <w:rsid w:val="001A33BF"/>
    <w:rsid w:val="001E4177"/>
    <w:rsid w:val="001F0B24"/>
    <w:rsid w:val="001F7DC6"/>
    <w:rsid w:val="0022400B"/>
    <w:rsid w:val="002421BB"/>
    <w:rsid w:val="0025796E"/>
    <w:rsid w:val="002630F1"/>
    <w:rsid w:val="002707A2"/>
    <w:rsid w:val="002731D9"/>
    <w:rsid w:val="00284A7F"/>
    <w:rsid w:val="002951A0"/>
    <w:rsid w:val="002962BC"/>
    <w:rsid w:val="002A0574"/>
    <w:rsid w:val="002A093D"/>
    <w:rsid w:val="002A0DD0"/>
    <w:rsid w:val="002A49AC"/>
    <w:rsid w:val="002A64FD"/>
    <w:rsid w:val="002C1DA9"/>
    <w:rsid w:val="002C7A84"/>
    <w:rsid w:val="002E2BF8"/>
    <w:rsid w:val="002E4FD9"/>
    <w:rsid w:val="002F77FD"/>
    <w:rsid w:val="0030657A"/>
    <w:rsid w:val="00322A85"/>
    <w:rsid w:val="00324168"/>
    <w:rsid w:val="00330834"/>
    <w:rsid w:val="003448F4"/>
    <w:rsid w:val="00374F5E"/>
    <w:rsid w:val="00377E3E"/>
    <w:rsid w:val="00382CF7"/>
    <w:rsid w:val="003A779E"/>
    <w:rsid w:val="003D0F4D"/>
    <w:rsid w:val="003D5B0D"/>
    <w:rsid w:val="003E0499"/>
    <w:rsid w:val="003E4F80"/>
    <w:rsid w:val="003E6439"/>
    <w:rsid w:val="003F3941"/>
    <w:rsid w:val="003F437E"/>
    <w:rsid w:val="00406575"/>
    <w:rsid w:val="00414C74"/>
    <w:rsid w:val="0042722E"/>
    <w:rsid w:val="0044528D"/>
    <w:rsid w:val="004513DD"/>
    <w:rsid w:val="00466E39"/>
    <w:rsid w:val="004A1847"/>
    <w:rsid w:val="004A305D"/>
    <w:rsid w:val="004A4F18"/>
    <w:rsid w:val="004F21C4"/>
    <w:rsid w:val="004F685F"/>
    <w:rsid w:val="0054026C"/>
    <w:rsid w:val="005566E8"/>
    <w:rsid w:val="00574867"/>
    <w:rsid w:val="00587F61"/>
    <w:rsid w:val="00591460"/>
    <w:rsid w:val="005A65E0"/>
    <w:rsid w:val="005C3777"/>
    <w:rsid w:val="005C5CDC"/>
    <w:rsid w:val="005D476C"/>
    <w:rsid w:val="005F4C77"/>
    <w:rsid w:val="006200BF"/>
    <w:rsid w:val="006219F8"/>
    <w:rsid w:val="006302F7"/>
    <w:rsid w:val="00646B9F"/>
    <w:rsid w:val="00665D70"/>
    <w:rsid w:val="00685ABA"/>
    <w:rsid w:val="006900D9"/>
    <w:rsid w:val="00706C16"/>
    <w:rsid w:val="0072359F"/>
    <w:rsid w:val="007340C3"/>
    <w:rsid w:val="0074223A"/>
    <w:rsid w:val="007443D5"/>
    <w:rsid w:val="0075235A"/>
    <w:rsid w:val="00756841"/>
    <w:rsid w:val="007649AB"/>
    <w:rsid w:val="00771D0C"/>
    <w:rsid w:val="007833AC"/>
    <w:rsid w:val="007A4F54"/>
    <w:rsid w:val="007B268C"/>
    <w:rsid w:val="007B7171"/>
    <w:rsid w:val="007C0C0F"/>
    <w:rsid w:val="007C3DC2"/>
    <w:rsid w:val="007E5497"/>
    <w:rsid w:val="007F4444"/>
    <w:rsid w:val="00806F5F"/>
    <w:rsid w:val="00820278"/>
    <w:rsid w:val="008258C9"/>
    <w:rsid w:val="00844AE9"/>
    <w:rsid w:val="00856071"/>
    <w:rsid w:val="00867F95"/>
    <w:rsid w:val="008767AE"/>
    <w:rsid w:val="008843B6"/>
    <w:rsid w:val="00886867"/>
    <w:rsid w:val="00890E1B"/>
    <w:rsid w:val="00891928"/>
    <w:rsid w:val="008A446D"/>
    <w:rsid w:val="008B25F1"/>
    <w:rsid w:val="008D0845"/>
    <w:rsid w:val="008D180B"/>
    <w:rsid w:val="008F0EA7"/>
    <w:rsid w:val="00904135"/>
    <w:rsid w:val="00923EEF"/>
    <w:rsid w:val="009419F9"/>
    <w:rsid w:val="009505BD"/>
    <w:rsid w:val="0095685E"/>
    <w:rsid w:val="00961B09"/>
    <w:rsid w:val="00965334"/>
    <w:rsid w:val="0097093E"/>
    <w:rsid w:val="00972822"/>
    <w:rsid w:val="009A0DFA"/>
    <w:rsid w:val="009A1C6F"/>
    <w:rsid w:val="009A4996"/>
    <w:rsid w:val="009B2D26"/>
    <w:rsid w:val="009C71FA"/>
    <w:rsid w:val="009C72E7"/>
    <w:rsid w:val="009C7F7E"/>
    <w:rsid w:val="009D3058"/>
    <w:rsid w:val="009E3E0D"/>
    <w:rsid w:val="009F3A13"/>
    <w:rsid w:val="00A122D3"/>
    <w:rsid w:val="00A14468"/>
    <w:rsid w:val="00A15559"/>
    <w:rsid w:val="00A17F13"/>
    <w:rsid w:val="00A20739"/>
    <w:rsid w:val="00A23AF9"/>
    <w:rsid w:val="00A33C78"/>
    <w:rsid w:val="00A538D4"/>
    <w:rsid w:val="00AB0ADB"/>
    <w:rsid w:val="00AB5073"/>
    <w:rsid w:val="00AC6809"/>
    <w:rsid w:val="00B00C0E"/>
    <w:rsid w:val="00B01B1A"/>
    <w:rsid w:val="00B0381D"/>
    <w:rsid w:val="00B10400"/>
    <w:rsid w:val="00B44A47"/>
    <w:rsid w:val="00B72CD3"/>
    <w:rsid w:val="00B72FFF"/>
    <w:rsid w:val="00BC3D36"/>
    <w:rsid w:val="00BD54A6"/>
    <w:rsid w:val="00BD7F72"/>
    <w:rsid w:val="00BE3625"/>
    <w:rsid w:val="00BF7425"/>
    <w:rsid w:val="00C04FB3"/>
    <w:rsid w:val="00C11D8B"/>
    <w:rsid w:val="00C15139"/>
    <w:rsid w:val="00C330EB"/>
    <w:rsid w:val="00C50D69"/>
    <w:rsid w:val="00C5365C"/>
    <w:rsid w:val="00C754BE"/>
    <w:rsid w:val="00C76B1C"/>
    <w:rsid w:val="00C925AC"/>
    <w:rsid w:val="00CB6357"/>
    <w:rsid w:val="00CC1B26"/>
    <w:rsid w:val="00CF7942"/>
    <w:rsid w:val="00D130A8"/>
    <w:rsid w:val="00D361FD"/>
    <w:rsid w:val="00D423A2"/>
    <w:rsid w:val="00D44E26"/>
    <w:rsid w:val="00D520D8"/>
    <w:rsid w:val="00D63AC2"/>
    <w:rsid w:val="00D7383B"/>
    <w:rsid w:val="00D7788A"/>
    <w:rsid w:val="00D903F5"/>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15F2"/>
    <w:rsid w:val="00EC38A7"/>
    <w:rsid w:val="00EE1AA8"/>
    <w:rsid w:val="00EE3F37"/>
    <w:rsid w:val="00EF3065"/>
    <w:rsid w:val="00F23FEA"/>
    <w:rsid w:val="00F31EDC"/>
    <w:rsid w:val="00F462B3"/>
    <w:rsid w:val="00F5664F"/>
    <w:rsid w:val="00F666C4"/>
    <w:rsid w:val="00F76AFC"/>
    <w:rsid w:val="00FA47C0"/>
    <w:rsid w:val="00FB5DD1"/>
    <w:rsid w:val="00FC2B5D"/>
    <w:rsid w:val="00FC4B69"/>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F4C7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F4C77"/>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173D3D6-0FEC-4D65-9798-FFC1B31F3F6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119</TotalTime>
  <Pages>27</Pages>
  <Words>8733</Words>
  <Characters>48037</Characters>
  <Application>Microsoft Office Word</Application>
  <DocSecurity>0</DocSecurity>
  <Lines>400</Lines>
  <Paragraphs>113</Paragraphs>
  <ScaleCrop>false</ScaleCrop>
  <Company/>
  <LinksUpToDate>false</LinksUpToDate>
  <CharactersWithSpaces>56657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29</cp:revision>
  <cp:lastPrinted>2023-01-10T21:18:00Z</cp:lastPrinted>
  <dcterms:created xsi:type="dcterms:W3CDTF">2026-01-14T16:53:00Z</dcterms:created>
  <dcterms:modified xsi:type="dcterms:W3CDTF">2026-01-15T16:41:00Z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