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391E02" w14:textId="70CDE259" w:rsidR="00056CD6" w:rsidRPr="00056CD6" w:rsidRDefault="00056CD6" w:rsidP="00056CD6">
      <w:pPr>
        <w:pStyle w:val="BodyText"/>
        <w:contextualSpacing/>
        <w:jc w:val="both"/>
        <w:rPr>
          <w:b/>
        </w:rPr>
      </w:pPr>
      <w:bookmarkStart w:id="0" w:name="_Hlk143780582"/>
      <w:r w:rsidRPr="00056CD6">
        <w:rPr>
          <w:b/>
        </w:rPr>
        <w:t>SELECCIÓN OBJETIVA ― Noción y factores de escogencia</w:t>
      </w:r>
    </w:p>
    <w:p w14:paraId="6DF6F19A" w14:textId="77777777" w:rsidR="00056CD6" w:rsidRPr="00056CD6" w:rsidRDefault="00056CD6" w:rsidP="00056CD6">
      <w:pPr>
        <w:pStyle w:val="BodyText"/>
        <w:contextualSpacing/>
        <w:jc w:val="both"/>
        <w:rPr>
          <w:b/>
        </w:rPr>
      </w:pPr>
    </w:p>
    <w:p w14:paraId="43AEE8D4" w14:textId="6378282E" w:rsidR="00056CD6" w:rsidRDefault="00056CD6" w:rsidP="00056CD6">
      <w:pPr>
        <w:pStyle w:val="BodyText"/>
        <w:contextualSpacing/>
        <w:jc w:val="both"/>
        <w:rPr>
          <w:rFonts w:cs="Arial"/>
          <w:color w:val="000000" w:themeColor="text1"/>
          <w:lang w:val="es-ES_tradnl"/>
        </w:rPr>
      </w:pPr>
      <w:r>
        <w:rPr>
          <w:rFonts w:cs="Arial"/>
          <w:color w:val="000000" w:themeColor="text1"/>
          <w:lang w:val="es-ES_tradnl"/>
        </w:rPr>
        <w:t xml:space="preserve">[…] </w:t>
      </w:r>
      <w:r w:rsidRPr="00C94107">
        <w:rPr>
          <w:rFonts w:cs="Arial"/>
          <w:color w:val="000000" w:themeColor="text1"/>
          <w:lang w:val="es-ES_tradnl"/>
        </w:rPr>
        <w:t>se considera objetiva la selección en la cual la escogencia se haga al ofrecimiento más favorable a la Entidad y a los fines que ella busca, sin tener en consideración factores de afecto o de interés y, en general, cualquier clase de motivación subjetiva</w:t>
      </w:r>
      <w:r w:rsidRPr="00C94107">
        <w:rPr>
          <w:rFonts w:cs="Arial"/>
          <w:i/>
          <w:iCs/>
          <w:color w:val="000000" w:themeColor="text1"/>
          <w:lang w:val="es-ES_tradnl"/>
        </w:rPr>
        <w:t>.</w:t>
      </w:r>
      <w:r w:rsidRPr="00C94107">
        <w:rPr>
          <w:rFonts w:cs="Arial"/>
          <w:color w:val="000000" w:themeColor="text1"/>
          <w:lang w:val="es-ES_tradnl"/>
        </w:rPr>
        <w:t xml:space="preserve"> En ese contexto, los factores de escogencia y calificación que establezcan las Entidades en los pliegos de condiciones o en sus documentos equivalentes deberán tener en cuenta, entre otras cuestiones, los criterios establecidos en dicha disposición.</w:t>
      </w:r>
    </w:p>
    <w:p w14:paraId="6F1A0CBE" w14:textId="6013D18E" w:rsidR="00056CD6" w:rsidRDefault="00056CD6" w:rsidP="00056CD6">
      <w:pPr>
        <w:pStyle w:val="BodyText"/>
        <w:contextualSpacing/>
        <w:jc w:val="both"/>
        <w:rPr>
          <w:rFonts w:cs="Arial"/>
          <w:color w:val="000000" w:themeColor="text1"/>
          <w:lang w:val="es-ES_tradnl"/>
        </w:rPr>
      </w:pPr>
      <w:r>
        <w:rPr>
          <w:rFonts w:cs="Arial"/>
          <w:color w:val="000000" w:themeColor="text1"/>
          <w:lang w:val="es-ES_tradnl"/>
        </w:rPr>
        <w:t xml:space="preserve">[…] </w:t>
      </w:r>
      <w:r w:rsidRPr="00056CD6">
        <w:rPr>
          <w:rFonts w:cs="Arial"/>
          <w:color w:val="000000" w:themeColor="text1"/>
          <w:lang w:val="es-ES_tradnl"/>
        </w:rPr>
        <w:t>los criterios habilitantes que determine la Entidad deberán ser adecuados y proporcionales a la naturaleza del contrato a suscribir y a su valor. De esta manera, las condiciones habilitantes que no resulten adecuadas para determinar la idoneidad o capacidad del proponente para cumplir con el objeto del contrato, o que sean desproporcionados frente a este, serán contrarias al deber de selección objetiva.</w:t>
      </w:r>
    </w:p>
    <w:p w14:paraId="07305796" w14:textId="77777777" w:rsidR="00056CD6" w:rsidRPr="00056CD6" w:rsidRDefault="00056CD6" w:rsidP="00056CD6">
      <w:pPr>
        <w:pStyle w:val="BodyText"/>
        <w:contextualSpacing/>
        <w:jc w:val="both"/>
        <w:rPr>
          <w:b/>
        </w:rPr>
      </w:pPr>
    </w:p>
    <w:p w14:paraId="76A71A69" w14:textId="272AF505" w:rsidR="00056CD6" w:rsidRPr="00056CD6" w:rsidRDefault="00056CD6" w:rsidP="00056CD6">
      <w:pPr>
        <w:pStyle w:val="BodyText"/>
        <w:contextualSpacing/>
        <w:jc w:val="both"/>
        <w:rPr>
          <w:b/>
        </w:rPr>
      </w:pPr>
      <w:r w:rsidRPr="00056CD6">
        <w:rPr>
          <w:b/>
        </w:rPr>
        <w:t>REQUISITOS HABILITANTES DE LA LEY 1150 DE 2007 ― Carácter enunciativo</w:t>
      </w:r>
    </w:p>
    <w:p w14:paraId="4969FD9D" w14:textId="77777777" w:rsidR="00933A01" w:rsidRDefault="00933A01" w:rsidP="001A677F">
      <w:pPr>
        <w:pStyle w:val="BodyText"/>
        <w:contextualSpacing/>
        <w:jc w:val="both"/>
        <w:rPr>
          <w:rFonts w:eastAsia="Times New Roman" w:cs="Arial"/>
          <w:lang w:val="es-ES_tradnl" w:eastAsia="es-MX"/>
        </w:rPr>
      </w:pPr>
    </w:p>
    <w:p w14:paraId="1063F7E7" w14:textId="4DEE48C1" w:rsidR="001A677F" w:rsidRDefault="00056CD6" w:rsidP="00933A01">
      <w:pPr>
        <w:pStyle w:val="BodyText"/>
        <w:contextualSpacing/>
        <w:jc w:val="both"/>
        <w:rPr>
          <w:rFonts w:eastAsia="Times New Roman" w:cs="Arial"/>
          <w:lang w:val="es-ES_tradnl" w:eastAsia="es-MX"/>
        </w:rPr>
      </w:pPr>
      <w:r w:rsidRPr="001A4E79">
        <w:rPr>
          <w:rFonts w:eastAsia="Times New Roman" w:cs="Arial"/>
          <w:lang w:val="es-ES_tradnl" w:eastAsia="es-MX"/>
        </w:rPr>
        <w:t>La Agencia Nacional de Contratación Pública</w:t>
      </w:r>
      <w:r>
        <w:rPr>
          <w:rFonts w:eastAsia="Times New Roman" w:cs="Arial"/>
          <w:lang w:val="es-ES_tradnl" w:eastAsia="es-MX"/>
        </w:rPr>
        <w:t xml:space="preserve"> – Colombia Compra Eficiente</w:t>
      </w:r>
      <w:r w:rsidRPr="001A4E79">
        <w:rPr>
          <w:rFonts w:eastAsia="Times New Roman" w:cs="Arial"/>
          <w:lang w:val="es-ES_tradnl" w:eastAsia="es-MX"/>
        </w:rPr>
        <w:t xml:space="preserve"> ha defendido el carácter enunciativo del listado de los requisitos habilitantes contenidos en el numeral 1 del artículo 5 de la Ley 1150 de 2007, en la medida en que </w:t>
      </w:r>
      <w:r>
        <w:rPr>
          <w:rFonts w:eastAsia="Times New Roman" w:cs="Arial"/>
          <w:lang w:val="es-ES_tradnl" w:eastAsia="es-MX"/>
        </w:rPr>
        <w:t xml:space="preserve">la mencionada </w:t>
      </w:r>
      <w:r w:rsidRPr="001A4E79">
        <w:rPr>
          <w:rFonts w:eastAsia="Times New Roman" w:cs="Arial"/>
          <w:lang w:val="es-ES_tradnl" w:eastAsia="es-MX"/>
        </w:rPr>
        <w:t xml:space="preserve">disposición, al referirse a los requisitos habilitantes, no contiene una expresión como </w:t>
      </w:r>
      <w:r>
        <w:rPr>
          <w:rFonts w:eastAsia="Times New Roman" w:cs="Arial"/>
          <w:lang w:val="es-ES_tradnl" w:eastAsia="es-MX"/>
        </w:rPr>
        <w:t>“</w:t>
      </w:r>
      <w:r w:rsidRPr="001A4E79">
        <w:rPr>
          <w:rFonts w:eastAsia="Times New Roman" w:cs="Arial"/>
          <w:lang w:val="es-ES_tradnl" w:eastAsia="es-MX"/>
        </w:rPr>
        <w:t>únicamente</w:t>
      </w:r>
      <w:r>
        <w:rPr>
          <w:rFonts w:eastAsia="Times New Roman" w:cs="Arial"/>
          <w:lang w:val="es-ES_tradnl" w:eastAsia="es-MX"/>
        </w:rPr>
        <w:t>”</w:t>
      </w:r>
      <w:r w:rsidRPr="001A4E79">
        <w:rPr>
          <w:rFonts w:eastAsia="Times New Roman" w:cs="Arial"/>
          <w:lang w:val="es-ES_tradnl" w:eastAsia="es-MX"/>
        </w:rPr>
        <w:t xml:space="preserve"> o </w:t>
      </w:r>
      <w:r>
        <w:rPr>
          <w:rFonts w:eastAsia="Times New Roman" w:cs="Arial"/>
          <w:lang w:val="es-ES_tradnl" w:eastAsia="es-MX"/>
        </w:rPr>
        <w:t>“</w:t>
      </w:r>
      <w:r w:rsidRPr="001A4E79">
        <w:rPr>
          <w:rFonts w:eastAsia="Times New Roman" w:cs="Arial"/>
          <w:lang w:val="es-ES_tradnl" w:eastAsia="es-MX"/>
        </w:rPr>
        <w:t>solo</w:t>
      </w:r>
      <w:r>
        <w:rPr>
          <w:rFonts w:eastAsia="Times New Roman" w:cs="Arial"/>
          <w:lang w:val="es-ES_tradnl" w:eastAsia="es-MX"/>
        </w:rPr>
        <w:t>”</w:t>
      </w:r>
      <w:r w:rsidRPr="001A4E79">
        <w:rPr>
          <w:rFonts w:eastAsia="Times New Roman" w:cs="Arial"/>
          <w:lang w:val="es-ES_tradnl" w:eastAsia="es-MX"/>
        </w:rPr>
        <w:t xml:space="preserve">, de la que pueda colegirse la taxatividad de los requisitos </w:t>
      </w:r>
      <w:r w:rsidRPr="00C94107">
        <w:rPr>
          <w:rFonts w:eastAsia="Times New Roman" w:cs="Arial"/>
          <w:lang w:val="es-ES_tradnl" w:eastAsia="es-MX"/>
        </w:rPr>
        <w:t>señalados.</w:t>
      </w:r>
      <w:r w:rsidRPr="001A4E79">
        <w:rPr>
          <w:rFonts w:eastAsia="Times New Roman" w:cs="Arial"/>
          <w:lang w:val="es-ES_tradnl" w:eastAsia="es-MX"/>
        </w:rPr>
        <w:t xml:space="preserve"> Esta conclusión además se apoya en una la lectura integral de las normas que regulan la contratación estatal, en virtud de la cual es posible evidenciar que existen otras condiciones que deben cumplirse para la contratación con Entidades </w:t>
      </w:r>
      <w:r>
        <w:rPr>
          <w:rFonts w:eastAsia="Times New Roman" w:cs="Arial"/>
          <w:lang w:val="es-ES_tradnl" w:eastAsia="es-MX"/>
        </w:rPr>
        <w:t>Estatales</w:t>
      </w:r>
      <w:r w:rsidRPr="001A4E79">
        <w:rPr>
          <w:rFonts w:eastAsia="Times New Roman" w:cs="Arial"/>
          <w:lang w:val="es-ES_tradnl" w:eastAsia="es-MX"/>
        </w:rPr>
        <w:t>, de las que derivan requisitos habilitantes, como sucede, por ejemplo, con la capacidad residual a la que se refiere el artículo 6º, parágrafo 1, de la Ley 1150 de 2007</w:t>
      </w:r>
      <w:r>
        <w:rPr>
          <w:rFonts w:eastAsia="Times New Roman" w:cs="Arial"/>
          <w:lang w:val="es-ES_tradnl" w:eastAsia="es-MX"/>
        </w:rPr>
        <w:t>.</w:t>
      </w:r>
    </w:p>
    <w:p w14:paraId="6154CDB3" w14:textId="4FA0DEEA" w:rsidR="001A677F" w:rsidRPr="00933A01" w:rsidRDefault="001A677F" w:rsidP="00056CD6">
      <w:pPr>
        <w:pStyle w:val="BodyText"/>
        <w:contextualSpacing/>
        <w:jc w:val="both"/>
        <w:rPr>
          <w:rFonts w:eastAsia="Times New Roman" w:cs="Arial"/>
          <w:lang w:val="es-ES_tradnl" w:eastAsia="es-MX"/>
        </w:rPr>
      </w:pPr>
      <w:r>
        <w:rPr>
          <w:rFonts w:eastAsia="Times New Roman" w:cs="Arial"/>
          <w:lang w:val="es-ES_tradnl" w:eastAsia="es-MX"/>
        </w:rPr>
        <w:t xml:space="preserve">[…] </w:t>
      </w:r>
      <w:r w:rsidRPr="00C94107">
        <w:rPr>
          <w:rFonts w:eastAsia="Times New Roman" w:cs="Arial"/>
          <w:lang w:eastAsia="es-MX"/>
        </w:rPr>
        <w:t>En ese sentido, las Entidades</w:t>
      </w:r>
      <w:r>
        <w:rPr>
          <w:rFonts w:eastAsia="Times New Roman" w:cs="Arial"/>
          <w:lang w:eastAsia="es-MX"/>
        </w:rPr>
        <w:t xml:space="preserve"> Estatales</w:t>
      </w:r>
      <w:r w:rsidRPr="00C94107">
        <w:rPr>
          <w:rFonts w:eastAsia="Times New Roman" w:cs="Arial"/>
          <w:lang w:eastAsia="es-MX"/>
        </w:rPr>
        <w:t xml:space="preserve"> tienen autonomía para estructurar los requisitos habilitantes en los procesos que adelantan, </w:t>
      </w:r>
      <w:r w:rsidRPr="00C94107">
        <w:rPr>
          <w:rFonts w:eastAsia="Times New Roman" w:cs="Arial"/>
          <w:i/>
          <w:iCs/>
          <w:lang w:eastAsia="es-MX"/>
        </w:rPr>
        <w:t>pero tal facultad no puede ejercerse de forma arbitraria, caprichosa y, mucho menos, con el ánimo de direccionar el proceso de contratación</w:t>
      </w:r>
      <w:r w:rsidRPr="00C94107">
        <w:rPr>
          <w:rFonts w:eastAsia="Times New Roman" w:cs="Arial"/>
          <w:lang w:eastAsia="es-MX"/>
        </w:rPr>
        <w:t xml:space="preserve"> o favorecer a alguno de los proponentes. Tampoco puede suceder que el ejercicio de dicha atribución se haga con desconocimiento de los límites impuestos por la normativa vigente</w:t>
      </w:r>
      <w:r w:rsidR="00933A01">
        <w:rPr>
          <w:rFonts w:eastAsia="Times New Roman" w:cs="Arial"/>
          <w:lang w:eastAsia="es-MX"/>
        </w:rPr>
        <w:t xml:space="preserve"> […]</w:t>
      </w:r>
    </w:p>
    <w:p w14:paraId="66F2C72C" w14:textId="77777777" w:rsidR="00056CD6" w:rsidRPr="00056CD6" w:rsidRDefault="00056CD6" w:rsidP="00056CD6">
      <w:pPr>
        <w:pStyle w:val="BodyText"/>
        <w:contextualSpacing/>
        <w:jc w:val="both"/>
        <w:rPr>
          <w:b/>
        </w:rPr>
      </w:pPr>
    </w:p>
    <w:p w14:paraId="62C76B91" w14:textId="2FC46B9C" w:rsidR="00056CD6" w:rsidRDefault="00056CD6" w:rsidP="00056CD6">
      <w:pPr>
        <w:pStyle w:val="BodyText"/>
        <w:contextualSpacing/>
        <w:jc w:val="both"/>
        <w:rPr>
          <w:b/>
        </w:rPr>
      </w:pPr>
      <w:r w:rsidRPr="00056CD6">
        <w:rPr>
          <w:b/>
        </w:rPr>
        <w:t>REQUISITOS HABILITANTES – Acreditación – RUP – Otros documentos</w:t>
      </w:r>
    </w:p>
    <w:p w14:paraId="4029EFCD" w14:textId="77777777" w:rsidR="001A677F" w:rsidRDefault="001A677F" w:rsidP="00056CD6">
      <w:pPr>
        <w:pStyle w:val="BodyText"/>
        <w:contextualSpacing/>
        <w:jc w:val="both"/>
        <w:rPr>
          <w:b/>
        </w:rPr>
      </w:pPr>
    </w:p>
    <w:p w14:paraId="15FEC202" w14:textId="719B48EA" w:rsidR="001A677F" w:rsidRDefault="001A677F" w:rsidP="00056CD6">
      <w:pPr>
        <w:pStyle w:val="BodyText"/>
        <w:contextualSpacing/>
        <w:jc w:val="both"/>
        <w:rPr>
          <w:rFonts w:cs="Arial"/>
        </w:rPr>
      </w:pPr>
      <w:r w:rsidRPr="001A677F">
        <w:rPr>
          <w:rFonts w:cs="Arial"/>
        </w:rPr>
        <w:t xml:space="preserve">[…] </w:t>
      </w:r>
      <w:r w:rsidRPr="003D0085">
        <w:rPr>
          <w:rFonts w:cs="Arial"/>
        </w:rPr>
        <w:t xml:space="preserve">la capacidad jurídica y las condiciones de experiencia, capacidad financiera y de organización de los proponentes deberán ser verificadas exclusivamente a través del RUP, pues de acuerdo con lo expuesto, este documento es plena prueba de la información financiera, de experiencia y de capacidad acreditada </w:t>
      </w:r>
      <w:r w:rsidRPr="003D0085">
        <w:rPr>
          <w:rFonts w:cs="Arial"/>
        </w:rPr>
        <w:lastRenderedPageBreak/>
        <w:t>por la persona natural o jurídica</w:t>
      </w:r>
      <w:r>
        <w:rPr>
          <w:rFonts w:cs="Arial"/>
        </w:rPr>
        <w:t>.</w:t>
      </w:r>
    </w:p>
    <w:p w14:paraId="2A531EC0" w14:textId="69948FDF" w:rsidR="001A677F" w:rsidRPr="001A677F" w:rsidRDefault="001A677F" w:rsidP="00056CD6">
      <w:pPr>
        <w:pStyle w:val="BodyText"/>
        <w:contextualSpacing/>
        <w:jc w:val="both"/>
        <w:rPr>
          <w:rFonts w:cs="Arial"/>
        </w:rPr>
      </w:pPr>
      <w:r w:rsidRPr="001A677F">
        <w:rPr>
          <w:rFonts w:cs="Arial"/>
        </w:rPr>
        <w:t xml:space="preserve">[…] </w:t>
      </w:r>
      <w:r w:rsidRPr="001A677F">
        <w:rPr>
          <w:rFonts w:cs="Arial"/>
        </w:rPr>
        <w:t>En cualquier caso, en los procedimientos en los cuales no es exigible el RUP, como aquellos que se adelanten mediante la modalidad de mínima cuantía, las Entidades deberán verificar directamente el cumplimiento de los requisitos habilitantes. Para esto, deberá señalar en la invitación, o el documento que haga sus veces, cuál es la información que se debe acreditar, así como los documentos que tendrá como válidos para tal fin. Estos documentos también deberán ser proporcionales y adecuados, pues no podrán imponer barreras injustificadas para la participación en el proceso de selección.</w:t>
      </w:r>
    </w:p>
    <w:p w14:paraId="390BE02A" w14:textId="77777777" w:rsidR="00056CD6" w:rsidRPr="00056CD6" w:rsidRDefault="00056CD6" w:rsidP="00056CD6">
      <w:pPr>
        <w:pStyle w:val="BodyText"/>
        <w:contextualSpacing/>
        <w:jc w:val="both"/>
        <w:rPr>
          <w:b/>
        </w:rPr>
      </w:pPr>
    </w:p>
    <w:p w14:paraId="775B4012" w14:textId="0D755AE6" w:rsidR="00056CD6" w:rsidRPr="00056CD6" w:rsidRDefault="00056CD6" w:rsidP="00056CD6">
      <w:pPr>
        <w:pStyle w:val="BodyText"/>
        <w:contextualSpacing/>
        <w:jc w:val="both"/>
        <w:rPr>
          <w:b/>
        </w:rPr>
      </w:pPr>
      <w:r w:rsidRPr="00056CD6">
        <w:rPr>
          <w:b/>
        </w:rPr>
        <w:t>CAPACIDAD JURÍDICA – Registro Único Tributario – CIIU</w:t>
      </w:r>
    </w:p>
    <w:p w14:paraId="16D56FE1" w14:textId="77777777" w:rsidR="00056CD6" w:rsidRDefault="00056CD6" w:rsidP="00810146">
      <w:pPr>
        <w:spacing w:after="0" w:line="240" w:lineRule="auto"/>
        <w:rPr>
          <w:rFonts w:ascii="Verdana" w:hAnsi="Verdana"/>
        </w:rPr>
      </w:pPr>
    </w:p>
    <w:p w14:paraId="79245A43" w14:textId="564270CD" w:rsidR="001A677F" w:rsidRPr="00933A01" w:rsidRDefault="00933A01" w:rsidP="00933A01">
      <w:pPr>
        <w:spacing w:after="0" w:line="240" w:lineRule="auto"/>
        <w:jc w:val="both"/>
        <w:rPr>
          <w:rFonts w:ascii="Verdana" w:eastAsia="Verdana" w:hAnsi="Verdana" w:cs="Arial"/>
          <w:lang w:val="es-ES"/>
        </w:rPr>
      </w:pPr>
      <w:r w:rsidRPr="00933A01">
        <w:rPr>
          <w:rFonts w:ascii="Verdana" w:eastAsia="Verdana" w:hAnsi="Verdana" w:cs="Arial"/>
          <w:lang w:val="es-ES"/>
        </w:rPr>
        <w:t xml:space="preserve">[…] </w:t>
      </w:r>
      <w:r w:rsidR="001A677F" w:rsidRPr="00933A01">
        <w:rPr>
          <w:rFonts w:ascii="Verdana" w:eastAsia="Verdana" w:hAnsi="Verdana" w:cs="Arial"/>
          <w:lang w:val="es-ES"/>
        </w:rPr>
        <w:t xml:space="preserve">en su calidad de comerciantes, los proponentes deben estar inscritos en el Registro Único Empresarial y Social – en adelante RUES– administrado por las cámaras de comercio y la Entidad deberá verificar que las personas jurídicas tengan dentro de su objeto social actividades relacionadas con el objeto a contratar. En el RUES se encuentra el listado de las actividades económicas que conforman por la empresa, según los códigos de la Clasificación Industrial Internacional Uniforme –CIIU–, en virtud de lo dispuesto en el artículo 11 de la Ley 590 de 2000 y el artículo 166 del Decreto Ley 019 de 2012. </w:t>
      </w:r>
    </w:p>
    <w:p w14:paraId="696B42A0" w14:textId="4E2F5EB9" w:rsidR="00056CD6" w:rsidRDefault="001A677F" w:rsidP="00933A01">
      <w:pPr>
        <w:spacing w:after="0" w:line="240" w:lineRule="auto"/>
        <w:jc w:val="both"/>
        <w:rPr>
          <w:rFonts w:ascii="Verdana" w:eastAsia="Calibri" w:hAnsi="Verdana" w:cs="Arial"/>
          <w:color w:val="000000" w:themeColor="text1"/>
        </w:rPr>
      </w:pPr>
      <w:r w:rsidRPr="00810146">
        <w:rPr>
          <w:rFonts w:ascii="Verdana" w:eastAsia="Calibri" w:hAnsi="Verdana" w:cs="Arial"/>
          <w:color w:val="000000" w:themeColor="text1"/>
        </w:rPr>
        <w:t xml:space="preserve">Sin embargo, ninguna de las normas citadas en este acápite condiciona la capacidad de las </w:t>
      </w:r>
      <w:r w:rsidRPr="00810146">
        <w:rPr>
          <w:rFonts w:ascii="Verdana" w:eastAsia="Calibri" w:hAnsi="Verdana" w:cs="Arial"/>
          <w:i/>
          <w:iCs/>
          <w:color w:val="000000" w:themeColor="text1"/>
        </w:rPr>
        <w:t>personas jurídicas</w:t>
      </w:r>
      <w:r w:rsidRPr="00810146">
        <w:rPr>
          <w:rFonts w:ascii="Verdana" w:eastAsia="Calibri" w:hAnsi="Verdana" w:cs="Arial"/>
          <w:color w:val="000000" w:themeColor="text1"/>
        </w:rPr>
        <w:t xml:space="preserve"> a los códigos mencionados. La </w:t>
      </w:r>
      <w:r w:rsidRPr="00810146">
        <w:rPr>
          <w:rFonts w:ascii="Verdana" w:eastAsia="Times New Roman" w:hAnsi="Verdana" w:cs="Arial"/>
          <w:color w:val="000000" w:themeColor="text1"/>
          <w:lang w:val="es-ES_tradnl" w:eastAsia="es-ES_tradnl"/>
        </w:rPr>
        <w:t>CIIU</w:t>
      </w:r>
      <w:r w:rsidRPr="00810146">
        <w:rPr>
          <w:rFonts w:ascii="Verdana" w:eastAsia="Calibri" w:hAnsi="Verdana" w:cs="Arial"/>
          <w:color w:val="000000" w:themeColor="text1"/>
        </w:rPr>
        <w:t xml:space="preserve"> corresponde a un sistema estandarizado desarrollado por las Naciones Unidas para clasificar las actividades económicas en distintos sectores. Como explica el DANE, su objetivo es facilitar la recopilación, análisis y comparación de datos estadísticos a nivel nacional e internacional</w:t>
      </w:r>
      <w:r w:rsidR="00933A01">
        <w:rPr>
          <w:rFonts w:ascii="Verdana" w:eastAsia="Calibri" w:hAnsi="Verdana" w:cs="Arial"/>
          <w:color w:val="000000" w:themeColor="text1"/>
        </w:rPr>
        <w:t xml:space="preserve"> […]</w:t>
      </w:r>
    </w:p>
    <w:p w14:paraId="528ED60E" w14:textId="77777777" w:rsidR="00933A01" w:rsidRPr="00810146" w:rsidRDefault="00933A01" w:rsidP="00933A01">
      <w:pPr>
        <w:pBdr>
          <w:top w:val="nil"/>
          <w:left w:val="nil"/>
          <w:bottom w:val="nil"/>
          <w:right w:val="nil"/>
          <w:between w:val="nil"/>
        </w:pBdr>
        <w:spacing w:after="120" w:line="240" w:lineRule="auto"/>
        <w:jc w:val="both"/>
        <w:rPr>
          <w:rFonts w:ascii="Verdana" w:eastAsia="Calibri" w:hAnsi="Verdana" w:cs="Arial"/>
          <w:color w:val="000000" w:themeColor="text1"/>
        </w:rPr>
      </w:pPr>
      <w:r w:rsidRPr="00810146">
        <w:rPr>
          <w:rFonts w:ascii="Verdana" w:eastAsia="Calibri" w:hAnsi="Verdana" w:cs="Arial"/>
          <w:color w:val="000000" w:themeColor="text1"/>
        </w:rPr>
        <w:t xml:space="preserve">De esta manera, los códigos del </w:t>
      </w:r>
      <w:r w:rsidRPr="00810146">
        <w:rPr>
          <w:rFonts w:ascii="Verdana" w:eastAsia="Times New Roman" w:hAnsi="Verdana" w:cs="Arial"/>
          <w:color w:val="000000" w:themeColor="text1"/>
          <w:lang w:val="es-ES_tradnl" w:eastAsia="es-ES_tradnl"/>
        </w:rPr>
        <w:t>CIIU</w:t>
      </w:r>
      <w:r w:rsidRPr="00810146">
        <w:rPr>
          <w:rFonts w:ascii="Verdana" w:eastAsia="Calibri" w:hAnsi="Verdana" w:cs="Arial"/>
          <w:color w:val="000000" w:themeColor="text1"/>
        </w:rPr>
        <w:t xml:space="preserve"> tienen efectos declarativos, no constitutivos. Por ello, existe capacidad si el objeto del contrato está relacionado con el objeto social de la </w:t>
      </w:r>
      <w:r w:rsidRPr="00810146">
        <w:rPr>
          <w:rFonts w:ascii="Verdana" w:eastAsia="Calibri" w:hAnsi="Verdana" w:cs="Arial"/>
          <w:i/>
          <w:iCs/>
          <w:color w:val="000000" w:themeColor="text1"/>
        </w:rPr>
        <w:t>persona jurídica</w:t>
      </w:r>
      <w:r w:rsidRPr="00810146">
        <w:rPr>
          <w:rFonts w:ascii="Verdana" w:eastAsia="Calibri" w:hAnsi="Verdana" w:cs="Arial"/>
          <w:color w:val="000000" w:themeColor="text1"/>
        </w:rPr>
        <w:t xml:space="preserve">, y aquella se </w:t>
      </w:r>
      <w:r w:rsidRPr="002C6B47">
        <w:rPr>
          <w:rFonts w:ascii="Verdana" w:eastAsia="Calibri" w:hAnsi="Verdana" w:cs="Arial"/>
          <w:color w:val="000000" w:themeColor="text1"/>
        </w:rPr>
        <w:t>mantiene,</w:t>
      </w:r>
      <w:r w:rsidRPr="00810146">
        <w:rPr>
          <w:rFonts w:ascii="Verdana" w:eastAsia="Calibri" w:hAnsi="Verdana" w:cs="Arial"/>
          <w:color w:val="000000" w:themeColor="text1"/>
        </w:rPr>
        <w:t xml:space="preserve"> aunque la actividad económica no se haya recogido en la clasificación. De la misma forma, si el código registrado es ajeno al objeto social, dicha situación no hace que la empresa adquiera la capacidad para ejecutar esa actividad en particular. Además, en sociedades con objeto indeterminado –como las sociedades por acciones simplificadas– los códigos del </w:t>
      </w:r>
      <w:r w:rsidRPr="00810146">
        <w:rPr>
          <w:rFonts w:ascii="Verdana" w:eastAsia="Times New Roman" w:hAnsi="Verdana" w:cs="Arial"/>
          <w:color w:val="000000" w:themeColor="text1"/>
          <w:lang w:val="es-ES_tradnl" w:eastAsia="es-ES_tradnl"/>
        </w:rPr>
        <w:t xml:space="preserve">CIIU no restringen la capacidad de la </w:t>
      </w:r>
      <w:r w:rsidRPr="00810146">
        <w:rPr>
          <w:rFonts w:ascii="Verdana" w:eastAsia="Times New Roman" w:hAnsi="Verdana" w:cs="Arial"/>
          <w:i/>
          <w:iCs/>
          <w:color w:val="000000" w:themeColor="text1"/>
          <w:lang w:val="es-ES_tradnl" w:eastAsia="es-ES_tradnl"/>
        </w:rPr>
        <w:t>persona jurídica</w:t>
      </w:r>
      <w:r w:rsidRPr="00810146">
        <w:rPr>
          <w:rFonts w:ascii="Verdana" w:eastAsia="Times New Roman" w:hAnsi="Verdana" w:cs="Arial"/>
          <w:color w:val="000000" w:themeColor="text1"/>
          <w:lang w:val="es-ES_tradnl" w:eastAsia="es-ES_tradnl"/>
        </w:rPr>
        <w:t>, ya que –en las condiciones del</w:t>
      </w:r>
      <w:r w:rsidRPr="00810146">
        <w:rPr>
          <w:rFonts w:ascii="Verdana" w:eastAsia="Calibri" w:hAnsi="Verdana" w:cs="Arial"/>
          <w:color w:val="000000" w:themeColor="text1"/>
        </w:rPr>
        <w:t xml:space="preserve"> artículo 5.4 de la Ley 1258 de 2008– </w:t>
      </w:r>
      <w:r w:rsidRPr="00810146">
        <w:rPr>
          <w:rFonts w:ascii="Verdana" w:eastAsia="Times New Roman" w:hAnsi="Verdana" w:cs="Arial"/>
          <w:color w:val="000000" w:themeColor="text1"/>
          <w:lang w:val="es-ES_tradnl" w:eastAsia="es-ES_tradnl"/>
        </w:rPr>
        <w:t>pueden ejecutar cualquier actividad lícita.</w:t>
      </w:r>
      <w:r w:rsidRPr="00810146">
        <w:rPr>
          <w:rFonts w:ascii="Verdana" w:eastAsia="Calibri" w:hAnsi="Verdana" w:cs="Arial"/>
          <w:color w:val="000000" w:themeColor="text1"/>
        </w:rPr>
        <w:t xml:space="preserve"> </w:t>
      </w:r>
    </w:p>
    <w:p w14:paraId="2CFBCA5B" w14:textId="77777777" w:rsidR="00933A01" w:rsidRDefault="00933A01" w:rsidP="00933A01">
      <w:pPr>
        <w:spacing w:after="0" w:line="240" w:lineRule="auto"/>
        <w:rPr>
          <w:rFonts w:ascii="Verdana" w:hAnsi="Verdana"/>
        </w:rPr>
      </w:pPr>
    </w:p>
    <w:p w14:paraId="270552A8" w14:textId="77777777" w:rsidR="00056CD6" w:rsidRDefault="00056CD6" w:rsidP="00810146">
      <w:pPr>
        <w:spacing w:after="0" w:line="240" w:lineRule="auto"/>
        <w:rPr>
          <w:rFonts w:ascii="Verdana" w:hAnsi="Verdana"/>
        </w:rPr>
      </w:pPr>
    </w:p>
    <w:p w14:paraId="57EAF71A" w14:textId="77777777" w:rsidR="00056CD6" w:rsidRDefault="00056CD6" w:rsidP="00810146">
      <w:pPr>
        <w:spacing w:after="0" w:line="240" w:lineRule="auto"/>
        <w:rPr>
          <w:rFonts w:ascii="Verdana" w:hAnsi="Verdana"/>
        </w:rPr>
      </w:pPr>
    </w:p>
    <w:p w14:paraId="36A5C573" w14:textId="77777777" w:rsidR="00056CD6" w:rsidRDefault="00056CD6" w:rsidP="00810146">
      <w:pPr>
        <w:spacing w:after="0" w:line="240" w:lineRule="auto"/>
        <w:rPr>
          <w:rFonts w:ascii="Verdana" w:hAnsi="Verdana"/>
        </w:rPr>
      </w:pPr>
    </w:p>
    <w:p w14:paraId="304D5E24" w14:textId="77777777" w:rsidR="00056CD6" w:rsidRDefault="00056CD6" w:rsidP="00810146">
      <w:pPr>
        <w:spacing w:after="0" w:line="240" w:lineRule="auto"/>
        <w:rPr>
          <w:rFonts w:ascii="Verdana" w:hAnsi="Verdana"/>
        </w:rPr>
      </w:pPr>
    </w:p>
    <w:p w14:paraId="4581DF5E" w14:textId="77777777" w:rsidR="00933A01" w:rsidRDefault="00933A01" w:rsidP="00810146">
      <w:pPr>
        <w:spacing w:after="0" w:line="240" w:lineRule="auto"/>
        <w:rPr>
          <w:rFonts w:ascii="Verdana" w:hAnsi="Verdana"/>
        </w:rPr>
      </w:pPr>
    </w:p>
    <w:p w14:paraId="3FE2184B" w14:textId="61744B84" w:rsidR="00E245AB" w:rsidRPr="0044528D" w:rsidRDefault="00E245AB" w:rsidP="00810146">
      <w:pPr>
        <w:spacing w:after="0" w:line="240" w:lineRule="auto"/>
        <w:rPr>
          <w:rFonts w:ascii="Verdana" w:hAnsi="Verdana"/>
        </w:rPr>
      </w:pPr>
      <w:r w:rsidRPr="0044528D">
        <w:rPr>
          <w:rFonts w:ascii="Verdana" w:hAnsi="Verdana"/>
        </w:rPr>
        <w:lastRenderedPageBreak/>
        <w:t xml:space="preserve">Bogotá D.C., </w:t>
      </w:r>
      <w:r w:rsidR="00810146">
        <w:rPr>
          <w:rFonts w:ascii="Verdana" w:hAnsi="Verdana"/>
        </w:rPr>
        <w:t>25 Marzo 2025</w:t>
      </w:r>
      <w:r w:rsidR="00891928" w:rsidRPr="0044528D">
        <w:rPr>
          <w:rFonts w:ascii="Verdana" w:hAnsi="Verdana"/>
        </w:rPr>
        <w:tab/>
      </w:r>
    </w:p>
    <w:p w14:paraId="5FCADBF9" w14:textId="51C6B15A" w:rsidR="00E245AB" w:rsidRPr="0044528D" w:rsidRDefault="00E245AB" w:rsidP="00810146">
      <w:pPr>
        <w:spacing w:after="0" w:line="240" w:lineRule="auto"/>
        <w:rPr>
          <w:rFonts w:ascii="Verdana" w:hAnsi="Verdana"/>
        </w:rPr>
      </w:pPr>
    </w:p>
    <w:p w14:paraId="2A6C3102" w14:textId="4E8E9A3E" w:rsidR="009E6386" w:rsidRPr="00FE5A24" w:rsidRDefault="00810146" w:rsidP="009E6386">
      <w:pPr>
        <w:spacing w:after="0" w:line="240" w:lineRule="auto"/>
        <w:jc w:val="both"/>
        <w:rPr>
          <w:rFonts w:ascii="Verdana" w:eastAsia="Calibri" w:hAnsi="Verdana" w:cs="Arial"/>
          <w:color w:val="000000" w:themeColor="text1"/>
          <w:lang w:val="es-ES" w:eastAsia="es-ES"/>
        </w:rPr>
      </w:pPr>
      <w:r>
        <w:rPr>
          <w:rFonts w:ascii="Verdana" w:eastAsia="Calibri" w:hAnsi="Verdana" w:cs="Arial"/>
          <w:noProof/>
          <w:color w:val="000000" w:themeColor="text1"/>
          <w:lang w:eastAsia="es-ES"/>
        </w:rPr>
        <w:drawing>
          <wp:anchor distT="0" distB="0" distL="114300" distR="114300" simplePos="0" relativeHeight="251658240" behindDoc="0" locked="0" layoutInCell="1" allowOverlap="1" wp14:anchorId="1CA506D8" wp14:editId="7CD10DEB">
            <wp:simplePos x="0" y="0"/>
            <wp:positionH relativeFrom="column">
              <wp:posOffset>3249257</wp:posOffset>
            </wp:positionH>
            <wp:positionV relativeFrom="paragraph">
              <wp:posOffset>56179</wp:posOffset>
            </wp:positionV>
            <wp:extent cx="2348865" cy="677545"/>
            <wp:effectExtent l="0" t="0" r="635" b="0"/>
            <wp:wrapSquare wrapText="bothSides"/>
            <wp:docPr id="384316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16650" name="Picture 384316650"/>
                    <pic:cNvPicPr/>
                  </pic:nvPicPr>
                  <pic:blipFill>
                    <a:blip r:embed="rId11">
                      <a:extLst>
                        <a:ext uri="{28A0092B-C50C-407E-A947-70E740481C1C}">
                          <a14:useLocalDpi xmlns:a14="http://schemas.microsoft.com/office/drawing/2010/main" val="0"/>
                        </a:ext>
                      </a:extLst>
                    </a:blip>
                    <a:stretch>
                      <a:fillRect/>
                    </a:stretch>
                  </pic:blipFill>
                  <pic:spPr>
                    <a:xfrm>
                      <a:off x="0" y="0"/>
                      <a:ext cx="2348865" cy="677545"/>
                    </a:xfrm>
                    <a:prstGeom prst="rect">
                      <a:avLst/>
                    </a:prstGeom>
                  </pic:spPr>
                </pic:pic>
              </a:graphicData>
            </a:graphic>
            <wp14:sizeRelH relativeFrom="page">
              <wp14:pctWidth>0</wp14:pctWidth>
            </wp14:sizeRelH>
            <wp14:sizeRelV relativeFrom="page">
              <wp14:pctHeight>0</wp14:pctHeight>
            </wp14:sizeRelV>
          </wp:anchor>
        </w:drawing>
      </w:r>
      <w:r w:rsidR="009E6386" w:rsidRPr="00FE5A24">
        <w:rPr>
          <w:rFonts w:ascii="Verdana" w:eastAsia="Calibri" w:hAnsi="Verdana" w:cs="Arial"/>
          <w:color w:val="000000" w:themeColor="text1"/>
          <w:lang w:val="es-ES" w:eastAsia="es-ES"/>
        </w:rPr>
        <w:t>Señor</w:t>
      </w:r>
    </w:p>
    <w:p w14:paraId="13A0D380" w14:textId="5054D251" w:rsidR="009E6386" w:rsidRDefault="009E6386" w:rsidP="009E6386">
      <w:pPr>
        <w:spacing w:after="0" w:line="240" w:lineRule="auto"/>
        <w:rPr>
          <w:rFonts w:ascii="Verdana" w:eastAsia="Calibri" w:hAnsi="Verdana" w:cs="Arial"/>
          <w:b/>
          <w:color w:val="000000" w:themeColor="text1"/>
          <w:lang w:eastAsia="es-ES_tradnl"/>
        </w:rPr>
      </w:pPr>
      <w:r>
        <w:rPr>
          <w:rFonts w:ascii="Verdana" w:eastAsia="Calibri" w:hAnsi="Verdana" w:cs="Arial"/>
          <w:b/>
          <w:color w:val="000000" w:themeColor="text1"/>
          <w:lang w:eastAsia="es-ES_tradnl"/>
        </w:rPr>
        <w:t>José Fabián Sánchez</w:t>
      </w:r>
    </w:p>
    <w:p w14:paraId="1BDE8AB4" w14:textId="6FEF1307" w:rsidR="009E6386" w:rsidRPr="00C94107" w:rsidRDefault="009E6386" w:rsidP="009E6386">
      <w:pPr>
        <w:spacing w:after="0" w:line="240" w:lineRule="auto"/>
        <w:rPr>
          <w:rFonts w:ascii="Verdana" w:eastAsia="Calibri" w:hAnsi="Verdana" w:cs="Arial"/>
          <w:color w:val="000000" w:themeColor="text1"/>
          <w:lang w:eastAsia="es-ES"/>
        </w:rPr>
      </w:pPr>
      <w:hyperlink r:id="rId12" w:history="1">
        <w:r w:rsidRPr="00C94107">
          <w:rPr>
            <w:rStyle w:val="Hyperlink"/>
            <w:rFonts w:ascii="Verdana" w:eastAsia="Calibri" w:hAnsi="Verdana" w:cs="Arial"/>
            <w:lang w:eastAsia="es-ES"/>
          </w:rPr>
          <w:t>jfsanchez93@hotmail.com</w:t>
        </w:r>
      </w:hyperlink>
    </w:p>
    <w:p w14:paraId="437BCD85" w14:textId="77777777" w:rsidR="009E6386" w:rsidRPr="000525E1" w:rsidRDefault="009E6386" w:rsidP="009E6386">
      <w:pPr>
        <w:spacing w:after="0" w:line="240" w:lineRule="auto"/>
        <w:rPr>
          <w:rFonts w:ascii="Verdana" w:eastAsia="Calibri" w:hAnsi="Verdana" w:cs="Arial"/>
          <w:bCs/>
          <w:color w:val="000000" w:themeColor="text1"/>
          <w:lang w:eastAsia="es-ES_tradnl"/>
        </w:rPr>
      </w:pPr>
      <w:proofErr w:type="spellStart"/>
      <w:r w:rsidRPr="000525E1">
        <w:rPr>
          <w:rFonts w:ascii="Verdana" w:eastAsia="Calibri" w:hAnsi="Verdana" w:cs="Arial"/>
          <w:bCs/>
          <w:color w:val="000000" w:themeColor="text1"/>
          <w:lang w:eastAsia="es-ES_tradnl"/>
        </w:rPr>
        <w:t>Cucutilla</w:t>
      </w:r>
      <w:proofErr w:type="spellEnd"/>
      <w:r w:rsidRPr="000525E1">
        <w:rPr>
          <w:rFonts w:ascii="Verdana" w:eastAsia="Calibri" w:hAnsi="Verdana" w:cs="Arial"/>
          <w:bCs/>
          <w:color w:val="000000" w:themeColor="text1"/>
          <w:lang w:eastAsia="es-ES_tradnl"/>
        </w:rPr>
        <w:t xml:space="preserve">, </w:t>
      </w:r>
      <w:r>
        <w:rPr>
          <w:rFonts w:ascii="Verdana" w:eastAsia="Calibri" w:hAnsi="Verdana" w:cs="Arial"/>
          <w:bCs/>
          <w:color w:val="000000" w:themeColor="text1"/>
          <w:lang w:eastAsia="es-ES_tradnl"/>
        </w:rPr>
        <w:t>N</w:t>
      </w:r>
      <w:r w:rsidRPr="000525E1">
        <w:rPr>
          <w:rFonts w:ascii="Verdana" w:eastAsia="Calibri" w:hAnsi="Verdana" w:cs="Arial"/>
          <w:bCs/>
          <w:color w:val="000000" w:themeColor="text1"/>
          <w:lang w:eastAsia="es-ES_tradnl"/>
        </w:rPr>
        <w:t>orte de Santander</w:t>
      </w:r>
    </w:p>
    <w:p w14:paraId="7F882EA5" w14:textId="77777777" w:rsidR="009E6386" w:rsidRPr="00FE5A24" w:rsidRDefault="009E6386" w:rsidP="009E6386">
      <w:pPr>
        <w:spacing w:after="0" w:line="240" w:lineRule="auto"/>
        <w:rPr>
          <w:rFonts w:ascii="Verdana" w:eastAsia="Calibri" w:hAnsi="Verdana" w:cs="Arial"/>
          <w:b/>
          <w:bCs/>
          <w:color w:val="000000" w:themeColor="text1"/>
          <w:lang w:val="es-ES_tradnl" w:eastAsia="es-ES_tradnl"/>
        </w:rPr>
      </w:pPr>
    </w:p>
    <w:p w14:paraId="26726D26" w14:textId="4E58197F" w:rsidR="009E6386" w:rsidRPr="00FE5A24" w:rsidRDefault="009E6386" w:rsidP="009E6386">
      <w:pPr>
        <w:spacing w:after="0" w:line="240" w:lineRule="auto"/>
        <w:rPr>
          <w:rFonts w:ascii="Verdana" w:eastAsia="Calibri" w:hAnsi="Verdana" w:cs="Arial"/>
          <w:b/>
          <w:bCs/>
          <w:color w:val="000000" w:themeColor="text1"/>
          <w:lang w:val="es-ES_tradnl"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E6386" w:rsidRPr="00FE5A24" w14:paraId="12DF361B" w14:textId="77777777" w:rsidTr="00810146">
        <w:trPr>
          <w:trHeight w:val="148"/>
        </w:trPr>
        <w:tc>
          <w:tcPr>
            <w:tcW w:w="2689" w:type="dxa"/>
          </w:tcPr>
          <w:p w14:paraId="0ED2125D" w14:textId="77777777" w:rsidR="009E6386" w:rsidRPr="00FE5A24" w:rsidRDefault="009E6386" w:rsidP="006A4A3A">
            <w:pPr>
              <w:jc w:val="both"/>
              <w:rPr>
                <w:rFonts w:ascii="Verdana" w:eastAsia="Calibri" w:hAnsi="Verdana" w:cs="Arial"/>
                <w:b/>
                <w:bCs/>
                <w:color w:val="000000" w:themeColor="text1"/>
                <w:lang w:val="es-ES_tradnl" w:eastAsia="es-ES_tradnl"/>
              </w:rPr>
            </w:pPr>
          </w:p>
        </w:tc>
        <w:tc>
          <w:tcPr>
            <w:tcW w:w="6100" w:type="dxa"/>
          </w:tcPr>
          <w:p w14:paraId="594FF884" w14:textId="77777777" w:rsidR="009E6386" w:rsidRPr="009005A9" w:rsidRDefault="009E6386" w:rsidP="006C5912">
            <w:pPr>
              <w:jc w:val="both"/>
              <w:rPr>
                <w:rFonts w:ascii="Verdana" w:eastAsia="Calibri" w:hAnsi="Verdana" w:cs="Arial"/>
                <w:b/>
                <w:bCs/>
                <w:color w:val="000000" w:themeColor="text1"/>
                <w:lang w:val="es-ES" w:eastAsia="es-ES"/>
              </w:rPr>
            </w:pPr>
            <w:r w:rsidRPr="00FE5A24">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187</w:t>
            </w:r>
            <w:r w:rsidRPr="00FE5A24">
              <w:rPr>
                <w:rFonts w:ascii="Verdana" w:eastAsia="Calibri" w:hAnsi="Verdana" w:cs="Arial"/>
                <w:b/>
                <w:bCs/>
                <w:color w:val="000000" w:themeColor="text1"/>
                <w:lang w:val="es-ES" w:eastAsia="es-ES"/>
              </w:rPr>
              <w:t xml:space="preserve"> de 2025</w:t>
            </w:r>
          </w:p>
          <w:p w14:paraId="2C173F2C" w14:textId="77777777" w:rsidR="009E6386" w:rsidRPr="00FE5A24" w:rsidRDefault="009E6386" w:rsidP="006A4A3A">
            <w:pPr>
              <w:jc w:val="both"/>
              <w:rPr>
                <w:rFonts w:ascii="Verdana" w:eastAsia="Calibri" w:hAnsi="Verdana" w:cs="Arial"/>
                <w:b/>
                <w:bCs/>
                <w:color w:val="000000" w:themeColor="text1"/>
                <w:lang w:val="es-ES" w:eastAsia="es-ES"/>
              </w:rPr>
            </w:pPr>
          </w:p>
        </w:tc>
      </w:tr>
      <w:tr w:rsidR="009E6386" w:rsidRPr="00FE5A24" w14:paraId="121086AD" w14:textId="77777777" w:rsidTr="006A4A3A">
        <w:trPr>
          <w:trHeight w:val="884"/>
        </w:trPr>
        <w:tc>
          <w:tcPr>
            <w:tcW w:w="2689" w:type="dxa"/>
          </w:tcPr>
          <w:p w14:paraId="182B695A" w14:textId="77777777" w:rsidR="009E6386" w:rsidRPr="00FE5A24" w:rsidRDefault="009E6386" w:rsidP="006A4A3A">
            <w:pPr>
              <w:jc w:val="both"/>
              <w:rPr>
                <w:rFonts w:ascii="Verdana" w:eastAsia="Calibri" w:hAnsi="Verdana" w:cs="Arial"/>
                <w:color w:val="000000" w:themeColor="text1"/>
                <w:lang w:val="es-ES_tradnl" w:eastAsia="es-ES_tradnl"/>
              </w:rPr>
            </w:pPr>
            <w:r w:rsidRPr="00FE5A24">
              <w:rPr>
                <w:rFonts w:ascii="Verdana" w:eastAsia="Calibri" w:hAnsi="Verdana" w:cs="Arial"/>
                <w:b/>
                <w:color w:val="000000" w:themeColor="text1"/>
                <w:lang w:val="es-ES_tradnl" w:eastAsia="es-ES_tradnl"/>
              </w:rPr>
              <w:t>Temas:</w:t>
            </w:r>
            <w:r w:rsidRPr="00FE5A24">
              <w:rPr>
                <w:rFonts w:ascii="Verdana" w:eastAsia="Calibri" w:hAnsi="Verdana" w:cs="Arial"/>
                <w:color w:val="000000" w:themeColor="text1"/>
                <w:lang w:val="es-ES_tradnl" w:eastAsia="es-ES_tradnl"/>
              </w:rPr>
              <w:t xml:space="preserve">                   </w:t>
            </w:r>
          </w:p>
        </w:tc>
        <w:tc>
          <w:tcPr>
            <w:tcW w:w="6100" w:type="dxa"/>
          </w:tcPr>
          <w:p w14:paraId="5475565E" w14:textId="77777777" w:rsidR="009E6386" w:rsidRPr="00C94107" w:rsidRDefault="009E6386" w:rsidP="00810146">
            <w:pPr>
              <w:jc w:val="both"/>
              <w:rPr>
                <w:rFonts w:ascii="Verdana" w:eastAsia="Calibri" w:hAnsi="Verdana" w:cs="Arial"/>
                <w:b/>
                <w:lang w:eastAsia="es-ES_tradnl"/>
              </w:rPr>
            </w:pPr>
            <w:r w:rsidRPr="001A4E79">
              <w:rPr>
                <w:rFonts w:ascii="Verdana" w:eastAsia="Calibri" w:hAnsi="Verdana" w:cs="Arial"/>
                <w:bCs/>
              </w:rPr>
              <w:t>SELECCIÓN OBJETIVA ― Noción y factores de escogencia / REQUISITOS HABILITANTES DE LA LEY 1150 DE 2007 ― Carácter enunciativo</w:t>
            </w:r>
            <w:r>
              <w:rPr>
                <w:rFonts w:ascii="Verdana" w:eastAsia="Calibri" w:hAnsi="Verdana" w:cs="Arial"/>
                <w:bCs/>
              </w:rPr>
              <w:t>/</w:t>
            </w:r>
            <w:r w:rsidRPr="00C94107">
              <w:rPr>
                <w:rFonts w:ascii="Verdana" w:eastAsia="Calibri" w:hAnsi="Verdana" w:cs="Arial"/>
                <w:b/>
                <w:lang w:eastAsia="es-ES_tradnl"/>
              </w:rPr>
              <w:t xml:space="preserve"> </w:t>
            </w:r>
            <w:r w:rsidRPr="00C94107">
              <w:rPr>
                <w:rFonts w:ascii="Verdana" w:eastAsia="Calibri" w:hAnsi="Verdana" w:cs="Arial"/>
                <w:lang w:eastAsia="es-ES_tradnl"/>
              </w:rPr>
              <w:t>REQUISITOS HABILITANTES – Acreditación – RUP – Otros documentos / CAPACIDAD JURÍDICA – Registro Único Tributario – CIIU</w:t>
            </w:r>
          </w:p>
          <w:p w14:paraId="347F4897" w14:textId="77777777" w:rsidR="009E6386" w:rsidRPr="002A1163" w:rsidRDefault="009E6386" w:rsidP="006A4A3A">
            <w:pPr>
              <w:jc w:val="both"/>
              <w:rPr>
                <w:rFonts w:ascii="Verdana" w:eastAsia="Calibri" w:hAnsi="Verdana" w:cs="Arial"/>
                <w:color w:val="000000" w:themeColor="text1"/>
                <w:lang w:val="es-ES" w:eastAsia="es-ES"/>
              </w:rPr>
            </w:pPr>
          </w:p>
        </w:tc>
      </w:tr>
      <w:tr w:rsidR="009E6386" w:rsidRPr="00FE5A24" w14:paraId="4ED44D3E" w14:textId="77777777" w:rsidTr="006A4A3A">
        <w:tc>
          <w:tcPr>
            <w:tcW w:w="2689" w:type="dxa"/>
          </w:tcPr>
          <w:p w14:paraId="1F0B48B5" w14:textId="77777777" w:rsidR="009E6386" w:rsidRPr="00FE5A24" w:rsidRDefault="009E6386" w:rsidP="006A4A3A">
            <w:pPr>
              <w:jc w:val="both"/>
              <w:rPr>
                <w:rFonts w:ascii="Verdana" w:eastAsia="Calibri" w:hAnsi="Verdana" w:cs="Arial"/>
                <w:b/>
                <w:color w:val="000000" w:themeColor="text1"/>
                <w:lang w:val="es-ES_tradnl" w:eastAsia="es-ES_tradnl"/>
              </w:rPr>
            </w:pPr>
            <w:r w:rsidRPr="00FE5A24">
              <w:rPr>
                <w:rFonts w:ascii="Verdana" w:eastAsia="Calibri" w:hAnsi="Verdana" w:cs="Arial"/>
                <w:b/>
                <w:color w:val="000000" w:themeColor="text1"/>
                <w:lang w:val="es-ES_tradnl" w:eastAsia="es-ES_tradnl"/>
              </w:rPr>
              <w:t>Radicación:</w:t>
            </w:r>
            <w:r w:rsidRPr="00FE5A24">
              <w:rPr>
                <w:rFonts w:ascii="Verdana" w:eastAsia="Calibri" w:hAnsi="Verdana" w:cs="Arial"/>
                <w:color w:val="000000" w:themeColor="text1"/>
                <w:lang w:val="es-ES_tradnl" w:eastAsia="es-ES_tradnl"/>
              </w:rPr>
              <w:t xml:space="preserve">               </w:t>
            </w:r>
          </w:p>
        </w:tc>
        <w:tc>
          <w:tcPr>
            <w:tcW w:w="6100" w:type="dxa"/>
          </w:tcPr>
          <w:p w14:paraId="0EF10187" w14:textId="77777777" w:rsidR="009E6386" w:rsidRPr="00FE5A24" w:rsidRDefault="009E6386" w:rsidP="006A4A3A">
            <w:pPr>
              <w:jc w:val="both"/>
              <w:rPr>
                <w:rFonts w:ascii="Verdana" w:eastAsia="Calibri" w:hAnsi="Verdana" w:cs="Arial"/>
                <w:color w:val="000000" w:themeColor="text1"/>
                <w:lang w:val="es-ES_tradnl" w:eastAsia="es-ES_tradnl"/>
              </w:rPr>
            </w:pPr>
            <w:r w:rsidRPr="00FE5A24">
              <w:rPr>
                <w:rFonts w:ascii="Verdana" w:eastAsia="Calibri" w:hAnsi="Verdana" w:cs="Arial"/>
                <w:color w:val="000000" w:themeColor="text1"/>
                <w:lang w:val="es-ES_tradnl" w:eastAsia="es-ES_tradnl"/>
              </w:rPr>
              <w:t>Respuesta a consulta con radicado No.</w:t>
            </w:r>
            <w:r>
              <w:rPr>
                <w:rFonts w:ascii="Verdana" w:eastAsia="Calibri" w:hAnsi="Verdana" w:cs="Arial"/>
                <w:color w:val="000000" w:themeColor="text1"/>
                <w:lang w:val="es-ES_tradnl" w:eastAsia="es-ES_tradnl"/>
              </w:rPr>
              <w:t xml:space="preserve"> </w:t>
            </w:r>
            <w:r w:rsidRPr="00FE5A24">
              <w:rPr>
                <w:rFonts w:ascii="Verdana" w:eastAsia="Calibri" w:hAnsi="Verdana" w:cs="Arial"/>
                <w:color w:val="000000" w:themeColor="text1"/>
                <w:lang w:val="es-ES_tradnl" w:eastAsia="es-ES_tradnl"/>
              </w:rPr>
              <w:t xml:space="preserve"> </w:t>
            </w:r>
            <w:r w:rsidRPr="00F83A96">
              <w:rPr>
                <w:rFonts w:ascii="Verdana" w:eastAsia="Calibri" w:hAnsi="Verdana" w:cs="Arial"/>
                <w:color w:val="000000" w:themeColor="text1"/>
                <w:lang w:val="es-ES_tradnl" w:eastAsia="es-ES_tradnl"/>
              </w:rPr>
              <w:t>P</w:t>
            </w:r>
            <w:r w:rsidRPr="00C94107">
              <w:rPr>
                <w:rFonts w:ascii="Verdana" w:hAnsi="Verdana"/>
                <w:color w:val="000000"/>
              </w:rPr>
              <w:t xml:space="preserve"> </w:t>
            </w:r>
            <w:r w:rsidRPr="0033447D">
              <w:rPr>
                <w:rFonts w:ascii="Verdana" w:eastAsia="Calibri" w:hAnsi="Verdana" w:cs="Arial"/>
                <w:color w:val="000000" w:themeColor="text1"/>
                <w:lang w:eastAsia="es-ES_tradnl"/>
              </w:rPr>
              <w:t>P20250214001451</w:t>
            </w:r>
          </w:p>
        </w:tc>
      </w:tr>
    </w:tbl>
    <w:p w14:paraId="41A41C04" w14:textId="77777777" w:rsidR="009E6386" w:rsidRPr="00FE5A24" w:rsidRDefault="009E6386" w:rsidP="009E6386">
      <w:pPr>
        <w:spacing w:after="0" w:line="240" w:lineRule="auto"/>
        <w:jc w:val="both"/>
        <w:rPr>
          <w:rFonts w:ascii="Verdana" w:eastAsia="Calibri" w:hAnsi="Verdana" w:cs="Arial"/>
          <w:color w:val="000000" w:themeColor="text1"/>
          <w:lang w:val="es-ES_tradnl" w:eastAsia="es-ES_tradnl"/>
        </w:rPr>
      </w:pPr>
    </w:p>
    <w:p w14:paraId="4FD38CC9" w14:textId="77777777" w:rsidR="009E6386" w:rsidRPr="00FE5A24" w:rsidRDefault="009E6386" w:rsidP="009E6386">
      <w:pPr>
        <w:spacing w:after="0" w:line="240" w:lineRule="auto"/>
        <w:jc w:val="both"/>
        <w:rPr>
          <w:rFonts w:ascii="Verdana" w:eastAsia="Calibri" w:hAnsi="Verdana" w:cs="Arial"/>
          <w:color w:val="000000" w:themeColor="text1"/>
          <w:lang w:val="es-ES_tradnl" w:eastAsia="es-ES_tradnl"/>
        </w:rPr>
      </w:pPr>
    </w:p>
    <w:p w14:paraId="01CCD1DE" w14:textId="77777777" w:rsidR="009E6386" w:rsidRPr="00FE5A24" w:rsidRDefault="009E6386" w:rsidP="009E6386">
      <w:pPr>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 xml:space="preserve">Estimado señor </w:t>
      </w:r>
      <w:r>
        <w:rPr>
          <w:rFonts w:ascii="Verdana" w:eastAsia="Calibri" w:hAnsi="Verdana" w:cs="Arial"/>
          <w:color w:val="000000" w:themeColor="text1"/>
          <w:lang w:val="es-ES" w:eastAsia="es-ES"/>
        </w:rPr>
        <w:t>Sánchez</w:t>
      </w:r>
      <w:r w:rsidRPr="00FE5A24">
        <w:rPr>
          <w:rFonts w:ascii="Verdana" w:eastAsia="Calibri" w:hAnsi="Verdana" w:cs="Arial"/>
          <w:color w:val="000000" w:themeColor="text1"/>
          <w:lang w:val="es-ES" w:eastAsia="es-ES"/>
        </w:rPr>
        <w:t xml:space="preserve">: </w:t>
      </w:r>
    </w:p>
    <w:p w14:paraId="299BD2C5" w14:textId="77777777" w:rsidR="009E6386" w:rsidRPr="00FE5A24" w:rsidRDefault="009E6386" w:rsidP="009E6386">
      <w:pPr>
        <w:tabs>
          <w:tab w:val="left" w:pos="3768"/>
        </w:tabs>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ab/>
      </w:r>
    </w:p>
    <w:p w14:paraId="59F18DFC" w14:textId="77777777" w:rsidR="009E6386" w:rsidRPr="00FE5A24" w:rsidRDefault="009E6386" w:rsidP="009E6386">
      <w:pPr>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En ejercicio de la competencia otorgada por los artículos 3, numeral 5º, y 11, numeral 8º, del Decreto Ley 4170 de 2011,</w:t>
      </w:r>
      <w:r w:rsidRPr="00FE5A24">
        <w:rPr>
          <w:rFonts w:ascii="Verdana" w:eastAsia="Arial MT" w:hAnsi="Verdana" w:cs="Arial MT"/>
          <w:color w:val="000000" w:themeColor="text1"/>
          <w:lang w:val="es-ES" w:eastAsia="es-ES"/>
        </w:rPr>
        <w:t xml:space="preserve"> </w:t>
      </w:r>
      <w:r w:rsidRPr="00FE5A24">
        <w:rPr>
          <w:rFonts w:ascii="Verdana" w:hAnsi="Verdana" w:cs="Arial"/>
          <w:color w:val="000000" w:themeColor="text1"/>
        </w:rPr>
        <w:t xml:space="preserve">así como lo establecido en el artículo 4 de la Resolución 1707 de 2018 expedida por esta Entidad, la Agencia Nacional de Contratación Pública – Colombia Compra Eficiente– responde su solicitud remitida a esta entidad el </w:t>
      </w:r>
      <w:r>
        <w:rPr>
          <w:rFonts w:ascii="Verdana" w:hAnsi="Verdana" w:cs="Arial"/>
          <w:color w:val="000000" w:themeColor="text1"/>
        </w:rPr>
        <w:t>14</w:t>
      </w:r>
      <w:r w:rsidRPr="00FE5A24">
        <w:rPr>
          <w:rFonts w:ascii="Verdana" w:hAnsi="Verdana" w:cs="Arial"/>
          <w:color w:val="000000" w:themeColor="text1"/>
        </w:rPr>
        <w:t xml:space="preserve"> de febrero de 2025, en la cual manifiesta lo siguiente:</w:t>
      </w:r>
      <w:r w:rsidRPr="00FE5A24">
        <w:rPr>
          <w:rFonts w:ascii="Verdana" w:eastAsia="Calibri" w:hAnsi="Verdana" w:cs="Arial"/>
          <w:color w:val="000000" w:themeColor="text1"/>
          <w:lang w:val="es-ES" w:eastAsia="es-ES"/>
        </w:rPr>
        <w:t xml:space="preserve"> </w:t>
      </w:r>
    </w:p>
    <w:p w14:paraId="01E3B19E" w14:textId="77777777" w:rsidR="00507DD1" w:rsidRPr="00C94107" w:rsidRDefault="00507DD1" w:rsidP="009E6386">
      <w:pPr>
        <w:spacing w:after="0" w:line="276" w:lineRule="auto"/>
        <w:jc w:val="both"/>
        <w:rPr>
          <w:rFonts w:ascii="Verdana" w:eastAsia="Calibri" w:hAnsi="Verdana" w:cs="Arial"/>
          <w:color w:val="000000" w:themeColor="text1"/>
          <w:lang w:val="es-ES" w:eastAsia="es-ES"/>
        </w:rPr>
      </w:pPr>
    </w:p>
    <w:p w14:paraId="22E0D2CB" w14:textId="77777777" w:rsidR="009E6386" w:rsidRPr="00B167E9" w:rsidRDefault="009E6386" w:rsidP="006C5912">
      <w:pPr>
        <w:spacing w:after="0" w:line="240" w:lineRule="auto"/>
        <w:ind w:left="709" w:right="709"/>
        <w:jc w:val="both"/>
        <w:rPr>
          <w:rFonts w:ascii="Verdana" w:eastAsia="Century Gothic" w:hAnsi="Verdana" w:cs="Century Gothic"/>
          <w:color w:val="000000" w:themeColor="text1"/>
          <w:sz w:val="20"/>
          <w:szCs w:val="20"/>
          <w:lang w:val="es-ES"/>
        </w:rPr>
      </w:pPr>
      <w:r>
        <w:rPr>
          <w:rFonts w:ascii="Verdana" w:eastAsia="Century Gothic" w:hAnsi="Verdana" w:cs="Century Gothic"/>
          <w:color w:val="000000" w:themeColor="text1"/>
          <w:sz w:val="20"/>
          <w:szCs w:val="20"/>
          <w:lang w:val="es-ES"/>
        </w:rPr>
        <w:t>“</w:t>
      </w:r>
      <w:r w:rsidRPr="00B167E9">
        <w:rPr>
          <w:rFonts w:ascii="Verdana" w:eastAsia="Century Gothic" w:hAnsi="Verdana" w:cs="Century Gothic"/>
          <w:color w:val="000000" w:themeColor="text1"/>
          <w:sz w:val="20"/>
          <w:szCs w:val="20"/>
          <w:lang w:val="es-ES"/>
        </w:rPr>
        <w:t xml:space="preserve">A </w:t>
      </w:r>
      <w:r w:rsidRPr="00810146">
        <w:rPr>
          <w:rFonts w:ascii="Verdana" w:eastAsia="Century Gothic" w:hAnsi="Verdana" w:cs="Century Gothic"/>
          <w:b/>
          <w:color w:val="000000" w:themeColor="text1"/>
          <w:sz w:val="20"/>
          <w:szCs w:val="20"/>
          <w:lang w:val="es-ES"/>
        </w:rPr>
        <w:t>COLOMBIA COMPRA EFICIENTE</w:t>
      </w:r>
      <w:r w:rsidRPr="00B167E9">
        <w:rPr>
          <w:rFonts w:ascii="Verdana" w:eastAsia="Century Gothic" w:hAnsi="Verdana" w:cs="Century Gothic"/>
          <w:color w:val="000000" w:themeColor="text1"/>
          <w:sz w:val="20"/>
          <w:szCs w:val="20"/>
          <w:lang w:val="es-ES"/>
        </w:rPr>
        <w:t xml:space="preserve"> le solcito respetuosamente que, aclare de forma extensa, clara y objetiva si, cuando menciona esto en sus conceptos </w:t>
      </w:r>
      <w:r w:rsidRPr="00810146">
        <w:rPr>
          <w:rFonts w:ascii="Verdana" w:eastAsia="Century Gothic" w:hAnsi="Verdana" w:cs="Century Gothic"/>
          <w:b/>
          <w:color w:val="000000" w:themeColor="text1"/>
          <w:sz w:val="20"/>
          <w:szCs w:val="20"/>
          <w:u w:val="single"/>
          <w:lang w:val="es-ES"/>
        </w:rPr>
        <w:t>“EN PROCESOS DE MINIMA CUANTIA, LA NECESIDAD DE QUE UN PROPONENTE ACREDITE LA EXISTENCIA DE UN ESTABLECIMIENTO DE COMERCIO DEPENDERA DE LAS CONDICIONES TECNICAS EXIGIDAS EN LA INVITACION, DECISIÓN QUE EN TODO CASO ADOPTARÁ LA ENTIDAD ESTATAL COMO DUEÑA DE SUS PROCESOS Y DE ACUERDO A SUS NECESIDADES, CARACTERISTICAS DEL OBJETO A CONTRATAR Y DEMAS CIRCUSTANCIAS QUE ACOMPAÑEN EL RESPECTIVO PROCESO”</w:t>
      </w:r>
      <w:r w:rsidRPr="00B167E9">
        <w:rPr>
          <w:rFonts w:ascii="Verdana" w:eastAsia="Century Gothic" w:hAnsi="Verdana" w:cs="Century Gothic"/>
          <w:color w:val="000000" w:themeColor="text1"/>
          <w:sz w:val="20"/>
          <w:szCs w:val="20"/>
          <w:lang w:val="es-ES"/>
        </w:rPr>
        <w:t xml:space="preserve"> está queriendo indicar que:</w:t>
      </w:r>
    </w:p>
    <w:p w14:paraId="35C907AD" w14:textId="77777777" w:rsidR="006C5912" w:rsidRPr="00C94107" w:rsidRDefault="006C5912" w:rsidP="00810146">
      <w:pPr>
        <w:spacing w:after="0" w:line="240" w:lineRule="auto"/>
        <w:ind w:left="709" w:right="709"/>
        <w:jc w:val="both"/>
        <w:rPr>
          <w:rFonts w:ascii="Verdana" w:eastAsia="Century Gothic" w:hAnsi="Verdana" w:cs="Century Gothic"/>
          <w:color w:val="000000" w:themeColor="text1"/>
          <w:sz w:val="20"/>
          <w:szCs w:val="20"/>
          <w:lang w:val="es-ES"/>
        </w:rPr>
      </w:pPr>
    </w:p>
    <w:p w14:paraId="26036BD9" w14:textId="77777777" w:rsidR="009E6386" w:rsidRPr="00C94107" w:rsidRDefault="009E6386" w:rsidP="00810146">
      <w:pPr>
        <w:spacing w:after="0" w:line="240" w:lineRule="auto"/>
        <w:ind w:left="709" w:right="709"/>
        <w:jc w:val="both"/>
        <w:rPr>
          <w:rFonts w:ascii="Verdana" w:eastAsia="Century Gothic" w:hAnsi="Verdana" w:cs="Century Gothic"/>
          <w:color w:val="000000" w:themeColor="text1"/>
          <w:sz w:val="20"/>
          <w:szCs w:val="20"/>
        </w:rPr>
      </w:pPr>
      <w:bookmarkStart w:id="1" w:name="_Hlk95313578"/>
      <w:r w:rsidRPr="00C94107">
        <w:rPr>
          <w:rFonts w:ascii="Verdana" w:eastAsia="Symbol" w:hAnsi="Verdana" w:cs="Symbol"/>
          <w:color w:val="000000" w:themeColor="text1"/>
          <w:sz w:val="20"/>
          <w:szCs w:val="20"/>
        </w:rPr>
        <w:lastRenderedPageBreak/>
        <w:sym w:font="Symbol" w:char="F0B7"/>
      </w:r>
      <w:r w:rsidRPr="00C94107">
        <w:rPr>
          <w:rFonts w:ascii="Verdana" w:eastAsia="Century Gothic" w:hAnsi="Verdana" w:cs="Century Gothic"/>
          <w:color w:val="000000" w:themeColor="text1"/>
          <w:sz w:val="20"/>
          <w:szCs w:val="20"/>
        </w:rPr>
        <w:t xml:space="preserve">  LAS ENTIDADES COMO DUEÑO DE SUS PROCESOS ¿PUEDE ESTABLECER LOS REQUISITOS QUE SE LE ANTOJEN? </w:t>
      </w:r>
    </w:p>
    <w:p w14:paraId="6C4D1CDA" w14:textId="77777777" w:rsidR="009E6386" w:rsidRPr="00C94107" w:rsidRDefault="009E6386" w:rsidP="006C5912">
      <w:pPr>
        <w:spacing w:after="0" w:line="240" w:lineRule="auto"/>
        <w:ind w:left="709" w:right="709"/>
        <w:jc w:val="both"/>
        <w:rPr>
          <w:rFonts w:ascii="Verdana" w:eastAsia="Century Gothic" w:hAnsi="Verdana" w:cs="Century Gothic"/>
          <w:color w:val="000000" w:themeColor="text1"/>
          <w:sz w:val="20"/>
          <w:szCs w:val="20"/>
        </w:rPr>
      </w:pPr>
      <w:r w:rsidRPr="00C94107">
        <w:rPr>
          <w:rFonts w:ascii="Verdana" w:eastAsia="Symbol" w:hAnsi="Verdana" w:cs="Symbol"/>
          <w:color w:val="000000" w:themeColor="text1"/>
          <w:sz w:val="20"/>
          <w:szCs w:val="20"/>
        </w:rPr>
        <w:sym w:font="Symbol" w:char="F0B7"/>
      </w:r>
      <w:r w:rsidRPr="00C94107">
        <w:rPr>
          <w:rFonts w:ascii="Verdana" w:eastAsia="Century Gothic" w:hAnsi="Verdana" w:cs="Century Gothic"/>
          <w:color w:val="000000" w:themeColor="text1"/>
          <w:sz w:val="20"/>
          <w:szCs w:val="20"/>
        </w:rPr>
        <w:t xml:space="preserve">  ¿ES LEGAL QUE UN FUNCIONARIO PÚBLICO ESTABLEZCA LOS REQUISITOS HABILITANTES A SU ANTOJO? </w:t>
      </w:r>
    </w:p>
    <w:p w14:paraId="66710F38" w14:textId="77777777" w:rsidR="00E02B1F" w:rsidRPr="00C94107" w:rsidRDefault="00E02B1F" w:rsidP="00810146">
      <w:pPr>
        <w:spacing w:after="0" w:line="240" w:lineRule="auto"/>
        <w:ind w:left="709" w:right="709"/>
        <w:jc w:val="both"/>
        <w:rPr>
          <w:rFonts w:ascii="Verdana" w:eastAsia="Century Gothic" w:hAnsi="Verdana" w:cs="Century Gothic"/>
          <w:color w:val="000000" w:themeColor="text1"/>
          <w:sz w:val="20"/>
          <w:szCs w:val="20"/>
        </w:rPr>
      </w:pPr>
    </w:p>
    <w:p w14:paraId="6558B9CD" w14:textId="77777777" w:rsidR="009E6386" w:rsidRPr="00C94107" w:rsidRDefault="009E6386" w:rsidP="00810146">
      <w:pPr>
        <w:spacing w:after="0" w:line="240" w:lineRule="auto"/>
        <w:ind w:left="709" w:right="709"/>
        <w:jc w:val="both"/>
        <w:rPr>
          <w:rFonts w:ascii="Verdana" w:eastAsia="Century Gothic" w:hAnsi="Verdana" w:cs="Century Gothic"/>
          <w:color w:val="000000" w:themeColor="text1"/>
          <w:sz w:val="20"/>
          <w:szCs w:val="20"/>
          <w:lang w:val="es-MX"/>
        </w:rPr>
      </w:pPr>
      <w:r w:rsidRPr="00C94107">
        <w:rPr>
          <w:rFonts w:ascii="Verdana" w:eastAsia="Symbol" w:hAnsi="Verdana" w:cs="Symbol"/>
          <w:color w:val="000000" w:themeColor="text1"/>
          <w:sz w:val="20"/>
          <w:szCs w:val="20"/>
        </w:rPr>
        <w:sym w:font="Symbol" w:char="F0B7"/>
      </w:r>
      <w:r w:rsidRPr="00C94107">
        <w:rPr>
          <w:rFonts w:ascii="Verdana" w:eastAsia="Century Gothic" w:hAnsi="Verdana" w:cs="Century Gothic"/>
          <w:color w:val="000000" w:themeColor="text1"/>
          <w:sz w:val="20"/>
          <w:szCs w:val="20"/>
        </w:rPr>
        <w:t xml:space="preserve">  ¿ESTE CONCEPTO TRATABA LA VIABILIDAD DE EXIGIR ESTABLECIMIENTO DE COMERCIO DENTRO DEL MISMO MUNICIPIO DONDE SE LLEVARÍA A CABO EL PROCESO CONTRACTUAL?”.</w:t>
      </w:r>
      <w:bookmarkEnd w:id="1"/>
    </w:p>
    <w:p w14:paraId="44DBE020" w14:textId="77777777" w:rsidR="00507DD1" w:rsidRPr="00810146" w:rsidRDefault="00507DD1" w:rsidP="00810146">
      <w:pPr>
        <w:spacing w:after="0" w:line="276" w:lineRule="auto"/>
        <w:ind w:left="851" w:right="709"/>
        <w:jc w:val="both"/>
        <w:rPr>
          <w:rFonts w:ascii="Verdana" w:eastAsia="Century Gothic" w:hAnsi="Verdana" w:cs="Century Gothic"/>
          <w:color w:val="000000" w:themeColor="text1"/>
          <w:lang w:val="es-MX"/>
        </w:rPr>
      </w:pPr>
    </w:p>
    <w:p w14:paraId="17DCC8D0" w14:textId="2FA8FCA5" w:rsidR="009E6386" w:rsidRPr="00FE5A24" w:rsidRDefault="009E6386" w:rsidP="00810146">
      <w:pPr>
        <w:spacing w:after="120" w:line="276" w:lineRule="auto"/>
        <w:ind w:firstLine="709"/>
        <w:jc w:val="both"/>
        <w:rPr>
          <w:rFonts w:ascii="Verdana" w:eastAsia="Calibri" w:hAnsi="Verdana" w:cs="Arial"/>
          <w:color w:val="000000" w:themeColor="text1"/>
          <w:szCs w:val="24"/>
          <w:lang w:val="es-ES_tradnl" w:eastAsia="es-ES_tradnl"/>
        </w:rPr>
      </w:pPr>
      <w:r w:rsidRPr="00FE5A24">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00E148A0" w:rsidRPr="00C94107">
        <w:rPr>
          <w:rFonts w:ascii="Verdana" w:eastAsia="Calibri" w:hAnsi="Verdana" w:cs="Arial"/>
          <w:color w:val="000000" w:themeColor="text1"/>
          <w:lang w:val="es-ES" w:eastAsia="es-ES"/>
        </w:rPr>
        <w:t xml:space="preserve">Así mismo, se resalta que la Agencia </w:t>
      </w:r>
      <w:r w:rsidR="00E148A0" w:rsidRPr="00810146">
        <w:rPr>
          <w:rFonts w:ascii="Verdana" w:eastAsiaTheme="minorEastAsia" w:hAnsi="Verdana" w:cs="Arial"/>
          <w:lang w:eastAsia="es-CO"/>
        </w:rPr>
        <w:t>al no ser un órgano</w:t>
      </w:r>
      <w:r w:rsidR="00E148A0" w:rsidRPr="00810146">
        <w:rPr>
          <w:rFonts w:ascii="Verdana" w:eastAsiaTheme="minorEastAsia" w:hAnsi="Verdana" w:cs="Arial"/>
          <w:spacing w:val="1"/>
          <w:lang w:eastAsia="es-CO"/>
        </w:rPr>
        <w:t xml:space="preserve"> </w:t>
      </w:r>
      <w:r w:rsidR="00E148A0" w:rsidRPr="00810146">
        <w:rPr>
          <w:rFonts w:ascii="Verdana" w:eastAsiaTheme="minorEastAsia" w:hAnsi="Verdana" w:cs="Arial"/>
          <w:lang w:eastAsia="es-CO"/>
        </w:rPr>
        <w:t>judicial, ni una entidad de vigilancia, inspección o control en materia contractual, carece de la</w:t>
      </w:r>
      <w:r w:rsidR="00E148A0" w:rsidRPr="00810146">
        <w:rPr>
          <w:rFonts w:ascii="Verdana" w:eastAsiaTheme="minorEastAsia" w:hAnsi="Verdana" w:cs="Arial"/>
          <w:spacing w:val="1"/>
          <w:lang w:eastAsia="es-CO"/>
        </w:rPr>
        <w:t xml:space="preserve"> </w:t>
      </w:r>
      <w:r w:rsidR="00E148A0" w:rsidRPr="00810146">
        <w:rPr>
          <w:rFonts w:ascii="Verdana" w:eastAsiaTheme="minorEastAsia" w:hAnsi="Verdana" w:cs="Arial"/>
          <w:lang w:eastAsia="es-CO"/>
        </w:rPr>
        <w:t>facultad</w:t>
      </w:r>
      <w:r w:rsidR="00E148A0" w:rsidRPr="00810146">
        <w:rPr>
          <w:rFonts w:ascii="Verdana" w:eastAsiaTheme="minorEastAsia" w:hAnsi="Verdana" w:cs="Arial"/>
          <w:spacing w:val="-2"/>
          <w:lang w:eastAsia="es-CO"/>
        </w:rPr>
        <w:t xml:space="preserve"> </w:t>
      </w:r>
      <w:r w:rsidR="00E148A0" w:rsidRPr="00810146">
        <w:rPr>
          <w:rFonts w:ascii="Verdana" w:eastAsiaTheme="minorEastAsia" w:hAnsi="Verdana" w:cs="Arial"/>
          <w:lang w:eastAsia="es-CO"/>
        </w:rPr>
        <w:t>para</w:t>
      </w:r>
      <w:r w:rsidR="00E148A0" w:rsidRPr="00810146">
        <w:rPr>
          <w:rFonts w:ascii="Verdana" w:eastAsiaTheme="minorEastAsia" w:hAnsi="Verdana" w:cs="Arial"/>
          <w:spacing w:val="-1"/>
          <w:lang w:eastAsia="es-CO"/>
        </w:rPr>
        <w:t xml:space="preserve"> </w:t>
      </w:r>
      <w:r w:rsidR="00E148A0" w:rsidRPr="00810146">
        <w:rPr>
          <w:rFonts w:ascii="Verdana" w:eastAsiaTheme="minorEastAsia" w:hAnsi="Verdana" w:cs="Arial"/>
          <w:lang w:eastAsia="es-CO"/>
        </w:rPr>
        <w:t>desempeñar</w:t>
      </w:r>
      <w:r w:rsidR="00E148A0" w:rsidRPr="00810146">
        <w:rPr>
          <w:rFonts w:ascii="Verdana" w:eastAsiaTheme="minorEastAsia" w:hAnsi="Verdana" w:cs="Arial"/>
          <w:spacing w:val="-2"/>
          <w:lang w:eastAsia="es-CO"/>
        </w:rPr>
        <w:t xml:space="preserve"> </w:t>
      </w:r>
      <w:r w:rsidR="00E148A0" w:rsidRPr="00810146">
        <w:rPr>
          <w:rFonts w:ascii="Verdana" w:eastAsiaTheme="minorEastAsia" w:hAnsi="Verdana" w:cs="Arial"/>
          <w:lang w:eastAsia="es-CO"/>
        </w:rPr>
        <w:t>estas</w:t>
      </w:r>
      <w:r w:rsidR="00E148A0" w:rsidRPr="00810146">
        <w:rPr>
          <w:rFonts w:ascii="Verdana" w:eastAsiaTheme="minorEastAsia" w:hAnsi="Verdana" w:cs="Arial"/>
          <w:spacing w:val="-1"/>
          <w:lang w:eastAsia="es-CO"/>
        </w:rPr>
        <w:t xml:space="preserve"> </w:t>
      </w:r>
      <w:r w:rsidR="00E148A0" w:rsidRPr="00810146">
        <w:rPr>
          <w:rFonts w:ascii="Verdana" w:eastAsiaTheme="minorEastAsia" w:hAnsi="Verdana" w:cs="Arial"/>
          <w:lang w:eastAsia="es-CO"/>
        </w:rPr>
        <w:t>funciones.</w:t>
      </w:r>
      <w:r w:rsidRPr="00C94107">
        <w:rPr>
          <w:rFonts w:ascii="Verdana" w:eastAsia="Calibri" w:hAnsi="Verdana" w:cs="Arial"/>
          <w:color w:val="000000" w:themeColor="text1"/>
          <w:lang w:val="es-ES" w:eastAsia="es-ES"/>
        </w:rPr>
        <w:t xml:space="preserve"> </w:t>
      </w:r>
      <w:r w:rsidRPr="00C94107">
        <w:rPr>
          <w:rFonts w:ascii="Verdana" w:eastAsia="Calibri" w:hAnsi="Verdana" w:cs="Arial"/>
          <w:color w:val="000000" w:themeColor="text1"/>
          <w:szCs w:val="24"/>
          <w:lang w:val="es-ES_tradnl" w:eastAsia="es-ES_tradnl"/>
        </w:rPr>
        <w:tab/>
      </w:r>
    </w:p>
    <w:p w14:paraId="0C109727" w14:textId="2751DC12" w:rsidR="009E6386" w:rsidRDefault="009E6386" w:rsidP="009E6386">
      <w:pPr>
        <w:spacing w:after="0" w:line="276" w:lineRule="auto"/>
        <w:ind w:firstLine="709"/>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sidR="00BF18AA" w:rsidRPr="00C94107">
        <w:rPr>
          <w:rFonts w:ascii="Verdana" w:eastAsia="Calibri" w:hAnsi="Verdana" w:cs="Arial"/>
          <w:color w:val="000000" w:themeColor="text1"/>
          <w:lang w:val="es-ES" w:eastAsia="es-ES"/>
        </w:rPr>
        <w:t>señalando alg</w:t>
      </w:r>
      <w:r w:rsidRPr="00C94107">
        <w:rPr>
          <w:rFonts w:ascii="Verdana" w:eastAsia="Calibri" w:hAnsi="Verdana" w:cs="Arial"/>
          <w:color w:val="000000" w:themeColor="text1"/>
          <w:lang w:val="es-ES" w:eastAsia="es-ES"/>
        </w:rPr>
        <w:t>unas</w:t>
      </w:r>
      <w:r w:rsidRPr="00FE5A24">
        <w:rPr>
          <w:rFonts w:ascii="Verdana" w:eastAsia="Calibri" w:hAnsi="Verdana" w:cs="Arial"/>
          <w:color w:val="000000" w:themeColor="text1"/>
          <w:lang w:val="es-ES" w:eastAsia="es-ES"/>
        </w:rPr>
        <w:t xml:space="preserve"> consideraciones sobre las normas generales relacionadas con los problemas jurídicos de su consulta. </w:t>
      </w:r>
    </w:p>
    <w:p w14:paraId="7383607F" w14:textId="77777777" w:rsidR="009E6386" w:rsidRPr="00FE5A24" w:rsidRDefault="009E6386" w:rsidP="009E6386">
      <w:pPr>
        <w:spacing w:after="0" w:line="276" w:lineRule="auto"/>
        <w:ind w:firstLine="709"/>
        <w:jc w:val="both"/>
        <w:rPr>
          <w:rFonts w:ascii="Verdana" w:eastAsia="Calibri" w:hAnsi="Verdana" w:cs="Arial"/>
          <w:color w:val="000000" w:themeColor="text1"/>
          <w:lang w:val="es-ES" w:eastAsia="es-ES"/>
        </w:rPr>
      </w:pPr>
    </w:p>
    <w:p w14:paraId="1219E439" w14:textId="77777777" w:rsidR="009E6386" w:rsidRPr="00FE5A24" w:rsidRDefault="009E6386" w:rsidP="00810146">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Problema planteado:</w:t>
      </w:r>
    </w:p>
    <w:p w14:paraId="06550A65" w14:textId="77777777" w:rsidR="009E6386" w:rsidRPr="00FE5A24" w:rsidRDefault="009E6386" w:rsidP="009E6386">
      <w:pPr>
        <w:tabs>
          <w:tab w:val="left" w:pos="426"/>
        </w:tabs>
        <w:spacing w:after="0" w:line="276" w:lineRule="auto"/>
        <w:jc w:val="both"/>
        <w:rPr>
          <w:rFonts w:ascii="Verdana" w:eastAsia="Century Gothic" w:hAnsi="Verdana" w:cs="Century Gothic"/>
          <w:color w:val="000000" w:themeColor="text1"/>
          <w:lang w:val="es-ES"/>
        </w:rPr>
      </w:pPr>
    </w:p>
    <w:p w14:paraId="077C7433" w14:textId="77777777" w:rsidR="009E6386" w:rsidRDefault="009E6386" w:rsidP="009E6386">
      <w:pPr>
        <w:spacing w:after="0" w:line="276" w:lineRule="auto"/>
        <w:jc w:val="both"/>
        <w:rPr>
          <w:rFonts w:ascii="Verdana" w:hAnsi="Verdana"/>
          <w:i/>
          <w:iCs/>
          <w:lang w:val="es-ES"/>
        </w:rPr>
      </w:pPr>
      <w:r w:rsidRPr="00FE5A24">
        <w:rPr>
          <w:rFonts w:ascii="Verdana" w:eastAsia="Century Gothic" w:hAnsi="Verdana" w:cs="Century Gothic"/>
          <w:color w:val="000000" w:themeColor="text1"/>
        </w:rPr>
        <w:t>De acuerdo con el contenido de su solicitud, esta Agencia resolverá</w:t>
      </w:r>
      <w:r>
        <w:rPr>
          <w:rFonts w:ascii="Verdana" w:eastAsia="Century Gothic" w:hAnsi="Verdana" w:cs="Century Gothic"/>
          <w:color w:val="000000" w:themeColor="text1"/>
        </w:rPr>
        <w:t xml:space="preserve"> el</w:t>
      </w:r>
      <w:r w:rsidRPr="00FE5A24">
        <w:rPr>
          <w:rFonts w:ascii="Verdana" w:eastAsia="Century Gothic" w:hAnsi="Verdana" w:cs="Century Gothic"/>
          <w:color w:val="000000" w:themeColor="text1"/>
        </w:rPr>
        <w:t xml:space="preserve"> siguiente problema jurídico: </w:t>
      </w:r>
      <w:r>
        <w:rPr>
          <w:rFonts w:ascii="Verdana" w:eastAsia="Century Gothic" w:hAnsi="Verdana" w:cs="Century Gothic"/>
          <w:color w:val="000000" w:themeColor="text1"/>
        </w:rPr>
        <w:t>¿</w:t>
      </w:r>
      <w:r w:rsidRPr="003C18D8">
        <w:rPr>
          <w:rFonts w:ascii="Verdana" w:eastAsia="Century Gothic" w:hAnsi="Verdana" w:cs="Century Gothic"/>
          <w:color w:val="000000" w:themeColor="text1"/>
        </w:rPr>
        <w:t xml:space="preserve">Qué criterios deben aplicar las entidades para determinar los requisitos habilitantes en sus procesos de selección? </w:t>
      </w:r>
    </w:p>
    <w:p w14:paraId="4C828226" w14:textId="77777777" w:rsidR="009E6386" w:rsidRPr="00FE5A24" w:rsidRDefault="009E6386" w:rsidP="009E6386">
      <w:pPr>
        <w:spacing w:after="0" w:line="276" w:lineRule="auto"/>
        <w:jc w:val="both"/>
        <w:rPr>
          <w:rFonts w:ascii="Verdana" w:eastAsia="Calibri" w:hAnsi="Verdana" w:cs="Arial"/>
          <w:color w:val="000000" w:themeColor="text1"/>
          <w:lang w:val="es-ES"/>
        </w:rPr>
      </w:pPr>
    </w:p>
    <w:p w14:paraId="45C7B96E" w14:textId="77777777" w:rsidR="009E6386" w:rsidRPr="00FE5A24" w:rsidRDefault="009E6386" w:rsidP="009E6386">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Respuesta:</w:t>
      </w:r>
    </w:p>
    <w:p w14:paraId="1A2191B2" w14:textId="77777777" w:rsidR="009E6386" w:rsidRPr="00FE5A24" w:rsidRDefault="009E6386" w:rsidP="009E6386">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E6386" w:rsidRPr="00FE5A24" w14:paraId="196E0C2F" w14:textId="77777777" w:rsidTr="006A4A3A">
        <w:tc>
          <w:tcPr>
            <w:tcW w:w="8828" w:type="dxa"/>
            <w:shd w:val="clear" w:color="auto" w:fill="auto"/>
          </w:tcPr>
          <w:p w14:paraId="14DF2040" w14:textId="77777777" w:rsidR="009E6386" w:rsidRDefault="009E6386" w:rsidP="006A4A3A">
            <w:pPr>
              <w:spacing w:before="120" w:after="120" w:line="276" w:lineRule="auto"/>
              <w:jc w:val="both"/>
              <w:rPr>
                <w:rFonts w:ascii="Verdana" w:eastAsia="Times New Roman" w:hAnsi="Verdana" w:cs="Arial"/>
                <w:lang w:val="es-ES" w:eastAsia="es-MX"/>
              </w:rPr>
            </w:pPr>
            <w:r>
              <w:rPr>
                <w:rFonts w:ascii="Verdana" w:eastAsia="Calibri" w:hAnsi="Verdana" w:cs="Arial"/>
                <w:lang w:val="es-ES" w:eastAsia="es-MX"/>
              </w:rPr>
              <w:t>L</w:t>
            </w:r>
            <w:r w:rsidRPr="001A4E79">
              <w:rPr>
                <w:rFonts w:ascii="Verdana" w:eastAsia="Calibri" w:hAnsi="Verdana" w:cs="Arial"/>
                <w:lang w:val="es-ES" w:eastAsia="es-MX"/>
              </w:rPr>
              <w:t xml:space="preserve">os </w:t>
            </w:r>
            <w:r w:rsidRPr="001A4E79">
              <w:rPr>
                <w:rFonts w:ascii="Verdana" w:eastAsia="Calibri" w:hAnsi="Verdana" w:cs="Arial"/>
                <w:i/>
                <w:iCs/>
                <w:lang w:val="es-ES" w:eastAsia="es-MX"/>
              </w:rPr>
              <w:t>requisitos habilitantes</w:t>
            </w:r>
            <w:r w:rsidRPr="001A4E79">
              <w:rPr>
                <w:rFonts w:ascii="Verdana" w:eastAsia="Calibri" w:hAnsi="Verdana" w:cs="Arial"/>
                <w:lang w:val="es-ES" w:eastAsia="es-MX"/>
              </w:rPr>
              <w:t xml:space="preserve"> se definen como aquellas exigencias de participación en los procedimientos de selección, establecidas en disposiciones normativas, de carácter legal o reglamentario, o contenidas en el acto administrativo que regula las reglas de la convocatoria–es decir, en el pliego de condiciones o el documento equivalente a este–</w:t>
            </w:r>
            <w:r>
              <w:rPr>
                <w:rFonts w:ascii="Verdana" w:eastAsia="Calibri" w:hAnsi="Verdana" w:cs="Arial"/>
                <w:lang w:val="es-ES" w:eastAsia="es-MX"/>
              </w:rPr>
              <w:t xml:space="preserve">, mediante los cuales se mide </w:t>
            </w:r>
            <w:r w:rsidRPr="001A4E79">
              <w:rPr>
                <w:rFonts w:ascii="Verdana" w:eastAsia="Times New Roman" w:hAnsi="Verdana" w:cs="Arial"/>
                <w:lang w:val="es-ES" w:eastAsia="es-MX"/>
              </w:rPr>
              <w:t>la aptitud del proponente para participar en un Proceso de Contratación</w:t>
            </w:r>
            <w:r>
              <w:rPr>
                <w:rFonts w:ascii="Verdana" w:eastAsia="Times New Roman" w:hAnsi="Verdana" w:cs="Arial"/>
                <w:lang w:val="es-ES" w:eastAsia="es-MX"/>
              </w:rPr>
              <w:t xml:space="preserve">. </w:t>
            </w:r>
          </w:p>
          <w:p w14:paraId="4EE4EEC5" w14:textId="7F1EAA11" w:rsidR="009E6386" w:rsidRDefault="009E6386" w:rsidP="006A4A3A">
            <w:pPr>
              <w:spacing w:before="120" w:after="120" w:line="276" w:lineRule="auto"/>
              <w:ind w:firstLine="879"/>
              <w:jc w:val="both"/>
              <w:rPr>
                <w:rFonts w:ascii="Verdana" w:hAnsi="Verdana" w:cs="Arial"/>
                <w:bCs/>
                <w:sz w:val="21"/>
                <w:szCs w:val="21"/>
                <w:lang w:val="es-ES" w:eastAsia="es-ES" w:bidi="es-ES"/>
              </w:rPr>
            </w:pPr>
            <w:r>
              <w:rPr>
                <w:rFonts w:ascii="Verdana" w:hAnsi="Verdana" w:cs="Arial"/>
                <w:bCs/>
                <w:lang w:val="es-ES" w:eastAsia="es-ES" w:bidi="es-ES"/>
              </w:rPr>
              <w:t>L</w:t>
            </w:r>
            <w:r w:rsidRPr="0041694B">
              <w:rPr>
                <w:rFonts w:ascii="Verdana" w:hAnsi="Verdana" w:cs="Arial"/>
                <w:bCs/>
                <w:lang w:val="es-ES" w:eastAsia="es-ES" w:bidi="es-ES"/>
              </w:rPr>
              <w:t xml:space="preserve">os factores de escogencia y calificación que establezcan las </w:t>
            </w:r>
            <w:r w:rsidR="00A74E45" w:rsidRPr="00C94107">
              <w:rPr>
                <w:rFonts w:ascii="Verdana" w:hAnsi="Verdana" w:cs="Arial"/>
                <w:bCs/>
                <w:lang w:val="es-ES" w:eastAsia="es-ES" w:bidi="es-ES"/>
              </w:rPr>
              <w:t>Entidades</w:t>
            </w:r>
            <w:r w:rsidRPr="0041694B">
              <w:rPr>
                <w:rFonts w:ascii="Verdana" w:hAnsi="Verdana" w:cs="Arial"/>
                <w:bCs/>
                <w:lang w:val="es-ES" w:eastAsia="es-ES" w:bidi="es-ES"/>
              </w:rPr>
              <w:t xml:space="preserve"> en los pliegos de condiciones o sus documentos equivalentes deberán tener en cuenta</w:t>
            </w:r>
            <w:r>
              <w:rPr>
                <w:rFonts w:ascii="Verdana" w:hAnsi="Verdana" w:cs="Arial"/>
                <w:bCs/>
                <w:lang w:val="es-ES" w:eastAsia="es-ES" w:bidi="es-ES"/>
              </w:rPr>
              <w:t xml:space="preserve"> el deber de selección objetiva</w:t>
            </w:r>
            <w:r w:rsidRPr="0041694B">
              <w:rPr>
                <w:rFonts w:ascii="Verdana" w:hAnsi="Verdana" w:cs="Arial"/>
                <w:bCs/>
                <w:lang w:val="es-ES" w:eastAsia="es-ES" w:bidi="es-ES"/>
              </w:rPr>
              <w:t xml:space="preserve">. </w:t>
            </w:r>
            <w:r>
              <w:rPr>
                <w:rFonts w:ascii="Verdana" w:hAnsi="Verdana" w:cs="Arial"/>
                <w:bCs/>
                <w:lang w:val="es-ES" w:eastAsia="es-ES" w:bidi="es-ES"/>
              </w:rPr>
              <w:t xml:space="preserve">En especial, señala la Ley que los criterios habilitantes que determine la </w:t>
            </w:r>
            <w:r w:rsidR="0031745A" w:rsidRPr="00C94107">
              <w:rPr>
                <w:rFonts w:ascii="Verdana" w:hAnsi="Verdana" w:cs="Arial"/>
                <w:bCs/>
                <w:lang w:val="es-ES" w:eastAsia="es-ES" w:bidi="es-ES"/>
              </w:rPr>
              <w:t>Entidad</w:t>
            </w:r>
            <w:r>
              <w:rPr>
                <w:rFonts w:ascii="Verdana" w:hAnsi="Verdana" w:cs="Arial"/>
                <w:bCs/>
                <w:lang w:val="es-ES" w:eastAsia="es-ES" w:bidi="es-ES"/>
              </w:rPr>
              <w:t xml:space="preserve"> deberán ser </w:t>
            </w:r>
            <w:r w:rsidRPr="00AC594D">
              <w:rPr>
                <w:rFonts w:ascii="Verdana" w:hAnsi="Verdana" w:cs="Arial"/>
                <w:bCs/>
                <w:i/>
                <w:iCs/>
                <w:sz w:val="21"/>
                <w:szCs w:val="21"/>
                <w:lang w:val="es-ES" w:eastAsia="es-ES" w:bidi="es-ES"/>
              </w:rPr>
              <w:t>adecuados y proporcionales</w:t>
            </w:r>
            <w:r w:rsidRPr="00B878ED">
              <w:rPr>
                <w:rFonts w:ascii="Verdana" w:hAnsi="Verdana" w:cs="Arial"/>
                <w:bCs/>
                <w:sz w:val="21"/>
                <w:szCs w:val="21"/>
                <w:lang w:val="es-ES" w:eastAsia="es-ES" w:bidi="es-ES"/>
              </w:rPr>
              <w:t xml:space="preserve"> a la naturaleza del contrato a suscribir y a su valor</w:t>
            </w:r>
            <w:r>
              <w:rPr>
                <w:rFonts w:ascii="Verdana" w:hAnsi="Verdana" w:cs="Arial"/>
                <w:bCs/>
                <w:sz w:val="21"/>
                <w:szCs w:val="21"/>
                <w:lang w:val="es-ES" w:eastAsia="es-ES" w:bidi="es-ES"/>
              </w:rPr>
              <w:t>. De esta manera, las condiciones habilitantes que no resulten adecuadas para determinar la idoneidad o capacidad del proponente para cumplir con el objeto del contrato, o que sean desproporcionados frente a este, serán contrarias al deber de selección objetiva.</w:t>
            </w:r>
          </w:p>
          <w:p w14:paraId="4E7C8102" w14:textId="53E5BD50" w:rsidR="009E6386" w:rsidRPr="001346EE" w:rsidRDefault="009E6386" w:rsidP="006A4A3A">
            <w:pPr>
              <w:tabs>
                <w:tab w:val="left" w:pos="426"/>
              </w:tabs>
              <w:spacing w:before="120" w:after="120" w:line="276" w:lineRule="auto"/>
              <w:ind w:firstLine="709"/>
              <w:jc w:val="both"/>
              <w:rPr>
                <w:rFonts w:ascii="Verdana" w:eastAsia="Times New Roman" w:hAnsi="Verdana" w:cs="Arial"/>
                <w:lang w:val="es-ES" w:eastAsia="es-MX"/>
              </w:rPr>
            </w:pPr>
            <w:r>
              <w:rPr>
                <w:rFonts w:ascii="Verdana" w:eastAsia="Times New Roman" w:hAnsi="Verdana" w:cs="Arial"/>
                <w:lang w:val="es-ES" w:eastAsia="es-MX"/>
              </w:rPr>
              <w:t>En este sentido,</w:t>
            </w:r>
            <w:r w:rsidRPr="00C94107">
              <w:rPr>
                <w:rFonts w:ascii="Verdana" w:eastAsia="Times New Roman" w:hAnsi="Verdana" w:cs="Arial"/>
                <w:lang w:val="es-ES" w:eastAsia="es-MX"/>
              </w:rPr>
              <w:t xml:space="preserve"> </w:t>
            </w:r>
            <w:r w:rsidR="00761FC1">
              <w:rPr>
                <w:rFonts w:ascii="Verdana" w:eastAsia="Times New Roman" w:hAnsi="Verdana" w:cs="Arial"/>
                <w:lang w:val="es-ES" w:eastAsia="es-MX"/>
              </w:rPr>
              <w:t>si bien</w:t>
            </w:r>
            <w:r>
              <w:rPr>
                <w:rFonts w:ascii="Verdana" w:eastAsia="Times New Roman" w:hAnsi="Verdana" w:cs="Arial"/>
                <w:lang w:val="es-ES" w:eastAsia="es-MX"/>
              </w:rPr>
              <w:t xml:space="preserve"> </w:t>
            </w:r>
            <w:r w:rsidRPr="00987A26">
              <w:rPr>
                <w:rFonts w:ascii="Verdana" w:eastAsia="Times New Roman" w:hAnsi="Verdana" w:cs="Arial"/>
                <w:lang w:val="es-ES" w:eastAsia="es-MX"/>
              </w:rPr>
              <w:t>las Entidades Estatales son autónomas para definir los requisitos habilitantes,</w:t>
            </w:r>
            <w:r w:rsidR="00CF62BB" w:rsidRPr="00C94107">
              <w:rPr>
                <w:rFonts w:ascii="Verdana" w:eastAsia="Times New Roman" w:hAnsi="Verdana" w:cs="Arial"/>
                <w:i/>
                <w:iCs/>
                <w:lang w:val="es-ES" w:eastAsia="es-MX"/>
              </w:rPr>
              <w:t xml:space="preserve"> tal facultad no puede ejercerse de forma arbitraria</w:t>
            </w:r>
            <w:r w:rsidR="00CF62BB" w:rsidRPr="00C94107">
              <w:rPr>
                <w:rFonts w:ascii="Verdana" w:eastAsia="Times New Roman" w:hAnsi="Verdana" w:cs="Arial"/>
                <w:lang w:val="es-ES" w:eastAsia="es-MX"/>
              </w:rPr>
              <w:t xml:space="preserve">, </w:t>
            </w:r>
            <w:r w:rsidR="00CF62BB" w:rsidRPr="00C94107">
              <w:rPr>
                <w:rFonts w:ascii="Verdana" w:eastAsia="Times New Roman" w:hAnsi="Verdana" w:cs="Arial"/>
                <w:i/>
                <w:iCs/>
                <w:lang w:val="es-ES" w:eastAsia="es-MX"/>
              </w:rPr>
              <w:t>caprichosa y, mucho menos, con el ánimo de direccionar el proceso de contratación o favorecer a alguno de los proponentes.</w:t>
            </w:r>
            <w:r w:rsidR="00CF62BB" w:rsidRPr="00C94107">
              <w:rPr>
                <w:rFonts w:ascii="Verdana" w:eastAsia="Times New Roman" w:hAnsi="Verdana" w:cs="Arial"/>
                <w:lang w:val="es-ES" w:eastAsia="es-MX"/>
              </w:rPr>
              <w:t xml:space="preserve"> </w:t>
            </w:r>
            <w:r w:rsidR="00CF62BB">
              <w:rPr>
                <w:rFonts w:ascii="Verdana" w:eastAsia="Times New Roman" w:hAnsi="Verdana" w:cs="Arial"/>
                <w:lang w:val="es-ES" w:eastAsia="es-MX"/>
              </w:rPr>
              <w:t>Dicha</w:t>
            </w:r>
            <w:r w:rsidR="00564B06">
              <w:rPr>
                <w:rFonts w:ascii="Verdana" w:eastAsia="Times New Roman" w:hAnsi="Verdana" w:cs="Arial"/>
                <w:lang w:val="es-ES" w:eastAsia="es-MX"/>
              </w:rPr>
              <w:t xml:space="preserve"> autonomía</w:t>
            </w:r>
            <w:r w:rsidRPr="00987A26">
              <w:rPr>
                <w:rFonts w:ascii="Verdana" w:eastAsia="Times New Roman" w:hAnsi="Verdana" w:cs="Arial"/>
                <w:lang w:val="es-ES" w:eastAsia="es-MX"/>
              </w:rPr>
              <w:t xml:space="preserve"> debe ser ejercida procurando diseñar condiciones habilitantes de manera objetiva, de suerte que estas sirvan para determinar si los participantes del proceso de contratación cuentan con las capacidades que los hacen aptos para ejecutar el objeto contractual. Para esto resulta indispensable que los requisitos establecidos por la entidad, además se fijen de manera adecuada y proporcional a las características del objeto</w:t>
            </w:r>
            <w:r>
              <w:rPr>
                <w:rFonts w:ascii="Verdana" w:eastAsia="Times New Roman" w:hAnsi="Verdana" w:cs="Arial"/>
                <w:lang w:val="es-ES" w:eastAsia="es-MX"/>
              </w:rPr>
              <w:t xml:space="preserve"> a contratar</w:t>
            </w:r>
            <w:r w:rsidRPr="00987A26">
              <w:rPr>
                <w:rFonts w:ascii="Verdana" w:eastAsia="Times New Roman" w:hAnsi="Verdana" w:cs="Arial"/>
                <w:lang w:val="es-ES" w:eastAsia="es-MX"/>
              </w:rPr>
              <w:t>, procurando además ceñirse a la normativa que resulte aplicable.</w:t>
            </w:r>
            <w:r w:rsidRPr="001A4E79">
              <w:rPr>
                <w:rFonts w:ascii="Verdana" w:eastAsia="Times New Roman" w:hAnsi="Verdana" w:cs="Arial"/>
                <w:lang w:val="es-ES" w:eastAsia="es-MX"/>
              </w:rPr>
              <w:t xml:space="preserve"> </w:t>
            </w:r>
          </w:p>
        </w:tc>
      </w:tr>
    </w:tbl>
    <w:p w14:paraId="2DD6347A" w14:textId="77777777" w:rsidR="009E6386" w:rsidRPr="00FE5A24" w:rsidRDefault="009E6386" w:rsidP="009E6386">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0DA7F827" w14:textId="77777777" w:rsidR="009E6386" w:rsidRPr="00FE5A24" w:rsidRDefault="009E6386" w:rsidP="009E6386">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Razones de la respuesta:</w:t>
      </w:r>
    </w:p>
    <w:p w14:paraId="7FE79CBF" w14:textId="77777777" w:rsidR="009E6386" w:rsidRPr="00FE5A24" w:rsidRDefault="009E6386" w:rsidP="009E6386">
      <w:pPr>
        <w:spacing w:after="0" w:line="276" w:lineRule="auto"/>
        <w:jc w:val="both"/>
        <w:rPr>
          <w:rFonts w:ascii="Verdana" w:eastAsia="Calibri" w:hAnsi="Verdana" w:cs="Arial"/>
          <w:color w:val="000000" w:themeColor="text1"/>
          <w:lang w:val="es-ES"/>
        </w:rPr>
      </w:pPr>
    </w:p>
    <w:p w14:paraId="73754E82" w14:textId="77777777" w:rsidR="009E6386" w:rsidRPr="00FE5A24" w:rsidRDefault="009E6386" w:rsidP="009E6386">
      <w:pPr>
        <w:spacing w:after="0" w:line="276" w:lineRule="auto"/>
        <w:jc w:val="both"/>
        <w:rPr>
          <w:rFonts w:ascii="Verdana" w:eastAsia="Calibri" w:hAnsi="Verdana" w:cs="Arial"/>
          <w:color w:val="000000" w:themeColor="text1"/>
          <w:lang w:val="es-ES"/>
        </w:rPr>
      </w:pPr>
      <w:r w:rsidRPr="00FE5A24">
        <w:rPr>
          <w:rFonts w:ascii="Verdana" w:eastAsia="Calibri" w:hAnsi="Verdana" w:cs="Arial"/>
          <w:color w:val="000000" w:themeColor="text1"/>
          <w:lang w:val="es-ES"/>
        </w:rPr>
        <w:t xml:space="preserve">Lo anterior se sustenta en las siguientes consideraciones: </w:t>
      </w:r>
    </w:p>
    <w:p w14:paraId="7651CCA1" w14:textId="77777777" w:rsidR="009E6386" w:rsidRPr="00FE5A24" w:rsidRDefault="009E6386" w:rsidP="009E6386">
      <w:pPr>
        <w:spacing w:after="0" w:line="276" w:lineRule="auto"/>
        <w:jc w:val="both"/>
        <w:rPr>
          <w:rFonts w:ascii="Verdana" w:eastAsia="Calibri" w:hAnsi="Verdana" w:cs="Arial"/>
          <w:color w:val="000000" w:themeColor="text1"/>
          <w:lang w:val="es-ES"/>
        </w:rPr>
      </w:pPr>
    </w:p>
    <w:p w14:paraId="3B2442FC" w14:textId="5813B63F" w:rsidR="009E6386" w:rsidRDefault="009E6386" w:rsidP="009E6386">
      <w:pPr>
        <w:spacing w:after="120" w:line="276" w:lineRule="auto"/>
        <w:jc w:val="both"/>
        <w:rPr>
          <w:rFonts w:ascii="Verdana" w:hAnsi="Verdana" w:cs="Arial"/>
          <w:bCs/>
          <w:lang w:val="es-ES_tradnl" w:eastAsia="es-ES" w:bidi="es-ES"/>
        </w:rPr>
      </w:pPr>
      <w:r>
        <w:rPr>
          <w:rFonts w:ascii="Verdana" w:hAnsi="Verdana" w:cs="Arial"/>
          <w:bCs/>
          <w:lang w:val="es-ES_tradnl" w:eastAsia="es-ES" w:bidi="es-ES"/>
        </w:rPr>
        <w:t xml:space="preserve">(i) </w:t>
      </w:r>
      <w:r w:rsidRPr="0041694B">
        <w:rPr>
          <w:rFonts w:ascii="Verdana" w:hAnsi="Verdana" w:cs="Arial"/>
          <w:bCs/>
          <w:lang w:val="es-ES_tradnl" w:eastAsia="es-ES" w:bidi="es-ES"/>
        </w:rPr>
        <w:t xml:space="preserve">Los </w:t>
      </w:r>
      <w:r w:rsidRPr="0041694B">
        <w:rPr>
          <w:rFonts w:ascii="Verdana" w:hAnsi="Verdana" w:cs="Arial"/>
          <w:bCs/>
          <w:i/>
          <w:iCs/>
          <w:lang w:val="es-ES_tradnl" w:eastAsia="es-ES" w:bidi="es-ES"/>
        </w:rPr>
        <w:t>requisitos habilitantes</w:t>
      </w:r>
      <w:r w:rsidRPr="0041694B">
        <w:rPr>
          <w:rFonts w:ascii="Verdana" w:hAnsi="Verdana" w:cs="Arial"/>
          <w:bCs/>
          <w:lang w:val="es-ES_tradnl" w:eastAsia="es-ES" w:bidi="es-ES"/>
        </w:rPr>
        <w:t xml:space="preserve"> se definen como exigencias de participación en los procedimientos de selección, establecid</w:t>
      </w:r>
      <w:r>
        <w:rPr>
          <w:rFonts w:ascii="Verdana" w:hAnsi="Verdana" w:cs="Arial"/>
          <w:bCs/>
          <w:lang w:val="es-ES_tradnl" w:eastAsia="es-ES" w:bidi="es-ES"/>
        </w:rPr>
        <w:t>a</w:t>
      </w:r>
      <w:r w:rsidRPr="0041694B">
        <w:rPr>
          <w:rFonts w:ascii="Verdana" w:hAnsi="Verdana" w:cs="Arial"/>
          <w:bCs/>
          <w:lang w:val="es-ES_tradnl" w:eastAsia="es-ES" w:bidi="es-ES"/>
        </w:rPr>
        <w:t xml:space="preserve">s en disposiciones normativas de carácter legal o reglamentario, o contenidas en el acto administrativo que regula las reglas de la convocatoria, es decir, en el pliego de condiciones o el documento </w:t>
      </w:r>
      <w:r w:rsidRPr="0041694B">
        <w:rPr>
          <w:rFonts w:ascii="Verdana" w:hAnsi="Verdana" w:cs="Arial"/>
          <w:bCs/>
          <w:lang w:val="es-ES_tradnl" w:eastAsia="es-ES" w:bidi="es-ES"/>
        </w:rPr>
        <w:lastRenderedPageBreak/>
        <w:t xml:space="preserve">equivalente a este. Se diferencian de los </w:t>
      </w:r>
      <w:r w:rsidRPr="0041694B">
        <w:rPr>
          <w:rFonts w:ascii="Verdana" w:hAnsi="Verdana" w:cs="Arial"/>
          <w:bCs/>
          <w:i/>
          <w:iCs/>
          <w:lang w:val="es-ES_tradnl" w:eastAsia="es-ES" w:bidi="es-ES"/>
        </w:rPr>
        <w:t>criterios de evaluación</w:t>
      </w:r>
      <w:r w:rsidRPr="0041694B">
        <w:rPr>
          <w:rFonts w:ascii="Verdana" w:hAnsi="Verdana" w:cs="Arial"/>
          <w:bCs/>
          <w:lang w:val="es-ES_tradnl" w:eastAsia="es-ES" w:bidi="es-ES"/>
        </w:rPr>
        <w:t xml:space="preserve"> –también conocidos como </w:t>
      </w:r>
      <w:r w:rsidRPr="0041694B">
        <w:rPr>
          <w:rFonts w:ascii="Verdana" w:hAnsi="Verdana" w:cs="Arial"/>
          <w:bCs/>
          <w:i/>
          <w:iCs/>
          <w:lang w:val="es-ES_tradnl" w:eastAsia="es-ES" w:bidi="es-ES"/>
        </w:rPr>
        <w:t>criterios de calificación</w:t>
      </w:r>
      <w:r w:rsidRPr="0041694B">
        <w:rPr>
          <w:rFonts w:ascii="Verdana" w:hAnsi="Verdana" w:cs="Arial"/>
          <w:bCs/>
          <w:lang w:val="es-ES_tradnl" w:eastAsia="es-ES" w:bidi="es-ES"/>
        </w:rPr>
        <w:t>– en que estos son los factores definidos por la Entidad Estatal para la asignación de puntaje en el momento de la comparación de las ofertas, y que, a partir de su ponderación, permiten establecer el orden de elegibilidad y</w:t>
      </w:r>
      <w:r w:rsidR="00A81D2B" w:rsidRPr="00C94107">
        <w:rPr>
          <w:rFonts w:ascii="Verdana" w:hAnsi="Verdana" w:cs="Arial"/>
          <w:bCs/>
          <w:lang w:val="es-ES_tradnl" w:eastAsia="es-ES" w:bidi="es-ES"/>
        </w:rPr>
        <w:t>, por ende,</w:t>
      </w:r>
      <w:r>
        <w:rPr>
          <w:rFonts w:ascii="Verdana" w:hAnsi="Verdana" w:cs="Arial"/>
          <w:bCs/>
          <w:lang w:val="es-ES_tradnl" w:eastAsia="es-ES" w:bidi="es-ES"/>
        </w:rPr>
        <w:t xml:space="preserve"> </w:t>
      </w:r>
      <w:r w:rsidRPr="0041694B">
        <w:rPr>
          <w:rFonts w:ascii="Verdana" w:hAnsi="Verdana" w:cs="Arial"/>
          <w:bCs/>
          <w:lang w:val="es-ES_tradnl" w:eastAsia="es-ES" w:bidi="es-ES"/>
        </w:rPr>
        <w:t xml:space="preserve">la propuesta ganadora. </w:t>
      </w:r>
    </w:p>
    <w:p w14:paraId="792A992E" w14:textId="23FA3A8A" w:rsidR="009E6386" w:rsidRPr="000D0F09" w:rsidRDefault="009E6386" w:rsidP="009E6386">
      <w:pPr>
        <w:spacing w:after="120" w:line="276" w:lineRule="auto"/>
        <w:ind w:firstLine="708"/>
        <w:jc w:val="both"/>
        <w:rPr>
          <w:rFonts w:ascii="Verdana" w:eastAsia="Calibri" w:hAnsi="Verdana" w:cs="Arial"/>
          <w:lang w:val="es-ES" w:eastAsia="es-MX"/>
        </w:rPr>
      </w:pPr>
      <w:bookmarkStart w:id="2" w:name="_Hlk191626670"/>
      <w:r w:rsidRPr="001A4E79">
        <w:rPr>
          <w:rFonts w:ascii="Verdana" w:eastAsia="Calibri" w:hAnsi="Verdana" w:cs="Arial"/>
          <w:lang w:val="es-ES" w:eastAsia="es-MX"/>
        </w:rPr>
        <w:t>Los requisitos habilitantes constituyen los requ</w:t>
      </w:r>
      <w:r>
        <w:rPr>
          <w:rFonts w:ascii="Verdana" w:eastAsia="Calibri" w:hAnsi="Verdana" w:cs="Arial"/>
          <w:lang w:val="es-ES" w:eastAsia="es-MX"/>
        </w:rPr>
        <w:t>isi</w:t>
      </w:r>
      <w:r w:rsidRPr="001A4E79">
        <w:rPr>
          <w:rFonts w:ascii="Verdana" w:eastAsia="Calibri" w:hAnsi="Verdana" w:cs="Arial"/>
          <w:lang w:val="es-ES" w:eastAsia="es-MX"/>
        </w:rPr>
        <w:t>tos mínimos con los que deben cumplir los proponentes para poder participar en el procedimiento de selección, razón por la que los mismos no se valoran con un puntaje tendiente a determinar el orden de escogencia, sino que se analizan como criterios previos a la evaluación en sentido estricto</w:t>
      </w:r>
      <w:r w:rsidR="00EE103C" w:rsidRPr="00C94107">
        <w:rPr>
          <w:rFonts w:ascii="Verdana" w:eastAsia="Calibri" w:hAnsi="Verdana" w:cs="Arial"/>
          <w:lang w:val="es-ES" w:eastAsia="es-MX"/>
        </w:rPr>
        <w:t>. De esta</w:t>
      </w:r>
      <w:r w:rsidRPr="001A4E79">
        <w:rPr>
          <w:rFonts w:ascii="Verdana" w:eastAsia="Calibri" w:hAnsi="Verdana" w:cs="Arial"/>
          <w:lang w:val="es-ES" w:eastAsia="es-MX"/>
        </w:rPr>
        <w:t xml:space="preserve"> manera</w:t>
      </w:r>
      <w:r w:rsidR="00EE103C" w:rsidRPr="00C94107">
        <w:rPr>
          <w:rFonts w:ascii="Verdana" w:eastAsia="Calibri" w:hAnsi="Verdana" w:cs="Arial"/>
          <w:lang w:val="es-ES" w:eastAsia="es-MX"/>
        </w:rPr>
        <w:t>,</w:t>
      </w:r>
      <w:r w:rsidRPr="001A4E79">
        <w:rPr>
          <w:rFonts w:ascii="Verdana" w:eastAsia="Calibri" w:hAnsi="Verdana" w:cs="Arial"/>
          <w:lang w:val="es-ES" w:eastAsia="es-MX"/>
        </w:rPr>
        <w:t xml:space="preserve"> quienes no los reúnan no pueden continuar en el procedimiento de selección, es decir, incurren en causal de rechazo. </w:t>
      </w:r>
      <w:bookmarkEnd w:id="2"/>
      <w:r w:rsidRPr="001A4E79">
        <w:rPr>
          <w:rFonts w:ascii="Verdana" w:eastAsia="Calibri" w:hAnsi="Verdana" w:cs="Arial"/>
          <w:lang w:val="es-ES" w:eastAsia="es-MX"/>
        </w:rPr>
        <w:t>Esto</w:t>
      </w:r>
      <w:r w:rsidR="00F920CD" w:rsidRPr="00C94107">
        <w:rPr>
          <w:rFonts w:ascii="Verdana" w:eastAsia="Calibri" w:hAnsi="Verdana" w:cs="Arial"/>
          <w:lang w:val="es-ES" w:eastAsia="es-MX"/>
        </w:rPr>
        <w:t>,</w:t>
      </w:r>
      <w:r w:rsidRPr="001A4E79">
        <w:rPr>
          <w:rFonts w:ascii="Verdana" w:eastAsia="Calibri" w:hAnsi="Verdana" w:cs="Arial"/>
          <w:lang w:val="es-ES" w:eastAsia="es-MX"/>
        </w:rPr>
        <w:t xml:space="preserve"> sin perjuicio del derecho que tienen los oferentes de subsanar los defectos que se presenten en la prueba de tales requisitos, de conformidad con el </w:t>
      </w:r>
      <w:bookmarkStart w:id="3" w:name="_Hlk191626971"/>
      <w:r w:rsidRPr="001A4E79">
        <w:rPr>
          <w:rFonts w:ascii="Verdana" w:eastAsia="Calibri" w:hAnsi="Verdana" w:cs="Arial"/>
          <w:lang w:val="es-ES" w:eastAsia="es-MX"/>
        </w:rPr>
        <w:t>artículo 5, parágrafos 1º al 4º, de la Ley 1150 de 2007</w:t>
      </w:r>
      <w:bookmarkEnd w:id="3"/>
      <w:r w:rsidRPr="001A4E79">
        <w:rPr>
          <w:rFonts w:ascii="Verdana" w:eastAsia="Calibri" w:hAnsi="Verdana" w:cs="Arial"/>
          <w:lang w:val="es-ES" w:eastAsia="es-MX"/>
        </w:rPr>
        <w:t>.</w:t>
      </w:r>
    </w:p>
    <w:p w14:paraId="5A8E5065" w14:textId="111C2DB0" w:rsidR="00041BB8" w:rsidRPr="00C94107" w:rsidRDefault="00167D6C" w:rsidP="009E6386">
      <w:pPr>
        <w:spacing w:after="120" w:line="276" w:lineRule="auto"/>
        <w:ind w:firstLine="708"/>
        <w:jc w:val="both"/>
        <w:rPr>
          <w:rFonts w:ascii="Verdana" w:hAnsi="Verdana" w:cs="Arial"/>
          <w:color w:val="000000" w:themeColor="text1"/>
          <w:lang w:val="es-ES_tradnl"/>
        </w:rPr>
      </w:pPr>
      <w:r w:rsidRPr="00C94107">
        <w:rPr>
          <w:rFonts w:ascii="Verdana" w:hAnsi="Verdana" w:cs="Arial"/>
          <w:color w:val="000000" w:themeColor="text1"/>
          <w:lang w:val="es-ES_tradnl"/>
        </w:rPr>
        <w:t xml:space="preserve">El mencionado artículo dispone que se considera objetiva la selección en la cual la escogencia se haga al ofrecimiento más favorable a la </w:t>
      </w:r>
      <w:r w:rsidR="00B90126" w:rsidRPr="00C94107">
        <w:rPr>
          <w:rFonts w:ascii="Verdana" w:hAnsi="Verdana" w:cs="Arial"/>
          <w:color w:val="000000" w:themeColor="text1"/>
          <w:lang w:val="es-ES_tradnl"/>
        </w:rPr>
        <w:t xml:space="preserve">Entidad </w:t>
      </w:r>
      <w:r w:rsidRPr="00C94107">
        <w:rPr>
          <w:rFonts w:ascii="Verdana" w:hAnsi="Verdana" w:cs="Arial"/>
          <w:color w:val="000000" w:themeColor="text1"/>
          <w:lang w:val="es-ES_tradnl"/>
        </w:rPr>
        <w:t>y a los fines que ella busca, sin tener en consideración factores de afecto o de interés y, en general, cualquier clase de motivación subjetiva</w:t>
      </w:r>
      <w:r w:rsidRPr="00C94107">
        <w:rPr>
          <w:rFonts w:ascii="Verdana" w:hAnsi="Verdana" w:cs="Arial"/>
          <w:i/>
          <w:iCs/>
          <w:color w:val="000000" w:themeColor="text1"/>
          <w:lang w:val="es-ES_tradnl"/>
        </w:rPr>
        <w:t>.</w:t>
      </w:r>
      <w:r w:rsidRPr="00C94107">
        <w:rPr>
          <w:rFonts w:ascii="Verdana" w:hAnsi="Verdana" w:cs="Arial"/>
          <w:color w:val="000000" w:themeColor="text1"/>
          <w:lang w:val="es-ES_tradnl"/>
        </w:rPr>
        <w:t xml:space="preserve"> En ese contexto, los factores de escogencia y calificación que establezcan las Entidades en los pliegos de condiciones o en sus documentos equivalentes deberán tener en cuenta, entre otras cuestiones, los criterios establecidos en dicha disposición. </w:t>
      </w:r>
    </w:p>
    <w:p w14:paraId="72437F88" w14:textId="05ABACC4" w:rsidR="009E6386" w:rsidRPr="0041694B" w:rsidRDefault="009E6386" w:rsidP="00B11AE0">
      <w:pPr>
        <w:spacing w:after="0" w:line="276" w:lineRule="auto"/>
        <w:ind w:firstLine="708"/>
        <w:jc w:val="both"/>
        <w:rPr>
          <w:rFonts w:ascii="Verdana" w:hAnsi="Verdana" w:cs="Arial"/>
          <w:bCs/>
          <w:lang w:val="es-ES" w:eastAsia="es-ES" w:bidi="es-ES"/>
        </w:rPr>
      </w:pPr>
      <w:r w:rsidRPr="0041694B">
        <w:rPr>
          <w:rFonts w:ascii="Verdana" w:hAnsi="Verdana" w:cs="Arial"/>
          <w:bCs/>
          <w:lang w:val="es-ES" w:eastAsia="es-ES" w:bidi="es-ES"/>
        </w:rPr>
        <w:t>Específicamente, el numeral 1º del artículo</w:t>
      </w:r>
      <w:r>
        <w:rPr>
          <w:rFonts w:ascii="Verdana" w:hAnsi="Verdana" w:cs="Arial"/>
          <w:bCs/>
          <w:lang w:val="es-ES" w:eastAsia="es-ES" w:bidi="es-ES"/>
        </w:rPr>
        <w:t xml:space="preserve"> 5 de la Ley 1150 de 2007 </w:t>
      </w:r>
      <w:r w:rsidRPr="0041694B">
        <w:rPr>
          <w:rFonts w:ascii="Verdana" w:hAnsi="Verdana" w:cs="Arial"/>
          <w:bCs/>
          <w:lang w:val="es-ES" w:eastAsia="es-ES" w:bidi="es-ES"/>
        </w:rPr>
        <w:t>establece que</w:t>
      </w:r>
      <w:r w:rsidR="00BE1DFC" w:rsidRPr="00C94107">
        <w:rPr>
          <w:rFonts w:ascii="Verdana" w:hAnsi="Verdana" w:cs="Arial"/>
          <w:bCs/>
          <w:lang w:val="es-ES" w:eastAsia="es-ES" w:bidi="es-ES"/>
        </w:rPr>
        <w:t>,</w:t>
      </w:r>
      <w:r w:rsidRPr="0041694B">
        <w:rPr>
          <w:rFonts w:ascii="Verdana" w:hAnsi="Verdana" w:cs="Arial"/>
          <w:bCs/>
          <w:lang w:val="es-ES" w:eastAsia="es-ES" w:bidi="es-ES"/>
        </w:rPr>
        <w:t xml:space="preserve"> en los procesos de selección de contratistas</w:t>
      </w:r>
      <w:r w:rsidR="00BE1DFC" w:rsidRPr="00C94107">
        <w:rPr>
          <w:rFonts w:ascii="Verdana" w:hAnsi="Verdana" w:cs="Arial"/>
          <w:bCs/>
          <w:lang w:val="es-ES" w:eastAsia="es-ES" w:bidi="es-ES"/>
        </w:rPr>
        <w:t>,</w:t>
      </w:r>
      <w:r w:rsidRPr="0041694B">
        <w:rPr>
          <w:rFonts w:ascii="Verdana" w:hAnsi="Verdana" w:cs="Arial"/>
          <w:bCs/>
          <w:lang w:val="es-ES" w:eastAsia="es-ES" w:bidi="es-ES"/>
        </w:rPr>
        <w:t xml:space="preserve"> serán objeto de verificación, como requisitos habilitantes, </w:t>
      </w:r>
      <w:r w:rsidRPr="0041694B">
        <w:rPr>
          <w:rFonts w:ascii="Verdana" w:hAnsi="Verdana" w:cs="Arial"/>
          <w:bCs/>
          <w:i/>
          <w:iCs/>
          <w:lang w:val="es-ES" w:eastAsia="es-ES" w:bidi="es-ES"/>
        </w:rPr>
        <w:t>entre otros</w:t>
      </w:r>
      <w:r w:rsidRPr="0041694B">
        <w:rPr>
          <w:rFonts w:ascii="Verdana" w:hAnsi="Verdana" w:cs="Arial"/>
          <w:bCs/>
          <w:lang w:val="es-ES" w:eastAsia="es-ES" w:bidi="es-ES"/>
        </w:rPr>
        <w:t xml:space="preserve">, los siguientes: </w:t>
      </w:r>
      <w:r>
        <w:rPr>
          <w:rFonts w:ascii="Verdana" w:hAnsi="Verdana" w:cs="Arial"/>
          <w:bCs/>
          <w:lang w:val="es-ES" w:eastAsia="es-ES" w:bidi="es-ES"/>
        </w:rPr>
        <w:t>(</w:t>
      </w:r>
      <w:r w:rsidRPr="0041694B">
        <w:rPr>
          <w:rFonts w:ascii="Verdana" w:hAnsi="Verdana" w:cs="Arial"/>
          <w:bCs/>
          <w:lang w:val="es-ES" w:eastAsia="es-ES" w:bidi="es-ES"/>
        </w:rPr>
        <w:t xml:space="preserve">i) la capacidad jurídica; </w:t>
      </w:r>
      <w:r>
        <w:rPr>
          <w:rFonts w:ascii="Verdana" w:hAnsi="Verdana" w:cs="Arial"/>
          <w:bCs/>
          <w:lang w:val="es-ES" w:eastAsia="es-ES" w:bidi="es-ES"/>
        </w:rPr>
        <w:t>(</w:t>
      </w:r>
      <w:proofErr w:type="spellStart"/>
      <w:r w:rsidRPr="0041694B">
        <w:rPr>
          <w:rFonts w:ascii="Verdana" w:hAnsi="Verdana" w:cs="Arial"/>
          <w:bCs/>
          <w:lang w:val="es-ES" w:eastAsia="es-ES" w:bidi="es-ES"/>
        </w:rPr>
        <w:t>ii</w:t>
      </w:r>
      <w:proofErr w:type="spellEnd"/>
      <w:r w:rsidRPr="0041694B">
        <w:rPr>
          <w:rFonts w:ascii="Verdana" w:hAnsi="Verdana" w:cs="Arial"/>
          <w:bCs/>
          <w:lang w:val="es-ES" w:eastAsia="es-ES" w:bidi="es-ES"/>
        </w:rPr>
        <w:t xml:space="preserve">) la experiencia; </w:t>
      </w:r>
      <w:r>
        <w:rPr>
          <w:rFonts w:ascii="Verdana" w:hAnsi="Verdana" w:cs="Arial"/>
          <w:bCs/>
          <w:lang w:val="es-ES" w:eastAsia="es-ES" w:bidi="es-ES"/>
        </w:rPr>
        <w:t>(</w:t>
      </w:r>
      <w:proofErr w:type="spellStart"/>
      <w:r w:rsidRPr="0041694B">
        <w:rPr>
          <w:rFonts w:ascii="Verdana" w:hAnsi="Verdana" w:cs="Arial"/>
          <w:bCs/>
          <w:lang w:val="es-ES" w:eastAsia="es-ES" w:bidi="es-ES"/>
        </w:rPr>
        <w:t>iii</w:t>
      </w:r>
      <w:proofErr w:type="spellEnd"/>
      <w:r w:rsidRPr="0041694B">
        <w:rPr>
          <w:rFonts w:ascii="Verdana" w:hAnsi="Verdana" w:cs="Arial"/>
          <w:bCs/>
          <w:lang w:val="es-ES" w:eastAsia="es-ES" w:bidi="es-ES"/>
        </w:rPr>
        <w:t xml:space="preserve">) la capacidad financiera y </w:t>
      </w:r>
      <w:r>
        <w:rPr>
          <w:rFonts w:ascii="Verdana" w:hAnsi="Verdana" w:cs="Arial"/>
          <w:bCs/>
          <w:lang w:val="es-ES" w:eastAsia="es-ES" w:bidi="es-ES"/>
        </w:rPr>
        <w:t>(</w:t>
      </w:r>
      <w:proofErr w:type="spellStart"/>
      <w:r w:rsidRPr="0041694B">
        <w:rPr>
          <w:rFonts w:ascii="Verdana" w:hAnsi="Verdana" w:cs="Arial"/>
          <w:bCs/>
          <w:lang w:val="es-ES" w:eastAsia="es-ES" w:bidi="es-ES"/>
        </w:rPr>
        <w:t>iv</w:t>
      </w:r>
      <w:proofErr w:type="spellEnd"/>
      <w:r w:rsidRPr="0041694B">
        <w:rPr>
          <w:rFonts w:ascii="Verdana" w:hAnsi="Verdana" w:cs="Arial"/>
          <w:bCs/>
          <w:lang w:val="es-ES" w:eastAsia="es-ES" w:bidi="es-ES"/>
        </w:rPr>
        <w:t>) la capacidad de organización. En efecto, la normati</w:t>
      </w:r>
      <w:r>
        <w:rPr>
          <w:rFonts w:ascii="Verdana" w:hAnsi="Verdana" w:cs="Arial"/>
          <w:bCs/>
          <w:lang w:val="es-ES" w:eastAsia="es-ES" w:bidi="es-ES"/>
        </w:rPr>
        <w:t>va citada prescribe</w:t>
      </w:r>
      <w:r w:rsidRPr="0041694B">
        <w:rPr>
          <w:rFonts w:ascii="Verdana" w:hAnsi="Verdana" w:cs="Arial"/>
          <w:bCs/>
          <w:lang w:val="es-ES" w:eastAsia="es-ES" w:bidi="es-ES"/>
        </w:rPr>
        <w:t>:</w:t>
      </w:r>
    </w:p>
    <w:p w14:paraId="295AC9D6" w14:textId="77777777" w:rsidR="00B11AE0" w:rsidRPr="00C94107" w:rsidRDefault="00B11AE0" w:rsidP="00810146">
      <w:pPr>
        <w:spacing w:after="0" w:line="276" w:lineRule="auto"/>
        <w:ind w:firstLine="708"/>
        <w:jc w:val="both"/>
        <w:rPr>
          <w:rFonts w:ascii="Verdana" w:hAnsi="Verdana" w:cs="Arial"/>
          <w:bCs/>
          <w:lang w:val="es-ES" w:eastAsia="es-ES" w:bidi="es-ES"/>
        </w:rPr>
      </w:pPr>
    </w:p>
    <w:p w14:paraId="22806E22" w14:textId="77777777" w:rsidR="009E6386" w:rsidRPr="00810146" w:rsidRDefault="009E6386" w:rsidP="009E6386">
      <w:pPr>
        <w:spacing w:after="0" w:line="240" w:lineRule="auto"/>
        <w:ind w:left="709" w:right="709"/>
        <w:jc w:val="both"/>
        <w:rPr>
          <w:rFonts w:ascii="Verdana" w:hAnsi="Verdana" w:cs="Arial"/>
          <w:sz w:val="20"/>
          <w:szCs w:val="20"/>
          <w:lang w:val="es-ES_tradnl" w:eastAsia="es-ES" w:bidi="es-ES"/>
        </w:rPr>
      </w:pPr>
      <w:r w:rsidRPr="00810146">
        <w:rPr>
          <w:rFonts w:ascii="Verdana" w:hAnsi="Verdana" w:cs="Arial"/>
          <w:i/>
          <w:sz w:val="20"/>
          <w:szCs w:val="20"/>
          <w:lang w:val="es-ES_tradnl" w:eastAsia="es-ES" w:bidi="es-ES"/>
        </w:rPr>
        <w:t>“</w:t>
      </w:r>
      <w:r w:rsidRPr="00810146">
        <w:rPr>
          <w:rFonts w:ascii="Verdana" w:hAnsi="Verdana" w:cs="Arial"/>
          <w:sz w:val="20"/>
          <w:szCs w:val="20"/>
          <w:lang w:val="es-ES_tradnl" w:eastAsia="es-ES" w:bidi="es-ES"/>
        </w:rPr>
        <w:t xml:space="preserve">Artículo 5. De la Selección Objetiva. </w:t>
      </w:r>
    </w:p>
    <w:p w14:paraId="340DCD38" w14:textId="77777777" w:rsidR="009E6386" w:rsidRPr="00810146" w:rsidRDefault="009E6386" w:rsidP="009E6386">
      <w:pPr>
        <w:spacing w:after="0" w:line="240" w:lineRule="auto"/>
        <w:ind w:left="709" w:right="709"/>
        <w:jc w:val="both"/>
        <w:rPr>
          <w:rFonts w:ascii="Verdana" w:hAnsi="Verdana" w:cs="Arial"/>
          <w:sz w:val="20"/>
          <w:szCs w:val="20"/>
          <w:lang w:val="es-ES_tradnl" w:eastAsia="es-ES" w:bidi="es-ES"/>
        </w:rPr>
      </w:pPr>
      <w:r w:rsidRPr="00810146">
        <w:rPr>
          <w:rFonts w:ascii="Verdana" w:hAnsi="Verdana" w:cs="Arial"/>
          <w:sz w:val="20"/>
          <w:szCs w:val="20"/>
          <w:lang w:val="es-ES_tradnl" w:eastAsia="es-ES" w:bidi="es-ES"/>
        </w:rPr>
        <w:t>[…]</w:t>
      </w:r>
    </w:p>
    <w:p w14:paraId="1086A008" w14:textId="77777777" w:rsidR="009E6386" w:rsidRPr="00810146" w:rsidRDefault="009E6386" w:rsidP="009E6386">
      <w:pPr>
        <w:spacing w:after="0" w:line="240" w:lineRule="auto"/>
        <w:ind w:left="709" w:right="709"/>
        <w:jc w:val="both"/>
        <w:rPr>
          <w:rFonts w:ascii="Verdana" w:hAnsi="Verdana" w:cs="Arial"/>
          <w:sz w:val="20"/>
          <w:szCs w:val="20"/>
          <w:lang w:val="es-ES" w:eastAsia="es-ES" w:bidi="es-ES"/>
        </w:rPr>
      </w:pPr>
      <w:r w:rsidRPr="00810146">
        <w:rPr>
          <w:rFonts w:ascii="Verdana" w:hAnsi="Verdana" w:cs="Arial"/>
          <w:sz w:val="20"/>
          <w:szCs w:val="20"/>
          <w:lang w:val="es-ES" w:eastAsia="es-ES" w:bidi="es-ES"/>
        </w:rPr>
        <w:t xml:space="preserve">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w:t>
      </w:r>
      <w:r w:rsidRPr="00810146">
        <w:rPr>
          <w:rFonts w:ascii="Verdana" w:hAnsi="Verdana" w:cs="Arial"/>
          <w:sz w:val="20"/>
          <w:szCs w:val="20"/>
          <w:lang w:val="es-ES" w:eastAsia="es-ES" w:bidi="es-ES"/>
        </w:rPr>
        <w:lastRenderedPageBreak/>
        <w:t>de conformidad con lo establecido en el artículo 6 de la presente ley, de acuerdo con lo cual se expedirá la respectiva certificación”.</w:t>
      </w:r>
    </w:p>
    <w:p w14:paraId="17B61FB6" w14:textId="77777777" w:rsidR="009E6386" w:rsidRPr="00810146" w:rsidRDefault="009E6386" w:rsidP="00810146">
      <w:pPr>
        <w:spacing w:after="0" w:line="276" w:lineRule="auto"/>
        <w:ind w:right="709"/>
        <w:jc w:val="both"/>
        <w:rPr>
          <w:rFonts w:ascii="Verdana" w:hAnsi="Verdana" w:cs="Arial"/>
          <w:lang w:val="es-ES" w:eastAsia="es-ES" w:bidi="es-ES"/>
        </w:rPr>
      </w:pPr>
    </w:p>
    <w:p w14:paraId="40EB4390" w14:textId="0F7A9E76" w:rsidR="009E6386" w:rsidRPr="001A4E79" w:rsidRDefault="009E6386" w:rsidP="009E6386">
      <w:pPr>
        <w:spacing w:after="120" w:line="276" w:lineRule="auto"/>
        <w:ind w:firstLine="708"/>
        <w:jc w:val="both"/>
        <w:rPr>
          <w:rFonts w:ascii="Verdana" w:eastAsia="Times New Roman" w:hAnsi="Verdana" w:cs="Arial"/>
          <w:highlight w:val="cyan"/>
          <w:lang w:val="es-ES_tradnl" w:eastAsia="es-MX"/>
        </w:rPr>
      </w:pPr>
      <w:bookmarkStart w:id="4" w:name="_Hlk99547809"/>
      <w:bookmarkStart w:id="5" w:name="_Hlk99546625"/>
      <w:r w:rsidRPr="001A4E79">
        <w:rPr>
          <w:rFonts w:ascii="Verdana" w:eastAsia="Times New Roman" w:hAnsi="Verdana" w:cs="Arial"/>
          <w:lang w:val="es-ES_tradnl" w:eastAsia="es-MX"/>
        </w:rPr>
        <w:t>La Agencia Nacional de Contratación Pública</w:t>
      </w:r>
      <w:r>
        <w:rPr>
          <w:rFonts w:ascii="Verdana" w:eastAsia="Times New Roman" w:hAnsi="Verdana" w:cs="Arial"/>
          <w:lang w:val="es-ES_tradnl" w:eastAsia="es-MX"/>
        </w:rPr>
        <w:t xml:space="preserve"> – Colombia Compra Eficiente</w:t>
      </w:r>
      <w:r w:rsidRPr="001A4E79">
        <w:rPr>
          <w:rFonts w:ascii="Verdana" w:eastAsia="Times New Roman" w:hAnsi="Verdana" w:cs="Arial"/>
          <w:lang w:val="es-ES_tradnl" w:eastAsia="es-MX"/>
        </w:rPr>
        <w:t xml:space="preserve"> ha defendido el carácter </w:t>
      </w:r>
      <w:bookmarkStart w:id="6" w:name="_Hlk99547799"/>
      <w:r w:rsidRPr="001A4E79">
        <w:rPr>
          <w:rFonts w:ascii="Verdana" w:eastAsia="Times New Roman" w:hAnsi="Verdana" w:cs="Arial"/>
          <w:lang w:val="es-ES_tradnl" w:eastAsia="es-MX"/>
        </w:rPr>
        <w:t xml:space="preserve">enunciativo del listado de los requisitos habilitantes contenidos en el numeral 1 del artículo 5 de la Ley 1150 de 2007, en la medida en que </w:t>
      </w:r>
      <w:r>
        <w:rPr>
          <w:rFonts w:ascii="Verdana" w:eastAsia="Times New Roman" w:hAnsi="Verdana" w:cs="Arial"/>
          <w:lang w:val="es-ES_tradnl" w:eastAsia="es-MX"/>
        </w:rPr>
        <w:t xml:space="preserve">la mencionada </w:t>
      </w:r>
      <w:r w:rsidRPr="001A4E79">
        <w:rPr>
          <w:rFonts w:ascii="Verdana" w:eastAsia="Times New Roman" w:hAnsi="Verdana" w:cs="Arial"/>
          <w:lang w:val="es-ES_tradnl" w:eastAsia="es-MX"/>
        </w:rPr>
        <w:t xml:space="preserve">disposición, al referirse a los requisitos habilitantes, no contiene una expresión como </w:t>
      </w:r>
      <w:r>
        <w:rPr>
          <w:rFonts w:ascii="Verdana" w:eastAsia="Times New Roman" w:hAnsi="Verdana" w:cs="Arial"/>
          <w:lang w:val="es-ES_tradnl" w:eastAsia="es-MX"/>
        </w:rPr>
        <w:t>“</w:t>
      </w:r>
      <w:r w:rsidRPr="001A4E79">
        <w:rPr>
          <w:rFonts w:ascii="Verdana" w:eastAsia="Times New Roman" w:hAnsi="Verdana" w:cs="Arial"/>
          <w:lang w:val="es-ES_tradnl" w:eastAsia="es-MX"/>
        </w:rPr>
        <w:t>únicamente</w:t>
      </w:r>
      <w:r>
        <w:rPr>
          <w:rFonts w:ascii="Verdana" w:eastAsia="Times New Roman" w:hAnsi="Verdana" w:cs="Arial"/>
          <w:lang w:val="es-ES_tradnl" w:eastAsia="es-MX"/>
        </w:rPr>
        <w:t>”</w:t>
      </w:r>
      <w:r w:rsidRPr="001A4E79">
        <w:rPr>
          <w:rFonts w:ascii="Verdana" w:eastAsia="Times New Roman" w:hAnsi="Verdana" w:cs="Arial"/>
          <w:lang w:val="es-ES_tradnl" w:eastAsia="es-MX"/>
        </w:rPr>
        <w:t xml:space="preserve"> o </w:t>
      </w:r>
      <w:r>
        <w:rPr>
          <w:rFonts w:ascii="Verdana" w:eastAsia="Times New Roman" w:hAnsi="Verdana" w:cs="Arial"/>
          <w:lang w:val="es-ES_tradnl" w:eastAsia="es-MX"/>
        </w:rPr>
        <w:t>“</w:t>
      </w:r>
      <w:r w:rsidRPr="001A4E79">
        <w:rPr>
          <w:rFonts w:ascii="Verdana" w:eastAsia="Times New Roman" w:hAnsi="Verdana" w:cs="Arial"/>
          <w:lang w:val="es-ES_tradnl" w:eastAsia="es-MX"/>
        </w:rPr>
        <w:t>solo</w:t>
      </w:r>
      <w:r>
        <w:rPr>
          <w:rFonts w:ascii="Verdana" w:eastAsia="Times New Roman" w:hAnsi="Verdana" w:cs="Arial"/>
          <w:lang w:val="es-ES_tradnl" w:eastAsia="es-MX"/>
        </w:rPr>
        <w:t>”</w:t>
      </w:r>
      <w:r w:rsidRPr="001A4E79">
        <w:rPr>
          <w:rFonts w:ascii="Verdana" w:eastAsia="Times New Roman" w:hAnsi="Verdana" w:cs="Arial"/>
          <w:lang w:val="es-ES_tradnl" w:eastAsia="es-MX"/>
        </w:rPr>
        <w:t xml:space="preserve">, de la que pueda colegirse la taxatividad de los requisitos </w:t>
      </w:r>
      <w:r w:rsidR="007C5DAA" w:rsidRPr="00C94107">
        <w:rPr>
          <w:rFonts w:ascii="Verdana" w:eastAsia="Times New Roman" w:hAnsi="Verdana" w:cs="Arial"/>
          <w:lang w:val="es-ES_tradnl" w:eastAsia="es-MX"/>
        </w:rPr>
        <w:t>señalados</w:t>
      </w:r>
      <w:r w:rsidRPr="00C94107">
        <w:rPr>
          <w:rFonts w:ascii="Verdana" w:eastAsia="Times New Roman" w:hAnsi="Verdana" w:cs="Arial"/>
          <w:lang w:val="es-ES_tradnl" w:eastAsia="es-MX"/>
        </w:rPr>
        <w:t>.</w:t>
      </w:r>
      <w:r w:rsidRPr="001A4E79">
        <w:rPr>
          <w:rFonts w:ascii="Verdana" w:eastAsia="Times New Roman" w:hAnsi="Verdana" w:cs="Arial"/>
          <w:lang w:val="es-ES_tradnl" w:eastAsia="es-MX"/>
        </w:rPr>
        <w:t xml:space="preserve"> </w:t>
      </w:r>
      <w:bookmarkEnd w:id="4"/>
      <w:bookmarkEnd w:id="6"/>
      <w:r w:rsidRPr="001A4E79">
        <w:rPr>
          <w:rFonts w:ascii="Verdana" w:eastAsia="Times New Roman" w:hAnsi="Verdana" w:cs="Arial"/>
          <w:lang w:val="es-ES_tradnl" w:eastAsia="es-MX"/>
        </w:rPr>
        <w:t xml:space="preserve">Esta conclusión además se apoya en una la lectura integral de las normas que regulan la contratación estatal, en virtud de la cual es posible evidenciar que existen otras condiciones que deben cumplirse para la contratación con Entidades </w:t>
      </w:r>
      <w:r>
        <w:rPr>
          <w:rFonts w:ascii="Verdana" w:eastAsia="Times New Roman" w:hAnsi="Verdana" w:cs="Arial"/>
          <w:lang w:val="es-ES_tradnl" w:eastAsia="es-MX"/>
        </w:rPr>
        <w:t>Estatales</w:t>
      </w:r>
      <w:r w:rsidRPr="001A4E79">
        <w:rPr>
          <w:rFonts w:ascii="Verdana" w:eastAsia="Times New Roman" w:hAnsi="Verdana" w:cs="Arial"/>
          <w:lang w:val="es-ES_tradnl" w:eastAsia="es-MX"/>
        </w:rPr>
        <w:t>, de las que derivan requisitos habilitantes, como sucede, por ejemplo, con la capacidad residual a la que se refiere el artículo 6º, parágrafo 1, de la Ley 1150 de 2007</w:t>
      </w:r>
      <w:bookmarkEnd w:id="5"/>
      <w:r w:rsidRPr="001A4E79">
        <w:rPr>
          <w:rFonts w:ascii="Verdana" w:eastAsia="Times New Roman" w:hAnsi="Verdana" w:cs="Arial"/>
          <w:vertAlign w:val="superscript"/>
          <w:lang w:val="es-ES_tradnl" w:eastAsia="es-MX"/>
        </w:rPr>
        <w:footnoteReference w:id="2"/>
      </w:r>
      <w:r w:rsidRPr="001A4E79">
        <w:rPr>
          <w:rFonts w:ascii="Verdana" w:eastAsia="Times New Roman" w:hAnsi="Verdana" w:cs="Arial"/>
          <w:lang w:val="es-ES_tradnl" w:eastAsia="es-MX"/>
        </w:rPr>
        <w:t xml:space="preserve">. </w:t>
      </w:r>
    </w:p>
    <w:p w14:paraId="0809DA68" w14:textId="77777777" w:rsidR="00E83EFA" w:rsidRPr="00C94107" w:rsidRDefault="009E6386" w:rsidP="009E6386">
      <w:pPr>
        <w:spacing w:after="120" w:line="276" w:lineRule="auto"/>
        <w:ind w:firstLine="708"/>
        <w:jc w:val="both"/>
        <w:rPr>
          <w:rFonts w:ascii="Verdana" w:hAnsi="Verdana" w:cs="Arial"/>
          <w:bCs/>
          <w:lang w:val="es-ES" w:eastAsia="es-ES" w:bidi="es-ES"/>
        </w:rPr>
      </w:pPr>
      <w:r w:rsidRPr="001A4E79">
        <w:rPr>
          <w:rFonts w:ascii="Verdana" w:eastAsia="Times New Roman" w:hAnsi="Verdana" w:cs="Arial"/>
          <w:lang w:val="es-ES" w:eastAsia="es-MX"/>
        </w:rPr>
        <w:t xml:space="preserve">Por otro lado, </w:t>
      </w:r>
      <w:r>
        <w:rPr>
          <w:rFonts w:ascii="Verdana" w:hAnsi="Verdana" w:cs="Arial"/>
          <w:bCs/>
          <w:lang w:val="es-ES" w:eastAsia="es-ES" w:bidi="es-ES"/>
        </w:rPr>
        <w:t>e</w:t>
      </w:r>
      <w:r w:rsidRPr="0041694B">
        <w:rPr>
          <w:rFonts w:ascii="Verdana" w:hAnsi="Verdana" w:cs="Arial"/>
          <w:bCs/>
          <w:lang w:val="es-ES" w:eastAsia="es-ES" w:bidi="es-ES"/>
        </w:rPr>
        <w:t>l artículo</w:t>
      </w:r>
      <w:r>
        <w:rPr>
          <w:rFonts w:ascii="Verdana" w:hAnsi="Verdana" w:cs="Arial"/>
          <w:bCs/>
          <w:lang w:val="es-ES" w:eastAsia="es-ES" w:bidi="es-ES"/>
        </w:rPr>
        <w:t xml:space="preserve"> 5 de la Ley 1150 de 2007</w:t>
      </w:r>
      <w:r w:rsidRPr="0041694B">
        <w:rPr>
          <w:rFonts w:ascii="Verdana" w:hAnsi="Verdana" w:cs="Arial"/>
          <w:bCs/>
          <w:lang w:val="es-ES" w:eastAsia="es-ES" w:bidi="es-ES"/>
        </w:rPr>
        <w:t xml:space="preserve"> dispone que se considera </w:t>
      </w:r>
      <w:r w:rsidRPr="0041694B">
        <w:rPr>
          <w:rFonts w:ascii="Verdana" w:hAnsi="Verdana" w:cs="Arial"/>
          <w:bCs/>
          <w:i/>
          <w:iCs/>
          <w:lang w:val="es-ES" w:eastAsia="es-ES" w:bidi="es-ES"/>
        </w:rPr>
        <w:t>“objetiva la selección en la cual la escogencia se haga al ofrecimiento más favorable a la entidad y a los fines que ella busca, sin tener en consideración factores de afecto o de interés y, en general, cualquier clase de motivación subjetiva”.</w:t>
      </w:r>
      <w:r w:rsidRPr="0041694B">
        <w:rPr>
          <w:rFonts w:ascii="Verdana" w:hAnsi="Verdana" w:cs="Arial"/>
          <w:bCs/>
          <w:lang w:val="es-ES" w:eastAsia="es-ES" w:bidi="es-ES"/>
        </w:rPr>
        <w:t xml:space="preserve"> En ese contexto, los factores de escogencia y calificación que establezcan las </w:t>
      </w:r>
      <w:r w:rsidR="00091BAF" w:rsidRPr="00C94107">
        <w:rPr>
          <w:rFonts w:ascii="Verdana" w:hAnsi="Verdana" w:cs="Arial"/>
          <w:bCs/>
          <w:lang w:val="es-ES" w:eastAsia="es-ES" w:bidi="es-ES"/>
        </w:rPr>
        <w:t>Entidades</w:t>
      </w:r>
      <w:r w:rsidRPr="0041694B">
        <w:rPr>
          <w:rFonts w:ascii="Verdana" w:hAnsi="Verdana" w:cs="Arial"/>
          <w:bCs/>
          <w:lang w:val="es-ES" w:eastAsia="es-ES" w:bidi="es-ES"/>
        </w:rPr>
        <w:t xml:space="preserve"> en los pliegos de condiciones o sus documentos equivalentes deberán tener en cuenta, entre otras cuestiones, </w:t>
      </w:r>
      <w:r>
        <w:rPr>
          <w:rFonts w:ascii="Verdana" w:hAnsi="Verdana" w:cs="Arial"/>
          <w:bCs/>
          <w:lang w:val="es-ES" w:eastAsia="es-ES" w:bidi="es-ES"/>
        </w:rPr>
        <w:t xml:space="preserve">el deber de selección objetiva, según </w:t>
      </w:r>
      <w:r w:rsidRPr="0041694B">
        <w:rPr>
          <w:rFonts w:ascii="Verdana" w:hAnsi="Verdana" w:cs="Arial"/>
          <w:bCs/>
          <w:lang w:val="es-ES" w:eastAsia="es-ES" w:bidi="es-ES"/>
        </w:rPr>
        <w:t xml:space="preserve">los criterios establecidos en dicha disposición. </w:t>
      </w:r>
    </w:p>
    <w:p w14:paraId="1C8BB8DE" w14:textId="641F1B19" w:rsidR="009E6386" w:rsidRDefault="009E6386" w:rsidP="009E6386">
      <w:pPr>
        <w:spacing w:after="120" w:line="276" w:lineRule="auto"/>
        <w:ind w:firstLine="708"/>
        <w:jc w:val="both"/>
        <w:rPr>
          <w:rFonts w:ascii="Verdana" w:hAnsi="Verdana" w:cs="Arial"/>
          <w:bCs/>
          <w:lang w:val="es-ES" w:eastAsia="es-ES" w:bidi="es-ES"/>
        </w:rPr>
      </w:pPr>
      <w:r>
        <w:rPr>
          <w:rFonts w:ascii="Verdana" w:hAnsi="Verdana" w:cs="Arial"/>
          <w:bCs/>
          <w:lang w:val="es-ES" w:eastAsia="es-ES" w:bidi="es-ES"/>
        </w:rPr>
        <w:t xml:space="preserve">En especial, señala la Ley que los criterios habilitantes que determine la </w:t>
      </w:r>
      <w:r w:rsidR="00E11DB1" w:rsidRPr="00C94107">
        <w:rPr>
          <w:rFonts w:ascii="Verdana" w:hAnsi="Verdana" w:cs="Arial"/>
          <w:bCs/>
          <w:lang w:val="es-ES" w:eastAsia="es-ES" w:bidi="es-ES"/>
        </w:rPr>
        <w:t>Entidad</w:t>
      </w:r>
      <w:r>
        <w:rPr>
          <w:rFonts w:ascii="Verdana" w:hAnsi="Verdana" w:cs="Arial"/>
          <w:bCs/>
          <w:lang w:val="es-ES" w:eastAsia="es-ES" w:bidi="es-ES"/>
        </w:rPr>
        <w:t xml:space="preserve"> deberán ser </w:t>
      </w:r>
      <w:r w:rsidRPr="00AC594D">
        <w:rPr>
          <w:rFonts w:ascii="Verdana" w:hAnsi="Verdana" w:cs="Arial"/>
          <w:bCs/>
          <w:i/>
          <w:iCs/>
          <w:sz w:val="21"/>
          <w:szCs w:val="21"/>
          <w:lang w:val="es-ES" w:eastAsia="es-ES" w:bidi="es-ES"/>
        </w:rPr>
        <w:t>adecuados y proporcionales</w:t>
      </w:r>
      <w:r w:rsidRPr="00B878ED">
        <w:rPr>
          <w:rFonts w:ascii="Verdana" w:hAnsi="Verdana" w:cs="Arial"/>
          <w:bCs/>
          <w:sz w:val="21"/>
          <w:szCs w:val="21"/>
          <w:lang w:val="es-ES" w:eastAsia="es-ES" w:bidi="es-ES"/>
        </w:rPr>
        <w:t xml:space="preserve"> a la naturaleza del contrato a suscribir y a su valor</w:t>
      </w:r>
      <w:r>
        <w:rPr>
          <w:rFonts w:ascii="Verdana" w:hAnsi="Verdana" w:cs="Arial"/>
          <w:bCs/>
          <w:sz w:val="21"/>
          <w:szCs w:val="21"/>
          <w:lang w:val="es-ES" w:eastAsia="es-ES" w:bidi="es-ES"/>
        </w:rPr>
        <w:t>. De esta manera, las condiciones habilitantes que no resulten adecuadas para determinar la idoneidad o capacidad del proponente para cumplir con el objeto del contrato, o que sean desproporcionados frente a este, serán contrarias al deber de selección objetiva.</w:t>
      </w:r>
    </w:p>
    <w:p w14:paraId="68968550" w14:textId="49D53916" w:rsidR="00FC3922" w:rsidRPr="00C94107" w:rsidRDefault="009E6386" w:rsidP="009E6386">
      <w:pPr>
        <w:spacing w:before="120" w:after="120" w:line="276" w:lineRule="auto"/>
        <w:ind w:firstLine="708"/>
        <w:jc w:val="both"/>
        <w:rPr>
          <w:rFonts w:ascii="Verdana" w:eastAsia="Times New Roman" w:hAnsi="Verdana" w:cs="Arial"/>
          <w:lang w:val="es-ES" w:eastAsia="es-MX"/>
        </w:rPr>
      </w:pPr>
      <w:r>
        <w:rPr>
          <w:rFonts w:ascii="Verdana" w:eastAsia="Times New Roman" w:hAnsi="Verdana" w:cs="Arial"/>
          <w:lang w:val="es-ES" w:eastAsia="es-MX"/>
        </w:rPr>
        <w:lastRenderedPageBreak/>
        <w:t xml:space="preserve">En línea con lo anterior, </w:t>
      </w:r>
      <w:r w:rsidRPr="001A4E79">
        <w:rPr>
          <w:rFonts w:ascii="Verdana" w:eastAsia="Times New Roman" w:hAnsi="Verdana" w:cs="Arial"/>
          <w:lang w:val="es-ES" w:eastAsia="es-MX"/>
        </w:rPr>
        <w:t xml:space="preserve">el </w:t>
      </w:r>
      <w:bookmarkStart w:id="7" w:name="_Hlk191627190"/>
      <w:r>
        <w:rPr>
          <w:rFonts w:ascii="Verdana" w:eastAsia="Times New Roman" w:hAnsi="Verdana" w:cs="Arial"/>
          <w:lang w:val="es-ES" w:eastAsia="es-MX"/>
        </w:rPr>
        <w:t>“</w:t>
      </w:r>
      <w:r w:rsidRPr="001A4E79">
        <w:rPr>
          <w:rFonts w:ascii="Verdana" w:eastAsia="Times New Roman" w:hAnsi="Verdana" w:cs="Arial"/>
          <w:lang w:val="es-ES" w:eastAsia="es-MX"/>
        </w:rPr>
        <w:t>Manual para determinar y verificar los requisitos habilitantes en los Procesos de Contratación</w:t>
      </w:r>
      <w:bookmarkEnd w:id="7"/>
      <w:r w:rsidRPr="00C94107">
        <w:rPr>
          <w:rFonts w:ascii="Verdana" w:eastAsia="Times New Roman" w:hAnsi="Verdana" w:cs="Arial"/>
          <w:lang w:val="es-ES" w:eastAsia="es-MX"/>
        </w:rPr>
        <w:t>”</w:t>
      </w:r>
      <w:r w:rsidR="00717F8E" w:rsidRPr="00C94107">
        <w:rPr>
          <w:rStyle w:val="FootnoteReference"/>
          <w:rFonts w:ascii="Verdana" w:eastAsia="Times New Roman" w:hAnsi="Verdana" w:cs="Arial"/>
          <w:lang w:val="es-ES" w:eastAsia="es-MX"/>
        </w:rPr>
        <w:footnoteReference w:id="3"/>
      </w:r>
      <w:r w:rsidRPr="00C94107">
        <w:rPr>
          <w:rFonts w:ascii="Verdana" w:eastAsia="Calibri" w:hAnsi="Verdana" w:cs="Arial"/>
          <w:lang w:val="es-ES" w:eastAsia="es-MX"/>
        </w:rPr>
        <w:t>,</w:t>
      </w:r>
      <w:r w:rsidRPr="001A4E79">
        <w:rPr>
          <w:rFonts w:ascii="Verdana" w:eastAsia="Times New Roman" w:hAnsi="Verdana" w:cs="Arial"/>
          <w:lang w:val="es-ES" w:eastAsia="es-MX"/>
        </w:rPr>
        <w:t xml:space="preserve"> expedido por la </w:t>
      </w:r>
      <w:r w:rsidRPr="001A4E79">
        <w:rPr>
          <w:rFonts w:ascii="Verdana" w:eastAsia="Calibri" w:hAnsi="Verdana" w:cs="Arial"/>
          <w:lang w:val="es-ES" w:eastAsia="es-MX"/>
        </w:rPr>
        <w:t>Agencia Nacional de Contratación Pública – Colombia Compra Eficiente</w:t>
      </w:r>
      <w:r>
        <w:rPr>
          <w:rFonts w:ascii="Verdana" w:eastAsia="Calibri" w:hAnsi="Verdana" w:cs="Arial"/>
          <w:lang w:val="es-ES" w:eastAsia="es-MX"/>
        </w:rPr>
        <w:t>,</w:t>
      </w:r>
      <w:r w:rsidRPr="001A4E79">
        <w:rPr>
          <w:rFonts w:ascii="Verdana" w:eastAsia="Times New Roman" w:hAnsi="Verdana" w:cs="Arial"/>
          <w:lang w:val="es-ES" w:eastAsia="es-MX"/>
        </w:rPr>
        <w:t xml:space="preserve"> determin</w:t>
      </w:r>
      <w:r>
        <w:rPr>
          <w:rFonts w:ascii="Verdana" w:eastAsia="Times New Roman" w:hAnsi="Verdana" w:cs="Arial"/>
          <w:lang w:val="es-ES" w:eastAsia="es-MX"/>
        </w:rPr>
        <w:t>ó</w:t>
      </w:r>
      <w:r w:rsidRPr="001A4E79">
        <w:rPr>
          <w:rFonts w:ascii="Verdana" w:eastAsia="Times New Roman" w:hAnsi="Verdana" w:cs="Arial"/>
          <w:lang w:val="es-ES" w:eastAsia="es-MX"/>
        </w:rPr>
        <w:t xml:space="preserve"> los parámetros para establecer, acreditar y subsanar los requisitos habilitantes. </w:t>
      </w:r>
      <w:r>
        <w:rPr>
          <w:rFonts w:ascii="Verdana" w:eastAsia="Times New Roman" w:hAnsi="Verdana" w:cs="Arial"/>
          <w:lang w:val="es-ES" w:eastAsia="es-MX"/>
        </w:rPr>
        <w:t xml:space="preserve">Al respecto, precisa </w:t>
      </w:r>
      <w:r w:rsidRPr="001A4E79">
        <w:rPr>
          <w:rFonts w:ascii="Verdana" w:eastAsia="Times New Roman" w:hAnsi="Verdana" w:cs="Arial"/>
          <w:lang w:val="es-ES" w:eastAsia="es-MX"/>
        </w:rPr>
        <w:t xml:space="preserve">que estos tienen como fin primordial medir </w:t>
      </w:r>
      <w:r>
        <w:rPr>
          <w:rFonts w:ascii="Verdana" w:eastAsia="Times New Roman" w:hAnsi="Verdana" w:cs="Arial"/>
          <w:lang w:val="es-ES" w:eastAsia="es-MX"/>
        </w:rPr>
        <w:t>“</w:t>
      </w:r>
      <w:bookmarkStart w:id="8" w:name="_Hlk191627260"/>
      <w:r w:rsidRPr="001A4E79">
        <w:rPr>
          <w:rFonts w:ascii="Verdana" w:eastAsia="Times New Roman" w:hAnsi="Verdana" w:cs="Arial"/>
          <w:lang w:val="es-ES" w:eastAsia="es-MX"/>
        </w:rPr>
        <w:t>la aptitud del proponente para participar en un Proceso de Contratación como oferente y están referidos a su capacidad jurídica, financiera, organizacional y su experiencia</w:t>
      </w:r>
      <w:r>
        <w:rPr>
          <w:rFonts w:ascii="Verdana" w:eastAsia="Times New Roman" w:hAnsi="Verdana" w:cs="Arial"/>
          <w:lang w:val="es-ES" w:eastAsia="es-MX"/>
        </w:rPr>
        <w:t>”</w:t>
      </w:r>
      <w:r w:rsidRPr="001A4E79">
        <w:rPr>
          <w:rFonts w:ascii="Verdana" w:eastAsia="Times New Roman" w:hAnsi="Verdana" w:cs="Arial"/>
          <w:lang w:val="es-ES" w:eastAsia="es-MX"/>
        </w:rPr>
        <w:t xml:space="preserve">. </w:t>
      </w:r>
      <w:bookmarkEnd w:id="8"/>
      <w:r w:rsidRPr="001A4E79">
        <w:rPr>
          <w:rFonts w:ascii="Verdana" w:eastAsia="Times New Roman" w:hAnsi="Verdana" w:cs="Arial"/>
          <w:lang w:val="es-ES" w:eastAsia="es-MX"/>
        </w:rPr>
        <w:t xml:space="preserve">De acuerdo con el Manual, su propósito consiste en </w:t>
      </w:r>
      <w:r>
        <w:rPr>
          <w:rFonts w:ascii="Verdana" w:eastAsia="Times New Roman" w:hAnsi="Verdana" w:cs="Arial"/>
          <w:lang w:val="es-ES" w:eastAsia="es-MX"/>
        </w:rPr>
        <w:t>“</w:t>
      </w:r>
      <w:r w:rsidRPr="001A4E79">
        <w:rPr>
          <w:rFonts w:ascii="Verdana" w:eastAsia="Times New Roman" w:hAnsi="Verdana" w:cs="Arial"/>
          <w:lang w:val="es-ES" w:eastAsia="es-MX"/>
        </w:rPr>
        <w:t>establecer unas condiciones mínimas para los proponentes de tal manera que la Entidad Estatal sólo evalúe las ofertas de aquellos que están en condiciones de cumplir con el objeto del Proceso de Contratación</w:t>
      </w:r>
      <w:r>
        <w:rPr>
          <w:rFonts w:ascii="Verdana" w:eastAsia="Times New Roman" w:hAnsi="Verdana" w:cs="Arial"/>
          <w:lang w:val="es-ES" w:eastAsia="es-MX"/>
        </w:rPr>
        <w:t>”</w:t>
      </w:r>
      <w:r w:rsidRPr="001A4E79">
        <w:rPr>
          <w:rFonts w:ascii="Verdana" w:eastAsia="Times New Roman" w:hAnsi="Verdana" w:cs="Arial"/>
          <w:lang w:val="es-ES" w:eastAsia="es-MX"/>
        </w:rPr>
        <w:t xml:space="preserve">. </w:t>
      </w:r>
    </w:p>
    <w:p w14:paraId="373FD00D" w14:textId="1B46DFEA" w:rsidR="009E6386" w:rsidRPr="001A4E79" w:rsidRDefault="009E6386" w:rsidP="009E6386">
      <w:pPr>
        <w:spacing w:before="120" w:after="120" w:line="276" w:lineRule="auto"/>
        <w:ind w:firstLine="708"/>
        <w:jc w:val="both"/>
        <w:rPr>
          <w:rFonts w:ascii="Verdana" w:eastAsia="Times New Roman" w:hAnsi="Verdana" w:cs="Arial"/>
          <w:lang w:val="es-ES" w:eastAsia="es-MX"/>
        </w:rPr>
      </w:pPr>
      <w:r w:rsidRPr="001A4E79">
        <w:rPr>
          <w:rFonts w:ascii="Verdana" w:eastAsia="Times New Roman" w:hAnsi="Verdana" w:cs="Arial"/>
          <w:lang w:val="es-ES" w:eastAsia="es-MX"/>
        </w:rPr>
        <w:t xml:space="preserve">Así las cosas, al tratarse de condiciones mínimas, significa que </w:t>
      </w:r>
      <w:bookmarkStart w:id="9" w:name="_Hlk191627287"/>
      <w:r w:rsidRPr="001A4E79">
        <w:rPr>
          <w:rFonts w:ascii="Verdana" w:eastAsia="Times New Roman" w:hAnsi="Verdana" w:cs="Arial"/>
          <w:lang w:val="es-ES" w:eastAsia="es-MX"/>
        </w:rPr>
        <w:t xml:space="preserve">las </w:t>
      </w:r>
      <w:r w:rsidR="00880FC5" w:rsidRPr="00C94107">
        <w:rPr>
          <w:rFonts w:ascii="Verdana" w:eastAsia="Times New Roman" w:hAnsi="Verdana" w:cs="Arial"/>
          <w:lang w:val="es-ES" w:eastAsia="es-MX"/>
        </w:rPr>
        <w:t>Entidades</w:t>
      </w:r>
      <w:r w:rsidRPr="001A4E79">
        <w:rPr>
          <w:rFonts w:ascii="Verdana" w:eastAsia="Times New Roman" w:hAnsi="Verdana" w:cs="Arial"/>
          <w:lang w:val="es-ES" w:eastAsia="es-MX"/>
        </w:rPr>
        <w:t xml:space="preserve"> podrían establecer otras, según su autonomía de la voluntad, y teniendo en cuenta el objeto del contrato, los riesgos detectados en los estudios previos, el presupuesto oficial, entre otros factores.</w:t>
      </w:r>
      <w:r>
        <w:rPr>
          <w:rFonts w:ascii="Verdana" w:eastAsia="Times New Roman" w:hAnsi="Verdana" w:cs="Arial"/>
          <w:lang w:val="es-ES" w:eastAsia="es-MX"/>
        </w:rPr>
        <w:t xml:space="preserve"> Sin embargo, esto no implica que las Entidades puedan establecer cualquier tipo de requisitos, pues su exigencia debe en todo caso ser </w:t>
      </w:r>
      <w:r w:rsidRPr="00810146">
        <w:rPr>
          <w:rFonts w:ascii="Verdana" w:eastAsia="Times New Roman" w:hAnsi="Verdana" w:cs="Arial"/>
          <w:i/>
          <w:lang w:val="es-ES" w:eastAsia="es-MX"/>
        </w:rPr>
        <w:t>proporcional y adecuada</w:t>
      </w:r>
      <w:r>
        <w:rPr>
          <w:rFonts w:ascii="Verdana" w:eastAsia="Times New Roman" w:hAnsi="Verdana" w:cs="Arial"/>
          <w:lang w:val="es-ES" w:eastAsia="es-MX"/>
        </w:rPr>
        <w:t xml:space="preserve"> frente a la naturaleza y el valor del contrato.</w:t>
      </w:r>
    </w:p>
    <w:p w14:paraId="261D4D6E" w14:textId="1F3C5116" w:rsidR="009E6386" w:rsidRDefault="009E6386" w:rsidP="00D1283E">
      <w:pPr>
        <w:tabs>
          <w:tab w:val="left" w:pos="426"/>
        </w:tabs>
        <w:spacing w:before="120" w:after="0" w:line="276" w:lineRule="auto"/>
        <w:ind w:firstLine="709"/>
        <w:jc w:val="both"/>
        <w:rPr>
          <w:rFonts w:ascii="Verdana" w:eastAsia="Times New Roman" w:hAnsi="Verdana" w:cs="Arial"/>
          <w:lang w:val="es-ES_tradnl" w:eastAsia="es-MX"/>
        </w:rPr>
      </w:pPr>
      <w:bookmarkStart w:id="10" w:name="_Hlk99548027"/>
      <w:bookmarkEnd w:id="9"/>
      <w:r w:rsidRPr="001A4E79">
        <w:rPr>
          <w:rFonts w:ascii="Verdana" w:eastAsia="Times New Roman" w:hAnsi="Verdana" w:cs="Arial"/>
          <w:lang w:val="es-ES_tradnl" w:eastAsia="es-MX"/>
        </w:rPr>
        <w:t xml:space="preserve">En ese sentido, </w:t>
      </w:r>
      <w:bookmarkStart w:id="11" w:name="_Hlk191627322"/>
      <w:r w:rsidRPr="001A4E79">
        <w:rPr>
          <w:rFonts w:ascii="Verdana" w:eastAsia="Times New Roman" w:hAnsi="Verdana" w:cs="Arial"/>
          <w:lang w:val="es-ES_tradnl" w:eastAsia="es-MX"/>
        </w:rPr>
        <w:t xml:space="preserve">si bien </w:t>
      </w:r>
      <w:r w:rsidRPr="001A4E79">
        <w:rPr>
          <w:rFonts w:ascii="Verdana" w:eastAsia="Calibri" w:hAnsi="Verdana" w:cs="Arial"/>
          <w:lang w:val="es-ES_tradnl" w:eastAsia="es-MX"/>
        </w:rPr>
        <w:t xml:space="preserve">la Ley 1150 de 2007 estableció unos requisitos habilitantes para los proponentes –la capacidad jurídica, las condiciones de experiencia, la capacidad financiera y la capacidad de organización–, estos no son taxativos. </w:t>
      </w:r>
      <w:r w:rsidRPr="001A4E79">
        <w:rPr>
          <w:rFonts w:ascii="Verdana" w:eastAsia="Times New Roman" w:hAnsi="Verdana" w:cs="Arial"/>
          <w:lang w:val="es-ES_tradnl" w:eastAsia="es-MX"/>
        </w:rPr>
        <w:t xml:space="preserve">En consecuencia, corresponde a las Entidades Estatales, durante la etapa de planeación del contrato estatal, estudiar y </w:t>
      </w:r>
      <w:r w:rsidRPr="001A4E79">
        <w:rPr>
          <w:rFonts w:ascii="Verdana" w:eastAsia="Times New Roman" w:hAnsi="Verdana" w:cs="Arial"/>
          <w:bCs/>
          <w:iCs/>
          <w:lang w:val="es-ES_tradnl" w:eastAsia="es-MX"/>
        </w:rPr>
        <w:t>determinar</w:t>
      </w:r>
      <w:r w:rsidRPr="001A4E79">
        <w:rPr>
          <w:rFonts w:ascii="Verdana" w:eastAsia="Times New Roman" w:hAnsi="Verdana" w:cs="Arial"/>
          <w:lang w:val="es-ES_tradnl" w:eastAsia="es-MX"/>
        </w:rPr>
        <w:t xml:space="preserve"> los requisitos habilitantes que establecerán en los pliegos de condiciones</w:t>
      </w:r>
      <w:r w:rsidR="00880FC5" w:rsidRPr="00C94107">
        <w:rPr>
          <w:rFonts w:ascii="Verdana" w:eastAsia="Times New Roman" w:hAnsi="Verdana" w:cs="Arial"/>
          <w:lang w:val="es-ES_tradnl" w:eastAsia="es-MX"/>
        </w:rPr>
        <w:t xml:space="preserve"> o documentos equivalentes</w:t>
      </w:r>
      <w:r w:rsidRPr="001A4E79">
        <w:rPr>
          <w:rFonts w:ascii="Verdana" w:eastAsia="Times New Roman" w:hAnsi="Verdana" w:cs="Arial"/>
          <w:lang w:val="es-ES_tradnl" w:eastAsia="es-MX"/>
        </w:rPr>
        <w:t xml:space="preserve">, </w:t>
      </w:r>
      <w:r w:rsidRPr="00987A26">
        <w:rPr>
          <w:rFonts w:ascii="Verdana" w:eastAsia="Times New Roman" w:hAnsi="Verdana" w:cs="Arial"/>
          <w:i/>
          <w:iCs/>
          <w:lang w:val="es-ES_tradnl" w:eastAsia="es-MX"/>
        </w:rPr>
        <w:t>los cuales deben fijarse de forma adecuada y proporcional</w:t>
      </w:r>
      <w:r w:rsidRPr="001A4E79">
        <w:rPr>
          <w:rFonts w:ascii="Verdana" w:eastAsia="Times New Roman" w:hAnsi="Verdana" w:cs="Arial"/>
          <w:lang w:val="es-ES_tradnl" w:eastAsia="es-MX"/>
        </w:rPr>
        <w:t xml:space="preserve">. </w:t>
      </w:r>
      <w:bookmarkEnd w:id="10"/>
      <w:bookmarkEnd w:id="11"/>
      <w:r w:rsidRPr="001A4E79">
        <w:rPr>
          <w:rFonts w:ascii="Verdana" w:eastAsia="Times New Roman" w:hAnsi="Verdana" w:cs="Arial"/>
          <w:lang w:val="es-ES_tradnl" w:eastAsia="es-MX"/>
        </w:rPr>
        <w:t>Al respecto, en la Sentencia C-004 de 2017, la Corte Constitucional señaló que</w:t>
      </w:r>
      <w:r>
        <w:rPr>
          <w:rFonts w:ascii="Verdana" w:eastAsia="Times New Roman" w:hAnsi="Verdana" w:cs="Arial"/>
          <w:lang w:val="es-ES_tradnl" w:eastAsia="es-MX"/>
        </w:rPr>
        <w:t>:</w:t>
      </w:r>
    </w:p>
    <w:p w14:paraId="71C7927D" w14:textId="77777777" w:rsidR="00D1283E" w:rsidRPr="00C94107" w:rsidRDefault="00D1283E" w:rsidP="00810146">
      <w:pPr>
        <w:tabs>
          <w:tab w:val="left" w:pos="426"/>
        </w:tabs>
        <w:spacing w:after="0" w:line="276" w:lineRule="auto"/>
        <w:ind w:firstLine="709"/>
        <w:jc w:val="both"/>
        <w:rPr>
          <w:rFonts w:ascii="Verdana" w:eastAsia="Times New Roman" w:hAnsi="Verdana" w:cs="Arial"/>
          <w:lang w:val="es-ES_tradnl" w:eastAsia="es-MX"/>
        </w:rPr>
      </w:pPr>
    </w:p>
    <w:p w14:paraId="4D302C1C" w14:textId="152767B5" w:rsidR="009E6386" w:rsidRPr="00C94107" w:rsidRDefault="009E6386" w:rsidP="009E6386">
      <w:pPr>
        <w:spacing w:after="0" w:line="240" w:lineRule="auto"/>
        <w:ind w:left="709" w:right="709"/>
        <w:jc w:val="both"/>
        <w:rPr>
          <w:rFonts w:ascii="Verdana" w:hAnsi="Verdana" w:cs="Arial"/>
          <w:sz w:val="20"/>
          <w:szCs w:val="20"/>
          <w:lang w:val="es-ES_tradnl" w:eastAsia="es-ES" w:bidi="es-ES"/>
        </w:rPr>
      </w:pPr>
      <w:r w:rsidRPr="00810146">
        <w:rPr>
          <w:rFonts w:ascii="Verdana" w:hAnsi="Verdana" w:cs="Arial"/>
          <w:sz w:val="20"/>
          <w:szCs w:val="20"/>
          <w:lang w:val="es-ES_tradnl" w:eastAsia="es-ES" w:bidi="es-ES"/>
        </w:rPr>
        <w:t>“[l]a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14:paraId="15B12909" w14:textId="77777777" w:rsidR="00D1283E" w:rsidRPr="00810146" w:rsidRDefault="00D1283E" w:rsidP="00810146">
      <w:pPr>
        <w:spacing w:after="0" w:line="276" w:lineRule="auto"/>
        <w:ind w:left="709" w:right="709"/>
        <w:jc w:val="both"/>
        <w:rPr>
          <w:rFonts w:ascii="Verdana" w:hAnsi="Verdana" w:cs="Arial"/>
          <w:bCs/>
          <w:lang w:val="es-ES_tradnl" w:eastAsia="es-ES" w:bidi="es-ES"/>
        </w:rPr>
      </w:pPr>
    </w:p>
    <w:p w14:paraId="4C18FC06" w14:textId="440BC25D" w:rsidR="009E6386" w:rsidRPr="001A4E79" w:rsidRDefault="009E6386" w:rsidP="00810146">
      <w:pPr>
        <w:tabs>
          <w:tab w:val="left" w:pos="426"/>
        </w:tabs>
        <w:spacing w:after="120" w:line="276" w:lineRule="auto"/>
        <w:ind w:firstLine="709"/>
        <w:jc w:val="both"/>
        <w:rPr>
          <w:rFonts w:ascii="Verdana" w:eastAsia="Times New Roman" w:hAnsi="Verdana" w:cs="Arial"/>
          <w:lang w:val="es-ES_tradnl" w:eastAsia="es-MX"/>
        </w:rPr>
      </w:pPr>
      <w:r w:rsidRPr="001A4E79">
        <w:rPr>
          <w:rFonts w:ascii="Verdana" w:eastAsia="Times New Roman" w:hAnsi="Verdana" w:cs="Arial"/>
          <w:lang w:val="es-ES_tradnl" w:eastAsia="es-MX"/>
        </w:rPr>
        <w:lastRenderedPageBreak/>
        <w:t xml:space="preserve">El </w:t>
      </w:r>
      <w:bookmarkStart w:id="12" w:name="_Hlk191627359"/>
      <w:r w:rsidRPr="001A4E79">
        <w:rPr>
          <w:rFonts w:ascii="Verdana" w:eastAsia="Times New Roman" w:hAnsi="Verdana" w:cs="Arial"/>
          <w:lang w:val="es-ES_tradnl" w:eastAsia="es-MX"/>
        </w:rPr>
        <w:t>Decreto 1082 de 2015 en su artículo 2.2.1.1.1.6.2</w:t>
      </w:r>
      <w:r w:rsidR="00A656A8" w:rsidRPr="00C94107">
        <w:rPr>
          <w:rFonts w:ascii="Verdana" w:eastAsia="Times New Roman" w:hAnsi="Verdana" w:cs="Arial"/>
          <w:lang w:val="es-ES_tradnl" w:eastAsia="es-MX"/>
        </w:rPr>
        <w:t>.</w:t>
      </w:r>
      <w:r w:rsidRPr="001A4E79">
        <w:rPr>
          <w:rFonts w:ascii="Verdana" w:eastAsia="Times New Roman" w:hAnsi="Verdana" w:cs="Arial"/>
          <w:lang w:val="es-ES_tradnl" w:eastAsia="es-MX"/>
        </w:rPr>
        <w:t xml:space="preserve"> </w:t>
      </w:r>
      <w:bookmarkEnd w:id="12"/>
      <w:r w:rsidRPr="001A4E79">
        <w:rPr>
          <w:rFonts w:ascii="Verdana" w:eastAsia="Times New Roman" w:hAnsi="Verdana" w:cs="Arial"/>
          <w:lang w:val="es-ES_tradnl" w:eastAsia="es-MX"/>
        </w:rPr>
        <w:t>reglamenta los requisitos habilitantes, estableciendo que estos deben ser señalados en los pliegos de condiciones o en la invitación</w:t>
      </w:r>
      <w:r w:rsidRPr="001A4E79">
        <w:rPr>
          <w:rStyle w:val="FootnoteReference"/>
          <w:rFonts w:ascii="Verdana" w:eastAsia="Times New Roman" w:hAnsi="Verdana" w:cs="Arial"/>
          <w:lang w:val="es-ES_tradnl" w:eastAsia="es-MX"/>
        </w:rPr>
        <w:footnoteReference w:id="4"/>
      </w:r>
      <w:r w:rsidRPr="001A4E79">
        <w:rPr>
          <w:rFonts w:ascii="Verdana" w:eastAsia="Times New Roman" w:hAnsi="Verdana" w:cs="Arial"/>
          <w:lang w:val="es-ES_tradnl" w:eastAsia="es-MX"/>
        </w:rPr>
        <w:t xml:space="preserve">, lo cual es concordante con el </w:t>
      </w:r>
      <w:bookmarkStart w:id="13" w:name="_Hlk191627380"/>
      <w:r w:rsidRPr="001A4E79">
        <w:rPr>
          <w:rFonts w:ascii="Verdana" w:eastAsia="Times New Roman" w:hAnsi="Verdana" w:cs="Arial"/>
          <w:lang w:val="es-ES_tradnl" w:eastAsia="es-MX"/>
        </w:rPr>
        <w:t>numeral 5 del artículo 2.2.1.1.2.1.3</w:t>
      </w:r>
      <w:bookmarkEnd w:id="13"/>
      <w:r w:rsidRPr="001A4E79">
        <w:rPr>
          <w:rFonts w:ascii="Verdana" w:eastAsia="Times New Roman" w:hAnsi="Verdana" w:cs="Arial"/>
          <w:lang w:val="es-ES_tradnl" w:eastAsia="es-MX"/>
        </w:rPr>
        <w:t>, en el que se establece como uno de los componentes mínimos de los pliegos de condiciones</w:t>
      </w:r>
      <w:r w:rsidRPr="001A4E79">
        <w:rPr>
          <w:rFonts w:ascii="Verdana" w:hAnsi="Verdana" w:cs="Arial"/>
          <w:color w:val="000000"/>
        </w:rPr>
        <w:t xml:space="preserve"> a las reglas aplicables a la presentación y evaluación de las ofertas, entre las que se inscriben las relativas a la acreditación de las condiciones habilitantes. </w:t>
      </w:r>
      <w:r>
        <w:rPr>
          <w:rFonts w:ascii="Verdana" w:eastAsia="Times New Roman" w:hAnsi="Verdana" w:cs="Arial"/>
          <w:lang w:val="es-ES_tradnl" w:eastAsia="es-MX"/>
        </w:rPr>
        <w:t>A</w:t>
      </w:r>
      <w:r w:rsidRPr="001A4E79">
        <w:rPr>
          <w:rFonts w:ascii="Verdana" w:eastAsia="Times New Roman" w:hAnsi="Verdana" w:cs="Arial"/>
          <w:lang w:val="es-ES_tradnl" w:eastAsia="es-MX"/>
        </w:rPr>
        <w:t>demás</w:t>
      </w:r>
      <w:r>
        <w:rPr>
          <w:rFonts w:ascii="Verdana" w:eastAsia="Times New Roman" w:hAnsi="Verdana" w:cs="Arial"/>
          <w:lang w:val="es-ES_tradnl" w:eastAsia="es-MX"/>
        </w:rPr>
        <w:t>,</w:t>
      </w:r>
      <w:r w:rsidRPr="001A4E79">
        <w:rPr>
          <w:rFonts w:ascii="Verdana" w:eastAsia="Times New Roman" w:hAnsi="Verdana" w:cs="Arial"/>
          <w:lang w:val="es-ES_tradnl" w:eastAsia="es-MX"/>
        </w:rPr>
        <w:t xml:space="preserve"> el artículo 2.2.1.1.1.6.2 </w:t>
      </w:r>
      <w:r>
        <w:rPr>
          <w:rFonts w:ascii="Verdana" w:eastAsia="Times New Roman" w:hAnsi="Verdana" w:cs="Arial"/>
          <w:lang w:val="es-ES_tradnl" w:eastAsia="es-MX"/>
        </w:rPr>
        <w:t xml:space="preserve">establece </w:t>
      </w:r>
      <w:r w:rsidRPr="001A4E79">
        <w:rPr>
          <w:rFonts w:ascii="Verdana" w:eastAsia="Times New Roman" w:hAnsi="Verdana" w:cs="Arial"/>
          <w:lang w:val="es-ES_tradnl" w:eastAsia="es-MX"/>
        </w:rPr>
        <w:t xml:space="preserve">que la determinación de los requisitos habilitantes debe ser realizada en función de criterios </w:t>
      </w:r>
      <w:r w:rsidRPr="00987A26">
        <w:rPr>
          <w:rFonts w:ascii="Verdana" w:eastAsia="Times New Roman" w:hAnsi="Verdana" w:cs="Arial"/>
          <w:i/>
          <w:iCs/>
          <w:lang w:val="es-ES_tradnl" w:eastAsia="es-MX"/>
        </w:rPr>
        <w:t>como el riesgo del proceso de contratación, el valor del contrato, el análisis del sector económico respectivo y el conocimiento de fondo de los posibles oferentes desde la perspectiva comercial</w:t>
      </w:r>
      <w:r w:rsidRPr="001A4E79">
        <w:rPr>
          <w:rFonts w:ascii="Verdana" w:eastAsia="Times New Roman" w:hAnsi="Verdana" w:cs="Arial"/>
          <w:lang w:val="es-ES_tradnl" w:eastAsia="es-MX"/>
        </w:rPr>
        <w:t xml:space="preserve">. </w:t>
      </w:r>
    </w:p>
    <w:p w14:paraId="5C2FFA38" w14:textId="38151759" w:rsidR="00EA0107" w:rsidRPr="00C94107" w:rsidRDefault="00EA0107" w:rsidP="00EA0107">
      <w:pPr>
        <w:tabs>
          <w:tab w:val="left" w:pos="426"/>
        </w:tabs>
        <w:spacing w:before="120" w:after="120" w:line="276" w:lineRule="auto"/>
        <w:ind w:firstLine="709"/>
        <w:jc w:val="both"/>
        <w:rPr>
          <w:rFonts w:ascii="Verdana" w:eastAsia="Times New Roman" w:hAnsi="Verdana" w:cs="Arial"/>
          <w:lang w:val="es-ES" w:eastAsia="es-MX"/>
        </w:rPr>
      </w:pPr>
      <w:r w:rsidRPr="00C94107">
        <w:rPr>
          <w:rFonts w:ascii="Verdana" w:eastAsia="Times New Roman" w:hAnsi="Verdana" w:cs="Arial"/>
          <w:lang w:val="es-ES" w:eastAsia="es-MX"/>
        </w:rPr>
        <w:t>En este punto, debe señalarse que, si bien la determinación de los requisitos habilitantes exigidos para participar en un proceso de contratación es una facultad discrecional de la Entidad Estatal,</w:t>
      </w:r>
      <w:r w:rsidR="00ED3B2C" w:rsidRPr="00C94107">
        <w:rPr>
          <w:rFonts w:ascii="Verdana" w:eastAsia="Times New Roman" w:hAnsi="Verdana" w:cs="Arial"/>
          <w:lang w:val="es-ES" w:eastAsia="es-MX"/>
        </w:rPr>
        <w:t xml:space="preserve"> que obedece a la autonomía que le asiste para estructurar sus procesos de </w:t>
      </w:r>
      <w:r w:rsidR="00D712A5" w:rsidRPr="00C94107">
        <w:rPr>
          <w:rFonts w:ascii="Verdana" w:eastAsia="Times New Roman" w:hAnsi="Verdana" w:cs="Arial"/>
          <w:lang w:val="es-ES" w:eastAsia="es-MX"/>
        </w:rPr>
        <w:t>contratación,</w:t>
      </w:r>
      <w:r w:rsidR="00ED3B2C" w:rsidRPr="00C94107">
        <w:rPr>
          <w:rFonts w:ascii="Verdana" w:eastAsia="Times New Roman" w:hAnsi="Verdana" w:cs="Arial"/>
          <w:lang w:val="es-ES" w:eastAsia="es-MX"/>
        </w:rPr>
        <w:t xml:space="preserve"> </w:t>
      </w:r>
      <w:r w:rsidRPr="00C94107">
        <w:rPr>
          <w:rFonts w:ascii="Verdana" w:eastAsia="Times New Roman" w:hAnsi="Verdana" w:cs="Arial"/>
          <w:lang w:val="es-ES" w:eastAsia="es-MX"/>
        </w:rPr>
        <w:t>esta debe ejercerse respetando los principios que rigen en materia de contratación pública, como el selección objetiva e igualdad</w:t>
      </w:r>
      <w:r w:rsidR="0048798D" w:rsidRPr="00C94107">
        <w:rPr>
          <w:rFonts w:ascii="Verdana" w:eastAsia="Times New Roman" w:hAnsi="Verdana" w:cs="Arial"/>
          <w:lang w:val="es-ES" w:eastAsia="es-MX"/>
        </w:rPr>
        <w:t>, y las normas de orden legal</w:t>
      </w:r>
      <w:r w:rsidRPr="00C94107">
        <w:rPr>
          <w:rFonts w:ascii="Verdana" w:eastAsia="Times New Roman" w:hAnsi="Verdana" w:cs="Arial"/>
          <w:lang w:val="es-ES" w:eastAsia="es-MX"/>
        </w:rPr>
        <w:t>. Así</w:t>
      </w:r>
      <w:r w:rsidR="00D712A5" w:rsidRPr="00C94107">
        <w:rPr>
          <w:rFonts w:ascii="Verdana" w:eastAsia="Times New Roman" w:hAnsi="Verdana" w:cs="Arial"/>
          <w:lang w:val="es-ES" w:eastAsia="es-MX"/>
        </w:rPr>
        <w:t xml:space="preserve">, </w:t>
      </w:r>
      <w:r w:rsidRPr="00C94107">
        <w:rPr>
          <w:rFonts w:ascii="Verdana" w:eastAsia="Times New Roman" w:hAnsi="Verdana" w:cs="Arial"/>
          <w:lang w:val="es-ES" w:eastAsia="es-MX"/>
        </w:rPr>
        <w:t>los mencionados criterios deben ser establecidos por parte de la Entidad que adelanta el proceso de contratación de manera tal que, de la ponderación de los mismos resulten requisitos que permitan medir la aptitud de los oferentes para cumplir con el contrato, y que, además de ser proporcionales y adecuados a su objeto, no limiten la participación en el proceso de selección</w:t>
      </w:r>
      <w:r w:rsidR="0048798D" w:rsidRPr="00C94107">
        <w:rPr>
          <w:rStyle w:val="FootnoteReference"/>
          <w:rFonts w:ascii="Verdana" w:eastAsia="Times New Roman" w:hAnsi="Verdana" w:cs="Arial"/>
          <w:lang w:val="es-ES" w:eastAsia="es-MX"/>
        </w:rPr>
        <w:footnoteReference w:id="5"/>
      </w:r>
      <w:r w:rsidRPr="00C94107">
        <w:rPr>
          <w:rFonts w:ascii="Verdana" w:eastAsia="Times New Roman" w:hAnsi="Verdana" w:cs="Arial"/>
          <w:lang w:val="es-ES" w:eastAsia="es-MX"/>
        </w:rPr>
        <w:t xml:space="preserve">. </w:t>
      </w:r>
    </w:p>
    <w:p w14:paraId="379F17D4" w14:textId="5A87B75A" w:rsidR="00EA0107" w:rsidRPr="00C94107" w:rsidRDefault="00EA0107" w:rsidP="00EA0107">
      <w:pPr>
        <w:tabs>
          <w:tab w:val="left" w:pos="426"/>
        </w:tabs>
        <w:spacing w:before="120" w:after="120" w:line="276" w:lineRule="auto"/>
        <w:ind w:firstLine="709"/>
        <w:jc w:val="both"/>
        <w:rPr>
          <w:rFonts w:ascii="Verdana" w:eastAsia="Times New Roman" w:hAnsi="Verdana" w:cs="Arial"/>
          <w:lang w:val="es-ES" w:eastAsia="es-MX"/>
        </w:rPr>
      </w:pPr>
      <w:r w:rsidRPr="00C94107">
        <w:rPr>
          <w:rFonts w:ascii="Verdana" w:eastAsia="Times New Roman" w:hAnsi="Verdana" w:cs="Arial"/>
          <w:lang w:eastAsia="es-MX"/>
        </w:rPr>
        <w:lastRenderedPageBreak/>
        <w:t xml:space="preserve">Que deban ser </w:t>
      </w:r>
      <w:r w:rsidRPr="00C94107">
        <w:rPr>
          <w:rFonts w:ascii="Verdana" w:eastAsia="Times New Roman" w:hAnsi="Verdana" w:cs="Arial"/>
          <w:i/>
          <w:iCs/>
          <w:lang w:eastAsia="es-MX"/>
        </w:rPr>
        <w:t>adecuados</w:t>
      </w:r>
      <w:r w:rsidRPr="00C94107">
        <w:rPr>
          <w:rFonts w:ascii="Verdana" w:eastAsia="Times New Roman" w:hAnsi="Verdana" w:cs="Arial"/>
          <w:lang w:eastAsia="es-MX"/>
        </w:rPr>
        <w:t xml:space="preserve">, significa que los requisitos habilitantes que se contemplen deben tener una relación directa con el objeto del contrato, de suerte que su acreditación sea efectiva para demostrar que el proponente es idóneo para ejecutar el contrato. A su vez, los requisitos que se establezcan deben ser </w:t>
      </w:r>
      <w:r w:rsidRPr="00C94107">
        <w:rPr>
          <w:rFonts w:ascii="Verdana" w:eastAsia="Times New Roman" w:hAnsi="Verdana" w:cs="Arial"/>
          <w:i/>
          <w:iCs/>
          <w:lang w:eastAsia="es-MX"/>
        </w:rPr>
        <w:t>proporcionales</w:t>
      </w:r>
      <w:r w:rsidRPr="00C94107">
        <w:rPr>
          <w:rFonts w:ascii="Verdana" w:eastAsia="Times New Roman" w:hAnsi="Verdana" w:cs="Arial"/>
          <w:lang w:eastAsia="es-MX"/>
        </w:rPr>
        <w:t xml:space="preserve"> a las condiciones del contrato, de tal manera que los mismos no establezcan condiciones más allá de las necesarias para verificar la idoneidad requerida de los proponentes respecto del objeto ofertado, ya que lo contrario limita la libre concurrencia. Que </w:t>
      </w:r>
      <w:r w:rsidRPr="00810146">
        <w:rPr>
          <w:rFonts w:ascii="Verdana" w:eastAsia="Times New Roman" w:hAnsi="Verdana" w:cs="Arial"/>
          <w:i/>
          <w:iCs/>
          <w:lang w:eastAsia="es-MX"/>
        </w:rPr>
        <w:t>no limiten la participación</w:t>
      </w:r>
      <w:r w:rsidR="00433CCF">
        <w:rPr>
          <w:rFonts w:ascii="Verdana" w:eastAsia="Times New Roman" w:hAnsi="Verdana" w:cs="Arial"/>
          <w:i/>
          <w:iCs/>
          <w:lang w:eastAsia="es-MX"/>
        </w:rPr>
        <w:t xml:space="preserve"> o la libre concurrencia</w:t>
      </w:r>
      <w:r w:rsidRPr="00C94107">
        <w:rPr>
          <w:rFonts w:ascii="Verdana" w:eastAsia="Times New Roman" w:hAnsi="Verdana" w:cs="Arial"/>
          <w:lang w:eastAsia="es-MX"/>
        </w:rPr>
        <w:t xml:space="preserve"> en el proceso de selección significa que los requisitos establecidos no deben crear barreras injustificadas para el </w:t>
      </w:r>
      <w:r w:rsidRPr="00810146">
        <w:rPr>
          <w:rFonts w:ascii="Verdana" w:hAnsi="Verdana"/>
        </w:rPr>
        <w:t>acceso a la contratación pública de los oferentes</w:t>
      </w:r>
      <w:r w:rsidRPr="00C94107">
        <w:rPr>
          <w:rFonts w:ascii="Verdana" w:eastAsia="Times New Roman" w:hAnsi="Verdana" w:cs="Arial"/>
          <w:lang w:val="es-ES" w:eastAsia="es-MX"/>
        </w:rPr>
        <w:t xml:space="preserve"> interesados, promoviendo una mayor competencia. </w:t>
      </w:r>
    </w:p>
    <w:p w14:paraId="620BBC9F" w14:textId="15349B84" w:rsidR="00E843DE" w:rsidRPr="00C94107" w:rsidRDefault="00E843DE" w:rsidP="00810146">
      <w:pPr>
        <w:tabs>
          <w:tab w:val="left" w:pos="426"/>
        </w:tabs>
        <w:spacing w:before="120" w:after="120" w:line="276" w:lineRule="auto"/>
        <w:ind w:firstLine="709"/>
        <w:jc w:val="both"/>
        <w:rPr>
          <w:rFonts w:ascii="Verdana" w:eastAsia="Times New Roman" w:hAnsi="Verdana" w:cs="Arial"/>
          <w:lang w:val="es-ES" w:eastAsia="es-MX"/>
        </w:rPr>
      </w:pPr>
      <w:r w:rsidRPr="00C94107">
        <w:rPr>
          <w:rFonts w:ascii="Verdana" w:eastAsia="Times New Roman" w:hAnsi="Verdana" w:cs="Arial"/>
          <w:lang w:val="es-ES" w:eastAsia="es-MX"/>
        </w:rPr>
        <w:t>En ese sentido, las Entidades</w:t>
      </w:r>
      <w:r w:rsidR="004A3150">
        <w:rPr>
          <w:rFonts w:ascii="Verdana" w:eastAsia="Times New Roman" w:hAnsi="Verdana" w:cs="Arial"/>
          <w:lang w:val="es-ES" w:eastAsia="es-MX"/>
        </w:rPr>
        <w:t xml:space="preserve"> Estatales</w:t>
      </w:r>
      <w:r w:rsidRPr="00C94107">
        <w:rPr>
          <w:rFonts w:ascii="Verdana" w:eastAsia="Times New Roman" w:hAnsi="Verdana" w:cs="Arial"/>
          <w:lang w:val="es-ES" w:eastAsia="es-MX"/>
        </w:rPr>
        <w:t xml:space="preserve"> tienen autonomía para estructurar los requisitos habilitantes en los procesos que adelantan, </w:t>
      </w:r>
      <w:r w:rsidRPr="00C94107">
        <w:rPr>
          <w:rFonts w:ascii="Verdana" w:eastAsia="Times New Roman" w:hAnsi="Verdana" w:cs="Arial"/>
          <w:i/>
          <w:iCs/>
          <w:lang w:val="es-ES" w:eastAsia="es-MX"/>
        </w:rPr>
        <w:t>pero tal facultad no puede ejercerse de forma arbitraria, caprichosa y, mucho menos, con el ánimo de direccionar el proceso de contratación</w:t>
      </w:r>
      <w:r w:rsidRPr="00C94107">
        <w:rPr>
          <w:rFonts w:ascii="Verdana" w:eastAsia="Times New Roman" w:hAnsi="Verdana" w:cs="Arial"/>
          <w:lang w:val="es-ES" w:eastAsia="es-MX"/>
        </w:rPr>
        <w:t xml:space="preserve"> o favorecer a alguno de los proponentes. Tampoco puede suceder que el ejercicio de dicha atribución se haga con desconocimiento de los límites impuestos por la normativa vigente, como, por ejemplo, el parágrafo 2 del artículo 5 de la Ley 1150 de 2007, que prohíbe exigir certificaciones de sistemas de gestión de calidad como requisito habilitante. </w:t>
      </w:r>
    </w:p>
    <w:p w14:paraId="0FB39B4B" w14:textId="6A6FC98D" w:rsidR="009E6386" w:rsidRPr="003D0085" w:rsidRDefault="009E6386" w:rsidP="009E6386">
      <w:pPr>
        <w:spacing w:after="120" w:line="276" w:lineRule="auto"/>
        <w:ind w:firstLine="708"/>
        <w:jc w:val="both"/>
        <w:rPr>
          <w:rFonts w:ascii="Verdana" w:hAnsi="Verdana" w:cs="Arial"/>
        </w:rPr>
      </w:pPr>
      <w:bookmarkStart w:id="15" w:name="_Hlk99548176"/>
      <w:r>
        <w:rPr>
          <w:rFonts w:ascii="Verdana" w:hAnsi="Verdana" w:cs="Arial"/>
        </w:rPr>
        <w:t xml:space="preserve">Ahora bien, </w:t>
      </w:r>
      <w:r w:rsidR="00C52C2E" w:rsidRPr="00C94107">
        <w:rPr>
          <w:rFonts w:ascii="Verdana" w:hAnsi="Verdana" w:cs="Arial"/>
        </w:rPr>
        <w:t>u</w:t>
      </w:r>
      <w:r w:rsidR="00060857" w:rsidRPr="00C94107">
        <w:rPr>
          <w:rFonts w:ascii="Verdana" w:hAnsi="Verdana" w:cs="Arial"/>
        </w:rPr>
        <w:t>na vez fijados los requisitos habilitantes por la Entidad Estatal, quienes presenten ofertas deben acreditar que cumplen con los mismos, pues, en el evento contrario, las propuestas deberán ser rechazadas. E</w:t>
      </w:r>
      <w:r w:rsidRPr="003D0085">
        <w:rPr>
          <w:rFonts w:ascii="Verdana" w:hAnsi="Verdana" w:cs="Arial"/>
        </w:rPr>
        <w:t>n cuanto al cumplimiento de los requisitos habilitantes, las Entidades Estatales sometidas al Estatuto General de Contratación de la Administración Pública – en adelante EGCAP -,  en virtud de lo establecido en el artículo 5 y 6 de la Ley 1150 de 2007, están obligadas a efectuar la evaluación correspondiente teniendo en cuenta la información que reposa en el certificado del Registro Único de Proponentes –en adelante RUP–, documento que constituye plena prueba de la información que contiene</w:t>
      </w:r>
      <w:r w:rsidRPr="003D0085">
        <w:rPr>
          <w:rFonts w:ascii="Verdana" w:hAnsi="Verdana" w:cs="Arial"/>
          <w:vertAlign w:val="superscript"/>
        </w:rPr>
        <w:footnoteReference w:id="6"/>
      </w:r>
      <w:r w:rsidRPr="003D0085">
        <w:rPr>
          <w:rFonts w:ascii="Verdana" w:hAnsi="Verdana" w:cs="Arial"/>
        </w:rPr>
        <w:t xml:space="preserve">, tal como lo establece el artículo 6.1 de la Ley 1150 de 2007. Por su </w:t>
      </w:r>
      <w:r w:rsidRPr="003D0085">
        <w:rPr>
          <w:rFonts w:ascii="Verdana" w:hAnsi="Verdana" w:cs="Arial"/>
        </w:rPr>
        <w:lastRenderedPageBreak/>
        <w:t xml:space="preserve">parte, el artículo 5.1 ibidem, al fijar los criterios que deben tener en cuenta las Entidades Estatales para garantizar la selección objetiva, dispone que las Cámaras de Comercio verificarán la información suministrada por las personas naturales o jurídicas para la inscripción en el Registro. </w:t>
      </w:r>
    </w:p>
    <w:bookmarkEnd w:id="15"/>
    <w:p w14:paraId="785952FA" w14:textId="05293190" w:rsidR="009E6386" w:rsidRPr="003D0085" w:rsidRDefault="009E6386" w:rsidP="009E6386">
      <w:pPr>
        <w:spacing w:after="120" w:line="276" w:lineRule="auto"/>
        <w:ind w:firstLine="708"/>
        <w:jc w:val="both"/>
        <w:rPr>
          <w:rFonts w:ascii="Verdana" w:hAnsi="Verdana" w:cs="Arial"/>
        </w:rPr>
      </w:pPr>
      <w:r w:rsidRPr="003D0085">
        <w:rPr>
          <w:rFonts w:ascii="Verdana" w:hAnsi="Verdana" w:cs="Arial"/>
        </w:rPr>
        <w:t xml:space="preserve">Dicha información debe tenerse en cuenta por las </w:t>
      </w:r>
      <w:r w:rsidR="006D7EE0" w:rsidRPr="00C94107">
        <w:rPr>
          <w:rFonts w:ascii="Verdana" w:hAnsi="Verdana" w:cs="Arial"/>
        </w:rPr>
        <w:t>Entidades</w:t>
      </w:r>
      <w:r w:rsidRPr="003D0085">
        <w:rPr>
          <w:rFonts w:ascii="Verdana" w:hAnsi="Verdana" w:cs="Arial"/>
        </w:rPr>
        <w:t xml:space="preserve"> en los </w:t>
      </w:r>
      <w:r w:rsidR="002E7EE6" w:rsidRPr="00C94107">
        <w:rPr>
          <w:rFonts w:ascii="Verdana" w:hAnsi="Verdana" w:cs="Arial"/>
        </w:rPr>
        <w:t>procedimientos</w:t>
      </w:r>
      <w:r w:rsidRPr="003D0085">
        <w:rPr>
          <w:rFonts w:ascii="Verdana" w:hAnsi="Verdana" w:cs="Arial"/>
        </w:rPr>
        <w:t xml:space="preserve"> de </w:t>
      </w:r>
      <w:r w:rsidR="002E7EE6" w:rsidRPr="00C94107">
        <w:rPr>
          <w:rFonts w:ascii="Verdana" w:hAnsi="Verdana" w:cs="Arial"/>
        </w:rPr>
        <w:t>contratación</w:t>
      </w:r>
      <w:r w:rsidRPr="003D0085">
        <w:rPr>
          <w:rFonts w:ascii="Verdana" w:hAnsi="Verdana" w:cs="Arial"/>
        </w:rPr>
        <w:t xml:space="preserve"> en los que es exigible el RUP</w:t>
      </w:r>
      <w:r w:rsidRPr="003D0085">
        <w:rPr>
          <w:rFonts w:ascii="Verdana" w:hAnsi="Verdana" w:cs="Arial"/>
          <w:vertAlign w:val="superscript"/>
        </w:rPr>
        <w:footnoteReference w:id="7"/>
      </w:r>
      <w:r w:rsidRPr="003D0085">
        <w:rPr>
          <w:rFonts w:ascii="Verdana" w:hAnsi="Verdana" w:cs="Arial"/>
        </w:rPr>
        <w:t>. Así las cosas, la capacidad jurídica y las condiciones de experiencia, capacidad financiera y de organización de los proponentes deberán ser verificadas exclusivamente a través del RUP, pues de acuerdo con lo expuesto, este documento es plena prueba de la información financiera, de experiencia y de capacidad acreditada por la persona natural o jurídica</w:t>
      </w:r>
      <w:r w:rsidRPr="003D0085">
        <w:rPr>
          <w:rFonts w:ascii="Verdana" w:hAnsi="Verdana" w:cs="Arial"/>
          <w:vertAlign w:val="superscript"/>
        </w:rPr>
        <w:footnoteReference w:id="8"/>
      </w:r>
      <w:r w:rsidRPr="003D0085">
        <w:rPr>
          <w:rFonts w:ascii="Verdana" w:hAnsi="Verdana" w:cs="Arial"/>
        </w:rPr>
        <w:t xml:space="preserve">. </w:t>
      </w:r>
    </w:p>
    <w:p w14:paraId="62E77B43" w14:textId="77777777" w:rsidR="00032FD1" w:rsidRPr="00C94107" w:rsidRDefault="009E6386" w:rsidP="009E6386">
      <w:pPr>
        <w:spacing w:after="120" w:line="276" w:lineRule="auto"/>
        <w:ind w:firstLine="709"/>
        <w:jc w:val="both"/>
        <w:rPr>
          <w:rFonts w:ascii="Verdana" w:hAnsi="Verdana" w:cs="Arial"/>
        </w:rPr>
      </w:pPr>
      <w:bookmarkStart w:id="16" w:name="_Hlk99548308"/>
      <w:r w:rsidRPr="003D0085">
        <w:rPr>
          <w:rFonts w:ascii="Verdana" w:hAnsi="Verdana" w:cs="Arial"/>
        </w:rPr>
        <w:t>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w:t>
      </w:r>
      <w:bookmarkEnd w:id="16"/>
      <w:r w:rsidRPr="003D0085">
        <w:rPr>
          <w:rFonts w:ascii="Verdana" w:hAnsi="Verdana" w:cs="Arial"/>
        </w:rPr>
        <w:t xml:space="preserve">. </w:t>
      </w:r>
    </w:p>
    <w:p w14:paraId="15D12CA5" w14:textId="5E542AAB" w:rsidR="009E6386" w:rsidRDefault="009E6386" w:rsidP="009E6386">
      <w:pPr>
        <w:spacing w:after="120" w:line="276" w:lineRule="auto"/>
        <w:ind w:firstLine="709"/>
        <w:jc w:val="both"/>
        <w:rPr>
          <w:rFonts w:ascii="Verdana" w:hAnsi="Verdana" w:cs="Arial"/>
        </w:rPr>
      </w:pPr>
      <w:r w:rsidRPr="003D0085">
        <w:rPr>
          <w:rFonts w:ascii="Verdana" w:hAnsi="Verdana" w:cs="Arial"/>
          <w:lang w:val="es-ES_tradnl"/>
        </w:rPr>
        <w:t xml:space="preserve">Estas excepciones son taxativas y se rigen por una interpretación restrictiva. Así lo dispone el artículo 2.2.1.1.1.5.1 del Decreto 1082 de 2015, al prescribir que la inscripción en el RUP es imperativa para los sujetos mencionados en el primer inciso del artículo 6 de la Ley 1150 de 2007, salvo las excepciones previstas de forma taxativa en la </w:t>
      </w:r>
      <w:r w:rsidR="00EA5C1D" w:rsidRPr="00C94107">
        <w:rPr>
          <w:rFonts w:ascii="Verdana" w:hAnsi="Verdana" w:cs="Arial"/>
          <w:lang w:val="es-ES_tradnl"/>
        </w:rPr>
        <w:t>Ley</w:t>
      </w:r>
      <w:r w:rsidRPr="003D0085">
        <w:rPr>
          <w:rFonts w:ascii="Verdana" w:hAnsi="Verdana" w:cs="Arial"/>
          <w:lang w:val="es-ES_tradnl"/>
        </w:rPr>
        <w:t xml:space="preserve">. </w:t>
      </w:r>
      <w:r w:rsidRPr="003D0085">
        <w:rPr>
          <w:rFonts w:ascii="Verdana" w:hAnsi="Verdana" w:cs="Arial"/>
        </w:rPr>
        <w:t xml:space="preserve">Adicionalmente, en el numeral 6.1. del artículo 6 de la Ley 1150 de 2007 establece que cuando sea necesario verificar requisitos o información que no reposa en RUP, la </w:t>
      </w:r>
      <w:r w:rsidR="00EA5C1D" w:rsidRPr="00C94107">
        <w:rPr>
          <w:rFonts w:ascii="Verdana" w:hAnsi="Verdana" w:cs="Arial"/>
        </w:rPr>
        <w:t>Entidad</w:t>
      </w:r>
      <w:r w:rsidRPr="003D0085">
        <w:rPr>
          <w:rFonts w:ascii="Verdana" w:hAnsi="Verdana" w:cs="Arial"/>
        </w:rPr>
        <w:t xml:space="preserve"> </w:t>
      </w:r>
      <w:r w:rsidRPr="003D0085">
        <w:rPr>
          <w:rFonts w:ascii="Verdana" w:hAnsi="Verdana" w:cs="Arial"/>
        </w:rPr>
        <w:lastRenderedPageBreak/>
        <w:t>podrá solicitar información adicional solo para complementar la información contenida en el RUP</w:t>
      </w:r>
      <w:r w:rsidRPr="003D0085">
        <w:rPr>
          <w:rFonts w:ascii="Verdana" w:hAnsi="Verdana" w:cs="Arial"/>
          <w:vertAlign w:val="superscript"/>
        </w:rPr>
        <w:footnoteReference w:id="9"/>
      </w:r>
      <w:r w:rsidRPr="003D0085">
        <w:rPr>
          <w:rFonts w:ascii="Verdana" w:hAnsi="Verdana" w:cs="Arial"/>
        </w:rPr>
        <w:t>.</w:t>
      </w:r>
    </w:p>
    <w:p w14:paraId="14AA781B" w14:textId="029FF440" w:rsidR="009E6386" w:rsidRDefault="009E6386" w:rsidP="009E6386">
      <w:pPr>
        <w:spacing w:after="120" w:line="276" w:lineRule="auto"/>
        <w:ind w:firstLine="709"/>
        <w:jc w:val="both"/>
        <w:rPr>
          <w:rFonts w:ascii="Verdana" w:hAnsi="Verdana" w:cs="Arial"/>
        </w:rPr>
      </w:pPr>
      <w:r>
        <w:rPr>
          <w:rFonts w:ascii="Verdana" w:hAnsi="Verdana" w:cs="Arial"/>
        </w:rPr>
        <w:t xml:space="preserve">En cualquier caso, en los procedimientos en los cuales no es exigible el RUP, como aquellos que se adelanten mediante la modalidad de mínima cuantía, las </w:t>
      </w:r>
      <w:r w:rsidR="00EA5C1D" w:rsidRPr="00C94107">
        <w:rPr>
          <w:rFonts w:ascii="Verdana" w:hAnsi="Verdana" w:cs="Arial"/>
        </w:rPr>
        <w:t>Entidades</w:t>
      </w:r>
      <w:r>
        <w:rPr>
          <w:rFonts w:ascii="Verdana" w:hAnsi="Verdana" w:cs="Arial"/>
        </w:rPr>
        <w:t xml:space="preserve"> deberán </w:t>
      </w:r>
      <w:r w:rsidRPr="003D0085">
        <w:rPr>
          <w:rFonts w:ascii="Verdana" w:hAnsi="Verdana" w:cs="Arial"/>
        </w:rPr>
        <w:t>verificar directamente el cumplimiento de los requisitos habilitantes</w:t>
      </w:r>
      <w:r w:rsidRPr="003D0085">
        <w:rPr>
          <w:rFonts w:ascii="Verdana" w:hAnsi="Verdana" w:cs="Arial"/>
          <w:vertAlign w:val="superscript"/>
        </w:rPr>
        <w:footnoteReference w:id="10"/>
      </w:r>
      <w:r>
        <w:rPr>
          <w:rFonts w:ascii="Verdana" w:hAnsi="Verdana" w:cs="Arial"/>
        </w:rPr>
        <w:t xml:space="preserve">. Para esto, deberá señalar en la invitación, o el documento que haga sus veces, </w:t>
      </w:r>
      <w:r w:rsidRPr="00FB79E2">
        <w:rPr>
          <w:rFonts w:ascii="Verdana" w:eastAsia="Times New Roman" w:hAnsi="Verdana" w:cs="Arial"/>
          <w:lang w:eastAsia="es-ES_tradnl"/>
        </w:rPr>
        <w:t>cuál es la información que se debe acreditar, así como los documentos que tendrá como válidos para tal fin.</w:t>
      </w:r>
      <w:r>
        <w:rPr>
          <w:rFonts w:ascii="Verdana" w:hAnsi="Verdana" w:cs="Arial"/>
        </w:rPr>
        <w:t xml:space="preserve"> Estos documentos también deberán ser proporcionales y adecuados, pues no podrán imponer barreras injustificadas para la participación en el proceso de selección.</w:t>
      </w:r>
    </w:p>
    <w:p w14:paraId="6ACE6631" w14:textId="442B7541" w:rsidR="009E6386" w:rsidRPr="00242C57" w:rsidRDefault="009E6386" w:rsidP="00810146">
      <w:pPr>
        <w:spacing w:after="0" w:line="276" w:lineRule="auto"/>
        <w:ind w:firstLine="709"/>
        <w:jc w:val="both"/>
        <w:rPr>
          <w:rFonts w:ascii="Verdana" w:eastAsia="Calibri" w:hAnsi="Verdana" w:cs="Arial"/>
          <w:lang w:val="es-ES"/>
        </w:rPr>
      </w:pPr>
      <w:r>
        <w:rPr>
          <w:rFonts w:ascii="Verdana" w:eastAsia="Calibri" w:hAnsi="Verdana" w:cs="Arial"/>
          <w:lang w:val="es-ES"/>
        </w:rPr>
        <w:t>En cualquier caso</w:t>
      </w:r>
      <w:r w:rsidRPr="003D0085">
        <w:rPr>
          <w:rFonts w:ascii="Verdana" w:eastAsia="Calibri" w:hAnsi="Verdana" w:cs="Arial"/>
          <w:lang w:val="es-ES"/>
        </w:rPr>
        <w:t>,</w:t>
      </w:r>
      <w:r>
        <w:rPr>
          <w:rFonts w:ascii="Verdana" w:eastAsia="Calibri" w:hAnsi="Verdana" w:cs="Arial"/>
          <w:lang w:val="es-ES"/>
        </w:rPr>
        <w:t xml:space="preserve"> dicha</w:t>
      </w:r>
      <w:r w:rsidRPr="003D0085">
        <w:rPr>
          <w:rFonts w:ascii="Verdana" w:eastAsia="Calibri" w:hAnsi="Verdana" w:cs="Arial"/>
          <w:lang w:val="es-ES"/>
        </w:rPr>
        <w:t xml:space="preserve"> excepcionalidad no es óbice para que </w:t>
      </w:r>
      <w:r>
        <w:rPr>
          <w:rFonts w:ascii="Verdana" w:eastAsia="Calibri" w:hAnsi="Verdana" w:cs="Arial"/>
          <w:lang w:val="es-ES"/>
        </w:rPr>
        <w:t xml:space="preserve">las </w:t>
      </w:r>
      <w:r w:rsidR="00746D25" w:rsidRPr="00C94107">
        <w:rPr>
          <w:rFonts w:ascii="Verdana" w:eastAsia="Calibri" w:hAnsi="Verdana" w:cs="Arial"/>
          <w:lang w:val="es-ES"/>
        </w:rPr>
        <w:t>Entidades</w:t>
      </w:r>
      <w:r>
        <w:rPr>
          <w:rFonts w:ascii="Verdana" w:eastAsia="Calibri" w:hAnsi="Verdana" w:cs="Arial"/>
          <w:lang w:val="es-ES"/>
        </w:rPr>
        <w:t xml:space="preserve"> </w:t>
      </w:r>
      <w:r w:rsidRPr="003D0085">
        <w:rPr>
          <w:rFonts w:ascii="Verdana" w:eastAsia="Calibri" w:hAnsi="Verdana" w:cs="Arial"/>
          <w:lang w:val="es-ES"/>
        </w:rPr>
        <w:t>voluntariamente puedan solicitar</w:t>
      </w:r>
      <w:r>
        <w:rPr>
          <w:rFonts w:ascii="Verdana" w:eastAsia="Calibri" w:hAnsi="Verdana" w:cs="Arial"/>
          <w:lang w:val="es-ES"/>
        </w:rPr>
        <w:t xml:space="preserve"> el RUP</w:t>
      </w:r>
      <w:r w:rsidRPr="003D0085">
        <w:rPr>
          <w:rFonts w:ascii="Verdana" w:eastAsia="Calibri" w:hAnsi="Verdana" w:cs="Arial"/>
          <w:lang w:val="es-ES"/>
        </w:rPr>
        <w:t xml:space="preserve"> como uno de los medios mediante los cuales los proponentes pueden acreditar algunos de los requisitos exigidos en los procesos de contratación que adelanten</w:t>
      </w:r>
      <w:r>
        <w:rPr>
          <w:rFonts w:ascii="Verdana" w:eastAsia="Calibri" w:hAnsi="Verdana" w:cs="Arial"/>
          <w:lang w:val="es-ES"/>
        </w:rPr>
        <w:t>.</w:t>
      </w:r>
    </w:p>
    <w:p w14:paraId="6CA3A75D" w14:textId="77777777" w:rsidR="005930B3" w:rsidRPr="00C94107" w:rsidRDefault="005930B3" w:rsidP="00810146">
      <w:pPr>
        <w:spacing w:after="0" w:line="276" w:lineRule="auto"/>
        <w:jc w:val="both"/>
        <w:rPr>
          <w:rFonts w:ascii="Verdana" w:eastAsia="Calibri" w:hAnsi="Verdana" w:cs="Arial"/>
          <w:lang w:val="es-ES" w:eastAsia="es-ES"/>
        </w:rPr>
      </w:pPr>
    </w:p>
    <w:p w14:paraId="0B336376" w14:textId="54378AC3" w:rsidR="009E6386" w:rsidRPr="00C94107" w:rsidRDefault="009E6386" w:rsidP="00810146">
      <w:pPr>
        <w:spacing w:after="120" w:line="276" w:lineRule="auto"/>
        <w:jc w:val="both"/>
        <w:rPr>
          <w:rFonts w:ascii="Verdana" w:eastAsia="Calibri" w:hAnsi="Verdana" w:cs="Arial"/>
          <w:lang w:val="es-ES" w:eastAsia="es-ES"/>
        </w:rPr>
      </w:pPr>
      <w:r w:rsidRPr="00C94107">
        <w:rPr>
          <w:rFonts w:ascii="Verdana" w:eastAsia="Calibri" w:hAnsi="Verdana" w:cs="Arial"/>
          <w:lang w:val="es-ES" w:eastAsia="es-ES"/>
        </w:rPr>
        <w:t>(</w:t>
      </w:r>
      <w:proofErr w:type="spellStart"/>
      <w:r w:rsidRPr="00C94107">
        <w:rPr>
          <w:rFonts w:ascii="Verdana" w:eastAsia="Calibri" w:hAnsi="Verdana" w:cs="Arial"/>
          <w:lang w:val="es-ES" w:eastAsia="es-ES"/>
        </w:rPr>
        <w:t>ii</w:t>
      </w:r>
      <w:proofErr w:type="spellEnd"/>
      <w:r w:rsidRPr="00C94107">
        <w:rPr>
          <w:rFonts w:ascii="Verdana" w:eastAsia="Calibri" w:hAnsi="Verdana" w:cs="Arial"/>
          <w:lang w:val="es-ES" w:eastAsia="es-ES"/>
        </w:rPr>
        <w:t xml:space="preserve">) </w:t>
      </w:r>
      <w:r w:rsidR="00DE5E77" w:rsidRPr="00C94107">
        <w:rPr>
          <w:rFonts w:ascii="Verdana" w:eastAsia="Calibri" w:hAnsi="Verdana" w:cs="Arial"/>
          <w:lang w:val="es-ES" w:eastAsia="es-ES"/>
        </w:rPr>
        <w:t xml:space="preserve">Respecto a </w:t>
      </w:r>
      <w:r w:rsidRPr="00C94107">
        <w:rPr>
          <w:rFonts w:ascii="Verdana" w:eastAsia="Calibri" w:hAnsi="Verdana" w:cs="Arial"/>
          <w:lang w:val="es-ES" w:eastAsia="es-ES"/>
        </w:rPr>
        <w:t>la capacidad jurídica</w:t>
      </w:r>
      <w:r w:rsidR="00BB3468">
        <w:rPr>
          <w:rFonts w:ascii="Verdana" w:eastAsia="Calibri" w:hAnsi="Verdana" w:cs="Arial"/>
          <w:lang w:val="es-ES" w:eastAsia="es-ES"/>
        </w:rPr>
        <w:t>,</w:t>
      </w:r>
      <w:r w:rsidRPr="00C94107">
        <w:rPr>
          <w:rFonts w:ascii="Verdana" w:eastAsia="Calibri" w:hAnsi="Verdana" w:cs="Arial"/>
          <w:lang w:val="es-ES" w:eastAsia="es-ES"/>
        </w:rPr>
        <w:t xml:space="preserve"> </w:t>
      </w:r>
      <w:r w:rsidR="00BB3468">
        <w:rPr>
          <w:rFonts w:ascii="Verdana" w:eastAsia="Calibri" w:hAnsi="Verdana" w:cs="Arial"/>
          <w:lang w:val="es-ES" w:eastAsia="es-ES"/>
        </w:rPr>
        <w:t>esta es entendida como</w:t>
      </w:r>
      <w:r>
        <w:rPr>
          <w:rFonts w:ascii="Verdana" w:eastAsia="Calibri" w:hAnsi="Verdana" w:cs="Arial"/>
          <w:lang w:val="es-ES" w:eastAsia="es-ES"/>
        </w:rPr>
        <w:t xml:space="preserve"> </w:t>
      </w:r>
      <w:r w:rsidRPr="00C94107">
        <w:rPr>
          <w:rFonts w:ascii="Verdana" w:eastAsia="Calibri" w:hAnsi="Verdana" w:cs="Arial"/>
          <w:lang w:val="es-ES" w:eastAsia="es-ES"/>
        </w:rPr>
        <w:t>la aptitud que recae en los sujetos activos o pasivos de las relaciones jurídicas</w:t>
      </w:r>
      <w:r w:rsidRPr="00C94107">
        <w:rPr>
          <w:rFonts w:ascii="Verdana" w:eastAsia="Calibri" w:hAnsi="Verdana" w:cs="Arial"/>
          <w:vertAlign w:val="superscript"/>
          <w:lang w:val="es-ES" w:eastAsia="es-ES"/>
        </w:rPr>
        <w:footnoteReference w:id="11"/>
      </w:r>
      <w:r w:rsidRPr="00C94107">
        <w:rPr>
          <w:rFonts w:ascii="Verdana" w:eastAsia="Calibri" w:hAnsi="Verdana" w:cs="Arial"/>
          <w:lang w:val="es-ES" w:eastAsia="es-ES"/>
        </w:rPr>
        <w:t xml:space="preserve">. Para efectos de las relaciones contractuales en las que uno de los extremos de la relación sea una Entidad Estatal, la capacidad jurídica es la facultad que tiene una persona natural o jurídica para celebrar contratos </w:t>
      </w:r>
      <w:r w:rsidR="0021137E">
        <w:rPr>
          <w:rFonts w:ascii="Verdana" w:eastAsia="Calibri" w:hAnsi="Verdana" w:cs="Arial"/>
          <w:lang w:val="es-ES" w:eastAsia="es-ES"/>
        </w:rPr>
        <w:t xml:space="preserve">con </w:t>
      </w:r>
      <w:r w:rsidRPr="00C94107">
        <w:rPr>
          <w:rFonts w:ascii="Verdana" w:eastAsia="Calibri" w:hAnsi="Verdana" w:cs="Arial"/>
          <w:lang w:val="es-ES" w:eastAsia="es-ES"/>
        </w:rPr>
        <w:t xml:space="preserve">estas </w:t>
      </w:r>
      <w:r w:rsidR="003B77B5" w:rsidRPr="00C94107">
        <w:rPr>
          <w:rFonts w:ascii="Verdana" w:eastAsia="Calibri" w:hAnsi="Verdana" w:cs="Arial"/>
          <w:lang w:val="es-ES" w:eastAsia="es-ES"/>
        </w:rPr>
        <w:t>Entidades</w:t>
      </w:r>
      <w:r w:rsidRPr="00C94107">
        <w:rPr>
          <w:rFonts w:ascii="Verdana" w:eastAsia="Calibri" w:hAnsi="Verdana" w:cs="Arial"/>
          <w:lang w:val="es-ES" w:eastAsia="es-ES"/>
        </w:rPr>
        <w:t xml:space="preserve">. En otras palabras, se refiere </w:t>
      </w:r>
      <w:r w:rsidR="00193509" w:rsidRPr="00C94107">
        <w:rPr>
          <w:rFonts w:ascii="Verdana" w:eastAsia="Calibri" w:hAnsi="Verdana" w:cs="Arial"/>
          <w:lang w:val="es-ES" w:eastAsia="es-ES"/>
        </w:rPr>
        <w:t>a la</w:t>
      </w:r>
      <w:r w:rsidRPr="00C94107">
        <w:rPr>
          <w:rFonts w:ascii="Verdana" w:eastAsia="Calibri" w:hAnsi="Verdana" w:cs="Arial"/>
          <w:lang w:val="es-ES" w:eastAsia="es-ES"/>
        </w:rPr>
        <w:t xml:space="preserve"> capacidad de obligarse a cumplir el objeto del contrato, así como a no estar incursa en inhabilidades o incompatibilidades que impidan su celebración.</w:t>
      </w:r>
    </w:p>
    <w:p w14:paraId="7CC953C8" w14:textId="4E708AB1" w:rsidR="0003002D" w:rsidRPr="00C94107" w:rsidRDefault="009E6386" w:rsidP="009E6386">
      <w:pPr>
        <w:spacing w:before="120" w:after="120" w:line="276" w:lineRule="auto"/>
        <w:ind w:firstLine="709"/>
        <w:jc w:val="both"/>
        <w:rPr>
          <w:rFonts w:ascii="Verdana" w:eastAsia="Calibri" w:hAnsi="Verdana" w:cs="Arial"/>
          <w:lang w:val="es-ES_tradnl" w:eastAsia="es-ES_tradnl"/>
        </w:rPr>
      </w:pPr>
      <w:r w:rsidRPr="00C94107">
        <w:rPr>
          <w:rFonts w:ascii="Verdana" w:eastAsia="Calibri" w:hAnsi="Verdana" w:cs="Arial"/>
          <w:lang w:val="es-ES_tradnl" w:eastAsia="es-ES_tradnl"/>
        </w:rPr>
        <w:t xml:space="preserve">Para efectos del </w:t>
      </w:r>
      <w:r w:rsidR="00113C2F" w:rsidRPr="00C94107">
        <w:rPr>
          <w:rFonts w:ascii="Verdana" w:eastAsia="Calibri" w:hAnsi="Verdana" w:cs="Arial"/>
          <w:lang w:val="es-ES_tradnl" w:eastAsia="es-ES_tradnl"/>
        </w:rPr>
        <w:t>EGCAP</w:t>
      </w:r>
      <w:r w:rsidRPr="00C94107">
        <w:rPr>
          <w:rFonts w:ascii="Verdana" w:eastAsia="Calibri" w:hAnsi="Verdana" w:cs="Arial"/>
          <w:lang w:val="es-ES_tradnl" w:eastAsia="es-ES_tradnl"/>
        </w:rPr>
        <w:t>, la capacidad para contratar la tienen las personas consideradas legalmente capaces en las disposiciones vigentes</w:t>
      </w:r>
      <w:r w:rsidRPr="00C94107">
        <w:rPr>
          <w:rFonts w:ascii="Verdana" w:eastAsia="Calibri" w:hAnsi="Verdana" w:cs="Arial"/>
          <w:vertAlign w:val="superscript"/>
          <w:lang w:val="es-ES_tradnl" w:eastAsia="es-ES_tradnl"/>
        </w:rPr>
        <w:footnoteReference w:id="12"/>
      </w:r>
      <w:r w:rsidRPr="00C94107">
        <w:rPr>
          <w:rFonts w:ascii="Verdana" w:eastAsia="Times New Roman" w:hAnsi="Verdana" w:cs="Arial"/>
          <w:lang w:eastAsia="es-ES_tradnl"/>
        </w:rPr>
        <w:t xml:space="preserve">, así como otras </w:t>
      </w:r>
      <w:r w:rsidRPr="00C94107">
        <w:rPr>
          <w:rFonts w:ascii="Verdana" w:eastAsia="Times New Roman" w:hAnsi="Verdana" w:cs="Arial"/>
          <w:lang w:eastAsia="es-ES_tradnl"/>
        </w:rPr>
        <w:lastRenderedPageBreak/>
        <w:t>formas asociativas. En efecto, el artículo 6 de la Ley 80 de 1993 establece que “[p]</w:t>
      </w:r>
      <w:proofErr w:type="spellStart"/>
      <w:r w:rsidRPr="00C94107">
        <w:rPr>
          <w:rFonts w:ascii="Verdana" w:eastAsia="Times New Roman" w:hAnsi="Verdana" w:cs="Arial"/>
          <w:lang w:eastAsia="es-ES_tradnl"/>
        </w:rPr>
        <w:t>ueden</w:t>
      </w:r>
      <w:proofErr w:type="spellEnd"/>
      <w:r w:rsidRPr="00C94107">
        <w:rPr>
          <w:rFonts w:ascii="Verdana" w:eastAsia="Times New Roman" w:hAnsi="Verdana" w:cs="Arial"/>
          <w:lang w:eastAsia="es-ES_tradnl"/>
        </w:rPr>
        <w:t xml:space="preserve"> celebrar contratos con las entidades estatales las personas consideradas legalmente capaces en las disposiciones vigentes […]”, así como “[…] los consorcios y uniones temporales”.</w:t>
      </w:r>
    </w:p>
    <w:p w14:paraId="0DE63040" w14:textId="77777777" w:rsidR="009E6386" w:rsidRPr="00C94107" w:rsidRDefault="009E6386" w:rsidP="009E6386">
      <w:pPr>
        <w:spacing w:before="120" w:after="120" w:line="276" w:lineRule="auto"/>
        <w:ind w:firstLine="709"/>
        <w:jc w:val="both"/>
        <w:rPr>
          <w:rFonts w:ascii="Verdana" w:eastAsia="Calibri" w:hAnsi="Verdana" w:cs="Arial"/>
          <w:lang w:val="es-ES" w:eastAsia="es-ES"/>
        </w:rPr>
      </w:pPr>
      <w:r w:rsidRPr="00C94107">
        <w:rPr>
          <w:rFonts w:ascii="Verdana" w:eastAsia="Calibri" w:hAnsi="Verdana" w:cs="Arial"/>
          <w:lang w:val="es-ES" w:eastAsia="es-ES"/>
        </w:rPr>
        <w:t>En este sentido, las personas naturales que tienen capacidad jurídica para contratar son los mayores de edad, salvo que por disposición expresa se encuentren limitados por decisión judicial, y que no estén incursas en inhabilidades, incompatibilidades o prohibiciones derivadas de la ley. Respecto de las personas jurídicas, la capacidad jurídica hace referencia a la posibilidad que tienen para adelantar actividades en el marco de su objeto social, las facultades que le han sido otorgadas al representante legal y a la ausencia de inhabilidades, incompatibilidades o prohibiciones para contratar, derivadas de la ley.</w:t>
      </w:r>
    </w:p>
    <w:p w14:paraId="52D5C49E" w14:textId="62E6F972" w:rsidR="009E6386" w:rsidRPr="00B50C26" w:rsidRDefault="009E6386" w:rsidP="00E871AC">
      <w:pPr>
        <w:spacing w:before="120" w:after="0" w:line="276" w:lineRule="auto"/>
        <w:ind w:firstLine="709"/>
        <w:jc w:val="both"/>
        <w:rPr>
          <w:rFonts w:ascii="Verdana" w:eastAsia="Calibri" w:hAnsi="Verdana" w:cs="Arial"/>
          <w:lang w:val="es-ES_tradnl" w:eastAsia="es-ES_tradnl"/>
        </w:rPr>
      </w:pPr>
      <w:r>
        <w:rPr>
          <w:rFonts w:ascii="Verdana" w:eastAsia="Calibri" w:hAnsi="Verdana" w:cs="Arial"/>
          <w:lang w:val="es-ES_tradnl" w:eastAsia="es-ES_tradnl"/>
        </w:rPr>
        <w:t>E</w:t>
      </w:r>
      <w:r w:rsidRPr="00B50C26">
        <w:rPr>
          <w:rFonts w:ascii="Verdana" w:eastAsia="Calibri" w:hAnsi="Verdana" w:cs="Arial"/>
          <w:lang w:val="es-ES_tradnl" w:eastAsia="es-ES_tradnl"/>
        </w:rPr>
        <w:t xml:space="preserve">n el marco de los procesos de selección, las </w:t>
      </w:r>
      <w:r w:rsidR="00E871AC" w:rsidRPr="00C94107">
        <w:rPr>
          <w:rFonts w:ascii="Verdana" w:eastAsia="Calibri" w:hAnsi="Verdana" w:cs="Arial"/>
          <w:lang w:val="es-ES_tradnl" w:eastAsia="es-ES_tradnl"/>
        </w:rPr>
        <w:t>Entidades Estatales</w:t>
      </w:r>
      <w:r w:rsidRPr="00B50C26">
        <w:rPr>
          <w:rFonts w:ascii="Verdana" w:eastAsia="Calibri" w:hAnsi="Verdana" w:cs="Arial"/>
          <w:lang w:val="es-ES_tradnl" w:eastAsia="es-ES_tradnl"/>
        </w:rPr>
        <w:t xml:space="preserve"> deben solicitar a los proponentes toda la información necesaria para conocer su idoneidad en la ejecución del contrato a celebrar, </w:t>
      </w:r>
      <w:r>
        <w:rPr>
          <w:rFonts w:ascii="Verdana" w:eastAsia="Calibri" w:hAnsi="Verdana" w:cs="Arial"/>
          <w:lang w:val="es-ES_tradnl" w:eastAsia="es-ES_tradnl"/>
        </w:rPr>
        <w:t xml:space="preserve">y </w:t>
      </w:r>
      <w:r w:rsidRPr="00B50C26">
        <w:rPr>
          <w:rFonts w:ascii="Verdana" w:eastAsia="Calibri" w:hAnsi="Verdana" w:cs="Arial"/>
          <w:lang w:val="es-ES_tradnl" w:eastAsia="es-ES_tradnl"/>
        </w:rPr>
        <w:t>que le permita verificar su honestidad e integridad en el manejo de los recursos. El Consejo de Estado ha exhortado a las Entidades Estatales para conocer la calidad en la que actúa el proponente, así</w:t>
      </w:r>
      <w:r w:rsidRPr="00B50C26">
        <w:rPr>
          <w:rFonts w:ascii="Verdana" w:eastAsia="Calibri" w:hAnsi="Verdana" w:cs="Arial"/>
          <w:vertAlign w:val="superscript"/>
          <w:lang w:val="es-ES_tradnl" w:eastAsia="es-ES_tradnl"/>
        </w:rPr>
        <w:footnoteReference w:id="13"/>
      </w:r>
      <w:r w:rsidRPr="00B50C26">
        <w:rPr>
          <w:rFonts w:ascii="Verdana" w:eastAsia="Calibri" w:hAnsi="Verdana" w:cs="Arial"/>
          <w:lang w:val="es-ES_tradnl" w:eastAsia="es-ES_tradnl"/>
        </w:rPr>
        <w:t>:</w:t>
      </w:r>
    </w:p>
    <w:p w14:paraId="3E0FD5A6" w14:textId="77777777" w:rsidR="00E871AC" w:rsidRPr="00C94107" w:rsidRDefault="00E871AC" w:rsidP="00810146">
      <w:pPr>
        <w:spacing w:after="0" w:line="276" w:lineRule="auto"/>
        <w:ind w:firstLine="709"/>
        <w:jc w:val="both"/>
        <w:rPr>
          <w:rFonts w:ascii="Verdana" w:eastAsia="Calibri" w:hAnsi="Verdana" w:cs="Arial"/>
          <w:lang w:val="es-ES_tradnl" w:eastAsia="es-ES_tradnl"/>
        </w:rPr>
      </w:pPr>
    </w:p>
    <w:p w14:paraId="6DE4B22B" w14:textId="77777777" w:rsidR="009E6386" w:rsidRPr="00810146" w:rsidRDefault="009E6386" w:rsidP="009E6386">
      <w:pPr>
        <w:widowControl w:val="0"/>
        <w:autoSpaceDE w:val="0"/>
        <w:autoSpaceDN w:val="0"/>
        <w:spacing w:after="0" w:line="240" w:lineRule="auto"/>
        <w:ind w:left="709" w:right="709"/>
        <w:contextualSpacing/>
        <w:jc w:val="both"/>
        <w:rPr>
          <w:rFonts w:ascii="Verdana" w:eastAsia="Arial" w:hAnsi="Verdana" w:cs="Arial"/>
          <w:sz w:val="20"/>
          <w:szCs w:val="20"/>
          <w:lang w:val="es-ES" w:eastAsia="es-ES" w:bidi="es-ES"/>
        </w:rPr>
      </w:pPr>
      <w:r w:rsidRPr="00810146">
        <w:rPr>
          <w:rFonts w:ascii="Verdana" w:eastAsia="Arial" w:hAnsi="Verdana" w:cs="Arial"/>
          <w:sz w:val="20"/>
          <w:szCs w:val="20"/>
          <w:lang w:val="es-ES" w:eastAsia="es-ES" w:bidi="es-ES"/>
        </w:rPr>
        <w:t>“No duda la Sala en afirmar que la anterior disposición conlleva un deber calificado para las entidades estatales, cuyo presupuesto es la buena fe (y como se verá, el principio de precaución), consistente en una carga de conocimiento que las obliga a determinar la calidad con la que actúa el proponente o contratista, esto es, persona natural o jurídica, o sucursal de una sociedad extranjera, si pertenece o no a un grupo empresarial, si se trata de una filial o subsidiaria, la composición de su capital, si cotiza o no en bolsa, si es una empresa familiar, la idoneidad personal y profesional de sus representantes legales, entre otros aspectos, así como el origen lícito de los fondos que empleará en la ejecución del objeto contratado, los cuales, por supuesto, no pueden provenir de actividades delictivas en general, o ser el producto de actos de corrupción, en</w:t>
      </w:r>
      <w:r w:rsidRPr="00810146">
        <w:rPr>
          <w:rFonts w:ascii="Verdana" w:eastAsia="Arial" w:hAnsi="Verdana" w:cs="Arial"/>
          <w:spacing w:val="-11"/>
          <w:sz w:val="20"/>
          <w:szCs w:val="20"/>
          <w:lang w:val="es-ES" w:eastAsia="es-ES" w:bidi="es-ES"/>
        </w:rPr>
        <w:t xml:space="preserve"> </w:t>
      </w:r>
      <w:r w:rsidRPr="00810146">
        <w:rPr>
          <w:rFonts w:ascii="Verdana" w:eastAsia="Arial" w:hAnsi="Verdana" w:cs="Arial"/>
          <w:sz w:val="20"/>
          <w:szCs w:val="20"/>
          <w:lang w:val="es-ES" w:eastAsia="es-ES" w:bidi="es-ES"/>
        </w:rPr>
        <w:t>particular”.</w:t>
      </w:r>
    </w:p>
    <w:p w14:paraId="7994147A" w14:textId="77777777" w:rsidR="009E6386" w:rsidRPr="00B50C26" w:rsidRDefault="009E6386" w:rsidP="009E6386">
      <w:pPr>
        <w:widowControl w:val="0"/>
        <w:autoSpaceDE w:val="0"/>
        <w:autoSpaceDN w:val="0"/>
        <w:spacing w:after="0" w:line="276" w:lineRule="auto"/>
        <w:contextualSpacing/>
        <w:rPr>
          <w:rFonts w:ascii="Verdana" w:eastAsia="Arial" w:hAnsi="Verdana" w:cs="Arial"/>
          <w:lang w:val="es-ES" w:eastAsia="es-ES" w:bidi="es-ES"/>
        </w:rPr>
      </w:pPr>
    </w:p>
    <w:p w14:paraId="34FFE8D7" w14:textId="063B289F" w:rsidR="00CC7430" w:rsidRDefault="00C90411" w:rsidP="00E8269A">
      <w:pPr>
        <w:spacing w:after="120" w:line="276" w:lineRule="auto"/>
        <w:ind w:firstLine="708"/>
        <w:jc w:val="both"/>
        <w:rPr>
          <w:rFonts w:ascii="Verdana" w:eastAsia="Calibri" w:hAnsi="Verdana" w:cs="Arial"/>
          <w:bCs/>
          <w:lang w:val="es-ES_tradnl"/>
        </w:rPr>
      </w:pPr>
      <w:r>
        <w:rPr>
          <w:rFonts w:ascii="Verdana" w:eastAsia="Times New Roman" w:hAnsi="Verdana" w:cs="Arial"/>
          <w:color w:val="000000" w:themeColor="text1"/>
          <w:lang w:val="es-ES" w:eastAsia="es-ES"/>
        </w:rPr>
        <w:t>Frente a</w:t>
      </w:r>
      <w:r w:rsidR="00901DE3">
        <w:rPr>
          <w:rFonts w:ascii="Verdana" w:eastAsia="Times New Roman" w:hAnsi="Verdana" w:cs="Arial"/>
          <w:color w:val="000000" w:themeColor="text1"/>
          <w:lang w:val="es-ES" w:eastAsia="es-ES"/>
        </w:rPr>
        <w:t xml:space="preserve"> la exigencia de que el proponente cuente con establecimiento de comercio en el lugar de ejecución del contrato – tema que señala en su consulta </w:t>
      </w:r>
      <w:r w:rsidR="00901DE3">
        <w:rPr>
          <w:rFonts w:ascii="Verdana" w:eastAsia="Times New Roman" w:hAnsi="Verdana" w:cs="Arial"/>
          <w:color w:val="000000" w:themeColor="text1"/>
          <w:lang w:val="es-ES" w:eastAsia="es-ES"/>
        </w:rPr>
        <w:lastRenderedPageBreak/>
        <w:t>-</w:t>
      </w:r>
      <w:r w:rsidR="00E8269A" w:rsidRPr="00810146">
        <w:rPr>
          <w:rFonts w:ascii="Verdana" w:eastAsia="Calibri" w:hAnsi="Verdana" w:cs="Arial"/>
          <w:bCs/>
          <w:lang w:val="es-ES_tradnl"/>
        </w:rPr>
        <w:t>, es necesario tener en cuenta que</w:t>
      </w:r>
      <w:r w:rsidR="00E555C4">
        <w:rPr>
          <w:rFonts w:ascii="Verdana" w:eastAsia="Calibri" w:hAnsi="Verdana" w:cs="Arial"/>
          <w:bCs/>
          <w:lang w:val="es-ES_tradnl"/>
        </w:rPr>
        <w:t xml:space="preserve">, </w:t>
      </w:r>
      <w:r w:rsidR="00E8269A" w:rsidRPr="00810146">
        <w:rPr>
          <w:rFonts w:ascii="Verdana" w:eastAsia="Calibri" w:hAnsi="Verdana" w:cs="Arial"/>
          <w:bCs/>
          <w:lang w:val="es-ES_tradnl"/>
        </w:rPr>
        <w:t>la actividad comercial</w:t>
      </w:r>
      <w:r w:rsidR="001123B3">
        <w:rPr>
          <w:rStyle w:val="FootnoteReference"/>
          <w:rFonts w:ascii="Verdana" w:eastAsia="Calibri" w:hAnsi="Verdana" w:cs="Arial"/>
          <w:bCs/>
          <w:lang w:val="es-ES_tradnl"/>
        </w:rPr>
        <w:footnoteReference w:id="14"/>
      </w:r>
      <w:r w:rsidR="00E8269A" w:rsidRPr="00810146">
        <w:rPr>
          <w:rFonts w:ascii="Verdana" w:eastAsia="Calibri" w:hAnsi="Verdana" w:cs="Arial"/>
          <w:bCs/>
          <w:lang w:val="es-ES_tradnl"/>
        </w:rPr>
        <w:t xml:space="preserve"> se realiza a través de establecimientos de comercio sujetos al registro mercantil. En efecto, de conformidad con el artículo 25 del Código de Comercio, </w:t>
      </w:r>
      <w:r w:rsidR="007820EE">
        <w:rPr>
          <w:rFonts w:ascii="Verdana" w:eastAsia="Calibri" w:hAnsi="Verdana" w:cs="Arial"/>
          <w:bCs/>
          <w:lang w:val="es-ES_tradnl"/>
        </w:rPr>
        <w:t>“</w:t>
      </w:r>
      <w:r w:rsidR="00E8269A" w:rsidRPr="00810146">
        <w:rPr>
          <w:rFonts w:ascii="Verdana" w:eastAsia="Calibri" w:hAnsi="Verdana" w:cs="Arial"/>
          <w:bCs/>
          <w:lang w:val="es-ES_tradnl"/>
        </w:rPr>
        <w:t xml:space="preserve">Se entenderá por empresa toda actividad económica organizada para la producción, transformación, circulación, administración o custodia de bienes, o para la prestación de servicios. </w:t>
      </w:r>
      <w:r w:rsidR="00E8269A" w:rsidRPr="00810146">
        <w:rPr>
          <w:rFonts w:ascii="Verdana" w:eastAsia="Calibri" w:hAnsi="Verdana" w:cs="Arial"/>
          <w:bCs/>
          <w:i/>
          <w:iCs/>
          <w:lang w:val="es-ES_tradnl"/>
        </w:rPr>
        <w:t>Dicha actividad se realizará a través de uno o más establecimientos de comercio</w:t>
      </w:r>
      <w:r w:rsidR="007820EE">
        <w:rPr>
          <w:rFonts w:ascii="Verdana" w:eastAsia="Calibri" w:hAnsi="Verdana" w:cs="Arial"/>
          <w:bCs/>
          <w:lang w:val="es-ES_tradnl"/>
        </w:rPr>
        <w:t>”</w:t>
      </w:r>
      <w:r w:rsidR="00E8269A" w:rsidRPr="00810146">
        <w:rPr>
          <w:rFonts w:ascii="Verdana" w:eastAsia="Calibri" w:hAnsi="Verdana" w:cs="Arial"/>
          <w:bCs/>
          <w:lang w:val="es-ES_tradnl"/>
        </w:rPr>
        <w:t xml:space="preserve"> </w:t>
      </w:r>
      <w:r w:rsidR="00E8269A" w:rsidRPr="00810146">
        <w:rPr>
          <w:rFonts w:ascii="Verdana" w:hAnsi="Verdana" w:cs="Arial"/>
          <w:lang w:eastAsia="es-CO"/>
        </w:rPr>
        <w:t>(Énfasis fuera de texto)</w:t>
      </w:r>
      <w:r w:rsidR="00E8269A" w:rsidRPr="00810146">
        <w:rPr>
          <w:rFonts w:ascii="Verdana" w:eastAsia="Calibri" w:hAnsi="Verdana" w:cs="Arial"/>
          <w:bCs/>
          <w:lang w:val="es-ES_tradnl"/>
        </w:rPr>
        <w:t xml:space="preserve">. </w:t>
      </w:r>
    </w:p>
    <w:p w14:paraId="45DC4924" w14:textId="71701F85" w:rsidR="00E8269A" w:rsidRDefault="00E8269A" w:rsidP="00E8269A">
      <w:pPr>
        <w:spacing w:after="120" w:line="276" w:lineRule="auto"/>
        <w:ind w:firstLine="708"/>
        <w:jc w:val="both"/>
        <w:rPr>
          <w:rFonts w:ascii="Verdana" w:eastAsia="Calibri" w:hAnsi="Verdana" w:cs="Arial"/>
          <w:bCs/>
          <w:lang w:val="es-ES_tradnl"/>
        </w:rPr>
      </w:pPr>
      <w:r w:rsidRPr="00810146">
        <w:rPr>
          <w:rFonts w:ascii="Verdana" w:hAnsi="Verdana" w:cs="Arial"/>
        </w:rPr>
        <w:t>El establecimiento de comercio</w:t>
      </w:r>
      <w:r w:rsidR="00F87530">
        <w:rPr>
          <w:rStyle w:val="FootnoteReference"/>
          <w:rFonts w:ascii="Verdana" w:hAnsi="Verdana" w:cs="Arial"/>
        </w:rPr>
        <w:footnoteReference w:id="15"/>
      </w:r>
      <w:r w:rsidRPr="00810146">
        <w:rPr>
          <w:rFonts w:ascii="Verdana" w:hAnsi="Verdana" w:cs="Arial"/>
        </w:rPr>
        <w:t xml:space="preserve"> es el instrumento del que se vale el empresario para cumplir los fines de su empresa y por medio del cual se realiza la actividad organizada. La doctrina lo define como el conjunto de bienes materiales e inmateriales organizados para una finalidad económica en el que la organización adquiere un significado fundamental como factor aglutinante de los elementos que integran la hacienda, teniendo en cuenta la función económica a la que están destinados todos: la producción o distribución de bienes y servicios en el mercado</w:t>
      </w:r>
      <w:r w:rsidRPr="00810146">
        <w:rPr>
          <w:rFonts w:ascii="Verdana" w:eastAsia="Calibri" w:hAnsi="Verdana" w:cs="Arial"/>
          <w:bCs/>
          <w:vertAlign w:val="superscript"/>
          <w:lang w:val="es-ES_tradnl"/>
        </w:rPr>
        <w:footnoteReference w:id="16"/>
      </w:r>
      <w:r w:rsidRPr="00810146">
        <w:rPr>
          <w:rFonts w:ascii="Verdana" w:eastAsia="Calibri" w:hAnsi="Verdana" w:cs="Arial"/>
          <w:bCs/>
          <w:lang w:val="es-ES_tradnl"/>
        </w:rPr>
        <w:t xml:space="preserve">. </w:t>
      </w:r>
    </w:p>
    <w:p w14:paraId="529E20C4" w14:textId="186D64B6" w:rsidR="00BF353C" w:rsidRDefault="00737597" w:rsidP="0055756B">
      <w:pPr>
        <w:spacing w:after="120" w:line="276" w:lineRule="auto"/>
        <w:ind w:firstLine="708"/>
        <w:jc w:val="both"/>
        <w:rPr>
          <w:rFonts w:ascii="Verdana" w:hAnsi="Verdana" w:cs="Arial"/>
        </w:rPr>
      </w:pPr>
      <w:r w:rsidRPr="00EE35FA">
        <w:rPr>
          <w:rFonts w:ascii="Verdana" w:eastAsia="Calibri" w:hAnsi="Verdana" w:cs="Arial"/>
          <w:bCs/>
          <w:lang w:val="es-ES_tradnl"/>
        </w:rPr>
        <w:t>Así las cosas</w:t>
      </w:r>
      <w:r w:rsidR="00484921" w:rsidRPr="00EE35FA">
        <w:rPr>
          <w:rFonts w:ascii="Verdana" w:eastAsia="Calibri" w:hAnsi="Verdana" w:cs="Arial"/>
          <w:bCs/>
          <w:lang w:val="es-ES_tradnl"/>
        </w:rPr>
        <w:t xml:space="preserve">, es posible </w:t>
      </w:r>
      <w:r w:rsidR="0034482B" w:rsidRPr="00EE35FA">
        <w:rPr>
          <w:rFonts w:ascii="Verdana" w:eastAsia="Calibri" w:hAnsi="Verdana" w:cs="Arial"/>
          <w:bCs/>
          <w:lang w:val="es-ES_tradnl"/>
        </w:rPr>
        <w:t>señalar</w:t>
      </w:r>
      <w:r w:rsidR="006D40D2" w:rsidRPr="00EE35FA">
        <w:rPr>
          <w:rFonts w:ascii="Verdana" w:eastAsia="Calibri" w:hAnsi="Verdana" w:cs="Arial"/>
          <w:bCs/>
          <w:lang w:val="es-ES_tradnl"/>
        </w:rPr>
        <w:t xml:space="preserve"> que los establecimientos de comercio son un conjunto </w:t>
      </w:r>
      <w:r w:rsidR="00CF24E4" w:rsidRPr="00EE35FA">
        <w:rPr>
          <w:rFonts w:ascii="Verdana" w:eastAsia="Calibri" w:hAnsi="Verdana" w:cs="Arial"/>
          <w:bCs/>
          <w:lang w:val="es-ES_tradnl"/>
        </w:rPr>
        <w:t>de bienes tendientes a cumplir con los fines de la empresa</w:t>
      </w:r>
      <w:r w:rsidR="006B6984" w:rsidRPr="00EE35FA">
        <w:rPr>
          <w:rFonts w:ascii="Verdana" w:eastAsia="Calibri" w:hAnsi="Verdana" w:cs="Arial"/>
          <w:bCs/>
          <w:lang w:val="es-ES_tradnl"/>
        </w:rPr>
        <w:t xml:space="preserve">. Si bien la titularidad de estos radica en las personas naturales o jurídicas, ellos no </w:t>
      </w:r>
      <w:r w:rsidR="00C93C36" w:rsidRPr="00EE35FA">
        <w:rPr>
          <w:rFonts w:ascii="Verdana" w:eastAsia="Calibri" w:hAnsi="Verdana" w:cs="Arial"/>
          <w:bCs/>
          <w:lang w:val="es-ES_tradnl"/>
        </w:rPr>
        <w:t xml:space="preserve">están </w:t>
      </w:r>
      <w:r w:rsidR="00DC0698" w:rsidRPr="00EE35FA">
        <w:rPr>
          <w:rFonts w:ascii="Verdana" w:eastAsia="Calibri" w:hAnsi="Verdana" w:cs="Arial"/>
          <w:bCs/>
          <w:lang w:val="es-ES_tradnl"/>
        </w:rPr>
        <w:t>ligados</w:t>
      </w:r>
      <w:r w:rsidR="006B6984" w:rsidRPr="00EE35FA">
        <w:rPr>
          <w:rFonts w:ascii="Verdana" w:eastAsia="Calibri" w:hAnsi="Verdana" w:cs="Arial"/>
          <w:bCs/>
          <w:lang w:val="es-ES_tradnl"/>
        </w:rPr>
        <w:t xml:space="preserve"> con la capacidad </w:t>
      </w:r>
      <w:r w:rsidR="006D54A8" w:rsidRPr="00EE35FA">
        <w:rPr>
          <w:rFonts w:ascii="Verdana" w:eastAsia="Calibri" w:hAnsi="Verdana" w:cs="Arial"/>
          <w:bCs/>
          <w:lang w:val="es-ES_tradnl"/>
        </w:rPr>
        <w:t>jurídica</w:t>
      </w:r>
      <w:r w:rsidR="006B6984" w:rsidRPr="00EE35FA">
        <w:rPr>
          <w:rFonts w:ascii="Verdana" w:eastAsia="Calibri" w:hAnsi="Verdana" w:cs="Arial"/>
          <w:bCs/>
          <w:lang w:val="es-ES_tradnl"/>
        </w:rPr>
        <w:t xml:space="preserve"> </w:t>
      </w:r>
      <w:r w:rsidR="00207CF6" w:rsidRPr="00EE35FA">
        <w:rPr>
          <w:rFonts w:ascii="Verdana" w:eastAsia="Calibri" w:hAnsi="Verdana" w:cs="Arial"/>
          <w:bCs/>
          <w:lang w:val="es-ES_tradnl"/>
        </w:rPr>
        <w:t xml:space="preserve">de estas </w:t>
      </w:r>
      <w:r w:rsidR="006B6984" w:rsidRPr="00EE35FA">
        <w:rPr>
          <w:rFonts w:ascii="Verdana" w:eastAsia="Calibri" w:hAnsi="Verdana" w:cs="Arial"/>
          <w:bCs/>
          <w:lang w:val="es-ES_tradnl"/>
        </w:rPr>
        <w:t>para contraer obligaciones</w:t>
      </w:r>
      <w:r w:rsidR="009E6386" w:rsidRPr="00EE35FA">
        <w:rPr>
          <w:rFonts w:ascii="Verdana" w:eastAsia="Times New Roman" w:hAnsi="Verdana" w:cs="Arial"/>
          <w:lang w:eastAsia="es-ES_tradnl"/>
        </w:rPr>
        <w:t>.</w:t>
      </w:r>
      <w:r w:rsidR="00853ABF" w:rsidRPr="00810146">
        <w:rPr>
          <w:rFonts w:ascii="Verdana" w:hAnsi="Verdana" w:cs="Arial"/>
        </w:rPr>
        <w:t xml:space="preserve"> De esta manera, se concluye que el establecimiento de comercio en el lugar donde se va a ejecutar el contrato no está relacionado con la capacidad </w:t>
      </w:r>
      <w:r w:rsidR="00A24624" w:rsidRPr="00A24624">
        <w:rPr>
          <w:rFonts w:ascii="Verdana" w:hAnsi="Verdana" w:cs="Arial"/>
        </w:rPr>
        <w:t>jurídica</w:t>
      </w:r>
      <w:r w:rsidR="00853ABF" w:rsidRPr="00810146">
        <w:rPr>
          <w:rFonts w:ascii="Verdana" w:hAnsi="Verdana" w:cs="Arial"/>
        </w:rPr>
        <w:t xml:space="preserve"> del </w:t>
      </w:r>
      <w:r w:rsidR="00853ABF" w:rsidRPr="00810146">
        <w:rPr>
          <w:rFonts w:ascii="Verdana" w:hAnsi="Verdana" w:cs="Arial"/>
        </w:rPr>
        <w:lastRenderedPageBreak/>
        <w:t>proponente, por lo que, en el marco de un proceso de</w:t>
      </w:r>
      <w:r w:rsidR="00DC0698" w:rsidRPr="00EE35FA">
        <w:rPr>
          <w:rFonts w:ascii="Verdana" w:hAnsi="Verdana" w:cs="Arial"/>
        </w:rPr>
        <w:t xml:space="preserve"> selección adelantado bajo la modalidad de</w:t>
      </w:r>
      <w:r w:rsidR="00853ABF" w:rsidRPr="00810146">
        <w:rPr>
          <w:rFonts w:ascii="Verdana" w:hAnsi="Verdana" w:cs="Arial"/>
        </w:rPr>
        <w:t xml:space="preserve"> mínima cuantía podrá fijarse como condición técnica</w:t>
      </w:r>
      <w:r w:rsidR="00DC0698">
        <w:rPr>
          <w:rFonts w:ascii="Verdana" w:hAnsi="Verdana" w:cs="Arial"/>
        </w:rPr>
        <w:t xml:space="preserve">, </w:t>
      </w:r>
      <w:r w:rsidR="00DC1482">
        <w:rPr>
          <w:rFonts w:ascii="Verdana" w:hAnsi="Verdana" w:cs="Arial"/>
        </w:rPr>
        <w:t xml:space="preserve">más no como un equivalente a la capacidad </w:t>
      </w:r>
      <w:r w:rsidR="00A24624">
        <w:rPr>
          <w:rFonts w:ascii="Verdana" w:hAnsi="Verdana" w:cs="Arial"/>
        </w:rPr>
        <w:t>jurídica</w:t>
      </w:r>
      <w:r w:rsidR="00853ABF" w:rsidRPr="00810146">
        <w:rPr>
          <w:rFonts w:ascii="Verdana" w:hAnsi="Verdana" w:cs="Arial"/>
        </w:rPr>
        <w:t xml:space="preserve">.  </w:t>
      </w:r>
    </w:p>
    <w:p w14:paraId="7CBE401D" w14:textId="6D6A8EBA" w:rsidR="00A3311D" w:rsidRPr="00810146" w:rsidRDefault="00BF353C" w:rsidP="00810146">
      <w:pPr>
        <w:spacing w:after="120" w:line="276" w:lineRule="auto"/>
        <w:ind w:firstLine="708"/>
        <w:jc w:val="both"/>
        <w:rPr>
          <w:rFonts w:ascii="Verdana" w:eastAsia="Calibri" w:hAnsi="Verdana" w:cs="Arial"/>
          <w:lang w:val="es-ES_tradnl" w:eastAsia="es-ES_tradnl"/>
        </w:rPr>
      </w:pPr>
      <w:r w:rsidRPr="0039494F">
        <w:rPr>
          <w:rFonts w:ascii="Verdana" w:eastAsia="Calibri" w:hAnsi="Verdana" w:cs="Arial"/>
          <w:bCs/>
          <w:lang w:val="es-ES_tradnl"/>
        </w:rPr>
        <w:t xml:space="preserve">Ahora bien, </w:t>
      </w:r>
      <w:r>
        <w:rPr>
          <w:rFonts w:ascii="Verdana" w:eastAsia="Times New Roman" w:hAnsi="Verdana" w:cs="Arial"/>
          <w:color w:val="000000" w:themeColor="text1"/>
          <w:lang w:val="es-ES" w:eastAsia="es-ES"/>
        </w:rPr>
        <w:t>e</w:t>
      </w:r>
      <w:r w:rsidRPr="00C94107">
        <w:rPr>
          <w:rFonts w:ascii="Verdana" w:eastAsia="Times New Roman" w:hAnsi="Verdana" w:cs="Arial"/>
          <w:color w:val="000000" w:themeColor="text1"/>
          <w:lang w:val="es-ES" w:eastAsia="es-ES"/>
        </w:rPr>
        <w:t xml:space="preserve">n su calidad de comerciantes, los proponentes deben estar inscritos en el Registro Único Empresarial y Social – en adelante RUES– administrado por las cámaras de comercio y la Entidad deberá verificar que </w:t>
      </w:r>
      <w:r w:rsidRPr="00C94107">
        <w:rPr>
          <w:rFonts w:ascii="Verdana" w:eastAsia="Calibri" w:hAnsi="Verdana" w:cs="Arial"/>
          <w:lang w:val="es-ES" w:eastAsia="es-ES"/>
        </w:rPr>
        <w:t xml:space="preserve">las personas jurídicas tengan dentro de su objeto social actividades relacionadas con el objeto a contratar. </w:t>
      </w:r>
      <w:r w:rsidR="00840A2F" w:rsidRPr="002D7321">
        <w:rPr>
          <w:rFonts w:ascii="Verdana" w:eastAsia="Calibri" w:hAnsi="Verdana" w:cs="Arial"/>
          <w:lang w:val="es-ES" w:eastAsia="es-ES"/>
        </w:rPr>
        <w:t>En</w:t>
      </w:r>
      <w:r w:rsidR="00840A2F" w:rsidRPr="00810146">
        <w:rPr>
          <w:rFonts w:ascii="Verdana" w:eastAsia="Calibri" w:hAnsi="Verdana" w:cs="Arial"/>
          <w:lang w:val="es-ES_tradnl" w:eastAsia="es-ES_tradnl"/>
        </w:rPr>
        <w:t xml:space="preserve"> </w:t>
      </w:r>
      <w:r w:rsidR="00A3311D" w:rsidRPr="00810146">
        <w:rPr>
          <w:rFonts w:ascii="Verdana" w:eastAsia="Calibri" w:hAnsi="Verdana" w:cs="Arial"/>
          <w:lang w:val="es-ES_tradnl" w:eastAsia="es-ES_tradnl"/>
        </w:rPr>
        <w:t xml:space="preserve">el </w:t>
      </w:r>
      <w:r w:rsidR="00A3311D" w:rsidRPr="00810146">
        <w:rPr>
          <w:rFonts w:ascii="Verdana" w:eastAsia="Times New Roman" w:hAnsi="Verdana" w:cs="Arial"/>
          <w:color w:val="000000" w:themeColor="text1"/>
          <w:lang w:val="es-ES_tradnl" w:eastAsia="es-ES_tradnl"/>
        </w:rPr>
        <w:t xml:space="preserve">RUES se encuentra el listado de las actividades económicas que conforman por la empresa, según los códigos de la Clasificación Industrial Internacional Uniforme –CIIU–, en virtud de lo dispuesto en el artículo 11 de la Ley 590 de 2000 y el artículo 166 del Decreto Ley 019 de 2012. </w:t>
      </w:r>
    </w:p>
    <w:p w14:paraId="29AE893B" w14:textId="6F277946" w:rsidR="00A3311D" w:rsidRPr="00810146" w:rsidRDefault="00A3311D" w:rsidP="00A3311D">
      <w:pPr>
        <w:pBdr>
          <w:top w:val="nil"/>
          <w:left w:val="nil"/>
          <w:bottom w:val="nil"/>
          <w:right w:val="nil"/>
          <w:between w:val="nil"/>
        </w:pBdr>
        <w:spacing w:after="0" w:line="276" w:lineRule="auto"/>
        <w:ind w:firstLine="708"/>
        <w:jc w:val="both"/>
        <w:rPr>
          <w:rFonts w:ascii="Verdana" w:eastAsia="Calibri" w:hAnsi="Verdana" w:cs="Arial"/>
          <w:color w:val="000000" w:themeColor="text1"/>
        </w:rPr>
      </w:pPr>
      <w:r w:rsidRPr="00810146">
        <w:rPr>
          <w:rFonts w:ascii="Verdana" w:eastAsia="Calibri" w:hAnsi="Verdana" w:cs="Arial"/>
          <w:color w:val="000000" w:themeColor="text1"/>
        </w:rPr>
        <w:t>Sin embargo, ninguna de las normas citadas en e</w:t>
      </w:r>
      <w:r w:rsidR="002D7321" w:rsidRPr="00810146">
        <w:rPr>
          <w:rFonts w:ascii="Verdana" w:eastAsia="Calibri" w:hAnsi="Verdana" w:cs="Arial"/>
          <w:color w:val="000000" w:themeColor="text1"/>
        </w:rPr>
        <w:t>ste</w:t>
      </w:r>
      <w:r w:rsidRPr="00810146">
        <w:rPr>
          <w:rFonts w:ascii="Verdana" w:eastAsia="Calibri" w:hAnsi="Verdana" w:cs="Arial"/>
          <w:color w:val="000000" w:themeColor="text1"/>
        </w:rPr>
        <w:t xml:space="preserve"> acápite condiciona la capacidad de las </w:t>
      </w:r>
      <w:r w:rsidRPr="00810146">
        <w:rPr>
          <w:rFonts w:ascii="Verdana" w:eastAsia="Calibri" w:hAnsi="Verdana" w:cs="Arial"/>
          <w:i/>
          <w:iCs/>
          <w:color w:val="000000" w:themeColor="text1"/>
        </w:rPr>
        <w:t>personas jurídicas</w:t>
      </w:r>
      <w:r w:rsidRPr="00810146">
        <w:rPr>
          <w:rFonts w:ascii="Verdana" w:eastAsia="Calibri" w:hAnsi="Verdana" w:cs="Arial"/>
          <w:color w:val="000000" w:themeColor="text1"/>
        </w:rPr>
        <w:t xml:space="preserve"> a los códigos mencionados. La </w:t>
      </w:r>
      <w:r w:rsidRPr="00810146">
        <w:rPr>
          <w:rFonts w:ascii="Verdana" w:eastAsia="Times New Roman" w:hAnsi="Verdana" w:cs="Arial"/>
          <w:color w:val="000000" w:themeColor="text1"/>
          <w:lang w:val="es-ES_tradnl" w:eastAsia="es-ES_tradnl"/>
        </w:rPr>
        <w:t>CIIU</w:t>
      </w:r>
      <w:r w:rsidRPr="00810146">
        <w:rPr>
          <w:rFonts w:ascii="Verdana" w:eastAsia="Calibri" w:hAnsi="Verdana" w:cs="Arial"/>
          <w:color w:val="000000" w:themeColor="text1"/>
        </w:rPr>
        <w:t xml:space="preserve"> corresponde a un sistema estandarizado desarrollado por las Naciones Unidas para clasificar las actividades económicas en distintos sectores. Como explica el DANE, su objetivo es facilitar la recopilación, análisis y comparación de datos estadísticos a nivel nacional e internacional:</w:t>
      </w:r>
    </w:p>
    <w:p w14:paraId="27D3571B" w14:textId="77777777" w:rsidR="00A3311D" w:rsidRPr="00810146" w:rsidRDefault="00A3311D" w:rsidP="00A3311D">
      <w:pPr>
        <w:pBdr>
          <w:top w:val="nil"/>
          <w:left w:val="nil"/>
          <w:bottom w:val="nil"/>
          <w:right w:val="nil"/>
          <w:between w:val="nil"/>
        </w:pBdr>
        <w:spacing w:after="0" w:line="276" w:lineRule="auto"/>
        <w:ind w:firstLine="708"/>
        <w:jc w:val="both"/>
        <w:rPr>
          <w:rFonts w:ascii="Verdana" w:eastAsia="Calibri" w:hAnsi="Verdana" w:cs="Arial"/>
          <w:color w:val="000000" w:themeColor="text1"/>
        </w:rPr>
      </w:pPr>
    </w:p>
    <w:p w14:paraId="71C162E6" w14:textId="77777777" w:rsidR="00A3311D" w:rsidRPr="00810146" w:rsidRDefault="00A3311D" w:rsidP="00A3311D">
      <w:pPr>
        <w:pBdr>
          <w:top w:val="nil"/>
          <w:left w:val="nil"/>
          <w:bottom w:val="nil"/>
          <w:right w:val="nil"/>
          <w:between w:val="nil"/>
        </w:pBdr>
        <w:spacing w:after="0" w:line="240" w:lineRule="auto"/>
        <w:ind w:left="709" w:right="709"/>
        <w:jc w:val="both"/>
        <w:rPr>
          <w:rFonts w:ascii="Verdana" w:eastAsia="Calibri" w:hAnsi="Verdana" w:cs="Arial"/>
          <w:color w:val="000000" w:themeColor="text1"/>
          <w:sz w:val="21"/>
          <w:szCs w:val="21"/>
        </w:rPr>
      </w:pPr>
      <w:r w:rsidRPr="00810146">
        <w:rPr>
          <w:rFonts w:ascii="Verdana" w:eastAsia="Calibri" w:hAnsi="Verdana" w:cs="Arial"/>
          <w:color w:val="000000" w:themeColor="text1"/>
          <w:sz w:val="21"/>
          <w:szCs w:val="21"/>
        </w:rPr>
        <w:t>“La CIIU tiene por finalidad establecer una clasificación uniforme de las actividades económicas productivas. Su propósito principal es ofrecer un conjunto de categorías de actividades económicas que se pueda utilizar para la reunión y presentación de estadísticas de acuerdo con esas actividades. Por consiguiente, la CIIU se propone presentar ese conjunto de categorías de actividades de tal modo que las entidades puedan clasificarse según la actividad económica que realizan. Las categorías de la CIIU se han definido vinculándolas, en la medida de lo posible, con la forma en que el proceso económico está estructurado en diferentes tipos de unidades estadísticas y la manera como se describe ese proceso en las estadísticas económicas”</w:t>
      </w:r>
      <w:r w:rsidRPr="00810146">
        <w:rPr>
          <w:rStyle w:val="FootnoteReference"/>
          <w:rFonts w:ascii="Verdana" w:eastAsia="Calibri" w:hAnsi="Verdana" w:cs="Arial"/>
          <w:color w:val="000000" w:themeColor="text1"/>
          <w:sz w:val="21"/>
          <w:szCs w:val="21"/>
        </w:rPr>
        <w:footnoteReference w:id="17"/>
      </w:r>
      <w:r w:rsidRPr="00810146">
        <w:rPr>
          <w:rFonts w:ascii="Verdana" w:eastAsia="Calibri" w:hAnsi="Verdana" w:cs="Arial"/>
          <w:color w:val="000000" w:themeColor="text1"/>
          <w:sz w:val="21"/>
          <w:szCs w:val="21"/>
        </w:rPr>
        <w:t xml:space="preserve">. </w:t>
      </w:r>
    </w:p>
    <w:p w14:paraId="22FC0552" w14:textId="77777777" w:rsidR="00A3311D" w:rsidRPr="00810146" w:rsidRDefault="00A3311D" w:rsidP="00A3311D">
      <w:pPr>
        <w:pBdr>
          <w:top w:val="nil"/>
          <w:left w:val="nil"/>
          <w:bottom w:val="nil"/>
          <w:right w:val="nil"/>
          <w:between w:val="nil"/>
        </w:pBdr>
        <w:spacing w:after="0" w:line="276" w:lineRule="auto"/>
        <w:jc w:val="both"/>
        <w:rPr>
          <w:rFonts w:ascii="Verdana" w:eastAsia="Calibri" w:hAnsi="Verdana" w:cs="Arial"/>
          <w:color w:val="000000" w:themeColor="text1"/>
        </w:rPr>
      </w:pPr>
    </w:p>
    <w:p w14:paraId="3964E6B1" w14:textId="37BD4F18" w:rsidR="00A3311D" w:rsidRPr="00810146" w:rsidRDefault="00A3311D" w:rsidP="00A3311D">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810146">
        <w:rPr>
          <w:rFonts w:ascii="Verdana" w:eastAsia="Calibri" w:hAnsi="Verdana" w:cs="Arial"/>
          <w:color w:val="000000" w:themeColor="text1"/>
        </w:rPr>
        <w:t xml:space="preserve">De esta manera, los códigos del </w:t>
      </w:r>
      <w:r w:rsidRPr="00810146">
        <w:rPr>
          <w:rFonts w:ascii="Verdana" w:eastAsia="Times New Roman" w:hAnsi="Verdana" w:cs="Arial"/>
          <w:color w:val="000000" w:themeColor="text1"/>
          <w:lang w:val="es-ES_tradnl" w:eastAsia="es-ES_tradnl"/>
        </w:rPr>
        <w:t>CIIU</w:t>
      </w:r>
      <w:r w:rsidRPr="00810146">
        <w:rPr>
          <w:rFonts w:ascii="Verdana" w:eastAsia="Calibri" w:hAnsi="Verdana" w:cs="Arial"/>
          <w:color w:val="000000" w:themeColor="text1"/>
        </w:rPr>
        <w:t xml:space="preserve"> tienen efectos declarativos, no constitutivos. Por ello, existe capacidad si el objeto del contrato está relacionado con el objeto social de la </w:t>
      </w:r>
      <w:r w:rsidRPr="00810146">
        <w:rPr>
          <w:rFonts w:ascii="Verdana" w:eastAsia="Calibri" w:hAnsi="Verdana" w:cs="Arial"/>
          <w:i/>
          <w:iCs/>
          <w:color w:val="000000" w:themeColor="text1"/>
        </w:rPr>
        <w:t>persona jurídica</w:t>
      </w:r>
      <w:r w:rsidRPr="00810146">
        <w:rPr>
          <w:rFonts w:ascii="Verdana" w:eastAsia="Calibri" w:hAnsi="Verdana" w:cs="Arial"/>
          <w:color w:val="000000" w:themeColor="text1"/>
        </w:rPr>
        <w:t xml:space="preserve">, y aquella se </w:t>
      </w:r>
      <w:r w:rsidR="002C6B47" w:rsidRPr="002C6B47">
        <w:rPr>
          <w:rFonts w:ascii="Verdana" w:eastAsia="Calibri" w:hAnsi="Verdana" w:cs="Arial"/>
          <w:color w:val="000000" w:themeColor="text1"/>
        </w:rPr>
        <w:t>mantiene,</w:t>
      </w:r>
      <w:r w:rsidRPr="00810146">
        <w:rPr>
          <w:rFonts w:ascii="Verdana" w:eastAsia="Calibri" w:hAnsi="Verdana" w:cs="Arial"/>
          <w:color w:val="000000" w:themeColor="text1"/>
        </w:rPr>
        <w:t xml:space="preserve"> aunque la actividad económica no se haya recogido en la clasificación. De la misma forma, si el código registrado es ajeno al objeto social, dicha situación no hace que la </w:t>
      </w:r>
      <w:r w:rsidRPr="00810146">
        <w:rPr>
          <w:rFonts w:ascii="Verdana" w:eastAsia="Calibri" w:hAnsi="Verdana" w:cs="Arial"/>
          <w:color w:val="000000" w:themeColor="text1"/>
        </w:rPr>
        <w:lastRenderedPageBreak/>
        <w:t xml:space="preserve">empresa adquiera la capacidad para ejecutar esa actividad en particular. Además, en sociedades con objeto indeterminado –como las sociedades por acciones simplificadas– los códigos del </w:t>
      </w:r>
      <w:r w:rsidRPr="00810146">
        <w:rPr>
          <w:rFonts w:ascii="Verdana" w:eastAsia="Times New Roman" w:hAnsi="Verdana" w:cs="Arial"/>
          <w:color w:val="000000" w:themeColor="text1"/>
          <w:lang w:val="es-ES_tradnl" w:eastAsia="es-ES_tradnl"/>
        </w:rPr>
        <w:t xml:space="preserve">CIIU no restringen la capacidad de la </w:t>
      </w:r>
      <w:r w:rsidRPr="00810146">
        <w:rPr>
          <w:rFonts w:ascii="Verdana" w:eastAsia="Times New Roman" w:hAnsi="Verdana" w:cs="Arial"/>
          <w:i/>
          <w:iCs/>
          <w:color w:val="000000" w:themeColor="text1"/>
          <w:lang w:val="es-ES_tradnl" w:eastAsia="es-ES_tradnl"/>
        </w:rPr>
        <w:t>persona jurídica</w:t>
      </w:r>
      <w:r w:rsidRPr="00810146">
        <w:rPr>
          <w:rFonts w:ascii="Verdana" w:eastAsia="Times New Roman" w:hAnsi="Verdana" w:cs="Arial"/>
          <w:color w:val="000000" w:themeColor="text1"/>
          <w:lang w:val="es-ES_tradnl" w:eastAsia="es-ES_tradnl"/>
        </w:rPr>
        <w:t>, ya que –en las condiciones del</w:t>
      </w:r>
      <w:r w:rsidRPr="00810146">
        <w:rPr>
          <w:rFonts w:ascii="Verdana" w:eastAsia="Calibri" w:hAnsi="Verdana" w:cs="Arial"/>
          <w:color w:val="000000" w:themeColor="text1"/>
        </w:rPr>
        <w:t xml:space="preserve"> artículo 5.4 de la Ley 1258 de 2008– </w:t>
      </w:r>
      <w:r w:rsidRPr="00810146">
        <w:rPr>
          <w:rFonts w:ascii="Verdana" w:eastAsia="Times New Roman" w:hAnsi="Verdana" w:cs="Arial"/>
          <w:color w:val="000000" w:themeColor="text1"/>
          <w:lang w:val="es-ES_tradnl" w:eastAsia="es-ES_tradnl"/>
        </w:rPr>
        <w:t>pueden ejecutar cualquier actividad lícita.</w:t>
      </w:r>
      <w:r w:rsidRPr="00810146">
        <w:rPr>
          <w:rFonts w:ascii="Verdana" w:eastAsia="Calibri" w:hAnsi="Verdana" w:cs="Arial"/>
          <w:color w:val="000000" w:themeColor="text1"/>
        </w:rPr>
        <w:t xml:space="preserve"> </w:t>
      </w:r>
    </w:p>
    <w:p w14:paraId="6EF2EE36" w14:textId="77777777" w:rsidR="00A3311D" w:rsidRPr="00C94107" w:rsidRDefault="00A3311D" w:rsidP="00A3311D">
      <w:pPr>
        <w:pBdr>
          <w:top w:val="nil"/>
          <w:left w:val="nil"/>
          <w:bottom w:val="nil"/>
          <w:right w:val="nil"/>
          <w:between w:val="nil"/>
        </w:pBdr>
        <w:spacing w:after="0" w:line="276" w:lineRule="auto"/>
        <w:ind w:firstLine="708"/>
        <w:jc w:val="both"/>
        <w:rPr>
          <w:rFonts w:ascii="Verdana" w:eastAsia="Times New Roman" w:hAnsi="Verdana" w:cs="Arial"/>
          <w:color w:val="000000" w:themeColor="text1"/>
          <w:lang w:val="es-ES_tradnl" w:eastAsia="es-ES_tradnl"/>
        </w:rPr>
      </w:pPr>
      <w:r w:rsidRPr="00810146">
        <w:rPr>
          <w:rFonts w:ascii="Verdana" w:eastAsia="Calibri" w:hAnsi="Verdana" w:cs="Arial"/>
          <w:color w:val="000000" w:themeColor="text1"/>
        </w:rPr>
        <w:t xml:space="preserve">Sin perjuicio de lo anterior, sumado a las implicaciones estadísticas de la </w:t>
      </w:r>
      <w:r w:rsidRPr="00810146">
        <w:rPr>
          <w:rFonts w:ascii="Verdana" w:eastAsia="Times New Roman" w:hAnsi="Verdana" w:cs="Arial"/>
          <w:color w:val="000000" w:themeColor="text1"/>
          <w:lang w:val="es-ES_tradnl" w:eastAsia="es-ES_tradnl"/>
        </w:rPr>
        <w:t>CIIU, los interesados deben registrar adecuadamente los códigos de sus actividades económicas en el RUES. Lo anterior teniendo en cuenta que son un parámetro para la DIAN en lo relativo al control y determinación de los impuestos y demás obligaciones tributarias, aduaneras y cambiarias.</w:t>
      </w:r>
    </w:p>
    <w:p w14:paraId="0DC0871B" w14:textId="77777777" w:rsidR="00A3311D" w:rsidRPr="00C94107" w:rsidRDefault="00A3311D" w:rsidP="00810146">
      <w:pPr>
        <w:spacing w:after="0" w:line="276" w:lineRule="auto"/>
        <w:ind w:firstLine="709"/>
        <w:jc w:val="both"/>
        <w:rPr>
          <w:rFonts w:ascii="Verdana" w:eastAsia="Times New Roman" w:hAnsi="Verdana" w:cs="Arial"/>
          <w:color w:val="000000" w:themeColor="text1"/>
          <w:lang w:val="es-ES_tradnl" w:eastAsia="es-ES_tradnl"/>
        </w:rPr>
      </w:pPr>
    </w:p>
    <w:p w14:paraId="69CA349C" w14:textId="0FAC830C" w:rsidR="009E6386" w:rsidRPr="00C94107" w:rsidRDefault="009E6386" w:rsidP="00810146">
      <w:pPr>
        <w:spacing w:after="120" w:line="276" w:lineRule="auto"/>
        <w:jc w:val="both"/>
        <w:rPr>
          <w:rFonts w:ascii="Verdana" w:hAnsi="Verdana" w:cs="Arial"/>
          <w:lang w:eastAsia="es-ES_tradnl"/>
        </w:rPr>
      </w:pPr>
      <w:r>
        <w:rPr>
          <w:rFonts w:ascii="Verdana" w:eastAsia="Times New Roman" w:hAnsi="Verdana" w:cs="Arial"/>
          <w:lang w:eastAsia="es-ES_tradnl"/>
        </w:rPr>
        <w:t>(</w:t>
      </w:r>
      <w:proofErr w:type="spellStart"/>
      <w:r>
        <w:rPr>
          <w:rFonts w:ascii="Verdana" w:eastAsia="Times New Roman" w:hAnsi="Verdana" w:cs="Arial"/>
          <w:lang w:eastAsia="es-ES_tradnl"/>
        </w:rPr>
        <w:t>iii</w:t>
      </w:r>
      <w:proofErr w:type="spellEnd"/>
      <w:r>
        <w:rPr>
          <w:rFonts w:ascii="Verdana" w:eastAsia="Times New Roman" w:hAnsi="Verdana" w:cs="Arial"/>
          <w:lang w:eastAsia="es-ES_tradnl"/>
        </w:rPr>
        <w:t xml:space="preserve">) </w:t>
      </w:r>
      <w:r w:rsidR="00AD6025" w:rsidRPr="00C94107">
        <w:rPr>
          <w:rFonts w:ascii="Verdana" w:eastAsia="Times New Roman" w:hAnsi="Verdana" w:cs="Arial"/>
          <w:lang w:eastAsia="es-ES_tradnl"/>
        </w:rPr>
        <w:t>En relación</w:t>
      </w:r>
      <w:r w:rsidRPr="00C94107">
        <w:rPr>
          <w:rFonts w:ascii="Verdana" w:eastAsia="Times New Roman" w:hAnsi="Verdana" w:cs="Arial"/>
          <w:lang w:eastAsia="es-ES_tradnl"/>
        </w:rPr>
        <w:t xml:space="preserve"> </w:t>
      </w:r>
      <w:r w:rsidR="00E77BE8" w:rsidRPr="00C94107">
        <w:rPr>
          <w:rFonts w:ascii="Verdana" w:eastAsia="Times New Roman" w:hAnsi="Verdana" w:cs="Arial"/>
          <w:lang w:eastAsia="es-ES_tradnl"/>
        </w:rPr>
        <w:t>con e</w:t>
      </w:r>
      <w:r>
        <w:rPr>
          <w:rFonts w:ascii="Verdana" w:eastAsia="Times New Roman" w:hAnsi="Verdana" w:cs="Arial"/>
          <w:lang w:eastAsia="es-ES_tradnl"/>
        </w:rPr>
        <w:t xml:space="preserve">l alcance del concepto con radicado No. </w:t>
      </w:r>
      <w:r w:rsidRPr="00C94107">
        <w:rPr>
          <w:rFonts w:ascii="Verdana" w:hAnsi="Verdana" w:cs="Arial"/>
          <w:lang w:eastAsia="es-ES_tradnl"/>
        </w:rPr>
        <w:t xml:space="preserve">42019120000001323, es necesario aclarar que en este caso la Agencia se refirió a la posibilidad de que las </w:t>
      </w:r>
      <w:r w:rsidR="00FD5799" w:rsidRPr="00C94107">
        <w:rPr>
          <w:rFonts w:ascii="Verdana" w:hAnsi="Verdana" w:cs="Arial"/>
          <w:lang w:eastAsia="es-ES_tradnl"/>
        </w:rPr>
        <w:t>Entidades</w:t>
      </w:r>
      <w:r w:rsidRPr="00C94107">
        <w:rPr>
          <w:rFonts w:ascii="Verdana" w:hAnsi="Verdana" w:cs="Arial"/>
          <w:lang w:eastAsia="es-ES_tradnl"/>
        </w:rPr>
        <w:t xml:space="preserve"> soliciten como requisito habilitante que el proponente presente un registro mercantil en el que conste que cuenta con establecimiento de comercio. La Agencia aclaró que las </w:t>
      </w:r>
      <w:r w:rsidR="007329A8" w:rsidRPr="00C94107">
        <w:rPr>
          <w:rFonts w:ascii="Verdana" w:hAnsi="Verdana" w:cs="Arial"/>
          <w:lang w:eastAsia="es-ES_tradnl"/>
        </w:rPr>
        <w:t>Entidades</w:t>
      </w:r>
      <w:r w:rsidRPr="00C94107">
        <w:rPr>
          <w:rFonts w:ascii="Verdana" w:hAnsi="Verdana" w:cs="Arial"/>
          <w:lang w:eastAsia="es-ES_tradnl"/>
        </w:rPr>
        <w:t xml:space="preserve"> son autónomas en la elaboración y diseño de sus procesos de contratación y, por lo tanto, son responsables de determinar los requisitos que permitirán escoger la oferta más favorable, teniendo en cuenta las normas aplicables a cada modalidad de </w:t>
      </w:r>
      <w:r w:rsidR="00672367" w:rsidRPr="00C94107">
        <w:rPr>
          <w:rFonts w:ascii="Verdana" w:hAnsi="Verdana" w:cs="Arial"/>
          <w:lang w:eastAsia="es-ES_tradnl"/>
        </w:rPr>
        <w:t>selección</w:t>
      </w:r>
      <w:r w:rsidRPr="00C94107">
        <w:rPr>
          <w:rFonts w:ascii="Verdana" w:hAnsi="Verdana" w:cs="Arial"/>
          <w:lang w:eastAsia="es-ES_tradnl"/>
        </w:rPr>
        <w:t xml:space="preserve">. </w:t>
      </w:r>
    </w:p>
    <w:p w14:paraId="5A965EC0" w14:textId="5DC643C1" w:rsidR="00746055" w:rsidRPr="00C94107" w:rsidRDefault="009E6386" w:rsidP="009E6386">
      <w:pPr>
        <w:spacing w:before="120" w:after="120" w:line="276" w:lineRule="auto"/>
        <w:ind w:firstLine="709"/>
        <w:jc w:val="both"/>
        <w:rPr>
          <w:rFonts w:ascii="Verdana" w:hAnsi="Verdana" w:cs="Arial"/>
          <w:lang w:eastAsia="es-ES_tradnl"/>
        </w:rPr>
      </w:pPr>
      <w:r w:rsidRPr="00C94107">
        <w:rPr>
          <w:rFonts w:ascii="Verdana" w:hAnsi="Verdana" w:cs="Arial"/>
          <w:lang w:eastAsia="es-ES_tradnl"/>
        </w:rPr>
        <w:t xml:space="preserve">En este sentido, señaló que las </w:t>
      </w:r>
      <w:r w:rsidR="00C5752E" w:rsidRPr="00C94107">
        <w:rPr>
          <w:rFonts w:ascii="Verdana" w:hAnsi="Verdana" w:cs="Arial"/>
          <w:lang w:eastAsia="es-ES_tradnl"/>
        </w:rPr>
        <w:t>Entidades</w:t>
      </w:r>
      <w:r w:rsidRPr="00C94107">
        <w:rPr>
          <w:rFonts w:ascii="Verdana" w:hAnsi="Verdana" w:cs="Arial"/>
          <w:lang w:eastAsia="es-ES_tradnl"/>
        </w:rPr>
        <w:t xml:space="preserve"> pueden determinar que es necesario que</w:t>
      </w:r>
      <w:r w:rsidR="001E2EBA">
        <w:rPr>
          <w:rFonts w:ascii="Verdana" w:hAnsi="Verdana" w:cs="Arial"/>
          <w:lang w:eastAsia="es-ES_tradnl"/>
        </w:rPr>
        <w:t>,</w:t>
      </w:r>
      <w:r w:rsidRPr="00C94107">
        <w:rPr>
          <w:rFonts w:ascii="Verdana" w:hAnsi="Verdana" w:cs="Arial"/>
          <w:lang w:eastAsia="es-ES_tradnl"/>
        </w:rPr>
        <w:t xml:space="preserve"> en ciertos procesos</w:t>
      </w:r>
      <w:r w:rsidR="001E2EBA">
        <w:rPr>
          <w:rFonts w:ascii="Verdana" w:hAnsi="Verdana" w:cs="Arial"/>
          <w:lang w:eastAsia="es-ES_tradnl"/>
        </w:rPr>
        <w:t>,</w:t>
      </w:r>
      <w:r w:rsidRPr="00C94107">
        <w:rPr>
          <w:rFonts w:ascii="Verdana" w:hAnsi="Verdana" w:cs="Arial"/>
          <w:lang w:eastAsia="es-ES_tradnl"/>
        </w:rPr>
        <w:t xml:space="preserve"> los proponentes cuenten con un establecimiento de comercio en el lugar donde se realiza el proceso de contratación</w:t>
      </w:r>
      <w:r w:rsidR="008F57D1">
        <w:rPr>
          <w:rFonts w:ascii="Verdana" w:hAnsi="Verdana" w:cs="Arial"/>
          <w:lang w:eastAsia="es-ES_tradnl"/>
        </w:rPr>
        <w:t xml:space="preserve"> o donde se va a ejecutar el contrato</w:t>
      </w:r>
      <w:r w:rsidRPr="00C94107">
        <w:rPr>
          <w:rFonts w:ascii="Verdana" w:hAnsi="Verdana" w:cs="Arial"/>
          <w:lang w:eastAsia="es-ES_tradnl"/>
        </w:rPr>
        <w:t xml:space="preserve">. Sin embargo, el concepto aclara que esta no es una facultad ilimitada, pues esta exigencia debe guardar relación con el objeto del proceso y la </w:t>
      </w:r>
      <w:r w:rsidR="00CF5C7C" w:rsidRPr="00C94107">
        <w:rPr>
          <w:rFonts w:ascii="Verdana" w:hAnsi="Verdana" w:cs="Arial"/>
          <w:lang w:eastAsia="es-ES_tradnl"/>
        </w:rPr>
        <w:t>Entidad</w:t>
      </w:r>
      <w:r w:rsidRPr="00C94107">
        <w:rPr>
          <w:rFonts w:ascii="Verdana" w:hAnsi="Verdana" w:cs="Arial"/>
          <w:lang w:eastAsia="es-ES_tradnl"/>
        </w:rPr>
        <w:t xml:space="preserve"> debe documentar la justificación de la misma señalando las razones que fundamentan la decisión de incluirla. </w:t>
      </w:r>
    </w:p>
    <w:p w14:paraId="0D5132E5" w14:textId="5F43CCB4" w:rsidR="009E6386" w:rsidRPr="00C94107" w:rsidRDefault="009E6386" w:rsidP="009E6386">
      <w:pPr>
        <w:spacing w:before="120" w:after="120" w:line="276" w:lineRule="auto"/>
        <w:ind w:firstLine="709"/>
        <w:jc w:val="both"/>
        <w:rPr>
          <w:rFonts w:ascii="Verdana" w:hAnsi="Verdana" w:cs="Arial"/>
          <w:lang w:eastAsia="es-ES_tradnl"/>
        </w:rPr>
      </w:pPr>
      <w:r w:rsidRPr="00C94107">
        <w:rPr>
          <w:rFonts w:ascii="Verdana" w:hAnsi="Verdana" w:cs="Arial"/>
          <w:lang w:eastAsia="es-ES_tradnl"/>
        </w:rPr>
        <w:t xml:space="preserve">Además, la </w:t>
      </w:r>
      <w:r w:rsidR="00D45F4C" w:rsidRPr="00C94107">
        <w:rPr>
          <w:rFonts w:ascii="Verdana" w:hAnsi="Verdana" w:cs="Arial"/>
          <w:lang w:eastAsia="es-ES_tradnl"/>
        </w:rPr>
        <w:t>Agencia</w:t>
      </w:r>
      <w:r w:rsidRPr="00C94107">
        <w:rPr>
          <w:rFonts w:ascii="Verdana" w:hAnsi="Verdana" w:cs="Arial"/>
          <w:lang w:eastAsia="es-ES_tradnl"/>
        </w:rPr>
        <w:t xml:space="preserve"> aclaró que la acreditación de establecimientos comerciales no constituye un requisito obligatorio para que una Entidad Estatal proceda a hacer la adjudicación de un contrato. Lo anterior es concordante con lo señalado en el presente concepto, pues las </w:t>
      </w:r>
      <w:r w:rsidR="00A3311D" w:rsidRPr="00C94107">
        <w:rPr>
          <w:rFonts w:ascii="Verdana" w:hAnsi="Verdana" w:cs="Arial"/>
          <w:lang w:eastAsia="es-ES_tradnl"/>
        </w:rPr>
        <w:t>Entidades</w:t>
      </w:r>
      <w:r w:rsidRPr="00C94107">
        <w:rPr>
          <w:rFonts w:ascii="Verdana" w:hAnsi="Verdana" w:cs="Arial"/>
          <w:lang w:eastAsia="es-ES_tradnl"/>
        </w:rPr>
        <w:t xml:space="preserve"> no pueden exigir este requisito de manera arbitraria, </w:t>
      </w:r>
      <w:r w:rsidR="006F2045" w:rsidRPr="00C94107">
        <w:rPr>
          <w:rFonts w:ascii="Verdana" w:hAnsi="Verdana" w:cs="Arial"/>
          <w:lang w:eastAsia="es-ES_tradnl"/>
        </w:rPr>
        <w:t xml:space="preserve">por lo </w:t>
      </w:r>
      <w:r w:rsidR="000167E0" w:rsidRPr="00C94107">
        <w:rPr>
          <w:rFonts w:ascii="Verdana" w:hAnsi="Verdana" w:cs="Arial"/>
          <w:lang w:eastAsia="es-ES_tradnl"/>
        </w:rPr>
        <w:t xml:space="preserve">que, en caso de que se exija </w:t>
      </w:r>
      <w:r w:rsidRPr="00C94107">
        <w:rPr>
          <w:rFonts w:ascii="Verdana" w:hAnsi="Verdana" w:cs="Arial"/>
          <w:lang w:eastAsia="es-ES_tradnl"/>
        </w:rPr>
        <w:t>deben justificar la forma en que es proporcional y adecuado respecto a la capacidad del proponente para ejecutar el objeto contractual</w:t>
      </w:r>
      <w:r w:rsidR="000C5D94" w:rsidRPr="00C94107">
        <w:rPr>
          <w:rFonts w:ascii="Verdana" w:hAnsi="Verdana" w:cs="Arial"/>
          <w:lang w:eastAsia="es-ES_tradnl"/>
        </w:rPr>
        <w:t xml:space="preserve">, o la razón por la cual este es necesario para verificar la idoneidad del proponente </w:t>
      </w:r>
      <w:r w:rsidR="0015388E" w:rsidRPr="00C94107">
        <w:rPr>
          <w:rFonts w:ascii="Verdana" w:hAnsi="Verdana" w:cs="Arial"/>
          <w:lang w:eastAsia="es-ES_tradnl"/>
        </w:rPr>
        <w:t>para cumplir con el contra</w:t>
      </w:r>
      <w:r w:rsidR="009057D2" w:rsidRPr="00C94107">
        <w:rPr>
          <w:rFonts w:ascii="Verdana" w:hAnsi="Verdana" w:cs="Arial"/>
          <w:lang w:eastAsia="es-ES_tradnl"/>
        </w:rPr>
        <w:t xml:space="preserve">to </w:t>
      </w:r>
      <w:r w:rsidR="009057D2" w:rsidRPr="00C94107">
        <w:rPr>
          <w:rFonts w:ascii="Verdana" w:hAnsi="Verdana" w:cs="Arial"/>
          <w:lang w:eastAsia="es-ES_tradnl"/>
        </w:rPr>
        <w:lastRenderedPageBreak/>
        <w:t>que se pretende adjudicar</w:t>
      </w:r>
      <w:r w:rsidRPr="00C94107">
        <w:rPr>
          <w:rFonts w:ascii="Verdana" w:hAnsi="Verdana" w:cs="Arial"/>
          <w:lang w:eastAsia="es-ES_tradnl"/>
        </w:rPr>
        <w:t>.</w:t>
      </w:r>
      <w:r w:rsidR="0015388E" w:rsidRPr="00C94107">
        <w:rPr>
          <w:rFonts w:ascii="Verdana" w:hAnsi="Verdana" w:cs="Arial"/>
          <w:lang w:eastAsia="es-ES_tradnl"/>
        </w:rPr>
        <w:t xml:space="preserve"> De lo contrario</w:t>
      </w:r>
      <w:r w:rsidR="009057D2" w:rsidRPr="00C94107">
        <w:rPr>
          <w:rFonts w:ascii="Verdana" w:hAnsi="Verdana" w:cs="Arial"/>
          <w:lang w:eastAsia="es-ES_tradnl"/>
        </w:rPr>
        <w:t>,</w:t>
      </w:r>
      <w:r w:rsidR="0015388E" w:rsidRPr="00C94107">
        <w:rPr>
          <w:rFonts w:ascii="Verdana" w:hAnsi="Verdana" w:cs="Arial"/>
          <w:lang w:eastAsia="es-ES_tradnl"/>
        </w:rPr>
        <w:t xml:space="preserve"> su inclusión crearía una barrera de participación en el proceso de contratación</w:t>
      </w:r>
      <w:r w:rsidRPr="00C94107">
        <w:rPr>
          <w:rFonts w:ascii="Verdana" w:hAnsi="Verdana" w:cs="Arial"/>
          <w:lang w:eastAsia="es-ES_tradnl"/>
        </w:rPr>
        <w:t>.</w:t>
      </w:r>
    </w:p>
    <w:p w14:paraId="7F1A3615" w14:textId="0DA0DA95" w:rsidR="009E6386" w:rsidRPr="00C94107" w:rsidRDefault="009E6386" w:rsidP="009E6386">
      <w:pPr>
        <w:spacing w:before="120" w:after="120" w:line="276" w:lineRule="auto"/>
        <w:ind w:firstLine="709"/>
        <w:jc w:val="both"/>
        <w:rPr>
          <w:rFonts w:ascii="Verdana" w:hAnsi="Verdana" w:cs="Arial"/>
          <w:lang w:eastAsia="es-ES_tradnl"/>
        </w:rPr>
      </w:pPr>
      <w:r w:rsidRPr="00C94107">
        <w:rPr>
          <w:rFonts w:ascii="Verdana" w:hAnsi="Verdana" w:cs="Arial"/>
          <w:lang w:eastAsia="es-ES_tradnl"/>
        </w:rPr>
        <w:t xml:space="preserve">En todo caso, es importante tener en cuenta que el factor de </w:t>
      </w:r>
      <w:r w:rsidR="00665F97" w:rsidRPr="00C94107">
        <w:rPr>
          <w:rFonts w:ascii="Verdana" w:hAnsi="Verdana" w:cs="Arial"/>
          <w:lang w:eastAsia="es-ES_tradnl"/>
        </w:rPr>
        <w:t>selección</w:t>
      </w:r>
      <w:r w:rsidRPr="00C94107">
        <w:rPr>
          <w:rFonts w:ascii="Verdana" w:hAnsi="Verdana" w:cs="Arial"/>
          <w:lang w:eastAsia="es-ES_tradnl"/>
        </w:rPr>
        <w:t xml:space="preserve"> del proponente en los procesos de contratación adelantados por la modalidad de </w:t>
      </w:r>
      <w:r w:rsidR="00B708CE" w:rsidRPr="00C94107">
        <w:rPr>
          <w:rFonts w:ascii="Verdana" w:hAnsi="Verdana" w:cs="Arial"/>
          <w:lang w:eastAsia="es-ES_tradnl"/>
        </w:rPr>
        <w:t>mínima</w:t>
      </w:r>
      <w:r w:rsidRPr="00C94107">
        <w:rPr>
          <w:rFonts w:ascii="Verdana" w:hAnsi="Verdana" w:cs="Arial"/>
          <w:lang w:eastAsia="es-ES_tradnl"/>
        </w:rPr>
        <w:t xml:space="preserve"> </w:t>
      </w:r>
      <w:r w:rsidR="00B708CE" w:rsidRPr="00C94107">
        <w:rPr>
          <w:rFonts w:ascii="Verdana" w:hAnsi="Verdana" w:cs="Arial"/>
          <w:lang w:eastAsia="es-ES_tradnl"/>
        </w:rPr>
        <w:t>cuantía</w:t>
      </w:r>
      <w:r w:rsidRPr="00C94107">
        <w:rPr>
          <w:rFonts w:ascii="Verdana" w:hAnsi="Verdana" w:cs="Arial"/>
          <w:lang w:eastAsia="es-ES_tradnl"/>
        </w:rPr>
        <w:t xml:space="preserve"> </w:t>
      </w:r>
      <w:r w:rsidR="000A3C04" w:rsidRPr="00C94107">
        <w:rPr>
          <w:rFonts w:ascii="Verdana" w:hAnsi="Verdana" w:cs="Arial"/>
          <w:lang w:eastAsia="es-ES_tradnl"/>
        </w:rPr>
        <w:t>– modalidad a la cual se refiere en su consulta –</w:t>
      </w:r>
      <w:r w:rsidRPr="00C94107">
        <w:rPr>
          <w:rFonts w:ascii="Verdana" w:hAnsi="Verdana" w:cs="Arial"/>
          <w:lang w:eastAsia="es-ES_tradnl"/>
        </w:rPr>
        <w:t xml:space="preserve"> es el precio</w:t>
      </w:r>
      <w:r w:rsidR="00660B6B" w:rsidRPr="00C94107">
        <w:rPr>
          <w:rFonts w:ascii="Verdana" w:hAnsi="Verdana" w:cs="Arial"/>
          <w:lang w:eastAsia="es-ES_tradnl"/>
        </w:rPr>
        <w:t xml:space="preserve">. Así, </w:t>
      </w:r>
      <w:r w:rsidRPr="00C94107">
        <w:rPr>
          <w:rFonts w:ascii="Verdana" w:hAnsi="Verdana" w:cs="Arial"/>
          <w:lang w:eastAsia="es-ES_tradnl"/>
        </w:rPr>
        <w:t xml:space="preserve">la </w:t>
      </w:r>
      <w:r w:rsidR="000A3C04" w:rsidRPr="00C94107">
        <w:rPr>
          <w:rFonts w:ascii="Verdana" w:hAnsi="Verdana" w:cs="Arial"/>
          <w:lang w:eastAsia="es-ES_tradnl"/>
        </w:rPr>
        <w:t>Entidad Estatal</w:t>
      </w:r>
      <w:r w:rsidRPr="00C94107">
        <w:rPr>
          <w:rFonts w:ascii="Verdana" w:hAnsi="Verdana" w:cs="Arial"/>
          <w:lang w:eastAsia="es-ES_tradnl"/>
        </w:rPr>
        <w:t xml:space="preserve"> debe primeramente revisar las ofertas económicas y verificar que la de menor precio cumple con las condiciones de la invitación. Si esta no cumple con las condiciones de la </w:t>
      </w:r>
      <w:proofErr w:type="spellStart"/>
      <w:r w:rsidRPr="00C94107">
        <w:rPr>
          <w:rFonts w:ascii="Verdana" w:hAnsi="Verdana" w:cs="Arial"/>
          <w:lang w:eastAsia="es-ES_tradnl"/>
        </w:rPr>
        <w:t>invitación</w:t>
      </w:r>
      <w:proofErr w:type="spellEnd"/>
      <w:r w:rsidRPr="00C94107">
        <w:rPr>
          <w:rFonts w:ascii="Verdana" w:hAnsi="Verdana" w:cs="Arial"/>
          <w:lang w:eastAsia="es-ES_tradnl"/>
        </w:rPr>
        <w:t xml:space="preserve">, la </w:t>
      </w:r>
      <w:r w:rsidR="00414C33" w:rsidRPr="00C94107">
        <w:rPr>
          <w:rFonts w:ascii="Verdana" w:hAnsi="Verdana" w:cs="Arial"/>
          <w:lang w:eastAsia="es-ES_tradnl"/>
        </w:rPr>
        <w:t>Entidad Estatal</w:t>
      </w:r>
      <w:r w:rsidRPr="00C94107">
        <w:rPr>
          <w:rFonts w:ascii="Verdana" w:hAnsi="Verdana" w:cs="Arial"/>
          <w:lang w:eastAsia="es-ES_tradnl"/>
        </w:rPr>
        <w:t xml:space="preserve"> debe verificar el cumplimento de los requisitos de la invitación de la oferta con el segundo mejor precio, y así sucesivamente.</w:t>
      </w:r>
    </w:p>
    <w:p w14:paraId="2B99BAFE" w14:textId="6EEE4B83" w:rsidR="009E6386" w:rsidRPr="00C94107" w:rsidRDefault="009E6386" w:rsidP="00810146">
      <w:pPr>
        <w:tabs>
          <w:tab w:val="left" w:pos="426"/>
        </w:tabs>
        <w:spacing w:before="120" w:after="120" w:line="276" w:lineRule="auto"/>
        <w:ind w:firstLine="709"/>
        <w:jc w:val="both"/>
        <w:rPr>
          <w:rFonts w:ascii="Verdana" w:hAnsi="Verdana" w:cs="Arial"/>
          <w:lang w:eastAsia="es-ES_tradnl"/>
        </w:rPr>
      </w:pPr>
      <w:r w:rsidRPr="00C94107">
        <w:rPr>
          <w:rFonts w:ascii="Verdana" w:hAnsi="Verdana" w:cs="Arial"/>
          <w:lang w:eastAsia="es-ES_tradnl"/>
        </w:rPr>
        <w:t xml:space="preserve">En conclusión, </w:t>
      </w:r>
      <w:r w:rsidR="00BA61CF" w:rsidRPr="00C94107">
        <w:rPr>
          <w:rFonts w:ascii="Verdana" w:hAnsi="Verdana" w:cs="Arial"/>
          <w:lang w:eastAsia="es-ES_tradnl"/>
        </w:rPr>
        <w:t xml:space="preserve">se reitera lo expuesto en este concepto, en el sentido que, </w:t>
      </w:r>
      <w:r w:rsidRPr="00C94107">
        <w:rPr>
          <w:rFonts w:ascii="Verdana" w:hAnsi="Verdana" w:cs="Arial"/>
          <w:lang w:eastAsia="es-ES_tradnl"/>
        </w:rPr>
        <w:t xml:space="preserve">las </w:t>
      </w:r>
      <w:r w:rsidR="00C0085E" w:rsidRPr="00C94107">
        <w:rPr>
          <w:rFonts w:ascii="Verdana" w:hAnsi="Verdana" w:cs="Arial"/>
          <w:lang w:eastAsia="es-ES_tradnl"/>
        </w:rPr>
        <w:t>Entidades Estatales</w:t>
      </w:r>
      <w:r w:rsidRPr="00C94107">
        <w:rPr>
          <w:rFonts w:ascii="Verdana" w:hAnsi="Verdana" w:cs="Arial"/>
          <w:lang w:eastAsia="es-ES_tradnl"/>
        </w:rPr>
        <w:t xml:space="preserve"> son autónomas para definir los requisitos habilitantes, pero tal facultad debe ser ejercida diseñando condiciones habilitantes de manera objetiva, de suerte que estas sirvan para determinar si los participantes del proceso de contratación cuentan con las capacidades que los hacen aptos para ejecutar el objeto contractual. Para esto resulta indispensable que los requisitos establecidos por la entidad se fijen de manera adecuada y proporcional a las características del objeto a contratar, procurando además ceñirse a la normativa que resulte aplicable. </w:t>
      </w:r>
    </w:p>
    <w:p w14:paraId="11390FD3" w14:textId="0E015015" w:rsidR="00832D55" w:rsidRPr="00C94107" w:rsidRDefault="00832D55" w:rsidP="00810146">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C94107">
        <w:rPr>
          <w:rFonts w:ascii="Verdana" w:hAnsi="Verdana" w:cs="Arial"/>
          <w:lang w:eastAsia="es-ES"/>
        </w:rPr>
        <w:t>Al margen de la explicación precedente debe advertirse que</w:t>
      </w:r>
      <w:r w:rsidR="00AA0F31" w:rsidRPr="00C94107">
        <w:rPr>
          <w:rFonts w:ascii="Verdana" w:hAnsi="Verdana" w:cs="Arial"/>
          <w:lang w:eastAsia="es-ES"/>
        </w:rPr>
        <w:t>,</w:t>
      </w:r>
      <w:r w:rsidRPr="00C94107">
        <w:rPr>
          <w:rFonts w:ascii="Verdana" w:hAnsi="Verdana" w:cs="Arial"/>
          <w:lang w:eastAsia="es-ES"/>
        </w:rPr>
        <w:t xml:space="preserve"> el análisis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520D46A" w14:textId="512CAB24" w:rsidR="00832D55" w:rsidRPr="00C94107" w:rsidRDefault="00832D55" w:rsidP="00832D55">
      <w:pPr>
        <w:spacing w:before="120" w:after="0" w:line="276" w:lineRule="auto"/>
        <w:ind w:firstLine="709"/>
        <w:jc w:val="both"/>
        <w:rPr>
          <w:rFonts w:ascii="Verdana" w:hAnsi="Verdana" w:cs="Arial"/>
          <w:lang w:eastAsia="es-ES"/>
        </w:rPr>
      </w:pPr>
      <w:r w:rsidRPr="00C94107">
        <w:rPr>
          <w:rFonts w:ascii="Verdana" w:hAnsi="Verdana" w:cs="Arial"/>
          <w:lang w:eastAsia="es-ES"/>
        </w:rPr>
        <w:t xml:space="preserve">Dentro de este marco, la </w:t>
      </w:r>
      <w:r w:rsidR="00D51944" w:rsidRPr="00C94107">
        <w:rPr>
          <w:rFonts w:ascii="Verdana" w:hAnsi="Verdana" w:cs="Arial"/>
          <w:lang w:eastAsia="es-ES"/>
        </w:rPr>
        <w:t xml:space="preserve">Entidad </w:t>
      </w:r>
      <w:r w:rsidRPr="00C94107">
        <w:rPr>
          <w:rFonts w:ascii="Verdana" w:hAnsi="Verdana" w:cs="Arial"/>
          <w:lang w:eastAsia="es-ES"/>
        </w:rPr>
        <w:t xml:space="preserve">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w:t>
      </w:r>
      <w:r w:rsidR="00D51944" w:rsidRPr="00C94107">
        <w:rPr>
          <w:rFonts w:ascii="Verdana" w:hAnsi="Verdana" w:cs="Arial"/>
          <w:lang w:eastAsia="es-ES"/>
        </w:rPr>
        <w:t xml:space="preserve">Entidad </w:t>
      </w:r>
      <w:r w:rsidRPr="00C94107">
        <w:rPr>
          <w:rFonts w:ascii="Verdana" w:hAnsi="Verdana" w:cs="Arial"/>
          <w:lang w:eastAsia="es-ES"/>
        </w:rPr>
        <w:t xml:space="preserve">definirá la forma de adelantar su </w:t>
      </w:r>
      <w:r w:rsidRPr="00C94107">
        <w:rPr>
          <w:rFonts w:ascii="Verdana" w:hAnsi="Verdana" w:cs="Arial"/>
          <w:lang w:eastAsia="es-ES"/>
        </w:rPr>
        <w:lastRenderedPageBreak/>
        <w:t>gestión contractual, sin que sea atribución de Colombia Compra Eficiente validar sus actuaciones.</w:t>
      </w:r>
    </w:p>
    <w:p w14:paraId="43A76363" w14:textId="77777777" w:rsidR="009E6386" w:rsidRPr="00FE5A24" w:rsidRDefault="009E6386" w:rsidP="009E6386">
      <w:pPr>
        <w:widowControl w:val="0"/>
        <w:autoSpaceDE w:val="0"/>
        <w:autoSpaceDN w:val="0"/>
        <w:spacing w:after="0" w:line="276" w:lineRule="auto"/>
        <w:jc w:val="both"/>
        <w:rPr>
          <w:rFonts w:ascii="Verdana" w:eastAsia="Calibri" w:hAnsi="Verdana" w:cs="Arial"/>
          <w:color w:val="000000" w:themeColor="text1"/>
        </w:rPr>
      </w:pPr>
    </w:p>
    <w:p w14:paraId="079CA0E3" w14:textId="77777777" w:rsidR="009E6386" w:rsidRPr="00FE5A24" w:rsidRDefault="009E6386" w:rsidP="009E6386">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Referencias normativas, jurisprudenciales y otras fuentes:</w:t>
      </w:r>
    </w:p>
    <w:p w14:paraId="1ED4E8BA" w14:textId="77777777" w:rsidR="009E6386" w:rsidRPr="00FE5A24" w:rsidRDefault="009E6386" w:rsidP="009E6386">
      <w:pPr>
        <w:widowControl w:val="0"/>
        <w:autoSpaceDE w:val="0"/>
        <w:autoSpaceDN w:val="0"/>
        <w:spacing w:after="0" w:line="276" w:lineRule="auto"/>
        <w:jc w:val="both"/>
        <w:rPr>
          <w:rFonts w:ascii="Verdana" w:hAnsi="Verdana" w:cs="Arial"/>
          <w:color w:val="000000" w:themeColor="text1"/>
        </w:rPr>
      </w:pPr>
    </w:p>
    <w:tbl>
      <w:tblPr>
        <w:tblStyle w:val="TableGrid"/>
        <w:tblW w:w="86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E6386" w:rsidRPr="00FE5A24" w14:paraId="4F4091F3" w14:textId="77777777" w:rsidTr="00810146">
        <w:trPr>
          <w:trHeight w:val="870"/>
        </w:trPr>
        <w:tc>
          <w:tcPr>
            <w:tcW w:w="8647" w:type="dxa"/>
          </w:tcPr>
          <w:p w14:paraId="68F0ED40" w14:textId="44C91284" w:rsidR="009E6386" w:rsidRPr="006269F4" w:rsidRDefault="009E6386" w:rsidP="00810146">
            <w:pPr>
              <w:pStyle w:val="ListParagraph"/>
              <w:numPr>
                <w:ilvl w:val="0"/>
                <w:numId w:val="17"/>
              </w:numPr>
              <w:spacing w:line="276" w:lineRule="auto"/>
              <w:ind w:left="357" w:hanging="357"/>
              <w:contextualSpacing w:val="0"/>
              <w:jc w:val="both"/>
              <w:rPr>
                <w:rFonts w:ascii="Verdana" w:eastAsia="Calibri" w:hAnsi="Verdana" w:cs="Arial"/>
                <w:lang w:eastAsia="es-MX"/>
              </w:rPr>
            </w:pPr>
            <w:r w:rsidRPr="003035EF">
              <w:rPr>
                <w:rFonts w:ascii="Verdana" w:eastAsia="Calibri" w:hAnsi="Verdana" w:cs="Arial"/>
                <w:lang w:eastAsia="es-MX"/>
              </w:rPr>
              <w:t xml:space="preserve">Ley 1150 de 2007: </w:t>
            </w:r>
            <w:r w:rsidR="00B03F1F" w:rsidRPr="00541CFA">
              <w:rPr>
                <w:rFonts w:ascii="Verdana" w:eastAsia="Calibri" w:hAnsi="Verdana" w:cs="Arial"/>
                <w:lang w:eastAsia="es-MX"/>
              </w:rPr>
              <w:t xml:space="preserve">Artículo </w:t>
            </w:r>
            <w:r w:rsidRPr="003035EF">
              <w:rPr>
                <w:rFonts w:ascii="Verdana" w:eastAsia="Calibri" w:hAnsi="Verdana" w:cs="Arial"/>
                <w:lang w:eastAsia="es-MX"/>
              </w:rPr>
              <w:t>5</w:t>
            </w:r>
            <w:r>
              <w:rPr>
                <w:rFonts w:ascii="Verdana" w:eastAsia="Calibri" w:hAnsi="Verdana" w:cs="Arial"/>
                <w:lang w:eastAsia="es-MX"/>
              </w:rPr>
              <w:t xml:space="preserve"> y artículo 6. </w:t>
            </w:r>
          </w:p>
          <w:p w14:paraId="46F8AA6D" w14:textId="3919CFD8" w:rsidR="00B03F1F" w:rsidRPr="00541CFA" w:rsidRDefault="00B03F1F" w:rsidP="00810146">
            <w:pPr>
              <w:pStyle w:val="ListParagraph"/>
              <w:numPr>
                <w:ilvl w:val="0"/>
                <w:numId w:val="17"/>
              </w:numPr>
              <w:spacing w:line="276" w:lineRule="auto"/>
              <w:ind w:left="357" w:hanging="357"/>
              <w:contextualSpacing w:val="0"/>
              <w:jc w:val="both"/>
              <w:rPr>
                <w:rFonts w:ascii="Verdana" w:eastAsia="Calibri" w:hAnsi="Verdana" w:cs="Arial"/>
                <w:lang w:eastAsia="es-MX"/>
              </w:rPr>
            </w:pPr>
            <w:r w:rsidRPr="00541CFA">
              <w:rPr>
                <w:rFonts w:ascii="Verdana" w:eastAsia="Calibri" w:hAnsi="Verdana" w:cs="Arial"/>
                <w:lang w:eastAsia="es-MX"/>
              </w:rPr>
              <w:t xml:space="preserve">Ley 1437 de 2011: Artículo 44. </w:t>
            </w:r>
          </w:p>
          <w:p w14:paraId="43AB02D1" w14:textId="68AF9176" w:rsidR="00D35FBD" w:rsidRPr="00541CFA" w:rsidRDefault="00D35FBD" w:rsidP="00810146">
            <w:pPr>
              <w:pStyle w:val="ListParagraph"/>
              <w:numPr>
                <w:ilvl w:val="0"/>
                <w:numId w:val="17"/>
              </w:numPr>
              <w:spacing w:line="276" w:lineRule="auto"/>
              <w:ind w:left="357" w:hanging="357"/>
              <w:contextualSpacing w:val="0"/>
              <w:jc w:val="both"/>
              <w:rPr>
                <w:rFonts w:ascii="Verdana" w:eastAsia="Calibri" w:hAnsi="Verdana" w:cs="Arial"/>
                <w:lang w:eastAsia="es-MX"/>
              </w:rPr>
            </w:pPr>
            <w:r w:rsidRPr="00541CFA">
              <w:rPr>
                <w:rFonts w:ascii="Verdana" w:eastAsia="Calibri" w:hAnsi="Verdana" w:cs="Arial"/>
                <w:lang w:eastAsia="es-MX"/>
              </w:rPr>
              <w:t>Código de Comercio: Artículo 515.</w:t>
            </w:r>
          </w:p>
          <w:p w14:paraId="7DCAAD9A" w14:textId="7D15AD6C" w:rsidR="009E6386" w:rsidRPr="006269F4" w:rsidRDefault="009E6386" w:rsidP="00810146">
            <w:pPr>
              <w:pStyle w:val="ListParagraph"/>
              <w:numPr>
                <w:ilvl w:val="0"/>
                <w:numId w:val="17"/>
              </w:numPr>
              <w:spacing w:line="276" w:lineRule="auto"/>
              <w:ind w:left="357" w:hanging="357"/>
              <w:contextualSpacing w:val="0"/>
              <w:jc w:val="both"/>
              <w:rPr>
                <w:rFonts w:ascii="Verdana" w:eastAsia="Calibri" w:hAnsi="Verdana" w:cs="Arial"/>
                <w:lang w:eastAsia="es-MX"/>
              </w:rPr>
            </w:pPr>
            <w:r w:rsidRPr="006269F4">
              <w:rPr>
                <w:rFonts w:ascii="Verdana" w:eastAsia="Calibri" w:hAnsi="Verdana" w:cs="Arial"/>
                <w:lang w:eastAsia="es-MX"/>
              </w:rPr>
              <w:t xml:space="preserve">Decreto 1082 de 2015: Numeral 5 del artículo 2.2.1.1.2.1.3 y artículo 2.2.1.1.1.6.2. </w:t>
            </w:r>
          </w:p>
          <w:p w14:paraId="6372E8BA" w14:textId="77777777" w:rsidR="009E6386" w:rsidRPr="006269F4" w:rsidRDefault="009E6386" w:rsidP="00810146">
            <w:pPr>
              <w:pStyle w:val="ListParagraph"/>
              <w:numPr>
                <w:ilvl w:val="0"/>
                <w:numId w:val="17"/>
              </w:numPr>
              <w:spacing w:line="276" w:lineRule="auto"/>
              <w:ind w:left="357" w:hanging="357"/>
              <w:contextualSpacing w:val="0"/>
              <w:jc w:val="both"/>
              <w:rPr>
                <w:rFonts w:ascii="Verdana" w:eastAsia="Calibri" w:hAnsi="Verdana" w:cs="Arial"/>
                <w:lang w:eastAsia="es-MX"/>
              </w:rPr>
            </w:pPr>
            <w:r w:rsidRPr="00810146">
              <w:rPr>
                <w:rFonts w:ascii="Verdana" w:eastAsia="Calibri" w:hAnsi="Verdana" w:cs="Arial"/>
                <w:lang w:val="pt-BR" w:eastAsia="es-MX"/>
              </w:rPr>
              <w:t xml:space="preserve">Corte Constitucional. Sala Plena. Sentencia C 178 de 29 de abril de 1996. </w:t>
            </w:r>
            <w:r w:rsidRPr="006269F4">
              <w:rPr>
                <w:rFonts w:ascii="Verdana" w:eastAsia="Calibri" w:hAnsi="Verdana" w:cs="Arial"/>
                <w:lang w:eastAsia="es-MX"/>
              </w:rPr>
              <w:t>Magistrado Ponente: Antonio Barrera Carbonell. Expediente No. D-974.</w:t>
            </w:r>
          </w:p>
          <w:p w14:paraId="4A57041B" w14:textId="77777777" w:rsidR="009E6386" w:rsidRPr="006269F4" w:rsidRDefault="009E6386" w:rsidP="00810146">
            <w:pPr>
              <w:pStyle w:val="ListParagraph"/>
              <w:numPr>
                <w:ilvl w:val="0"/>
                <w:numId w:val="17"/>
              </w:numPr>
              <w:spacing w:line="276" w:lineRule="auto"/>
              <w:ind w:left="357" w:hanging="357"/>
              <w:contextualSpacing w:val="0"/>
              <w:jc w:val="both"/>
              <w:rPr>
                <w:rFonts w:ascii="Verdana" w:eastAsia="Calibri" w:hAnsi="Verdana" w:cs="Arial"/>
                <w:lang w:eastAsia="es-MX"/>
              </w:rPr>
            </w:pPr>
            <w:r w:rsidRPr="006269F4">
              <w:rPr>
                <w:rFonts w:ascii="Verdana" w:eastAsia="Calibri" w:hAnsi="Verdana" w:cs="Arial"/>
                <w:lang w:eastAsia="es-MX"/>
              </w:rPr>
              <w:t xml:space="preserve">Consejo de Estado. Sección Tercera. Subsección A. Sentencia del 12 de febrero de 2014. </w:t>
            </w:r>
            <w:proofErr w:type="spellStart"/>
            <w:r w:rsidRPr="006269F4">
              <w:rPr>
                <w:rFonts w:ascii="Verdana" w:eastAsia="Calibri" w:hAnsi="Verdana" w:cs="Arial"/>
                <w:lang w:eastAsia="es-MX"/>
              </w:rPr>
              <w:t>Exp</w:t>
            </w:r>
            <w:proofErr w:type="spellEnd"/>
            <w:r w:rsidRPr="006269F4">
              <w:rPr>
                <w:rFonts w:ascii="Verdana" w:eastAsia="Calibri" w:hAnsi="Verdana" w:cs="Arial"/>
                <w:lang w:eastAsia="es-MX"/>
              </w:rPr>
              <w:t>. 31.753. C.P. Mauricio Fajardo Gómez</w:t>
            </w:r>
            <w:r>
              <w:rPr>
                <w:rFonts w:ascii="Verdana" w:eastAsia="Calibri" w:hAnsi="Verdana" w:cs="Arial"/>
                <w:lang w:eastAsia="es-MX"/>
              </w:rPr>
              <w:t>.</w:t>
            </w:r>
            <w:r w:rsidRPr="006269F4">
              <w:rPr>
                <w:rFonts w:ascii="Verdana" w:eastAsia="Calibri" w:hAnsi="Verdana" w:cs="Arial"/>
                <w:lang w:eastAsia="es-MX"/>
              </w:rPr>
              <w:t xml:space="preserve"> </w:t>
            </w:r>
          </w:p>
          <w:p w14:paraId="0745662A" w14:textId="77777777" w:rsidR="009E6386" w:rsidRPr="006269F4" w:rsidRDefault="009E6386" w:rsidP="00810146">
            <w:pPr>
              <w:pStyle w:val="ListParagraph"/>
              <w:numPr>
                <w:ilvl w:val="0"/>
                <w:numId w:val="17"/>
              </w:numPr>
              <w:spacing w:line="276" w:lineRule="auto"/>
              <w:ind w:left="357" w:hanging="357"/>
              <w:contextualSpacing w:val="0"/>
              <w:jc w:val="both"/>
              <w:rPr>
                <w:rFonts w:ascii="Verdana" w:eastAsia="Calibri" w:hAnsi="Verdana" w:cs="Arial"/>
                <w:lang w:eastAsia="es-MX"/>
              </w:rPr>
            </w:pPr>
            <w:r w:rsidRPr="006269F4">
              <w:rPr>
                <w:rFonts w:ascii="Verdana" w:eastAsia="Calibri" w:hAnsi="Verdana" w:cs="Arial"/>
                <w:lang w:eastAsia="es-MX"/>
              </w:rPr>
              <w:t>Consejo de Estado. Sala de Consulta y Servicio Civil. Consejero Ponente: Álvaro Namén Vargas. Bogotá, 10 de agosto de 2015. Radicación número: 11001-03-06-000-2015-00118-00(2.260).</w:t>
            </w:r>
          </w:p>
          <w:p w14:paraId="0CF6E090" w14:textId="3BD3C38B" w:rsidR="009E6386" w:rsidRPr="00810146" w:rsidRDefault="00541CFA" w:rsidP="00810146">
            <w:pPr>
              <w:pStyle w:val="ListParagraph"/>
              <w:numPr>
                <w:ilvl w:val="0"/>
                <w:numId w:val="17"/>
              </w:numPr>
              <w:spacing w:line="276" w:lineRule="auto"/>
              <w:ind w:left="357" w:hanging="357"/>
              <w:contextualSpacing w:val="0"/>
              <w:jc w:val="both"/>
              <w:rPr>
                <w:rFonts w:ascii="Verdana" w:hAnsi="Verdana" w:cs="Arial"/>
                <w:color w:val="000000" w:themeColor="text1"/>
              </w:rPr>
            </w:pPr>
            <w:r>
              <w:rPr>
                <w:rFonts w:ascii="Verdana" w:eastAsia="Calibri" w:hAnsi="Verdana" w:cs="Arial"/>
                <w:lang w:eastAsia="es-MX"/>
              </w:rPr>
              <w:t>Agencia Nacional de Contratación Pública – Colombia Compra E</w:t>
            </w:r>
            <w:r w:rsidR="00FD5BAB">
              <w:rPr>
                <w:rFonts w:ascii="Verdana" w:eastAsia="Calibri" w:hAnsi="Verdana" w:cs="Arial"/>
                <w:lang w:eastAsia="es-MX"/>
              </w:rPr>
              <w:t xml:space="preserve">ficiente. </w:t>
            </w:r>
            <w:r w:rsidR="009E6386" w:rsidRPr="006269F4">
              <w:rPr>
                <w:rFonts w:ascii="Verdana" w:eastAsia="Calibri" w:hAnsi="Verdana" w:cs="Arial"/>
                <w:lang w:eastAsia="es-MX"/>
              </w:rPr>
              <w:t>Manual para determinar y verificar los requisitos habilitantes en los Procesos de Contratación.</w:t>
            </w:r>
            <w:r w:rsidR="009E6386">
              <w:rPr>
                <w:rFonts w:ascii="Verdana" w:eastAsia="Calibri" w:hAnsi="Verdana" w:cs="Arial"/>
                <w:lang w:eastAsia="es-MX"/>
              </w:rPr>
              <w:t xml:space="preserve"> Disponible en: </w:t>
            </w:r>
            <w:hyperlink r:id="rId13" w:history="1">
              <w:r w:rsidR="009E6386" w:rsidRPr="00FD1356">
                <w:rPr>
                  <w:rStyle w:val="Hyperlink"/>
                  <w:rFonts w:ascii="Verdana" w:eastAsia="Calibri" w:hAnsi="Verdana" w:cs="Arial"/>
                  <w:lang w:eastAsia="es-MX"/>
                </w:rPr>
                <w:t>https://colombiacompra.gov.co/manuales-guias-y-pliegos-tipo/manuales-y-guias</w:t>
              </w:r>
            </w:hyperlink>
            <w:r w:rsidR="009E6386">
              <w:rPr>
                <w:rFonts w:ascii="Verdana" w:eastAsia="Calibri" w:hAnsi="Verdana" w:cs="Arial"/>
                <w:lang w:eastAsia="es-MX"/>
              </w:rPr>
              <w:t xml:space="preserve"> </w:t>
            </w:r>
          </w:p>
          <w:p w14:paraId="0C6D1162" w14:textId="6ACAADF9" w:rsidR="009E6386" w:rsidRPr="006269F4" w:rsidRDefault="00FD5BAB" w:rsidP="00810146">
            <w:pPr>
              <w:pStyle w:val="ListParagraph"/>
              <w:numPr>
                <w:ilvl w:val="0"/>
                <w:numId w:val="17"/>
              </w:numPr>
              <w:spacing w:line="276" w:lineRule="auto"/>
              <w:ind w:left="357" w:hanging="357"/>
              <w:contextualSpacing w:val="0"/>
              <w:jc w:val="both"/>
              <w:rPr>
                <w:rFonts w:ascii="Verdana" w:hAnsi="Verdana" w:cs="Arial"/>
                <w:color w:val="000000" w:themeColor="text1"/>
              </w:rPr>
            </w:pPr>
            <w:r w:rsidRPr="00FD5BAB">
              <w:rPr>
                <w:rFonts w:ascii="Verdana" w:hAnsi="Verdana"/>
              </w:rPr>
              <w:t>Departamento Administrativo Nacional de Estadística</w:t>
            </w:r>
            <w:r w:rsidR="00D35FBD" w:rsidRPr="00810146">
              <w:rPr>
                <w:rFonts w:ascii="Verdana" w:hAnsi="Verdana"/>
              </w:rPr>
              <w:t>. Clasificación Industrial Internacional Uniforme de todas las actividades económicas. Revisión 4 Adaptada para Colombia. 2022.</w:t>
            </w:r>
            <w:r w:rsidR="00541CFA" w:rsidRPr="00810146">
              <w:rPr>
                <w:rFonts w:ascii="Verdana" w:hAnsi="Verdana"/>
              </w:rPr>
              <w:t xml:space="preserve"> </w:t>
            </w:r>
            <w:r w:rsidR="00541CFA" w:rsidRPr="00541CFA">
              <w:rPr>
                <w:rFonts w:ascii="Verdana" w:eastAsia="Calibri" w:hAnsi="Verdana" w:cs="Arial"/>
                <w:lang w:eastAsia="es-MX"/>
              </w:rPr>
              <w:t xml:space="preserve">Disponible en: </w:t>
            </w:r>
            <w:hyperlink r:id="rId14" w:history="1">
              <w:r w:rsidR="00541CFA" w:rsidRPr="00810146">
                <w:rPr>
                  <w:rStyle w:val="Hyperlink"/>
                  <w:rFonts w:ascii="Verdana" w:hAnsi="Verdana"/>
                </w:rPr>
                <w:t>https://www.dane.gov.co/files/sen/nomenclatura/ciiu/CIIU_Rev_4_AC2022.pdf</w:t>
              </w:r>
            </w:hyperlink>
            <w:r w:rsidR="00541CFA" w:rsidRPr="00810146">
              <w:rPr>
                <w:rFonts w:ascii="Verdana" w:hAnsi="Verdana"/>
              </w:rPr>
              <w:t>.</w:t>
            </w:r>
          </w:p>
        </w:tc>
      </w:tr>
    </w:tbl>
    <w:p w14:paraId="7B2BFDB3" w14:textId="77777777" w:rsidR="009E6386" w:rsidRPr="00FE5A24" w:rsidRDefault="009E6386" w:rsidP="009E6386">
      <w:pPr>
        <w:widowControl w:val="0"/>
        <w:autoSpaceDE w:val="0"/>
        <w:autoSpaceDN w:val="0"/>
        <w:spacing w:after="0" w:line="276" w:lineRule="auto"/>
        <w:jc w:val="both"/>
        <w:rPr>
          <w:rFonts w:ascii="Verdana" w:hAnsi="Verdana" w:cs="Arial"/>
          <w:color w:val="000000" w:themeColor="text1"/>
        </w:rPr>
      </w:pPr>
    </w:p>
    <w:p w14:paraId="61B0C7D8" w14:textId="77777777" w:rsidR="009E6386" w:rsidRPr="00FE5A24" w:rsidRDefault="009E6386" w:rsidP="009E6386">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Doctrina de la Agencia Nacional de Contratación Pública:</w:t>
      </w:r>
    </w:p>
    <w:p w14:paraId="55EF8135" w14:textId="77777777" w:rsidR="009E6386" w:rsidRPr="00FE5A24" w:rsidRDefault="009E6386" w:rsidP="009E6386">
      <w:pPr>
        <w:widowControl w:val="0"/>
        <w:autoSpaceDE w:val="0"/>
        <w:autoSpaceDN w:val="0"/>
        <w:spacing w:after="0" w:line="276" w:lineRule="auto"/>
        <w:jc w:val="both"/>
        <w:rPr>
          <w:rFonts w:ascii="Verdana" w:hAnsi="Verdana" w:cs="Arial"/>
          <w:color w:val="000000" w:themeColor="text1"/>
        </w:rPr>
      </w:pPr>
    </w:p>
    <w:p w14:paraId="603CC2FE" w14:textId="70D833F5" w:rsidR="009E6386" w:rsidRPr="00FE5A24" w:rsidRDefault="009E6386" w:rsidP="009E6386">
      <w:pPr>
        <w:widowControl w:val="0"/>
        <w:autoSpaceDE w:val="0"/>
        <w:autoSpaceDN w:val="0"/>
        <w:spacing w:after="0" w:line="276" w:lineRule="auto"/>
        <w:jc w:val="both"/>
        <w:rPr>
          <w:rStyle w:val="normaltextrun"/>
          <w:rFonts w:ascii="Verdana" w:hAnsi="Verdana" w:cs="Arial"/>
          <w:color w:val="000000" w:themeColor="text1"/>
          <w:shd w:val="clear" w:color="auto" w:fill="FFFFFF"/>
        </w:rPr>
      </w:pPr>
      <w:r w:rsidRPr="000E7148">
        <w:rPr>
          <w:rFonts w:ascii="Verdana" w:eastAsia="Calibri" w:hAnsi="Verdana" w:cs="Arial"/>
          <w:color w:val="000000" w:themeColor="text1"/>
          <w:lang w:eastAsia="es-ES_tradnl"/>
        </w:rPr>
        <w:t xml:space="preserve">La Agencia Nacional de Contratación Pública – Colombia Compra Eficiente </w:t>
      </w:r>
      <w:r>
        <w:rPr>
          <w:rFonts w:ascii="Verdana" w:eastAsia="Arial" w:hAnsi="Verdana" w:cs="Arial"/>
          <w:lang w:val="es-MX" w:eastAsia="es-ES_tradnl"/>
        </w:rPr>
        <w:t xml:space="preserve">se ha referido a la determinación de los requisitos habilitantes en </w:t>
      </w:r>
      <w:r w:rsidRPr="009643AE">
        <w:rPr>
          <w:rFonts w:ascii="Verdana" w:eastAsia="Arial" w:hAnsi="Verdana" w:cs="Arial"/>
          <w:lang w:val="es-MX" w:eastAsia="es-ES_tradnl"/>
        </w:rPr>
        <w:t xml:space="preserve">los conceptos C-120 del 3 de marzo de 2020, C-204 del 31 de marzo de 2020, C-099 del 6 de abril  de 2020, C-195 del 13 de abril de 2020, C-013 del 17 de abril de 2020, C-330 del 27 de mayo de 2020 y C-396 de 16 de julio </w:t>
      </w:r>
      <w:r w:rsidRPr="009643AE">
        <w:rPr>
          <w:rFonts w:ascii="Verdana" w:hAnsi="Verdana" w:cs="Arial"/>
          <w:shd w:val="clear" w:color="auto" w:fill="FFFFFF"/>
          <w:lang w:val="es-ES"/>
        </w:rPr>
        <w:t>de 2020, C-142 del 30 de marzo de 2022,  C-337 de 18de agosto de 2023,Concepto C-483 del 26 de septiembre de 2024, Concepto C- 662 de 2024 del 29 de enero de 2025, C –043 del 28 de</w:t>
      </w:r>
      <w:r>
        <w:rPr>
          <w:rFonts w:ascii="Verdana" w:hAnsi="Verdana" w:cs="Arial"/>
          <w:shd w:val="clear" w:color="auto" w:fill="FFFFFF"/>
          <w:lang w:val="es-ES"/>
        </w:rPr>
        <w:t>l</w:t>
      </w:r>
      <w:r w:rsidRPr="009643AE">
        <w:rPr>
          <w:rFonts w:ascii="Verdana" w:hAnsi="Verdana" w:cs="Arial"/>
          <w:shd w:val="clear" w:color="auto" w:fill="FFFFFF"/>
          <w:lang w:val="es-ES"/>
        </w:rPr>
        <w:t xml:space="preserve"> </w:t>
      </w:r>
      <w:r w:rsidRPr="009643AE">
        <w:rPr>
          <w:rFonts w:ascii="Verdana" w:hAnsi="Verdana" w:cs="Arial"/>
          <w:shd w:val="clear" w:color="auto" w:fill="FFFFFF"/>
          <w:lang w:val="es-ES"/>
        </w:rPr>
        <w:lastRenderedPageBreak/>
        <w:t xml:space="preserve">febrero de 2025, Concepto C- 116 del 1 de marzo de 2025, </w:t>
      </w:r>
      <w:r w:rsidRPr="00FB34BB">
        <w:rPr>
          <w:rFonts w:ascii="Verdana" w:hAnsi="Verdana" w:cs="Arial"/>
          <w:shd w:val="clear" w:color="auto" w:fill="FFFFFF"/>
          <w:lang w:val="es-ES"/>
        </w:rPr>
        <w:t>entre otros. Estos se encuentran disponibles para consulta en el Sistema de relatoría de la Agencia, al cual puede accederse a través del siguiente enlace:</w:t>
      </w:r>
      <w:r w:rsidRPr="00C94107">
        <w:rPr>
          <w:rFonts w:ascii="Verdana" w:hAnsi="Verdana"/>
          <w:lang w:val="es-ES"/>
        </w:rPr>
        <w:t xml:space="preserve"> </w:t>
      </w:r>
      <w:hyperlink r:id="rId15" w:history="1">
        <w:r w:rsidRPr="00401F64">
          <w:rPr>
            <w:rStyle w:val="Hyperlink"/>
            <w:rFonts w:ascii="Verdana" w:hAnsi="Verdana" w:cs="Arial"/>
            <w:shd w:val="clear" w:color="auto" w:fill="FFFFFF"/>
          </w:rPr>
          <w:t>https://relatoria.colombiacompra.gov.co/busqueda/conceptos</w:t>
        </w:r>
      </w:hyperlink>
      <w:r w:rsidRPr="00C94107">
        <w:rPr>
          <w:rStyle w:val="Hyperlink"/>
          <w:rFonts w:ascii="Verdana" w:hAnsi="Verdana"/>
        </w:rPr>
        <w:t>.</w:t>
      </w:r>
      <w:r w:rsidRPr="00FE5A24">
        <w:rPr>
          <w:rStyle w:val="normaltextrun"/>
          <w:rFonts w:ascii="Verdana" w:hAnsi="Verdana" w:cs="Arial"/>
          <w:color w:val="000000" w:themeColor="text1"/>
          <w:shd w:val="clear" w:color="auto" w:fill="FFFFFF"/>
        </w:rPr>
        <w:t xml:space="preserve"> </w:t>
      </w:r>
      <w:r w:rsidRPr="00FE5A24">
        <w:rPr>
          <w:rStyle w:val="normaltextrun"/>
          <w:rFonts w:ascii="Verdana" w:hAnsi="Verdana" w:cs="Arial"/>
          <w:color w:val="000000" w:themeColor="text1"/>
          <w:shd w:val="clear" w:color="auto" w:fill="FFFFFF"/>
          <w:lang w:val="es-ES"/>
        </w:rPr>
        <w:t xml:space="preserve"> </w:t>
      </w:r>
    </w:p>
    <w:p w14:paraId="161163F7" w14:textId="77777777" w:rsidR="009E6386" w:rsidRPr="00FE5A24" w:rsidRDefault="009E6386" w:rsidP="009E6386">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3434BE77" w14:textId="77777777" w:rsidR="009E6386" w:rsidRDefault="009E6386" w:rsidP="009E6386">
      <w:pPr>
        <w:widowControl w:val="0"/>
        <w:autoSpaceDE w:val="0"/>
        <w:autoSpaceDN w:val="0"/>
        <w:spacing w:after="0" w:line="276" w:lineRule="auto"/>
        <w:jc w:val="both"/>
        <w:rPr>
          <w:rFonts w:ascii="Verdana" w:hAnsi="Verdana" w:cs="Arial"/>
          <w:color w:val="FF0000"/>
          <w:shd w:val="clear" w:color="auto" w:fill="FFFFFF"/>
          <w:lang w:val="es-ES"/>
        </w:rPr>
      </w:pPr>
      <w:r>
        <w:rPr>
          <w:rStyle w:val="normaltextrun"/>
          <w:rFonts w:ascii="Verdana" w:hAnsi="Verdana"/>
          <w:lang w:val="es-ES"/>
        </w:rPr>
        <w:t>L</w:t>
      </w:r>
      <w:r w:rsidRPr="009E61FE">
        <w:rPr>
          <w:rStyle w:val="normaltextrun"/>
          <w:rFonts w:ascii="Verdana" w:hAnsi="Verdana"/>
          <w:lang w:val="es-ES"/>
        </w:rPr>
        <w:t>e informamos que ya se encuentra disponible la Cartilla para incentivar y fortalecer el acceso a las compras y contratación pública de los pueblos y comunidades étnicas en Colombia.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6" w:tgtFrame="_blank" w:tooltip="Original URL: https://www.colombiacompra.gov.co/manuales-guias-y-pliegos-tipo/manuales-y-guias/cartilla-para-incentivar-y-fortalecer-el-acceso-las. Click or tap if you trust this link." w:history="1">
        <w:r w:rsidRPr="009E61FE">
          <w:rPr>
            <w:rStyle w:val="Hyperlink"/>
            <w:rFonts w:ascii="Verdana" w:hAnsi="Verdana" w:cs="Arial"/>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667BBCDC" w14:textId="77777777" w:rsidR="009E6386" w:rsidRPr="009E61FE" w:rsidRDefault="009E6386" w:rsidP="009E6386">
      <w:pPr>
        <w:widowControl w:val="0"/>
        <w:autoSpaceDE w:val="0"/>
        <w:autoSpaceDN w:val="0"/>
        <w:spacing w:after="0" w:line="276" w:lineRule="auto"/>
        <w:jc w:val="both"/>
        <w:rPr>
          <w:rFonts w:ascii="Verdana" w:hAnsi="Verdana" w:cs="Arial"/>
          <w:color w:val="FF0000"/>
          <w:shd w:val="clear" w:color="auto" w:fill="FFFFFF"/>
        </w:rPr>
      </w:pPr>
    </w:p>
    <w:p w14:paraId="340937C3" w14:textId="77777777" w:rsidR="009E6386" w:rsidRDefault="009E6386" w:rsidP="009E6386">
      <w:pPr>
        <w:widowControl w:val="0"/>
        <w:autoSpaceDE w:val="0"/>
        <w:autoSpaceDN w:val="0"/>
        <w:spacing w:after="0" w:line="276" w:lineRule="auto"/>
        <w:jc w:val="both"/>
        <w:rPr>
          <w:rFonts w:ascii="Verdana" w:hAnsi="Verdana" w:cs="Arial"/>
          <w:color w:val="FF0000"/>
          <w:shd w:val="clear" w:color="auto" w:fill="FFFFFF"/>
          <w:lang w:val="es-ES"/>
        </w:rPr>
      </w:pPr>
      <w:r w:rsidRPr="009E61FE">
        <w:rPr>
          <w:rFonts w:ascii="Verdana" w:hAnsi="Verdana" w:cs="Arial"/>
          <w:color w:val="000000" w:themeColor="text1"/>
          <w:shd w:val="clear" w:color="auto" w:fill="FFFFFF"/>
        </w:rPr>
        <w:t>De otra parte, informamos que, con el objetivo de garantizar un conocimiento adecuado de las </w:t>
      </w:r>
      <w:r w:rsidRPr="009E61FE">
        <w:rPr>
          <w:rFonts w:ascii="Verdana" w:hAnsi="Verdana" w:cs="Arial"/>
          <w:b/>
          <w:color w:val="000000" w:themeColor="text1"/>
          <w:shd w:val="clear" w:color="auto" w:fill="FFFFFF"/>
        </w:rPr>
        <w:t>modificaciones y/o actualizaciones realizadas a los Documentos Tipo</w:t>
      </w:r>
      <w:r w:rsidRPr="009E61FE">
        <w:rPr>
          <w:rFonts w:ascii="Verdana" w:hAnsi="Verdana" w:cs="Arial"/>
          <w:color w:val="000000" w:themeColor="text1"/>
          <w:shd w:val="clear" w:color="auto" w:fill="FFFFFF"/>
        </w:rPr>
        <w:t>, hemos programado una serie de </w:t>
      </w:r>
      <w:r w:rsidRPr="009E61FE">
        <w:rPr>
          <w:rFonts w:ascii="Verdana" w:hAnsi="Verdana" w:cs="Arial"/>
          <w:b/>
          <w:color w:val="000000" w:themeColor="text1"/>
          <w:shd w:val="clear" w:color="auto" w:fill="FFFFFF"/>
        </w:rPr>
        <w:t>capacitaciones </w:t>
      </w:r>
      <w:r w:rsidRPr="009E61FE">
        <w:rPr>
          <w:rFonts w:ascii="Verdana" w:hAnsi="Verdana" w:cs="Arial"/>
          <w:color w:val="000000" w:themeColor="text1"/>
          <w:shd w:val="clear" w:color="auto" w:fill="FFFFFF"/>
        </w:rPr>
        <w:t xml:space="preserve">dirigidas a todos los actores involucrados en los procesos de selección. Podrá conocer la programación y realizar </w:t>
      </w:r>
      <w:r>
        <w:rPr>
          <w:rFonts w:ascii="Verdana" w:hAnsi="Verdana" w:cs="Arial"/>
          <w:color w:val="000000" w:themeColor="text1"/>
          <w:shd w:val="clear" w:color="auto" w:fill="FFFFFF"/>
        </w:rPr>
        <w:t>s</w:t>
      </w:r>
      <w:r w:rsidRPr="009E61FE">
        <w:rPr>
          <w:rFonts w:ascii="Verdana" w:hAnsi="Verdana" w:cs="Arial"/>
          <w:color w:val="000000" w:themeColor="text1"/>
          <w:shd w:val="clear" w:color="auto" w:fill="FFFFFF"/>
        </w:rPr>
        <w:t>u inscripción a estas capacitaciones a través del siguiente enlace: </w:t>
      </w:r>
      <w:hyperlink r:id="rId17" w:tgtFrame="_blank" w:tooltip="Original URL: https://www.colombiacompra.gov.co/ciudadanos/calendario. Click or tap if you trust this link." w:history="1">
        <w:r w:rsidRPr="009E61FE">
          <w:rPr>
            <w:rStyle w:val="Hyperlink"/>
            <w:rFonts w:ascii="Verdana" w:hAnsi="Verdana" w:cs="Arial"/>
            <w:shd w:val="clear" w:color="auto" w:fill="FFFFFF"/>
          </w:rPr>
          <w:t>Calendario | Colombia Compra Eficiente | Agencia Nacional de Contratación Pública</w:t>
        </w:r>
      </w:hyperlink>
    </w:p>
    <w:p w14:paraId="60AD06A2" w14:textId="77777777" w:rsidR="009E6386" w:rsidRPr="009E61FE" w:rsidRDefault="009E6386" w:rsidP="009E6386">
      <w:pPr>
        <w:widowControl w:val="0"/>
        <w:autoSpaceDE w:val="0"/>
        <w:autoSpaceDN w:val="0"/>
        <w:spacing w:after="0" w:line="276" w:lineRule="auto"/>
        <w:jc w:val="both"/>
        <w:rPr>
          <w:rFonts w:ascii="Verdana" w:hAnsi="Verdana" w:cs="Arial"/>
          <w:color w:val="FF0000"/>
          <w:shd w:val="clear" w:color="auto" w:fill="FFFFFF"/>
        </w:rPr>
      </w:pPr>
    </w:p>
    <w:p w14:paraId="68E46A0A" w14:textId="77777777" w:rsidR="009E6386" w:rsidRPr="009E61FE" w:rsidRDefault="009E6386" w:rsidP="009E6386">
      <w:pPr>
        <w:widowControl w:val="0"/>
        <w:autoSpaceDE w:val="0"/>
        <w:autoSpaceDN w:val="0"/>
        <w:spacing w:after="0" w:line="276" w:lineRule="auto"/>
        <w:jc w:val="both"/>
        <w:rPr>
          <w:rFonts w:ascii="Verdana" w:hAnsi="Verdana" w:cs="Arial"/>
          <w:color w:val="FF0000"/>
          <w:shd w:val="clear" w:color="auto" w:fill="FFFFFF"/>
        </w:rPr>
      </w:pPr>
      <w:r w:rsidRPr="009E61FE">
        <w:rPr>
          <w:rFonts w:ascii="Verdana" w:hAnsi="Verdana" w:cs="Arial"/>
          <w:color w:val="000000" w:themeColor="text1"/>
          <w:shd w:val="clear" w:color="auto" w:fill="FFFFFF"/>
        </w:rPr>
        <w:t xml:space="preserve">También, </w:t>
      </w:r>
      <w:r>
        <w:rPr>
          <w:rFonts w:ascii="Verdana" w:hAnsi="Verdana" w:cs="Arial"/>
          <w:color w:val="000000" w:themeColor="text1"/>
          <w:shd w:val="clear" w:color="auto" w:fill="FFFFFF"/>
        </w:rPr>
        <w:t>l</w:t>
      </w:r>
      <w:r w:rsidRPr="009E61FE">
        <w:rPr>
          <w:rFonts w:ascii="Verdana" w:hAnsi="Verdana" w:cs="Arial"/>
          <w:color w:val="000000" w:themeColor="text1"/>
          <w:shd w:val="clear" w:color="auto" w:fill="FFFFFF"/>
        </w:rPr>
        <w:t>e contamos que ya publicamos </w:t>
      </w:r>
      <w:r w:rsidRPr="009E61FE">
        <w:rPr>
          <w:rFonts w:ascii="Verdana" w:hAnsi="Verdana" w:cs="Arial"/>
          <w:b/>
          <w:color w:val="000000" w:themeColor="text1"/>
          <w:shd w:val="clear" w:color="auto" w:fill="FFFFFF"/>
        </w:rPr>
        <w:t>la nueva Guía de Contratación Pública Sostenible y Socialmente Responsable</w:t>
      </w:r>
      <w:r w:rsidRPr="009E61FE">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8" w:tgtFrame="_blank" w:tooltip="Original URL: https://www.colombiacompra.gov.co/manuales-guias-y-pliegos-tipo/manuales-y-guias/guia-de-contratacion-publica-sostenible-y-socialmente. Click or tap if you trust this link." w:history="1">
        <w:r w:rsidRPr="009E61FE">
          <w:rPr>
            <w:rStyle w:val="Hyperlink"/>
            <w:rFonts w:ascii="Verdana" w:hAnsi="Verdana" w:cs="Arial"/>
            <w:shd w:val="clear" w:color="auto" w:fill="FFFFFF"/>
          </w:rPr>
          <w:t>Guía de Contratación Pública Sostenible y Socialmente Responsable | Colombia Compra Eficiente | Agencia Nacional de Contratación Pública</w:t>
        </w:r>
      </w:hyperlink>
    </w:p>
    <w:p w14:paraId="1DC4DEC5" w14:textId="77777777" w:rsidR="009E6386" w:rsidRDefault="009E6386" w:rsidP="009E6386">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24A2FCF1" w14:textId="77777777" w:rsidR="009E6386" w:rsidRPr="003E2460" w:rsidRDefault="009E6386" w:rsidP="00810146">
      <w:pPr>
        <w:spacing w:after="0" w:line="276"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1BCE6712" w14:textId="77777777" w:rsidR="009E6386" w:rsidRPr="003E2460" w:rsidRDefault="009E6386" w:rsidP="00810146">
      <w:pPr>
        <w:spacing w:after="0" w:line="276" w:lineRule="auto"/>
        <w:jc w:val="both"/>
        <w:rPr>
          <w:rFonts w:ascii="Verdana" w:hAnsi="Verdana"/>
        </w:rPr>
      </w:pPr>
    </w:p>
    <w:p w14:paraId="5854D5E2" w14:textId="77777777" w:rsidR="009E6386" w:rsidRPr="003E2460" w:rsidRDefault="009E6386" w:rsidP="00810146">
      <w:pPr>
        <w:spacing w:after="0" w:line="276" w:lineRule="auto"/>
        <w:jc w:val="both"/>
        <w:rPr>
          <w:rFonts w:ascii="Verdana" w:hAnsi="Verdana"/>
        </w:rPr>
      </w:pPr>
      <w:r w:rsidRPr="003E2460">
        <w:rPr>
          <w:rFonts w:ascii="Verdana" w:hAnsi="Verdana"/>
        </w:rPr>
        <w:t xml:space="preserve">Twitter: </w:t>
      </w:r>
      <w:r w:rsidRPr="00386BAA">
        <w:rPr>
          <w:rStyle w:val="Hyperlink"/>
          <w:rFonts w:ascii="Verdana" w:hAnsi="Verdana" w:cs="Arial"/>
          <w:shd w:val="clear" w:color="auto" w:fill="FFFFFF"/>
        </w:rPr>
        <w:t>@colombiacompra</w:t>
      </w:r>
      <w:r w:rsidRPr="003E2460">
        <w:rPr>
          <w:rFonts w:ascii="Verdana" w:hAnsi="Verdana"/>
          <w:color w:val="4472C4" w:themeColor="accent1"/>
        </w:rPr>
        <w:t xml:space="preserve"> </w:t>
      </w:r>
    </w:p>
    <w:p w14:paraId="499E2FB8" w14:textId="77777777" w:rsidR="009E6386" w:rsidRPr="003E2460" w:rsidRDefault="009E6386" w:rsidP="00810146">
      <w:pPr>
        <w:spacing w:after="0" w:line="276" w:lineRule="auto"/>
        <w:jc w:val="both"/>
        <w:rPr>
          <w:rFonts w:ascii="Verdana" w:hAnsi="Verdana"/>
        </w:rPr>
      </w:pPr>
      <w:r w:rsidRPr="003E2460">
        <w:rPr>
          <w:rFonts w:ascii="Verdana" w:hAnsi="Verdana"/>
        </w:rPr>
        <w:lastRenderedPageBreak/>
        <w:t xml:space="preserve">Facebook: </w:t>
      </w:r>
      <w:proofErr w:type="spellStart"/>
      <w:r w:rsidRPr="00386BAA">
        <w:rPr>
          <w:rStyle w:val="Hyperlink"/>
          <w:rFonts w:ascii="Verdana" w:hAnsi="Verdana" w:cs="Arial"/>
          <w:shd w:val="clear" w:color="auto" w:fill="FFFFFF"/>
        </w:rPr>
        <w:t>ColombiaCompraEficiente</w:t>
      </w:r>
      <w:proofErr w:type="spellEnd"/>
    </w:p>
    <w:p w14:paraId="54997FE8" w14:textId="77777777" w:rsidR="009E6386" w:rsidRPr="003E2460" w:rsidRDefault="009E6386" w:rsidP="00810146">
      <w:pPr>
        <w:spacing w:after="0" w:line="276" w:lineRule="auto"/>
        <w:jc w:val="both"/>
        <w:rPr>
          <w:rFonts w:ascii="Verdana" w:hAnsi="Verdana"/>
        </w:rPr>
      </w:pPr>
      <w:r w:rsidRPr="003E2460">
        <w:rPr>
          <w:rFonts w:ascii="Verdana" w:hAnsi="Verdana"/>
        </w:rPr>
        <w:t xml:space="preserve">LinkedIn: </w:t>
      </w:r>
      <w:r w:rsidRPr="00386BAA">
        <w:rPr>
          <w:rStyle w:val="Hyperlink"/>
          <w:rFonts w:ascii="Verdana" w:hAnsi="Verdana" w:cs="Arial"/>
          <w:shd w:val="clear" w:color="auto" w:fill="FFFFFF"/>
        </w:rPr>
        <w:t>Agencia Nacional de Contratación Pública - Colombia Compra Eficiente</w:t>
      </w:r>
      <w:r w:rsidRPr="00C94107">
        <w:rPr>
          <w:rStyle w:val="Hyperlink"/>
          <w:rFonts w:ascii="Verdana" w:hAnsi="Verdana" w:cs="Arial"/>
          <w:shd w:val="clear" w:color="auto" w:fill="FFFFFF"/>
        </w:rPr>
        <w:t xml:space="preserve"> </w:t>
      </w:r>
      <w:r w:rsidRPr="003E2460">
        <w:rPr>
          <w:rFonts w:ascii="Verdana" w:hAnsi="Verdana"/>
        </w:rPr>
        <w:t xml:space="preserve">Instagram: </w:t>
      </w:r>
      <w:r w:rsidRPr="00386BAA">
        <w:rPr>
          <w:rStyle w:val="Hyperlink"/>
          <w:rFonts w:ascii="Verdana" w:hAnsi="Verdana" w:cs="Arial"/>
          <w:shd w:val="clear" w:color="auto" w:fill="FFFFFF"/>
        </w:rPr>
        <w:t>@colombiacompraeficiente_cce</w:t>
      </w:r>
    </w:p>
    <w:p w14:paraId="1FCCCDDC" w14:textId="77777777" w:rsidR="009E6386" w:rsidRPr="00FE5A24" w:rsidRDefault="009E6386" w:rsidP="009E6386">
      <w:pPr>
        <w:widowControl w:val="0"/>
        <w:autoSpaceDE w:val="0"/>
        <w:autoSpaceDN w:val="0"/>
        <w:spacing w:after="0" w:line="276" w:lineRule="auto"/>
        <w:jc w:val="both"/>
        <w:rPr>
          <w:rFonts w:ascii="Verdana" w:hAnsi="Verdana" w:cs="Arial"/>
          <w:color w:val="000000" w:themeColor="text1"/>
        </w:rPr>
      </w:pPr>
    </w:p>
    <w:p w14:paraId="0F023DF4" w14:textId="77777777" w:rsidR="009E6386" w:rsidRPr="00FE5A24" w:rsidRDefault="009E6386" w:rsidP="009E6386">
      <w:pPr>
        <w:widowControl w:val="0"/>
        <w:autoSpaceDE w:val="0"/>
        <w:autoSpaceDN w:val="0"/>
        <w:spacing w:after="0" w:line="276" w:lineRule="auto"/>
        <w:jc w:val="both"/>
        <w:rPr>
          <w:rFonts w:ascii="Verdana" w:hAnsi="Verdana" w:cs="Arial"/>
          <w:color w:val="000000" w:themeColor="text1"/>
          <w:lang w:val="es-ES_tradnl"/>
        </w:rPr>
      </w:pPr>
      <w:r w:rsidRPr="00FE5A24">
        <w:rPr>
          <w:rFonts w:ascii="Verdana" w:hAnsi="Verdana" w:cs="Arial"/>
          <w:color w:val="000000" w:themeColor="text1"/>
        </w:rPr>
        <w:t xml:space="preserve">Este concepto tiene el alcance previsto en el artículo 28 del Código de Procedimiento Administrativo y de lo Contencioso Administrativo </w:t>
      </w:r>
      <w:r w:rsidRPr="00FE5A24">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640F62A0" w14:textId="77777777" w:rsidR="009E6386" w:rsidRPr="00FE5A24" w:rsidRDefault="009E6386" w:rsidP="009E6386">
      <w:pPr>
        <w:widowControl w:val="0"/>
        <w:autoSpaceDE w:val="0"/>
        <w:autoSpaceDN w:val="0"/>
        <w:spacing w:after="0" w:line="276" w:lineRule="auto"/>
        <w:jc w:val="both"/>
        <w:rPr>
          <w:rFonts w:ascii="Verdana" w:hAnsi="Verdana" w:cs="Arial"/>
          <w:color w:val="000000" w:themeColor="text1"/>
        </w:rPr>
      </w:pPr>
    </w:p>
    <w:p w14:paraId="3D477BAD" w14:textId="77777777" w:rsidR="009E6386" w:rsidRPr="00FE5A24" w:rsidRDefault="009E6386" w:rsidP="00810146">
      <w:pPr>
        <w:spacing w:after="0" w:line="276" w:lineRule="auto"/>
        <w:rPr>
          <w:rFonts w:ascii="Verdana" w:hAnsi="Verdana" w:cs="Arial"/>
          <w:color w:val="000000" w:themeColor="text1"/>
          <w:lang w:eastAsia="es-CO"/>
        </w:rPr>
      </w:pPr>
      <w:r w:rsidRPr="00FE5A24">
        <w:rPr>
          <w:rFonts w:ascii="Verdana" w:eastAsia="Times New Roman" w:hAnsi="Verdana" w:cs="Arial"/>
          <w:color w:val="000000" w:themeColor="text1"/>
          <w:lang w:eastAsia="es-CO"/>
        </w:rPr>
        <w:t>Atentamente,</w:t>
      </w:r>
      <w:r w:rsidRPr="00FE5A24">
        <w:rPr>
          <w:rFonts w:ascii="Verdana" w:hAnsi="Verdana" w:cs="Arial"/>
          <w:color w:val="000000" w:themeColor="text1"/>
          <w:lang w:eastAsia="es-CO"/>
        </w:rPr>
        <w:t xml:space="preserve"> </w:t>
      </w:r>
    </w:p>
    <w:p w14:paraId="7A6076BC" w14:textId="587FA3D7" w:rsidR="009E6386" w:rsidRPr="00FE5A24" w:rsidRDefault="00A92639" w:rsidP="009E6386">
      <w:pPr>
        <w:spacing w:line="276" w:lineRule="auto"/>
        <w:jc w:val="center"/>
        <w:rPr>
          <w:rFonts w:ascii="Verdana" w:hAnsi="Verdana" w:cs="Arial"/>
          <w:color w:val="000000" w:themeColor="text1"/>
          <w:lang w:val="es-ES_tradnl" w:eastAsia="es-CO"/>
        </w:rPr>
      </w:pPr>
      <w:r w:rsidRPr="002C3AD6">
        <w:rPr>
          <w:rFonts w:ascii="Century Gothic" w:hAnsi="Century Gothic"/>
          <w:noProof/>
        </w:rPr>
        <w:drawing>
          <wp:inline distT="0" distB="0" distL="0" distR="0" wp14:anchorId="33BD4B0B" wp14:editId="7FF4B9F6">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400370"/>
                    </a:xfrm>
                    <a:prstGeom prst="rect">
                      <a:avLst/>
                    </a:prstGeom>
                  </pic:spPr>
                </pic:pic>
              </a:graphicData>
            </a:graphic>
          </wp:inline>
        </w:drawing>
      </w: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E6386" w:rsidRPr="003751C7" w14:paraId="4339FA8D" w14:textId="77777777" w:rsidTr="006A4A3A">
        <w:trPr>
          <w:trHeight w:val="315"/>
        </w:trPr>
        <w:tc>
          <w:tcPr>
            <w:tcW w:w="893" w:type="dxa"/>
            <w:vAlign w:val="center"/>
            <w:hideMark/>
          </w:tcPr>
          <w:p w14:paraId="61B7F0CC" w14:textId="77777777" w:rsidR="009E6386" w:rsidRPr="003751C7" w:rsidRDefault="009E6386" w:rsidP="006A4A3A">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89DAE87" w14:textId="77777777" w:rsidR="009E6386" w:rsidRPr="00FF1EF8" w:rsidRDefault="009E6386" w:rsidP="006A4A3A">
            <w:pPr>
              <w:contextualSpacing/>
              <w:rPr>
                <w:rFonts w:ascii="Verdana" w:eastAsia="Arial" w:hAnsi="Verdana" w:cs="Arial"/>
                <w:color w:val="000000" w:themeColor="text1"/>
                <w:sz w:val="16"/>
                <w:szCs w:val="16"/>
              </w:rPr>
            </w:pPr>
            <w:r w:rsidRPr="00FF1EF8">
              <w:rPr>
                <w:rFonts w:ascii="Verdana" w:eastAsia="Arial" w:hAnsi="Verdana" w:cs="Arial"/>
                <w:color w:val="000000" w:themeColor="text1"/>
                <w:sz w:val="16"/>
                <w:szCs w:val="16"/>
              </w:rPr>
              <w:t>Anamaría Bonilla Prieto</w:t>
            </w:r>
          </w:p>
          <w:p w14:paraId="043D6AE1" w14:textId="77777777" w:rsidR="009E6386" w:rsidRPr="003751C7" w:rsidRDefault="009E6386" w:rsidP="006A4A3A">
            <w:pPr>
              <w:contextualSpacing/>
              <w:rPr>
                <w:rFonts w:ascii="Verdana" w:eastAsia="Arial" w:hAnsi="Verdana" w:cs="Arial"/>
                <w:sz w:val="16"/>
                <w:szCs w:val="16"/>
              </w:rPr>
            </w:pPr>
            <w:r w:rsidRPr="00FF1EF8">
              <w:rPr>
                <w:rStyle w:val="normaltextrun"/>
                <w:rFonts w:ascii="Verdana" w:eastAsia="Arial" w:hAnsi="Verdana" w:cs="Arial"/>
                <w:color w:val="000000" w:themeColor="text1"/>
                <w:sz w:val="16"/>
                <w:szCs w:val="16"/>
              </w:rPr>
              <w:t xml:space="preserve">Contratista de la Subdirección </w:t>
            </w:r>
            <w:r w:rsidRPr="003751C7">
              <w:rPr>
                <w:rStyle w:val="normaltextrun"/>
                <w:rFonts w:ascii="Verdana" w:eastAsia="Arial" w:hAnsi="Verdana" w:cs="Arial"/>
                <w:sz w:val="16"/>
                <w:szCs w:val="16"/>
              </w:rPr>
              <w:t>de Gestión Contractual</w:t>
            </w:r>
          </w:p>
        </w:tc>
      </w:tr>
      <w:tr w:rsidR="009E6386" w:rsidRPr="003751C7" w14:paraId="5745D948" w14:textId="77777777" w:rsidTr="006A4A3A">
        <w:trPr>
          <w:trHeight w:val="330"/>
        </w:trPr>
        <w:tc>
          <w:tcPr>
            <w:tcW w:w="893" w:type="dxa"/>
            <w:vAlign w:val="center"/>
            <w:hideMark/>
          </w:tcPr>
          <w:p w14:paraId="224DD1A2" w14:textId="77777777" w:rsidR="009E6386" w:rsidRPr="003751C7" w:rsidRDefault="009E6386" w:rsidP="006A4A3A">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E700899" w14:textId="314E2E53" w:rsidR="009E6386" w:rsidRDefault="009E6386" w:rsidP="006A4A3A">
            <w:pPr>
              <w:pStyle w:val="paragraph"/>
              <w:spacing w:before="0" w:beforeAutospacing="0" w:after="0" w:afterAutospacing="0"/>
              <w:contextualSpacing/>
              <w:textAlignment w:val="baseline"/>
              <w:rPr>
                <w:rStyle w:val="normaltextrun"/>
                <w:rFonts w:ascii="Verdana" w:hAnsi="Verdana" w:cs="Arial"/>
                <w:sz w:val="16"/>
                <w:szCs w:val="16"/>
                <w:lang w:val="es-ES"/>
              </w:rPr>
            </w:pPr>
            <w:r>
              <w:rPr>
                <w:rStyle w:val="normaltextrun"/>
                <w:rFonts w:ascii="Verdana" w:hAnsi="Verdana" w:cs="Arial"/>
                <w:sz w:val="16"/>
                <w:szCs w:val="16"/>
                <w:lang w:val="es-ES"/>
              </w:rPr>
              <w:t>D</w:t>
            </w:r>
            <w:r w:rsidRPr="009643AE">
              <w:rPr>
                <w:rStyle w:val="normaltextrun"/>
                <w:rFonts w:ascii="Verdana" w:hAnsi="Verdana" w:cs="Arial"/>
                <w:sz w:val="16"/>
                <w:szCs w:val="16"/>
                <w:lang w:val="es-ES"/>
              </w:rPr>
              <w:t>iana</w:t>
            </w:r>
            <w:r>
              <w:rPr>
                <w:rStyle w:val="normaltextrun"/>
                <w:rFonts w:ascii="Verdana" w:hAnsi="Verdana" w:cs="Arial"/>
                <w:sz w:val="16"/>
                <w:szCs w:val="16"/>
                <w:lang w:val="es-ES"/>
              </w:rPr>
              <w:t xml:space="preserve"> </w:t>
            </w:r>
            <w:r w:rsidR="006E3B1E" w:rsidRPr="00C94107">
              <w:rPr>
                <w:rStyle w:val="normaltextrun"/>
                <w:rFonts w:ascii="Verdana" w:hAnsi="Verdana" w:cs="Arial"/>
                <w:sz w:val="16"/>
                <w:szCs w:val="16"/>
                <w:lang w:val="es-ES"/>
              </w:rPr>
              <w:t xml:space="preserve">Lucia </w:t>
            </w:r>
            <w:r w:rsidRPr="009643AE">
              <w:rPr>
                <w:rStyle w:val="normaltextrun"/>
                <w:rFonts w:ascii="Verdana" w:hAnsi="Verdana" w:cs="Arial"/>
                <w:sz w:val="16"/>
                <w:szCs w:val="16"/>
                <w:lang w:val="es-ES"/>
              </w:rPr>
              <w:t>Saavedra</w:t>
            </w:r>
            <w:r>
              <w:rPr>
                <w:rStyle w:val="normaltextrun"/>
                <w:rFonts w:ascii="Verdana" w:hAnsi="Verdana" w:cs="Arial"/>
                <w:sz w:val="16"/>
                <w:szCs w:val="16"/>
                <w:lang w:val="es-ES"/>
              </w:rPr>
              <w:t xml:space="preserve"> </w:t>
            </w:r>
            <w:r w:rsidRPr="002473D2">
              <w:rPr>
                <w:rStyle w:val="normaltextrun"/>
                <w:rFonts w:ascii="Verdana" w:hAnsi="Verdana" w:cs="Arial"/>
                <w:sz w:val="16"/>
                <w:szCs w:val="16"/>
                <w:lang w:val="es-ES"/>
              </w:rPr>
              <w:t>Castañeda</w:t>
            </w:r>
          </w:p>
          <w:p w14:paraId="4B0699C4" w14:textId="77777777" w:rsidR="009E6386" w:rsidRPr="003751C7" w:rsidRDefault="009E6386" w:rsidP="006A4A3A">
            <w:pPr>
              <w:pStyle w:val="paragraph"/>
              <w:spacing w:before="0" w:beforeAutospacing="0" w:after="0" w:afterAutospacing="0"/>
              <w:contextualSpacing/>
              <w:textAlignment w:val="baseline"/>
              <w:rPr>
                <w:rFonts w:ascii="Verdana" w:hAnsi="Verdana" w:cs="Segoe UI"/>
                <w:sz w:val="16"/>
                <w:szCs w:val="16"/>
              </w:rPr>
            </w:pPr>
            <w:r w:rsidRPr="00904175">
              <w:rPr>
                <w:rStyle w:val="normaltextrun"/>
                <w:rFonts w:ascii="Verdana" w:hAnsi="Verdana" w:cs="Arial"/>
                <w:sz w:val="16"/>
                <w:szCs w:val="16"/>
                <w:lang w:val="es-ES"/>
              </w:rPr>
              <w:t xml:space="preserve">Contratista </w:t>
            </w:r>
            <w:r w:rsidRPr="003751C7">
              <w:rPr>
                <w:rStyle w:val="normaltextrun"/>
                <w:rFonts w:ascii="Verdana" w:hAnsi="Verdana" w:cs="Arial"/>
                <w:sz w:val="16"/>
                <w:szCs w:val="16"/>
                <w:lang w:val="es-ES"/>
              </w:rPr>
              <w:t>de la Subdirección de Gestión Contractual</w:t>
            </w:r>
            <w:r w:rsidRPr="003751C7">
              <w:rPr>
                <w:rStyle w:val="eop"/>
                <w:rFonts w:ascii="Verdana" w:hAnsi="Verdana" w:cs="Arial"/>
                <w:sz w:val="16"/>
                <w:szCs w:val="16"/>
              </w:rPr>
              <w:t> </w:t>
            </w:r>
          </w:p>
        </w:tc>
      </w:tr>
      <w:tr w:rsidR="009E6386" w:rsidRPr="003751C7" w14:paraId="2756242E" w14:textId="77777777" w:rsidTr="006A4A3A">
        <w:trPr>
          <w:trHeight w:val="300"/>
        </w:trPr>
        <w:tc>
          <w:tcPr>
            <w:tcW w:w="893" w:type="dxa"/>
            <w:vAlign w:val="center"/>
          </w:tcPr>
          <w:p w14:paraId="2DAD7A45" w14:textId="77777777" w:rsidR="009E6386" w:rsidRPr="003751C7" w:rsidRDefault="009E6386" w:rsidP="006A4A3A">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3387E1B" w14:textId="77777777" w:rsidR="009E6386" w:rsidRPr="003751C7" w:rsidRDefault="009E6386" w:rsidP="006A4A3A">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594AD83B" w14:textId="77777777" w:rsidR="009E6386" w:rsidRPr="003751C7" w:rsidRDefault="009E6386" w:rsidP="006A4A3A">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956FDF" w14:textId="77777777" w:rsidR="003F738C" w:rsidRDefault="003F738C" w:rsidP="004A1847">
      <w:pPr>
        <w:spacing w:after="0" w:line="240" w:lineRule="auto"/>
      </w:pPr>
      <w:r>
        <w:separator/>
      </w:r>
    </w:p>
  </w:endnote>
  <w:endnote w:type="continuationSeparator" w:id="0">
    <w:p w14:paraId="0D253CDC" w14:textId="77777777" w:rsidR="003F738C" w:rsidRDefault="003F738C" w:rsidP="004A1847">
      <w:pPr>
        <w:spacing w:after="0" w:line="240" w:lineRule="auto"/>
      </w:pPr>
      <w:r>
        <w:continuationSeparator/>
      </w:r>
    </w:p>
  </w:endnote>
  <w:endnote w:type="continuationNotice" w:id="1">
    <w:p w14:paraId="53F3E8DE" w14:textId="77777777" w:rsidR="003F738C" w:rsidRDefault="003F73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6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FF5FC5" w14:textId="77777777" w:rsidR="003F738C" w:rsidRDefault="003F738C" w:rsidP="004A1847">
      <w:pPr>
        <w:spacing w:after="0" w:line="240" w:lineRule="auto"/>
      </w:pPr>
      <w:r>
        <w:separator/>
      </w:r>
    </w:p>
  </w:footnote>
  <w:footnote w:type="continuationSeparator" w:id="0">
    <w:p w14:paraId="16C71DE8" w14:textId="77777777" w:rsidR="003F738C" w:rsidRDefault="003F738C" w:rsidP="004A1847">
      <w:pPr>
        <w:spacing w:after="0" w:line="240" w:lineRule="auto"/>
      </w:pPr>
      <w:r>
        <w:continuationSeparator/>
      </w:r>
    </w:p>
  </w:footnote>
  <w:footnote w:type="continuationNotice" w:id="1">
    <w:p w14:paraId="1062FB07" w14:textId="77777777" w:rsidR="003F738C" w:rsidRDefault="003F738C">
      <w:pPr>
        <w:spacing w:after="0" w:line="240" w:lineRule="auto"/>
      </w:pPr>
    </w:p>
  </w:footnote>
  <w:footnote w:id="2">
    <w:p w14:paraId="57876C2E" w14:textId="77777777" w:rsidR="009E6386" w:rsidRPr="00810146" w:rsidRDefault="009E6386" w:rsidP="00810146">
      <w:pPr>
        <w:pStyle w:val="NormalWeb"/>
        <w:snapToGrid w:val="0"/>
        <w:spacing w:before="0" w:beforeAutospacing="0" w:after="0" w:afterAutospacing="0"/>
        <w:ind w:firstLine="709"/>
        <w:contextualSpacing/>
        <w:jc w:val="both"/>
        <w:rPr>
          <w:rFonts w:ascii="Verdana" w:hAnsi="Verdana" w:cs="Arial"/>
          <w:sz w:val="16"/>
          <w:szCs w:val="16"/>
        </w:rPr>
      </w:pPr>
      <w:r w:rsidRPr="00810146">
        <w:rPr>
          <w:rStyle w:val="FootnoteReference"/>
          <w:rFonts w:ascii="Verdana" w:hAnsi="Verdana" w:cs="Arial"/>
          <w:sz w:val="16"/>
          <w:szCs w:val="16"/>
        </w:rPr>
        <w:footnoteRef/>
      </w:r>
      <w:r w:rsidRPr="00810146">
        <w:rPr>
          <w:rFonts w:ascii="Verdana" w:hAnsi="Verdana" w:cs="Arial"/>
          <w:sz w:val="16"/>
          <w:szCs w:val="16"/>
        </w:rPr>
        <w:t xml:space="preserve"> </w:t>
      </w:r>
      <w:r w:rsidRPr="00810146">
        <w:rPr>
          <w:rFonts w:ascii="Verdana" w:hAnsi="Verdana" w:cs="Arial"/>
          <w:sz w:val="16"/>
          <w:szCs w:val="16"/>
          <w:lang w:val="es-ES"/>
        </w:rPr>
        <w:t>“</w:t>
      </w:r>
      <w:r w:rsidRPr="00810146">
        <w:rPr>
          <w:rFonts w:ascii="Verdana" w:hAnsi="Verdana" w:cs="Arial"/>
          <w:sz w:val="16"/>
          <w:szCs w:val="16"/>
        </w:rPr>
        <w:t xml:space="preserve">Para poder participar en los procesos de selección de los contratos de obra, la capacidad residual del proponente o K de contratación deberá ser igual o superior al que la entidad haya establecido para el efecto en los pliegos de condiciones. </w:t>
      </w:r>
    </w:p>
    <w:p w14:paraId="014DF5C2" w14:textId="77777777" w:rsidR="009E6386" w:rsidRPr="00810146" w:rsidRDefault="009E6386" w:rsidP="00810146">
      <w:pPr>
        <w:snapToGrid w:val="0"/>
        <w:spacing w:after="0" w:line="240" w:lineRule="auto"/>
        <w:ind w:firstLine="708"/>
        <w:contextualSpacing/>
        <w:jc w:val="both"/>
        <w:rPr>
          <w:rFonts w:ascii="Verdana" w:hAnsi="Verdana" w:cs="Arial"/>
          <w:sz w:val="16"/>
          <w:szCs w:val="16"/>
        </w:rPr>
      </w:pPr>
      <w:r w:rsidRPr="00810146">
        <w:rPr>
          <w:rFonts w:ascii="Verdana" w:hAnsi="Verdana" w:cs="Arial"/>
          <w:sz w:val="16"/>
          <w:szCs w:val="16"/>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3">
    <w:p w14:paraId="13FBCD59" w14:textId="5D177C23" w:rsidR="00717F8E" w:rsidRPr="00810146" w:rsidRDefault="00717F8E" w:rsidP="00810146">
      <w:pPr>
        <w:pStyle w:val="FootnoteText"/>
        <w:ind w:firstLine="708"/>
        <w:contextualSpacing/>
        <w:jc w:val="both"/>
        <w:rPr>
          <w:rFonts w:ascii="Verdana" w:hAnsi="Verdana"/>
          <w:sz w:val="16"/>
          <w:szCs w:val="16"/>
        </w:rPr>
      </w:pPr>
      <w:r w:rsidRPr="00810146">
        <w:rPr>
          <w:rStyle w:val="FootnoteReference"/>
          <w:rFonts w:ascii="Verdana" w:hAnsi="Verdana"/>
          <w:sz w:val="16"/>
          <w:szCs w:val="16"/>
        </w:rPr>
        <w:footnoteRef/>
      </w:r>
      <w:r w:rsidRPr="00810146">
        <w:rPr>
          <w:rFonts w:ascii="Verdana" w:hAnsi="Verdana"/>
          <w:sz w:val="16"/>
          <w:szCs w:val="16"/>
        </w:rPr>
        <w:t xml:space="preserve"> El </w:t>
      </w:r>
      <w:r w:rsidRPr="00810146">
        <w:rPr>
          <w:rFonts w:ascii="Verdana" w:eastAsia="Times New Roman" w:hAnsi="Verdana" w:cs="Arial"/>
          <w:sz w:val="16"/>
          <w:szCs w:val="16"/>
          <w:lang w:val="es-ES" w:eastAsia="es-MX"/>
        </w:rPr>
        <w:t>“Manual para determinar y verificar los requisitos habilitantes en los Procesos de Contratación”</w:t>
      </w:r>
      <w:r w:rsidRPr="00810146">
        <w:rPr>
          <w:rFonts w:ascii="Verdana" w:eastAsia="Calibri" w:hAnsi="Verdana" w:cs="Arial"/>
          <w:sz w:val="16"/>
          <w:szCs w:val="16"/>
          <w:lang w:val="es-ES" w:eastAsia="es-MX"/>
        </w:rPr>
        <w:t>,</w:t>
      </w:r>
      <w:r w:rsidRPr="00810146">
        <w:rPr>
          <w:rFonts w:ascii="Verdana" w:eastAsia="Times New Roman" w:hAnsi="Verdana" w:cs="Arial"/>
          <w:sz w:val="16"/>
          <w:szCs w:val="16"/>
          <w:lang w:val="es-ES" w:eastAsia="es-MX"/>
        </w:rPr>
        <w:t xml:space="preserve"> expedido por la </w:t>
      </w:r>
      <w:r w:rsidRPr="00810146">
        <w:rPr>
          <w:rFonts w:ascii="Verdana" w:eastAsia="Calibri" w:hAnsi="Verdana" w:cs="Arial"/>
          <w:sz w:val="16"/>
          <w:szCs w:val="16"/>
          <w:lang w:val="es-ES" w:eastAsia="es-MX"/>
        </w:rPr>
        <w:t xml:space="preserve">Agencia Nacional de Contratación Pública – Colombia Compra Eficiente, puede ser consultado en el siguiente enlace: </w:t>
      </w:r>
      <w:hyperlink r:id="rId1" w:history="1">
        <w:r w:rsidR="00356850" w:rsidRPr="00810146">
          <w:rPr>
            <w:rStyle w:val="Hyperlink"/>
            <w:rFonts w:ascii="Verdana" w:eastAsia="Calibri" w:hAnsi="Verdana" w:cs="Arial"/>
            <w:sz w:val="16"/>
            <w:szCs w:val="16"/>
            <w:lang w:val="es-ES" w:eastAsia="es-MX"/>
          </w:rPr>
          <w:t>https://colombiacompra.gov.co/sites/cce_public/files/cce_documents/cce-eicp-ma-04._manual_requisitos_habilitantes_v3_29-09-2023.pdf</w:t>
        </w:r>
      </w:hyperlink>
      <w:r w:rsidR="00356850" w:rsidRPr="00810146">
        <w:rPr>
          <w:rFonts w:ascii="Verdana" w:eastAsia="Calibri" w:hAnsi="Verdana" w:cs="Arial"/>
          <w:sz w:val="16"/>
          <w:szCs w:val="16"/>
          <w:lang w:val="es-ES" w:eastAsia="es-MX"/>
        </w:rPr>
        <w:t xml:space="preserve"> </w:t>
      </w:r>
      <w:r w:rsidRPr="00810146">
        <w:rPr>
          <w:rFonts w:ascii="Verdana" w:eastAsia="Calibri" w:hAnsi="Verdana" w:cs="Arial"/>
          <w:sz w:val="16"/>
          <w:szCs w:val="16"/>
          <w:lang w:val="es-ES" w:eastAsia="es-MX"/>
        </w:rPr>
        <w:t xml:space="preserve"> </w:t>
      </w:r>
    </w:p>
  </w:footnote>
  <w:footnote w:id="4">
    <w:p w14:paraId="26D9CD2C" w14:textId="6210D98A" w:rsidR="009E6386" w:rsidRPr="00810146" w:rsidRDefault="009E6386" w:rsidP="00810146">
      <w:pPr>
        <w:pStyle w:val="NormalWeb"/>
        <w:snapToGrid w:val="0"/>
        <w:spacing w:before="0" w:beforeAutospacing="0" w:after="0" w:afterAutospacing="0"/>
        <w:ind w:firstLine="709"/>
        <w:contextualSpacing/>
        <w:jc w:val="both"/>
        <w:rPr>
          <w:rFonts w:ascii="Verdana" w:hAnsi="Verdana" w:cs="Arial"/>
          <w:sz w:val="16"/>
          <w:szCs w:val="16"/>
          <w:lang w:val="es-ES"/>
        </w:rPr>
      </w:pPr>
      <w:r w:rsidRPr="00810146">
        <w:rPr>
          <w:rStyle w:val="FootnoteReference"/>
          <w:rFonts w:ascii="Verdana" w:hAnsi="Verdana" w:cs="Arial"/>
          <w:sz w:val="16"/>
          <w:szCs w:val="16"/>
        </w:rPr>
        <w:footnoteRef/>
      </w:r>
      <w:r w:rsidRPr="00810146">
        <w:rPr>
          <w:rStyle w:val="FootnoteReference"/>
          <w:rFonts w:ascii="Verdana" w:hAnsi="Verdana" w:cs="Arial"/>
          <w:sz w:val="16"/>
          <w:szCs w:val="16"/>
        </w:rPr>
        <w:t xml:space="preserve"> </w:t>
      </w:r>
      <w:r w:rsidR="00F7496D">
        <w:rPr>
          <w:rFonts w:ascii="Verdana" w:hAnsi="Verdana" w:cs="Arial"/>
          <w:sz w:val="16"/>
          <w:szCs w:val="16"/>
        </w:rPr>
        <w:t>“</w:t>
      </w:r>
      <w:r w:rsidRPr="00810146">
        <w:rPr>
          <w:rFonts w:ascii="Verdana" w:hAnsi="Verdana" w:cs="Arial"/>
          <w:sz w:val="16"/>
          <w:szCs w:val="16"/>
          <w:lang w:val="es-ES"/>
        </w:rPr>
        <w:t>Artículo 2.2.1.1.1.6.2.</w:t>
      </w:r>
      <w:r w:rsidR="00F7496D">
        <w:rPr>
          <w:rFonts w:ascii="Verdana" w:hAnsi="Verdana" w:cs="Arial"/>
          <w:sz w:val="16"/>
          <w:szCs w:val="16"/>
          <w:lang w:val="es-ES"/>
        </w:rPr>
        <w:t xml:space="preserve"> </w:t>
      </w:r>
      <w:r w:rsidRPr="00810146">
        <w:rPr>
          <w:rFonts w:ascii="Verdana" w:hAnsi="Verdana" w:cs="Arial"/>
          <w:sz w:val="16"/>
          <w:szCs w:val="16"/>
          <w:lang w:val="es-ES"/>
        </w:rPr>
        <w:t>Determinación de los Requisitos Habilitantes.</w:t>
      </w:r>
      <w:r w:rsidR="00F7496D">
        <w:rPr>
          <w:rFonts w:ascii="Verdana" w:hAnsi="Verdana" w:cs="Arial"/>
          <w:sz w:val="16"/>
          <w:szCs w:val="16"/>
          <w:lang w:val="es-ES"/>
        </w:rPr>
        <w:t xml:space="preserve"> </w:t>
      </w:r>
      <w:r w:rsidRPr="00810146">
        <w:rPr>
          <w:rFonts w:ascii="Verdana" w:hAnsi="Verdana" w:cs="Arial"/>
          <w:sz w:val="16"/>
          <w:szCs w:val="16"/>
          <w:lang w:val="es-ES"/>
        </w:rPr>
        <w:t>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0CA0E595" w14:textId="4774C725" w:rsidR="009E6386" w:rsidRPr="00810146" w:rsidRDefault="009E6386" w:rsidP="00810146">
      <w:pPr>
        <w:pStyle w:val="NormalWeb"/>
        <w:snapToGrid w:val="0"/>
        <w:spacing w:before="0" w:beforeAutospacing="0" w:after="0" w:afterAutospacing="0"/>
        <w:ind w:firstLine="709"/>
        <w:contextualSpacing/>
        <w:jc w:val="both"/>
        <w:rPr>
          <w:rFonts w:ascii="Verdana" w:hAnsi="Verdana" w:cs="Arial"/>
          <w:sz w:val="16"/>
          <w:szCs w:val="16"/>
          <w:lang w:val="es-ES"/>
        </w:rPr>
      </w:pPr>
      <w:r w:rsidRPr="00810146">
        <w:rPr>
          <w:rFonts w:ascii="Verdana" w:hAnsi="Verdana" w:cs="Arial"/>
          <w:sz w:val="16"/>
          <w:szCs w:val="16"/>
          <w:lang w:val="es-ES"/>
        </w:rPr>
        <w:t>Parágrafo Transitorio.</w:t>
      </w:r>
      <w:r w:rsidR="00F7496D">
        <w:rPr>
          <w:rFonts w:ascii="Verdana" w:hAnsi="Verdana" w:cs="Arial"/>
          <w:sz w:val="16"/>
          <w:szCs w:val="16"/>
          <w:lang w:val="es-ES"/>
        </w:rPr>
        <w:t xml:space="preserve"> </w:t>
      </w:r>
      <w:r w:rsidRPr="00810146">
        <w:rPr>
          <w:rFonts w:ascii="Verdana" w:hAnsi="Verdana" w:cs="Arial"/>
          <w:sz w:val="16"/>
          <w:szCs w:val="16"/>
          <w:lang w:val="es-ES"/>
        </w:rPr>
        <w:t>De conformidad con los parágrafos transitorios de los artículos 2.2.1.1.1.5.2. y 2.2.1.1.1.5.6., yen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w:t>
      </w:r>
    </w:p>
    <w:p w14:paraId="3A6FFB58" w14:textId="6608B779" w:rsidR="009E6386" w:rsidRDefault="009E6386" w:rsidP="006643DA">
      <w:pPr>
        <w:pStyle w:val="NormalWeb"/>
        <w:snapToGrid w:val="0"/>
        <w:spacing w:before="0" w:beforeAutospacing="0" w:after="0" w:afterAutospacing="0"/>
        <w:ind w:firstLine="708"/>
        <w:contextualSpacing/>
        <w:jc w:val="both"/>
        <w:rPr>
          <w:rFonts w:ascii="Verdana" w:hAnsi="Verdana" w:cs="Arial"/>
          <w:sz w:val="16"/>
          <w:szCs w:val="16"/>
          <w:lang w:val="es-ES"/>
        </w:rPr>
      </w:pPr>
      <w:r w:rsidRPr="00810146">
        <w:rPr>
          <w:rFonts w:ascii="Verdana" w:hAnsi="Verdana" w:cs="Arial"/>
          <w:sz w:val="16"/>
          <w:szCs w:val="16"/>
          <w:lang w:val="es-ES"/>
        </w:rPr>
        <w:t>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w:t>
      </w:r>
      <w:r w:rsidR="006643DA">
        <w:rPr>
          <w:rFonts w:ascii="Verdana" w:hAnsi="Verdana" w:cs="Arial"/>
          <w:sz w:val="16"/>
          <w:szCs w:val="16"/>
          <w:lang w:val="es-ES"/>
        </w:rPr>
        <w:t xml:space="preserve"> </w:t>
      </w:r>
      <w:r w:rsidRPr="00810146">
        <w:rPr>
          <w:rFonts w:ascii="Verdana" w:hAnsi="Verdana" w:cs="Arial"/>
          <w:sz w:val="16"/>
          <w:szCs w:val="16"/>
          <w:lang w:val="es-ES"/>
        </w:rPr>
        <w:t>indicadores, teniendo en cuenta el mejor año fiscal que se refleje en el registro de cada proponente</w:t>
      </w:r>
      <w:r w:rsidRPr="00810146">
        <w:rPr>
          <w:rFonts w:ascii="Verdana" w:hAnsi="Verdana" w:cs="Verdana"/>
          <w:sz w:val="16"/>
          <w:szCs w:val="16"/>
          <w:lang w:val="es-ES"/>
        </w:rPr>
        <w:t>”</w:t>
      </w:r>
      <w:r w:rsidRPr="00810146">
        <w:rPr>
          <w:rFonts w:ascii="Verdana" w:hAnsi="Verdana" w:cs="Arial"/>
          <w:sz w:val="16"/>
          <w:szCs w:val="16"/>
          <w:lang w:val="es-ES"/>
        </w:rPr>
        <w:t>.</w:t>
      </w:r>
    </w:p>
    <w:p w14:paraId="667C3A1F" w14:textId="77777777" w:rsidR="009E6386" w:rsidRPr="00810146" w:rsidRDefault="009E6386" w:rsidP="000A6078">
      <w:pPr>
        <w:pStyle w:val="NormalWeb"/>
        <w:snapToGrid w:val="0"/>
        <w:spacing w:before="0" w:beforeAutospacing="0" w:after="0" w:afterAutospacing="0"/>
        <w:ind w:firstLine="708"/>
        <w:contextualSpacing/>
        <w:jc w:val="both"/>
        <w:rPr>
          <w:rStyle w:val="FootnoteReference"/>
          <w:vertAlign w:val="baseline"/>
        </w:rPr>
      </w:pPr>
    </w:p>
  </w:footnote>
  <w:footnote w:id="5">
    <w:p w14:paraId="1C2D9045" w14:textId="1F7DC0EE" w:rsidR="0048798D" w:rsidRPr="00810146" w:rsidRDefault="0048798D" w:rsidP="00810146">
      <w:pPr>
        <w:pStyle w:val="FootnoteText"/>
        <w:ind w:firstLine="708"/>
        <w:contextualSpacing/>
        <w:jc w:val="both"/>
        <w:rPr>
          <w:rFonts w:ascii="Verdana" w:hAnsi="Verdana"/>
          <w:sz w:val="16"/>
          <w:szCs w:val="16"/>
        </w:rPr>
      </w:pPr>
      <w:r w:rsidRPr="00810146">
        <w:rPr>
          <w:rStyle w:val="FootnoteReference"/>
          <w:rFonts w:ascii="Verdana" w:hAnsi="Verdana"/>
          <w:sz w:val="16"/>
          <w:szCs w:val="16"/>
        </w:rPr>
        <w:footnoteRef/>
      </w:r>
      <w:r w:rsidRPr="00810146">
        <w:rPr>
          <w:rFonts w:ascii="Verdana" w:hAnsi="Verdana"/>
          <w:sz w:val="16"/>
          <w:szCs w:val="16"/>
        </w:rPr>
        <w:t xml:space="preserve"> </w:t>
      </w:r>
      <w:bookmarkStart w:id="14" w:name="44"/>
      <w:r w:rsidR="00F94004" w:rsidRPr="00810146">
        <w:rPr>
          <w:rFonts w:ascii="Verdana" w:hAnsi="Verdana"/>
          <w:sz w:val="16"/>
          <w:szCs w:val="16"/>
        </w:rPr>
        <w:t xml:space="preserve">Sobre el particular el </w:t>
      </w:r>
      <w:r w:rsidR="00F94004" w:rsidRPr="00810146">
        <w:rPr>
          <w:rFonts w:ascii="Verdana" w:hAnsi="Verdana"/>
          <w:sz w:val="16"/>
          <w:szCs w:val="16"/>
          <w:lang w:val="es-CO"/>
        </w:rPr>
        <w:t xml:space="preserve">artículo </w:t>
      </w:r>
      <w:r w:rsidR="00746473" w:rsidRPr="00810146">
        <w:rPr>
          <w:rFonts w:ascii="Verdana" w:hAnsi="Verdana"/>
          <w:sz w:val="16"/>
          <w:szCs w:val="16"/>
          <w:lang w:val="es-CO"/>
        </w:rPr>
        <w:t>44</w:t>
      </w:r>
      <w:r w:rsidR="00F94004" w:rsidRPr="00810146">
        <w:rPr>
          <w:rFonts w:ascii="Verdana" w:hAnsi="Verdana"/>
          <w:sz w:val="16"/>
          <w:szCs w:val="16"/>
          <w:lang w:val="es-CO"/>
        </w:rPr>
        <w:t xml:space="preserve"> de la Ley 14</w:t>
      </w:r>
      <w:r w:rsidR="0030676B" w:rsidRPr="00810146">
        <w:rPr>
          <w:rFonts w:ascii="Verdana" w:hAnsi="Verdana"/>
          <w:sz w:val="16"/>
          <w:szCs w:val="16"/>
          <w:lang w:val="es-CO"/>
        </w:rPr>
        <w:t>37 de 2011, dispone:</w:t>
      </w:r>
      <w:r w:rsidR="00F94004" w:rsidRPr="00810146">
        <w:rPr>
          <w:rFonts w:ascii="Verdana" w:hAnsi="Verdana"/>
          <w:sz w:val="16"/>
          <w:szCs w:val="16"/>
          <w:lang w:val="es-CO"/>
        </w:rPr>
        <w:t xml:space="preserve"> </w:t>
      </w:r>
      <w:r w:rsidR="0030676B" w:rsidRPr="00810146">
        <w:rPr>
          <w:rFonts w:ascii="Verdana" w:hAnsi="Verdana"/>
          <w:sz w:val="16"/>
          <w:szCs w:val="16"/>
          <w:lang w:val="es-CO"/>
        </w:rPr>
        <w:t>“</w:t>
      </w:r>
      <w:r w:rsidR="00407F3F" w:rsidRPr="00407F3F">
        <w:rPr>
          <w:rFonts w:ascii="Verdana" w:hAnsi="Verdana"/>
          <w:sz w:val="16"/>
          <w:szCs w:val="16"/>
          <w:lang w:val="es-CO"/>
        </w:rPr>
        <w:t>Decisiones Discrecionales</w:t>
      </w:r>
      <w:r w:rsidR="00746473" w:rsidRPr="00810146">
        <w:rPr>
          <w:rFonts w:ascii="Verdana" w:hAnsi="Verdana"/>
          <w:sz w:val="16"/>
          <w:szCs w:val="16"/>
          <w:lang w:val="es-CO"/>
        </w:rPr>
        <w:t>.</w:t>
      </w:r>
      <w:bookmarkEnd w:id="14"/>
      <w:r w:rsidR="00985121" w:rsidRPr="00B076AE">
        <w:rPr>
          <w:rFonts w:ascii="Verdana" w:hAnsi="Verdana"/>
          <w:sz w:val="16"/>
          <w:szCs w:val="16"/>
          <w:lang w:val="es-CO"/>
        </w:rPr>
        <w:t xml:space="preserve"> </w:t>
      </w:r>
      <w:r w:rsidR="00746473" w:rsidRPr="00810146">
        <w:rPr>
          <w:rFonts w:ascii="Verdana" w:hAnsi="Verdana"/>
          <w:sz w:val="16"/>
          <w:szCs w:val="16"/>
          <w:lang w:val="es-CO"/>
        </w:rPr>
        <w:t>En la medida en que el contenido de una decisión de carácter general o particular sea discrecional, debe ser adecuada a los fines de la norma que la autoriza, y proporcional a los hechos que le sirven de causa</w:t>
      </w:r>
      <w:r w:rsidR="0030676B" w:rsidRPr="00810146">
        <w:rPr>
          <w:rFonts w:ascii="Verdana" w:hAnsi="Verdana"/>
          <w:sz w:val="16"/>
          <w:szCs w:val="16"/>
          <w:lang w:val="es-CO"/>
        </w:rPr>
        <w:t>”</w:t>
      </w:r>
      <w:r w:rsidR="00746473" w:rsidRPr="00810146">
        <w:rPr>
          <w:rFonts w:ascii="Verdana" w:hAnsi="Verdana"/>
          <w:sz w:val="16"/>
          <w:szCs w:val="16"/>
          <w:lang w:val="es-CO"/>
        </w:rPr>
        <w:t>.</w:t>
      </w:r>
    </w:p>
  </w:footnote>
  <w:footnote w:id="6">
    <w:p w14:paraId="16ABB61A" w14:textId="5ECAEE4F" w:rsidR="009E6386" w:rsidRPr="00810146" w:rsidRDefault="009E6386" w:rsidP="00810146">
      <w:pPr>
        <w:pStyle w:val="FootnoteText"/>
        <w:snapToGrid w:val="0"/>
        <w:ind w:firstLine="708"/>
        <w:contextualSpacing/>
        <w:jc w:val="both"/>
        <w:rPr>
          <w:rFonts w:ascii="Verdana" w:hAnsi="Verdana" w:cs="Arial"/>
          <w:sz w:val="16"/>
          <w:szCs w:val="16"/>
        </w:rPr>
      </w:pPr>
      <w:r w:rsidRPr="00810146">
        <w:rPr>
          <w:rStyle w:val="FootnoteReference"/>
          <w:rFonts w:ascii="Verdana" w:hAnsi="Verdana" w:cs="Arial"/>
          <w:sz w:val="16"/>
          <w:szCs w:val="16"/>
        </w:rPr>
        <w:footnoteRef/>
      </w:r>
      <w:r w:rsidRPr="00810146">
        <w:rPr>
          <w:rFonts w:ascii="Verdana" w:hAnsi="Verdana" w:cs="Arial"/>
          <w:sz w:val="16"/>
          <w:szCs w:val="16"/>
        </w:rPr>
        <w:t xml:space="preserve"> Ley 1150 de 2007: “Artículo 6. De la verificación de las condiciones de los proponentes.</w:t>
      </w:r>
      <w:r w:rsidRPr="00810146">
        <w:rPr>
          <w:rFonts w:ascii="Verdana" w:hAnsi="Verdana" w:cs="Arial"/>
          <w:sz w:val="16"/>
          <w:szCs w:val="16"/>
          <w:lang w:eastAsia="es-CO"/>
        </w:rPr>
        <w:t>[…]</w:t>
      </w:r>
      <w:r w:rsidR="00B614A0" w:rsidRPr="00810146">
        <w:rPr>
          <w:rFonts w:ascii="Verdana" w:hAnsi="Verdana" w:cs="Arial"/>
          <w:sz w:val="16"/>
          <w:szCs w:val="16"/>
        </w:rPr>
        <w:t xml:space="preserve"> </w:t>
      </w:r>
      <w:r w:rsidRPr="00810146">
        <w:rPr>
          <w:rFonts w:ascii="Verdana" w:hAnsi="Verdana" w:cs="Arial"/>
          <w:sz w:val="16"/>
          <w:szCs w:val="16"/>
          <w:lang w:eastAsia="es-CO"/>
        </w:rPr>
        <w:t>“6.1. […]“El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5475C53B" w14:textId="77777777" w:rsidR="009E6386" w:rsidRPr="00810146" w:rsidRDefault="009E6386" w:rsidP="00810146">
      <w:pPr>
        <w:pStyle w:val="FootnoteText"/>
        <w:snapToGrid w:val="0"/>
        <w:contextualSpacing/>
        <w:jc w:val="both"/>
        <w:rPr>
          <w:rFonts w:ascii="Verdana" w:hAnsi="Verdana" w:cs="Arial"/>
          <w:sz w:val="16"/>
          <w:szCs w:val="16"/>
          <w:lang w:eastAsia="es-CO"/>
        </w:rPr>
      </w:pPr>
      <w:r w:rsidRPr="00810146">
        <w:rPr>
          <w:rFonts w:ascii="Verdana" w:hAnsi="Verdana" w:cs="Arial"/>
          <w:sz w:val="16"/>
          <w:szCs w:val="16"/>
          <w:lang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 […]”.</w:t>
      </w:r>
    </w:p>
  </w:footnote>
  <w:footnote w:id="7">
    <w:p w14:paraId="3DD604F0" w14:textId="18020094" w:rsidR="009E6386" w:rsidRPr="00810146" w:rsidRDefault="009E6386" w:rsidP="00810146">
      <w:pPr>
        <w:pStyle w:val="FootnoteText"/>
        <w:snapToGrid w:val="0"/>
        <w:ind w:firstLine="708"/>
        <w:contextualSpacing/>
        <w:jc w:val="both"/>
        <w:rPr>
          <w:rFonts w:ascii="Verdana" w:hAnsi="Verdana" w:cs="Arial"/>
          <w:sz w:val="16"/>
          <w:szCs w:val="16"/>
          <w:lang w:eastAsia="es-CO"/>
        </w:rPr>
      </w:pPr>
      <w:r w:rsidRPr="00810146">
        <w:rPr>
          <w:rStyle w:val="FootnoteReference"/>
          <w:rFonts w:ascii="Verdana" w:hAnsi="Verdana" w:cs="Arial"/>
          <w:sz w:val="16"/>
          <w:szCs w:val="16"/>
        </w:rPr>
        <w:footnoteRef/>
      </w:r>
      <w:r w:rsidRPr="00810146">
        <w:rPr>
          <w:rFonts w:ascii="Verdana" w:hAnsi="Verdana" w:cs="Arial"/>
          <w:sz w:val="16"/>
          <w:szCs w:val="16"/>
        </w:rPr>
        <w:t xml:space="preserve"> Ley 1150 de 2007: “Artículo 5. De la selección objetiva.</w:t>
      </w:r>
      <w:r w:rsidRPr="00810146">
        <w:rPr>
          <w:rFonts w:ascii="Verdana" w:hAnsi="Verdana" w:cs="Arial"/>
          <w:sz w:val="16"/>
          <w:szCs w:val="16"/>
          <w:lang w:eastAsia="es-CO"/>
        </w:rPr>
        <w:t xml:space="preserve"> […]</w:t>
      </w:r>
      <w:r w:rsidR="00627F64" w:rsidRPr="00810146">
        <w:rPr>
          <w:rFonts w:ascii="Verdana" w:hAnsi="Verdana" w:cs="Arial"/>
          <w:sz w:val="16"/>
          <w:szCs w:val="16"/>
          <w:lang w:eastAsia="es-CO"/>
        </w:rPr>
        <w:t xml:space="preserve"> </w:t>
      </w:r>
      <w:r w:rsidRPr="00810146">
        <w:rPr>
          <w:rFonts w:ascii="Verdana" w:hAnsi="Verdana" w:cs="Arial"/>
          <w:sz w:val="16"/>
          <w:szCs w:val="16"/>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footnote>
  <w:footnote w:id="8">
    <w:p w14:paraId="568848EC" w14:textId="77777777" w:rsidR="009E6386" w:rsidRPr="00810146" w:rsidRDefault="009E6386" w:rsidP="00810146">
      <w:pPr>
        <w:pStyle w:val="FootnoteText"/>
        <w:snapToGrid w:val="0"/>
        <w:ind w:firstLine="708"/>
        <w:contextualSpacing/>
        <w:jc w:val="both"/>
        <w:rPr>
          <w:rFonts w:ascii="Verdana" w:hAnsi="Verdana" w:cs="Arial"/>
          <w:sz w:val="16"/>
          <w:szCs w:val="16"/>
        </w:rPr>
      </w:pPr>
      <w:r w:rsidRPr="00810146">
        <w:rPr>
          <w:rStyle w:val="FootnoteReference"/>
          <w:rFonts w:ascii="Verdana" w:hAnsi="Verdana" w:cs="Arial"/>
          <w:sz w:val="16"/>
          <w:szCs w:val="16"/>
        </w:rPr>
        <w:footnoteRef/>
      </w:r>
      <w:r w:rsidRPr="00810146">
        <w:rPr>
          <w:rFonts w:ascii="Verdana" w:hAnsi="Verdana" w:cs="Arial"/>
          <w:sz w:val="16"/>
          <w:szCs w:val="16"/>
        </w:rPr>
        <w:t xml:space="preserve"> </w:t>
      </w:r>
      <w:r w:rsidRPr="00810146">
        <w:rPr>
          <w:rFonts w:ascii="Verdana" w:hAnsi="Verdana" w:cs="Arial"/>
          <w:sz w:val="16"/>
          <w:szCs w:val="16"/>
          <w:lang w:eastAsia="es-CO"/>
        </w:rPr>
        <w:t>Consejo de Estado. Sección Tercera. Subsección A. Sentencia del 12 de febrero de 2014. Exp. 31.753. C.P.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footnote>
  <w:footnote w:id="9">
    <w:p w14:paraId="4562687D" w14:textId="77777777" w:rsidR="009E6386" w:rsidRPr="00810146" w:rsidRDefault="009E6386" w:rsidP="00810146">
      <w:pPr>
        <w:pStyle w:val="FootnoteText"/>
        <w:snapToGrid w:val="0"/>
        <w:ind w:firstLine="708"/>
        <w:contextualSpacing/>
        <w:jc w:val="both"/>
        <w:rPr>
          <w:rFonts w:ascii="Verdana" w:hAnsi="Verdana" w:cs="Arial"/>
          <w:sz w:val="16"/>
          <w:szCs w:val="16"/>
          <w:lang w:eastAsia="es-CO"/>
        </w:rPr>
      </w:pPr>
      <w:r w:rsidRPr="00810146">
        <w:rPr>
          <w:rStyle w:val="FootnoteReference"/>
          <w:rFonts w:ascii="Verdana" w:hAnsi="Verdana" w:cs="Arial"/>
          <w:sz w:val="16"/>
          <w:szCs w:val="16"/>
        </w:rPr>
        <w:footnoteRef/>
      </w:r>
      <w:r w:rsidRPr="00810146">
        <w:rPr>
          <w:rFonts w:ascii="Verdana" w:hAnsi="Verdana" w:cs="Arial"/>
          <w:sz w:val="16"/>
          <w:szCs w:val="16"/>
        </w:rPr>
        <w:t xml:space="preserve"> </w:t>
      </w:r>
      <w:r w:rsidRPr="00810146">
        <w:rPr>
          <w:rFonts w:ascii="Verdana" w:hAnsi="Verdana" w:cs="Arial"/>
          <w:sz w:val="16"/>
          <w:szCs w:val="16"/>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10">
    <w:p w14:paraId="72BC979E" w14:textId="4EFD7ABB" w:rsidR="009E6386" w:rsidRPr="00810146" w:rsidRDefault="009E6386" w:rsidP="00810146">
      <w:pPr>
        <w:pStyle w:val="FootnoteText"/>
        <w:snapToGrid w:val="0"/>
        <w:ind w:firstLine="708"/>
        <w:contextualSpacing/>
        <w:jc w:val="both"/>
        <w:rPr>
          <w:rFonts w:ascii="Verdana" w:hAnsi="Verdana" w:cs="Arial"/>
          <w:sz w:val="16"/>
          <w:szCs w:val="16"/>
          <w:lang w:eastAsia="es-CO"/>
        </w:rPr>
      </w:pPr>
      <w:r w:rsidRPr="00810146">
        <w:rPr>
          <w:rStyle w:val="FootnoteReference"/>
          <w:rFonts w:ascii="Verdana" w:hAnsi="Verdana" w:cs="Arial"/>
          <w:sz w:val="16"/>
          <w:szCs w:val="16"/>
        </w:rPr>
        <w:footnoteRef/>
      </w:r>
      <w:r w:rsidRPr="00810146">
        <w:rPr>
          <w:rFonts w:ascii="Verdana" w:hAnsi="Verdana" w:cs="Arial"/>
          <w:sz w:val="16"/>
          <w:szCs w:val="16"/>
        </w:rPr>
        <w:t xml:space="preserve"> </w:t>
      </w:r>
      <w:r w:rsidRPr="00810146">
        <w:rPr>
          <w:rFonts w:ascii="Verdana" w:hAnsi="Verdana" w:cs="Arial"/>
          <w:sz w:val="16"/>
          <w:szCs w:val="16"/>
          <w:lang w:eastAsia="es-CO"/>
        </w:rPr>
        <w:t>Ley 1150 de 2007: “Artículo 6.  De la verificación de las condiciones de los proponentes. [...] “No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sidR="00627F64" w:rsidRPr="00810146">
        <w:rPr>
          <w:rFonts w:ascii="Verdana" w:hAnsi="Verdana" w:cs="Arial"/>
          <w:sz w:val="16"/>
          <w:szCs w:val="16"/>
          <w:lang w:eastAsia="es-CO"/>
        </w:rPr>
        <w:t xml:space="preserve"> </w:t>
      </w:r>
      <w:r w:rsidRPr="00810146">
        <w:rPr>
          <w:rFonts w:ascii="Verdana" w:hAnsi="Verdana" w:cs="Arial"/>
          <w:sz w:val="16"/>
          <w:szCs w:val="16"/>
          <w:lang w:eastAsia="es-CO"/>
        </w:rPr>
        <w:t xml:space="preserve">[...]”. </w:t>
      </w:r>
    </w:p>
  </w:footnote>
  <w:footnote w:id="11">
    <w:p w14:paraId="48117DF6" w14:textId="77777777" w:rsidR="009E6386" w:rsidRPr="00810146" w:rsidRDefault="009E6386" w:rsidP="00810146">
      <w:pPr>
        <w:pStyle w:val="FootnoteText"/>
        <w:snapToGrid w:val="0"/>
        <w:ind w:firstLine="420"/>
        <w:contextualSpacing/>
        <w:jc w:val="both"/>
        <w:rPr>
          <w:rFonts w:ascii="Verdana" w:hAnsi="Verdana" w:cs="Arial"/>
          <w:color w:val="000000" w:themeColor="text1"/>
          <w:sz w:val="16"/>
          <w:szCs w:val="16"/>
        </w:rPr>
      </w:pPr>
      <w:r w:rsidRPr="00810146">
        <w:rPr>
          <w:rStyle w:val="FootnoteReference"/>
          <w:rFonts w:ascii="Verdana" w:hAnsi="Verdana" w:cs="Arial"/>
          <w:color w:val="000000" w:themeColor="text1"/>
          <w:sz w:val="16"/>
          <w:szCs w:val="16"/>
        </w:rPr>
        <w:footnoteRef/>
      </w:r>
      <w:r w:rsidRPr="00810146">
        <w:rPr>
          <w:rFonts w:ascii="Verdana" w:hAnsi="Verdana" w:cs="Arial"/>
          <w:color w:val="000000" w:themeColor="text1"/>
          <w:sz w:val="16"/>
          <w:szCs w:val="16"/>
          <w:lang w:val="pt-BR"/>
        </w:rPr>
        <w:t xml:space="preserve"> Corte Constitucional. Sala Plena. Sentencia C 178 de 29 de abril de 1996. </w:t>
      </w:r>
      <w:r w:rsidRPr="00810146">
        <w:rPr>
          <w:rFonts w:ascii="Verdana" w:hAnsi="Verdana" w:cs="Arial"/>
          <w:color w:val="000000" w:themeColor="text1"/>
          <w:sz w:val="16"/>
          <w:szCs w:val="16"/>
        </w:rPr>
        <w:t xml:space="preserve">Magistrado Ponente: Antonio Barrera Carbonell. Expediente No. D-974. </w:t>
      </w:r>
    </w:p>
  </w:footnote>
  <w:footnote w:id="12">
    <w:p w14:paraId="5F62A53D" w14:textId="77777777" w:rsidR="009E6386" w:rsidRPr="00810146" w:rsidRDefault="009E6386" w:rsidP="00810146">
      <w:pPr>
        <w:snapToGrid w:val="0"/>
        <w:spacing w:after="0" w:line="240" w:lineRule="auto"/>
        <w:ind w:firstLine="420"/>
        <w:contextualSpacing/>
        <w:jc w:val="both"/>
        <w:rPr>
          <w:rFonts w:ascii="Verdana" w:hAnsi="Verdana" w:cs="Arial"/>
          <w:color w:val="000000" w:themeColor="text1"/>
          <w:sz w:val="16"/>
          <w:szCs w:val="16"/>
        </w:rPr>
      </w:pPr>
      <w:r w:rsidRPr="00810146">
        <w:rPr>
          <w:rStyle w:val="FootnoteReference"/>
          <w:rFonts w:ascii="Verdana" w:hAnsi="Verdana" w:cs="Arial"/>
          <w:color w:val="000000" w:themeColor="text1"/>
          <w:sz w:val="16"/>
          <w:szCs w:val="16"/>
        </w:rPr>
        <w:footnoteRef/>
      </w:r>
      <w:r w:rsidRPr="00810146">
        <w:rPr>
          <w:rFonts w:ascii="Verdana" w:hAnsi="Verdana" w:cs="Arial"/>
          <w:color w:val="000000" w:themeColor="text1"/>
          <w:sz w:val="16"/>
          <w:szCs w:val="16"/>
        </w:rPr>
        <w:t xml:space="preserve"> “Artículo 6o. De la capacidad para contratar. Pueden celebrar contratos con las entidades estatales las personas consideradas legalmente capaces en las disposiciones vigentes”.</w:t>
      </w:r>
    </w:p>
  </w:footnote>
  <w:footnote w:id="13">
    <w:p w14:paraId="5A1D23B4" w14:textId="33F15998" w:rsidR="009E6386" w:rsidRPr="00810146" w:rsidRDefault="009E6386" w:rsidP="00810146">
      <w:pPr>
        <w:pStyle w:val="FootnoteText"/>
        <w:snapToGrid w:val="0"/>
        <w:ind w:firstLine="408"/>
        <w:contextualSpacing/>
        <w:jc w:val="both"/>
        <w:rPr>
          <w:rFonts w:ascii="Verdana" w:hAnsi="Verdana" w:cs="Arial"/>
          <w:color w:val="000000" w:themeColor="text1"/>
          <w:sz w:val="16"/>
          <w:szCs w:val="16"/>
        </w:rPr>
      </w:pPr>
      <w:r w:rsidRPr="00810146">
        <w:rPr>
          <w:rStyle w:val="FootnoteReference"/>
          <w:rFonts w:ascii="Verdana" w:hAnsi="Verdana" w:cs="Arial"/>
          <w:color w:val="000000" w:themeColor="text1"/>
          <w:sz w:val="16"/>
          <w:szCs w:val="16"/>
        </w:rPr>
        <w:footnoteRef/>
      </w:r>
      <w:r w:rsidRPr="00810146">
        <w:rPr>
          <w:rFonts w:ascii="Verdana" w:hAnsi="Verdana" w:cs="Arial"/>
          <w:color w:val="000000" w:themeColor="text1"/>
          <w:sz w:val="16"/>
          <w:szCs w:val="16"/>
        </w:rPr>
        <w:t xml:space="preserve"> Consejo de Estado. Sala de Consulta y Servicio Civil. Consejero Ponente: Álvaro Namén Vargas. Bogotá, 10 de agosto de 2015. Radicación número: 11001-03-06-000-2015-00118-00(2.260).</w:t>
      </w:r>
    </w:p>
  </w:footnote>
  <w:footnote w:id="14">
    <w:p w14:paraId="44F7C67C" w14:textId="77AE5AE5" w:rsidR="001123B3" w:rsidRPr="00810146" w:rsidRDefault="001123B3" w:rsidP="00810146">
      <w:pPr>
        <w:spacing w:after="0" w:line="240" w:lineRule="auto"/>
        <w:ind w:firstLine="708"/>
        <w:contextualSpacing/>
        <w:jc w:val="both"/>
        <w:rPr>
          <w:rFonts w:ascii="Verdana" w:eastAsia="Calibri" w:hAnsi="Verdana" w:cs="Arial"/>
          <w:bCs/>
          <w:sz w:val="16"/>
          <w:szCs w:val="16"/>
          <w:lang w:val="es-ES_tradnl"/>
        </w:rPr>
      </w:pPr>
      <w:r w:rsidRPr="00810146">
        <w:rPr>
          <w:rStyle w:val="FootnoteReference"/>
          <w:rFonts w:ascii="Verdana" w:hAnsi="Verdana"/>
          <w:sz w:val="16"/>
          <w:szCs w:val="16"/>
        </w:rPr>
        <w:footnoteRef/>
      </w:r>
      <w:r w:rsidRPr="00810146">
        <w:rPr>
          <w:rFonts w:ascii="Verdana" w:hAnsi="Verdana"/>
          <w:sz w:val="16"/>
          <w:szCs w:val="16"/>
        </w:rPr>
        <w:t xml:space="preserve"> L</w:t>
      </w:r>
      <w:r w:rsidRPr="00810146">
        <w:rPr>
          <w:rFonts w:ascii="Verdana" w:eastAsia="Calibri" w:hAnsi="Verdana" w:cs="Arial"/>
          <w:bCs/>
          <w:sz w:val="16"/>
          <w:szCs w:val="16"/>
          <w:lang w:val="es-ES_tradnl"/>
        </w:rPr>
        <w:t xml:space="preserve">a ley colombiana no consagra una definición de actos de comercio, sino que incorpora un listado de actos y actividades considerados como mercantiles, que incluye una gama muy variada de operaciones usuales en la vida de los negocios. En ese sentido, el artículo 20 del Código de Comercio agrupa una gran variedad de actividades bajo la categoría de </w:t>
      </w:r>
      <w:r w:rsidR="00DF78F0" w:rsidRPr="00B076AE">
        <w:rPr>
          <w:rFonts w:ascii="Verdana" w:eastAsia="Calibri" w:hAnsi="Verdana" w:cs="Arial"/>
          <w:bCs/>
          <w:sz w:val="16"/>
          <w:szCs w:val="16"/>
          <w:lang w:val="es-ES_tradnl"/>
        </w:rPr>
        <w:t>“</w:t>
      </w:r>
      <w:r w:rsidRPr="00810146">
        <w:rPr>
          <w:rFonts w:ascii="Verdana" w:eastAsia="Calibri" w:hAnsi="Verdana" w:cs="Arial"/>
          <w:bCs/>
          <w:sz w:val="16"/>
          <w:szCs w:val="16"/>
          <w:lang w:val="es-ES_tradnl"/>
        </w:rPr>
        <w:t>acto de comercio</w:t>
      </w:r>
      <w:r w:rsidR="00DF78F0" w:rsidRPr="00B076AE">
        <w:rPr>
          <w:rFonts w:ascii="Verdana" w:eastAsia="Calibri" w:hAnsi="Verdana" w:cs="Arial"/>
          <w:bCs/>
          <w:sz w:val="16"/>
          <w:szCs w:val="16"/>
          <w:lang w:val="es-ES_tradnl"/>
        </w:rPr>
        <w:t>”</w:t>
      </w:r>
      <w:r w:rsidRPr="00810146">
        <w:rPr>
          <w:rFonts w:ascii="Verdana" w:eastAsia="Calibri" w:hAnsi="Verdana" w:cs="Arial"/>
          <w:bCs/>
          <w:sz w:val="16"/>
          <w:szCs w:val="16"/>
          <w:lang w:val="es-ES_tradnl"/>
        </w:rPr>
        <w:t xml:space="preserve">, sin que dicha enumeración sea taxativa en </w:t>
      </w:r>
      <w:r w:rsidRPr="00810146">
        <w:rPr>
          <w:rFonts w:ascii="Verdana" w:hAnsi="Verdana" w:cs="Arial"/>
          <w:sz w:val="16"/>
          <w:szCs w:val="16"/>
        </w:rPr>
        <w:t xml:space="preserve">nuestro sistema jurídico. Así las cosas, no se define estáticamente el acto de comercio, permitiendo mediante la analogía realizar la ampliación dinámica del derecho mercantil facilitando su adaptación a un cambiante mundo de negocios. Adicionalmente, la ley provee un criterio auxiliar que permite ampliar la cobertura del derecho comercial con la calificación de mercantiles de actos que en principio no lo son, pero que guardan relación estrecha con actividades de esta naturaleza. En el artículo 21 del Código de Comercio se incluyen actos no previstos en el artículo 20 que realiza el comerciante o empresario mercantil en desarrollo de su actividad mercantil y que facilitan su ejercicio y que en razón a ello adquieren comercialidad. </w:t>
      </w:r>
    </w:p>
  </w:footnote>
  <w:footnote w:id="15">
    <w:p w14:paraId="757630EB" w14:textId="6A73EACF" w:rsidR="00F87530" w:rsidRPr="00810146" w:rsidRDefault="00F87530" w:rsidP="00810146">
      <w:pPr>
        <w:spacing w:after="0" w:line="240" w:lineRule="auto"/>
        <w:ind w:firstLine="708"/>
        <w:contextualSpacing/>
        <w:jc w:val="both"/>
        <w:rPr>
          <w:rFonts w:ascii="Verdana" w:hAnsi="Verdana"/>
          <w:sz w:val="16"/>
          <w:szCs w:val="16"/>
        </w:rPr>
      </w:pPr>
      <w:r w:rsidRPr="00810146">
        <w:rPr>
          <w:rStyle w:val="FootnoteReference"/>
          <w:rFonts w:ascii="Verdana" w:hAnsi="Verdana"/>
          <w:sz w:val="16"/>
          <w:szCs w:val="16"/>
        </w:rPr>
        <w:footnoteRef/>
      </w:r>
      <w:r w:rsidRPr="00810146">
        <w:rPr>
          <w:rFonts w:ascii="Verdana" w:hAnsi="Verdana"/>
          <w:sz w:val="16"/>
          <w:szCs w:val="16"/>
        </w:rPr>
        <w:t xml:space="preserve"> </w:t>
      </w:r>
      <w:r w:rsidR="00B076AE" w:rsidRPr="00810146">
        <w:rPr>
          <w:rFonts w:ascii="Verdana" w:hAnsi="Verdana"/>
          <w:sz w:val="16"/>
          <w:szCs w:val="16"/>
        </w:rPr>
        <w:t>Código de Comercio. Artículo</w:t>
      </w:r>
      <w:r w:rsidR="00B076AE" w:rsidRPr="00810146">
        <w:rPr>
          <w:rFonts w:ascii="Verdana" w:hAnsi="Verdana"/>
          <w:spacing w:val="1"/>
          <w:sz w:val="16"/>
          <w:szCs w:val="16"/>
        </w:rPr>
        <w:t xml:space="preserve"> </w:t>
      </w:r>
      <w:r w:rsidR="00B076AE" w:rsidRPr="00810146">
        <w:rPr>
          <w:rFonts w:ascii="Verdana" w:hAnsi="Verdana"/>
          <w:sz w:val="16"/>
          <w:szCs w:val="16"/>
        </w:rPr>
        <w:t xml:space="preserve">515. </w:t>
      </w:r>
      <w:r w:rsidR="00B076AE" w:rsidRPr="00810146">
        <w:rPr>
          <w:rFonts w:ascii="Verdana" w:hAnsi="Verdana"/>
          <w:spacing w:val="1"/>
          <w:sz w:val="16"/>
          <w:szCs w:val="16"/>
        </w:rPr>
        <w:t>“</w:t>
      </w:r>
      <w:r w:rsidR="00B076AE" w:rsidRPr="00810146">
        <w:rPr>
          <w:rFonts w:ascii="Verdana" w:hAnsi="Verdana"/>
          <w:sz w:val="16"/>
          <w:szCs w:val="16"/>
        </w:rPr>
        <w:t>Se</w:t>
      </w:r>
      <w:r w:rsidR="00B076AE" w:rsidRPr="00810146">
        <w:rPr>
          <w:rFonts w:ascii="Verdana" w:hAnsi="Verdana"/>
          <w:spacing w:val="1"/>
          <w:sz w:val="16"/>
          <w:szCs w:val="16"/>
        </w:rPr>
        <w:t xml:space="preserve"> </w:t>
      </w:r>
      <w:r w:rsidR="00B076AE" w:rsidRPr="00810146">
        <w:rPr>
          <w:rFonts w:ascii="Verdana" w:hAnsi="Verdana"/>
          <w:sz w:val="16"/>
          <w:szCs w:val="16"/>
        </w:rPr>
        <w:t>entiende</w:t>
      </w:r>
      <w:r w:rsidR="00B076AE" w:rsidRPr="00810146">
        <w:rPr>
          <w:rFonts w:ascii="Verdana" w:hAnsi="Verdana"/>
          <w:spacing w:val="1"/>
          <w:sz w:val="16"/>
          <w:szCs w:val="16"/>
        </w:rPr>
        <w:t xml:space="preserve"> </w:t>
      </w:r>
      <w:r w:rsidR="00B076AE" w:rsidRPr="00810146">
        <w:rPr>
          <w:rFonts w:ascii="Verdana" w:hAnsi="Verdana"/>
          <w:sz w:val="16"/>
          <w:szCs w:val="16"/>
        </w:rPr>
        <w:t>por</w:t>
      </w:r>
      <w:r w:rsidR="00B076AE" w:rsidRPr="00810146">
        <w:rPr>
          <w:rFonts w:ascii="Verdana" w:hAnsi="Verdana"/>
          <w:spacing w:val="1"/>
          <w:sz w:val="16"/>
          <w:szCs w:val="16"/>
        </w:rPr>
        <w:t xml:space="preserve"> </w:t>
      </w:r>
      <w:r w:rsidR="00B076AE" w:rsidRPr="00810146">
        <w:rPr>
          <w:rFonts w:ascii="Verdana" w:hAnsi="Verdana"/>
          <w:sz w:val="16"/>
          <w:szCs w:val="16"/>
        </w:rPr>
        <w:t>establecimiento</w:t>
      </w:r>
      <w:r w:rsidR="00B076AE" w:rsidRPr="00810146">
        <w:rPr>
          <w:rFonts w:ascii="Verdana" w:hAnsi="Verdana"/>
          <w:spacing w:val="1"/>
          <w:sz w:val="16"/>
          <w:szCs w:val="16"/>
        </w:rPr>
        <w:t xml:space="preserve"> </w:t>
      </w:r>
      <w:r w:rsidR="00B076AE" w:rsidRPr="00810146">
        <w:rPr>
          <w:rFonts w:ascii="Verdana" w:hAnsi="Verdana"/>
          <w:sz w:val="16"/>
          <w:szCs w:val="16"/>
        </w:rPr>
        <w:t>de</w:t>
      </w:r>
      <w:r w:rsidR="00B076AE" w:rsidRPr="00810146">
        <w:rPr>
          <w:rFonts w:ascii="Verdana" w:hAnsi="Verdana"/>
          <w:spacing w:val="1"/>
          <w:sz w:val="16"/>
          <w:szCs w:val="16"/>
        </w:rPr>
        <w:t xml:space="preserve"> </w:t>
      </w:r>
      <w:r w:rsidR="00B076AE" w:rsidRPr="00810146">
        <w:rPr>
          <w:rFonts w:ascii="Verdana" w:hAnsi="Verdana"/>
          <w:sz w:val="16"/>
          <w:szCs w:val="16"/>
        </w:rPr>
        <w:t>comercio</w:t>
      </w:r>
      <w:r w:rsidR="00B076AE" w:rsidRPr="00810146">
        <w:rPr>
          <w:rFonts w:ascii="Verdana" w:hAnsi="Verdana"/>
          <w:spacing w:val="1"/>
          <w:sz w:val="16"/>
          <w:szCs w:val="16"/>
        </w:rPr>
        <w:t xml:space="preserve"> </w:t>
      </w:r>
      <w:r w:rsidR="00B076AE" w:rsidRPr="00810146">
        <w:rPr>
          <w:rFonts w:ascii="Verdana" w:hAnsi="Verdana"/>
          <w:sz w:val="16"/>
          <w:szCs w:val="16"/>
        </w:rPr>
        <w:t>un</w:t>
      </w:r>
      <w:r w:rsidR="00B076AE" w:rsidRPr="00810146">
        <w:rPr>
          <w:rFonts w:ascii="Verdana" w:hAnsi="Verdana"/>
          <w:spacing w:val="1"/>
          <w:sz w:val="16"/>
          <w:szCs w:val="16"/>
        </w:rPr>
        <w:t xml:space="preserve"> </w:t>
      </w:r>
      <w:r w:rsidR="00B076AE" w:rsidRPr="00810146">
        <w:rPr>
          <w:rFonts w:ascii="Verdana" w:hAnsi="Verdana"/>
          <w:sz w:val="16"/>
          <w:szCs w:val="16"/>
        </w:rPr>
        <w:t>conjunto de bienes organizados por el empresario para realizar los</w:t>
      </w:r>
      <w:r w:rsidR="00B076AE" w:rsidRPr="00810146">
        <w:rPr>
          <w:rFonts w:ascii="Verdana" w:hAnsi="Verdana"/>
          <w:spacing w:val="1"/>
          <w:sz w:val="16"/>
          <w:szCs w:val="16"/>
        </w:rPr>
        <w:t xml:space="preserve"> </w:t>
      </w:r>
      <w:r w:rsidR="00B076AE" w:rsidRPr="00810146">
        <w:rPr>
          <w:rFonts w:ascii="Verdana" w:hAnsi="Verdana"/>
          <w:sz w:val="16"/>
          <w:szCs w:val="16"/>
        </w:rPr>
        <w:t>fines</w:t>
      </w:r>
      <w:r w:rsidR="00B076AE" w:rsidRPr="00810146">
        <w:rPr>
          <w:rFonts w:ascii="Verdana" w:hAnsi="Verdana"/>
          <w:spacing w:val="1"/>
          <w:sz w:val="16"/>
          <w:szCs w:val="16"/>
        </w:rPr>
        <w:t xml:space="preserve"> </w:t>
      </w:r>
      <w:r w:rsidR="00B076AE" w:rsidRPr="00810146">
        <w:rPr>
          <w:rFonts w:ascii="Verdana" w:hAnsi="Verdana"/>
          <w:sz w:val="16"/>
          <w:szCs w:val="16"/>
        </w:rPr>
        <w:t>de</w:t>
      </w:r>
      <w:r w:rsidR="00B076AE" w:rsidRPr="00810146">
        <w:rPr>
          <w:rFonts w:ascii="Verdana" w:hAnsi="Verdana"/>
          <w:spacing w:val="1"/>
          <w:sz w:val="16"/>
          <w:szCs w:val="16"/>
        </w:rPr>
        <w:t xml:space="preserve"> </w:t>
      </w:r>
      <w:r w:rsidR="00B076AE" w:rsidRPr="00810146">
        <w:rPr>
          <w:rFonts w:ascii="Verdana" w:hAnsi="Verdana"/>
          <w:sz w:val="16"/>
          <w:szCs w:val="16"/>
        </w:rPr>
        <w:t>la</w:t>
      </w:r>
      <w:r w:rsidR="00B076AE" w:rsidRPr="00810146">
        <w:rPr>
          <w:rFonts w:ascii="Verdana" w:hAnsi="Verdana"/>
          <w:spacing w:val="1"/>
          <w:sz w:val="16"/>
          <w:szCs w:val="16"/>
        </w:rPr>
        <w:t xml:space="preserve"> </w:t>
      </w:r>
      <w:r w:rsidR="00B076AE" w:rsidRPr="00810146">
        <w:rPr>
          <w:rFonts w:ascii="Verdana" w:hAnsi="Verdana"/>
          <w:sz w:val="16"/>
          <w:szCs w:val="16"/>
        </w:rPr>
        <w:t>empresa.</w:t>
      </w:r>
      <w:r w:rsidR="00B076AE" w:rsidRPr="00810146">
        <w:rPr>
          <w:rFonts w:ascii="Verdana" w:hAnsi="Verdana"/>
          <w:spacing w:val="1"/>
          <w:sz w:val="16"/>
          <w:szCs w:val="16"/>
        </w:rPr>
        <w:t xml:space="preserve"> </w:t>
      </w:r>
      <w:r w:rsidR="00B076AE" w:rsidRPr="00810146">
        <w:rPr>
          <w:rFonts w:ascii="Verdana" w:hAnsi="Verdana"/>
          <w:sz w:val="16"/>
          <w:szCs w:val="16"/>
        </w:rPr>
        <w:t>Una</w:t>
      </w:r>
      <w:r w:rsidR="00B076AE" w:rsidRPr="00810146">
        <w:rPr>
          <w:rFonts w:ascii="Verdana" w:hAnsi="Verdana"/>
          <w:spacing w:val="1"/>
          <w:sz w:val="16"/>
          <w:szCs w:val="16"/>
        </w:rPr>
        <w:t xml:space="preserve"> </w:t>
      </w:r>
      <w:r w:rsidR="00B076AE" w:rsidRPr="00810146">
        <w:rPr>
          <w:rFonts w:ascii="Verdana" w:hAnsi="Verdana"/>
          <w:sz w:val="16"/>
          <w:szCs w:val="16"/>
        </w:rPr>
        <w:t>misma</w:t>
      </w:r>
      <w:r w:rsidR="00B076AE" w:rsidRPr="00810146">
        <w:rPr>
          <w:rFonts w:ascii="Verdana" w:hAnsi="Verdana"/>
          <w:spacing w:val="1"/>
          <w:sz w:val="16"/>
          <w:szCs w:val="16"/>
        </w:rPr>
        <w:t xml:space="preserve"> </w:t>
      </w:r>
      <w:r w:rsidR="00B076AE" w:rsidRPr="00810146">
        <w:rPr>
          <w:rFonts w:ascii="Verdana" w:hAnsi="Verdana"/>
          <w:sz w:val="16"/>
          <w:szCs w:val="16"/>
        </w:rPr>
        <w:t>persona</w:t>
      </w:r>
      <w:r w:rsidR="00B076AE" w:rsidRPr="00810146">
        <w:rPr>
          <w:rFonts w:ascii="Verdana" w:hAnsi="Verdana"/>
          <w:spacing w:val="1"/>
          <w:sz w:val="16"/>
          <w:szCs w:val="16"/>
        </w:rPr>
        <w:t xml:space="preserve"> </w:t>
      </w:r>
      <w:r w:rsidR="00B076AE" w:rsidRPr="00810146">
        <w:rPr>
          <w:rFonts w:ascii="Verdana" w:hAnsi="Verdana"/>
          <w:sz w:val="16"/>
          <w:szCs w:val="16"/>
        </w:rPr>
        <w:t>podrá</w:t>
      </w:r>
      <w:r w:rsidR="00B076AE" w:rsidRPr="00810146">
        <w:rPr>
          <w:rFonts w:ascii="Verdana" w:hAnsi="Verdana"/>
          <w:spacing w:val="1"/>
          <w:sz w:val="16"/>
          <w:szCs w:val="16"/>
        </w:rPr>
        <w:t xml:space="preserve"> </w:t>
      </w:r>
      <w:r w:rsidR="00B076AE" w:rsidRPr="00810146">
        <w:rPr>
          <w:rFonts w:ascii="Verdana" w:hAnsi="Verdana"/>
          <w:sz w:val="16"/>
          <w:szCs w:val="16"/>
        </w:rPr>
        <w:t>tener</w:t>
      </w:r>
      <w:r w:rsidR="00B076AE" w:rsidRPr="00810146">
        <w:rPr>
          <w:rFonts w:ascii="Verdana" w:hAnsi="Verdana"/>
          <w:spacing w:val="1"/>
          <w:sz w:val="16"/>
          <w:szCs w:val="16"/>
        </w:rPr>
        <w:t xml:space="preserve"> </w:t>
      </w:r>
      <w:r w:rsidR="00B076AE" w:rsidRPr="00810146">
        <w:rPr>
          <w:rFonts w:ascii="Verdana" w:hAnsi="Verdana"/>
          <w:sz w:val="16"/>
          <w:szCs w:val="16"/>
        </w:rPr>
        <w:t>varios</w:t>
      </w:r>
      <w:r w:rsidR="00B076AE" w:rsidRPr="00810146">
        <w:rPr>
          <w:rFonts w:ascii="Verdana" w:hAnsi="Verdana"/>
          <w:spacing w:val="1"/>
          <w:sz w:val="16"/>
          <w:szCs w:val="16"/>
        </w:rPr>
        <w:t xml:space="preserve"> </w:t>
      </w:r>
      <w:r w:rsidR="00B076AE" w:rsidRPr="00810146">
        <w:rPr>
          <w:rFonts w:ascii="Verdana" w:hAnsi="Verdana"/>
          <w:sz w:val="16"/>
          <w:szCs w:val="16"/>
        </w:rPr>
        <w:t>establecimientos de comercio, y, a su vez, un solo establecimiento de</w:t>
      </w:r>
      <w:r w:rsidR="00B076AE" w:rsidRPr="00810146">
        <w:rPr>
          <w:rFonts w:ascii="Verdana" w:hAnsi="Verdana"/>
          <w:spacing w:val="-71"/>
          <w:sz w:val="16"/>
          <w:szCs w:val="16"/>
        </w:rPr>
        <w:t xml:space="preserve"> </w:t>
      </w:r>
      <w:r w:rsidR="00B076AE" w:rsidRPr="00810146">
        <w:rPr>
          <w:rFonts w:ascii="Verdana" w:hAnsi="Verdana"/>
          <w:w w:val="95"/>
          <w:sz w:val="16"/>
          <w:szCs w:val="16"/>
        </w:rPr>
        <w:t>comercio podrá pertenecer a varias personas, y destinarse al desarrollo</w:t>
      </w:r>
      <w:r w:rsidR="00B076AE" w:rsidRPr="00810146">
        <w:rPr>
          <w:rFonts w:ascii="Verdana" w:hAnsi="Verdana"/>
          <w:spacing w:val="1"/>
          <w:w w:val="95"/>
          <w:sz w:val="16"/>
          <w:szCs w:val="16"/>
        </w:rPr>
        <w:t xml:space="preserve"> </w:t>
      </w:r>
      <w:r w:rsidR="00B076AE" w:rsidRPr="00810146">
        <w:rPr>
          <w:rFonts w:ascii="Verdana" w:hAnsi="Verdana"/>
          <w:sz w:val="16"/>
          <w:szCs w:val="16"/>
        </w:rPr>
        <w:t>de</w:t>
      </w:r>
      <w:r w:rsidR="00B076AE" w:rsidRPr="00810146">
        <w:rPr>
          <w:rFonts w:ascii="Verdana" w:hAnsi="Verdana"/>
          <w:spacing w:val="-2"/>
          <w:sz w:val="16"/>
          <w:szCs w:val="16"/>
        </w:rPr>
        <w:t xml:space="preserve"> </w:t>
      </w:r>
      <w:r w:rsidR="00B076AE" w:rsidRPr="00810146">
        <w:rPr>
          <w:rFonts w:ascii="Verdana" w:hAnsi="Verdana"/>
          <w:sz w:val="16"/>
          <w:szCs w:val="16"/>
        </w:rPr>
        <w:t>diversas</w:t>
      </w:r>
      <w:r w:rsidR="00B076AE" w:rsidRPr="00810146">
        <w:rPr>
          <w:rFonts w:ascii="Verdana" w:hAnsi="Verdana"/>
          <w:spacing w:val="-2"/>
          <w:sz w:val="16"/>
          <w:szCs w:val="16"/>
        </w:rPr>
        <w:t xml:space="preserve"> </w:t>
      </w:r>
      <w:r w:rsidR="00B076AE" w:rsidRPr="00810146">
        <w:rPr>
          <w:rFonts w:ascii="Verdana" w:hAnsi="Verdana"/>
          <w:sz w:val="16"/>
          <w:szCs w:val="16"/>
        </w:rPr>
        <w:t>actividades</w:t>
      </w:r>
      <w:r w:rsidR="00B076AE" w:rsidRPr="00810146">
        <w:rPr>
          <w:rFonts w:ascii="Verdana" w:hAnsi="Verdana"/>
          <w:spacing w:val="-2"/>
          <w:sz w:val="16"/>
          <w:szCs w:val="16"/>
        </w:rPr>
        <w:t xml:space="preserve"> </w:t>
      </w:r>
      <w:r w:rsidR="00B076AE" w:rsidRPr="00810146">
        <w:rPr>
          <w:rFonts w:ascii="Verdana" w:hAnsi="Verdana"/>
          <w:sz w:val="16"/>
          <w:szCs w:val="16"/>
        </w:rPr>
        <w:t>comerciales”.</w:t>
      </w:r>
    </w:p>
  </w:footnote>
  <w:footnote w:id="16">
    <w:p w14:paraId="20EDD38E" w14:textId="5B6A3FEE" w:rsidR="00E8269A" w:rsidRPr="00810146" w:rsidRDefault="00E8269A" w:rsidP="00B076AE">
      <w:pPr>
        <w:pStyle w:val="Car1"/>
        <w:ind w:firstLine="709"/>
        <w:contextualSpacing/>
        <w:jc w:val="both"/>
        <w:rPr>
          <w:rFonts w:ascii="Verdana" w:hAnsi="Verdana" w:cs="Arial"/>
          <w:bCs/>
          <w:sz w:val="16"/>
          <w:szCs w:val="16"/>
          <w:lang w:val="es-ES_tradnl"/>
        </w:rPr>
      </w:pPr>
      <w:r w:rsidRPr="00810146">
        <w:rPr>
          <w:rStyle w:val="FootnoteReference"/>
          <w:rFonts w:ascii="Verdana" w:hAnsi="Verdana" w:cs="Arial"/>
          <w:sz w:val="16"/>
          <w:szCs w:val="16"/>
        </w:rPr>
        <w:footnoteRef/>
      </w:r>
      <w:r w:rsidRPr="00810146">
        <w:rPr>
          <w:rFonts w:ascii="Verdana" w:hAnsi="Verdana" w:cs="Arial"/>
          <w:sz w:val="16"/>
          <w:szCs w:val="16"/>
        </w:rPr>
        <w:t xml:space="preserve"> </w:t>
      </w:r>
      <w:r w:rsidRPr="00810146">
        <w:rPr>
          <w:rFonts w:ascii="Verdana" w:hAnsi="Verdana" w:cs="Arial"/>
          <w:sz w:val="16"/>
          <w:szCs w:val="16"/>
          <w:lang w:val="es-CO"/>
        </w:rPr>
        <w:t xml:space="preserve">Al respecto, la doctrina ha señalado que </w:t>
      </w:r>
      <w:r w:rsidR="00B3254C" w:rsidRPr="00B076AE">
        <w:rPr>
          <w:rFonts w:ascii="Verdana" w:eastAsia="Calibri" w:hAnsi="Verdana" w:cs="Arial"/>
          <w:bCs/>
          <w:sz w:val="16"/>
          <w:szCs w:val="16"/>
          <w:lang w:val="es-ES_tradnl"/>
        </w:rPr>
        <w:t>“</w:t>
      </w:r>
      <w:r w:rsidRPr="00810146">
        <w:rPr>
          <w:rFonts w:ascii="Verdana" w:eastAsia="Calibri" w:hAnsi="Verdana" w:cs="Arial"/>
          <w:bCs/>
          <w:sz w:val="16"/>
          <w:szCs w:val="16"/>
          <w:lang w:val="es-ES_tradnl"/>
        </w:rPr>
        <w:t xml:space="preserve">inseparable del elemento objetivo – actividad económica organizada- y del subjetivo – empresario mercantil - </w:t>
      </w:r>
      <w:r w:rsidRPr="00810146">
        <w:rPr>
          <w:rFonts w:ascii="Verdana" w:hAnsi="Verdana" w:cs="Arial"/>
          <w:sz w:val="16"/>
          <w:szCs w:val="16"/>
          <w:lang w:val="es-CO"/>
        </w:rPr>
        <w:t xml:space="preserve">la empresa comercial requiere un elemento funcional llamado establecimiento de comercio, que es un conjunto heterogéneo de bienes destinados específicamente por el empresario a desarrollar la actividad organizada. Así lo establece la definición prevista en el artículo 25 del Código de Comercio: “[…] Dicha </w:t>
      </w:r>
      <w:r w:rsidRPr="00810146">
        <w:rPr>
          <w:rFonts w:ascii="Verdana" w:hAnsi="Verdana" w:cs="Arial"/>
          <w:bCs/>
          <w:sz w:val="16"/>
          <w:szCs w:val="16"/>
          <w:lang w:val="es-ES_tradnl"/>
        </w:rPr>
        <w:t>actividad se realizará a través de uno o más establecimientos de comercio”</w:t>
      </w:r>
      <w:r w:rsidR="00B3254C" w:rsidRPr="00B076AE">
        <w:rPr>
          <w:rFonts w:ascii="Verdana" w:eastAsia="Calibri" w:hAnsi="Verdana" w:cs="Arial"/>
          <w:bCs/>
          <w:sz w:val="16"/>
          <w:szCs w:val="16"/>
          <w:lang w:val="es-ES_tradnl"/>
        </w:rPr>
        <w:t>”</w:t>
      </w:r>
      <w:r w:rsidRPr="00810146">
        <w:rPr>
          <w:rFonts w:ascii="Verdana" w:hAnsi="Verdana" w:cs="Arial"/>
          <w:bCs/>
          <w:sz w:val="16"/>
          <w:szCs w:val="16"/>
          <w:lang w:val="es-ES_tradnl"/>
        </w:rPr>
        <w:t>. (CASTRO DE CIFUENTES, Marcela. Derecho Comercial. Actos de comercio, empresas comerciantes y empresarios. Universidad de los Andes. 2016. Pág. 109).</w:t>
      </w:r>
    </w:p>
    <w:p w14:paraId="5ED9B8FD" w14:textId="77777777" w:rsidR="00E8269A" w:rsidRPr="00810146" w:rsidRDefault="00E8269A" w:rsidP="00B076AE">
      <w:pPr>
        <w:pStyle w:val="FootnoteText"/>
        <w:contextualSpacing/>
        <w:jc w:val="both"/>
        <w:rPr>
          <w:rFonts w:ascii="Verdana" w:hAnsi="Verdana" w:cs="Arial"/>
          <w:sz w:val="16"/>
          <w:szCs w:val="16"/>
          <w:lang w:val="es-ES_tradnl"/>
        </w:rPr>
      </w:pPr>
    </w:p>
  </w:footnote>
  <w:footnote w:id="17">
    <w:p w14:paraId="78A98C9E" w14:textId="77777777" w:rsidR="00A3311D" w:rsidRPr="00B076AE" w:rsidRDefault="00A3311D" w:rsidP="00810146">
      <w:pPr>
        <w:pStyle w:val="FootnoteText"/>
        <w:ind w:firstLine="708"/>
        <w:contextualSpacing/>
        <w:jc w:val="both"/>
        <w:rPr>
          <w:rFonts w:ascii="Verdana" w:hAnsi="Verdana"/>
          <w:sz w:val="16"/>
          <w:szCs w:val="16"/>
        </w:rPr>
      </w:pPr>
      <w:r w:rsidRPr="00B076AE">
        <w:rPr>
          <w:rStyle w:val="FootnoteReference"/>
          <w:rFonts w:ascii="Verdana" w:hAnsi="Verdana"/>
          <w:sz w:val="16"/>
          <w:szCs w:val="16"/>
        </w:rPr>
        <w:footnoteRef/>
      </w:r>
      <w:r w:rsidRPr="00B076AE">
        <w:rPr>
          <w:rFonts w:ascii="Verdana" w:hAnsi="Verdana"/>
          <w:sz w:val="16"/>
          <w:szCs w:val="16"/>
        </w:rPr>
        <w:t xml:space="preserve"> DEPARTAMENTO ADMINISTRATIVO NACIONAL DE ESTADÍSTICA. Clasificación Industrial Internacional Uniforme de todas las actividades económicas. Revisión 4 Adaptada para Colombia. 2022. Consultado el 19 de marzo de 2025 en la página </w:t>
      </w:r>
      <w:r w:rsidRPr="00B076AE">
        <w:rPr>
          <w:rFonts w:ascii="Verdana" w:hAnsi="Verdana"/>
          <w:sz w:val="16"/>
          <w:szCs w:val="16"/>
        </w:rPr>
        <w:t xml:space="preserve">web </w:t>
      </w:r>
      <w:hyperlink r:id="rId2" w:history="1">
        <w:r w:rsidRPr="00B076AE">
          <w:rPr>
            <w:rStyle w:val="Hyperlink"/>
            <w:rFonts w:ascii="Verdana" w:hAnsi="Verdana"/>
            <w:sz w:val="16"/>
            <w:szCs w:val="16"/>
          </w:rPr>
          <w:t>https://www.dane.gov.co/files/sen/nomenclatura/ciiu/CIIU_Rev_4_AC2022.pdf</w:t>
        </w:r>
      </w:hyperlink>
      <w:r w:rsidRPr="00B076AE">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Header"/>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11.1pt;height:11.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9A5723"/>
    <w:multiLevelType w:val="hybridMultilevel"/>
    <w:tmpl w:val="28AEE5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341274352">
    <w:abstractNumId w:val="0"/>
  </w:num>
  <w:num w:numId="17" w16cid:durableId="1194183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9"/>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7E0"/>
    <w:rsid w:val="00016F78"/>
    <w:rsid w:val="000219D2"/>
    <w:rsid w:val="00025605"/>
    <w:rsid w:val="0003002D"/>
    <w:rsid w:val="00032FD1"/>
    <w:rsid w:val="00041BB8"/>
    <w:rsid w:val="00046945"/>
    <w:rsid w:val="00056CD6"/>
    <w:rsid w:val="00060857"/>
    <w:rsid w:val="00061B2A"/>
    <w:rsid w:val="00082362"/>
    <w:rsid w:val="00091BAF"/>
    <w:rsid w:val="000A3C04"/>
    <w:rsid w:val="000A6078"/>
    <w:rsid w:val="000A683E"/>
    <w:rsid w:val="000B19B9"/>
    <w:rsid w:val="000C5D94"/>
    <w:rsid w:val="000D0334"/>
    <w:rsid w:val="000E072F"/>
    <w:rsid w:val="000E419A"/>
    <w:rsid w:val="000F5C94"/>
    <w:rsid w:val="000F6486"/>
    <w:rsid w:val="00101A26"/>
    <w:rsid w:val="001123B3"/>
    <w:rsid w:val="00113C2F"/>
    <w:rsid w:val="00116FC3"/>
    <w:rsid w:val="00125105"/>
    <w:rsid w:val="00125A2E"/>
    <w:rsid w:val="00127233"/>
    <w:rsid w:val="00145E18"/>
    <w:rsid w:val="001511A0"/>
    <w:rsid w:val="00151772"/>
    <w:rsid w:val="0015388E"/>
    <w:rsid w:val="00167D6C"/>
    <w:rsid w:val="00174E56"/>
    <w:rsid w:val="001804C9"/>
    <w:rsid w:val="00184C6E"/>
    <w:rsid w:val="00193509"/>
    <w:rsid w:val="001A677F"/>
    <w:rsid w:val="001B69D2"/>
    <w:rsid w:val="001E02EA"/>
    <w:rsid w:val="001E2EBA"/>
    <w:rsid w:val="001E4177"/>
    <w:rsid w:val="001F7DC6"/>
    <w:rsid w:val="00207CF6"/>
    <w:rsid w:val="002106CA"/>
    <w:rsid w:val="0021137E"/>
    <w:rsid w:val="00215704"/>
    <w:rsid w:val="002168E4"/>
    <w:rsid w:val="0022718C"/>
    <w:rsid w:val="002421BB"/>
    <w:rsid w:val="0025106C"/>
    <w:rsid w:val="0025796E"/>
    <w:rsid w:val="002707A2"/>
    <w:rsid w:val="002951A0"/>
    <w:rsid w:val="002962BC"/>
    <w:rsid w:val="002A093D"/>
    <w:rsid w:val="002A0DD0"/>
    <w:rsid w:val="002A49AC"/>
    <w:rsid w:val="002A64FD"/>
    <w:rsid w:val="002A6964"/>
    <w:rsid w:val="002C6B47"/>
    <w:rsid w:val="002C7A84"/>
    <w:rsid w:val="002D7321"/>
    <w:rsid w:val="002E4FD9"/>
    <w:rsid w:val="002E7EE6"/>
    <w:rsid w:val="0030676B"/>
    <w:rsid w:val="0031745A"/>
    <w:rsid w:val="00322A85"/>
    <w:rsid w:val="00324168"/>
    <w:rsid w:val="003339F8"/>
    <w:rsid w:val="00342010"/>
    <w:rsid w:val="0034482B"/>
    <w:rsid w:val="003448F4"/>
    <w:rsid w:val="00350909"/>
    <w:rsid w:val="00356850"/>
    <w:rsid w:val="00374F5E"/>
    <w:rsid w:val="00377E3E"/>
    <w:rsid w:val="00390C6F"/>
    <w:rsid w:val="003A779E"/>
    <w:rsid w:val="003B77B5"/>
    <w:rsid w:val="003D0F4D"/>
    <w:rsid w:val="003D5B0D"/>
    <w:rsid w:val="003E0499"/>
    <w:rsid w:val="003F3941"/>
    <w:rsid w:val="003F738C"/>
    <w:rsid w:val="003F7961"/>
    <w:rsid w:val="00406575"/>
    <w:rsid w:val="00407A6A"/>
    <w:rsid w:val="00407F3F"/>
    <w:rsid w:val="00414C33"/>
    <w:rsid w:val="00414C74"/>
    <w:rsid w:val="004210DA"/>
    <w:rsid w:val="0042722E"/>
    <w:rsid w:val="00433CCF"/>
    <w:rsid w:val="0044528D"/>
    <w:rsid w:val="00445BFD"/>
    <w:rsid w:val="004831B0"/>
    <w:rsid w:val="00484921"/>
    <w:rsid w:val="0048798D"/>
    <w:rsid w:val="004A1847"/>
    <w:rsid w:val="004A305D"/>
    <w:rsid w:val="004A3150"/>
    <w:rsid w:val="004B21D2"/>
    <w:rsid w:val="004B237D"/>
    <w:rsid w:val="004C3018"/>
    <w:rsid w:val="004D340E"/>
    <w:rsid w:val="004E4D0B"/>
    <w:rsid w:val="004F21C4"/>
    <w:rsid w:val="004F2D47"/>
    <w:rsid w:val="004F685F"/>
    <w:rsid w:val="00507DD1"/>
    <w:rsid w:val="0053786D"/>
    <w:rsid w:val="00541CFA"/>
    <w:rsid w:val="00547A0E"/>
    <w:rsid w:val="00552F48"/>
    <w:rsid w:val="005566E8"/>
    <w:rsid w:val="0055756B"/>
    <w:rsid w:val="00561CA7"/>
    <w:rsid w:val="00564B06"/>
    <w:rsid w:val="00574183"/>
    <w:rsid w:val="00574867"/>
    <w:rsid w:val="00584FFF"/>
    <w:rsid w:val="00591460"/>
    <w:rsid w:val="00592A39"/>
    <w:rsid w:val="005930B3"/>
    <w:rsid w:val="005A1A34"/>
    <w:rsid w:val="005B3816"/>
    <w:rsid w:val="005C3777"/>
    <w:rsid w:val="005C5CDC"/>
    <w:rsid w:val="005D476C"/>
    <w:rsid w:val="005E55E3"/>
    <w:rsid w:val="005E7844"/>
    <w:rsid w:val="006219F8"/>
    <w:rsid w:val="00627F64"/>
    <w:rsid w:val="0064083A"/>
    <w:rsid w:val="00660B6B"/>
    <w:rsid w:val="00660C2B"/>
    <w:rsid w:val="006643DA"/>
    <w:rsid w:val="00665D70"/>
    <w:rsid w:val="00665F97"/>
    <w:rsid w:val="00672367"/>
    <w:rsid w:val="006900D9"/>
    <w:rsid w:val="006A009E"/>
    <w:rsid w:val="006B6984"/>
    <w:rsid w:val="006C5912"/>
    <w:rsid w:val="006D40D2"/>
    <w:rsid w:val="006D54A8"/>
    <w:rsid w:val="006D6377"/>
    <w:rsid w:val="006D6953"/>
    <w:rsid w:val="006D7EE0"/>
    <w:rsid w:val="006E3B1E"/>
    <w:rsid w:val="006E79DA"/>
    <w:rsid w:val="006F2045"/>
    <w:rsid w:val="007017BD"/>
    <w:rsid w:val="00706C16"/>
    <w:rsid w:val="00717F8E"/>
    <w:rsid w:val="007329A8"/>
    <w:rsid w:val="00737597"/>
    <w:rsid w:val="00743680"/>
    <w:rsid w:val="00743778"/>
    <w:rsid w:val="00746055"/>
    <w:rsid w:val="00746473"/>
    <w:rsid w:val="00746D25"/>
    <w:rsid w:val="0075578B"/>
    <w:rsid w:val="00756841"/>
    <w:rsid w:val="00761FC1"/>
    <w:rsid w:val="007649AB"/>
    <w:rsid w:val="00771D0C"/>
    <w:rsid w:val="00773726"/>
    <w:rsid w:val="007820EE"/>
    <w:rsid w:val="007833AC"/>
    <w:rsid w:val="007B268C"/>
    <w:rsid w:val="007B7171"/>
    <w:rsid w:val="007C0C0F"/>
    <w:rsid w:val="007C3DC2"/>
    <w:rsid w:val="007C5DAA"/>
    <w:rsid w:val="007D2592"/>
    <w:rsid w:val="007E5497"/>
    <w:rsid w:val="007F150E"/>
    <w:rsid w:val="00806F5F"/>
    <w:rsid w:val="00810146"/>
    <w:rsid w:val="00820278"/>
    <w:rsid w:val="00832D55"/>
    <w:rsid w:val="00840A2F"/>
    <w:rsid w:val="008466A7"/>
    <w:rsid w:val="00847DAF"/>
    <w:rsid w:val="00853ABF"/>
    <w:rsid w:val="00855674"/>
    <w:rsid w:val="008652F3"/>
    <w:rsid w:val="00867F95"/>
    <w:rsid w:val="00880FC5"/>
    <w:rsid w:val="008843B6"/>
    <w:rsid w:val="00891928"/>
    <w:rsid w:val="008A446D"/>
    <w:rsid w:val="008B1EBC"/>
    <w:rsid w:val="008D180B"/>
    <w:rsid w:val="008D758C"/>
    <w:rsid w:val="008F0EA7"/>
    <w:rsid w:val="008F57D1"/>
    <w:rsid w:val="00901DE3"/>
    <w:rsid w:val="009057D2"/>
    <w:rsid w:val="00923EEF"/>
    <w:rsid w:val="00931121"/>
    <w:rsid w:val="00933A01"/>
    <w:rsid w:val="009419F9"/>
    <w:rsid w:val="0095685E"/>
    <w:rsid w:val="00961B09"/>
    <w:rsid w:val="00965334"/>
    <w:rsid w:val="0097093E"/>
    <w:rsid w:val="00985121"/>
    <w:rsid w:val="00986AC5"/>
    <w:rsid w:val="009A0DFA"/>
    <w:rsid w:val="009B2D26"/>
    <w:rsid w:val="009C71FA"/>
    <w:rsid w:val="009C72E7"/>
    <w:rsid w:val="009D3058"/>
    <w:rsid w:val="009E6386"/>
    <w:rsid w:val="009F3A13"/>
    <w:rsid w:val="00A056F0"/>
    <w:rsid w:val="00A122D3"/>
    <w:rsid w:val="00A17F13"/>
    <w:rsid w:val="00A20739"/>
    <w:rsid w:val="00A24624"/>
    <w:rsid w:val="00A3311D"/>
    <w:rsid w:val="00A33C78"/>
    <w:rsid w:val="00A656A8"/>
    <w:rsid w:val="00A74E45"/>
    <w:rsid w:val="00A81D2B"/>
    <w:rsid w:val="00A92639"/>
    <w:rsid w:val="00A95AE3"/>
    <w:rsid w:val="00AA0F31"/>
    <w:rsid w:val="00AA34AA"/>
    <w:rsid w:val="00AB0ADB"/>
    <w:rsid w:val="00AB1158"/>
    <w:rsid w:val="00AD5C9E"/>
    <w:rsid w:val="00AD6025"/>
    <w:rsid w:val="00B01B1A"/>
    <w:rsid w:val="00B03F1F"/>
    <w:rsid w:val="00B05B94"/>
    <w:rsid w:val="00B076AE"/>
    <w:rsid w:val="00B11AE0"/>
    <w:rsid w:val="00B3254C"/>
    <w:rsid w:val="00B614A0"/>
    <w:rsid w:val="00B66319"/>
    <w:rsid w:val="00B708CE"/>
    <w:rsid w:val="00B72CD3"/>
    <w:rsid w:val="00B72FFF"/>
    <w:rsid w:val="00B82DF7"/>
    <w:rsid w:val="00B90126"/>
    <w:rsid w:val="00BA61CF"/>
    <w:rsid w:val="00BB3468"/>
    <w:rsid w:val="00BC3D36"/>
    <w:rsid w:val="00BD0B02"/>
    <w:rsid w:val="00BD4E8E"/>
    <w:rsid w:val="00BD7F72"/>
    <w:rsid w:val="00BE1DFC"/>
    <w:rsid w:val="00BE795A"/>
    <w:rsid w:val="00BF18AA"/>
    <w:rsid w:val="00BF353C"/>
    <w:rsid w:val="00C0085E"/>
    <w:rsid w:val="00C04FB3"/>
    <w:rsid w:val="00C1769F"/>
    <w:rsid w:val="00C330EB"/>
    <w:rsid w:val="00C41061"/>
    <w:rsid w:val="00C462DC"/>
    <w:rsid w:val="00C52C2E"/>
    <w:rsid w:val="00C5752E"/>
    <w:rsid w:val="00C754BE"/>
    <w:rsid w:val="00C76B1C"/>
    <w:rsid w:val="00C81E53"/>
    <w:rsid w:val="00C90411"/>
    <w:rsid w:val="00C93C36"/>
    <w:rsid w:val="00C94107"/>
    <w:rsid w:val="00CB6357"/>
    <w:rsid w:val="00CC1B26"/>
    <w:rsid w:val="00CC7430"/>
    <w:rsid w:val="00CE4DD9"/>
    <w:rsid w:val="00CF1486"/>
    <w:rsid w:val="00CF24E4"/>
    <w:rsid w:val="00CF5C7C"/>
    <w:rsid w:val="00CF62BB"/>
    <w:rsid w:val="00D1283E"/>
    <w:rsid w:val="00D35FBD"/>
    <w:rsid w:val="00D423A2"/>
    <w:rsid w:val="00D45F4C"/>
    <w:rsid w:val="00D51944"/>
    <w:rsid w:val="00D520D8"/>
    <w:rsid w:val="00D627B7"/>
    <w:rsid w:val="00D63AC2"/>
    <w:rsid w:val="00D712A5"/>
    <w:rsid w:val="00D7383B"/>
    <w:rsid w:val="00D81FD7"/>
    <w:rsid w:val="00DA231B"/>
    <w:rsid w:val="00DC0698"/>
    <w:rsid w:val="00DC1482"/>
    <w:rsid w:val="00DC39FC"/>
    <w:rsid w:val="00DE28C8"/>
    <w:rsid w:val="00DE5E77"/>
    <w:rsid w:val="00DF5254"/>
    <w:rsid w:val="00DF78F0"/>
    <w:rsid w:val="00E02B1F"/>
    <w:rsid w:val="00E11DB1"/>
    <w:rsid w:val="00E148A0"/>
    <w:rsid w:val="00E14C34"/>
    <w:rsid w:val="00E16408"/>
    <w:rsid w:val="00E20894"/>
    <w:rsid w:val="00E245AB"/>
    <w:rsid w:val="00E2764C"/>
    <w:rsid w:val="00E27F2E"/>
    <w:rsid w:val="00E50AFE"/>
    <w:rsid w:val="00E555C4"/>
    <w:rsid w:val="00E62051"/>
    <w:rsid w:val="00E65021"/>
    <w:rsid w:val="00E75C92"/>
    <w:rsid w:val="00E771DC"/>
    <w:rsid w:val="00E77BE8"/>
    <w:rsid w:val="00E8269A"/>
    <w:rsid w:val="00E83EFA"/>
    <w:rsid w:val="00E843DE"/>
    <w:rsid w:val="00E871AC"/>
    <w:rsid w:val="00E8772A"/>
    <w:rsid w:val="00E9066C"/>
    <w:rsid w:val="00E90F6B"/>
    <w:rsid w:val="00E92C27"/>
    <w:rsid w:val="00EA0107"/>
    <w:rsid w:val="00EA0E3D"/>
    <w:rsid w:val="00EA5C1D"/>
    <w:rsid w:val="00EC38A7"/>
    <w:rsid w:val="00ED3B2C"/>
    <w:rsid w:val="00ED3C60"/>
    <w:rsid w:val="00ED7384"/>
    <w:rsid w:val="00EE103C"/>
    <w:rsid w:val="00EE1AA8"/>
    <w:rsid w:val="00EE35FA"/>
    <w:rsid w:val="00F025C4"/>
    <w:rsid w:val="00F14AA7"/>
    <w:rsid w:val="00F31EDC"/>
    <w:rsid w:val="00F462B3"/>
    <w:rsid w:val="00F5664F"/>
    <w:rsid w:val="00F666C4"/>
    <w:rsid w:val="00F7496D"/>
    <w:rsid w:val="00F76AFC"/>
    <w:rsid w:val="00F87530"/>
    <w:rsid w:val="00F920CD"/>
    <w:rsid w:val="00F94004"/>
    <w:rsid w:val="00FA3260"/>
    <w:rsid w:val="00FA47C0"/>
    <w:rsid w:val="00FB11A6"/>
    <w:rsid w:val="00FB5DD1"/>
    <w:rsid w:val="00FC2B5D"/>
    <w:rsid w:val="00FC3922"/>
    <w:rsid w:val="00FD5799"/>
    <w:rsid w:val="00FD5BAB"/>
    <w:rsid w:val="00FF1449"/>
    <w:rsid w:val="2DA72DF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link w:val="NormalWebCh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9E6386"/>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9E6386"/>
    <w:rPr>
      <w:rFonts w:ascii="Geomanist Light" w:hAnsi="Geomanist Light"/>
      <w:lang w:val="es-ES"/>
    </w:rPr>
  </w:style>
  <w:style w:type="character" w:customStyle="1" w:styleId="NormalWebChar">
    <w:name w:val="Normal (Web) Char"/>
    <w:link w:val="NormalWeb"/>
    <w:uiPriority w:val="99"/>
    <w:locked/>
    <w:rsid w:val="009E6386"/>
    <w:rPr>
      <w:rFonts w:ascii="Times New Roman" w:eastAsia="Times New Roman" w:hAnsi="Times New Roman" w:cs="Times New Roman"/>
      <w:sz w:val="24"/>
      <w:szCs w:val="24"/>
      <w:lang w:eastAsia="es-CO"/>
    </w:rPr>
  </w:style>
  <w:style w:type="paragraph" w:customStyle="1" w:styleId="Car1">
    <w:name w:val="Car1"/>
    <w:basedOn w:val="Normal"/>
    <w:next w:val="FootnoteText"/>
    <w:uiPriority w:val="99"/>
    <w:unhideWhenUsed/>
    <w:qFormat/>
    <w:rsid w:val="000A6078"/>
    <w:pPr>
      <w:spacing w:after="0" w:line="240" w:lineRule="auto"/>
    </w:pPr>
    <w:rPr>
      <w:sz w:val="20"/>
      <w:szCs w:val="20"/>
      <w:lang w:val="es-MX"/>
    </w:rPr>
  </w:style>
  <w:style w:type="paragraph" w:styleId="BodyText">
    <w:name w:val="Body Text"/>
    <w:basedOn w:val="Normal"/>
    <w:link w:val="BodyTextChar"/>
    <w:uiPriority w:val="1"/>
    <w:qFormat/>
    <w:rsid w:val="00056CD6"/>
    <w:pPr>
      <w:widowControl w:val="0"/>
      <w:autoSpaceDE w:val="0"/>
      <w:autoSpaceDN w:val="0"/>
      <w:spacing w:after="0" w:line="240" w:lineRule="auto"/>
    </w:pPr>
    <w:rPr>
      <w:rFonts w:ascii="Verdana" w:eastAsia="Verdana" w:hAnsi="Verdana" w:cs="Verdana"/>
      <w:lang w:val="es-ES"/>
    </w:rPr>
  </w:style>
  <w:style w:type="character" w:customStyle="1" w:styleId="BodyTextChar">
    <w:name w:val="Body Text Char"/>
    <w:basedOn w:val="DefaultParagraphFont"/>
    <w:link w:val="BodyText"/>
    <w:uiPriority w:val="1"/>
    <w:rsid w:val="00056CD6"/>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ombiacompra.gov.co/manuales-guias-y-pliegos-tipo/manuales-y-guias" TargetMode="External"/><Relationship Id="rId18" Type="http://schemas.openxmlformats.org/officeDocument/2006/relationships/hyperlink" Target="https://nam02.safelinks.protection.outlook.com/?url=https%3A%2F%2Fwww.colombiacompra.gov.co%2Fmanuales-guias-y-pliegos-tipo%2Fmanuales-y-guias%2Fguia-de-contratacion-publica-sostenible-y-socialmente&amp;data=05%7C02%7Cana.bonilla%40colombiacompra.gov.co%7Ceb0fd05604104aa4d3bc08dd4c4ad35e%7C7b09041e245149d08cb179d5e3d8c1be%7C0%7C0%7C638750606446155438%7CUnknown%7CTWFpbGZsb3d8eyJFbXB0eU1hcGkiOnRydWUsIlYiOiIwLjAuMDAwMCIsIlAiOiJXaW4zMiIsIkFOIjoiTWFpbCIsIldUIjoyfQ%3D%3D%7C0%7C%7C%7C&amp;sdata=ic3WTaBfpaepFaQwtKguuk2iqwchOIarahXEw6rZudc%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jfsanchez93@hotmail.com" TargetMode="External"/><Relationship Id="rId17" Type="http://schemas.openxmlformats.org/officeDocument/2006/relationships/hyperlink" Target="https://nam02.safelinks.protection.outlook.com/?url=https%3A%2F%2Fwww.colombiacompra.gov.co%2Fciudadanos%2Fcalendario&amp;data=05%7C02%7Cana.bonilla%40colombiacompra.gov.co%7Ceb0fd05604104aa4d3bc08dd4c4ad35e%7C7b09041e245149d08cb179d5e3d8c1be%7C0%7C0%7C638750606446128989%7CUnknown%7CTWFpbGZsb3d8eyJFbXB0eU1hcGkiOnRydWUsIlYiOiIwLjAuMDAwMCIsIlAiOiJXaW4zMiIsIkFOIjoiTWFpbCIsIldUIjoyfQ%3D%3D%7C0%7C%7C%7C&amp;sdata=xTWY%2FUqVDzIjD31KT9C2PATlzA59vDRd90bBlKbERgE%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cartilla-para-incentivar-y-fortalecer-el-acceso-las&amp;data=05%7C02%7Cana.bonilla%40colombiacompra.gov.co%7Ceb0fd05604104aa4d3bc08dd4c4ad35e%7C7b09041e245149d08cb179d5e3d8c1be%7C0%7C0%7C638750606446092694%7CUnknown%7CTWFpbGZsb3d8eyJFbXB0eU1hcGkiOnRydWUsIlYiOiIwLjAuMDAwMCIsIlAiOiJXaW4zMiIsIkFOIjoiTWFpbCIsIldUIjoyfQ%3D%3D%7C0%7C%7C%7C&amp;sdata=iuMSUNSIHYcn%2By48hB4feMl9Ay5ZO5BW821EblA%2BTsw%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ane.gov.co/files/sen/nomenclatura/ciiu/CIIU_Rev_4_AC2022.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dane.gov.co/files/sen/nomenclatura/ciiu/CIIU_Rev_4_AC2022.pdf" TargetMode="External"/><Relationship Id="rId1" Type="http://schemas.openxmlformats.org/officeDocument/2006/relationships/hyperlink" Target="https://colombiacompra.gov.co/sites/cce_public/files/cce_documents/cce-eicp-ma-04._manual_requisitos_habilitantes_v3_29-09-2023.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CEB0E2-40B9-9F46-8507-DF12AE4D2983}">
  <ds:schemaRefs>
    <ds:schemaRef ds:uri="http://schemas.openxmlformats.org/officeDocument/2006/bibliography"/>
  </ds:schemaRefs>
</ds:datastoreItem>
</file>

<file path=customXml/itemProps2.xml><?xml version="1.0" encoding="utf-8"?>
<ds:datastoreItem xmlns:ds="http://schemas.openxmlformats.org/officeDocument/2006/customXml" ds:itemID="{9EB3BFCE-7D6A-485B-8FDF-D9544E492DD4}"/>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20</Pages>
  <Words>6588</Words>
  <Characters>37557</Characters>
  <Application>Microsoft Office Word</Application>
  <DocSecurity>0</DocSecurity>
  <Lines>312</Lines>
  <Paragraphs>88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Anamaría Bonilla</cp:lastModifiedBy>
  <cp:revision>6</cp:revision>
  <cp:lastPrinted>2023-01-10T21:18:00Z</cp:lastPrinted>
  <dcterms:created xsi:type="dcterms:W3CDTF">2025-03-31T15:26:00Z</dcterms:created>
  <dcterms:modified xsi:type="dcterms:W3CDTF">2025-03-31T15:50:00Z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