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DD0EA" w14:textId="486C3DE2" w:rsidR="006D7843" w:rsidRPr="006D7843" w:rsidRDefault="006D7843" w:rsidP="006D7843">
      <w:pPr>
        <w:spacing w:line="240" w:lineRule="auto"/>
        <w:jc w:val="both"/>
        <w:rPr>
          <w:rFonts w:ascii="Verdana" w:hAnsi="Verdana" w:cs="Arial"/>
          <w:b/>
          <w:lang w:val="es-ES_tradnl"/>
        </w:rPr>
      </w:pPr>
      <w:r w:rsidRPr="006D7843">
        <w:rPr>
          <w:rFonts w:ascii="Verdana" w:hAnsi="Verdana" w:cs="Arial"/>
          <w:b/>
          <w:lang w:val="es-ES_tradnl"/>
        </w:rPr>
        <w:t>ANTICIPO – Regulación normativa</w:t>
      </w:r>
    </w:p>
    <w:p w14:paraId="5E6469E9" w14:textId="2E98B3B1" w:rsidR="006D7843" w:rsidRPr="006D7843" w:rsidRDefault="006D7843" w:rsidP="006D7843">
      <w:pPr>
        <w:spacing w:line="240" w:lineRule="auto"/>
        <w:jc w:val="both"/>
        <w:rPr>
          <w:rFonts w:ascii="Verdana" w:hAnsi="Verdana" w:cs="Arial"/>
          <w:sz w:val="20"/>
          <w:szCs w:val="20"/>
          <w:lang w:val="es-ES_tradnl"/>
        </w:rPr>
      </w:pPr>
      <w:r w:rsidRPr="006D7843">
        <w:rPr>
          <w:rFonts w:ascii="Verdana" w:hAnsi="Verdana" w:cs="Arial"/>
          <w:sz w:val="20"/>
          <w:szCs w:val="20"/>
          <w:lang w:val="es-ES_tradnl"/>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sidR="00B0312D">
        <w:rPr>
          <w:rFonts w:ascii="Verdana" w:hAnsi="Verdana" w:cs="Arial"/>
          <w:sz w:val="20"/>
          <w:szCs w:val="20"/>
          <w:lang w:val="es-ES_tradnl"/>
        </w:rPr>
        <w:t>“</w:t>
      </w:r>
      <w:r w:rsidRPr="006D7843">
        <w:rPr>
          <w:rFonts w:ascii="Verdana" w:hAnsi="Verdana" w:cs="Arial"/>
          <w:sz w:val="20"/>
          <w:szCs w:val="20"/>
          <w:lang w:val="es-ES_tradnl"/>
        </w:rPr>
        <w:t>En los contratos que celebren las entidades estatales se podrá pactar el pago anticipado y la entrega de anticipos, pero su monto no podrá exceder del cincuenta por ciento (50%) del valor del respectivo contrato</w:t>
      </w:r>
      <w:r w:rsidR="00B0312D">
        <w:rPr>
          <w:rFonts w:ascii="Verdana" w:hAnsi="Verdana" w:cs="Arial"/>
          <w:sz w:val="20"/>
          <w:szCs w:val="20"/>
          <w:lang w:val="es-ES_tradnl"/>
        </w:rPr>
        <w:t>”</w:t>
      </w:r>
      <w:r w:rsidRPr="006D7843">
        <w:rPr>
          <w:rFonts w:ascii="Verdana" w:hAnsi="Verdana" w:cs="Arial"/>
          <w:sz w:val="20"/>
          <w:szCs w:val="20"/>
          <w:lang w:val="es-ES_tradnl"/>
        </w:rPr>
        <w:t xml:space="preserve">. Por su parte, el artículo 91 de la Ley 1474 de 2011 consagra una regla especial para el manejo del anticipo. </w:t>
      </w:r>
    </w:p>
    <w:p w14:paraId="4D4005BB" w14:textId="77777777" w:rsidR="006D7843" w:rsidRPr="006D7843" w:rsidRDefault="006D7843" w:rsidP="006D7843">
      <w:pPr>
        <w:spacing w:line="240" w:lineRule="auto"/>
        <w:jc w:val="both"/>
        <w:rPr>
          <w:rFonts w:ascii="Verdana" w:hAnsi="Verdana" w:cs="Arial"/>
          <w:b/>
          <w:lang w:val="es-MX"/>
        </w:rPr>
      </w:pPr>
      <w:r w:rsidRPr="006D7843">
        <w:rPr>
          <w:rFonts w:ascii="Verdana" w:hAnsi="Verdana" w:cs="Arial"/>
          <w:b/>
        </w:rPr>
        <w:t>ANTICIPO – Definición jurisprudencial</w:t>
      </w:r>
    </w:p>
    <w:p w14:paraId="1DDEB488" w14:textId="0B63F873" w:rsidR="006D7843" w:rsidRPr="006D7843" w:rsidRDefault="006D7843" w:rsidP="006D7843">
      <w:pPr>
        <w:spacing w:after="0" w:line="240" w:lineRule="auto"/>
        <w:jc w:val="both"/>
        <w:rPr>
          <w:rFonts w:ascii="Verdana" w:hAnsi="Verdana" w:cs="Arial"/>
          <w:sz w:val="20"/>
          <w:szCs w:val="20"/>
          <w:lang w:val="es-ES_tradnl"/>
        </w:rPr>
      </w:pPr>
      <w:r w:rsidRPr="006D7843">
        <w:rPr>
          <w:rFonts w:ascii="Verdana" w:hAnsi="Verdana" w:cs="Arial"/>
          <w:sz w:val="20"/>
          <w:szCs w:val="20"/>
          <w:lang w:val="es-ES_tradnl"/>
        </w:rPr>
        <w:t xml:space="preserve">[…], el Consejo de Estado se refirió a la noción de anticipo como </w:t>
      </w:r>
      <w:r w:rsidR="00B0312D">
        <w:rPr>
          <w:rFonts w:ascii="Verdana" w:hAnsi="Verdana" w:cs="Arial"/>
          <w:sz w:val="20"/>
          <w:szCs w:val="20"/>
          <w:lang w:val="es-ES_tradnl"/>
        </w:rPr>
        <w:t>“</w:t>
      </w:r>
      <w:r w:rsidRPr="006D7843">
        <w:rPr>
          <w:rFonts w:ascii="Verdana" w:hAnsi="Verdana" w:cs="Arial"/>
          <w:sz w:val="20"/>
          <w:szCs w:val="20"/>
          <w:lang w:val="es-ES_tradn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00B0312D">
        <w:rPr>
          <w:rFonts w:ascii="Verdana" w:hAnsi="Verdana" w:cs="Arial"/>
          <w:sz w:val="20"/>
          <w:szCs w:val="20"/>
          <w:lang w:val="es-ES_tradnl"/>
        </w:rPr>
        <w:t>”</w:t>
      </w:r>
      <w:r w:rsidRPr="006D7843">
        <w:rPr>
          <w:rFonts w:ascii="Verdana" w:hAnsi="Verdana" w:cs="Arial"/>
          <w:sz w:val="20"/>
          <w:szCs w:val="20"/>
          <w:lang w:val="es-ES_tradnl"/>
        </w:rPr>
        <w:t>.</w:t>
      </w:r>
    </w:p>
    <w:p w14:paraId="0D514097" w14:textId="77777777" w:rsidR="006D7843" w:rsidRPr="006D7843" w:rsidRDefault="006D7843" w:rsidP="006D7843">
      <w:pPr>
        <w:spacing w:after="0" w:line="240" w:lineRule="auto"/>
        <w:jc w:val="both"/>
        <w:rPr>
          <w:rFonts w:ascii="Verdana" w:hAnsi="Verdana" w:cs="Arial"/>
          <w:sz w:val="20"/>
          <w:szCs w:val="20"/>
          <w:lang w:val="es-ES_tradnl"/>
        </w:rPr>
      </w:pPr>
    </w:p>
    <w:p w14:paraId="4504D0F8" w14:textId="77777777" w:rsidR="006D7843" w:rsidRPr="006D7843" w:rsidRDefault="006D7843" w:rsidP="006D7843">
      <w:pPr>
        <w:spacing w:line="240" w:lineRule="auto"/>
        <w:jc w:val="both"/>
        <w:rPr>
          <w:rFonts w:ascii="Verdana" w:eastAsia="Calibri" w:hAnsi="Verdana" w:cs="Arial"/>
          <w:b/>
          <w:bCs/>
        </w:rPr>
      </w:pPr>
      <w:r w:rsidRPr="006D7843">
        <w:rPr>
          <w:rFonts w:ascii="Verdana" w:eastAsia="Calibri" w:hAnsi="Verdana" w:cs="Arial"/>
          <w:b/>
          <w:bCs/>
        </w:rPr>
        <w:t>PAGO ANTICIPADO Y/O ANTICIPO – Límites – Aplicación – Tipo contractual</w:t>
      </w:r>
    </w:p>
    <w:p w14:paraId="58589BA8" w14:textId="77777777" w:rsidR="006D7843" w:rsidRPr="006D7843" w:rsidRDefault="006D7843" w:rsidP="006D7843">
      <w:pPr>
        <w:spacing w:line="240" w:lineRule="auto"/>
        <w:jc w:val="both"/>
        <w:rPr>
          <w:rFonts w:ascii="Verdana" w:eastAsia="Calibri" w:hAnsi="Verdana" w:cs="Arial"/>
          <w:sz w:val="20"/>
          <w:szCs w:val="20"/>
        </w:rPr>
      </w:pPr>
      <w:r w:rsidRPr="006D7843">
        <w:rPr>
          <w:rFonts w:ascii="Verdana" w:eastAsia="Calibri" w:hAnsi="Verdana" w:cs="Arial"/>
          <w:sz w:val="20"/>
          <w:szCs w:val="20"/>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6D4776FF" w14:textId="1242A37D" w:rsidR="006D7843" w:rsidRDefault="006D7843" w:rsidP="00936EDC">
      <w:pPr>
        <w:spacing w:line="240" w:lineRule="auto"/>
        <w:jc w:val="both"/>
        <w:rPr>
          <w:rFonts w:ascii="Verdana" w:eastAsia="Calibri" w:hAnsi="Verdana" w:cs="Arial"/>
          <w:sz w:val="20"/>
          <w:szCs w:val="20"/>
        </w:rPr>
      </w:pPr>
      <w:r w:rsidRPr="006D7843">
        <w:rPr>
          <w:rFonts w:ascii="Verdana" w:eastAsia="Calibri" w:hAnsi="Verdana" w:cs="Arial"/>
          <w:sz w:val="20"/>
          <w:szCs w:val="20"/>
        </w:rPr>
        <w:t>Otro aspecto que se destaca de dicha disposición consiste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676CDC4F" w14:textId="77777777" w:rsidR="00D602C5" w:rsidRPr="00D602C5" w:rsidRDefault="00D602C5" w:rsidP="00D602C5">
      <w:pPr>
        <w:spacing w:after="0" w:line="240" w:lineRule="auto"/>
        <w:jc w:val="both"/>
        <w:textAlignment w:val="baseline"/>
        <w:rPr>
          <w:rFonts w:ascii="Verdana" w:eastAsia="Times New Roman" w:hAnsi="Verdana" w:cs="Segoe UI"/>
          <w:lang w:eastAsia="es-CO"/>
        </w:rPr>
      </w:pPr>
      <w:r w:rsidRPr="00D602C5">
        <w:rPr>
          <w:rFonts w:ascii="Verdana" w:eastAsia="Times New Roman" w:hAnsi="Verdana" w:cs="Segoe UI"/>
          <w:b/>
          <w:bCs/>
          <w:lang w:val="es-ES" w:eastAsia="es-CO"/>
        </w:rPr>
        <w:t>MODIFICACION DE LOS CONTRATOS ESTATALES – Procedencia – Límites</w:t>
      </w:r>
      <w:r w:rsidRPr="00D602C5">
        <w:rPr>
          <w:rFonts w:ascii="Verdana" w:eastAsia="Times New Roman" w:hAnsi="Verdana" w:cs="Segoe UI"/>
          <w:lang w:eastAsia="es-CO"/>
        </w:rPr>
        <w:t> </w:t>
      </w:r>
    </w:p>
    <w:p w14:paraId="564C9EDC" w14:textId="77777777" w:rsidR="00D602C5" w:rsidRPr="00D602C5" w:rsidRDefault="00D602C5" w:rsidP="00D602C5">
      <w:pPr>
        <w:spacing w:after="0" w:line="240" w:lineRule="auto"/>
        <w:jc w:val="both"/>
        <w:textAlignment w:val="baseline"/>
        <w:rPr>
          <w:rFonts w:ascii="Verdana" w:eastAsia="Times New Roman" w:hAnsi="Verdana" w:cs="Segoe UI"/>
          <w:lang w:eastAsia="es-CO"/>
        </w:rPr>
      </w:pPr>
      <w:r w:rsidRPr="00D602C5">
        <w:rPr>
          <w:rFonts w:ascii="Verdana" w:eastAsia="Times New Roman" w:hAnsi="Verdana" w:cs="Segoe UI"/>
          <w:lang w:eastAsia="es-CO"/>
        </w:rPr>
        <w:t> </w:t>
      </w:r>
    </w:p>
    <w:p w14:paraId="2186A55D" w14:textId="547747CB" w:rsidR="00454147" w:rsidRPr="00D602C5" w:rsidRDefault="00D602C5" w:rsidP="00D602C5">
      <w:pPr>
        <w:spacing w:line="240" w:lineRule="auto"/>
        <w:jc w:val="both"/>
        <w:rPr>
          <w:rFonts w:ascii="Verdana" w:eastAsia="Calibri" w:hAnsi="Verdana" w:cs="Arial"/>
          <w:sz w:val="20"/>
          <w:szCs w:val="20"/>
        </w:rPr>
      </w:pPr>
      <w:r w:rsidRPr="00D602C5">
        <w:rPr>
          <w:rFonts w:ascii="Verdana" w:eastAsia="Times New Roman" w:hAnsi="Verdana" w:cs="Segoe UI"/>
          <w:sz w:val="20"/>
          <w:szCs w:val="20"/>
          <w:lang w:val="es-ES" w:eastAsia="es-CO"/>
        </w:rPr>
        <w:t xml:space="preserve">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w:t>
      </w:r>
      <w:r w:rsidRPr="00D602C5">
        <w:rPr>
          <w:rFonts w:ascii="Verdana" w:eastAsia="Times New Roman" w:hAnsi="Verdana" w:cs="Segoe UI"/>
          <w:sz w:val="20"/>
          <w:szCs w:val="20"/>
          <w:lang w:val="es-ES" w:eastAsia="es-CO"/>
        </w:rPr>
        <w:lastRenderedPageBreak/>
        <w:t>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w:t>
      </w:r>
    </w:p>
    <w:p w14:paraId="3941137A" w14:textId="77777777" w:rsidR="00871B59" w:rsidRDefault="00871B59" w:rsidP="00871B59">
      <w:pPr>
        <w:spacing w:after="0" w:line="240" w:lineRule="auto"/>
        <w:rPr>
          <w:rFonts w:ascii="Verdana" w:eastAsia="Geomanist Light" w:hAnsi="Verdana" w:cs="Arial"/>
          <w:color w:val="000000" w:themeColor="text1"/>
          <w:lang w:val="es-MX"/>
        </w:rPr>
      </w:pPr>
    </w:p>
    <w:p w14:paraId="1094F455" w14:textId="77777777" w:rsidR="00871B59" w:rsidRDefault="00871B59" w:rsidP="00871B59">
      <w:pPr>
        <w:spacing w:after="0" w:line="240" w:lineRule="auto"/>
        <w:rPr>
          <w:rFonts w:ascii="Verdana" w:eastAsia="Geomanist Light" w:hAnsi="Verdana" w:cs="Arial"/>
          <w:color w:val="000000" w:themeColor="text1"/>
          <w:lang w:val="es-MX"/>
        </w:rPr>
      </w:pPr>
    </w:p>
    <w:p w14:paraId="3D6E1F85" w14:textId="77777777" w:rsidR="00871B59" w:rsidRDefault="00871B59" w:rsidP="00871B59">
      <w:pPr>
        <w:spacing w:after="0" w:line="240" w:lineRule="auto"/>
        <w:rPr>
          <w:rFonts w:ascii="Verdana" w:eastAsia="Geomanist Light" w:hAnsi="Verdana" w:cs="Arial"/>
          <w:color w:val="000000" w:themeColor="text1"/>
          <w:lang w:val="es-MX"/>
        </w:rPr>
      </w:pPr>
    </w:p>
    <w:p w14:paraId="44BC0576" w14:textId="77777777" w:rsidR="00871B59" w:rsidRDefault="00871B59" w:rsidP="00871B59">
      <w:pPr>
        <w:spacing w:after="0" w:line="240" w:lineRule="auto"/>
        <w:rPr>
          <w:rFonts w:ascii="Verdana" w:eastAsia="Geomanist Light" w:hAnsi="Verdana" w:cs="Arial"/>
          <w:color w:val="000000" w:themeColor="text1"/>
          <w:lang w:val="es-MX"/>
        </w:rPr>
      </w:pPr>
    </w:p>
    <w:p w14:paraId="7C2A5907" w14:textId="77777777" w:rsidR="00871B59" w:rsidRDefault="00871B59" w:rsidP="00871B59">
      <w:pPr>
        <w:spacing w:after="0" w:line="240" w:lineRule="auto"/>
        <w:rPr>
          <w:rFonts w:ascii="Verdana" w:eastAsia="Geomanist Light" w:hAnsi="Verdana" w:cs="Arial"/>
          <w:color w:val="000000" w:themeColor="text1"/>
          <w:lang w:val="es-MX"/>
        </w:rPr>
      </w:pPr>
    </w:p>
    <w:p w14:paraId="7FA66796" w14:textId="77777777" w:rsidR="00871B59" w:rsidRDefault="00871B59" w:rsidP="00871B59">
      <w:pPr>
        <w:spacing w:after="0" w:line="240" w:lineRule="auto"/>
        <w:rPr>
          <w:rFonts w:ascii="Verdana" w:eastAsia="Geomanist Light" w:hAnsi="Verdana" w:cs="Arial"/>
          <w:color w:val="000000" w:themeColor="text1"/>
          <w:lang w:val="es-MX"/>
        </w:rPr>
      </w:pPr>
    </w:p>
    <w:p w14:paraId="2DE0E40C" w14:textId="77777777" w:rsidR="00871B59" w:rsidRDefault="00871B59" w:rsidP="00871B59">
      <w:pPr>
        <w:spacing w:after="0" w:line="240" w:lineRule="auto"/>
        <w:rPr>
          <w:rFonts w:ascii="Verdana" w:eastAsia="Geomanist Light" w:hAnsi="Verdana" w:cs="Arial"/>
          <w:color w:val="000000" w:themeColor="text1"/>
          <w:lang w:val="es-MX"/>
        </w:rPr>
      </w:pPr>
    </w:p>
    <w:p w14:paraId="27997242" w14:textId="77777777" w:rsidR="00871B59" w:rsidRDefault="00871B59" w:rsidP="00871B59">
      <w:pPr>
        <w:spacing w:after="0" w:line="240" w:lineRule="auto"/>
        <w:rPr>
          <w:rFonts w:ascii="Verdana" w:eastAsia="Geomanist Light" w:hAnsi="Verdana" w:cs="Arial"/>
          <w:color w:val="000000" w:themeColor="text1"/>
          <w:lang w:val="es-MX"/>
        </w:rPr>
      </w:pPr>
    </w:p>
    <w:p w14:paraId="44C115E8" w14:textId="77777777" w:rsidR="00871B59" w:rsidRDefault="00871B59" w:rsidP="00871B59">
      <w:pPr>
        <w:spacing w:after="0" w:line="240" w:lineRule="auto"/>
        <w:rPr>
          <w:rFonts w:ascii="Verdana" w:eastAsia="Geomanist Light" w:hAnsi="Verdana" w:cs="Arial"/>
          <w:color w:val="000000" w:themeColor="text1"/>
          <w:lang w:val="es-MX"/>
        </w:rPr>
      </w:pPr>
    </w:p>
    <w:p w14:paraId="6D4ABED7" w14:textId="77777777" w:rsidR="006D7843" w:rsidRDefault="006D7843" w:rsidP="00871B59">
      <w:pPr>
        <w:spacing w:after="0" w:line="240" w:lineRule="auto"/>
        <w:rPr>
          <w:rFonts w:ascii="Verdana" w:eastAsia="Geomanist Light" w:hAnsi="Verdana" w:cs="Arial"/>
          <w:color w:val="000000" w:themeColor="text1"/>
          <w:lang w:val="es-MX"/>
        </w:rPr>
      </w:pPr>
    </w:p>
    <w:p w14:paraId="2B008BD9" w14:textId="77777777" w:rsidR="00117EA2" w:rsidRDefault="00117EA2" w:rsidP="00871B59">
      <w:pPr>
        <w:spacing w:after="0" w:line="240" w:lineRule="auto"/>
        <w:rPr>
          <w:rFonts w:ascii="Verdana" w:eastAsia="Geomanist Light" w:hAnsi="Verdana" w:cs="Arial"/>
          <w:color w:val="000000" w:themeColor="text1"/>
          <w:lang w:val="es-MX"/>
        </w:rPr>
      </w:pPr>
    </w:p>
    <w:p w14:paraId="15A4C108" w14:textId="77777777" w:rsidR="00117EA2" w:rsidRDefault="00117EA2" w:rsidP="00871B59">
      <w:pPr>
        <w:spacing w:after="0" w:line="240" w:lineRule="auto"/>
        <w:rPr>
          <w:rFonts w:ascii="Verdana" w:eastAsia="Geomanist Light" w:hAnsi="Verdana" w:cs="Arial"/>
          <w:color w:val="000000" w:themeColor="text1"/>
          <w:lang w:val="es-MX"/>
        </w:rPr>
      </w:pPr>
    </w:p>
    <w:p w14:paraId="1E75402A" w14:textId="77777777" w:rsidR="00117EA2" w:rsidRDefault="00117EA2" w:rsidP="00871B59">
      <w:pPr>
        <w:spacing w:after="0" w:line="240" w:lineRule="auto"/>
        <w:rPr>
          <w:rFonts w:ascii="Verdana" w:eastAsia="Geomanist Light" w:hAnsi="Verdana" w:cs="Arial"/>
          <w:color w:val="000000" w:themeColor="text1"/>
          <w:lang w:val="es-MX"/>
        </w:rPr>
      </w:pPr>
    </w:p>
    <w:p w14:paraId="0031A005" w14:textId="77777777" w:rsidR="00117EA2" w:rsidRDefault="00117EA2" w:rsidP="00871B59">
      <w:pPr>
        <w:spacing w:after="0" w:line="240" w:lineRule="auto"/>
        <w:rPr>
          <w:rFonts w:ascii="Verdana" w:eastAsia="Geomanist Light" w:hAnsi="Verdana" w:cs="Arial"/>
          <w:color w:val="000000" w:themeColor="text1"/>
          <w:lang w:val="es-MX"/>
        </w:rPr>
      </w:pPr>
    </w:p>
    <w:p w14:paraId="18DB6DA5" w14:textId="77777777" w:rsidR="00117EA2" w:rsidRDefault="00117EA2" w:rsidP="00871B59">
      <w:pPr>
        <w:spacing w:after="0" w:line="240" w:lineRule="auto"/>
        <w:rPr>
          <w:rFonts w:ascii="Verdana" w:eastAsia="Geomanist Light" w:hAnsi="Verdana" w:cs="Arial"/>
          <w:color w:val="000000" w:themeColor="text1"/>
          <w:lang w:val="es-MX"/>
        </w:rPr>
      </w:pPr>
    </w:p>
    <w:p w14:paraId="5F734C3C" w14:textId="77777777" w:rsidR="00117EA2" w:rsidRDefault="00117EA2" w:rsidP="00871B59">
      <w:pPr>
        <w:spacing w:after="0" w:line="240" w:lineRule="auto"/>
        <w:rPr>
          <w:rFonts w:ascii="Verdana" w:eastAsia="Geomanist Light" w:hAnsi="Verdana" w:cs="Arial"/>
          <w:color w:val="000000" w:themeColor="text1"/>
          <w:lang w:val="es-MX"/>
        </w:rPr>
      </w:pPr>
    </w:p>
    <w:p w14:paraId="7879898D" w14:textId="77777777" w:rsidR="00117EA2" w:rsidRDefault="00117EA2" w:rsidP="00871B59">
      <w:pPr>
        <w:spacing w:after="0" w:line="240" w:lineRule="auto"/>
        <w:rPr>
          <w:rFonts w:ascii="Verdana" w:eastAsia="Geomanist Light" w:hAnsi="Verdana" w:cs="Arial"/>
          <w:color w:val="000000" w:themeColor="text1"/>
          <w:lang w:val="es-MX"/>
        </w:rPr>
      </w:pPr>
    </w:p>
    <w:p w14:paraId="1095EE5D" w14:textId="77777777" w:rsidR="00117EA2" w:rsidRDefault="00117EA2" w:rsidP="00871B59">
      <w:pPr>
        <w:spacing w:after="0" w:line="240" w:lineRule="auto"/>
        <w:rPr>
          <w:rFonts w:ascii="Verdana" w:eastAsia="Geomanist Light" w:hAnsi="Verdana" w:cs="Arial"/>
          <w:color w:val="000000" w:themeColor="text1"/>
          <w:lang w:val="es-MX"/>
        </w:rPr>
      </w:pPr>
    </w:p>
    <w:p w14:paraId="32833892" w14:textId="77777777" w:rsidR="00117EA2" w:rsidRDefault="00117EA2" w:rsidP="00871B59">
      <w:pPr>
        <w:spacing w:after="0" w:line="240" w:lineRule="auto"/>
        <w:rPr>
          <w:rFonts w:ascii="Verdana" w:eastAsia="Geomanist Light" w:hAnsi="Verdana" w:cs="Arial"/>
          <w:color w:val="000000" w:themeColor="text1"/>
          <w:lang w:val="es-MX"/>
        </w:rPr>
      </w:pPr>
    </w:p>
    <w:p w14:paraId="6DF8483B" w14:textId="7B95B5DF" w:rsidR="00117EA2" w:rsidRDefault="00117EA2" w:rsidP="00871B59">
      <w:pPr>
        <w:spacing w:after="0" w:line="240" w:lineRule="auto"/>
        <w:rPr>
          <w:rFonts w:ascii="Verdana" w:eastAsia="Geomanist Light" w:hAnsi="Verdana" w:cs="Arial"/>
          <w:color w:val="000000" w:themeColor="text1"/>
          <w:lang w:val="es-MX"/>
        </w:rPr>
      </w:pPr>
    </w:p>
    <w:p w14:paraId="396F32BC" w14:textId="79FA208C" w:rsidR="00D602C5" w:rsidRDefault="00D602C5" w:rsidP="00871B59">
      <w:pPr>
        <w:spacing w:after="0" w:line="240" w:lineRule="auto"/>
        <w:rPr>
          <w:rFonts w:ascii="Verdana" w:eastAsia="Geomanist Light" w:hAnsi="Verdana" w:cs="Arial"/>
          <w:color w:val="000000" w:themeColor="text1"/>
          <w:lang w:val="es-MX"/>
        </w:rPr>
      </w:pPr>
    </w:p>
    <w:p w14:paraId="0BBF9B4A" w14:textId="50B5263F" w:rsidR="00D602C5" w:rsidRDefault="00D602C5" w:rsidP="00871B59">
      <w:pPr>
        <w:spacing w:after="0" w:line="240" w:lineRule="auto"/>
        <w:rPr>
          <w:rFonts w:ascii="Verdana" w:eastAsia="Geomanist Light" w:hAnsi="Verdana" w:cs="Arial"/>
          <w:color w:val="000000" w:themeColor="text1"/>
          <w:lang w:val="es-MX"/>
        </w:rPr>
      </w:pPr>
    </w:p>
    <w:p w14:paraId="508919D9" w14:textId="36B1874E" w:rsidR="00D602C5" w:rsidRDefault="00D602C5" w:rsidP="00871B59">
      <w:pPr>
        <w:spacing w:after="0" w:line="240" w:lineRule="auto"/>
        <w:rPr>
          <w:rFonts w:ascii="Verdana" w:eastAsia="Geomanist Light" w:hAnsi="Verdana" w:cs="Arial"/>
          <w:color w:val="000000" w:themeColor="text1"/>
          <w:lang w:val="es-MX"/>
        </w:rPr>
      </w:pPr>
    </w:p>
    <w:p w14:paraId="53A07D46" w14:textId="4EF2BA46" w:rsidR="00D602C5" w:rsidRDefault="00D602C5" w:rsidP="00871B59">
      <w:pPr>
        <w:spacing w:after="0" w:line="240" w:lineRule="auto"/>
        <w:rPr>
          <w:rFonts w:ascii="Verdana" w:eastAsia="Geomanist Light" w:hAnsi="Verdana" w:cs="Arial"/>
          <w:color w:val="000000" w:themeColor="text1"/>
          <w:lang w:val="es-MX"/>
        </w:rPr>
      </w:pPr>
    </w:p>
    <w:p w14:paraId="50E0F315" w14:textId="60DA5CCB" w:rsidR="00D602C5" w:rsidRDefault="00D602C5" w:rsidP="00871B59">
      <w:pPr>
        <w:spacing w:after="0" w:line="240" w:lineRule="auto"/>
        <w:rPr>
          <w:rFonts w:ascii="Verdana" w:eastAsia="Geomanist Light" w:hAnsi="Verdana" w:cs="Arial"/>
          <w:color w:val="000000" w:themeColor="text1"/>
          <w:lang w:val="es-MX"/>
        </w:rPr>
      </w:pPr>
    </w:p>
    <w:p w14:paraId="3426D4BA" w14:textId="50BBBC82" w:rsidR="00D602C5" w:rsidRDefault="00D602C5" w:rsidP="00871B59">
      <w:pPr>
        <w:spacing w:after="0" w:line="240" w:lineRule="auto"/>
        <w:rPr>
          <w:rFonts w:ascii="Verdana" w:eastAsia="Geomanist Light" w:hAnsi="Verdana" w:cs="Arial"/>
          <w:color w:val="000000" w:themeColor="text1"/>
          <w:lang w:val="es-MX"/>
        </w:rPr>
      </w:pPr>
    </w:p>
    <w:p w14:paraId="4D3BB85E" w14:textId="071CD2A2" w:rsidR="00D602C5" w:rsidRDefault="00D602C5" w:rsidP="00871B59">
      <w:pPr>
        <w:spacing w:after="0" w:line="240" w:lineRule="auto"/>
        <w:rPr>
          <w:rFonts w:ascii="Verdana" w:eastAsia="Geomanist Light" w:hAnsi="Verdana" w:cs="Arial"/>
          <w:color w:val="000000" w:themeColor="text1"/>
          <w:lang w:val="es-MX"/>
        </w:rPr>
      </w:pPr>
    </w:p>
    <w:p w14:paraId="77C93437" w14:textId="7CE517FD" w:rsidR="00D602C5" w:rsidRDefault="00D602C5" w:rsidP="00871B59">
      <w:pPr>
        <w:spacing w:after="0" w:line="240" w:lineRule="auto"/>
        <w:rPr>
          <w:rFonts w:ascii="Verdana" w:eastAsia="Geomanist Light" w:hAnsi="Verdana" w:cs="Arial"/>
          <w:color w:val="000000" w:themeColor="text1"/>
          <w:lang w:val="es-MX"/>
        </w:rPr>
      </w:pPr>
    </w:p>
    <w:p w14:paraId="7BD64868" w14:textId="66A4B597" w:rsidR="00D602C5" w:rsidRDefault="00D602C5" w:rsidP="00871B59">
      <w:pPr>
        <w:spacing w:after="0" w:line="240" w:lineRule="auto"/>
        <w:rPr>
          <w:rFonts w:ascii="Verdana" w:eastAsia="Geomanist Light" w:hAnsi="Verdana" w:cs="Arial"/>
          <w:color w:val="000000" w:themeColor="text1"/>
          <w:lang w:val="es-MX"/>
        </w:rPr>
      </w:pPr>
    </w:p>
    <w:p w14:paraId="57D74CC7" w14:textId="79A94FD9" w:rsidR="00D602C5" w:rsidRDefault="00D602C5" w:rsidP="00871B59">
      <w:pPr>
        <w:spacing w:after="0" w:line="240" w:lineRule="auto"/>
        <w:rPr>
          <w:rFonts w:ascii="Verdana" w:eastAsia="Geomanist Light" w:hAnsi="Verdana" w:cs="Arial"/>
          <w:color w:val="000000" w:themeColor="text1"/>
          <w:lang w:val="es-MX"/>
        </w:rPr>
      </w:pPr>
    </w:p>
    <w:p w14:paraId="6F6924B3" w14:textId="2FB1E462" w:rsidR="00D602C5" w:rsidRDefault="00D602C5" w:rsidP="00871B59">
      <w:pPr>
        <w:spacing w:after="0" w:line="240" w:lineRule="auto"/>
        <w:rPr>
          <w:rFonts w:ascii="Verdana" w:eastAsia="Geomanist Light" w:hAnsi="Verdana" w:cs="Arial"/>
          <w:color w:val="000000" w:themeColor="text1"/>
          <w:lang w:val="es-MX"/>
        </w:rPr>
      </w:pPr>
    </w:p>
    <w:p w14:paraId="2D91AE89" w14:textId="77777777" w:rsidR="00E26AE3" w:rsidRDefault="00E26AE3" w:rsidP="00871B59">
      <w:pPr>
        <w:spacing w:after="0" w:line="240" w:lineRule="auto"/>
        <w:rPr>
          <w:rFonts w:ascii="Verdana" w:eastAsia="Geomanist Light" w:hAnsi="Verdana" w:cs="Arial"/>
          <w:color w:val="000000" w:themeColor="text1"/>
          <w:lang w:val="es-MX"/>
        </w:rPr>
      </w:pPr>
    </w:p>
    <w:p w14:paraId="6700D6DA" w14:textId="5010BA27" w:rsidR="00871B59" w:rsidRPr="00593A5F" w:rsidRDefault="00871B59" w:rsidP="00871B5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DC6A7A">
        <w:rPr>
          <w:rFonts w:ascii="Verdana" w:eastAsia="Geomanist Light" w:hAnsi="Verdana" w:cs="Arial"/>
          <w:color w:val="201F1E"/>
          <w:lang w:val="es-MX"/>
        </w:rPr>
        <w:t>31</w:t>
      </w:r>
      <w:r w:rsidRPr="00593A5F">
        <w:rPr>
          <w:rFonts w:ascii="Verdana" w:eastAsia="Geomanist Light" w:hAnsi="Verdana" w:cs="Arial"/>
          <w:color w:val="201F1E"/>
          <w:lang w:val="es-MX"/>
        </w:rPr>
        <w:t xml:space="preserve"> de </w:t>
      </w:r>
      <w:r w:rsidR="00DC6A7A">
        <w:rPr>
          <w:rFonts w:ascii="Verdana" w:eastAsia="Geomanist Light" w:hAnsi="Verdana" w:cs="Arial"/>
          <w:color w:val="201F1E"/>
          <w:lang w:val="es-MX"/>
        </w:rPr>
        <w:t>julio de 2024</w:t>
      </w:r>
      <w:bookmarkStart w:id="0" w:name="_GoBack"/>
      <w:bookmarkEnd w:id="0"/>
    </w:p>
    <w:p w14:paraId="263F56BE" w14:textId="74A7D1F1" w:rsidR="00871B59" w:rsidRPr="00593A5F" w:rsidRDefault="00EE556C" w:rsidP="00871B59">
      <w:pPr>
        <w:spacing w:after="0" w:line="240" w:lineRule="auto"/>
        <w:jc w:val="both"/>
        <w:rPr>
          <w:rFonts w:ascii="Verdana" w:eastAsia="Calibri" w:hAnsi="Verdana" w:cs="Arial"/>
          <w:color w:val="000000"/>
          <w:lang w:val="es-ES"/>
        </w:rPr>
      </w:pPr>
      <w:r w:rsidRPr="00EE556C">
        <w:rPr>
          <w:rStyle w:val="Hipervnculo"/>
          <w:rFonts w:ascii="Verdana" w:hAnsi="Verdana"/>
          <w:color w:val="auto"/>
          <w:u w:val="none"/>
        </w:rPr>
        <w:drawing>
          <wp:anchor distT="0" distB="0" distL="114300" distR="114300" simplePos="0" relativeHeight="251658240" behindDoc="1" locked="0" layoutInCell="1" allowOverlap="1" wp14:anchorId="15573984" wp14:editId="2B8F9E5F">
            <wp:simplePos x="0" y="0"/>
            <wp:positionH relativeFrom="margin">
              <wp:align>right</wp:align>
            </wp:positionH>
            <wp:positionV relativeFrom="paragraph">
              <wp:posOffset>129374</wp:posOffset>
            </wp:positionV>
            <wp:extent cx="3299319" cy="1105231"/>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99319" cy="1105231"/>
                    </a:xfrm>
                    <a:prstGeom prst="rect">
                      <a:avLst/>
                    </a:prstGeom>
                  </pic:spPr>
                </pic:pic>
              </a:graphicData>
            </a:graphic>
            <wp14:sizeRelH relativeFrom="margin">
              <wp14:pctWidth>0</wp14:pctWidth>
            </wp14:sizeRelH>
            <wp14:sizeRelV relativeFrom="margin">
              <wp14:pctHeight>0</wp14:pctHeight>
            </wp14:sizeRelV>
          </wp:anchor>
        </w:drawing>
      </w:r>
    </w:p>
    <w:p w14:paraId="0D6BBC6C" w14:textId="70C5FA42" w:rsidR="00E26AE3" w:rsidRDefault="00E26AE3" w:rsidP="00871B59">
      <w:pPr>
        <w:spacing w:after="0" w:line="240" w:lineRule="auto"/>
        <w:jc w:val="both"/>
        <w:rPr>
          <w:rFonts w:ascii="Verdana" w:eastAsia="Calibri" w:hAnsi="Verdana" w:cs="Arial"/>
          <w:lang w:val="es-ES" w:eastAsia="es-ES"/>
        </w:rPr>
      </w:pPr>
    </w:p>
    <w:p w14:paraId="66EF7FED" w14:textId="349166C2" w:rsidR="00871B59" w:rsidRPr="00E65BF3" w:rsidRDefault="00871B59" w:rsidP="00871B59">
      <w:pPr>
        <w:spacing w:after="0" w:line="240" w:lineRule="auto"/>
        <w:jc w:val="both"/>
        <w:rPr>
          <w:rFonts w:ascii="Verdana" w:eastAsia="Calibri" w:hAnsi="Verdana" w:cs="Arial"/>
          <w:lang w:val="es-ES" w:eastAsia="es-ES"/>
        </w:rPr>
      </w:pPr>
      <w:r w:rsidRPr="00E65BF3">
        <w:rPr>
          <w:rFonts w:ascii="Verdana" w:eastAsia="Calibri" w:hAnsi="Verdana" w:cs="Arial"/>
          <w:lang w:val="es-ES" w:eastAsia="es-ES"/>
        </w:rPr>
        <w:t>Señor</w:t>
      </w:r>
    </w:p>
    <w:p w14:paraId="0D0B9D30" w14:textId="1F5D3178" w:rsidR="00871B59" w:rsidRPr="00E65BF3" w:rsidRDefault="00267F19" w:rsidP="00871B59">
      <w:pPr>
        <w:spacing w:after="0" w:line="240" w:lineRule="auto"/>
        <w:rPr>
          <w:rFonts w:ascii="Verdana" w:eastAsia="Calibri" w:hAnsi="Verdana" w:cs="Arial"/>
          <w:b/>
          <w:lang w:val="es-ES_tradnl" w:eastAsia="es-ES_tradnl"/>
        </w:rPr>
      </w:pPr>
      <w:r w:rsidRPr="00E65BF3">
        <w:rPr>
          <w:rFonts w:ascii="Verdana" w:eastAsia="Calibri" w:hAnsi="Verdana" w:cs="Arial"/>
          <w:b/>
          <w:lang w:val="es-ES_tradnl" w:eastAsia="es-ES_tradnl"/>
        </w:rPr>
        <w:t>Jhon Vega</w:t>
      </w:r>
    </w:p>
    <w:p w14:paraId="47776454" w14:textId="77F7B356" w:rsidR="00E65BF3" w:rsidRPr="00E65BF3" w:rsidRDefault="00F377BB" w:rsidP="00871B59">
      <w:pPr>
        <w:spacing w:after="0" w:line="240" w:lineRule="auto"/>
        <w:rPr>
          <w:rFonts w:ascii="Verdana" w:hAnsi="Verdana"/>
        </w:rPr>
      </w:pPr>
      <w:hyperlink r:id="rId12" w:history="1">
        <w:r w:rsidR="00E65BF3" w:rsidRPr="00E65BF3">
          <w:rPr>
            <w:rStyle w:val="Hipervnculo"/>
            <w:rFonts w:ascii="Verdana" w:hAnsi="Verdana"/>
            <w:color w:val="auto"/>
            <w:u w:val="none"/>
          </w:rPr>
          <w:t>jhonvega.2058@gmail.com</w:t>
        </w:r>
      </w:hyperlink>
      <w:r w:rsidR="00EE556C">
        <w:rPr>
          <w:rStyle w:val="Hipervnculo"/>
          <w:rFonts w:ascii="Verdana" w:hAnsi="Verdana"/>
          <w:color w:val="auto"/>
          <w:u w:val="none"/>
        </w:rPr>
        <w:t xml:space="preserve">   </w:t>
      </w:r>
    </w:p>
    <w:p w14:paraId="75545CBA" w14:textId="195EFA55" w:rsidR="00871B59" w:rsidRDefault="00E26AE3" w:rsidP="00871B59">
      <w:pPr>
        <w:spacing w:after="0" w:line="240" w:lineRule="auto"/>
        <w:rPr>
          <w:rFonts w:ascii="Verdana" w:eastAsia="Calibri" w:hAnsi="Verdana" w:cs="Arial"/>
          <w:lang w:val="es-ES" w:eastAsia="es-ES"/>
        </w:rPr>
      </w:pPr>
      <w:r>
        <w:rPr>
          <w:rFonts w:ascii="Verdana" w:eastAsia="Calibri" w:hAnsi="Verdana" w:cs="Arial"/>
          <w:lang w:val="es-ES" w:eastAsia="es-ES"/>
        </w:rPr>
        <w:t>Ciudad</w:t>
      </w:r>
    </w:p>
    <w:p w14:paraId="161907D8" w14:textId="77777777" w:rsidR="00E26AE3" w:rsidRDefault="00E26AE3" w:rsidP="00871B59">
      <w:pPr>
        <w:spacing w:after="0" w:line="240" w:lineRule="auto"/>
        <w:rPr>
          <w:rFonts w:ascii="Verdana" w:eastAsia="Calibri" w:hAnsi="Verdana" w:cs="Arial"/>
          <w:lang w:val="es-ES" w:eastAsia="es-ES"/>
        </w:rPr>
      </w:pPr>
    </w:p>
    <w:p w14:paraId="6CCFF59A" w14:textId="77777777" w:rsidR="003E4C6C" w:rsidRPr="00593A5F" w:rsidRDefault="003E4C6C" w:rsidP="00871B59">
      <w:pPr>
        <w:spacing w:after="0" w:line="240" w:lineRule="auto"/>
        <w:rPr>
          <w:rFonts w:ascii="Verdana" w:eastAsia="Calibri" w:hAnsi="Verdana" w:cs="Arial"/>
          <w:b/>
          <w:bCs/>
          <w:color w:val="000000"/>
          <w:lang w:val="es-ES_tradnl" w:eastAsia="es-ES_tradnl"/>
        </w:rPr>
      </w:pPr>
    </w:p>
    <w:p w14:paraId="40764CBF" w14:textId="77777777" w:rsidR="00871B59" w:rsidRPr="00593A5F" w:rsidRDefault="00871B59" w:rsidP="00871B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3A5F" w14:paraId="6AC1791A" w14:textId="77777777" w:rsidTr="002607A7">
        <w:trPr>
          <w:trHeight w:val="884"/>
        </w:trPr>
        <w:tc>
          <w:tcPr>
            <w:tcW w:w="2689" w:type="dxa"/>
          </w:tcPr>
          <w:p w14:paraId="156B1AEC" w14:textId="77777777" w:rsidR="00871B59" w:rsidRPr="00C00976" w:rsidRDefault="00871B59" w:rsidP="002607A7">
            <w:pPr>
              <w:jc w:val="both"/>
              <w:rPr>
                <w:rFonts w:ascii="Verdana" w:eastAsia="Calibri" w:hAnsi="Verdana" w:cs="Arial"/>
                <w:b/>
                <w:bCs/>
                <w:color w:val="7030A0"/>
                <w:lang w:val="es-ES_tradnl" w:eastAsia="es-ES_tradnl"/>
              </w:rPr>
            </w:pPr>
          </w:p>
        </w:tc>
        <w:tc>
          <w:tcPr>
            <w:tcW w:w="6100" w:type="dxa"/>
          </w:tcPr>
          <w:p w14:paraId="48F499EA" w14:textId="725F061E" w:rsidR="00871B59" w:rsidRPr="007B60E9" w:rsidRDefault="00871B59" w:rsidP="002607A7">
            <w:pPr>
              <w:jc w:val="both"/>
              <w:rPr>
                <w:rFonts w:ascii="Verdana" w:eastAsia="Calibri" w:hAnsi="Verdana" w:cs="Arial"/>
                <w:b/>
                <w:bCs/>
                <w:color w:val="7030A0"/>
                <w:lang w:val="es-ES" w:eastAsia="es-ES"/>
              </w:rPr>
            </w:pPr>
            <w:r w:rsidRPr="007B60E9">
              <w:rPr>
                <w:rFonts w:ascii="Verdana" w:eastAsia="Calibri" w:hAnsi="Verdana" w:cs="Arial"/>
                <w:b/>
                <w:bCs/>
                <w:lang w:val="es-ES" w:eastAsia="es-ES"/>
              </w:rPr>
              <w:t>Concepto C-</w:t>
            </w:r>
            <w:r w:rsidR="007B60E9" w:rsidRPr="007B60E9">
              <w:rPr>
                <w:rFonts w:ascii="Verdana" w:eastAsia="Calibri" w:hAnsi="Verdana" w:cs="Arial"/>
                <w:b/>
                <w:bCs/>
                <w:lang w:val="es-ES" w:eastAsia="es-ES"/>
              </w:rPr>
              <w:t>188</w:t>
            </w:r>
            <w:r w:rsidRPr="007B60E9">
              <w:rPr>
                <w:rFonts w:ascii="Verdana" w:eastAsia="Calibri" w:hAnsi="Verdana" w:cs="Arial"/>
                <w:b/>
                <w:bCs/>
                <w:lang w:val="es-ES" w:eastAsia="es-ES"/>
              </w:rPr>
              <w:t xml:space="preserve"> de </w:t>
            </w:r>
            <w:r w:rsidR="007B60E9" w:rsidRPr="007B60E9">
              <w:rPr>
                <w:rFonts w:ascii="Verdana" w:eastAsia="Calibri" w:hAnsi="Verdana" w:cs="Arial"/>
                <w:b/>
                <w:bCs/>
                <w:lang w:val="es-ES" w:eastAsia="es-ES"/>
              </w:rPr>
              <w:t>2024</w:t>
            </w:r>
          </w:p>
        </w:tc>
      </w:tr>
      <w:tr w:rsidR="00871B59" w:rsidRPr="00593A5F" w14:paraId="0DD246A7" w14:textId="77777777" w:rsidTr="002607A7">
        <w:trPr>
          <w:trHeight w:val="884"/>
        </w:trPr>
        <w:tc>
          <w:tcPr>
            <w:tcW w:w="2689" w:type="dxa"/>
          </w:tcPr>
          <w:p w14:paraId="1B4FC525" w14:textId="77777777" w:rsidR="00871B59" w:rsidRPr="004B40A6" w:rsidRDefault="00871B59" w:rsidP="002607A7">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7ADD1096" w14:textId="0D0264FA" w:rsidR="00871B59" w:rsidRPr="004B40A6" w:rsidRDefault="006D7843" w:rsidP="002607A7">
            <w:pPr>
              <w:spacing w:line="276" w:lineRule="auto"/>
              <w:jc w:val="both"/>
              <w:rPr>
                <w:rFonts w:ascii="Verdana" w:eastAsia="Calibri" w:hAnsi="Verdana" w:cs="Arial"/>
                <w:bCs/>
                <w:lang w:val="es-ES" w:eastAsia="es-ES"/>
              </w:rPr>
            </w:pPr>
            <w:r w:rsidRPr="004B40A6">
              <w:rPr>
                <w:rFonts w:ascii="Verdana" w:hAnsi="Verdana" w:cs="Arial"/>
                <w:bCs/>
                <w:lang w:val="es-ES_tradnl"/>
              </w:rPr>
              <w:t>ANTICIPO – Regulación normativa</w:t>
            </w:r>
            <w:r w:rsidRPr="004B40A6">
              <w:rPr>
                <w:rFonts w:ascii="Verdana" w:eastAsia="Calibri" w:hAnsi="Verdana" w:cs="Arial"/>
                <w:bCs/>
                <w:lang w:val="es-ES" w:eastAsia="es-ES"/>
              </w:rPr>
              <w:t xml:space="preserve"> / </w:t>
            </w:r>
            <w:r w:rsidRPr="004B40A6">
              <w:rPr>
                <w:rFonts w:ascii="Verdana" w:hAnsi="Verdana" w:cs="Arial"/>
                <w:bCs/>
              </w:rPr>
              <w:t xml:space="preserve">ANTICIPO – Definición jurisprudencial / </w:t>
            </w:r>
            <w:r w:rsidRPr="004B40A6">
              <w:rPr>
                <w:rFonts w:ascii="Verdana" w:eastAsia="Calibri" w:hAnsi="Verdana" w:cs="Arial"/>
                <w:bCs/>
              </w:rPr>
              <w:t>PAGO ANTICIPADO Y/O ANTICIPO – Límites – Aplicación – Tipo contractual</w:t>
            </w:r>
            <w:r w:rsidR="009A3734">
              <w:rPr>
                <w:rFonts w:ascii="Verdana" w:eastAsia="Calibri" w:hAnsi="Verdana" w:cs="Arial"/>
                <w:bCs/>
              </w:rPr>
              <w:t xml:space="preserve"> / </w:t>
            </w:r>
            <w:r w:rsidR="009A3734" w:rsidRPr="009A3734">
              <w:rPr>
                <w:rFonts w:ascii="Verdana" w:eastAsia="Times New Roman" w:hAnsi="Verdana" w:cs="Segoe UI"/>
                <w:lang w:val="es-ES" w:eastAsia="es-CO"/>
              </w:rPr>
              <w:t>MODIFICACION DE LOS CONTRATOS ESTATALES – Procedencia – Límites</w:t>
            </w:r>
          </w:p>
        </w:tc>
      </w:tr>
      <w:tr w:rsidR="00871B59" w:rsidRPr="00593A5F" w14:paraId="0A874006" w14:textId="77777777" w:rsidTr="002607A7">
        <w:tc>
          <w:tcPr>
            <w:tcW w:w="2689" w:type="dxa"/>
          </w:tcPr>
          <w:p w14:paraId="56ED2765" w14:textId="77777777" w:rsidR="00871B59" w:rsidRPr="004B40A6" w:rsidRDefault="00871B59" w:rsidP="002607A7">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630D2668" w14:textId="250EF5AB" w:rsidR="00871B59" w:rsidRPr="004B40A6" w:rsidRDefault="00871B59" w:rsidP="002607A7">
            <w:pPr>
              <w:jc w:val="both"/>
              <w:rPr>
                <w:rFonts w:ascii="Verdana" w:eastAsia="Calibri" w:hAnsi="Verdana" w:cs="Arial"/>
                <w:lang w:val="es-ES_tradnl" w:eastAsia="es-ES_tradnl"/>
              </w:rPr>
            </w:pPr>
            <w:r w:rsidRPr="004B40A6">
              <w:rPr>
                <w:rFonts w:ascii="Verdana" w:eastAsia="Calibri" w:hAnsi="Verdana" w:cs="Arial"/>
                <w:lang w:val="es-ES_tradnl" w:eastAsia="es-ES_tradnl"/>
              </w:rPr>
              <w:t xml:space="preserve">Respuesta a consulta con radicado No. </w:t>
            </w:r>
            <w:r w:rsidR="004B40A6" w:rsidRPr="004B40A6">
              <w:rPr>
                <w:rFonts w:ascii="Verdana" w:eastAsia="Calibri" w:hAnsi="Verdana" w:cs="Arial"/>
                <w:lang w:val="es-ES_tradnl" w:eastAsia="es-ES_tradnl"/>
              </w:rPr>
              <w:t>P20240618006209</w:t>
            </w:r>
          </w:p>
        </w:tc>
      </w:tr>
    </w:tbl>
    <w:p w14:paraId="01AFCA4D"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4FF08E37" w14:textId="77777777" w:rsidR="00871B59" w:rsidRPr="00593A5F" w:rsidRDefault="00871B59" w:rsidP="00871B59">
      <w:pPr>
        <w:spacing w:after="0" w:line="240" w:lineRule="auto"/>
        <w:jc w:val="both"/>
        <w:rPr>
          <w:rFonts w:ascii="Verdana" w:eastAsia="Calibri" w:hAnsi="Verdana" w:cs="Arial"/>
          <w:color w:val="000000"/>
          <w:lang w:val="es-ES_tradnl" w:eastAsia="es-ES_tradnl"/>
        </w:rPr>
      </w:pPr>
    </w:p>
    <w:p w14:paraId="5A8CAE32" w14:textId="675A3438" w:rsidR="00871B59" w:rsidRPr="004B40A6" w:rsidRDefault="00871B59" w:rsidP="00871B59">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 xml:space="preserve">Estimado señor </w:t>
      </w:r>
      <w:r w:rsidR="004B40A6" w:rsidRPr="004B40A6">
        <w:rPr>
          <w:rFonts w:ascii="Verdana" w:eastAsia="Calibri" w:hAnsi="Verdana" w:cs="Arial"/>
          <w:lang w:val="es-ES" w:eastAsia="es-ES"/>
        </w:rPr>
        <w:t>Vega</w:t>
      </w:r>
      <w:r w:rsidRPr="004B40A6">
        <w:rPr>
          <w:rFonts w:ascii="Verdana" w:eastAsia="Calibri" w:hAnsi="Verdana" w:cs="Arial"/>
          <w:lang w:val="es-ES" w:eastAsia="es-ES"/>
        </w:rPr>
        <w:t xml:space="preserve">: </w:t>
      </w:r>
    </w:p>
    <w:p w14:paraId="62039951" w14:textId="77777777" w:rsidR="00871B59" w:rsidRPr="004B40A6" w:rsidRDefault="00871B59" w:rsidP="00871B59">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3F1D9A82" w14:textId="7DC4B750" w:rsidR="00871B59" w:rsidRPr="004B40A6" w:rsidRDefault="00871B59" w:rsidP="00871B59">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En ejercicio de la competencia otorgada por los artículos 3, numeral 5º, y 11, numeral 8º, del Decreto Ley 4170 de 2011,</w:t>
      </w:r>
      <w:r w:rsidRPr="004B40A6">
        <w:rPr>
          <w:rFonts w:ascii="Verdana" w:eastAsia="Arial MT" w:hAnsi="Verdana" w:cs="Arial MT"/>
          <w:lang w:val="es-ES" w:eastAsia="es-ES"/>
        </w:rPr>
        <w:t xml:space="preserve"> </w:t>
      </w:r>
      <w:r w:rsidRPr="004B40A6">
        <w:rPr>
          <w:rFonts w:ascii="Verdana" w:hAnsi="Verdana" w:cs="Arial"/>
        </w:rPr>
        <w:t xml:space="preserve">así como lo establecido en el artículo 4 de la Resolución 1707 de 2018 expedida por esta Entidad, </w:t>
      </w:r>
      <w:r w:rsidRPr="004B40A6">
        <w:rPr>
          <w:rFonts w:ascii="Verdana" w:eastAsia="Calibri" w:hAnsi="Verdana" w:cs="Arial"/>
          <w:lang w:val="es-ES" w:eastAsia="es-ES"/>
        </w:rPr>
        <w:t xml:space="preserve">la Agencia Nacional de Contratación Pública – Colombia Compra Eficiente– responde su solicitud de consulta de fecha </w:t>
      </w:r>
      <w:r w:rsidR="004B40A6" w:rsidRPr="004B40A6">
        <w:rPr>
          <w:rFonts w:ascii="Verdana" w:eastAsia="Calibri" w:hAnsi="Verdana" w:cs="Arial"/>
          <w:lang w:val="es-ES" w:eastAsia="es-ES"/>
        </w:rPr>
        <w:t>18</w:t>
      </w:r>
      <w:r w:rsidRPr="004B40A6">
        <w:rPr>
          <w:rFonts w:ascii="Verdana" w:eastAsia="Calibri" w:hAnsi="Verdana" w:cs="Arial"/>
          <w:lang w:val="es-ES" w:eastAsia="es-ES"/>
        </w:rPr>
        <w:t xml:space="preserve"> de </w:t>
      </w:r>
      <w:r w:rsidR="004B40A6" w:rsidRPr="004B40A6">
        <w:rPr>
          <w:rFonts w:ascii="Verdana" w:eastAsia="Calibri" w:hAnsi="Verdana" w:cs="Arial"/>
          <w:lang w:val="es-ES" w:eastAsia="es-ES"/>
        </w:rPr>
        <w:t>junio</w:t>
      </w:r>
      <w:r w:rsidRPr="004B40A6">
        <w:rPr>
          <w:rFonts w:ascii="Verdana" w:eastAsia="Calibri" w:hAnsi="Verdana" w:cs="Arial"/>
          <w:lang w:val="es-ES" w:eastAsia="es-ES"/>
        </w:rPr>
        <w:t xml:space="preserve"> de 20</w:t>
      </w:r>
      <w:r w:rsidR="004B40A6" w:rsidRPr="004B40A6">
        <w:rPr>
          <w:rFonts w:ascii="Verdana" w:eastAsia="Calibri" w:hAnsi="Verdana" w:cs="Arial"/>
          <w:lang w:val="es-ES" w:eastAsia="es-ES"/>
        </w:rPr>
        <w:t>24</w:t>
      </w:r>
      <w:r w:rsidRPr="004B40A6">
        <w:rPr>
          <w:rFonts w:ascii="Verdana" w:eastAsia="Calibri" w:hAnsi="Verdana" w:cs="Arial"/>
          <w:lang w:val="es-ES" w:eastAsia="es-ES"/>
        </w:rPr>
        <w:t xml:space="preserve">, en la cual manifiesta lo siguiente: </w:t>
      </w:r>
    </w:p>
    <w:p w14:paraId="6DBD3E26" w14:textId="77777777" w:rsidR="00871B59" w:rsidRPr="004B40A6"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1006183E" w14:textId="50F058E3" w:rsidR="00871B59" w:rsidRPr="00EB6AD2" w:rsidRDefault="00871B59" w:rsidP="00871B59">
      <w:pPr>
        <w:spacing w:after="0" w:line="240" w:lineRule="auto"/>
        <w:ind w:left="709" w:right="709"/>
        <w:jc w:val="both"/>
        <w:rPr>
          <w:rFonts w:ascii="Verdana" w:eastAsia="Century Gothic" w:hAnsi="Verdana" w:cs="Century Gothic"/>
          <w:color w:val="7030A0"/>
          <w:sz w:val="20"/>
          <w:szCs w:val="20"/>
          <w:lang w:val="es-ES"/>
        </w:rPr>
      </w:pPr>
      <w:bookmarkStart w:id="1" w:name="_Hlk95313578"/>
      <w:r w:rsidRPr="00EB6AD2">
        <w:rPr>
          <w:rFonts w:ascii="Verdana" w:eastAsia="Century Gothic" w:hAnsi="Verdana" w:cs="Century Gothic"/>
          <w:sz w:val="20"/>
          <w:szCs w:val="20"/>
          <w:lang w:val="es-ES"/>
        </w:rPr>
        <w:t>“</w:t>
      </w:r>
      <w:r w:rsidR="004B40A6" w:rsidRPr="00EB6AD2">
        <w:rPr>
          <w:rFonts w:ascii="Verdana" w:hAnsi="Verdana"/>
          <w:sz w:val="20"/>
          <w:szCs w:val="20"/>
        </w:rPr>
        <w:t>¿puede un contratista renunciar al anticipo, si ya está adjudicado el contrato?</w:t>
      </w:r>
      <w:r w:rsidRPr="00EB6AD2">
        <w:rPr>
          <w:rFonts w:ascii="Verdana" w:eastAsia="Century Gothic" w:hAnsi="Verdana" w:cs="Century Gothic"/>
          <w:sz w:val="20"/>
          <w:szCs w:val="20"/>
          <w:lang w:val="es-ES"/>
        </w:rPr>
        <w:t>”</w:t>
      </w:r>
      <w:bookmarkEnd w:id="1"/>
      <w:r w:rsidRPr="00EB6AD2">
        <w:rPr>
          <w:rFonts w:ascii="Verdana" w:eastAsia="Century Gothic" w:hAnsi="Verdana" w:cs="Century Gothic"/>
          <w:sz w:val="20"/>
          <w:szCs w:val="20"/>
          <w:lang w:val="es-ES"/>
        </w:rPr>
        <w:t>.</w:t>
      </w:r>
    </w:p>
    <w:p w14:paraId="54DCAD4E" w14:textId="77777777" w:rsidR="00871B59" w:rsidRPr="00593A5F" w:rsidRDefault="00871B59" w:rsidP="00871B59">
      <w:pPr>
        <w:pStyle w:val="Prrafodelista"/>
        <w:tabs>
          <w:tab w:val="left" w:pos="142"/>
          <w:tab w:val="left" w:pos="284"/>
        </w:tabs>
        <w:spacing w:line="276" w:lineRule="auto"/>
        <w:ind w:left="0"/>
        <w:jc w:val="both"/>
        <w:rPr>
          <w:rFonts w:ascii="Verdana" w:eastAsia="Century Gothic" w:hAnsi="Verdana" w:cs="Century Gothic"/>
          <w:b/>
          <w:bCs/>
          <w:lang w:val="es-ES"/>
        </w:rPr>
      </w:pPr>
    </w:p>
    <w:p w14:paraId="30F17EAD" w14:textId="61D1B130" w:rsidR="00871B59" w:rsidRDefault="00871B59" w:rsidP="00871B5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sidR="006B6160">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w:t>
      </w:r>
      <w:r w:rsidRPr="00593A5F">
        <w:rPr>
          <w:rFonts w:ascii="Verdana" w:eastAsia="Calibri" w:hAnsi="Verdana" w:cs="Arial"/>
          <w:color w:val="000000"/>
          <w:lang w:val="es-ES" w:eastAsia="es-ES"/>
        </w:rPr>
        <w:lastRenderedPageBreak/>
        <w:t xml:space="preserve">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B95778F" w14:textId="77777777" w:rsidR="00871B59" w:rsidRPr="004B40A6" w:rsidRDefault="00871B59" w:rsidP="00871B59">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0187214" w14:textId="77777777" w:rsidR="00871B59" w:rsidRPr="00593A5F" w:rsidRDefault="00871B59" w:rsidP="00871B59">
      <w:pPr>
        <w:spacing w:after="0" w:line="276" w:lineRule="auto"/>
        <w:ind w:firstLine="709"/>
        <w:jc w:val="both"/>
        <w:rPr>
          <w:rFonts w:ascii="Verdana" w:eastAsia="Calibri" w:hAnsi="Verdana" w:cs="Arial"/>
          <w:color w:val="000000"/>
          <w:lang w:val="es-ES" w:eastAsia="es-ES"/>
        </w:rPr>
      </w:pPr>
    </w:p>
    <w:p w14:paraId="74DD4DE4" w14:textId="77777777" w:rsidR="00871B59" w:rsidRPr="00593A5F" w:rsidRDefault="00871B59" w:rsidP="00871B59">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lang w:val="es-ES"/>
        </w:rPr>
      </w:pPr>
      <w:r w:rsidRPr="00593A5F">
        <w:rPr>
          <w:rFonts w:ascii="Verdana" w:eastAsia="Century Gothic" w:hAnsi="Verdana" w:cs="Century Gothic"/>
          <w:b/>
          <w:bCs/>
          <w:lang w:val="es-ES"/>
        </w:rPr>
        <w:t>Problema planteado:</w:t>
      </w:r>
    </w:p>
    <w:p w14:paraId="690221EE" w14:textId="77777777" w:rsidR="00871B59" w:rsidRPr="00593A5F" w:rsidRDefault="00871B59" w:rsidP="00871B59">
      <w:pPr>
        <w:tabs>
          <w:tab w:val="left" w:pos="426"/>
        </w:tabs>
        <w:spacing w:after="0" w:line="276" w:lineRule="auto"/>
        <w:jc w:val="both"/>
        <w:rPr>
          <w:rFonts w:ascii="Verdana" w:eastAsia="Century Gothic" w:hAnsi="Verdana" w:cs="Century Gothic"/>
          <w:lang w:val="es-ES"/>
        </w:rPr>
      </w:pPr>
    </w:p>
    <w:p w14:paraId="11DC9C47" w14:textId="470D5570" w:rsidR="00871B59" w:rsidRPr="004B40A6" w:rsidRDefault="00871B59" w:rsidP="00871B59">
      <w:pPr>
        <w:spacing w:after="0" w:line="276" w:lineRule="auto"/>
        <w:jc w:val="both"/>
        <w:rPr>
          <w:rFonts w:ascii="Verdana" w:eastAsia="Century Gothic" w:hAnsi="Verdana" w:cs="Century Gothic"/>
        </w:rPr>
      </w:pPr>
      <w:r w:rsidRPr="004B40A6">
        <w:rPr>
          <w:rFonts w:ascii="Verdana" w:eastAsia="Century Gothic" w:hAnsi="Verdana" w:cs="Century Gothic"/>
        </w:rPr>
        <w:t>De acuerdo con el contenido de su solicitud, esta Agencia resolverá</w:t>
      </w:r>
      <w:r w:rsidR="00AD3F51">
        <w:rPr>
          <w:rFonts w:ascii="Verdana" w:eastAsia="Century Gothic" w:hAnsi="Verdana" w:cs="Century Gothic"/>
        </w:rPr>
        <w:t xml:space="preserve"> la </w:t>
      </w:r>
      <w:r w:rsidR="00AD3F51" w:rsidRPr="004B40A6">
        <w:rPr>
          <w:rFonts w:ascii="Verdana" w:eastAsia="Century Gothic" w:hAnsi="Verdana" w:cs="Century Gothic"/>
        </w:rPr>
        <w:t xml:space="preserve">siguiente </w:t>
      </w:r>
      <w:r w:rsidR="00AD3F51">
        <w:rPr>
          <w:rFonts w:ascii="Verdana" w:eastAsia="Century Gothic" w:hAnsi="Verdana" w:cs="Century Gothic"/>
        </w:rPr>
        <w:t xml:space="preserve">cuestión </w:t>
      </w:r>
      <w:r w:rsidR="00AD3F51" w:rsidRPr="004B40A6">
        <w:rPr>
          <w:rFonts w:ascii="Verdana" w:eastAsia="Century Gothic" w:hAnsi="Verdana" w:cs="Century Gothic"/>
        </w:rPr>
        <w:t>jurídic</w:t>
      </w:r>
      <w:r w:rsidR="00AD3F51">
        <w:rPr>
          <w:rFonts w:ascii="Verdana" w:eastAsia="Century Gothic" w:hAnsi="Verdana" w:cs="Century Gothic"/>
        </w:rPr>
        <w:t>a</w:t>
      </w:r>
      <w:r w:rsidR="00AD3F51" w:rsidRPr="004B40A6">
        <w:rPr>
          <w:rFonts w:ascii="Verdana" w:eastAsia="Century Gothic" w:hAnsi="Verdana" w:cs="Century Gothic"/>
        </w:rPr>
        <w:t>:</w:t>
      </w:r>
      <w:r w:rsidR="00AD3F51">
        <w:rPr>
          <w:rFonts w:ascii="Verdana" w:eastAsia="Century Gothic" w:hAnsi="Verdana" w:cs="Century Gothic"/>
        </w:rPr>
        <w:t xml:space="preserve"> </w:t>
      </w:r>
      <w:r w:rsidRPr="004B40A6">
        <w:rPr>
          <w:rFonts w:ascii="Verdana" w:eastAsia="Century Gothic" w:hAnsi="Verdana" w:cs="Century Gothic"/>
        </w:rPr>
        <w:t>¿</w:t>
      </w:r>
      <w:r w:rsidR="004B40A6" w:rsidRPr="004B40A6">
        <w:rPr>
          <w:rFonts w:ascii="Verdana" w:eastAsia="Century Gothic" w:hAnsi="Verdana" w:cs="Century Gothic"/>
        </w:rPr>
        <w:t xml:space="preserve">Puede un contratista renunciar al anticipo, así este adjudicado el contrato con la entidad estatal? </w:t>
      </w:r>
    </w:p>
    <w:p w14:paraId="57640A16" w14:textId="77777777" w:rsidR="00871B59" w:rsidRPr="00593A5F" w:rsidRDefault="00871B59" w:rsidP="00871B59">
      <w:pPr>
        <w:spacing w:after="0" w:line="276" w:lineRule="auto"/>
        <w:jc w:val="both"/>
        <w:rPr>
          <w:rFonts w:ascii="Verdana" w:eastAsia="Calibri" w:hAnsi="Verdana" w:cs="Arial"/>
          <w:color w:val="7030A0"/>
          <w:lang w:val="es-ES"/>
        </w:rPr>
      </w:pPr>
    </w:p>
    <w:p w14:paraId="33E3D3F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4647B31A"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593A5F" w14:paraId="14984B9D" w14:textId="77777777" w:rsidTr="002607A7">
        <w:tc>
          <w:tcPr>
            <w:tcW w:w="8828" w:type="dxa"/>
            <w:shd w:val="clear" w:color="auto" w:fill="auto"/>
          </w:tcPr>
          <w:p w14:paraId="06F2621D" w14:textId="5F9DC5CD" w:rsidR="000612B8" w:rsidRDefault="00A5703C" w:rsidP="0049103D">
            <w:pPr>
              <w:spacing w:line="276" w:lineRule="auto"/>
              <w:jc w:val="both"/>
              <w:rPr>
                <w:rFonts w:ascii="Verdana" w:hAnsi="Verdana"/>
              </w:rPr>
            </w:pPr>
            <w:r>
              <w:rPr>
                <w:rFonts w:ascii="Verdana" w:hAnsi="Verdana"/>
              </w:rPr>
              <w:t>Atendiendo el</w:t>
            </w:r>
            <w:r w:rsidR="00266156">
              <w:rPr>
                <w:rFonts w:ascii="Verdana" w:hAnsi="Verdana"/>
              </w:rPr>
              <w:t xml:space="preserve"> </w:t>
            </w:r>
            <w:r w:rsidR="004E7E29">
              <w:rPr>
                <w:rFonts w:ascii="Verdana" w:hAnsi="Verdana"/>
              </w:rPr>
              <w:t xml:space="preserve">problema </w:t>
            </w:r>
            <w:r w:rsidR="001E6C9A">
              <w:rPr>
                <w:rFonts w:ascii="Verdana" w:hAnsi="Verdana"/>
              </w:rPr>
              <w:t>planteado</w:t>
            </w:r>
            <w:r w:rsidR="004E7E29">
              <w:rPr>
                <w:rFonts w:ascii="Verdana" w:hAnsi="Verdana"/>
              </w:rPr>
              <w:t xml:space="preserve"> objeto de consulta</w:t>
            </w:r>
            <w:r w:rsidR="005C4902" w:rsidRPr="0049103D">
              <w:rPr>
                <w:rFonts w:ascii="Verdana" w:hAnsi="Verdana"/>
              </w:rPr>
              <w:t xml:space="preserve">, es </w:t>
            </w:r>
            <w:r w:rsidR="004E7E29">
              <w:rPr>
                <w:rFonts w:ascii="Verdana" w:hAnsi="Verdana"/>
              </w:rPr>
              <w:t>viable</w:t>
            </w:r>
            <w:r w:rsidR="00266156">
              <w:rPr>
                <w:rFonts w:ascii="Verdana" w:hAnsi="Verdana"/>
              </w:rPr>
              <w:t xml:space="preserve"> afirmar</w:t>
            </w:r>
            <w:r w:rsidR="004E7E29">
              <w:rPr>
                <w:rFonts w:ascii="Verdana" w:hAnsi="Verdana"/>
              </w:rPr>
              <w:t xml:space="preserve"> que </w:t>
            </w:r>
            <w:r w:rsidR="00691CC8">
              <w:rPr>
                <w:rFonts w:ascii="Verdana" w:hAnsi="Verdana"/>
              </w:rPr>
              <w:t>el</w:t>
            </w:r>
            <w:r w:rsidR="004E7E29">
              <w:rPr>
                <w:rFonts w:ascii="Verdana" w:hAnsi="Verdana"/>
              </w:rPr>
              <w:t xml:space="preserve"> contratista puede renunciar</w:t>
            </w:r>
            <w:r w:rsidR="005C4902" w:rsidRPr="0049103D">
              <w:rPr>
                <w:rFonts w:ascii="Verdana" w:hAnsi="Verdana"/>
              </w:rPr>
              <w:t xml:space="preserve"> </w:t>
            </w:r>
            <w:r w:rsidR="00266156">
              <w:rPr>
                <w:rFonts w:ascii="Verdana" w:hAnsi="Verdana"/>
              </w:rPr>
              <w:t>al anticipo</w:t>
            </w:r>
            <w:r w:rsidR="004E7E29">
              <w:rPr>
                <w:rFonts w:ascii="Verdana" w:hAnsi="Verdana"/>
              </w:rPr>
              <w:t xml:space="preserve"> así </w:t>
            </w:r>
            <w:r w:rsidR="00691CC8">
              <w:rPr>
                <w:rFonts w:ascii="Verdana" w:hAnsi="Verdana"/>
              </w:rPr>
              <w:t>el contrato</w:t>
            </w:r>
            <w:r w:rsidR="004E7E29">
              <w:rPr>
                <w:rFonts w:ascii="Verdana" w:hAnsi="Verdana"/>
              </w:rPr>
              <w:t xml:space="preserve"> se encuentre adjudicado</w:t>
            </w:r>
            <w:r w:rsidR="00691CC8">
              <w:rPr>
                <w:rFonts w:ascii="Verdana" w:hAnsi="Verdana"/>
              </w:rPr>
              <w:t xml:space="preserve">, a causa de </w:t>
            </w:r>
            <w:r w:rsidR="008914D5">
              <w:rPr>
                <w:rFonts w:ascii="Verdana" w:hAnsi="Verdana"/>
              </w:rPr>
              <w:t>que,</w:t>
            </w:r>
            <w:r w:rsidR="00B4790C">
              <w:rPr>
                <w:rFonts w:ascii="Verdana" w:hAnsi="Verdana"/>
              </w:rPr>
              <w:t xml:space="preserve"> </w:t>
            </w:r>
            <w:r w:rsidR="00B4790C" w:rsidRPr="00B4790C">
              <w:rPr>
                <w:rFonts w:ascii="Verdana" w:hAnsi="Verdana"/>
              </w:rPr>
              <w:t xml:space="preserve">en los contratos estatales, debido a su carácter solemne definido por la ley (artículo 41 de la Ley 80 de 1993), estos no se perfeccionan con la notificación del acto de adjudicación, sino con la suscripción, por las dos partes, del documento que contenga las respectivas cláusulas o estipulaciones. Consecuencia de lo anterior es que el acto de adjudicación no da lugar, por sí mismo, al nacimiento de las obligaciones y los derechos que genera el </w:t>
            </w:r>
            <w:r w:rsidR="00B4790C" w:rsidRPr="00B4790C">
              <w:rPr>
                <w:rFonts w:ascii="Verdana" w:hAnsi="Verdana"/>
              </w:rPr>
              <w:lastRenderedPageBreak/>
              <w:t>contrato</w:t>
            </w:r>
            <w:r w:rsidR="000612B8">
              <w:rPr>
                <w:rFonts w:ascii="Verdana" w:hAnsi="Verdana"/>
              </w:rPr>
              <w:t>. Es decir</w:t>
            </w:r>
            <w:r w:rsidR="000612B8" w:rsidRPr="000612B8">
              <w:rPr>
                <w:rFonts w:ascii="Verdana" w:hAnsi="Verdana"/>
              </w:rPr>
              <w:t xml:space="preserve">, los contratos estatales se perfeccionan cuando se logre acuerdo sobre el objeto y la contraprestación, y este se eleve a escrito. En este sentido, la existencia y perfeccionamiento del contrato se produce cuando se cumplen los elementos y solemnidades del mismo, </w:t>
            </w:r>
            <w:r w:rsidR="000612B8">
              <w:rPr>
                <w:rFonts w:ascii="Verdana" w:hAnsi="Verdana"/>
              </w:rPr>
              <w:t>o sea</w:t>
            </w:r>
            <w:r w:rsidR="000612B8" w:rsidRPr="000612B8">
              <w:rPr>
                <w:rFonts w:ascii="Verdana" w:hAnsi="Verdana"/>
              </w:rPr>
              <w:t>, cuando existe un acuerdo de voluntades exento de vicios sobre el objeto, la contraprestación, y este conste por escrito.</w:t>
            </w:r>
          </w:p>
          <w:p w14:paraId="7F925185" w14:textId="77777777" w:rsidR="000612B8" w:rsidRDefault="000612B8" w:rsidP="0049103D">
            <w:pPr>
              <w:spacing w:line="276" w:lineRule="auto"/>
              <w:jc w:val="both"/>
            </w:pPr>
          </w:p>
          <w:p w14:paraId="75A5FB94" w14:textId="330BD6F3" w:rsidR="00D50855" w:rsidRPr="00D50855" w:rsidRDefault="000612B8" w:rsidP="0049103D">
            <w:pPr>
              <w:spacing w:line="276" w:lineRule="auto"/>
              <w:jc w:val="both"/>
              <w:rPr>
                <w:rFonts w:ascii="Verdana" w:hAnsi="Verdana" w:cs="Arial"/>
                <w:color w:val="000000" w:themeColor="text1"/>
              </w:rPr>
            </w:pPr>
            <w:r w:rsidRPr="00D50855">
              <w:rPr>
                <w:rFonts w:ascii="Verdana" w:hAnsi="Verdana"/>
              </w:rPr>
              <w:t xml:space="preserve">No obstante, </w:t>
            </w:r>
            <w:r w:rsidR="00D50855">
              <w:rPr>
                <w:rFonts w:ascii="Verdana" w:hAnsi="Verdana"/>
              </w:rPr>
              <w:t>ante la voluntad</w:t>
            </w:r>
            <w:r w:rsidR="00BC04E4" w:rsidRPr="00D50855">
              <w:rPr>
                <w:rFonts w:ascii="Verdana" w:hAnsi="Verdana"/>
              </w:rPr>
              <w:t xml:space="preserve"> del adjudicatario de renunciar al anticipo </w:t>
            </w:r>
            <w:r w:rsidR="00D50855">
              <w:rPr>
                <w:rFonts w:ascii="Verdana" w:hAnsi="Verdana"/>
              </w:rPr>
              <w:t>pactado en la etapa pre</w:t>
            </w:r>
            <w:r w:rsidR="00211DCA">
              <w:rPr>
                <w:rFonts w:ascii="Verdana" w:hAnsi="Verdana"/>
              </w:rPr>
              <w:t>via</w:t>
            </w:r>
            <w:r w:rsidR="00BC04E4" w:rsidRPr="00D50855">
              <w:rPr>
                <w:rFonts w:ascii="Verdana" w:hAnsi="Verdana"/>
              </w:rPr>
              <w:t xml:space="preserve">, </w:t>
            </w:r>
            <w:r w:rsidR="007F36CF" w:rsidRPr="00D50855">
              <w:rPr>
                <w:rFonts w:ascii="Verdana" w:hAnsi="Verdana"/>
              </w:rPr>
              <w:t>es evidente</w:t>
            </w:r>
            <w:r w:rsidR="00BC04E4" w:rsidRPr="00D50855">
              <w:rPr>
                <w:rFonts w:ascii="Verdana" w:hAnsi="Verdana"/>
              </w:rPr>
              <w:t xml:space="preserve"> la necesidad de suscribir documentos de modificación del contrato en los cuales se cambie parte de las estipulaciones pactadas en un comienzo</w:t>
            </w:r>
            <w:r w:rsidR="00762AE0">
              <w:rPr>
                <w:rFonts w:ascii="Verdana" w:hAnsi="Verdana"/>
              </w:rPr>
              <w:t>.</w:t>
            </w:r>
            <w:r w:rsidR="00BC04E4" w:rsidRPr="00D50855">
              <w:rPr>
                <w:rFonts w:ascii="Verdana" w:hAnsi="Verdana"/>
              </w:rPr>
              <w:t xml:space="preserve"> </w:t>
            </w:r>
            <w:r w:rsidR="00762AE0">
              <w:rPr>
                <w:rFonts w:ascii="Verdana" w:hAnsi="Verdana"/>
              </w:rPr>
              <w:t>E</w:t>
            </w:r>
            <w:r w:rsidR="00D50855" w:rsidRPr="00D50855">
              <w:rPr>
                <w:rFonts w:ascii="Verdana" w:hAnsi="Verdana" w:cs="Arial"/>
                <w:lang w:val="es-MX" w:eastAsia="es-ES_tradnl"/>
              </w:rPr>
              <w:t>l mutuo acuerdo es una forma de modificación del contrato estatal, la más usada en la práctica y preferida por la legislación vigente; advirtiendo, que toda modificación debe tener una causa real y cierta, contemplada en la ley, diferente de la mera voluntad de los contratantes.</w:t>
            </w:r>
          </w:p>
          <w:p w14:paraId="0C91E2BB" w14:textId="77777777" w:rsidR="000612B8" w:rsidRDefault="000612B8" w:rsidP="0045491E">
            <w:pPr>
              <w:spacing w:line="276" w:lineRule="auto"/>
              <w:jc w:val="both"/>
              <w:rPr>
                <w:rFonts w:ascii="Verdana" w:hAnsi="Verdana"/>
              </w:rPr>
            </w:pPr>
          </w:p>
          <w:p w14:paraId="47AEB666" w14:textId="6B4FBC87" w:rsidR="0068221E" w:rsidRPr="00202737" w:rsidRDefault="00097B67" w:rsidP="0045491E">
            <w:pPr>
              <w:spacing w:line="276" w:lineRule="auto"/>
              <w:jc w:val="both"/>
              <w:rPr>
                <w:rFonts w:ascii="Verdana" w:hAnsi="Verdana"/>
              </w:rPr>
            </w:pPr>
            <w:r>
              <w:rPr>
                <w:rFonts w:ascii="Verdana" w:hAnsi="Verdana"/>
              </w:rPr>
              <w:t>Siendo así</w:t>
            </w:r>
            <w:r w:rsidRPr="00097B67">
              <w:rPr>
                <w:rFonts w:ascii="Verdana" w:hAnsi="Verdana"/>
              </w:rPr>
              <w:t xml:space="preserve">, en aquellos casos en que el proponente a quien se le acepto </w:t>
            </w:r>
            <w:r w:rsidR="00117806" w:rsidRPr="00097B67">
              <w:rPr>
                <w:rFonts w:ascii="Verdana" w:hAnsi="Verdana"/>
              </w:rPr>
              <w:t>oferta no</w:t>
            </w:r>
            <w:r w:rsidRPr="00097B67">
              <w:rPr>
                <w:rFonts w:ascii="Verdana" w:hAnsi="Verdana"/>
              </w:rPr>
              <w:t xml:space="preserve"> requiera la entrega de anticipo podrá renunciar a él, </w:t>
            </w:r>
            <w:r w:rsidR="000612B8">
              <w:rPr>
                <w:rFonts w:ascii="Verdana" w:hAnsi="Verdana"/>
              </w:rPr>
              <w:t>con antelación</w:t>
            </w:r>
            <w:r w:rsidRPr="00097B67">
              <w:rPr>
                <w:rFonts w:ascii="Verdana" w:hAnsi="Verdana"/>
              </w:rPr>
              <w:t xml:space="preserve"> a</w:t>
            </w:r>
            <w:r w:rsidR="00D50855">
              <w:rPr>
                <w:rFonts w:ascii="Verdana" w:hAnsi="Verdana"/>
              </w:rPr>
              <w:t>l perfeccionamiento</w:t>
            </w:r>
            <w:r w:rsidRPr="00097B67">
              <w:rPr>
                <w:rFonts w:ascii="Verdana" w:hAnsi="Verdana"/>
              </w:rPr>
              <w:t xml:space="preserve"> del contrato</w:t>
            </w:r>
            <w:r w:rsidR="00117806">
              <w:rPr>
                <w:rFonts w:ascii="Verdana" w:hAnsi="Verdana"/>
              </w:rPr>
              <w:t xml:space="preserve"> con la entidad estatal</w:t>
            </w:r>
            <w:r w:rsidR="0068221E">
              <w:rPr>
                <w:rFonts w:ascii="Verdana" w:hAnsi="Verdana"/>
              </w:rPr>
              <w:t xml:space="preserve">, </w:t>
            </w:r>
            <w:r w:rsidR="0068221E" w:rsidRPr="00DA41EC">
              <w:rPr>
                <w:rFonts w:ascii="Verdana" w:hAnsi="Verdana"/>
              </w:rPr>
              <w:t>en el entendido que se respeten las reglas establecidas en el ordenamiento jurídico</w:t>
            </w:r>
            <w:r w:rsidR="0068221E" w:rsidRPr="00DA41EC">
              <w:rPr>
                <w:rFonts w:ascii="Verdana" w:hAnsi="Verdana" w:cs="Arial"/>
                <w:bCs/>
                <w:lang w:val="es-MX" w:eastAsia="es-ES_tradnl" w:bidi="es-ES"/>
              </w:rPr>
              <w:t>, además de definir previamente su procedencia desde la perspectiva jurídica, técnica y financiera.</w:t>
            </w:r>
          </w:p>
        </w:tc>
      </w:tr>
    </w:tbl>
    <w:p w14:paraId="3199705F" w14:textId="77777777" w:rsidR="00871B59" w:rsidRPr="00593A5F" w:rsidRDefault="00871B59" w:rsidP="00871B59">
      <w:pPr>
        <w:tabs>
          <w:tab w:val="left" w:pos="142"/>
          <w:tab w:val="left" w:pos="284"/>
        </w:tabs>
        <w:spacing w:after="0" w:line="276" w:lineRule="auto"/>
        <w:jc w:val="both"/>
        <w:rPr>
          <w:rFonts w:ascii="Verdana" w:eastAsia="Century Gothic" w:hAnsi="Verdana" w:cs="Century Gothic"/>
          <w:b/>
          <w:bCs/>
          <w:lang w:val="es-ES"/>
        </w:rPr>
      </w:pPr>
    </w:p>
    <w:p w14:paraId="6678B80A"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Razones de la respuesta:</w:t>
      </w:r>
    </w:p>
    <w:p w14:paraId="40393512" w14:textId="77777777" w:rsidR="00871B59" w:rsidRPr="00593A5F" w:rsidRDefault="00871B59" w:rsidP="00871B59">
      <w:pPr>
        <w:spacing w:after="0" w:line="276" w:lineRule="auto"/>
        <w:jc w:val="both"/>
        <w:rPr>
          <w:rFonts w:ascii="Verdana" w:eastAsia="Calibri" w:hAnsi="Verdana" w:cs="Arial"/>
          <w:color w:val="7030A0"/>
          <w:lang w:val="es-ES"/>
        </w:rPr>
      </w:pPr>
    </w:p>
    <w:p w14:paraId="6DB5BA6B" w14:textId="77777777" w:rsidR="00871B59" w:rsidRPr="00FB372A" w:rsidRDefault="00871B59" w:rsidP="00273382">
      <w:pPr>
        <w:spacing w:after="0" w:line="276" w:lineRule="auto"/>
        <w:jc w:val="both"/>
        <w:rPr>
          <w:rFonts w:ascii="Verdana" w:eastAsia="Calibri" w:hAnsi="Verdana" w:cs="Arial"/>
          <w:lang w:val="es-ES"/>
        </w:rPr>
      </w:pPr>
      <w:r w:rsidRPr="00FB372A">
        <w:rPr>
          <w:rFonts w:ascii="Verdana" w:eastAsia="Calibri" w:hAnsi="Verdana" w:cs="Arial"/>
          <w:lang w:val="es-ES"/>
        </w:rPr>
        <w:t xml:space="preserve">Lo anterior se sustenta en las siguientes consideraciones: </w:t>
      </w:r>
    </w:p>
    <w:p w14:paraId="6FBD94A1" w14:textId="77777777" w:rsidR="00871B59" w:rsidRPr="00FB372A" w:rsidRDefault="00871B59" w:rsidP="00273382">
      <w:pPr>
        <w:spacing w:after="0" w:line="276" w:lineRule="auto"/>
        <w:jc w:val="both"/>
        <w:rPr>
          <w:rFonts w:ascii="Verdana" w:eastAsia="Calibri" w:hAnsi="Verdana" w:cs="Arial"/>
          <w:color w:val="7030A0"/>
          <w:lang w:val="es-ES"/>
        </w:rPr>
      </w:pPr>
    </w:p>
    <w:p w14:paraId="1CFAE030" w14:textId="77777777" w:rsidR="00E26AE3" w:rsidRDefault="008E52AC" w:rsidP="00E26AE3">
      <w:pPr>
        <w:pStyle w:val="Prrafodelista"/>
        <w:numPr>
          <w:ilvl w:val="0"/>
          <w:numId w:val="11"/>
        </w:numPr>
        <w:tabs>
          <w:tab w:val="left" w:pos="0"/>
        </w:tabs>
        <w:spacing w:after="0" w:line="276" w:lineRule="auto"/>
        <w:ind w:left="709"/>
        <w:jc w:val="both"/>
        <w:rPr>
          <w:rFonts w:ascii="Verdana" w:hAnsi="Verdana" w:cs="Arial"/>
          <w:color w:val="000000" w:themeColor="text1"/>
        </w:rPr>
      </w:pPr>
      <w:r w:rsidRPr="00FB372A">
        <w:rPr>
          <w:rFonts w:ascii="Verdana" w:hAnsi="Verdana" w:cs="Arial"/>
          <w:color w:val="000000"/>
          <w:lang w:eastAsia="en-GB"/>
        </w:rPr>
        <w:t>En materia de contratación pública, la figura del anticipo está prevista en dos (2) normas: el</w:t>
      </w:r>
      <w:r w:rsidRPr="00FB372A">
        <w:rPr>
          <w:rFonts w:ascii="Verdana" w:hAnsi="Verdana"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sidR="00E8586F" w:rsidRPr="00FB372A">
        <w:rPr>
          <w:rFonts w:ascii="Verdana" w:hAnsi="Verdana" w:cs="Arial"/>
          <w:color w:val="000000" w:themeColor="text1"/>
        </w:rPr>
        <w:t>“</w:t>
      </w:r>
      <w:r w:rsidRPr="00FB372A">
        <w:rPr>
          <w:rFonts w:ascii="Verdana" w:hAnsi="Verdana" w:cs="Arial"/>
          <w:color w:val="000000" w:themeColor="text1"/>
        </w:rPr>
        <w:t>En los contratos que celebren las entidades estatales se podrá pactar el pago anticipado y la entrega de anticipos, pero su monto no podrá exceder del cincuenta por ciento (50%) del valor del respectivo contrato</w:t>
      </w:r>
      <w:r w:rsidR="00E8586F" w:rsidRPr="00FB372A">
        <w:rPr>
          <w:rFonts w:ascii="Verdana" w:hAnsi="Verdana" w:cs="Arial"/>
          <w:color w:val="000000" w:themeColor="text1"/>
        </w:rPr>
        <w:t>”</w:t>
      </w:r>
      <w:r w:rsidRPr="00FB372A">
        <w:rPr>
          <w:rFonts w:ascii="Verdana" w:hAnsi="Verdana" w:cs="Arial"/>
          <w:color w:val="000000" w:themeColor="text1"/>
        </w:rPr>
        <w:t xml:space="preserve">. </w:t>
      </w:r>
    </w:p>
    <w:p w14:paraId="45A16B91" w14:textId="77777777" w:rsidR="00E26AE3" w:rsidRDefault="00E26AE3" w:rsidP="00E26AE3">
      <w:pPr>
        <w:pStyle w:val="Prrafodelista"/>
        <w:tabs>
          <w:tab w:val="left" w:pos="0"/>
        </w:tabs>
        <w:spacing w:after="0" w:line="276" w:lineRule="auto"/>
        <w:ind w:left="709"/>
        <w:jc w:val="both"/>
        <w:rPr>
          <w:rFonts w:ascii="Verdana" w:hAnsi="Verdana" w:cs="Arial"/>
          <w:color w:val="000000" w:themeColor="text1"/>
        </w:rPr>
      </w:pPr>
    </w:p>
    <w:p w14:paraId="305152E3" w14:textId="2291922C" w:rsidR="00E26AE3" w:rsidRDefault="008E52AC" w:rsidP="00E26AE3">
      <w:pPr>
        <w:pStyle w:val="Prrafodelista"/>
        <w:numPr>
          <w:ilvl w:val="0"/>
          <w:numId w:val="11"/>
        </w:numPr>
        <w:tabs>
          <w:tab w:val="left" w:pos="0"/>
        </w:tabs>
        <w:spacing w:after="0" w:line="276" w:lineRule="auto"/>
        <w:ind w:left="709"/>
        <w:jc w:val="both"/>
        <w:rPr>
          <w:rFonts w:ascii="Verdana" w:hAnsi="Verdana" w:cs="Arial"/>
          <w:color w:val="000000" w:themeColor="text1"/>
        </w:rPr>
      </w:pPr>
      <w:r w:rsidRPr="00E26AE3">
        <w:rPr>
          <w:rFonts w:ascii="Verdana" w:hAnsi="Verdana" w:cs="Arial"/>
          <w:color w:val="000000" w:themeColor="text1"/>
        </w:rPr>
        <w:t>Por su parte, 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3C54E61B" w14:textId="77777777" w:rsidR="00E26AE3" w:rsidRDefault="00E26AE3" w:rsidP="00E26AE3">
      <w:pPr>
        <w:pStyle w:val="Prrafodelista"/>
        <w:tabs>
          <w:tab w:val="left" w:pos="0"/>
        </w:tabs>
        <w:spacing w:after="0" w:line="276" w:lineRule="auto"/>
        <w:ind w:left="709"/>
        <w:jc w:val="both"/>
        <w:rPr>
          <w:rFonts w:ascii="Verdana" w:hAnsi="Verdana" w:cs="Arial"/>
          <w:color w:val="000000" w:themeColor="text1"/>
        </w:rPr>
      </w:pPr>
    </w:p>
    <w:p w14:paraId="761FC9A8" w14:textId="77777777" w:rsidR="00E26AE3" w:rsidRDefault="008E52AC" w:rsidP="00E26AE3">
      <w:pPr>
        <w:pStyle w:val="Prrafodelista"/>
        <w:numPr>
          <w:ilvl w:val="0"/>
          <w:numId w:val="11"/>
        </w:numPr>
        <w:tabs>
          <w:tab w:val="left" w:pos="0"/>
        </w:tabs>
        <w:spacing w:after="0" w:line="276" w:lineRule="auto"/>
        <w:ind w:left="709"/>
        <w:jc w:val="both"/>
        <w:rPr>
          <w:rFonts w:ascii="Verdana" w:hAnsi="Verdana" w:cs="Arial"/>
          <w:color w:val="000000" w:themeColor="text1"/>
        </w:rPr>
      </w:pPr>
      <w:r w:rsidRPr="00E26AE3">
        <w:rPr>
          <w:rFonts w:ascii="Verdana" w:hAnsi="Verdana" w:cs="Arial"/>
        </w:rPr>
        <w:t>Aunque las normas citadas no definen el anticipo, el Consejo de Estado ha precisado su naturaleza jurídica fijando parámetros para su aplicación</w:t>
      </w:r>
      <w:r w:rsidRPr="00FB372A">
        <w:rPr>
          <w:vertAlign w:val="superscript"/>
        </w:rPr>
        <w:footnoteReference w:id="2"/>
      </w:r>
      <w:r w:rsidRPr="00E26AE3">
        <w:rPr>
          <w:rFonts w:ascii="Verdana" w:hAnsi="Verdana" w:cs="Arial"/>
        </w:rPr>
        <w:t xml:space="preserve">. En uno de sus pronunciamientos, el Consejo de Estado se refirió al anticipo como </w:t>
      </w:r>
      <w:r w:rsidR="00AD02A6" w:rsidRPr="00E26AE3">
        <w:rPr>
          <w:rFonts w:ascii="Verdana" w:hAnsi="Verdana" w:cs="Arial"/>
          <w:color w:val="000000" w:themeColor="text1"/>
        </w:rPr>
        <w:t>“</w:t>
      </w:r>
      <w:r w:rsidRPr="00E26AE3">
        <w:rPr>
          <w:rFonts w:ascii="Verdana" w:hAnsi="Verdana"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00AD02A6" w:rsidRPr="00E26AE3">
        <w:rPr>
          <w:rFonts w:ascii="Verdana" w:hAnsi="Verdana" w:cs="Arial"/>
          <w:color w:val="000000" w:themeColor="text1"/>
        </w:rPr>
        <w:t>”</w:t>
      </w:r>
      <w:r w:rsidRPr="00FB372A">
        <w:rPr>
          <w:vertAlign w:val="superscript"/>
        </w:rPr>
        <w:footnoteReference w:id="3"/>
      </w:r>
      <w:r w:rsidRPr="00E26AE3">
        <w:rPr>
          <w:rFonts w:ascii="Verdana" w:hAnsi="Verdana" w:cs="Arial"/>
          <w:color w:val="000000" w:themeColor="text1"/>
        </w:rPr>
        <w:t>.</w:t>
      </w:r>
    </w:p>
    <w:p w14:paraId="3C881B15" w14:textId="77777777" w:rsidR="00E26AE3" w:rsidRPr="00E26AE3" w:rsidRDefault="00E26AE3" w:rsidP="00E26AE3">
      <w:pPr>
        <w:pStyle w:val="Prrafodelista"/>
        <w:rPr>
          <w:rFonts w:ascii="Verdana" w:hAnsi="Verdana" w:cs="Arial"/>
        </w:rPr>
      </w:pPr>
    </w:p>
    <w:p w14:paraId="3386E415" w14:textId="77777777" w:rsidR="00E26AE3" w:rsidRPr="00E26AE3" w:rsidRDefault="008E52AC" w:rsidP="00E26AE3">
      <w:pPr>
        <w:pStyle w:val="Prrafodelista"/>
        <w:numPr>
          <w:ilvl w:val="0"/>
          <w:numId w:val="11"/>
        </w:numPr>
        <w:tabs>
          <w:tab w:val="left" w:pos="0"/>
        </w:tabs>
        <w:spacing w:after="0" w:line="276" w:lineRule="auto"/>
        <w:ind w:left="709"/>
        <w:jc w:val="both"/>
        <w:rPr>
          <w:rFonts w:ascii="Verdana" w:hAnsi="Verdana" w:cs="Arial"/>
          <w:color w:val="000000" w:themeColor="text1"/>
        </w:rPr>
      </w:pPr>
      <w:r w:rsidRPr="00E26AE3">
        <w:rPr>
          <w:rFonts w:ascii="Verdana" w:hAnsi="Verdana" w:cs="Arial"/>
        </w:rPr>
        <w:t xml:space="preserve">Sobre la calidad de recurso público del anticipo, la jurisprudencia ha reiterado que </w:t>
      </w:r>
      <w:r w:rsidR="00AD02A6" w:rsidRPr="00E26AE3">
        <w:rPr>
          <w:rFonts w:ascii="Verdana" w:hAnsi="Verdana" w:cs="Arial"/>
          <w:color w:val="000000" w:themeColor="text1"/>
        </w:rPr>
        <w:t>“</w:t>
      </w:r>
      <w:r w:rsidRPr="00E26AE3">
        <w:rPr>
          <w:rFonts w:ascii="Verdana" w:hAnsi="Verdana"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00AD02A6" w:rsidRPr="00E26AE3">
        <w:rPr>
          <w:rFonts w:ascii="Verdana" w:hAnsi="Verdana" w:cs="Arial"/>
          <w:color w:val="000000" w:themeColor="text1"/>
        </w:rPr>
        <w:t>”</w:t>
      </w:r>
      <w:r w:rsidRPr="00FB372A">
        <w:rPr>
          <w:vertAlign w:val="superscript"/>
        </w:rPr>
        <w:footnoteReference w:id="4"/>
      </w:r>
      <w:r w:rsidRPr="00E26AE3">
        <w:rPr>
          <w:rFonts w:ascii="Verdana" w:hAnsi="Verdana" w:cs="Arial"/>
        </w:rPr>
        <w:t xml:space="preserve">. Igualmente, explica que el anticipo, al facilitar al </w:t>
      </w:r>
      <w:r w:rsidRPr="00E26AE3">
        <w:rPr>
          <w:rFonts w:ascii="Verdana" w:hAnsi="Verdana" w:cs="Arial"/>
        </w:rPr>
        <w:lastRenderedPageBreak/>
        <w:t>contratista la financiación de los bienes y servicios que se le han encargado, es un factor determinante para impulsar la ejecución del contrato</w:t>
      </w:r>
      <w:r w:rsidRPr="00FB372A">
        <w:rPr>
          <w:vertAlign w:val="superscript"/>
        </w:rPr>
        <w:footnoteReference w:id="5"/>
      </w:r>
      <w:r w:rsidRPr="00E26AE3">
        <w:rPr>
          <w:rFonts w:ascii="Verdana" w:hAnsi="Verdana" w:cs="Arial"/>
        </w:rPr>
        <w:t>. Este también es el entendimiento de la doctrina</w:t>
      </w:r>
      <w:r w:rsidRPr="00E26AE3">
        <w:rPr>
          <w:rFonts w:ascii="Verdana" w:hAnsi="Verdana" w:cs="Arial"/>
          <w:color w:val="000000" w:themeColor="text1"/>
        </w:rPr>
        <w:t>,</w:t>
      </w:r>
      <w:r w:rsidRPr="00E26AE3">
        <w:rPr>
          <w:rFonts w:ascii="Verdana" w:hAnsi="Verdana" w:cs="Arial"/>
        </w:rPr>
        <w:t xml:space="preserve"> que ha considerado el anticipo como un dinero entregado al contratista que debe cancelarse mediante descuentos parciales, siendo una práctica común que permite impulsar la ejecución del contrato</w:t>
      </w:r>
      <w:r w:rsidRPr="00FB372A">
        <w:rPr>
          <w:vertAlign w:val="superscript"/>
        </w:rPr>
        <w:footnoteReference w:id="6"/>
      </w:r>
      <w:r w:rsidRPr="00E26AE3">
        <w:rPr>
          <w:rFonts w:ascii="Verdana" w:hAnsi="Verdana" w:cs="Arial"/>
        </w:rPr>
        <w:t xml:space="preserve">. </w:t>
      </w:r>
    </w:p>
    <w:p w14:paraId="58E8D664" w14:textId="77777777" w:rsidR="00E26AE3" w:rsidRPr="00E26AE3" w:rsidRDefault="00E26AE3" w:rsidP="00E26AE3">
      <w:pPr>
        <w:pStyle w:val="Prrafodelista"/>
        <w:rPr>
          <w:rFonts w:ascii="Verdana" w:hAnsi="Verdana" w:cs="Arial"/>
          <w:color w:val="000000" w:themeColor="text1"/>
        </w:rPr>
      </w:pPr>
    </w:p>
    <w:p w14:paraId="25CA903A" w14:textId="77777777" w:rsidR="00E26AE3" w:rsidRPr="00E26AE3" w:rsidRDefault="008E52AC" w:rsidP="00E26AE3">
      <w:pPr>
        <w:pStyle w:val="Prrafodelista"/>
        <w:numPr>
          <w:ilvl w:val="0"/>
          <w:numId w:val="11"/>
        </w:numPr>
        <w:tabs>
          <w:tab w:val="left" w:pos="0"/>
        </w:tabs>
        <w:spacing w:after="0" w:line="276" w:lineRule="auto"/>
        <w:ind w:left="709"/>
        <w:jc w:val="both"/>
        <w:rPr>
          <w:rFonts w:ascii="Verdana" w:hAnsi="Verdana" w:cs="Arial"/>
          <w:color w:val="000000" w:themeColor="text1"/>
        </w:rPr>
      </w:pPr>
      <w:r w:rsidRPr="00E26AE3">
        <w:rPr>
          <w:rFonts w:ascii="Verdana" w:hAnsi="Verdana" w:cs="Arial"/>
          <w:color w:val="000000" w:themeColor="text1"/>
        </w:rPr>
        <w:t xml:space="preserve">Así, de acuerdo con las consideraciones de la jurisprudencia y la doctrina, el anticipo es </w:t>
      </w:r>
      <w:r w:rsidRPr="00E26AE3">
        <w:rPr>
          <w:rFonts w:ascii="Verdana" w:hAnsi="Verdana" w:cs="Arial"/>
        </w:rPr>
        <w:t>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r w:rsidRPr="00E26AE3">
        <w:rPr>
          <w:rFonts w:ascii="Verdana" w:hAnsi="Verdana" w:cs="Times New Roman"/>
          <w:lang w:eastAsia="es-CO"/>
        </w:rPr>
        <w:t xml:space="preserve"> </w:t>
      </w:r>
    </w:p>
    <w:p w14:paraId="670BB6DE" w14:textId="77777777" w:rsidR="00E26AE3" w:rsidRPr="00E26AE3" w:rsidRDefault="00E26AE3" w:rsidP="00E26AE3">
      <w:pPr>
        <w:pStyle w:val="Prrafodelista"/>
        <w:rPr>
          <w:rFonts w:ascii="Verdana" w:hAnsi="Verdana" w:cs="Arial"/>
          <w:color w:val="000000" w:themeColor="text1"/>
        </w:rPr>
      </w:pPr>
    </w:p>
    <w:p w14:paraId="643E11D6" w14:textId="5B13E87B" w:rsidR="008554BE" w:rsidRPr="00E26AE3" w:rsidRDefault="008E52AC" w:rsidP="00E26AE3">
      <w:pPr>
        <w:pStyle w:val="Prrafodelista"/>
        <w:numPr>
          <w:ilvl w:val="0"/>
          <w:numId w:val="11"/>
        </w:numPr>
        <w:tabs>
          <w:tab w:val="left" w:pos="0"/>
        </w:tabs>
        <w:spacing w:after="0" w:line="276" w:lineRule="auto"/>
        <w:ind w:left="709"/>
        <w:jc w:val="both"/>
        <w:rPr>
          <w:rFonts w:ascii="Verdana" w:hAnsi="Verdana" w:cs="Arial"/>
          <w:color w:val="000000" w:themeColor="text1"/>
        </w:rPr>
      </w:pPr>
      <w:r w:rsidRPr="00E26AE3">
        <w:rPr>
          <w:rFonts w:ascii="Verdana" w:hAnsi="Verdana" w:cs="Arial"/>
          <w:color w:val="000000" w:themeColor="text1"/>
        </w:rPr>
        <w:t>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w:t>
      </w:r>
    </w:p>
    <w:p w14:paraId="4E948181" w14:textId="1456E28E" w:rsidR="008E52AC" w:rsidRPr="00FB372A" w:rsidRDefault="008E52AC" w:rsidP="008554BE">
      <w:pPr>
        <w:spacing w:after="0" w:line="240" w:lineRule="auto"/>
        <w:ind w:left="709" w:firstLine="709"/>
        <w:jc w:val="both"/>
        <w:rPr>
          <w:rFonts w:ascii="Verdana" w:hAnsi="Verdana" w:cs="Arial"/>
        </w:rPr>
      </w:pPr>
      <w:r w:rsidRPr="00FB372A">
        <w:rPr>
          <w:rFonts w:ascii="Verdana" w:hAnsi="Verdana" w:cs="Arial"/>
          <w:color w:val="000000" w:themeColor="text1"/>
        </w:rPr>
        <w:t xml:space="preserve"> </w:t>
      </w:r>
    </w:p>
    <w:p w14:paraId="32390DE0" w14:textId="36ED3094" w:rsidR="008E52AC" w:rsidRPr="00E26AE3" w:rsidRDefault="008E52AC" w:rsidP="00E26AE3">
      <w:pPr>
        <w:spacing w:after="0" w:line="240" w:lineRule="auto"/>
        <w:ind w:left="709" w:right="49"/>
        <w:jc w:val="both"/>
        <w:rPr>
          <w:rFonts w:ascii="Verdana" w:hAnsi="Verdana" w:cs="Arial"/>
          <w:i/>
          <w:iCs/>
          <w:sz w:val="21"/>
          <w:szCs w:val="21"/>
        </w:rPr>
      </w:pPr>
      <w:r w:rsidRPr="00E26AE3">
        <w:rPr>
          <w:rFonts w:ascii="Verdana" w:hAnsi="Verdana" w:cs="Arial"/>
          <w:i/>
          <w:iCs/>
          <w:sz w:val="20"/>
          <w:szCs w:val="20"/>
        </w:rPr>
        <w:t>[…]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w:t>
      </w:r>
      <w:r w:rsidR="00A32D28" w:rsidRPr="00E26AE3">
        <w:rPr>
          <w:rFonts w:ascii="Verdana" w:hAnsi="Verdana" w:cs="Arial"/>
          <w:i/>
          <w:iCs/>
          <w:sz w:val="20"/>
          <w:szCs w:val="20"/>
        </w:rPr>
        <w:t>,</w:t>
      </w:r>
      <w:r w:rsidRPr="00E26AE3">
        <w:rPr>
          <w:rFonts w:ascii="Verdana" w:hAnsi="Verdana" w:cs="Arial"/>
          <w:i/>
          <w:iCs/>
          <w:sz w:val="20"/>
          <w:szCs w:val="20"/>
        </w:rPr>
        <w:t xml:space="preserve"> </w:t>
      </w:r>
      <w:r w:rsidR="00A32D28" w:rsidRPr="00E26AE3">
        <w:rPr>
          <w:rFonts w:ascii="Verdana" w:hAnsi="Verdana" w:cs="Arial"/>
          <w:i/>
          <w:iCs/>
          <w:sz w:val="20"/>
          <w:szCs w:val="20"/>
        </w:rPr>
        <w:t>etc.</w:t>
      </w:r>
      <w:r w:rsidRPr="00E26AE3">
        <w:rPr>
          <w:rFonts w:ascii="Verdana" w:hAnsi="Verdana" w:cs="Arial"/>
          <w:i/>
          <w:iCs/>
          <w:sz w:val="20"/>
          <w:szCs w:val="20"/>
        </w:rPr>
        <w:t>).</w:t>
      </w:r>
      <w:r w:rsidRPr="00E26AE3">
        <w:rPr>
          <w:rFonts w:ascii="Verdana" w:hAnsi="Verdana" w:cs="Arial"/>
          <w:i/>
          <w:iCs/>
          <w:sz w:val="21"/>
          <w:szCs w:val="21"/>
        </w:rPr>
        <w:t xml:space="preserve"> </w:t>
      </w:r>
      <w:r w:rsidRPr="00E26AE3">
        <w:rPr>
          <w:rFonts w:ascii="Verdana" w:hAnsi="Verdana" w:cs="Arial"/>
          <w:i/>
          <w:iCs/>
          <w:sz w:val="20"/>
          <w:szCs w:val="20"/>
        </w:rPr>
        <w:t xml:space="preserve">En segunda instancia el anticipo, en su resultado, constituye una obligación del contratista y un derecho del </w:t>
      </w:r>
      <w:r w:rsidRPr="00E26AE3">
        <w:rPr>
          <w:rFonts w:ascii="Verdana" w:hAnsi="Verdana" w:cs="Arial"/>
          <w:i/>
          <w:iCs/>
          <w:sz w:val="20"/>
          <w:szCs w:val="20"/>
        </w:rPr>
        <w:lastRenderedPageBreak/>
        <w:t>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E26AE3">
        <w:rPr>
          <w:rFonts w:ascii="Verdana" w:hAnsi="Verdana" w:cs="Arial"/>
          <w:b/>
          <w:bCs/>
          <w:i/>
          <w:iCs/>
          <w:sz w:val="20"/>
          <w:szCs w:val="20"/>
        </w:rPr>
        <w:t xml:space="preserve">, </w:t>
      </w:r>
      <w:r w:rsidRPr="00E26AE3">
        <w:rPr>
          <w:rFonts w:ascii="Verdana" w:hAnsi="Verdana" w:cs="Arial"/>
          <w:i/>
          <w:iCs/>
          <w:sz w:val="20"/>
          <w:szCs w:val="20"/>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E26AE3">
        <w:rPr>
          <w:rFonts w:ascii="Verdana" w:hAnsi="Verdana" w:cs="Arial"/>
          <w:i/>
          <w:iCs/>
          <w:sz w:val="20"/>
          <w:szCs w:val="20"/>
          <w:vertAlign w:val="superscript"/>
        </w:rPr>
        <w:footnoteReference w:id="7"/>
      </w:r>
      <w:r w:rsidRPr="00E26AE3">
        <w:rPr>
          <w:rFonts w:ascii="Verdana" w:hAnsi="Verdana" w:cs="Arial"/>
          <w:i/>
          <w:iCs/>
          <w:sz w:val="20"/>
          <w:szCs w:val="20"/>
        </w:rPr>
        <w:t>.</w:t>
      </w:r>
    </w:p>
    <w:p w14:paraId="446D7715" w14:textId="77777777" w:rsidR="005E3436" w:rsidRPr="00FB372A" w:rsidRDefault="005E3436" w:rsidP="005E3436">
      <w:pPr>
        <w:spacing w:after="0" w:line="240" w:lineRule="auto"/>
        <w:ind w:left="709" w:right="709"/>
        <w:jc w:val="both"/>
        <w:rPr>
          <w:rFonts w:ascii="Verdana" w:hAnsi="Verdana" w:cs="Arial"/>
          <w:sz w:val="21"/>
          <w:szCs w:val="21"/>
        </w:rPr>
      </w:pPr>
    </w:p>
    <w:p w14:paraId="257535FE" w14:textId="77777777" w:rsidR="00E26AE3" w:rsidRDefault="008E52AC" w:rsidP="00E26AE3">
      <w:pPr>
        <w:pStyle w:val="Prrafodelista"/>
        <w:numPr>
          <w:ilvl w:val="0"/>
          <w:numId w:val="11"/>
        </w:numPr>
        <w:tabs>
          <w:tab w:val="left" w:pos="0"/>
        </w:tabs>
        <w:spacing w:line="276" w:lineRule="auto"/>
        <w:ind w:left="709"/>
        <w:jc w:val="both"/>
        <w:rPr>
          <w:rFonts w:ascii="Verdana" w:hAnsi="Verdana" w:cs="Arial"/>
        </w:rPr>
      </w:pPr>
      <w:r w:rsidRPr="00E26AE3">
        <w:rPr>
          <w:rFonts w:ascii="Verdana" w:hAnsi="Verdana" w:cs="Arial"/>
        </w:rPr>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50% del valor del contrato–, el plazo de amortización, las condiciones necesarias para su exigibilidad, así como todas las obligaciones para su correcta inversión.</w:t>
      </w:r>
    </w:p>
    <w:p w14:paraId="5EDCCF71" w14:textId="77777777" w:rsidR="00E26AE3" w:rsidRDefault="00E26AE3" w:rsidP="00E26AE3">
      <w:pPr>
        <w:pStyle w:val="Prrafodelista"/>
        <w:tabs>
          <w:tab w:val="left" w:pos="0"/>
        </w:tabs>
        <w:spacing w:line="276" w:lineRule="auto"/>
        <w:ind w:left="709"/>
        <w:jc w:val="both"/>
        <w:rPr>
          <w:rFonts w:ascii="Verdana" w:hAnsi="Verdana" w:cs="Arial"/>
        </w:rPr>
      </w:pPr>
    </w:p>
    <w:p w14:paraId="30A2D1AA" w14:textId="77777777" w:rsidR="00E26AE3" w:rsidRPr="00E26AE3" w:rsidRDefault="008E52AC" w:rsidP="00E26AE3">
      <w:pPr>
        <w:pStyle w:val="Prrafodelista"/>
        <w:numPr>
          <w:ilvl w:val="0"/>
          <w:numId w:val="11"/>
        </w:numPr>
        <w:tabs>
          <w:tab w:val="left" w:pos="0"/>
        </w:tabs>
        <w:spacing w:line="276" w:lineRule="auto"/>
        <w:ind w:left="709"/>
        <w:jc w:val="both"/>
        <w:rPr>
          <w:rFonts w:ascii="Verdana" w:hAnsi="Verdana" w:cs="Arial"/>
        </w:rPr>
      </w:pPr>
      <w:r w:rsidRPr="00E26AE3">
        <w:rPr>
          <w:rFonts w:ascii="Verdana" w:hAnsi="Verdana"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E26AE3">
        <w:rPr>
          <w:rFonts w:ascii="Verdana" w:hAnsi="Verdana" w:cs="Arial"/>
          <w:color w:val="000000" w:themeColor="text1"/>
        </w:rPr>
        <w:t xml:space="preserve">De hecho, el Estatuto General de Contratación de la Administración Pública dispone como única limitación el valor máximo que puede desembolsar la entidad para pactar el anticipo. </w:t>
      </w:r>
    </w:p>
    <w:p w14:paraId="7152453D" w14:textId="77777777" w:rsidR="00E26AE3" w:rsidRPr="00E26AE3" w:rsidRDefault="00E26AE3" w:rsidP="00E26AE3">
      <w:pPr>
        <w:pStyle w:val="Prrafodelista"/>
        <w:rPr>
          <w:rFonts w:ascii="Verdana" w:hAnsi="Verdana" w:cs="Arial"/>
          <w:color w:val="000000" w:themeColor="text1"/>
        </w:rPr>
      </w:pPr>
    </w:p>
    <w:p w14:paraId="7FB8E8A6" w14:textId="67A98DE2" w:rsidR="00E26AE3" w:rsidRPr="00E26AE3" w:rsidRDefault="008E52AC" w:rsidP="00E26AE3">
      <w:pPr>
        <w:pStyle w:val="Prrafodelista"/>
        <w:numPr>
          <w:ilvl w:val="0"/>
          <w:numId w:val="11"/>
        </w:numPr>
        <w:tabs>
          <w:tab w:val="left" w:pos="0"/>
        </w:tabs>
        <w:spacing w:line="276" w:lineRule="auto"/>
        <w:ind w:left="709"/>
        <w:jc w:val="both"/>
        <w:rPr>
          <w:rFonts w:ascii="Verdana" w:hAnsi="Verdana" w:cs="Arial"/>
        </w:rPr>
      </w:pPr>
      <w:r w:rsidRPr="00E26AE3">
        <w:rPr>
          <w:rFonts w:ascii="Verdana" w:hAnsi="Verdana" w:cs="Arial"/>
          <w:color w:val="000000" w:themeColor="text1"/>
        </w:rPr>
        <w:t xml:space="preserve">Del análisis realizado se desprende que los recursos entregados al contratista en calidad de anticipo son recursos públicos. Por tanto, corresponde a la entidad </w:t>
      </w:r>
      <w:r w:rsidRPr="00E26AE3">
        <w:rPr>
          <w:rFonts w:ascii="Verdana" w:hAnsi="Verdana" w:cs="Arial"/>
        </w:rPr>
        <w:t xml:space="preserve">adoptar las medidas necesarias y razonables para asegurar la correcta inversión de los dineros entregados, las cuales deberán reflejarse en el contrato celebrado. En consecuencia, deberán constituir la garantía única de cumplimiento e incluir el amparo previsto </w:t>
      </w:r>
      <w:r w:rsidRPr="00E26AE3">
        <w:rPr>
          <w:rFonts w:ascii="Verdana" w:hAnsi="Verdana" w:cs="Arial"/>
        </w:rPr>
        <w:lastRenderedPageBreak/>
        <w:t>en el artículo 2.2.1.2.3.1.7 del Decreto 1082 de 2015. Este amparo establece tres circunstancias que deben ser objeto de cobertura: i) la no inversión del anticipo; ii) el uso indebido del anticipo; y iii) la apropiación indebida de los recursos recibidos en calidad de anticipo</w:t>
      </w:r>
      <w:r w:rsidRPr="00FB372A">
        <w:rPr>
          <w:vertAlign w:val="superscript"/>
        </w:rPr>
        <w:footnoteReference w:id="8"/>
      </w:r>
      <w:r w:rsidRPr="00E26AE3">
        <w:rPr>
          <w:rFonts w:ascii="Verdana" w:hAnsi="Verdana" w:cs="Arial"/>
        </w:rPr>
        <w:t>.</w:t>
      </w:r>
      <w:r w:rsidRPr="00E26AE3">
        <w:rPr>
          <w:rFonts w:ascii="Verdana" w:hAnsi="Verdana" w:cs="Times New Roman"/>
          <w:lang w:eastAsia="es-CO"/>
        </w:rPr>
        <w:t xml:space="preserve"> </w:t>
      </w:r>
    </w:p>
    <w:p w14:paraId="73C21FD0" w14:textId="77777777" w:rsidR="00E26AE3" w:rsidRPr="00E26AE3" w:rsidRDefault="00E26AE3" w:rsidP="00E26AE3">
      <w:pPr>
        <w:pStyle w:val="Prrafodelista"/>
        <w:rPr>
          <w:rFonts w:ascii="Verdana" w:hAnsi="Verdana"/>
        </w:rPr>
      </w:pPr>
    </w:p>
    <w:p w14:paraId="1E2A520B" w14:textId="77777777" w:rsidR="00E26AE3" w:rsidRPr="00E26AE3" w:rsidRDefault="000C0708" w:rsidP="00E26AE3">
      <w:pPr>
        <w:pStyle w:val="Prrafodelista"/>
        <w:numPr>
          <w:ilvl w:val="0"/>
          <w:numId w:val="11"/>
        </w:numPr>
        <w:tabs>
          <w:tab w:val="left" w:pos="0"/>
        </w:tabs>
        <w:spacing w:line="276" w:lineRule="auto"/>
        <w:ind w:left="709"/>
        <w:jc w:val="both"/>
        <w:rPr>
          <w:rFonts w:ascii="Verdana" w:hAnsi="Verdana" w:cs="Arial"/>
        </w:rPr>
      </w:pPr>
      <w:r w:rsidRPr="00E26AE3">
        <w:rPr>
          <w:rFonts w:ascii="Verdana" w:hAnsi="Verdana"/>
        </w:rPr>
        <w:t xml:space="preserve">Respecto a la modificación de los contratos estatales, El </w:t>
      </w:r>
      <w:r w:rsidR="0076276E" w:rsidRPr="00E26AE3">
        <w:rPr>
          <w:rFonts w:ascii="Verdana" w:hAnsi="Verdana"/>
        </w:rPr>
        <w:t>Estatuto General de Contratación de la Administración Pública, contenido en las Leyes 80 de 1993, 1150 de 2007 y 1474 de 2011,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0076276E" w:rsidRPr="003663E3">
        <w:rPr>
          <w:rFonts w:cs="Arial"/>
          <w:bCs/>
          <w:szCs w:val="24"/>
          <w:vertAlign w:val="superscript"/>
          <w:lang w:val="es-MX" w:eastAsia="es-ES_tradnl"/>
        </w:rPr>
        <w:footnoteReference w:id="9"/>
      </w:r>
      <w:r w:rsidR="0076276E" w:rsidRPr="00E26AE3">
        <w:rPr>
          <w:rFonts w:ascii="Verdana" w:hAnsi="Verdana" w:cs="Arial"/>
          <w:bCs/>
          <w:szCs w:val="24"/>
          <w:lang w:val="es-MX" w:eastAsia="es-ES_tradnl" w:bidi="es-ES"/>
        </w:rPr>
        <w:t>.</w:t>
      </w:r>
    </w:p>
    <w:p w14:paraId="589A2E1C" w14:textId="77777777" w:rsidR="00E26AE3" w:rsidRPr="00E26AE3" w:rsidRDefault="00E26AE3" w:rsidP="00E26AE3">
      <w:pPr>
        <w:pStyle w:val="Prrafodelista"/>
        <w:rPr>
          <w:rFonts w:ascii="Verdana" w:hAnsi="Verdana"/>
        </w:rPr>
      </w:pPr>
    </w:p>
    <w:p w14:paraId="7E948975" w14:textId="13EA4A1F" w:rsidR="000C0708" w:rsidRPr="00E26AE3" w:rsidRDefault="000C0708" w:rsidP="00E26AE3">
      <w:pPr>
        <w:pStyle w:val="Prrafodelista"/>
        <w:numPr>
          <w:ilvl w:val="0"/>
          <w:numId w:val="11"/>
        </w:numPr>
        <w:tabs>
          <w:tab w:val="left" w:pos="0"/>
        </w:tabs>
        <w:spacing w:line="276" w:lineRule="auto"/>
        <w:ind w:left="709"/>
        <w:jc w:val="both"/>
        <w:rPr>
          <w:rFonts w:ascii="Verdana" w:hAnsi="Verdana" w:cs="Arial"/>
        </w:rPr>
      </w:pPr>
      <w:r w:rsidRPr="00E26AE3">
        <w:rPr>
          <w:rFonts w:ascii="Verdana" w:hAnsi="Verdana"/>
        </w:rPr>
        <w:t xml:space="preserve">Ahora bien, no existe ninguna restricción expresa para modificar los contratos estatales, pues los mismos principios antes referidos, pueden </w:t>
      </w:r>
      <w:r w:rsidRPr="00E26AE3">
        <w:rPr>
          <w:rFonts w:ascii="Verdana" w:hAnsi="Verdana"/>
        </w:rPr>
        <w:lastRenderedPageBreak/>
        <w:t>poner en evidencia la necesidad de suscribir documentos de modificación en los cuales se cambie parte de las estipulaciones pactadas en un comienzo. En el contexto antes expuesto, la jurisprudencia ha fijado pautas generales conforme a las cuales la Administración Pública debe evaluar, teniendo en cuenta las particularidades de cada caso, si resulta procedente suscribir documentos de modificación a los contratos que ha celebrado. Así, por ejemplo, la Corte Constitucional, mediante sentencia C-416 de 2012, expresó lo siguiente sobre la posibilidad de modificar los contratos estatales:</w:t>
      </w:r>
    </w:p>
    <w:p w14:paraId="472DBADB" w14:textId="4066311C" w:rsidR="000C0708" w:rsidRDefault="000C0708" w:rsidP="0076276E">
      <w:pPr>
        <w:spacing w:after="0" w:line="276" w:lineRule="auto"/>
        <w:jc w:val="both"/>
        <w:rPr>
          <w:rFonts w:ascii="Century Gothic" w:hAnsi="Century Gothic"/>
        </w:rPr>
      </w:pPr>
    </w:p>
    <w:p w14:paraId="4F17DA43" w14:textId="6C4FEA57" w:rsidR="000C0708" w:rsidRPr="00E26AE3" w:rsidRDefault="000C0708" w:rsidP="00E26AE3">
      <w:pPr>
        <w:spacing w:after="0" w:line="240" w:lineRule="auto"/>
        <w:ind w:left="709" w:right="49"/>
        <w:jc w:val="both"/>
        <w:rPr>
          <w:rFonts w:ascii="Verdana" w:hAnsi="Verdana" w:cs="Arial"/>
          <w:i/>
          <w:iCs/>
          <w:sz w:val="20"/>
          <w:szCs w:val="20"/>
          <w:lang w:val="es-MX" w:eastAsia="es-ES_tradnl"/>
        </w:rPr>
      </w:pPr>
      <w:r w:rsidRPr="00E26AE3">
        <w:rPr>
          <w:rFonts w:ascii="Verdana" w:hAnsi="Verdana" w:cs="Arial"/>
          <w:i/>
          <w:iCs/>
          <w:sz w:val="20"/>
          <w:szCs w:val="20"/>
          <w:lang w:val="es-MX" w:eastAsia="es-ES_tradnl"/>
        </w:rPr>
        <w:t>“Por regla general, los contratos estatales pueden ser modificados cuando sea necesario para lograr su finalidad y en aras de la realización de los fines del Estado, a los cuales sirve el contrato.</w:t>
      </w:r>
      <w:r w:rsidRPr="00E26AE3">
        <w:rPr>
          <w:rFonts w:ascii="Verdana" w:hAnsi="Verdana" w:cs="Arial"/>
          <w:i/>
          <w:iCs/>
          <w:sz w:val="20"/>
          <w:szCs w:val="20"/>
          <w:vertAlign w:val="superscript"/>
          <w:lang w:val="es-MX" w:eastAsia="es-ES_tradnl"/>
        </w:rPr>
        <w:footnoteReference w:id="10"/>
      </w:r>
      <w:r w:rsidRPr="00E26AE3">
        <w:rPr>
          <w:rFonts w:ascii="Verdana" w:hAnsi="Verdana" w:cs="Arial"/>
          <w:i/>
          <w:iCs/>
          <w:sz w:val="20"/>
          <w:szCs w:val="20"/>
          <w:lang w:val="es-MX" w:eastAsia="es-ES_tradnl"/>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201</w:t>
      </w:r>
      <w:r w:rsidRPr="00E26AE3">
        <w:rPr>
          <w:rFonts w:ascii="Verdana" w:hAnsi="Verdana" w:cs="Arial"/>
          <w:i/>
          <w:iCs/>
          <w:sz w:val="20"/>
          <w:szCs w:val="20"/>
          <w:lang w:val="es-MX" w:eastAsia="es-ES_tradnl"/>
        </w:rPr>
        <w:footnoteReference w:id="11"/>
      </w:r>
      <w:r w:rsidRPr="00E26AE3">
        <w:rPr>
          <w:rFonts w:ascii="Verdana" w:hAnsi="Verdana" w:cs="Arial"/>
          <w:i/>
          <w:iCs/>
          <w:sz w:val="20"/>
          <w:szCs w:val="20"/>
          <w:lang w:val="es-MX" w:eastAsia="es-ES_tradnl"/>
        </w:rPr>
        <w:t>, la Corte Constitucional señaló que las prórrogas de los contratos –como especie de modificación- pueden ser un instrumento útil para lograr los fines propios de la contratación estatal.</w:t>
      </w:r>
      <w:r w:rsidR="00E26AE3" w:rsidRPr="00E26AE3">
        <w:rPr>
          <w:rFonts w:ascii="Verdana" w:hAnsi="Verdana" w:cs="Arial"/>
          <w:i/>
          <w:iCs/>
          <w:sz w:val="20"/>
          <w:szCs w:val="20"/>
          <w:lang w:val="es-MX" w:eastAsia="es-ES_tradnl"/>
        </w:rPr>
        <w:t>”</w:t>
      </w:r>
      <w:r w:rsidRPr="00E26AE3">
        <w:rPr>
          <w:rFonts w:ascii="Verdana" w:hAnsi="Verdana" w:cs="Arial"/>
          <w:i/>
          <w:iCs/>
          <w:sz w:val="20"/>
          <w:szCs w:val="20"/>
          <w:vertAlign w:val="superscript"/>
          <w:lang w:val="es-MX" w:eastAsia="es-ES_tradnl"/>
        </w:rPr>
        <w:footnoteReference w:id="12"/>
      </w:r>
    </w:p>
    <w:p w14:paraId="22331CC4" w14:textId="77777777" w:rsidR="00E26AE3" w:rsidRPr="00E26AE3" w:rsidRDefault="00E26AE3" w:rsidP="00E26AE3">
      <w:pPr>
        <w:spacing w:after="0" w:line="240" w:lineRule="auto"/>
        <w:ind w:left="709" w:right="709"/>
        <w:jc w:val="both"/>
        <w:rPr>
          <w:rFonts w:ascii="Verdana" w:hAnsi="Verdana" w:cs="Arial"/>
          <w:sz w:val="20"/>
          <w:szCs w:val="20"/>
          <w:lang w:val="es-MX" w:eastAsia="es-ES_tradnl"/>
        </w:rPr>
      </w:pPr>
    </w:p>
    <w:p w14:paraId="6E0397AD" w14:textId="3B43CAEA" w:rsidR="000C0708" w:rsidRPr="00E26AE3" w:rsidRDefault="000C0708" w:rsidP="00E26AE3">
      <w:pPr>
        <w:pStyle w:val="Prrafodelista"/>
        <w:numPr>
          <w:ilvl w:val="0"/>
          <w:numId w:val="11"/>
        </w:numPr>
        <w:spacing w:after="0" w:line="276" w:lineRule="auto"/>
        <w:ind w:left="709"/>
        <w:jc w:val="both"/>
        <w:rPr>
          <w:rFonts w:ascii="Verdana" w:hAnsi="Verdana"/>
        </w:rPr>
      </w:pPr>
      <w:r w:rsidRPr="00E26AE3">
        <w:rPr>
          <w:rFonts w:ascii="Verdana" w:hAnsi="Verdana"/>
        </w:rPr>
        <w:t>Por otro</w:t>
      </w:r>
      <w:r w:rsidR="003663E3" w:rsidRPr="00E26AE3">
        <w:rPr>
          <w:rFonts w:ascii="Verdana" w:hAnsi="Verdana"/>
        </w:rPr>
        <w:t xml:space="preserve"> lado,</w:t>
      </w:r>
      <w:r w:rsidRPr="00E26AE3">
        <w:rPr>
          <w:rFonts w:ascii="Verdana" w:hAnsi="Verdana"/>
        </w:rPr>
        <w:t xml:space="preserve"> el Consejo de Estado</w:t>
      </w:r>
      <w:r w:rsidRPr="003663E3">
        <w:rPr>
          <w:rFonts w:cs="Arial"/>
          <w:bCs/>
          <w:szCs w:val="24"/>
          <w:vertAlign w:val="superscript"/>
          <w:lang w:val="es-MX" w:eastAsia="es-ES_tradnl" w:bidi="es-ES"/>
        </w:rPr>
        <w:footnoteReference w:id="13"/>
      </w:r>
      <w:r w:rsidRPr="00E26AE3">
        <w:rPr>
          <w:rFonts w:ascii="Verdana" w:hAnsi="Verdana"/>
        </w:rPr>
        <w:t xml:space="preserve">, sobre el particular ha manifestado lo siguiente: </w:t>
      </w:r>
    </w:p>
    <w:p w14:paraId="1ADEBA57" w14:textId="77777777" w:rsidR="000C0708" w:rsidRPr="00737F92" w:rsidRDefault="000C0708" w:rsidP="000C0708">
      <w:pPr>
        <w:spacing w:after="0" w:line="276" w:lineRule="auto"/>
        <w:jc w:val="both"/>
        <w:rPr>
          <w:rFonts w:ascii="Century Gothic" w:hAnsi="Century Gothic"/>
        </w:rPr>
      </w:pPr>
    </w:p>
    <w:p w14:paraId="6D9F640F" w14:textId="77777777" w:rsidR="000C0708" w:rsidRPr="00E26AE3" w:rsidRDefault="000C0708" w:rsidP="00E26AE3">
      <w:pPr>
        <w:spacing w:after="0" w:line="240" w:lineRule="auto"/>
        <w:ind w:left="709" w:right="49"/>
        <w:jc w:val="both"/>
        <w:rPr>
          <w:rFonts w:ascii="Verdana" w:hAnsi="Verdana" w:cs="Arial"/>
          <w:i/>
          <w:iCs/>
          <w:sz w:val="20"/>
          <w:szCs w:val="20"/>
          <w:lang w:val="es-MX" w:eastAsia="es-ES_tradnl"/>
        </w:rPr>
      </w:pPr>
      <w:r w:rsidRPr="00E26AE3">
        <w:rPr>
          <w:rFonts w:ascii="Verdana" w:hAnsi="Verdana" w:cs="Arial"/>
          <w:i/>
          <w:iCs/>
          <w:sz w:val="20"/>
          <w:szCs w:val="20"/>
          <w:lang w:val="es-MX" w:eastAsia="es-ES_tradnl"/>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del mismo. Por mutabilidad del contrato estatal se entiende el derecho que tiene la administración de variar, dadas ciertas </w:t>
      </w:r>
      <w:r w:rsidRPr="00E26AE3">
        <w:rPr>
          <w:rFonts w:ascii="Verdana" w:hAnsi="Verdana" w:cs="Arial"/>
          <w:i/>
          <w:iCs/>
          <w:sz w:val="20"/>
          <w:szCs w:val="20"/>
          <w:lang w:val="es-MX" w:eastAsia="es-ES_tradnl"/>
        </w:rPr>
        <w:lastRenderedPageBreak/>
        <w:t>condiciones, las obligaciones a cargo del contratista particular, cuando sea necesario para el cumplimiento del objeto y de los fines generales del Estado.</w:t>
      </w:r>
    </w:p>
    <w:p w14:paraId="16CE8618" w14:textId="77777777" w:rsidR="000C0708" w:rsidRPr="00E26AE3" w:rsidRDefault="000C0708" w:rsidP="00E26AE3">
      <w:pPr>
        <w:spacing w:after="0" w:line="240" w:lineRule="auto"/>
        <w:ind w:left="709" w:right="49"/>
        <w:jc w:val="both"/>
        <w:rPr>
          <w:rFonts w:ascii="Verdana" w:hAnsi="Verdana" w:cs="Arial"/>
          <w:i/>
          <w:iCs/>
          <w:sz w:val="20"/>
          <w:szCs w:val="20"/>
          <w:lang w:val="es-MX" w:eastAsia="es-ES_tradnl"/>
        </w:rPr>
      </w:pPr>
      <w:r w:rsidRPr="00E26AE3">
        <w:rPr>
          <w:rFonts w:ascii="Verdana" w:hAnsi="Verdana" w:cs="Arial"/>
          <w:i/>
          <w:iCs/>
          <w:sz w:val="20"/>
          <w:szCs w:val="20"/>
          <w:lang w:val="es-MX" w:eastAsia="es-ES_tradnl"/>
        </w:rPr>
        <w:t>[…]</w:t>
      </w:r>
    </w:p>
    <w:p w14:paraId="0BFAF6E7" w14:textId="77777777" w:rsidR="000C0708" w:rsidRPr="00E26AE3" w:rsidRDefault="000C0708" w:rsidP="00E26AE3">
      <w:pPr>
        <w:spacing w:after="0" w:line="240" w:lineRule="auto"/>
        <w:ind w:left="709" w:right="49"/>
        <w:jc w:val="both"/>
        <w:rPr>
          <w:rFonts w:ascii="Verdana" w:hAnsi="Verdana" w:cs="Arial"/>
          <w:i/>
          <w:iCs/>
          <w:sz w:val="20"/>
          <w:szCs w:val="20"/>
          <w:lang w:val="es-MX" w:eastAsia="es-ES_tradnl"/>
        </w:rPr>
      </w:pPr>
      <w:r w:rsidRPr="00E26AE3">
        <w:rPr>
          <w:rFonts w:ascii="Verdana" w:hAnsi="Verdana" w:cs="Arial"/>
          <w:i/>
          <w:iCs/>
          <w:sz w:val="20"/>
          <w:szCs w:val="20"/>
          <w:lang w:val="es-MX" w:eastAsia="es-ES_tradnl"/>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35DEA787" w14:textId="6F071054" w:rsidR="000C0708" w:rsidRPr="00E26AE3" w:rsidRDefault="000C0708" w:rsidP="00E26AE3">
      <w:pPr>
        <w:spacing w:before="120" w:after="0" w:line="240" w:lineRule="auto"/>
        <w:ind w:left="709" w:right="49"/>
        <w:jc w:val="both"/>
        <w:rPr>
          <w:rFonts w:ascii="Century Gothic" w:hAnsi="Century Gothic" w:cs="Arial"/>
          <w:i/>
          <w:iCs/>
          <w:sz w:val="20"/>
          <w:szCs w:val="20"/>
          <w:lang w:val="es-MX" w:eastAsia="es-ES_tradnl"/>
        </w:rPr>
      </w:pPr>
      <w:r w:rsidRPr="00E26AE3">
        <w:rPr>
          <w:rFonts w:ascii="Verdana" w:hAnsi="Verdana" w:cs="Arial"/>
          <w:i/>
          <w:iCs/>
          <w:sz w:val="20"/>
          <w:szCs w:val="20"/>
          <w:lang w:val="es-MX" w:eastAsia="es-ES_tradnl"/>
        </w:rPr>
        <w:t>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w:t>
      </w:r>
      <w:r w:rsidRPr="00E26AE3">
        <w:rPr>
          <w:rFonts w:ascii="Century Gothic" w:hAnsi="Century Gothic" w:cs="Arial"/>
          <w:i/>
          <w:iCs/>
          <w:sz w:val="20"/>
          <w:szCs w:val="20"/>
          <w:lang w:val="es-MX" w:eastAsia="es-ES_tradnl"/>
        </w:rPr>
        <w:t xml:space="preserve"> </w:t>
      </w:r>
    </w:p>
    <w:p w14:paraId="7D0A68E3" w14:textId="77777777" w:rsidR="000C0708" w:rsidRPr="00D075D3" w:rsidRDefault="000C0708" w:rsidP="000C0708">
      <w:pPr>
        <w:spacing w:before="120" w:after="0" w:line="240" w:lineRule="auto"/>
        <w:ind w:left="709" w:right="709"/>
        <w:jc w:val="both"/>
        <w:rPr>
          <w:rFonts w:ascii="Century Gothic" w:hAnsi="Century Gothic" w:cs="Arial"/>
          <w:sz w:val="20"/>
          <w:szCs w:val="20"/>
          <w:lang w:val="es-MX" w:eastAsia="es-ES_tradnl"/>
        </w:rPr>
      </w:pPr>
    </w:p>
    <w:p w14:paraId="5A87B0BA" w14:textId="77777777" w:rsidR="00E26AE3" w:rsidRDefault="000C0708" w:rsidP="00E26AE3">
      <w:pPr>
        <w:pStyle w:val="Prrafodelista"/>
        <w:numPr>
          <w:ilvl w:val="0"/>
          <w:numId w:val="11"/>
        </w:numPr>
        <w:spacing w:after="0" w:line="276" w:lineRule="auto"/>
        <w:ind w:left="709"/>
        <w:jc w:val="both"/>
        <w:rPr>
          <w:rFonts w:ascii="Verdana" w:hAnsi="Verdana" w:cs="Arial"/>
          <w:lang w:val="es-MX" w:eastAsia="es-ES_tradnl"/>
        </w:rPr>
      </w:pPr>
      <w:r w:rsidRPr="00E26AE3">
        <w:rPr>
          <w:rFonts w:ascii="Verdana" w:hAnsi="Verdana" w:cs="Arial"/>
          <w:lang w:val="es-MX" w:eastAsia="es-ES_tradnl"/>
        </w:rPr>
        <w:t>De lo expuesto, y a manera de solución al interrogante planteado, surgen estas dos ideas que han servido de hilo conductor al análisis que aquí se hace: el mutuo acuerdo es una forma de modificación del contrato estatal</w:t>
      </w:r>
      <w:r w:rsidR="00EF56E4" w:rsidRPr="00E26AE3">
        <w:rPr>
          <w:rFonts w:ascii="Verdana" w:hAnsi="Verdana" w:cs="Arial"/>
          <w:lang w:val="es-MX" w:eastAsia="es-ES_tradnl"/>
        </w:rPr>
        <w:t xml:space="preserve">, en casos que se requiera ajustar cláusulas pactadas en la etapa </w:t>
      </w:r>
      <w:r w:rsidR="007E64FF" w:rsidRPr="00E26AE3">
        <w:rPr>
          <w:rFonts w:ascii="Verdana" w:hAnsi="Verdana" w:cs="Arial"/>
          <w:lang w:val="es-MX" w:eastAsia="es-ES_tradnl"/>
        </w:rPr>
        <w:t>previa</w:t>
      </w:r>
      <w:r w:rsidR="00EF56E4" w:rsidRPr="00E26AE3">
        <w:rPr>
          <w:rFonts w:ascii="Verdana" w:hAnsi="Verdana" w:cs="Arial"/>
          <w:lang w:val="es-MX" w:eastAsia="es-ES_tradnl"/>
        </w:rPr>
        <w:t xml:space="preserve"> o en el caso en concreto renunciar a</w:t>
      </w:r>
      <w:r w:rsidR="007E64FF" w:rsidRPr="00E26AE3">
        <w:rPr>
          <w:rFonts w:ascii="Verdana" w:hAnsi="Verdana" w:cs="Arial"/>
          <w:lang w:val="es-MX" w:eastAsia="es-ES_tradnl"/>
        </w:rPr>
        <w:t xml:space="preserve"> alguna de ellas</w:t>
      </w:r>
      <w:r w:rsidR="00EF56E4" w:rsidRPr="00E26AE3">
        <w:rPr>
          <w:rFonts w:ascii="Verdana" w:hAnsi="Verdana" w:cs="Arial"/>
          <w:lang w:val="es-MX" w:eastAsia="es-ES_tradnl"/>
        </w:rPr>
        <w:t>, es</w:t>
      </w:r>
      <w:r w:rsidR="007E64FF" w:rsidRPr="00E26AE3">
        <w:rPr>
          <w:rFonts w:ascii="Verdana" w:hAnsi="Verdana" w:cs="Arial"/>
          <w:lang w:val="es-MX" w:eastAsia="es-ES_tradnl"/>
        </w:rPr>
        <w:t xml:space="preserve"> la</w:t>
      </w:r>
      <w:r w:rsidR="00EF56E4" w:rsidRPr="00E26AE3">
        <w:rPr>
          <w:rFonts w:ascii="Verdana" w:hAnsi="Verdana" w:cs="Arial"/>
          <w:lang w:val="es-MX" w:eastAsia="es-ES_tradnl"/>
        </w:rPr>
        <w:t xml:space="preserve"> </w:t>
      </w:r>
      <w:r w:rsidRPr="00E26AE3">
        <w:rPr>
          <w:rFonts w:ascii="Verdana" w:hAnsi="Verdana" w:cs="Arial"/>
          <w:lang w:val="es-MX" w:eastAsia="es-ES_tradnl"/>
        </w:rPr>
        <w:t>más usada en la práctica y preferida por la legislación vigente; advirtiendo, y esta es la segunda idea, que toda modificación debe tener una causa real y cierta, contemplada en la ley, diferente de la mera voluntad de los contratantes.</w:t>
      </w:r>
    </w:p>
    <w:p w14:paraId="1801B9DC" w14:textId="77777777" w:rsidR="00E26AE3" w:rsidRDefault="00E26AE3" w:rsidP="00E26AE3">
      <w:pPr>
        <w:pStyle w:val="Prrafodelista"/>
        <w:spacing w:after="0" w:line="276" w:lineRule="auto"/>
        <w:ind w:left="709"/>
        <w:jc w:val="both"/>
        <w:rPr>
          <w:rFonts w:ascii="Verdana" w:hAnsi="Verdana" w:cs="Arial"/>
          <w:lang w:val="es-MX" w:eastAsia="es-ES_tradnl"/>
        </w:rPr>
      </w:pPr>
    </w:p>
    <w:p w14:paraId="7F2BB311" w14:textId="77777777" w:rsidR="00B0312D" w:rsidRPr="00B0312D" w:rsidRDefault="000C0708" w:rsidP="00E26AE3">
      <w:pPr>
        <w:pStyle w:val="Prrafodelista"/>
        <w:numPr>
          <w:ilvl w:val="0"/>
          <w:numId w:val="11"/>
        </w:numPr>
        <w:spacing w:after="0" w:line="276" w:lineRule="auto"/>
        <w:ind w:left="709"/>
        <w:jc w:val="both"/>
        <w:rPr>
          <w:rFonts w:ascii="Verdana" w:hAnsi="Verdana" w:cs="Arial"/>
          <w:lang w:val="es-MX" w:eastAsia="es-ES_tradnl"/>
        </w:rPr>
      </w:pPr>
      <w:r w:rsidRPr="00E26AE3">
        <w:rPr>
          <w:rFonts w:ascii="Verdana" w:hAnsi="Verdana"/>
        </w:rPr>
        <w:t xml:space="preserve">Es claro entonces, que conforme a la regulación legal y a la interpretación que de la misma han realizado el Consejo de Estado y la Corte Constitucional, la cual es compartida por esta Agencia, es viable jurídicamente modificar los contratos estatales, pero dicha medida tiene un carácter excepcional y sólo procede cuando con ella se pretende garantizar el interés público, cuando la entidad haya verificado y así pueda </w:t>
      </w:r>
      <w:r w:rsidRPr="00E26AE3">
        <w:rPr>
          <w:rFonts w:ascii="Verdana" w:hAnsi="Verdana"/>
        </w:rPr>
        <w:lastRenderedPageBreak/>
        <w:t>constatarse, que la causa de la modificación es real y cierta; y cuando se deriva de previsiones legales, esto es, cuando la modificación encuentra sustento no sólo en circunstancias fácticas propias de la ejecución del contrato, sino, además, cuando tales situaciones ponen de presente la necesidad de dar cumplimiento a previsiones establecidas por el legislador. De esta manera, para establecer si un contrato determinado puede ser susceptible de modificación, se hace necesario que la Administración analice, en cada caso, la concurrencia de los aspectos antes referidos.</w:t>
      </w:r>
    </w:p>
    <w:p w14:paraId="4A818D3C" w14:textId="77777777" w:rsidR="00B0312D" w:rsidRPr="00B0312D" w:rsidRDefault="00B0312D" w:rsidP="00B0312D">
      <w:pPr>
        <w:pStyle w:val="Prrafodelista"/>
        <w:rPr>
          <w:rFonts w:ascii="Verdana" w:hAnsi="Verdana"/>
        </w:rPr>
      </w:pPr>
    </w:p>
    <w:p w14:paraId="49061B0F" w14:textId="77777777" w:rsidR="00B0312D" w:rsidRPr="00B0312D" w:rsidRDefault="00B0312D" w:rsidP="00DA41EC">
      <w:pPr>
        <w:pStyle w:val="Prrafodelista"/>
        <w:numPr>
          <w:ilvl w:val="0"/>
          <w:numId w:val="11"/>
        </w:numPr>
        <w:spacing w:after="0" w:line="276" w:lineRule="auto"/>
        <w:ind w:left="709"/>
        <w:jc w:val="both"/>
        <w:rPr>
          <w:rFonts w:ascii="Verdana" w:hAnsi="Verdana" w:cs="Arial"/>
          <w:lang w:val="es-MX" w:eastAsia="es-ES_tradnl"/>
        </w:rPr>
      </w:pPr>
      <w:r>
        <w:rPr>
          <w:rFonts w:ascii="Verdana" w:hAnsi="Verdana"/>
        </w:rPr>
        <w:t>L</w:t>
      </w:r>
      <w:r w:rsidR="003663E3" w:rsidRPr="00B0312D">
        <w:rPr>
          <w:rFonts w:ascii="Verdana" w:hAnsi="Verdana"/>
        </w:rPr>
        <w:t xml:space="preserve">as modificaciones no podrán suponer la variación del objeto de un contrato, pues ello supondría la alteración de su esencia y lo convertiría en otro tipo de negocio jurídico. Si se presentara esta situación lo indicado sería no modificar el contrato, sino, celebrar uno nuevo. </w:t>
      </w:r>
      <w:r w:rsidR="003663E3" w:rsidRPr="00B0312D">
        <w:rPr>
          <w:rFonts w:ascii="Verdana" w:hAnsi="Verdana" w:cs="Arial"/>
          <w:bCs/>
          <w:szCs w:val="24"/>
          <w:lang w:val="es-MX" w:eastAsia="es-ES_tradnl" w:bidi="es-ES"/>
        </w:rPr>
        <w:t>Sobre este último punto, la doctrina</w:t>
      </w:r>
      <w:r w:rsidR="003663E3" w:rsidRPr="002A2EBF">
        <w:rPr>
          <w:rFonts w:cs="Arial"/>
          <w:bCs/>
          <w:szCs w:val="24"/>
          <w:vertAlign w:val="superscript"/>
          <w:lang w:val="es-MX" w:eastAsia="es-ES_tradnl" w:bidi="es-ES"/>
        </w:rPr>
        <w:footnoteReference w:id="14"/>
      </w:r>
      <w:r w:rsidR="003663E3" w:rsidRPr="00B0312D">
        <w:rPr>
          <w:rFonts w:ascii="Verdana" w:hAnsi="Verdana" w:cs="Arial"/>
          <w:bCs/>
          <w:szCs w:val="24"/>
          <w:lang w:val="es-MX" w:eastAsia="es-ES_tradnl" w:bidi="es-ES"/>
        </w:rPr>
        <w:t xml:space="preserve"> ha precisado que cuando </w:t>
      </w:r>
      <w:r w:rsidR="003663E3" w:rsidRPr="00B0312D">
        <w:rPr>
          <w:rFonts w:ascii="Verdana" w:hAnsi="Verdana" w:cs="Arial"/>
          <w:bCs/>
          <w:szCs w:val="24"/>
          <w:lang w:val="es-MX" w:eastAsia="es-ES_tradnl"/>
        </w:rPr>
        <w:t>“</w:t>
      </w:r>
      <w:r w:rsidR="003663E3" w:rsidRPr="00B0312D">
        <w:rPr>
          <w:rFonts w:ascii="Verdana" w:hAnsi="Verdana" w:cs="Arial"/>
          <w:bCs/>
          <w:szCs w:val="24"/>
          <w:lang w:val="es-MX" w:eastAsia="es-ES_tradnl"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003663E3" w:rsidRPr="00B0312D">
        <w:rPr>
          <w:rFonts w:ascii="Verdana" w:hAnsi="Verdana" w:cs="Arial"/>
          <w:bCs/>
          <w:szCs w:val="24"/>
          <w:lang w:val="es-MX" w:eastAsia="es-ES_tradnl"/>
        </w:rPr>
        <w:t>”</w:t>
      </w:r>
      <w:r w:rsidR="003663E3" w:rsidRPr="002A2EBF">
        <w:rPr>
          <w:rFonts w:cs="Arial"/>
          <w:bCs/>
          <w:i/>
          <w:iCs/>
          <w:szCs w:val="24"/>
          <w:vertAlign w:val="superscript"/>
          <w:lang w:val="es-MX" w:eastAsia="es-ES_tradnl"/>
        </w:rPr>
        <w:footnoteReference w:id="15"/>
      </w:r>
      <w:r w:rsidR="003663E3" w:rsidRPr="00B0312D">
        <w:rPr>
          <w:rFonts w:ascii="Verdana" w:hAnsi="Verdana" w:cs="Arial"/>
          <w:bCs/>
          <w:szCs w:val="24"/>
          <w:lang w:val="es-MX" w:eastAsia="es-ES_tradnl" w:bidi="es-ES"/>
        </w:rPr>
        <w:t>.</w:t>
      </w:r>
    </w:p>
    <w:p w14:paraId="0A48DBA1" w14:textId="77777777" w:rsidR="00B0312D" w:rsidRPr="00B0312D" w:rsidRDefault="00B0312D" w:rsidP="00B0312D">
      <w:pPr>
        <w:pStyle w:val="Prrafodelista"/>
        <w:rPr>
          <w:rFonts w:ascii="Verdana" w:hAnsi="Verdana"/>
        </w:rPr>
      </w:pPr>
    </w:p>
    <w:p w14:paraId="4D55A2AC" w14:textId="2340E979" w:rsidR="00EB52B4" w:rsidRPr="00B0312D" w:rsidRDefault="00B0312D" w:rsidP="00DA41EC">
      <w:pPr>
        <w:pStyle w:val="Prrafodelista"/>
        <w:numPr>
          <w:ilvl w:val="0"/>
          <w:numId w:val="11"/>
        </w:numPr>
        <w:spacing w:after="0" w:line="276" w:lineRule="auto"/>
        <w:ind w:left="709"/>
        <w:jc w:val="both"/>
        <w:rPr>
          <w:rFonts w:ascii="Verdana" w:hAnsi="Verdana" w:cs="Arial"/>
          <w:lang w:val="es-MX" w:eastAsia="es-ES_tradnl"/>
        </w:rPr>
      </w:pPr>
      <w:r>
        <w:rPr>
          <w:rFonts w:ascii="Verdana" w:hAnsi="Verdana"/>
        </w:rPr>
        <w:t>C</w:t>
      </w:r>
      <w:r w:rsidR="00EF56E4" w:rsidRPr="00B0312D">
        <w:rPr>
          <w:rFonts w:ascii="Verdana" w:hAnsi="Verdana"/>
        </w:rPr>
        <w:t xml:space="preserve">orresponderá a cada Entidad Estatal realizar el análisis respecto a la procedencia de modificar determinado contrato estatal, en el entendido que se respeten las reglas establecidas en el ordenamiento jurídico, de acuerdo </w:t>
      </w:r>
      <w:r w:rsidR="00EF56E4" w:rsidRPr="00B0312D">
        <w:rPr>
          <w:rFonts w:ascii="Verdana" w:hAnsi="Verdana" w:cs="Arial"/>
          <w:bCs/>
          <w:lang w:val="es-MX" w:eastAsia="es-ES_tradnl" w:bidi="es-ES"/>
        </w:rPr>
        <w:t>con lo expuesto anteriormente, además de definir previamente su procedencia desde la perspectiva jurídica, técnica y financiera.</w:t>
      </w:r>
    </w:p>
    <w:p w14:paraId="7DF4FB88" w14:textId="77777777" w:rsidR="00EF56E4" w:rsidRPr="00EF56E4" w:rsidRDefault="00EF56E4" w:rsidP="00EF56E4">
      <w:pPr>
        <w:spacing w:after="0" w:line="276" w:lineRule="auto"/>
        <w:jc w:val="both"/>
        <w:rPr>
          <w:rFonts w:ascii="Century Gothic" w:hAnsi="Century Gothic" w:cs="Arial"/>
          <w:bCs/>
          <w:szCs w:val="24"/>
          <w:lang w:val="es-MX" w:eastAsia="es-ES_tradnl" w:bidi="es-ES"/>
        </w:rPr>
      </w:pPr>
    </w:p>
    <w:p w14:paraId="53133908"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593A5F">
        <w:rPr>
          <w:rFonts w:ascii="Verdana" w:eastAsia="Century Gothic" w:hAnsi="Verdana" w:cs="Century Gothic"/>
          <w:b/>
          <w:bCs/>
          <w:lang w:val="es-ES"/>
        </w:rPr>
        <w:t>Referencias normativas, jurisprudenciales y otras fuentes:</w:t>
      </w:r>
    </w:p>
    <w:p w14:paraId="237FD993" w14:textId="77777777" w:rsidR="00871B59" w:rsidRPr="00593A5F" w:rsidRDefault="00871B59" w:rsidP="00871B5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593A5F" w14:paraId="150F7C2A" w14:textId="77777777" w:rsidTr="002607A7">
        <w:trPr>
          <w:trHeight w:val="870"/>
        </w:trPr>
        <w:tc>
          <w:tcPr>
            <w:tcW w:w="8647" w:type="dxa"/>
          </w:tcPr>
          <w:p w14:paraId="481493F4" w14:textId="6E45D357" w:rsidR="00631FFE" w:rsidRPr="00631FFE" w:rsidRDefault="0001217D" w:rsidP="00631FFE">
            <w:pPr>
              <w:pStyle w:val="Prrafodelista"/>
              <w:widowControl w:val="0"/>
              <w:numPr>
                <w:ilvl w:val="0"/>
                <w:numId w:val="8"/>
              </w:numPr>
              <w:autoSpaceDE w:val="0"/>
              <w:autoSpaceDN w:val="0"/>
              <w:spacing w:after="120" w:line="276" w:lineRule="auto"/>
              <w:jc w:val="both"/>
              <w:rPr>
                <w:rFonts w:ascii="Verdana" w:hAnsi="Verdana" w:cs="Arial"/>
              </w:rPr>
            </w:pPr>
            <w:r w:rsidRPr="0001217D">
              <w:rPr>
                <w:rFonts w:ascii="Verdana" w:hAnsi="Verdana" w:cs="Arial"/>
              </w:rPr>
              <w:lastRenderedPageBreak/>
              <w:t>Ley</w:t>
            </w:r>
            <w:r w:rsidR="00631FFE">
              <w:rPr>
                <w:rFonts w:ascii="Verdana" w:hAnsi="Verdana" w:cs="Arial"/>
              </w:rPr>
              <w:t>es</w:t>
            </w:r>
            <w:r w:rsidRPr="0001217D">
              <w:rPr>
                <w:rFonts w:ascii="Verdana" w:hAnsi="Verdana" w:cs="Arial"/>
              </w:rPr>
              <w:t xml:space="preserve"> 80 de 1993 - artículo 40</w:t>
            </w:r>
            <w:r w:rsidR="00631FFE">
              <w:rPr>
                <w:rFonts w:ascii="Verdana" w:hAnsi="Verdana" w:cs="Arial"/>
              </w:rPr>
              <w:t xml:space="preserve">; </w:t>
            </w:r>
            <w:r w:rsidR="00631FFE" w:rsidRPr="0001217D">
              <w:rPr>
                <w:rFonts w:ascii="Verdana" w:hAnsi="Verdana" w:cs="Arial"/>
              </w:rPr>
              <w:t>1474 de 2011 - artículo 91</w:t>
            </w:r>
            <w:r w:rsidR="00631FFE">
              <w:rPr>
                <w:rFonts w:ascii="Verdana" w:hAnsi="Verdana" w:cs="Arial"/>
              </w:rPr>
              <w:t>; 1150 de 2007.</w:t>
            </w:r>
          </w:p>
          <w:p w14:paraId="6EBA0B4D" w14:textId="07C9A9B1" w:rsidR="0001217D" w:rsidRDefault="0001217D" w:rsidP="00871B59">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01217D">
              <w:rPr>
                <w:rFonts w:ascii="Verdana" w:hAnsi="Verdana" w:cs="Arial"/>
              </w:rPr>
              <w:t>Decreto 1082 de 2015 - artículo 2.2.1.2.3.1.7; artículo 2.2.1.1.2.4.1.</w:t>
            </w:r>
          </w:p>
          <w:p w14:paraId="1EC04504" w14:textId="38EA3EE2" w:rsidR="00631FFE" w:rsidRDefault="00631FFE" w:rsidP="00871B59">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631FFE">
              <w:rPr>
                <w:rFonts w:ascii="Verdana" w:hAnsi="Verdana" w:cs="Arial"/>
              </w:rPr>
              <w:t>C</w:t>
            </w:r>
            <w:r>
              <w:rPr>
                <w:rFonts w:ascii="Verdana" w:hAnsi="Verdana" w:cs="Arial"/>
              </w:rPr>
              <w:t>onsejo</w:t>
            </w:r>
            <w:r w:rsidRPr="00631FFE">
              <w:rPr>
                <w:rFonts w:ascii="Verdana" w:hAnsi="Verdana" w:cs="Arial"/>
              </w:rPr>
              <w:t xml:space="preserve"> </w:t>
            </w:r>
            <w:r>
              <w:rPr>
                <w:rFonts w:ascii="Verdana" w:hAnsi="Verdana" w:cs="Arial"/>
              </w:rPr>
              <w:t>de</w:t>
            </w:r>
            <w:r w:rsidRPr="00631FFE">
              <w:rPr>
                <w:rFonts w:ascii="Verdana" w:hAnsi="Verdana" w:cs="Arial"/>
              </w:rPr>
              <w:t xml:space="preserve"> E</w:t>
            </w:r>
            <w:r>
              <w:rPr>
                <w:rFonts w:ascii="Verdana" w:hAnsi="Verdana" w:cs="Arial"/>
              </w:rPr>
              <w:t>stado</w:t>
            </w:r>
            <w:r w:rsidRPr="00631FFE">
              <w:rPr>
                <w:rFonts w:ascii="Verdana" w:hAnsi="Verdana" w:cs="Arial"/>
              </w:rPr>
              <w:t>. Sala de lo Contencioso Administrativo. Sección Tercera</w:t>
            </w:r>
            <w:r>
              <w:rPr>
                <w:rFonts w:ascii="Verdana" w:hAnsi="Verdana" w:cs="Arial"/>
              </w:rPr>
              <w:t xml:space="preserve"> – Sentencia del 16 de mayo 2019 Exp</w:t>
            </w:r>
            <w:r w:rsidRPr="00631FFE">
              <w:rPr>
                <w:rFonts w:ascii="Verdana" w:hAnsi="Verdana" w:cs="Arial"/>
              </w:rPr>
              <w:t>. 40102</w:t>
            </w:r>
            <w:r>
              <w:rPr>
                <w:rFonts w:ascii="Verdana" w:hAnsi="Verdana" w:cs="Arial"/>
              </w:rPr>
              <w:t xml:space="preserve">; Sentencia </w:t>
            </w:r>
            <w:r w:rsidRPr="00631FFE">
              <w:rPr>
                <w:rFonts w:ascii="Verdana" w:hAnsi="Verdana" w:cs="Arial"/>
              </w:rPr>
              <w:t xml:space="preserve">del 2 de octubre del 2020. </w:t>
            </w:r>
            <w:r>
              <w:rPr>
                <w:rFonts w:ascii="Verdana" w:hAnsi="Verdana" w:cs="Arial"/>
              </w:rPr>
              <w:t>Exp</w:t>
            </w:r>
            <w:r w:rsidRPr="00631FFE">
              <w:rPr>
                <w:rFonts w:ascii="Verdana" w:hAnsi="Verdana" w:cs="Arial"/>
              </w:rPr>
              <w:t>. 63644. CP. Jaime Enrique Rodríguez Nava</w:t>
            </w:r>
            <w:r>
              <w:rPr>
                <w:rFonts w:ascii="Verdana" w:hAnsi="Verdana" w:cs="Arial"/>
              </w:rPr>
              <w:t xml:space="preserve">; Sentencia de </w:t>
            </w:r>
            <w:r w:rsidRPr="00631FFE">
              <w:rPr>
                <w:rFonts w:ascii="Verdana" w:hAnsi="Verdana" w:cs="Arial"/>
              </w:rPr>
              <w:t xml:space="preserve">22 de junio de 2001. </w:t>
            </w:r>
            <w:r>
              <w:rPr>
                <w:rFonts w:ascii="Verdana" w:hAnsi="Verdana" w:cs="Arial"/>
              </w:rPr>
              <w:t>Exp</w:t>
            </w:r>
            <w:r w:rsidRPr="00631FFE">
              <w:rPr>
                <w:rFonts w:ascii="Verdana" w:hAnsi="Verdana" w:cs="Arial"/>
              </w:rPr>
              <w:t>. 13436, C.P. Ricardo Hoyos Duque</w:t>
            </w:r>
            <w:r>
              <w:rPr>
                <w:rFonts w:ascii="Verdana" w:hAnsi="Verdana" w:cs="Arial"/>
              </w:rPr>
              <w:t xml:space="preserve">; </w:t>
            </w:r>
            <w:r w:rsidRPr="00631FFE">
              <w:rPr>
                <w:rFonts w:ascii="Verdana" w:hAnsi="Verdana" w:cs="Arial"/>
              </w:rPr>
              <w:t>Sala Plena de lo Contencioso Administrativo. Sentencia del 8 de agosto de 2001. Exp. AC-10966 - AC-11274.</w:t>
            </w:r>
            <w:r>
              <w:rPr>
                <w:rFonts w:ascii="Verdana" w:hAnsi="Verdana" w:cs="Arial"/>
              </w:rPr>
              <w:t xml:space="preserve"> C.P. </w:t>
            </w:r>
            <w:r w:rsidRPr="00631FFE">
              <w:rPr>
                <w:rFonts w:ascii="Verdana" w:hAnsi="Verdana" w:cs="Arial"/>
              </w:rPr>
              <w:t>Reinaldo Chavarro Buriticá.</w:t>
            </w:r>
          </w:p>
          <w:p w14:paraId="593AEA27" w14:textId="037B2A53" w:rsidR="00ED15BE" w:rsidRDefault="00631FFE" w:rsidP="00871B59">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631FFE">
              <w:rPr>
                <w:rFonts w:ascii="Verdana" w:hAnsi="Verdana" w:cs="Arial"/>
              </w:rPr>
              <w:t>Consejo de Estado</w:t>
            </w:r>
            <w:r w:rsidR="008831EA">
              <w:rPr>
                <w:rFonts w:ascii="Verdana" w:hAnsi="Verdana" w:cs="Arial"/>
              </w:rPr>
              <w:t>.</w:t>
            </w:r>
            <w:r w:rsidRPr="00631FFE">
              <w:rPr>
                <w:rFonts w:ascii="Verdana" w:hAnsi="Verdana" w:cs="Arial"/>
              </w:rPr>
              <w:t xml:space="preserve"> Sala de Consulta y Servicio Civil, concepto del 13 de agosto de 2009, rad. 1.952, C.P. Enrique José Arboleda Perdomo.</w:t>
            </w:r>
          </w:p>
          <w:p w14:paraId="20CF2EE0" w14:textId="77777777" w:rsidR="00ED15BE" w:rsidRDefault="00ED15BE" w:rsidP="00871B59">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sidRPr="00ED15BE">
              <w:rPr>
                <w:rFonts w:ascii="Verdana" w:hAnsi="Verdana" w:cs="Arial"/>
              </w:rPr>
              <w:t>Corte Constitucional sentencia C-416 de 2012</w:t>
            </w:r>
            <w:r>
              <w:rPr>
                <w:rFonts w:ascii="Verdana" w:hAnsi="Verdana" w:cs="Arial"/>
              </w:rPr>
              <w:t>.</w:t>
            </w:r>
          </w:p>
          <w:p w14:paraId="6D64B2AB" w14:textId="75118805" w:rsidR="00ED15BE" w:rsidRPr="00ED15BE" w:rsidRDefault="00ED15BE" w:rsidP="00ED15BE">
            <w:pPr>
              <w:pStyle w:val="Prrafodelista"/>
              <w:widowControl w:val="0"/>
              <w:numPr>
                <w:ilvl w:val="0"/>
                <w:numId w:val="8"/>
              </w:numPr>
              <w:tabs>
                <w:tab w:val="left" w:pos="8419"/>
              </w:tabs>
              <w:autoSpaceDE w:val="0"/>
              <w:autoSpaceDN w:val="0"/>
              <w:spacing w:after="120" w:line="276" w:lineRule="auto"/>
              <w:jc w:val="both"/>
              <w:rPr>
                <w:rFonts w:ascii="Verdana" w:hAnsi="Verdana" w:cs="Arial"/>
              </w:rPr>
            </w:pPr>
            <w:r>
              <w:rPr>
                <w:rFonts w:ascii="Verdana" w:hAnsi="Verdana" w:cs="Arial"/>
              </w:rPr>
              <w:t>S</w:t>
            </w:r>
            <w:r w:rsidRPr="00ED15BE">
              <w:rPr>
                <w:rFonts w:ascii="Verdana" w:hAnsi="Verdana" w:cs="Arial"/>
              </w:rPr>
              <w:t>entencia C-932 de 2007, M.P. Marco Gerardo Monroy Cabra.</w:t>
            </w:r>
          </w:p>
          <w:p w14:paraId="5E7FB328" w14:textId="4D3F5EFF" w:rsidR="00631FFE" w:rsidRPr="0001217D" w:rsidRDefault="00ED15BE" w:rsidP="00ED15BE">
            <w:pPr>
              <w:pStyle w:val="Prrafodelista"/>
              <w:widowControl w:val="0"/>
              <w:numPr>
                <w:ilvl w:val="0"/>
                <w:numId w:val="8"/>
              </w:numPr>
              <w:tabs>
                <w:tab w:val="left" w:pos="8419"/>
              </w:tabs>
              <w:autoSpaceDE w:val="0"/>
              <w:autoSpaceDN w:val="0"/>
              <w:spacing w:after="120" w:line="276" w:lineRule="auto"/>
              <w:contextualSpacing w:val="0"/>
              <w:jc w:val="both"/>
              <w:rPr>
                <w:rFonts w:ascii="Verdana" w:hAnsi="Verdana" w:cs="Arial"/>
              </w:rPr>
            </w:pPr>
            <w:r>
              <w:rPr>
                <w:rFonts w:ascii="Verdana" w:hAnsi="Verdana" w:cs="Arial"/>
              </w:rPr>
              <w:t>S</w:t>
            </w:r>
            <w:r w:rsidRPr="00ED15BE">
              <w:rPr>
                <w:rFonts w:ascii="Verdana" w:hAnsi="Verdana" w:cs="Arial"/>
              </w:rPr>
              <w:t>entencia C-068 de 2009, M.P. Mauricio González Cuervo.</w:t>
            </w:r>
            <w:r w:rsidR="00631FFE">
              <w:rPr>
                <w:rFonts w:ascii="Verdana" w:hAnsi="Verdana" w:cs="Arial"/>
              </w:rPr>
              <w:t xml:space="preserve"> </w:t>
            </w:r>
          </w:p>
          <w:p w14:paraId="190A1CF8" w14:textId="77777777" w:rsidR="00871B59" w:rsidRPr="00340039" w:rsidRDefault="00871B59" w:rsidP="00871B5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01217D">
              <w:rPr>
                <w:rFonts w:ascii="Verdana" w:hAnsi="Verdana" w:cs="Arial"/>
              </w:rPr>
              <w:t>Jurisprudencia del Consejo de Estado. Disponible en:</w:t>
            </w:r>
            <w:r w:rsidRPr="00D769C5">
              <w:rPr>
                <w:rFonts w:ascii="Verdana" w:hAnsi="Verdana" w:cs="Arial"/>
                <w:color w:val="7030A0"/>
              </w:rPr>
              <w:t xml:space="preserve"> </w:t>
            </w:r>
            <w:hyperlink r:id="rId13" w:history="1">
              <w:r w:rsidRPr="003705EA">
                <w:rPr>
                  <w:rStyle w:val="Hipervnculo"/>
                  <w:rFonts w:ascii="Verdana" w:hAnsi="Verdana" w:cs="Arial"/>
                </w:rPr>
                <w:t>https://relatoria.colombiacompra.gov.co/providencias-consejo-de-estado/</w:t>
              </w:r>
            </w:hyperlink>
            <w:r>
              <w:rPr>
                <w:rFonts w:ascii="Verdana" w:hAnsi="Verdana" w:cs="Arial"/>
              </w:rPr>
              <w:t xml:space="preserve"> </w:t>
            </w:r>
          </w:p>
          <w:p w14:paraId="6ACEA7FD" w14:textId="6DA869DD" w:rsidR="00871B59" w:rsidRPr="00A80929" w:rsidRDefault="00871B59" w:rsidP="00A80929">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01217D">
              <w:rPr>
                <w:rFonts w:ascii="Verdana" w:hAnsi="Verdana" w:cs="Arial"/>
              </w:rPr>
              <w:t>Guías y manuales expedidos por la ANCP-CCE. Disponible en:</w:t>
            </w:r>
            <w:r w:rsidRPr="00340039">
              <w:rPr>
                <w:color w:val="7030A0"/>
              </w:rPr>
              <w:t xml:space="preserve"> </w:t>
            </w:r>
            <w:hyperlink r:id="rId14" w:history="1">
              <w:r w:rsidRPr="00340039">
                <w:rPr>
                  <w:rStyle w:val="Hipervnculo"/>
                  <w:rFonts w:ascii="Verdana" w:hAnsi="Verdana" w:cs="Arial"/>
                </w:rPr>
                <w:t>https://www.colombiacompra.gov.co/manuales-guias-y-pliegos-tipo/manuales-y-guias</w:t>
              </w:r>
            </w:hyperlink>
            <w:r>
              <w:rPr>
                <w:rFonts w:ascii="Verdana" w:hAnsi="Verdana" w:cs="Arial"/>
              </w:rPr>
              <w:t xml:space="preserve"> </w:t>
            </w:r>
          </w:p>
        </w:tc>
      </w:tr>
    </w:tbl>
    <w:p w14:paraId="0E1B16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40380BCB" w14:textId="77777777" w:rsidR="00871B59" w:rsidRPr="00593A5F"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Pr>
          <w:rFonts w:ascii="Verdana" w:eastAsia="Century Gothic" w:hAnsi="Verdana" w:cs="Century Gothic"/>
          <w:b/>
          <w:bCs/>
          <w:lang w:val="es-ES"/>
        </w:rPr>
        <w:t>Doctrina de la Agencia Nacional de Contratación Pública</w:t>
      </w:r>
      <w:r w:rsidRPr="00593A5F">
        <w:rPr>
          <w:rFonts w:ascii="Verdana" w:eastAsia="Century Gothic" w:hAnsi="Verdana" w:cs="Century Gothic"/>
          <w:b/>
          <w:bCs/>
          <w:lang w:val="es-ES"/>
        </w:rPr>
        <w:t>:</w:t>
      </w:r>
    </w:p>
    <w:p w14:paraId="41294D6D" w14:textId="77777777" w:rsidR="00871B59" w:rsidRPr="00593A5F" w:rsidRDefault="00871B59" w:rsidP="00871B59">
      <w:pPr>
        <w:widowControl w:val="0"/>
        <w:autoSpaceDE w:val="0"/>
        <w:autoSpaceDN w:val="0"/>
        <w:spacing w:after="0" w:line="276" w:lineRule="auto"/>
        <w:jc w:val="both"/>
        <w:rPr>
          <w:rFonts w:ascii="Verdana" w:hAnsi="Verdana" w:cs="Arial"/>
        </w:rPr>
      </w:pPr>
    </w:p>
    <w:p w14:paraId="688C30E7" w14:textId="70546DC2" w:rsidR="00871B59" w:rsidRDefault="00871B59" w:rsidP="00AD44E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D44E8">
        <w:rPr>
          <w:rFonts w:ascii="Verdana" w:hAnsi="Verdana"/>
        </w:rPr>
        <w:t>Sobre</w:t>
      </w:r>
      <w:r w:rsidR="00E1151D" w:rsidRPr="00AD44E8">
        <w:rPr>
          <w:rFonts w:ascii="Verdana" w:hAnsi="Verdana"/>
        </w:rPr>
        <w:t xml:space="preserve"> el ámbito de aplicación de</w:t>
      </w:r>
      <w:r w:rsidR="00A57ACF" w:rsidRPr="00AD44E8">
        <w:rPr>
          <w:rFonts w:ascii="Verdana" w:hAnsi="Verdana"/>
        </w:rPr>
        <w:t xml:space="preserve">l </w:t>
      </w:r>
      <w:r w:rsidR="00E1151D" w:rsidRPr="00AD44E8">
        <w:rPr>
          <w:rFonts w:ascii="Verdana" w:hAnsi="Verdana"/>
        </w:rPr>
        <w:t>anticipo</w:t>
      </w:r>
      <w:r w:rsidR="006E563B" w:rsidRPr="00AD44E8">
        <w:rPr>
          <w:rFonts w:ascii="Verdana" w:hAnsi="Verdana"/>
        </w:rPr>
        <w:t xml:space="preserve">, modificaciones del contrato </w:t>
      </w:r>
      <w:r w:rsidRPr="00AD44E8">
        <w:rPr>
          <w:rFonts w:ascii="Verdana" w:hAnsi="Verdana"/>
        </w:rPr>
        <w:t>se pronunció esta Subdirección en los conceptos</w:t>
      </w:r>
      <w:r w:rsidR="00E1151D" w:rsidRPr="00AD44E8">
        <w:rPr>
          <w:rFonts w:ascii="Verdana" w:hAnsi="Verdana"/>
        </w:rPr>
        <w:t xml:space="preserve"> C-796 de noviembre de 2022,</w:t>
      </w:r>
      <w:r w:rsidRPr="00AD44E8">
        <w:rPr>
          <w:rFonts w:ascii="Verdana" w:hAnsi="Verdana"/>
        </w:rPr>
        <w:t xml:space="preserve"> </w:t>
      </w:r>
      <w:r w:rsidR="00E1151D" w:rsidRPr="00AD44E8">
        <w:rPr>
          <w:rFonts w:ascii="Verdana" w:hAnsi="Verdana"/>
        </w:rPr>
        <w:t>C-825 de diciembre de 2022, C-842 de 2022 de diciembre 2022, C-109 de mayo 2023, C-455 de diciembre de 2023,</w:t>
      </w:r>
      <w:r w:rsidR="006E563B" w:rsidRPr="00AD44E8">
        <w:rPr>
          <w:rFonts w:ascii="Verdana" w:hAnsi="Verdana"/>
        </w:rPr>
        <w:t xml:space="preserve"> C-471 de 2023,</w:t>
      </w:r>
      <w:r w:rsidR="00AD44E8" w:rsidRPr="00AD44E8">
        <w:rPr>
          <w:rFonts w:ascii="Verdana" w:hAnsi="Verdana"/>
        </w:rPr>
        <w:t xml:space="preserve"> C-452 de 2023, C-396 de 2023, C-090 de 2024</w:t>
      </w:r>
      <w:r w:rsidR="006E563B" w:rsidRPr="00AD44E8">
        <w:rPr>
          <w:rFonts w:ascii="Verdana" w:hAnsi="Verdana"/>
        </w:rPr>
        <w:t xml:space="preserve"> </w:t>
      </w:r>
      <w:r w:rsidR="00E1151D" w:rsidRPr="00AD44E8">
        <w:rPr>
          <w:rFonts w:ascii="Verdana" w:hAnsi="Verdana"/>
        </w:rPr>
        <w:t xml:space="preserve"> se abordó el análisis y estudio de la facultad de las entidades estatales para pactar la entrega de anticipos en los contratos estatales</w:t>
      </w:r>
      <w:r w:rsidR="006E563B" w:rsidRPr="00AD44E8">
        <w:rPr>
          <w:rFonts w:ascii="Verdana" w:hAnsi="Verdana"/>
        </w:rPr>
        <w:t>, además de las modificaciones al contrato estatal.</w:t>
      </w:r>
      <w:r w:rsidR="00AD44E8" w:rsidRPr="00AD44E8">
        <w:rPr>
          <w:rFonts w:ascii="Verdana" w:hAnsi="Verdana"/>
        </w:rPr>
        <w:t xml:space="preserve"> </w:t>
      </w:r>
      <w:r w:rsidRPr="00AD44E8">
        <w:rPr>
          <w:rFonts w:ascii="Verdana" w:hAnsi="Verdana"/>
        </w:rPr>
        <w:t xml:space="preserve">Estos y otros </w:t>
      </w:r>
      <w:r w:rsidRPr="00AD44E8">
        <w:rPr>
          <w:rFonts w:ascii="Verdana" w:hAnsi="Verdana"/>
        </w:rPr>
        <w:lastRenderedPageBreak/>
        <w:t>conceptos se encuentran disponibles para consulta en el Sistema de relatoría de la Agencia, al cual se puede acceder a través del siguiente enlace:</w:t>
      </w:r>
      <w:r w:rsidRPr="00AD44E8">
        <w:rPr>
          <w:rStyle w:val="normaltextrun"/>
          <w:rFonts w:ascii="Verdana" w:hAnsi="Verdana" w:cs="Arial"/>
          <w:shd w:val="clear" w:color="auto" w:fill="FFFFFF"/>
          <w:lang w:val="es-ES"/>
        </w:rPr>
        <w:t xml:space="preserve"> </w:t>
      </w:r>
      <w:hyperlink r:id="rId15"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653CF3BE"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E5FBA74" w14:textId="77777777" w:rsidR="00871B59" w:rsidRDefault="00871B59" w:rsidP="00871B5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6"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1570ED43"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84AF384" w14:textId="77777777" w:rsidR="008815E5" w:rsidRPr="003E2460" w:rsidRDefault="008815E5" w:rsidP="008815E5">
      <w:pPr>
        <w:spacing w:after="0" w:line="240" w:lineRule="auto"/>
        <w:jc w:val="both"/>
        <w:rPr>
          <w:rFonts w:ascii="Verdana" w:hAnsi="Verdana"/>
        </w:rPr>
      </w:pPr>
    </w:p>
    <w:p w14:paraId="5E6CD010"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F76F019"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0E5B357" w14:textId="77777777" w:rsidR="008815E5" w:rsidRPr="003E2460" w:rsidRDefault="008815E5" w:rsidP="008815E5">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6980ECB3" w14:textId="77777777" w:rsidR="00871B59" w:rsidRPr="00593A5F" w:rsidRDefault="00871B59" w:rsidP="00871B59">
      <w:pPr>
        <w:widowControl w:val="0"/>
        <w:autoSpaceDE w:val="0"/>
        <w:autoSpaceDN w:val="0"/>
        <w:spacing w:after="0" w:line="276" w:lineRule="auto"/>
        <w:jc w:val="both"/>
        <w:rPr>
          <w:rFonts w:ascii="Verdana" w:hAnsi="Verdana" w:cs="Arial"/>
        </w:rPr>
      </w:pPr>
    </w:p>
    <w:p w14:paraId="120572E9" w14:textId="77777777" w:rsidR="00871B59" w:rsidRPr="00593A5F" w:rsidRDefault="00871B59" w:rsidP="00871B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160CFD" w14:textId="18A06711" w:rsidR="00871B59" w:rsidRPr="00593A5F" w:rsidRDefault="00871B59" w:rsidP="00871B59">
      <w:pPr>
        <w:widowControl w:val="0"/>
        <w:autoSpaceDE w:val="0"/>
        <w:autoSpaceDN w:val="0"/>
        <w:spacing w:after="0" w:line="276" w:lineRule="auto"/>
        <w:jc w:val="both"/>
        <w:rPr>
          <w:rFonts w:ascii="Verdana" w:hAnsi="Verdana" w:cs="Arial"/>
        </w:rPr>
      </w:pPr>
    </w:p>
    <w:p w14:paraId="46FD3687" w14:textId="620E051B" w:rsidR="00871B59" w:rsidRDefault="00871B59" w:rsidP="00871B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7EB91CB" w14:textId="1DF8B8F0" w:rsidR="00A826AC" w:rsidRDefault="00A826AC" w:rsidP="00871B59">
      <w:pPr>
        <w:spacing w:after="0" w:line="240" w:lineRule="auto"/>
        <w:rPr>
          <w:rFonts w:ascii="Verdana" w:hAnsi="Verdana" w:cs="Arial"/>
          <w:lang w:eastAsia="es-CO"/>
        </w:rPr>
      </w:pPr>
    </w:p>
    <w:p w14:paraId="7387031B" w14:textId="69DB825C" w:rsidR="00A826AC" w:rsidRDefault="00A826AC" w:rsidP="00871B59">
      <w:pPr>
        <w:spacing w:after="0" w:line="240" w:lineRule="auto"/>
        <w:rPr>
          <w:rFonts w:ascii="Verdana" w:hAnsi="Verdana" w:cs="Arial"/>
          <w:lang w:eastAsia="es-CO"/>
        </w:rPr>
      </w:pPr>
      <w:r>
        <w:rPr>
          <w:rFonts w:ascii="Verdana" w:hAnsi="Verdana" w:cs="Arial"/>
          <w:noProof/>
          <w:lang w:eastAsia="es-CO"/>
        </w:rPr>
        <w:drawing>
          <wp:anchor distT="0" distB="0" distL="114300" distR="114300" simplePos="0" relativeHeight="251659264" behindDoc="0" locked="0" layoutInCell="1" allowOverlap="1" wp14:anchorId="7DC18DFD" wp14:editId="252505F3">
            <wp:simplePos x="0" y="0"/>
            <wp:positionH relativeFrom="margin">
              <wp:align>center</wp:align>
            </wp:positionH>
            <wp:positionV relativeFrom="paragraph">
              <wp:posOffset>52733</wp:posOffset>
            </wp:positionV>
            <wp:extent cx="3771900" cy="140017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png"/>
                    <pic:cNvPicPr/>
                  </pic:nvPicPr>
                  <pic:blipFill>
                    <a:blip r:embed="rId17">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anchor>
        </w:drawing>
      </w:r>
    </w:p>
    <w:p w14:paraId="1772B983" w14:textId="5D411D85" w:rsidR="00A826AC" w:rsidRPr="00593A5F" w:rsidRDefault="00A826AC" w:rsidP="00871B59">
      <w:pPr>
        <w:spacing w:after="0" w:line="240" w:lineRule="auto"/>
        <w:rPr>
          <w:rFonts w:ascii="Verdana" w:hAnsi="Verdana" w:cs="Arial"/>
          <w:lang w:eastAsia="es-CO"/>
        </w:rPr>
      </w:pPr>
    </w:p>
    <w:p w14:paraId="7B21B32E" w14:textId="4CC31C5B" w:rsidR="00871B59" w:rsidRDefault="00871B59" w:rsidP="00871B59">
      <w:pPr>
        <w:spacing w:line="276" w:lineRule="auto"/>
        <w:jc w:val="center"/>
        <w:rPr>
          <w:rFonts w:ascii="Verdana" w:hAnsi="Verdana" w:cs="Arial"/>
          <w:color w:val="000000"/>
          <w:lang w:val="es-ES_tradnl" w:eastAsia="es-CO"/>
        </w:rPr>
      </w:pPr>
    </w:p>
    <w:p w14:paraId="7423B303" w14:textId="4F92487E" w:rsidR="00A826AC" w:rsidRDefault="00A826AC" w:rsidP="00871B59">
      <w:pPr>
        <w:spacing w:line="276" w:lineRule="auto"/>
        <w:jc w:val="center"/>
        <w:rPr>
          <w:rFonts w:ascii="Verdana" w:hAnsi="Verdana" w:cs="Arial"/>
          <w:color w:val="000000"/>
          <w:lang w:val="es-ES_tradnl" w:eastAsia="es-CO"/>
        </w:rPr>
      </w:pPr>
    </w:p>
    <w:p w14:paraId="39F3E9E8" w14:textId="5D6144D8" w:rsidR="00A826AC" w:rsidRDefault="00A826AC" w:rsidP="00871B59">
      <w:pPr>
        <w:spacing w:line="276" w:lineRule="auto"/>
        <w:jc w:val="center"/>
        <w:rPr>
          <w:rFonts w:ascii="Verdana" w:hAnsi="Verdana" w:cs="Arial"/>
          <w:color w:val="000000"/>
          <w:lang w:val="es-ES_tradnl" w:eastAsia="es-CO"/>
        </w:rPr>
      </w:pPr>
    </w:p>
    <w:p w14:paraId="779AEAF5" w14:textId="0D34A6B4" w:rsidR="00A826AC" w:rsidRDefault="00A826AC" w:rsidP="00871B59">
      <w:pPr>
        <w:spacing w:line="276" w:lineRule="auto"/>
        <w:jc w:val="center"/>
        <w:rPr>
          <w:rFonts w:ascii="Verdana" w:hAnsi="Verdana" w:cs="Arial"/>
          <w:color w:val="000000"/>
          <w:lang w:val="es-ES_tradnl" w:eastAsia="es-CO"/>
        </w:rPr>
      </w:pPr>
    </w:p>
    <w:p w14:paraId="37EBF7DF" w14:textId="7290ED7E" w:rsidR="00A826AC" w:rsidRDefault="00A826AC" w:rsidP="00871B59">
      <w:pPr>
        <w:spacing w:line="276" w:lineRule="auto"/>
        <w:jc w:val="center"/>
        <w:rPr>
          <w:rFonts w:ascii="Verdana" w:hAnsi="Verdana" w:cs="Arial"/>
          <w:color w:val="000000"/>
          <w:lang w:val="es-ES_tradnl" w:eastAsia="es-CO"/>
        </w:rPr>
      </w:pPr>
    </w:p>
    <w:p w14:paraId="3CF3DF8D" w14:textId="77777777" w:rsidR="00A826AC" w:rsidRDefault="00A826AC" w:rsidP="00871B59">
      <w:pPr>
        <w:spacing w:line="276" w:lineRule="auto"/>
        <w:jc w:val="center"/>
        <w:rPr>
          <w:rFonts w:ascii="Verdana" w:hAnsi="Verdana" w:cs="Arial"/>
          <w:color w:val="000000"/>
          <w:lang w:val="es-ES_tradnl" w:eastAsia="es-CO"/>
        </w:rPr>
      </w:pPr>
    </w:p>
    <w:p w14:paraId="75F5E982" w14:textId="77777777" w:rsidR="00A826AC" w:rsidRPr="00593A5F" w:rsidRDefault="00A826AC" w:rsidP="00871B59">
      <w:pPr>
        <w:spacing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E128207" w14:textId="0C823241" w:rsidR="00871B59" w:rsidRPr="00E1151D" w:rsidRDefault="00E1151D" w:rsidP="002607A7">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27134A92" w14:textId="7DA38114" w:rsidR="00871B59" w:rsidRPr="003751C7" w:rsidRDefault="00E1151D" w:rsidP="002607A7">
            <w:pPr>
              <w:contextualSpacing/>
              <w:rPr>
                <w:rFonts w:ascii="Verdana" w:eastAsia="Arial" w:hAnsi="Verdana" w:cs="Arial"/>
                <w:sz w:val="16"/>
                <w:szCs w:val="16"/>
              </w:rPr>
            </w:pPr>
            <w:r w:rsidRPr="00E1151D">
              <w:rPr>
                <w:rStyle w:val="normaltextrun"/>
                <w:rFonts w:ascii="Verdana" w:eastAsia="Arial" w:hAnsi="Verdana" w:cs="Arial"/>
                <w:sz w:val="16"/>
                <w:szCs w:val="16"/>
              </w:rPr>
              <w:t>Contratista</w:t>
            </w:r>
            <w:r w:rsidR="00871B59" w:rsidRPr="00E1151D">
              <w:rPr>
                <w:rStyle w:val="normaltextrun"/>
                <w:rFonts w:ascii="Verdana" w:eastAsia="Arial" w:hAnsi="Verdana" w:cs="Arial"/>
                <w:sz w:val="16"/>
                <w:szCs w:val="16"/>
              </w:rPr>
              <w:t xml:space="preserve"> 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09BC0F" w14:textId="77777777" w:rsidR="00DC6BD8" w:rsidRPr="00DC6BD8" w:rsidRDefault="00DC6BD8" w:rsidP="002607A7">
            <w:pPr>
              <w:pStyle w:val="paragraph"/>
              <w:spacing w:before="0" w:beforeAutospacing="0" w:after="0" w:afterAutospacing="0"/>
              <w:contextualSpacing/>
              <w:textAlignment w:val="baseline"/>
              <w:rPr>
                <w:rStyle w:val="normaltextrun"/>
                <w:rFonts w:cs="Arial"/>
                <w:sz w:val="16"/>
                <w:szCs w:val="16"/>
                <w:lang w:val="es-ES"/>
              </w:rPr>
            </w:pPr>
            <w:r w:rsidRPr="00DC6BD8">
              <w:rPr>
                <w:rStyle w:val="normaltextrun"/>
                <w:rFonts w:ascii="Verdana" w:hAnsi="Verdana" w:cs="Arial"/>
                <w:sz w:val="16"/>
                <w:szCs w:val="16"/>
                <w:lang w:val="es-ES"/>
              </w:rPr>
              <w:t xml:space="preserve">Libardo Alberto Verjel De Filippis </w:t>
            </w:r>
          </w:p>
          <w:p w14:paraId="408B71DB" w14:textId="0974DFD4" w:rsidR="00871B59" w:rsidRPr="003751C7" w:rsidRDefault="00DC6BD8" w:rsidP="002607A7">
            <w:pPr>
              <w:pStyle w:val="paragraph"/>
              <w:spacing w:before="0" w:beforeAutospacing="0" w:after="0" w:afterAutospacing="0"/>
              <w:contextualSpacing/>
              <w:textAlignment w:val="baseline"/>
              <w:rPr>
                <w:rFonts w:ascii="Verdana" w:hAnsi="Verdana" w:cs="Segoe UI"/>
                <w:sz w:val="16"/>
                <w:szCs w:val="16"/>
              </w:rPr>
            </w:pPr>
            <w:r w:rsidRPr="00DC6BD8">
              <w:rPr>
                <w:rStyle w:val="normaltextrun"/>
                <w:rFonts w:ascii="Verdana" w:hAnsi="Verdana" w:cs="Arial"/>
                <w:sz w:val="16"/>
                <w:szCs w:val="16"/>
                <w:lang w:val="es-ES"/>
              </w:rPr>
              <w:t xml:space="preserve">Experto G3-08 </w:t>
            </w:r>
            <w:r w:rsidR="00871B59" w:rsidRPr="00DC6BD8">
              <w:rPr>
                <w:rStyle w:val="normaltextrun"/>
                <w:rFonts w:ascii="Verdana" w:hAnsi="Verdana" w:cs="Arial"/>
                <w:sz w:val="16"/>
                <w:szCs w:val="16"/>
                <w:lang w:val="es-ES"/>
              </w:rPr>
              <w:t>de la Subdirección de Gestión Contractual</w:t>
            </w:r>
            <w:r w:rsidR="00871B59" w:rsidRPr="00DC6BD8">
              <w:rPr>
                <w:rStyle w:val="eop"/>
                <w:rFonts w:ascii="Verdana" w:hAnsi="Verdana" w:cs="Arial"/>
                <w:sz w:val="16"/>
                <w:szCs w:val="16"/>
              </w:rPr>
              <w:t> </w:t>
            </w:r>
          </w:p>
        </w:tc>
      </w:tr>
      <w:tr w:rsidR="00871B59" w:rsidRPr="00593A5F" w14:paraId="2A81CFC8" w14:textId="77777777" w:rsidTr="002607A7">
        <w:trPr>
          <w:trHeight w:val="300"/>
        </w:trPr>
        <w:tc>
          <w:tcPr>
            <w:tcW w:w="893" w:type="dxa"/>
            <w:vAlign w:val="center"/>
          </w:tcPr>
          <w:p w14:paraId="3159EE97" w14:textId="77777777" w:rsidR="00871B59" w:rsidRPr="003751C7" w:rsidRDefault="00871B59" w:rsidP="002607A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EE38C14" w14:textId="77777777" w:rsidR="00871B59" w:rsidRPr="003751C7" w:rsidRDefault="00871B59" w:rsidP="002607A7">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510CF084" w14:textId="77777777" w:rsidR="00871B59" w:rsidRPr="00593A5F" w:rsidRDefault="00871B59" w:rsidP="00A826AC">
      <w:pPr>
        <w:spacing w:after="0" w:line="240" w:lineRule="auto"/>
        <w:rPr>
          <w:rFonts w:ascii="Verdana" w:eastAsia="Times New Roman" w:hAnsi="Verdana" w:cs="Arial"/>
          <w:sz w:val="24"/>
          <w:szCs w:val="24"/>
          <w:lang w:eastAsia="es-ES"/>
        </w:rPr>
      </w:pPr>
    </w:p>
    <w:sectPr w:rsidR="00871B59" w:rsidRPr="00593A5F" w:rsidSect="00E45F4B">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C365D0" w14:textId="77777777" w:rsidR="00F377BB" w:rsidRDefault="00F377BB" w:rsidP="00B30448">
      <w:pPr>
        <w:spacing w:after="0" w:line="240" w:lineRule="auto"/>
      </w:pPr>
      <w:r>
        <w:separator/>
      </w:r>
    </w:p>
  </w:endnote>
  <w:endnote w:type="continuationSeparator" w:id="0">
    <w:p w14:paraId="7628ED3E" w14:textId="77777777" w:rsidR="00F377BB" w:rsidRDefault="00F377BB" w:rsidP="00B30448">
      <w:pPr>
        <w:spacing w:after="0" w:line="240" w:lineRule="auto"/>
      </w:pPr>
      <w:r>
        <w:continuationSeparator/>
      </w:r>
    </w:p>
  </w:endnote>
  <w:endnote w:type="continuationNotice" w:id="1">
    <w:p w14:paraId="0FA97BB8" w14:textId="77777777" w:rsidR="00F377BB" w:rsidRDefault="00F377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Geomanist Light">
    <w:altName w:val="Calibri"/>
    <w:charset w:val="4D"/>
    <w:family w:val="auto"/>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38754" w14:textId="77777777" w:rsidR="00F377BB" w:rsidRDefault="00F377BB" w:rsidP="00B30448">
      <w:pPr>
        <w:spacing w:after="0" w:line="240" w:lineRule="auto"/>
      </w:pPr>
      <w:r>
        <w:separator/>
      </w:r>
    </w:p>
  </w:footnote>
  <w:footnote w:type="continuationSeparator" w:id="0">
    <w:p w14:paraId="218BCC99" w14:textId="77777777" w:rsidR="00F377BB" w:rsidRDefault="00F377BB" w:rsidP="00B30448">
      <w:pPr>
        <w:spacing w:after="0" w:line="240" w:lineRule="auto"/>
      </w:pPr>
      <w:r>
        <w:continuationSeparator/>
      </w:r>
    </w:p>
  </w:footnote>
  <w:footnote w:type="continuationNotice" w:id="1">
    <w:p w14:paraId="06A3BC4F" w14:textId="77777777" w:rsidR="00F377BB" w:rsidRDefault="00F377BB">
      <w:pPr>
        <w:spacing w:after="0" w:line="240" w:lineRule="auto"/>
      </w:pPr>
    </w:p>
  </w:footnote>
  <w:footnote w:id="2">
    <w:p w14:paraId="6E2A8CFD" w14:textId="2CDA2236" w:rsidR="008E52AC" w:rsidRPr="00B0312D" w:rsidRDefault="008E52AC" w:rsidP="008E52AC">
      <w:pPr>
        <w:pStyle w:val="Textonotapie"/>
        <w:ind w:firstLine="709"/>
        <w:jc w:val="both"/>
        <w:rPr>
          <w:rFonts w:ascii="Verdana" w:hAnsi="Verdana"/>
          <w:sz w:val="11"/>
          <w:szCs w:val="11"/>
        </w:rPr>
      </w:pPr>
      <w:r w:rsidRPr="00B0312D">
        <w:rPr>
          <w:rStyle w:val="Refdenotaalpie"/>
          <w:rFonts w:ascii="Verdana" w:hAnsi="Verdana"/>
          <w:sz w:val="11"/>
          <w:szCs w:val="11"/>
        </w:rPr>
        <w:footnoteRef/>
      </w:r>
      <w:r w:rsidR="00B0312D">
        <w:rPr>
          <w:rFonts w:ascii="Verdana" w:hAnsi="Verdana"/>
          <w:color w:val="000000" w:themeColor="text1"/>
          <w:sz w:val="11"/>
          <w:szCs w:val="11"/>
        </w:rPr>
        <w:t>“</w:t>
      </w:r>
      <w:r w:rsidRPr="00B0312D">
        <w:rPr>
          <w:rFonts w:ascii="Verdana" w:hAnsi="Verdana"/>
          <w:sz w:val="11"/>
          <w:szCs w:val="11"/>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00B0312D">
        <w:rPr>
          <w:rFonts w:ascii="Verdana" w:hAnsi="Verdana"/>
          <w:color w:val="000000" w:themeColor="text1"/>
          <w:sz w:val="11"/>
          <w:szCs w:val="11"/>
        </w:rPr>
        <w:t>”</w:t>
      </w:r>
      <w:r w:rsidRPr="00B0312D">
        <w:rPr>
          <w:rFonts w:ascii="Verdana" w:hAnsi="Verdana"/>
          <w:color w:val="000000" w:themeColor="text1"/>
          <w:sz w:val="11"/>
          <w:szCs w:val="11"/>
        </w:rPr>
        <w:t>.</w:t>
      </w:r>
      <w:r w:rsidRPr="00B0312D">
        <w:rPr>
          <w:rFonts w:ascii="Verdana" w:hAnsi="Verdana"/>
          <w:sz w:val="11"/>
          <w:szCs w:val="11"/>
        </w:rPr>
        <w:t xml:space="preserve"> Citado en CONSEJO DE ESTADO. Sala de lo Contencioso Administrativo. Sección Tercera – Subsección A. Sentencia del 16 de mayo de 2019. Rad. (40102). C.P: María Adriana Marín [cita No. 35]. </w:t>
      </w:r>
    </w:p>
  </w:footnote>
  <w:footnote w:id="3">
    <w:p w14:paraId="716FA79D" w14:textId="77777777" w:rsidR="008E52AC" w:rsidRPr="00B0312D" w:rsidRDefault="008E52AC" w:rsidP="008E52AC">
      <w:pPr>
        <w:pStyle w:val="Textonotapie"/>
        <w:ind w:firstLine="709"/>
        <w:jc w:val="both"/>
        <w:rPr>
          <w:rFonts w:ascii="Verdana" w:hAnsi="Verdana"/>
          <w:sz w:val="11"/>
          <w:szCs w:val="11"/>
        </w:rPr>
      </w:pPr>
      <w:r w:rsidRPr="00B0312D">
        <w:rPr>
          <w:rStyle w:val="Refdenotaalpie"/>
          <w:rFonts w:ascii="Verdana" w:hAnsi="Verdana"/>
          <w:sz w:val="11"/>
          <w:szCs w:val="11"/>
        </w:rPr>
        <w:footnoteRef/>
      </w:r>
      <w:r w:rsidRPr="00B0312D">
        <w:rPr>
          <w:rFonts w:ascii="Verdana" w:hAnsi="Verdana"/>
          <w:sz w:val="11"/>
          <w:szCs w:val="11"/>
        </w:rPr>
        <w:t xml:space="preserve"> CONSEJO DE ESTADO. Sala de lo Contencioso Administrativo. Sección Tercera – Subsección A. Sentencia del 16 de mayo de 2019. Rad. (40102). C.P: María Adriana Marín</w:t>
      </w:r>
    </w:p>
  </w:footnote>
  <w:footnote w:id="4">
    <w:p w14:paraId="637E2CD7" w14:textId="77777777" w:rsidR="008E52AC" w:rsidRPr="00B0312D" w:rsidRDefault="008E52AC" w:rsidP="002A2EBF">
      <w:pPr>
        <w:pStyle w:val="Textonotapie"/>
        <w:ind w:firstLine="709"/>
        <w:jc w:val="both"/>
        <w:rPr>
          <w:rFonts w:ascii="Verdana" w:hAnsi="Verdana"/>
          <w:sz w:val="11"/>
          <w:szCs w:val="11"/>
          <w:lang w:val="es-CO"/>
        </w:rPr>
      </w:pPr>
      <w:r w:rsidRPr="00B0312D">
        <w:rPr>
          <w:rStyle w:val="Refdenotaalpie"/>
          <w:rFonts w:ascii="Verdana" w:hAnsi="Verdana"/>
          <w:sz w:val="11"/>
          <w:szCs w:val="11"/>
        </w:rPr>
        <w:footnoteRef/>
      </w:r>
      <w:r w:rsidRPr="00B0312D">
        <w:rPr>
          <w:rFonts w:ascii="Verdana" w:hAnsi="Verdana"/>
          <w:sz w:val="11"/>
          <w:szCs w:val="11"/>
        </w:rPr>
        <w:t xml:space="preserve"> CONSEJO DE ESTADO. Sala de lo Contencioso Administrativo. Sección Tercera – Subsección C. Sentencia del 2 de octubre del 2020. Rad. 63644. CP. Jaime Enrique Rodríguez Nava. </w:t>
      </w:r>
    </w:p>
  </w:footnote>
  <w:footnote w:id="5">
    <w:p w14:paraId="7A8B2937" w14:textId="77777777" w:rsidR="008E52AC" w:rsidRPr="00B0312D" w:rsidRDefault="008E52AC" w:rsidP="002A2EBF">
      <w:pPr>
        <w:pStyle w:val="Textonotapie"/>
        <w:ind w:firstLine="709"/>
        <w:rPr>
          <w:rFonts w:ascii="Verdana" w:hAnsi="Verdana"/>
          <w:sz w:val="11"/>
          <w:szCs w:val="11"/>
        </w:rPr>
      </w:pPr>
      <w:r w:rsidRPr="00B0312D">
        <w:rPr>
          <w:rStyle w:val="Refdenotaalpie"/>
          <w:rFonts w:ascii="Verdana" w:hAnsi="Verdana"/>
          <w:sz w:val="11"/>
          <w:szCs w:val="11"/>
        </w:rPr>
        <w:footnoteRef/>
      </w:r>
      <w:r w:rsidRPr="00B0312D">
        <w:rPr>
          <w:rFonts w:ascii="Verdana" w:hAnsi="Verdana"/>
          <w:sz w:val="11"/>
          <w:szCs w:val="11"/>
        </w:rPr>
        <w:t xml:space="preserve"> </w:t>
      </w:r>
      <w:r w:rsidRPr="00B0312D">
        <w:rPr>
          <w:rFonts w:ascii="Verdana" w:hAnsi="Verdana"/>
          <w:color w:val="000000" w:themeColor="text1"/>
          <w:sz w:val="11"/>
          <w:szCs w:val="11"/>
        </w:rPr>
        <w:t>CONSEJO DE ESTADO. Sección Tercera. Sentencia de 22 de junio de 2001. Exp. 13436, C.P. Ricardo Hoyos Duque</w:t>
      </w:r>
    </w:p>
  </w:footnote>
  <w:footnote w:id="6">
    <w:p w14:paraId="47B91F83" w14:textId="08F847D2" w:rsidR="008E52AC" w:rsidRPr="00B0312D" w:rsidRDefault="008E52AC" w:rsidP="002A2EBF">
      <w:pPr>
        <w:pStyle w:val="Textonotapie"/>
        <w:ind w:firstLine="709"/>
        <w:jc w:val="both"/>
        <w:rPr>
          <w:rFonts w:ascii="Verdana" w:hAnsi="Verdana"/>
          <w:sz w:val="11"/>
          <w:szCs w:val="11"/>
        </w:rPr>
      </w:pPr>
      <w:r w:rsidRPr="00B0312D">
        <w:rPr>
          <w:rStyle w:val="Refdenotaalpie"/>
          <w:rFonts w:ascii="Verdana" w:hAnsi="Verdana"/>
          <w:sz w:val="11"/>
          <w:szCs w:val="11"/>
        </w:rPr>
        <w:footnoteRef/>
      </w:r>
      <w:r w:rsidR="00B0312D">
        <w:rPr>
          <w:rFonts w:ascii="Verdana" w:hAnsi="Verdana"/>
          <w:sz w:val="11"/>
          <w:szCs w:val="11"/>
        </w:rPr>
        <w:t>“</w:t>
      </w:r>
      <w:r w:rsidRPr="00B0312D">
        <w:rPr>
          <w:rFonts w:ascii="Verdana" w:hAnsi="Verdana"/>
          <w:sz w:val="11"/>
          <w:szCs w:val="11"/>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00B0312D">
        <w:rPr>
          <w:rFonts w:ascii="Verdana" w:eastAsia="Calibri" w:hAnsi="Verdana"/>
          <w:color w:val="000000" w:themeColor="text1"/>
          <w:sz w:val="11"/>
          <w:szCs w:val="11"/>
        </w:rPr>
        <w:t>”</w:t>
      </w:r>
      <w:r w:rsidRPr="00B0312D">
        <w:rPr>
          <w:rFonts w:ascii="Verdana" w:eastAsia="Calibri" w:hAnsi="Verdana"/>
          <w:color w:val="000000" w:themeColor="text1"/>
          <w:sz w:val="11"/>
          <w:szCs w:val="11"/>
        </w:rPr>
        <w:t xml:space="preserve"> (</w:t>
      </w:r>
      <w:r w:rsidRPr="00B0312D">
        <w:rPr>
          <w:rFonts w:ascii="Verdana" w:hAnsi="Verdana"/>
          <w:sz w:val="11"/>
          <w:szCs w:val="11"/>
        </w:rPr>
        <w:t xml:space="preserve">EXPÓSITO VÉLEZ, Juan Carlos. Forma y contenido del contrato estatal. Bogotá: Universidad Externado de Colombia, 2013, p. 165-166). De igual manera, se ha expuesto que </w:t>
      </w:r>
      <w:r w:rsidR="00B0312D">
        <w:rPr>
          <w:rFonts w:ascii="Verdana" w:hAnsi="Verdana"/>
          <w:sz w:val="11"/>
          <w:szCs w:val="11"/>
        </w:rPr>
        <w:t>“</w:t>
      </w:r>
      <w:r w:rsidRPr="00B0312D">
        <w:rPr>
          <w:rFonts w:ascii="Verdana" w:hAnsi="Verdana"/>
          <w:sz w:val="11"/>
          <w:szCs w:val="11"/>
        </w:rPr>
        <w:t>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00B0312D">
        <w:rPr>
          <w:rFonts w:ascii="Verdana" w:eastAsia="Calibri" w:hAnsi="Verdana"/>
          <w:color w:val="000000" w:themeColor="text1"/>
          <w:sz w:val="11"/>
          <w:szCs w:val="11"/>
        </w:rPr>
        <w:t>”</w:t>
      </w:r>
      <w:r w:rsidRPr="00B0312D">
        <w:rPr>
          <w:rFonts w:ascii="Verdana" w:hAnsi="Verdana"/>
          <w:sz w:val="11"/>
          <w:szCs w:val="11"/>
        </w:rPr>
        <w:t xml:space="preserve"> (MATALLANA CAMACHO, Ernesto. Manual de Contratación de la Administración Pública. Reforma de la Ley 80 de 1993. Bogotá: Universidad Externado de Colombia, 4 ed., 2015, p. 921 y ss).</w:t>
      </w:r>
    </w:p>
  </w:footnote>
  <w:footnote w:id="7">
    <w:p w14:paraId="0554AE5B" w14:textId="77777777" w:rsidR="008E52AC" w:rsidRPr="00B0312D" w:rsidRDefault="008E52AC" w:rsidP="008E52AC">
      <w:pPr>
        <w:spacing w:line="240" w:lineRule="auto"/>
        <w:ind w:firstLine="709"/>
        <w:rPr>
          <w:rFonts w:ascii="Verdana" w:eastAsia="Calibri" w:hAnsi="Verdana" w:cs="Calibri"/>
          <w:sz w:val="11"/>
          <w:szCs w:val="11"/>
          <w:lang w:val="es-MX" w:eastAsia="es-ES_tradnl"/>
        </w:rPr>
      </w:pPr>
      <w:r w:rsidRPr="00B0312D">
        <w:rPr>
          <w:rStyle w:val="Refdenotaalpie"/>
          <w:rFonts w:ascii="Verdana" w:hAnsi="Verdana"/>
          <w:sz w:val="11"/>
          <w:szCs w:val="11"/>
        </w:rPr>
        <w:footnoteRef/>
      </w:r>
      <w:r w:rsidRPr="00B0312D">
        <w:rPr>
          <w:rFonts w:ascii="Verdana" w:hAnsi="Verdana"/>
          <w:sz w:val="11"/>
          <w:szCs w:val="11"/>
        </w:rPr>
        <w:t xml:space="preserve"> Consejo de Estado. Sala Plena de lo Contencioso Administrativo. Sentencia del 8 de agosto de 2001. Exp. AC-10966 - AC-11274. Consejero Ponente: Reinaldo Chavarro Buriticá.</w:t>
      </w:r>
    </w:p>
    <w:p w14:paraId="1CB18EEF" w14:textId="77777777" w:rsidR="008E52AC" w:rsidRPr="00B0312D" w:rsidRDefault="008E52AC" w:rsidP="008E52AC">
      <w:pPr>
        <w:spacing w:line="240" w:lineRule="auto"/>
        <w:ind w:firstLine="709"/>
        <w:rPr>
          <w:rFonts w:ascii="Verdana" w:hAnsi="Verdana"/>
          <w:sz w:val="11"/>
          <w:szCs w:val="11"/>
        </w:rPr>
      </w:pPr>
    </w:p>
  </w:footnote>
  <w:footnote w:id="8">
    <w:p w14:paraId="62C5314D" w14:textId="77777777" w:rsidR="008E52AC" w:rsidRPr="00B0312D" w:rsidRDefault="008E52AC" w:rsidP="008E52AC">
      <w:pPr>
        <w:pStyle w:val="Sinespaciado"/>
        <w:ind w:firstLine="708"/>
        <w:jc w:val="both"/>
        <w:rPr>
          <w:rFonts w:ascii="Verdana" w:hAnsi="Verdana" w:cs="Arial"/>
          <w:sz w:val="11"/>
          <w:szCs w:val="11"/>
        </w:rPr>
      </w:pPr>
      <w:r w:rsidRPr="00B0312D">
        <w:rPr>
          <w:rStyle w:val="Refdenotaalpie"/>
          <w:rFonts w:ascii="Verdana" w:hAnsi="Verdana" w:cs="Arial"/>
          <w:sz w:val="11"/>
          <w:szCs w:val="11"/>
        </w:rPr>
        <w:footnoteRef/>
      </w:r>
      <w:r w:rsidRPr="00B0312D">
        <w:rPr>
          <w:rFonts w:ascii="Verdana" w:hAnsi="Verdana"/>
          <w:sz w:val="11"/>
          <w:szCs w:val="11"/>
        </w:rPr>
        <w:t xml:space="preserve"> </w:t>
      </w:r>
      <w:r w:rsidRPr="00B0312D">
        <w:rPr>
          <w:rFonts w:ascii="Verdana" w:hAnsi="Verdana" w:cs="Arial"/>
          <w:sz w:val="11"/>
          <w:szCs w:val="11"/>
        </w:rPr>
        <w:t>ARTÍCULO 2.2.1.2.3.1.7. Garantía de cumplimiento. La garantía de cumplimiento del contrato debe cubrir:</w:t>
      </w:r>
    </w:p>
    <w:p w14:paraId="420145F1" w14:textId="06624732"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45E508C4" w14:textId="51CED22F"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2. Devolución del pago anticipado. Este amparo cubre los perjuicios sufridos por la Entidad Estatal por la no devolución total o parcial del dinero entregado al contratista a título de pago anticipado, cuando a ello hubiere lugar.</w:t>
      </w:r>
    </w:p>
    <w:p w14:paraId="7E8E155A" w14:textId="37E7F3FE"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3. Cumplimiento del contrato. Este amparo cubre a la Entidad Estatal de los perjuicios derivados de:</w:t>
      </w:r>
    </w:p>
    <w:p w14:paraId="2BD608D8" w14:textId="588833A9"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3.1. El incumplimiento total o parcial del contrato, cuando el incumplimiento es imputable al contratista;</w:t>
      </w:r>
    </w:p>
    <w:p w14:paraId="4D1E16B7" w14:textId="7C32B2CE"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3.2. El cumplimiento tardío o defectuoso del contrato, cuando el incumplimiento es imputable al contratista;</w:t>
      </w:r>
    </w:p>
    <w:p w14:paraId="165A58ED" w14:textId="400295ED"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3.3. Los daños imputables al contratista por entregas parciales de la obra, cuando el contrato no prevé entregas parciales; y</w:t>
      </w:r>
    </w:p>
    <w:p w14:paraId="23124BE6" w14:textId="3E3E8023"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3.4. El pago del valor de las multas y de la cláusula penal pecuniaria.</w:t>
      </w:r>
    </w:p>
    <w:p w14:paraId="0FF67B31" w14:textId="7EC68CC9"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7DE0C8F6" w14:textId="22140590"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La Entidad Estatal no debe exigir una garantía para cubrir este Riesgo en los contratos que se ejecuten fuera del territorio nacional con personal contratado bajo un régimen jurídico distinto al colombiano.</w:t>
      </w:r>
    </w:p>
    <w:p w14:paraId="338A6E1E" w14:textId="6E58C05B" w:rsidR="008E52AC" w:rsidRPr="00B0312D" w:rsidRDefault="008E52AC" w:rsidP="00B0312D">
      <w:pPr>
        <w:pStyle w:val="Sinespaciado"/>
        <w:ind w:firstLine="708"/>
        <w:jc w:val="both"/>
        <w:rPr>
          <w:rFonts w:ascii="Verdana" w:eastAsia="Calibri" w:hAnsi="Verdana" w:cs="Arial"/>
          <w:sz w:val="11"/>
          <w:szCs w:val="11"/>
          <w:lang w:val="es-ES"/>
        </w:rPr>
      </w:pPr>
      <w:r w:rsidRPr="00B0312D">
        <w:rPr>
          <w:rFonts w:ascii="Verdana" w:hAnsi="Verdana" w:cs="Arial"/>
          <w:sz w:val="11"/>
          <w:szCs w:val="11"/>
        </w:rPr>
        <w:t>5. Estabilidad y calidad de la obra. Este amparo cubre a la Entidad Estatal de los perjuicios ocasionados por cualquier tipo de daño o deterioro, imputable al contratista, sufrido por la obra entregada a satisfacción.</w:t>
      </w:r>
    </w:p>
    <w:p w14:paraId="60AF4C57" w14:textId="5DD84D3B"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6. Calidad del servicio. Este amparo cubre a la Entidad Estatal por los perjuicios derivados de la deficiente calidad del servicio prestado.</w:t>
      </w:r>
    </w:p>
    <w:p w14:paraId="40107E79" w14:textId="4E17B91C" w:rsidR="008E52AC" w:rsidRPr="00B0312D" w:rsidRDefault="008E52AC" w:rsidP="008E52AC">
      <w:pPr>
        <w:pStyle w:val="Sinespaciado"/>
        <w:ind w:firstLine="708"/>
        <w:jc w:val="both"/>
        <w:rPr>
          <w:rFonts w:ascii="Verdana" w:hAnsi="Verdana" w:cs="Arial"/>
          <w:sz w:val="11"/>
          <w:szCs w:val="11"/>
        </w:rPr>
      </w:pPr>
      <w:r w:rsidRPr="00B0312D">
        <w:rPr>
          <w:rFonts w:ascii="Verdana" w:hAnsi="Verdana" w:cs="Arial"/>
          <w:sz w:val="11"/>
          <w:szCs w:val="11"/>
        </w:rPr>
        <w:t>7. Calidad y correcto funcionamiento de los bienes. Este amparo debe cubrir la calidad y el correcto funcionamiento de los bienes que recibe la Entidad Estatal en cumplimiento de un contrato.</w:t>
      </w:r>
    </w:p>
    <w:p w14:paraId="53D0ABC4" w14:textId="7F25377E" w:rsidR="008E52AC" w:rsidRPr="00B0312D" w:rsidRDefault="008E52AC" w:rsidP="008E52AC">
      <w:pPr>
        <w:pStyle w:val="Sinespaciado"/>
        <w:ind w:firstLine="708"/>
        <w:jc w:val="both"/>
        <w:rPr>
          <w:rFonts w:ascii="Verdana" w:hAnsi="Verdana" w:cs="Arial"/>
          <w:sz w:val="11"/>
          <w:szCs w:val="11"/>
          <w:lang w:val="es-CO"/>
        </w:rPr>
      </w:pPr>
      <w:r w:rsidRPr="00B0312D">
        <w:rPr>
          <w:rFonts w:ascii="Verdana" w:hAnsi="Verdana" w:cs="Arial"/>
          <w:sz w:val="11"/>
          <w:szCs w:val="11"/>
        </w:rPr>
        <w:t>8. Los demás incumplimientos de obligaciones que la Entidad Estatal considere deben ser amparados de manera proporcional y acorde a la naturaleza del contrato.</w:t>
      </w:r>
    </w:p>
  </w:footnote>
  <w:footnote w:id="9">
    <w:p w14:paraId="20A63978" w14:textId="77777777" w:rsidR="0076276E" w:rsidRPr="00B0312D" w:rsidRDefault="0076276E" w:rsidP="0076276E">
      <w:pPr>
        <w:pStyle w:val="Textonotapie"/>
        <w:ind w:firstLine="708"/>
        <w:jc w:val="both"/>
        <w:rPr>
          <w:rFonts w:ascii="Verdana" w:hAnsi="Verdana" w:cs="Arial"/>
          <w:sz w:val="11"/>
          <w:szCs w:val="11"/>
          <w:lang w:val="es-CO"/>
        </w:rPr>
      </w:pPr>
      <w:r w:rsidRPr="00B0312D">
        <w:rPr>
          <w:rStyle w:val="Refdenotaalpie"/>
          <w:rFonts w:ascii="Verdana" w:hAnsi="Verdana" w:cs="Arial"/>
          <w:sz w:val="11"/>
          <w:szCs w:val="11"/>
        </w:rPr>
        <w:footnoteRef/>
      </w:r>
      <w:r w:rsidRPr="00B0312D">
        <w:rPr>
          <w:rFonts w:ascii="Verdana" w:hAnsi="Verdana" w:cs="Arial"/>
          <w:sz w:val="11"/>
          <w:szCs w:val="11"/>
        </w:rPr>
        <w:t xml:space="preserve"> </w:t>
      </w:r>
      <w:r w:rsidRPr="00B0312D">
        <w:rPr>
          <w:rFonts w:ascii="Verdana" w:hAnsi="Verdana" w:cs="Arial"/>
          <w:color w:val="000000" w:themeColor="text1"/>
          <w:sz w:val="11"/>
          <w:szCs w:val="11"/>
        </w:rPr>
        <w:t>El artículo 40 de la Ley 80 de 1993 dispone que los contratos no podrán adicionarse en más del 50% de su valor inicial, expresado en SMLMV.</w:t>
      </w:r>
    </w:p>
    <w:p w14:paraId="23F76618" w14:textId="77777777" w:rsidR="0076276E" w:rsidRPr="00B0312D" w:rsidRDefault="0076276E" w:rsidP="0076276E">
      <w:pPr>
        <w:pStyle w:val="Textonotapie"/>
        <w:ind w:firstLine="708"/>
        <w:jc w:val="both"/>
        <w:rPr>
          <w:rFonts w:ascii="Verdana" w:hAnsi="Verdana" w:cs="Arial"/>
          <w:sz w:val="11"/>
          <w:szCs w:val="11"/>
          <w:lang w:val="es-CO"/>
        </w:rPr>
      </w:pPr>
    </w:p>
  </w:footnote>
  <w:footnote w:id="10">
    <w:p w14:paraId="4AD8649B" w14:textId="77777777" w:rsidR="000C0708" w:rsidRPr="00B0312D" w:rsidRDefault="000C0708" w:rsidP="000C0708">
      <w:pPr>
        <w:pStyle w:val="Textonotapie"/>
        <w:ind w:firstLine="708"/>
        <w:jc w:val="both"/>
        <w:rPr>
          <w:rFonts w:ascii="Verdana" w:hAnsi="Verdana" w:cs="Arial"/>
          <w:color w:val="000000" w:themeColor="text1"/>
          <w:sz w:val="11"/>
          <w:szCs w:val="11"/>
        </w:rPr>
      </w:pPr>
      <w:r w:rsidRPr="00B0312D">
        <w:rPr>
          <w:rStyle w:val="Refdenotaalpie"/>
          <w:rFonts w:ascii="Verdana" w:hAnsi="Verdana" w:cs="Arial"/>
          <w:sz w:val="11"/>
          <w:szCs w:val="11"/>
        </w:rPr>
        <w:footnoteRef/>
      </w:r>
      <w:r w:rsidRPr="00B0312D">
        <w:rPr>
          <w:rFonts w:ascii="Verdana" w:hAnsi="Verdana" w:cs="Arial"/>
          <w:sz w:val="11"/>
          <w:szCs w:val="11"/>
        </w:rPr>
        <w:t xml:space="preserve"> </w:t>
      </w:r>
      <w:r w:rsidRPr="00B0312D">
        <w:rPr>
          <w:rFonts w:ascii="Verdana" w:hAnsi="Verdana" w:cs="Arial"/>
          <w:color w:val="000000" w:themeColor="text1"/>
          <w:sz w:val="11"/>
          <w:szCs w:val="11"/>
        </w:rPr>
        <w:t>Sobre la naturaleza instrumental del contrato para alcanzar los fines propios del estado social de derecho, ver la sentencia C-932 de 2007, M.P. Marco Gerardo Monroy Cabra.</w:t>
      </w:r>
    </w:p>
    <w:p w14:paraId="6A9867EC" w14:textId="77777777" w:rsidR="000C0708" w:rsidRPr="00B0312D" w:rsidRDefault="000C0708" w:rsidP="000C0708">
      <w:pPr>
        <w:pStyle w:val="Textonotapie"/>
        <w:ind w:firstLine="708"/>
        <w:jc w:val="both"/>
        <w:rPr>
          <w:rFonts w:ascii="Verdana" w:hAnsi="Verdana" w:cs="Arial"/>
          <w:sz w:val="11"/>
          <w:szCs w:val="11"/>
        </w:rPr>
      </w:pPr>
    </w:p>
  </w:footnote>
  <w:footnote w:id="11">
    <w:p w14:paraId="73D7ABDD" w14:textId="77777777" w:rsidR="000C0708" w:rsidRPr="00B0312D" w:rsidRDefault="000C0708" w:rsidP="000C0708">
      <w:pPr>
        <w:pStyle w:val="Textonotapie"/>
        <w:ind w:firstLine="708"/>
        <w:jc w:val="both"/>
        <w:rPr>
          <w:rFonts w:ascii="Verdana" w:hAnsi="Verdana" w:cs="Arial"/>
          <w:sz w:val="11"/>
          <w:szCs w:val="11"/>
        </w:rPr>
      </w:pPr>
      <w:r w:rsidRPr="00B0312D">
        <w:rPr>
          <w:rStyle w:val="Refdenotaalpie"/>
          <w:rFonts w:ascii="Verdana" w:hAnsi="Verdana" w:cs="Arial"/>
          <w:sz w:val="11"/>
          <w:szCs w:val="11"/>
        </w:rPr>
        <w:footnoteRef/>
      </w:r>
      <w:r w:rsidRPr="00B0312D">
        <w:rPr>
          <w:rFonts w:ascii="Verdana" w:hAnsi="Verdana" w:cs="Arial"/>
          <w:sz w:val="11"/>
          <w:szCs w:val="11"/>
        </w:rPr>
        <w:t xml:space="preserve"> M.P. Clara Inés Vargas Hernández.</w:t>
      </w:r>
    </w:p>
    <w:p w14:paraId="33E9230A" w14:textId="77777777" w:rsidR="000C0708" w:rsidRPr="00B0312D" w:rsidRDefault="000C0708" w:rsidP="000C0708">
      <w:pPr>
        <w:pStyle w:val="Textonotapie"/>
        <w:ind w:firstLine="708"/>
        <w:jc w:val="both"/>
        <w:rPr>
          <w:rFonts w:ascii="Verdana" w:hAnsi="Verdana" w:cs="Arial"/>
          <w:sz w:val="11"/>
          <w:szCs w:val="11"/>
        </w:rPr>
      </w:pPr>
    </w:p>
  </w:footnote>
  <w:footnote w:id="12">
    <w:p w14:paraId="11F203E3" w14:textId="566F4DB1" w:rsidR="000C0708" w:rsidRPr="00B0312D" w:rsidRDefault="000C0708" w:rsidP="000C0708">
      <w:pPr>
        <w:pStyle w:val="Textonotapie"/>
        <w:ind w:firstLine="708"/>
        <w:jc w:val="both"/>
        <w:rPr>
          <w:rFonts w:ascii="Verdana" w:hAnsi="Verdana" w:cs="Arial"/>
          <w:sz w:val="11"/>
          <w:szCs w:val="11"/>
        </w:rPr>
      </w:pPr>
      <w:r w:rsidRPr="00B0312D">
        <w:rPr>
          <w:rStyle w:val="Refdenotaalpie"/>
          <w:rFonts w:ascii="Verdana" w:hAnsi="Verdana" w:cs="Arial"/>
          <w:sz w:val="11"/>
          <w:szCs w:val="11"/>
        </w:rPr>
        <w:footnoteRef/>
      </w:r>
      <w:r w:rsidRPr="00B0312D">
        <w:rPr>
          <w:rFonts w:ascii="Verdana" w:hAnsi="Verdana" w:cs="Arial"/>
          <w:sz w:val="11"/>
          <w:szCs w:val="11"/>
        </w:rPr>
        <w:t xml:space="preserve"> </w:t>
      </w:r>
      <w:r w:rsidRPr="00B0312D">
        <w:rPr>
          <w:rFonts w:ascii="Verdana" w:hAnsi="Verdana" w:cs="Arial"/>
          <w:color w:val="000000" w:themeColor="text1"/>
          <w:sz w:val="11"/>
          <w:szCs w:val="11"/>
        </w:rPr>
        <w:t xml:space="preserve">Ver también la sentencia C-068 de 2009, M.P. Mauricio González Cuervo, sobre la constitucional de la posibilidad de prorrogar los contratos de concesión portuaria (artículo </w:t>
      </w:r>
      <w:r w:rsidR="002A2EBF" w:rsidRPr="00B0312D">
        <w:rPr>
          <w:rFonts w:ascii="Verdana" w:hAnsi="Verdana" w:cs="Arial"/>
          <w:color w:val="000000" w:themeColor="text1"/>
          <w:sz w:val="11"/>
          <w:szCs w:val="11"/>
        </w:rPr>
        <w:t>8º de</w:t>
      </w:r>
      <w:r w:rsidRPr="00B0312D">
        <w:rPr>
          <w:rFonts w:ascii="Verdana" w:hAnsi="Verdana" w:cs="Arial"/>
          <w:color w:val="000000" w:themeColor="text1"/>
          <w:sz w:val="11"/>
          <w:szCs w:val="11"/>
        </w:rPr>
        <w:t xml:space="preserve"> la ley 1º de 1991).</w:t>
      </w:r>
    </w:p>
  </w:footnote>
  <w:footnote w:id="13">
    <w:p w14:paraId="23A365A8" w14:textId="77777777" w:rsidR="000C0708" w:rsidRPr="00B0312D" w:rsidRDefault="000C0708" w:rsidP="000C0708">
      <w:pPr>
        <w:pStyle w:val="Textonotapie"/>
        <w:ind w:firstLine="708"/>
        <w:jc w:val="both"/>
        <w:rPr>
          <w:rFonts w:ascii="Verdana" w:hAnsi="Verdana" w:cs="Arial"/>
          <w:sz w:val="11"/>
          <w:szCs w:val="11"/>
        </w:rPr>
      </w:pPr>
      <w:r w:rsidRPr="00B0312D">
        <w:rPr>
          <w:rStyle w:val="Refdenotaalpie"/>
          <w:rFonts w:ascii="Verdana" w:hAnsi="Verdana" w:cs="Arial"/>
          <w:sz w:val="11"/>
          <w:szCs w:val="11"/>
        </w:rPr>
        <w:footnoteRef/>
      </w:r>
      <w:r w:rsidRPr="00B0312D">
        <w:rPr>
          <w:rFonts w:ascii="Verdana" w:hAnsi="Verdana" w:cs="Arial"/>
          <w:sz w:val="11"/>
          <w:szCs w:val="11"/>
        </w:rPr>
        <w:t xml:space="preserve"> </w:t>
      </w:r>
      <w:r w:rsidRPr="00B0312D">
        <w:rPr>
          <w:rFonts w:ascii="Verdana" w:hAnsi="Verdana" w:cs="Arial"/>
          <w:color w:val="000000" w:themeColor="text1"/>
          <w:sz w:val="11"/>
          <w:szCs w:val="11"/>
        </w:rPr>
        <w:t>Cfr. Consejo de Estado, Sala de Consulta y Servicio Civil, concepto del 13 de agosto de 2009, rad. 1.952, C.P. Enrique José Arboleda Perdomo. En este concepto la Sala de Consulta se ocupó, entre otras preguntas, de la siguiente formulada por el Ministerio de Transporte: “1.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14">
    <w:p w14:paraId="0501FD83" w14:textId="77777777" w:rsidR="003663E3" w:rsidRPr="00B0312D" w:rsidRDefault="003663E3" w:rsidP="003663E3">
      <w:pPr>
        <w:pStyle w:val="Textonotapie"/>
        <w:ind w:firstLine="708"/>
        <w:jc w:val="both"/>
        <w:rPr>
          <w:rFonts w:ascii="Verdana" w:hAnsi="Verdana" w:cs="Arial"/>
          <w:sz w:val="11"/>
          <w:szCs w:val="11"/>
        </w:rPr>
      </w:pPr>
      <w:r w:rsidRPr="00B0312D">
        <w:rPr>
          <w:rStyle w:val="Refdenotaalpie"/>
          <w:rFonts w:ascii="Verdana" w:hAnsi="Verdana" w:cs="Arial"/>
          <w:sz w:val="11"/>
          <w:szCs w:val="11"/>
        </w:rPr>
        <w:footnoteRef/>
      </w:r>
      <w:r w:rsidRPr="00B0312D">
        <w:rPr>
          <w:rFonts w:ascii="Verdana" w:hAnsi="Verdana" w:cs="Arial"/>
          <w:sz w:val="11"/>
          <w:szCs w:val="11"/>
        </w:rPr>
        <w:t xml:space="preserve"> </w:t>
      </w:r>
      <w:r w:rsidRPr="00B0312D">
        <w:rPr>
          <w:rFonts w:ascii="Verdana" w:hAnsi="Verdana" w:cs="Arial"/>
          <w:color w:val="000000" w:themeColor="text1"/>
          <w:sz w:val="11"/>
          <w:szCs w:val="11"/>
        </w:rPr>
        <w:t>Cfr. DAVILA VINUEZA Luis Guillermo. Régimen Jurídico de la contratación estatal. Bogotá: Editorial Legis, 2001, p. 387.</w:t>
      </w:r>
    </w:p>
    <w:p w14:paraId="3867366C" w14:textId="77777777" w:rsidR="003663E3" w:rsidRPr="00B0312D" w:rsidRDefault="003663E3" w:rsidP="003663E3">
      <w:pPr>
        <w:pStyle w:val="Textonotapie"/>
        <w:ind w:firstLine="708"/>
        <w:jc w:val="both"/>
        <w:rPr>
          <w:rFonts w:ascii="Verdana" w:hAnsi="Verdana" w:cs="Arial"/>
          <w:sz w:val="11"/>
          <w:szCs w:val="11"/>
          <w:lang w:val="es-CO"/>
        </w:rPr>
      </w:pPr>
    </w:p>
  </w:footnote>
  <w:footnote w:id="15">
    <w:p w14:paraId="6A9FB109" w14:textId="77777777" w:rsidR="003663E3" w:rsidRPr="00B0312D" w:rsidRDefault="003663E3" w:rsidP="003663E3">
      <w:pPr>
        <w:pStyle w:val="Textonotapie"/>
        <w:ind w:firstLine="708"/>
        <w:jc w:val="both"/>
        <w:rPr>
          <w:rFonts w:ascii="Verdana" w:hAnsi="Verdana" w:cs="Arial"/>
          <w:sz w:val="11"/>
          <w:szCs w:val="11"/>
          <w:lang w:val="es-CO"/>
        </w:rPr>
      </w:pPr>
      <w:r w:rsidRPr="00B0312D">
        <w:rPr>
          <w:rStyle w:val="Refdenotaalpie"/>
          <w:rFonts w:ascii="Verdana" w:hAnsi="Verdana" w:cs="Arial"/>
          <w:sz w:val="11"/>
          <w:szCs w:val="11"/>
        </w:rPr>
        <w:footnoteRef/>
      </w:r>
      <w:r w:rsidRPr="00B0312D">
        <w:rPr>
          <w:rFonts w:ascii="Verdana" w:hAnsi="Verdana" w:cs="Arial"/>
          <w:sz w:val="11"/>
          <w:szCs w:val="11"/>
        </w:rPr>
        <w:t xml:space="preserve"> </w:t>
      </w:r>
      <w:r w:rsidRPr="00B0312D">
        <w:rPr>
          <w:rFonts w:ascii="Verdana" w:hAnsi="Verdana" w:cs="Arial"/>
          <w:color w:val="000000" w:themeColor="text1"/>
          <w:sz w:val="11"/>
          <w:szCs w:val="11"/>
        </w:rPr>
        <w:t>Sobre el particular resultan pertinentes las consideraciones efectuadas en el mismo sentido por la Sala de Consulta y Servicio Civil del Consejo de Estado en el concepto del 13 de agosto de 2009, rad. 1.952, C.P. Enrique José Arboleda Perdomo y por la Corte Constitucional en la sentencia C-300 de 2012.</w:t>
      </w:r>
      <w:r w:rsidRPr="00B0312D">
        <w:rPr>
          <w:rFonts w:ascii="Verdana" w:eastAsia="Times New Roman" w:hAnsi="Verdana" w:cs="Arial"/>
          <w:bCs/>
          <w:sz w:val="11"/>
          <w:szCs w:val="11"/>
          <w:lang w:val="es-ES" w:eastAsia="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jc w:val="left"/>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jc w:val="left"/>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D7A448F"/>
    <w:multiLevelType w:val="hybridMultilevel"/>
    <w:tmpl w:val="EF3ECB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9" w15:restartNumberingAfterBreak="0">
    <w:nsid w:val="59932C94"/>
    <w:multiLevelType w:val="hybridMultilevel"/>
    <w:tmpl w:val="A79A57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AC07AAF"/>
    <w:multiLevelType w:val="hybridMultilevel"/>
    <w:tmpl w:val="DCFC369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6"/>
  </w:num>
  <w:num w:numId="2">
    <w:abstractNumId w:val="2"/>
  </w:num>
  <w:num w:numId="3">
    <w:abstractNumId w:val="4"/>
  </w:num>
  <w:num w:numId="4">
    <w:abstractNumId w:val="0"/>
  </w:num>
  <w:num w:numId="5">
    <w:abstractNumId w:val="8"/>
  </w:num>
  <w:num w:numId="6">
    <w:abstractNumId w:val="1"/>
  </w:num>
  <w:num w:numId="7">
    <w:abstractNumId w:val="5"/>
  </w:num>
  <w:num w:numId="8">
    <w:abstractNumId w:val="7"/>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2913"/>
    <w:rsid w:val="000037AE"/>
    <w:rsid w:val="00005BB0"/>
    <w:rsid w:val="0001025F"/>
    <w:rsid w:val="0001217D"/>
    <w:rsid w:val="0001222D"/>
    <w:rsid w:val="000135EB"/>
    <w:rsid w:val="00015D2B"/>
    <w:rsid w:val="00031584"/>
    <w:rsid w:val="00032A0E"/>
    <w:rsid w:val="00037347"/>
    <w:rsid w:val="000442CC"/>
    <w:rsid w:val="000556D4"/>
    <w:rsid w:val="000612B8"/>
    <w:rsid w:val="000716AB"/>
    <w:rsid w:val="0008071E"/>
    <w:rsid w:val="00082E4C"/>
    <w:rsid w:val="000849D5"/>
    <w:rsid w:val="0008528F"/>
    <w:rsid w:val="00086D82"/>
    <w:rsid w:val="00097B67"/>
    <w:rsid w:val="000A6E0C"/>
    <w:rsid w:val="000A7A56"/>
    <w:rsid w:val="000B1FF7"/>
    <w:rsid w:val="000B2513"/>
    <w:rsid w:val="000B4024"/>
    <w:rsid w:val="000C0708"/>
    <w:rsid w:val="000C3C51"/>
    <w:rsid w:val="000C7262"/>
    <w:rsid w:val="000D2A7F"/>
    <w:rsid w:val="000D4FCE"/>
    <w:rsid w:val="0011037E"/>
    <w:rsid w:val="00117806"/>
    <w:rsid w:val="00117EA2"/>
    <w:rsid w:val="001363C7"/>
    <w:rsid w:val="00141AC5"/>
    <w:rsid w:val="00145F57"/>
    <w:rsid w:val="00146B11"/>
    <w:rsid w:val="00147A04"/>
    <w:rsid w:val="0015476D"/>
    <w:rsid w:val="00161E13"/>
    <w:rsid w:val="00164AE0"/>
    <w:rsid w:val="00165E83"/>
    <w:rsid w:val="00166CD7"/>
    <w:rsid w:val="0017120C"/>
    <w:rsid w:val="00172F3A"/>
    <w:rsid w:val="0019532A"/>
    <w:rsid w:val="0019670E"/>
    <w:rsid w:val="00197205"/>
    <w:rsid w:val="001A5DD4"/>
    <w:rsid w:val="001A67E9"/>
    <w:rsid w:val="001B143B"/>
    <w:rsid w:val="001B21CA"/>
    <w:rsid w:val="001B233F"/>
    <w:rsid w:val="001C04FC"/>
    <w:rsid w:val="001C25A3"/>
    <w:rsid w:val="001C5D03"/>
    <w:rsid w:val="001C7771"/>
    <w:rsid w:val="001D62FF"/>
    <w:rsid w:val="001E6C9A"/>
    <w:rsid w:val="001F3F48"/>
    <w:rsid w:val="002000AA"/>
    <w:rsid w:val="00202737"/>
    <w:rsid w:val="00204109"/>
    <w:rsid w:val="00211DCA"/>
    <w:rsid w:val="00211E6E"/>
    <w:rsid w:val="00212A46"/>
    <w:rsid w:val="0021401D"/>
    <w:rsid w:val="002146B8"/>
    <w:rsid w:val="00215516"/>
    <w:rsid w:val="002527C2"/>
    <w:rsid w:val="00266156"/>
    <w:rsid w:val="00267F19"/>
    <w:rsid w:val="00270443"/>
    <w:rsid w:val="00270EE2"/>
    <w:rsid w:val="00272972"/>
    <w:rsid w:val="00273382"/>
    <w:rsid w:val="00286491"/>
    <w:rsid w:val="002A0F8D"/>
    <w:rsid w:val="002A2EBF"/>
    <w:rsid w:val="002B6E44"/>
    <w:rsid w:val="002C3653"/>
    <w:rsid w:val="002E1DB5"/>
    <w:rsid w:val="002F6CCB"/>
    <w:rsid w:val="0030461E"/>
    <w:rsid w:val="0032756A"/>
    <w:rsid w:val="00334EF8"/>
    <w:rsid w:val="00336408"/>
    <w:rsid w:val="00340DFB"/>
    <w:rsid w:val="0034404F"/>
    <w:rsid w:val="00356980"/>
    <w:rsid w:val="003663E3"/>
    <w:rsid w:val="00367462"/>
    <w:rsid w:val="00371ECA"/>
    <w:rsid w:val="00372748"/>
    <w:rsid w:val="0037332A"/>
    <w:rsid w:val="0038151A"/>
    <w:rsid w:val="0039082A"/>
    <w:rsid w:val="00390C21"/>
    <w:rsid w:val="003A1D19"/>
    <w:rsid w:val="003A2D88"/>
    <w:rsid w:val="003A37BD"/>
    <w:rsid w:val="003B6D94"/>
    <w:rsid w:val="003C4C96"/>
    <w:rsid w:val="003C55E0"/>
    <w:rsid w:val="003E4C6C"/>
    <w:rsid w:val="003F519B"/>
    <w:rsid w:val="003F5B1C"/>
    <w:rsid w:val="0040544F"/>
    <w:rsid w:val="00406A19"/>
    <w:rsid w:val="0041222D"/>
    <w:rsid w:val="0041483E"/>
    <w:rsid w:val="00415369"/>
    <w:rsid w:val="00430492"/>
    <w:rsid w:val="00450BE7"/>
    <w:rsid w:val="00454147"/>
    <w:rsid w:val="0045491E"/>
    <w:rsid w:val="0046741E"/>
    <w:rsid w:val="00472CC6"/>
    <w:rsid w:val="0048026E"/>
    <w:rsid w:val="004807A9"/>
    <w:rsid w:val="004813EE"/>
    <w:rsid w:val="0049103D"/>
    <w:rsid w:val="00493278"/>
    <w:rsid w:val="004943D9"/>
    <w:rsid w:val="004A0E7B"/>
    <w:rsid w:val="004A3498"/>
    <w:rsid w:val="004B0C45"/>
    <w:rsid w:val="004B314B"/>
    <w:rsid w:val="004B40A6"/>
    <w:rsid w:val="004C0AB2"/>
    <w:rsid w:val="004C1619"/>
    <w:rsid w:val="004C1A26"/>
    <w:rsid w:val="004C1CC9"/>
    <w:rsid w:val="004C3755"/>
    <w:rsid w:val="004C4485"/>
    <w:rsid w:val="004D11AF"/>
    <w:rsid w:val="004E7E29"/>
    <w:rsid w:val="00500DFA"/>
    <w:rsid w:val="005019AA"/>
    <w:rsid w:val="005021BB"/>
    <w:rsid w:val="005139E7"/>
    <w:rsid w:val="005147DA"/>
    <w:rsid w:val="00515FB5"/>
    <w:rsid w:val="00517C70"/>
    <w:rsid w:val="0052365C"/>
    <w:rsid w:val="005271EB"/>
    <w:rsid w:val="005426DB"/>
    <w:rsid w:val="0055082B"/>
    <w:rsid w:val="00552503"/>
    <w:rsid w:val="00552B57"/>
    <w:rsid w:val="00557DA1"/>
    <w:rsid w:val="0056322C"/>
    <w:rsid w:val="0058743A"/>
    <w:rsid w:val="005876F4"/>
    <w:rsid w:val="005A4DB0"/>
    <w:rsid w:val="005A7B8E"/>
    <w:rsid w:val="005B012B"/>
    <w:rsid w:val="005B0C87"/>
    <w:rsid w:val="005C4902"/>
    <w:rsid w:val="005D0CAF"/>
    <w:rsid w:val="005D16E3"/>
    <w:rsid w:val="005D23F6"/>
    <w:rsid w:val="005D2FA8"/>
    <w:rsid w:val="005E2281"/>
    <w:rsid w:val="005E3436"/>
    <w:rsid w:val="005E667C"/>
    <w:rsid w:val="005F077C"/>
    <w:rsid w:val="005F63D0"/>
    <w:rsid w:val="005F7973"/>
    <w:rsid w:val="0061690E"/>
    <w:rsid w:val="00627361"/>
    <w:rsid w:val="0063017E"/>
    <w:rsid w:val="00631B28"/>
    <w:rsid w:val="00631FFE"/>
    <w:rsid w:val="00645B90"/>
    <w:rsid w:val="00650991"/>
    <w:rsid w:val="006511D7"/>
    <w:rsid w:val="00663D75"/>
    <w:rsid w:val="00670AEF"/>
    <w:rsid w:val="00675678"/>
    <w:rsid w:val="00677012"/>
    <w:rsid w:val="0068221E"/>
    <w:rsid w:val="006825B4"/>
    <w:rsid w:val="00682AF2"/>
    <w:rsid w:val="006864DF"/>
    <w:rsid w:val="00691CC8"/>
    <w:rsid w:val="006A3C8A"/>
    <w:rsid w:val="006A7552"/>
    <w:rsid w:val="006B5953"/>
    <w:rsid w:val="006B6160"/>
    <w:rsid w:val="006B7A81"/>
    <w:rsid w:val="006C4BAC"/>
    <w:rsid w:val="006C52F3"/>
    <w:rsid w:val="006D7843"/>
    <w:rsid w:val="006E563B"/>
    <w:rsid w:val="006E7F37"/>
    <w:rsid w:val="006F3B81"/>
    <w:rsid w:val="006F4F79"/>
    <w:rsid w:val="00705B37"/>
    <w:rsid w:val="007074B1"/>
    <w:rsid w:val="00711FD9"/>
    <w:rsid w:val="00735062"/>
    <w:rsid w:val="00746BA5"/>
    <w:rsid w:val="00751D23"/>
    <w:rsid w:val="0076276E"/>
    <w:rsid w:val="00762AE0"/>
    <w:rsid w:val="00770577"/>
    <w:rsid w:val="00777666"/>
    <w:rsid w:val="0078159B"/>
    <w:rsid w:val="00782E10"/>
    <w:rsid w:val="0078706B"/>
    <w:rsid w:val="00790836"/>
    <w:rsid w:val="00797131"/>
    <w:rsid w:val="007A3C1D"/>
    <w:rsid w:val="007B285D"/>
    <w:rsid w:val="007B60E9"/>
    <w:rsid w:val="007C2DF5"/>
    <w:rsid w:val="007C6BC6"/>
    <w:rsid w:val="007E64FF"/>
    <w:rsid w:val="007F36CF"/>
    <w:rsid w:val="00807D79"/>
    <w:rsid w:val="00813634"/>
    <w:rsid w:val="00822821"/>
    <w:rsid w:val="00831C29"/>
    <w:rsid w:val="008364F3"/>
    <w:rsid w:val="008431EF"/>
    <w:rsid w:val="008468E0"/>
    <w:rsid w:val="008554BE"/>
    <w:rsid w:val="00871B59"/>
    <w:rsid w:val="00877D03"/>
    <w:rsid w:val="00877E96"/>
    <w:rsid w:val="008806CA"/>
    <w:rsid w:val="008815E5"/>
    <w:rsid w:val="008831EA"/>
    <w:rsid w:val="00887B37"/>
    <w:rsid w:val="008909B9"/>
    <w:rsid w:val="008914D5"/>
    <w:rsid w:val="00891DFC"/>
    <w:rsid w:val="008B12B4"/>
    <w:rsid w:val="008B7914"/>
    <w:rsid w:val="008C5D2A"/>
    <w:rsid w:val="008C7AF4"/>
    <w:rsid w:val="008D529F"/>
    <w:rsid w:val="008E52AC"/>
    <w:rsid w:val="008E6462"/>
    <w:rsid w:val="008F5CC8"/>
    <w:rsid w:val="009061B8"/>
    <w:rsid w:val="0091008B"/>
    <w:rsid w:val="00911EA2"/>
    <w:rsid w:val="00916C7D"/>
    <w:rsid w:val="0092575D"/>
    <w:rsid w:val="009341DA"/>
    <w:rsid w:val="00935D83"/>
    <w:rsid w:val="00936EDC"/>
    <w:rsid w:val="009430F9"/>
    <w:rsid w:val="009442E8"/>
    <w:rsid w:val="00946BD0"/>
    <w:rsid w:val="0095426C"/>
    <w:rsid w:val="00970087"/>
    <w:rsid w:val="00971074"/>
    <w:rsid w:val="00995D86"/>
    <w:rsid w:val="009A3734"/>
    <w:rsid w:val="009A5453"/>
    <w:rsid w:val="009B4D94"/>
    <w:rsid w:val="009C2871"/>
    <w:rsid w:val="009D3C33"/>
    <w:rsid w:val="009D7F3A"/>
    <w:rsid w:val="009E4885"/>
    <w:rsid w:val="009E6762"/>
    <w:rsid w:val="00A07DB6"/>
    <w:rsid w:val="00A10A73"/>
    <w:rsid w:val="00A170B3"/>
    <w:rsid w:val="00A223D5"/>
    <w:rsid w:val="00A32D28"/>
    <w:rsid w:val="00A37D1C"/>
    <w:rsid w:val="00A5453E"/>
    <w:rsid w:val="00A56F6C"/>
    <w:rsid w:val="00A5703C"/>
    <w:rsid w:val="00A57ACF"/>
    <w:rsid w:val="00A76C8C"/>
    <w:rsid w:val="00A77943"/>
    <w:rsid w:val="00A80929"/>
    <w:rsid w:val="00A826AC"/>
    <w:rsid w:val="00A85F30"/>
    <w:rsid w:val="00A9099E"/>
    <w:rsid w:val="00A91FB7"/>
    <w:rsid w:val="00A9298F"/>
    <w:rsid w:val="00AA0351"/>
    <w:rsid w:val="00AA5F4A"/>
    <w:rsid w:val="00AB1984"/>
    <w:rsid w:val="00AB52B1"/>
    <w:rsid w:val="00AB69E4"/>
    <w:rsid w:val="00AC4CB3"/>
    <w:rsid w:val="00AC780D"/>
    <w:rsid w:val="00AD02A6"/>
    <w:rsid w:val="00AD036B"/>
    <w:rsid w:val="00AD1996"/>
    <w:rsid w:val="00AD3F51"/>
    <w:rsid w:val="00AD4099"/>
    <w:rsid w:val="00AD44E8"/>
    <w:rsid w:val="00AD4901"/>
    <w:rsid w:val="00B02FE0"/>
    <w:rsid w:val="00B0312D"/>
    <w:rsid w:val="00B057B6"/>
    <w:rsid w:val="00B201FF"/>
    <w:rsid w:val="00B30448"/>
    <w:rsid w:val="00B34786"/>
    <w:rsid w:val="00B400EC"/>
    <w:rsid w:val="00B40162"/>
    <w:rsid w:val="00B41ACE"/>
    <w:rsid w:val="00B4790C"/>
    <w:rsid w:val="00B50156"/>
    <w:rsid w:val="00B518AD"/>
    <w:rsid w:val="00B60A96"/>
    <w:rsid w:val="00B678EC"/>
    <w:rsid w:val="00B768F7"/>
    <w:rsid w:val="00B76C94"/>
    <w:rsid w:val="00B772D0"/>
    <w:rsid w:val="00B836EA"/>
    <w:rsid w:val="00B84C05"/>
    <w:rsid w:val="00B91B81"/>
    <w:rsid w:val="00B97135"/>
    <w:rsid w:val="00BB3072"/>
    <w:rsid w:val="00BC04E4"/>
    <w:rsid w:val="00BC1EF2"/>
    <w:rsid w:val="00BC7632"/>
    <w:rsid w:val="00BD0323"/>
    <w:rsid w:val="00BD3D4C"/>
    <w:rsid w:val="00BD48A9"/>
    <w:rsid w:val="00BD630F"/>
    <w:rsid w:val="00BD7EC6"/>
    <w:rsid w:val="00BE73FA"/>
    <w:rsid w:val="00BF6B4B"/>
    <w:rsid w:val="00C00FBA"/>
    <w:rsid w:val="00C038E1"/>
    <w:rsid w:val="00C0511C"/>
    <w:rsid w:val="00C20ACF"/>
    <w:rsid w:val="00C22307"/>
    <w:rsid w:val="00C23469"/>
    <w:rsid w:val="00C30C62"/>
    <w:rsid w:val="00C371DF"/>
    <w:rsid w:val="00C42055"/>
    <w:rsid w:val="00C44B4C"/>
    <w:rsid w:val="00C46734"/>
    <w:rsid w:val="00C47A86"/>
    <w:rsid w:val="00C53220"/>
    <w:rsid w:val="00C879C1"/>
    <w:rsid w:val="00CA3347"/>
    <w:rsid w:val="00CC299A"/>
    <w:rsid w:val="00CD03E3"/>
    <w:rsid w:val="00CE6BDA"/>
    <w:rsid w:val="00D03DBE"/>
    <w:rsid w:val="00D072C0"/>
    <w:rsid w:val="00D34C82"/>
    <w:rsid w:val="00D3757A"/>
    <w:rsid w:val="00D504A9"/>
    <w:rsid w:val="00D50855"/>
    <w:rsid w:val="00D5206D"/>
    <w:rsid w:val="00D602C5"/>
    <w:rsid w:val="00D7177D"/>
    <w:rsid w:val="00D81311"/>
    <w:rsid w:val="00DA41EC"/>
    <w:rsid w:val="00DA4810"/>
    <w:rsid w:val="00DB201E"/>
    <w:rsid w:val="00DC0E68"/>
    <w:rsid w:val="00DC6A7A"/>
    <w:rsid w:val="00DC6BD8"/>
    <w:rsid w:val="00DD25ED"/>
    <w:rsid w:val="00DE0D6E"/>
    <w:rsid w:val="00E1151D"/>
    <w:rsid w:val="00E1610C"/>
    <w:rsid w:val="00E16D73"/>
    <w:rsid w:val="00E23E9E"/>
    <w:rsid w:val="00E25722"/>
    <w:rsid w:val="00E26AE3"/>
    <w:rsid w:val="00E27F0A"/>
    <w:rsid w:val="00E4231E"/>
    <w:rsid w:val="00E4302C"/>
    <w:rsid w:val="00E44AC7"/>
    <w:rsid w:val="00E45F4B"/>
    <w:rsid w:val="00E60A16"/>
    <w:rsid w:val="00E65BF3"/>
    <w:rsid w:val="00E82B6E"/>
    <w:rsid w:val="00E8586F"/>
    <w:rsid w:val="00E94258"/>
    <w:rsid w:val="00E96C18"/>
    <w:rsid w:val="00EA2E61"/>
    <w:rsid w:val="00EA7D7F"/>
    <w:rsid w:val="00EB02F4"/>
    <w:rsid w:val="00EB2FA2"/>
    <w:rsid w:val="00EB52B4"/>
    <w:rsid w:val="00EB6AD2"/>
    <w:rsid w:val="00EB769A"/>
    <w:rsid w:val="00EC3A35"/>
    <w:rsid w:val="00ED15BE"/>
    <w:rsid w:val="00EE17F2"/>
    <w:rsid w:val="00EE3138"/>
    <w:rsid w:val="00EE556C"/>
    <w:rsid w:val="00EF124A"/>
    <w:rsid w:val="00EF2AC7"/>
    <w:rsid w:val="00EF400A"/>
    <w:rsid w:val="00EF56E4"/>
    <w:rsid w:val="00EF6BE4"/>
    <w:rsid w:val="00EF6E5D"/>
    <w:rsid w:val="00F06195"/>
    <w:rsid w:val="00F07764"/>
    <w:rsid w:val="00F12517"/>
    <w:rsid w:val="00F131DD"/>
    <w:rsid w:val="00F16BA1"/>
    <w:rsid w:val="00F24435"/>
    <w:rsid w:val="00F25753"/>
    <w:rsid w:val="00F30C0F"/>
    <w:rsid w:val="00F314E8"/>
    <w:rsid w:val="00F323A2"/>
    <w:rsid w:val="00F33B57"/>
    <w:rsid w:val="00F33D5C"/>
    <w:rsid w:val="00F34E90"/>
    <w:rsid w:val="00F356D6"/>
    <w:rsid w:val="00F377BB"/>
    <w:rsid w:val="00F53BE2"/>
    <w:rsid w:val="00F55684"/>
    <w:rsid w:val="00F64D5A"/>
    <w:rsid w:val="00F67515"/>
    <w:rsid w:val="00F709CD"/>
    <w:rsid w:val="00F906F4"/>
    <w:rsid w:val="00FA0716"/>
    <w:rsid w:val="00FB0EC4"/>
    <w:rsid w:val="00FB372A"/>
    <w:rsid w:val="00FB4629"/>
    <w:rsid w:val="00FB6FB1"/>
    <w:rsid w:val="00FB7063"/>
    <w:rsid w:val="00FC7056"/>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paragraph" w:styleId="Textodeglobo">
    <w:name w:val="Balloon Text"/>
    <w:basedOn w:val="Normal"/>
    <w:link w:val="TextodegloboCar"/>
    <w:uiPriority w:val="99"/>
    <w:semiHidden/>
    <w:unhideWhenUsed/>
    <w:rsid w:val="00267F1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67F19"/>
    <w:rPr>
      <w:rFonts w:ascii="Segoe UI" w:hAnsi="Segoe UI" w:cs="Segoe UI"/>
      <w:sz w:val="18"/>
      <w:szCs w:val="18"/>
    </w:rPr>
  </w:style>
  <w:style w:type="character" w:customStyle="1" w:styleId="SinespaciadoCar">
    <w:name w:val="Sin espaciado Car"/>
    <w:aliases w:val="No Indent Car"/>
    <w:link w:val="Sinespaciado"/>
    <w:uiPriority w:val="1"/>
    <w:locked/>
    <w:rsid w:val="008E52AC"/>
    <w:rPr>
      <w:sz w:val="24"/>
      <w:lang w:val="es-MX"/>
    </w:rPr>
  </w:style>
  <w:style w:type="paragraph" w:styleId="Sinespaciado">
    <w:name w:val="No Spacing"/>
    <w:aliases w:val="No Indent"/>
    <w:link w:val="SinespaciadoCar"/>
    <w:uiPriority w:val="1"/>
    <w:qFormat/>
    <w:rsid w:val="008E52AC"/>
    <w:pPr>
      <w:spacing w:after="0" w:line="240" w:lineRule="auto"/>
    </w:pPr>
    <w:rPr>
      <w:sz w:val="24"/>
      <w:lang w:val="es-MX"/>
    </w:rPr>
  </w:style>
  <w:style w:type="character" w:customStyle="1" w:styleId="NormalWebCar">
    <w:name w:val="Normal (Web) Car"/>
    <w:link w:val="NormalWeb"/>
    <w:uiPriority w:val="99"/>
    <w:locked/>
    <w:rsid w:val="0027338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291637230">
      <w:bodyDiv w:val="1"/>
      <w:marLeft w:val="0"/>
      <w:marRight w:val="0"/>
      <w:marTop w:val="0"/>
      <w:marBottom w:val="0"/>
      <w:divBdr>
        <w:top w:val="none" w:sz="0" w:space="0" w:color="auto"/>
        <w:left w:val="none" w:sz="0" w:space="0" w:color="auto"/>
        <w:bottom w:val="none" w:sz="0" w:space="0" w:color="auto"/>
        <w:right w:val="none" w:sz="0" w:space="0" w:color="auto"/>
      </w:divBdr>
    </w:div>
    <w:div w:id="395204355">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729184111">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943810098">
      <w:bodyDiv w:val="1"/>
      <w:marLeft w:val="0"/>
      <w:marRight w:val="0"/>
      <w:marTop w:val="0"/>
      <w:marBottom w:val="0"/>
      <w:divBdr>
        <w:top w:val="none" w:sz="0" w:space="0" w:color="auto"/>
        <w:left w:val="none" w:sz="0" w:space="0" w:color="auto"/>
        <w:bottom w:val="none" w:sz="0" w:space="0" w:color="auto"/>
        <w:right w:val="none" w:sz="0" w:space="0" w:color="auto"/>
      </w:divBdr>
    </w:div>
    <w:div w:id="1022824889">
      <w:bodyDiv w:val="1"/>
      <w:marLeft w:val="0"/>
      <w:marRight w:val="0"/>
      <w:marTop w:val="0"/>
      <w:marBottom w:val="0"/>
      <w:divBdr>
        <w:top w:val="none" w:sz="0" w:space="0" w:color="auto"/>
        <w:left w:val="none" w:sz="0" w:space="0" w:color="auto"/>
        <w:bottom w:val="none" w:sz="0" w:space="0" w:color="auto"/>
        <w:right w:val="none" w:sz="0" w:space="0" w:color="auto"/>
      </w:divBdr>
    </w:div>
    <w:div w:id="1080641115">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579366551">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30829747">
      <w:bodyDiv w:val="1"/>
      <w:marLeft w:val="0"/>
      <w:marRight w:val="0"/>
      <w:marTop w:val="0"/>
      <w:marBottom w:val="0"/>
      <w:divBdr>
        <w:top w:val="none" w:sz="0" w:space="0" w:color="auto"/>
        <w:left w:val="none" w:sz="0" w:space="0" w:color="auto"/>
        <w:bottom w:val="none" w:sz="0" w:space="0" w:color="auto"/>
        <w:right w:val="none" w:sz="0" w:space="0" w:color="auto"/>
      </w:divBdr>
    </w:div>
    <w:div w:id="1953125658">
      <w:bodyDiv w:val="1"/>
      <w:marLeft w:val="0"/>
      <w:marRight w:val="0"/>
      <w:marTop w:val="0"/>
      <w:marBottom w:val="0"/>
      <w:divBdr>
        <w:top w:val="none" w:sz="0" w:space="0" w:color="auto"/>
        <w:left w:val="none" w:sz="0" w:space="0" w:color="auto"/>
        <w:bottom w:val="none" w:sz="0" w:space="0" w:color="auto"/>
        <w:right w:val="none" w:sz="0" w:space="0" w:color="auto"/>
      </w:divBdr>
    </w:div>
    <w:div w:id="19836510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honvega.2058@gmail.com"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DC4805E-6B2B-42BD-9C0A-17DF93399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15</Pages>
  <Words>3884</Words>
  <Characters>21364</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3</cp:revision>
  <dcterms:created xsi:type="dcterms:W3CDTF">2024-08-21T17:02:00Z</dcterms:created>
  <dcterms:modified xsi:type="dcterms:W3CDTF">2024-08-21T17:44:00Z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