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9E0EF" w14:textId="143F8A74" w:rsidR="00687EAB" w:rsidRPr="00687EAB" w:rsidRDefault="0024773E" w:rsidP="00687EAB">
      <w:pPr>
        <w:spacing w:after="0"/>
        <w:rPr>
          <w:rFonts w:ascii="Verdana" w:hAnsi="Verdana" w:cs="Arial"/>
          <w:b/>
          <w:bCs/>
          <w:lang w:eastAsia="es-ES"/>
        </w:rPr>
      </w:pPr>
      <w:r w:rsidRPr="00687EAB">
        <w:rPr>
          <w:rFonts w:ascii="Verdana" w:hAnsi="Verdana" w:cs="Arial"/>
          <w:b/>
          <w:bCs/>
          <w:lang w:eastAsia="es-ES"/>
        </w:rPr>
        <w:t>SUBCONTRATACIÓN – Con</w:t>
      </w:r>
      <w:r w:rsidRPr="00687EAB">
        <w:rPr>
          <w:rFonts w:ascii="Verdana" w:hAnsi="Verdana" w:cs="Arial"/>
          <w:b/>
          <w:bCs/>
          <w:lang w:eastAsia="es-ES"/>
        </w:rPr>
        <w:t xml:space="preserve">cepto – Limitaciones jurídicas </w:t>
      </w:r>
    </w:p>
    <w:p w14:paraId="716F850B" w14:textId="77777777" w:rsidR="00687EAB" w:rsidRDefault="00687EAB" w:rsidP="00687EAB">
      <w:pPr>
        <w:spacing w:after="0"/>
        <w:rPr>
          <w:rFonts w:ascii="Verdana" w:hAnsi="Verdana" w:cs="Arial"/>
          <w:bCs/>
          <w:lang w:eastAsia="es-ES"/>
        </w:rPr>
      </w:pPr>
    </w:p>
    <w:p w14:paraId="655FE27E" w14:textId="45A3EC82" w:rsidR="0024773E" w:rsidRPr="00687EAB" w:rsidRDefault="0024773E" w:rsidP="00687EAB">
      <w:pPr>
        <w:spacing w:after="0" w:line="240" w:lineRule="auto"/>
        <w:jc w:val="both"/>
        <w:rPr>
          <w:rFonts w:ascii="Verdana" w:hAnsi="Verdana" w:cs="Arial"/>
          <w:bCs/>
          <w:sz w:val="20"/>
          <w:lang w:eastAsia="es-ES"/>
        </w:rPr>
      </w:pPr>
      <w:r w:rsidRPr="00687EAB">
        <w:rPr>
          <w:rFonts w:ascii="Verdana" w:hAnsi="Verdana" w:cs="Arial"/>
          <w:bCs/>
          <w:sz w:val="20"/>
          <w:lang w:eastAsia="es-ES"/>
        </w:rPr>
        <w:t>Por otro lado, la doctrina también ha desarrollado el concepto y las características de la figura de la subcontratación. El doctrinante, Richard Steve Ramírez Grisales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00687EAB" w:rsidRPr="00687EAB">
        <w:rPr>
          <w:rFonts w:ascii="Verdana" w:hAnsi="Verdana" w:cs="Arial"/>
          <w:bCs/>
          <w:sz w:val="20"/>
          <w:lang w:eastAsia="es-ES"/>
        </w:rPr>
        <w:t>.</w:t>
      </w:r>
    </w:p>
    <w:p w14:paraId="3CB50D05" w14:textId="2920A809" w:rsidR="00687EAB" w:rsidRPr="00687EAB" w:rsidRDefault="00687EAB" w:rsidP="00687EAB">
      <w:pPr>
        <w:spacing w:after="0" w:line="240" w:lineRule="auto"/>
        <w:jc w:val="both"/>
        <w:rPr>
          <w:rFonts w:ascii="Verdana" w:hAnsi="Verdana" w:cs="Arial"/>
          <w:bCs/>
          <w:sz w:val="20"/>
          <w:lang w:eastAsia="es-ES"/>
        </w:rPr>
      </w:pPr>
      <w:r w:rsidRPr="00687EAB">
        <w:rPr>
          <w:rFonts w:ascii="Verdana" w:hAnsi="Verdana" w:cs="Arial"/>
          <w:bCs/>
          <w:sz w:val="20"/>
          <w:lang w:eastAsia="es-ES"/>
        </w:rPr>
        <w:t>[…]</w:t>
      </w:r>
    </w:p>
    <w:p w14:paraId="5A393549" w14:textId="77777777" w:rsidR="00687EAB" w:rsidRPr="00687EAB" w:rsidRDefault="00687EAB" w:rsidP="00687EAB">
      <w:pPr>
        <w:spacing w:after="0" w:line="240" w:lineRule="auto"/>
        <w:jc w:val="both"/>
        <w:rPr>
          <w:rFonts w:ascii="Verdana" w:eastAsia="Calibri" w:hAnsi="Verdana" w:cs="Arial"/>
          <w:sz w:val="20"/>
          <w:lang w:val="es-ES"/>
        </w:rPr>
      </w:pPr>
      <w:r w:rsidRPr="00687EAB">
        <w:rPr>
          <w:rFonts w:ascii="Verdana" w:eastAsia="Calibri" w:hAnsi="Verdana" w:cs="Arial"/>
          <w:sz w:val="20"/>
          <w:lang w:val="es-ES"/>
        </w:rPr>
        <w:t>Debido a la escasa regulación normativa, la subcontratación en materia de contratación pública está supeditada a lo dispuesto en el acuerdo de voluntades, contenido en el pliego de condiciones – o documento equivalente – y en el contrato, sin perjuicio de las limitaciones establecidas por la ley.</w:t>
      </w:r>
    </w:p>
    <w:p w14:paraId="4F4D9C2E" w14:textId="63DE1785" w:rsidR="00687EAB" w:rsidRPr="00687EAB" w:rsidRDefault="00687EAB" w:rsidP="00687EAB">
      <w:pPr>
        <w:spacing w:after="0" w:line="240" w:lineRule="auto"/>
        <w:jc w:val="both"/>
        <w:rPr>
          <w:rFonts w:ascii="Verdana" w:eastAsia="Calibri" w:hAnsi="Verdana" w:cs="Arial"/>
          <w:sz w:val="20"/>
          <w:lang w:val="es-ES"/>
        </w:rPr>
      </w:pPr>
      <w:r w:rsidRPr="00687EAB">
        <w:rPr>
          <w:rFonts w:ascii="Verdana" w:eastAsia="Calibri" w:hAnsi="Verdana" w:cs="Arial"/>
          <w:sz w:val="20"/>
          <w:lang w:val="es-ES"/>
        </w:rPr>
        <w:t xml:space="preserve"> </w:t>
      </w:r>
    </w:p>
    <w:p w14:paraId="4C15CE77" w14:textId="26F628AA" w:rsidR="00687EAB" w:rsidRDefault="00687EAB" w:rsidP="00687EAB">
      <w:pPr>
        <w:spacing w:after="0" w:line="240" w:lineRule="auto"/>
        <w:jc w:val="both"/>
        <w:rPr>
          <w:rFonts w:ascii="Verdana" w:eastAsia="Arial MT" w:hAnsi="Verdana" w:cs="Arial MT"/>
          <w:sz w:val="20"/>
          <w:lang w:val="es-ES"/>
        </w:rPr>
      </w:pPr>
      <w:r w:rsidRPr="00687EAB">
        <w:rPr>
          <w:rFonts w:ascii="Verdana" w:eastAsia="Calibri" w:hAnsi="Verdana" w:cs="Arial"/>
          <w:sz w:val="20"/>
          <w:lang w:val="es-ES"/>
        </w:rPr>
        <w:t>Por un lado, la posibilidad de subcontratar y las condiciones en las cuales se deberá efectuar esa subcontratación,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la autorización o sin el cumplimiento de la condición establecida en el negocio jurídico.</w:t>
      </w:r>
      <w:r w:rsidRPr="00687EAB">
        <w:rPr>
          <w:rFonts w:ascii="Verdana" w:eastAsia="Arial MT" w:hAnsi="Verdana" w:cs="Arial MT"/>
          <w:sz w:val="20"/>
          <w:lang w:val="es-ES"/>
        </w:rPr>
        <w:t xml:space="preserve"> Por el contrario, si en los documentos del proceso de contratación o en el contrato no se estipula esta institución, se entiende que en principio está permitida y,</w:t>
      </w:r>
      <w:r w:rsidRPr="00687EAB">
        <w:rPr>
          <w:rFonts w:ascii="Verdana" w:eastAsia="Arial MT" w:hAnsi="Verdana" w:cs="Arial MT"/>
          <w:spacing w:val="1"/>
          <w:sz w:val="20"/>
          <w:lang w:val="es-ES"/>
        </w:rPr>
        <w:t xml:space="preserve"> </w:t>
      </w:r>
      <w:r w:rsidRPr="00687EAB">
        <w:rPr>
          <w:rFonts w:ascii="Verdana" w:eastAsia="Arial MT" w:hAnsi="Verdana" w:cs="Arial MT"/>
          <w:sz w:val="20"/>
          <w:lang w:val="es-ES"/>
        </w:rPr>
        <w:t>por tanto, el contratista podrá subcontratar parcialmente con fundamento en la libertad de</w:t>
      </w:r>
      <w:r w:rsidRPr="00687EAB">
        <w:rPr>
          <w:rFonts w:ascii="Verdana" w:eastAsia="Arial MT" w:hAnsi="Verdana" w:cs="Arial MT"/>
          <w:spacing w:val="1"/>
          <w:sz w:val="20"/>
          <w:lang w:val="es-ES"/>
        </w:rPr>
        <w:t xml:space="preserve"> </w:t>
      </w:r>
      <w:r w:rsidRPr="00687EAB">
        <w:rPr>
          <w:rFonts w:ascii="Verdana" w:eastAsia="Arial MT" w:hAnsi="Verdana" w:cs="Arial MT"/>
          <w:sz w:val="20"/>
          <w:lang w:val="es-ES"/>
        </w:rPr>
        <w:t>empresa</w:t>
      </w:r>
      <w:r>
        <w:rPr>
          <w:rFonts w:ascii="Verdana" w:eastAsia="Arial MT" w:hAnsi="Verdana" w:cs="Arial MT"/>
          <w:sz w:val="20"/>
          <w:lang w:val="es-ES"/>
        </w:rPr>
        <w:t>, respetando los límites legales.</w:t>
      </w:r>
    </w:p>
    <w:p w14:paraId="4C82C964" w14:textId="77777777" w:rsidR="00687EAB" w:rsidRPr="00687EAB" w:rsidRDefault="00687EAB" w:rsidP="00687EAB">
      <w:pPr>
        <w:spacing w:after="0" w:line="240" w:lineRule="auto"/>
        <w:jc w:val="both"/>
        <w:rPr>
          <w:rFonts w:ascii="Verdana" w:hAnsi="Verdana" w:cs="Arial"/>
          <w:bCs/>
          <w:sz w:val="20"/>
          <w:lang w:eastAsia="es-ES"/>
        </w:rPr>
      </w:pPr>
    </w:p>
    <w:p w14:paraId="1F9D7898" w14:textId="6748D195" w:rsidR="0024773E" w:rsidRDefault="00687EAB" w:rsidP="00687EAB">
      <w:pPr>
        <w:spacing w:after="0" w:line="240" w:lineRule="auto"/>
        <w:rPr>
          <w:rFonts w:ascii="Verdana" w:hAnsi="Verdana" w:cs="Arial"/>
          <w:b/>
          <w:bCs/>
          <w:lang w:eastAsia="es-ES"/>
        </w:rPr>
      </w:pPr>
      <w:r w:rsidRPr="00687EAB">
        <w:rPr>
          <w:rFonts w:ascii="Verdana" w:hAnsi="Verdana" w:cs="Arial"/>
          <w:b/>
          <w:bCs/>
          <w:lang w:eastAsia="es-ES"/>
        </w:rPr>
        <w:t>SUBCONTRATACIÓN – Procedencia</w:t>
      </w:r>
    </w:p>
    <w:p w14:paraId="198CD0E1" w14:textId="55A7BAF6" w:rsidR="00F83293" w:rsidRDefault="00F83293" w:rsidP="00687EAB">
      <w:pPr>
        <w:spacing w:after="0" w:line="240" w:lineRule="auto"/>
        <w:jc w:val="both"/>
        <w:rPr>
          <w:rFonts w:ascii="Verdana" w:hAnsi="Verdana" w:cs="Arial"/>
          <w:bCs/>
          <w:lang w:val="es-ES" w:eastAsia="es-ES"/>
        </w:rPr>
      </w:pPr>
    </w:p>
    <w:p w14:paraId="2605CF7E" w14:textId="43CFE4E4" w:rsidR="00687EAB" w:rsidRDefault="00687EAB" w:rsidP="00687EAB">
      <w:pPr>
        <w:spacing w:after="0" w:line="240" w:lineRule="auto"/>
        <w:jc w:val="both"/>
        <w:rPr>
          <w:rFonts w:ascii="Verdana" w:hAnsi="Verdana" w:cs="Arial"/>
          <w:bCs/>
          <w:lang w:val="es-MX" w:eastAsia="es-ES"/>
        </w:rPr>
      </w:pPr>
      <w:r w:rsidRPr="00687EAB">
        <w:rPr>
          <w:rFonts w:ascii="Verdana" w:hAnsi="Verdana" w:cs="Arial"/>
          <w:bCs/>
          <w:lang w:val="es-ES_tradnl" w:eastAsia="es-ES"/>
        </w:rPr>
        <w:t>Aunque el subcontrato es un contrato autónomo e independiente del contrato principal, en materia de contratación estatal, es recomendable –en ciertos eventos–</w:t>
      </w:r>
      <w:r w:rsidRPr="00687EAB">
        <w:rPr>
          <w:rFonts w:ascii="Verdana" w:hAnsi="Verdana" w:cs="Arial"/>
          <w:bCs/>
          <w:lang w:val="es-MX" w:eastAsia="es-ES"/>
        </w:rPr>
        <w:t xml:space="preserve">, que las entidades estatales, exijan en el contrato la autorización previa y expresa para la subcontratación. Esto permite a la entidad estatal controlar las condiciones en las cuales se ejecutará el contrato, asegurar el cumplimiento de este bajo un esquema de transparencia y garantizar que no se infrinjan los principios de la contratación estatal. 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sujetarse a esta estipulación, so pena de un posible incumplimiento del contrato. </w:t>
      </w:r>
    </w:p>
    <w:p w14:paraId="27B8548C" w14:textId="77777777" w:rsidR="00687EAB" w:rsidRDefault="00687EAB" w:rsidP="00687EAB">
      <w:pPr>
        <w:spacing w:after="0" w:line="240" w:lineRule="auto"/>
        <w:jc w:val="both"/>
        <w:rPr>
          <w:rFonts w:ascii="Verdana" w:hAnsi="Verdana" w:cs="Arial"/>
          <w:bCs/>
          <w:lang w:val="es-MX" w:eastAsia="es-ES"/>
        </w:rPr>
      </w:pPr>
    </w:p>
    <w:p w14:paraId="75B2CBCA" w14:textId="1D823858" w:rsidR="00687EAB" w:rsidRPr="00687EAB" w:rsidRDefault="00687EAB" w:rsidP="00687EAB">
      <w:pPr>
        <w:spacing w:after="0" w:line="240" w:lineRule="auto"/>
        <w:jc w:val="both"/>
        <w:rPr>
          <w:rFonts w:ascii="Verdana" w:hAnsi="Verdana" w:cs="Arial"/>
          <w:bCs/>
          <w:lang w:val="es-MX" w:eastAsia="es-ES"/>
        </w:rPr>
      </w:pPr>
      <w:r w:rsidRPr="00687EAB">
        <w:rPr>
          <w:rFonts w:ascii="Verdana" w:hAnsi="Verdana" w:cs="Arial"/>
          <w:bCs/>
          <w:lang w:val="es-ES" w:eastAsia="es-ES"/>
        </w:rPr>
        <w:t xml:space="preserve">Ahora bien, tampoco existe una restricción para que el contratista del Estado seleccione al subcontratista. En ese contexto, rige el principio de autonomía de </w:t>
      </w:r>
      <w:r w:rsidRPr="00687EAB">
        <w:rPr>
          <w:rFonts w:ascii="Verdana" w:hAnsi="Verdana" w:cs="Arial"/>
          <w:bCs/>
          <w:lang w:val="es-ES" w:eastAsia="es-ES"/>
        </w:rPr>
        <w:lastRenderedPageBreak/>
        <w:t xml:space="preserve">la voluntad para la selección del subcontratista. Así las cosas, si en el pliego de condiciones – o documento equivalente – o en el contrato se fijó alguna estipulación al respecto esta deberá respetarse y, en consecuencia, el contratista del Estado deberá escoger a su subcontratista de acuerdo a dichas estipulaciones. Contrario sensu, si no se fijó ninguna restricción al respecto, el contratista de la entidad estatal tendrá libertad para escoger a quien ejecutará el subcontrato.  </w:t>
      </w:r>
    </w:p>
    <w:p w14:paraId="1C59ABD3" w14:textId="77777777" w:rsidR="00687EAB" w:rsidRPr="00687EAB" w:rsidRDefault="00687EAB" w:rsidP="00687EAB">
      <w:pPr>
        <w:spacing w:after="0" w:line="240" w:lineRule="auto"/>
        <w:rPr>
          <w:rFonts w:ascii="Verdana" w:hAnsi="Verdana" w:cs="Arial"/>
          <w:b/>
          <w:bCs/>
          <w:lang w:val="es-MX" w:eastAsia="es-ES"/>
        </w:rPr>
      </w:pPr>
    </w:p>
    <w:p w14:paraId="47811D0F" w14:textId="1CFACA22" w:rsidR="0024773E" w:rsidRDefault="0024773E" w:rsidP="00687EAB">
      <w:pPr>
        <w:spacing w:after="0"/>
        <w:jc w:val="both"/>
        <w:rPr>
          <w:rFonts w:ascii="Verdana" w:hAnsi="Verdana" w:cs="Arial"/>
          <w:b/>
          <w:bCs/>
          <w:lang w:eastAsia="es-ES"/>
        </w:rPr>
      </w:pPr>
      <w:r w:rsidRPr="00687EAB">
        <w:rPr>
          <w:rFonts w:ascii="Verdana" w:hAnsi="Verdana" w:cs="Arial"/>
          <w:b/>
          <w:bCs/>
          <w:lang w:eastAsia="es-ES"/>
        </w:rPr>
        <w:t>SUBCONTRATACIÓN – Libertad – autonomía de la voluntad - Restricciones.</w:t>
      </w:r>
    </w:p>
    <w:p w14:paraId="5C294787" w14:textId="5671269F" w:rsidR="00687EAB" w:rsidRDefault="00687EAB" w:rsidP="00687EAB">
      <w:pPr>
        <w:spacing w:after="0"/>
        <w:rPr>
          <w:rFonts w:ascii="Verdana" w:hAnsi="Verdana" w:cs="Arial"/>
          <w:b/>
          <w:bCs/>
          <w:lang w:eastAsia="es-ES"/>
        </w:rPr>
      </w:pPr>
    </w:p>
    <w:p w14:paraId="5B56F7B2" w14:textId="77777777" w:rsidR="00F83293" w:rsidRPr="00F83293" w:rsidRDefault="00F83293" w:rsidP="00F83293">
      <w:pPr>
        <w:spacing w:after="0" w:line="240" w:lineRule="auto"/>
        <w:jc w:val="both"/>
        <w:rPr>
          <w:rFonts w:ascii="Verdana" w:hAnsi="Verdana" w:cs="Arial"/>
          <w:bCs/>
          <w:lang w:val="es-ES" w:eastAsia="es-ES"/>
        </w:rPr>
      </w:pPr>
      <w:r w:rsidRPr="00F83293">
        <w:rPr>
          <w:rFonts w:ascii="Verdana" w:hAnsi="Verdana" w:cs="Arial"/>
          <w:bCs/>
          <w:lang w:val="es-ES" w:eastAsia="es-ES"/>
        </w:rPr>
        <w:t xml:space="preserve">Ahora bien, tampoco existe una restricción para que el contratista del Estado seleccione al subcontratista. En ese contexto, rige el principio de autonomía de la voluntad para la selección del subcontratista. Así las cosas, si en el pliego de condiciones – o documento equivalente – o en el contrato se fijó alguna estipulación al respecto esta deberá respetarse y, en consecuencia, el contratista del Estado deberá escoger a su subcontratista de acuerdo a dichas estipulaciones. Contrario sensu, si no se fijó ninguna restricción al respecto, el contratista de la entidad estatal tendrá libertad para escoger a quien ejecutará el subcontrato.  </w:t>
      </w:r>
    </w:p>
    <w:p w14:paraId="17508408" w14:textId="77777777" w:rsidR="00F83293" w:rsidRPr="00F83293" w:rsidRDefault="00F83293" w:rsidP="00687EAB">
      <w:pPr>
        <w:spacing w:after="0"/>
        <w:jc w:val="both"/>
        <w:rPr>
          <w:rFonts w:ascii="Verdana" w:hAnsi="Verdana" w:cs="Arial"/>
          <w:bCs/>
          <w:sz w:val="20"/>
          <w:lang w:val="es-ES" w:eastAsia="es-ES"/>
        </w:rPr>
      </w:pPr>
    </w:p>
    <w:p w14:paraId="4ED168E0" w14:textId="3DE91C18" w:rsidR="00687EAB" w:rsidRPr="00F83293" w:rsidRDefault="00687EAB" w:rsidP="00F83293">
      <w:pPr>
        <w:spacing w:after="0"/>
        <w:jc w:val="both"/>
        <w:rPr>
          <w:rFonts w:ascii="Verdana" w:hAnsi="Verdana" w:cs="Arial"/>
          <w:bCs/>
          <w:sz w:val="20"/>
          <w:lang w:val="es-ES" w:eastAsia="es-ES"/>
        </w:rPr>
      </w:pPr>
      <w:r w:rsidRPr="00F83293">
        <w:rPr>
          <w:rFonts w:ascii="Verdana" w:hAnsi="Verdana" w:cs="Arial"/>
          <w:bCs/>
          <w:sz w:val="20"/>
          <w:lang w:eastAsia="es-ES"/>
        </w:rPr>
        <w:t xml:space="preserve">Por otro lado, existen limitaciones a la subcontratación establecidas en la ley. En efecto, el numeral 5 del artículo 32 de la Ley 80 de 1993, que regula el encargo fiduciario y la fiducia pública dispone en su inciso noveno que </w:t>
      </w:r>
      <w:r w:rsidRPr="00F83293">
        <w:rPr>
          <w:rFonts w:ascii="Verdana" w:hAnsi="Verdana" w:cs="Arial"/>
          <w:bCs/>
          <w:sz w:val="20"/>
          <w:lang w:val="es-ES_tradnl" w:eastAsia="es-ES"/>
        </w:rPr>
        <w:t>“So pena de nulidad no podrán celebrarse contratos de fiducia o</w:t>
      </w:r>
      <w:r w:rsidRPr="00F83293">
        <w:rPr>
          <w:rFonts w:ascii="Verdana" w:hAnsi="Verdana" w:cs="Arial"/>
          <w:bCs/>
          <w:i/>
          <w:iCs/>
          <w:sz w:val="20"/>
          <w:lang w:val="es-ES_tradnl" w:eastAsia="es-ES"/>
        </w:rPr>
        <w:t xml:space="preserve"> subcontratos</w:t>
      </w:r>
      <w:r w:rsidRPr="00F83293">
        <w:rPr>
          <w:rFonts w:ascii="Verdana" w:hAnsi="Verdana" w:cs="Arial"/>
          <w:bCs/>
          <w:sz w:val="20"/>
          <w:lang w:val="es-ES_tradnl" w:eastAsia="es-ES"/>
        </w:rPr>
        <w:t xml:space="preserve"> en contravención del artículo </w:t>
      </w:r>
      <w:hyperlink r:id="rId11" w:anchor="355" w:history="1">
        <w:r w:rsidRPr="00F83293">
          <w:rPr>
            <w:rStyle w:val="Hipervnculo"/>
            <w:rFonts w:ascii="Verdana" w:hAnsi="Verdana" w:cs="Arial"/>
            <w:bCs/>
            <w:color w:val="auto"/>
            <w:sz w:val="20"/>
            <w:u w:val="none"/>
            <w:lang w:val="es-ES_tradnl" w:eastAsia="es-ES"/>
          </w:rPr>
          <w:t>355</w:t>
        </w:r>
      </w:hyperlink>
      <w:r w:rsidRPr="00F83293">
        <w:rPr>
          <w:rFonts w:ascii="Verdana" w:hAnsi="Verdana" w:cs="Arial"/>
          <w:bCs/>
          <w:sz w:val="20"/>
          <w:lang w:val="es-ES_tradnl" w:eastAsia="es-ES"/>
        </w:rPr>
        <w:t xml:space="preserve"> de la Constitución Política. Si tal evento se diese, la entidad fideicomitente deberá repetir contra la persona, natural o jurídica, adjudicataria del respectivo contrato”. (Énfasis por fuera de texto). En este caso, la ley determina expresamente una prohibición de celebración de subcontratos que se realicen vulnerando lo dispuesto en el artículo 355 de la Constitución Política. </w:t>
      </w:r>
      <w:r w:rsidRPr="00F83293">
        <w:rPr>
          <w:rFonts w:ascii="Verdana" w:hAnsi="Verdana" w:cs="Arial"/>
          <w:bCs/>
          <w:sz w:val="20"/>
          <w:lang w:val="es-ES" w:eastAsia="es-ES"/>
        </w:rPr>
        <w:t xml:space="preserve"> La otra restricción normativa </w:t>
      </w:r>
      <w:r w:rsidRPr="00F83293">
        <w:rPr>
          <w:rFonts w:ascii="Verdana" w:hAnsi="Verdana" w:cs="Arial"/>
          <w:bCs/>
          <w:sz w:val="20"/>
          <w:lang w:eastAsia="es-ES"/>
        </w:rPr>
        <w:t xml:space="preserve">se encuentra en </w:t>
      </w:r>
      <w:r w:rsidRPr="00F83293">
        <w:rPr>
          <w:rFonts w:ascii="Verdana" w:hAnsi="Verdana" w:cs="Arial"/>
          <w:bCs/>
          <w:sz w:val="20"/>
          <w:lang w:val="es-ES_tradnl" w:eastAsia="es-ES"/>
        </w:rPr>
        <w:t xml:space="preserve">el literal c) del numeral 4° del artículo 2 de la Ley 1150 de 2007, en torno a la celebración de contratos interadministrativos. Según el inciso cuarto de este literal “En aquellos casos en que la entidad estatal ejecutora deba </w:t>
      </w:r>
      <w:r w:rsidRPr="00F83293">
        <w:rPr>
          <w:rFonts w:ascii="Verdana" w:hAnsi="Verdana" w:cs="Arial"/>
          <w:bCs/>
          <w:i/>
          <w:iCs/>
          <w:sz w:val="20"/>
          <w:lang w:val="es-ES_tradnl" w:eastAsia="es-ES"/>
        </w:rPr>
        <w:t>subcontratar algunas de las actividades</w:t>
      </w:r>
      <w:r w:rsidRPr="00F83293">
        <w:rPr>
          <w:rFonts w:ascii="Verdana" w:hAnsi="Verdana" w:cs="Arial"/>
          <w:bCs/>
          <w:sz w:val="20"/>
          <w:lang w:val="es-ES_tradnl" w:eastAsia="es-ES"/>
        </w:rPr>
        <w:t xml:space="preserve"> derivadas del contrato principal, no podrá ni ella ni el subcontratista, contratar o vincular a las personas naturales o jurídicas que hayan participado en la elaboración de los estudios, </w:t>
      </w:r>
      <w:bookmarkStart w:id="0" w:name="_GoBack"/>
      <w:r w:rsidRPr="00F83293">
        <w:rPr>
          <w:rFonts w:ascii="Verdana" w:hAnsi="Verdana" w:cs="Arial"/>
          <w:bCs/>
          <w:sz w:val="20"/>
          <w:lang w:val="es-ES_tradnl" w:eastAsia="es-ES"/>
        </w:rPr>
        <w:t xml:space="preserve">diseños </w:t>
      </w:r>
      <w:bookmarkEnd w:id="0"/>
      <w:r w:rsidRPr="00F83293">
        <w:rPr>
          <w:rFonts w:ascii="Verdana" w:hAnsi="Verdana" w:cs="Arial"/>
          <w:bCs/>
          <w:sz w:val="20"/>
          <w:lang w:val="es-ES_tradnl" w:eastAsia="es-ES"/>
        </w:rPr>
        <w:t>y proyectos que tengan relación directa con el objeto del contrato principal” (Énfasis por fuera de texto)</w:t>
      </w:r>
      <w:r w:rsidRPr="00F83293">
        <w:rPr>
          <w:rFonts w:ascii="Verdana" w:hAnsi="Verdana" w:cs="Arial"/>
          <w:bCs/>
          <w:sz w:val="20"/>
          <w:lang w:eastAsia="es-ES"/>
        </w:rPr>
        <w:t>.</w:t>
      </w:r>
      <w:r w:rsidRPr="00F83293">
        <w:rPr>
          <w:rFonts w:ascii="Verdana" w:hAnsi="Verdana" w:cs="Arial"/>
          <w:bCs/>
          <w:sz w:val="20"/>
          <w:lang w:val="es-ES" w:eastAsia="es-ES"/>
        </w:rPr>
        <w:t xml:space="preserve">  De este modo, en los supuestos en que la entidad estatal sea la ejecutora deba contratar algunas de las actividades enmarcadas en el contrato interadministrativo –contrato principal- prohíbe que esta o el subcontratista contrate a una persona natural o jurídica que hayan participado en la elaboración </w:t>
      </w:r>
      <w:r w:rsidRPr="00F83293">
        <w:rPr>
          <w:rFonts w:ascii="Verdana" w:hAnsi="Verdana" w:cs="Arial"/>
          <w:bCs/>
          <w:sz w:val="20"/>
          <w:lang w:val="es-ES_tradnl" w:eastAsia="es-ES"/>
        </w:rPr>
        <w:t>de los estudios, diseños y proyectos que tengan relación directa con el objeto del contrato principal.</w:t>
      </w:r>
    </w:p>
    <w:p w14:paraId="5A890592" w14:textId="20528E71" w:rsidR="00687EAB" w:rsidRDefault="00687EAB" w:rsidP="00687EAB">
      <w:pPr>
        <w:spacing w:after="0"/>
        <w:rPr>
          <w:rFonts w:ascii="Verdana" w:hAnsi="Verdana" w:cs="Arial"/>
          <w:b/>
          <w:bCs/>
          <w:lang w:eastAsia="es-ES"/>
        </w:rPr>
      </w:pPr>
    </w:p>
    <w:p w14:paraId="687156E8" w14:textId="40EF99FB" w:rsidR="00687EAB" w:rsidRDefault="00687EAB" w:rsidP="00687EAB">
      <w:pPr>
        <w:spacing w:after="0"/>
        <w:rPr>
          <w:rFonts w:ascii="Verdana" w:hAnsi="Verdana" w:cs="Arial"/>
          <w:b/>
          <w:bCs/>
          <w:lang w:eastAsia="es-ES"/>
        </w:rPr>
      </w:pPr>
    </w:p>
    <w:p w14:paraId="43638F2E" w14:textId="1A56D59F" w:rsidR="00687EAB" w:rsidRDefault="00687EAB" w:rsidP="00687EAB">
      <w:pPr>
        <w:spacing w:after="0"/>
        <w:rPr>
          <w:b/>
        </w:rPr>
      </w:pPr>
    </w:p>
    <w:p w14:paraId="104E0371" w14:textId="77777777" w:rsidR="00F83293" w:rsidRPr="00687EAB" w:rsidRDefault="00F83293" w:rsidP="00687EAB">
      <w:pPr>
        <w:spacing w:after="0"/>
        <w:rPr>
          <w:b/>
        </w:rPr>
      </w:pPr>
    </w:p>
    <w:p w14:paraId="6FEA6AB8" w14:textId="6C41B323" w:rsidR="00780105" w:rsidRPr="00780105" w:rsidRDefault="0024773E" w:rsidP="00780105">
      <w:pPr>
        <w:spacing w:after="0" w:line="240" w:lineRule="auto"/>
        <w:rPr>
          <w:rFonts w:ascii="Verdana" w:hAnsi="Verdana"/>
        </w:rPr>
      </w:pPr>
      <w:bookmarkStart w:id="1" w:name="_Hlk143780582"/>
      <w:r w:rsidRPr="0024773E">
        <w:rPr>
          <w:rFonts w:ascii="Verdana" w:hAnsi="Verdana"/>
          <w:noProof/>
          <w:lang w:val="en-US"/>
        </w:rPr>
        <w:drawing>
          <wp:anchor distT="0" distB="0" distL="114300" distR="114300" simplePos="0" relativeHeight="251661312" behindDoc="0" locked="0" layoutInCell="1" allowOverlap="1" wp14:anchorId="35975F8E" wp14:editId="47729ADB">
            <wp:simplePos x="0" y="0"/>
            <wp:positionH relativeFrom="margin">
              <wp:posOffset>2899410</wp:posOffset>
            </wp:positionH>
            <wp:positionV relativeFrom="paragraph">
              <wp:posOffset>146050</wp:posOffset>
            </wp:positionV>
            <wp:extent cx="2898775" cy="8636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8775" cy="86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25 de marzo de 2025</w:t>
      </w:r>
      <w:r w:rsidR="00780105" w:rsidRPr="00780105">
        <w:rPr>
          <w:rFonts w:ascii="Verdana" w:hAnsi="Verdana"/>
        </w:rPr>
        <w:tab/>
      </w:r>
    </w:p>
    <w:p w14:paraId="0F0D0A2F" w14:textId="70CFBAE4" w:rsidR="00780105" w:rsidRPr="00780105" w:rsidRDefault="00780105" w:rsidP="00780105">
      <w:pPr>
        <w:spacing w:after="0" w:line="240" w:lineRule="auto"/>
        <w:rPr>
          <w:rFonts w:ascii="Verdana" w:hAnsi="Verdana"/>
        </w:rPr>
      </w:pPr>
    </w:p>
    <w:p w14:paraId="024C71F0" w14:textId="77777777" w:rsidR="00780105" w:rsidRPr="00780105" w:rsidRDefault="00780105" w:rsidP="00780105">
      <w:pPr>
        <w:spacing w:after="0" w:line="240" w:lineRule="auto"/>
        <w:rPr>
          <w:rFonts w:ascii="Verdana" w:hAnsi="Verdana"/>
        </w:rPr>
      </w:pPr>
    </w:p>
    <w:p w14:paraId="49BBB4E4" w14:textId="18A76774" w:rsidR="00780105" w:rsidRDefault="00780105" w:rsidP="00780105">
      <w:pPr>
        <w:spacing w:after="0" w:line="240" w:lineRule="auto"/>
        <w:rPr>
          <w:rFonts w:ascii="Verdana" w:hAnsi="Verdana"/>
        </w:rPr>
      </w:pPr>
    </w:p>
    <w:p w14:paraId="6938857C" w14:textId="77777777" w:rsidR="00F83293" w:rsidRPr="00780105" w:rsidRDefault="00F83293" w:rsidP="00780105">
      <w:pPr>
        <w:spacing w:after="0" w:line="240" w:lineRule="auto"/>
        <w:rPr>
          <w:rFonts w:ascii="Verdana" w:hAnsi="Verdana"/>
        </w:rPr>
      </w:pPr>
    </w:p>
    <w:p w14:paraId="41176B38" w14:textId="77777777" w:rsidR="00780105" w:rsidRPr="00780105" w:rsidRDefault="00780105" w:rsidP="00780105">
      <w:pPr>
        <w:spacing w:after="0" w:line="240" w:lineRule="auto"/>
        <w:rPr>
          <w:rFonts w:ascii="Verdana" w:eastAsia="Calibri" w:hAnsi="Verdana" w:cs="Times New Roman"/>
          <w:lang w:val="es-MX"/>
        </w:rPr>
      </w:pPr>
      <w:r w:rsidRPr="00780105">
        <w:rPr>
          <w:rFonts w:ascii="Verdana" w:eastAsia="Calibri" w:hAnsi="Verdana" w:cs="Times New Roman"/>
          <w:lang w:val="es-MX"/>
        </w:rPr>
        <w:t>Señor</w:t>
      </w:r>
    </w:p>
    <w:p w14:paraId="3A790C66" w14:textId="77777777" w:rsidR="00780105" w:rsidRPr="00780105" w:rsidRDefault="00780105" w:rsidP="00780105">
      <w:pPr>
        <w:spacing w:after="0" w:line="240" w:lineRule="auto"/>
        <w:rPr>
          <w:rFonts w:ascii="Verdana" w:eastAsia="Calibri" w:hAnsi="Verdana" w:cs="Times New Roman"/>
          <w:b/>
        </w:rPr>
      </w:pPr>
      <w:r w:rsidRPr="00780105">
        <w:rPr>
          <w:rFonts w:ascii="Verdana" w:eastAsia="Calibri" w:hAnsi="Verdana" w:cs="Times New Roman"/>
          <w:b/>
        </w:rPr>
        <w:t>José Alejandro Martínez Novoa</w:t>
      </w:r>
    </w:p>
    <w:p w14:paraId="50DD82B7" w14:textId="77777777" w:rsidR="00780105" w:rsidRPr="00780105" w:rsidRDefault="00780105" w:rsidP="00780105">
      <w:pPr>
        <w:spacing w:after="0" w:line="240" w:lineRule="auto"/>
        <w:rPr>
          <w:rFonts w:ascii="Verdana" w:hAnsi="Verdana"/>
          <w:color w:val="0000FF"/>
          <w:u w:val="single"/>
        </w:rPr>
      </w:pPr>
      <w:r w:rsidRPr="00780105">
        <w:rPr>
          <w:rFonts w:ascii="Verdana" w:hAnsi="Verdana"/>
          <w:color w:val="0000FF"/>
          <w:u w:val="single"/>
        </w:rPr>
        <w:t>josealejandromartineznova@gmail.com</w:t>
      </w:r>
    </w:p>
    <w:p w14:paraId="5CEC8244" w14:textId="77777777" w:rsidR="00780105" w:rsidRPr="00780105" w:rsidRDefault="00780105" w:rsidP="00780105">
      <w:pPr>
        <w:spacing w:after="0" w:line="240" w:lineRule="auto"/>
        <w:rPr>
          <w:rFonts w:ascii="Verdana" w:eastAsia="Calibri" w:hAnsi="Verdana" w:cs="Times New Roman"/>
        </w:rPr>
      </w:pPr>
      <w:r w:rsidRPr="00780105">
        <w:rPr>
          <w:rFonts w:ascii="Verdana" w:eastAsia="Calibri" w:hAnsi="Verdana" w:cs="Times New Roman"/>
        </w:rPr>
        <w:t>Bogotá D.C.</w:t>
      </w:r>
    </w:p>
    <w:p w14:paraId="784E5818" w14:textId="77777777" w:rsidR="00780105" w:rsidRPr="00780105" w:rsidRDefault="00780105" w:rsidP="00780105">
      <w:pPr>
        <w:spacing w:after="0" w:line="240" w:lineRule="auto"/>
        <w:rPr>
          <w:rFonts w:ascii="Verdana" w:eastAsia="Calibri" w:hAnsi="Verdana" w:cs="Times New Roman"/>
        </w:rPr>
      </w:pPr>
    </w:p>
    <w:p w14:paraId="70969869" w14:textId="77777777" w:rsidR="00780105" w:rsidRPr="00780105" w:rsidRDefault="00780105" w:rsidP="00780105">
      <w:pPr>
        <w:spacing w:after="0" w:line="240" w:lineRule="auto"/>
        <w:rPr>
          <w:rFonts w:ascii="Verdana" w:eastAsia="Calibri" w:hAnsi="Verdana" w:cs="Times New Roman"/>
          <w:b/>
          <w:bCs/>
          <w:lang w:val="es-ES"/>
        </w:rPr>
      </w:pPr>
      <w:r w:rsidRPr="00780105">
        <w:rPr>
          <w:rFonts w:ascii="Verdana" w:eastAsia="Calibri" w:hAnsi="Verdana" w:cs="Times New Roman"/>
          <w:b/>
          <w:bCs/>
          <w:lang w:val="es-ES"/>
        </w:rPr>
        <w:t xml:space="preserve">                                    Concepto C–190 de 2025</w:t>
      </w:r>
    </w:p>
    <w:p w14:paraId="5C61F28C" w14:textId="77777777" w:rsidR="00780105" w:rsidRPr="00780105" w:rsidRDefault="00780105" w:rsidP="00780105">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80105" w:rsidRPr="00780105" w14:paraId="6974B9B4" w14:textId="77777777" w:rsidTr="00844AC7">
        <w:trPr>
          <w:trHeight w:val="884"/>
        </w:trPr>
        <w:tc>
          <w:tcPr>
            <w:tcW w:w="2685" w:type="dxa"/>
            <w:hideMark/>
          </w:tcPr>
          <w:p w14:paraId="34A2CF2F" w14:textId="77777777" w:rsidR="00780105" w:rsidRPr="00780105" w:rsidRDefault="00780105" w:rsidP="00780105">
            <w:pPr>
              <w:rPr>
                <w:rFonts w:ascii="Verdana" w:hAnsi="Verdana"/>
                <w:b/>
                <w:bCs/>
                <w:lang w:val="es-ES_tradnl"/>
              </w:rPr>
            </w:pPr>
            <w:r w:rsidRPr="00780105">
              <w:rPr>
                <w:rFonts w:ascii="Verdana" w:hAnsi="Verdana"/>
                <w:b/>
                <w:bCs/>
                <w:lang w:val="es-ES_tradnl"/>
              </w:rPr>
              <w:t xml:space="preserve">Temas:                   </w:t>
            </w:r>
          </w:p>
        </w:tc>
        <w:tc>
          <w:tcPr>
            <w:tcW w:w="6241" w:type="dxa"/>
            <w:hideMark/>
          </w:tcPr>
          <w:p w14:paraId="64F30E3F" w14:textId="77777777" w:rsidR="00780105" w:rsidRPr="00780105" w:rsidRDefault="00780105" w:rsidP="00780105">
            <w:pPr>
              <w:jc w:val="both"/>
              <w:rPr>
                <w:rFonts w:ascii="Verdana" w:hAnsi="Verdana"/>
                <w:highlight w:val="yellow"/>
              </w:rPr>
            </w:pPr>
            <w:r w:rsidRPr="00780105">
              <w:rPr>
                <w:rFonts w:ascii="Verdana" w:hAnsi="Verdana" w:cs="Arial"/>
                <w:bCs/>
                <w:lang w:eastAsia="es-ES"/>
              </w:rPr>
              <w:t xml:space="preserve">SUBCONTRATACIÓN – Concepto – Limitaciones jurídicas / SUBCONTRATACIÓN – Procedencia / SUBCONTRATACIÓN – Libertad – autonomía de la voluntad - Restricciones. </w:t>
            </w:r>
          </w:p>
        </w:tc>
        <w:tc>
          <w:tcPr>
            <w:tcW w:w="6237" w:type="dxa"/>
          </w:tcPr>
          <w:p w14:paraId="5B766E5D" w14:textId="77777777" w:rsidR="00780105" w:rsidRPr="00780105" w:rsidRDefault="00780105" w:rsidP="00780105">
            <w:pPr>
              <w:rPr>
                <w:rFonts w:ascii="Verdana" w:hAnsi="Verdana"/>
              </w:rPr>
            </w:pPr>
          </w:p>
        </w:tc>
      </w:tr>
      <w:tr w:rsidR="00780105" w:rsidRPr="00780105" w14:paraId="66A472AB" w14:textId="77777777" w:rsidTr="00844AC7">
        <w:tc>
          <w:tcPr>
            <w:tcW w:w="2685" w:type="dxa"/>
          </w:tcPr>
          <w:p w14:paraId="3E051904" w14:textId="77777777" w:rsidR="00780105" w:rsidRPr="00780105" w:rsidRDefault="00780105" w:rsidP="00780105">
            <w:pPr>
              <w:rPr>
                <w:rFonts w:ascii="Verdana" w:hAnsi="Verdana"/>
                <w:lang w:val="es-ES_tradnl"/>
              </w:rPr>
            </w:pPr>
          </w:p>
          <w:p w14:paraId="649D7422" w14:textId="77777777" w:rsidR="00780105" w:rsidRPr="00780105" w:rsidRDefault="00780105" w:rsidP="00780105">
            <w:pPr>
              <w:rPr>
                <w:rFonts w:ascii="Verdana" w:hAnsi="Verdana"/>
                <w:b/>
                <w:bCs/>
                <w:lang w:val="es-ES_tradnl"/>
              </w:rPr>
            </w:pPr>
            <w:r w:rsidRPr="00780105">
              <w:rPr>
                <w:rFonts w:ascii="Verdana" w:hAnsi="Verdana"/>
                <w:b/>
                <w:bCs/>
                <w:lang w:val="es-ES_tradnl"/>
              </w:rPr>
              <w:t xml:space="preserve">Radicación:               </w:t>
            </w:r>
          </w:p>
        </w:tc>
        <w:tc>
          <w:tcPr>
            <w:tcW w:w="6241" w:type="dxa"/>
          </w:tcPr>
          <w:p w14:paraId="077D39B6" w14:textId="77777777" w:rsidR="00780105" w:rsidRPr="00780105" w:rsidRDefault="00780105" w:rsidP="00780105">
            <w:pPr>
              <w:rPr>
                <w:rFonts w:ascii="Verdana" w:hAnsi="Verdana"/>
                <w:lang w:val="es-ES_tradnl"/>
              </w:rPr>
            </w:pPr>
          </w:p>
          <w:p w14:paraId="6A1BAA2B" w14:textId="77777777" w:rsidR="00780105" w:rsidRPr="00780105" w:rsidRDefault="00780105" w:rsidP="00780105">
            <w:pPr>
              <w:jc w:val="both"/>
              <w:rPr>
                <w:rFonts w:ascii="Verdana" w:hAnsi="Verdana"/>
              </w:rPr>
            </w:pPr>
            <w:r w:rsidRPr="00780105">
              <w:rPr>
                <w:rFonts w:ascii="Verdana" w:hAnsi="Verdana"/>
                <w:lang w:val="es-ES_tradnl"/>
              </w:rPr>
              <w:t xml:space="preserve">Respuesta a consulta con radicado No. </w:t>
            </w:r>
            <w:r w:rsidRPr="00780105">
              <w:rPr>
                <w:rFonts w:ascii="Verdana" w:hAnsi="Verdana"/>
              </w:rPr>
              <w:t>P20250214001454</w:t>
            </w:r>
          </w:p>
        </w:tc>
        <w:tc>
          <w:tcPr>
            <w:tcW w:w="6237" w:type="dxa"/>
          </w:tcPr>
          <w:p w14:paraId="425C3685" w14:textId="77777777" w:rsidR="00780105" w:rsidRPr="00780105" w:rsidRDefault="00780105" w:rsidP="00780105">
            <w:pPr>
              <w:rPr>
                <w:rFonts w:ascii="Verdana" w:hAnsi="Verdana"/>
                <w:lang w:val="es-ES_tradnl"/>
              </w:rPr>
            </w:pPr>
          </w:p>
        </w:tc>
      </w:tr>
    </w:tbl>
    <w:p w14:paraId="4DCFE89B" w14:textId="77777777" w:rsidR="00780105" w:rsidRPr="00780105" w:rsidRDefault="00780105" w:rsidP="00780105">
      <w:pPr>
        <w:spacing w:after="0" w:line="276" w:lineRule="auto"/>
        <w:rPr>
          <w:rFonts w:ascii="Verdana" w:eastAsia="Calibri" w:hAnsi="Verdana" w:cs="Times New Roman"/>
          <w:lang w:val="es-ES_tradnl"/>
        </w:rPr>
      </w:pPr>
    </w:p>
    <w:p w14:paraId="3C1B5E05" w14:textId="77777777" w:rsidR="00780105" w:rsidRPr="00780105" w:rsidRDefault="00780105" w:rsidP="00780105">
      <w:pPr>
        <w:spacing w:after="0" w:line="276" w:lineRule="auto"/>
        <w:rPr>
          <w:rFonts w:ascii="Verdana" w:eastAsia="Calibri" w:hAnsi="Verdana" w:cs="Times New Roman"/>
          <w:lang w:val="es-ES_tradnl"/>
        </w:rPr>
      </w:pPr>
    </w:p>
    <w:p w14:paraId="00F2CC3F" w14:textId="77777777" w:rsidR="00780105" w:rsidRPr="00780105" w:rsidRDefault="00780105" w:rsidP="00780105">
      <w:pPr>
        <w:spacing w:after="0" w:line="276" w:lineRule="auto"/>
        <w:rPr>
          <w:rFonts w:ascii="Verdana" w:eastAsia="Calibri" w:hAnsi="Verdana" w:cs="Times New Roman"/>
          <w:lang w:val="es-ES"/>
        </w:rPr>
      </w:pPr>
      <w:r w:rsidRPr="00780105">
        <w:rPr>
          <w:rFonts w:ascii="Verdana" w:eastAsia="Calibri" w:hAnsi="Verdana" w:cs="Times New Roman"/>
          <w:lang w:val="es-ES"/>
        </w:rPr>
        <w:t xml:space="preserve">Estimado Señor José Alejandro: </w:t>
      </w:r>
    </w:p>
    <w:p w14:paraId="7D924BF9" w14:textId="77777777" w:rsidR="00780105" w:rsidRPr="00780105" w:rsidRDefault="00780105" w:rsidP="00780105">
      <w:pPr>
        <w:spacing w:after="0" w:line="276" w:lineRule="auto"/>
        <w:rPr>
          <w:rFonts w:ascii="Verdana" w:eastAsia="Calibri" w:hAnsi="Verdana" w:cs="Times New Roman"/>
          <w:lang w:val="es-ES"/>
        </w:rPr>
      </w:pPr>
    </w:p>
    <w:p w14:paraId="70798D69"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presentada el 14 de febrero de 2025, en la cual manifiesta lo siguiente:</w:t>
      </w:r>
      <w:r w:rsidRPr="00780105">
        <w:rPr>
          <w:rFonts w:ascii="Verdana" w:eastAsia="Calibri" w:hAnsi="Verdana" w:cs="Times New Roman"/>
        </w:rPr>
        <w:t xml:space="preserve"> </w:t>
      </w:r>
    </w:p>
    <w:p w14:paraId="0232E790" w14:textId="77777777" w:rsidR="00780105" w:rsidRPr="00780105" w:rsidRDefault="00780105" w:rsidP="00780105">
      <w:pPr>
        <w:spacing w:after="0" w:line="276" w:lineRule="auto"/>
        <w:jc w:val="both"/>
        <w:rPr>
          <w:rFonts w:ascii="Verdana" w:eastAsia="Calibri" w:hAnsi="Verdana" w:cs="Times New Roman"/>
        </w:rPr>
      </w:pPr>
    </w:p>
    <w:p w14:paraId="75EA40DF" w14:textId="77777777" w:rsidR="00780105" w:rsidRPr="00780105" w:rsidRDefault="00780105" w:rsidP="00780105">
      <w:pPr>
        <w:spacing w:after="0" w:line="240" w:lineRule="auto"/>
        <w:ind w:left="709" w:right="709"/>
        <w:jc w:val="both"/>
        <w:rPr>
          <w:rFonts w:ascii="Verdana" w:eastAsia="Calibri" w:hAnsi="Verdana" w:cs="Times New Roman"/>
          <w:sz w:val="20"/>
          <w:szCs w:val="20"/>
        </w:rPr>
      </w:pPr>
      <w:r w:rsidRPr="00780105">
        <w:rPr>
          <w:rFonts w:ascii="Verdana" w:eastAsia="Calibri" w:hAnsi="Verdana" w:cs="Times New Roman"/>
          <w:sz w:val="20"/>
          <w:szCs w:val="20"/>
        </w:rPr>
        <w:t xml:space="preserve">“1. ¿Existe algún tipo de límite para seleccionar a quién subcontratar? </w:t>
      </w:r>
    </w:p>
    <w:p w14:paraId="36C7A8BF" w14:textId="77777777" w:rsidR="00780105" w:rsidRPr="00780105" w:rsidRDefault="00780105" w:rsidP="00780105">
      <w:pPr>
        <w:spacing w:after="0" w:line="240" w:lineRule="auto"/>
        <w:ind w:left="709" w:right="709"/>
        <w:jc w:val="both"/>
        <w:rPr>
          <w:rFonts w:ascii="Verdana" w:eastAsia="Calibri" w:hAnsi="Verdana" w:cs="Times New Roman"/>
          <w:sz w:val="20"/>
          <w:szCs w:val="20"/>
        </w:rPr>
      </w:pPr>
      <w:r w:rsidRPr="00780105">
        <w:rPr>
          <w:rFonts w:ascii="Verdana" w:eastAsia="Calibri" w:hAnsi="Verdana" w:cs="Times New Roman"/>
          <w:sz w:val="20"/>
          <w:szCs w:val="20"/>
        </w:rPr>
        <w:t xml:space="preserve">2. ¿Es posible subcontratar a un miembro de un proponente plural en un contrato de obra? </w:t>
      </w:r>
    </w:p>
    <w:p w14:paraId="24A16A00" w14:textId="77777777" w:rsidR="00780105" w:rsidRPr="00780105" w:rsidRDefault="00780105" w:rsidP="00780105">
      <w:pPr>
        <w:spacing w:after="0" w:line="240" w:lineRule="auto"/>
        <w:ind w:left="709" w:right="709"/>
        <w:jc w:val="both"/>
        <w:rPr>
          <w:rFonts w:ascii="Verdana" w:eastAsia="Calibri" w:hAnsi="Verdana" w:cs="Times New Roman"/>
          <w:sz w:val="20"/>
          <w:szCs w:val="20"/>
        </w:rPr>
      </w:pPr>
      <w:r w:rsidRPr="00780105">
        <w:rPr>
          <w:rFonts w:ascii="Verdana" w:eastAsia="Calibri" w:hAnsi="Verdana" w:cs="Times New Roman"/>
          <w:sz w:val="20"/>
          <w:szCs w:val="20"/>
        </w:rPr>
        <w:t xml:space="preserve">3. ¿Es posible subcontratar a un miembro de un proponente plural en un contrato de interventoría? </w:t>
      </w:r>
    </w:p>
    <w:p w14:paraId="5F6C47D5" w14:textId="77777777" w:rsidR="00780105" w:rsidRPr="00780105" w:rsidRDefault="00780105" w:rsidP="00780105">
      <w:pPr>
        <w:spacing w:after="0" w:line="240" w:lineRule="auto"/>
        <w:ind w:left="709" w:right="709"/>
        <w:jc w:val="both"/>
        <w:rPr>
          <w:rFonts w:ascii="Verdana" w:eastAsia="Calibri" w:hAnsi="Verdana" w:cs="Times New Roman"/>
          <w:sz w:val="20"/>
          <w:szCs w:val="20"/>
        </w:rPr>
      </w:pPr>
      <w:r w:rsidRPr="00780105">
        <w:rPr>
          <w:rFonts w:ascii="Verdana" w:eastAsia="Calibri" w:hAnsi="Verdana" w:cs="Times New Roman"/>
          <w:sz w:val="20"/>
          <w:szCs w:val="20"/>
        </w:rPr>
        <w:t xml:space="preserve">4. ¿Se puede subcontratar a un proponente que no resultó adjudicatario en el proceso de selección? </w:t>
      </w:r>
    </w:p>
    <w:p w14:paraId="580C9B4E" w14:textId="77777777" w:rsidR="00780105" w:rsidRPr="00780105" w:rsidRDefault="00780105" w:rsidP="00780105">
      <w:pPr>
        <w:spacing w:after="0" w:line="240" w:lineRule="auto"/>
        <w:ind w:left="709" w:right="709"/>
        <w:jc w:val="both"/>
        <w:rPr>
          <w:rFonts w:ascii="Verdana" w:eastAsia="Calibri" w:hAnsi="Verdana" w:cs="Times New Roman"/>
          <w:sz w:val="20"/>
          <w:szCs w:val="20"/>
        </w:rPr>
      </w:pPr>
      <w:r w:rsidRPr="00780105">
        <w:rPr>
          <w:rFonts w:ascii="Verdana" w:eastAsia="Calibri" w:hAnsi="Verdana" w:cs="Times New Roman"/>
          <w:sz w:val="20"/>
          <w:szCs w:val="20"/>
        </w:rPr>
        <w:t>5. En un proceso con adjudicación por lotes, ¿es viable subcontratar a un ganador de otro lote?</w:t>
      </w:r>
      <w:r w:rsidRPr="00780105">
        <w:rPr>
          <w:rFonts w:ascii="Verdana" w:eastAsia="Calibri" w:hAnsi="Verdana" w:cs="Times New Roman"/>
          <w:sz w:val="20"/>
          <w:szCs w:val="20"/>
          <w:lang w:val="es-ES"/>
        </w:rPr>
        <w:t xml:space="preserve">”. </w:t>
      </w:r>
    </w:p>
    <w:p w14:paraId="76AEF2DF" w14:textId="77777777" w:rsidR="00780105" w:rsidRPr="00780105" w:rsidRDefault="00780105" w:rsidP="00780105">
      <w:pPr>
        <w:spacing w:after="0" w:line="276" w:lineRule="auto"/>
        <w:jc w:val="both"/>
        <w:rPr>
          <w:rFonts w:ascii="Verdana" w:eastAsia="Calibri" w:hAnsi="Verdana" w:cs="Times New Roman"/>
          <w:i/>
          <w:iCs/>
          <w:lang w:val="es-ES"/>
        </w:rPr>
      </w:pPr>
    </w:p>
    <w:p w14:paraId="30A858A9" w14:textId="77777777" w:rsidR="00780105" w:rsidRPr="00780105" w:rsidRDefault="00780105" w:rsidP="00780105">
      <w:pPr>
        <w:spacing w:after="120" w:line="276" w:lineRule="auto"/>
        <w:ind w:firstLine="709"/>
        <w:jc w:val="both"/>
        <w:rPr>
          <w:rFonts w:ascii="Verdana" w:eastAsia="Calibri" w:hAnsi="Verdana" w:cs="Times New Roman"/>
          <w:lang w:val="es-ES"/>
        </w:rPr>
      </w:pPr>
      <w:r w:rsidRPr="00780105">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780105">
        <w:rPr>
          <w:rFonts w:ascii="Verdana" w:eastAsia="Calibri" w:hAnsi="Verdana" w:cs="Times New Roman"/>
          <w:lang w:val="es-ES"/>
        </w:rPr>
        <w:lastRenderedPageBreak/>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55E2AC7" w14:textId="77777777" w:rsidR="00780105" w:rsidRPr="00780105" w:rsidRDefault="00780105" w:rsidP="00780105">
      <w:pPr>
        <w:spacing w:after="0" w:line="276" w:lineRule="auto"/>
        <w:ind w:firstLine="708"/>
        <w:jc w:val="both"/>
        <w:rPr>
          <w:rFonts w:ascii="Verdana" w:eastAsia="Calibri" w:hAnsi="Verdana" w:cs="Times New Roman"/>
          <w:lang w:val="es-ES"/>
        </w:rPr>
      </w:pPr>
      <w:r w:rsidRPr="00780105">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w:t>
      </w:r>
    </w:p>
    <w:p w14:paraId="489BF6E6" w14:textId="77777777" w:rsidR="00780105" w:rsidRPr="00780105" w:rsidRDefault="00780105" w:rsidP="00780105">
      <w:pPr>
        <w:spacing w:after="0" w:line="256" w:lineRule="auto"/>
        <w:rPr>
          <w:rFonts w:ascii="Verdana" w:eastAsia="Calibri" w:hAnsi="Verdana" w:cs="Times New Roman"/>
          <w:lang w:val="es-ES"/>
        </w:rPr>
      </w:pPr>
    </w:p>
    <w:p w14:paraId="225BB0E5" w14:textId="77777777" w:rsidR="00780105" w:rsidRPr="00780105" w:rsidRDefault="00780105" w:rsidP="00780105">
      <w:pPr>
        <w:numPr>
          <w:ilvl w:val="0"/>
          <w:numId w:val="19"/>
        </w:numPr>
        <w:spacing w:after="0" w:line="256" w:lineRule="auto"/>
        <w:contextualSpacing/>
        <w:rPr>
          <w:rFonts w:ascii="Verdana" w:eastAsia="Calibri" w:hAnsi="Verdana" w:cs="Times New Roman"/>
          <w:b/>
          <w:bCs/>
          <w:lang w:val="es-ES"/>
        </w:rPr>
      </w:pPr>
      <w:r w:rsidRPr="00780105">
        <w:rPr>
          <w:rFonts w:ascii="Verdana" w:eastAsia="Calibri" w:hAnsi="Verdana" w:cs="Times New Roman"/>
          <w:b/>
          <w:bCs/>
          <w:lang w:val="es-ES"/>
        </w:rPr>
        <w:t>Problema planteado:</w:t>
      </w:r>
    </w:p>
    <w:p w14:paraId="329E04C7" w14:textId="77777777" w:rsidR="00780105" w:rsidRPr="00780105" w:rsidRDefault="00780105" w:rsidP="00780105">
      <w:pPr>
        <w:spacing w:after="0" w:line="256" w:lineRule="auto"/>
        <w:rPr>
          <w:rFonts w:ascii="Verdana" w:eastAsia="Calibri" w:hAnsi="Verdana" w:cs="Times New Roman"/>
        </w:rPr>
      </w:pPr>
    </w:p>
    <w:p w14:paraId="732A19FC" w14:textId="77777777" w:rsidR="00780105" w:rsidRPr="00780105" w:rsidRDefault="00780105" w:rsidP="00780105">
      <w:pPr>
        <w:spacing w:after="0" w:line="276" w:lineRule="auto"/>
        <w:jc w:val="both"/>
        <w:rPr>
          <w:rFonts w:ascii="Verdana" w:eastAsia="Calibri" w:hAnsi="Verdana" w:cs="Times New Roman"/>
          <w:i/>
          <w:iCs/>
        </w:rPr>
      </w:pPr>
      <w:r w:rsidRPr="00780105">
        <w:rPr>
          <w:rFonts w:ascii="Verdana" w:eastAsia="Calibri" w:hAnsi="Verdana" w:cs="Times New Roman"/>
        </w:rPr>
        <w:t xml:space="preserve">De acuerdo con el contenido de su solicitud, esta Agencia procede a resolver los siguientes problemas jurídicos: i) </w:t>
      </w:r>
      <w:r w:rsidRPr="00780105">
        <w:rPr>
          <w:rFonts w:ascii="Verdana" w:eastAsia="Calibri" w:hAnsi="Verdana" w:cs="Times New Roman"/>
          <w:iCs/>
        </w:rPr>
        <w:t xml:space="preserve">¿Existen restricciones o límites jurídicos para seleccionar a quién subcontratar en el marco de un contrato estatal?, por ejemplo, ii) ¿Es posible subcontratar a un miembro de una estructura plural, o a un proponente que haya participado del proceso de contratación, pero no haya quedado adjudicatario o al ganador que se le adjudicó otro lote dentro de un mismo proceso de contratación? </w:t>
      </w:r>
    </w:p>
    <w:p w14:paraId="3133D4A1" w14:textId="77777777" w:rsidR="00780105" w:rsidRPr="00780105" w:rsidRDefault="00780105" w:rsidP="00780105">
      <w:pPr>
        <w:spacing w:after="0" w:line="256" w:lineRule="auto"/>
        <w:rPr>
          <w:rFonts w:ascii="Verdana" w:eastAsia="Calibri" w:hAnsi="Verdana" w:cs="Times New Roman"/>
        </w:rPr>
      </w:pPr>
    </w:p>
    <w:p w14:paraId="2C70F689" w14:textId="77777777" w:rsidR="00780105" w:rsidRPr="00780105" w:rsidRDefault="00780105" w:rsidP="00780105">
      <w:pPr>
        <w:numPr>
          <w:ilvl w:val="0"/>
          <w:numId w:val="19"/>
        </w:numPr>
        <w:spacing w:after="0" w:line="256" w:lineRule="auto"/>
        <w:contextualSpacing/>
        <w:rPr>
          <w:rFonts w:ascii="Verdana" w:eastAsia="Calibri" w:hAnsi="Verdana" w:cs="Times New Roman"/>
          <w:b/>
          <w:bCs/>
          <w:lang w:val="es-ES"/>
        </w:rPr>
      </w:pPr>
      <w:r w:rsidRPr="00780105">
        <w:rPr>
          <w:rFonts w:ascii="Verdana" w:eastAsia="Calibri" w:hAnsi="Verdana" w:cs="Times New Roman"/>
          <w:b/>
          <w:bCs/>
          <w:lang w:val="es-ES"/>
        </w:rPr>
        <w:t>Respuesta:</w:t>
      </w:r>
    </w:p>
    <w:p w14:paraId="04AEBBA4" w14:textId="77777777" w:rsidR="00780105" w:rsidRPr="00780105" w:rsidRDefault="00780105" w:rsidP="00780105">
      <w:pPr>
        <w:spacing w:after="0" w:line="276" w:lineRule="auto"/>
        <w:rPr>
          <w:rFonts w:ascii="Verdana" w:eastAsia="Calibri" w:hAnsi="Verdana" w:cs="Times New Roman"/>
          <w:b/>
          <w:bCs/>
          <w:lang w:val="es-ES"/>
        </w:rPr>
      </w:pPr>
    </w:p>
    <w:tbl>
      <w:tblPr>
        <w:tblStyle w:val="Tablaconcuadrcula"/>
        <w:tblW w:w="93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56"/>
      </w:tblGrid>
      <w:tr w:rsidR="00780105" w:rsidRPr="00780105" w14:paraId="62B60E63" w14:textId="77777777" w:rsidTr="00844AC7">
        <w:trPr>
          <w:trHeight w:val="870"/>
          <w:jc w:val="center"/>
        </w:trPr>
        <w:tc>
          <w:tcPr>
            <w:tcW w:w="9356" w:type="dxa"/>
          </w:tcPr>
          <w:p w14:paraId="3E613C33" w14:textId="77777777" w:rsidR="00780105" w:rsidRPr="00780105" w:rsidRDefault="00780105" w:rsidP="00780105">
            <w:pPr>
              <w:spacing w:after="120" w:line="276" w:lineRule="auto"/>
              <w:jc w:val="both"/>
              <w:rPr>
                <w:rFonts w:ascii="Verdana" w:eastAsia="Calibri" w:hAnsi="Verdana" w:cs="Arial"/>
                <w:bCs/>
              </w:rPr>
            </w:pPr>
            <w:r w:rsidRPr="00780105">
              <w:rPr>
                <w:rFonts w:ascii="Verdana" w:eastAsia="Calibri" w:hAnsi="Verdana" w:cs="Arial"/>
                <w:bCs/>
                <w:lang w:val="es-ES"/>
              </w:rPr>
              <w:t xml:space="preserve">De </w:t>
            </w:r>
            <w:r w:rsidRPr="00780105">
              <w:rPr>
                <w:rFonts w:ascii="Verdana" w:eastAsia="Calibri" w:hAnsi="Verdana" w:cs="Arial"/>
                <w:bCs/>
              </w:rPr>
              <w:t xml:space="preserve">acuerdo a los problemas jurídicos que son motivo de la consulta, se señala que la subcontratación no está proscrita en la contratación pública, pero sí encuentra limites en su aplicación en el principio de la autonomía de la voluntad, representada en lo pactado en los documentos del proceso de contratación, el contrato principal, y en algunas normas específicas de carácter legal, </w:t>
            </w:r>
            <w:r w:rsidRPr="00780105">
              <w:rPr>
                <w:rFonts w:ascii="Verdana" w:eastAsia="Calibri" w:hAnsi="Verdana" w:cs="Arial"/>
              </w:rPr>
              <w:t xml:space="preserve">como es el caso </w:t>
            </w:r>
            <w:r w:rsidRPr="00780105">
              <w:rPr>
                <w:rFonts w:ascii="Verdana" w:eastAsia="Calibri" w:hAnsi="Verdana" w:cs="Arial"/>
                <w:bCs/>
                <w:lang w:val="es-ES_tradnl"/>
              </w:rPr>
              <w:t>de lo dispuesto en el literal c) del numeral 4° del artículo 2 de la Ley 1150 de 2007, en torno a la celebración de subcontratos en el marco de contratos interadministrativos.</w:t>
            </w:r>
            <w:r w:rsidRPr="00780105">
              <w:rPr>
                <w:rFonts w:ascii="Verdana" w:eastAsia="Calibri" w:hAnsi="Verdana" w:cs="Arial"/>
                <w:bCs/>
              </w:rPr>
              <w:t xml:space="preserve"> </w:t>
            </w:r>
          </w:p>
          <w:p w14:paraId="334F3E27" w14:textId="77777777" w:rsidR="00780105" w:rsidRPr="00780105" w:rsidRDefault="00780105" w:rsidP="00780105">
            <w:pPr>
              <w:spacing w:after="120" w:line="276" w:lineRule="auto"/>
              <w:ind w:firstLine="709"/>
              <w:jc w:val="both"/>
              <w:rPr>
                <w:rFonts w:ascii="Verdana" w:eastAsia="Calibri" w:hAnsi="Verdana" w:cs="Arial"/>
                <w:bCs/>
                <w:lang w:val="es-MX"/>
              </w:rPr>
            </w:pPr>
            <w:r w:rsidRPr="00780105">
              <w:rPr>
                <w:rFonts w:ascii="Verdana" w:eastAsia="Calibri" w:hAnsi="Verdana" w:cs="Arial"/>
                <w:bCs/>
                <w:lang w:val="es-ES"/>
              </w:rPr>
              <w:t xml:space="preserve">En ese contexto, rige el principio de autonomía de la voluntad para la selección del subcontratista. Así las cosas, si en el pliego de condiciones – o documento equivalente – o en el contrato se fijó alguna estipulación al respecto </w:t>
            </w:r>
            <w:r w:rsidRPr="00780105">
              <w:rPr>
                <w:rFonts w:ascii="Verdana" w:eastAsia="Calibri" w:hAnsi="Verdana" w:cs="Arial"/>
                <w:bCs/>
                <w:lang w:val="es-ES"/>
              </w:rPr>
              <w:lastRenderedPageBreak/>
              <w:t xml:space="preserve">esta deberá respetarse y, en consecuencia, el contratista del Estado deberá escoger a su subcontratista de acuerdo con dichas estipulaciones. Contrario sensu, si no se fijó ninguna restricción al respecto, el contratista de la entidad estatal tendrá libertad para escoger a quien ejecutará el subcontrato.  </w:t>
            </w:r>
          </w:p>
          <w:p w14:paraId="02103EE8" w14:textId="77777777" w:rsidR="00780105" w:rsidRPr="00780105" w:rsidRDefault="00780105" w:rsidP="00780105">
            <w:pPr>
              <w:spacing w:after="120" w:line="276" w:lineRule="auto"/>
              <w:ind w:firstLine="709"/>
              <w:jc w:val="both"/>
              <w:rPr>
                <w:rFonts w:ascii="Verdana" w:eastAsia="Calibri" w:hAnsi="Verdana" w:cs="Arial"/>
                <w:bCs/>
                <w:lang w:val="es-ES"/>
              </w:rPr>
            </w:pPr>
            <w:r w:rsidRPr="00780105">
              <w:rPr>
                <w:rFonts w:ascii="Verdana" w:eastAsia="Calibri" w:hAnsi="Verdana" w:cs="Arial"/>
                <w:bCs/>
                <w:lang w:val="es-ES"/>
              </w:rPr>
              <w:t xml:space="preserve">En otras palabras, no existe una restricción para que el contratista del Estado seleccione como subcontratista a un proponente participante o un proponente ganador que se le adjudicó un lote dentro del proceso de contratación, ni mucho menos se restringe en el evento que se subcontrate a un miembro de un proponente plural en contratos estatales, como el de obra o la interventoría. No obstante, en cada caso deberá revisarse las disposiciones contenidas en los pliegos de condiciones o documentos equivalente y en el contrato, a fin de determinar la posibilidad de subcontratar, las condiciones para tal efecto, o las prohibiciones que se hayan estipulado. </w:t>
            </w:r>
          </w:p>
          <w:p w14:paraId="4449EA80" w14:textId="77777777" w:rsidR="00780105" w:rsidRPr="00780105" w:rsidRDefault="00780105" w:rsidP="00780105">
            <w:pPr>
              <w:pBdr>
                <w:top w:val="nil"/>
                <w:left w:val="nil"/>
                <w:bottom w:val="nil"/>
                <w:right w:val="nil"/>
                <w:between w:val="nil"/>
              </w:pBdr>
              <w:spacing w:after="120" w:line="276" w:lineRule="auto"/>
              <w:ind w:firstLine="708"/>
              <w:jc w:val="both"/>
              <w:rPr>
                <w:rFonts w:ascii="Verdana" w:hAnsi="Verdana" w:cs="Arial"/>
              </w:rPr>
            </w:pPr>
            <w:r w:rsidRPr="00780105">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7D52CD4B" w14:textId="77777777" w:rsidR="00780105" w:rsidRPr="00780105" w:rsidRDefault="00780105" w:rsidP="00780105">
      <w:pPr>
        <w:spacing w:after="0" w:line="276" w:lineRule="auto"/>
        <w:ind w:firstLine="709"/>
        <w:jc w:val="both"/>
        <w:rPr>
          <w:rFonts w:ascii="Verdana" w:eastAsia="Calibri" w:hAnsi="Verdana" w:cs="Arial"/>
          <w:bCs/>
          <w:color w:val="000000" w:themeColor="text1"/>
        </w:rPr>
      </w:pPr>
    </w:p>
    <w:p w14:paraId="6C9AB493" w14:textId="77777777" w:rsidR="00780105" w:rsidRPr="00780105" w:rsidRDefault="00780105" w:rsidP="00780105">
      <w:pPr>
        <w:numPr>
          <w:ilvl w:val="0"/>
          <w:numId w:val="19"/>
        </w:numPr>
        <w:spacing w:after="0" w:line="256" w:lineRule="auto"/>
        <w:rPr>
          <w:rFonts w:ascii="Verdana" w:eastAsia="Calibri" w:hAnsi="Verdana" w:cs="Times New Roman"/>
          <w:b/>
          <w:bCs/>
          <w:lang w:val="es-ES"/>
        </w:rPr>
      </w:pPr>
      <w:r w:rsidRPr="00780105">
        <w:rPr>
          <w:rFonts w:ascii="Verdana" w:eastAsia="Calibri" w:hAnsi="Verdana" w:cs="Times New Roman"/>
          <w:b/>
          <w:bCs/>
          <w:lang w:val="es-ES"/>
        </w:rPr>
        <w:t>Razones de la respuesta:</w:t>
      </w:r>
    </w:p>
    <w:p w14:paraId="060E4ED6" w14:textId="77777777" w:rsidR="00780105" w:rsidRPr="00780105" w:rsidRDefault="00780105" w:rsidP="00780105">
      <w:pPr>
        <w:spacing w:after="0" w:line="256" w:lineRule="auto"/>
        <w:rPr>
          <w:rFonts w:ascii="Verdana" w:eastAsia="Calibri" w:hAnsi="Verdana" w:cs="Times New Roman"/>
          <w:b/>
          <w:bCs/>
          <w:lang w:val="es-ES"/>
        </w:rPr>
      </w:pPr>
    </w:p>
    <w:p w14:paraId="6DF31CB7" w14:textId="77777777" w:rsidR="00780105" w:rsidRPr="00780105" w:rsidRDefault="00780105" w:rsidP="00780105">
      <w:pPr>
        <w:spacing w:after="0" w:line="276" w:lineRule="auto"/>
        <w:jc w:val="both"/>
        <w:rPr>
          <w:rFonts w:ascii="Verdana" w:eastAsia="Calibri" w:hAnsi="Verdana" w:cs="Arial"/>
          <w:lang w:val="es-ES"/>
        </w:rPr>
      </w:pPr>
      <w:r w:rsidRPr="00780105">
        <w:rPr>
          <w:rFonts w:ascii="Verdana" w:eastAsia="Calibri" w:hAnsi="Verdana" w:cs="Arial"/>
          <w:lang w:val="es-ES"/>
        </w:rPr>
        <w:t xml:space="preserve">Lo anterior se sustenta en las siguientes consideraciones: </w:t>
      </w:r>
    </w:p>
    <w:p w14:paraId="22A1826E" w14:textId="77777777" w:rsidR="00780105" w:rsidRPr="00780105" w:rsidRDefault="00780105" w:rsidP="00780105">
      <w:pPr>
        <w:spacing w:after="0" w:line="276" w:lineRule="auto"/>
        <w:jc w:val="both"/>
        <w:rPr>
          <w:rFonts w:ascii="Verdana" w:eastAsia="Times New Roman" w:hAnsi="Verdana" w:cs="Arial"/>
          <w:color w:val="000000" w:themeColor="text1"/>
          <w:lang w:eastAsia="es-CO"/>
        </w:rPr>
      </w:pPr>
    </w:p>
    <w:p w14:paraId="291589CF" w14:textId="77777777" w:rsidR="00780105" w:rsidRPr="00780105" w:rsidRDefault="00780105" w:rsidP="00780105">
      <w:pPr>
        <w:spacing w:after="120" w:line="276" w:lineRule="auto"/>
        <w:jc w:val="both"/>
        <w:rPr>
          <w:rFonts w:ascii="Verdana" w:eastAsia="Calibri" w:hAnsi="Verdana" w:cs="Arial"/>
        </w:rPr>
      </w:pPr>
      <w:r w:rsidRPr="00780105">
        <w:rPr>
          <w:rFonts w:ascii="Verdana" w:eastAsia="Calibri" w:hAnsi="Verdana" w:cs="Arial"/>
        </w:rPr>
        <w:t xml:space="preserve">i) La </w:t>
      </w:r>
      <w:r w:rsidRPr="00780105">
        <w:rPr>
          <w:rFonts w:ascii="Verdana" w:eastAsia="Calibri" w:hAnsi="Verdana" w:cs="Arial"/>
          <w:i/>
          <w:iCs/>
        </w:rPr>
        <w:t>institución jurídica de la subcontratación</w:t>
      </w:r>
      <w:r w:rsidRPr="00780105">
        <w:rPr>
          <w:rFonts w:ascii="Verdana" w:eastAsia="Calibri" w:hAnsi="Verdana" w:cs="Arial"/>
        </w:rPr>
        <w:t xml:space="preserve"> no ha tenido un desarrollo regulatorio sustancial en el derecho colombiano. Aunque en materia de </w:t>
      </w:r>
      <w:r w:rsidRPr="00780105">
        <w:rPr>
          <w:rFonts w:ascii="Verdana" w:eastAsia="Calibri" w:hAnsi="Verdana" w:cs="Arial"/>
        </w:rPr>
        <w:lastRenderedPageBreak/>
        <w:t>contratación estatal hay algunas referencias a esta institución en las Leyes 80 de 1993</w:t>
      </w:r>
      <w:r w:rsidRPr="00780105">
        <w:rPr>
          <w:rFonts w:ascii="Verdana" w:eastAsia="Calibri" w:hAnsi="Verdana" w:cs="Arial"/>
          <w:vertAlign w:val="superscript"/>
        </w:rPr>
        <w:footnoteReference w:id="2"/>
      </w:r>
      <w:r w:rsidRPr="00780105">
        <w:rPr>
          <w:rFonts w:ascii="Verdana" w:eastAsia="Calibri" w:hAnsi="Verdana" w:cs="Arial"/>
          <w:vertAlign w:val="superscript"/>
        </w:rPr>
        <w:t xml:space="preserve"> </w:t>
      </w:r>
      <w:r w:rsidRPr="00780105">
        <w:rPr>
          <w:rFonts w:ascii="Verdana" w:eastAsia="Calibri" w:hAnsi="Verdana" w:cs="Arial"/>
        </w:rPr>
        <w:t>y 1150 de 2007</w:t>
      </w:r>
      <w:r w:rsidRPr="00780105">
        <w:rPr>
          <w:rFonts w:ascii="Verdana" w:eastAsia="Calibri" w:hAnsi="Verdana" w:cs="Arial"/>
          <w:vertAlign w:val="superscript"/>
        </w:rPr>
        <w:footnoteReference w:id="3"/>
      </w:r>
      <w:r w:rsidRPr="00780105">
        <w:rPr>
          <w:rFonts w:ascii="Verdana" w:eastAsia="Calibri" w:hAnsi="Verdana" w:cs="Arial"/>
        </w:rPr>
        <w:t>, así como en el Decreto 1082 de 2015</w:t>
      </w:r>
      <w:r w:rsidRPr="00780105">
        <w:rPr>
          <w:rFonts w:ascii="Verdana" w:eastAsia="Calibri" w:hAnsi="Verdana" w:cs="Arial"/>
          <w:vertAlign w:val="superscript"/>
        </w:rPr>
        <w:footnoteReference w:id="4"/>
      </w:r>
      <w:r w:rsidRPr="00780105">
        <w:rPr>
          <w:rFonts w:ascii="Verdana" w:eastAsia="Calibri" w:hAnsi="Verdana" w:cs="Arial"/>
        </w:rPr>
        <w:t xml:space="preserve">, y en </w:t>
      </w:r>
      <w:r w:rsidRPr="00780105">
        <w:rPr>
          <w:rFonts w:ascii="Verdana" w:eastAsia="Calibri" w:hAnsi="Verdana" w:cs="Arial"/>
          <w:lang w:val="es-ES"/>
        </w:rPr>
        <w:t>el Decreto 092 de 2017</w:t>
      </w:r>
      <w:r w:rsidRPr="00780105">
        <w:rPr>
          <w:rFonts w:ascii="Verdana" w:eastAsia="Calibri" w:hAnsi="Verdana" w:cs="Arial"/>
          <w:vertAlign w:val="superscript"/>
          <w:lang w:val="es-ES"/>
        </w:rPr>
        <w:footnoteReference w:id="5"/>
      </w:r>
      <w:r w:rsidRPr="00780105">
        <w:rPr>
          <w:rFonts w:ascii="Verdana" w:eastAsia="Calibri" w:hAnsi="Verdana" w:cs="Arial"/>
          <w:lang w:val="es-ES"/>
        </w:rPr>
        <w:t xml:space="preserve">, </w:t>
      </w:r>
      <w:r w:rsidRPr="00780105">
        <w:rPr>
          <w:rFonts w:ascii="Verdana" w:eastAsia="Calibri" w:hAnsi="Verdana" w:cs="Arial"/>
        </w:rPr>
        <w:t xml:space="preserve">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3A54877E" w14:textId="77777777" w:rsidR="00780105" w:rsidRPr="000B02BC" w:rsidRDefault="00780105" w:rsidP="00780105">
      <w:pPr>
        <w:spacing w:before="120" w:after="0" w:line="276" w:lineRule="auto"/>
        <w:ind w:firstLine="709"/>
        <w:jc w:val="both"/>
        <w:rPr>
          <w:rFonts w:ascii="Verdana" w:eastAsia="Calibri" w:hAnsi="Verdana" w:cs="Arial"/>
        </w:rPr>
      </w:pPr>
      <w:r w:rsidRPr="000B02BC">
        <w:rPr>
          <w:rFonts w:ascii="Verdana" w:eastAsia="Calibri" w:hAnsi="Verdana" w:cs="Arial"/>
        </w:rPr>
        <w:t>Por un lado, la Sección Tercera del Consejo de Estado, en Sentencia del 12 de agosto de 2013</w:t>
      </w:r>
      <w:r w:rsidRPr="000B02BC">
        <w:rPr>
          <w:rFonts w:ascii="Verdana" w:eastAsia="Calibri" w:hAnsi="Verdana" w:cs="Arial"/>
          <w:vertAlign w:val="superscript"/>
        </w:rPr>
        <w:footnoteReference w:id="6"/>
      </w:r>
      <w:r w:rsidRPr="000B02BC">
        <w:rPr>
          <w:rFonts w:ascii="Verdana" w:eastAsia="Calibri" w:hAnsi="Verdana" w:cs="Arial"/>
        </w:rPr>
        <w:t xml:space="preserve">, estructuró la definición y naturaleza del subcontrato. Al respecto, indicó: </w:t>
      </w:r>
    </w:p>
    <w:p w14:paraId="57DEB694" w14:textId="77777777" w:rsidR="00780105" w:rsidRPr="00780105" w:rsidRDefault="00780105" w:rsidP="00780105">
      <w:pPr>
        <w:spacing w:after="0" w:line="276" w:lineRule="auto"/>
        <w:ind w:right="618"/>
        <w:jc w:val="both"/>
        <w:rPr>
          <w:rFonts w:ascii="Verdana" w:eastAsia="Calibri" w:hAnsi="Verdana" w:cs="Arial"/>
        </w:rPr>
      </w:pPr>
    </w:p>
    <w:p w14:paraId="160F2263" w14:textId="77777777" w:rsidR="00780105" w:rsidRPr="00780105" w:rsidRDefault="00780105" w:rsidP="00780105">
      <w:pPr>
        <w:spacing w:after="0" w:line="240" w:lineRule="auto"/>
        <w:ind w:left="709" w:right="709"/>
        <w:jc w:val="both"/>
        <w:rPr>
          <w:rFonts w:ascii="Verdana" w:eastAsia="Calibri" w:hAnsi="Verdana" w:cs="Arial"/>
          <w:sz w:val="20"/>
          <w:szCs w:val="20"/>
        </w:rPr>
      </w:pPr>
      <w:r w:rsidRPr="00780105">
        <w:rPr>
          <w:rFonts w:ascii="Verdana" w:eastAsia="Calibri" w:hAnsi="Verdana" w:cs="Arial"/>
          <w:sz w:val="20"/>
          <w:szCs w:val="20"/>
        </w:rPr>
        <w:t>“Esta institución hace surgir una relación jurídica autónoma entre el contratista del Estado y el sub 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5DA6E28A" w14:textId="77777777" w:rsidR="00780105" w:rsidRPr="00780105" w:rsidRDefault="00780105" w:rsidP="00780105">
      <w:pPr>
        <w:spacing w:after="0" w:line="240" w:lineRule="auto"/>
        <w:ind w:left="709" w:right="709"/>
        <w:jc w:val="both"/>
        <w:rPr>
          <w:rFonts w:ascii="Verdana" w:eastAsia="Calibri" w:hAnsi="Verdana" w:cs="Arial"/>
          <w:sz w:val="20"/>
          <w:szCs w:val="20"/>
        </w:rPr>
      </w:pPr>
      <w:r w:rsidRPr="00780105">
        <w:rPr>
          <w:rFonts w:ascii="Verdana" w:eastAsia="Calibri" w:hAnsi="Verdana" w:cs="Arial"/>
          <w:sz w:val="20"/>
          <w:szCs w:val="20"/>
        </w:rPr>
        <w:t xml:space="preserve"> </w:t>
      </w:r>
    </w:p>
    <w:p w14:paraId="664DB946" w14:textId="77777777" w:rsidR="00780105" w:rsidRPr="00780105" w:rsidRDefault="00780105" w:rsidP="00780105">
      <w:pPr>
        <w:spacing w:after="0" w:line="240" w:lineRule="auto"/>
        <w:ind w:left="709" w:right="709"/>
        <w:jc w:val="both"/>
        <w:rPr>
          <w:rFonts w:ascii="Verdana" w:eastAsia="Calibri" w:hAnsi="Verdana" w:cs="Arial"/>
          <w:sz w:val="20"/>
          <w:szCs w:val="20"/>
        </w:rPr>
      </w:pPr>
      <w:r w:rsidRPr="00780105">
        <w:rPr>
          <w:rFonts w:ascii="Verdana" w:eastAsia="Calibri" w:hAnsi="Verdana" w:cs="Arial"/>
          <w:sz w:val="20"/>
          <w:szCs w:val="20"/>
        </w:rPr>
        <w:lastRenderedPageBreak/>
        <w:t>En este sentido, el contratista conserva frente a la entidad pública la responsabilidad por la ejecución del contrato, así que desde el punto de vista subjetivo la sub contratación es material y no jurídica, porque traslada el cumplimiento del contrato a un tercero, pero no sustituye al contratista.</w:t>
      </w:r>
    </w:p>
    <w:p w14:paraId="4EC996E8" w14:textId="77777777" w:rsidR="00780105" w:rsidRPr="00780105" w:rsidRDefault="00780105" w:rsidP="00780105">
      <w:pPr>
        <w:spacing w:after="0" w:line="240" w:lineRule="auto"/>
        <w:ind w:left="709" w:right="709"/>
        <w:jc w:val="both"/>
        <w:rPr>
          <w:rFonts w:ascii="Verdana" w:eastAsia="Calibri" w:hAnsi="Verdana" w:cs="Arial"/>
          <w:sz w:val="20"/>
          <w:szCs w:val="20"/>
        </w:rPr>
      </w:pPr>
    </w:p>
    <w:p w14:paraId="26AF3260" w14:textId="77777777" w:rsidR="00780105" w:rsidRPr="00780105" w:rsidRDefault="00780105" w:rsidP="00780105">
      <w:pPr>
        <w:spacing w:after="0" w:line="240" w:lineRule="auto"/>
        <w:ind w:left="709" w:right="709"/>
        <w:jc w:val="both"/>
        <w:rPr>
          <w:rFonts w:ascii="Verdana" w:eastAsia="Calibri" w:hAnsi="Verdana" w:cs="Arial"/>
          <w:sz w:val="20"/>
          <w:szCs w:val="20"/>
        </w:rPr>
      </w:pPr>
      <w:r w:rsidRPr="00780105">
        <w:rPr>
          <w:rFonts w:ascii="Verdana" w:eastAsia="Calibri" w:hAnsi="Verdana" w:cs="Arial"/>
          <w:sz w:val="20"/>
          <w:szCs w:val="20"/>
        </w:rPr>
        <w:t>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2A2C5C87" w14:textId="77777777" w:rsidR="00780105" w:rsidRPr="00780105" w:rsidRDefault="00780105" w:rsidP="00780105">
      <w:pPr>
        <w:spacing w:after="0" w:line="276" w:lineRule="auto"/>
        <w:ind w:firstLine="709"/>
        <w:jc w:val="both"/>
        <w:rPr>
          <w:rFonts w:ascii="Verdana" w:eastAsia="Calibri" w:hAnsi="Verdana" w:cs="Arial"/>
        </w:rPr>
      </w:pPr>
    </w:p>
    <w:p w14:paraId="02E65DBF" w14:textId="77777777" w:rsidR="00780105" w:rsidRPr="00780105" w:rsidRDefault="00780105" w:rsidP="00780105">
      <w:pPr>
        <w:spacing w:after="120" w:line="276" w:lineRule="auto"/>
        <w:ind w:firstLine="709"/>
        <w:jc w:val="both"/>
        <w:rPr>
          <w:rFonts w:ascii="Verdana" w:eastAsia="Calibri" w:hAnsi="Verdana" w:cs="Arial"/>
        </w:rPr>
      </w:pPr>
      <w:r w:rsidRPr="00780105">
        <w:rPr>
          <w:rFonts w:ascii="Verdana" w:eastAsia="Calibri" w:hAnsi="Verdana" w:cs="Arial"/>
        </w:rPr>
        <w:t>Por otro lado, la doctrina también ha desarrollado el concepto y las características de la figura de la subcontratación. El doctrinante, Richard Steve Ramírez Grisales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780105">
        <w:rPr>
          <w:rFonts w:ascii="Verdana" w:eastAsia="Calibri" w:hAnsi="Verdana" w:cs="Arial"/>
          <w:vertAlign w:val="superscript"/>
        </w:rPr>
        <w:footnoteReference w:id="7"/>
      </w:r>
      <w:r w:rsidRPr="00780105">
        <w:rPr>
          <w:rFonts w:ascii="Verdana" w:eastAsia="Calibri" w:hAnsi="Verdana" w:cs="Arial"/>
        </w:rPr>
        <w:t xml:space="preserve">. </w:t>
      </w:r>
    </w:p>
    <w:p w14:paraId="5AA70C6D" w14:textId="77777777" w:rsidR="00780105" w:rsidRPr="00780105" w:rsidRDefault="00780105" w:rsidP="00780105">
      <w:pPr>
        <w:spacing w:after="0" w:line="276" w:lineRule="auto"/>
        <w:ind w:firstLine="709"/>
        <w:jc w:val="both"/>
        <w:rPr>
          <w:rFonts w:ascii="Verdana" w:eastAsia="Calibri" w:hAnsi="Verdana" w:cs="Arial"/>
          <w:lang w:val="es-ES"/>
        </w:rPr>
      </w:pPr>
      <w:r w:rsidRPr="00780105">
        <w:rPr>
          <w:rFonts w:ascii="Verdana" w:eastAsia="Calibri" w:hAnsi="Verdana" w:cs="Arial"/>
          <w:lang w:val="es-ES"/>
        </w:rPr>
        <w:t xml:space="preserve">El diccionario jurídico de Guillermo Cabanellas de Torres define al </w:t>
      </w:r>
      <w:r w:rsidRPr="00780105">
        <w:rPr>
          <w:rFonts w:ascii="Verdana" w:eastAsia="Calibri" w:hAnsi="Verdana" w:cs="Arial"/>
          <w:i/>
          <w:lang w:val="es-ES"/>
        </w:rPr>
        <w:t>subcontrato</w:t>
      </w:r>
      <w:r w:rsidRPr="00780105">
        <w:rPr>
          <w:rFonts w:ascii="Verdana" w:eastAsia="Calibri" w:hAnsi="Verdana" w:cs="Arial"/>
          <w:lang w:val="es-ES"/>
        </w:rPr>
        <w:t xml:space="preserve"> como: </w:t>
      </w:r>
    </w:p>
    <w:p w14:paraId="55949999" w14:textId="77777777" w:rsidR="00780105" w:rsidRPr="00780105" w:rsidRDefault="00780105" w:rsidP="00780105">
      <w:pPr>
        <w:spacing w:after="0" w:line="276" w:lineRule="auto"/>
        <w:ind w:firstLine="709"/>
        <w:jc w:val="both"/>
        <w:rPr>
          <w:rFonts w:ascii="Verdana" w:eastAsia="Calibri" w:hAnsi="Verdana" w:cs="Arial"/>
          <w:lang w:val="es-ES"/>
        </w:rPr>
      </w:pPr>
    </w:p>
    <w:p w14:paraId="40D577EC" w14:textId="77777777" w:rsidR="00780105" w:rsidRPr="00780105" w:rsidRDefault="00780105" w:rsidP="00780105">
      <w:pPr>
        <w:spacing w:after="0" w:line="240" w:lineRule="auto"/>
        <w:ind w:left="709" w:right="709"/>
        <w:jc w:val="both"/>
        <w:rPr>
          <w:rFonts w:ascii="Verdana" w:eastAsia="Calibri" w:hAnsi="Verdana" w:cs="Arial"/>
          <w:sz w:val="20"/>
          <w:szCs w:val="20"/>
          <w:lang w:val="es-ES"/>
        </w:rPr>
      </w:pPr>
      <w:r w:rsidRPr="00780105">
        <w:rPr>
          <w:rFonts w:ascii="Verdana" w:eastAsia="Calibri" w:hAnsi="Verdana" w:cs="Arial"/>
          <w:sz w:val="20"/>
          <w:szCs w:val="20"/>
          <w:lang w:val="es-ES"/>
        </w:rPr>
        <w:t xml:space="preserve">“Nuevo contrato, derivado o dependiente de otro previo, llamado </w:t>
      </w:r>
      <w:r w:rsidRPr="00780105">
        <w:rPr>
          <w:rFonts w:ascii="Verdana" w:eastAsia="Calibri" w:hAnsi="Verdana" w:cs="Arial"/>
          <w:i/>
          <w:sz w:val="20"/>
          <w:szCs w:val="20"/>
          <w:lang w:val="es-ES"/>
        </w:rPr>
        <w:t>básico u originario</w:t>
      </w:r>
      <w:r w:rsidRPr="00780105">
        <w:rPr>
          <w:rFonts w:ascii="Verdana" w:eastAsia="Calibri" w:hAnsi="Verdana" w:cs="Arial"/>
          <w:sz w:val="20"/>
          <w:szCs w:val="20"/>
          <w:lang w:val="es-ES"/>
        </w:rPr>
        <w:t xml:space="preserve">, y con su mismo contenido en todo o en parte. Los dos contratos coexisten, ya que la subcontratación no extingue el contrato básico ni </w:t>
      </w:r>
      <w:r w:rsidRPr="00780105">
        <w:rPr>
          <w:rFonts w:ascii="Verdana" w:eastAsia="Calibri" w:hAnsi="Verdana" w:cs="Arial"/>
          <w:sz w:val="20"/>
          <w:szCs w:val="20"/>
          <w:lang w:val="es-ES"/>
        </w:rPr>
        <w:lastRenderedPageBreak/>
        <w:t>afecta el vínculo que éste había establecido. Pero nace un nuevo vínculo contractual distinto, aunque no sea autónomo (</w:t>
      </w:r>
      <w:proofErr w:type="spellStart"/>
      <w:r w:rsidRPr="00780105">
        <w:rPr>
          <w:rFonts w:ascii="Verdana" w:eastAsia="Calibri" w:hAnsi="Verdana" w:cs="Arial"/>
          <w:sz w:val="20"/>
          <w:szCs w:val="20"/>
          <w:lang w:val="es-ES"/>
        </w:rPr>
        <w:t>Masnatta</w:t>
      </w:r>
      <w:proofErr w:type="spellEnd"/>
      <w:r w:rsidRPr="00780105">
        <w:rPr>
          <w:rFonts w:ascii="Verdana" w:eastAsia="Calibri" w:hAnsi="Verdana" w:cs="Arial"/>
          <w:sz w:val="20"/>
          <w:szCs w:val="20"/>
          <w:lang w:val="es-ES"/>
        </w:rPr>
        <w:t>)</w:t>
      </w:r>
    </w:p>
    <w:p w14:paraId="58665D71" w14:textId="77777777" w:rsidR="00780105" w:rsidRPr="00780105" w:rsidRDefault="00780105" w:rsidP="00780105">
      <w:pPr>
        <w:spacing w:after="0" w:line="240" w:lineRule="auto"/>
        <w:ind w:left="709" w:right="709"/>
        <w:jc w:val="both"/>
        <w:rPr>
          <w:rFonts w:ascii="Verdana" w:eastAsia="Calibri" w:hAnsi="Verdana" w:cs="Arial"/>
          <w:sz w:val="20"/>
          <w:szCs w:val="20"/>
          <w:lang w:val="es-ES"/>
        </w:rPr>
      </w:pPr>
    </w:p>
    <w:p w14:paraId="6A1BA78B" w14:textId="77777777" w:rsidR="00780105" w:rsidRPr="00780105" w:rsidRDefault="00780105" w:rsidP="00780105">
      <w:pPr>
        <w:spacing w:after="0" w:line="240" w:lineRule="auto"/>
        <w:ind w:left="709" w:right="709"/>
        <w:jc w:val="both"/>
        <w:rPr>
          <w:rFonts w:ascii="Verdana" w:eastAsia="Calibri" w:hAnsi="Verdana" w:cs="Arial"/>
          <w:sz w:val="20"/>
          <w:szCs w:val="20"/>
          <w:lang w:val="es-ES"/>
        </w:rPr>
      </w:pPr>
      <w:r w:rsidRPr="00780105">
        <w:rPr>
          <w:rFonts w:ascii="Verdana" w:eastAsia="Calibri" w:hAnsi="Verdana" w:cs="Arial"/>
          <w:sz w:val="20"/>
          <w:szCs w:val="20"/>
          <w:lang w:val="es-ES"/>
        </w:rPr>
        <w:t xml:space="preserve">De ahí que se llame </w:t>
      </w:r>
      <w:r w:rsidRPr="00780105">
        <w:rPr>
          <w:rFonts w:ascii="Verdana" w:eastAsia="Calibri" w:hAnsi="Verdana" w:cs="Arial"/>
          <w:i/>
          <w:sz w:val="20"/>
          <w:szCs w:val="20"/>
          <w:lang w:val="es-ES"/>
        </w:rPr>
        <w:t>subcontratista</w:t>
      </w:r>
      <w:r w:rsidRPr="00780105">
        <w:rPr>
          <w:rFonts w:ascii="Verdana" w:eastAsia="Calibri" w:hAnsi="Verdana" w:cs="Arial"/>
          <w:sz w:val="20"/>
          <w:szCs w:val="20"/>
          <w:lang w:val="es-ES"/>
        </w:rPr>
        <w:t xml:space="preserve">, según expresa </w:t>
      </w:r>
      <w:proofErr w:type="spellStart"/>
      <w:r w:rsidRPr="00780105">
        <w:rPr>
          <w:rFonts w:ascii="Verdana" w:eastAsia="Calibri" w:hAnsi="Verdana" w:cs="Arial"/>
          <w:sz w:val="20"/>
          <w:szCs w:val="20"/>
          <w:lang w:val="es-ES"/>
        </w:rPr>
        <w:t>Capitant</w:t>
      </w:r>
      <w:proofErr w:type="spellEnd"/>
      <w:r w:rsidRPr="00780105">
        <w:rPr>
          <w:rFonts w:ascii="Verdana" w:eastAsia="Calibri" w:hAnsi="Verdana" w:cs="Arial"/>
          <w:sz w:val="20"/>
          <w:szCs w:val="20"/>
          <w:lang w:val="es-ES"/>
        </w:rPr>
        <w:t>, la persona que, a precio fijo o a destajo, se encarga de la realización de una parte separada del trabajo, confiado en conjunto a un empresario principal”</w:t>
      </w:r>
      <w:r w:rsidRPr="00780105">
        <w:rPr>
          <w:rFonts w:ascii="Verdana" w:eastAsia="Calibri" w:hAnsi="Verdana" w:cs="Arial"/>
          <w:sz w:val="20"/>
          <w:szCs w:val="20"/>
          <w:vertAlign w:val="superscript"/>
          <w:lang w:val="es-ES"/>
        </w:rPr>
        <w:footnoteReference w:id="8"/>
      </w:r>
      <w:r w:rsidRPr="00780105">
        <w:rPr>
          <w:rFonts w:ascii="Verdana" w:eastAsia="Calibri" w:hAnsi="Verdana" w:cs="Arial"/>
          <w:sz w:val="20"/>
          <w:szCs w:val="20"/>
          <w:lang w:val="es-ES"/>
        </w:rPr>
        <w:t xml:space="preserve">. </w:t>
      </w:r>
    </w:p>
    <w:p w14:paraId="41F76420" w14:textId="77777777" w:rsidR="00780105" w:rsidRPr="00780105" w:rsidRDefault="00780105" w:rsidP="00780105">
      <w:pPr>
        <w:spacing w:after="0" w:line="276" w:lineRule="auto"/>
        <w:ind w:firstLine="709"/>
        <w:jc w:val="both"/>
        <w:rPr>
          <w:rFonts w:ascii="Verdana" w:eastAsia="Calibri" w:hAnsi="Verdana" w:cs="Arial"/>
          <w:lang w:val="es-ES"/>
        </w:rPr>
      </w:pPr>
    </w:p>
    <w:p w14:paraId="4AC8F74A" w14:textId="77777777" w:rsidR="00780105" w:rsidRPr="00780105" w:rsidRDefault="00780105" w:rsidP="00780105">
      <w:pPr>
        <w:spacing w:after="120" w:line="276" w:lineRule="auto"/>
        <w:ind w:firstLine="709"/>
        <w:jc w:val="both"/>
        <w:rPr>
          <w:rFonts w:ascii="Verdana" w:eastAsia="Calibri" w:hAnsi="Verdana" w:cs="Arial"/>
        </w:rPr>
      </w:pPr>
      <w:r w:rsidRPr="00780105">
        <w:rPr>
          <w:rFonts w:ascii="Verdana" w:eastAsia="Calibri" w:hAnsi="Verdana" w:cs="Arial"/>
          <w:lang w:val="es-ES"/>
        </w:rPr>
        <w:t xml:space="preserve">En esa misma orientación, Elena Marín Albarrán manifiesta que un concepto de </w:t>
      </w:r>
      <w:r w:rsidRPr="00780105">
        <w:rPr>
          <w:rFonts w:ascii="Verdana" w:eastAsia="Calibri" w:hAnsi="Verdana" w:cs="Arial"/>
          <w:i/>
          <w:lang w:val="es-ES"/>
        </w:rPr>
        <w:t>subcontratación</w:t>
      </w:r>
      <w:r w:rsidRPr="00780105">
        <w:rPr>
          <w:rFonts w:ascii="Verdana" w:eastAsia="Calibri" w:hAnsi="Verdana" w:cs="Arial"/>
          <w:lang w:val="es-ES"/>
        </w:rPr>
        <w:t xml:space="preserve"> debe tener en cuenta la relación entre el contrato principal -contrato estatal- y el contrato derivado –contrato privado-</w:t>
      </w:r>
      <w:r w:rsidRPr="00780105">
        <w:rPr>
          <w:rFonts w:ascii="Verdana" w:eastAsia="Calibri" w:hAnsi="Verdana" w:cs="Arial"/>
          <w:vertAlign w:val="superscript"/>
          <w:lang w:val="es-ES"/>
        </w:rPr>
        <w:footnoteReference w:id="9"/>
      </w:r>
      <w:r w:rsidRPr="00780105">
        <w:rPr>
          <w:rFonts w:ascii="Verdana" w:eastAsia="Calibri" w:hAnsi="Verdana" w:cs="Arial"/>
          <w:lang w:val="es-ES"/>
        </w:rPr>
        <w:t>, por lo que comprende esta institución como: “la práctica de organización mercantil de organización empresarial en cuya virtud un contratista encarga a un subcontratista o trabajador autónomo parte de lo que él está obligado a realizar”.</w:t>
      </w:r>
      <w:r w:rsidRPr="00780105">
        <w:rPr>
          <w:rFonts w:ascii="Verdana" w:eastAsia="Calibri" w:hAnsi="Verdana" w:cs="Arial"/>
        </w:rPr>
        <w:t xml:space="preserve">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780105">
        <w:rPr>
          <w:rFonts w:ascii="Verdana" w:eastAsia="Calibri" w:hAnsi="Verdana" w:cs="Arial"/>
          <w:vertAlign w:val="superscript"/>
        </w:rPr>
        <w:footnoteReference w:id="10"/>
      </w:r>
      <w:r w:rsidRPr="00780105">
        <w:rPr>
          <w:rFonts w:ascii="Verdana" w:eastAsia="Calibri" w:hAnsi="Verdana" w:cs="Arial"/>
          <w:vertAlign w:val="superscript"/>
        </w:rPr>
        <w:t>.</w:t>
      </w:r>
      <w:r w:rsidRPr="00780105">
        <w:rPr>
          <w:rFonts w:ascii="Verdana" w:eastAsia="Calibri" w:hAnsi="Verdana" w:cs="Arial"/>
        </w:rPr>
        <w:t xml:space="preserve"> </w:t>
      </w:r>
    </w:p>
    <w:p w14:paraId="1AC3BFA8" w14:textId="77777777" w:rsidR="00780105" w:rsidRPr="00780105" w:rsidRDefault="00780105" w:rsidP="00780105">
      <w:pPr>
        <w:spacing w:after="120" w:line="276" w:lineRule="auto"/>
        <w:ind w:firstLine="709"/>
        <w:jc w:val="both"/>
        <w:rPr>
          <w:rFonts w:ascii="Verdana" w:eastAsia="Calibri" w:hAnsi="Verdana" w:cs="Arial"/>
        </w:rPr>
      </w:pPr>
      <w:r w:rsidRPr="00780105">
        <w:rPr>
          <w:rFonts w:ascii="Verdana" w:eastAsia="Calibri" w:hAnsi="Verdana" w:cs="Arial"/>
        </w:rPr>
        <w:t>En el marco de esta institución, se define el nivel de subcontratación como: “Cada uno de los escalones en que se estructura el proceso de subcontratación que se desarrolla para la ejecución de la totalidad o parte de la obra asumida contractualmente por el contratista con el promotor”</w:t>
      </w:r>
      <w:r w:rsidRPr="00780105">
        <w:rPr>
          <w:rFonts w:ascii="Verdana" w:eastAsia="Calibri" w:hAnsi="Verdana" w:cs="Arial"/>
          <w:vertAlign w:val="superscript"/>
        </w:rPr>
        <w:footnoteReference w:id="11"/>
      </w:r>
      <w:r w:rsidRPr="00780105">
        <w:rPr>
          <w:rFonts w:ascii="Verdana" w:eastAsia="Calibri" w:hAnsi="Verdana" w:cs="Arial"/>
        </w:rPr>
        <w:t xml:space="preserve">. </w:t>
      </w:r>
    </w:p>
    <w:p w14:paraId="629C477A" w14:textId="77777777" w:rsidR="00780105" w:rsidRPr="00780105" w:rsidRDefault="00780105" w:rsidP="00780105">
      <w:pPr>
        <w:spacing w:after="120" w:line="276" w:lineRule="auto"/>
        <w:ind w:firstLine="709"/>
        <w:jc w:val="both"/>
        <w:rPr>
          <w:rFonts w:ascii="Verdana" w:eastAsia="Calibri" w:hAnsi="Verdana" w:cs="Arial"/>
        </w:rPr>
      </w:pPr>
      <w:r w:rsidRPr="00780105">
        <w:rPr>
          <w:rFonts w:ascii="Verdana" w:eastAsia="Calibri" w:hAnsi="Verdana" w:cs="Arial"/>
        </w:rPr>
        <w:t>En igual sentido, la institución de la subcontratación se concibe como el "contrato derivado y dependiente de otro anterior de su misma naturaleza, que surge a la vida como consecuencia de la actitud de uno de dos contratantes, el cual, en vez de ejecutar personalmente las obligaciones asumidas en el contrato originario, se decide a contratar con un tercero la realización de aquellas, en base al contrato anterior del cual es parte"</w:t>
      </w:r>
      <w:r w:rsidRPr="00780105">
        <w:rPr>
          <w:rFonts w:ascii="Verdana" w:eastAsia="Calibri" w:hAnsi="Verdana" w:cs="Arial"/>
          <w:vertAlign w:val="superscript"/>
        </w:rPr>
        <w:footnoteReference w:id="12"/>
      </w:r>
      <w:r w:rsidRPr="00780105">
        <w:rPr>
          <w:rFonts w:ascii="Verdana" w:eastAsia="Calibri" w:hAnsi="Verdana" w:cs="Arial"/>
        </w:rPr>
        <w:t>.</w:t>
      </w:r>
    </w:p>
    <w:p w14:paraId="206EFD0C" w14:textId="77777777" w:rsidR="00780105" w:rsidRPr="00780105" w:rsidRDefault="00780105" w:rsidP="00780105">
      <w:pPr>
        <w:spacing w:after="120" w:line="276" w:lineRule="auto"/>
        <w:ind w:firstLine="709"/>
        <w:jc w:val="both"/>
        <w:rPr>
          <w:rFonts w:ascii="Verdana" w:eastAsia="Calibri" w:hAnsi="Verdana" w:cs="Arial"/>
        </w:rPr>
      </w:pPr>
      <w:r w:rsidRPr="00780105">
        <w:rPr>
          <w:rFonts w:ascii="Verdana" w:eastAsia="Calibri" w:hAnsi="Verdana" w:cs="Arial"/>
        </w:rPr>
        <w:t xml:space="preserve">De lo expuesto se resaltan, como características esenciales de la subcontratación, las siguientes: i) es un contrato eventual, ii) es un contrato accesorio, pues asegura el cumplimiento de otro contrato –principal–, iii) la </w:t>
      </w:r>
      <w:r w:rsidRPr="00780105">
        <w:rPr>
          <w:rFonts w:ascii="Verdana" w:eastAsia="Calibri" w:hAnsi="Verdana" w:cs="Arial"/>
        </w:rPr>
        <w:lastRenderedPageBreak/>
        <w:t>relación jurídica que surge entre el contratista del Estado y el tercero es independiente y autónoma de la entidad contratante, iv)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5CEE7426" w14:textId="77777777" w:rsidR="00780105" w:rsidRPr="00780105" w:rsidRDefault="00780105" w:rsidP="00780105">
      <w:pPr>
        <w:spacing w:after="120" w:line="276" w:lineRule="auto"/>
        <w:ind w:firstLine="709"/>
        <w:jc w:val="both"/>
        <w:rPr>
          <w:rFonts w:ascii="Verdana" w:eastAsia="Calibri" w:hAnsi="Verdana" w:cs="Arial"/>
        </w:rPr>
      </w:pPr>
      <w:r w:rsidRPr="00780105">
        <w:rPr>
          <w:rFonts w:ascii="Verdana" w:eastAsia="Calibri" w:hAnsi="Verdana" w:cs="Arial"/>
          <w:noProof/>
          <w:lang w:val="en-US"/>
        </w:rPr>
        <mc:AlternateContent>
          <mc:Choice Requires="wpi">
            <w:drawing>
              <wp:anchor distT="0" distB="0" distL="114300" distR="114300" simplePos="0" relativeHeight="251659264" behindDoc="0" locked="0" layoutInCell="1" allowOverlap="1" wp14:anchorId="3DBDC3E2" wp14:editId="34107E15">
                <wp:simplePos x="0" y="0"/>
                <wp:positionH relativeFrom="column">
                  <wp:posOffset>-468129</wp:posOffset>
                </wp:positionH>
                <wp:positionV relativeFrom="paragraph">
                  <wp:posOffset>588521</wp:posOffset>
                </wp:positionV>
                <wp:extent cx="360" cy="360"/>
                <wp:effectExtent l="38100" t="38100" r="38100" b="38100"/>
                <wp:wrapNone/>
                <wp:docPr id="1240376576" name="Entrada de lápiz 19"/>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0267A379" id="Entrada de lápiz 19" o:spid="_x0000_s1026" type="#_x0000_t75" style="position:absolute;margin-left:-37.55pt;margin-top:45.6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">
                <v:imagedata r:id="rId14" o:title=""/>
              </v:shape>
            </w:pict>
          </mc:Fallback>
        </mc:AlternateContent>
      </w:r>
      <w:r w:rsidRPr="00780105">
        <w:rPr>
          <w:rFonts w:ascii="Verdana" w:eastAsia="Calibri" w:hAnsi="Verdana" w:cs="Arial"/>
        </w:rPr>
        <w:t xml:space="preserve">En este sentido, 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42EAB7E3" w14:textId="77777777" w:rsidR="00780105" w:rsidRPr="00780105" w:rsidRDefault="00780105" w:rsidP="00780105">
      <w:pPr>
        <w:spacing w:after="120" w:line="276" w:lineRule="auto"/>
        <w:ind w:firstLine="709"/>
        <w:jc w:val="both"/>
        <w:rPr>
          <w:rFonts w:ascii="Verdana" w:hAnsi="Verdana" w:cs="Arial"/>
          <w:lang w:eastAsia="es-ES_tradnl"/>
        </w:rPr>
      </w:pPr>
      <w:r w:rsidRPr="00780105">
        <w:rPr>
          <w:rFonts w:ascii="Verdana" w:hAnsi="Verdana" w:cs="Arial"/>
          <w:lang w:eastAsia="es-ES_tradnl"/>
        </w:rPr>
        <w:t xml:space="preserve">En este contexto, vale la pena precisar que no todos los contratos que celebra el contratista pueden catalogarse como subcontratos. En efecto, como se mencionó, la noción de subcontratación supone la celebración de un contrato eventual y accesorio, entre un contratista del Estado y un tercero para que este ejecute en parte la obligación o la actividad puesta a su cargo, sin que el contratista se desprenda de la responsabilidad jurídica. A diferencia de los subcontratos, los contratos con proveedores para el suministro de materiales o para la contratación de la mano de obra tienen por objeto dotarse de las materias primas y del personal necesario para la ejecución de las prestaciones. </w:t>
      </w:r>
    </w:p>
    <w:p w14:paraId="419D5063" w14:textId="77777777" w:rsidR="00780105" w:rsidRPr="00780105" w:rsidRDefault="00780105" w:rsidP="00780105">
      <w:pPr>
        <w:spacing w:after="120" w:line="276" w:lineRule="auto"/>
        <w:ind w:firstLine="709"/>
        <w:jc w:val="both"/>
        <w:rPr>
          <w:rFonts w:ascii="Verdana" w:hAnsi="Verdana" w:cs="Arial"/>
          <w:lang w:eastAsia="es-ES_tradnl"/>
        </w:rPr>
      </w:pPr>
      <w:r w:rsidRPr="00780105">
        <w:rPr>
          <w:rFonts w:ascii="Verdana" w:hAnsi="Verdana" w:cs="Arial"/>
          <w:lang w:eastAsia="es-ES_tradnl"/>
        </w:rPr>
        <w:t xml:space="preserve">Como se evidencia, en el primer evento hay una verdadera asunción material de la obligación del contratista principal por parte del subcontratista, sin perjuicio de que quien responde ante la entidad estatal es el contratista principal. A diferencia del segundo evento, en el que simplemente hay una puesta a disposición de los medios para cumplir la prestación. </w:t>
      </w:r>
    </w:p>
    <w:p w14:paraId="4B21C666" w14:textId="77777777" w:rsidR="00780105" w:rsidRPr="00780105" w:rsidRDefault="00780105" w:rsidP="00780105">
      <w:pPr>
        <w:spacing w:after="120" w:line="276" w:lineRule="auto"/>
        <w:ind w:firstLine="709"/>
        <w:jc w:val="both"/>
        <w:rPr>
          <w:rFonts w:ascii="Verdana" w:hAnsi="Verdana" w:cs="Arial"/>
          <w:lang w:eastAsia="es-ES_tradnl"/>
        </w:rPr>
      </w:pPr>
      <w:r w:rsidRPr="00780105">
        <w:rPr>
          <w:rFonts w:ascii="Verdana" w:hAnsi="Verdana" w:cs="Arial"/>
          <w:lang w:eastAsia="es-ES_tradnl"/>
        </w:rPr>
        <w:t xml:space="preserve">Sobre el particular, la doctrina nacional indica que “No cualquier contrato que celebre el contratista durante la etapa de ejecución puede considerarse un subcontrato. Piénsese, por ejemplo, en los diferentes acuerdos que se celebren durante la ejecución de un contrato de obra pública para la construcción o reparación de una vía urbana: contratos de suministro para la provisión de pavimento y arena; contratos de compraventa de tubería para la relocalización de redes de acueducto, alcantarillado, telecomunicaciones y energía; contratos </w:t>
      </w:r>
      <w:r w:rsidRPr="00780105">
        <w:rPr>
          <w:rFonts w:ascii="Verdana" w:hAnsi="Verdana" w:cs="Arial"/>
          <w:lang w:eastAsia="es-ES_tradnl"/>
        </w:rPr>
        <w:lastRenderedPageBreak/>
        <w:t>laborales para la vinculación de los empleados necesarios para dar cumplimiento al contrato”</w:t>
      </w:r>
      <w:r w:rsidRPr="00780105">
        <w:rPr>
          <w:rFonts w:ascii="Verdana" w:hAnsi="Verdana" w:cs="Arial"/>
          <w:vertAlign w:val="superscript"/>
          <w:lang w:eastAsia="es-ES_tradnl"/>
        </w:rPr>
        <w:footnoteReference w:id="13"/>
      </w:r>
      <w:r w:rsidRPr="00780105">
        <w:rPr>
          <w:rFonts w:ascii="Verdana" w:hAnsi="Verdana" w:cs="Arial"/>
          <w:lang w:eastAsia="es-ES_tradnl"/>
        </w:rPr>
        <w:t xml:space="preserve">. </w:t>
      </w:r>
    </w:p>
    <w:p w14:paraId="69C50820" w14:textId="77777777" w:rsidR="00780105" w:rsidRPr="00780105" w:rsidRDefault="00780105" w:rsidP="00780105">
      <w:pPr>
        <w:spacing w:after="0" w:line="276" w:lineRule="auto"/>
        <w:ind w:firstLine="709"/>
        <w:jc w:val="both"/>
        <w:rPr>
          <w:rFonts w:ascii="Verdana" w:hAnsi="Verdana" w:cs="Arial"/>
          <w:lang w:val="es-ES_tradnl" w:eastAsia="es-ES_tradnl"/>
        </w:rPr>
      </w:pPr>
      <w:r w:rsidRPr="00780105">
        <w:rPr>
          <w:rFonts w:ascii="Verdana" w:hAnsi="Verdana" w:cs="Arial"/>
          <w:lang w:eastAsia="es-ES_tradnl"/>
        </w:rPr>
        <w:t>Este ha sido también el entendimiento en el derecho comparado donde se ha señalado que “No todo convenio celebrado por el contratista con un tercero, respecto del cumplimiento del contrato principal, implica un subcontrato, ni menos aún una cesión. Así, no son subcontratos los acuerdos que el contratista realice con terceros para proveerse de fondos que faciliten la ejecución del contrato, o con las personas que trabajan a destajo, o con sus proveedores”</w:t>
      </w:r>
      <w:r w:rsidRPr="00780105">
        <w:rPr>
          <w:rFonts w:ascii="Verdana" w:hAnsi="Verdana" w:cs="Arial"/>
          <w:vertAlign w:val="superscript"/>
          <w:lang w:val="es-ES_tradnl" w:eastAsia="es-ES_tradnl"/>
        </w:rPr>
        <w:footnoteReference w:id="14"/>
      </w:r>
      <w:r w:rsidRPr="00780105">
        <w:rPr>
          <w:rFonts w:ascii="Verdana" w:hAnsi="Verdana" w:cs="Arial"/>
          <w:lang w:val="es-ES_tradnl" w:eastAsia="es-ES_tradnl"/>
        </w:rPr>
        <w:t>.</w:t>
      </w:r>
    </w:p>
    <w:p w14:paraId="46D5A1FF" w14:textId="77777777" w:rsidR="00780105" w:rsidRPr="00780105" w:rsidRDefault="00780105" w:rsidP="00780105">
      <w:pPr>
        <w:spacing w:after="0" w:line="276" w:lineRule="auto"/>
        <w:jc w:val="both"/>
        <w:rPr>
          <w:rFonts w:ascii="Verdana" w:eastAsia="Calibri" w:hAnsi="Verdana" w:cs="Arial"/>
          <w:lang w:val="es-ES_tradnl"/>
        </w:rPr>
      </w:pPr>
    </w:p>
    <w:p w14:paraId="0CB47C78" w14:textId="77777777" w:rsidR="00780105" w:rsidRPr="00780105" w:rsidRDefault="00780105" w:rsidP="00780105">
      <w:pPr>
        <w:spacing w:after="120" w:line="276" w:lineRule="auto"/>
        <w:jc w:val="both"/>
        <w:rPr>
          <w:rFonts w:ascii="Verdana" w:eastAsia="Calibri" w:hAnsi="Verdana" w:cs="Arial"/>
          <w:lang w:val="es-ES"/>
        </w:rPr>
      </w:pPr>
      <w:r w:rsidRPr="00780105">
        <w:rPr>
          <w:rFonts w:ascii="Verdana" w:eastAsia="Calibri" w:hAnsi="Verdana" w:cs="Arial"/>
          <w:lang w:val="es-ES_tradnl"/>
        </w:rPr>
        <w:t xml:space="preserve">ii) Analizado el concepto y las principales características de la figura de la subcontratación, teniendo en cuenta el primer problema jurídico, es necesario adentrarse en el estudio de los </w:t>
      </w:r>
      <w:r w:rsidRPr="00780105">
        <w:rPr>
          <w:rFonts w:ascii="Verdana" w:eastAsia="Calibri" w:hAnsi="Verdana" w:cs="Arial"/>
          <w:i/>
          <w:iCs/>
          <w:lang w:val="es-ES_tradnl"/>
        </w:rPr>
        <w:t>límites a la subcontratación en el ámbito de los contratos del Estado y de la selección del subcontratista</w:t>
      </w:r>
      <w:r w:rsidRPr="00780105">
        <w:rPr>
          <w:rFonts w:ascii="Verdana" w:eastAsia="Calibri" w:hAnsi="Verdana" w:cs="Arial"/>
          <w:lang w:val="es-ES_tradnl"/>
        </w:rPr>
        <w:t xml:space="preserve">. </w:t>
      </w:r>
      <w:r w:rsidRPr="00780105">
        <w:rPr>
          <w:rFonts w:ascii="Verdana" w:eastAsia="Calibri" w:hAnsi="Verdana" w:cs="Arial"/>
          <w:lang w:val="es-ES"/>
        </w:rPr>
        <w:t>Debido a la escasa regulación normativa, la subcontratación en materia de contratación pública está supeditada a lo dispuesto en el acuerdo de voluntades, contenido en el pliego de condiciones – o documento equivalente – y en el contrato, sin perjuicio de las limitaciones establecidas por la ley</w:t>
      </w:r>
      <w:r w:rsidRPr="00780105">
        <w:rPr>
          <w:rFonts w:ascii="Verdana" w:eastAsia="Calibri" w:hAnsi="Verdana" w:cs="Arial"/>
          <w:vertAlign w:val="superscript"/>
          <w:lang w:val="es-ES"/>
        </w:rPr>
        <w:footnoteReference w:id="15"/>
      </w:r>
      <w:r w:rsidRPr="00780105">
        <w:rPr>
          <w:rFonts w:ascii="Verdana" w:eastAsia="Calibri" w:hAnsi="Verdana" w:cs="Arial"/>
          <w:lang w:val="es-ES"/>
        </w:rPr>
        <w:t xml:space="preserve">. </w:t>
      </w:r>
    </w:p>
    <w:p w14:paraId="0317D05A" w14:textId="77777777" w:rsidR="00780105" w:rsidRPr="00780105" w:rsidRDefault="00780105" w:rsidP="00780105">
      <w:pPr>
        <w:widowControl w:val="0"/>
        <w:autoSpaceDE w:val="0"/>
        <w:autoSpaceDN w:val="0"/>
        <w:spacing w:after="120" w:line="276" w:lineRule="auto"/>
        <w:ind w:firstLine="709"/>
        <w:jc w:val="both"/>
        <w:rPr>
          <w:rFonts w:ascii="Verdana" w:eastAsia="Arial MT" w:hAnsi="Verdana" w:cs="Arial MT"/>
          <w:lang w:val="es-ES"/>
        </w:rPr>
      </w:pPr>
      <w:r w:rsidRPr="00780105">
        <w:rPr>
          <w:rFonts w:ascii="Verdana" w:eastAsia="Calibri" w:hAnsi="Verdana" w:cs="Arial"/>
          <w:lang w:val="es-ES"/>
        </w:rPr>
        <w:t>Por un lado, la posibilidad de subcontratar y las condiciones en las cuales se deberá efectuar esa subcontratación,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la autorización o sin el cumplimiento de la condición establecida en el negocio jurídico.</w:t>
      </w:r>
      <w:r w:rsidRPr="00780105">
        <w:rPr>
          <w:rFonts w:ascii="Verdana" w:eastAsia="Arial MT" w:hAnsi="Verdana" w:cs="Arial MT"/>
          <w:lang w:val="es-ES"/>
        </w:rPr>
        <w:t xml:space="preserve"> Por el contrario, si en los documentos del proceso de contratación o en el contrato no se estipula esta institución, se entiende que en principio está permitida y,</w:t>
      </w:r>
      <w:r w:rsidRPr="00780105">
        <w:rPr>
          <w:rFonts w:ascii="Verdana" w:eastAsia="Arial MT" w:hAnsi="Verdana" w:cs="Arial MT"/>
          <w:spacing w:val="1"/>
          <w:lang w:val="es-ES"/>
        </w:rPr>
        <w:t xml:space="preserve"> </w:t>
      </w:r>
      <w:r w:rsidRPr="00780105">
        <w:rPr>
          <w:rFonts w:ascii="Verdana" w:eastAsia="Arial MT" w:hAnsi="Verdana" w:cs="Arial MT"/>
          <w:lang w:val="es-ES"/>
        </w:rPr>
        <w:t>por tanto, el contratista podrá subcontratar parcialmente con fundamento en la libertad de</w:t>
      </w:r>
      <w:r w:rsidRPr="00780105">
        <w:rPr>
          <w:rFonts w:ascii="Verdana" w:eastAsia="Arial MT" w:hAnsi="Verdana" w:cs="Arial MT"/>
          <w:spacing w:val="1"/>
          <w:lang w:val="es-ES"/>
        </w:rPr>
        <w:t xml:space="preserve"> </w:t>
      </w:r>
      <w:r w:rsidRPr="00780105">
        <w:rPr>
          <w:rFonts w:ascii="Verdana" w:eastAsia="Arial MT" w:hAnsi="Verdana" w:cs="Arial MT"/>
          <w:lang w:val="es-ES"/>
        </w:rPr>
        <w:t>empresa, respetando los límites legales.</w:t>
      </w:r>
    </w:p>
    <w:p w14:paraId="43A0CE7C" w14:textId="77777777" w:rsidR="00780105" w:rsidRPr="00780105" w:rsidRDefault="00780105" w:rsidP="00780105">
      <w:pPr>
        <w:spacing w:after="120" w:line="276" w:lineRule="auto"/>
        <w:ind w:firstLine="709"/>
        <w:jc w:val="both"/>
        <w:rPr>
          <w:rFonts w:ascii="Verdana" w:eastAsia="Calibri" w:hAnsi="Verdana" w:cs="Arial"/>
          <w:bCs/>
          <w:lang w:val="es-MX"/>
        </w:rPr>
      </w:pPr>
      <w:r w:rsidRPr="00780105">
        <w:rPr>
          <w:rFonts w:ascii="Verdana" w:eastAsia="Calibri" w:hAnsi="Verdana" w:cs="Arial"/>
          <w:bCs/>
          <w:lang w:val="es-ES_tradnl"/>
        </w:rPr>
        <w:lastRenderedPageBreak/>
        <w:t>Aunque el subcontrato es un contrato autónomo e independiente del contrato principal, en materia de contratación estatal, es recomendable –en ciertos eventos–</w:t>
      </w:r>
      <w:r w:rsidRPr="00780105">
        <w:rPr>
          <w:rFonts w:ascii="Verdana" w:eastAsia="Calibri" w:hAnsi="Verdana" w:cs="Arial"/>
          <w:bCs/>
          <w:lang w:val="es-MX"/>
        </w:rPr>
        <w:t xml:space="preserve">, que las entidades estatales, exijan en el contrato la autorización previa y expresa para la subcontratación. Esto permite a la entidad estatal controlar las condiciones en las cuales se ejecutará el contrato, asegurar el cumplimiento de este bajo un esquema de transparencia y garantizar que no se infrinjan los principios de la contratación estatal. 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sujetarse a esta estipulación, so pena de un posible incumplimiento del contrato. </w:t>
      </w:r>
    </w:p>
    <w:p w14:paraId="0B1E30F6" w14:textId="77777777" w:rsidR="00780105" w:rsidRPr="00780105" w:rsidRDefault="00780105" w:rsidP="00780105">
      <w:pPr>
        <w:spacing w:after="120" w:line="276" w:lineRule="auto"/>
        <w:ind w:firstLine="709"/>
        <w:jc w:val="both"/>
        <w:rPr>
          <w:rFonts w:ascii="Verdana" w:eastAsia="Calibri" w:hAnsi="Verdana" w:cs="Arial"/>
          <w:bCs/>
          <w:lang w:val="es-MX"/>
        </w:rPr>
      </w:pPr>
      <w:r w:rsidRPr="00780105">
        <w:rPr>
          <w:rFonts w:ascii="Verdana" w:eastAsia="Calibri" w:hAnsi="Verdana" w:cs="Arial"/>
          <w:bCs/>
          <w:lang w:val="es-ES"/>
        </w:rPr>
        <w:t xml:space="preserve">Ahora bien, tampoco existe una restricción para que el contratista del Estado seleccione al subcontratista. En ese contexto, rige el principio de autonomía de la voluntad para la selección del subcontratista. Así las cosas, si en el pliego de condiciones – o documento equivalente – o en el contrato se fijó alguna estipulación al respecto esta deberá respetarse y, en consecuencia, el contratista del Estado deberá escoger a su subcontratista de acuerdo a dichas estipulaciones. Contrario sensu, si no se fijó ninguna restricción al respecto, el contratista de la entidad estatal tendrá libertad para escoger a quien ejecutará el subcontrato.  </w:t>
      </w:r>
    </w:p>
    <w:p w14:paraId="2049038B" w14:textId="77777777" w:rsidR="00780105" w:rsidRPr="00780105" w:rsidRDefault="00780105" w:rsidP="00780105">
      <w:pPr>
        <w:spacing w:before="120" w:after="0" w:line="276" w:lineRule="auto"/>
        <w:ind w:firstLine="709"/>
        <w:jc w:val="both"/>
        <w:rPr>
          <w:rFonts w:ascii="Verdana" w:hAnsi="Verdana" w:cs="Arial"/>
          <w:bCs/>
          <w:lang w:eastAsia="es-ES_tradnl"/>
        </w:rPr>
      </w:pPr>
      <w:r w:rsidRPr="00780105">
        <w:rPr>
          <w:rFonts w:ascii="Verdana" w:hAnsi="Verdana" w:cs="Arial"/>
          <w:bCs/>
          <w:lang w:eastAsia="es-ES_tradnl"/>
        </w:rPr>
        <w:t>A modo de ejemplo, es pertinente indicar que en los documentos tipo de obra de infraestructura de transporte, agua potable y saneamiento básico e infraestructura social adoptados por esta Agencia</w:t>
      </w:r>
      <w:r w:rsidRPr="00780105">
        <w:rPr>
          <w:rFonts w:ascii="Verdana" w:hAnsi="Verdana" w:cs="Arial"/>
          <w:bCs/>
          <w:vertAlign w:val="superscript"/>
          <w:lang w:eastAsia="es-ES_tradnl"/>
        </w:rPr>
        <w:footnoteReference w:id="16"/>
      </w:r>
      <w:r w:rsidRPr="00780105">
        <w:rPr>
          <w:rFonts w:ascii="Verdana" w:hAnsi="Verdana" w:cs="Arial"/>
          <w:bCs/>
          <w:lang w:eastAsia="es-ES_tradnl"/>
        </w:rPr>
        <w:t>, se establece en la cláusula 20 del Anexo de Minuta del Contrato la subcontratación, así:</w:t>
      </w:r>
    </w:p>
    <w:p w14:paraId="2C19AB7D" w14:textId="77777777" w:rsidR="00780105" w:rsidRPr="00780105" w:rsidRDefault="00780105" w:rsidP="00780105">
      <w:pPr>
        <w:spacing w:after="0" w:line="276" w:lineRule="auto"/>
        <w:ind w:firstLine="709"/>
        <w:jc w:val="both"/>
        <w:rPr>
          <w:rFonts w:ascii="Verdana" w:hAnsi="Verdana" w:cs="Arial"/>
          <w:bCs/>
          <w:lang w:eastAsia="es-ES_tradnl"/>
        </w:rPr>
      </w:pPr>
    </w:p>
    <w:p w14:paraId="6FD49287" w14:textId="77777777" w:rsidR="00780105" w:rsidRPr="00780105" w:rsidRDefault="00780105" w:rsidP="00780105">
      <w:pPr>
        <w:spacing w:after="0" w:line="240" w:lineRule="auto"/>
        <w:ind w:left="709" w:right="709"/>
        <w:jc w:val="both"/>
        <w:rPr>
          <w:rFonts w:ascii="Verdana" w:eastAsia="Times New Roman" w:hAnsi="Verdana" w:cstheme="minorHAnsi"/>
          <w:bCs/>
          <w:sz w:val="20"/>
          <w:szCs w:val="20"/>
          <w:lang w:val="es-ES" w:eastAsia="es-CO"/>
        </w:rPr>
      </w:pPr>
      <w:r w:rsidRPr="00780105">
        <w:rPr>
          <w:rFonts w:ascii="Verdana" w:eastAsia="Times New Roman" w:hAnsi="Verdana" w:cstheme="minorHAnsi"/>
          <w:bCs/>
          <w:sz w:val="20"/>
          <w:szCs w:val="20"/>
          <w:lang w:val="es-ES" w:eastAsia="es-CO"/>
        </w:rPr>
        <w:t xml:space="preserve">“El Contratista solo podrá subcontratar con la autorización previa y expresa de la Entidad. El empleo de tales subcontratistas no relevará al Contratista de las responsabilidades que asume por las labores de la construcción y por las demás obligaciones emanadas del presente Contrato. La Entidad no adquirirá relación alguna con los subcontratistas y la responsabilidad de los trabajos que éstos ejecuten seguirá a cargo del Contratista. La Entidad podrá exigir al Contratista la terminación del </w:t>
      </w:r>
      <w:r w:rsidRPr="00780105">
        <w:rPr>
          <w:rFonts w:ascii="Verdana" w:eastAsia="Times New Roman" w:hAnsi="Verdana" w:cstheme="minorHAnsi"/>
          <w:bCs/>
          <w:sz w:val="20"/>
          <w:szCs w:val="20"/>
          <w:lang w:val="es-ES" w:eastAsia="es-CO"/>
        </w:rPr>
        <w:lastRenderedPageBreak/>
        <w:t>subcontrato en cualquier tiempo y el cumplimiento inmediato y directo de sus obligaciones o el cambio de los subcontratistas cuando, a su juicio, este (os) no cumpla(n) con las calidades mínimas necesarias para la ejecución de la(s) labor(es) subcontratada(s)”.</w:t>
      </w:r>
    </w:p>
    <w:p w14:paraId="4906471E" w14:textId="77777777" w:rsidR="00780105" w:rsidRPr="00780105" w:rsidRDefault="00780105" w:rsidP="00780105">
      <w:pPr>
        <w:spacing w:after="0" w:line="276" w:lineRule="auto"/>
        <w:ind w:firstLine="709"/>
        <w:jc w:val="both"/>
        <w:rPr>
          <w:rFonts w:ascii="Verdana" w:hAnsi="Verdana" w:cs="Arial"/>
          <w:bCs/>
          <w:lang w:val="es-ES" w:eastAsia="es-ES_tradnl"/>
        </w:rPr>
      </w:pPr>
    </w:p>
    <w:p w14:paraId="10E33054" w14:textId="77777777" w:rsidR="00780105" w:rsidRPr="00780105" w:rsidRDefault="00780105" w:rsidP="00780105">
      <w:pPr>
        <w:spacing w:after="120" w:line="276" w:lineRule="auto"/>
        <w:ind w:firstLine="709"/>
        <w:jc w:val="both"/>
        <w:rPr>
          <w:rFonts w:ascii="Verdana" w:hAnsi="Verdana" w:cs="Arial"/>
          <w:bCs/>
          <w:lang w:val="es-MX" w:eastAsia="es-ES_tradnl"/>
        </w:rPr>
      </w:pPr>
      <w:r w:rsidRPr="00780105">
        <w:rPr>
          <w:rFonts w:ascii="Verdana" w:hAnsi="Verdana" w:cs="Arial"/>
          <w:bCs/>
          <w:lang w:eastAsia="es-ES_tradnl"/>
        </w:rPr>
        <w:t>Como se advierte, en el marco de los documentos tipo la subcontratación solo es permitida previa autorización expresa de la entidad, de tal manera que el contratista no podrá subcontratar si no cuenta con dicha autorización. Además,</w:t>
      </w:r>
      <w:r w:rsidRPr="00780105">
        <w:rPr>
          <w:rFonts w:ascii="Verdana" w:hAnsi="Verdana" w:cs="Arial"/>
          <w:bCs/>
          <w:lang w:val="es-MX" w:eastAsia="es-ES_tradnl"/>
        </w:rPr>
        <w:t xml:space="preserve"> en el evento en que la entidad considere que el subcontratista no cumple con las calidades mínimas necesarias para la ejecución de la labor subcontratada, podrá exigir la terminación del subcontrato en cualquier tiempo y el cumplimiento inmediato y directo de las obligaciones por parte del contratista. </w:t>
      </w:r>
    </w:p>
    <w:p w14:paraId="76C1C59A" w14:textId="77777777" w:rsidR="00780105" w:rsidRPr="00780105" w:rsidRDefault="00780105" w:rsidP="00780105">
      <w:pPr>
        <w:spacing w:before="120" w:line="276" w:lineRule="auto"/>
        <w:ind w:firstLine="709"/>
        <w:jc w:val="both"/>
        <w:rPr>
          <w:rFonts w:ascii="Verdana" w:hAnsi="Verdana" w:cs="Arial"/>
          <w:bCs/>
          <w:lang w:eastAsia="es-ES_tradnl"/>
        </w:rPr>
      </w:pPr>
      <w:r w:rsidRPr="00780105">
        <w:rPr>
          <w:rFonts w:ascii="Verdana" w:hAnsi="Verdana" w:cs="Arial"/>
          <w:bCs/>
          <w:lang w:eastAsia="es-ES_tradnl"/>
        </w:rPr>
        <w:t>Teniendo en cuenta que la normativa vigente tampoco regula un límite de las obligaciones que pueden ser subcontratadas, se recomienda que estas sean establecidas en el pliego de condiciones y en el contrato con el fin de evitar la subcontratación total de las actividades</w:t>
      </w:r>
      <w:r w:rsidRPr="00780105">
        <w:rPr>
          <w:rFonts w:ascii="Verdana" w:hAnsi="Verdana" w:cs="Arial"/>
          <w:bCs/>
          <w:vertAlign w:val="superscript"/>
          <w:lang w:eastAsia="es-ES_tradnl"/>
        </w:rPr>
        <w:footnoteReference w:id="17"/>
      </w:r>
      <w:r w:rsidRPr="00780105">
        <w:rPr>
          <w:rFonts w:ascii="Verdana" w:hAnsi="Verdana" w:cs="Arial"/>
          <w:bCs/>
          <w:lang w:eastAsia="es-ES_tradnl"/>
        </w:rPr>
        <w:t xml:space="preserve">. No obstante, es importante que la entidad en cada caso determine el límite teniendo en cuenta la complejidad del contrato y las actividades que pueden ser subcontratadas. </w:t>
      </w:r>
    </w:p>
    <w:p w14:paraId="02C6A2E7" w14:textId="77777777" w:rsidR="00780105" w:rsidRPr="00780105" w:rsidRDefault="00780105" w:rsidP="00780105">
      <w:pPr>
        <w:spacing w:after="120" w:line="276" w:lineRule="auto"/>
        <w:ind w:firstLine="708"/>
        <w:jc w:val="both"/>
        <w:rPr>
          <w:rFonts w:ascii="Verdana" w:hAnsi="Verdana" w:cs="Arial"/>
          <w:color w:val="0D0D0D" w:themeColor="text1" w:themeTint="F2"/>
          <w:lang w:val="es-ES"/>
        </w:rPr>
      </w:pPr>
      <w:r w:rsidRPr="00780105">
        <w:rPr>
          <w:rFonts w:ascii="Verdana" w:hAnsi="Verdana" w:cs="Arial"/>
          <w:bCs/>
          <w:lang w:eastAsia="es-ES_tradnl"/>
        </w:rPr>
        <w:t xml:space="preserve">Por otro lado, existen limitaciones a la subcontratación establecidas en la ley. En efecto, el numeral 5 del artículo 32 de la Ley 80 de 1993, que </w:t>
      </w:r>
      <w:r w:rsidRPr="00780105">
        <w:rPr>
          <w:rFonts w:ascii="Verdana" w:hAnsi="Verdana" w:cs="Arial"/>
          <w:bCs/>
          <w:color w:val="000000" w:themeColor="text1"/>
          <w:lang w:eastAsia="es-ES_tradnl"/>
        </w:rPr>
        <w:t xml:space="preserve">regula el encargo fiduciario y la fiducia pública dispone en su inciso noveno que </w:t>
      </w:r>
      <w:r w:rsidRPr="00780105">
        <w:rPr>
          <w:rFonts w:ascii="Verdana" w:hAnsi="Verdana" w:cs="Arial"/>
          <w:bCs/>
          <w:color w:val="000000" w:themeColor="text1"/>
          <w:lang w:val="es-ES_tradnl" w:eastAsia="es-ES_tradnl"/>
        </w:rPr>
        <w:t>“So pena de nulidad no podrán celebrarse contratos de fiducia o</w:t>
      </w:r>
      <w:r w:rsidRPr="00780105">
        <w:rPr>
          <w:rFonts w:ascii="Verdana" w:hAnsi="Verdana" w:cs="Arial"/>
          <w:bCs/>
          <w:i/>
          <w:iCs/>
          <w:color w:val="000000" w:themeColor="text1"/>
          <w:lang w:val="es-ES_tradnl" w:eastAsia="es-ES_tradnl"/>
        </w:rPr>
        <w:t xml:space="preserve"> subcontratos</w:t>
      </w:r>
      <w:r w:rsidRPr="00780105">
        <w:rPr>
          <w:rFonts w:ascii="Verdana" w:hAnsi="Verdana" w:cs="Arial"/>
          <w:bCs/>
          <w:color w:val="000000" w:themeColor="text1"/>
          <w:lang w:val="es-ES_tradnl" w:eastAsia="es-ES_tradnl"/>
        </w:rPr>
        <w:t xml:space="preserve"> en contravención del artículo </w:t>
      </w:r>
      <w:hyperlink r:id="rId15" w:anchor="355" w:history="1">
        <w:r w:rsidRPr="00780105">
          <w:rPr>
            <w:rFonts w:ascii="Verdana" w:hAnsi="Verdana" w:cs="Arial"/>
            <w:bCs/>
            <w:color w:val="000000" w:themeColor="text1"/>
            <w:lang w:val="es-ES_tradnl" w:eastAsia="es-ES_tradnl"/>
          </w:rPr>
          <w:t>355</w:t>
        </w:r>
      </w:hyperlink>
      <w:r w:rsidRPr="00780105">
        <w:rPr>
          <w:rFonts w:ascii="Verdana" w:hAnsi="Verdana" w:cs="Arial"/>
          <w:bCs/>
          <w:color w:val="000000" w:themeColor="text1"/>
          <w:lang w:val="es-ES_tradnl" w:eastAsia="es-ES_tradnl"/>
        </w:rPr>
        <w:t xml:space="preserve"> de la Constitución Política. Si tal evento se diese, la entidad fideicomitente deberá repetir contra la persona, natural o jurídica, adjudicataria del respectivo contrato”. (Énfasis por fuera de texto). En este caso, </w:t>
      </w:r>
      <w:r w:rsidRPr="00780105">
        <w:rPr>
          <w:rFonts w:ascii="Verdana" w:hAnsi="Verdana" w:cs="Arial"/>
          <w:bCs/>
          <w:color w:val="000000" w:themeColor="text1"/>
          <w:lang w:val="es-ES_tradnl" w:eastAsia="es-ES_tradnl"/>
        </w:rPr>
        <w:lastRenderedPageBreak/>
        <w:t xml:space="preserve">la ley </w:t>
      </w:r>
      <w:r w:rsidRPr="00780105">
        <w:rPr>
          <w:rFonts w:ascii="Verdana" w:hAnsi="Verdana" w:cs="Arial"/>
          <w:bCs/>
          <w:lang w:val="es-ES_tradnl" w:eastAsia="es-ES_tradnl"/>
        </w:rPr>
        <w:t xml:space="preserve">determina expresamente una prohibición de celebración de subcontratos que se realicen vulnerando lo dispuesto en el artículo 355 de la Constitución Política. </w:t>
      </w:r>
    </w:p>
    <w:p w14:paraId="1964386F" w14:textId="77777777" w:rsidR="00780105" w:rsidRPr="00780105" w:rsidRDefault="00780105" w:rsidP="00780105">
      <w:pPr>
        <w:spacing w:after="120" w:line="276" w:lineRule="auto"/>
        <w:ind w:firstLine="709"/>
        <w:jc w:val="both"/>
        <w:rPr>
          <w:rFonts w:ascii="Verdana" w:eastAsia="Calibri" w:hAnsi="Verdana" w:cs="Arial"/>
          <w:lang w:val="es-ES"/>
        </w:rPr>
      </w:pPr>
      <w:r w:rsidRPr="00780105">
        <w:rPr>
          <w:rFonts w:ascii="Verdana" w:eastAsia="Calibri" w:hAnsi="Verdana" w:cs="Arial"/>
          <w:bCs/>
          <w:lang w:val="es-ES"/>
        </w:rPr>
        <w:t xml:space="preserve">La otra restricción normativa </w:t>
      </w:r>
      <w:r w:rsidRPr="00780105">
        <w:rPr>
          <w:rFonts w:ascii="Verdana" w:eastAsia="Calibri" w:hAnsi="Verdana" w:cs="Arial"/>
          <w:bCs/>
        </w:rPr>
        <w:t xml:space="preserve">se encuentra en </w:t>
      </w:r>
      <w:r w:rsidRPr="00780105">
        <w:rPr>
          <w:rFonts w:ascii="Verdana" w:eastAsia="Calibri" w:hAnsi="Verdana" w:cs="Arial"/>
          <w:bCs/>
          <w:lang w:val="es-ES_tradnl"/>
        </w:rPr>
        <w:t xml:space="preserve">el literal c) del numeral 4° del artículo 2 de la Ley 1150 de 2007, en torno a la celebración de contratos interadministrativos. Según el inciso cuarto de este literal </w:t>
      </w:r>
      <w:r w:rsidRPr="00780105">
        <w:rPr>
          <w:rFonts w:ascii="Verdana" w:eastAsia="Calibri" w:hAnsi="Verdana" w:cs="Arial"/>
          <w:lang w:val="es-ES_tradnl"/>
        </w:rPr>
        <w:t>“</w:t>
      </w:r>
      <w:r w:rsidRPr="00780105">
        <w:rPr>
          <w:rFonts w:ascii="Verdana" w:eastAsia="Calibri" w:hAnsi="Verdana" w:cs="Arial"/>
          <w:bCs/>
          <w:lang w:val="es-ES_tradnl"/>
        </w:rPr>
        <w:t xml:space="preserve">En aquellos casos en que la entidad estatal ejecutora deba </w:t>
      </w:r>
      <w:r w:rsidRPr="00780105">
        <w:rPr>
          <w:rFonts w:ascii="Verdana" w:eastAsia="Calibri" w:hAnsi="Verdana" w:cs="Arial"/>
          <w:bCs/>
          <w:i/>
          <w:iCs/>
          <w:lang w:val="es-ES_tradnl"/>
        </w:rPr>
        <w:t>subcontratar algunas de las actividades</w:t>
      </w:r>
      <w:r w:rsidRPr="00780105">
        <w:rPr>
          <w:rFonts w:ascii="Verdana" w:eastAsia="Calibri" w:hAnsi="Verdana" w:cs="Arial"/>
          <w:bCs/>
          <w:lang w:val="es-ES_tradnl"/>
        </w:rPr>
        <w:t xml:space="preserve">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780105">
        <w:rPr>
          <w:rFonts w:ascii="Verdana" w:eastAsia="Calibri" w:hAnsi="Verdana" w:cs="Arial"/>
          <w:lang w:val="es-ES_tradnl"/>
        </w:rPr>
        <w:t>” (Énfasis por fuera de texto)</w:t>
      </w:r>
      <w:r w:rsidRPr="00780105">
        <w:rPr>
          <w:rFonts w:ascii="Verdana" w:eastAsia="Calibri" w:hAnsi="Verdana" w:cs="Arial"/>
          <w:bCs/>
        </w:rPr>
        <w:t>.</w:t>
      </w:r>
      <w:r w:rsidRPr="00780105">
        <w:rPr>
          <w:rFonts w:ascii="Verdana" w:eastAsia="Calibri" w:hAnsi="Verdana" w:cs="Arial"/>
          <w:lang w:val="es-ES"/>
        </w:rPr>
        <w:t xml:space="preserve"> </w:t>
      </w:r>
    </w:p>
    <w:p w14:paraId="34D5BCDD" w14:textId="77777777" w:rsidR="00780105" w:rsidRPr="00780105" w:rsidRDefault="00780105" w:rsidP="00780105">
      <w:pPr>
        <w:spacing w:after="0" w:line="276" w:lineRule="auto"/>
        <w:ind w:firstLine="709"/>
        <w:jc w:val="both"/>
        <w:rPr>
          <w:rFonts w:ascii="Verdana" w:eastAsia="Calibri" w:hAnsi="Verdana" w:cs="Arial"/>
          <w:bCs/>
          <w:lang w:val="es-ES"/>
        </w:rPr>
      </w:pPr>
      <w:r w:rsidRPr="00780105">
        <w:rPr>
          <w:rFonts w:ascii="Verdana" w:eastAsia="Calibri" w:hAnsi="Verdana" w:cs="Arial"/>
          <w:bCs/>
          <w:lang w:val="es-ES"/>
        </w:rPr>
        <w:t xml:space="preserve">De este modo, en los supuestos en que la entidad estatal sea la ejecutora deba contratar algunas de las actividades enmarcadas en el contrato interadministrativo –contrato principal- prohíbe que esta o el subcontratista contrate a una persona natural o jurídica que hayan participado en la elaboración </w:t>
      </w:r>
      <w:r w:rsidRPr="00780105">
        <w:rPr>
          <w:rFonts w:ascii="Verdana" w:eastAsia="Calibri" w:hAnsi="Verdana" w:cs="Arial"/>
          <w:bCs/>
          <w:lang w:val="es-ES_tradnl"/>
        </w:rPr>
        <w:t>de los estudios, diseños y proyectos que tengan relación directa con el objeto del contrato principal.</w:t>
      </w:r>
      <w:r w:rsidRPr="00780105">
        <w:rPr>
          <w:rFonts w:ascii="Verdana" w:eastAsia="Calibri" w:hAnsi="Verdana" w:cs="Arial"/>
          <w:bCs/>
          <w:lang w:val="es-ES"/>
        </w:rPr>
        <w:t xml:space="preserve"> </w:t>
      </w:r>
    </w:p>
    <w:p w14:paraId="06BB4028" w14:textId="77777777" w:rsidR="00780105" w:rsidRPr="00780105" w:rsidRDefault="00780105" w:rsidP="00780105">
      <w:pPr>
        <w:spacing w:after="0" w:line="276" w:lineRule="auto"/>
        <w:jc w:val="both"/>
        <w:rPr>
          <w:rFonts w:ascii="Verdana" w:eastAsia="Calibri" w:hAnsi="Verdana" w:cs="Arial"/>
          <w:bCs/>
        </w:rPr>
      </w:pPr>
    </w:p>
    <w:p w14:paraId="5898F826" w14:textId="77777777" w:rsidR="00780105" w:rsidRPr="00780105" w:rsidRDefault="00780105" w:rsidP="00780105">
      <w:pPr>
        <w:spacing w:after="120" w:line="276" w:lineRule="auto"/>
        <w:jc w:val="both"/>
        <w:rPr>
          <w:rFonts w:ascii="Verdana" w:eastAsia="Calibri" w:hAnsi="Verdana" w:cs="Arial"/>
          <w:bCs/>
          <w:lang w:val="es-ES"/>
        </w:rPr>
      </w:pPr>
      <w:r w:rsidRPr="00780105">
        <w:rPr>
          <w:rFonts w:ascii="Verdana" w:eastAsia="Calibri" w:hAnsi="Verdana" w:cs="Arial"/>
          <w:bCs/>
        </w:rPr>
        <w:t>iii) De lo expuesto en el numeral anterior, es posible concluir que, la subcontratación no está proscrita en la contratación pública, pero sí encuentra limites en su aplicación en el principio de la autonomía de la voluntad, representada en lo pactado en los documentos del proceso de contratación, el contrato principal, y en algunas normas específicas. Entonces, en principio, existe l</w:t>
      </w:r>
      <w:r w:rsidRPr="00780105">
        <w:rPr>
          <w:rFonts w:ascii="Verdana" w:eastAsia="Calibri" w:hAnsi="Verdana" w:cs="Arial"/>
          <w:bCs/>
          <w:lang w:val="es-ES"/>
        </w:rPr>
        <w:t xml:space="preserve">a libertad, como regla de selección de los subcontratistas por parte del contratista del Estado, que se fundamenta en el principio de autonomía de la voluntad privada, que pretende que los terceros sean organizaciones expertas en la ejecución de determinadas actividades para la ejecución del contrato estatal, con el fin de disminuir los costos y aumentar los beneficios económicos. </w:t>
      </w:r>
    </w:p>
    <w:p w14:paraId="7F74BDCA" w14:textId="77777777" w:rsidR="00780105" w:rsidRPr="00780105" w:rsidRDefault="00780105" w:rsidP="00780105">
      <w:pPr>
        <w:spacing w:after="120" w:line="276" w:lineRule="auto"/>
        <w:ind w:firstLine="709"/>
        <w:jc w:val="both"/>
        <w:rPr>
          <w:rFonts w:ascii="Verdana" w:eastAsia="Calibri" w:hAnsi="Verdana" w:cs="Arial"/>
          <w:bCs/>
          <w:lang w:val="es-ES"/>
        </w:rPr>
      </w:pPr>
      <w:r w:rsidRPr="00780105">
        <w:rPr>
          <w:rFonts w:ascii="Verdana" w:eastAsia="Calibri" w:hAnsi="Verdana" w:cs="Arial"/>
          <w:bCs/>
          <w:lang w:val="es-ES"/>
        </w:rPr>
        <w:t xml:space="preserve">En otras palabras, no existe una restricción para que el contratista del Estado seleccione como subcontratista a un proponente participante o un proponente ganador que se le adjudicó un lote dentro del proceso de contratación, ni mucho menos se restringe en el evento que se subcontrate a un miembro de un proponente plural en contratos estatales, como el de obra o la interventoría. No obstante, en cada caso deberá revisarse las disposiciones contenidas en los pliegos de condiciones o documentos equivalente y en el contrato, a fin de determinar la posibilidad de subcontratar, las condiciones para tal efecto, o las prohibiciones que se hayan estipulado. </w:t>
      </w:r>
    </w:p>
    <w:p w14:paraId="3CA1F57B" w14:textId="77777777" w:rsidR="00780105" w:rsidRPr="00780105" w:rsidRDefault="00780105" w:rsidP="00780105">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780105">
        <w:rPr>
          <w:rFonts w:ascii="Verdana" w:hAnsi="Verdana" w:cs="Arial"/>
          <w:lang w:eastAsia="es-ES"/>
        </w:rPr>
        <w:lastRenderedPageBreak/>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C533658" w14:textId="77777777" w:rsidR="00780105" w:rsidRPr="00780105" w:rsidRDefault="00780105" w:rsidP="00780105">
      <w:pPr>
        <w:spacing w:before="120" w:after="0" w:line="276" w:lineRule="auto"/>
        <w:ind w:firstLine="709"/>
        <w:jc w:val="both"/>
        <w:rPr>
          <w:rFonts w:ascii="Verdana" w:hAnsi="Verdana" w:cs="Arial"/>
          <w:lang w:eastAsia="es-ES"/>
        </w:rPr>
      </w:pPr>
      <w:r w:rsidRPr="00780105">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F588C76" w14:textId="77777777" w:rsidR="00780105" w:rsidRPr="00780105" w:rsidRDefault="00780105" w:rsidP="00780105">
      <w:pPr>
        <w:widowControl w:val="0"/>
        <w:autoSpaceDE w:val="0"/>
        <w:autoSpaceDN w:val="0"/>
        <w:spacing w:after="0" w:line="276" w:lineRule="auto"/>
        <w:jc w:val="both"/>
        <w:rPr>
          <w:rFonts w:ascii="Verdana" w:eastAsia="Verdana" w:hAnsi="Verdana" w:cs="Verdana"/>
          <w:sz w:val="25"/>
        </w:rPr>
      </w:pPr>
    </w:p>
    <w:p w14:paraId="53115113" w14:textId="77777777" w:rsidR="00780105" w:rsidRPr="00780105" w:rsidRDefault="00780105" w:rsidP="00780105">
      <w:pPr>
        <w:numPr>
          <w:ilvl w:val="0"/>
          <w:numId w:val="19"/>
        </w:numPr>
        <w:spacing w:after="0" w:line="276" w:lineRule="auto"/>
        <w:jc w:val="both"/>
        <w:rPr>
          <w:rFonts w:ascii="Verdana" w:eastAsia="Calibri" w:hAnsi="Verdana" w:cs="Times New Roman"/>
          <w:b/>
          <w:bCs/>
          <w:lang w:val="es-ES"/>
        </w:rPr>
      </w:pPr>
      <w:r w:rsidRPr="00780105">
        <w:rPr>
          <w:rFonts w:ascii="Verdana" w:eastAsia="Calibri" w:hAnsi="Verdana" w:cs="Times New Roman"/>
          <w:b/>
          <w:bCs/>
          <w:lang w:val="es-ES"/>
        </w:rPr>
        <w:t>Referencias normativas</w:t>
      </w:r>
    </w:p>
    <w:p w14:paraId="5A60274F" w14:textId="77777777" w:rsidR="00780105" w:rsidRPr="00780105" w:rsidRDefault="00780105" w:rsidP="00780105">
      <w:pPr>
        <w:spacing w:after="0" w:line="276" w:lineRule="auto"/>
        <w:jc w:val="both"/>
        <w:rPr>
          <w:rFonts w:ascii="Verdana" w:eastAsia="Calibri" w:hAnsi="Verdana" w:cs="Arial"/>
          <w:color w:val="000000"/>
          <w:szCs w:val="24"/>
          <w:lang w:eastAsia="es-ES_tradnl"/>
        </w:rPr>
      </w:pPr>
      <w:r w:rsidRPr="00780105">
        <w:rPr>
          <w:rFonts w:ascii="Verdana" w:eastAsia="Calibri" w:hAnsi="Verdana" w:cs="Arial"/>
          <w:color w:val="000000"/>
          <w:lang w:eastAsia="es-ES_tradn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0105" w:rsidRPr="00780105" w14:paraId="06FBC001" w14:textId="77777777" w:rsidTr="00844AC7">
        <w:trPr>
          <w:trHeight w:val="870"/>
          <w:jc w:val="center"/>
        </w:trPr>
        <w:tc>
          <w:tcPr>
            <w:tcW w:w="8647" w:type="dxa"/>
          </w:tcPr>
          <w:p w14:paraId="031AF42D" w14:textId="77777777" w:rsidR="00F83293" w:rsidRDefault="00F83293" w:rsidP="00F83293">
            <w:pPr>
              <w:widowControl w:val="0"/>
              <w:autoSpaceDE w:val="0"/>
              <w:autoSpaceDN w:val="0"/>
              <w:spacing w:line="276" w:lineRule="auto"/>
              <w:ind w:left="714"/>
              <w:jc w:val="both"/>
              <w:rPr>
                <w:rFonts w:ascii="Verdana" w:hAnsi="Verdana" w:cs="Arial"/>
                <w:lang w:val="es-ES"/>
              </w:rPr>
            </w:pPr>
          </w:p>
          <w:p w14:paraId="35D0E0A2" w14:textId="7A17EE39" w:rsidR="00780105" w:rsidRPr="00780105" w:rsidRDefault="00780105" w:rsidP="00780105">
            <w:pPr>
              <w:widowControl w:val="0"/>
              <w:numPr>
                <w:ilvl w:val="0"/>
                <w:numId w:val="20"/>
              </w:numPr>
              <w:autoSpaceDE w:val="0"/>
              <w:autoSpaceDN w:val="0"/>
              <w:spacing w:line="276" w:lineRule="auto"/>
              <w:ind w:left="714" w:hanging="357"/>
              <w:jc w:val="both"/>
              <w:rPr>
                <w:rFonts w:ascii="Verdana" w:hAnsi="Verdana" w:cs="Arial"/>
                <w:lang w:val="es-ES"/>
              </w:rPr>
            </w:pPr>
            <w:r w:rsidRPr="00780105">
              <w:rPr>
                <w:rFonts w:ascii="Verdana" w:hAnsi="Verdana" w:cs="Arial"/>
                <w:lang w:val="es-ES"/>
              </w:rPr>
              <w:t>Ley 80 de 1993, artículo 32, numeral 5°.</w:t>
            </w:r>
          </w:p>
          <w:p w14:paraId="29468603" w14:textId="77777777" w:rsidR="00780105" w:rsidRPr="00780105" w:rsidRDefault="00780105" w:rsidP="00780105">
            <w:pPr>
              <w:widowControl w:val="0"/>
              <w:autoSpaceDE w:val="0"/>
              <w:autoSpaceDN w:val="0"/>
              <w:spacing w:line="276" w:lineRule="auto"/>
              <w:ind w:left="714"/>
              <w:jc w:val="both"/>
              <w:rPr>
                <w:rFonts w:ascii="Verdana" w:hAnsi="Verdana" w:cs="Arial"/>
                <w:lang w:val="es-ES"/>
              </w:rPr>
            </w:pPr>
          </w:p>
          <w:p w14:paraId="118FEECB" w14:textId="77777777" w:rsidR="00780105" w:rsidRPr="00780105" w:rsidRDefault="00780105" w:rsidP="00780105">
            <w:pPr>
              <w:widowControl w:val="0"/>
              <w:numPr>
                <w:ilvl w:val="0"/>
                <w:numId w:val="20"/>
              </w:numPr>
              <w:autoSpaceDE w:val="0"/>
              <w:autoSpaceDN w:val="0"/>
              <w:spacing w:line="276" w:lineRule="auto"/>
              <w:ind w:left="714" w:hanging="357"/>
              <w:jc w:val="both"/>
              <w:rPr>
                <w:rFonts w:ascii="Verdana" w:hAnsi="Verdana" w:cs="Arial"/>
                <w:lang w:val="es-ES"/>
              </w:rPr>
            </w:pPr>
            <w:r w:rsidRPr="00780105">
              <w:rPr>
                <w:rFonts w:ascii="Verdana" w:hAnsi="Verdana" w:cs="Arial"/>
                <w:lang w:val="es-ES"/>
              </w:rPr>
              <w:t>Ley 1150 de 2007, artículo 2°, numeral 4°, literal c).</w:t>
            </w:r>
          </w:p>
          <w:p w14:paraId="59C8A315" w14:textId="77777777" w:rsidR="00780105" w:rsidRPr="00780105" w:rsidRDefault="00780105" w:rsidP="00780105">
            <w:pPr>
              <w:widowControl w:val="0"/>
              <w:autoSpaceDE w:val="0"/>
              <w:autoSpaceDN w:val="0"/>
              <w:spacing w:line="276" w:lineRule="auto"/>
              <w:jc w:val="both"/>
              <w:rPr>
                <w:rFonts w:ascii="Verdana" w:hAnsi="Verdana" w:cs="Arial"/>
              </w:rPr>
            </w:pPr>
          </w:p>
          <w:p w14:paraId="01254575" w14:textId="77777777" w:rsidR="00780105" w:rsidRPr="00780105" w:rsidRDefault="00780105" w:rsidP="00780105">
            <w:pPr>
              <w:widowControl w:val="0"/>
              <w:numPr>
                <w:ilvl w:val="0"/>
                <w:numId w:val="20"/>
              </w:numPr>
              <w:autoSpaceDE w:val="0"/>
              <w:autoSpaceDN w:val="0"/>
              <w:spacing w:line="276" w:lineRule="auto"/>
              <w:ind w:left="714" w:hanging="357"/>
              <w:jc w:val="both"/>
              <w:rPr>
                <w:rFonts w:ascii="Verdana" w:hAnsi="Verdana" w:cs="Arial"/>
                <w:lang w:val="es-ES"/>
              </w:rPr>
            </w:pPr>
            <w:r w:rsidRPr="00780105">
              <w:rPr>
                <w:rFonts w:ascii="Verdana" w:hAnsi="Verdana" w:cs="Arial"/>
              </w:rPr>
              <w:t>Decreto 1082 de 2015</w:t>
            </w:r>
            <w:r w:rsidRPr="00780105">
              <w:rPr>
                <w:rFonts w:ascii="Verdana" w:hAnsi="Verdana" w:cs="Arial"/>
                <w:lang w:val="es-ES"/>
              </w:rPr>
              <w:t xml:space="preserve">, artículo </w:t>
            </w:r>
            <w:r w:rsidRPr="00780105">
              <w:rPr>
                <w:rFonts w:ascii="Verdana" w:hAnsi="Verdana" w:cs="Arial"/>
              </w:rPr>
              <w:t>2.2.1.2.1.4.4 y 2.2.1.2.3.1.5</w:t>
            </w:r>
            <w:r w:rsidRPr="00780105">
              <w:rPr>
                <w:rFonts w:ascii="Verdana" w:hAnsi="Verdana" w:cs="Arial"/>
                <w:lang w:val="es-ES"/>
              </w:rPr>
              <w:t>.</w:t>
            </w:r>
          </w:p>
          <w:p w14:paraId="0DE65167" w14:textId="77777777" w:rsidR="00780105" w:rsidRPr="00780105" w:rsidRDefault="00780105" w:rsidP="00780105">
            <w:pPr>
              <w:widowControl w:val="0"/>
              <w:autoSpaceDE w:val="0"/>
              <w:autoSpaceDN w:val="0"/>
              <w:spacing w:line="276" w:lineRule="auto"/>
              <w:jc w:val="both"/>
              <w:rPr>
                <w:rFonts w:ascii="Verdana" w:hAnsi="Verdana" w:cs="Arial"/>
              </w:rPr>
            </w:pPr>
          </w:p>
          <w:p w14:paraId="2B9AEEAB" w14:textId="77777777" w:rsidR="00780105" w:rsidRPr="00F83293" w:rsidRDefault="00780105" w:rsidP="00780105">
            <w:pPr>
              <w:numPr>
                <w:ilvl w:val="0"/>
                <w:numId w:val="20"/>
              </w:numPr>
              <w:spacing w:line="276" w:lineRule="auto"/>
              <w:jc w:val="both"/>
              <w:rPr>
                <w:rFonts w:ascii="Verdana" w:hAnsi="Verdana" w:cs="Arial"/>
                <w:lang w:val="es-ES_tradnl"/>
              </w:rPr>
            </w:pPr>
            <w:r w:rsidRPr="00780105">
              <w:rPr>
                <w:rFonts w:ascii="Verdana" w:hAnsi="Verdana" w:cs="Arial"/>
                <w:lang w:val="es-ES"/>
              </w:rPr>
              <w:t>Decreto 092 de 2017, artículo 7.</w:t>
            </w:r>
          </w:p>
          <w:p w14:paraId="5244D343" w14:textId="77777777" w:rsidR="00F83293" w:rsidRDefault="00F83293" w:rsidP="00F83293">
            <w:pPr>
              <w:pStyle w:val="Prrafodelista"/>
              <w:rPr>
                <w:rFonts w:ascii="Verdana" w:hAnsi="Verdana" w:cs="Arial"/>
                <w:lang w:val="es-ES_tradnl"/>
              </w:rPr>
            </w:pPr>
          </w:p>
          <w:p w14:paraId="57CDA33A" w14:textId="2AEB9AB5" w:rsidR="00F83293" w:rsidRPr="00780105" w:rsidRDefault="00F83293" w:rsidP="00F83293">
            <w:pPr>
              <w:spacing w:line="276" w:lineRule="auto"/>
              <w:ind w:left="720"/>
              <w:jc w:val="both"/>
              <w:rPr>
                <w:rFonts w:ascii="Verdana" w:hAnsi="Verdana" w:cs="Arial"/>
                <w:lang w:val="es-ES_tradnl"/>
              </w:rPr>
            </w:pPr>
          </w:p>
        </w:tc>
      </w:tr>
    </w:tbl>
    <w:p w14:paraId="03018C95" w14:textId="77777777" w:rsidR="00780105" w:rsidRPr="00780105" w:rsidRDefault="00780105" w:rsidP="00780105">
      <w:pPr>
        <w:spacing w:after="0" w:line="276" w:lineRule="auto"/>
        <w:ind w:right="709"/>
        <w:jc w:val="both"/>
        <w:rPr>
          <w:rFonts w:ascii="Verdana" w:hAnsi="Verdana" w:cs="Arial"/>
          <w:color w:val="000000" w:themeColor="text1"/>
          <w:lang w:val="es-ES_tradnl"/>
        </w:rPr>
      </w:pPr>
    </w:p>
    <w:p w14:paraId="6D7AD5AA" w14:textId="77777777" w:rsidR="00780105" w:rsidRPr="00780105" w:rsidRDefault="00780105" w:rsidP="00780105">
      <w:pPr>
        <w:numPr>
          <w:ilvl w:val="0"/>
          <w:numId w:val="19"/>
        </w:numPr>
        <w:spacing w:after="0" w:line="276" w:lineRule="auto"/>
        <w:jc w:val="both"/>
        <w:rPr>
          <w:rFonts w:ascii="Verdana" w:eastAsia="Calibri" w:hAnsi="Verdana" w:cs="Times New Roman"/>
          <w:b/>
          <w:bCs/>
          <w:lang w:val="es-ES"/>
        </w:rPr>
      </w:pPr>
      <w:r w:rsidRPr="00780105">
        <w:rPr>
          <w:rFonts w:ascii="Verdana" w:eastAsia="Calibri" w:hAnsi="Verdana" w:cs="Times New Roman"/>
          <w:b/>
          <w:bCs/>
          <w:lang w:val="es-ES"/>
        </w:rPr>
        <w:t>Doctrina de la Agencia Nacional de Contratación Pública:</w:t>
      </w:r>
    </w:p>
    <w:p w14:paraId="1C63DB0A" w14:textId="77777777" w:rsidR="00780105" w:rsidRPr="00780105" w:rsidRDefault="00780105" w:rsidP="00780105">
      <w:pPr>
        <w:spacing w:after="0" w:line="276" w:lineRule="auto"/>
        <w:jc w:val="both"/>
        <w:rPr>
          <w:rFonts w:ascii="Verdana" w:eastAsia="Calibri" w:hAnsi="Verdana" w:cs="Times New Roman"/>
          <w:lang w:val="es-ES"/>
        </w:rPr>
      </w:pPr>
    </w:p>
    <w:p w14:paraId="3DD6D7FD" w14:textId="77777777" w:rsidR="00780105" w:rsidRPr="00780105" w:rsidRDefault="00780105" w:rsidP="00780105">
      <w:pPr>
        <w:widowControl w:val="0"/>
        <w:autoSpaceDE w:val="0"/>
        <w:autoSpaceDN w:val="0"/>
        <w:spacing w:after="0" w:line="276" w:lineRule="auto"/>
        <w:jc w:val="both"/>
        <w:rPr>
          <w:rFonts w:ascii="Verdana" w:eastAsia="Calibri" w:hAnsi="Verdana" w:cs="Times New Roman"/>
        </w:rPr>
      </w:pPr>
      <w:r w:rsidRPr="00780105">
        <w:rPr>
          <w:rFonts w:ascii="Verdana" w:hAnsi="Verdana" w:cs="Arial"/>
          <w:shd w:val="clear" w:color="auto" w:fill="FFFFFF"/>
          <w:lang w:val="es-ES"/>
        </w:rPr>
        <w:t xml:space="preserve">Esta Subdirección se ha pronunciado sobre varios de los temas objeto de la solicitud, en especial, en los Conceptos C-599 del 26 de octubre de 2021, C-581 del 16 de septiembre de 2022, C-702 del 9 de noviembre de 2022, C-808 del 25 </w:t>
      </w:r>
      <w:r w:rsidRPr="00780105">
        <w:rPr>
          <w:rFonts w:ascii="Verdana" w:hAnsi="Verdana" w:cs="Arial"/>
          <w:shd w:val="clear" w:color="auto" w:fill="FFFFFF"/>
          <w:lang w:val="es-ES"/>
        </w:rPr>
        <w:lastRenderedPageBreak/>
        <w:t xml:space="preserve">de noviembre de 2022, C-240 del 14 de septiembre de 2023 y C-444 del 18 de septiembre de 2024, C-993 del 29 de enero de 2025. </w:t>
      </w:r>
      <w:r w:rsidRPr="0078010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628D814" w14:textId="77777777" w:rsidR="00780105" w:rsidRPr="00780105" w:rsidRDefault="00D935D9" w:rsidP="00780105">
      <w:pPr>
        <w:spacing w:after="0" w:line="276" w:lineRule="auto"/>
        <w:jc w:val="both"/>
        <w:rPr>
          <w:rFonts w:ascii="Verdana" w:eastAsia="Calibri" w:hAnsi="Verdana" w:cs="Times New Roman"/>
        </w:rPr>
      </w:pPr>
      <w:hyperlink r:id="rId16" w:history="1">
        <w:r w:rsidR="00780105" w:rsidRPr="00780105">
          <w:rPr>
            <w:rFonts w:ascii="Verdana" w:eastAsia="Calibri" w:hAnsi="Verdana" w:cs="Times New Roman"/>
            <w:color w:val="0000FF"/>
            <w:u w:val="single"/>
            <w:lang w:val="es-ES"/>
          </w:rPr>
          <w:t>https://relatoria.colombiacompra.gov.co/busqueda/conceptos</w:t>
        </w:r>
      </w:hyperlink>
      <w:r w:rsidR="00780105" w:rsidRPr="00780105">
        <w:rPr>
          <w:rFonts w:ascii="Verdana" w:eastAsia="Calibri" w:hAnsi="Verdana" w:cs="Times New Roman"/>
        </w:rPr>
        <w:t xml:space="preserve">. </w:t>
      </w:r>
    </w:p>
    <w:p w14:paraId="17F668EF"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br/>
        <w:t>Te informamos que ya se encuentra disponible la </w:t>
      </w:r>
      <w:r w:rsidRPr="00780105">
        <w:rPr>
          <w:rFonts w:ascii="Verdana" w:eastAsia="Calibri" w:hAnsi="Verdana" w:cs="Times New Roman"/>
          <w:b/>
          <w:bCs/>
        </w:rPr>
        <w:t>Cartilla para incentivar y fortalecer el acceso a las compras y contratación pública de los pueblos y comunidades étnicas en Colombia.</w:t>
      </w:r>
      <w:r w:rsidRPr="00780105">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Dirección URL original: https://www.colombiacompra.gov.co/manuales-guias-y-pliegos-tipo/manuales-y-guias/cartilla-para-incentivar-y-fortalecer-el-acceso-las. Haga clic o pulse si confía en este vínculo." w:history="1">
        <w:r w:rsidRPr="00780105">
          <w:rPr>
            <w:rFonts w:ascii="Verdana" w:eastAsia="Calibri" w:hAnsi="Verdana" w:cs="Times New Roman"/>
            <w:color w:val="0000FF"/>
            <w:u w:val="single"/>
          </w:rPr>
          <w:t>Cartilla para incentivar y fortalecer el acceso a las compras y contratación pública de los pueblos y comunidades étnicas en Colombia | Colombia Compra Eficiente | Agencia Nacional de Contratación Pública</w:t>
        </w:r>
      </w:hyperlink>
    </w:p>
    <w:p w14:paraId="6324616E" w14:textId="77777777" w:rsidR="00780105" w:rsidRPr="00780105" w:rsidRDefault="00780105" w:rsidP="00780105">
      <w:pPr>
        <w:spacing w:after="0" w:line="276" w:lineRule="auto"/>
        <w:jc w:val="both"/>
        <w:rPr>
          <w:rFonts w:ascii="Verdana" w:eastAsia="Calibri" w:hAnsi="Verdana" w:cs="Times New Roman"/>
        </w:rPr>
      </w:pPr>
    </w:p>
    <w:p w14:paraId="05BA932E"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De otra parte, te informamos que, con el objetivo de garantizar un conocimiento adecuado de las </w:t>
      </w:r>
      <w:r w:rsidRPr="00780105">
        <w:rPr>
          <w:rFonts w:ascii="Verdana" w:eastAsia="Calibri" w:hAnsi="Verdana" w:cs="Times New Roman"/>
          <w:b/>
          <w:bCs/>
        </w:rPr>
        <w:t>modificaciones y/o actualizaciones realizadas a los Documentos Tipo</w:t>
      </w:r>
      <w:r w:rsidRPr="00780105">
        <w:rPr>
          <w:rFonts w:ascii="Verdana" w:eastAsia="Calibri" w:hAnsi="Verdana" w:cs="Times New Roman"/>
        </w:rPr>
        <w:t>, hemos programado una serie de </w:t>
      </w:r>
      <w:r w:rsidRPr="00780105">
        <w:rPr>
          <w:rFonts w:ascii="Verdana" w:eastAsia="Calibri" w:hAnsi="Verdana" w:cs="Times New Roman"/>
          <w:b/>
          <w:bCs/>
        </w:rPr>
        <w:t>capacitaciones </w:t>
      </w:r>
      <w:r w:rsidRPr="00780105">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8" w:tgtFrame="_blank" w:tooltip="Dirección URL original: https://www.colombiacompra.gov.co/ciudadanos/calendario. Haga clic o pulse si confía en este vínculo." w:history="1">
        <w:r w:rsidRPr="00780105">
          <w:rPr>
            <w:rFonts w:ascii="Verdana" w:eastAsia="Calibri" w:hAnsi="Verdana" w:cs="Times New Roman"/>
            <w:color w:val="0000FF"/>
            <w:u w:val="single"/>
          </w:rPr>
          <w:t>Calendario | Colombia Compra Eficiente | Agencia Nacional de Contratación Pública</w:t>
        </w:r>
      </w:hyperlink>
    </w:p>
    <w:p w14:paraId="61ACF37F" w14:textId="77777777" w:rsidR="00780105" w:rsidRPr="00780105" w:rsidRDefault="00780105" w:rsidP="00780105">
      <w:pPr>
        <w:spacing w:after="0" w:line="276" w:lineRule="auto"/>
        <w:jc w:val="both"/>
        <w:rPr>
          <w:rFonts w:ascii="Verdana" w:eastAsia="Calibri" w:hAnsi="Verdana" w:cs="Times New Roman"/>
        </w:rPr>
      </w:pPr>
    </w:p>
    <w:p w14:paraId="43063A49"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También, te contamos que ya publicamos </w:t>
      </w:r>
      <w:r w:rsidRPr="00780105">
        <w:rPr>
          <w:rFonts w:ascii="Verdana" w:eastAsia="Calibri" w:hAnsi="Verdana" w:cs="Times New Roman"/>
          <w:b/>
          <w:bCs/>
        </w:rPr>
        <w:t>la nueva Guía de Contratación Pública Sostenible y Socialmente Responsable</w:t>
      </w:r>
      <w:r w:rsidRPr="00780105">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Dirección URL original: https://www.colombiacompra.gov.co/manuales-guias-y-pliegos-tipo/manuales-y-guias/guia-de-contratacion-publica-sostenible-y-socialmente. Haga clic o pulse si confía en este vínculo." w:history="1">
        <w:r w:rsidRPr="00780105">
          <w:rPr>
            <w:rFonts w:ascii="Verdana" w:eastAsia="Calibri" w:hAnsi="Verdana" w:cs="Times New Roman"/>
            <w:color w:val="0000FF"/>
            <w:u w:val="single"/>
          </w:rPr>
          <w:t>Guía de Contratación Pública Sostenible y Socialmente Responsable | Colombia Compra Eficiente | Agencia Nacional de Contratación Pública</w:t>
        </w:r>
      </w:hyperlink>
    </w:p>
    <w:p w14:paraId="60F6D29E" w14:textId="77777777" w:rsidR="00780105" w:rsidRPr="00780105" w:rsidRDefault="00780105" w:rsidP="00780105">
      <w:pPr>
        <w:spacing w:after="0" w:line="276" w:lineRule="auto"/>
        <w:jc w:val="both"/>
        <w:rPr>
          <w:rFonts w:ascii="Verdana" w:eastAsia="Calibri" w:hAnsi="Verdana" w:cs="Times New Roman"/>
        </w:rPr>
      </w:pPr>
    </w:p>
    <w:p w14:paraId="77FAD7E7"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 xml:space="preserve">Le informamos que ya se encuentran publicados las nuevas versiones de los Documentos Tipo de Interventoría y Consultoría de Infraestructura de </w:t>
      </w:r>
      <w:r w:rsidRPr="00780105">
        <w:rPr>
          <w:rFonts w:ascii="Verdana" w:eastAsia="Calibri" w:hAnsi="Verdana" w:cs="Times New Roman"/>
        </w:rPr>
        <w:lastRenderedPageBreak/>
        <w:t>Transporte. Conoce todos los detalles en los siguientes enlaces: </w:t>
      </w:r>
      <w:hyperlink r:id="rId20" w:tgtFrame="_blank" w:tooltip="Dirección URL original: https://www.colombiacompra.gov.co/content/borrador-de-documentos-tipo-de-consultoria-de-obra-publica-de-infraestructura-de-transporte. Haga clic o pulse si confía en este vínculo." w:history="1">
        <w:r w:rsidRPr="00780105">
          <w:rPr>
            <w:rFonts w:ascii="Verdana" w:eastAsia="Calibri" w:hAnsi="Verdana" w:cs="Times New Roman"/>
            <w:color w:val="0000FF"/>
            <w:u w:val="single"/>
          </w:rPr>
          <w:t>https://www.colombiacompra.gov.co/content/borrador-de-documentos-tipo-de-consultoria-de-obra-publica-de-infraestructura-de-transporte</w:t>
        </w:r>
      </w:hyperlink>
      <w:r w:rsidRPr="00780105">
        <w:rPr>
          <w:rFonts w:ascii="Verdana" w:eastAsia="Calibri" w:hAnsi="Verdana" w:cs="Times New Roman"/>
        </w:rPr>
        <w:t> y </w:t>
      </w:r>
      <w:hyperlink r:id="rId21" w:tgtFrame="_blank" w:tooltip="Dirección URL original: https://www.colombiacompra.gov.co/content/borrador-de-documentos-tipo-de-interventoria-de-obra-publica-de-infraestructura-de. Haga clic o pulse si confía en este vínculo." w:history="1">
        <w:r w:rsidRPr="00780105">
          <w:rPr>
            <w:rFonts w:ascii="Verdana" w:eastAsia="Calibri" w:hAnsi="Verdana" w:cs="Times New Roman"/>
            <w:color w:val="0000FF"/>
            <w:u w:val="single"/>
          </w:rPr>
          <w:t>https://www.colombiacompra.gov.co/content/borrador-de-documentos-tipo-de-interventoria-de-obra-publica-de-infraestructura-de</w:t>
        </w:r>
      </w:hyperlink>
      <w:r w:rsidRPr="00780105">
        <w:rPr>
          <w:rFonts w:ascii="Verdana" w:eastAsia="Calibri" w:hAnsi="Verdana" w:cs="Times New Roman"/>
        </w:rPr>
        <w:t> .</w:t>
      </w:r>
    </w:p>
    <w:p w14:paraId="6D39B752" w14:textId="77777777" w:rsidR="00780105" w:rsidRPr="00780105" w:rsidRDefault="00780105" w:rsidP="00780105">
      <w:pPr>
        <w:spacing w:after="0" w:line="276" w:lineRule="auto"/>
        <w:jc w:val="both"/>
        <w:rPr>
          <w:rFonts w:ascii="Verdana" w:eastAsia="Calibri" w:hAnsi="Verdana" w:cs="Times New Roman"/>
          <w:lang w:val="es-ES"/>
        </w:rPr>
      </w:pPr>
    </w:p>
    <w:p w14:paraId="5A3AAF1C"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 xml:space="preserve">Por último, lo invitamos a seguirnos en las redes sociales en las cuales se difunde información institucional: </w:t>
      </w:r>
    </w:p>
    <w:p w14:paraId="185CBBC9" w14:textId="77777777" w:rsidR="00780105" w:rsidRPr="00780105" w:rsidRDefault="00780105" w:rsidP="00780105">
      <w:pPr>
        <w:spacing w:after="0" w:line="276" w:lineRule="auto"/>
        <w:jc w:val="both"/>
        <w:rPr>
          <w:rFonts w:ascii="Verdana" w:eastAsia="Calibri" w:hAnsi="Verdana" w:cs="Times New Roman"/>
        </w:rPr>
      </w:pPr>
    </w:p>
    <w:p w14:paraId="389CD61A"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 xml:space="preserve">Twitter: </w:t>
      </w:r>
      <w:r w:rsidRPr="00780105">
        <w:rPr>
          <w:rFonts w:ascii="Verdana" w:eastAsia="Calibri" w:hAnsi="Verdana" w:cs="Times New Roman"/>
          <w:u w:val="single"/>
        </w:rPr>
        <w:t>@</w:t>
      </w:r>
      <w:proofErr w:type="spellStart"/>
      <w:r w:rsidRPr="00780105">
        <w:rPr>
          <w:rFonts w:ascii="Verdana" w:eastAsia="Calibri" w:hAnsi="Verdana" w:cs="Times New Roman"/>
          <w:u w:val="single"/>
        </w:rPr>
        <w:t>colombiacompra</w:t>
      </w:r>
      <w:proofErr w:type="spellEnd"/>
      <w:r w:rsidRPr="00780105">
        <w:rPr>
          <w:rFonts w:ascii="Verdana" w:eastAsia="Calibri" w:hAnsi="Verdana" w:cs="Times New Roman"/>
        </w:rPr>
        <w:t xml:space="preserve"> </w:t>
      </w:r>
    </w:p>
    <w:p w14:paraId="73CE733E"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 xml:space="preserve">Facebook: </w:t>
      </w:r>
      <w:proofErr w:type="spellStart"/>
      <w:r w:rsidRPr="00780105">
        <w:rPr>
          <w:rFonts w:ascii="Verdana" w:eastAsia="Calibri" w:hAnsi="Verdana" w:cs="Times New Roman"/>
          <w:u w:val="single"/>
        </w:rPr>
        <w:t>ColombiaCompraEficiente</w:t>
      </w:r>
      <w:proofErr w:type="spellEnd"/>
    </w:p>
    <w:p w14:paraId="5227FC85" w14:textId="77777777" w:rsidR="00780105" w:rsidRPr="00780105" w:rsidRDefault="00780105" w:rsidP="00780105">
      <w:pPr>
        <w:spacing w:after="0" w:line="276" w:lineRule="auto"/>
        <w:jc w:val="both"/>
        <w:rPr>
          <w:rFonts w:ascii="Verdana" w:eastAsia="Calibri" w:hAnsi="Verdana" w:cs="Times New Roman"/>
          <w:u w:val="single"/>
        </w:rPr>
      </w:pPr>
      <w:r w:rsidRPr="00780105">
        <w:rPr>
          <w:rFonts w:ascii="Verdana" w:eastAsia="Calibri" w:hAnsi="Verdana" w:cs="Times New Roman"/>
        </w:rPr>
        <w:t xml:space="preserve">LinkedIn: </w:t>
      </w:r>
      <w:r w:rsidRPr="00780105">
        <w:rPr>
          <w:rFonts w:ascii="Verdana" w:eastAsia="Calibri" w:hAnsi="Verdana" w:cs="Times New Roman"/>
          <w:u w:val="single"/>
        </w:rPr>
        <w:t>Agencia Nacional de Contratación Pública - Colombia Compra Eficiente</w:t>
      </w:r>
      <w:r w:rsidRPr="00780105">
        <w:rPr>
          <w:rFonts w:ascii="Verdana" w:eastAsia="Calibri" w:hAnsi="Verdana" w:cs="Times New Roman"/>
        </w:rPr>
        <w:t xml:space="preserve"> Instagram: </w:t>
      </w:r>
      <w:r w:rsidRPr="00780105">
        <w:rPr>
          <w:rFonts w:ascii="Verdana" w:eastAsia="Calibri" w:hAnsi="Verdana" w:cs="Times New Roman"/>
          <w:u w:val="single"/>
        </w:rPr>
        <w:t>@</w:t>
      </w:r>
      <w:proofErr w:type="spellStart"/>
      <w:r w:rsidRPr="00780105">
        <w:rPr>
          <w:rFonts w:ascii="Verdana" w:eastAsia="Calibri" w:hAnsi="Verdana" w:cs="Times New Roman"/>
          <w:u w:val="single"/>
        </w:rPr>
        <w:t>colombiacompraeficiente_cce</w:t>
      </w:r>
      <w:proofErr w:type="spellEnd"/>
    </w:p>
    <w:p w14:paraId="630F62D7" w14:textId="77777777" w:rsidR="00780105" w:rsidRPr="00780105" w:rsidRDefault="00780105" w:rsidP="00780105">
      <w:pPr>
        <w:spacing w:after="0" w:line="276" w:lineRule="auto"/>
        <w:jc w:val="both"/>
        <w:rPr>
          <w:rFonts w:ascii="Verdana" w:eastAsia="Calibri" w:hAnsi="Verdana" w:cs="Times New Roman"/>
          <w:b/>
          <w:bCs/>
        </w:rPr>
      </w:pPr>
    </w:p>
    <w:p w14:paraId="604FBADB" w14:textId="77777777" w:rsidR="00780105" w:rsidRPr="00780105" w:rsidRDefault="00780105" w:rsidP="00780105">
      <w:pPr>
        <w:spacing w:after="0" w:line="276" w:lineRule="auto"/>
        <w:jc w:val="both"/>
        <w:rPr>
          <w:rFonts w:ascii="Verdana" w:eastAsia="Calibri" w:hAnsi="Verdana" w:cs="Times New Roman"/>
          <w:bCs/>
          <w:lang w:val="es-ES_tradnl"/>
        </w:rPr>
      </w:pPr>
      <w:r w:rsidRPr="0078010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DC03AD9" w14:textId="77777777" w:rsidR="00780105" w:rsidRPr="00780105" w:rsidRDefault="00780105" w:rsidP="00780105">
      <w:pPr>
        <w:spacing w:after="0" w:line="276" w:lineRule="auto"/>
        <w:jc w:val="both"/>
        <w:rPr>
          <w:rFonts w:ascii="Verdana" w:eastAsia="Calibri" w:hAnsi="Verdana" w:cs="Times New Roman"/>
        </w:rPr>
      </w:pPr>
    </w:p>
    <w:p w14:paraId="029E8821" w14:textId="77777777" w:rsidR="00780105" w:rsidRPr="00780105" w:rsidRDefault="00780105" w:rsidP="00780105">
      <w:pPr>
        <w:spacing w:after="0" w:line="276" w:lineRule="auto"/>
        <w:jc w:val="both"/>
        <w:rPr>
          <w:rFonts w:ascii="Verdana" w:eastAsia="Calibri" w:hAnsi="Verdana" w:cs="Times New Roman"/>
        </w:rPr>
      </w:pPr>
      <w:r w:rsidRPr="00780105">
        <w:rPr>
          <w:rFonts w:ascii="Verdana" w:eastAsia="Calibri" w:hAnsi="Verdana" w:cs="Times New Roman"/>
        </w:rPr>
        <w:t>Atentamente,</w:t>
      </w:r>
    </w:p>
    <w:p w14:paraId="0E75D958" w14:textId="5F5821BF" w:rsidR="000B02BC" w:rsidRDefault="000B02BC" w:rsidP="000B02BC">
      <w:pPr>
        <w:spacing w:after="0" w:line="256" w:lineRule="auto"/>
        <w:rPr>
          <w:rFonts w:ascii="Verdana" w:hAnsi="Verdana"/>
          <w:noProof/>
          <w:lang w:val="en-US"/>
        </w:rPr>
      </w:pPr>
      <w:r>
        <w:rPr>
          <w:rFonts w:ascii="Verdana" w:eastAsia="Calibri" w:hAnsi="Verdana" w:cs="Times New Roman"/>
          <w:noProof/>
          <w:lang w:val="en-US"/>
        </w:rPr>
        <w:drawing>
          <wp:anchor distT="0" distB="0" distL="114300" distR="114300" simplePos="0" relativeHeight="251660288" behindDoc="0" locked="0" layoutInCell="1" allowOverlap="1" wp14:anchorId="1FBE140F" wp14:editId="3FADA77E">
            <wp:simplePos x="0" y="0"/>
            <wp:positionH relativeFrom="column">
              <wp:posOffset>1226127</wp:posOffset>
            </wp:positionH>
            <wp:positionV relativeFrom="paragraph">
              <wp:posOffset>5599</wp:posOffset>
            </wp:positionV>
            <wp:extent cx="3657600" cy="149352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1493520"/>
                    </a:xfrm>
                    <a:prstGeom prst="rect">
                      <a:avLst/>
                    </a:prstGeom>
                    <a:noFill/>
                  </pic:spPr>
                </pic:pic>
              </a:graphicData>
            </a:graphic>
          </wp:anchor>
        </w:drawing>
      </w:r>
    </w:p>
    <w:p w14:paraId="4D24D212" w14:textId="206860D9" w:rsidR="000B02BC" w:rsidRPr="00780105" w:rsidRDefault="000B02BC" w:rsidP="000B02BC">
      <w:pPr>
        <w:spacing w:after="0" w:line="256" w:lineRule="auto"/>
        <w:rPr>
          <w:rFonts w:ascii="Verdana" w:eastAsia="Calibri" w:hAnsi="Verdana" w:cs="Times New Roman"/>
          <w:lang w:val="es-ES"/>
        </w:rPr>
      </w:pPr>
    </w:p>
    <w:p w14:paraId="1DD577B4" w14:textId="65C0E4F5" w:rsidR="00780105" w:rsidRDefault="00780105" w:rsidP="00780105">
      <w:pPr>
        <w:spacing w:after="0" w:line="256" w:lineRule="auto"/>
        <w:rPr>
          <w:rFonts w:ascii="Verdana" w:eastAsia="Calibri" w:hAnsi="Verdana" w:cs="Times New Roman"/>
          <w:lang w:val="es-ES"/>
        </w:rPr>
      </w:pPr>
    </w:p>
    <w:p w14:paraId="341C7AB9" w14:textId="2DA33D1C" w:rsidR="000B02BC" w:rsidRDefault="000B02BC" w:rsidP="00780105">
      <w:pPr>
        <w:spacing w:after="0" w:line="256" w:lineRule="auto"/>
        <w:rPr>
          <w:rFonts w:ascii="Verdana" w:eastAsia="Calibri" w:hAnsi="Verdana" w:cs="Times New Roman"/>
          <w:lang w:val="es-ES"/>
        </w:rPr>
      </w:pPr>
    </w:p>
    <w:p w14:paraId="6A6C225A" w14:textId="64947AE8" w:rsidR="000B02BC" w:rsidRDefault="000B02BC" w:rsidP="00780105">
      <w:pPr>
        <w:spacing w:after="0" w:line="256" w:lineRule="auto"/>
        <w:rPr>
          <w:rFonts w:ascii="Verdana" w:eastAsia="Calibri" w:hAnsi="Verdana" w:cs="Times New Roman"/>
          <w:lang w:val="es-ES"/>
        </w:rPr>
      </w:pPr>
    </w:p>
    <w:p w14:paraId="2F3BF930" w14:textId="3D4FA4F1" w:rsidR="000B02BC" w:rsidRDefault="000B02BC" w:rsidP="00780105">
      <w:pPr>
        <w:spacing w:after="0" w:line="256" w:lineRule="auto"/>
        <w:rPr>
          <w:rFonts w:ascii="Verdana" w:eastAsia="Calibri" w:hAnsi="Verdana" w:cs="Times New Roman"/>
          <w:lang w:val="es-ES"/>
        </w:rPr>
      </w:pPr>
    </w:p>
    <w:p w14:paraId="337789E4" w14:textId="4F88F625" w:rsidR="000B02BC" w:rsidRDefault="000B02BC" w:rsidP="00780105">
      <w:pPr>
        <w:spacing w:after="0" w:line="256" w:lineRule="auto"/>
        <w:rPr>
          <w:rFonts w:ascii="Verdana" w:eastAsia="Calibri" w:hAnsi="Verdana" w:cs="Times New Roman"/>
          <w:lang w:val="es-ES"/>
        </w:rPr>
      </w:pPr>
    </w:p>
    <w:p w14:paraId="5457DA5C" w14:textId="554276A0" w:rsidR="000B02BC" w:rsidRDefault="000B02BC" w:rsidP="00780105">
      <w:pPr>
        <w:spacing w:after="0" w:line="256" w:lineRule="auto"/>
        <w:rPr>
          <w:rFonts w:ascii="Verdana" w:eastAsia="Calibri" w:hAnsi="Verdana" w:cs="Times New Roman"/>
          <w:lang w:val="es-ES"/>
        </w:rPr>
      </w:pPr>
    </w:p>
    <w:p w14:paraId="71CDCE6F" w14:textId="77777777" w:rsidR="000B02BC" w:rsidRPr="00780105" w:rsidRDefault="000B02BC" w:rsidP="00780105">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80105" w:rsidRPr="00780105" w14:paraId="3316E7A3" w14:textId="77777777" w:rsidTr="00844AC7">
        <w:trPr>
          <w:trHeight w:val="409"/>
        </w:trPr>
        <w:tc>
          <w:tcPr>
            <w:tcW w:w="817" w:type="dxa"/>
            <w:tcBorders>
              <w:top w:val="nil"/>
              <w:left w:val="nil"/>
              <w:bottom w:val="nil"/>
              <w:right w:val="nil"/>
            </w:tcBorders>
            <w:vAlign w:val="center"/>
            <w:hideMark/>
          </w:tcPr>
          <w:p w14:paraId="215DF56E"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C9D49EA"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José Luis Sánchez Cardona</w:t>
            </w:r>
          </w:p>
          <w:p w14:paraId="29295E64"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Contratista de la Subdirección de Gestión Contractual</w:t>
            </w:r>
          </w:p>
        </w:tc>
      </w:tr>
      <w:tr w:rsidR="00780105" w:rsidRPr="00780105" w14:paraId="2046F7B3" w14:textId="77777777" w:rsidTr="00844AC7">
        <w:trPr>
          <w:trHeight w:val="409"/>
        </w:trPr>
        <w:tc>
          <w:tcPr>
            <w:tcW w:w="817" w:type="dxa"/>
            <w:tcBorders>
              <w:top w:val="nil"/>
              <w:left w:val="nil"/>
              <w:bottom w:val="nil"/>
              <w:right w:val="nil"/>
            </w:tcBorders>
            <w:vAlign w:val="center"/>
            <w:hideMark/>
          </w:tcPr>
          <w:p w14:paraId="10C132BB"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EC3F398"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Diana Lucia Saavedra Castañeda</w:t>
            </w:r>
          </w:p>
          <w:p w14:paraId="1E64E8E2"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Contratista de la Subdirección de Gestión Contractual </w:t>
            </w:r>
          </w:p>
        </w:tc>
      </w:tr>
      <w:tr w:rsidR="00780105" w:rsidRPr="00780105" w14:paraId="40C8AEDD" w14:textId="77777777" w:rsidTr="00844AC7">
        <w:trPr>
          <w:trHeight w:val="389"/>
        </w:trPr>
        <w:tc>
          <w:tcPr>
            <w:tcW w:w="817" w:type="dxa"/>
            <w:tcBorders>
              <w:top w:val="nil"/>
              <w:left w:val="nil"/>
              <w:bottom w:val="nil"/>
              <w:right w:val="nil"/>
            </w:tcBorders>
            <w:vAlign w:val="center"/>
            <w:hideMark/>
          </w:tcPr>
          <w:p w14:paraId="5D996072"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015EE1F"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 xml:space="preserve">Carolina Quintero </w:t>
            </w:r>
            <w:proofErr w:type="spellStart"/>
            <w:r w:rsidRPr="00780105">
              <w:rPr>
                <w:rFonts w:ascii="Verdana" w:eastAsia="Calibri" w:hAnsi="Verdana" w:cs="Times New Roman"/>
                <w:sz w:val="16"/>
                <w:szCs w:val="16"/>
              </w:rPr>
              <w:t>Gacharná</w:t>
            </w:r>
            <w:proofErr w:type="spellEnd"/>
          </w:p>
          <w:p w14:paraId="445D0D01" w14:textId="77777777" w:rsidR="00780105" w:rsidRPr="00780105" w:rsidRDefault="00780105" w:rsidP="00780105">
            <w:pPr>
              <w:spacing w:after="0" w:line="256" w:lineRule="auto"/>
              <w:rPr>
                <w:rFonts w:ascii="Verdana" w:eastAsia="Calibri" w:hAnsi="Verdana" w:cs="Times New Roman"/>
                <w:sz w:val="16"/>
                <w:szCs w:val="16"/>
              </w:rPr>
            </w:pPr>
            <w:r w:rsidRPr="00780105">
              <w:rPr>
                <w:rFonts w:ascii="Verdana" w:eastAsia="Calibri" w:hAnsi="Verdana" w:cs="Times New Roman"/>
                <w:sz w:val="16"/>
                <w:szCs w:val="16"/>
              </w:rPr>
              <w:t>Subdirectora de Gestión Contractual ANCP – CCE</w:t>
            </w:r>
          </w:p>
        </w:tc>
      </w:tr>
      <w:bookmarkEnd w:id="1"/>
    </w:tbl>
    <w:p w14:paraId="6DE92368" w14:textId="77777777" w:rsidR="00780105" w:rsidRPr="00780105" w:rsidRDefault="00780105" w:rsidP="00780105">
      <w:pPr>
        <w:rPr>
          <w:rFonts w:ascii="Verdana" w:hAnsi="Verdana"/>
        </w:rPr>
      </w:pPr>
    </w:p>
    <w:sectPr w:rsidR="00780105" w:rsidRPr="00780105"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27BD1" w14:textId="77777777" w:rsidR="00D935D9" w:rsidRDefault="00D935D9" w:rsidP="004A1847">
      <w:pPr>
        <w:spacing w:after="0" w:line="240" w:lineRule="auto"/>
      </w:pPr>
      <w:r>
        <w:separator/>
      </w:r>
    </w:p>
  </w:endnote>
  <w:endnote w:type="continuationSeparator" w:id="0">
    <w:p w14:paraId="0714A833" w14:textId="77777777" w:rsidR="00D935D9" w:rsidRDefault="00D935D9" w:rsidP="004A1847">
      <w:pPr>
        <w:spacing w:after="0" w:line="240" w:lineRule="auto"/>
      </w:pPr>
      <w:r>
        <w:continuationSeparator/>
      </w:r>
    </w:p>
  </w:endnote>
  <w:endnote w:type="continuationNotice" w:id="1">
    <w:p w14:paraId="1EB80CEA" w14:textId="77777777" w:rsidR="00D935D9" w:rsidRDefault="00D935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41511C21"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F83293" w:rsidRPr="00F83293">
      <w:rPr>
        <w:rFonts w:ascii="Verdana" w:eastAsiaTheme="minorEastAsia" w:hAnsi="Verdana"/>
        <w:b/>
        <w:bCs/>
        <w:noProof/>
        <w:sz w:val="16"/>
        <w:szCs w:val="16"/>
      </w:rPr>
      <w:t>14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EFBA1" w14:textId="77777777" w:rsidR="00D935D9" w:rsidRDefault="00D935D9" w:rsidP="004A1847">
      <w:pPr>
        <w:spacing w:after="0" w:line="240" w:lineRule="auto"/>
      </w:pPr>
      <w:r>
        <w:separator/>
      </w:r>
    </w:p>
  </w:footnote>
  <w:footnote w:type="continuationSeparator" w:id="0">
    <w:p w14:paraId="14855A95" w14:textId="77777777" w:rsidR="00D935D9" w:rsidRDefault="00D935D9" w:rsidP="004A1847">
      <w:pPr>
        <w:spacing w:after="0" w:line="240" w:lineRule="auto"/>
      </w:pPr>
      <w:r>
        <w:continuationSeparator/>
      </w:r>
    </w:p>
  </w:footnote>
  <w:footnote w:type="continuationNotice" w:id="1">
    <w:p w14:paraId="640C92F0" w14:textId="77777777" w:rsidR="00D935D9" w:rsidRDefault="00D935D9">
      <w:pPr>
        <w:spacing w:after="0" w:line="240" w:lineRule="auto"/>
      </w:pPr>
    </w:p>
  </w:footnote>
  <w:footnote w:id="2">
    <w:p w14:paraId="00BCD0B0" w14:textId="77777777" w:rsidR="00780105" w:rsidRPr="00166BA5" w:rsidRDefault="00780105" w:rsidP="00780105">
      <w:pPr>
        <w:pStyle w:val="Textonotapie"/>
        <w:ind w:firstLine="708"/>
        <w:contextualSpacing/>
        <w:jc w:val="both"/>
        <w:rPr>
          <w:rFonts w:ascii="Verdana" w:hAnsi="Verdana" w:cs="Arial"/>
          <w:sz w:val="16"/>
          <w:szCs w:val="16"/>
        </w:rPr>
      </w:pPr>
      <w:r w:rsidRPr="00166BA5">
        <w:rPr>
          <w:rFonts w:ascii="Verdana" w:hAnsi="Verdana"/>
          <w:sz w:val="16"/>
          <w:szCs w:val="16"/>
          <w:vertAlign w:val="superscript"/>
        </w:rPr>
        <w:footnoteRef/>
      </w:r>
      <w:r w:rsidRPr="00166BA5">
        <w:rPr>
          <w:rFonts w:ascii="Verdana" w:hAnsi="Verdana" w:cs="Arial"/>
          <w:sz w:val="16"/>
          <w:szCs w:val="16"/>
          <w:vertAlign w:val="superscript"/>
        </w:rPr>
        <w:t xml:space="preserve"> </w:t>
      </w:r>
      <w:r w:rsidRPr="00166BA5">
        <w:rPr>
          <w:rFonts w:ascii="Verdana" w:hAnsi="Verdana" w:cs="Arial"/>
          <w:sz w:val="16"/>
          <w:szCs w:val="16"/>
        </w:rPr>
        <w:t>El inciso final del numeral 5 “encargos fiduciarios y fiducia pública” del artículo 32 de la Ley 80 de 1993 señala lo siguiente: “</w:t>
      </w:r>
      <w:proofErr w:type="gramStart"/>
      <w:r w:rsidRPr="00166BA5">
        <w:rPr>
          <w:rFonts w:ascii="Verdana" w:hAnsi="Verdana" w:cs="Arial"/>
          <w:sz w:val="16"/>
          <w:szCs w:val="16"/>
        </w:rPr>
        <w:t>So pena de nulidad no podrán</w:t>
      </w:r>
      <w:proofErr w:type="gramEnd"/>
      <w:r w:rsidRPr="00166BA5">
        <w:rPr>
          <w:rFonts w:ascii="Verdana" w:hAnsi="Verdana" w:cs="Arial"/>
          <w:sz w:val="16"/>
          <w:szCs w:val="16"/>
        </w:rPr>
        <w:t xml:space="preserve"> celebrarse contratos de fiducia o subcontratos en contravención del artículo 355 de la Constitución Política. Si tal evento se diese, la entidad fideicomitente deberá repetir contra la persona, natural o jurídica, adjudicataria del respectivo contrato”.</w:t>
      </w:r>
    </w:p>
    <w:p w14:paraId="669EAE6D" w14:textId="77777777" w:rsidR="00780105" w:rsidRPr="00166BA5" w:rsidRDefault="00780105" w:rsidP="00780105">
      <w:pPr>
        <w:pStyle w:val="Textonotapie"/>
        <w:ind w:firstLine="708"/>
        <w:contextualSpacing/>
        <w:jc w:val="both"/>
        <w:rPr>
          <w:rFonts w:ascii="Verdana" w:hAnsi="Verdana" w:cs="Arial"/>
          <w:sz w:val="16"/>
          <w:szCs w:val="16"/>
        </w:rPr>
      </w:pPr>
    </w:p>
  </w:footnote>
  <w:footnote w:id="3">
    <w:p w14:paraId="7096782B" w14:textId="77777777" w:rsidR="00780105" w:rsidRPr="00166BA5" w:rsidRDefault="00780105" w:rsidP="00780105">
      <w:pPr>
        <w:pStyle w:val="Textonotapie"/>
        <w:ind w:firstLine="708"/>
        <w:contextualSpacing/>
        <w:jc w:val="both"/>
        <w:rPr>
          <w:rFonts w:ascii="Verdana" w:hAnsi="Verdana" w:cs="Arial"/>
          <w:sz w:val="16"/>
          <w:szCs w:val="16"/>
        </w:rPr>
      </w:pPr>
      <w:r w:rsidRPr="00166BA5">
        <w:rPr>
          <w:rFonts w:ascii="Verdana" w:hAnsi="Verdana"/>
          <w:sz w:val="16"/>
          <w:szCs w:val="16"/>
          <w:vertAlign w:val="superscript"/>
        </w:rPr>
        <w:footnoteRef/>
      </w:r>
      <w:r w:rsidRPr="00166BA5">
        <w:rPr>
          <w:rFonts w:ascii="Verdana" w:hAnsi="Verdana" w:cs="Arial"/>
          <w:sz w:val="16"/>
          <w:szCs w:val="16"/>
        </w:rPr>
        <w:t xml:space="preserve">  El literal c del numeral 4 del artículo 2 de la Ley 1150 de 2007 dispone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578CF67E" w14:textId="77777777" w:rsidR="00780105" w:rsidRPr="00166BA5" w:rsidRDefault="00780105" w:rsidP="00780105">
      <w:pPr>
        <w:pStyle w:val="Textonotapie"/>
        <w:ind w:firstLine="708"/>
        <w:contextualSpacing/>
        <w:jc w:val="both"/>
        <w:rPr>
          <w:rFonts w:ascii="Verdana" w:hAnsi="Verdana" w:cs="Arial"/>
          <w:sz w:val="16"/>
          <w:szCs w:val="16"/>
        </w:rPr>
      </w:pPr>
    </w:p>
  </w:footnote>
  <w:footnote w:id="4">
    <w:p w14:paraId="55D916C4" w14:textId="77777777" w:rsidR="00780105" w:rsidRPr="00166BA5" w:rsidRDefault="00780105" w:rsidP="00780105">
      <w:pPr>
        <w:pStyle w:val="Textonotapie"/>
        <w:ind w:firstLine="708"/>
        <w:contextualSpacing/>
        <w:jc w:val="both"/>
        <w:rPr>
          <w:rFonts w:ascii="Verdana" w:hAnsi="Verdana" w:cs="Arial"/>
          <w:sz w:val="16"/>
          <w:szCs w:val="16"/>
        </w:rPr>
      </w:pPr>
      <w:r w:rsidRPr="00166BA5">
        <w:rPr>
          <w:rFonts w:ascii="Verdana" w:hAnsi="Verdana"/>
          <w:sz w:val="16"/>
          <w:szCs w:val="16"/>
          <w:vertAlign w:val="superscript"/>
        </w:rPr>
        <w:footnoteRef/>
      </w:r>
      <w:r w:rsidRPr="00166BA5">
        <w:rPr>
          <w:rFonts w:ascii="Verdana" w:hAnsi="Verdana" w:cs="Arial"/>
          <w:sz w:val="16"/>
          <w:szCs w:val="16"/>
        </w:rPr>
        <w:t xml:space="preserve"> El artículo 2.2.1.2.3.1.5 del Decreto 1082 de 2015 hace mención a la subcontratación en lo relacionado con las garantías, particularmente en los riesgos a los que se encuentran expuestas las entidades estatales, derivados de la responsabilidad extracontractual que pueda surgir por las actuaciones, hechos u omisiones de sus contratistas y subcontratistas.</w:t>
      </w:r>
    </w:p>
    <w:p w14:paraId="044B32A0" w14:textId="77777777" w:rsidR="00780105" w:rsidRPr="00166BA5" w:rsidRDefault="00780105" w:rsidP="00780105">
      <w:pPr>
        <w:pStyle w:val="Textonotapie"/>
        <w:ind w:firstLine="708"/>
        <w:contextualSpacing/>
        <w:jc w:val="both"/>
        <w:rPr>
          <w:rFonts w:ascii="Verdana" w:hAnsi="Verdana" w:cs="Arial"/>
          <w:sz w:val="16"/>
          <w:szCs w:val="16"/>
        </w:rPr>
      </w:pPr>
      <w:r w:rsidRPr="00166BA5">
        <w:rPr>
          <w:rFonts w:ascii="Verdana" w:hAnsi="Verdana" w:cs="Arial"/>
          <w:sz w:val="16"/>
          <w:szCs w:val="16"/>
        </w:rPr>
        <w:t xml:space="preserve"> </w:t>
      </w:r>
    </w:p>
  </w:footnote>
  <w:footnote w:id="5">
    <w:p w14:paraId="53E1DA4C" w14:textId="77777777" w:rsidR="00780105" w:rsidRDefault="00780105" w:rsidP="00780105">
      <w:pPr>
        <w:pStyle w:val="Textonotapie"/>
        <w:ind w:firstLine="709"/>
        <w:contextualSpacing/>
        <w:jc w:val="both"/>
        <w:rPr>
          <w:rFonts w:ascii="Verdana" w:hAnsi="Verdana" w:cs="Arial"/>
          <w:sz w:val="16"/>
          <w:szCs w:val="16"/>
        </w:rPr>
      </w:pPr>
      <w:r w:rsidRPr="00166BA5">
        <w:rPr>
          <w:rStyle w:val="Refdenotaalpie"/>
          <w:rFonts w:ascii="Verdana" w:hAnsi="Verdana"/>
          <w:sz w:val="16"/>
          <w:szCs w:val="16"/>
        </w:rPr>
        <w:footnoteRef/>
      </w:r>
      <w:r w:rsidRPr="00166BA5">
        <w:rPr>
          <w:rFonts w:ascii="Verdana" w:hAnsi="Verdana"/>
          <w:sz w:val="16"/>
          <w:szCs w:val="16"/>
        </w:rPr>
        <w:t xml:space="preserve"> </w:t>
      </w:r>
      <w:r w:rsidRPr="00166BA5">
        <w:rPr>
          <w:rFonts w:ascii="Verdana" w:hAnsi="Verdana" w:cs="Arial"/>
          <w:sz w:val="16"/>
          <w:szCs w:val="16"/>
        </w:rPr>
        <w:t xml:space="preserve">El artículo 7 del Decreto 092 de 2017 señala lo siguiente: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166BA5">
        <w:rPr>
          <w:rFonts w:ascii="Verdana" w:hAnsi="Verdana" w:cs="Arial"/>
          <w:sz w:val="16"/>
          <w:szCs w:val="16"/>
        </w:rPr>
        <w:t>que</w:t>
      </w:r>
      <w:proofErr w:type="spellEnd"/>
      <w:r w:rsidRPr="00166BA5">
        <w:rPr>
          <w:rFonts w:ascii="Verdana" w:hAnsi="Verdana" w:cs="Arial"/>
          <w:sz w:val="16"/>
          <w:szCs w:val="16"/>
        </w:rPr>
        <w:t xml:space="preserv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(Énfasis por fuera de texto).</w:t>
      </w:r>
    </w:p>
    <w:p w14:paraId="1A807BF7" w14:textId="77777777" w:rsidR="00780105" w:rsidRPr="00166BA5" w:rsidRDefault="00780105" w:rsidP="00780105">
      <w:pPr>
        <w:pStyle w:val="Textonotapie"/>
        <w:ind w:firstLine="709"/>
        <w:contextualSpacing/>
        <w:jc w:val="both"/>
        <w:rPr>
          <w:rFonts w:ascii="Verdana" w:hAnsi="Verdana" w:cs="Arial"/>
          <w:sz w:val="16"/>
          <w:szCs w:val="16"/>
        </w:rPr>
      </w:pPr>
    </w:p>
  </w:footnote>
  <w:footnote w:id="6">
    <w:p w14:paraId="4E206ADA" w14:textId="77777777" w:rsidR="00780105" w:rsidRDefault="00780105" w:rsidP="00780105">
      <w:pPr>
        <w:pStyle w:val="Textonotapie"/>
        <w:ind w:firstLine="708"/>
        <w:contextualSpacing/>
        <w:jc w:val="both"/>
        <w:rPr>
          <w:rFonts w:ascii="Verdana" w:hAnsi="Verdana" w:cs="Arial"/>
          <w:sz w:val="16"/>
          <w:szCs w:val="16"/>
        </w:rPr>
      </w:pPr>
      <w:r w:rsidRPr="00AF589E">
        <w:rPr>
          <w:rFonts w:ascii="Verdana" w:hAnsi="Verdana"/>
          <w:sz w:val="16"/>
          <w:szCs w:val="16"/>
          <w:vertAlign w:val="superscript"/>
        </w:rPr>
        <w:footnoteRef/>
      </w:r>
      <w:r w:rsidRPr="00AF589E">
        <w:rPr>
          <w:rFonts w:ascii="Verdana" w:hAnsi="Verdana" w:cs="Arial"/>
          <w:sz w:val="16"/>
          <w:szCs w:val="16"/>
        </w:rPr>
        <w:t xml:space="preserve"> Consejo de Estado. Sección Tercera. Subsección C. Sentencia del 12 de agosto de 2013. Radicación número: 52001-23-31-000-1999-00985-01 (23.088) C.P: Enrique Gil Botero. </w:t>
      </w:r>
    </w:p>
    <w:p w14:paraId="4CB008E8" w14:textId="77777777" w:rsidR="00780105" w:rsidRPr="00AF589E" w:rsidRDefault="00780105" w:rsidP="00780105">
      <w:pPr>
        <w:pStyle w:val="Textonotapie"/>
        <w:ind w:firstLine="708"/>
        <w:contextualSpacing/>
        <w:jc w:val="both"/>
        <w:rPr>
          <w:rFonts w:ascii="Verdana" w:hAnsi="Verdana" w:cs="Arial"/>
          <w:sz w:val="16"/>
          <w:szCs w:val="16"/>
        </w:rPr>
      </w:pPr>
    </w:p>
  </w:footnote>
  <w:footnote w:id="7">
    <w:p w14:paraId="185292B6" w14:textId="77777777" w:rsidR="00780105" w:rsidRDefault="00780105" w:rsidP="00780105">
      <w:pPr>
        <w:pStyle w:val="Textonotapie"/>
        <w:ind w:firstLine="708"/>
        <w:contextualSpacing/>
        <w:jc w:val="both"/>
        <w:rPr>
          <w:rFonts w:ascii="Verdana" w:hAnsi="Verdana" w:cs="Arial"/>
          <w:sz w:val="16"/>
          <w:szCs w:val="16"/>
        </w:rPr>
      </w:pPr>
      <w:r w:rsidRPr="00166BA5">
        <w:rPr>
          <w:rFonts w:ascii="Verdana" w:hAnsi="Verdana"/>
          <w:sz w:val="16"/>
          <w:szCs w:val="16"/>
          <w:vertAlign w:val="superscript"/>
        </w:rPr>
        <w:footnoteRef/>
      </w:r>
      <w:r w:rsidRPr="00166BA5">
        <w:rPr>
          <w:rFonts w:ascii="Verdana" w:hAnsi="Verdana" w:cs="Arial"/>
          <w:sz w:val="16"/>
          <w:szCs w:val="16"/>
          <w:vertAlign w:val="superscript"/>
        </w:rPr>
        <w:t xml:space="preserve"> </w:t>
      </w:r>
      <w:r w:rsidRPr="00166BA5">
        <w:rPr>
          <w:rFonts w:ascii="Verdana" w:hAnsi="Verdana" w:cs="Arial"/>
          <w:sz w:val="16"/>
          <w:szCs w:val="16"/>
        </w:rPr>
        <w:t xml:space="preserve">RAMÍREZ GRISALES, Richard Steve. La Subcontratación. Serie: Las cláusulas del contrato estatal. Librería Jurídica Sánchez R. Ltda. y Centro de Estudios de Derecho Administrativo –CEDA-, Medellín, 2012, p. 26. </w:t>
      </w:r>
    </w:p>
    <w:p w14:paraId="32D30F35" w14:textId="77777777" w:rsidR="00780105" w:rsidRPr="00166BA5" w:rsidRDefault="00780105" w:rsidP="00780105">
      <w:pPr>
        <w:pStyle w:val="Textonotapie"/>
        <w:ind w:firstLine="708"/>
        <w:contextualSpacing/>
        <w:jc w:val="both"/>
        <w:rPr>
          <w:rFonts w:ascii="Verdana" w:hAnsi="Verdana" w:cs="Arial"/>
          <w:sz w:val="16"/>
          <w:szCs w:val="16"/>
        </w:rPr>
      </w:pPr>
    </w:p>
  </w:footnote>
  <w:footnote w:id="8">
    <w:p w14:paraId="65FB3BD8" w14:textId="77777777" w:rsidR="00780105" w:rsidRPr="00166BA5" w:rsidRDefault="00780105" w:rsidP="00780105">
      <w:pPr>
        <w:pStyle w:val="Textonotapie"/>
        <w:ind w:firstLine="708"/>
        <w:contextualSpacing/>
        <w:jc w:val="both"/>
        <w:rPr>
          <w:rFonts w:ascii="Verdana" w:hAnsi="Verdana"/>
          <w:sz w:val="16"/>
          <w:szCs w:val="16"/>
          <w:lang w:val="es-CO"/>
        </w:rPr>
      </w:pPr>
      <w:r w:rsidRPr="00166BA5">
        <w:rPr>
          <w:rStyle w:val="Refdenotaalpie"/>
          <w:rFonts w:ascii="Verdana" w:hAnsi="Verdana"/>
          <w:sz w:val="16"/>
          <w:szCs w:val="16"/>
        </w:rPr>
        <w:footnoteRef/>
      </w:r>
      <w:r w:rsidRPr="00166BA5">
        <w:rPr>
          <w:rFonts w:ascii="Verdana" w:hAnsi="Verdana"/>
          <w:sz w:val="16"/>
          <w:szCs w:val="16"/>
        </w:rPr>
        <w:t xml:space="preserve"> </w:t>
      </w:r>
      <w:r w:rsidRPr="00166BA5">
        <w:rPr>
          <w:rFonts w:ascii="Verdana" w:hAnsi="Verdana"/>
          <w:sz w:val="16"/>
          <w:szCs w:val="16"/>
          <w:lang w:val="es-CO"/>
        </w:rPr>
        <w:t xml:space="preserve">CABANELLAS DE TORRES, Guillermo. Diccionario Jurídico Elemental. Buenos Aires: </w:t>
      </w:r>
      <w:proofErr w:type="spellStart"/>
      <w:r w:rsidRPr="00166BA5">
        <w:rPr>
          <w:rFonts w:ascii="Verdana" w:hAnsi="Verdana"/>
          <w:sz w:val="16"/>
          <w:szCs w:val="16"/>
          <w:lang w:val="es-CO"/>
        </w:rPr>
        <w:t>Heliasta</w:t>
      </w:r>
      <w:proofErr w:type="spellEnd"/>
      <w:r w:rsidRPr="00166BA5">
        <w:rPr>
          <w:rFonts w:ascii="Verdana" w:hAnsi="Verdana"/>
          <w:sz w:val="16"/>
          <w:szCs w:val="16"/>
          <w:lang w:val="es-CO"/>
        </w:rPr>
        <w:t xml:space="preserve">, 2001. </w:t>
      </w:r>
    </w:p>
    <w:p w14:paraId="7233B445" w14:textId="77777777" w:rsidR="00780105" w:rsidRPr="00166BA5" w:rsidRDefault="00780105" w:rsidP="00780105">
      <w:pPr>
        <w:pStyle w:val="Textonotapie"/>
        <w:ind w:firstLine="708"/>
        <w:contextualSpacing/>
        <w:jc w:val="both"/>
        <w:rPr>
          <w:rFonts w:ascii="Verdana" w:hAnsi="Verdana"/>
          <w:sz w:val="16"/>
          <w:szCs w:val="16"/>
          <w:lang w:val="es-CO"/>
        </w:rPr>
      </w:pPr>
    </w:p>
  </w:footnote>
  <w:footnote w:id="9">
    <w:p w14:paraId="44979CFF" w14:textId="77777777" w:rsidR="00780105" w:rsidRPr="00166BA5" w:rsidRDefault="00780105" w:rsidP="00780105">
      <w:pPr>
        <w:pStyle w:val="Textonotapie"/>
        <w:ind w:firstLine="708"/>
        <w:contextualSpacing/>
        <w:jc w:val="both"/>
        <w:rPr>
          <w:rFonts w:ascii="Verdana" w:hAnsi="Verdana"/>
          <w:sz w:val="16"/>
          <w:szCs w:val="16"/>
          <w:lang w:val="es-CO"/>
        </w:rPr>
      </w:pPr>
      <w:r w:rsidRPr="00166BA5">
        <w:rPr>
          <w:rStyle w:val="Refdenotaalpie"/>
          <w:rFonts w:ascii="Verdana" w:hAnsi="Verdana"/>
          <w:sz w:val="16"/>
          <w:szCs w:val="16"/>
        </w:rPr>
        <w:footnoteRef/>
      </w:r>
      <w:r w:rsidRPr="00166BA5">
        <w:rPr>
          <w:rFonts w:ascii="Verdana" w:hAnsi="Verdana"/>
          <w:sz w:val="16"/>
          <w:szCs w:val="16"/>
        </w:rPr>
        <w:t xml:space="preserve"> </w:t>
      </w:r>
      <w:r w:rsidRPr="00166BA5">
        <w:rPr>
          <w:rFonts w:ascii="Verdana" w:hAnsi="Verdana"/>
          <w:sz w:val="16"/>
          <w:szCs w:val="16"/>
          <w:lang w:val="es-CO"/>
        </w:rPr>
        <w:t xml:space="preserve">MARÍN ALBARRÁN, Elena. La subcontratación y la contratación pública: algunas consideraciones sobre la evolución normativa reciente y su contexto. En: Revista Anuario Aragonés de Gobierno Local, Zaragoza –España, N° 5, enero-diciembre, 2013. p. 467. </w:t>
      </w:r>
    </w:p>
    <w:p w14:paraId="076ECC11" w14:textId="77777777" w:rsidR="00780105" w:rsidRPr="00166BA5" w:rsidRDefault="00780105" w:rsidP="00780105">
      <w:pPr>
        <w:pStyle w:val="Textonotapie"/>
        <w:ind w:firstLine="708"/>
        <w:contextualSpacing/>
        <w:jc w:val="both"/>
        <w:rPr>
          <w:rFonts w:ascii="Verdana" w:hAnsi="Verdana"/>
          <w:sz w:val="16"/>
          <w:szCs w:val="16"/>
          <w:lang w:val="es-CO"/>
        </w:rPr>
      </w:pPr>
    </w:p>
  </w:footnote>
  <w:footnote w:id="10">
    <w:p w14:paraId="40974B18" w14:textId="77777777" w:rsidR="00780105" w:rsidRDefault="00780105" w:rsidP="00780105">
      <w:pPr>
        <w:pStyle w:val="Textonotapie"/>
        <w:ind w:firstLine="708"/>
        <w:contextualSpacing/>
        <w:jc w:val="both"/>
        <w:rPr>
          <w:rFonts w:ascii="Verdana" w:hAnsi="Verdana" w:cs="Arial"/>
          <w:sz w:val="16"/>
          <w:szCs w:val="16"/>
        </w:rPr>
      </w:pPr>
      <w:r w:rsidRPr="00166BA5">
        <w:rPr>
          <w:rFonts w:ascii="Verdana" w:hAnsi="Verdana"/>
          <w:sz w:val="16"/>
          <w:szCs w:val="16"/>
          <w:vertAlign w:val="superscript"/>
        </w:rPr>
        <w:footnoteRef/>
      </w:r>
      <w:r w:rsidRPr="00166BA5">
        <w:rPr>
          <w:rFonts w:ascii="Verdana" w:hAnsi="Verdana" w:cs="Arial"/>
          <w:sz w:val="16"/>
          <w:szCs w:val="16"/>
          <w:vertAlign w:val="superscript"/>
        </w:rPr>
        <w:t xml:space="preserve"> </w:t>
      </w:r>
      <w:r w:rsidRPr="00166BA5">
        <w:rPr>
          <w:rFonts w:ascii="Verdana" w:hAnsi="Verdana" w:cs="Arial"/>
          <w:sz w:val="16"/>
          <w:szCs w:val="16"/>
        </w:rPr>
        <w:t>TRABALÓN Cristóbal. Tratado Legal de Construcción. Editorial Tébar Flores. Madrid. 2015</w:t>
      </w:r>
    </w:p>
    <w:p w14:paraId="0728A3ED" w14:textId="77777777" w:rsidR="00780105" w:rsidRPr="00166BA5" w:rsidRDefault="00780105" w:rsidP="00780105">
      <w:pPr>
        <w:pStyle w:val="Textonotapie"/>
        <w:ind w:firstLine="708"/>
        <w:contextualSpacing/>
        <w:jc w:val="both"/>
        <w:rPr>
          <w:rFonts w:ascii="Verdana" w:hAnsi="Verdana" w:cs="Arial"/>
          <w:sz w:val="16"/>
          <w:szCs w:val="16"/>
        </w:rPr>
      </w:pPr>
    </w:p>
  </w:footnote>
  <w:footnote w:id="11">
    <w:p w14:paraId="3D256429" w14:textId="77777777" w:rsidR="00780105" w:rsidRPr="00166BA5" w:rsidRDefault="00780105" w:rsidP="00780105">
      <w:pPr>
        <w:pStyle w:val="Textonotapie"/>
        <w:ind w:firstLine="708"/>
        <w:contextualSpacing/>
        <w:jc w:val="both"/>
        <w:rPr>
          <w:rFonts w:ascii="Verdana" w:hAnsi="Verdana" w:cs="Arial"/>
          <w:sz w:val="16"/>
          <w:szCs w:val="16"/>
        </w:rPr>
      </w:pPr>
      <w:r w:rsidRPr="00166BA5">
        <w:rPr>
          <w:rFonts w:ascii="Verdana" w:hAnsi="Verdana"/>
          <w:sz w:val="16"/>
          <w:szCs w:val="16"/>
          <w:vertAlign w:val="superscript"/>
        </w:rPr>
        <w:footnoteRef/>
      </w:r>
      <w:r w:rsidRPr="00166BA5">
        <w:rPr>
          <w:rFonts w:ascii="Verdana" w:hAnsi="Verdana" w:cs="Arial"/>
          <w:sz w:val="16"/>
          <w:szCs w:val="16"/>
          <w:vertAlign w:val="superscript"/>
        </w:rPr>
        <w:t xml:space="preserve"> </w:t>
      </w:r>
      <w:proofErr w:type="spellStart"/>
      <w:r w:rsidRPr="00166BA5">
        <w:rPr>
          <w:rFonts w:ascii="Verdana" w:hAnsi="Verdana" w:cs="Arial"/>
          <w:sz w:val="16"/>
          <w:szCs w:val="16"/>
        </w:rPr>
        <w:t>Ibidem</w:t>
      </w:r>
      <w:proofErr w:type="spellEnd"/>
      <w:r w:rsidRPr="00166BA5">
        <w:rPr>
          <w:rFonts w:ascii="Verdana" w:hAnsi="Verdana" w:cs="Arial"/>
          <w:sz w:val="16"/>
          <w:szCs w:val="16"/>
        </w:rPr>
        <w:t xml:space="preserve"> </w:t>
      </w:r>
    </w:p>
    <w:p w14:paraId="5E80410D" w14:textId="77777777" w:rsidR="00780105" w:rsidRPr="00166BA5" w:rsidRDefault="00780105" w:rsidP="00780105">
      <w:pPr>
        <w:pStyle w:val="Textonotapie"/>
        <w:ind w:firstLine="708"/>
        <w:contextualSpacing/>
        <w:jc w:val="both"/>
        <w:rPr>
          <w:rFonts w:ascii="Verdana" w:hAnsi="Verdana" w:cs="Arial"/>
          <w:sz w:val="16"/>
          <w:szCs w:val="16"/>
        </w:rPr>
      </w:pPr>
    </w:p>
  </w:footnote>
  <w:footnote w:id="12">
    <w:p w14:paraId="794C667D" w14:textId="77777777" w:rsidR="00780105" w:rsidRPr="00166BA5" w:rsidRDefault="00780105" w:rsidP="00780105">
      <w:pPr>
        <w:pStyle w:val="Textonotapie"/>
        <w:ind w:firstLine="708"/>
        <w:contextualSpacing/>
        <w:jc w:val="both"/>
        <w:rPr>
          <w:rFonts w:ascii="Verdana" w:hAnsi="Verdana"/>
          <w:sz w:val="16"/>
          <w:szCs w:val="16"/>
          <w:lang w:val="es-CO"/>
        </w:rPr>
      </w:pPr>
      <w:r w:rsidRPr="00166BA5">
        <w:rPr>
          <w:rStyle w:val="Refdenotaalpie"/>
          <w:rFonts w:ascii="Verdana" w:hAnsi="Verdana"/>
          <w:sz w:val="16"/>
          <w:szCs w:val="16"/>
        </w:rPr>
        <w:footnoteRef/>
      </w:r>
      <w:r w:rsidRPr="00166BA5">
        <w:rPr>
          <w:rFonts w:ascii="Verdana" w:hAnsi="Verdana"/>
          <w:sz w:val="16"/>
          <w:szCs w:val="16"/>
        </w:rPr>
        <w:t xml:space="preserve"> </w:t>
      </w:r>
      <w:r w:rsidRPr="00166BA5">
        <w:rPr>
          <w:rFonts w:ascii="Verdana" w:hAnsi="Verdana"/>
          <w:sz w:val="16"/>
          <w:szCs w:val="16"/>
          <w:lang w:val="es-CO"/>
        </w:rPr>
        <w:t xml:space="preserve">LOPEZ VILAS, Ramón; "El Subcontrato'; Editorial </w:t>
      </w:r>
      <w:proofErr w:type="spellStart"/>
      <w:r w:rsidRPr="00166BA5">
        <w:rPr>
          <w:rFonts w:ascii="Verdana" w:hAnsi="Verdana"/>
          <w:sz w:val="16"/>
          <w:szCs w:val="16"/>
          <w:lang w:val="es-CO"/>
        </w:rPr>
        <w:t>Tecnos</w:t>
      </w:r>
      <w:proofErr w:type="spellEnd"/>
      <w:r w:rsidRPr="00166BA5">
        <w:rPr>
          <w:rFonts w:ascii="Verdana" w:hAnsi="Verdana"/>
          <w:sz w:val="16"/>
          <w:szCs w:val="16"/>
          <w:lang w:val="es-CO"/>
        </w:rPr>
        <w:t>, Madrid 1973, p. 194.</w:t>
      </w:r>
    </w:p>
    <w:p w14:paraId="0304B04A" w14:textId="77777777" w:rsidR="00780105" w:rsidRPr="00166BA5" w:rsidRDefault="00780105" w:rsidP="00780105">
      <w:pPr>
        <w:pStyle w:val="Textonotapie"/>
        <w:ind w:firstLine="708"/>
        <w:contextualSpacing/>
        <w:jc w:val="both"/>
        <w:rPr>
          <w:rFonts w:ascii="Verdana" w:hAnsi="Verdana"/>
          <w:sz w:val="16"/>
          <w:szCs w:val="16"/>
          <w:lang w:val="es-CO"/>
        </w:rPr>
      </w:pPr>
    </w:p>
  </w:footnote>
  <w:footnote w:id="13">
    <w:p w14:paraId="65EBC97E" w14:textId="77777777" w:rsidR="00780105" w:rsidRDefault="00780105" w:rsidP="00780105">
      <w:pPr>
        <w:pStyle w:val="Textonotapie"/>
        <w:ind w:firstLine="709"/>
        <w:contextualSpacing/>
        <w:jc w:val="both"/>
        <w:rPr>
          <w:rFonts w:ascii="Verdana" w:hAnsi="Verdana" w:cs="Arial"/>
          <w:sz w:val="16"/>
          <w:szCs w:val="16"/>
          <w:lang w:val="es-CO"/>
        </w:rPr>
      </w:pPr>
      <w:r w:rsidRPr="00166BA5">
        <w:rPr>
          <w:rStyle w:val="Refdenotaalpie"/>
          <w:rFonts w:ascii="Verdana" w:hAnsi="Verdana"/>
          <w:sz w:val="16"/>
          <w:szCs w:val="16"/>
        </w:rPr>
        <w:footnoteRef/>
      </w:r>
      <w:r w:rsidRPr="00166BA5">
        <w:rPr>
          <w:rFonts w:ascii="Verdana" w:hAnsi="Verdana"/>
          <w:sz w:val="16"/>
          <w:szCs w:val="16"/>
        </w:rPr>
        <w:t xml:space="preserve"> </w:t>
      </w:r>
      <w:r w:rsidRPr="00166BA5">
        <w:rPr>
          <w:rFonts w:ascii="Verdana" w:hAnsi="Verdana" w:cs="Arial"/>
          <w:sz w:val="16"/>
          <w:szCs w:val="16"/>
          <w:lang w:val="es-CO"/>
        </w:rPr>
        <w:t xml:space="preserve">RAMÍREZ GRISALES, Richard Steve. La Subcontratación. Serie: Las cláusulas del contrato estatal. Librería Jurídica Sánchez R. Ltda. y Centro de Estudios de Derecho Administrativo –CEDA-, Medellín, 2012, p. 25. </w:t>
      </w:r>
    </w:p>
    <w:p w14:paraId="219DD2F9" w14:textId="77777777" w:rsidR="00780105" w:rsidRPr="00166BA5" w:rsidRDefault="00780105" w:rsidP="00780105">
      <w:pPr>
        <w:pStyle w:val="Textonotapie"/>
        <w:ind w:firstLine="709"/>
        <w:contextualSpacing/>
        <w:jc w:val="both"/>
        <w:rPr>
          <w:rFonts w:ascii="Verdana" w:hAnsi="Verdana"/>
          <w:sz w:val="16"/>
          <w:szCs w:val="16"/>
          <w:lang w:val="es-CO"/>
        </w:rPr>
      </w:pPr>
    </w:p>
  </w:footnote>
  <w:footnote w:id="14">
    <w:p w14:paraId="3EB37007" w14:textId="77777777" w:rsidR="00780105" w:rsidRDefault="00780105" w:rsidP="00780105">
      <w:pPr>
        <w:pStyle w:val="Textonotapie"/>
        <w:ind w:firstLine="709"/>
        <w:contextualSpacing/>
        <w:jc w:val="both"/>
        <w:rPr>
          <w:rFonts w:ascii="Verdana" w:hAnsi="Verdana" w:cs="Arial"/>
          <w:sz w:val="16"/>
          <w:szCs w:val="16"/>
          <w:lang w:val="es-CO"/>
        </w:rPr>
      </w:pPr>
      <w:r w:rsidRPr="00166BA5">
        <w:rPr>
          <w:rStyle w:val="Refdenotaalpie"/>
          <w:rFonts w:ascii="Verdana" w:hAnsi="Verdana"/>
          <w:sz w:val="16"/>
          <w:szCs w:val="16"/>
        </w:rPr>
        <w:footnoteRef/>
      </w:r>
      <w:r w:rsidRPr="00166BA5">
        <w:rPr>
          <w:rFonts w:ascii="Verdana" w:hAnsi="Verdana"/>
          <w:sz w:val="16"/>
          <w:szCs w:val="16"/>
        </w:rPr>
        <w:t xml:space="preserve"> </w:t>
      </w:r>
      <w:r w:rsidRPr="00166BA5">
        <w:rPr>
          <w:rFonts w:ascii="Verdana" w:hAnsi="Verdana" w:cs="Arial"/>
          <w:sz w:val="16"/>
          <w:szCs w:val="16"/>
          <w:lang w:val="es-CO"/>
        </w:rPr>
        <w:t xml:space="preserve">Morón Urbina, Juan Carlos. La Subcontratación de Contratos Administrativos. Derecho &amp; Sociedad (26), 235-250. Disponible en: </w:t>
      </w:r>
      <w:hyperlink r:id="rId1" w:history="1">
        <w:r w:rsidRPr="00166BA5">
          <w:rPr>
            <w:rStyle w:val="Hipervnculo"/>
            <w:rFonts w:ascii="Verdana" w:hAnsi="Verdana"/>
            <w:sz w:val="16"/>
            <w:szCs w:val="16"/>
          </w:rPr>
          <w:t>https://revistas.pucp.edu.pe/index.php/derechoysociedad/article/view/17078</w:t>
        </w:r>
      </w:hyperlink>
    </w:p>
    <w:p w14:paraId="04DD80A8" w14:textId="77777777" w:rsidR="00780105" w:rsidRPr="00166BA5" w:rsidRDefault="00780105" w:rsidP="00780105">
      <w:pPr>
        <w:pStyle w:val="Textonotapie"/>
        <w:ind w:firstLine="709"/>
        <w:contextualSpacing/>
        <w:jc w:val="both"/>
        <w:rPr>
          <w:rFonts w:ascii="Verdana" w:hAnsi="Verdana" w:cs="Arial"/>
          <w:sz w:val="16"/>
          <w:szCs w:val="16"/>
          <w:lang w:val="es-CO"/>
        </w:rPr>
      </w:pPr>
    </w:p>
  </w:footnote>
  <w:footnote w:id="15">
    <w:p w14:paraId="409D64C7" w14:textId="77777777" w:rsidR="00780105" w:rsidRDefault="00780105" w:rsidP="00780105">
      <w:pPr>
        <w:pStyle w:val="Textonotapie"/>
        <w:ind w:firstLine="708"/>
        <w:contextualSpacing/>
        <w:jc w:val="both"/>
        <w:rPr>
          <w:rFonts w:ascii="Verdana" w:hAnsi="Verdana"/>
          <w:sz w:val="16"/>
          <w:szCs w:val="16"/>
          <w:lang w:val="es-CO"/>
        </w:rPr>
      </w:pPr>
      <w:r w:rsidRPr="00166BA5">
        <w:rPr>
          <w:rStyle w:val="Refdenotaalpie"/>
          <w:rFonts w:ascii="Verdana" w:hAnsi="Verdana"/>
          <w:sz w:val="16"/>
          <w:szCs w:val="16"/>
        </w:rPr>
        <w:footnoteRef/>
      </w:r>
      <w:r w:rsidRPr="00166BA5">
        <w:rPr>
          <w:rFonts w:ascii="Verdana" w:hAnsi="Verdana"/>
          <w:sz w:val="16"/>
          <w:szCs w:val="16"/>
        </w:rPr>
        <w:t xml:space="preserve"> Por ejemplo, </w:t>
      </w:r>
      <w:r w:rsidRPr="00166BA5">
        <w:rPr>
          <w:rFonts w:ascii="Verdana" w:hAnsi="Verdana"/>
          <w:sz w:val="16"/>
          <w:szCs w:val="16"/>
          <w:lang w:val="es-CO"/>
        </w:rPr>
        <w:t>el inciso 4 del literal c del numeral 4 del artículo 2 de la Ley 1150 de 2007 dispone que, tratándose de contratos interadministrativos,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71300586" w14:textId="77777777" w:rsidR="00780105" w:rsidRPr="00AF589E" w:rsidRDefault="00780105" w:rsidP="00780105">
      <w:pPr>
        <w:pStyle w:val="Textonotapie"/>
        <w:ind w:firstLine="708"/>
        <w:contextualSpacing/>
        <w:jc w:val="both"/>
        <w:rPr>
          <w:rFonts w:ascii="Verdana" w:hAnsi="Verdana"/>
          <w:sz w:val="16"/>
          <w:szCs w:val="16"/>
          <w:lang w:val="es-CO"/>
        </w:rPr>
      </w:pPr>
    </w:p>
  </w:footnote>
  <w:footnote w:id="16">
    <w:p w14:paraId="5A50E0B6" w14:textId="77777777" w:rsidR="00780105" w:rsidRDefault="00780105" w:rsidP="00780105">
      <w:pPr>
        <w:pStyle w:val="Textonotapie"/>
        <w:ind w:firstLine="708"/>
        <w:contextualSpacing/>
        <w:jc w:val="both"/>
        <w:rPr>
          <w:rFonts w:ascii="Verdana" w:hAnsi="Verdana"/>
          <w:sz w:val="16"/>
          <w:szCs w:val="16"/>
        </w:rPr>
      </w:pPr>
      <w:r w:rsidRPr="00166BA5">
        <w:rPr>
          <w:rStyle w:val="Refdenotaalpie"/>
          <w:rFonts w:ascii="Verdana" w:hAnsi="Verdana"/>
          <w:sz w:val="16"/>
          <w:szCs w:val="16"/>
        </w:rPr>
        <w:footnoteRef/>
      </w:r>
      <w:r w:rsidRPr="00166BA5">
        <w:rPr>
          <w:rFonts w:ascii="Verdana" w:hAnsi="Verdana"/>
          <w:sz w:val="16"/>
          <w:szCs w:val="16"/>
        </w:rPr>
        <w:t xml:space="preserve"> Los documentos tipo expedidos por la Agencia Nacional de Contratación Pública – Colombia Compra Eficiente se pueden consultar en el siguiente enlace: </w:t>
      </w:r>
      <w:hyperlink r:id="rId2" w:history="1">
        <w:r w:rsidRPr="00166BA5">
          <w:rPr>
            <w:rStyle w:val="Hipervnculo"/>
            <w:rFonts w:ascii="Verdana" w:hAnsi="Verdana"/>
            <w:sz w:val="16"/>
            <w:szCs w:val="16"/>
          </w:rPr>
          <w:t>https://www.colombiacompra.gov.co/documentos-tipo/documentos-tipo</w:t>
        </w:r>
      </w:hyperlink>
      <w:r w:rsidRPr="00166BA5">
        <w:rPr>
          <w:rFonts w:ascii="Verdana" w:hAnsi="Verdana"/>
          <w:sz w:val="16"/>
          <w:szCs w:val="16"/>
        </w:rPr>
        <w:t xml:space="preserve"> </w:t>
      </w:r>
    </w:p>
    <w:p w14:paraId="6BC989D8" w14:textId="77777777" w:rsidR="00780105" w:rsidRPr="00166BA5" w:rsidRDefault="00780105" w:rsidP="00780105">
      <w:pPr>
        <w:pStyle w:val="Textonotapie"/>
        <w:ind w:firstLine="708"/>
        <w:contextualSpacing/>
        <w:jc w:val="both"/>
        <w:rPr>
          <w:rFonts w:ascii="Verdana" w:hAnsi="Verdana"/>
          <w:sz w:val="16"/>
          <w:szCs w:val="16"/>
        </w:rPr>
      </w:pPr>
    </w:p>
  </w:footnote>
  <w:footnote w:id="17">
    <w:p w14:paraId="2DBA1A9B" w14:textId="77777777" w:rsidR="00780105" w:rsidRDefault="00780105" w:rsidP="00780105">
      <w:pPr>
        <w:pStyle w:val="Textonotapie"/>
        <w:ind w:firstLine="709"/>
        <w:contextualSpacing/>
        <w:jc w:val="both"/>
        <w:rPr>
          <w:rFonts w:ascii="Verdana" w:hAnsi="Verdana" w:cs="Arial"/>
          <w:sz w:val="16"/>
          <w:szCs w:val="16"/>
          <w:lang w:val="es-CO"/>
        </w:rPr>
      </w:pPr>
      <w:r w:rsidRPr="00252544">
        <w:rPr>
          <w:rStyle w:val="Refdenotaalpie"/>
          <w:rFonts w:ascii="Verdana" w:hAnsi="Verdana"/>
          <w:sz w:val="16"/>
          <w:szCs w:val="16"/>
        </w:rPr>
        <w:footnoteRef/>
      </w:r>
      <w:r w:rsidRPr="00252544">
        <w:rPr>
          <w:rFonts w:ascii="Verdana" w:hAnsi="Verdana"/>
          <w:sz w:val="16"/>
          <w:szCs w:val="16"/>
        </w:rPr>
        <w:t xml:space="preserve"> </w:t>
      </w:r>
      <w:r w:rsidRPr="00252544">
        <w:rPr>
          <w:rFonts w:ascii="Verdana" w:hAnsi="Verdana" w:cs="Arial"/>
          <w:sz w:val="16"/>
          <w:szCs w:val="16"/>
        </w:rPr>
        <w:t xml:space="preserve">Sobre este aspecto la doctrina señala que </w:t>
      </w:r>
      <w:r w:rsidRPr="00252544">
        <w:rPr>
          <w:rFonts w:ascii="Verdana" w:hAnsi="Verdana" w:cs="Arial"/>
          <w:color w:val="1A1A1A" w:themeColor="background1" w:themeShade="1A"/>
          <w:sz w:val="16"/>
          <w:szCs w:val="16"/>
          <w:lang w:val="es-ES_tradnl"/>
        </w:rPr>
        <w:t xml:space="preserve">«En el derecho español, en ausencia de una regulación especial en el pliego de condiciones, se admite como límite superior, la subcontratación del 60% del contrato del valor del contrato adjudicado. </w:t>
      </w:r>
      <w:r w:rsidRPr="00252544">
        <w:rPr>
          <w:rFonts w:ascii="Verdana" w:eastAsia="Arial" w:hAnsi="Verdana" w:cs="Arial"/>
          <w:sz w:val="16"/>
          <w:szCs w:val="16"/>
        </w:rPr>
        <w:t xml:space="preserve">[…] </w:t>
      </w:r>
      <w:r w:rsidRPr="00252544">
        <w:rPr>
          <w:rFonts w:ascii="Verdana" w:hAnsi="Verdana" w:cs="Arial"/>
          <w:color w:val="1A1A1A" w:themeColor="background1" w:themeShade="1A"/>
          <w:sz w:val="16"/>
          <w:szCs w:val="16"/>
          <w:lang w:val="es-ES_tradnl"/>
        </w:rPr>
        <w:t>Ante la ausencia de una disposición especial en el derecho colombiano, el límite a la libertad de subcontratar debe conciliar dos aspectos: de un lado, no puede desconocer el proceso de selección del cual es producto y, de otro, no puede desconocer el efecto dinamizador de la subcontratación para la administración, el contratista y la economía. Si bien, este se constituye en el punto de partida para la definición del asunto, siempre la fijación de mínimos y máximos es discrecional. // Se considera que aquella conciliación de intereses debe partir por inadmitir la posibilidad de subcontratar el 100% del valor del contrato adjudicado. Una posición contraria supone admitir una “delegación ilegítima” para que el contratista seleccione al ejecutor del contrato (la selección del subcontratista), sin que para ello se encuentre subordinado al cumplimiento de los principios guía de la función administrativa y de la contratación estatal. En caso de que no se acepte este punto de partida, el subcontrato que llegara a celebrarse desconocería el procedimiento de selección de contratistas del cual es producto. Esta restricción, en todo caso, debe interpretarse de manera armónica con los múltiples beneficios que la subcontratación puede reportarle a la administración, al contratista y a la economía nacional […]</w:t>
      </w:r>
      <w:r w:rsidRPr="00252544">
        <w:rPr>
          <w:rFonts w:ascii="Verdana" w:eastAsia="Arial" w:hAnsi="Verdana" w:cs="Arial"/>
          <w:sz w:val="16"/>
          <w:szCs w:val="16"/>
        </w:rPr>
        <w:t xml:space="preserve">». </w:t>
      </w:r>
      <w:r w:rsidRPr="00252544">
        <w:rPr>
          <w:rFonts w:ascii="Verdana" w:hAnsi="Verdana" w:cs="Arial"/>
          <w:sz w:val="16"/>
          <w:szCs w:val="16"/>
          <w:lang w:val="es-CO"/>
        </w:rPr>
        <w:t>RAMÍREZ GRISALES, Richard Steve. La Subcontratación. Serie: Las cláusulas del contrato estatal. Librería Jurídica Sánchez R. Ltda. y Centro de Estudios de Derecho Administrativo –CEDA-, Medellín, 2012, p. 120-121.</w:t>
      </w:r>
    </w:p>
    <w:p w14:paraId="579B7EF4" w14:textId="77777777" w:rsidR="00780105" w:rsidRPr="00252544" w:rsidRDefault="00780105" w:rsidP="00780105">
      <w:pPr>
        <w:pStyle w:val="Textonotapie"/>
        <w:ind w:firstLine="709"/>
        <w:contextualSpacing/>
        <w:jc w:val="both"/>
        <w:rPr>
          <w:rFonts w:ascii="Verdana" w:eastAsia="Arial" w:hAnsi="Verdana" w:cs="Arial"/>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3.9pt;height:13.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1C114D7"/>
    <w:multiLevelType w:val="hybridMultilevel"/>
    <w:tmpl w:val="6D001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9"/>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8"/>
  </w:num>
  <w:num w:numId="8">
    <w:abstractNumId w:val="16"/>
  </w:num>
  <w:num w:numId="9">
    <w:abstractNumId w:val="10"/>
  </w:num>
  <w:num w:numId="10">
    <w:abstractNumId w:val="15"/>
  </w:num>
  <w:num w:numId="11">
    <w:abstractNumId w:val="11"/>
  </w:num>
  <w:num w:numId="12">
    <w:abstractNumId w:val="1"/>
  </w:num>
  <w:num w:numId="13">
    <w:abstractNumId w:val="5"/>
  </w:num>
  <w:num w:numId="14">
    <w:abstractNumId w:val="18"/>
  </w:num>
  <w:num w:numId="15">
    <w:abstractNumId w:val="14"/>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 w:numId="19">
    <w:abstractNumId w:val="6"/>
  </w:num>
  <w:num w:numId="20">
    <w:abstractNumId w:val="12"/>
  </w:num>
  <w:num w:numId="21">
    <w:abstractNumId w:val="19"/>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2653B"/>
    <w:rsid w:val="0004434A"/>
    <w:rsid w:val="0005281E"/>
    <w:rsid w:val="0005682C"/>
    <w:rsid w:val="00056D71"/>
    <w:rsid w:val="00061B2A"/>
    <w:rsid w:val="00062BAF"/>
    <w:rsid w:val="000630B9"/>
    <w:rsid w:val="000643B2"/>
    <w:rsid w:val="00065E80"/>
    <w:rsid w:val="0007022C"/>
    <w:rsid w:val="00071DE6"/>
    <w:rsid w:val="000754B0"/>
    <w:rsid w:val="00077439"/>
    <w:rsid w:val="000774B8"/>
    <w:rsid w:val="00082362"/>
    <w:rsid w:val="0008328D"/>
    <w:rsid w:val="0009387A"/>
    <w:rsid w:val="0009387B"/>
    <w:rsid w:val="000963C6"/>
    <w:rsid w:val="0009762F"/>
    <w:rsid w:val="000A31B9"/>
    <w:rsid w:val="000A3330"/>
    <w:rsid w:val="000A3D63"/>
    <w:rsid w:val="000A683A"/>
    <w:rsid w:val="000A683E"/>
    <w:rsid w:val="000B02BC"/>
    <w:rsid w:val="000B19B9"/>
    <w:rsid w:val="000C2889"/>
    <w:rsid w:val="000D0152"/>
    <w:rsid w:val="000D0334"/>
    <w:rsid w:val="000D3B29"/>
    <w:rsid w:val="000E06F4"/>
    <w:rsid w:val="000E4CE4"/>
    <w:rsid w:val="000F6486"/>
    <w:rsid w:val="000F669F"/>
    <w:rsid w:val="00105B23"/>
    <w:rsid w:val="001063B3"/>
    <w:rsid w:val="00107ACA"/>
    <w:rsid w:val="001107BB"/>
    <w:rsid w:val="001114A9"/>
    <w:rsid w:val="00111979"/>
    <w:rsid w:val="00116537"/>
    <w:rsid w:val="00120766"/>
    <w:rsid w:val="001240BD"/>
    <w:rsid w:val="00125105"/>
    <w:rsid w:val="00127233"/>
    <w:rsid w:val="001372FC"/>
    <w:rsid w:val="00143E81"/>
    <w:rsid w:val="00143FD9"/>
    <w:rsid w:val="00145047"/>
    <w:rsid w:val="00146C57"/>
    <w:rsid w:val="0016332F"/>
    <w:rsid w:val="001717E9"/>
    <w:rsid w:val="0017238A"/>
    <w:rsid w:val="00180A30"/>
    <w:rsid w:val="00185EE9"/>
    <w:rsid w:val="00187F79"/>
    <w:rsid w:val="00197274"/>
    <w:rsid w:val="001A237A"/>
    <w:rsid w:val="001A26CF"/>
    <w:rsid w:val="001A2919"/>
    <w:rsid w:val="001B2CFE"/>
    <w:rsid w:val="001C222E"/>
    <w:rsid w:val="001C22F9"/>
    <w:rsid w:val="001D1C29"/>
    <w:rsid w:val="001E3C06"/>
    <w:rsid w:val="001E4177"/>
    <w:rsid w:val="001F4EFD"/>
    <w:rsid w:val="001F5E13"/>
    <w:rsid w:val="001F623F"/>
    <w:rsid w:val="001F6D11"/>
    <w:rsid w:val="001F7DC6"/>
    <w:rsid w:val="00202886"/>
    <w:rsid w:val="00215CEF"/>
    <w:rsid w:val="00217A08"/>
    <w:rsid w:val="00220B77"/>
    <w:rsid w:val="00221D27"/>
    <w:rsid w:val="00237233"/>
    <w:rsid w:val="002421BB"/>
    <w:rsid w:val="00246A81"/>
    <w:rsid w:val="0024773E"/>
    <w:rsid w:val="00251A5F"/>
    <w:rsid w:val="0025796E"/>
    <w:rsid w:val="002603E5"/>
    <w:rsid w:val="002638B2"/>
    <w:rsid w:val="002660F2"/>
    <w:rsid w:val="002664BB"/>
    <w:rsid w:val="002707A2"/>
    <w:rsid w:val="002835A6"/>
    <w:rsid w:val="002844ED"/>
    <w:rsid w:val="002951A0"/>
    <w:rsid w:val="002962BC"/>
    <w:rsid w:val="002A093D"/>
    <w:rsid w:val="002A0DD0"/>
    <w:rsid w:val="002A49AC"/>
    <w:rsid w:val="002A64FD"/>
    <w:rsid w:val="002A6BBF"/>
    <w:rsid w:val="002B1E57"/>
    <w:rsid w:val="002B1F7F"/>
    <w:rsid w:val="002B290B"/>
    <w:rsid w:val="002C110E"/>
    <w:rsid w:val="002C379A"/>
    <w:rsid w:val="002C765E"/>
    <w:rsid w:val="002C7A84"/>
    <w:rsid w:val="002D13A1"/>
    <w:rsid w:val="002D3F0D"/>
    <w:rsid w:val="002E1D98"/>
    <w:rsid w:val="002E2C3F"/>
    <w:rsid w:val="002E32E4"/>
    <w:rsid w:val="002E4FD9"/>
    <w:rsid w:val="002E6F15"/>
    <w:rsid w:val="002F13FD"/>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8DF"/>
    <w:rsid w:val="00352C12"/>
    <w:rsid w:val="00354BCA"/>
    <w:rsid w:val="0036594E"/>
    <w:rsid w:val="003665EE"/>
    <w:rsid w:val="0037010E"/>
    <w:rsid w:val="003734F4"/>
    <w:rsid w:val="00374F5E"/>
    <w:rsid w:val="00377E3E"/>
    <w:rsid w:val="003815B3"/>
    <w:rsid w:val="003815E8"/>
    <w:rsid w:val="00392A49"/>
    <w:rsid w:val="0039784B"/>
    <w:rsid w:val="003A26D1"/>
    <w:rsid w:val="003A3B30"/>
    <w:rsid w:val="003A779E"/>
    <w:rsid w:val="003B005A"/>
    <w:rsid w:val="003C3FA5"/>
    <w:rsid w:val="003D0F4D"/>
    <w:rsid w:val="003D5B0D"/>
    <w:rsid w:val="003E0499"/>
    <w:rsid w:val="003E40F2"/>
    <w:rsid w:val="003F3941"/>
    <w:rsid w:val="00400676"/>
    <w:rsid w:val="004008A9"/>
    <w:rsid w:val="00406575"/>
    <w:rsid w:val="004069AB"/>
    <w:rsid w:val="00410906"/>
    <w:rsid w:val="0041655A"/>
    <w:rsid w:val="00426FD7"/>
    <w:rsid w:val="0042722E"/>
    <w:rsid w:val="00427DA0"/>
    <w:rsid w:val="00440391"/>
    <w:rsid w:val="00442C7F"/>
    <w:rsid w:val="0044528D"/>
    <w:rsid w:val="00450920"/>
    <w:rsid w:val="00454D48"/>
    <w:rsid w:val="004554F9"/>
    <w:rsid w:val="0046004D"/>
    <w:rsid w:val="004633DE"/>
    <w:rsid w:val="00465E71"/>
    <w:rsid w:val="004734BD"/>
    <w:rsid w:val="00482608"/>
    <w:rsid w:val="00483749"/>
    <w:rsid w:val="00484809"/>
    <w:rsid w:val="00484BB1"/>
    <w:rsid w:val="004A0980"/>
    <w:rsid w:val="004A0B8B"/>
    <w:rsid w:val="004A1847"/>
    <w:rsid w:val="004A305D"/>
    <w:rsid w:val="004A3312"/>
    <w:rsid w:val="004B740F"/>
    <w:rsid w:val="004C4B37"/>
    <w:rsid w:val="004D026D"/>
    <w:rsid w:val="004E221E"/>
    <w:rsid w:val="004E2892"/>
    <w:rsid w:val="004E4C0B"/>
    <w:rsid w:val="004E505B"/>
    <w:rsid w:val="004F21C4"/>
    <w:rsid w:val="004F3012"/>
    <w:rsid w:val="004F5559"/>
    <w:rsid w:val="004F685F"/>
    <w:rsid w:val="004F7EC9"/>
    <w:rsid w:val="00504CBE"/>
    <w:rsid w:val="00514598"/>
    <w:rsid w:val="005163B5"/>
    <w:rsid w:val="0052543A"/>
    <w:rsid w:val="0052785C"/>
    <w:rsid w:val="00533E1B"/>
    <w:rsid w:val="00540C2D"/>
    <w:rsid w:val="00552502"/>
    <w:rsid w:val="005566E8"/>
    <w:rsid w:val="00560CB5"/>
    <w:rsid w:val="00564F8B"/>
    <w:rsid w:val="00574122"/>
    <w:rsid w:val="00574867"/>
    <w:rsid w:val="00577D09"/>
    <w:rsid w:val="0058087F"/>
    <w:rsid w:val="00591460"/>
    <w:rsid w:val="00592628"/>
    <w:rsid w:val="00597C75"/>
    <w:rsid w:val="005A0868"/>
    <w:rsid w:val="005A0CFB"/>
    <w:rsid w:val="005A282F"/>
    <w:rsid w:val="005A2AC9"/>
    <w:rsid w:val="005B2CCE"/>
    <w:rsid w:val="005B58C1"/>
    <w:rsid w:val="005B6033"/>
    <w:rsid w:val="005C3777"/>
    <w:rsid w:val="005C5CDC"/>
    <w:rsid w:val="005D17C8"/>
    <w:rsid w:val="005D2B2B"/>
    <w:rsid w:val="005D476C"/>
    <w:rsid w:val="005D5F91"/>
    <w:rsid w:val="005D7B25"/>
    <w:rsid w:val="005F7C43"/>
    <w:rsid w:val="00605A00"/>
    <w:rsid w:val="00610812"/>
    <w:rsid w:val="00612CE7"/>
    <w:rsid w:val="006219F8"/>
    <w:rsid w:val="0063165E"/>
    <w:rsid w:val="00632C08"/>
    <w:rsid w:val="00650FF7"/>
    <w:rsid w:val="00665D70"/>
    <w:rsid w:val="00671DAC"/>
    <w:rsid w:val="006747C7"/>
    <w:rsid w:val="006827AC"/>
    <w:rsid w:val="006859A3"/>
    <w:rsid w:val="00687EAB"/>
    <w:rsid w:val="006900D9"/>
    <w:rsid w:val="006A0008"/>
    <w:rsid w:val="006A10DF"/>
    <w:rsid w:val="006A3147"/>
    <w:rsid w:val="006B25DE"/>
    <w:rsid w:val="006C0240"/>
    <w:rsid w:val="006C5595"/>
    <w:rsid w:val="006C5765"/>
    <w:rsid w:val="006D12F8"/>
    <w:rsid w:val="006E3A61"/>
    <w:rsid w:val="006F0D40"/>
    <w:rsid w:val="006F2501"/>
    <w:rsid w:val="007000F0"/>
    <w:rsid w:val="00704D9B"/>
    <w:rsid w:val="00705E5F"/>
    <w:rsid w:val="00706C16"/>
    <w:rsid w:val="00711C85"/>
    <w:rsid w:val="0071458F"/>
    <w:rsid w:val="0071627C"/>
    <w:rsid w:val="007231C5"/>
    <w:rsid w:val="00723A7F"/>
    <w:rsid w:val="007312C3"/>
    <w:rsid w:val="00737C53"/>
    <w:rsid w:val="00737DFA"/>
    <w:rsid w:val="00756841"/>
    <w:rsid w:val="00762AA9"/>
    <w:rsid w:val="007649AB"/>
    <w:rsid w:val="00771D0C"/>
    <w:rsid w:val="00780105"/>
    <w:rsid w:val="007833AC"/>
    <w:rsid w:val="00784D58"/>
    <w:rsid w:val="00786FBF"/>
    <w:rsid w:val="00790AB7"/>
    <w:rsid w:val="00791769"/>
    <w:rsid w:val="00796340"/>
    <w:rsid w:val="007A23EA"/>
    <w:rsid w:val="007A5189"/>
    <w:rsid w:val="007B0D88"/>
    <w:rsid w:val="007B268C"/>
    <w:rsid w:val="007B7171"/>
    <w:rsid w:val="007B7D02"/>
    <w:rsid w:val="007C0C0F"/>
    <w:rsid w:val="007C3DC2"/>
    <w:rsid w:val="007D0457"/>
    <w:rsid w:val="007D43C9"/>
    <w:rsid w:val="007E5497"/>
    <w:rsid w:val="007F28CA"/>
    <w:rsid w:val="007F52A4"/>
    <w:rsid w:val="007F60FB"/>
    <w:rsid w:val="007F7B94"/>
    <w:rsid w:val="00804981"/>
    <w:rsid w:val="00806F5F"/>
    <w:rsid w:val="008163D7"/>
    <w:rsid w:val="00820278"/>
    <w:rsid w:val="00834554"/>
    <w:rsid w:val="00834B31"/>
    <w:rsid w:val="00840ADC"/>
    <w:rsid w:val="00843BF7"/>
    <w:rsid w:val="008449B3"/>
    <w:rsid w:val="00845347"/>
    <w:rsid w:val="00846276"/>
    <w:rsid w:val="00850E23"/>
    <w:rsid w:val="00851137"/>
    <w:rsid w:val="00853978"/>
    <w:rsid w:val="0085432F"/>
    <w:rsid w:val="00864209"/>
    <w:rsid w:val="0087325B"/>
    <w:rsid w:val="00881ABA"/>
    <w:rsid w:val="008843B6"/>
    <w:rsid w:val="00886C89"/>
    <w:rsid w:val="008910F7"/>
    <w:rsid w:val="00891928"/>
    <w:rsid w:val="00894B8B"/>
    <w:rsid w:val="008A00A4"/>
    <w:rsid w:val="008A446D"/>
    <w:rsid w:val="008A7059"/>
    <w:rsid w:val="008A7A64"/>
    <w:rsid w:val="008A7F08"/>
    <w:rsid w:val="008B2F0E"/>
    <w:rsid w:val="008B5A2E"/>
    <w:rsid w:val="008D180B"/>
    <w:rsid w:val="008D7227"/>
    <w:rsid w:val="008E1F92"/>
    <w:rsid w:val="008E7333"/>
    <w:rsid w:val="008E7B09"/>
    <w:rsid w:val="008F04CB"/>
    <w:rsid w:val="008F0EA7"/>
    <w:rsid w:val="008F7BB9"/>
    <w:rsid w:val="00904692"/>
    <w:rsid w:val="00910097"/>
    <w:rsid w:val="00911C7C"/>
    <w:rsid w:val="0091561E"/>
    <w:rsid w:val="00923EEF"/>
    <w:rsid w:val="00926840"/>
    <w:rsid w:val="009411F5"/>
    <w:rsid w:val="009419F9"/>
    <w:rsid w:val="00953AA4"/>
    <w:rsid w:val="00955305"/>
    <w:rsid w:val="0095685E"/>
    <w:rsid w:val="009572D9"/>
    <w:rsid w:val="009600D2"/>
    <w:rsid w:val="00961409"/>
    <w:rsid w:val="00961B09"/>
    <w:rsid w:val="00962300"/>
    <w:rsid w:val="00965334"/>
    <w:rsid w:val="0097093E"/>
    <w:rsid w:val="00976025"/>
    <w:rsid w:val="009800BE"/>
    <w:rsid w:val="00982E41"/>
    <w:rsid w:val="00984649"/>
    <w:rsid w:val="009858BE"/>
    <w:rsid w:val="009A0DFA"/>
    <w:rsid w:val="009A3C2C"/>
    <w:rsid w:val="009A4A40"/>
    <w:rsid w:val="009B2D26"/>
    <w:rsid w:val="009B3595"/>
    <w:rsid w:val="009B780F"/>
    <w:rsid w:val="009C2DD0"/>
    <w:rsid w:val="009C3AC7"/>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2465"/>
    <w:rsid w:val="00A03415"/>
    <w:rsid w:val="00A04A81"/>
    <w:rsid w:val="00A122D3"/>
    <w:rsid w:val="00A12E69"/>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2050"/>
    <w:rsid w:val="00A43292"/>
    <w:rsid w:val="00A445C0"/>
    <w:rsid w:val="00A56FCA"/>
    <w:rsid w:val="00A6004A"/>
    <w:rsid w:val="00A613C2"/>
    <w:rsid w:val="00A74DE6"/>
    <w:rsid w:val="00A8086A"/>
    <w:rsid w:val="00A80F32"/>
    <w:rsid w:val="00A87F7D"/>
    <w:rsid w:val="00A9244C"/>
    <w:rsid w:val="00A94D14"/>
    <w:rsid w:val="00AA6866"/>
    <w:rsid w:val="00AB0ADB"/>
    <w:rsid w:val="00AB3FD1"/>
    <w:rsid w:val="00AC0EAB"/>
    <w:rsid w:val="00AC4701"/>
    <w:rsid w:val="00AC49A2"/>
    <w:rsid w:val="00AD73E2"/>
    <w:rsid w:val="00AE2631"/>
    <w:rsid w:val="00AF1BEC"/>
    <w:rsid w:val="00B009B8"/>
    <w:rsid w:val="00B01B1A"/>
    <w:rsid w:val="00B14E03"/>
    <w:rsid w:val="00B26B98"/>
    <w:rsid w:val="00B35201"/>
    <w:rsid w:val="00B35ADC"/>
    <w:rsid w:val="00B37C24"/>
    <w:rsid w:val="00B40FBC"/>
    <w:rsid w:val="00B46F27"/>
    <w:rsid w:val="00B47FD7"/>
    <w:rsid w:val="00B51F75"/>
    <w:rsid w:val="00B53E27"/>
    <w:rsid w:val="00B558AF"/>
    <w:rsid w:val="00B615BA"/>
    <w:rsid w:val="00B62D8B"/>
    <w:rsid w:val="00B72CD3"/>
    <w:rsid w:val="00B72FFF"/>
    <w:rsid w:val="00B76CEB"/>
    <w:rsid w:val="00B8257D"/>
    <w:rsid w:val="00B82B8B"/>
    <w:rsid w:val="00B84B90"/>
    <w:rsid w:val="00B86FE2"/>
    <w:rsid w:val="00B91186"/>
    <w:rsid w:val="00B93423"/>
    <w:rsid w:val="00BA2EF4"/>
    <w:rsid w:val="00BA3816"/>
    <w:rsid w:val="00BA5F2D"/>
    <w:rsid w:val="00BC0036"/>
    <w:rsid w:val="00BC05A6"/>
    <w:rsid w:val="00BC3D36"/>
    <w:rsid w:val="00BC4B34"/>
    <w:rsid w:val="00BD7F72"/>
    <w:rsid w:val="00BE03BC"/>
    <w:rsid w:val="00BE0A18"/>
    <w:rsid w:val="00BF1201"/>
    <w:rsid w:val="00BF1D4A"/>
    <w:rsid w:val="00BF230F"/>
    <w:rsid w:val="00C002E3"/>
    <w:rsid w:val="00C012CC"/>
    <w:rsid w:val="00C04FB3"/>
    <w:rsid w:val="00C147D0"/>
    <w:rsid w:val="00C159C1"/>
    <w:rsid w:val="00C16346"/>
    <w:rsid w:val="00C21B15"/>
    <w:rsid w:val="00C32523"/>
    <w:rsid w:val="00C330EB"/>
    <w:rsid w:val="00C371C9"/>
    <w:rsid w:val="00C40E9F"/>
    <w:rsid w:val="00C41481"/>
    <w:rsid w:val="00C42469"/>
    <w:rsid w:val="00C46D91"/>
    <w:rsid w:val="00C47A07"/>
    <w:rsid w:val="00C47B74"/>
    <w:rsid w:val="00C57281"/>
    <w:rsid w:val="00C65D65"/>
    <w:rsid w:val="00C67703"/>
    <w:rsid w:val="00C7173F"/>
    <w:rsid w:val="00C730B6"/>
    <w:rsid w:val="00C754BE"/>
    <w:rsid w:val="00C76466"/>
    <w:rsid w:val="00C76B1C"/>
    <w:rsid w:val="00C915DD"/>
    <w:rsid w:val="00C91B94"/>
    <w:rsid w:val="00C92665"/>
    <w:rsid w:val="00CA6A9D"/>
    <w:rsid w:val="00CA7F6B"/>
    <w:rsid w:val="00CB6357"/>
    <w:rsid w:val="00CC0FA3"/>
    <w:rsid w:val="00CC1B26"/>
    <w:rsid w:val="00CC42DF"/>
    <w:rsid w:val="00CC49F7"/>
    <w:rsid w:val="00CC54DB"/>
    <w:rsid w:val="00CD087D"/>
    <w:rsid w:val="00CD41CB"/>
    <w:rsid w:val="00CD5EE0"/>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20D8"/>
    <w:rsid w:val="00D52961"/>
    <w:rsid w:val="00D55048"/>
    <w:rsid w:val="00D57FA4"/>
    <w:rsid w:val="00D62DE7"/>
    <w:rsid w:val="00D63AC2"/>
    <w:rsid w:val="00D665B4"/>
    <w:rsid w:val="00D7383B"/>
    <w:rsid w:val="00D7609E"/>
    <w:rsid w:val="00D81A63"/>
    <w:rsid w:val="00D81D25"/>
    <w:rsid w:val="00D85C60"/>
    <w:rsid w:val="00D935D9"/>
    <w:rsid w:val="00D94C40"/>
    <w:rsid w:val="00DA231B"/>
    <w:rsid w:val="00DA23A0"/>
    <w:rsid w:val="00DA7F66"/>
    <w:rsid w:val="00DB186F"/>
    <w:rsid w:val="00DC39FC"/>
    <w:rsid w:val="00DC4385"/>
    <w:rsid w:val="00DC484F"/>
    <w:rsid w:val="00DC4C27"/>
    <w:rsid w:val="00DC51BC"/>
    <w:rsid w:val="00DC793F"/>
    <w:rsid w:val="00DE4629"/>
    <w:rsid w:val="00DF11FD"/>
    <w:rsid w:val="00DF5254"/>
    <w:rsid w:val="00E12426"/>
    <w:rsid w:val="00E16408"/>
    <w:rsid w:val="00E20894"/>
    <w:rsid w:val="00E245AB"/>
    <w:rsid w:val="00E26239"/>
    <w:rsid w:val="00E2764C"/>
    <w:rsid w:val="00E27F2E"/>
    <w:rsid w:val="00E413EA"/>
    <w:rsid w:val="00E46E45"/>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393B"/>
    <w:rsid w:val="00EA39A5"/>
    <w:rsid w:val="00EB2C4B"/>
    <w:rsid w:val="00EB7E00"/>
    <w:rsid w:val="00EC1A2C"/>
    <w:rsid w:val="00EC1FE1"/>
    <w:rsid w:val="00EC38A7"/>
    <w:rsid w:val="00ED042A"/>
    <w:rsid w:val="00ED0D4A"/>
    <w:rsid w:val="00EE1AA8"/>
    <w:rsid w:val="00EF26C3"/>
    <w:rsid w:val="00EF419E"/>
    <w:rsid w:val="00EF489F"/>
    <w:rsid w:val="00F06820"/>
    <w:rsid w:val="00F11213"/>
    <w:rsid w:val="00F11BAA"/>
    <w:rsid w:val="00F177C1"/>
    <w:rsid w:val="00F238F2"/>
    <w:rsid w:val="00F260AA"/>
    <w:rsid w:val="00F27B26"/>
    <w:rsid w:val="00F31EDC"/>
    <w:rsid w:val="00F34D02"/>
    <w:rsid w:val="00F34E84"/>
    <w:rsid w:val="00F40BAD"/>
    <w:rsid w:val="00F462B3"/>
    <w:rsid w:val="00F5184B"/>
    <w:rsid w:val="00F55081"/>
    <w:rsid w:val="00F55168"/>
    <w:rsid w:val="00F5664F"/>
    <w:rsid w:val="00F626C4"/>
    <w:rsid w:val="00F64D9E"/>
    <w:rsid w:val="00F666C4"/>
    <w:rsid w:val="00F7684C"/>
    <w:rsid w:val="00F76AFC"/>
    <w:rsid w:val="00F80CBE"/>
    <w:rsid w:val="00F83293"/>
    <w:rsid w:val="00F85198"/>
    <w:rsid w:val="00F939CB"/>
    <w:rsid w:val="00F9479C"/>
    <w:rsid w:val="00F965EE"/>
    <w:rsid w:val="00F97949"/>
    <w:rsid w:val="00FA1110"/>
    <w:rsid w:val="00FA358D"/>
    <w:rsid w:val="00FA47C0"/>
    <w:rsid w:val="00FB4425"/>
    <w:rsid w:val="00FB5615"/>
    <w:rsid w:val="00FB5DD1"/>
    <w:rsid w:val="00FB5F87"/>
    <w:rsid w:val="00FC07B5"/>
    <w:rsid w:val="00FC2B5D"/>
    <w:rsid w:val="00FD00E9"/>
    <w:rsid w:val="00FD03E3"/>
    <w:rsid w:val="00FE122A"/>
    <w:rsid w:val="00FE20E6"/>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7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617855">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constitucion_politica_1991_pr011.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secretariasenado.gov.co/senado/basedoc/constitucion_politica_1991_pr011.htm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emf"/><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revistas.pucp.edu.pe/index.php/derechoysociedad/article/view/170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16T14:43:33.136"/>
    </inkml:context>
    <inkml:brush xml:id="br0">
      <inkml:brushProperty name="width" value="0.03501" units="cm"/>
      <inkml:brushProperty name="height" value="0.03501" units="cm"/>
      <inkml:brushProperty name="color" value="#E71224"/>
    </inkml:brush>
  </inkml:definitions>
  <inkml:trace contextRef="#ctx0" brushRef="#br0">1 1 24575,'0'0'0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0B69AF-E904-49EA-8A68-B6EA9C57A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5834</Words>
  <Characters>33259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4</cp:revision>
  <cp:lastPrinted>2025-02-25T15:45:00Z</cp:lastPrinted>
  <dcterms:created xsi:type="dcterms:W3CDTF">2025-03-26T01:52:00Z</dcterms:created>
  <dcterms:modified xsi:type="dcterms:W3CDTF">2025-03-26T12:07:00Z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