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127EB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127EBF">
        <w:rPr>
          <w:rFonts w:ascii="Arial" w:hAnsi="Arial" w:cs="Arial"/>
          <w:bCs/>
          <w:color w:val="000000" w:themeColor="text1"/>
          <w:sz w:val="16"/>
          <w:szCs w:val="16"/>
          <w:lang w:val="es-ES_tradnl" w:eastAsia="es-ES"/>
        </w:rPr>
        <w:t>CCE-DES-FM-17</w:t>
      </w:r>
      <w:bookmarkEnd w:id="0"/>
      <w:bookmarkEnd w:id="1"/>
    </w:p>
    <w:p w14:paraId="51FF09F5" w14:textId="77777777" w:rsidR="00034C76" w:rsidRPr="00127EBF" w:rsidRDefault="00034C76" w:rsidP="0015021F">
      <w:pPr>
        <w:jc w:val="both"/>
        <w:rPr>
          <w:rFonts w:ascii="Arial" w:eastAsia="Calibri" w:hAnsi="Arial" w:cs="Arial"/>
          <w:b/>
          <w:sz w:val="22"/>
          <w:lang w:val="es-ES_tradnl"/>
        </w:rPr>
      </w:pPr>
    </w:p>
    <w:p w14:paraId="482A9B69" w14:textId="1B27694A" w:rsidR="0015021F" w:rsidRPr="00A771BA" w:rsidRDefault="0015021F" w:rsidP="0015021F">
      <w:pPr>
        <w:jc w:val="both"/>
        <w:rPr>
          <w:rFonts w:ascii="Arial" w:eastAsia="Calibri" w:hAnsi="Arial" w:cs="Arial"/>
          <w:bCs/>
          <w:sz w:val="22"/>
          <w:lang w:val="es-ES_tradnl"/>
        </w:rPr>
      </w:pPr>
      <w:r w:rsidRPr="00A771BA">
        <w:rPr>
          <w:rFonts w:ascii="Arial" w:eastAsia="Calibri" w:hAnsi="Arial" w:cs="Arial"/>
          <w:b/>
          <w:sz w:val="22"/>
          <w:lang w:val="es-ES_tradnl"/>
        </w:rPr>
        <w:t>CONCEPTOS DE COLOMBIA COMPRA EFICIENTE – Obligatoriedad</w:t>
      </w:r>
    </w:p>
    <w:p w14:paraId="2598EC8E" w14:textId="77777777" w:rsidR="0015021F" w:rsidRPr="00127EBF" w:rsidRDefault="0015021F" w:rsidP="0015021F">
      <w:pPr>
        <w:jc w:val="both"/>
        <w:rPr>
          <w:rFonts w:ascii="Arial" w:hAnsi="Arial" w:cs="Arial"/>
          <w:sz w:val="22"/>
          <w:highlight w:val="yellow"/>
          <w:lang w:val="es-ES_tradnl"/>
        </w:rPr>
      </w:pPr>
    </w:p>
    <w:p w14:paraId="01BA29B2" w14:textId="1692932C" w:rsidR="0015021F" w:rsidRPr="00127EBF" w:rsidRDefault="00A771BA" w:rsidP="0015021F">
      <w:pPr>
        <w:pStyle w:val="Prrafodelista"/>
        <w:ind w:left="0"/>
        <w:jc w:val="both"/>
        <w:rPr>
          <w:rFonts w:ascii="Arial" w:eastAsia="Calibri" w:hAnsi="Arial" w:cs="Arial"/>
          <w:sz w:val="20"/>
          <w:szCs w:val="20"/>
          <w:highlight w:val="yellow"/>
          <w:lang w:val="es-ES_tradnl"/>
        </w:rPr>
      </w:pPr>
      <w:r w:rsidRPr="00A771BA">
        <w:rPr>
          <w:rFonts w:ascii="Arial" w:eastAsia="Calibri" w:hAnsi="Arial" w:cs="Arial"/>
          <w:sz w:val="20"/>
          <w:szCs w:val="20"/>
          <w:lang w:val="es-ES_tradnl"/>
        </w:rPr>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6B7783AF" w14:textId="77777777" w:rsidR="00A771BA" w:rsidRDefault="00A771BA" w:rsidP="0015021F">
      <w:pPr>
        <w:jc w:val="both"/>
        <w:rPr>
          <w:rFonts w:ascii="Arial" w:eastAsia="Calibri" w:hAnsi="Arial" w:cs="Arial"/>
          <w:b/>
          <w:sz w:val="22"/>
          <w:highlight w:val="yellow"/>
          <w:lang w:val="es-ES_tradnl"/>
        </w:rPr>
      </w:pPr>
    </w:p>
    <w:p w14:paraId="5DDE3926" w14:textId="62C3AC69" w:rsidR="0015021F" w:rsidRPr="00052F96" w:rsidRDefault="0015021F" w:rsidP="0015021F">
      <w:pPr>
        <w:jc w:val="both"/>
        <w:rPr>
          <w:rFonts w:ascii="Arial" w:eastAsia="Calibri" w:hAnsi="Arial" w:cs="Arial"/>
          <w:bCs/>
          <w:sz w:val="22"/>
          <w:lang w:val="es-ES_tradnl"/>
        </w:rPr>
      </w:pPr>
      <w:r w:rsidRPr="00052F96">
        <w:rPr>
          <w:rFonts w:ascii="Arial" w:eastAsia="Calibri" w:hAnsi="Arial" w:cs="Arial"/>
          <w:b/>
          <w:sz w:val="22"/>
          <w:lang w:val="es-ES_tradnl"/>
        </w:rPr>
        <w:t xml:space="preserve">FUNCIÓN CONSULTIVA </w:t>
      </w:r>
      <w:r w:rsidR="00435FDD" w:rsidRPr="00A771BA">
        <w:rPr>
          <w:rFonts w:ascii="Arial" w:eastAsia="Calibri" w:hAnsi="Arial" w:cs="Arial"/>
          <w:b/>
          <w:sz w:val="22"/>
          <w:lang w:val="es-ES_tradnl"/>
        </w:rPr>
        <w:t>–</w:t>
      </w:r>
      <w:r w:rsidRPr="00052F96">
        <w:rPr>
          <w:rFonts w:ascii="Arial" w:eastAsia="Calibri" w:hAnsi="Arial" w:cs="Arial"/>
          <w:b/>
          <w:sz w:val="22"/>
          <w:lang w:val="es-ES_tradnl"/>
        </w:rPr>
        <w:t xml:space="preserve"> Alcance</w:t>
      </w:r>
    </w:p>
    <w:p w14:paraId="31435C72" w14:textId="77777777" w:rsidR="0015021F" w:rsidRPr="00127EBF" w:rsidRDefault="0015021F" w:rsidP="0015021F">
      <w:pPr>
        <w:jc w:val="both"/>
        <w:rPr>
          <w:rFonts w:ascii="Arial" w:hAnsi="Arial" w:cs="Arial"/>
          <w:sz w:val="22"/>
          <w:highlight w:val="yellow"/>
          <w:lang w:val="es-ES_tradnl"/>
        </w:rPr>
      </w:pPr>
    </w:p>
    <w:p w14:paraId="24478310" w14:textId="77777777" w:rsidR="008D5FEB" w:rsidRPr="008D5FEB" w:rsidRDefault="008D5FEB" w:rsidP="008D5FEB">
      <w:pPr>
        <w:pStyle w:val="Prrafodelista"/>
        <w:ind w:left="0"/>
        <w:jc w:val="both"/>
        <w:rPr>
          <w:rFonts w:ascii="Arial" w:eastAsia="Calibri" w:hAnsi="Arial" w:cs="Arial"/>
          <w:sz w:val="20"/>
          <w:szCs w:val="20"/>
          <w:lang w:val="es-ES_tradnl"/>
        </w:rPr>
      </w:pPr>
      <w:r w:rsidRPr="008D5FEB">
        <w:rPr>
          <w:rFonts w:ascii="Arial" w:eastAsia="Calibri" w:hAnsi="Arial" w:cs="Arial"/>
          <w:sz w:val="20"/>
          <w:szCs w:val="20"/>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14:paraId="71F50D28" w14:textId="77777777" w:rsidR="0015021F" w:rsidRPr="00127EBF" w:rsidRDefault="0015021F" w:rsidP="0015021F">
      <w:pPr>
        <w:pStyle w:val="Prrafodelista"/>
        <w:ind w:left="0"/>
        <w:jc w:val="both"/>
        <w:rPr>
          <w:rFonts w:ascii="Arial" w:eastAsia="Calibri" w:hAnsi="Arial" w:cs="Arial"/>
          <w:sz w:val="20"/>
          <w:szCs w:val="20"/>
          <w:highlight w:val="yellow"/>
          <w:lang w:val="es-ES_tradnl"/>
        </w:rPr>
      </w:pPr>
    </w:p>
    <w:p w14:paraId="61069E7C" w14:textId="2BAA2449" w:rsidR="0015021F" w:rsidRPr="008D5FEB" w:rsidRDefault="0015021F" w:rsidP="0015021F">
      <w:pPr>
        <w:jc w:val="both"/>
        <w:rPr>
          <w:rFonts w:ascii="Arial" w:eastAsia="Calibri" w:hAnsi="Arial" w:cs="Arial"/>
          <w:sz w:val="22"/>
          <w:lang w:val="es-ES_tradnl"/>
        </w:rPr>
      </w:pPr>
      <w:r w:rsidRPr="008D5FEB">
        <w:rPr>
          <w:rFonts w:ascii="Arial" w:eastAsia="Calibri" w:hAnsi="Arial" w:cs="Arial"/>
          <w:b/>
          <w:bCs/>
          <w:sz w:val="22"/>
          <w:szCs w:val="22"/>
          <w:lang w:val="es-ES_tradnl"/>
        </w:rPr>
        <w:t xml:space="preserve">CONCEPTOS DE COLOMBIA COMPRA EFICIENTE – </w:t>
      </w:r>
      <w:r w:rsidR="008D5FEB">
        <w:rPr>
          <w:rFonts w:ascii="Arial" w:eastAsia="Calibri" w:hAnsi="Arial" w:cs="Arial"/>
          <w:b/>
          <w:bCs/>
          <w:sz w:val="22"/>
          <w:szCs w:val="22"/>
          <w:lang w:val="es-ES_tradnl"/>
        </w:rPr>
        <w:t>Revocación directa</w:t>
      </w:r>
      <w:r w:rsidRPr="008D5FEB">
        <w:rPr>
          <w:rFonts w:ascii="Arial" w:eastAsia="Calibri" w:hAnsi="Arial" w:cs="Arial"/>
          <w:b/>
          <w:bCs/>
          <w:sz w:val="22"/>
          <w:szCs w:val="22"/>
          <w:lang w:val="es-ES_tradnl"/>
        </w:rPr>
        <w:t xml:space="preserve"> </w:t>
      </w:r>
      <w:r w:rsidRPr="008D5FEB">
        <w:rPr>
          <w:rFonts w:ascii="Arial" w:eastAsia="Arial" w:hAnsi="Arial" w:cs="Arial"/>
          <w:b/>
          <w:bCs/>
          <w:sz w:val="22"/>
          <w:szCs w:val="22"/>
          <w:lang w:val="es-ES_tradnl"/>
        </w:rPr>
        <w:t xml:space="preserve">– </w:t>
      </w:r>
      <w:r w:rsidR="008D5FEB">
        <w:rPr>
          <w:rFonts w:ascii="Arial" w:eastAsia="Arial" w:hAnsi="Arial" w:cs="Arial"/>
          <w:b/>
          <w:bCs/>
          <w:sz w:val="22"/>
          <w:szCs w:val="22"/>
          <w:lang w:val="es-ES_tradnl"/>
        </w:rPr>
        <w:t>Improcedencia</w:t>
      </w:r>
    </w:p>
    <w:p w14:paraId="55FAD2F0" w14:textId="77777777" w:rsidR="0015021F" w:rsidRPr="00127EBF" w:rsidRDefault="0015021F" w:rsidP="0015021F">
      <w:pPr>
        <w:jc w:val="both"/>
        <w:rPr>
          <w:rFonts w:ascii="Arial" w:hAnsi="Arial" w:cs="Arial"/>
          <w:sz w:val="22"/>
          <w:highlight w:val="yellow"/>
          <w:lang w:val="es-ES_tradnl"/>
        </w:rPr>
      </w:pPr>
    </w:p>
    <w:p w14:paraId="4040A963" w14:textId="2E3ACB2B" w:rsidR="008D5FEB" w:rsidRPr="008D5FEB" w:rsidRDefault="008D5FEB" w:rsidP="008D5FEB">
      <w:pPr>
        <w:tabs>
          <w:tab w:val="left" w:pos="709"/>
        </w:tabs>
        <w:jc w:val="both"/>
        <w:rPr>
          <w:rFonts w:ascii="Arial" w:eastAsia="Calibri" w:hAnsi="Arial" w:cs="Arial"/>
          <w:bCs/>
          <w:sz w:val="20"/>
          <w:szCs w:val="20"/>
          <w:lang w:val="es-ES_tradnl"/>
        </w:rPr>
      </w:pPr>
      <w:r w:rsidRPr="008D5FEB">
        <w:rPr>
          <w:rFonts w:ascii="Arial" w:eastAsia="Calibri" w:hAnsi="Arial" w:cs="Arial"/>
          <w:bCs/>
          <w:sz w:val="20"/>
          <w:szCs w:val="20"/>
          <w:lang w:val="es-ES_tradnl"/>
        </w:rPr>
        <w:t xml:space="preserve">Así las cosas, Colombia Compra Eficiente considera que no hay lugar a acceder, por ejemplo, a solicitudes de </w:t>
      </w:r>
      <w:r w:rsidRPr="008D5FEB">
        <w:rPr>
          <w:rFonts w:ascii="Arial" w:eastAsia="Calibri" w:hAnsi="Arial" w:cs="Arial"/>
          <w:bCs/>
          <w:i/>
          <w:iCs/>
          <w:sz w:val="20"/>
          <w:szCs w:val="20"/>
          <w:lang w:val="es-ES_tradnl"/>
        </w:rPr>
        <w:t>revocación directa</w:t>
      </w:r>
      <w:r w:rsidRPr="008D5FEB">
        <w:rPr>
          <w:rFonts w:ascii="Arial" w:eastAsia="Calibri" w:hAnsi="Arial" w:cs="Arial"/>
          <w:bCs/>
          <w:sz w:val="20"/>
          <w:szCs w:val="20"/>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Pr="008D5FEB">
        <w:rPr>
          <w:rFonts w:ascii="Arial" w:eastAsia="Calibri" w:hAnsi="Arial" w:cs="Arial"/>
          <w:bCs/>
          <w:i/>
          <w:iCs/>
          <w:sz w:val="20"/>
          <w:szCs w:val="20"/>
          <w:lang w:val="es-ES_tradnl"/>
        </w:rPr>
        <w:t>única</w:t>
      </w:r>
      <w:r w:rsidRPr="008D5FEB">
        <w:rPr>
          <w:rFonts w:ascii="Arial" w:eastAsia="Calibri" w:hAnsi="Arial" w:cs="Arial"/>
          <w:bCs/>
          <w:sz w:val="20"/>
          <w:szCs w:val="20"/>
          <w:lang w:val="es-ES_tradnl"/>
        </w:rPr>
        <w:t xml:space="preserve"> interpretación válida del ordenamiento jurídico. 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182788F3" w14:textId="77777777" w:rsidR="0015021F" w:rsidRPr="00127EBF" w:rsidRDefault="0015021F" w:rsidP="0015021F">
      <w:pPr>
        <w:jc w:val="both"/>
        <w:rPr>
          <w:rFonts w:ascii="Arial" w:eastAsia="Calibri" w:hAnsi="Arial" w:cs="Arial"/>
          <w:sz w:val="20"/>
          <w:szCs w:val="20"/>
          <w:highlight w:val="yellow"/>
          <w:lang w:val="es-ES_tradnl"/>
        </w:rPr>
      </w:pPr>
    </w:p>
    <w:p w14:paraId="3FBD96C3" w14:textId="77777777" w:rsidR="0015021F" w:rsidRPr="0079498E" w:rsidRDefault="0015021F" w:rsidP="0015021F">
      <w:pPr>
        <w:jc w:val="both"/>
        <w:rPr>
          <w:rFonts w:ascii="Arial" w:eastAsia="Calibri" w:hAnsi="Arial" w:cs="Arial"/>
          <w:bCs/>
          <w:sz w:val="22"/>
          <w:lang w:val="es-ES_tradnl"/>
        </w:rPr>
      </w:pPr>
      <w:r w:rsidRPr="0079498E">
        <w:rPr>
          <w:rFonts w:ascii="Arial" w:eastAsia="Calibri" w:hAnsi="Arial" w:cs="Arial"/>
          <w:b/>
          <w:sz w:val="22"/>
          <w:lang w:val="es-ES_tradnl"/>
        </w:rPr>
        <w:t>FUNCIÓN CONSULTIVA – Objeto</w:t>
      </w:r>
    </w:p>
    <w:p w14:paraId="674D916D" w14:textId="77777777" w:rsidR="0015021F" w:rsidRPr="00127EBF" w:rsidRDefault="0015021F" w:rsidP="0015021F">
      <w:pPr>
        <w:jc w:val="both"/>
        <w:rPr>
          <w:rFonts w:ascii="Arial" w:hAnsi="Arial" w:cs="Arial"/>
          <w:sz w:val="22"/>
          <w:highlight w:val="yellow"/>
          <w:lang w:val="es-ES_tradnl"/>
        </w:rPr>
      </w:pPr>
    </w:p>
    <w:p w14:paraId="6F20306D" w14:textId="77777777" w:rsidR="0079498E" w:rsidRPr="0079498E" w:rsidRDefault="0079498E" w:rsidP="0079498E">
      <w:pPr>
        <w:tabs>
          <w:tab w:val="left" w:pos="0"/>
        </w:tabs>
        <w:jc w:val="both"/>
        <w:rPr>
          <w:rFonts w:ascii="Arial" w:eastAsia="Calibri" w:hAnsi="Arial" w:cs="Arial"/>
          <w:color w:val="000000" w:themeColor="text1"/>
          <w:sz w:val="20"/>
          <w:szCs w:val="20"/>
          <w:lang w:val="es-ES_tradnl"/>
        </w:rPr>
      </w:pPr>
      <w:r w:rsidRPr="0079498E">
        <w:rPr>
          <w:rFonts w:ascii="Arial" w:eastAsia="Calibri" w:hAnsi="Arial" w:cs="Arial"/>
          <w:color w:val="000000" w:themeColor="text1"/>
          <w:sz w:val="20"/>
          <w:szCs w:val="20"/>
          <w:lang w:val="es-ES_tradnl"/>
        </w:rPr>
        <w:t xml:space="preserve">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w:t>
      </w:r>
      <w:r w:rsidRPr="0079498E">
        <w:rPr>
          <w:rFonts w:ascii="Arial" w:eastAsia="Calibri" w:hAnsi="Arial" w:cs="Arial"/>
          <w:color w:val="000000" w:themeColor="text1"/>
          <w:sz w:val="20"/>
          <w:szCs w:val="20"/>
          <w:lang w:val="es-ES_tradnl"/>
        </w:rPr>
        <w:lastRenderedPageBreak/>
        <w:t>la naturaleza que les confiere el artículo 230 de la Constitución Política y el artículo 28 de la Ley 1437 de 2011. En otras palabras, constituyen doctrina, y por lo tanto son criterios auxiliares para la interpretación y aplicación del derecho. De ahí que no sean obligatorios.</w:t>
      </w:r>
    </w:p>
    <w:p w14:paraId="589B8770" w14:textId="77777777" w:rsidR="0079498E" w:rsidRDefault="0079498E" w:rsidP="0079498E">
      <w:pPr>
        <w:tabs>
          <w:tab w:val="left" w:pos="0"/>
        </w:tabs>
        <w:jc w:val="both"/>
        <w:rPr>
          <w:rFonts w:ascii="Arial" w:eastAsia="Calibri" w:hAnsi="Arial" w:cs="Arial"/>
          <w:color w:val="000000" w:themeColor="text1"/>
          <w:sz w:val="20"/>
          <w:szCs w:val="20"/>
          <w:lang w:val="es-ES_tradnl"/>
        </w:rPr>
      </w:pPr>
    </w:p>
    <w:p w14:paraId="40EEB564" w14:textId="62866347" w:rsidR="0079498E" w:rsidRPr="0079498E" w:rsidRDefault="0079498E" w:rsidP="0079498E">
      <w:pPr>
        <w:tabs>
          <w:tab w:val="left" w:pos="0"/>
        </w:tabs>
        <w:jc w:val="both"/>
        <w:rPr>
          <w:rFonts w:ascii="Arial" w:eastAsia="Calibri" w:hAnsi="Arial" w:cs="Arial"/>
          <w:color w:val="000000" w:themeColor="text1"/>
          <w:sz w:val="20"/>
          <w:szCs w:val="20"/>
          <w:lang w:val="es-ES_tradnl"/>
        </w:rPr>
      </w:pPr>
      <w:r w:rsidRPr="0079498E">
        <w:rPr>
          <w:rFonts w:ascii="Arial" w:eastAsia="Calibri" w:hAnsi="Arial" w:cs="Arial"/>
          <w:color w:val="000000" w:themeColor="text1"/>
          <w:sz w:val="20"/>
          <w:szCs w:val="20"/>
          <w:lang w:val="es-ES_tradnl"/>
        </w:rPr>
        <w:t xml:space="preserve">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 Esto último es lo que sucede con la expresión «mayor proporción», contenida en el numeral 4 del artículo 35 de la Ley 2069 de 2020. Al ser una Ley recientemente expedida y no existir reglamentación, ni jurisprudencia, que haya acotado tal concepto, la Agencia realiza su interpretación </w:t>
      </w:r>
      <w:r w:rsidRPr="0079498E">
        <w:rPr>
          <w:rFonts w:ascii="Arial" w:eastAsia="Calibri" w:hAnsi="Arial" w:cs="Arial"/>
          <w:i/>
          <w:iCs/>
          <w:color w:val="000000" w:themeColor="text1"/>
          <w:sz w:val="20"/>
          <w:szCs w:val="20"/>
          <w:lang w:val="es-ES_tradnl"/>
        </w:rPr>
        <w:t>prima facie</w:t>
      </w:r>
      <w:r w:rsidRPr="0079498E">
        <w:rPr>
          <w:rFonts w:ascii="Arial" w:eastAsia="Calibri" w:hAnsi="Arial" w:cs="Arial"/>
          <w:color w:val="000000" w:themeColor="text1"/>
          <w:sz w:val="20"/>
          <w:szCs w:val="20"/>
          <w:lang w:val="es-ES_tradnl"/>
        </w:rPr>
        <w:t>. Sin embargo, se reitera, dicha interpretación no es vinculante, ni niega que pueda haber otras interpretaciones.</w:t>
      </w:r>
    </w:p>
    <w:p w14:paraId="55FBD910" w14:textId="77777777" w:rsidR="008536BB" w:rsidRPr="00127EBF" w:rsidRDefault="008536BB" w:rsidP="00B95C30">
      <w:pPr>
        <w:spacing w:line="276" w:lineRule="auto"/>
        <w:jc w:val="both"/>
        <w:rPr>
          <w:rFonts w:ascii="Arial" w:hAnsi="Arial" w:cs="Arial"/>
          <w:noProof/>
          <w:color w:val="000000" w:themeColor="text1"/>
          <w:sz w:val="22"/>
          <w:highlight w:val="yellow"/>
          <w:lang w:val="es-ES_tradnl"/>
        </w:rPr>
      </w:pPr>
    </w:p>
    <w:p w14:paraId="6A654097" w14:textId="3C8AA0FD" w:rsidR="00C978D4" w:rsidRPr="0079498E" w:rsidRDefault="00272945" w:rsidP="00C978D4">
      <w:pPr>
        <w:jc w:val="both"/>
        <w:rPr>
          <w:rFonts w:ascii="Arial" w:eastAsia="Calibri" w:hAnsi="Arial" w:cs="Arial"/>
          <w:b/>
          <w:sz w:val="22"/>
          <w:lang w:val="es-ES_tradnl"/>
        </w:rPr>
      </w:pPr>
      <w:r w:rsidRPr="0079498E">
        <w:rPr>
          <w:rFonts w:ascii="Arial" w:eastAsia="Calibri" w:hAnsi="Arial" w:cs="Arial"/>
          <w:b/>
          <w:sz w:val="22"/>
          <w:lang w:val="es-ES_tradnl"/>
        </w:rPr>
        <w:t>SELECCIÓN OBJETIVA</w:t>
      </w:r>
      <w:r w:rsidR="00C978D4" w:rsidRPr="0079498E">
        <w:rPr>
          <w:rFonts w:ascii="Arial" w:eastAsia="Calibri" w:hAnsi="Arial" w:cs="Arial"/>
          <w:b/>
          <w:sz w:val="22"/>
          <w:lang w:val="es-ES_tradnl"/>
        </w:rPr>
        <w:t xml:space="preserve"> </w:t>
      </w:r>
      <w:r w:rsidR="00C978D4" w:rsidRPr="0079498E">
        <w:rPr>
          <w:rFonts w:ascii="Arial" w:eastAsia="Calibri" w:hAnsi="Arial" w:cs="Arial"/>
          <w:b/>
          <w:color w:val="000000" w:themeColor="text1"/>
          <w:sz w:val="22"/>
          <w:lang w:val="es-ES_tradnl"/>
        </w:rPr>
        <w:t>–</w:t>
      </w:r>
      <w:r w:rsidR="00C978D4" w:rsidRPr="0079498E">
        <w:rPr>
          <w:rFonts w:ascii="Arial" w:eastAsia="Calibri" w:hAnsi="Arial" w:cs="Arial"/>
          <w:b/>
          <w:sz w:val="22"/>
          <w:lang w:val="es-ES_tradnl"/>
        </w:rPr>
        <w:t xml:space="preserve"> </w:t>
      </w:r>
      <w:r w:rsidR="00003D39" w:rsidRPr="0079498E">
        <w:rPr>
          <w:rFonts w:ascii="Arial" w:eastAsia="Calibri" w:hAnsi="Arial" w:cs="Arial"/>
          <w:b/>
          <w:sz w:val="22"/>
          <w:lang w:val="es-ES_tradnl"/>
        </w:rPr>
        <w:t>Contratación estatal</w:t>
      </w:r>
      <w:r w:rsidR="00616D7F" w:rsidRPr="0079498E">
        <w:rPr>
          <w:rFonts w:ascii="Arial" w:eastAsia="Calibri" w:hAnsi="Arial" w:cs="Arial"/>
          <w:b/>
          <w:sz w:val="22"/>
          <w:lang w:val="es-ES_tradnl"/>
        </w:rPr>
        <w:t xml:space="preserve"> </w:t>
      </w:r>
      <w:r w:rsidR="00C978D4" w:rsidRPr="0079498E">
        <w:rPr>
          <w:rFonts w:ascii="Arial" w:eastAsia="Calibri" w:hAnsi="Arial" w:cs="Arial"/>
          <w:b/>
          <w:color w:val="000000" w:themeColor="text1"/>
          <w:sz w:val="22"/>
          <w:lang w:val="es-ES_tradnl"/>
        </w:rPr>
        <w:t xml:space="preserve">– </w:t>
      </w:r>
      <w:r w:rsidRPr="0079498E">
        <w:rPr>
          <w:rFonts w:ascii="Arial" w:eastAsia="Calibri" w:hAnsi="Arial" w:cs="Arial"/>
          <w:b/>
          <w:color w:val="000000" w:themeColor="text1"/>
          <w:sz w:val="22"/>
          <w:lang w:val="es-ES_tradnl"/>
        </w:rPr>
        <w:t>Concepto</w:t>
      </w:r>
    </w:p>
    <w:p w14:paraId="4AAB8DDD" w14:textId="537B898C" w:rsidR="00C978D4" w:rsidRPr="0079498E" w:rsidRDefault="00C978D4" w:rsidP="0099531F">
      <w:pPr>
        <w:jc w:val="both"/>
        <w:rPr>
          <w:rFonts w:ascii="Arial" w:eastAsia="Calibri" w:hAnsi="Arial" w:cs="Arial"/>
          <w:b/>
          <w:sz w:val="22"/>
          <w:lang w:val="es-ES_tradnl"/>
        </w:rPr>
      </w:pPr>
    </w:p>
    <w:p w14:paraId="33E10CCB" w14:textId="24027DD7" w:rsidR="00636F88" w:rsidRPr="0079498E" w:rsidRDefault="00AF6DEC" w:rsidP="0099531F">
      <w:pPr>
        <w:jc w:val="both"/>
        <w:rPr>
          <w:rFonts w:ascii="Arial" w:eastAsia="Calibri" w:hAnsi="Arial" w:cs="Arial"/>
          <w:sz w:val="20"/>
          <w:szCs w:val="20"/>
          <w:lang w:val="es-ES_tradnl"/>
        </w:rPr>
      </w:pPr>
      <w:r w:rsidRPr="0079498E">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79498E" w:rsidRDefault="00AF6DEC" w:rsidP="0099531F">
      <w:pPr>
        <w:jc w:val="both"/>
        <w:rPr>
          <w:rFonts w:ascii="Arial" w:eastAsia="Calibri" w:hAnsi="Arial" w:cs="Arial"/>
          <w:b/>
          <w:sz w:val="22"/>
          <w:lang w:val="es-ES_tradnl"/>
        </w:rPr>
      </w:pPr>
    </w:p>
    <w:p w14:paraId="73365DCF" w14:textId="63E2A713" w:rsidR="00272945" w:rsidRPr="0079498E" w:rsidRDefault="00B54215" w:rsidP="00272945">
      <w:pPr>
        <w:jc w:val="both"/>
        <w:rPr>
          <w:rFonts w:ascii="Arial" w:eastAsia="Calibri" w:hAnsi="Arial" w:cs="Arial"/>
          <w:b/>
          <w:sz w:val="22"/>
          <w:lang w:val="es-ES_tradnl"/>
        </w:rPr>
      </w:pPr>
      <w:r w:rsidRPr="0079498E">
        <w:rPr>
          <w:rFonts w:ascii="Arial" w:eastAsia="Calibri" w:hAnsi="Arial" w:cs="Arial"/>
          <w:b/>
          <w:sz w:val="22"/>
          <w:lang w:val="es-ES_tradnl"/>
        </w:rPr>
        <w:t>EMPATE</w:t>
      </w:r>
      <w:r w:rsidR="00272945" w:rsidRPr="0079498E">
        <w:rPr>
          <w:rFonts w:ascii="Arial" w:eastAsia="Calibri" w:hAnsi="Arial" w:cs="Arial"/>
          <w:b/>
          <w:sz w:val="22"/>
          <w:lang w:val="es-ES_tradnl"/>
        </w:rPr>
        <w:t xml:space="preserve"> </w:t>
      </w:r>
      <w:r w:rsidR="00272945" w:rsidRPr="0079498E">
        <w:rPr>
          <w:rFonts w:ascii="Arial" w:eastAsia="Calibri" w:hAnsi="Arial" w:cs="Arial"/>
          <w:b/>
          <w:color w:val="000000" w:themeColor="text1"/>
          <w:sz w:val="22"/>
          <w:lang w:val="es-ES_tradnl"/>
        </w:rPr>
        <w:t>–</w:t>
      </w:r>
      <w:r w:rsidR="00272945" w:rsidRPr="0079498E">
        <w:rPr>
          <w:rFonts w:ascii="Arial" w:eastAsia="Calibri" w:hAnsi="Arial" w:cs="Arial"/>
          <w:b/>
          <w:sz w:val="22"/>
          <w:lang w:val="es-ES_tradnl"/>
        </w:rPr>
        <w:t xml:space="preserve"> </w:t>
      </w:r>
      <w:r w:rsidRPr="0079498E">
        <w:rPr>
          <w:rFonts w:ascii="Arial" w:eastAsia="Calibri" w:hAnsi="Arial" w:cs="Arial"/>
          <w:b/>
          <w:sz w:val="22"/>
          <w:lang w:val="es-ES_tradnl"/>
        </w:rPr>
        <w:t>Procedimiento de selección</w:t>
      </w:r>
      <w:r w:rsidR="00272945" w:rsidRPr="0079498E">
        <w:rPr>
          <w:rFonts w:ascii="Arial" w:eastAsia="Calibri" w:hAnsi="Arial" w:cs="Arial"/>
          <w:b/>
          <w:sz w:val="22"/>
          <w:lang w:val="es-ES_tradnl"/>
        </w:rPr>
        <w:t xml:space="preserve"> </w:t>
      </w:r>
      <w:r w:rsidR="00272945" w:rsidRPr="0079498E">
        <w:rPr>
          <w:rFonts w:ascii="Arial" w:eastAsia="Calibri" w:hAnsi="Arial" w:cs="Arial"/>
          <w:b/>
          <w:color w:val="000000" w:themeColor="text1"/>
          <w:sz w:val="22"/>
          <w:lang w:val="es-ES_tradnl"/>
        </w:rPr>
        <w:t>– Concepto</w:t>
      </w:r>
    </w:p>
    <w:p w14:paraId="182F8CB9" w14:textId="246E5B50" w:rsidR="00272945" w:rsidRPr="0079498E" w:rsidRDefault="00272945" w:rsidP="0099531F">
      <w:pPr>
        <w:jc w:val="both"/>
        <w:rPr>
          <w:rFonts w:ascii="Arial" w:eastAsia="Calibri" w:hAnsi="Arial" w:cs="Arial"/>
          <w:b/>
          <w:sz w:val="22"/>
          <w:lang w:val="es-ES_tradnl"/>
        </w:rPr>
      </w:pPr>
    </w:p>
    <w:p w14:paraId="29DD8E0A" w14:textId="042C4C7A" w:rsidR="006F71F5" w:rsidRPr="0079498E" w:rsidRDefault="005C6D19" w:rsidP="005C6D19">
      <w:pPr>
        <w:jc w:val="both"/>
        <w:rPr>
          <w:rFonts w:ascii="Arial" w:hAnsi="Arial" w:cs="Arial"/>
          <w:noProof/>
          <w:color w:val="000000" w:themeColor="text1"/>
          <w:sz w:val="22"/>
          <w:lang w:val="es-ES_tradnl"/>
        </w:rPr>
      </w:pPr>
      <w:r w:rsidRPr="0079498E">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127EBF" w:rsidRDefault="005C6D19" w:rsidP="00DF71EA">
      <w:pPr>
        <w:jc w:val="both"/>
        <w:rPr>
          <w:rFonts w:ascii="Arial" w:eastAsia="Calibri" w:hAnsi="Arial" w:cs="Arial"/>
          <w:b/>
          <w:sz w:val="22"/>
          <w:highlight w:val="yellow"/>
          <w:lang w:val="es-ES_tradnl"/>
        </w:rPr>
      </w:pPr>
    </w:p>
    <w:p w14:paraId="04086EC5" w14:textId="5C2FA739" w:rsidR="00DF71EA" w:rsidRPr="0079498E" w:rsidRDefault="00D73881" w:rsidP="00DF71EA">
      <w:pPr>
        <w:jc w:val="both"/>
        <w:rPr>
          <w:rFonts w:ascii="Arial" w:eastAsia="Calibri" w:hAnsi="Arial" w:cs="Arial"/>
          <w:b/>
          <w:sz w:val="22"/>
          <w:lang w:val="es-ES_tradnl"/>
        </w:rPr>
      </w:pPr>
      <w:r w:rsidRPr="0079498E">
        <w:rPr>
          <w:rFonts w:ascii="Arial" w:eastAsia="Calibri" w:hAnsi="Arial" w:cs="Arial"/>
          <w:b/>
          <w:sz w:val="22"/>
          <w:lang w:val="es-ES_tradnl"/>
        </w:rPr>
        <w:t>FACTORES DE DESEMPATE</w:t>
      </w:r>
      <w:r w:rsidR="00DF71EA" w:rsidRPr="0079498E">
        <w:rPr>
          <w:rFonts w:ascii="Arial" w:eastAsia="Calibri" w:hAnsi="Arial" w:cs="Arial"/>
          <w:b/>
          <w:sz w:val="22"/>
          <w:lang w:val="es-ES_tradnl"/>
        </w:rPr>
        <w:t xml:space="preserve"> </w:t>
      </w:r>
      <w:r w:rsidR="00DF71EA" w:rsidRPr="0079498E">
        <w:rPr>
          <w:rFonts w:ascii="Arial" w:eastAsia="Calibri" w:hAnsi="Arial" w:cs="Arial"/>
          <w:b/>
          <w:color w:val="000000" w:themeColor="text1"/>
          <w:sz w:val="22"/>
          <w:lang w:val="es-ES_tradnl"/>
        </w:rPr>
        <w:t>–</w:t>
      </w:r>
      <w:r w:rsidR="00DF71EA" w:rsidRPr="0079498E">
        <w:rPr>
          <w:rFonts w:ascii="Arial" w:eastAsia="Calibri" w:hAnsi="Arial" w:cs="Arial"/>
          <w:b/>
          <w:sz w:val="22"/>
          <w:lang w:val="es-ES_tradnl"/>
        </w:rPr>
        <w:t xml:space="preserve"> </w:t>
      </w:r>
      <w:r w:rsidRPr="0079498E">
        <w:rPr>
          <w:rFonts w:ascii="Arial" w:eastAsia="Calibri" w:hAnsi="Arial" w:cs="Arial"/>
          <w:b/>
          <w:sz w:val="22"/>
          <w:lang w:val="es-ES_tradnl"/>
        </w:rPr>
        <w:t>Características</w:t>
      </w:r>
      <w:r w:rsidR="00DF71EA" w:rsidRPr="0079498E">
        <w:rPr>
          <w:rFonts w:ascii="Arial" w:eastAsia="Calibri" w:hAnsi="Arial" w:cs="Arial"/>
          <w:b/>
          <w:sz w:val="22"/>
          <w:lang w:val="es-ES_tradnl"/>
        </w:rPr>
        <w:t xml:space="preserve"> </w:t>
      </w:r>
      <w:r w:rsidR="00DF71EA" w:rsidRPr="0079498E">
        <w:rPr>
          <w:rFonts w:ascii="Arial" w:eastAsia="Calibri" w:hAnsi="Arial" w:cs="Arial"/>
          <w:b/>
          <w:color w:val="000000" w:themeColor="text1"/>
          <w:sz w:val="22"/>
          <w:lang w:val="es-ES_tradnl"/>
        </w:rPr>
        <w:t xml:space="preserve">– </w:t>
      </w:r>
      <w:r w:rsidRPr="0079498E">
        <w:rPr>
          <w:rFonts w:ascii="Arial" w:eastAsia="Calibri" w:hAnsi="Arial" w:cs="Arial"/>
          <w:b/>
          <w:color w:val="000000" w:themeColor="text1"/>
          <w:sz w:val="22"/>
          <w:lang w:val="es-ES_tradnl"/>
        </w:rPr>
        <w:t>Límites</w:t>
      </w:r>
    </w:p>
    <w:p w14:paraId="583F00A4" w14:textId="390EB1EB" w:rsidR="00DF71EA" w:rsidRPr="0079498E" w:rsidRDefault="00DF71EA" w:rsidP="00B95C30">
      <w:pPr>
        <w:spacing w:line="276" w:lineRule="auto"/>
        <w:jc w:val="both"/>
        <w:rPr>
          <w:rFonts w:ascii="Arial" w:hAnsi="Arial" w:cs="Arial"/>
          <w:noProof/>
          <w:color w:val="000000" w:themeColor="text1"/>
          <w:sz w:val="22"/>
          <w:lang w:val="es-ES_tradnl"/>
        </w:rPr>
      </w:pPr>
    </w:p>
    <w:p w14:paraId="66CA4DD9" w14:textId="52AF963D" w:rsidR="00D73881" w:rsidRPr="0079498E" w:rsidRDefault="005C6D19" w:rsidP="00D73881">
      <w:pPr>
        <w:jc w:val="both"/>
        <w:rPr>
          <w:rFonts w:ascii="Arial" w:eastAsia="Calibri" w:hAnsi="Arial" w:cs="Arial"/>
          <w:sz w:val="20"/>
          <w:szCs w:val="20"/>
          <w:lang w:val="es-ES_tradnl"/>
        </w:rPr>
      </w:pPr>
      <w:r w:rsidRPr="0079498E">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w:t>
      </w:r>
      <w:r w:rsidRPr="0079498E">
        <w:rPr>
          <w:rFonts w:ascii="Arial" w:eastAsia="Calibri" w:hAnsi="Arial" w:cs="Arial"/>
          <w:sz w:val="20"/>
          <w:szCs w:val="20"/>
          <w:lang w:val="es-ES_tradnl"/>
        </w:rPr>
        <w:lastRenderedPageBreak/>
        <w:t xml:space="preserve">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79498E">
        <w:rPr>
          <w:rFonts w:ascii="Arial" w:eastAsia="Calibri" w:hAnsi="Arial" w:cs="Arial"/>
          <w:sz w:val="20"/>
          <w:szCs w:val="20"/>
          <w:lang w:val="es-ES_tradnl"/>
        </w:rPr>
        <w:t>2069</w:t>
      </w:r>
      <w:r w:rsidRPr="0079498E">
        <w:rPr>
          <w:rFonts w:ascii="Arial" w:eastAsia="Calibri" w:hAnsi="Arial" w:cs="Arial"/>
          <w:sz w:val="20"/>
          <w:szCs w:val="20"/>
          <w:lang w:val="es-ES_tradnl"/>
        </w:rPr>
        <w:t xml:space="preserve"> de 2020. La </w:t>
      </w:r>
      <w:r w:rsidR="000422EA" w:rsidRPr="0079498E">
        <w:rPr>
          <w:rFonts w:ascii="Arial" w:eastAsia="Calibri" w:hAnsi="Arial" w:cs="Arial"/>
          <w:sz w:val="20"/>
          <w:szCs w:val="20"/>
          <w:lang w:val="es-ES_tradnl"/>
        </w:rPr>
        <w:t>jurisprudencia</w:t>
      </w:r>
      <w:r w:rsidRPr="0079498E">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79498E" w:rsidRDefault="005C6D19" w:rsidP="00D73881">
      <w:pPr>
        <w:jc w:val="both"/>
        <w:rPr>
          <w:rFonts w:ascii="Arial" w:eastAsia="Calibri" w:hAnsi="Arial" w:cs="Arial"/>
          <w:sz w:val="20"/>
          <w:szCs w:val="20"/>
          <w:lang w:val="es-ES_tradnl"/>
        </w:rPr>
      </w:pPr>
    </w:p>
    <w:p w14:paraId="5204F243" w14:textId="3F3E942D" w:rsidR="00D73881" w:rsidRPr="0079498E" w:rsidRDefault="003D3F28" w:rsidP="00D73881">
      <w:pPr>
        <w:jc w:val="both"/>
        <w:rPr>
          <w:rFonts w:ascii="Arial" w:eastAsia="Calibri" w:hAnsi="Arial" w:cs="Arial"/>
          <w:sz w:val="20"/>
          <w:szCs w:val="20"/>
          <w:lang w:val="es-ES_tradnl"/>
        </w:rPr>
      </w:pPr>
      <w:r w:rsidRPr="0079498E">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79498E">
        <w:rPr>
          <w:rFonts w:ascii="Arial" w:eastAsia="Calibri" w:hAnsi="Arial" w:cs="Arial"/>
          <w:sz w:val="20"/>
          <w:szCs w:val="20"/>
          <w:lang w:val="es-ES_tradnl"/>
        </w:rPr>
        <w:t xml:space="preserve"> </w:t>
      </w:r>
    </w:p>
    <w:p w14:paraId="03CC5C7E" w14:textId="460BCC05" w:rsidR="00D73881" w:rsidRPr="0079498E" w:rsidRDefault="00D73881" w:rsidP="00B95C30">
      <w:pPr>
        <w:spacing w:line="276" w:lineRule="auto"/>
        <w:jc w:val="both"/>
        <w:rPr>
          <w:rFonts w:ascii="Arial" w:hAnsi="Arial" w:cs="Arial"/>
          <w:noProof/>
          <w:color w:val="000000" w:themeColor="text1"/>
          <w:sz w:val="22"/>
          <w:lang w:val="es-ES_tradnl"/>
        </w:rPr>
      </w:pPr>
    </w:p>
    <w:p w14:paraId="7144E95B" w14:textId="6179FDBF" w:rsidR="00D73881" w:rsidRPr="0055053C" w:rsidRDefault="00D73881" w:rsidP="00D73881">
      <w:pPr>
        <w:jc w:val="both"/>
        <w:rPr>
          <w:rFonts w:ascii="Arial" w:eastAsia="Calibri" w:hAnsi="Arial" w:cs="Arial"/>
          <w:b/>
          <w:sz w:val="22"/>
          <w:lang w:val="es-ES_tradnl"/>
        </w:rPr>
      </w:pPr>
      <w:r w:rsidRPr="0055053C">
        <w:rPr>
          <w:rFonts w:ascii="Arial" w:eastAsia="Calibri" w:hAnsi="Arial" w:cs="Arial"/>
          <w:b/>
          <w:sz w:val="22"/>
          <w:lang w:val="es-ES_tradnl"/>
        </w:rPr>
        <w:t xml:space="preserve">LEY DE EMPRENDIMIENTO </w:t>
      </w:r>
      <w:r w:rsidRPr="0055053C">
        <w:rPr>
          <w:rFonts w:ascii="Arial" w:eastAsia="Calibri" w:hAnsi="Arial" w:cs="Arial"/>
          <w:b/>
          <w:color w:val="000000" w:themeColor="text1"/>
          <w:sz w:val="22"/>
          <w:lang w:val="es-ES_tradnl"/>
        </w:rPr>
        <w:t>–</w:t>
      </w:r>
      <w:r w:rsidRPr="0055053C">
        <w:rPr>
          <w:rFonts w:ascii="Arial" w:eastAsia="Calibri" w:hAnsi="Arial" w:cs="Arial"/>
          <w:b/>
          <w:sz w:val="22"/>
          <w:lang w:val="es-ES_tradnl"/>
        </w:rPr>
        <w:t xml:space="preserve"> Ley </w:t>
      </w:r>
      <w:r w:rsidR="007B209C" w:rsidRPr="0055053C">
        <w:rPr>
          <w:rFonts w:ascii="Arial" w:eastAsia="Calibri" w:hAnsi="Arial" w:cs="Arial"/>
          <w:b/>
          <w:sz w:val="22"/>
          <w:lang w:val="es-ES_tradnl"/>
        </w:rPr>
        <w:t>2069</w:t>
      </w:r>
      <w:r w:rsidRPr="0055053C">
        <w:rPr>
          <w:rFonts w:ascii="Arial" w:eastAsia="Calibri" w:hAnsi="Arial" w:cs="Arial"/>
          <w:b/>
          <w:sz w:val="22"/>
          <w:lang w:val="es-ES_tradnl"/>
        </w:rPr>
        <w:t xml:space="preserve"> de 2020 </w:t>
      </w:r>
      <w:r w:rsidRPr="0055053C">
        <w:rPr>
          <w:rFonts w:ascii="Arial" w:eastAsia="Calibri" w:hAnsi="Arial" w:cs="Arial"/>
          <w:b/>
          <w:color w:val="000000" w:themeColor="text1"/>
          <w:sz w:val="22"/>
          <w:lang w:val="es-ES_tradnl"/>
        </w:rPr>
        <w:t xml:space="preserve">– Vigencia </w:t>
      </w:r>
    </w:p>
    <w:p w14:paraId="0D3B8DEB" w14:textId="33C83BCF" w:rsidR="00D73881" w:rsidRPr="0055053C" w:rsidRDefault="00D73881" w:rsidP="00D73881">
      <w:pPr>
        <w:jc w:val="both"/>
        <w:rPr>
          <w:rFonts w:ascii="Arial" w:eastAsia="Calibri" w:hAnsi="Arial" w:cs="Arial"/>
          <w:b/>
          <w:sz w:val="22"/>
          <w:lang w:val="es-ES_tradnl"/>
        </w:rPr>
      </w:pPr>
    </w:p>
    <w:p w14:paraId="39668D0C" w14:textId="47082B69" w:rsidR="008410B1" w:rsidRPr="0055053C" w:rsidRDefault="008410B1" w:rsidP="008410B1">
      <w:pPr>
        <w:jc w:val="both"/>
        <w:rPr>
          <w:rFonts w:ascii="Arial" w:eastAsia="Calibri" w:hAnsi="Arial" w:cs="Arial"/>
          <w:sz w:val="20"/>
          <w:szCs w:val="20"/>
          <w:lang w:val="es-ES_tradnl"/>
        </w:rPr>
      </w:pPr>
      <w:r w:rsidRPr="0055053C">
        <w:rPr>
          <w:rFonts w:ascii="Arial" w:eastAsia="Calibri" w:hAnsi="Arial" w:cs="Arial"/>
          <w:sz w:val="20"/>
          <w:szCs w:val="20"/>
          <w:lang w:val="es-ES_tradnl"/>
        </w:rPr>
        <w:t xml:space="preserve">El 31 de diciembre de 2020 se promulgó la Ley </w:t>
      </w:r>
      <w:r w:rsidR="007B209C" w:rsidRPr="0055053C">
        <w:rPr>
          <w:rFonts w:ascii="Arial" w:eastAsia="Calibri" w:hAnsi="Arial" w:cs="Arial"/>
          <w:sz w:val="20"/>
          <w:szCs w:val="20"/>
          <w:lang w:val="es-ES_tradnl"/>
        </w:rPr>
        <w:t>2069</w:t>
      </w:r>
      <w:r w:rsidRPr="0055053C">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55053C" w:rsidRDefault="008410B1" w:rsidP="008410B1">
      <w:pPr>
        <w:jc w:val="both"/>
        <w:rPr>
          <w:rFonts w:ascii="Arial" w:eastAsia="Calibri" w:hAnsi="Arial" w:cs="Arial"/>
          <w:sz w:val="20"/>
          <w:szCs w:val="20"/>
          <w:lang w:val="es-ES_tradnl"/>
        </w:rPr>
      </w:pPr>
    </w:p>
    <w:p w14:paraId="23AB3850" w14:textId="71F6214C" w:rsidR="008410B1" w:rsidRPr="0055053C" w:rsidRDefault="008410B1" w:rsidP="008410B1">
      <w:pPr>
        <w:jc w:val="both"/>
        <w:rPr>
          <w:rFonts w:ascii="Arial" w:eastAsia="Calibri" w:hAnsi="Arial" w:cs="Arial"/>
          <w:sz w:val="20"/>
          <w:szCs w:val="20"/>
          <w:lang w:val="es-ES_tradnl"/>
        </w:rPr>
      </w:pPr>
      <w:r w:rsidRPr="0055053C">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5053C">
        <w:rPr>
          <w:rFonts w:ascii="Arial" w:eastAsia="Calibri" w:hAnsi="Arial" w:cs="Arial"/>
          <w:sz w:val="20"/>
          <w:szCs w:val="20"/>
          <w:lang w:val="es-ES_tradnl"/>
        </w:rPr>
        <w:t>mipymes</w:t>
      </w:r>
      <w:proofErr w:type="spellEnd"/>
      <w:r w:rsidRPr="0055053C">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55053C">
        <w:rPr>
          <w:rFonts w:ascii="Arial" w:eastAsia="Calibri" w:hAnsi="Arial" w:cs="Arial"/>
          <w:sz w:val="20"/>
          <w:szCs w:val="20"/>
          <w:lang w:val="es-ES_tradnl"/>
        </w:rPr>
        <w:t>,</w:t>
      </w:r>
      <w:r w:rsidR="00B74EF8" w:rsidRPr="0055053C">
        <w:rPr>
          <w:rFonts w:ascii="Arial" w:eastAsia="Calibri" w:hAnsi="Arial" w:cs="Arial"/>
          <w:sz w:val="20"/>
          <w:szCs w:val="20"/>
          <w:lang w:val="es-ES_tradnl"/>
        </w:rPr>
        <w:t xml:space="preserve"> </w:t>
      </w:r>
      <w:r w:rsidRPr="0055053C">
        <w:rPr>
          <w:rFonts w:ascii="Arial" w:eastAsia="Calibri" w:hAnsi="Arial" w:cs="Arial"/>
          <w:sz w:val="20"/>
          <w:szCs w:val="20"/>
          <w:lang w:val="es-ES_tradnl"/>
        </w:rPr>
        <w:t>y se prevén medidas de educación para el emprendimiento y la innovación.</w:t>
      </w:r>
    </w:p>
    <w:p w14:paraId="7B24A529" w14:textId="77777777" w:rsidR="008410B1" w:rsidRPr="00127EBF" w:rsidRDefault="008410B1" w:rsidP="008410B1">
      <w:pPr>
        <w:jc w:val="both"/>
        <w:rPr>
          <w:rFonts w:ascii="Arial" w:eastAsia="Calibri" w:hAnsi="Arial" w:cs="Arial"/>
          <w:b/>
          <w:sz w:val="22"/>
          <w:highlight w:val="yellow"/>
          <w:lang w:val="es-ES_tradnl"/>
        </w:rPr>
      </w:pPr>
    </w:p>
    <w:p w14:paraId="5C894141" w14:textId="115E69FE" w:rsidR="00D73881" w:rsidRPr="0055053C" w:rsidRDefault="00D73881" w:rsidP="00D73881">
      <w:pPr>
        <w:jc w:val="both"/>
        <w:rPr>
          <w:rFonts w:ascii="Arial" w:eastAsia="Calibri" w:hAnsi="Arial" w:cs="Arial"/>
          <w:b/>
          <w:sz w:val="22"/>
          <w:lang w:val="es-ES_tradnl"/>
        </w:rPr>
      </w:pPr>
      <w:r w:rsidRPr="0055053C">
        <w:rPr>
          <w:rFonts w:ascii="Arial" w:eastAsia="Calibri" w:hAnsi="Arial" w:cs="Arial"/>
          <w:b/>
          <w:sz w:val="22"/>
          <w:lang w:val="es-ES_tradnl"/>
        </w:rPr>
        <w:t xml:space="preserve">FACTORES DE DESEMPATE </w:t>
      </w:r>
      <w:r w:rsidRPr="0055053C">
        <w:rPr>
          <w:rFonts w:ascii="Arial" w:eastAsia="Calibri" w:hAnsi="Arial" w:cs="Arial"/>
          <w:b/>
          <w:color w:val="000000" w:themeColor="text1"/>
          <w:sz w:val="22"/>
          <w:lang w:val="es-ES_tradnl"/>
        </w:rPr>
        <w:t>–</w:t>
      </w:r>
      <w:r w:rsidRPr="0055053C">
        <w:rPr>
          <w:rFonts w:ascii="Arial" w:eastAsia="Calibri" w:hAnsi="Arial" w:cs="Arial"/>
          <w:b/>
          <w:sz w:val="22"/>
          <w:lang w:val="es-ES_tradnl"/>
        </w:rPr>
        <w:t xml:space="preserve"> Ley </w:t>
      </w:r>
      <w:r w:rsidR="007B209C" w:rsidRPr="0055053C">
        <w:rPr>
          <w:rFonts w:ascii="Arial" w:eastAsia="Calibri" w:hAnsi="Arial" w:cs="Arial"/>
          <w:b/>
          <w:sz w:val="22"/>
          <w:lang w:val="es-ES_tradnl"/>
        </w:rPr>
        <w:t>2069</w:t>
      </w:r>
      <w:r w:rsidRPr="0055053C">
        <w:rPr>
          <w:rFonts w:ascii="Arial" w:eastAsia="Calibri" w:hAnsi="Arial" w:cs="Arial"/>
          <w:b/>
          <w:sz w:val="22"/>
          <w:lang w:val="es-ES_tradnl"/>
        </w:rPr>
        <w:t xml:space="preserve"> </w:t>
      </w:r>
      <w:r w:rsidRPr="0055053C">
        <w:rPr>
          <w:rFonts w:ascii="Arial" w:eastAsia="Calibri" w:hAnsi="Arial" w:cs="Arial"/>
          <w:b/>
          <w:color w:val="000000" w:themeColor="text1"/>
          <w:sz w:val="22"/>
          <w:lang w:val="es-ES_tradnl"/>
        </w:rPr>
        <w:t xml:space="preserve">– Artículo 35 – </w:t>
      </w:r>
      <w:r w:rsidR="0055053C" w:rsidRPr="0055053C">
        <w:rPr>
          <w:rFonts w:ascii="Arial" w:eastAsia="Calibri" w:hAnsi="Arial" w:cs="Arial"/>
          <w:b/>
          <w:color w:val="000000" w:themeColor="text1"/>
          <w:sz w:val="22"/>
          <w:lang w:val="es-ES_tradnl"/>
        </w:rPr>
        <w:t xml:space="preserve">Numeral </w:t>
      </w:r>
      <w:r w:rsidR="00813E0C">
        <w:rPr>
          <w:rFonts w:ascii="Arial" w:eastAsia="Calibri" w:hAnsi="Arial" w:cs="Arial"/>
          <w:b/>
          <w:color w:val="000000" w:themeColor="text1"/>
          <w:sz w:val="22"/>
          <w:lang w:val="es-ES_tradnl"/>
        </w:rPr>
        <w:t>2</w:t>
      </w:r>
      <w:r w:rsidR="009D70CD">
        <w:rPr>
          <w:rFonts w:ascii="Arial" w:eastAsia="Calibri" w:hAnsi="Arial" w:cs="Arial"/>
          <w:b/>
          <w:color w:val="000000" w:themeColor="text1"/>
          <w:sz w:val="22"/>
          <w:lang w:val="es-ES_tradnl"/>
        </w:rPr>
        <w:t xml:space="preserve"> </w:t>
      </w:r>
      <w:r w:rsidR="009D70CD" w:rsidRPr="0055053C">
        <w:rPr>
          <w:rFonts w:ascii="Arial" w:eastAsia="Calibri" w:hAnsi="Arial" w:cs="Arial"/>
          <w:b/>
          <w:color w:val="000000" w:themeColor="text1"/>
          <w:sz w:val="22"/>
          <w:lang w:val="es-ES_tradnl"/>
        </w:rPr>
        <w:t>–</w:t>
      </w:r>
      <w:r w:rsidR="009D70CD">
        <w:rPr>
          <w:rFonts w:ascii="Arial" w:eastAsia="Calibri" w:hAnsi="Arial" w:cs="Arial"/>
          <w:b/>
          <w:color w:val="000000" w:themeColor="text1"/>
          <w:sz w:val="22"/>
          <w:lang w:val="es-ES_tradnl"/>
        </w:rPr>
        <w:t xml:space="preserve"> Participación</w:t>
      </w:r>
    </w:p>
    <w:p w14:paraId="4D9EB4C1" w14:textId="20D03020" w:rsidR="00D73881" w:rsidRPr="00127EBF" w:rsidRDefault="00D73881" w:rsidP="00B95C30">
      <w:pPr>
        <w:spacing w:line="276" w:lineRule="auto"/>
        <w:jc w:val="both"/>
        <w:rPr>
          <w:rFonts w:ascii="Arial" w:hAnsi="Arial" w:cs="Arial"/>
          <w:noProof/>
          <w:color w:val="000000" w:themeColor="text1"/>
          <w:sz w:val="22"/>
          <w:highlight w:val="yellow"/>
          <w:lang w:val="es-ES_tradnl"/>
        </w:rPr>
      </w:pPr>
    </w:p>
    <w:p w14:paraId="588196AB" w14:textId="77777777" w:rsidR="009D70CD" w:rsidRPr="009D70CD" w:rsidRDefault="009D70CD" w:rsidP="009D70CD">
      <w:pPr>
        <w:jc w:val="both"/>
        <w:rPr>
          <w:rFonts w:ascii="Arial" w:eastAsia="Calibri" w:hAnsi="Arial" w:cs="Arial"/>
          <w:sz w:val="20"/>
          <w:szCs w:val="20"/>
          <w:lang w:val="es-ES_tradnl"/>
        </w:rPr>
      </w:pPr>
      <w:r w:rsidRPr="009D70CD">
        <w:rPr>
          <w:rFonts w:ascii="Arial" w:eastAsia="Calibri" w:hAnsi="Arial" w:cs="Arial"/>
          <w:sz w:val="20"/>
          <w:szCs w:val="20"/>
          <w:lang w:val="es-ES_tradnl"/>
        </w:rPr>
        <w:t>Teniendo en cuenta que participar debe entenderse –a menos que el reglamento disponga lo contrario– como tomar parte en la sociedad o proponente plural, de acuerdo al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otorgue un alcance diferente al enunciado normativo.</w:t>
      </w:r>
    </w:p>
    <w:p w14:paraId="5B078637" w14:textId="77777777" w:rsidR="00B167C8" w:rsidRPr="00127EBF" w:rsidRDefault="00B167C8" w:rsidP="00B95C30">
      <w:pPr>
        <w:spacing w:line="276" w:lineRule="auto"/>
        <w:jc w:val="both"/>
        <w:rPr>
          <w:rFonts w:ascii="Arial" w:hAnsi="Arial" w:cs="Arial"/>
          <w:noProof/>
          <w:color w:val="000000" w:themeColor="text1"/>
          <w:sz w:val="22"/>
          <w:lang w:val="es-ES_tradnl"/>
        </w:rPr>
      </w:pPr>
    </w:p>
    <w:p w14:paraId="7DD48F49" w14:textId="316979B6" w:rsidR="00B95C30" w:rsidRPr="00127EBF" w:rsidRDefault="00B95C30" w:rsidP="00B95C30">
      <w:pPr>
        <w:spacing w:line="276" w:lineRule="auto"/>
        <w:jc w:val="both"/>
        <w:rPr>
          <w:rFonts w:ascii="Arial" w:hAnsi="Arial" w:cs="Arial"/>
          <w:b/>
          <w:bCs/>
          <w:noProof/>
          <w:color w:val="000000" w:themeColor="text1"/>
          <w:sz w:val="22"/>
          <w:lang w:val="es-ES_tradnl"/>
        </w:rPr>
      </w:pPr>
      <w:r w:rsidRPr="00127EBF">
        <w:rPr>
          <w:rFonts w:ascii="Arial" w:hAnsi="Arial" w:cs="Arial"/>
          <w:noProof/>
          <w:color w:val="000000" w:themeColor="text1"/>
          <w:sz w:val="22"/>
          <w:lang w:val="es-ES_tradnl"/>
        </w:rPr>
        <w:t xml:space="preserve">Bogotá D.C., </w:t>
      </w:r>
      <w:r w:rsidR="005C5674">
        <w:rPr>
          <w:rFonts w:ascii="Arial" w:hAnsi="Arial" w:cs="Arial"/>
          <w:b/>
          <w:bCs/>
          <w:noProof/>
          <w:color w:val="000000" w:themeColor="text1"/>
          <w:sz w:val="22"/>
          <w:lang w:val="es-ES_tradnl"/>
        </w:rPr>
        <w:t>26/04/2021 12:46:54</w:t>
      </w:r>
    </w:p>
    <w:p w14:paraId="1F928DBD" w14:textId="77777777" w:rsidR="00F53F4F" w:rsidRPr="00127EBF" w:rsidRDefault="00F53F4F" w:rsidP="00B95C30">
      <w:pPr>
        <w:spacing w:line="276" w:lineRule="auto"/>
        <w:jc w:val="both"/>
        <w:rPr>
          <w:rFonts w:ascii="Arial" w:eastAsia="Calibri" w:hAnsi="Arial" w:cs="Arial"/>
          <w:noProof/>
          <w:color w:val="000000" w:themeColor="text1"/>
          <w:sz w:val="22"/>
          <w:szCs w:val="22"/>
          <w:lang w:val="es-ES_tradnl"/>
        </w:rPr>
      </w:pPr>
    </w:p>
    <w:p w14:paraId="0B7A7877" w14:textId="69C09954" w:rsidR="005C5674" w:rsidRPr="005C5674" w:rsidRDefault="005C5674" w:rsidP="005C5674">
      <w:pPr>
        <w:jc w:val="right"/>
      </w:pPr>
      <w:r w:rsidRPr="005C5674">
        <w:fldChar w:fldCharType="begin"/>
      </w:r>
      <w:r w:rsidRPr="005C5674">
        <w:instrText xml:space="preserve"> INCLUDEPICTURE "/var/folders/5l/v1rdjm0x1x9416lmbj7_vjt40000gn/T/com.microsoft.Word/WebArchiveCopyPasteTempFiles/page1image1824224" \* MERGEFORMATINET </w:instrText>
      </w:r>
      <w:r w:rsidRPr="005C5674">
        <w:fldChar w:fldCharType="separate"/>
      </w:r>
      <w:r w:rsidRPr="005C5674">
        <w:rPr>
          <w:noProof/>
        </w:rPr>
        <w:drawing>
          <wp:inline distT="0" distB="0" distL="0" distR="0" wp14:anchorId="1F0E87BF" wp14:editId="32EA836C">
            <wp:extent cx="2400935" cy="607060"/>
            <wp:effectExtent l="0" t="0" r="0" b="2540"/>
            <wp:docPr id="4" name="Imagen 4" descr="page1image182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242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935" cy="607060"/>
                    </a:xfrm>
                    <a:prstGeom prst="rect">
                      <a:avLst/>
                    </a:prstGeom>
                    <a:noFill/>
                    <a:ln>
                      <a:noFill/>
                    </a:ln>
                  </pic:spPr>
                </pic:pic>
              </a:graphicData>
            </a:graphic>
          </wp:inline>
        </w:drawing>
      </w:r>
      <w:r w:rsidRPr="005C5674">
        <w:fldChar w:fldCharType="end"/>
      </w:r>
    </w:p>
    <w:p w14:paraId="708B07E1" w14:textId="07B72FB0" w:rsidR="00417C00" w:rsidRPr="00127EBF" w:rsidRDefault="00417C00" w:rsidP="00417C00">
      <w:pPr>
        <w:jc w:val="right"/>
        <w:rPr>
          <w:lang w:val="es-ES_tradnl"/>
        </w:rPr>
      </w:pPr>
    </w:p>
    <w:p w14:paraId="6A8A869B" w14:textId="514D7C5B" w:rsidR="00B95C30" w:rsidRPr="00127EBF" w:rsidRDefault="00B95C30" w:rsidP="00B95C30">
      <w:pPr>
        <w:jc w:val="both"/>
        <w:rPr>
          <w:rFonts w:ascii="Arial" w:hAnsi="Arial" w:cs="Arial"/>
          <w:b/>
          <w:color w:val="000000" w:themeColor="text1"/>
          <w:sz w:val="22"/>
          <w:lang w:val="es-ES_tradnl"/>
        </w:rPr>
      </w:pPr>
    </w:p>
    <w:p w14:paraId="24A88D3F" w14:textId="77777777" w:rsidR="00F53F4F" w:rsidRPr="00127EBF" w:rsidRDefault="00F53F4F" w:rsidP="00B95C30">
      <w:pPr>
        <w:jc w:val="both"/>
        <w:rPr>
          <w:rFonts w:ascii="Arial" w:hAnsi="Arial" w:cs="Arial"/>
          <w:b/>
          <w:color w:val="000000" w:themeColor="text1"/>
          <w:sz w:val="22"/>
          <w:lang w:val="es-ES_tradnl"/>
        </w:rPr>
      </w:pPr>
    </w:p>
    <w:p w14:paraId="5F5AE9EF" w14:textId="71FA55B7" w:rsidR="00B95C30" w:rsidRPr="00127EBF" w:rsidRDefault="00BE4FBF" w:rsidP="00B95C30">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Señor</w:t>
      </w:r>
    </w:p>
    <w:p w14:paraId="3DCD58CE" w14:textId="7EE46137" w:rsidR="00B95C30" w:rsidRPr="00127EBF" w:rsidRDefault="00365536"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Guido Eduardo González Valencia</w:t>
      </w:r>
    </w:p>
    <w:p w14:paraId="09D4AEA8" w14:textId="658189A9" w:rsidR="00B95C30" w:rsidRPr="00127EBF" w:rsidRDefault="00716BB0" w:rsidP="00B95C30">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Bogotá D.C.</w:t>
      </w:r>
    </w:p>
    <w:p w14:paraId="3B584A57" w14:textId="4528CA3D" w:rsidR="00F53F4F" w:rsidRPr="00127EBF" w:rsidRDefault="00F53F4F" w:rsidP="00B95C30">
      <w:pPr>
        <w:jc w:val="both"/>
        <w:rPr>
          <w:rFonts w:ascii="Arial" w:eastAsia="Calibri" w:hAnsi="Arial" w:cs="Arial"/>
          <w:color w:val="000000" w:themeColor="text1"/>
          <w:sz w:val="22"/>
          <w:lang w:val="es-ES_tradnl"/>
        </w:rPr>
      </w:pPr>
    </w:p>
    <w:p w14:paraId="48E36FCF" w14:textId="77777777" w:rsidR="00F53F4F" w:rsidRPr="00127EBF" w:rsidRDefault="00F53F4F" w:rsidP="00B95C30">
      <w:pPr>
        <w:jc w:val="both"/>
        <w:rPr>
          <w:rFonts w:ascii="Arial" w:eastAsia="Calibri" w:hAnsi="Arial" w:cs="Arial"/>
          <w:color w:val="000000" w:themeColor="text1"/>
          <w:sz w:val="22"/>
          <w:lang w:val="es-ES_tradnl"/>
        </w:rPr>
      </w:pPr>
    </w:p>
    <w:p w14:paraId="12E66182" w14:textId="549D4136" w:rsidR="00B95C30" w:rsidRPr="00127EBF" w:rsidRDefault="00F53F4F" w:rsidP="001D6CD2">
      <w:pPr>
        <w:rPr>
          <w:rFonts w:ascii="Arial" w:eastAsia="Calibri" w:hAnsi="Arial" w:cs="Arial"/>
          <w:b/>
          <w:bCs/>
          <w:color w:val="000000" w:themeColor="text1"/>
          <w:sz w:val="22"/>
          <w:lang w:val="es-ES_tradnl"/>
        </w:rPr>
      </w:pPr>
      <w:r w:rsidRPr="00127EBF">
        <w:rPr>
          <w:rFonts w:ascii="Arial" w:eastAsia="Calibri" w:hAnsi="Arial" w:cs="Arial"/>
          <w:b/>
          <w:bCs/>
          <w:color w:val="000000" w:themeColor="text1"/>
          <w:sz w:val="22"/>
          <w:lang w:val="es-ES_tradnl"/>
        </w:rPr>
        <w:t xml:space="preserve">                                            </w:t>
      </w:r>
      <w:r w:rsidR="00B95C30" w:rsidRPr="00666F41">
        <w:rPr>
          <w:rFonts w:ascii="Arial" w:eastAsia="Calibri" w:hAnsi="Arial" w:cs="Arial"/>
          <w:b/>
          <w:bCs/>
          <w:color w:val="000000" w:themeColor="text1"/>
          <w:sz w:val="22"/>
          <w:lang w:val="es-ES_tradnl"/>
        </w:rPr>
        <w:t xml:space="preserve">Concepto C ‒ </w:t>
      </w:r>
      <w:r w:rsidR="00666F41" w:rsidRPr="00666F41">
        <w:rPr>
          <w:rFonts w:ascii="Arial" w:eastAsia="Calibri" w:hAnsi="Arial" w:cs="Arial"/>
          <w:b/>
          <w:bCs/>
          <w:color w:val="000000" w:themeColor="text1"/>
          <w:sz w:val="22"/>
          <w:lang w:val="es-ES_tradnl"/>
        </w:rPr>
        <w:t>191</w:t>
      </w:r>
      <w:r w:rsidR="00B95C30" w:rsidRPr="00666F41">
        <w:rPr>
          <w:rFonts w:ascii="Arial" w:eastAsia="Calibri" w:hAnsi="Arial" w:cs="Arial"/>
          <w:b/>
          <w:bCs/>
          <w:color w:val="000000" w:themeColor="text1"/>
          <w:sz w:val="22"/>
          <w:lang w:val="es-ES_tradnl"/>
        </w:rPr>
        <w:t xml:space="preserve"> de 202</w:t>
      </w:r>
      <w:r w:rsidR="005E781C" w:rsidRPr="00666F41">
        <w:rPr>
          <w:rFonts w:ascii="Arial" w:eastAsia="Calibri" w:hAnsi="Arial" w:cs="Arial"/>
          <w:b/>
          <w:bCs/>
          <w:color w:val="000000" w:themeColor="text1"/>
          <w:sz w:val="22"/>
          <w:lang w:val="es-ES_tradnl"/>
        </w:rPr>
        <w:t>1</w:t>
      </w:r>
    </w:p>
    <w:p w14:paraId="1BD594F9" w14:textId="77777777" w:rsidR="00B95C30" w:rsidRPr="00127EB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27EBF" w14:paraId="19DFC051" w14:textId="77777777" w:rsidTr="008F4163">
        <w:tc>
          <w:tcPr>
            <w:tcW w:w="2689" w:type="dxa"/>
          </w:tcPr>
          <w:p w14:paraId="6BC0D1AC" w14:textId="77777777" w:rsidR="00B95C30" w:rsidRPr="00127EBF" w:rsidRDefault="00B95C30" w:rsidP="008F4163">
            <w:pPr>
              <w:jc w:val="both"/>
              <w:rPr>
                <w:rFonts w:ascii="Arial" w:eastAsia="Calibri" w:hAnsi="Arial" w:cs="Arial"/>
                <w:color w:val="000000" w:themeColor="text1"/>
                <w:sz w:val="22"/>
                <w:lang w:val="es-ES_tradnl"/>
              </w:rPr>
            </w:pPr>
            <w:r w:rsidRPr="00127EBF">
              <w:rPr>
                <w:rFonts w:ascii="Arial" w:eastAsia="Calibri" w:hAnsi="Arial" w:cs="Arial"/>
                <w:b/>
                <w:color w:val="000000" w:themeColor="text1"/>
                <w:sz w:val="22"/>
                <w:lang w:val="es-ES_tradnl"/>
              </w:rPr>
              <w:t>Temas:</w:t>
            </w:r>
            <w:r w:rsidRPr="00127EBF">
              <w:rPr>
                <w:rFonts w:ascii="Arial" w:eastAsia="Calibri" w:hAnsi="Arial" w:cs="Arial"/>
                <w:color w:val="000000" w:themeColor="text1"/>
                <w:sz w:val="22"/>
                <w:lang w:val="es-ES_tradnl"/>
              </w:rPr>
              <w:t xml:space="preserve">                                      </w:t>
            </w:r>
          </w:p>
        </w:tc>
        <w:tc>
          <w:tcPr>
            <w:tcW w:w="6237" w:type="dxa"/>
          </w:tcPr>
          <w:p w14:paraId="5F389CAF" w14:textId="7EC99894" w:rsidR="00B95C30" w:rsidRPr="009D70CD" w:rsidRDefault="0055053C" w:rsidP="008F4163">
            <w:pPr>
              <w:jc w:val="both"/>
              <w:rPr>
                <w:rFonts w:ascii="Arial" w:eastAsia="Calibri" w:hAnsi="Arial" w:cs="Arial"/>
                <w:color w:val="000000" w:themeColor="text1"/>
                <w:sz w:val="22"/>
                <w:lang w:val="es-ES_tradnl"/>
              </w:rPr>
            </w:pPr>
            <w:r w:rsidRPr="009D70CD">
              <w:rPr>
                <w:rFonts w:ascii="Arial" w:eastAsia="Calibri" w:hAnsi="Arial" w:cs="Arial"/>
                <w:bCs/>
                <w:sz w:val="22"/>
                <w:lang w:val="es-ES_tradnl"/>
              </w:rPr>
              <w:t>CONCEPTOS DE COLOMBIA COMPRA EFICIENTE – Obligatoriedad</w:t>
            </w:r>
            <w:r w:rsidR="00435FDD" w:rsidRPr="009D70CD">
              <w:rPr>
                <w:rFonts w:ascii="Arial" w:eastAsia="Calibri" w:hAnsi="Arial" w:cs="Arial"/>
                <w:bCs/>
                <w:sz w:val="22"/>
                <w:lang w:val="es-ES_tradnl"/>
              </w:rPr>
              <w:t xml:space="preserve"> / FUNCIÓN CONSULTIVA – Alcance / CONCEPTOS DE COLOMBIA COMPRA EFICIENTE – Revocación directa – Improcedencia / FUNCIÓN CONSULTIVA – Objeto / SELECCIÓN OBJETIVA – Contratación estatal – Concepto / EMPATE – Procedimiento de selección – Concepto /</w:t>
            </w:r>
            <w:r w:rsidR="00435FDD" w:rsidRPr="009D70CD">
              <w:t xml:space="preserve"> </w:t>
            </w:r>
            <w:r w:rsidR="00435FDD" w:rsidRPr="009D70CD">
              <w:rPr>
                <w:rFonts w:ascii="Arial" w:eastAsia="Calibri" w:hAnsi="Arial" w:cs="Arial"/>
                <w:bCs/>
                <w:sz w:val="22"/>
                <w:lang w:val="es-ES_tradnl"/>
              </w:rPr>
              <w:t xml:space="preserve">FACTORES DE DESEMPATE – Características – Límites / LEY DE EMPRENDIMIENTO – Ley 2069 de 2020 – Vigencia / </w:t>
            </w:r>
            <w:r w:rsidR="009D70CD" w:rsidRPr="009D70CD">
              <w:rPr>
                <w:rFonts w:ascii="Arial" w:eastAsia="Calibri" w:hAnsi="Arial" w:cs="Arial"/>
                <w:bCs/>
                <w:sz w:val="22"/>
                <w:lang w:val="es-ES_tradnl"/>
              </w:rPr>
              <w:t>FACTORES DE DESEMPATE – Ley 2069 – Artículo 35 – Numeral 2 – Participación.</w:t>
            </w:r>
          </w:p>
        </w:tc>
      </w:tr>
      <w:tr w:rsidR="00B95C30" w:rsidRPr="00127EBF" w14:paraId="27CD52AB" w14:textId="77777777" w:rsidTr="008F4163">
        <w:tc>
          <w:tcPr>
            <w:tcW w:w="2689" w:type="dxa"/>
          </w:tcPr>
          <w:p w14:paraId="37E195A1" w14:textId="1BA218D5" w:rsidR="00B95C30" w:rsidRPr="00127EBF" w:rsidRDefault="00B95C30" w:rsidP="008F4163">
            <w:pPr>
              <w:spacing w:before="12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Radicación:</w:t>
            </w:r>
            <w:r w:rsidRPr="00127EBF">
              <w:rPr>
                <w:rFonts w:ascii="Arial" w:eastAsia="Calibri" w:hAnsi="Arial" w:cs="Arial"/>
                <w:color w:val="000000" w:themeColor="text1"/>
                <w:sz w:val="22"/>
                <w:lang w:val="es-ES_tradnl"/>
              </w:rPr>
              <w:t xml:space="preserve">                              </w:t>
            </w:r>
          </w:p>
        </w:tc>
        <w:tc>
          <w:tcPr>
            <w:tcW w:w="6237" w:type="dxa"/>
          </w:tcPr>
          <w:p w14:paraId="09088B1B" w14:textId="3E8C9F24" w:rsidR="00B95C30" w:rsidRPr="00127EBF" w:rsidRDefault="00B95C30" w:rsidP="008F4163">
            <w:pPr>
              <w:spacing w:before="120"/>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 xml:space="preserve">Respuesta a consulta # </w:t>
            </w:r>
            <w:r w:rsidR="004908FA" w:rsidRPr="004908FA">
              <w:rPr>
                <w:rFonts w:ascii="Arial" w:eastAsia="Calibri" w:hAnsi="Arial" w:cs="Arial"/>
                <w:color w:val="000000" w:themeColor="text1"/>
                <w:sz w:val="22"/>
                <w:lang w:val="es-ES_tradnl"/>
              </w:rPr>
              <w:t>P20210316002199</w:t>
            </w:r>
          </w:p>
        </w:tc>
      </w:tr>
    </w:tbl>
    <w:p w14:paraId="61B55CA4" w14:textId="77777777" w:rsidR="00716BB0" w:rsidRPr="00127EBF" w:rsidRDefault="00716BB0" w:rsidP="003C3339">
      <w:pPr>
        <w:jc w:val="both"/>
        <w:rPr>
          <w:rFonts w:ascii="Arial" w:eastAsia="Calibri" w:hAnsi="Arial" w:cs="Arial"/>
          <w:color w:val="000000" w:themeColor="text1"/>
          <w:sz w:val="22"/>
          <w:lang w:val="es-ES_tradnl"/>
        </w:rPr>
      </w:pPr>
    </w:p>
    <w:p w14:paraId="4B9B5156" w14:textId="77777777" w:rsidR="00716BB0" w:rsidRPr="00127EBF" w:rsidRDefault="00716BB0" w:rsidP="003C3339">
      <w:pPr>
        <w:jc w:val="both"/>
        <w:rPr>
          <w:rFonts w:ascii="Arial" w:eastAsia="Calibri" w:hAnsi="Arial" w:cs="Arial"/>
          <w:color w:val="000000" w:themeColor="text1"/>
          <w:sz w:val="22"/>
          <w:lang w:val="es-ES_tradnl"/>
        </w:rPr>
      </w:pPr>
    </w:p>
    <w:p w14:paraId="1CF4AEA0" w14:textId="6594395E" w:rsidR="003C3339" w:rsidRPr="00127EBF" w:rsidRDefault="003C3339" w:rsidP="003C3339">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Estimad</w:t>
      </w:r>
      <w:r w:rsidR="00810A15" w:rsidRPr="00127EBF">
        <w:rPr>
          <w:rFonts w:ascii="Arial" w:eastAsia="Calibri" w:hAnsi="Arial" w:cs="Arial"/>
          <w:color w:val="000000" w:themeColor="text1"/>
          <w:sz w:val="22"/>
          <w:lang w:val="es-ES_tradnl"/>
        </w:rPr>
        <w:t>o</w:t>
      </w:r>
      <w:r w:rsidRPr="00127EBF">
        <w:rPr>
          <w:rFonts w:ascii="Arial" w:eastAsia="Calibri" w:hAnsi="Arial" w:cs="Arial"/>
          <w:color w:val="000000" w:themeColor="text1"/>
          <w:sz w:val="22"/>
          <w:lang w:val="es-ES_tradnl"/>
        </w:rPr>
        <w:t xml:space="preserve"> </w:t>
      </w:r>
      <w:r w:rsidR="0063732C" w:rsidRPr="00127EBF">
        <w:rPr>
          <w:rFonts w:ascii="Arial" w:eastAsia="Calibri" w:hAnsi="Arial" w:cs="Arial"/>
          <w:color w:val="000000" w:themeColor="text1"/>
          <w:sz w:val="22"/>
          <w:lang w:val="es-ES_tradnl"/>
        </w:rPr>
        <w:t>señor</w:t>
      </w:r>
      <w:r w:rsidR="00BE4FBF" w:rsidRPr="00127EBF">
        <w:rPr>
          <w:rFonts w:ascii="Arial" w:eastAsia="Calibri" w:hAnsi="Arial" w:cs="Arial"/>
          <w:color w:val="000000" w:themeColor="text1"/>
          <w:sz w:val="22"/>
          <w:lang w:val="es-ES_tradnl"/>
        </w:rPr>
        <w:t xml:space="preserve"> </w:t>
      </w:r>
      <w:r w:rsidR="00E67F3A">
        <w:rPr>
          <w:rFonts w:ascii="Arial" w:eastAsia="Calibri" w:hAnsi="Arial" w:cs="Arial"/>
          <w:color w:val="000000" w:themeColor="text1"/>
          <w:sz w:val="22"/>
          <w:lang w:val="es-ES_tradnl"/>
        </w:rPr>
        <w:t>González</w:t>
      </w:r>
      <w:r w:rsidRPr="00127EBF">
        <w:rPr>
          <w:rFonts w:ascii="Arial" w:eastAsia="Calibri" w:hAnsi="Arial" w:cs="Arial"/>
          <w:color w:val="000000" w:themeColor="text1"/>
          <w:sz w:val="22"/>
          <w:lang w:val="es-ES_tradnl"/>
        </w:rPr>
        <w:t>:</w:t>
      </w:r>
    </w:p>
    <w:p w14:paraId="1EAE5543" w14:textId="77777777" w:rsidR="00DD5B04" w:rsidRPr="00127EBF" w:rsidRDefault="00DD5B04" w:rsidP="00DF76A2">
      <w:pPr>
        <w:jc w:val="both"/>
        <w:rPr>
          <w:rFonts w:ascii="Arial" w:eastAsia="Calibri" w:hAnsi="Arial" w:cs="Arial"/>
          <w:color w:val="000000" w:themeColor="text1"/>
          <w:sz w:val="22"/>
          <w:lang w:val="es-ES_tradnl"/>
        </w:rPr>
      </w:pPr>
    </w:p>
    <w:p w14:paraId="2109B2D3" w14:textId="32A329D8" w:rsidR="00DD5B04" w:rsidRPr="00127EBF" w:rsidRDefault="00DD5B04" w:rsidP="00DF76A2">
      <w:pPr>
        <w:spacing w:line="276" w:lineRule="auto"/>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127EBF">
        <w:rPr>
          <w:rFonts w:ascii="Arial" w:eastAsia="Calibri" w:hAnsi="Arial" w:cs="Arial"/>
          <w:color w:val="000000" w:themeColor="text1"/>
          <w:sz w:val="22"/>
          <w:lang w:val="es-ES_tradnl"/>
        </w:rPr>
        <w:t xml:space="preserve"> </w:t>
      </w:r>
      <w:r w:rsidRPr="00127EBF">
        <w:rPr>
          <w:rFonts w:ascii="Arial" w:eastAsia="Calibri" w:hAnsi="Arial" w:cs="Arial"/>
          <w:color w:val="000000" w:themeColor="text1"/>
          <w:sz w:val="22"/>
          <w:lang w:val="es-ES_tradnl"/>
        </w:rPr>
        <w:t xml:space="preserve">responde su consulta del </w:t>
      </w:r>
      <w:r w:rsidR="002C517B">
        <w:rPr>
          <w:rFonts w:ascii="Arial" w:eastAsia="Calibri" w:hAnsi="Arial" w:cs="Arial"/>
          <w:color w:val="000000" w:themeColor="text1"/>
          <w:sz w:val="22"/>
          <w:lang w:val="es-ES_tradnl"/>
        </w:rPr>
        <w:t>16</w:t>
      </w:r>
      <w:r w:rsidR="00FD4AF3" w:rsidRPr="00127EBF">
        <w:rPr>
          <w:rFonts w:ascii="Arial" w:eastAsia="Calibri" w:hAnsi="Arial" w:cs="Arial"/>
          <w:color w:val="000000" w:themeColor="text1"/>
          <w:sz w:val="22"/>
          <w:lang w:val="es-ES_tradnl"/>
        </w:rPr>
        <w:t xml:space="preserve"> de </w:t>
      </w:r>
      <w:r w:rsidR="000D2D08" w:rsidRPr="00127EBF">
        <w:rPr>
          <w:rFonts w:ascii="Arial" w:eastAsia="Calibri" w:hAnsi="Arial" w:cs="Arial"/>
          <w:color w:val="000000" w:themeColor="text1"/>
          <w:sz w:val="22"/>
          <w:lang w:val="es-ES_tradnl"/>
        </w:rPr>
        <w:t>marzo</w:t>
      </w:r>
      <w:r w:rsidRPr="00127EBF">
        <w:rPr>
          <w:rFonts w:ascii="Arial" w:eastAsia="Calibri" w:hAnsi="Arial" w:cs="Arial"/>
          <w:color w:val="000000" w:themeColor="text1"/>
          <w:sz w:val="22"/>
          <w:lang w:val="es-ES_tradnl"/>
        </w:rPr>
        <w:t xml:space="preserve"> del</w:t>
      </w:r>
      <w:r w:rsidR="007E74BF" w:rsidRPr="00127EBF">
        <w:rPr>
          <w:rFonts w:ascii="Arial" w:eastAsia="Calibri" w:hAnsi="Arial" w:cs="Arial"/>
          <w:color w:val="000000" w:themeColor="text1"/>
          <w:sz w:val="22"/>
          <w:lang w:val="es-ES_tradnl"/>
        </w:rPr>
        <w:t xml:space="preserve"> </w:t>
      </w:r>
      <w:r w:rsidRPr="00127EBF">
        <w:rPr>
          <w:rFonts w:ascii="Arial" w:eastAsia="Calibri" w:hAnsi="Arial" w:cs="Arial"/>
          <w:color w:val="000000" w:themeColor="text1"/>
          <w:sz w:val="22"/>
          <w:lang w:val="es-ES_tradnl"/>
        </w:rPr>
        <w:t>202</w:t>
      </w:r>
      <w:r w:rsidR="00FB0880" w:rsidRPr="00127EBF">
        <w:rPr>
          <w:rFonts w:ascii="Arial" w:eastAsia="Calibri" w:hAnsi="Arial" w:cs="Arial"/>
          <w:color w:val="000000" w:themeColor="text1"/>
          <w:sz w:val="22"/>
          <w:lang w:val="es-ES_tradnl"/>
        </w:rPr>
        <w:t>1</w:t>
      </w:r>
      <w:r w:rsidR="008C3C57" w:rsidRPr="00127EBF">
        <w:rPr>
          <w:rFonts w:ascii="Arial" w:eastAsia="Calibri" w:hAnsi="Arial" w:cs="Arial"/>
          <w:color w:val="000000" w:themeColor="text1"/>
          <w:sz w:val="22"/>
          <w:lang w:val="es-ES_tradnl"/>
        </w:rPr>
        <w:t>.</w:t>
      </w:r>
    </w:p>
    <w:p w14:paraId="0C1E0712" w14:textId="77777777" w:rsidR="00DD5B04" w:rsidRPr="00127EB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127EB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 xml:space="preserve">Problema planteado </w:t>
      </w:r>
    </w:p>
    <w:p w14:paraId="224B43D3" w14:textId="77777777" w:rsidR="00DD5B04" w:rsidRPr="00127EB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F916187" w:rsidR="00443B55" w:rsidRPr="00127EBF" w:rsidRDefault="00DD5B04" w:rsidP="0099583D">
      <w:pPr>
        <w:spacing w:line="276" w:lineRule="auto"/>
        <w:jc w:val="both"/>
        <w:rPr>
          <w:rFonts w:ascii="Arial" w:hAnsi="Arial" w:cs="Arial"/>
          <w:color w:val="000000" w:themeColor="text1"/>
          <w:sz w:val="22"/>
          <w:lang w:val="es-ES_tradnl"/>
        </w:rPr>
      </w:pPr>
      <w:r w:rsidRPr="00127EBF">
        <w:rPr>
          <w:rFonts w:ascii="Arial" w:hAnsi="Arial" w:cs="Arial"/>
          <w:color w:val="000000" w:themeColor="text1"/>
          <w:sz w:val="22"/>
          <w:lang w:val="es-ES_tradnl"/>
        </w:rPr>
        <w:t xml:space="preserve">Usted </w:t>
      </w:r>
      <w:r w:rsidR="00B422C0" w:rsidRPr="00127EBF">
        <w:rPr>
          <w:rFonts w:ascii="Arial" w:hAnsi="Arial" w:cs="Arial"/>
          <w:color w:val="000000" w:themeColor="text1"/>
          <w:sz w:val="22"/>
          <w:lang w:val="es-ES_tradnl"/>
        </w:rPr>
        <w:t>formula</w:t>
      </w:r>
      <w:r w:rsidR="006D46A3" w:rsidRPr="00127EBF">
        <w:rPr>
          <w:rFonts w:ascii="Arial" w:hAnsi="Arial" w:cs="Arial"/>
          <w:color w:val="000000" w:themeColor="text1"/>
          <w:sz w:val="22"/>
          <w:lang w:val="es-ES_tradnl"/>
        </w:rPr>
        <w:t xml:space="preserve"> la siguiente</w:t>
      </w:r>
      <w:r w:rsidR="00A349FD">
        <w:rPr>
          <w:rFonts w:ascii="Arial" w:hAnsi="Arial" w:cs="Arial"/>
          <w:color w:val="000000" w:themeColor="text1"/>
          <w:sz w:val="22"/>
          <w:lang w:val="es-ES_tradnl"/>
        </w:rPr>
        <w:t xml:space="preserve"> consulta</w:t>
      </w:r>
      <w:r w:rsidR="00B422C0" w:rsidRPr="00127EBF">
        <w:rPr>
          <w:rFonts w:ascii="Arial" w:hAnsi="Arial" w:cs="Arial"/>
          <w:color w:val="000000" w:themeColor="text1"/>
          <w:sz w:val="22"/>
          <w:lang w:val="es-ES_tradnl"/>
        </w:rPr>
        <w:t>:</w:t>
      </w:r>
      <w:r w:rsidR="007E18DF" w:rsidRPr="00127EBF">
        <w:rPr>
          <w:rFonts w:ascii="Arial" w:hAnsi="Arial" w:cs="Arial"/>
          <w:color w:val="000000" w:themeColor="text1"/>
          <w:sz w:val="22"/>
          <w:lang w:val="es-ES_tradnl"/>
        </w:rPr>
        <w:t xml:space="preserve"> </w:t>
      </w:r>
    </w:p>
    <w:p w14:paraId="559EE20C" w14:textId="77777777" w:rsidR="00443B55" w:rsidRPr="00127EBF" w:rsidRDefault="00443B55" w:rsidP="0099583D">
      <w:pPr>
        <w:spacing w:line="276" w:lineRule="auto"/>
        <w:jc w:val="both"/>
        <w:rPr>
          <w:rFonts w:ascii="Arial" w:hAnsi="Arial" w:cs="Arial"/>
          <w:color w:val="000000" w:themeColor="text1"/>
          <w:sz w:val="22"/>
          <w:lang w:val="es-ES_tradnl"/>
        </w:rPr>
      </w:pPr>
    </w:p>
    <w:p w14:paraId="09F6F312" w14:textId="77777777" w:rsidR="0034741D" w:rsidRDefault="001C79A4" w:rsidP="00CD0778">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D0778" w:rsidRPr="00CD0778">
        <w:rPr>
          <w:rFonts w:ascii="Arial" w:hAnsi="Arial" w:cs="Arial"/>
          <w:color w:val="000000" w:themeColor="text1"/>
          <w:sz w:val="21"/>
          <w:szCs w:val="21"/>
          <w:lang w:val="es-ES_tradnl"/>
        </w:rPr>
        <w:t>me permito solicitarle se sirva aclarar el alcance de su interpretación del numeral 2 del artículo 35 de la Ley 2069 de 2020 efectuada en el oficio con radicado No. RS20210204000737 del 4 de febrero de 2021,</w:t>
      </w:r>
      <w:r w:rsidR="0034741D">
        <w:rPr>
          <w:rFonts w:ascii="Arial" w:hAnsi="Arial" w:cs="Arial"/>
          <w:color w:val="000000" w:themeColor="text1"/>
          <w:sz w:val="21"/>
          <w:szCs w:val="21"/>
          <w:lang w:val="es-ES_tradnl"/>
        </w:rPr>
        <w:t xml:space="preserve"> […]</w:t>
      </w:r>
    </w:p>
    <w:p w14:paraId="28C7D321" w14:textId="77777777" w:rsidR="0034741D" w:rsidRDefault="0034741D" w:rsidP="00CD0778">
      <w:pPr>
        <w:ind w:left="709" w:right="709"/>
        <w:jc w:val="both"/>
        <w:rPr>
          <w:rFonts w:ascii="Arial" w:hAnsi="Arial" w:cs="Arial"/>
          <w:color w:val="000000" w:themeColor="text1"/>
          <w:sz w:val="21"/>
          <w:szCs w:val="21"/>
          <w:lang w:val="es-ES_tradnl"/>
        </w:rPr>
      </w:pPr>
    </w:p>
    <w:p w14:paraId="0A6FB8C5" w14:textId="75513452" w:rsidR="0034741D" w:rsidRDefault="00DB32F4" w:rsidP="00CD077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0034741D">
        <w:rPr>
          <w:rFonts w:ascii="Arial" w:hAnsi="Arial" w:cs="Arial"/>
          <w:color w:val="000000" w:themeColor="text1"/>
          <w:sz w:val="21"/>
          <w:szCs w:val="21"/>
          <w:lang w:val="es-ES_tradnl"/>
        </w:rPr>
        <w:t>[…]</w:t>
      </w:r>
    </w:p>
    <w:p w14:paraId="3114940F" w14:textId="77777777" w:rsidR="0034741D" w:rsidRDefault="0034741D" w:rsidP="00CD0778">
      <w:pPr>
        <w:ind w:left="709" w:right="709"/>
        <w:jc w:val="both"/>
        <w:rPr>
          <w:rFonts w:ascii="Arial" w:hAnsi="Arial" w:cs="Arial"/>
          <w:color w:val="000000" w:themeColor="text1"/>
          <w:sz w:val="21"/>
          <w:szCs w:val="21"/>
          <w:lang w:val="es-ES_tradnl"/>
        </w:rPr>
      </w:pPr>
    </w:p>
    <w:p w14:paraId="79D0132C" w14:textId="14DA0F7D" w:rsidR="004275A7" w:rsidRPr="00127EBF" w:rsidRDefault="0034741D" w:rsidP="00CD077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34741D">
        <w:rPr>
          <w:rFonts w:ascii="Arial" w:hAnsi="Arial" w:cs="Arial"/>
          <w:color w:val="000000" w:themeColor="text1"/>
          <w:sz w:val="21"/>
          <w:szCs w:val="21"/>
          <w:lang w:val="es-ES_tradnl"/>
        </w:rPr>
        <w:t>Teniendo en cuenta que a nivel societario la participación puede ser directa, como accionista, o indirecta como beneficiario último, agradecemos establecer si en su criterio cualquiera de las dos condiciones sería válida en el marco de la aplicación del numeral 2 del artículo 35 de la Ley 2069 de 2020</w:t>
      </w:r>
      <w:r>
        <w:rPr>
          <w:rFonts w:ascii="Arial" w:hAnsi="Arial" w:cs="Arial"/>
          <w:color w:val="000000" w:themeColor="text1"/>
          <w:sz w:val="21"/>
          <w:szCs w:val="21"/>
          <w:lang w:val="es-ES_tradnl"/>
        </w:rPr>
        <w:t>»</w:t>
      </w:r>
      <w:r w:rsidR="001D7CBE" w:rsidRPr="00127EBF">
        <w:rPr>
          <w:rFonts w:ascii="Arial" w:hAnsi="Arial" w:cs="Arial"/>
          <w:color w:val="000000" w:themeColor="text1"/>
          <w:sz w:val="21"/>
          <w:szCs w:val="21"/>
          <w:lang w:val="es-ES_tradnl"/>
        </w:rPr>
        <w:t>.</w:t>
      </w:r>
    </w:p>
    <w:p w14:paraId="3830C92C" w14:textId="77777777" w:rsidR="00507066" w:rsidRPr="00127EBF" w:rsidRDefault="00507066" w:rsidP="00AD33A1">
      <w:pPr>
        <w:ind w:left="709" w:right="709"/>
        <w:jc w:val="both"/>
        <w:rPr>
          <w:rFonts w:ascii="Arial" w:hAnsi="Arial" w:cs="Arial"/>
          <w:color w:val="000000" w:themeColor="text1"/>
          <w:sz w:val="21"/>
          <w:szCs w:val="21"/>
          <w:lang w:val="es-ES_tradnl"/>
        </w:rPr>
      </w:pPr>
    </w:p>
    <w:p w14:paraId="124D2DCA" w14:textId="77777777" w:rsidR="00DD5B04" w:rsidRPr="00127EB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Consideraciones</w:t>
      </w:r>
    </w:p>
    <w:p w14:paraId="7D050D2E" w14:textId="77777777" w:rsidR="00435703" w:rsidRPr="00127EBF" w:rsidRDefault="00435703" w:rsidP="00DF76A2">
      <w:pPr>
        <w:spacing w:line="276" w:lineRule="auto"/>
        <w:jc w:val="both"/>
        <w:rPr>
          <w:rFonts w:ascii="Arial" w:eastAsia="Calibri" w:hAnsi="Arial" w:cs="Arial"/>
          <w:color w:val="000000" w:themeColor="text1"/>
          <w:sz w:val="22"/>
          <w:szCs w:val="22"/>
          <w:lang w:val="es-ES_tradnl"/>
        </w:rPr>
      </w:pPr>
    </w:p>
    <w:p w14:paraId="59E3093E" w14:textId="771477E9" w:rsidR="00A7795F" w:rsidRPr="00127EBF" w:rsidRDefault="008E30C4" w:rsidP="00271230">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La Subdirección de Gestión Contractual responderá </w:t>
      </w:r>
      <w:r w:rsidR="00271230" w:rsidRPr="00127EBF">
        <w:rPr>
          <w:rFonts w:ascii="Arial" w:eastAsia="Calibri" w:hAnsi="Arial" w:cs="Arial"/>
          <w:color w:val="000000" w:themeColor="text1"/>
          <w:sz w:val="22"/>
          <w:szCs w:val="22"/>
          <w:lang w:val="es-ES_tradnl"/>
        </w:rPr>
        <w:t>la consulta</w:t>
      </w:r>
      <w:r w:rsidRPr="00127EBF">
        <w:rPr>
          <w:rFonts w:ascii="Arial" w:eastAsia="Calibri" w:hAnsi="Arial" w:cs="Arial"/>
          <w:color w:val="000000" w:themeColor="text1"/>
          <w:sz w:val="22"/>
          <w:szCs w:val="22"/>
          <w:lang w:val="es-ES_tradnl"/>
        </w:rPr>
        <w:t xml:space="preserve">, </w:t>
      </w:r>
      <w:r w:rsidR="00271230" w:rsidRPr="00127EBF">
        <w:rPr>
          <w:rFonts w:ascii="Arial" w:eastAsia="Calibri" w:hAnsi="Arial" w:cs="Arial"/>
          <w:color w:val="000000" w:themeColor="text1"/>
          <w:sz w:val="22"/>
          <w:szCs w:val="22"/>
          <w:lang w:val="es-ES_tradnl"/>
        </w:rPr>
        <w:t>luego de analizar los</w:t>
      </w:r>
      <w:r w:rsidR="00822EC4" w:rsidRPr="00127EBF">
        <w:rPr>
          <w:rFonts w:ascii="Arial" w:eastAsia="Calibri" w:hAnsi="Arial" w:cs="Arial"/>
          <w:color w:val="000000" w:themeColor="text1"/>
          <w:sz w:val="22"/>
          <w:szCs w:val="22"/>
          <w:lang w:val="es-ES_tradnl"/>
        </w:rPr>
        <w:t xml:space="preserve"> siguientes temas: </w:t>
      </w:r>
      <w:r w:rsidR="003A6994" w:rsidRPr="00127EBF">
        <w:rPr>
          <w:rFonts w:ascii="Arial" w:eastAsia="Calibri" w:hAnsi="Arial" w:cs="Arial"/>
          <w:color w:val="000000" w:themeColor="text1"/>
          <w:sz w:val="22"/>
          <w:szCs w:val="22"/>
          <w:lang w:val="es-ES_tradnl"/>
        </w:rPr>
        <w:t xml:space="preserve">i) </w:t>
      </w:r>
      <w:r w:rsidR="003A6994" w:rsidRPr="00127EBF">
        <w:rPr>
          <w:rFonts w:ascii="Arial" w:eastAsia="Calibri" w:hAnsi="Arial" w:cs="Arial"/>
          <w:sz w:val="22"/>
          <w:lang w:val="es-ES_tradnl"/>
        </w:rPr>
        <w:t>efecto jurídico</w:t>
      </w:r>
      <w:r w:rsidR="00910CA4" w:rsidRPr="00127EBF">
        <w:rPr>
          <w:rFonts w:ascii="Arial" w:eastAsia="Calibri" w:hAnsi="Arial" w:cs="Arial"/>
          <w:sz w:val="22"/>
          <w:lang w:val="es-ES_tradnl"/>
        </w:rPr>
        <w:t xml:space="preserve"> </w:t>
      </w:r>
      <w:r w:rsidR="003A6994" w:rsidRPr="00127EBF">
        <w:rPr>
          <w:rFonts w:ascii="Arial" w:eastAsia="Calibri" w:hAnsi="Arial" w:cs="Arial"/>
          <w:sz w:val="22"/>
          <w:lang w:val="es-ES_tradnl"/>
        </w:rPr>
        <w:t>de los conceptos emitidos por la Agencia Nacional de Contratación Pública – Colombia Compra Eficiente,</w:t>
      </w:r>
      <w:r w:rsidR="003A6994" w:rsidRPr="00127EBF">
        <w:rPr>
          <w:rFonts w:ascii="Arial" w:eastAsia="Calibri" w:hAnsi="Arial" w:cs="Arial"/>
          <w:color w:val="000000" w:themeColor="text1"/>
          <w:sz w:val="22"/>
          <w:szCs w:val="22"/>
          <w:lang w:val="es-ES_tradnl"/>
        </w:rPr>
        <w:t xml:space="preserve"> </w:t>
      </w:r>
      <w:r w:rsidR="00833ADA"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i</w:t>
      </w:r>
      <w:r w:rsidR="00833ADA" w:rsidRPr="00127EBF">
        <w:rPr>
          <w:rFonts w:ascii="Arial" w:eastAsia="Calibri" w:hAnsi="Arial" w:cs="Arial"/>
          <w:color w:val="000000" w:themeColor="text1"/>
          <w:sz w:val="22"/>
          <w:szCs w:val="22"/>
          <w:lang w:val="es-ES_tradnl"/>
        </w:rPr>
        <w:t xml:space="preserve">) definición de los criterios de desempate en la contratación estatal, </w:t>
      </w:r>
      <w:r w:rsidR="00822EC4" w:rsidRPr="00127EBF">
        <w:rPr>
          <w:rFonts w:ascii="Arial" w:eastAsia="Calibri" w:hAnsi="Arial" w:cs="Arial"/>
          <w:color w:val="000000" w:themeColor="text1"/>
          <w:sz w:val="22"/>
          <w:szCs w:val="22"/>
          <w:lang w:val="es-ES_tradnl"/>
        </w:rPr>
        <w:t>i</w:t>
      </w:r>
      <w:r w:rsidR="00833ADA"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i</w:t>
      </w:r>
      <w:r w:rsidR="00822EC4" w:rsidRPr="00127EBF">
        <w:rPr>
          <w:rFonts w:ascii="Arial" w:eastAsia="Calibri" w:hAnsi="Arial" w:cs="Arial"/>
          <w:color w:val="000000" w:themeColor="text1"/>
          <w:sz w:val="22"/>
          <w:szCs w:val="22"/>
          <w:lang w:val="es-ES_tradnl"/>
        </w:rPr>
        <w:t>)</w:t>
      </w:r>
      <w:r w:rsidR="00A12574" w:rsidRPr="00127EBF">
        <w:rPr>
          <w:rFonts w:ascii="Arial" w:eastAsia="Calibri" w:hAnsi="Arial" w:cs="Arial"/>
          <w:color w:val="000000" w:themeColor="text1"/>
          <w:sz w:val="22"/>
          <w:szCs w:val="22"/>
          <w:lang w:val="es-ES_tradnl"/>
        </w:rPr>
        <w:t xml:space="preserve"> vigencia y ámbito de aplicación de la Ley </w:t>
      </w:r>
      <w:r w:rsidR="007B209C" w:rsidRPr="00127EBF">
        <w:rPr>
          <w:rFonts w:ascii="Arial" w:eastAsia="Calibri" w:hAnsi="Arial" w:cs="Arial"/>
          <w:color w:val="000000" w:themeColor="text1"/>
          <w:sz w:val="22"/>
          <w:szCs w:val="22"/>
          <w:lang w:val="es-ES_tradnl"/>
        </w:rPr>
        <w:t>2069</w:t>
      </w:r>
      <w:r w:rsidR="00A12574" w:rsidRPr="00127EBF">
        <w:rPr>
          <w:rFonts w:ascii="Arial" w:eastAsia="Calibri" w:hAnsi="Arial" w:cs="Arial"/>
          <w:color w:val="000000" w:themeColor="text1"/>
          <w:sz w:val="22"/>
          <w:szCs w:val="22"/>
          <w:lang w:val="es-ES_tradnl"/>
        </w:rPr>
        <w:t xml:space="preserve"> de 2020 y</w:t>
      </w:r>
      <w:r w:rsidR="00833ADA" w:rsidRPr="00127EBF">
        <w:rPr>
          <w:rFonts w:ascii="Arial" w:eastAsia="Calibri" w:hAnsi="Arial" w:cs="Arial"/>
          <w:color w:val="000000" w:themeColor="text1"/>
          <w:sz w:val="22"/>
          <w:szCs w:val="22"/>
          <w:lang w:val="es-ES_tradnl"/>
        </w:rPr>
        <w:t xml:space="preserve"> </w:t>
      </w:r>
      <w:r w:rsidR="00523F41"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v</w:t>
      </w:r>
      <w:r w:rsidR="00523F41" w:rsidRPr="00127EBF">
        <w:rPr>
          <w:rFonts w:ascii="Arial" w:eastAsia="Calibri" w:hAnsi="Arial" w:cs="Arial"/>
          <w:color w:val="000000" w:themeColor="text1"/>
          <w:sz w:val="22"/>
          <w:szCs w:val="22"/>
          <w:lang w:val="es-ES_tradnl"/>
        </w:rPr>
        <w:t xml:space="preserve">) </w:t>
      </w:r>
      <w:r w:rsidR="003C4317" w:rsidRPr="00127EBF">
        <w:rPr>
          <w:rFonts w:ascii="Arial" w:eastAsia="Calibri" w:hAnsi="Arial" w:cs="Arial"/>
          <w:color w:val="000000" w:themeColor="text1"/>
          <w:sz w:val="22"/>
          <w:szCs w:val="22"/>
          <w:lang w:val="es-ES_tradnl"/>
        </w:rPr>
        <w:t xml:space="preserve">forma de </w:t>
      </w:r>
      <w:r w:rsidR="009D6909" w:rsidRPr="00127EBF">
        <w:rPr>
          <w:rFonts w:ascii="Arial" w:eastAsia="Calibri" w:hAnsi="Arial" w:cs="Arial"/>
          <w:color w:val="000000" w:themeColor="text1"/>
          <w:sz w:val="22"/>
          <w:szCs w:val="22"/>
          <w:lang w:val="es-ES_tradnl"/>
        </w:rPr>
        <w:t>acreditación de los factores de desempate</w:t>
      </w:r>
      <w:r w:rsidR="003C4317" w:rsidRPr="00127EBF">
        <w:rPr>
          <w:rFonts w:ascii="Arial" w:eastAsia="Calibri" w:hAnsi="Arial" w:cs="Arial"/>
          <w:color w:val="000000" w:themeColor="text1"/>
          <w:sz w:val="22"/>
          <w:szCs w:val="22"/>
          <w:lang w:val="es-ES_tradnl"/>
        </w:rPr>
        <w:t xml:space="preserve"> consagrados en el artículo 35 de la mencionada Ley</w:t>
      </w:r>
      <w:r w:rsidR="000677E6" w:rsidRPr="00127EBF">
        <w:rPr>
          <w:rFonts w:ascii="Arial" w:eastAsia="Calibri" w:hAnsi="Arial" w:cs="Arial"/>
          <w:color w:val="000000" w:themeColor="text1"/>
          <w:sz w:val="22"/>
          <w:szCs w:val="22"/>
          <w:lang w:val="es-ES_tradnl"/>
        </w:rPr>
        <w:t>.</w:t>
      </w:r>
    </w:p>
    <w:p w14:paraId="1144E6B3" w14:textId="6103C142" w:rsidR="00C8331F" w:rsidRPr="00127EBF"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E</w:t>
      </w:r>
      <w:r w:rsidR="00C8331F" w:rsidRPr="00127EBF">
        <w:rPr>
          <w:rFonts w:ascii="Arial" w:eastAsia="Calibri" w:hAnsi="Arial" w:cs="Arial"/>
          <w:color w:val="000000" w:themeColor="text1"/>
          <w:sz w:val="22"/>
          <w:szCs w:val="22"/>
          <w:lang w:val="es-ES_tradnl"/>
        </w:rPr>
        <w:t>s importante destacar que la Agencia Nacional de Contratación Pública</w:t>
      </w:r>
      <w:r w:rsidRPr="00127EBF">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127EBF">
        <w:rPr>
          <w:rFonts w:ascii="Arial" w:eastAsia="Calibri" w:hAnsi="Arial" w:cs="Arial"/>
          <w:color w:val="000000" w:themeColor="text1"/>
          <w:sz w:val="22"/>
          <w:szCs w:val="22"/>
          <w:lang w:val="es-ES_tradnl"/>
        </w:rPr>
        <w:t>,</w:t>
      </w:r>
      <w:r w:rsidR="0091310F" w:rsidRPr="00127EBF">
        <w:rPr>
          <w:rFonts w:ascii="Arial" w:eastAsia="Calibri" w:hAnsi="Arial" w:cs="Arial"/>
          <w:color w:val="000000" w:themeColor="text1"/>
          <w:sz w:val="22"/>
          <w:szCs w:val="22"/>
          <w:lang w:val="es-ES_tradnl"/>
        </w:rPr>
        <w:t xml:space="preserve"> en los conceptos C-285 del </w:t>
      </w:r>
      <w:r w:rsidR="00677212" w:rsidRPr="00127EBF">
        <w:rPr>
          <w:rFonts w:ascii="Arial" w:eastAsia="Calibri" w:hAnsi="Arial" w:cs="Arial"/>
          <w:color w:val="000000" w:themeColor="text1"/>
          <w:sz w:val="22"/>
          <w:szCs w:val="22"/>
          <w:lang w:val="es-ES_tradnl"/>
        </w:rPr>
        <w:t>4</w:t>
      </w:r>
      <w:r w:rsidR="0091310F" w:rsidRPr="00127EBF">
        <w:rPr>
          <w:rFonts w:ascii="Arial" w:eastAsia="Calibri" w:hAnsi="Arial" w:cs="Arial"/>
          <w:color w:val="000000" w:themeColor="text1"/>
          <w:sz w:val="22"/>
          <w:szCs w:val="22"/>
          <w:lang w:val="es-ES_tradnl"/>
        </w:rPr>
        <w:t xml:space="preserve"> de </w:t>
      </w:r>
      <w:r w:rsidR="00677212" w:rsidRPr="00127EBF">
        <w:rPr>
          <w:rFonts w:ascii="Arial" w:eastAsia="Calibri" w:hAnsi="Arial" w:cs="Arial"/>
          <w:color w:val="000000" w:themeColor="text1"/>
          <w:sz w:val="22"/>
          <w:szCs w:val="22"/>
          <w:lang w:val="es-ES_tradnl"/>
        </w:rPr>
        <w:t>mayo</w:t>
      </w:r>
      <w:r w:rsidR="0091310F" w:rsidRPr="00127EBF">
        <w:rPr>
          <w:rFonts w:ascii="Arial" w:eastAsia="Calibri" w:hAnsi="Arial" w:cs="Arial"/>
          <w:color w:val="000000" w:themeColor="text1"/>
          <w:sz w:val="22"/>
          <w:szCs w:val="22"/>
          <w:lang w:val="es-ES_tradnl"/>
        </w:rPr>
        <w:t xml:space="preserve"> de 2020, </w:t>
      </w:r>
      <w:r w:rsidR="006361C9" w:rsidRPr="00127EBF">
        <w:rPr>
          <w:rFonts w:ascii="Arial" w:eastAsia="Calibri" w:hAnsi="Arial" w:cs="Arial"/>
          <w:color w:val="000000" w:themeColor="text1"/>
          <w:sz w:val="22"/>
          <w:szCs w:val="22"/>
          <w:lang w:val="es-ES_tradnl"/>
        </w:rPr>
        <w:t xml:space="preserve">C-481 del </w:t>
      </w:r>
      <w:r w:rsidR="004060DC" w:rsidRPr="00127EBF">
        <w:rPr>
          <w:rFonts w:ascii="Arial" w:eastAsia="Calibri" w:hAnsi="Arial" w:cs="Arial"/>
          <w:color w:val="000000" w:themeColor="text1"/>
          <w:sz w:val="22"/>
          <w:szCs w:val="22"/>
          <w:lang w:val="es-ES_tradnl"/>
        </w:rPr>
        <w:t>27</w:t>
      </w:r>
      <w:r w:rsidR="00184219" w:rsidRPr="00127EBF">
        <w:rPr>
          <w:rFonts w:ascii="Arial" w:eastAsia="Calibri" w:hAnsi="Arial" w:cs="Arial"/>
          <w:color w:val="000000" w:themeColor="text1"/>
          <w:sz w:val="22"/>
          <w:szCs w:val="22"/>
          <w:lang w:val="es-ES_tradnl"/>
        </w:rPr>
        <w:t xml:space="preserve"> de julio de 2020</w:t>
      </w:r>
      <w:r w:rsidR="006606A4" w:rsidRPr="00127EBF">
        <w:rPr>
          <w:rFonts w:ascii="Arial" w:eastAsia="Calibri" w:hAnsi="Arial" w:cs="Arial"/>
          <w:color w:val="000000" w:themeColor="text1"/>
          <w:sz w:val="22"/>
          <w:szCs w:val="22"/>
          <w:lang w:val="es-ES_tradnl"/>
        </w:rPr>
        <w:t xml:space="preserve">, C-514 </w:t>
      </w:r>
      <w:r w:rsidR="002F7961" w:rsidRPr="00127EBF">
        <w:rPr>
          <w:rFonts w:ascii="Arial" w:eastAsia="Calibri" w:hAnsi="Arial" w:cs="Arial"/>
          <w:color w:val="000000" w:themeColor="text1"/>
          <w:sz w:val="22"/>
          <w:szCs w:val="22"/>
          <w:lang w:val="es-ES_tradnl"/>
        </w:rPr>
        <w:t xml:space="preserve">y C-535 </w:t>
      </w:r>
      <w:r w:rsidR="006606A4" w:rsidRPr="00127EBF">
        <w:rPr>
          <w:rFonts w:ascii="Arial" w:eastAsia="Calibri" w:hAnsi="Arial" w:cs="Arial"/>
          <w:color w:val="000000" w:themeColor="text1"/>
          <w:sz w:val="22"/>
          <w:szCs w:val="22"/>
          <w:lang w:val="es-ES_tradnl"/>
        </w:rPr>
        <w:t>del 26 de agosto de 2020</w:t>
      </w:r>
      <w:r w:rsidR="004060DC" w:rsidRPr="00127EBF">
        <w:rPr>
          <w:rFonts w:ascii="Arial" w:eastAsia="Calibri" w:hAnsi="Arial" w:cs="Arial"/>
          <w:color w:val="000000" w:themeColor="text1"/>
          <w:sz w:val="22"/>
          <w:szCs w:val="22"/>
          <w:lang w:val="es-ES_tradnl"/>
        </w:rPr>
        <w:t xml:space="preserve"> y </w:t>
      </w:r>
      <w:r w:rsidR="00F96079" w:rsidRPr="00127EBF">
        <w:rPr>
          <w:rFonts w:ascii="Arial" w:eastAsia="Calibri" w:hAnsi="Arial" w:cs="Arial"/>
          <w:color w:val="000000" w:themeColor="text1"/>
          <w:sz w:val="22"/>
          <w:szCs w:val="22"/>
          <w:lang w:val="es-ES_tradnl"/>
        </w:rPr>
        <w:t xml:space="preserve">C-556 del </w:t>
      </w:r>
      <w:r w:rsidR="00E820F4" w:rsidRPr="00127EBF">
        <w:rPr>
          <w:rFonts w:ascii="Arial" w:eastAsia="Calibri" w:hAnsi="Arial" w:cs="Arial"/>
          <w:color w:val="000000" w:themeColor="text1"/>
          <w:sz w:val="22"/>
          <w:szCs w:val="22"/>
          <w:lang w:val="es-ES_tradnl"/>
        </w:rPr>
        <w:t>31 de agosto de 2020</w:t>
      </w:r>
      <w:r w:rsidR="004060DC" w:rsidRPr="00127EBF">
        <w:rPr>
          <w:rFonts w:ascii="Arial" w:eastAsia="Calibri" w:hAnsi="Arial" w:cs="Arial"/>
          <w:color w:val="000000" w:themeColor="text1"/>
          <w:sz w:val="22"/>
          <w:szCs w:val="22"/>
          <w:lang w:val="es-ES_tradnl"/>
        </w:rPr>
        <w:t>.</w:t>
      </w:r>
      <w:r w:rsidR="002B2BDA" w:rsidRPr="00127EBF">
        <w:rPr>
          <w:rFonts w:ascii="Arial" w:eastAsia="Calibri" w:hAnsi="Arial" w:cs="Arial"/>
          <w:color w:val="000000" w:themeColor="text1"/>
          <w:sz w:val="22"/>
          <w:szCs w:val="22"/>
          <w:lang w:val="es-ES_tradnl"/>
        </w:rPr>
        <w:t xml:space="preserve"> </w:t>
      </w:r>
      <w:r w:rsidR="002B2BDA" w:rsidRPr="00127EBF">
        <w:rPr>
          <w:rFonts w:ascii="Arial" w:eastAsia="Calibri" w:hAnsi="Arial" w:cs="Arial"/>
          <w:bCs/>
          <w:color w:val="000000" w:themeColor="text1"/>
          <w:sz w:val="22"/>
          <w:lang w:val="es-ES_tradnl"/>
        </w:rPr>
        <w:t xml:space="preserve">Igualmente, </w:t>
      </w:r>
      <w:r w:rsidR="00822277" w:rsidRPr="00127EBF">
        <w:rPr>
          <w:rFonts w:ascii="Arial" w:eastAsia="Calibri" w:hAnsi="Arial" w:cs="Arial"/>
          <w:bCs/>
          <w:color w:val="000000" w:themeColor="text1"/>
          <w:sz w:val="22"/>
          <w:lang w:val="es-ES_tradnl"/>
        </w:rPr>
        <w:t xml:space="preserve">entre otros pronunciamientos, </w:t>
      </w:r>
      <w:r w:rsidR="002B2BDA" w:rsidRPr="00127EBF">
        <w:rPr>
          <w:rFonts w:ascii="Arial" w:eastAsia="Calibri" w:hAnsi="Arial" w:cs="Arial"/>
          <w:bCs/>
          <w:color w:val="000000" w:themeColor="text1"/>
          <w:sz w:val="22"/>
          <w:lang w:val="es-ES_tradnl"/>
        </w:rPr>
        <w:t xml:space="preserve">en los </w:t>
      </w:r>
      <w:r w:rsidR="00822277" w:rsidRPr="00127EBF">
        <w:rPr>
          <w:rFonts w:ascii="Arial" w:eastAsia="Calibri" w:hAnsi="Arial" w:cs="Arial"/>
          <w:bCs/>
          <w:color w:val="000000" w:themeColor="text1"/>
          <w:sz w:val="22"/>
          <w:lang w:val="es-ES_tradnl"/>
        </w:rPr>
        <w:t>c</w:t>
      </w:r>
      <w:r w:rsidR="002B2BDA" w:rsidRPr="00127EBF">
        <w:rPr>
          <w:rFonts w:ascii="Arial" w:eastAsia="Calibri" w:hAnsi="Arial" w:cs="Arial"/>
          <w:bCs/>
          <w:color w:val="000000" w:themeColor="text1"/>
          <w:sz w:val="22"/>
          <w:lang w:val="es-ES_tradnl"/>
        </w:rPr>
        <w:t>onceptos C-009, 012, 013, 015, 016, 026 del 4 de febrero de 2021, así como en los Conceptos C-006 del 5 de febrero de 2021 y C-043 del 9 de febrero de 2021, se analizaron algunos aspectos sobre la aplicación de la Ley de Emprendimiento</w:t>
      </w:r>
      <w:r w:rsidR="001763B2">
        <w:rPr>
          <w:rFonts w:ascii="Arial" w:eastAsia="Calibri" w:hAnsi="Arial" w:cs="Arial"/>
          <w:bCs/>
          <w:color w:val="000000" w:themeColor="text1"/>
          <w:sz w:val="22"/>
          <w:lang w:val="es-ES_tradnl"/>
        </w:rPr>
        <w:t xml:space="preserve"> y particularmente, sobre los factores de desempate previstos en el artículo 35 de la Ley 2069 de 2020</w:t>
      </w:r>
      <w:r w:rsidR="002B2BDA" w:rsidRPr="00127EBF">
        <w:rPr>
          <w:rFonts w:ascii="Arial" w:eastAsia="Calibri" w:hAnsi="Arial" w:cs="Arial"/>
          <w:bCs/>
          <w:color w:val="000000" w:themeColor="text1"/>
          <w:sz w:val="22"/>
          <w:lang w:val="es-ES_tradnl"/>
        </w:rPr>
        <w:t>.</w:t>
      </w:r>
      <w:r w:rsidR="00711313" w:rsidRPr="00127EBF">
        <w:rPr>
          <w:rFonts w:ascii="Arial" w:eastAsia="Calibri" w:hAnsi="Arial" w:cs="Arial"/>
          <w:bCs/>
          <w:color w:val="000000" w:themeColor="text1"/>
          <w:sz w:val="22"/>
          <w:lang w:val="es-ES_tradnl"/>
        </w:rPr>
        <w:t xml:space="preserve"> </w:t>
      </w:r>
      <w:r w:rsidR="004060DC" w:rsidRPr="00127EBF">
        <w:rPr>
          <w:rFonts w:ascii="Arial" w:eastAsia="Calibri" w:hAnsi="Arial" w:cs="Arial"/>
          <w:color w:val="000000" w:themeColor="text1"/>
          <w:sz w:val="22"/>
          <w:szCs w:val="22"/>
          <w:lang w:val="es-ES_tradnl"/>
        </w:rPr>
        <w:t xml:space="preserve">Algunas de las consideraciones </w:t>
      </w:r>
      <w:r w:rsidR="00A6144B" w:rsidRPr="00127EBF">
        <w:rPr>
          <w:rFonts w:ascii="Arial" w:eastAsia="Calibri" w:hAnsi="Arial" w:cs="Arial"/>
          <w:color w:val="000000" w:themeColor="text1"/>
          <w:sz w:val="22"/>
          <w:szCs w:val="22"/>
          <w:lang w:val="es-ES_tradnl"/>
        </w:rPr>
        <w:t>de estos</w:t>
      </w:r>
      <w:r w:rsidR="004060DC" w:rsidRPr="00127EBF">
        <w:rPr>
          <w:rFonts w:ascii="Arial" w:eastAsia="Calibri" w:hAnsi="Arial" w:cs="Arial"/>
          <w:color w:val="000000" w:themeColor="text1"/>
          <w:sz w:val="22"/>
          <w:szCs w:val="22"/>
          <w:lang w:val="es-ES_tradnl"/>
        </w:rPr>
        <w:t xml:space="preserve"> conceptos se </w:t>
      </w:r>
      <w:r w:rsidR="00F24BB1" w:rsidRPr="00127EBF">
        <w:rPr>
          <w:rFonts w:ascii="Arial" w:eastAsia="Calibri" w:hAnsi="Arial" w:cs="Arial"/>
          <w:color w:val="000000" w:themeColor="text1"/>
          <w:sz w:val="22"/>
          <w:szCs w:val="22"/>
          <w:lang w:val="es-ES_tradnl"/>
        </w:rPr>
        <w:t>reiteran</w:t>
      </w:r>
      <w:r w:rsidR="004060DC" w:rsidRPr="00127EBF">
        <w:rPr>
          <w:rFonts w:ascii="Arial" w:eastAsia="Calibri" w:hAnsi="Arial" w:cs="Arial"/>
          <w:color w:val="000000" w:themeColor="text1"/>
          <w:sz w:val="22"/>
          <w:szCs w:val="22"/>
          <w:lang w:val="es-ES_tradnl"/>
        </w:rPr>
        <w:t xml:space="preserve"> a continuación.</w:t>
      </w:r>
    </w:p>
    <w:p w14:paraId="331D0ECA" w14:textId="689DE24D" w:rsidR="003C4317" w:rsidRPr="00127EBF" w:rsidRDefault="003C4317" w:rsidP="00271230">
      <w:pPr>
        <w:spacing w:line="276" w:lineRule="auto"/>
        <w:jc w:val="both"/>
        <w:rPr>
          <w:rFonts w:ascii="Arial" w:eastAsia="Calibri" w:hAnsi="Arial" w:cs="Arial"/>
          <w:color w:val="000000" w:themeColor="text1"/>
          <w:sz w:val="22"/>
          <w:szCs w:val="22"/>
          <w:lang w:val="es-ES_tradnl"/>
        </w:rPr>
      </w:pPr>
    </w:p>
    <w:p w14:paraId="696E125D" w14:textId="0306F41E" w:rsidR="00377A98" w:rsidRPr="00127EBF" w:rsidRDefault="00377A98" w:rsidP="00377A98">
      <w:pPr>
        <w:tabs>
          <w:tab w:val="left" w:pos="426"/>
        </w:tabs>
        <w:spacing w:line="276" w:lineRule="auto"/>
        <w:jc w:val="both"/>
        <w:rPr>
          <w:rFonts w:ascii="Arial" w:eastAsia="Calibri" w:hAnsi="Arial" w:cs="Arial"/>
          <w:b/>
          <w:sz w:val="22"/>
          <w:lang w:val="es-ES_tradnl"/>
        </w:rPr>
      </w:pPr>
      <w:r w:rsidRPr="00127EBF">
        <w:rPr>
          <w:rFonts w:ascii="Arial" w:eastAsia="Calibri" w:hAnsi="Arial" w:cs="Arial"/>
          <w:b/>
          <w:sz w:val="22"/>
          <w:lang w:val="es-ES_tradnl"/>
        </w:rPr>
        <w:t>2.1. Efecto</w:t>
      </w:r>
      <w:r w:rsidR="00910CA4" w:rsidRPr="00127EBF">
        <w:rPr>
          <w:rFonts w:ascii="Arial" w:eastAsia="Calibri" w:hAnsi="Arial" w:cs="Arial"/>
          <w:b/>
          <w:sz w:val="22"/>
          <w:lang w:val="es-ES_tradnl"/>
        </w:rPr>
        <w:t xml:space="preserve"> jurídico</w:t>
      </w:r>
      <w:r w:rsidRPr="00127EBF">
        <w:rPr>
          <w:rFonts w:ascii="Arial" w:eastAsia="Calibri" w:hAnsi="Arial" w:cs="Arial"/>
          <w:b/>
          <w:sz w:val="22"/>
          <w:lang w:val="es-ES_tradnl"/>
        </w:rPr>
        <w:t xml:space="preserve"> de los conceptos emitidos por </w:t>
      </w:r>
      <w:r w:rsidR="00910CA4" w:rsidRPr="00127EBF">
        <w:rPr>
          <w:rFonts w:ascii="Arial" w:eastAsia="Calibri" w:hAnsi="Arial" w:cs="Arial"/>
          <w:b/>
          <w:sz w:val="22"/>
          <w:lang w:val="es-ES_tradnl"/>
        </w:rPr>
        <w:t xml:space="preserve">la Agencia Nacional de Contratación Pública – </w:t>
      </w:r>
      <w:r w:rsidRPr="00127EBF">
        <w:rPr>
          <w:rFonts w:ascii="Arial" w:eastAsia="Calibri" w:hAnsi="Arial" w:cs="Arial"/>
          <w:b/>
          <w:sz w:val="22"/>
          <w:lang w:val="es-ES_tradnl"/>
        </w:rPr>
        <w:t>Colombia Compra Eficiente</w:t>
      </w:r>
    </w:p>
    <w:p w14:paraId="3EC368E7" w14:textId="77777777" w:rsidR="00377A98" w:rsidRPr="00127EBF" w:rsidRDefault="00377A98" w:rsidP="00377A98">
      <w:pPr>
        <w:tabs>
          <w:tab w:val="left" w:pos="426"/>
        </w:tabs>
        <w:spacing w:line="276" w:lineRule="auto"/>
        <w:jc w:val="both"/>
        <w:rPr>
          <w:rFonts w:ascii="Arial" w:eastAsia="Calibri" w:hAnsi="Arial" w:cs="Arial"/>
          <w:b/>
          <w:sz w:val="22"/>
          <w:lang w:val="es-ES_tradnl"/>
        </w:rPr>
      </w:pPr>
    </w:p>
    <w:p w14:paraId="699C4E11" w14:textId="6265852F" w:rsidR="00377A98" w:rsidRPr="00127EBF" w:rsidRDefault="00377A98" w:rsidP="00377A98">
      <w:pPr>
        <w:tabs>
          <w:tab w:val="left" w:pos="426"/>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t>En ejercicio de las competencias consagradas en los artículos 3, numeral 5, 11, numeral 8, 12, numeral 6, y 13, numeral 4, del Decreto 4170 de 2011,</w:t>
      </w:r>
      <w:r w:rsidR="004F580A" w:rsidRPr="00127EBF">
        <w:rPr>
          <w:rFonts w:ascii="Arial" w:eastAsia="Calibri" w:hAnsi="Arial" w:cs="Arial"/>
          <w:bCs/>
          <w:sz w:val="22"/>
          <w:lang w:val="es-ES_tradnl"/>
        </w:rPr>
        <w:t xml:space="preserve"> </w:t>
      </w:r>
      <w:r w:rsidRPr="00127EBF">
        <w:rPr>
          <w:rFonts w:ascii="Arial" w:eastAsia="Calibri" w:hAnsi="Arial" w:cs="Arial"/>
          <w:bCs/>
          <w:sz w:val="22"/>
          <w:lang w:val="es-ES_tradnl"/>
        </w:rPr>
        <w:t xml:space="preserve">la Agencia Nacional de Contratación Pública – Colombia Compra Eficiente resuelve consultas sobre los asuntos de su competencia, esto es, sobre las </w:t>
      </w:r>
      <w:r w:rsidR="004F580A" w:rsidRPr="00127EBF">
        <w:rPr>
          <w:rFonts w:ascii="Arial" w:eastAsia="Calibri" w:hAnsi="Arial" w:cs="Arial"/>
          <w:bCs/>
          <w:sz w:val="22"/>
          <w:lang w:val="es-ES_tradnl"/>
        </w:rPr>
        <w:t>normas que conforman el sistema de compras y contratación pública</w:t>
      </w:r>
      <w:r w:rsidRPr="00127EBF">
        <w:rPr>
          <w:rFonts w:ascii="Arial" w:eastAsia="Calibri" w:hAnsi="Arial" w:cs="Arial"/>
          <w:bCs/>
          <w:sz w:val="22"/>
          <w:lang w:val="es-ES_tradnl"/>
        </w:rPr>
        <w:t>. Esta competencia consultiva se relaciona con el artículo 28 de la Ley 1437 de 2011, sustituido por el artículo 1 de la Ley 1755, que dispone lo siguiente:</w:t>
      </w:r>
    </w:p>
    <w:p w14:paraId="2C6BCE73"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3EDBD750"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12DFE11F"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31CC198F" w14:textId="2748F2F4" w:rsidR="00377A98" w:rsidRPr="00127EBF" w:rsidRDefault="00377A98" w:rsidP="00377A98">
      <w:pPr>
        <w:tabs>
          <w:tab w:val="left" w:pos="709"/>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lastRenderedPageBreak/>
        <w:tab/>
        <w:t>La ley es clara cuando establece que los conceptos</w:t>
      </w:r>
      <w:r w:rsidR="00024A9E" w:rsidRPr="00127EBF">
        <w:rPr>
          <w:rFonts w:ascii="Arial" w:eastAsia="Calibri" w:hAnsi="Arial" w:cs="Arial"/>
          <w:bCs/>
          <w:sz w:val="22"/>
          <w:lang w:val="es-ES_tradnl"/>
        </w:rPr>
        <w:t>,</w:t>
      </w:r>
      <w:r w:rsidRPr="00127EBF">
        <w:rPr>
          <w:rFonts w:ascii="Arial" w:eastAsia="Calibri" w:hAnsi="Arial" w:cs="Arial"/>
          <w:bCs/>
          <w:sz w:val="22"/>
          <w:lang w:val="es-ES_tradnl"/>
        </w:rPr>
        <w:t xml:space="preserve"> emitidos por las autoridades al responder peticiones realizadas en ejercicio del derecho a formular consultas</w:t>
      </w:r>
      <w:r w:rsidR="00024A9E" w:rsidRPr="00127EBF">
        <w:rPr>
          <w:rFonts w:ascii="Arial" w:eastAsia="Calibri" w:hAnsi="Arial" w:cs="Arial"/>
          <w:bCs/>
          <w:sz w:val="22"/>
          <w:lang w:val="es-ES_tradnl"/>
        </w:rPr>
        <w:t>,</w:t>
      </w:r>
      <w:r w:rsidRPr="00127EBF">
        <w:rPr>
          <w:rFonts w:ascii="Arial" w:eastAsia="Calibri" w:hAnsi="Arial" w:cs="Arial"/>
          <w:bCs/>
          <w:sz w:val="22"/>
          <w:lang w:val="es-ES_tradnl"/>
        </w:rPr>
        <w:t xml:space="preserve">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7DFD5EBC" w14:textId="77777777" w:rsidR="00377A98" w:rsidRPr="00127EBF" w:rsidRDefault="00377A98" w:rsidP="00377A98">
      <w:pPr>
        <w:tabs>
          <w:tab w:val="left" w:pos="709"/>
        </w:tabs>
        <w:spacing w:before="120" w:line="276" w:lineRule="auto"/>
        <w:jc w:val="both"/>
        <w:rPr>
          <w:rFonts w:ascii="Arial" w:eastAsia="Calibri" w:hAnsi="Arial" w:cs="Arial"/>
          <w:bCs/>
          <w:sz w:val="21"/>
          <w:szCs w:val="21"/>
          <w:lang w:val="es-ES_tradnl"/>
        </w:rPr>
      </w:pPr>
      <w:r w:rsidRPr="00127EBF">
        <w:rPr>
          <w:rFonts w:ascii="Arial" w:eastAsia="Calibri" w:hAnsi="Arial" w:cs="Arial"/>
          <w:bCs/>
          <w:sz w:val="22"/>
          <w:lang w:val="es-ES_tradnl"/>
        </w:rPr>
        <w:tab/>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127EBF">
        <w:rPr>
          <w:rStyle w:val="Refdenotaalpie"/>
          <w:rFonts w:ascii="Arial" w:eastAsia="Calibri" w:hAnsi="Arial" w:cs="Arial"/>
          <w:bCs/>
          <w:sz w:val="22"/>
          <w:lang w:val="es-ES_tradnl"/>
        </w:rPr>
        <w:footnoteReference w:id="2"/>
      </w:r>
      <w:r w:rsidRPr="00127EBF">
        <w:rPr>
          <w:rFonts w:ascii="Arial" w:eastAsia="Calibri" w:hAnsi="Arial" w:cs="Arial"/>
          <w:bCs/>
          <w:sz w:val="22"/>
          <w:lang w:val="es-ES_tradnl"/>
        </w:rPr>
        <w:t>. Igualmente, en concepto del año 2017</w:t>
      </w:r>
      <w:r w:rsidRPr="00127EBF">
        <w:rPr>
          <w:rStyle w:val="Refdenotaalpie"/>
          <w:rFonts w:ascii="Arial" w:eastAsia="Calibri" w:hAnsi="Arial" w:cs="Arial"/>
          <w:bCs/>
          <w:sz w:val="22"/>
          <w:lang w:val="es-ES_tradnl"/>
        </w:rPr>
        <w:footnoteReference w:id="3"/>
      </w:r>
      <w:r w:rsidRPr="00127EBF">
        <w:rPr>
          <w:rFonts w:ascii="Arial" w:eastAsia="Calibri" w:hAnsi="Arial" w:cs="Arial"/>
          <w:bCs/>
          <w:sz w:val="22"/>
          <w:lang w:val="es-ES_tradnl"/>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6347A267" w14:textId="77777777" w:rsidR="0078304D"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 xml:space="preserve">En términos generales, lo que se busca </w:t>
      </w:r>
      <w:r w:rsidR="00127EBF" w:rsidRPr="00127EBF">
        <w:rPr>
          <w:rFonts w:ascii="Arial" w:eastAsia="Calibri" w:hAnsi="Arial" w:cs="Arial"/>
          <w:bCs/>
          <w:sz w:val="22"/>
          <w:lang w:val="es-ES_tradnl"/>
        </w:rPr>
        <w:t xml:space="preserve">con el ejercicio de la función consultiva </w:t>
      </w:r>
      <w:r w:rsidRPr="00127EBF">
        <w:rPr>
          <w:rFonts w:ascii="Arial" w:eastAsia="Calibri" w:hAnsi="Arial" w:cs="Arial"/>
          <w:bCs/>
          <w:sz w:val="22"/>
          <w:lang w:val="es-ES_tradnl"/>
        </w:rPr>
        <w:t xml:space="preserve">es que la opinión jurídica de la </w:t>
      </w:r>
      <w:r w:rsidR="00127EBF">
        <w:rPr>
          <w:rFonts w:ascii="Arial" w:eastAsia="Calibri" w:hAnsi="Arial" w:cs="Arial"/>
          <w:bCs/>
          <w:sz w:val="22"/>
          <w:lang w:val="es-ES_tradnl"/>
        </w:rPr>
        <w:t>Agencia Nacional de Contratación Pública – Colombia Compra Eficiente</w:t>
      </w:r>
      <w:r w:rsidRPr="00127EBF">
        <w:rPr>
          <w:rFonts w:ascii="Arial" w:eastAsia="Calibri" w:hAnsi="Arial" w:cs="Arial"/>
          <w:bCs/>
          <w:sz w:val="22"/>
          <w:lang w:val="es-ES_tradnl"/>
        </w:rPr>
        <w:t xml:space="preserve"> </w:t>
      </w:r>
      <w:r w:rsidR="00707F27">
        <w:rPr>
          <w:rFonts w:ascii="Arial" w:eastAsia="Calibri" w:hAnsi="Arial" w:cs="Arial"/>
          <w:bCs/>
          <w:sz w:val="22"/>
          <w:lang w:val="es-ES_tradnl"/>
        </w:rPr>
        <w:t xml:space="preserve">sea un </w:t>
      </w:r>
      <w:r w:rsidRPr="00127EBF">
        <w:rPr>
          <w:rFonts w:ascii="Arial" w:eastAsia="Calibri" w:hAnsi="Arial" w:cs="Arial"/>
          <w:bCs/>
          <w:sz w:val="22"/>
          <w:lang w:val="es-ES_tradnl"/>
        </w:rPr>
        <w:t xml:space="preserve">criterio de orientación para </w:t>
      </w:r>
      <w:r w:rsidR="00707F27">
        <w:rPr>
          <w:rFonts w:ascii="Arial" w:eastAsia="Calibri" w:hAnsi="Arial" w:cs="Arial"/>
          <w:bCs/>
          <w:sz w:val="22"/>
          <w:lang w:val="es-ES_tradnl"/>
        </w:rPr>
        <w:t>los operadores jurídicos</w:t>
      </w:r>
      <w:r w:rsidRPr="00127EBF">
        <w:rPr>
          <w:rFonts w:ascii="Arial" w:eastAsia="Calibri" w:hAnsi="Arial" w:cs="Arial"/>
          <w:bCs/>
          <w:sz w:val="22"/>
          <w:lang w:val="es-ES_tradnl"/>
        </w:rPr>
        <w:t xml:space="preserve">, </w:t>
      </w:r>
      <w:r w:rsidR="008E399F">
        <w:rPr>
          <w:rFonts w:ascii="Arial" w:eastAsia="Calibri" w:hAnsi="Arial" w:cs="Arial"/>
          <w:bCs/>
          <w:sz w:val="22"/>
          <w:lang w:val="es-ES_tradnl"/>
        </w:rPr>
        <w:t xml:space="preserve">sin que ello suponga resolver un problema entre partes o asumir la </w:t>
      </w:r>
      <w:r w:rsidR="008E399F" w:rsidRPr="00235DCF">
        <w:rPr>
          <w:rFonts w:ascii="Arial" w:eastAsia="Calibri" w:hAnsi="Arial" w:cs="Arial"/>
          <w:bCs/>
          <w:i/>
          <w:iCs/>
          <w:sz w:val="22"/>
          <w:lang w:val="es-ES_tradnl"/>
        </w:rPr>
        <w:t>única</w:t>
      </w:r>
      <w:r w:rsidR="008E399F">
        <w:rPr>
          <w:rFonts w:ascii="Arial" w:eastAsia="Calibri" w:hAnsi="Arial" w:cs="Arial"/>
          <w:bCs/>
          <w:sz w:val="22"/>
          <w:lang w:val="es-ES_tradnl"/>
        </w:rPr>
        <w:t xml:space="preserve"> posible interpretación de una disposición normativa</w:t>
      </w:r>
      <w:r w:rsidRPr="00127EBF">
        <w:rPr>
          <w:rFonts w:ascii="Arial" w:eastAsia="Calibri" w:hAnsi="Arial" w:cs="Arial"/>
          <w:bCs/>
          <w:sz w:val="22"/>
          <w:lang w:val="es-ES_tradnl"/>
        </w:rPr>
        <w:t>.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127EBF">
        <w:rPr>
          <w:rStyle w:val="Refdenotaalpie"/>
          <w:rFonts w:ascii="Arial" w:eastAsia="Calibri" w:hAnsi="Arial" w:cs="Arial"/>
          <w:bCs/>
          <w:sz w:val="22"/>
          <w:lang w:val="es-ES_tradnl"/>
        </w:rPr>
        <w:footnoteReference w:id="4"/>
      </w:r>
      <w:r w:rsidR="0078304D">
        <w:rPr>
          <w:rFonts w:ascii="Arial" w:eastAsia="Calibri" w:hAnsi="Arial" w:cs="Arial"/>
          <w:bCs/>
          <w:sz w:val="22"/>
          <w:lang w:val="es-ES_tradnl"/>
        </w:rPr>
        <w:t>.</w:t>
      </w:r>
    </w:p>
    <w:p w14:paraId="34814298" w14:textId="19A64919" w:rsidR="00377A98" w:rsidRPr="00127EBF" w:rsidRDefault="00587B8B" w:rsidP="0078304D">
      <w:pPr>
        <w:tabs>
          <w:tab w:val="left" w:pos="709"/>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Las</w:t>
      </w:r>
      <w:r w:rsidR="00377A98" w:rsidRPr="00127EBF">
        <w:rPr>
          <w:rFonts w:ascii="Arial" w:eastAsia="Calibri" w:hAnsi="Arial" w:cs="Arial"/>
          <w:bCs/>
          <w:sz w:val="22"/>
          <w:lang w:val="es-ES_tradnl"/>
        </w:rPr>
        <w:t xml:space="preserve"> autoridades que ejercen funciones consultivas </w:t>
      </w:r>
      <w:r>
        <w:rPr>
          <w:rFonts w:ascii="Arial" w:eastAsia="Calibri" w:hAnsi="Arial" w:cs="Arial"/>
          <w:bCs/>
          <w:sz w:val="22"/>
          <w:lang w:val="es-ES_tradnl"/>
        </w:rPr>
        <w:t>pueden expresar su interpretación de un precepto normativo</w:t>
      </w:r>
      <w:r w:rsidR="004A021B">
        <w:rPr>
          <w:rFonts w:ascii="Arial" w:eastAsia="Calibri" w:hAnsi="Arial" w:cs="Arial"/>
          <w:bCs/>
          <w:sz w:val="22"/>
          <w:lang w:val="es-ES_tradnl"/>
        </w:rPr>
        <w:t xml:space="preserve"> </w:t>
      </w:r>
      <w:r w:rsidR="00923A8A">
        <w:rPr>
          <w:rFonts w:ascii="Arial" w:eastAsia="Calibri" w:hAnsi="Arial" w:cs="Arial"/>
          <w:bCs/>
          <w:sz w:val="22"/>
          <w:lang w:val="es-ES_tradnl"/>
        </w:rPr>
        <w:t>que no excluye</w:t>
      </w:r>
      <w:r w:rsidR="00322119">
        <w:rPr>
          <w:rFonts w:ascii="Arial" w:eastAsia="Calibri" w:hAnsi="Arial" w:cs="Arial"/>
          <w:bCs/>
          <w:sz w:val="22"/>
          <w:lang w:val="es-ES_tradnl"/>
        </w:rPr>
        <w:t xml:space="preserve"> otras </w:t>
      </w:r>
      <w:r w:rsidR="004A021B">
        <w:rPr>
          <w:rFonts w:ascii="Arial" w:eastAsia="Calibri" w:hAnsi="Arial" w:cs="Arial"/>
          <w:bCs/>
          <w:sz w:val="22"/>
          <w:lang w:val="es-ES_tradnl"/>
        </w:rPr>
        <w:t>interpretaciones</w:t>
      </w:r>
      <w:r w:rsidR="00322119">
        <w:rPr>
          <w:rFonts w:ascii="Arial" w:eastAsia="Calibri" w:hAnsi="Arial" w:cs="Arial"/>
          <w:bCs/>
          <w:sz w:val="22"/>
          <w:lang w:val="es-ES_tradnl"/>
        </w:rPr>
        <w:t xml:space="preserve"> posibles, pues el derecho, como sistema normativo, es un lenguaje que</w:t>
      </w:r>
      <w:r w:rsidR="004A021B">
        <w:rPr>
          <w:rFonts w:ascii="Arial" w:eastAsia="Calibri" w:hAnsi="Arial" w:cs="Arial"/>
          <w:bCs/>
          <w:sz w:val="22"/>
          <w:lang w:val="es-ES_tradnl"/>
        </w:rPr>
        <w:t>,</w:t>
      </w:r>
      <w:r w:rsidR="00322119">
        <w:rPr>
          <w:rFonts w:ascii="Arial" w:eastAsia="Calibri" w:hAnsi="Arial" w:cs="Arial"/>
          <w:bCs/>
          <w:sz w:val="22"/>
          <w:lang w:val="es-ES_tradnl"/>
        </w:rPr>
        <w:t xml:space="preserve"> en ocasiones</w:t>
      </w:r>
      <w:r w:rsidR="004A021B">
        <w:rPr>
          <w:rFonts w:ascii="Arial" w:eastAsia="Calibri" w:hAnsi="Arial" w:cs="Arial"/>
          <w:bCs/>
          <w:sz w:val="22"/>
          <w:lang w:val="es-ES_tradnl"/>
        </w:rPr>
        <w:t>,</w:t>
      </w:r>
      <w:r w:rsidR="00322119">
        <w:rPr>
          <w:rFonts w:ascii="Arial" w:eastAsia="Calibri" w:hAnsi="Arial" w:cs="Arial"/>
          <w:bCs/>
          <w:sz w:val="22"/>
          <w:lang w:val="es-ES_tradnl"/>
        </w:rPr>
        <w:t xml:space="preserve"> se tiñe de vaguedad, en virtud de la utilización de conceptos jurídicos indeterminados</w:t>
      </w:r>
      <w:r w:rsidR="00377A98" w:rsidRPr="00127EBF">
        <w:rPr>
          <w:rFonts w:ascii="Arial" w:eastAsia="Calibri" w:hAnsi="Arial" w:cs="Arial"/>
          <w:bCs/>
          <w:sz w:val="22"/>
          <w:lang w:val="es-ES_tradnl"/>
        </w:rPr>
        <w:t>.</w:t>
      </w:r>
      <w:r w:rsidR="004A021B">
        <w:rPr>
          <w:rFonts w:ascii="Arial" w:eastAsia="Calibri" w:hAnsi="Arial" w:cs="Arial"/>
          <w:bCs/>
          <w:sz w:val="22"/>
          <w:lang w:val="es-ES_tradnl"/>
        </w:rPr>
        <w:t xml:space="preserve"> </w:t>
      </w:r>
      <w:r w:rsidR="00377A98" w:rsidRPr="00127EBF">
        <w:rPr>
          <w:rFonts w:ascii="Arial" w:eastAsia="Calibri" w:hAnsi="Arial" w:cs="Arial"/>
          <w:bCs/>
          <w:sz w:val="22"/>
          <w:lang w:val="es-ES_tradnl"/>
        </w:rPr>
        <w:t xml:space="preserve">Así, puede pasar, por ejemplo, que un ministerio considere que una norma debe entenderse en un sentido, pero que otra entidad, vinculada o adscrita a ese ministerio, entienda que la misma norma debe interpretarse de otra manera. Eso hace parte de la lógica deliberativa y </w:t>
      </w:r>
      <w:r w:rsidR="00377A98" w:rsidRPr="00127EBF">
        <w:rPr>
          <w:rFonts w:ascii="Arial" w:eastAsia="Calibri" w:hAnsi="Arial" w:cs="Arial"/>
          <w:bCs/>
          <w:sz w:val="22"/>
          <w:lang w:val="es-ES_tradnl"/>
        </w:rPr>
        <w:lastRenderedPageBreak/>
        <w:t>dialéctica del funcionamiento del Estado y</w:t>
      </w:r>
      <w:r w:rsidR="009639B3">
        <w:rPr>
          <w:rFonts w:ascii="Arial" w:eastAsia="Calibri" w:hAnsi="Arial" w:cs="Arial"/>
          <w:bCs/>
          <w:sz w:val="22"/>
          <w:lang w:val="es-ES_tradnl"/>
        </w:rPr>
        <w:t xml:space="preserve"> </w:t>
      </w:r>
      <w:r w:rsidR="00377A98" w:rsidRPr="00127EBF">
        <w:rPr>
          <w:rFonts w:ascii="Arial" w:eastAsia="Calibri" w:hAnsi="Arial" w:cs="Arial"/>
          <w:bCs/>
          <w:sz w:val="22"/>
          <w:lang w:val="es-ES_tradnl"/>
        </w:rPr>
        <w:t>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w:t>
      </w:r>
      <w:r w:rsidR="000C73DB">
        <w:rPr>
          <w:rFonts w:ascii="Arial" w:eastAsia="Calibri" w:hAnsi="Arial" w:cs="Arial"/>
          <w:bCs/>
          <w:sz w:val="22"/>
          <w:lang w:val="es-ES_tradnl"/>
        </w:rPr>
        <w:t>.</w:t>
      </w:r>
      <w:r w:rsidR="00377A98" w:rsidRPr="00127EBF">
        <w:rPr>
          <w:rFonts w:ascii="Arial" w:eastAsia="Calibri" w:hAnsi="Arial" w:cs="Arial"/>
          <w:bCs/>
          <w:sz w:val="22"/>
          <w:lang w:val="es-ES_tradnl"/>
        </w:rPr>
        <w:t xml:space="preserve"> </w:t>
      </w:r>
      <w:r w:rsidR="000C73DB">
        <w:rPr>
          <w:rFonts w:ascii="Arial" w:eastAsia="Calibri" w:hAnsi="Arial" w:cs="Arial"/>
          <w:bCs/>
          <w:sz w:val="22"/>
          <w:lang w:val="es-ES_tradnl"/>
        </w:rPr>
        <w:t>E</w:t>
      </w:r>
      <w:r w:rsidR="00377A98" w:rsidRPr="00127EBF">
        <w:rPr>
          <w:rFonts w:ascii="Arial" w:eastAsia="Calibri" w:hAnsi="Arial" w:cs="Arial"/>
          <w:bCs/>
          <w:sz w:val="22"/>
          <w:lang w:val="es-ES_tradnl"/>
        </w:rPr>
        <w:t xml:space="preserve">n otras palabras, los conceptos «no serán de obligatorio cumplimiento o ejecución». </w:t>
      </w:r>
    </w:p>
    <w:p w14:paraId="5DE491B1" w14:textId="7E9985A2" w:rsidR="00377A98" w:rsidRPr="00127EBF"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En similares términos, el artículo 112 de la Ley 1437 de 2011 establece, en relación con la Sala de Consulta y Servicio Civil, que «los conceptos de la Sala no serán vinculantes, salvo que la ley disponga lo contrario»</w:t>
      </w:r>
      <w:r w:rsidRPr="00127EBF">
        <w:rPr>
          <w:rStyle w:val="Refdenotaalpie"/>
          <w:rFonts w:ascii="Arial" w:eastAsia="Calibri" w:hAnsi="Arial" w:cs="Arial"/>
          <w:bCs/>
          <w:sz w:val="22"/>
          <w:lang w:val="es-ES_tradnl"/>
        </w:rPr>
        <w:footnoteReference w:id="5"/>
      </w:r>
      <w:r w:rsidRPr="00127EBF">
        <w:rPr>
          <w:rFonts w:ascii="Arial" w:eastAsia="Calibri" w:hAnsi="Arial" w:cs="Arial"/>
          <w:bCs/>
          <w:sz w:val="22"/>
          <w:lang w:val="es-ES_tradnl"/>
        </w:rPr>
        <w:t xml:space="preserve">. Se trata, </w:t>
      </w:r>
      <w:r w:rsidRPr="00127EBF">
        <w:rPr>
          <w:rFonts w:ascii="Arial" w:eastAsia="Calibri" w:hAnsi="Arial" w:cs="Arial"/>
          <w:bCs/>
          <w:i/>
          <w:iCs/>
          <w:sz w:val="22"/>
          <w:lang w:val="es-ES_tradnl"/>
        </w:rPr>
        <w:t xml:space="preserve">mutatis </w:t>
      </w:r>
      <w:proofErr w:type="spellStart"/>
      <w:r w:rsidRPr="00127EBF">
        <w:rPr>
          <w:rFonts w:ascii="Arial" w:eastAsia="Calibri" w:hAnsi="Arial" w:cs="Arial"/>
          <w:bCs/>
          <w:i/>
          <w:iCs/>
          <w:sz w:val="22"/>
          <w:lang w:val="es-ES_tradnl"/>
        </w:rPr>
        <w:t>mutandi</w:t>
      </w:r>
      <w:proofErr w:type="spellEnd"/>
      <w:r w:rsidRPr="00127EBF">
        <w:rPr>
          <w:rFonts w:ascii="Arial" w:eastAsia="Calibri" w:hAnsi="Arial" w:cs="Arial"/>
          <w:bCs/>
          <w:sz w:val="22"/>
          <w:lang w:val="es-ES_tradnl"/>
        </w:rPr>
        <w:t>,</w:t>
      </w:r>
      <w:r w:rsidRPr="00127EBF">
        <w:rPr>
          <w:rFonts w:ascii="Arial" w:eastAsia="Calibri" w:hAnsi="Arial" w:cs="Arial"/>
          <w:bCs/>
          <w:i/>
          <w:iCs/>
          <w:sz w:val="22"/>
          <w:lang w:val="es-ES_tradnl"/>
        </w:rPr>
        <w:t xml:space="preserve"> </w:t>
      </w:r>
      <w:r w:rsidRPr="00127EBF">
        <w:rPr>
          <w:rFonts w:ascii="Arial" w:eastAsia="Calibri" w:hAnsi="Arial" w:cs="Arial"/>
          <w:bCs/>
          <w:sz w:val="22"/>
          <w:lang w:val="es-ES_tradnl"/>
        </w:rPr>
        <w:t>del ejercicio de una función consultiva, cuyos efectos, por ende, serán los mismos: no vinculantes ni de obligatorio cumplimiento. En relación con el tema, la Sala de Consulta y Servicio Civil del Consejo de Estado</w:t>
      </w:r>
      <w:r w:rsidRPr="00127EBF">
        <w:rPr>
          <w:rStyle w:val="Refdenotaalpie"/>
          <w:rFonts w:ascii="Arial" w:eastAsia="Calibri" w:hAnsi="Arial" w:cs="Arial"/>
          <w:bCs/>
          <w:sz w:val="22"/>
          <w:lang w:val="es-ES_tradnl"/>
        </w:rPr>
        <w:footnoteReference w:id="6"/>
      </w:r>
      <w:r w:rsidRPr="00127EBF">
        <w:rPr>
          <w:rFonts w:ascii="Arial" w:eastAsia="Calibri" w:hAnsi="Arial" w:cs="Arial"/>
          <w:bCs/>
          <w:sz w:val="22"/>
          <w:lang w:val="es-ES_tradnl"/>
        </w:rPr>
        <w:t>, se pronunció en los siguientes términos:</w:t>
      </w:r>
    </w:p>
    <w:p w14:paraId="24B6104A"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779BAA51"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29E1D18D"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p>
    <w:p w14:paraId="5730C5E5"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No se trata entonces de dar la razón a una u otra posición en temas controvertibles, sino de rendir un concepto jurídico que sirva a la Administración en la búsqueda del cumplimiento de las finalidades esenciales del Estado.</w:t>
      </w:r>
    </w:p>
    <w:p w14:paraId="0524BA76"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6D11F34B" w14:textId="3DD5A01F" w:rsidR="00377A98" w:rsidRPr="00127EBF" w:rsidRDefault="00377A98" w:rsidP="00377A98">
      <w:pPr>
        <w:tabs>
          <w:tab w:val="left" w:pos="709"/>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El ejercicio de la función consultiva del artículo 28 de la Ley 1437 de 2011 descarta la resolución de controversias en curso o de problemas cuyos efectos se concreten. Lo primero, debe manejarlo la propia entidad</w:t>
      </w:r>
      <w:r w:rsidR="00F728B5">
        <w:rPr>
          <w:rFonts w:ascii="Arial" w:eastAsia="Calibri" w:hAnsi="Arial" w:cs="Arial"/>
          <w:bCs/>
          <w:sz w:val="22"/>
          <w:lang w:val="es-ES_tradnl"/>
        </w:rPr>
        <w:t xml:space="preserve"> </w:t>
      </w:r>
      <w:r w:rsidRPr="00127EBF">
        <w:rPr>
          <w:rFonts w:ascii="Arial" w:eastAsia="Calibri" w:hAnsi="Arial" w:cs="Arial"/>
          <w:bCs/>
          <w:sz w:val="22"/>
          <w:lang w:val="es-ES_tradnl"/>
        </w:rPr>
        <w:t xml:space="preserve">ante la que se presenta el problema, y lo segundo el juez competente. En últimas, siempre que no exista una decisión judicial vinculante, los </w:t>
      </w:r>
      <w:r w:rsidRPr="00127EBF">
        <w:rPr>
          <w:rFonts w:ascii="Arial" w:eastAsia="Calibri" w:hAnsi="Arial" w:cs="Arial"/>
          <w:bCs/>
          <w:sz w:val="22"/>
          <w:lang w:val="es-ES_tradnl"/>
        </w:rPr>
        <w:lastRenderedPageBreak/>
        <w:t>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w:t>
      </w:r>
      <w:r w:rsidR="004010B4">
        <w:rPr>
          <w:rFonts w:ascii="Arial" w:eastAsia="Calibri" w:hAnsi="Arial" w:cs="Arial"/>
          <w:bCs/>
          <w:sz w:val="22"/>
          <w:lang w:val="es-ES_tradnl"/>
        </w:rPr>
        <w:t>.</w:t>
      </w:r>
    </w:p>
    <w:p w14:paraId="64AF6773" w14:textId="77777777" w:rsidR="00377A98" w:rsidRPr="00127EBF" w:rsidRDefault="00377A98" w:rsidP="00377A98">
      <w:pPr>
        <w:tabs>
          <w:tab w:val="left" w:pos="709"/>
        </w:tabs>
        <w:spacing w:before="120" w:after="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54C75E7B" w14:textId="29778F1A" w:rsidR="00377A98" w:rsidRPr="00127EBF"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r>
      <w:bookmarkStart w:id="2" w:name="_Hlk42100007"/>
      <w:r w:rsidRPr="00127EBF">
        <w:rPr>
          <w:rFonts w:ascii="Arial" w:eastAsia="Calibri" w:hAnsi="Arial" w:cs="Arial"/>
          <w:bCs/>
          <w:sz w:val="22"/>
          <w:lang w:val="es-ES_tradnl"/>
        </w:rPr>
        <w:t>Así las cosas, Colombia Compra Eficiente considera que no hay lugar a acceder</w:t>
      </w:r>
      <w:r w:rsidR="00882047">
        <w:rPr>
          <w:rFonts w:ascii="Arial" w:eastAsia="Calibri" w:hAnsi="Arial" w:cs="Arial"/>
          <w:bCs/>
          <w:sz w:val="22"/>
          <w:lang w:val="es-ES_tradnl"/>
        </w:rPr>
        <w:t>, por ejemplo,</w:t>
      </w:r>
      <w:r w:rsidRPr="00127EBF">
        <w:rPr>
          <w:rFonts w:ascii="Arial" w:eastAsia="Calibri" w:hAnsi="Arial" w:cs="Arial"/>
          <w:bCs/>
          <w:sz w:val="22"/>
          <w:lang w:val="es-ES_tradnl"/>
        </w:rPr>
        <w:t xml:space="preserve"> a </w:t>
      </w:r>
      <w:r w:rsidR="00882047">
        <w:rPr>
          <w:rFonts w:ascii="Arial" w:eastAsia="Calibri" w:hAnsi="Arial" w:cs="Arial"/>
          <w:bCs/>
          <w:sz w:val="22"/>
          <w:lang w:val="es-ES_tradnl"/>
        </w:rPr>
        <w:t xml:space="preserve">solicitudes de </w:t>
      </w:r>
      <w:r w:rsidR="00882047">
        <w:rPr>
          <w:rFonts w:ascii="Arial" w:eastAsia="Calibri" w:hAnsi="Arial" w:cs="Arial"/>
          <w:bCs/>
          <w:i/>
          <w:iCs/>
          <w:sz w:val="22"/>
          <w:lang w:val="es-ES_tradnl"/>
        </w:rPr>
        <w:t>revocación directa</w:t>
      </w:r>
      <w:r w:rsidRPr="00127EBF">
        <w:rPr>
          <w:rFonts w:ascii="Arial" w:eastAsia="Calibri" w:hAnsi="Arial" w:cs="Arial"/>
          <w:bCs/>
          <w:sz w:val="22"/>
          <w:lang w:val="es-ES_tradnl"/>
        </w:rPr>
        <w:t xml:space="preserve"> de los conceptos, pues no son actos administrativos, no tienen efectos vinculantes en relación con una situación jurídica particular y concreta, y exponen un criterio que, aunque jurídicamente fundamentado, no representan</w:t>
      </w:r>
      <w:r w:rsidR="00882047">
        <w:rPr>
          <w:rFonts w:ascii="Arial" w:eastAsia="Calibri" w:hAnsi="Arial" w:cs="Arial"/>
          <w:bCs/>
          <w:sz w:val="22"/>
          <w:lang w:val="es-ES_tradnl"/>
        </w:rPr>
        <w:t xml:space="preserve"> necesariamente</w:t>
      </w:r>
      <w:r w:rsidRPr="00127EBF">
        <w:rPr>
          <w:rFonts w:ascii="Arial" w:eastAsia="Calibri" w:hAnsi="Arial" w:cs="Arial"/>
          <w:bCs/>
          <w:sz w:val="22"/>
          <w:lang w:val="es-ES_tradnl"/>
        </w:rPr>
        <w:t xml:space="preserve"> la </w:t>
      </w:r>
      <w:r w:rsidRPr="00882047">
        <w:rPr>
          <w:rFonts w:ascii="Arial" w:eastAsia="Calibri" w:hAnsi="Arial" w:cs="Arial"/>
          <w:bCs/>
          <w:i/>
          <w:iCs/>
          <w:sz w:val="22"/>
          <w:lang w:val="es-ES_tradnl"/>
        </w:rPr>
        <w:t>única</w:t>
      </w:r>
      <w:r w:rsidRPr="00127EBF">
        <w:rPr>
          <w:rFonts w:ascii="Arial" w:eastAsia="Calibri" w:hAnsi="Arial" w:cs="Arial"/>
          <w:bCs/>
          <w:sz w:val="22"/>
          <w:lang w:val="es-ES_tradnl"/>
        </w:rPr>
        <w:t xml:space="preserve"> interpretación válida del ordenamiento jurídico.</w:t>
      </w:r>
      <w:bookmarkEnd w:id="2"/>
      <w:r w:rsidR="00882047">
        <w:rPr>
          <w:rFonts w:ascii="Arial" w:eastAsia="Calibri" w:hAnsi="Arial" w:cs="Arial"/>
          <w:bCs/>
          <w:sz w:val="22"/>
          <w:lang w:val="es-ES_tradnl"/>
        </w:rPr>
        <w:t xml:space="preserve"> </w:t>
      </w:r>
      <w:r w:rsidRPr="00127EBF">
        <w:rPr>
          <w:rFonts w:ascii="Arial" w:eastAsia="Calibri" w:hAnsi="Arial" w:cs="Arial"/>
          <w:bCs/>
          <w:sz w:val="22"/>
          <w:lang w:val="es-ES_tradnl"/>
        </w:rPr>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0BFFA51D" w14:textId="77777777" w:rsidR="00377A98" w:rsidRPr="00127EBF" w:rsidRDefault="00377A98" w:rsidP="00271230">
      <w:pPr>
        <w:spacing w:line="276" w:lineRule="auto"/>
        <w:jc w:val="both"/>
        <w:rPr>
          <w:rFonts w:ascii="Arial" w:eastAsia="Calibri" w:hAnsi="Arial" w:cs="Arial"/>
          <w:color w:val="000000" w:themeColor="text1"/>
          <w:sz w:val="22"/>
          <w:szCs w:val="22"/>
          <w:lang w:val="es-ES_tradnl"/>
        </w:rPr>
      </w:pPr>
    </w:p>
    <w:p w14:paraId="0F39B6EF" w14:textId="3E6F6A33" w:rsidR="005244FC" w:rsidRPr="00127EBF" w:rsidRDefault="005244FC" w:rsidP="005244FC">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045AD2" w:rsidRPr="00127EBF">
        <w:rPr>
          <w:rFonts w:ascii="Arial" w:eastAsia="Calibri" w:hAnsi="Arial" w:cs="Arial"/>
          <w:b/>
          <w:bCs/>
          <w:color w:val="000000" w:themeColor="text1"/>
          <w:sz w:val="22"/>
          <w:szCs w:val="22"/>
          <w:lang w:val="es-ES_tradnl"/>
        </w:rPr>
        <w:t>2</w:t>
      </w:r>
      <w:r w:rsidRPr="00127EBF">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p>
    <w:p w14:paraId="09DB8BB1"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w:t>
      </w:r>
      <w:r w:rsidRPr="00127EBF">
        <w:rPr>
          <w:rFonts w:ascii="Arial" w:eastAsia="Calibri" w:hAnsi="Arial" w:cs="Arial"/>
          <w:color w:val="000000" w:themeColor="text1"/>
          <w:sz w:val="22"/>
          <w:szCs w:val="22"/>
          <w:lang w:val="es-ES_tradnl"/>
        </w:rPr>
        <w:lastRenderedPageBreak/>
        <w:t>entre otros elementos que garanticen la escogencia de la mejor opción de negocio para la entidad estatal.</w:t>
      </w:r>
    </w:p>
    <w:p w14:paraId="468AADE9"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13EAEB7" w14:textId="79130633"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w:t>
      </w:r>
      <w:r w:rsidR="002742D0" w:rsidRPr="00127EBF">
        <w:rPr>
          <w:rFonts w:ascii="Arial" w:eastAsia="Calibri" w:hAnsi="Arial" w:cs="Arial"/>
          <w:color w:val="000000" w:themeColor="text1"/>
          <w:sz w:val="22"/>
          <w:szCs w:val="22"/>
          <w:lang w:val="es-ES_tradnl"/>
        </w:rPr>
        <w:t>encuentra</w:t>
      </w:r>
      <w:r w:rsidRPr="00127EBF">
        <w:rPr>
          <w:rFonts w:ascii="Arial" w:eastAsia="Calibri" w:hAnsi="Arial" w:cs="Arial"/>
          <w:color w:val="000000" w:themeColor="text1"/>
          <w:sz w:val="22"/>
          <w:szCs w:val="22"/>
          <w:lang w:val="es-ES_tradnl"/>
        </w:rPr>
        <w:t xml:space="preserve"> 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La </w:t>
      </w:r>
      <w:r w:rsidR="009B6863" w:rsidRPr="00127EBF">
        <w:rPr>
          <w:rFonts w:ascii="Arial" w:eastAsia="Calibri" w:hAnsi="Arial" w:cs="Arial"/>
          <w:color w:val="000000" w:themeColor="text1"/>
          <w:sz w:val="22"/>
          <w:szCs w:val="22"/>
          <w:lang w:val="es-ES_tradnl"/>
        </w:rPr>
        <w:t>jurisprudencia</w:t>
      </w:r>
      <w:r w:rsidRPr="00127EBF">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127EBF">
        <w:rPr>
          <w:rStyle w:val="Refdenotaalpie"/>
          <w:rFonts w:ascii="Arial" w:hAnsi="Arial" w:cs="Arial"/>
          <w:sz w:val="21"/>
          <w:szCs w:val="21"/>
          <w:lang w:val="es-ES_tradnl"/>
        </w:rPr>
        <w:footnoteReference w:id="7"/>
      </w:r>
      <w:r w:rsidRPr="00127EBF">
        <w:rPr>
          <w:rFonts w:ascii="Arial" w:eastAsia="Calibri" w:hAnsi="Arial" w:cs="Arial"/>
          <w:color w:val="000000" w:themeColor="text1"/>
          <w:sz w:val="22"/>
          <w:szCs w:val="22"/>
          <w:lang w:val="es-ES_tradnl"/>
        </w:rPr>
        <w:t xml:space="preserve">. </w:t>
      </w:r>
    </w:p>
    <w:p w14:paraId="6CC191F9"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127EBF">
        <w:rPr>
          <w:rStyle w:val="Refdenotaalpie"/>
          <w:rFonts w:ascii="Arial" w:eastAsia="Calibri" w:hAnsi="Arial" w:cs="Arial"/>
          <w:color w:val="000000" w:themeColor="text1"/>
          <w:sz w:val="22"/>
          <w:szCs w:val="22"/>
          <w:lang w:val="es-ES_tradnl"/>
        </w:rPr>
        <w:footnoteReference w:id="8"/>
      </w:r>
      <w:r w:rsidRPr="00127EBF">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127EBF">
        <w:rPr>
          <w:rStyle w:val="Refdenotaalpie"/>
          <w:rFonts w:ascii="Arial" w:eastAsia="Calibri" w:hAnsi="Arial" w:cs="Arial"/>
          <w:color w:val="000000" w:themeColor="text1"/>
          <w:sz w:val="22"/>
          <w:szCs w:val="22"/>
          <w:lang w:val="es-ES_tradnl"/>
        </w:rPr>
        <w:footnoteReference w:id="9"/>
      </w:r>
      <w:r w:rsidRPr="00127EBF">
        <w:rPr>
          <w:rFonts w:ascii="Arial" w:eastAsia="Calibri" w:hAnsi="Arial" w:cs="Arial"/>
          <w:color w:val="000000" w:themeColor="text1"/>
          <w:sz w:val="22"/>
          <w:szCs w:val="22"/>
          <w:lang w:val="es-ES_tradnl"/>
        </w:rPr>
        <w:t>.</w:t>
      </w:r>
    </w:p>
    <w:p w14:paraId="5909E216"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lastRenderedPageBreak/>
        <w:t xml:space="preserve">Ahora bien, en cumplimiento de los principios de reciprocidad y de </w:t>
      </w:r>
      <w:r w:rsidRPr="00127EBF">
        <w:rPr>
          <w:rFonts w:ascii="Arial" w:eastAsia="Calibri" w:hAnsi="Arial" w:cs="Arial"/>
          <w:i/>
          <w:iCs/>
          <w:color w:val="000000" w:themeColor="text1"/>
          <w:sz w:val="22"/>
          <w:szCs w:val="22"/>
          <w:lang w:val="es-ES_tradnl"/>
        </w:rPr>
        <w:t xml:space="preserve">pacta </w:t>
      </w:r>
      <w:proofErr w:type="spellStart"/>
      <w:r w:rsidRPr="00127EBF">
        <w:rPr>
          <w:rFonts w:ascii="Arial" w:eastAsia="Calibri" w:hAnsi="Arial" w:cs="Arial"/>
          <w:i/>
          <w:iCs/>
          <w:color w:val="000000" w:themeColor="text1"/>
          <w:sz w:val="22"/>
          <w:szCs w:val="22"/>
          <w:lang w:val="es-ES_tradnl"/>
        </w:rPr>
        <w:t>sunt</w:t>
      </w:r>
      <w:proofErr w:type="spellEnd"/>
      <w:r w:rsidRPr="00127EBF">
        <w:rPr>
          <w:rFonts w:ascii="Arial" w:eastAsia="Calibri" w:hAnsi="Arial" w:cs="Arial"/>
          <w:i/>
          <w:iCs/>
          <w:color w:val="000000" w:themeColor="text1"/>
          <w:sz w:val="22"/>
          <w:szCs w:val="22"/>
          <w:lang w:val="es-ES_tradnl"/>
        </w:rPr>
        <w:t xml:space="preserve"> </w:t>
      </w:r>
      <w:proofErr w:type="spellStart"/>
      <w:r w:rsidRPr="00127EBF">
        <w:rPr>
          <w:rFonts w:ascii="Arial" w:eastAsia="Calibri" w:hAnsi="Arial" w:cs="Arial"/>
          <w:i/>
          <w:iCs/>
          <w:color w:val="000000" w:themeColor="text1"/>
          <w:sz w:val="22"/>
          <w:szCs w:val="22"/>
          <w:lang w:val="es-ES_tradnl"/>
        </w:rPr>
        <w:t>servanda</w:t>
      </w:r>
      <w:proofErr w:type="spellEnd"/>
      <w:r w:rsidRPr="00127EB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127EBF" w:rsidRDefault="005244FC" w:rsidP="005244FC">
      <w:pPr>
        <w:spacing w:line="276" w:lineRule="auto"/>
        <w:rPr>
          <w:rFonts w:ascii="Arial" w:eastAsia="Calibri" w:hAnsi="Arial" w:cs="Arial"/>
          <w:color w:val="000000" w:themeColor="text1"/>
          <w:sz w:val="22"/>
          <w:szCs w:val="22"/>
          <w:lang w:val="es-ES_tradnl"/>
        </w:rPr>
      </w:pPr>
    </w:p>
    <w:p w14:paraId="27D423AC" w14:textId="0233DF8B" w:rsidR="005244FC" w:rsidRPr="00127EBF" w:rsidRDefault="005244FC" w:rsidP="005244FC">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891AB1" w:rsidRPr="00127EBF">
        <w:rPr>
          <w:rFonts w:ascii="Arial" w:eastAsia="Calibri" w:hAnsi="Arial" w:cs="Arial"/>
          <w:b/>
          <w:bCs/>
          <w:color w:val="000000" w:themeColor="text1"/>
          <w:sz w:val="22"/>
          <w:szCs w:val="22"/>
          <w:lang w:val="es-ES_tradnl"/>
        </w:rPr>
        <w:t>3</w:t>
      </w:r>
      <w:r w:rsidRPr="00127EBF">
        <w:rPr>
          <w:rFonts w:ascii="Arial" w:eastAsia="Calibri" w:hAnsi="Arial" w:cs="Arial"/>
          <w:b/>
          <w:bCs/>
          <w:color w:val="000000" w:themeColor="text1"/>
          <w:sz w:val="22"/>
          <w:szCs w:val="22"/>
          <w:lang w:val="es-ES_tradnl"/>
        </w:rPr>
        <w:t xml:space="preserve">. Vigencia y ámbito de aplicación de la Ley </w:t>
      </w:r>
      <w:r w:rsidR="007B209C" w:rsidRPr="00127EBF">
        <w:rPr>
          <w:rFonts w:ascii="Arial" w:eastAsia="Calibri" w:hAnsi="Arial" w:cs="Arial"/>
          <w:b/>
          <w:bCs/>
          <w:color w:val="000000" w:themeColor="text1"/>
          <w:sz w:val="22"/>
          <w:szCs w:val="22"/>
          <w:lang w:val="es-ES_tradnl"/>
        </w:rPr>
        <w:t>2069</w:t>
      </w:r>
      <w:r w:rsidRPr="00127EBF">
        <w:rPr>
          <w:rFonts w:ascii="Arial" w:eastAsia="Calibri" w:hAnsi="Arial" w:cs="Arial"/>
          <w:b/>
          <w:bCs/>
          <w:color w:val="000000" w:themeColor="text1"/>
          <w:sz w:val="22"/>
          <w:szCs w:val="22"/>
          <w:lang w:val="es-ES_tradnl"/>
        </w:rPr>
        <w:t xml:space="preserve"> de 2020</w:t>
      </w:r>
    </w:p>
    <w:p w14:paraId="10695754"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p>
    <w:p w14:paraId="20A72819" w14:textId="2E3C3547" w:rsidR="00116EC5" w:rsidRPr="00127EBF" w:rsidRDefault="00116EC5" w:rsidP="00116EC5">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El 31 de diciembre de 2020 se promulgó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127EBF"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mediante la racionalización y simplificación de los trámites y tarifas</w:t>
      </w:r>
      <w:r w:rsidRPr="00127EBF">
        <w:rPr>
          <w:rStyle w:val="Refdenotaalpie"/>
          <w:rFonts w:ascii="Arial" w:eastAsia="Calibri" w:hAnsi="Arial" w:cs="Arial"/>
          <w:color w:val="000000" w:themeColor="text1"/>
          <w:sz w:val="22"/>
          <w:szCs w:val="22"/>
          <w:lang w:val="es-ES_tradnl"/>
        </w:rPr>
        <w:footnoteReference w:id="10"/>
      </w:r>
      <w:r w:rsidRPr="00127EBF">
        <w:rPr>
          <w:rFonts w:ascii="Arial" w:eastAsia="Calibri" w:hAnsi="Arial" w:cs="Arial"/>
          <w:color w:val="000000" w:themeColor="text1"/>
          <w:sz w:val="22"/>
          <w:szCs w:val="22"/>
          <w:lang w:val="es-ES_tradnl"/>
        </w:rPr>
        <w:t>, así como incentivos a favor de aquellas dentro del sistema de compras y contratación pública</w:t>
      </w:r>
      <w:r w:rsidRPr="00127EBF">
        <w:rPr>
          <w:rStyle w:val="Refdenotaalpie"/>
          <w:rFonts w:ascii="Arial" w:eastAsia="Calibri" w:hAnsi="Arial" w:cs="Arial"/>
          <w:color w:val="000000" w:themeColor="text1"/>
          <w:sz w:val="22"/>
          <w:szCs w:val="22"/>
          <w:lang w:val="es-ES_tradnl"/>
        </w:rPr>
        <w:footnoteReference w:id="11"/>
      </w:r>
      <w:r w:rsidRPr="00127EBF">
        <w:rPr>
          <w:rFonts w:ascii="Arial" w:eastAsia="Calibri" w:hAnsi="Arial" w:cs="Arial"/>
          <w:color w:val="000000" w:themeColor="text1"/>
          <w:sz w:val="22"/>
          <w:szCs w:val="22"/>
          <w:lang w:val="es-ES_tradnl"/>
        </w:rPr>
        <w:t>. También se consagran mecanismos de acceso al financiamiento</w:t>
      </w:r>
      <w:r w:rsidRPr="00127EBF">
        <w:rPr>
          <w:rStyle w:val="Refdenotaalpie"/>
          <w:rFonts w:ascii="Arial" w:eastAsia="Calibri" w:hAnsi="Arial" w:cs="Arial"/>
          <w:color w:val="000000" w:themeColor="text1"/>
          <w:sz w:val="22"/>
          <w:szCs w:val="22"/>
          <w:lang w:val="es-ES_tradnl"/>
        </w:rPr>
        <w:footnoteReference w:id="12"/>
      </w:r>
      <w:r w:rsidRPr="00127EB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127EBF">
        <w:rPr>
          <w:rStyle w:val="Refdenotaalpie"/>
          <w:rFonts w:ascii="Arial" w:eastAsia="Calibri" w:hAnsi="Arial" w:cs="Arial"/>
          <w:color w:val="000000" w:themeColor="text1"/>
          <w:sz w:val="22"/>
          <w:szCs w:val="22"/>
          <w:lang w:val="es-ES_tradnl"/>
        </w:rPr>
        <w:footnoteReference w:id="13"/>
      </w:r>
      <w:r w:rsidRPr="00127EBF">
        <w:rPr>
          <w:rFonts w:ascii="Arial" w:eastAsia="Calibri" w:hAnsi="Arial" w:cs="Arial"/>
          <w:color w:val="000000" w:themeColor="text1"/>
          <w:sz w:val="22"/>
          <w:szCs w:val="22"/>
          <w:lang w:val="es-ES_tradnl"/>
        </w:rPr>
        <w:t xml:space="preserve"> y se prevén medidas de educación para el emprendimiento y la innovación</w:t>
      </w:r>
      <w:r w:rsidRPr="00127EBF">
        <w:rPr>
          <w:rStyle w:val="Refdenotaalpie"/>
          <w:rFonts w:ascii="Arial" w:eastAsia="Calibri" w:hAnsi="Arial" w:cs="Arial"/>
          <w:color w:val="000000" w:themeColor="text1"/>
          <w:sz w:val="22"/>
          <w:szCs w:val="22"/>
          <w:lang w:val="es-ES_tradnl"/>
        </w:rPr>
        <w:footnoteReference w:id="14"/>
      </w:r>
      <w:r w:rsidRPr="00127EBF">
        <w:rPr>
          <w:rFonts w:ascii="Arial" w:eastAsia="Calibri" w:hAnsi="Arial" w:cs="Arial"/>
          <w:color w:val="000000" w:themeColor="text1"/>
          <w:sz w:val="22"/>
          <w:szCs w:val="22"/>
          <w:lang w:val="es-ES_tradnl"/>
        </w:rPr>
        <w:t>.</w:t>
      </w:r>
    </w:p>
    <w:p w14:paraId="748F81E7" w14:textId="375224AD" w:rsidR="00EA0455" w:rsidRPr="00127EBF"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lastRenderedPageBreak/>
        <w:t xml:space="preserve">Como se indicó, parte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76F598EA" w14:textId="77777777" w:rsidR="006C189C" w:rsidRPr="00127EBF" w:rsidRDefault="006C189C" w:rsidP="00833ADA">
      <w:pPr>
        <w:spacing w:line="276" w:lineRule="auto"/>
        <w:jc w:val="both"/>
        <w:rPr>
          <w:rFonts w:ascii="Arial" w:eastAsia="Calibri" w:hAnsi="Arial" w:cs="Arial"/>
          <w:color w:val="000000" w:themeColor="text1"/>
          <w:sz w:val="22"/>
          <w:szCs w:val="22"/>
          <w:lang w:val="es-ES_tradnl"/>
        </w:rPr>
      </w:pPr>
    </w:p>
    <w:p w14:paraId="2C2833A6" w14:textId="122D4F4D" w:rsidR="00833ADA" w:rsidRPr="00127EBF" w:rsidRDefault="00523F41" w:rsidP="00833ADA">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891AB1" w:rsidRPr="00127EBF">
        <w:rPr>
          <w:rFonts w:ascii="Arial" w:eastAsia="Calibri" w:hAnsi="Arial" w:cs="Arial"/>
          <w:b/>
          <w:bCs/>
          <w:color w:val="000000" w:themeColor="text1"/>
          <w:sz w:val="22"/>
          <w:szCs w:val="22"/>
          <w:lang w:val="es-ES_tradnl"/>
        </w:rPr>
        <w:t>4</w:t>
      </w:r>
      <w:r w:rsidRPr="00127EBF">
        <w:rPr>
          <w:rFonts w:ascii="Arial" w:eastAsia="Calibri" w:hAnsi="Arial" w:cs="Arial"/>
          <w:b/>
          <w:bCs/>
          <w:color w:val="000000" w:themeColor="text1"/>
          <w:sz w:val="22"/>
          <w:szCs w:val="22"/>
          <w:lang w:val="es-ES_tradnl"/>
        </w:rPr>
        <w:t>.</w:t>
      </w:r>
      <w:r w:rsidR="00833ADA" w:rsidRPr="00127EBF">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127EBF">
        <w:rPr>
          <w:rFonts w:ascii="Arial" w:eastAsia="Calibri" w:hAnsi="Arial" w:cs="Arial"/>
          <w:b/>
          <w:bCs/>
          <w:color w:val="000000" w:themeColor="text1"/>
          <w:sz w:val="22"/>
          <w:szCs w:val="22"/>
          <w:lang w:val="es-ES_tradnl"/>
        </w:rPr>
        <w:t xml:space="preserve"> Ley </w:t>
      </w:r>
      <w:r w:rsidR="007B209C" w:rsidRPr="00127EBF">
        <w:rPr>
          <w:rFonts w:ascii="Arial" w:eastAsia="Calibri" w:hAnsi="Arial" w:cs="Arial"/>
          <w:b/>
          <w:bCs/>
          <w:color w:val="000000" w:themeColor="text1"/>
          <w:sz w:val="22"/>
          <w:szCs w:val="22"/>
          <w:lang w:val="es-ES_tradnl"/>
        </w:rPr>
        <w:t>2069</w:t>
      </w:r>
      <w:r w:rsidR="00755229" w:rsidRPr="00127EBF">
        <w:rPr>
          <w:rFonts w:ascii="Arial" w:eastAsia="Calibri" w:hAnsi="Arial" w:cs="Arial"/>
          <w:b/>
          <w:bCs/>
          <w:color w:val="000000" w:themeColor="text1"/>
          <w:sz w:val="22"/>
          <w:szCs w:val="22"/>
          <w:lang w:val="es-ES_tradnl"/>
        </w:rPr>
        <w:t xml:space="preserve"> de 2020</w:t>
      </w:r>
      <w:r w:rsidR="006C2A74" w:rsidRPr="00127EBF">
        <w:rPr>
          <w:rFonts w:ascii="Arial" w:eastAsia="Calibri" w:hAnsi="Arial" w:cs="Arial"/>
          <w:b/>
          <w:bCs/>
          <w:color w:val="000000" w:themeColor="text1"/>
          <w:sz w:val="22"/>
          <w:szCs w:val="22"/>
          <w:lang w:val="es-ES_tradnl"/>
        </w:rPr>
        <w:t xml:space="preserve">. Análisis especial del </w:t>
      </w:r>
      <w:r w:rsidR="002D4380" w:rsidRPr="00127EBF">
        <w:rPr>
          <w:rFonts w:ascii="Arial" w:eastAsia="Calibri" w:hAnsi="Arial" w:cs="Arial"/>
          <w:b/>
          <w:bCs/>
          <w:color w:val="000000" w:themeColor="text1"/>
          <w:sz w:val="22"/>
          <w:szCs w:val="22"/>
          <w:lang w:val="es-ES_tradnl"/>
        </w:rPr>
        <w:t xml:space="preserve">numeral </w:t>
      </w:r>
      <w:r w:rsidR="008F7341">
        <w:rPr>
          <w:rFonts w:ascii="Arial" w:eastAsia="Calibri" w:hAnsi="Arial" w:cs="Arial"/>
          <w:b/>
          <w:bCs/>
          <w:color w:val="000000" w:themeColor="text1"/>
          <w:sz w:val="22"/>
          <w:szCs w:val="22"/>
          <w:lang w:val="es-ES_tradnl"/>
        </w:rPr>
        <w:t>2</w:t>
      </w:r>
    </w:p>
    <w:p w14:paraId="39B77F09" w14:textId="77777777" w:rsidR="00FC6DB9" w:rsidRPr="00127EBF" w:rsidRDefault="00FC6DB9" w:rsidP="00271230">
      <w:pPr>
        <w:spacing w:line="276" w:lineRule="auto"/>
        <w:jc w:val="both"/>
        <w:rPr>
          <w:rFonts w:ascii="Arial" w:eastAsia="Calibri" w:hAnsi="Arial" w:cs="Arial"/>
          <w:color w:val="000000" w:themeColor="text1"/>
          <w:sz w:val="22"/>
          <w:szCs w:val="22"/>
          <w:lang w:val="es-ES_tradnl"/>
        </w:rPr>
      </w:pPr>
    </w:p>
    <w:p w14:paraId="28246740" w14:textId="5396E4A3" w:rsidR="00BD3AF1" w:rsidRPr="00127EBF" w:rsidRDefault="00FC6DB9" w:rsidP="00271230">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w:t>
      </w:r>
      <w:r w:rsidR="00486226" w:rsidRPr="00127EBF">
        <w:rPr>
          <w:rFonts w:ascii="Arial" w:eastAsia="Calibri" w:hAnsi="Arial" w:cs="Arial"/>
          <w:color w:val="000000" w:themeColor="text1"/>
          <w:sz w:val="22"/>
          <w:szCs w:val="22"/>
          <w:lang w:val="es-ES_tradnl"/>
        </w:rPr>
        <w:t xml:space="preserve"> modifica la regulación de los </w:t>
      </w:r>
      <w:r w:rsidR="008F4163" w:rsidRPr="00127EBF">
        <w:rPr>
          <w:rFonts w:ascii="Arial" w:eastAsia="Calibri" w:hAnsi="Arial" w:cs="Arial"/>
          <w:color w:val="000000" w:themeColor="text1"/>
          <w:sz w:val="22"/>
          <w:szCs w:val="22"/>
          <w:lang w:val="es-ES_tradnl"/>
        </w:rPr>
        <w:t>factores</w:t>
      </w:r>
      <w:r w:rsidR="00486226" w:rsidRPr="00127EBF">
        <w:rPr>
          <w:rFonts w:ascii="Arial" w:eastAsia="Calibri" w:hAnsi="Arial" w:cs="Arial"/>
          <w:color w:val="000000" w:themeColor="text1"/>
          <w:sz w:val="22"/>
          <w:szCs w:val="22"/>
          <w:lang w:val="es-ES_tradnl"/>
        </w:rPr>
        <w:t xml:space="preserve"> de</w:t>
      </w:r>
      <w:r w:rsidR="008F4163" w:rsidRPr="00127EBF">
        <w:rPr>
          <w:rFonts w:ascii="Arial" w:eastAsia="Calibri" w:hAnsi="Arial" w:cs="Arial"/>
          <w:color w:val="000000" w:themeColor="text1"/>
          <w:sz w:val="22"/>
          <w:szCs w:val="22"/>
          <w:lang w:val="es-ES_tradnl"/>
        </w:rPr>
        <w:t xml:space="preserve"> desempate en la contratación estatal. En consideración a que</w:t>
      </w:r>
      <w:r w:rsidR="006660F0" w:rsidRPr="00127EBF">
        <w:rPr>
          <w:rFonts w:ascii="Arial" w:eastAsia="Calibri" w:hAnsi="Arial" w:cs="Arial"/>
          <w:color w:val="000000" w:themeColor="text1"/>
          <w:sz w:val="22"/>
          <w:szCs w:val="22"/>
          <w:lang w:val="es-ES_tradnl"/>
        </w:rPr>
        <w:t xml:space="preserve"> en la consulta se solicita que la Agencia Nacional de Contratación Pública – Colombia Compra Eficiente</w:t>
      </w:r>
      <w:r w:rsidR="00B6040C" w:rsidRPr="00127EBF">
        <w:rPr>
          <w:rFonts w:ascii="Arial" w:eastAsia="Calibri" w:hAnsi="Arial" w:cs="Arial"/>
          <w:color w:val="000000" w:themeColor="text1"/>
          <w:sz w:val="22"/>
          <w:szCs w:val="22"/>
          <w:lang w:val="es-ES_tradnl"/>
        </w:rPr>
        <w:t xml:space="preserve"> </w:t>
      </w:r>
      <w:r w:rsidR="00087A64" w:rsidRPr="00127EBF">
        <w:rPr>
          <w:rFonts w:ascii="Arial" w:eastAsia="Calibri" w:hAnsi="Arial" w:cs="Arial"/>
          <w:color w:val="000000" w:themeColor="text1"/>
          <w:sz w:val="22"/>
          <w:szCs w:val="22"/>
          <w:lang w:val="es-ES_tradnl"/>
        </w:rPr>
        <w:t xml:space="preserve">efectúe </w:t>
      </w:r>
      <w:r w:rsidR="00707A2E" w:rsidRPr="00127EBF">
        <w:rPr>
          <w:rFonts w:ascii="Arial" w:eastAsia="Calibri" w:hAnsi="Arial" w:cs="Arial"/>
          <w:color w:val="000000" w:themeColor="text1"/>
          <w:sz w:val="22"/>
          <w:szCs w:val="22"/>
          <w:lang w:val="es-ES_tradnl"/>
        </w:rPr>
        <w:t xml:space="preserve">ciertas </w:t>
      </w:r>
      <w:r w:rsidR="00087A64" w:rsidRPr="00127EBF">
        <w:rPr>
          <w:rFonts w:ascii="Arial" w:eastAsia="Calibri" w:hAnsi="Arial" w:cs="Arial"/>
          <w:color w:val="000000" w:themeColor="text1"/>
          <w:sz w:val="22"/>
          <w:szCs w:val="22"/>
          <w:lang w:val="es-ES_tradnl"/>
        </w:rPr>
        <w:t>precisiones hermenéuticas sobre</w:t>
      </w:r>
      <w:r w:rsidR="00707A2E" w:rsidRPr="00127EBF">
        <w:rPr>
          <w:rFonts w:ascii="Arial" w:eastAsia="Calibri" w:hAnsi="Arial" w:cs="Arial"/>
          <w:color w:val="000000" w:themeColor="text1"/>
          <w:sz w:val="22"/>
          <w:szCs w:val="22"/>
          <w:lang w:val="es-ES_tradnl"/>
        </w:rPr>
        <w:t xml:space="preserve"> </w:t>
      </w:r>
      <w:r w:rsidR="00B425FE">
        <w:rPr>
          <w:rFonts w:ascii="Arial" w:eastAsia="Calibri" w:hAnsi="Arial" w:cs="Arial"/>
          <w:color w:val="000000" w:themeColor="text1"/>
          <w:sz w:val="22"/>
          <w:szCs w:val="22"/>
          <w:lang w:val="es-ES_tradnl"/>
        </w:rPr>
        <w:t xml:space="preserve">el numeral </w:t>
      </w:r>
      <w:r w:rsidR="00333350">
        <w:rPr>
          <w:rFonts w:ascii="Arial" w:eastAsia="Calibri" w:hAnsi="Arial" w:cs="Arial"/>
          <w:color w:val="000000" w:themeColor="text1"/>
          <w:sz w:val="22"/>
          <w:szCs w:val="22"/>
          <w:lang w:val="es-ES_tradnl"/>
        </w:rPr>
        <w:t>segundo</w:t>
      </w:r>
      <w:r w:rsidR="00707A2E" w:rsidRPr="00127EBF">
        <w:rPr>
          <w:rFonts w:ascii="Arial" w:eastAsia="Calibri" w:hAnsi="Arial" w:cs="Arial"/>
          <w:color w:val="000000" w:themeColor="text1"/>
          <w:sz w:val="22"/>
          <w:szCs w:val="22"/>
          <w:lang w:val="es-ES_tradnl"/>
        </w:rPr>
        <w:t xml:space="preserve"> de dicho artículo</w:t>
      </w:r>
      <w:r w:rsidR="00B6040C" w:rsidRPr="00127EBF">
        <w:rPr>
          <w:rFonts w:ascii="Arial" w:eastAsia="Calibri" w:hAnsi="Arial" w:cs="Arial"/>
          <w:color w:val="000000" w:themeColor="text1"/>
          <w:sz w:val="22"/>
          <w:szCs w:val="22"/>
          <w:lang w:val="es-ES_tradnl"/>
        </w:rPr>
        <w:t xml:space="preserve">, </w:t>
      </w:r>
      <w:r w:rsidR="00707A2E" w:rsidRPr="00127EBF">
        <w:rPr>
          <w:rFonts w:ascii="Arial" w:eastAsia="Calibri" w:hAnsi="Arial" w:cs="Arial"/>
          <w:color w:val="000000" w:themeColor="text1"/>
          <w:sz w:val="22"/>
          <w:szCs w:val="22"/>
          <w:lang w:val="es-ES_tradnl"/>
        </w:rPr>
        <w:t>la</w:t>
      </w:r>
      <w:r w:rsidR="00BE0CDF" w:rsidRPr="00127EBF">
        <w:rPr>
          <w:rFonts w:ascii="Arial" w:eastAsia="Calibri" w:hAnsi="Arial" w:cs="Arial"/>
          <w:color w:val="000000" w:themeColor="text1"/>
          <w:sz w:val="22"/>
          <w:szCs w:val="22"/>
          <w:lang w:val="es-ES_tradnl"/>
        </w:rPr>
        <w:t xml:space="preserve"> Subdirección de Gestión Contractual</w:t>
      </w:r>
      <w:r w:rsidR="00C438A2" w:rsidRPr="00127EBF">
        <w:rPr>
          <w:rFonts w:ascii="Arial" w:eastAsia="Calibri" w:hAnsi="Arial" w:cs="Arial"/>
          <w:color w:val="000000" w:themeColor="text1"/>
          <w:sz w:val="22"/>
          <w:szCs w:val="22"/>
          <w:lang w:val="es-ES_tradnl"/>
        </w:rPr>
        <w:t xml:space="preserve"> </w:t>
      </w:r>
      <w:r w:rsidR="00707A2E" w:rsidRPr="00127EBF">
        <w:rPr>
          <w:rFonts w:ascii="Arial" w:eastAsia="Calibri" w:hAnsi="Arial" w:cs="Arial"/>
          <w:color w:val="000000" w:themeColor="text1"/>
          <w:sz w:val="22"/>
          <w:szCs w:val="22"/>
          <w:lang w:val="es-ES_tradnl"/>
        </w:rPr>
        <w:t xml:space="preserve">se pronunciará sobre el </w:t>
      </w:r>
      <w:r w:rsidR="00AC5D9D" w:rsidRPr="00127EBF">
        <w:rPr>
          <w:rFonts w:ascii="Arial" w:eastAsia="Calibri" w:hAnsi="Arial" w:cs="Arial"/>
          <w:color w:val="000000" w:themeColor="text1"/>
          <w:sz w:val="22"/>
          <w:szCs w:val="22"/>
          <w:lang w:val="es-ES_tradnl"/>
        </w:rPr>
        <w:t>alcance</w:t>
      </w:r>
      <w:r w:rsidR="00707A2E" w:rsidRPr="00127EBF">
        <w:rPr>
          <w:rFonts w:ascii="Arial" w:eastAsia="Calibri" w:hAnsi="Arial" w:cs="Arial"/>
          <w:color w:val="000000" w:themeColor="text1"/>
          <w:sz w:val="22"/>
          <w:szCs w:val="22"/>
          <w:lang w:val="es-ES_tradnl"/>
        </w:rPr>
        <w:t xml:space="preserve"> que otorga a </w:t>
      </w:r>
      <w:r w:rsidR="00B425FE">
        <w:rPr>
          <w:rFonts w:ascii="Arial" w:eastAsia="Calibri" w:hAnsi="Arial" w:cs="Arial"/>
          <w:color w:val="000000" w:themeColor="text1"/>
          <w:sz w:val="22"/>
          <w:szCs w:val="22"/>
          <w:lang w:val="es-ES_tradnl"/>
        </w:rPr>
        <w:t>tal disposición</w:t>
      </w:r>
      <w:r w:rsidR="00BE0CDF" w:rsidRPr="00127EBF">
        <w:rPr>
          <w:rFonts w:ascii="Arial" w:eastAsia="Calibri" w:hAnsi="Arial" w:cs="Arial"/>
          <w:color w:val="000000" w:themeColor="text1"/>
          <w:sz w:val="22"/>
          <w:szCs w:val="22"/>
          <w:lang w:val="es-ES_tradnl"/>
        </w:rPr>
        <w:t xml:space="preserve">, sin pasar por alto la novedad de </w:t>
      </w:r>
      <w:r w:rsidR="00F92FC1" w:rsidRPr="00127EBF">
        <w:rPr>
          <w:rFonts w:ascii="Arial" w:eastAsia="Calibri" w:hAnsi="Arial" w:cs="Arial"/>
          <w:color w:val="000000" w:themeColor="text1"/>
          <w:sz w:val="22"/>
          <w:szCs w:val="22"/>
          <w:lang w:val="es-ES_tradnl"/>
        </w:rPr>
        <w:t xml:space="preserve">la Ley </w:t>
      </w:r>
      <w:r w:rsidR="007B209C" w:rsidRPr="00127EBF">
        <w:rPr>
          <w:rFonts w:ascii="Arial" w:eastAsia="Calibri" w:hAnsi="Arial" w:cs="Arial"/>
          <w:color w:val="000000" w:themeColor="text1"/>
          <w:sz w:val="22"/>
          <w:szCs w:val="22"/>
          <w:lang w:val="es-ES_tradnl"/>
        </w:rPr>
        <w:t>2069</w:t>
      </w:r>
      <w:r w:rsidR="00F92FC1" w:rsidRPr="00127EBF">
        <w:rPr>
          <w:rFonts w:ascii="Arial" w:eastAsia="Calibri" w:hAnsi="Arial" w:cs="Arial"/>
          <w:color w:val="000000" w:themeColor="text1"/>
          <w:sz w:val="22"/>
          <w:szCs w:val="22"/>
          <w:lang w:val="es-ES_tradnl"/>
        </w:rPr>
        <w:t xml:space="preserve"> de 2020</w:t>
      </w:r>
      <w:r w:rsidR="00963550" w:rsidRPr="00127EBF">
        <w:rPr>
          <w:rFonts w:ascii="Arial" w:eastAsia="Calibri" w:hAnsi="Arial" w:cs="Arial"/>
          <w:color w:val="000000" w:themeColor="text1"/>
          <w:sz w:val="22"/>
          <w:szCs w:val="22"/>
          <w:lang w:val="es-ES_tradnl"/>
        </w:rPr>
        <w:t xml:space="preserve"> –dada su reciente entrada en vigencia–</w:t>
      </w:r>
      <w:r w:rsidR="00BE0CDF" w:rsidRPr="00127EBF">
        <w:rPr>
          <w:rFonts w:ascii="Arial" w:eastAsia="Calibri" w:hAnsi="Arial" w:cs="Arial"/>
          <w:color w:val="000000" w:themeColor="text1"/>
          <w:sz w:val="22"/>
          <w:szCs w:val="22"/>
          <w:lang w:val="es-ES_tradnl"/>
        </w:rPr>
        <w:t xml:space="preserve"> y la ausencia de </w:t>
      </w:r>
      <w:r w:rsidR="00963550" w:rsidRPr="00127EBF">
        <w:rPr>
          <w:rFonts w:ascii="Arial" w:eastAsia="Calibri" w:hAnsi="Arial" w:cs="Arial"/>
          <w:color w:val="000000" w:themeColor="text1"/>
          <w:sz w:val="22"/>
          <w:szCs w:val="22"/>
          <w:lang w:val="es-ES_tradnl"/>
        </w:rPr>
        <w:t>pronunciamientos jurisprudenciales</w:t>
      </w:r>
      <w:r w:rsidR="00BE0CDF" w:rsidRPr="00127EBF">
        <w:rPr>
          <w:rFonts w:ascii="Arial" w:eastAsia="Calibri" w:hAnsi="Arial" w:cs="Arial"/>
          <w:color w:val="000000" w:themeColor="text1"/>
          <w:sz w:val="22"/>
          <w:szCs w:val="22"/>
          <w:lang w:val="es-ES_tradnl"/>
        </w:rPr>
        <w:t xml:space="preserve"> o estudios doctrinarios</w:t>
      </w:r>
      <w:r w:rsidR="00963550" w:rsidRPr="00127EBF">
        <w:rPr>
          <w:rFonts w:ascii="Arial" w:eastAsia="Calibri" w:hAnsi="Arial" w:cs="Arial"/>
          <w:color w:val="000000" w:themeColor="text1"/>
          <w:sz w:val="22"/>
          <w:szCs w:val="22"/>
          <w:lang w:val="es-ES_tradnl"/>
        </w:rPr>
        <w:t xml:space="preserve"> sobre el tema</w:t>
      </w:r>
      <w:r w:rsidR="00545997" w:rsidRPr="00127EBF">
        <w:rPr>
          <w:rFonts w:ascii="Arial" w:eastAsia="Calibri" w:hAnsi="Arial" w:cs="Arial"/>
          <w:color w:val="000000" w:themeColor="text1"/>
          <w:sz w:val="22"/>
          <w:szCs w:val="22"/>
          <w:lang w:val="es-ES_tradnl"/>
        </w:rPr>
        <w:t>, que seguramente contribuirán a decantar la interpretación de las normas en comento.</w:t>
      </w:r>
    </w:p>
    <w:p w14:paraId="3BBAF618" w14:textId="05EFE031" w:rsidR="005359BF" w:rsidRPr="00127EBF" w:rsidRDefault="005359BF" w:rsidP="005359BF">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Al respecto, </w:t>
      </w:r>
      <w:r w:rsidRPr="00127EBF">
        <w:rPr>
          <w:rFonts w:ascii="Arial" w:eastAsia="Calibri" w:hAnsi="Arial" w:cs="Arial"/>
          <w:sz w:val="22"/>
          <w:szCs w:val="22"/>
          <w:lang w:val="es-ES_tradnl"/>
        </w:rPr>
        <w:t>pese a que el parágrafo 3 dispone que el Gobierno Nacional podrá regular los supuestos en que concurran dos o más factores de desempate,</w:t>
      </w:r>
      <w:r w:rsidRPr="00127EBF">
        <w:rPr>
          <w:rFonts w:ascii="Arial" w:eastAsia="Calibri" w:hAnsi="Arial" w:cs="Arial"/>
          <w:color w:val="000000" w:themeColor="text1"/>
          <w:sz w:val="22"/>
          <w:szCs w:val="22"/>
          <w:lang w:val="es-ES_tradnl"/>
        </w:rPr>
        <w:t xml:space="preserve"> se considera que el artículo 35 de la Ley </w:t>
      </w:r>
      <w:r w:rsidR="00D75232"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5C13F501" w14:textId="77777777" w:rsidR="00B53D1A" w:rsidRPr="00127EBF" w:rsidRDefault="00BA482B"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Por ejemplo, en lo que a las compras públicas se refiere, </w:t>
      </w:r>
      <w:r w:rsidR="00254AE9" w:rsidRPr="00127EBF">
        <w:rPr>
          <w:rFonts w:ascii="Arial" w:eastAsia="Calibri" w:hAnsi="Arial" w:cs="Arial"/>
          <w:color w:val="000000" w:themeColor="text1"/>
          <w:sz w:val="22"/>
          <w:szCs w:val="22"/>
          <w:lang w:val="es-ES_tradnl"/>
        </w:rPr>
        <w:t>el parágrafo primero del artículo</w:t>
      </w:r>
      <w:r w:rsidR="002E2C3F" w:rsidRPr="00127EBF">
        <w:rPr>
          <w:rFonts w:ascii="Arial" w:eastAsia="Calibri" w:hAnsi="Arial" w:cs="Arial"/>
          <w:color w:val="000000" w:themeColor="text1"/>
          <w:sz w:val="22"/>
          <w:szCs w:val="22"/>
          <w:lang w:val="es-ES_tradnl"/>
        </w:rPr>
        <w:t xml:space="preserve"> 30, que alude a la participación de </w:t>
      </w:r>
      <w:proofErr w:type="spellStart"/>
      <w:r w:rsidR="002E2C3F" w:rsidRPr="00127EBF">
        <w:rPr>
          <w:rFonts w:ascii="Arial" w:eastAsia="Calibri" w:hAnsi="Arial" w:cs="Arial"/>
          <w:color w:val="000000" w:themeColor="text1"/>
          <w:sz w:val="22"/>
          <w:szCs w:val="22"/>
          <w:lang w:val="es-ES_tradnl"/>
        </w:rPr>
        <w:t>mipymes</w:t>
      </w:r>
      <w:proofErr w:type="spellEnd"/>
      <w:r w:rsidR="002E2C3F" w:rsidRPr="00127EBF">
        <w:rPr>
          <w:rFonts w:ascii="Arial" w:eastAsia="Calibri" w:hAnsi="Arial" w:cs="Arial"/>
          <w:color w:val="000000" w:themeColor="text1"/>
          <w:sz w:val="22"/>
          <w:szCs w:val="22"/>
          <w:lang w:val="es-ES_tradnl"/>
        </w:rPr>
        <w:t xml:space="preserve"> en procedimientos de mínima cuantía, establece que</w:t>
      </w:r>
      <w:r w:rsidR="00985A66" w:rsidRPr="00127EBF">
        <w:rPr>
          <w:rFonts w:ascii="Arial" w:eastAsia="Calibri" w:hAnsi="Arial" w:cs="Arial"/>
          <w:color w:val="000000" w:themeColor="text1"/>
          <w:sz w:val="22"/>
          <w:szCs w:val="22"/>
          <w:lang w:val="es-ES_tradnl"/>
        </w:rPr>
        <w:t xml:space="preserve"> «Las particularidades del procedimiento aquí previsto, así como la posibilidad que tengan las entidades de realizar estas adquisiciones a </w:t>
      </w:r>
      <w:proofErr w:type="spellStart"/>
      <w:r w:rsidR="00691563" w:rsidRPr="00127EBF">
        <w:rPr>
          <w:rFonts w:ascii="Arial" w:eastAsia="Calibri" w:hAnsi="Arial" w:cs="Arial"/>
          <w:color w:val="000000" w:themeColor="text1"/>
          <w:sz w:val="22"/>
          <w:szCs w:val="22"/>
          <w:lang w:val="es-ES_tradnl"/>
        </w:rPr>
        <w:t>Mipymes</w:t>
      </w:r>
      <w:proofErr w:type="spellEnd"/>
      <w:r w:rsidR="00985A66" w:rsidRPr="00127EBF">
        <w:rPr>
          <w:rFonts w:ascii="Arial" w:eastAsia="Calibri" w:hAnsi="Arial" w:cs="Arial"/>
          <w:color w:val="000000" w:themeColor="text1"/>
          <w:sz w:val="22"/>
          <w:szCs w:val="22"/>
          <w:lang w:val="es-ES_tradnl"/>
        </w:rPr>
        <w:t xml:space="preserve"> o establecimientos que correspondan a la </w:t>
      </w:r>
      <w:r w:rsidR="00691563" w:rsidRPr="00127EBF">
        <w:rPr>
          <w:rFonts w:ascii="Arial" w:eastAsia="Calibri" w:hAnsi="Arial" w:cs="Arial"/>
          <w:color w:val="000000" w:themeColor="text1"/>
          <w:sz w:val="22"/>
          <w:szCs w:val="22"/>
          <w:lang w:val="es-ES_tradnl"/>
        </w:rPr>
        <w:t>definición</w:t>
      </w:r>
      <w:r w:rsidR="00985A66" w:rsidRPr="00127EBF">
        <w:rPr>
          <w:rFonts w:ascii="Arial" w:eastAsia="Calibri" w:hAnsi="Arial" w:cs="Arial"/>
          <w:color w:val="000000" w:themeColor="text1"/>
          <w:sz w:val="22"/>
          <w:szCs w:val="22"/>
          <w:lang w:val="es-ES_tradnl"/>
        </w:rPr>
        <w:t xml:space="preserve"> de "gran </w:t>
      </w:r>
      <w:r w:rsidR="00691563" w:rsidRPr="00127EBF">
        <w:rPr>
          <w:rFonts w:ascii="Arial" w:eastAsia="Calibri" w:hAnsi="Arial" w:cs="Arial"/>
          <w:color w:val="000000" w:themeColor="text1"/>
          <w:sz w:val="22"/>
          <w:szCs w:val="22"/>
          <w:lang w:val="es-ES_tradnl"/>
        </w:rPr>
        <w:t>almacén</w:t>
      </w:r>
      <w:r w:rsidR="00985A66" w:rsidRPr="00127EBF">
        <w:rPr>
          <w:rFonts w:ascii="Arial" w:eastAsia="Calibri" w:hAnsi="Arial" w:cs="Arial"/>
          <w:color w:val="000000" w:themeColor="text1"/>
          <w:sz w:val="22"/>
          <w:szCs w:val="22"/>
          <w:lang w:val="es-ES_tradnl"/>
        </w:rPr>
        <w:t xml:space="preserve">" </w:t>
      </w:r>
      <w:r w:rsidR="00787B1B" w:rsidRPr="00127EBF">
        <w:rPr>
          <w:rFonts w:ascii="Arial" w:eastAsia="Calibri" w:hAnsi="Arial" w:cs="Arial"/>
          <w:color w:val="000000" w:themeColor="text1"/>
          <w:sz w:val="22"/>
          <w:szCs w:val="22"/>
          <w:lang w:val="es-ES_tradnl"/>
        </w:rPr>
        <w:t>señalada</w:t>
      </w:r>
      <w:r w:rsidR="00985A66" w:rsidRPr="00127EBF">
        <w:rPr>
          <w:rFonts w:ascii="Arial" w:eastAsia="Calibri" w:hAnsi="Arial" w:cs="Arial"/>
          <w:color w:val="000000" w:themeColor="text1"/>
          <w:sz w:val="22"/>
          <w:szCs w:val="22"/>
          <w:lang w:val="es-ES_tradnl"/>
        </w:rPr>
        <w:t xml:space="preserve"> por la Superintendencia de Industria y Comercio, se </w:t>
      </w:r>
      <w:r w:rsidR="00691563" w:rsidRPr="00127EBF">
        <w:rPr>
          <w:rFonts w:ascii="Arial" w:eastAsia="Calibri" w:hAnsi="Arial" w:cs="Arial"/>
          <w:color w:val="000000" w:themeColor="text1"/>
          <w:sz w:val="22"/>
          <w:szCs w:val="22"/>
          <w:lang w:val="es-ES_tradnl"/>
        </w:rPr>
        <w:t>determinarán</w:t>
      </w:r>
      <w:r w:rsidR="00985A66" w:rsidRPr="00127EBF">
        <w:rPr>
          <w:rFonts w:ascii="Arial" w:eastAsia="Calibri" w:hAnsi="Arial" w:cs="Arial"/>
          <w:color w:val="000000" w:themeColor="text1"/>
          <w:sz w:val="22"/>
          <w:szCs w:val="22"/>
          <w:lang w:val="es-ES_tradnl"/>
        </w:rPr>
        <w:t xml:space="preserve"> en el reglamento que para el efecto expida el Gobierno Nacional</w:t>
      </w:r>
      <w:r w:rsidR="00691563" w:rsidRPr="00127EBF">
        <w:rPr>
          <w:rFonts w:ascii="Arial" w:eastAsia="Calibri" w:hAnsi="Arial" w:cs="Arial"/>
          <w:color w:val="000000" w:themeColor="text1"/>
          <w:sz w:val="22"/>
          <w:szCs w:val="22"/>
          <w:lang w:val="es-ES_tradnl"/>
        </w:rPr>
        <w:t>»</w:t>
      </w:r>
      <w:r w:rsidR="00985A66" w:rsidRPr="00127EBF">
        <w:rPr>
          <w:rFonts w:ascii="Arial" w:eastAsia="Calibri" w:hAnsi="Arial" w:cs="Arial"/>
          <w:color w:val="000000" w:themeColor="text1"/>
          <w:sz w:val="22"/>
          <w:szCs w:val="22"/>
          <w:lang w:val="es-ES_tradnl"/>
        </w:rPr>
        <w:t>.</w:t>
      </w:r>
      <w:r w:rsidR="00254AE9" w:rsidRPr="00127EBF">
        <w:rPr>
          <w:rFonts w:ascii="Arial" w:eastAsia="Calibri" w:hAnsi="Arial" w:cs="Arial"/>
          <w:color w:val="000000" w:themeColor="text1"/>
          <w:sz w:val="22"/>
          <w:szCs w:val="22"/>
          <w:lang w:val="es-ES_tradnl"/>
        </w:rPr>
        <w:t xml:space="preserve"> </w:t>
      </w:r>
      <w:r w:rsidR="00F73B82" w:rsidRPr="00127EBF">
        <w:rPr>
          <w:rFonts w:ascii="Arial" w:eastAsia="Calibri" w:hAnsi="Arial" w:cs="Arial"/>
          <w:color w:val="000000" w:themeColor="text1"/>
          <w:sz w:val="22"/>
          <w:szCs w:val="22"/>
          <w:lang w:val="es-ES_tradnl"/>
        </w:rPr>
        <w:t xml:space="preserve">En un sentido similar, el parágrafo segundo del mismo artículo expresa </w:t>
      </w:r>
      <w:r w:rsidR="00F73B82" w:rsidRPr="00127EBF">
        <w:rPr>
          <w:rFonts w:ascii="Arial" w:eastAsia="Calibri" w:hAnsi="Arial" w:cs="Arial"/>
          <w:color w:val="000000" w:themeColor="text1"/>
          <w:sz w:val="22"/>
          <w:szCs w:val="22"/>
          <w:lang w:val="es-ES_tradnl"/>
        </w:rPr>
        <w:lastRenderedPageBreak/>
        <w:t>que «</w:t>
      </w:r>
      <w:r w:rsidR="008B5C7C" w:rsidRPr="00127EBF">
        <w:rPr>
          <w:rFonts w:ascii="Arial" w:eastAsia="Calibri" w:hAnsi="Arial" w:cs="Arial"/>
          <w:color w:val="000000" w:themeColor="text1"/>
          <w:sz w:val="22"/>
          <w:szCs w:val="22"/>
          <w:lang w:val="es-ES_tradnl"/>
        </w:rPr>
        <w:t>La contratación a que se refiere el presente artículo se realizará exclusivamente con las reglas en él contempladas y en su reglamentación. […]».</w:t>
      </w:r>
      <w:r w:rsidR="007534AD" w:rsidRPr="00127EBF">
        <w:rPr>
          <w:rFonts w:ascii="Arial" w:eastAsia="Calibri" w:hAnsi="Arial" w:cs="Arial"/>
          <w:color w:val="000000" w:themeColor="text1"/>
          <w:sz w:val="22"/>
          <w:szCs w:val="22"/>
          <w:lang w:val="es-ES_tradnl"/>
        </w:rPr>
        <w:t xml:space="preserve"> </w:t>
      </w:r>
    </w:p>
    <w:p w14:paraId="64E70AB9" w14:textId="1FC7D22C" w:rsidR="00963550" w:rsidRPr="00127EBF" w:rsidRDefault="007534AD"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Así mismo, el artículo 31, en el segundo inciso, </w:t>
      </w:r>
      <w:r w:rsidR="00685D37" w:rsidRPr="00127EBF">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127EBF">
        <w:rPr>
          <w:rFonts w:ascii="Arial" w:eastAsia="Calibri" w:hAnsi="Arial" w:cs="Arial"/>
          <w:color w:val="000000" w:themeColor="text1"/>
          <w:sz w:val="22"/>
          <w:szCs w:val="22"/>
          <w:lang w:val="es-ES_tradnl"/>
        </w:rPr>
        <w:t xml:space="preserve"> </w:t>
      </w:r>
      <w:r w:rsidR="00787B1B" w:rsidRPr="00127EBF">
        <w:rPr>
          <w:rFonts w:ascii="Arial" w:eastAsia="Calibri" w:hAnsi="Arial" w:cs="Arial"/>
          <w:color w:val="000000" w:themeColor="text1"/>
          <w:sz w:val="22"/>
          <w:szCs w:val="22"/>
          <w:lang w:val="es-ES_tradnl"/>
        </w:rPr>
        <w:t>Del mismo modo, el parágrafo primero del artículo 32 establece que «La definición de emprendimientos y empresas de mujeres se reglamentará por el gobierno nacional»</w:t>
      </w:r>
      <w:r w:rsidR="00FD72B1" w:rsidRPr="00127EBF">
        <w:rPr>
          <w:rFonts w:ascii="Arial" w:eastAsia="Calibri" w:hAnsi="Arial" w:cs="Arial"/>
          <w:color w:val="000000" w:themeColor="text1"/>
          <w:sz w:val="22"/>
          <w:szCs w:val="22"/>
          <w:lang w:val="es-ES_tradnl"/>
        </w:rPr>
        <w:t xml:space="preserve">, en tanto que el inciso cuarto del artículo 12 de la Ley 1150 de 2007, modificado por el artículo </w:t>
      </w:r>
      <w:r w:rsidR="00F13F51" w:rsidRPr="00127EBF">
        <w:rPr>
          <w:rFonts w:ascii="Arial" w:eastAsia="Calibri" w:hAnsi="Arial" w:cs="Arial"/>
          <w:color w:val="000000" w:themeColor="text1"/>
          <w:sz w:val="22"/>
          <w:szCs w:val="22"/>
          <w:lang w:val="es-ES_tradnl"/>
        </w:rPr>
        <w:t xml:space="preserve">34 de la Ley </w:t>
      </w:r>
      <w:r w:rsidR="007B209C" w:rsidRPr="00127EBF">
        <w:rPr>
          <w:rFonts w:ascii="Arial" w:eastAsia="Calibri" w:hAnsi="Arial" w:cs="Arial"/>
          <w:color w:val="000000" w:themeColor="text1"/>
          <w:sz w:val="22"/>
          <w:szCs w:val="22"/>
          <w:lang w:val="es-ES_tradnl"/>
        </w:rPr>
        <w:t>2069</w:t>
      </w:r>
      <w:r w:rsidR="00F13F51" w:rsidRPr="00127EBF">
        <w:rPr>
          <w:rFonts w:ascii="Arial" w:eastAsia="Calibri" w:hAnsi="Arial" w:cs="Arial"/>
          <w:color w:val="000000" w:themeColor="text1"/>
          <w:sz w:val="22"/>
          <w:szCs w:val="22"/>
          <w:lang w:val="es-ES_tradnl"/>
        </w:rPr>
        <w:t xml:space="preserve"> de 2020, </w:t>
      </w:r>
      <w:r w:rsidR="00CD02ED" w:rsidRPr="00127EBF">
        <w:rPr>
          <w:rFonts w:ascii="Arial" w:eastAsia="Calibri" w:hAnsi="Arial" w:cs="Arial"/>
          <w:color w:val="000000" w:themeColor="text1"/>
          <w:sz w:val="22"/>
          <w:szCs w:val="22"/>
          <w:lang w:val="es-ES_tradnl"/>
        </w:rPr>
        <w:t xml:space="preserve">indica que en los pliegos de condiciones las entidades estatales deben </w:t>
      </w:r>
      <w:r w:rsidR="00B1507C" w:rsidRPr="00127EBF">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127EBF">
        <w:rPr>
          <w:rFonts w:ascii="Arial" w:eastAsia="Calibri" w:hAnsi="Arial" w:cs="Arial"/>
          <w:color w:val="000000" w:themeColor="text1"/>
          <w:sz w:val="22"/>
          <w:szCs w:val="22"/>
          <w:lang w:val="es-ES_tradnl"/>
        </w:rPr>
        <w:t>[…] en las condiciones que señale el reglamento».</w:t>
      </w:r>
    </w:p>
    <w:p w14:paraId="6BE8E6DF" w14:textId="5B7E8D06" w:rsidR="002F24DA" w:rsidRPr="00127EBF" w:rsidRDefault="002F24DA"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Lo</w:t>
      </w:r>
      <w:r w:rsidR="008E4CAE" w:rsidRPr="00127EBF">
        <w:rPr>
          <w:rFonts w:ascii="Arial" w:eastAsia="Calibri" w:hAnsi="Arial" w:cs="Arial"/>
          <w:color w:val="000000" w:themeColor="text1"/>
          <w:sz w:val="22"/>
          <w:szCs w:val="22"/>
          <w:lang w:val="es-ES_tradnl"/>
        </w:rPr>
        <w:t xml:space="preserve"> mismo no sucede con el artículo 35</w:t>
      </w:r>
      <w:r w:rsidR="00535B2F" w:rsidRPr="00127EBF">
        <w:rPr>
          <w:rFonts w:ascii="Arial" w:eastAsia="Calibri" w:hAnsi="Arial" w:cs="Arial"/>
          <w:sz w:val="22"/>
          <w:szCs w:val="22"/>
          <w:lang w:val="es-ES_tradnl"/>
        </w:rPr>
        <w:t xml:space="preserve">. En efecto, </w:t>
      </w:r>
      <w:r w:rsidR="00535B2F" w:rsidRPr="00127EBF">
        <w:rPr>
          <w:rFonts w:ascii="Arial" w:hAnsi="Arial" w:cs="Arial"/>
          <w:color w:val="000000" w:themeColor="text1"/>
          <w:sz w:val="22"/>
          <w:szCs w:val="22"/>
          <w:lang w:val="es-ES_tradnl"/>
        </w:rPr>
        <w:t>si bien los factores de desempate regulados en el artículo 35 deben aplicarse «</w:t>
      </w:r>
      <w:r w:rsidR="00535B2F" w:rsidRPr="00127EBF">
        <w:rPr>
          <w:rFonts w:ascii="Arial" w:hAnsi="Arial" w:cs="Arial"/>
          <w:lang w:val="es-ES_tradnl"/>
        </w:rPr>
        <w:t xml:space="preserve">[…] </w:t>
      </w:r>
      <w:r w:rsidR="00535B2F" w:rsidRPr="00127EB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127EBF">
        <w:rPr>
          <w:rFonts w:ascii="Arial" w:eastAsia="Calibri" w:hAnsi="Arial" w:cs="Arial"/>
          <w:color w:val="000000" w:themeColor="text1"/>
          <w:sz w:val="22"/>
          <w:szCs w:val="22"/>
          <w:lang w:val="es-ES_tradnl"/>
        </w:rPr>
        <w:t xml:space="preserve"> </w:t>
      </w:r>
      <w:r w:rsidR="00287BDB" w:rsidRPr="00127EBF">
        <w:rPr>
          <w:rFonts w:ascii="Arial" w:eastAsia="Calibri" w:hAnsi="Arial" w:cs="Arial"/>
          <w:color w:val="000000" w:themeColor="text1"/>
          <w:sz w:val="22"/>
          <w:szCs w:val="22"/>
          <w:lang w:val="es-ES_tradnl"/>
        </w:rPr>
        <w:t xml:space="preserve"> </w:t>
      </w:r>
    </w:p>
    <w:p w14:paraId="32583269" w14:textId="243BE88E" w:rsidR="008E4CAE" w:rsidRPr="00127EBF" w:rsidRDefault="000A73E8"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A continuación, el artículo en mención establece</w:t>
      </w:r>
      <w:r w:rsidR="00AB7A7A" w:rsidRPr="00127EBF">
        <w:rPr>
          <w:rFonts w:ascii="Arial" w:eastAsia="Calibri" w:hAnsi="Arial" w:cs="Arial"/>
          <w:color w:val="000000" w:themeColor="text1"/>
          <w:sz w:val="22"/>
          <w:szCs w:val="22"/>
          <w:lang w:val="es-ES_tradnl"/>
        </w:rPr>
        <w:t xml:space="preserve"> los factores de desempate que se deben seguir de manera sucesiva, sin indicar tampoco en cada </w:t>
      </w:r>
      <w:r w:rsidR="008E7497" w:rsidRPr="00127EBF">
        <w:rPr>
          <w:rFonts w:ascii="Arial" w:eastAsia="Calibri" w:hAnsi="Arial" w:cs="Arial"/>
          <w:color w:val="000000" w:themeColor="text1"/>
          <w:sz w:val="22"/>
          <w:szCs w:val="22"/>
          <w:lang w:val="es-ES_tradnl"/>
        </w:rPr>
        <w:t>numeral</w:t>
      </w:r>
      <w:r w:rsidR="00AB7A7A" w:rsidRPr="00127EBF">
        <w:rPr>
          <w:rFonts w:ascii="Arial" w:eastAsia="Calibri" w:hAnsi="Arial" w:cs="Arial"/>
          <w:color w:val="000000" w:themeColor="text1"/>
          <w:sz w:val="22"/>
          <w:szCs w:val="22"/>
          <w:lang w:val="es-ES_tradnl"/>
        </w:rPr>
        <w:t xml:space="preserve"> que su </w:t>
      </w:r>
      <w:r w:rsidR="00E514BA" w:rsidRPr="00127EBF">
        <w:rPr>
          <w:rFonts w:ascii="Arial" w:eastAsia="Calibri" w:hAnsi="Arial" w:cs="Arial"/>
          <w:color w:val="000000" w:themeColor="text1"/>
          <w:sz w:val="22"/>
          <w:szCs w:val="22"/>
          <w:lang w:val="es-ES_tradnl"/>
        </w:rPr>
        <w:t>eficacia depend</w:t>
      </w:r>
      <w:r w:rsidR="008E7497" w:rsidRPr="00127EBF">
        <w:rPr>
          <w:rFonts w:ascii="Arial" w:eastAsia="Calibri" w:hAnsi="Arial" w:cs="Arial"/>
          <w:color w:val="000000" w:themeColor="text1"/>
          <w:sz w:val="22"/>
          <w:szCs w:val="22"/>
          <w:lang w:val="es-ES_tradnl"/>
        </w:rPr>
        <w:t>a</w:t>
      </w:r>
      <w:r w:rsidR="00E514BA" w:rsidRPr="00127EBF">
        <w:rPr>
          <w:rFonts w:ascii="Arial" w:eastAsia="Calibri" w:hAnsi="Arial" w:cs="Arial"/>
          <w:color w:val="000000" w:themeColor="text1"/>
          <w:sz w:val="22"/>
          <w:szCs w:val="22"/>
          <w:lang w:val="es-ES_tradnl"/>
        </w:rPr>
        <w:t xml:space="preserve"> de lo que determine el reglamento. La única alusión que se </w:t>
      </w:r>
      <w:r w:rsidR="00B7762A" w:rsidRPr="00127EBF">
        <w:rPr>
          <w:rFonts w:ascii="Arial" w:eastAsia="Calibri" w:hAnsi="Arial" w:cs="Arial"/>
          <w:color w:val="000000" w:themeColor="text1"/>
          <w:sz w:val="22"/>
          <w:szCs w:val="22"/>
          <w:lang w:val="es-ES_tradnl"/>
        </w:rPr>
        <w:t>hace</w:t>
      </w:r>
      <w:r w:rsidR="00E514BA" w:rsidRPr="00127EBF">
        <w:rPr>
          <w:rFonts w:ascii="Arial" w:eastAsia="Calibri" w:hAnsi="Arial" w:cs="Arial"/>
          <w:color w:val="000000" w:themeColor="text1"/>
          <w:sz w:val="22"/>
          <w:szCs w:val="22"/>
          <w:lang w:val="es-ES_tradnl"/>
        </w:rPr>
        <w:t xml:space="preserve"> al reglamento</w:t>
      </w:r>
      <w:r w:rsidR="00B7762A" w:rsidRPr="00127EBF">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127EBF">
        <w:rPr>
          <w:rFonts w:ascii="Arial" w:eastAsia="Calibri" w:hAnsi="Arial" w:cs="Arial"/>
          <w:color w:val="000000" w:themeColor="text1"/>
          <w:sz w:val="22"/>
          <w:szCs w:val="22"/>
          <w:lang w:val="es-ES_tradnl"/>
        </w:rPr>
        <w:t>no</w:t>
      </w:r>
      <w:r w:rsidR="00B7762A" w:rsidRPr="00127EBF">
        <w:rPr>
          <w:rFonts w:ascii="Arial" w:eastAsia="Calibri" w:hAnsi="Arial" w:cs="Arial"/>
          <w:color w:val="000000" w:themeColor="text1"/>
          <w:sz w:val="22"/>
          <w:szCs w:val="22"/>
          <w:lang w:val="es-ES_tradnl"/>
        </w:rPr>
        <w:t xml:space="preserve"> para condicionar la aplicación de todo</w:t>
      </w:r>
      <w:r w:rsidR="00A7549A" w:rsidRPr="00127EBF">
        <w:rPr>
          <w:rFonts w:ascii="Arial" w:eastAsia="Calibri" w:hAnsi="Arial" w:cs="Arial"/>
          <w:color w:val="000000" w:themeColor="text1"/>
          <w:sz w:val="22"/>
          <w:szCs w:val="22"/>
          <w:lang w:val="es-ES_tradnl"/>
        </w:rPr>
        <w:t xml:space="preserve"> lo dispuesto en aquel, sino para indicar que «</w:t>
      </w:r>
      <w:r w:rsidR="000A46FE" w:rsidRPr="00127EBF">
        <w:rPr>
          <w:rFonts w:ascii="Arial" w:eastAsia="Calibri" w:hAnsi="Arial" w:cs="Arial"/>
          <w:color w:val="000000" w:themeColor="text1"/>
          <w:sz w:val="22"/>
          <w:szCs w:val="22"/>
          <w:lang w:val="es-ES_tradnl"/>
        </w:rPr>
        <w:t xml:space="preserve">El Gobierno Nacional </w:t>
      </w:r>
      <w:r w:rsidR="000A46FE" w:rsidRPr="00127EBF">
        <w:rPr>
          <w:rFonts w:ascii="Arial" w:eastAsia="Calibri" w:hAnsi="Arial" w:cs="Arial"/>
          <w:i/>
          <w:iCs/>
          <w:color w:val="000000" w:themeColor="text1"/>
          <w:sz w:val="22"/>
          <w:szCs w:val="22"/>
          <w:lang w:val="es-ES_tradnl"/>
        </w:rPr>
        <w:t>podrá reglamentar</w:t>
      </w:r>
      <w:r w:rsidR="000A46FE" w:rsidRPr="00127EBF">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2F24DA" w:rsidRPr="00127EBF">
        <w:rPr>
          <w:rFonts w:ascii="Arial" w:eastAsia="Calibri" w:hAnsi="Arial" w:cs="Arial"/>
          <w:color w:val="000000" w:themeColor="text1"/>
          <w:sz w:val="22"/>
          <w:szCs w:val="22"/>
          <w:lang w:val="es-ES_tradnl"/>
        </w:rPr>
        <w:t xml:space="preserve"> (Énfasis fuera de texto)</w:t>
      </w:r>
      <w:r w:rsidR="000A46FE" w:rsidRPr="00127EBF">
        <w:rPr>
          <w:rFonts w:ascii="Arial" w:eastAsia="Calibri" w:hAnsi="Arial" w:cs="Arial"/>
          <w:color w:val="000000" w:themeColor="text1"/>
          <w:sz w:val="22"/>
          <w:szCs w:val="22"/>
          <w:lang w:val="es-ES_tradnl"/>
        </w:rPr>
        <w:t>.</w:t>
      </w:r>
    </w:p>
    <w:p w14:paraId="295543E3" w14:textId="42268621" w:rsidR="005C06A5" w:rsidRPr="00127EBF" w:rsidRDefault="005C06A5" w:rsidP="005C06A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w:t>
      </w:r>
      <w:r w:rsidR="003D15B3" w:rsidRPr="00127EBF">
        <w:rPr>
          <w:rFonts w:ascii="Arial" w:eastAsia="Calibri" w:hAnsi="Arial" w:cs="Arial"/>
          <w:color w:val="000000" w:themeColor="text1"/>
          <w:sz w:val="22"/>
          <w:szCs w:val="22"/>
          <w:lang w:val="es-ES_tradnl"/>
        </w:rPr>
        <w:t xml:space="preserve"> sin perjuicio de que el Gobierno Nacional ejerza la potestad reglamentaria para regular los casos en que concurren dos o más de los factores de desempate, </w:t>
      </w:r>
      <w:r w:rsidRPr="00127EBF">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35D5E653" w:rsidR="00325AD9" w:rsidRPr="00127EBF" w:rsidRDefault="009F210A" w:rsidP="00BB606C">
      <w:pPr>
        <w:spacing w:before="120" w:line="276" w:lineRule="auto"/>
        <w:ind w:firstLine="709"/>
        <w:jc w:val="both"/>
        <w:rPr>
          <w:rFonts w:ascii="Arial"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Luego</w:t>
      </w:r>
      <w:r w:rsidR="00D82A7D" w:rsidRPr="00127EBF">
        <w:rPr>
          <w:rFonts w:ascii="Arial" w:eastAsia="Calibri" w:hAnsi="Arial" w:cs="Arial"/>
          <w:color w:val="000000" w:themeColor="text1"/>
          <w:sz w:val="22"/>
          <w:szCs w:val="22"/>
          <w:lang w:val="es-ES_tradnl"/>
        </w:rPr>
        <w:t xml:space="preserve"> de aclarar</w:t>
      </w:r>
      <w:r w:rsidR="00325AD9" w:rsidRPr="00127EBF">
        <w:rPr>
          <w:rFonts w:ascii="Arial" w:eastAsia="Calibri" w:hAnsi="Arial" w:cs="Arial"/>
          <w:color w:val="000000" w:themeColor="text1"/>
          <w:sz w:val="22"/>
          <w:szCs w:val="22"/>
          <w:lang w:val="es-ES_tradnl"/>
        </w:rPr>
        <w:t xml:space="preserve"> que el artículo 35 de la Ley </w:t>
      </w:r>
      <w:r w:rsidR="007B209C" w:rsidRPr="00127EBF">
        <w:rPr>
          <w:rFonts w:ascii="Arial" w:eastAsia="Calibri" w:hAnsi="Arial" w:cs="Arial"/>
          <w:color w:val="000000" w:themeColor="text1"/>
          <w:sz w:val="22"/>
          <w:szCs w:val="22"/>
          <w:lang w:val="es-ES_tradnl"/>
        </w:rPr>
        <w:t>2069</w:t>
      </w:r>
      <w:r w:rsidR="00325AD9" w:rsidRPr="00127EBF">
        <w:rPr>
          <w:rFonts w:ascii="Arial" w:eastAsia="Calibri" w:hAnsi="Arial" w:cs="Arial"/>
          <w:color w:val="000000" w:themeColor="text1"/>
          <w:sz w:val="22"/>
          <w:szCs w:val="22"/>
          <w:lang w:val="es-ES_tradnl"/>
        </w:rPr>
        <w:t xml:space="preserve"> de 2020 se encuentra vigente y que no requiere </w:t>
      </w:r>
      <w:r w:rsidR="00D82A7D" w:rsidRPr="00127EBF">
        <w:rPr>
          <w:rFonts w:ascii="Arial" w:eastAsia="Calibri" w:hAnsi="Arial" w:cs="Arial"/>
          <w:color w:val="000000" w:themeColor="text1"/>
          <w:sz w:val="22"/>
          <w:szCs w:val="22"/>
          <w:lang w:val="es-ES_tradnl"/>
        </w:rPr>
        <w:t>reglamentación</w:t>
      </w:r>
      <w:r w:rsidR="00325AD9" w:rsidRPr="00127EBF">
        <w:rPr>
          <w:rFonts w:ascii="Arial" w:eastAsia="Calibri" w:hAnsi="Arial" w:cs="Arial"/>
          <w:color w:val="000000" w:themeColor="text1"/>
          <w:sz w:val="22"/>
          <w:szCs w:val="22"/>
          <w:lang w:val="es-ES_tradnl"/>
        </w:rPr>
        <w:t xml:space="preserve"> previa para que </w:t>
      </w:r>
      <w:r w:rsidR="0041674B" w:rsidRPr="00127EBF">
        <w:rPr>
          <w:rFonts w:ascii="Arial" w:eastAsia="Calibri" w:hAnsi="Arial" w:cs="Arial"/>
          <w:color w:val="000000" w:themeColor="text1"/>
          <w:sz w:val="22"/>
          <w:szCs w:val="22"/>
          <w:lang w:val="es-ES_tradnl"/>
        </w:rPr>
        <w:t xml:space="preserve">sea exigible en los procedimientos de </w:t>
      </w:r>
      <w:r w:rsidR="0041674B" w:rsidRPr="00127EBF">
        <w:rPr>
          <w:rFonts w:ascii="Arial" w:eastAsia="Calibri" w:hAnsi="Arial" w:cs="Arial"/>
          <w:color w:val="000000" w:themeColor="text1"/>
          <w:sz w:val="22"/>
          <w:szCs w:val="22"/>
          <w:lang w:val="es-ES_tradnl"/>
        </w:rPr>
        <w:lastRenderedPageBreak/>
        <w:t xml:space="preserve">selección, es menester hacer referencia al objeto de </w:t>
      </w:r>
      <w:r w:rsidR="00A00F5E" w:rsidRPr="00127EBF">
        <w:rPr>
          <w:rFonts w:ascii="Arial" w:eastAsia="Calibri" w:hAnsi="Arial" w:cs="Arial"/>
          <w:color w:val="000000" w:themeColor="text1"/>
          <w:sz w:val="22"/>
          <w:szCs w:val="22"/>
          <w:lang w:val="es-ES_tradnl"/>
        </w:rPr>
        <w:t>la</w:t>
      </w:r>
      <w:r w:rsidR="0041674B" w:rsidRPr="00127EBF">
        <w:rPr>
          <w:rFonts w:ascii="Arial" w:eastAsia="Calibri" w:hAnsi="Arial" w:cs="Arial"/>
          <w:color w:val="000000" w:themeColor="text1"/>
          <w:sz w:val="22"/>
          <w:szCs w:val="22"/>
          <w:lang w:val="es-ES_tradnl"/>
        </w:rPr>
        <w:t xml:space="preserve"> consulta. En ella se </w:t>
      </w:r>
      <w:r w:rsidR="00625C65" w:rsidRPr="00127EBF">
        <w:rPr>
          <w:rFonts w:ascii="Arial" w:eastAsia="Calibri" w:hAnsi="Arial" w:cs="Arial"/>
          <w:color w:val="000000" w:themeColor="text1"/>
          <w:sz w:val="22"/>
          <w:szCs w:val="22"/>
          <w:lang w:val="es-ES_tradnl"/>
        </w:rPr>
        <w:t xml:space="preserve">solicita aclarar </w:t>
      </w:r>
      <w:r w:rsidR="0030257B" w:rsidRPr="00127EBF">
        <w:rPr>
          <w:rFonts w:ascii="Arial" w:eastAsia="Calibri" w:hAnsi="Arial" w:cs="Arial"/>
          <w:color w:val="000000" w:themeColor="text1"/>
          <w:sz w:val="22"/>
          <w:szCs w:val="22"/>
          <w:lang w:val="es-ES_tradnl"/>
        </w:rPr>
        <w:t xml:space="preserve">el sentido </w:t>
      </w:r>
      <w:r w:rsidR="00625C65" w:rsidRPr="00127EBF">
        <w:rPr>
          <w:rFonts w:ascii="Arial" w:eastAsia="Calibri" w:hAnsi="Arial" w:cs="Arial"/>
          <w:color w:val="000000" w:themeColor="text1"/>
          <w:sz w:val="22"/>
          <w:szCs w:val="22"/>
          <w:lang w:val="es-ES_tradnl"/>
        </w:rPr>
        <w:t>del</w:t>
      </w:r>
      <w:r w:rsidR="0030257B" w:rsidRPr="00127EBF">
        <w:rPr>
          <w:rFonts w:ascii="Arial" w:eastAsia="Calibri" w:hAnsi="Arial" w:cs="Arial"/>
          <w:color w:val="000000" w:themeColor="text1"/>
          <w:sz w:val="22"/>
          <w:szCs w:val="22"/>
          <w:lang w:val="es-ES_tradnl"/>
        </w:rPr>
        <w:t xml:space="preserve"> factor de desempate previsto en </w:t>
      </w:r>
      <w:r w:rsidR="00063B11" w:rsidRPr="00127EBF">
        <w:rPr>
          <w:rFonts w:ascii="Arial" w:eastAsia="Calibri" w:hAnsi="Arial" w:cs="Arial"/>
          <w:color w:val="000000" w:themeColor="text1"/>
          <w:sz w:val="22"/>
          <w:szCs w:val="22"/>
          <w:lang w:val="es-ES_tradnl"/>
        </w:rPr>
        <w:t>el</w:t>
      </w:r>
      <w:r w:rsidR="0030257B" w:rsidRPr="00127EBF">
        <w:rPr>
          <w:rFonts w:ascii="Arial" w:eastAsia="Calibri" w:hAnsi="Arial" w:cs="Arial"/>
          <w:color w:val="000000" w:themeColor="text1"/>
          <w:sz w:val="22"/>
          <w:szCs w:val="22"/>
          <w:lang w:val="es-ES_tradnl"/>
        </w:rPr>
        <w:t xml:space="preserve"> numeral</w:t>
      </w:r>
      <w:r w:rsidR="00063B11" w:rsidRPr="00127EBF">
        <w:rPr>
          <w:rFonts w:ascii="Arial" w:eastAsia="Calibri" w:hAnsi="Arial" w:cs="Arial"/>
          <w:color w:val="000000" w:themeColor="text1"/>
          <w:sz w:val="22"/>
          <w:szCs w:val="22"/>
          <w:lang w:val="es-ES_tradnl"/>
        </w:rPr>
        <w:t xml:space="preserve"> </w:t>
      </w:r>
      <w:r w:rsidR="001F1F00">
        <w:rPr>
          <w:rFonts w:ascii="Arial" w:eastAsia="Calibri" w:hAnsi="Arial" w:cs="Arial"/>
          <w:color w:val="000000" w:themeColor="text1"/>
          <w:sz w:val="22"/>
          <w:szCs w:val="22"/>
          <w:lang w:val="es-ES_tradnl"/>
        </w:rPr>
        <w:t>2</w:t>
      </w:r>
      <w:r w:rsidR="00063B11" w:rsidRPr="00127EBF">
        <w:rPr>
          <w:rFonts w:ascii="Arial" w:eastAsia="Calibri" w:hAnsi="Arial" w:cs="Arial"/>
          <w:color w:val="000000" w:themeColor="text1"/>
          <w:sz w:val="22"/>
          <w:szCs w:val="22"/>
          <w:lang w:val="es-ES_tradnl"/>
        </w:rPr>
        <w:t xml:space="preserve"> </w:t>
      </w:r>
      <w:r w:rsidR="009C2210" w:rsidRPr="00127EBF">
        <w:rPr>
          <w:rFonts w:ascii="Arial" w:eastAsia="Calibri" w:hAnsi="Arial" w:cs="Arial"/>
          <w:color w:val="000000" w:themeColor="text1"/>
          <w:sz w:val="22"/>
          <w:szCs w:val="22"/>
          <w:lang w:val="es-ES_tradnl"/>
        </w:rPr>
        <w:t>del artículo 35</w:t>
      </w:r>
      <w:r w:rsidR="00454DF8" w:rsidRPr="00127EBF">
        <w:rPr>
          <w:rFonts w:ascii="Arial" w:eastAsia="Calibri" w:hAnsi="Arial" w:cs="Arial"/>
          <w:color w:val="000000" w:themeColor="text1"/>
          <w:sz w:val="22"/>
          <w:szCs w:val="22"/>
          <w:lang w:val="es-ES_tradnl"/>
        </w:rPr>
        <w:t xml:space="preserve">. </w:t>
      </w:r>
      <w:r w:rsidR="00E073FC" w:rsidRPr="00127EBF">
        <w:rPr>
          <w:rFonts w:ascii="Arial" w:eastAsia="Calibri" w:hAnsi="Arial" w:cs="Arial"/>
          <w:color w:val="000000" w:themeColor="text1"/>
          <w:sz w:val="22"/>
          <w:szCs w:val="22"/>
          <w:lang w:val="es-ES_tradnl"/>
        </w:rPr>
        <w:t>La</w:t>
      </w:r>
      <w:r w:rsidR="00454DF8" w:rsidRPr="00127EBF">
        <w:rPr>
          <w:rFonts w:ascii="Arial" w:eastAsia="Calibri" w:hAnsi="Arial" w:cs="Arial"/>
          <w:color w:val="000000" w:themeColor="text1"/>
          <w:sz w:val="22"/>
          <w:szCs w:val="22"/>
          <w:lang w:val="es-ES_tradnl"/>
        </w:rPr>
        <w:t xml:space="preserve"> disposici</w:t>
      </w:r>
      <w:r w:rsidR="00063B11" w:rsidRPr="00127EBF">
        <w:rPr>
          <w:rFonts w:ascii="Arial" w:eastAsia="Calibri" w:hAnsi="Arial" w:cs="Arial"/>
          <w:color w:val="000000" w:themeColor="text1"/>
          <w:sz w:val="22"/>
          <w:szCs w:val="22"/>
          <w:lang w:val="es-ES_tradnl"/>
        </w:rPr>
        <w:t>ón</w:t>
      </w:r>
      <w:r w:rsidR="00454DF8" w:rsidRPr="00127EBF">
        <w:rPr>
          <w:rFonts w:ascii="Arial" w:eastAsia="Calibri" w:hAnsi="Arial" w:cs="Arial"/>
          <w:color w:val="000000" w:themeColor="text1"/>
          <w:sz w:val="22"/>
          <w:szCs w:val="22"/>
          <w:lang w:val="es-ES_tradnl"/>
        </w:rPr>
        <w:t xml:space="preserve"> normativa</w:t>
      </w:r>
      <w:r w:rsidR="00063B11" w:rsidRPr="00127EBF">
        <w:rPr>
          <w:rFonts w:ascii="Arial" w:eastAsia="Calibri" w:hAnsi="Arial" w:cs="Arial"/>
          <w:color w:val="000000" w:themeColor="text1"/>
          <w:sz w:val="22"/>
          <w:szCs w:val="22"/>
          <w:lang w:val="es-ES_tradnl"/>
        </w:rPr>
        <w:t xml:space="preserve"> </w:t>
      </w:r>
      <w:r w:rsidR="00E073FC" w:rsidRPr="00127EBF">
        <w:rPr>
          <w:rFonts w:ascii="Arial" w:eastAsia="Calibri" w:hAnsi="Arial" w:cs="Arial"/>
          <w:color w:val="000000" w:themeColor="text1"/>
          <w:sz w:val="22"/>
          <w:szCs w:val="22"/>
          <w:lang w:val="es-ES_tradnl"/>
        </w:rPr>
        <w:t>objeto de consulta</w:t>
      </w:r>
      <w:r w:rsidR="00063B11" w:rsidRPr="00127EBF">
        <w:rPr>
          <w:rFonts w:ascii="Arial" w:eastAsia="Calibri" w:hAnsi="Arial" w:cs="Arial"/>
          <w:color w:val="000000" w:themeColor="text1"/>
          <w:sz w:val="22"/>
          <w:szCs w:val="22"/>
          <w:lang w:val="es-ES_tradnl"/>
        </w:rPr>
        <w:t xml:space="preserve"> </w:t>
      </w:r>
      <w:r w:rsidR="00694E8B" w:rsidRPr="00127EBF">
        <w:rPr>
          <w:rFonts w:ascii="Arial" w:eastAsia="Calibri" w:hAnsi="Arial" w:cs="Arial"/>
          <w:color w:val="000000" w:themeColor="text1"/>
          <w:sz w:val="22"/>
          <w:szCs w:val="22"/>
          <w:lang w:val="es-ES_tradnl"/>
        </w:rPr>
        <w:t>está</w:t>
      </w:r>
      <w:r w:rsidR="00063B11" w:rsidRPr="00127EBF">
        <w:rPr>
          <w:rFonts w:ascii="Arial" w:eastAsia="Calibri" w:hAnsi="Arial" w:cs="Arial"/>
          <w:color w:val="000000" w:themeColor="text1"/>
          <w:sz w:val="22"/>
          <w:szCs w:val="22"/>
          <w:lang w:val="es-ES_tradnl"/>
        </w:rPr>
        <w:t xml:space="preserve"> </w:t>
      </w:r>
      <w:r w:rsidR="00694E8B" w:rsidRPr="00127EBF">
        <w:rPr>
          <w:rFonts w:ascii="Arial" w:eastAsia="Calibri" w:hAnsi="Arial" w:cs="Arial"/>
          <w:color w:val="000000" w:themeColor="text1"/>
          <w:sz w:val="22"/>
          <w:szCs w:val="22"/>
          <w:lang w:val="es-ES_tradnl"/>
        </w:rPr>
        <w:t>redactada de la siguiente manera</w:t>
      </w:r>
      <w:r w:rsidR="00BB606C" w:rsidRPr="00127EBF">
        <w:rPr>
          <w:rFonts w:ascii="Arial" w:hAnsi="Arial" w:cs="Arial"/>
          <w:color w:val="000000" w:themeColor="text1"/>
          <w:sz w:val="22"/>
          <w:szCs w:val="22"/>
          <w:lang w:val="es-ES_tradnl"/>
        </w:rPr>
        <w:t>:</w:t>
      </w:r>
      <w:r w:rsidR="00E073FC" w:rsidRPr="00127EBF">
        <w:rPr>
          <w:rFonts w:ascii="Arial" w:hAnsi="Arial" w:cs="Arial"/>
          <w:color w:val="000000" w:themeColor="text1"/>
          <w:sz w:val="22"/>
          <w:szCs w:val="22"/>
          <w:lang w:val="es-ES_tradnl"/>
        </w:rPr>
        <w:t xml:space="preserve"> </w:t>
      </w:r>
    </w:p>
    <w:p w14:paraId="0F63709A" w14:textId="74E372D9" w:rsidR="00BB606C" w:rsidRPr="00127EBF"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127EBF" w:rsidRDefault="00530458" w:rsidP="00BB606C">
      <w:pPr>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127EBF" w:rsidRDefault="00530458" w:rsidP="004B205A">
      <w:pPr>
        <w:spacing w:after="120"/>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w:t>
      </w:r>
    </w:p>
    <w:p w14:paraId="22CE685C" w14:textId="0BAFDCB6" w:rsidR="00766D49" w:rsidRPr="00127EBF" w:rsidRDefault="000C4951" w:rsidP="000C4951">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2. </w:t>
      </w:r>
      <w:r w:rsidRPr="000C4951">
        <w:rPr>
          <w:rFonts w:ascii="Arial" w:eastAsia="Calibri" w:hAnsi="Arial" w:cs="Arial"/>
          <w:color w:val="000000" w:themeColor="text1"/>
          <w:sz w:val="21"/>
          <w:szCs w:val="21"/>
          <w:lang w:val="es-ES_tradnl"/>
        </w:rPr>
        <w:t>Preferir la propuesta de la mujer cabeza de familia, mujeres víctimas de la</w:t>
      </w:r>
      <w:r>
        <w:rPr>
          <w:rFonts w:ascii="Arial" w:eastAsia="Calibri" w:hAnsi="Arial" w:cs="Arial"/>
          <w:color w:val="000000" w:themeColor="text1"/>
          <w:sz w:val="21"/>
          <w:szCs w:val="21"/>
          <w:lang w:val="es-ES_tradnl"/>
        </w:rPr>
        <w:t xml:space="preserve"> </w:t>
      </w:r>
      <w:r w:rsidRPr="000C4951">
        <w:rPr>
          <w:rFonts w:ascii="Arial" w:eastAsia="Calibri" w:hAnsi="Arial" w:cs="Arial"/>
          <w:color w:val="000000" w:themeColor="text1"/>
          <w:sz w:val="21"/>
          <w:szCs w:val="21"/>
          <w:lang w:val="es-ES_tradnl"/>
        </w:rPr>
        <w:t>violencia intrafamiliar o de la persona jurídica en la cual participe o participen</w:t>
      </w:r>
      <w:r>
        <w:rPr>
          <w:rFonts w:ascii="Arial" w:eastAsia="Calibri" w:hAnsi="Arial" w:cs="Arial"/>
          <w:color w:val="000000" w:themeColor="text1"/>
          <w:sz w:val="21"/>
          <w:szCs w:val="21"/>
          <w:lang w:val="es-ES_tradnl"/>
        </w:rPr>
        <w:t xml:space="preserve"> </w:t>
      </w:r>
      <w:r w:rsidRPr="000C4951">
        <w:rPr>
          <w:rFonts w:ascii="Arial" w:eastAsia="Calibri" w:hAnsi="Arial" w:cs="Arial"/>
          <w:color w:val="000000" w:themeColor="text1"/>
          <w:sz w:val="21"/>
          <w:szCs w:val="21"/>
          <w:lang w:val="es-ES_tradnl"/>
        </w:rPr>
        <w:t>mayoritariamente; o, la de un proponente plural constituido por mujeres</w:t>
      </w:r>
      <w:r>
        <w:rPr>
          <w:rFonts w:ascii="Arial" w:eastAsia="Calibri" w:hAnsi="Arial" w:cs="Arial"/>
          <w:color w:val="000000" w:themeColor="text1"/>
          <w:sz w:val="21"/>
          <w:szCs w:val="21"/>
          <w:lang w:val="es-ES_tradnl"/>
        </w:rPr>
        <w:t xml:space="preserve"> </w:t>
      </w:r>
      <w:r w:rsidRPr="000C4951">
        <w:rPr>
          <w:rFonts w:ascii="Arial" w:eastAsia="Calibri" w:hAnsi="Arial" w:cs="Arial"/>
          <w:color w:val="000000" w:themeColor="text1"/>
          <w:sz w:val="21"/>
          <w:szCs w:val="21"/>
          <w:lang w:val="es-ES_tradnl"/>
        </w:rPr>
        <w:t>cabeza</w:t>
      </w:r>
      <w:r>
        <w:rPr>
          <w:rFonts w:ascii="Arial" w:eastAsia="Calibri" w:hAnsi="Arial" w:cs="Arial"/>
          <w:color w:val="000000" w:themeColor="text1"/>
          <w:sz w:val="21"/>
          <w:szCs w:val="21"/>
          <w:lang w:val="es-ES_tradnl"/>
        </w:rPr>
        <w:t xml:space="preserve"> </w:t>
      </w:r>
      <w:r w:rsidRPr="000C4951">
        <w:rPr>
          <w:rFonts w:ascii="Arial" w:eastAsia="Calibri" w:hAnsi="Arial" w:cs="Arial"/>
          <w:color w:val="000000" w:themeColor="text1"/>
          <w:sz w:val="21"/>
          <w:szCs w:val="21"/>
          <w:lang w:val="es-ES_tradnl"/>
        </w:rPr>
        <w:t>de familia, mujeres víctimas de violencia intrafamiliar y/o personas</w:t>
      </w:r>
      <w:r>
        <w:rPr>
          <w:rFonts w:ascii="Arial" w:eastAsia="Calibri" w:hAnsi="Arial" w:cs="Arial"/>
          <w:color w:val="000000" w:themeColor="text1"/>
          <w:sz w:val="21"/>
          <w:szCs w:val="21"/>
          <w:lang w:val="es-ES_tradnl"/>
        </w:rPr>
        <w:t xml:space="preserve"> </w:t>
      </w:r>
      <w:r w:rsidRPr="000C4951">
        <w:rPr>
          <w:rFonts w:ascii="Arial" w:eastAsia="Calibri" w:hAnsi="Arial" w:cs="Arial"/>
          <w:color w:val="000000" w:themeColor="text1"/>
          <w:sz w:val="21"/>
          <w:szCs w:val="21"/>
          <w:lang w:val="es-ES_tradnl"/>
        </w:rPr>
        <w:t>jurídicas en las cuales participe o participen mayoritariamente.</w:t>
      </w:r>
    </w:p>
    <w:p w14:paraId="244771D8" w14:textId="099DCDCA" w:rsidR="0011359A" w:rsidRPr="00127EBF" w:rsidRDefault="0011359A" w:rsidP="00530458">
      <w:pPr>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w:t>
      </w:r>
    </w:p>
    <w:p w14:paraId="5E1207E2" w14:textId="74C55D63" w:rsidR="00766D49" w:rsidRPr="00127EBF" w:rsidRDefault="00766D49" w:rsidP="00BB606C">
      <w:pPr>
        <w:ind w:left="709" w:right="709"/>
        <w:jc w:val="both"/>
        <w:rPr>
          <w:rFonts w:ascii="Arial" w:eastAsia="Calibri" w:hAnsi="Arial" w:cs="Arial"/>
          <w:color w:val="000000" w:themeColor="text1"/>
          <w:sz w:val="21"/>
          <w:szCs w:val="21"/>
          <w:lang w:val="es-ES_tradnl"/>
        </w:rPr>
      </w:pPr>
    </w:p>
    <w:p w14:paraId="2D34285E" w14:textId="39E67306" w:rsidR="00CC4EF4" w:rsidRPr="00127EBF" w:rsidRDefault="00CC4EF4" w:rsidP="00CC4EF4">
      <w:pPr>
        <w:spacing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Como se advierte, </w:t>
      </w:r>
      <w:r w:rsidR="00167C3F" w:rsidRPr="00127EBF">
        <w:rPr>
          <w:rFonts w:ascii="Arial" w:eastAsia="Calibri" w:hAnsi="Arial" w:cs="Arial"/>
          <w:color w:val="000000" w:themeColor="text1"/>
          <w:sz w:val="22"/>
          <w:szCs w:val="22"/>
          <w:lang w:val="es-ES_tradnl"/>
        </w:rPr>
        <w:t>este</w:t>
      </w:r>
      <w:r w:rsidRPr="00127EBF">
        <w:rPr>
          <w:rFonts w:ascii="Arial" w:eastAsia="Calibri" w:hAnsi="Arial" w:cs="Arial"/>
          <w:color w:val="000000" w:themeColor="text1"/>
          <w:sz w:val="22"/>
          <w:szCs w:val="22"/>
          <w:lang w:val="es-ES_tradnl"/>
        </w:rPr>
        <w:t xml:space="preserve"> numeral </w:t>
      </w:r>
      <w:bookmarkStart w:id="3" w:name="_Hlk62459524"/>
      <w:r w:rsidRPr="00127EBF">
        <w:rPr>
          <w:rFonts w:ascii="Arial" w:eastAsia="Calibri" w:hAnsi="Arial" w:cs="Arial"/>
          <w:color w:val="000000" w:themeColor="text1"/>
          <w:sz w:val="22"/>
          <w:szCs w:val="22"/>
          <w:lang w:val="es-ES_tradnl"/>
        </w:rPr>
        <w:t>no establece</w:t>
      </w:r>
      <w:r w:rsidR="00167C3F" w:rsidRPr="00127EBF">
        <w:rPr>
          <w:rFonts w:ascii="Arial" w:eastAsia="Calibri" w:hAnsi="Arial" w:cs="Arial"/>
          <w:color w:val="000000" w:themeColor="text1"/>
          <w:sz w:val="22"/>
          <w:szCs w:val="22"/>
          <w:lang w:val="es-ES_tradnl"/>
        </w:rPr>
        <w:t xml:space="preserve"> </w:t>
      </w:r>
      <w:r w:rsidRPr="00127EBF">
        <w:rPr>
          <w:rFonts w:ascii="Arial" w:eastAsia="Calibri" w:hAnsi="Arial" w:cs="Arial"/>
          <w:color w:val="000000" w:themeColor="text1"/>
          <w:sz w:val="22"/>
          <w:szCs w:val="22"/>
          <w:lang w:val="es-ES_tradnl"/>
        </w:rPr>
        <w:t xml:space="preserve">un medio específico para acreditar </w:t>
      </w:r>
      <w:r w:rsidR="00167C3F" w:rsidRPr="00127EBF">
        <w:rPr>
          <w:rFonts w:ascii="Arial" w:eastAsia="Calibri" w:hAnsi="Arial" w:cs="Arial"/>
          <w:color w:val="000000" w:themeColor="text1"/>
          <w:sz w:val="22"/>
          <w:szCs w:val="22"/>
          <w:lang w:val="es-ES_tradnl"/>
        </w:rPr>
        <w:t xml:space="preserve">la </w:t>
      </w:r>
      <w:r w:rsidRPr="00127EBF">
        <w:rPr>
          <w:rFonts w:ascii="Arial" w:eastAsia="Calibri" w:hAnsi="Arial" w:cs="Arial"/>
          <w:color w:val="000000" w:themeColor="text1"/>
          <w:sz w:val="22"/>
          <w:szCs w:val="22"/>
          <w:lang w:val="es-ES_tradnl"/>
        </w:rPr>
        <w:t xml:space="preserve">circunstancia a la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127EBF">
        <w:rPr>
          <w:rFonts w:ascii="Arial" w:eastAsia="Calibri" w:hAnsi="Arial" w:cs="Arial"/>
          <w:color w:val="000000" w:themeColor="text1"/>
          <w:sz w:val="22"/>
          <w:szCs w:val="22"/>
          <w:lang w:val="es-ES_tradnl"/>
        </w:rPr>
        <w:t>encuentra</w:t>
      </w:r>
      <w:r w:rsidRPr="00127EBF">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3"/>
    <w:p w14:paraId="536381F9" w14:textId="77777777" w:rsidR="00516FD0" w:rsidRPr="005419DA" w:rsidRDefault="00516FD0" w:rsidP="00516FD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Así, en relación con el numeral 2 del artículo 35, como lo ha indicado la Corte Constitucional, «[…]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w:t>
      </w:r>
      <w:r w:rsidRPr="005419DA">
        <w:rPr>
          <w:rFonts w:ascii="Arial" w:eastAsia="Calibri" w:hAnsi="Arial" w:cs="Arial"/>
          <w:color w:val="000000" w:themeColor="text1"/>
          <w:sz w:val="22"/>
          <w:szCs w:val="22"/>
          <w:lang w:val="es-ES_tradnl"/>
        </w:rPr>
        <w:lastRenderedPageBreak/>
        <w:t>física, sensorial, síquica o mental»</w:t>
      </w:r>
      <w:r w:rsidRPr="005419DA">
        <w:rPr>
          <w:rStyle w:val="Refdenotaalpie"/>
          <w:rFonts w:ascii="Arial" w:eastAsia="Calibri" w:hAnsi="Arial" w:cs="Arial"/>
          <w:color w:val="000000" w:themeColor="text1"/>
          <w:sz w:val="22"/>
          <w:szCs w:val="22"/>
          <w:lang w:val="es-ES_tradnl"/>
        </w:rPr>
        <w:footnoteReference w:id="15"/>
      </w:r>
      <w:r w:rsidRPr="005419DA">
        <w:rPr>
          <w:rFonts w:ascii="Arial" w:eastAsia="Calibri" w:hAnsi="Arial" w:cs="Arial"/>
          <w:color w:val="000000" w:themeColor="text1"/>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5419DA">
        <w:rPr>
          <w:rStyle w:val="Refdenotaalpie"/>
          <w:rFonts w:ascii="Arial" w:eastAsia="Calibri" w:hAnsi="Arial" w:cs="Arial"/>
          <w:color w:val="000000" w:themeColor="text1"/>
          <w:sz w:val="22"/>
          <w:szCs w:val="22"/>
          <w:lang w:val="es-ES_tradnl"/>
        </w:rPr>
        <w:footnoteReference w:id="16"/>
      </w:r>
      <w:r w:rsidRPr="005419DA">
        <w:rPr>
          <w:rFonts w:ascii="Arial" w:eastAsia="Calibri" w:hAnsi="Arial" w:cs="Arial"/>
          <w:color w:val="000000" w:themeColor="text1"/>
          <w:sz w:val="22"/>
          <w:szCs w:val="22"/>
          <w:lang w:val="es-ES_tradnl"/>
        </w:rPr>
        <w:t xml:space="preserve">. </w:t>
      </w:r>
    </w:p>
    <w:p w14:paraId="2B7E01AE"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bookmarkStart w:id="4" w:name="_Hlk62481891"/>
      <w:r w:rsidRPr="005419DA">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5419DA">
        <w:rPr>
          <w:rStyle w:val="Refdenotaalpie"/>
          <w:rFonts w:ascii="Arial" w:hAnsi="Arial" w:cs="Arial"/>
          <w:color w:val="000000" w:themeColor="text1"/>
          <w:sz w:val="22"/>
          <w:szCs w:val="22"/>
          <w:lang w:val="es-ES_tradnl"/>
        </w:rPr>
        <w:footnoteReference w:id="17"/>
      </w:r>
      <w:r w:rsidRPr="005419DA">
        <w:rPr>
          <w:rFonts w:ascii="Arial" w:hAnsi="Arial" w:cs="Arial"/>
          <w:color w:val="000000" w:themeColor="text1"/>
          <w:sz w:val="22"/>
          <w:szCs w:val="22"/>
          <w:lang w:val="es-ES_tradnl"/>
        </w:rPr>
        <w:t xml:space="preserve">. </w:t>
      </w:r>
    </w:p>
    <w:bookmarkEnd w:id="4"/>
    <w:p w14:paraId="1C1329FC"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5" w:name="_Hlk62482124"/>
      <w:r w:rsidRPr="005419DA">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5"/>
    <w:p w14:paraId="263E5DBF"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lastRenderedPageBreak/>
        <w:t xml:space="preserve">Ahora bien, el numeral 2 del artículo 35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no establece que este factor de desempate únicamente puede aplicarse cuando en la persona jurídica existe participación mayoritaria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cabeza de familia o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5419DA">
        <w:rPr>
          <w:rFonts w:ascii="Arial" w:hAnsi="Arial" w:cs="Arial"/>
          <w:i/>
          <w:iCs/>
          <w:color w:val="000000" w:themeColor="text1"/>
          <w:sz w:val="22"/>
          <w:szCs w:val="22"/>
          <w:lang w:val="es-ES_tradnl"/>
        </w:rPr>
        <w:t>o participen</w:t>
      </w:r>
      <w:r w:rsidRPr="005419DA">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5419DA">
        <w:rPr>
          <w:rFonts w:ascii="Arial" w:hAnsi="Arial" w:cs="Arial"/>
          <w:i/>
          <w:iCs/>
          <w:color w:val="000000" w:themeColor="text1"/>
          <w:sz w:val="22"/>
          <w:szCs w:val="22"/>
          <w:lang w:val="es-ES_tradnl"/>
        </w:rPr>
        <w:t xml:space="preserve">o participen </w:t>
      </w:r>
      <w:r w:rsidRPr="005419DA">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419F40E1"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1588BF13"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El artículo 35, numeral 2,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A16EC62"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5419DA">
        <w:rPr>
          <w:rStyle w:val="Refdenotaalpie"/>
          <w:rFonts w:ascii="Arial" w:hAnsi="Arial" w:cs="Arial"/>
          <w:color w:val="000000" w:themeColor="text1"/>
          <w:sz w:val="22"/>
          <w:szCs w:val="22"/>
          <w:lang w:val="es-ES_tradnl"/>
        </w:rPr>
        <w:footnoteReference w:id="18"/>
      </w:r>
      <w:r w:rsidRPr="005419DA">
        <w:rPr>
          <w:rFonts w:ascii="Arial" w:hAnsi="Arial" w:cs="Arial"/>
          <w:color w:val="000000" w:themeColor="text1"/>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w:t>
      </w:r>
    </w:p>
    <w:p w14:paraId="1C773316"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2060D6">
        <w:rPr>
          <w:rFonts w:ascii="Arial" w:hAnsi="Arial" w:cs="Arial"/>
          <w:color w:val="000000" w:themeColor="text1"/>
          <w:sz w:val="22"/>
          <w:szCs w:val="22"/>
          <w:lang w:val="es-ES_tradnl"/>
        </w:rPr>
        <w:t xml:space="preserve">Por lo tanto, de conformidad con el artículo 35, numeral 2 de la Ley </w:t>
      </w:r>
      <w:r>
        <w:rPr>
          <w:rFonts w:ascii="Arial" w:hAnsi="Arial" w:cs="Arial"/>
          <w:color w:val="000000" w:themeColor="text1"/>
          <w:sz w:val="22"/>
          <w:szCs w:val="22"/>
          <w:lang w:val="es-ES_tradnl"/>
        </w:rPr>
        <w:t>2069</w:t>
      </w:r>
      <w:r w:rsidRPr="002060D6">
        <w:rPr>
          <w:rFonts w:ascii="Arial" w:hAnsi="Arial" w:cs="Arial"/>
          <w:color w:val="000000" w:themeColor="text1"/>
          <w:sz w:val="22"/>
          <w:szCs w:val="22"/>
          <w:lang w:val="es-ES_tradnl"/>
        </w:rPr>
        <w:t xml:space="preserve"> de 2020, si en un procedimiento de selección se presenta una persona jurídica o proponente plural </w:t>
      </w:r>
      <w:r w:rsidRPr="002060D6">
        <w:rPr>
          <w:rFonts w:ascii="Arial" w:hAnsi="Arial" w:cs="Arial"/>
          <w:color w:val="000000" w:themeColor="text1"/>
          <w:sz w:val="22"/>
          <w:szCs w:val="22"/>
          <w:lang w:val="es-ES_tradnl"/>
        </w:rPr>
        <w:lastRenderedPageBreak/>
        <w:t>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r w:rsidRPr="005419DA">
        <w:rPr>
          <w:rFonts w:ascii="Arial" w:hAnsi="Arial" w:cs="Arial"/>
          <w:color w:val="000000" w:themeColor="text1"/>
          <w:sz w:val="22"/>
          <w:szCs w:val="22"/>
          <w:lang w:val="es-ES_tradnl"/>
        </w:rPr>
        <w:t xml:space="preserve"> </w:t>
      </w:r>
    </w:p>
    <w:p w14:paraId="23EF9169" w14:textId="77777777" w:rsidR="00516FD0" w:rsidRPr="005419DA" w:rsidRDefault="00516FD0" w:rsidP="00516FD0">
      <w:pPr>
        <w:spacing w:before="120" w:line="276" w:lineRule="auto"/>
        <w:ind w:firstLine="709"/>
        <w:jc w:val="both"/>
        <w:rPr>
          <w:rFonts w:ascii="Arial" w:hAnsi="Arial" w:cs="Arial"/>
          <w:color w:val="000000" w:themeColor="text1"/>
          <w:sz w:val="22"/>
          <w:szCs w:val="22"/>
          <w:lang w:val="es-ES_tradnl"/>
        </w:rPr>
      </w:pPr>
      <w:r w:rsidRPr="00C27556">
        <w:rPr>
          <w:rFonts w:ascii="Arial" w:hAnsi="Arial" w:cs="Arial"/>
          <w:color w:val="000000" w:themeColor="text1"/>
          <w:sz w:val="22"/>
          <w:szCs w:val="22"/>
          <w:lang w:val="es-ES_tradnl"/>
        </w:rPr>
        <w:t>Teniendo en cuenta que participar debe entenderse –a menos que el reglamento disponga lo contrario– como tomar parte en la sociedad o proponente plural, de acuerdo al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otorgue un alcance diferente al enunciado normativo.</w:t>
      </w:r>
    </w:p>
    <w:p w14:paraId="50422463" w14:textId="5CD372F4" w:rsidR="0005355A" w:rsidRPr="00127EBF" w:rsidRDefault="0005355A" w:rsidP="0005355A">
      <w:pPr>
        <w:spacing w:before="120" w:line="276" w:lineRule="auto"/>
        <w:ind w:firstLine="709"/>
        <w:jc w:val="both"/>
        <w:rPr>
          <w:rFonts w:ascii="Arial" w:hAnsi="Arial" w:cs="Arial"/>
          <w:color w:val="000000" w:themeColor="text1"/>
          <w:sz w:val="22"/>
          <w:szCs w:val="22"/>
          <w:lang w:val="es-ES_tradnl"/>
        </w:rPr>
      </w:pPr>
      <w:r w:rsidRPr="00127EBF">
        <w:rPr>
          <w:rFonts w:ascii="Arial" w:eastAsia="Calibri" w:hAnsi="Arial" w:cs="Arial"/>
          <w:color w:val="000000" w:themeColor="text1"/>
          <w:sz w:val="22"/>
          <w:lang w:val="es-ES_tradnl"/>
        </w:rPr>
        <w:t>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la naturaleza que les confiere el artículo 230 de la Constitución Política y el artículo 28 de la Ley 1437 de 2011. En otras palabras, constituyen doctrina, y por lo tanto son criterios auxiliares para la interpretación y aplicación del derecho. De ahí que no sean obligatorios.</w:t>
      </w:r>
    </w:p>
    <w:p w14:paraId="25C29DD0" w14:textId="77777777" w:rsidR="00DF2D7F" w:rsidRDefault="0005355A" w:rsidP="00DF08B0">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w:t>
      </w:r>
    </w:p>
    <w:p w14:paraId="147AC29C" w14:textId="128FEFD7" w:rsidR="0005355A" w:rsidRPr="00127EBF" w:rsidRDefault="0005355A" w:rsidP="00DF08B0">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lastRenderedPageBreak/>
        <w:t xml:space="preserve">Esto último es lo que sucede con </w:t>
      </w:r>
      <w:r w:rsidR="00204A99">
        <w:rPr>
          <w:rFonts w:ascii="Arial" w:eastAsia="Calibri" w:hAnsi="Arial" w:cs="Arial"/>
          <w:color w:val="000000" w:themeColor="text1"/>
          <w:sz w:val="22"/>
          <w:lang w:val="es-ES_tradnl"/>
        </w:rPr>
        <w:t xml:space="preserve">el concepto de </w:t>
      </w:r>
      <w:r w:rsidR="00204A99">
        <w:rPr>
          <w:rFonts w:ascii="Arial" w:eastAsia="Calibri" w:hAnsi="Arial" w:cs="Arial"/>
          <w:i/>
          <w:iCs/>
          <w:color w:val="000000" w:themeColor="text1"/>
          <w:sz w:val="22"/>
          <w:lang w:val="es-ES_tradnl"/>
        </w:rPr>
        <w:t>participación</w:t>
      </w:r>
      <w:r w:rsidRPr="00127EBF">
        <w:rPr>
          <w:rFonts w:ascii="Arial" w:eastAsia="Calibri" w:hAnsi="Arial" w:cs="Arial"/>
          <w:color w:val="000000" w:themeColor="text1"/>
          <w:sz w:val="22"/>
          <w:lang w:val="es-ES_tradnl"/>
        </w:rPr>
        <w:t>, contenid</w:t>
      </w:r>
      <w:r w:rsidR="00204A99">
        <w:rPr>
          <w:rFonts w:ascii="Arial" w:eastAsia="Calibri" w:hAnsi="Arial" w:cs="Arial"/>
          <w:color w:val="000000" w:themeColor="text1"/>
          <w:sz w:val="22"/>
          <w:lang w:val="es-ES_tradnl"/>
        </w:rPr>
        <w:t>o</w:t>
      </w:r>
      <w:r w:rsidRPr="00127EBF">
        <w:rPr>
          <w:rFonts w:ascii="Arial" w:eastAsia="Calibri" w:hAnsi="Arial" w:cs="Arial"/>
          <w:color w:val="000000" w:themeColor="text1"/>
          <w:sz w:val="22"/>
          <w:lang w:val="es-ES_tradnl"/>
        </w:rPr>
        <w:t xml:space="preserve"> en el numeral </w:t>
      </w:r>
      <w:r w:rsidR="00204A99">
        <w:rPr>
          <w:rFonts w:ascii="Arial" w:eastAsia="Calibri" w:hAnsi="Arial" w:cs="Arial"/>
          <w:color w:val="000000" w:themeColor="text1"/>
          <w:sz w:val="22"/>
          <w:lang w:val="es-ES_tradnl"/>
        </w:rPr>
        <w:t>2</w:t>
      </w:r>
      <w:r w:rsidRPr="00127EBF">
        <w:rPr>
          <w:rFonts w:ascii="Arial" w:eastAsia="Calibri" w:hAnsi="Arial" w:cs="Arial"/>
          <w:color w:val="000000" w:themeColor="text1"/>
          <w:sz w:val="22"/>
          <w:lang w:val="es-ES_tradnl"/>
        </w:rPr>
        <w:t xml:space="preserve"> del artículo 35 de la Ley 2069 de 2020. Al ser una Ley recientemente expedida y no existir reglamentación, ni jurisprudencia, que haya acotado tal concepto, la Agencia realiza su interpretación </w:t>
      </w:r>
      <w:r w:rsidRPr="00127EBF">
        <w:rPr>
          <w:rFonts w:ascii="Arial" w:eastAsia="Calibri" w:hAnsi="Arial" w:cs="Arial"/>
          <w:i/>
          <w:iCs/>
          <w:color w:val="000000" w:themeColor="text1"/>
          <w:sz w:val="22"/>
          <w:lang w:val="es-ES_tradnl"/>
        </w:rPr>
        <w:t>prima facie</w:t>
      </w:r>
      <w:r w:rsidRPr="00127EBF">
        <w:rPr>
          <w:rFonts w:ascii="Arial" w:eastAsia="Calibri" w:hAnsi="Arial" w:cs="Arial"/>
          <w:color w:val="000000" w:themeColor="text1"/>
          <w:sz w:val="22"/>
          <w:lang w:val="es-ES_tradnl"/>
        </w:rPr>
        <w:t>. Sin embargo, se reitera, dicha interpretación no es vinculante, ni niega que pueda haber otras interpretaciones.</w:t>
      </w:r>
      <w:r w:rsidR="00204A99">
        <w:rPr>
          <w:rFonts w:ascii="Arial" w:eastAsia="Calibri" w:hAnsi="Arial" w:cs="Arial"/>
          <w:color w:val="000000" w:themeColor="text1"/>
          <w:sz w:val="22"/>
          <w:lang w:val="es-ES_tradnl"/>
        </w:rPr>
        <w:t xml:space="preserve"> En tal sentido, </w:t>
      </w:r>
      <w:r w:rsidR="00AD61FA">
        <w:rPr>
          <w:rFonts w:ascii="Arial" w:eastAsia="Calibri" w:hAnsi="Arial" w:cs="Arial"/>
          <w:color w:val="000000" w:themeColor="text1"/>
          <w:sz w:val="22"/>
          <w:lang w:val="es-ES_tradnl"/>
        </w:rPr>
        <w:t xml:space="preserve">Colombia Compra Eficiente entiende que cuando </w:t>
      </w:r>
      <w:r w:rsidR="008C4EB9">
        <w:rPr>
          <w:rFonts w:ascii="Arial" w:eastAsia="Calibri" w:hAnsi="Arial" w:cs="Arial"/>
          <w:color w:val="000000" w:themeColor="text1"/>
          <w:sz w:val="22"/>
          <w:lang w:val="es-ES_tradnl"/>
        </w:rPr>
        <w:t xml:space="preserve">el numeral 2 del artículo 35 </w:t>
      </w:r>
      <w:r w:rsidR="00A14168">
        <w:rPr>
          <w:rFonts w:ascii="Arial" w:eastAsia="Calibri" w:hAnsi="Arial" w:cs="Arial"/>
          <w:color w:val="000000" w:themeColor="text1"/>
          <w:sz w:val="22"/>
          <w:lang w:val="es-ES_tradnl"/>
        </w:rPr>
        <w:t>exige</w:t>
      </w:r>
      <w:r w:rsidR="008C4EB9">
        <w:rPr>
          <w:rFonts w:ascii="Arial" w:eastAsia="Calibri" w:hAnsi="Arial" w:cs="Arial"/>
          <w:color w:val="000000" w:themeColor="text1"/>
          <w:sz w:val="22"/>
          <w:lang w:val="es-ES_tradnl"/>
        </w:rPr>
        <w:t xml:space="preserve"> </w:t>
      </w:r>
      <w:r w:rsidR="00A14168">
        <w:rPr>
          <w:rFonts w:ascii="Arial" w:eastAsia="Calibri" w:hAnsi="Arial" w:cs="Arial"/>
          <w:color w:val="000000" w:themeColor="text1"/>
          <w:sz w:val="22"/>
          <w:lang w:val="es-ES_tradnl"/>
        </w:rPr>
        <w:t xml:space="preserve">la </w:t>
      </w:r>
      <w:r w:rsidR="00A14168" w:rsidRPr="004F639F">
        <w:rPr>
          <w:rFonts w:ascii="Arial" w:eastAsia="Calibri" w:hAnsi="Arial" w:cs="Arial"/>
          <w:i/>
          <w:iCs/>
          <w:color w:val="000000" w:themeColor="text1"/>
          <w:sz w:val="22"/>
          <w:lang w:val="es-ES_tradnl"/>
        </w:rPr>
        <w:t>participación</w:t>
      </w:r>
      <w:r w:rsidR="00A14168">
        <w:rPr>
          <w:rFonts w:ascii="Arial" w:eastAsia="Calibri" w:hAnsi="Arial" w:cs="Arial"/>
          <w:color w:val="000000" w:themeColor="text1"/>
          <w:sz w:val="22"/>
          <w:lang w:val="es-ES_tradnl"/>
        </w:rPr>
        <w:t xml:space="preserve"> mayoritaria de la mujer cabeza de familia</w:t>
      </w:r>
      <w:r w:rsidR="004D19F0">
        <w:rPr>
          <w:rFonts w:ascii="Arial" w:eastAsia="Calibri" w:hAnsi="Arial" w:cs="Arial"/>
          <w:color w:val="000000" w:themeColor="text1"/>
          <w:sz w:val="22"/>
          <w:lang w:val="es-ES_tradnl"/>
        </w:rPr>
        <w:t xml:space="preserve"> o </w:t>
      </w:r>
      <w:r w:rsidR="00A14168">
        <w:rPr>
          <w:rFonts w:ascii="Arial" w:eastAsia="Calibri" w:hAnsi="Arial" w:cs="Arial"/>
          <w:color w:val="000000" w:themeColor="text1"/>
          <w:sz w:val="22"/>
          <w:lang w:val="es-ES_tradnl"/>
        </w:rPr>
        <w:t>de las mujeres víctimas de la violencia intrafamiliar</w:t>
      </w:r>
      <w:r w:rsidR="004D19F0">
        <w:rPr>
          <w:rFonts w:ascii="Arial" w:eastAsia="Calibri" w:hAnsi="Arial" w:cs="Arial"/>
          <w:color w:val="000000" w:themeColor="text1"/>
          <w:sz w:val="22"/>
          <w:lang w:val="es-ES_tradnl"/>
        </w:rPr>
        <w:t xml:space="preserve">, </w:t>
      </w:r>
      <w:r w:rsidR="00923579">
        <w:rPr>
          <w:rFonts w:ascii="Arial" w:eastAsia="Calibri" w:hAnsi="Arial" w:cs="Arial"/>
          <w:color w:val="000000" w:themeColor="text1"/>
          <w:sz w:val="22"/>
          <w:lang w:val="es-ES_tradnl"/>
        </w:rPr>
        <w:t>para beneficiar con la aplicación de este factor de desempate a las personas jurídicas y a l</w:t>
      </w:r>
      <w:r w:rsidR="00A14168">
        <w:rPr>
          <w:rFonts w:ascii="Arial" w:eastAsia="Calibri" w:hAnsi="Arial" w:cs="Arial"/>
          <w:color w:val="000000" w:themeColor="text1"/>
          <w:sz w:val="22"/>
          <w:lang w:val="es-ES_tradnl"/>
        </w:rPr>
        <w:t>os proponentes plurales,</w:t>
      </w:r>
      <w:r w:rsidR="004D19F0">
        <w:rPr>
          <w:rFonts w:ascii="Arial" w:eastAsia="Calibri" w:hAnsi="Arial" w:cs="Arial"/>
          <w:color w:val="000000" w:themeColor="text1"/>
          <w:sz w:val="22"/>
          <w:lang w:val="es-ES_tradnl"/>
        </w:rPr>
        <w:t xml:space="preserve"> </w:t>
      </w:r>
      <w:r w:rsidR="00741C15">
        <w:rPr>
          <w:rFonts w:ascii="Arial" w:eastAsia="Calibri" w:hAnsi="Arial" w:cs="Arial"/>
          <w:color w:val="000000" w:themeColor="text1"/>
          <w:sz w:val="22"/>
          <w:lang w:val="es-ES_tradnl"/>
        </w:rPr>
        <w:t>el concepto de participación se refiere a</w:t>
      </w:r>
      <w:r w:rsidR="008E62E9">
        <w:rPr>
          <w:rFonts w:ascii="Arial" w:eastAsia="Calibri" w:hAnsi="Arial" w:cs="Arial"/>
          <w:color w:val="000000" w:themeColor="text1"/>
          <w:sz w:val="22"/>
          <w:lang w:val="es-ES_tradnl"/>
        </w:rPr>
        <w:t xml:space="preserve"> </w:t>
      </w:r>
      <w:r w:rsidR="008E62E9" w:rsidRPr="00C27556">
        <w:rPr>
          <w:rFonts w:ascii="Arial" w:hAnsi="Arial" w:cs="Arial"/>
          <w:color w:val="000000" w:themeColor="text1"/>
          <w:sz w:val="22"/>
          <w:szCs w:val="22"/>
          <w:lang w:val="es-ES_tradnl"/>
        </w:rPr>
        <w:t>tomar parte</w:t>
      </w:r>
      <w:r w:rsidR="00200A5C">
        <w:rPr>
          <w:rFonts w:ascii="Arial" w:hAnsi="Arial" w:cs="Arial"/>
          <w:color w:val="000000" w:themeColor="text1"/>
          <w:sz w:val="22"/>
          <w:szCs w:val="22"/>
          <w:lang w:val="es-ES_tradnl"/>
        </w:rPr>
        <w:t xml:space="preserve"> </w:t>
      </w:r>
      <w:r w:rsidR="00200A5C" w:rsidRPr="00200A5C">
        <w:rPr>
          <w:rFonts w:ascii="Arial" w:hAnsi="Arial" w:cs="Arial"/>
          <w:i/>
          <w:iCs/>
          <w:color w:val="000000" w:themeColor="text1"/>
          <w:sz w:val="22"/>
          <w:szCs w:val="22"/>
          <w:lang w:val="es-ES_tradnl"/>
        </w:rPr>
        <w:t>directa</w:t>
      </w:r>
      <w:r w:rsidR="008E62E9" w:rsidRPr="00C27556">
        <w:rPr>
          <w:rFonts w:ascii="Arial" w:hAnsi="Arial" w:cs="Arial"/>
          <w:color w:val="000000" w:themeColor="text1"/>
          <w:sz w:val="22"/>
          <w:szCs w:val="22"/>
          <w:lang w:val="es-ES_tradnl"/>
        </w:rPr>
        <w:t xml:space="preserve"> en la sociedad o proponente plural, de acuerdo al aporte en dinero o trabajo</w:t>
      </w:r>
      <w:r w:rsidR="008E62E9">
        <w:rPr>
          <w:rFonts w:ascii="Arial" w:hAnsi="Arial" w:cs="Arial"/>
          <w:color w:val="000000" w:themeColor="text1"/>
          <w:sz w:val="22"/>
          <w:szCs w:val="22"/>
          <w:lang w:val="es-ES_tradnl"/>
        </w:rPr>
        <w:t>.</w:t>
      </w:r>
      <w:r w:rsidR="00200A5C">
        <w:rPr>
          <w:rFonts w:ascii="Arial" w:eastAsia="Calibri" w:hAnsi="Arial" w:cs="Arial"/>
          <w:color w:val="000000" w:themeColor="text1"/>
          <w:sz w:val="22"/>
          <w:lang w:val="es-ES_tradnl"/>
        </w:rPr>
        <w:t xml:space="preserve"> </w:t>
      </w:r>
      <w:r w:rsidR="003D42CB">
        <w:rPr>
          <w:rFonts w:ascii="Arial" w:eastAsia="Calibri" w:hAnsi="Arial" w:cs="Arial"/>
          <w:color w:val="000000" w:themeColor="text1"/>
          <w:sz w:val="22"/>
          <w:lang w:val="es-ES_tradnl"/>
        </w:rPr>
        <w:t>Lo anterior por cuanto e</w:t>
      </w:r>
      <w:r w:rsidR="00200A5C">
        <w:rPr>
          <w:rFonts w:ascii="Arial" w:eastAsia="Calibri" w:hAnsi="Arial" w:cs="Arial"/>
          <w:color w:val="000000" w:themeColor="text1"/>
          <w:sz w:val="22"/>
          <w:lang w:val="es-ES_tradnl"/>
        </w:rPr>
        <w:t xml:space="preserve">l sentido de la Ley de </w:t>
      </w:r>
      <w:r w:rsidR="00200A5C" w:rsidRPr="00200A5C">
        <w:rPr>
          <w:rFonts w:ascii="Arial" w:eastAsia="Calibri" w:hAnsi="Arial" w:cs="Arial"/>
          <w:i/>
          <w:iCs/>
          <w:color w:val="000000" w:themeColor="text1"/>
          <w:sz w:val="22"/>
          <w:lang w:val="es-ES_tradnl"/>
        </w:rPr>
        <w:t>emprendimiento</w:t>
      </w:r>
      <w:r w:rsidR="00200A5C">
        <w:rPr>
          <w:rFonts w:ascii="Arial" w:eastAsia="Calibri" w:hAnsi="Arial" w:cs="Arial"/>
          <w:color w:val="000000" w:themeColor="text1"/>
          <w:sz w:val="22"/>
          <w:lang w:val="es-ES_tradnl"/>
        </w:rPr>
        <w:t xml:space="preserve"> es</w:t>
      </w:r>
      <w:r w:rsidR="00DF08B0">
        <w:rPr>
          <w:rFonts w:ascii="Arial" w:eastAsia="Calibri" w:hAnsi="Arial" w:cs="Arial"/>
          <w:color w:val="000000" w:themeColor="text1"/>
          <w:sz w:val="22"/>
          <w:lang w:val="es-ES_tradnl"/>
        </w:rPr>
        <w:t>, según el artículo 1,</w:t>
      </w:r>
      <w:r w:rsidR="00200A5C">
        <w:rPr>
          <w:rFonts w:ascii="Arial" w:eastAsia="Calibri" w:hAnsi="Arial" w:cs="Arial"/>
          <w:color w:val="000000" w:themeColor="text1"/>
          <w:sz w:val="22"/>
          <w:lang w:val="es-ES_tradnl"/>
        </w:rPr>
        <w:t xml:space="preserve"> </w:t>
      </w:r>
      <w:r w:rsidR="00DF08B0">
        <w:rPr>
          <w:rFonts w:ascii="Arial" w:eastAsia="Calibri" w:hAnsi="Arial" w:cs="Arial"/>
          <w:color w:val="000000" w:themeColor="text1"/>
          <w:sz w:val="22"/>
          <w:lang w:val="es-ES_tradnl"/>
        </w:rPr>
        <w:t>«</w:t>
      </w:r>
      <w:r w:rsidR="00DF08B0" w:rsidRPr="00DF08B0">
        <w:rPr>
          <w:rFonts w:ascii="Arial" w:eastAsia="Calibri" w:hAnsi="Arial" w:cs="Arial"/>
          <w:color w:val="000000" w:themeColor="text1"/>
          <w:sz w:val="22"/>
          <w:lang w:val="es-ES_tradnl"/>
        </w:rPr>
        <w:t>establecer un marc</w:t>
      </w:r>
      <w:r w:rsidR="003D42CB">
        <w:rPr>
          <w:rFonts w:ascii="Arial" w:eastAsia="Calibri" w:hAnsi="Arial" w:cs="Arial"/>
          <w:color w:val="000000" w:themeColor="text1"/>
          <w:sz w:val="22"/>
          <w:lang w:val="es-ES_tradnl"/>
        </w:rPr>
        <w:t>o</w:t>
      </w:r>
      <w:r w:rsidR="00DF08B0">
        <w:rPr>
          <w:rFonts w:ascii="Arial" w:eastAsia="Calibri" w:hAnsi="Arial" w:cs="Arial"/>
          <w:color w:val="000000" w:themeColor="text1"/>
          <w:sz w:val="22"/>
          <w:lang w:val="es-ES_tradnl"/>
        </w:rPr>
        <w:t xml:space="preserve"> </w:t>
      </w:r>
      <w:r w:rsidR="00DF08B0" w:rsidRPr="00DF08B0">
        <w:rPr>
          <w:rFonts w:ascii="Arial" w:eastAsia="Calibri" w:hAnsi="Arial" w:cs="Arial"/>
          <w:color w:val="000000" w:themeColor="text1"/>
          <w:sz w:val="22"/>
          <w:lang w:val="es-ES_tradnl"/>
        </w:rPr>
        <w:t>regulatorio que propicie el emprendimiento y el crecimiento, consolidación y</w:t>
      </w:r>
      <w:r w:rsidR="00DF08B0">
        <w:rPr>
          <w:rFonts w:ascii="Arial" w:eastAsia="Calibri" w:hAnsi="Arial" w:cs="Arial"/>
          <w:color w:val="000000" w:themeColor="text1"/>
          <w:sz w:val="22"/>
          <w:lang w:val="es-ES_tradnl"/>
        </w:rPr>
        <w:t xml:space="preserve"> </w:t>
      </w:r>
      <w:r w:rsidR="00DF08B0" w:rsidRPr="00DF08B0">
        <w:rPr>
          <w:rFonts w:ascii="Arial" w:eastAsia="Calibri" w:hAnsi="Arial" w:cs="Arial"/>
          <w:color w:val="000000" w:themeColor="text1"/>
          <w:sz w:val="22"/>
          <w:lang w:val="es-ES_tradnl"/>
        </w:rPr>
        <w:t>sostenibilidad de las empresas, con el</w:t>
      </w:r>
      <w:r w:rsidR="00DF08B0">
        <w:rPr>
          <w:rFonts w:ascii="Arial" w:eastAsia="Calibri" w:hAnsi="Arial" w:cs="Arial"/>
          <w:color w:val="000000" w:themeColor="text1"/>
          <w:sz w:val="22"/>
          <w:lang w:val="es-ES_tradnl"/>
        </w:rPr>
        <w:t xml:space="preserve"> </w:t>
      </w:r>
      <w:r w:rsidR="00DF08B0" w:rsidRPr="00DF08B0">
        <w:rPr>
          <w:rFonts w:ascii="Arial" w:eastAsia="Calibri" w:hAnsi="Arial" w:cs="Arial"/>
          <w:color w:val="000000" w:themeColor="text1"/>
          <w:sz w:val="22"/>
          <w:lang w:val="es-ES_tradnl"/>
        </w:rPr>
        <w:t>fin de aumentar el bienestar social y generar</w:t>
      </w:r>
      <w:r w:rsidR="00DF08B0">
        <w:rPr>
          <w:rFonts w:ascii="Arial" w:eastAsia="Calibri" w:hAnsi="Arial" w:cs="Arial"/>
          <w:color w:val="000000" w:themeColor="text1"/>
          <w:sz w:val="22"/>
          <w:lang w:val="es-ES_tradnl"/>
        </w:rPr>
        <w:t xml:space="preserve"> </w:t>
      </w:r>
      <w:r w:rsidR="00DF08B0" w:rsidRPr="00DF08B0">
        <w:rPr>
          <w:rFonts w:ascii="Arial" w:eastAsia="Calibri" w:hAnsi="Arial" w:cs="Arial"/>
          <w:color w:val="000000" w:themeColor="text1"/>
          <w:sz w:val="22"/>
          <w:lang w:val="es-ES_tradnl"/>
        </w:rPr>
        <w:t>equidad</w:t>
      </w:r>
      <w:r w:rsidR="00DF08B0">
        <w:rPr>
          <w:rFonts w:ascii="Arial" w:eastAsia="Calibri" w:hAnsi="Arial" w:cs="Arial"/>
          <w:color w:val="000000" w:themeColor="text1"/>
          <w:sz w:val="22"/>
          <w:lang w:val="es-ES_tradnl"/>
        </w:rPr>
        <w:t xml:space="preserve">». Por lo tanto, esta Agencia considera que la interpretación que más se aviene </w:t>
      </w:r>
      <w:r w:rsidR="00C32B26">
        <w:rPr>
          <w:rFonts w:ascii="Arial" w:eastAsia="Calibri" w:hAnsi="Arial" w:cs="Arial"/>
          <w:color w:val="000000" w:themeColor="text1"/>
          <w:sz w:val="22"/>
          <w:lang w:val="es-ES_tradnl"/>
        </w:rPr>
        <w:t>con</w:t>
      </w:r>
      <w:r w:rsidR="00DF08B0">
        <w:rPr>
          <w:rFonts w:ascii="Arial" w:eastAsia="Calibri" w:hAnsi="Arial" w:cs="Arial"/>
          <w:color w:val="000000" w:themeColor="text1"/>
          <w:sz w:val="22"/>
          <w:lang w:val="es-ES_tradnl"/>
        </w:rPr>
        <w:t xml:space="preserve"> este objetivo es comprender el concepto de participación</w:t>
      </w:r>
      <w:r w:rsidR="00A0181F">
        <w:rPr>
          <w:rFonts w:ascii="Arial" w:eastAsia="Calibri" w:hAnsi="Arial" w:cs="Arial"/>
          <w:color w:val="000000" w:themeColor="text1"/>
          <w:sz w:val="22"/>
          <w:lang w:val="es-ES_tradnl"/>
        </w:rPr>
        <w:t>, en el artículo 35, numeral 2, de la Ley 2069 de 2020</w:t>
      </w:r>
      <w:r w:rsidR="00D52E7B">
        <w:rPr>
          <w:rFonts w:ascii="Arial" w:eastAsia="Calibri" w:hAnsi="Arial" w:cs="Arial"/>
          <w:color w:val="000000" w:themeColor="text1"/>
          <w:sz w:val="22"/>
          <w:lang w:val="es-ES_tradnl"/>
        </w:rPr>
        <w:t xml:space="preserve"> </w:t>
      </w:r>
      <w:r w:rsidR="00077F5F">
        <w:rPr>
          <w:rFonts w:ascii="Arial" w:eastAsia="Calibri" w:hAnsi="Arial" w:cs="Arial"/>
          <w:color w:val="000000" w:themeColor="text1"/>
          <w:sz w:val="22"/>
          <w:lang w:val="es-ES_tradnl"/>
        </w:rPr>
        <w:t>como l</w:t>
      </w:r>
      <w:r w:rsidR="00DF2D7F">
        <w:rPr>
          <w:rFonts w:ascii="Arial" w:eastAsia="Calibri" w:hAnsi="Arial" w:cs="Arial"/>
          <w:color w:val="000000" w:themeColor="text1"/>
          <w:sz w:val="22"/>
          <w:lang w:val="es-ES_tradnl"/>
        </w:rPr>
        <w:t>a participación</w:t>
      </w:r>
      <w:r w:rsidR="00D52E7B">
        <w:rPr>
          <w:rFonts w:ascii="Arial" w:eastAsia="Calibri" w:hAnsi="Arial" w:cs="Arial"/>
          <w:color w:val="000000" w:themeColor="text1"/>
          <w:sz w:val="22"/>
          <w:lang w:val="es-ES_tradnl"/>
        </w:rPr>
        <w:t xml:space="preserve"> directa</w:t>
      </w:r>
      <w:r w:rsidR="00DF2D7F">
        <w:rPr>
          <w:rFonts w:ascii="Arial" w:eastAsia="Calibri" w:hAnsi="Arial" w:cs="Arial"/>
          <w:color w:val="000000" w:themeColor="text1"/>
          <w:sz w:val="22"/>
          <w:lang w:val="es-ES_tradnl"/>
        </w:rPr>
        <w:t xml:space="preserve"> </w:t>
      </w:r>
      <w:r w:rsidR="00DF2D7F">
        <w:rPr>
          <w:rFonts w:ascii="Arial" w:hAnsi="Arial" w:cs="Arial"/>
          <w:color w:val="000000" w:themeColor="text1"/>
          <w:sz w:val="22"/>
          <w:szCs w:val="22"/>
          <w:lang w:val="es-ES_tradnl"/>
        </w:rPr>
        <w:t>en</w:t>
      </w:r>
      <w:r w:rsidR="00DF2D7F" w:rsidRPr="005419DA">
        <w:rPr>
          <w:rFonts w:ascii="Arial" w:hAnsi="Arial" w:cs="Arial"/>
          <w:color w:val="000000" w:themeColor="text1"/>
          <w:sz w:val="22"/>
          <w:szCs w:val="22"/>
          <w:lang w:val="es-ES_tradnl"/>
        </w:rPr>
        <w:t xml:space="preserve"> las utilidades de la sociedad, </w:t>
      </w:r>
      <w:r w:rsidR="00DF2D7F">
        <w:rPr>
          <w:rFonts w:ascii="Arial" w:hAnsi="Arial" w:cs="Arial"/>
          <w:color w:val="000000" w:themeColor="text1"/>
          <w:sz w:val="22"/>
          <w:szCs w:val="22"/>
          <w:lang w:val="es-ES_tradnl"/>
        </w:rPr>
        <w:t>según la proporción accionaria</w:t>
      </w:r>
      <w:r w:rsidR="00DF2D7F" w:rsidRPr="005419DA">
        <w:rPr>
          <w:rFonts w:ascii="Arial" w:hAnsi="Arial" w:cs="Arial"/>
          <w:color w:val="000000" w:themeColor="text1"/>
          <w:sz w:val="22"/>
          <w:szCs w:val="22"/>
          <w:lang w:val="es-ES_tradnl"/>
        </w:rPr>
        <w:t xml:space="preserve"> –en las sociedades por acciones– o de acuerdo a la industria o trabajo personal del socio –como sucede usualmente en las sociedades de personas–</w:t>
      </w:r>
      <w:r w:rsidR="00DF2D7F">
        <w:rPr>
          <w:rFonts w:ascii="Arial" w:hAnsi="Arial" w:cs="Arial"/>
          <w:color w:val="000000" w:themeColor="text1"/>
          <w:sz w:val="22"/>
          <w:szCs w:val="22"/>
          <w:lang w:val="es-ES_tradnl"/>
        </w:rPr>
        <w:t>.</w:t>
      </w:r>
      <w:r w:rsidR="00C62AE8">
        <w:rPr>
          <w:rFonts w:ascii="Arial" w:eastAsia="Calibri" w:hAnsi="Arial" w:cs="Arial"/>
          <w:color w:val="000000" w:themeColor="text1"/>
          <w:sz w:val="22"/>
          <w:lang w:val="es-ES_tradnl"/>
        </w:rPr>
        <w:t xml:space="preserve"> </w:t>
      </w:r>
      <w:r w:rsidR="00200A5C">
        <w:rPr>
          <w:rFonts w:ascii="Arial" w:eastAsia="Calibri" w:hAnsi="Arial" w:cs="Arial"/>
          <w:color w:val="000000" w:themeColor="text1"/>
          <w:sz w:val="22"/>
          <w:lang w:val="es-ES_tradnl"/>
        </w:rPr>
        <w:t xml:space="preserve">  </w:t>
      </w:r>
    </w:p>
    <w:p w14:paraId="7E83BEFA" w14:textId="77777777" w:rsidR="0060009C" w:rsidRPr="00127EBF" w:rsidRDefault="0060009C" w:rsidP="00510DE9">
      <w:pPr>
        <w:tabs>
          <w:tab w:val="left" w:pos="0"/>
        </w:tabs>
        <w:jc w:val="both"/>
        <w:rPr>
          <w:rFonts w:ascii="Arial" w:eastAsia="Calibri" w:hAnsi="Arial" w:cs="Arial"/>
          <w:b/>
          <w:color w:val="000000" w:themeColor="text1"/>
          <w:sz w:val="22"/>
          <w:lang w:val="es-ES_tradnl"/>
        </w:rPr>
      </w:pPr>
    </w:p>
    <w:p w14:paraId="37CA9805" w14:textId="1F7C1907" w:rsidR="00DD5B04" w:rsidRPr="00127EBF" w:rsidRDefault="004177A6" w:rsidP="00510DE9">
      <w:pPr>
        <w:tabs>
          <w:tab w:val="left" w:pos="0"/>
        </w:tabs>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3</w:t>
      </w:r>
      <w:r w:rsidR="00B011A9" w:rsidRPr="00127EBF">
        <w:rPr>
          <w:rFonts w:ascii="Arial" w:eastAsia="Calibri" w:hAnsi="Arial" w:cs="Arial"/>
          <w:b/>
          <w:color w:val="000000" w:themeColor="text1"/>
          <w:sz w:val="22"/>
          <w:lang w:val="es-ES_tradnl"/>
        </w:rPr>
        <w:t xml:space="preserve">. </w:t>
      </w:r>
      <w:r w:rsidR="00DD5B04" w:rsidRPr="00127EBF">
        <w:rPr>
          <w:rFonts w:ascii="Arial" w:eastAsia="Calibri" w:hAnsi="Arial" w:cs="Arial"/>
          <w:b/>
          <w:color w:val="000000" w:themeColor="text1"/>
          <w:sz w:val="22"/>
          <w:lang w:val="es-ES_tradnl"/>
        </w:rPr>
        <w:t>Respuesta</w:t>
      </w:r>
    </w:p>
    <w:p w14:paraId="0B74D5B8" w14:textId="5E91C0C4" w:rsidR="00C4581D" w:rsidRPr="00127EBF" w:rsidRDefault="00C4581D" w:rsidP="00510DE9">
      <w:pPr>
        <w:tabs>
          <w:tab w:val="left" w:pos="0"/>
        </w:tabs>
        <w:jc w:val="both"/>
        <w:rPr>
          <w:rFonts w:ascii="Arial" w:eastAsia="Calibri" w:hAnsi="Arial" w:cs="Arial"/>
          <w:color w:val="000000" w:themeColor="text1"/>
          <w:sz w:val="22"/>
          <w:lang w:val="es-ES_tradnl"/>
        </w:rPr>
      </w:pPr>
    </w:p>
    <w:p w14:paraId="189D1990" w14:textId="5DEA748A" w:rsidR="008056A2" w:rsidRPr="00127EBF" w:rsidRDefault="008056A2" w:rsidP="00510DE9">
      <w:pPr>
        <w:tabs>
          <w:tab w:val="left" w:pos="0"/>
        </w:tabs>
        <w:jc w:val="both"/>
        <w:rPr>
          <w:rFonts w:ascii="Arial" w:eastAsia="Calibri" w:hAnsi="Arial" w:cs="Arial"/>
          <w:color w:val="000000" w:themeColor="text1"/>
          <w:sz w:val="22"/>
          <w:lang w:val="es-ES_tradnl"/>
        </w:rPr>
      </w:pPr>
    </w:p>
    <w:p w14:paraId="72E798B5" w14:textId="77777777" w:rsidR="00296998" w:rsidRDefault="00296998" w:rsidP="00296998">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Pr="00CD0778">
        <w:rPr>
          <w:rFonts w:ascii="Arial" w:hAnsi="Arial" w:cs="Arial"/>
          <w:color w:val="000000" w:themeColor="text1"/>
          <w:sz w:val="21"/>
          <w:szCs w:val="21"/>
          <w:lang w:val="es-ES_tradnl"/>
        </w:rPr>
        <w:t>me permito solicitarle se sirva aclarar el alcance de su interpretación del numeral 2 del artículo 35 de la Ley 2069 de 2020 efectuada en el oficio con radicado No. RS20210204000737 del 4 de febrero de 2021,</w:t>
      </w:r>
      <w:r>
        <w:rPr>
          <w:rFonts w:ascii="Arial" w:hAnsi="Arial" w:cs="Arial"/>
          <w:color w:val="000000" w:themeColor="text1"/>
          <w:sz w:val="21"/>
          <w:szCs w:val="21"/>
          <w:lang w:val="es-ES_tradnl"/>
        </w:rPr>
        <w:t xml:space="preserve"> […]</w:t>
      </w:r>
    </w:p>
    <w:p w14:paraId="39DA46A6" w14:textId="77777777" w:rsidR="00296998" w:rsidRDefault="00296998" w:rsidP="00296998">
      <w:pPr>
        <w:ind w:left="709" w:right="709"/>
        <w:jc w:val="both"/>
        <w:rPr>
          <w:rFonts w:ascii="Arial" w:hAnsi="Arial" w:cs="Arial"/>
          <w:color w:val="000000" w:themeColor="text1"/>
          <w:sz w:val="21"/>
          <w:szCs w:val="21"/>
          <w:lang w:val="es-ES_tradnl"/>
        </w:rPr>
      </w:pPr>
    </w:p>
    <w:p w14:paraId="05D5218E" w14:textId="77777777" w:rsidR="00296998" w:rsidRDefault="00296998" w:rsidP="0029699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5C74F07E" w14:textId="77777777" w:rsidR="00296998" w:rsidRDefault="00296998" w:rsidP="00296998">
      <w:pPr>
        <w:ind w:left="709" w:right="709"/>
        <w:jc w:val="both"/>
        <w:rPr>
          <w:rFonts w:ascii="Arial" w:hAnsi="Arial" w:cs="Arial"/>
          <w:color w:val="000000" w:themeColor="text1"/>
          <w:sz w:val="21"/>
          <w:szCs w:val="21"/>
          <w:lang w:val="es-ES_tradnl"/>
        </w:rPr>
      </w:pPr>
    </w:p>
    <w:p w14:paraId="0D3AFC8D" w14:textId="77777777" w:rsidR="00296998" w:rsidRPr="00127EBF" w:rsidRDefault="00296998" w:rsidP="0029699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34741D">
        <w:rPr>
          <w:rFonts w:ascii="Arial" w:hAnsi="Arial" w:cs="Arial"/>
          <w:color w:val="000000" w:themeColor="text1"/>
          <w:sz w:val="21"/>
          <w:szCs w:val="21"/>
          <w:lang w:val="es-ES_tradnl"/>
        </w:rPr>
        <w:t>Teniendo en cuenta que a nivel societario la participación puede ser directa, como accionista, o indirecta como beneficiario último, agradecemos establecer si en su criterio cualquiera de las dos condiciones sería válida en el marco de la aplicación del numeral 2 del artículo 35 de la Ley 2069 de 2020</w:t>
      </w:r>
      <w:r>
        <w:rPr>
          <w:rFonts w:ascii="Arial" w:hAnsi="Arial" w:cs="Arial"/>
          <w:color w:val="000000" w:themeColor="text1"/>
          <w:sz w:val="21"/>
          <w:szCs w:val="21"/>
          <w:lang w:val="es-ES_tradnl"/>
        </w:rPr>
        <w:t>»</w:t>
      </w:r>
      <w:r w:rsidRPr="00127EBF">
        <w:rPr>
          <w:rFonts w:ascii="Arial" w:hAnsi="Arial" w:cs="Arial"/>
          <w:color w:val="000000" w:themeColor="text1"/>
          <w:sz w:val="21"/>
          <w:szCs w:val="21"/>
          <w:lang w:val="es-ES_tradnl"/>
        </w:rPr>
        <w:t>.</w:t>
      </w:r>
    </w:p>
    <w:p w14:paraId="2BA987F6" w14:textId="77777777" w:rsidR="00D23EA4" w:rsidRDefault="00D23EA4" w:rsidP="00D23EA4">
      <w:pPr>
        <w:spacing w:line="276" w:lineRule="auto"/>
        <w:jc w:val="both"/>
        <w:rPr>
          <w:rFonts w:ascii="Arial" w:eastAsia="Calibri" w:hAnsi="Arial" w:cs="Arial"/>
          <w:color w:val="000000" w:themeColor="text1"/>
          <w:sz w:val="22"/>
          <w:lang w:val="es-ES_tradnl"/>
        </w:rPr>
      </w:pPr>
    </w:p>
    <w:p w14:paraId="73A4CC7A" w14:textId="49E685D8" w:rsidR="00D23EA4" w:rsidRPr="00127EBF" w:rsidRDefault="00D23EA4" w:rsidP="00D23EA4">
      <w:pPr>
        <w:spacing w:line="276" w:lineRule="auto"/>
        <w:jc w:val="both"/>
        <w:rPr>
          <w:rFonts w:ascii="Arial" w:hAnsi="Arial" w:cs="Arial"/>
          <w:color w:val="000000" w:themeColor="text1"/>
          <w:sz w:val="22"/>
          <w:szCs w:val="22"/>
          <w:lang w:val="es-ES_tradnl"/>
        </w:rPr>
      </w:pPr>
      <w:r w:rsidRPr="00127EBF">
        <w:rPr>
          <w:rFonts w:ascii="Arial" w:eastAsia="Calibri" w:hAnsi="Arial" w:cs="Arial"/>
          <w:color w:val="000000" w:themeColor="text1"/>
          <w:sz w:val="22"/>
          <w:lang w:val="es-ES_tradnl"/>
        </w:rPr>
        <w:t xml:space="preserve">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la naturaleza que les confiere el artículo 230 de la Constitución Política y el artículo 28 de la Ley 1437 de 2011. En otras palabras, </w:t>
      </w:r>
      <w:r w:rsidRPr="00127EBF">
        <w:rPr>
          <w:rFonts w:ascii="Arial" w:eastAsia="Calibri" w:hAnsi="Arial" w:cs="Arial"/>
          <w:color w:val="000000" w:themeColor="text1"/>
          <w:sz w:val="22"/>
          <w:lang w:val="es-ES_tradnl"/>
        </w:rPr>
        <w:lastRenderedPageBreak/>
        <w:t>constituyen doctrina, y por lo tanto son criterios auxiliares para la interpretación y aplicación del derecho. De ahí que no sean obligatorios.</w:t>
      </w:r>
    </w:p>
    <w:p w14:paraId="14454ECC" w14:textId="77777777" w:rsidR="00D23EA4" w:rsidRDefault="00D23EA4" w:rsidP="00D23EA4">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w:t>
      </w:r>
    </w:p>
    <w:p w14:paraId="74BEF13E" w14:textId="41EC9FEE" w:rsidR="00955DFD" w:rsidRPr="00127EBF" w:rsidRDefault="00D23EA4" w:rsidP="00D23EA4">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 xml:space="preserve">Esto último es lo que sucede con </w:t>
      </w:r>
      <w:r>
        <w:rPr>
          <w:rFonts w:ascii="Arial" w:eastAsia="Calibri" w:hAnsi="Arial" w:cs="Arial"/>
          <w:color w:val="000000" w:themeColor="text1"/>
          <w:sz w:val="22"/>
          <w:lang w:val="es-ES_tradnl"/>
        </w:rPr>
        <w:t xml:space="preserve">el concepto de </w:t>
      </w:r>
      <w:r>
        <w:rPr>
          <w:rFonts w:ascii="Arial" w:eastAsia="Calibri" w:hAnsi="Arial" w:cs="Arial"/>
          <w:i/>
          <w:iCs/>
          <w:color w:val="000000" w:themeColor="text1"/>
          <w:sz w:val="22"/>
          <w:lang w:val="es-ES_tradnl"/>
        </w:rPr>
        <w:t>participación</w:t>
      </w:r>
      <w:r w:rsidRPr="00127EBF">
        <w:rPr>
          <w:rFonts w:ascii="Arial" w:eastAsia="Calibri" w:hAnsi="Arial" w:cs="Arial"/>
          <w:color w:val="000000" w:themeColor="text1"/>
          <w:sz w:val="22"/>
          <w:lang w:val="es-ES_tradnl"/>
        </w:rPr>
        <w:t>, contenid</w:t>
      </w:r>
      <w:r>
        <w:rPr>
          <w:rFonts w:ascii="Arial" w:eastAsia="Calibri" w:hAnsi="Arial" w:cs="Arial"/>
          <w:color w:val="000000" w:themeColor="text1"/>
          <w:sz w:val="22"/>
          <w:lang w:val="es-ES_tradnl"/>
        </w:rPr>
        <w:t>o</w:t>
      </w:r>
      <w:r w:rsidRPr="00127EBF">
        <w:rPr>
          <w:rFonts w:ascii="Arial" w:eastAsia="Calibri" w:hAnsi="Arial" w:cs="Arial"/>
          <w:color w:val="000000" w:themeColor="text1"/>
          <w:sz w:val="22"/>
          <w:lang w:val="es-ES_tradnl"/>
        </w:rPr>
        <w:t xml:space="preserve"> en el numeral </w:t>
      </w:r>
      <w:r>
        <w:rPr>
          <w:rFonts w:ascii="Arial" w:eastAsia="Calibri" w:hAnsi="Arial" w:cs="Arial"/>
          <w:color w:val="000000" w:themeColor="text1"/>
          <w:sz w:val="22"/>
          <w:lang w:val="es-ES_tradnl"/>
        </w:rPr>
        <w:t>2</w:t>
      </w:r>
      <w:r w:rsidRPr="00127EBF">
        <w:rPr>
          <w:rFonts w:ascii="Arial" w:eastAsia="Calibri" w:hAnsi="Arial" w:cs="Arial"/>
          <w:color w:val="000000" w:themeColor="text1"/>
          <w:sz w:val="22"/>
          <w:lang w:val="es-ES_tradnl"/>
        </w:rPr>
        <w:t xml:space="preserve"> del artículo 35 de la Ley 2069 de 2020. Al ser una Ley recientemente expedida y no existir reglamentación, ni jurisprudencia, que haya acotado tal concepto, la Agencia realiza su interpretación </w:t>
      </w:r>
      <w:r w:rsidRPr="00127EBF">
        <w:rPr>
          <w:rFonts w:ascii="Arial" w:eastAsia="Calibri" w:hAnsi="Arial" w:cs="Arial"/>
          <w:i/>
          <w:iCs/>
          <w:color w:val="000000" w:themeColor="text1"/>
          <w:sz w:val="22"/>
          <w:lang w:val="es-ES_tradnl"/>
        </w:rPr>
        <w:t>prima facie</w:t>
      </w:r>
      <w:r w:rsidRPr="00127EBF">
        <w:rPr>
          <w:rFonts w:ascii="Arial" w:eastAsia="Calibri" w:hAnsi="Arial" w:cs="Arial"/>
          <w:color w:val="000000" w:themeColor="text1"/>
          <w:sz w:val="22"/>
          <w:lang w:val="es-ES_tradnl"/>
        </w:rPr>
        <w:t>. Sin embargo, se reitera, dicha interpretación no es vinculante, ni niega que pueda haber otras interpretaciones.</w:t>
      </w:r>
      <w:r>
        <w:rPr>
          <w:rFonts w:ascii="Arial" w:eastAsia="Calibri" w:hAnsi="Arial" w:cs="Arial"/>
          <w:color w:val="000000" w:themeColor="text1"/>
          <w:sz w:val="22"/>
          <w:lang w:val="es-ES_tradnl"/>
        </w:rPr>
        <w:t xml:space="preserve"> En tal sentido, Colombia Compra Eficiente entiende que cuando el numeral 2 del artículo 35 exige la </w:t>
      </w:r>
      <w:r w:rsidRPr="004F639F">
        <w:rPr>
          <w:rFonts w:ascii="Arial" w:eastAsia="Calibri" w:hAnsi="Arial" w:cs="Arial"/>
          <w:i/>
          <w:iCs/>
          <w:color w:val="000000" w:themeColor="text1"/>
          <w:sz w:val="22"/>
          <w:lang w:val="es-ES_tradnl"/>
        </w:rPr>
        <w:t>participación</w:t>
      </w:r>
      <w:r>
        <w:rPr>
          <w:rFonts w:ascii="Arial" w:eastAsia="Calibri" w:hAnsi="Arial" w:cs="Arial"/>
          <w:color w:val="000000" w:themeColor="text1"/>
          <w:sz w:val="22"/>
          <w:lang w:val="es-ES_tradnl"/>
        </w:rPr>
        <w:t xml:space="preserve"> mayoritaria de la mujer cabeza de familia o de las mujeres víctimas de la violencia intrafamiliar, para beneficiar con la aplicación de este factor de desempate a las personas jurídicas y a los proponentes plurales, el concepto de participación se refiere a </w:t>
      </w:r>
      <w:r w:rsidRPr="00C27556">
        <w:rPr>
          <w:rFonts w:ascii="Arial" w:hAnsi="Arial" w:cs="Arial"/>
          <w:color w:val="000000" w:themeColor="text1"/>
          <w:sz w:val="22"/>
          <w:szCs w:val="22"/>
          <w:lang w:val="es-ES_tradnl"/>
        </w:rPr>
        <w:t>tomar parte</w:t>
      </w:r>
      <w:r>
        <w:rPr>
          <w:rFonts w:ascii="Arial" w:hAnsi="Arial" w:cs="Arial"/>
          <w:color w:val="000000" w:themeColor="text1"/>
          <w:sz w:val="22"/>
          <w:szCs w:val="22"/>
          <w:lang w:val="es-ES_tradnl"/>
        </w:rPr>
        <w:t xml:space="preserve"> </w:t>
      </w:r>
      <w:r w:rsidRPr="00200A5C">
        <w:rPr>
          <w:rFonts w:ascii="Arial" w:hAnsi="Arial" w:cs="Arial"/>
          <w:i/>
          <w:iCs/>
          <w:color w:val="000000" w:themeColor="text1"/>
          <w:sz w:val="22"/>
          <w:szCs w:val="22"/>
          <w:lang w:val="es-ES_tradnl"/>
        </w:rPr>
        <w:t>directa</w:t>
      </w:r>
      <w:r w:rsidRPr="00C27556">
        <w:rPr>
          <w:rFonts w:ascii="Arial" w:hAnsi="Arial" w:cs="Arial"/>
          <w:color w:val="000000" w:themeColor="text1"/>
          <w:sz w:val="22"/>
          <w:szCs w:val="22"/>
          <w:lang w:val="es-ES_tradnl"/>
        </w:rPr>
        <w:t xml:space="preserve"> en la sociedad o proponente plural, de acuerdo al aporte en dinero o trabajo</w:t>
      </w:r>
      <w:r>
        <w:rPr>
          <w:rFonts w:ascii="Arial" w:hAnsi="Arial" w:cs="Arial"/>
          <w:color w:val="000000" w:themeColor="text1"/>
          <w:sz w:val="22"/>
          <w:szCs w:val="22"/>
          <w:lang w:val="es-ES_tradnl"/>
        </w:rPr>
        <w:t>.</w:t>
      </w:r>
      <w:r>
        <w:rPr>
          <w:rFonts w:ascii="Arial" w:eastAsia="Calibri" w:hAnsi="Arial" w:cs="Arial"/>
          <w:color w:val="000000" w:themeColor="text1"/>
          <w:sz w:val="22"/>
          <w:lang w:val="es-ES_tradnl"/>
        </w:rPr>
        <w:t xml:space="preserve"> Lo anterior por cuanto el sentido de la Ley de </w:t>
      </w:r>
      <w:r w:rsidRPr="00200A5C">
        <w:rPr>
          <w:rFonts w:ascii="Arial" w:eastAsia="Calibri" w:hAnsi="Arial" w:cs="Arial"/>
          <w:i/>
          <w:iCs/>
          <w:color w:val="000000" w:themeColor="text1"/>
          <w:sz w:val="22"/>
          <w:lang w:val="es-ES_tradnl"/>
        </w:rPr>
        <w:t>emprendimiento</w:t>
      </w:r>
      <w:r>
        <w:rPr>
          <w:rFonts w:ascii="Arial" w:eastAsia="Calibri" w:hAnsi="Arial" w:cs="Arial"/>
          <w:color w:val="000000" w:themeColor="text1"/>
          <w:sz w:val="22"/>
          <w:lang w:val="es-ES_tradnl"/>
        </w:rPr>
        <w:t xml:space="preserve"> es, según el artículo 1, «</w:t>
      </w:r>
      <w:r w:rsidRPr="00DF08B0">
        <w:rPr>
          <w:rFonts w:ascii="Arial" w:eastAsia="Calibri" w:hAnsi="Arial" w:cs="Arial"/>
          <w:color w:val="000000" w:themeColor="text1"/>
          <w:sz w:val="22"/>
          <w:lang w:val="es-ES_tradnl"/>
        </w:rPr>
        <w:t>establecer un marc</w:t>
      </w:r>
      <w:r>
        <w:rPr>
          <w:rFonts w:ascii="Arial" w:eastAsia="Calibri" w:hAnsi="Arial" w:cs="Arial"/>
          <w:color w:val="000000" w:themeColor="text1"/>
          <w:sz w:val="22"/>
          <w:lang w:val="es-ES_tradnl"/>
        </w:rPr>
        <w:t xml:space="preserve">o </w:t>
      </w:r>
      <w:r w:rsidRPr="00DF08B0">
        <w:rPr>
          <w:rFonts w:ascii="Arial" w:eastAsia="Calibri" w:hAnsi="Arial" w:cs="Arial"/>
          <w:color w:val="000000" w:themeColor="text1"/>
          <w:sz w:val="22"/>
          <w:lang w:val="es-ES_tradnl"/>
        </w:rPr>
        <w:t>regulatorio que propicie el emprendimiento y el crecimiento, consolidación y</w:t>
      </w:r>
      <w:r>
        <w:rPr>
          <w:rFonts w:ascii="Arial" w:eastAsia="Calibri" w:hAnsi="Arial" w:cs="Arial"/>
          <w:color w:val="000000" w:themeColor="text1"/>
          <w:sz w:val="22"/>
          <w:lang w:val="es-ES_tradnl"/>
        </w:rPr>
        <w:t xml:space="preserve"> </w:t>
      </w:r>
      <w:r w:rsidRPr="00DF08B0">
        <w:rPr>
          <w:rFonts w:ascii="Arial" w:eastAsia="Calibri" w:hAnsi="Arial" w:cs="Arial"/>
          <w:color w:val="000000" w:themeColor="text1"/>
          <w:sz w:val="22"/>
          <w:lang w:val="es-ES_tradnl"/>
        </w:rPr>
        <w:t>sostenibilidad de las empresas, con el</w:t>
      </w:r>
      <w:r>
        <w:rPr>
          <w:rFonts w:ascii="Arial" w:eastAsia="Calibri" w:hAnsi="Arial" w:cs="Arial"/>
          <w:color w:val="000000" w:themeColor="text1"/>
          <w:sz w:val="22"/>
          <w:lang w:val="es-ES_tradnl"/>
        </w:rPr>
        <w:t xml:space="preserve"> </w:t>
      </w:r>
      <w:r w:rsidRPr="00DF08B0">
        <w:rPr>
          <w:rFonts w:ascii="Arial" w:eastAsia="Calibri" w:hAnsi="Arial" w:cs="Arial"/>
          <w:color w:val="000000" w:themeColor="text1"/>
          <w:sz w:val="22"/>
          <w:lang w:val="es-ES_tradnl"/>
        </w:rPr>
        <w:t>fin de aumentar el bienestar social y generar</w:t>
      </w:r>
      <w:r>
        <w:rPr>
          <w:rFonts w:ascii="Arial" w:eastAsia="Calibri" w:hAnsi="Arial" w:cs="Arial"/>
          <w:color w:val="000000" w:themeColor="text1"/>
          <w:sz w:val="22"/>
          <w:lang w:val="es-ES_tradnl"/>
        </w:rPr>
        <w:t xml:space="preserve"> </w:t>
      </w:r>
      <w:r w:rsidRPr="00DF08B0">
        <w:rPr>
          <w:rFonts w:ascii="Arial" w:eastAsia="Calibri" w:hAnsi="Arial" w:cs="Arial"/>
          <w:color w:val="000000" w:themeColor="text1"/>
          <w:sz w:val="22"/>
          <w:lang w:val="es-ES_tradnl"/>
        </w:rPr>
        <w:t>equidad</w:t>
      </w:r>
      <w:r>
        <w:rPr>
          <w:rFonts w:ascii="Arial" w:eastAsia="Calibri" w:hAnsi="Arial" w:cs="Arial"/>
          <w:color w:val="000000" w:themeColor="text1"/>
          <w:sz w:val="22"/>
          <w:lang w:val="es-ES_tradnl"/>
        </w:rPr>
        <w:t xml:space="preserve">». Por lo tanto, esta Agencia considera que la interpretación que más se aviene con este objetivo es comprender el concepto de participación, en el artículo 35, numeral 2, de la Ley 2069 de 2020 como la participación directa </w:t>
      </w:r>
      <w:r>
        <w:rPr>
          <w:rFonts w:ascii="Arial" w:hAnsi="Arial" w:cs="Arial"/>
          <w:color w:val="000000" w:themeColor="text1"/>
          <w:sz w:val="22"/>
          <w:szCs w:val="22"/>
          <w:lang w:val="es-ES_tradnl"/>
        </w:rPr>
        <w:t>en</w:t>
      </w:r>
      <w:r w:rsidRPr="005419DA">
        <w:rPr>
          <w:rFonts w:ascii="Arial" w:hAnsi="Arial" w:cs="Arial"/>
          <w:color w:val="000000" w:themeColor="text1"/>
          <w:sz w:val="22"/>
          <w:szCs w:val="22"/>
          <w:lang w:val="es-ES_tradnl"/>
        </w:rPr>
        <w:t xml:space="preserve"> las utilidades de la sociedad, </w:t>
      </w:r>
      <w:r>
        <w:rPr>
          <w:rFonts w:ascii="Arial" w:hAnsi="Arial" w:cs="Arial"/>
          <w:color w:val="000000" w:themeColor="text1"/>
          <w:sz w:val="22"/>
          <w:szCs w:val="22"/>
          <w:lang w:val="es-ES_tradnl"/>
        </w:rPr>
        <w:t>según la proporción accionaria</w:t>
      </w:r>
      <w:r w:rsidRPr="005419DA">
        <w:rPr>
          <w:rFonts w:ascii="Arial" w:hAnsi="Arial" w:cs="Arial"/>
          <w:color w:val="000000" w:themeColor="text1"/>
          <w:sz w:val="22"/>
          <w:szCs w:val="22"/>
          <w:lang w:val="es-ES_tradnl"/>
        </w:rPr>
        <w:t xml:space="preserve"> –en las sociedades por acciones– o de acuerdo a la industria o trabajo personal del socio –como sucede usualmente en las sociedades de personas–</w:t>
      </w:r>
      <w:r>
        <w:rPr>
          <w:rFonts w:ascii="Arial" w:hAnsi="Arial" w:cs="Arial"/>
          <w:color w:val="000000" w:themeColor="text1"/>
          <w:sz w:val="22"/>
          <w:szCs w:val="22"/>
          <w:lang w:val="es-ES_tradnl"/>
        </w:rPr>
        <w:t>.</w:t>
      </w:r>
      <w:r w:rsidR="00431D91" w:rsidRPr="00127EBF">
        <w:rPr>
          <w:rFonts w:ascii="Arial" w:eastAsia="Calibri" w:hAnsi="Arial" w:cs="Arial"/>
          <w:color w:val="000000" w:themeColor="text1"/>
          <w:sz w:val="22"/>
          <w:lang w:val="es-ES_tradnl"/>
        </w:rPr>
        <w:t xml:space="preserve"> </w:t>
      </w:r>
      <w:r w:rsidR="00007D87" w:rsidRPr="00127EBF">
        <w:rPr>
          <w:rFonts w:ascii="Arial" w:eastAsia="Calibri" w:hAnsi="Arial" w:cs="Arial"/>
          <w:color w:val="000000" w:themeColor="text1"/>
          <w:sz w:val="22"/>
          <w:lang w:val="es-ES_tradnl"/>
        </w:rPr>
        <w:t xml:space="preserve"> </w:t>
      </w:r>
      <w:r w:rsidR="00BF5660" w:rsidRPr="00127EBF">
        <w:rPr>
          <w:rFonts w:ascii="Arial" w:eastAsia="Calibri" w:hAnsi="Arial" w:cs="Arial"/>
          <w:color w:val="000000" w:themeColor="text1"/>
          <w:sz w:val="22"/>
          <w:lang w:val="es-ES_tradnl"/>
        </w:rPr>
        <w:t xml:space="preserve"> </w:t>
      </w:r>
      <w:r w:rsidR="00DE4B3F" w:rsidRPr="00127EBF">
        <w:rPr>
          <w:rFonts w:ascii="Arial" w:eastAsia="Calibri" w:hAnsi="Arial" w:cs="Arial"/>
          <w:color w:val="000000" w:themeColor="text1"/>
          <w:sz w:val="22"/>
          <w:lang w:val="es-ES_tradnl"/>
        </w:rPr>
        <w:t xml:space="preserve"> </w:t>
      </w:r>
    </w:p>
    <w:p w14:paraId="4656714E" w14:textId="77777777" w:rsidR="00D23EA4" w:rsidRDefault="00D23EA4" w:rsidP="00DF76A2">
      <w:pPr>
        <w:spacing w:line="276" w:lineRule="auto"/>
        <w:jc w:val="both"/>
        <w:rPr>
          <w:rFonts w:ascii="Arial" w:hAnsi="Arial" w:cs="Arial"/>
          <w:color w:val="000000" w:themeColor="text1"/>
          <w:sz w:val="22"/>
          <w:lang w:val="es-ES_tradnl"/>
        </w:rPr>
      </w:pPr>
    </w:p>
    <w:p w14:paraId="7B2C921D" w14:textId="2DC053AA" w:rsidR="00DD5B04" w:rsidRPr="00127EBF" w:rsidRDefault="00DD5B04" w:rsidP="00DF76A2">
      <w:pPr>
        <w:spacing w:line="276" w:lineRule="auto"/>
        <w:jc w:val="both"/>
        <w:rPr>
          <w:rFonts w:ascii="Arial" w:hAnsi="Arial" w:cs="Arial"/>
          <w:color w:val="000000" w:themeColor="text1"/>
          <w:sz w:val="22"/>
          <w:lang w:val="es-ES_tradnl"/>
        </w:rPr>
      </w:pPr>
      <w:r w:rsidRPr="00127EB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127EB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127EB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27EBF">
        <w:rPr>
          <w:rFonts w:ascii="Arial" w:hAnsi="Arial" w:cs="Arial"/>
          <w:color w:val="000000" w:themeColor="text1"/>
          <w:sz w:val="22"/>
          <w:szCs w:val="22"/>
          <w:lang w:val="es-ES_tradnl"/>
        </w:rPr>
        <w:t>Atentamente,</w:t>
      </w:r>
    </w:p>
    <w:p w14:paraId="692FC307" w14:textId="210AA6B5" w:rsidR="00921304" w:rsidRPr="00127EB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EB0E24D" w:rsidR="00921304" w:rsidRPr="00127EBF" w:rsidRDefault="002A7C7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lastRenderedPageBreak/>
        <w:drawing>
          <wp:inline distT="0" distB="0" distL="0" distR="0" wp14:anchorId="12E6A022" wp14:editId="3499EB14">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127EBF" w:rsidRDefault="00425C43" w:rsidP="00B37657">
      <w:pPr>
        <w:jc w:val="center"/>
        <w:rPr>
          <w:rFonts w:ascii="Arial" w:hAnsi="Arial" w:cs="Arial"/>
          <w:color w:val="000000" w:themeColor="text1"/>
          <w:sz w:val="18"/>
          <w:szCs w:val="20"/>
          <w:lang w:val="es-ES_tradnl" w:eastAsia="es-CO"/>
        </w:rPr>
      </w:pPr>
    </w:p>
    <w:p w14:paraId="49730030" w14:textId="217D35F3" w:rsidR="00DD5B04" w:rsidRPr="00127EBF"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127EBF" w14:paraId="0C7DC5F7" w14:textId="77777777" w:rsidTr="008F4163">
        <w:trPr>
          <w:trHeight w:val="315"/>
        </w:trPr>
        <w:tc>
          <w:tcPr>
            <w:tcW w:w="812" w:type="dxa"/>
            <w:vAlign w:val="center"/>
            <w:hideMark/>
          </w:tcPr>
          <w:p w14:paraId="5BDB1AC9"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Cristian Andrés Díaz Díez</w:t>
            </w:r>
          </w:p>
          <w:p w14:paraId="240C71FD" w14:textId="31312C95"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Contratista</w:t>
            </w:r>
            <w:r w:rsidR="00FF0050" w:rsidRPr="00127EBF">
              <w:rPr>
                <w:rFonts w:ascii="Arial" w:hAnsi="Arial" w:cs="Arial"/>
                <w:color w:val="000000" w:themeColor="text1"/>
                <w:sz w:val="16"/>
                <w:szCs w:val="16"/>
                <w:lang w:val="es-ES_tradnl" w:eastAsia="es-ES"/>
              </w:rPr>
              <w:t xml:space="preserve"> de la </w:t>
            </w:r>
            <w:r w:rsidRPr="00127EBF">
              <w:rPr>
                <w:rFonts w:ascii="Arial" w:hAnsi="Arial" w:cs="Arial"/>
                <w:color w:val="000000" w:themeColor="text1"/>
                <w:sz w:val="16"/>
                <w:szCs w:val="16"/>
                <w:lang w:val="es-ES_tradnl" w:eastAsia="es-ES"/>
              </w:rPr>
              <w:t>Subdirección de Gestión Contractual</w:t>
            </w:r>
          </w:p>
        </w:tc>
      </w:tr>
      <w:tr w:rsidR="00DD5B04" w:rsidRPr="00127EBF" w14:paraId="2F8FD650" w14:textId="77777777" w:rsidTr="008F4163">
        <w:trPr>
          <w:trHeight w:val="330"/>
        </w:trPr>
        <w:tc>
          <w:tcPr>
            <w:tcW w:w="812" w:type="dxa"/>
            <w:vAlign w:val="center"/>
            <w:hideMark/>
          </w:tcPr>
          <w:p w14:paraId="50203A0B"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AC1569" w14:textId="77777777" w:rsidR="00804C65" w:rsidRPr="00804C65" w:rsidRDefault="00804C65" w:rsidP="00804C65">
            <w:pPr>
              <w:jc w:val="both"/>
              <w:rPr>
                <w:rFonts w:ascii="Arial" w:hAnsi="Arial" w:cs="Arial"/>
                <w:color w:val="000000" w:themeColor="text1"/>
                <w:sz w:val="16"/>
                <w:szCs w:val="16"/>
                <w:lang w:val="es-ES_tradnl" w:eastAsia="es-ES"/>
              </w:rPr>
            </w:pPr>
            <w:r w:rsidRPr="00804C65">
              <w:rPr>
                <w:rFonts w:ascii="Arial" w:hAnsi="Arial" w:cs="Arial"/>
                <w:color w:val="000000" w:themeColor="text1"/>
                <w:sz w:val="16"/>
                <w:szCs w:val="16"/>
                <w:lang w:val="es-ES_tradnl" w:eastAsia="es-ES"/>
              </w:rPr>
              <w:t>Juan David Montoya Penagos</w:t>
            </w:r>
          </w:p>
          <w:p w14:paraId="130B3228" w14:textId="57BE0621" w:rsidR="00DD5B04" w:rsidRPr="00127EBF" w:rsidRDefault="00804C65" w:rsidP="00804C65">
            <w:pPr>
              <w:jc w:val="both"/>
              <w:rPr>
                <w:rFonts w:ascii="Arial" w:hAnsi="Arial" w:cs="Arial"/>
                <w:color w:val="000000" w:themeColor="text1"/>
                <w:sz w:val="16"/>
                <w:szCs w:val="16"/>
                <w:lang w:val="es-ES_tradnl" w:eastAsia="es-ES"/>
              </w:rPr>
            </w:pPr>
            <w:r w:rsidRPr="00804C65">
              <w:rPr>
                <w:rFonts w:ascii="Arial" w:hAnsi="Arial" w:cs="Arial"/>
                <w:color w:val="000000" w:themeColor="text1"/>
                <w:sz w:val="16"/>
                <w:szCs w:val="16"/>
                <w:lang w:val="es-ES_tradnl" w:eastAsia="es-ES"/>
              </w:rPr>
              <w:t>Gestor T1-15 de la Subdirección de Gestión Contractual</w:t>
            </w:r>
          </w:p>
        </w:tc>
      </w:tr>
      <w:tr w:rsidR="00DD5B04" w:rsidRPr="00127EBF" w14:paraId="0FCBCA4A" w14:textId="77777777" w:rsidTr="008F4163">
        <w:trPr>
          <w:trHeight w:val="300"/>
        </w:trPr>
        <w:tc>
          <w:tcPr>
            <w:tcW w:w="812" w:type="dxa"/>
            <w:vAlign w:val="center"/>
            <w:hideMark/>
          </w:tcPr>
          <w:p w14:paraId="3C1D943A"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127EBF" w:rsidRDefault="00C05A61"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 xml:space="preserve">Jorge </w:t>
            </w:r>
            <w:r w:rsidR="00647A36" w:rsidRPr="00127EBF">
              <w:rPr>
                <w:rFonts w:ascii="Arial" w:hAnsi="Arial" w:cs="Arial"/>
                <w:color w:val="000000" w:themeColor="text1"/>
                <w:sz w:val="16"/>
                <w:szCs w:val="16"/>
                <w:lang w:val="es-ES_tradnl" w:eastAsia="es-ES"/>
              </w:rPr>
              <w:t xml:space="preserve">Augusto </w:t>
            </w:r>
            <w:r w:rsidRPr="00127EBF">
              <w:rPr>
                <w:rFonts w:ascii="Arial" w:hAnsi="Arial" w:cs="Arial"/>
                <w:color w:val="000000" w:themeColor="text1"/>
                <w:sz w:val="16"/>
                <w:szCs w:val="16"/>
                <w:lang w:val="es-ES_tradnl" w:eastAsia="es-ES"/>
              </w:rPr>
              <w:t>Tirado Navarro</w:t>
            </w:r>
          </w:p>
          <w:p w14:paraId="1ADC483B" w14:textId="2E3B66D0"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Subdirector de Gestión Contractual</w:t>
            </w:r>
            <w:r w:rsidR="008201DE" w:rsidRPr="00127EBF">
              <w:rPr>
                <w:rFonts w:ascii="Arial" w:hAnsi="Arial" w:cs="Arial"/>
                <w:color w:val="000000" w:themeColor="text1"/>
                <w:sz w:val="16"/>
                <w:szCs w:val="16"/>
                <w:lang w:val="es-ES_tradnl" w:eastAsia="es-ES"/>
              </w:rPr>
              <w:t xml:space="preserve"> ANCP – CCE</w:t>
            </w:r>
          </w:p>
        </w:tc>
      </w:tr>
    </w:tbl>
    <w:p w14:paraId="35B56F46" w14:textId="77777777" w:rsidR="00746E08" w:rsidRPr="00127EBF" w:rsidRDefault="00746E08" w:rsidP="00215B8E">
      <w:pPr>
        <w:jc w:val="both"/>
        <w:rPr>
          <w:rFonts w:ascii="Arial" w:hAnsi="Arial" w:cs="Arial"/>
          <w:lang w:val="es-ES_tradnl"/>
        </w:rPr>
      </w:pPr>
    </w:p>
    <w:sectPr w:rsidR="00746E08" w:rsidRPr="00127EB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1EF00" w14:textId="77777777" w:rsidR="00CB3D2C" w:rsidRDefault="00CB3D2C">
      <w:r>
        <w:separator/>
      </w:r>
    </w:p>
  </w:endnote>
  <w:endnote w:type="continuationSeparator" w:id="0">
    <w:p w14:paraId="4B6A2FFB" w14:textId="77777777" w:rsidR="00CB3D2C" w:rsidRDefault="00CB3D2C">
      <w:r>
        <w:continuationSeparator/>
      </w:r>
    </w:p>
  </w:endnote>
  <w:endnote w:type="continuationNotice" w:id="1">
    <w:p w14:paraId="25360454" w14:textId="77777777" w:rsidR="00CB3D2C" w:rsidRDefault="00CB3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23D32" w14:textId="77777777" w:rsidR="00CB3D2C" w:rsidRDefault="00CB3D2C">
      <w:r>
        <w:separator/>
      </w:r>
    </w:p>
  </w:footnote>
  <w:footnote w:type="continuationSeparator" w:id="0">
    <w:p w14:paraId="36790BDF" w14:textId="77777777" w:rsidR="00CB3D2C" w:rsidRDefault="00CB3D2C">
      <w:r>
        <w:continuationSeparator/>
      </w:r>
    </w:p>
  </w:footnote>
  <w:footnote w:type="continuationNotice" w:id="1">
    <w:p w14:paraId="2D967264" w14:textId="77777777" w:rsidR="00CB3D2C" w:rsidRDefault="00CB3D2C"/>
  </w:footnote>
  <w:footnote w:id="2">
    <w:p w14:paraId="3FB0E2AD" w14:textId="77777777" w:rsidR="00377A98" w:rsidRDefault="00377A98" w:rsidP="00377A98">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7FF4EBC6" w14:textId="77777777" w:rsidR="00377A98" w:rsidRPr="003A4125" w:rsidRDefault="00377A98" w:rsidP="00377A98">
      <w:pPr>
        <w:pStyle w:val="Textonotapie"/>
        <w:ind w:firstLine="709"/>
        <w:jc w:val="both"/>
        <w:rPr>
          <w:rFonts w:ascii="Arial" w:hAnsi="Arial" w:cs="Arial"/>
          <w:sz w:val="19"/>
          <w:szCs w:val="19"/>
        </w:rPr>
      </w:pPr>
    </w:p>
  </w:footnote>
  <w:footnote w:id="3">
    <w:p w14:paraId="7205FE77" w14:textId="1312301A" w:rsidR="00377A98" w:rsidRDefault="00377A98" w:rsidP="00377A98">
      <w:pPr>
        <w:pStyle w:val="Textonotapie"/>
        <w:ind w:firstLine="708"/>
        <w:rPr>
          <w:rFonts w:ascii="Arial" w:hAnsi="Arial" w:cs="Arial"/>
          <w:sz w:val="19"/>
          <w:szCs w:val="19"/>
        </w:rPr>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p w14:paraId="3BCC0C38" w14:textId="77777777" w:rsidR="00BD3FFE" w:rsidRDefault="00BD3FFE" w:rsidP="00377A98">
      <w:pPr>
        <w:pStyle w:val="Textonotapie"/>
        <w:ind w:firstLine="708"/>
      </w:pPr>
    </w:p>
  </w:footnote>
  <w:footnote w:id="4">
    <w:p w14:paraId="6B001F07" w14:textId="77777777" w:rsidR="00377A98" w:rsidRPr="008815AB" w:rsidRDefault="00377A98" w:rsidP="00377A98">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5">
    <w:p w14:paraId="7EB33CDC" w14:textId="77777777" w:rsidR="00377A98" w:rsidRPr="008815AB" w:rsidRDefault="00377A98" w:rsidP="00377A98">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w:t>
      </w:r>
      <w:r w:rsidRPr="008815AB">
        <w:rPr>
          <w:rFonts w:ascii="Arial" w:hAnsi="Arial" w:cs="Arial"/>
          <w:sz w:val="19"/>
          <w:szCs w:val="19"/>
        </w:rPr>
        <w:t xml:space="preserve">hipervínculo: </w:t>
      </w:r>
      <w:r w:rsidR="00F846CE">
        <w:fldChar w:fldCharType="begin"/>
      </w:r>
      <w:r w:rsidR="00F846CE">
        <w:instrText xml:space="preserve"> HYPERLINK "about:blank" </w:instrText>
      </w:r>
      <w:r w:rsidR="00F846CE">
        <w:fldChar w:fldCharType="separate"/>
      </w:r>
      <w:r w:rsidRPr="008815AB">
        <w:rPr>
          <w:rStyle w:val="Hipervnculo"/>
          <w:rFonts w:ascii="Arial" w:hAnsi="Arial" w:cs="Arial"/>
          <w:color w:val="auto"/>
          <w:sz w:val="19"/>
          <w:szCs w:val="19"/>
        </w:rPr>
        <w:t>https://issuu.com/estudiolegalhernandez/docs/ahb._funci__n_consultiva_y_consejo_</w:t>
      </w:r>
      <w:r w:rsidR="00F846CE">
        <w:rPr>
          <w:rStyle w:val="Hipervnculo"/>
          <w:rFonts w:ascii="Arial" w:hAnsi="Arial" w:cs="Arial"/>
          <w:color w:val="auto"/>
          <w:sz w:val="19"/>
          <w:szCs w:val="19"/>
        </w:rPr>
        <w:fldChar w:fldCharType="end"/>
      </w:r>
      <w:r w:rsidRPr="008815AB">
        <w:rPr>
          <w:rFonts w:ascii="Arial" w:hAnsi="Arial" w:cs="Arial"/>
          <w:sz w:val="19"/>
          <w:szCs w:val="19"/>
        </w:rPr>
        <w:t>.</w:t>
      </w:r>
    </w:p>
    <w:p w14:paraId="3D32C4B9" w14:textId="77777777" w:rsidR="00377A98" w:rsidRPr="008815AB" w:rsidRDefault="00377A98" w:rsidP="00377A98">
      <w:pPr>
        <w:pStyle w:val="Textonotapie"/>
        <w:ind w:firstLine="709"/>
        <w:jc w:val="both"/>
        <w:rPr>
          <w:rFonts w:ascii="Arial" w:hAnsi="Arial" w:cs="Arial"/>
          <w:sz w:val="19"/>
          <w:szCs w:val="19"/>
        </w:rPr>
      </w:pPr>
    </w:p>
  </w:footnote>
  <w:footnote w:id="6">
    <w:p w14:paraId="5FB1D056" w14:textId="77777777" w:rsidR="00377A98" w:rsidRPr="008815AB" w:rsidRDefault="00377A98" w:rsidP="00377A98">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w:t>
      </w:r>
      <w:r w:rsidRPr="008815AB">
        <w:rPr>
          <w:rFonts w:ascii="Arial" w:hAnsi="Arial" w:cs="Arial"/>
          <w:sz w:val="19"/>
          <w:szCs w:val="19"/>
        </w:rPr>
        <w:t>Consejo de Estado. Sala de Consulta y Servicio Civil. Concepto del 5 de octubre de 2009. Expediente 11001-03-06-000-2009-00049-00(1966). C.P. William Zambrano Cetina.</w:t>
      </w:r>
    </w:p>
  </w:footnote>
  <w:footnote w:id="7">
    <w:p w14:paraId="6CB661EA" w14:textId="77777777" w:rsidR="008C1918" w:rsidRPr="00EA10E4" w:rsidRDefault="008C1918" w:rsidP="008C1918">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EA10E4" w:rsidRDefault="008C1918" w:rsidP="008C1918">
      <w:pPr>
        <w:pStyle w:val="Textonotapie"/>
        <w:ind w:firstLine="709"/>
        <w:jc w:val="both"/>
        <w:rPr>
          <w:rFonts w:ascii="Arial" w:hAnsi="Arial" w:cs="Arial"/>
          <w:sz w:val="19"/>
          <w:szCs w:val="19"/>
          <w:lang w:val="es-ES"/>
        </w:rPr>
      </w:pPr>
    </w:p>
  </w:footnote>
  <w:footnote w:id="8">
    <w:p w14:paraId="2906F437"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0AD3B7A1" w14:textId="77777777" w:rsidR="005244FC" w:rsidRPr="008640C4" w:rsidRDefault="005244FC" w:rsidP="005244FC">
      <w:pPr>
        <w:pStyle w:val="Textonotapie"/>
        <w:ind w:firstLine="709"/>
        <w:jc w:val="both"/>
        <w:rPr>
          <w:rFonts w:ascii="Arial" w:hAnsi="Arial" w:cs="Arial"/>
          <w:sz w:val="19"/>
          <w:szCs w:val="19"/>
          <w:lang w:val="es-ES"/>
        </w:rPr>
      </w:pPr>
    </w:p>
  </w:footnote>
  <w:footnote w:id="9">
    <w:p w14:paraId="77384033"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8640C4" w:rsidRDefault="005244FC" w:rsidP="005244FC">
      <w:pPr>
        <w:pStyle w:val="Textonotapie"/>
        <w:ind w:firstLine="709"/>
        <w:jc w:val="both"/>
        <w:rPr>
          <w:rFonts w:ascii="Arial" w:hAnsi="Arial" w:cs="Arial"/>
          <w:sz w:val="19"/>
          <w:szCs w:val="19"/>
          <w:lang w:val="es-CO"/>
        </w:rPr>
      </w:pPr>
    </w:p>
  </w:footnote>
  <w:footnote w:id="10">
    <w:p w14:paraId="4077756D"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1E0AFD6" w14:textId="77777777" w:rsidR="00EA0455" w:rsidRPr="008640C4" w:rsidRDefault="00EA0455" w:rsidP="00EA0455">
      <w:pPr>
        <w:pStyle w:val="Textonotapie"/>
        <w:ind w:firstLine="709"/>
        <w:jc w:val="both"/>
        <w:rPr>
          <w:rFonts w:ascii="Arial" w:hAnsi="Arial" w:cs="Arial"/>
          <w:sz w:val="19"/>
          <w:szCs w:val="19"/>
          <w:lang w:val="es-ES"/>
        </w:rPr>
      </w:pPr>
    </w:p>
  </w:footnote>
  <w:footnote w:id="11">
    <w:p w14:paraId="63C68B64"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52DE75AF" w14:textId="77777777" w:rsidR="00EA0455" w:rsidRPr="008640C4" w:rsidRDefault="00EA0455" w:rsidP="00EA0455">
      <w:pPr>
        <w:pStyle w:val="Textonotapie"/>
        <w:ind w:firstLine="709"/>
        <w:jc w:val="both"/>
        <w:rPr>
          <w:rFonts w:ascii="Arial" w:hAnsi="Arial" w:cs="Arial"/>
          <w:sz w:val="19"/>
          <w:szCs w:val="19"/>
          <w:lang w:val="es-ES"/>
        </w:rPr>
      </w:pPr>
    </w:p>
  </w:footnote>
  <w:footnote w:id="12">
    <w:p w14:paraId="3B55AC2B"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0BAAF2F" w14:textId="77777777" w:rsidR="00EA0455" w:rsidRPr="008640C4" w:rsidRDefault="00EA0455" w:rsidP="00EA0455">
      <w:pPr>
        <w:pStyle w:val="Textonotapie"/>
        <w:ind w:firstLine="709"/>
        <w:jc w:val="both"/>
        <w:rPr>
          <w:rFonts w:ascii="Arial" w:hAnsi="Arial" w:cs="Arial"/>
          <w:sz w:val="19"/>
          <w:szCs w:val="19"/>
          <w:lang w:val="es-ES"/>
        </w:rPr>
      </w:pPr>
    </w:p>
  </w:footnote>
  <w:footnote w:id="13">
    <w:p w14:paraId="74DF7570"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BA941F3" w14:textId="77777777" w:rsidR="00EA0455" w:rsidRPr="008640C4" w:rsidRDefault="00EA0455" w:rsidP="00EA0455">
      <w:pPr>
        <w:pStyle w:val="Textonotapie"/>
        <w:ind w:firstLine="709"/>
        <w:jc w:val="both"/>
        <w:rPr>
          <w:rFonts w:ascii="Arial" w:hAnsi="Arial" w:cs="Arial"/>
          <w:sz w:val="19"/>
          <w:szCs w:val="19"/>
          <w:lang w:val="es-ES"/>
        </w:rPr>
      </w:pPr>
    </w:p>
  </w:footnote>
  <w:footnote w:id="14">
    <w:p w14:paraId="6753CF48"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1543EC5A" w14:textId="77777777" w:rsidR="00EA0455" w:rsidRPr="008640C4" w:rsidRDefault="00EA0455" w:rsidP="00EA0455">
      <w:pPr>
        <w:pStyle w:val="Textonotapie"/>
        <w:ind w:firstLine="709"/>
        <w:jc w:val="both"/>
        <w:rPr>
          <w:rFonts w:ascii="Arial" w:hAnsi="Arial" w:cs="Arial"/>
          <w:sz w:val="19"/>
          <w:szCs w:val="19"/>
          <w:lang w:val="es-ES"/>
        </w:rPr>
      </w:pPr>
    </w:p>
  </w:footnote>
  <w:footnote w:id="15">
    <w:p w14:paraId="38AA2863" w14:textId="77777777" w:rsidR="00516FD0" w:rsidRPr="00EA10E4" w:rsidRDefault="00516FD0" w:rsidP="00516FD0">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 xml:space="preserve">Sentencia T-003 de 2018. Magistrada Ponente: Cristina Pardo </w:t>
      </w:r>
      <w:proofErr w:type="spellStart"/>
      <w:r w:rsidRPr="00EA10E4">
        <w:rPr>
          <w:rFonts w:ascii="Arial" w:hAnsi="Arial" w:cs="Arial"/>
          <w:sz w:val="19"/>
          <w:szCs w:val="19"/>
          <w:lang w:val="es-ES"/>
        </w:rPr>
        <w:t>Schlesinger</w:t>
      </w:r>
      <w:proofErr w:type="spellEnd"/>
      <w:r w:rsidRPr="00EA10E4">
        <w:rPr>
          <w:rFonts w:ascii="Arial" w:hAnsi="Arial" w:cs="Arial"/>
          <w:sz w:val="19"/>
          <w:szCs w:val="19"/>
          <w:lang w:val="es-ES"/>
        </w:rPr>
        <w:t>.</w:t>
      </w:r>
    </w:p>
    <w:p w14:paraId="72DC1D20" w14:textId="77777777" w:rsidR="00516FD0" w:rsidRPr="00EA10E4" w:rsidRDefault="00516FD0" w:rsidP="00516FD0">
      <w:pPr>
        <w:pStyle w:val="Textonotapie"/>
        <w:ind w:firstLine="709"/>
        <w:jc w:val="both"/>
        <w:rPr>
          <w:rFonts w:ascii="Arial" w:hAnsi="Arial" w:cs="Arial"/>
          <w:sz w:val="19"/>
          <w:szCs w:val="19"/>
          <w:lang w:val="es-CO"/>
        </w:rPr>
      </w:pPr>
    </w:p>
  </w:footnote>
  <w:footnote w:id="16">
    <w:p w14:paraId="0156598D" w14:textId="77777777" w:rsidR="00516FD0" w:rsidRPr="00EA10E4" w:rsidRDefault="00516FD0" w:rsidP="00516FD0">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Sentencia T-967 de 2014. Magistrada Ponente: Gloria Stella Ortiz Delgado.</w:t>
      </w:r>
    </w:p>
    <w:p w14:paraId="68B632B0" w14:textId="77777777" w:rsidR="00516FD0" w:rsidRPr="00EA10E4" w:rsidRDefault="00516FD0" w:rsidP="00516FD0">
      <w:pPr>
        <w:pStyle w:val="Textonotapie"/>
        <w:ind w:firstLine="709"/>
        <w:jc w:val="both"/>
        <w:rPr>
          <w:rFonts w:ascii="Arial" w:hAnsi="Arial" w:cs="Arial"/>
          <w:sz w:val="19"/>
          <w:szCs w:val="19"/>
          <w:lang w:val="es-CO"/>
        </w:rPr>
      </w:pPr>
    </w:p>
  </w:footnote>
  <w:footnote w:id="17">
    <w:p w14:paraId="30C37A2F" w14:textId="77777777" w:rsidR="00516FD0" w:rsidRPr="00EA10E4" w:rsidRDefault="00516FD0" w:rsidP="00516FD0">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8">
    <w:p w14:paraId="56331FC2" w14:textId="77777777" w:rsidR="00516FD0" w:rsidRPr="00EA10E4" w:rsidRDefault="00516FD0" w:rsidP="00516FD0">
      <w:pPr>
        <w:pStyle w:val="Textonotapie"/>
        <w:ind w:firstLine="709"/>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Diccionario de la Lengua Española. En: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6"/>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D87"/>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4A9E"/>
    <w:rsid w:val="000255FA"/>
    <w:rsid w:val="00025D0A"/>
    <w:rsid w:val="000263F0"/>
    <w:rsid w:val="00026407"/>
    <w:rsid w:val="00026608"/>
    <w:rsid w:val="00027787"/>
    <w:rsid w:val="000278D2"/>
    <w:rsid w:val="00030DFB"/>
    <w:rsid w:val="00031364"/>
    <w:rsid w:val="000315E1"/>
    <w:rsid w:val="0003236E"/>
    <w:rsid w:val="0003339A"/>
    <w:rsid w:val="000341F2"/>
    <w:rsid w:val="00034C76"/>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AD2"/>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2F96"/>
    <w:rsid w:val="0005355A"/>
    <w:rsid w:val="000536A7"/>
    <w:rsid w:val="000536E3"/>
    <w:rsid w:val="00053896"/>
    <w:rsid w:val="00053A00"/>
    <w:rsid w:val="0005474D"/>
    <w:rsid w:val="00055CB9"/>
    <w:rsid w:val="000560EC"/>
    <w:rsid w:val="00056F66"/>
    <w:rsid w:val="0005702F"/>
    <w:rsid w:val="00061010"/>
    <w:rsid w:val="00061D06"/>
    <w:rsid w:val="00062CDD"/>
    <w:rsid w:val="00062DB3"/>
    <w:rsid w:val="00063472"/>
    <w:rsid w:val="00063B11"/>
    <w:rsid w:val="000640AF"/>
    <w:rsid w:val="00064940"/>
    <w:rsid w:val="00064CAE"/>
    <w:rsid w:val="00064DB7"/>
    <w:rsid w:val="00064FA7"/>
    <w:rsid w:val="00065195"/>
    <w:rsid w:val="0006536C"/>
    <w:rsid w:val="0006626E"/>
    <w:rsid w:val="000677E6"/>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77F5F"/>
    <w:rsid w:val="0008017B"/>
    <w:rsid w:val="00080ACD"/>
    <w:rsid w:val="000811CB"/>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6A4"/>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951"/>
    <w:rsid w:val="000C4F49"/>
    <w:rsid w:val="000C5861"/>
    <w:rsid w:val="000C5BDE"/>
    <w:rsid w:val="000C639D"/>
    <w:rsid w:val="000C6C31"/>
    <w:rsid w:val="000C6DBC"/>
    <w:rsid w:val="000C6F79"/>
    <w:rsid w:val="000C73DB"/>
    <w:rsid w:val="000C7476"/>
    <w:rsid w:val="000C7480"/>
    <w:rsid w:val="000C7711"/>
    <w:rsid w:val="000C7AA2"/>
    <w:rsid w:val="000D0462"/>
    <w:rsid w:val="000D053D"/>
    <w:rsid w:val="000D0ED2"/>
    <w:rsid w:val="000D107D"/>
    <w:rsid w:val="000D13FD"/>
    <w:rsid w:val="000D1CEB"/>
    <w:rsid w:val="000D2563"/>
    <w:rsid w:val="000D25BF"/>
    <w:rsid w:val="000D2D08"/>
    <w:rsid w:val="000D2FE4"/>
    <w:rsid w:val="000D3FDC"/>
    <w:rsid w:val="000D490B"/>
    <w:rsid w:val="000D4E38"/>
    <w:rsid w:val="000D50DB"/>
    <w:rsid w:val="000D6288"/>
    <w:rsid w:val="000D728B"/>
    <w:rsid w:val="000D7541"/>
    <w:rsid w:val="000D75E1"/>
    <w:rsid w:val="000E09C9"/>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131"/>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29BC"/>
    <w:rsid w:val="00103795"/>
    <w:rsid w:val="00103915"/>
    <w:rsid w:val="001039AA"/>
    <w:rsid w:val="00103EA0"/>
    <w:rsid w:val="00104149"/>
    <w:rsid w:val="00104F1C"/>
    <w:rsid w:val="001051E5"/>
    <w:rsid w:val="00105A74"/>
    <w:rsid w:val="00105ACB"/>
    <w:rsid w:val="00105AEF"/>
    <w:rsid w:val="00106259"/>
    <w:rsid w:val="001068EB"/>
    <w:rsid w:val="00107498"/>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6423"/>
    <w:rsid w:val="00127004"/>
    <w:rsid w:val="0012770B"/>
    <w:rsid w:val="00127AF2"/>
    <w:rsid w:val="00127EBF"/>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021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A5F"/>
    <w:rsid w:val="00165E5C"/>
    <w:rsid w:val="00166204"/>
    <w:rsid w:val="00166797"/>
    <w:rsid w:val="0016685F"/>
    <w:rsid w:val="0016712F"/>
    <w:rsid w:val="00167503"/>
    <w:rsid w:val="001676A9"/>
    <w:rsid w:val="00167A15"/>
    <w:rsid w:val="00167A50"/>
    <w:rsid w:val="00167C3F"/>
    <w:rsid w:val="00167D1A"/>
    <w:rsid w:val="00167DF5"/>
    <w:rsid w:val="00170001"/>
    <w:rsid w:val="00172198"/>
    <w:rsid w:val="00172612"/>
    <w:rsid w:val="00172817"/>
    <w:rsid w:val="001734E3"/>
    <w:rsid w:val="001742BF"/>
    <w:rsid w:val="001742E1"/>
    <w:rsid w:val="00175E49"/>
    <w:rsid w:val="001763B2"/>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D7CBE"/>
    <w:rsid w:val="001D7EFE"/>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1F00"/>
    <w:rsid w:val="001F1F89"/>
    <w:rsid w:val="001F2356"/>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0A5C"/>
    <w:rsid w:val="00201508"/>
    <w:rsid w:val="00201AC4"/>
    <w:rsid w:val="00201F1E"/>
    <w:rsid w:val="00202761"/>
    <w:rsid w:val="0020299B"/>
    <w:rsid w:val="00202B2A"/>
    <w:rsid w:val="00202E44"/>
    <w:rsid w:val="002037AA"/>
    <w:rsid w:val="00203C9F"/>
    <w:rsid w:val="00203FE3"/>
    <w:rsid w:val="002042D8"/>
    <w:rsid w:val="00204515"/>
    <w:rsid w:val="00204A99"/>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5DCF"/>
    <w:rsid w:val="00236016"/>
    <w:rsid w:val="00237065"/>
    <w:rsid w:val="00237589"/>
    <w:rsid w:val="0023758D"/>
    <w:rsid w:val="002375A7"/>
    <w:rsid w:val="0024019A"/>
    <w:rsid w:val="00240EC1"/>
    <w:rsid w:val="0024120F"/>
    <w:rsid w:val="0024131D"/>
    <w:rsid w:val="002415B8"/>
    <w:rsid w:val="00241B82"/>
    <w:rsid w:val="0024258E"/>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1CC2"/>
    <w:rsid w:val="002920DF"/>
    <w:rsid w:val="002928A3"/>
    <w:rsid w:val="002929BB"/>
    <w:rsid w:val="00294368"/>
    <w:rsid w:val="00294B78"/>
    <w:rsid w:val="00295416"/>
    <w:rsid w:val="00295949"/>
    <w:rsid w:val="00295D7C"/>
    <w:rsid w:val="0029624A"/>
    <w:rsid w:val="00296922"/>
    <w:rsid w:val="00296998"/>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C7D"/>
    <w:rsid w:val="002A7D84"/>
    <w:rsid w:val="002A7E5C"/>
    <w:rsid w:val="002A7F6D"/>
    <w:rsid w:val="002B0D83"/>
    <w:rsid w:val="002B108E"/>
    <w:rsid w:val="002B1342"/>
    <w:rsid w:val="002B1F83"/>
    <w:rsid w:val="002B27C8"/>
    <w:rsid w:val="002B2A7F"/>
    <w:rsid w:val="002B2BDA"/>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17B"/>
    <w:rsid w:val="002C5C2F"/>
    <w:rsid w:val="002C5D0F"/>
    <w:rsid w:val="002C60B9"/>
    <w:rsid w:val="002C6F77"/>
    <w:rsid w:val="002C704D"/>
    <w:rsid w:val="002C7658"/>
    <w:rsid w:val="002D0845"/>
    <w:rsid w:val="002D0933"/>
    <w:rsid w:val="002D1555"/>
    <w:rsid w:val="002D15B6"/>
    <w:rsid w:val="002D19BB"/>
    <w:rsid w:val="002D1A9B"/>
    <w:rsid w:val="002D1F51"/>
    <w:rsid w:val="002D20F8"/>
    <w:rsid w:val="002D22BD"/>
    <w:rsid w:val="002D22C5"/>
    <w:rsid w:val="002D302A"/>
    <w:rsid w:val="002D36C6"/>
    <w:rsid w:val="002D37C1"/>
    <w:rsid w:val="002D4380"/>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119"/>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350"/>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41D"/>
    <w:rsid w:val="0034778E"/>
    <w:rsid w:val="00347A5A"/>
    <w:rsid w:val="003501E2"/>
    <w:rsid w:val="00351E10"/>
    <w:rsid w:val="003533F4"/>
    <w:rsid w:val="003536F6"/>
    <w:rsid w:val="00353DD5"/>
    <w:rsid w:val="00353F36"/>
    <w:rsid w:val="00355131"/>
    <w:rsid w:val="00355F74"/>
    <w:rsid w:val="003560DB"/>
    <w:rsid w:val="003564DB"/>
    <w:rsid w:val="00356E79"/>
    <w:rsid w:val="00356F87"/>
    <w:rsid w:val="00357E83"/>
    <w:rsid w:val="00360CF3"/>
    <w:rsid w:val="00361A59"/>
    <w:rsid w:val="00363348"/>
    <w:rsid w:val="003636C9"/>
    <w:rsid w:val="00363857"/>
    <w:rsid w:val="00363D59"/>
    <w:rsid w:val="00363F08"/>
    <w:rsid w:val="003640F7"/>
    <w:rsid w:val="00365536"/>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A98"/>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6994"/>
    <w:rsid w:val="003A72F5"/>
    <w:rsid w:val="003A78E5"/>
    <w:rsid w:val="003B0341"/>
    <w:rsid w:val="003B15F3"/>
    <w:rsid w:val="003B1961"/>
    <w:rsid w:val="003B1E57"/>
    <w:rsid w:val="003B1E5C"/>
    <w:rsid w:val="003B2EF3"/>
    <w:rsid w:val="003B30B0"/>
    <w:rsid w:val="003B48C4"/>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C76"/>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2CB"/>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08A"/>
    <w:rsid w:val="003F115C"/>
    <w:rsid w:val="003F153A"/>
    <w:rsid w:val="003F2EA1"/>
    <w:rsid w:val="003F300D"/>
    <w:rsid w:val="003F391F"/>
    <w:rsid w:val="003F4599"/>
    <w:rsid w:val="003F45E1"/>
    <w:rsid w:val="003F4F6C"/>
    <w:rsid w:val="003F559E"/>
    <w:rsid w:val="003F6181"/>
    <w:rsid w:val="003F6BFC"/>
    <w:rsid w:val="003F7343"/>
    <w:rsid w:val="00400002"/>
    <w:rsid w:val="00400054"/>
    <w:rsid w:val="004010B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30186"/>
    <w:rsid w:val="00430F17"/>
    <w:rsid w:val="00431CC7"/>
    <w:rsid w:val="00431D91"/>
    <w:rsid w:val="0043260C"/>
    <w:rsid w:val="0043269A"/>
    <w:rsid w:val="00432E92"/>
    <w:rsid w:val="004333C2"/>
    <w:rsid w:val="00434787"/>
    <w:rsid w:val="00434C13"/>
    <w:rsid w:val="00434D8B"/>
    <w:rsid w:val="00435294"/>
    <w:rsid w:val="00435703"/>
    <w:rsid w:val="00435BD5"/>
    <w:rsid w:val="00435FDD"/>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61A"/>
    <w:rsid w:val="00455BD3"/>
    <w:rsid w:val="004567DA"/>
    <w:rsid w:val="00456970"/>
    <w:rsid w:val="00456BB1"/>
    <w:rsid w:val="00456CD4"/>
    <w:rsid w:val="00456DDB"/>
    <w:rsid w:val="00456E61"/>
    <w:rsid w:val="00457031"/>
    <w:rsid w:val="0045795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46"/>
    <w:rsid w:val="00470D73"/>
    <w:rsid w:val="00470D92"/>
    <w:rsid w:val="00471DF7"/>
    <w:rsid w:val="004734CF"/>
    <w:rsid w:val="00473E47"/>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90"/>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08FA"/>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0F"/>
    <w:rsid w:val="00496664"/>
    <w:rsid w:val="00496786"/>
    <w:rsid w:val="0049695B"/>
    <w:rsid w:val="00496D8F"/>
    <w:rsid w:val="00497463"/>
    <w:rsid w:val="004A021B"/>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9F0"/>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5B"/>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80A"/>
    <w:rsid w:val="004F5930"/>
    <w:rsid w:val="004F5970"/>
    <w:rsid w:val="004F5F0C"/>
    <w:rsid w:val="004F6121"/>
    <w:rsid w:val="004F6161"/>
    <w:rsid w:val="004F639F"/>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6FD0"/>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8C"/>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9B7"/>
    <w:rsid w:val="00545E30"/>
    <w:rsid w:val="00545EA3"/>
    <w:rsid w:val="00546C9B"/>
    <w:rsid w:val="00547378"/>
    <w:rsid w:val="00547BF6"/>
    <w:rsid w:val="00547FB3"/>
    <w:rsid w:val="0055053C"/>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564"/>
    <w:rsid w:val="005866C4"/>
    <w:rsid w:val="00587B8B"/>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3B4"/>
    <w:rsid w:val="005B54CC"/>
    <w:rsid w:val="005B71BB"/>
    <w:rsid w:val="005B74AD"/>
    <w:rsid w:val="005B7E96"/>
    <w:rsid w:val="005C0429"/>
    <w:rsid w:val="005C06A5"/>
    <w:rsid w:val="005C084F"/>
    <w:rsid w:val="005C0EE9"/>
    <w:rsid w:val="005C0F84"/>
    <w:rsid w:val="005C169F"/>
    <w:rsid w:val="005C16A8"/>
    <w:rsid w:val="005C1716"/>
    <w:rsid w:val="005C1954"/>
    <w:rsid w:val="005C1C0B"/>
    <w:rsid w:val="005C2011"/>
    <w:rsid w:val="005C3EA3"/>
    <w:rsid w:val="005C44DE"/>
    <w:rsid w:val="005C5011"/>
    <w:rsid w:val="005C5241"/>
    <w:rsid w:val="005C529E"/>
    <w:rsid w:val="005C5674"/>
    <w:rsid w:val="005C57BA"/>
    <w:rsid w:val="005C5C52"/>
    <w:rsid w:val="005C5D3D"/>
    <w:rsid w:val="005C5F05"/>
    <w:rsid w:val="005C6186"/>
    <w:rsid w:val="005C6499"/>
    <w:rsid w:val="005C6587"/>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0F8"/>
    <w:rsid w:val="005D51F7"/>
    <w:rsid w:val="005D51FA"/>
    <w:rsid w:val="005D53E8"/>
    <w:rsid w:val="005D5A9D"/>
    <w:rsid w:val="005D5D15"/>
    <w:rsid w:val="005D6651"/>
    <w:rsid w:val="005D691D"/>
    <w:rsid w:val="005D6A72"/>
    <w:rsid w:val="005D6F38"/>
    <w:rsid w:val="005D6FA1"/>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C65"/>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40C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2F82"/>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6F41"/>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12A5"/>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A74"/>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07F27"/>
    <w:rsid w:val="007101B7"/>
    <w:rsid w:val="00710668"/>
    <w:rsid w:val="00711019"/>
    <w:rsid w:val="007110F4"/>
    <w:rsid w:val="007112B1"/>
    <w:rsid w:val="0071130F"/>
    <w:rsid w:val="00711313"/>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3071"/>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1C15"/>
    <w:rsid w:val="00742332"/>
    <w:rsid w:val="00742886"/>
    <w:rsid w:val="00742A3A"/>
    <w:rsid w:val="00742DD2"/>
    <w:rsid w:val="007437C6"/>
    <w:rsid w:val="007441A2"/>
    <w:rsid w:val="00744E80"/>
    <w:rsid w:val="00745035"/>
    <w:rsid w:val="0074531C"/>
    <w:rsid w:val="00745547"/>
    <w:rsid w:val="007459D0"/>
    <w:rsid w:val="0074623A"/>
    <w:rsid w:val="00746420"/>
    <w:rsid w:val="00746457"/>
    <w:rsid w:val="007465DD"/>
    <w:rsid w:val="00746A60"/>
    <w:rsid w:val="00746E04"/>
    <w:rsid w:val="00746E08"/>
    <w:rsid w:val="00746E3D"/>
    <w:rsid w:val="007473B9"/>
    <w:rsid w:val="00747915"/>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4E6B"/>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04D"/>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98E"/>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D7E73"/>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476"/>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C65"/>
    <w:rsid w:val="008056A2"/>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E0C"/>
    <w:rsid w:val="00813F04"/>
    <w:rsid w:val="00814F1F"/>
    <w:rsid w:val="0081513E"/>
    <w:rsid w:val="00815823"/>
    <w:rsid w:val="00815DA5"/>
    <w:rsid w:val="00816221"/>
    <w:rsid w:val="008174F3"/>
    <w:rsid w:val="0081766B"/>
    <w:rsid w:val="008201DE"/>
    <w:rsid w:val="008205AC"/>
    <w:rsid w:val="00820705"/>
    <w:rsid w:val="00820CBF"/>
    <w:rsid w:val="00820FA8"/>
    <w:rsid w:val="008212FD"/>
    <w:rsid w:val="00821489"/>
    <w:rsid w:val="0082168D"/>
    <w:rsid w:val="008217B7"/>
    <w:rsid w:val="00822277"/>
    <w:rsid w:val="0082239B"/>
    <w:rsid w:val="0082292E"/>
    <w:rsid w:val="00822D06"/>
    <w:rsid w:val="00822EC4"/>
    <w:rsid w:val="0082348D"/>
    <w:rsid w:val="008236BE"/>
    <w:rsid w:val="008241CE"/>
    <w:rsid w:val="0082427A"/>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5AD"/>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047"/>
    <w:rsid w:val="00882E39"/>
    <w:rsid w:val="00883559"/>
    <w:rsid w:val="008850EB"/>
    <w:rsid w:val="00885228"/>
    <w:rsid w:val="008857E3"/>
    <w:rsid w:val="00886DF2"/>
    <w:rsid w:val="00886FB9"/>
    <w:rsid w:val="00887057"/>
    <w:rsid w:val="00887080"/>
    <w:rsid w:val="00887C79"/>
    <w:rsid w:val="008908DC"/>
    <w:rsid w:val="0089107B"/>
    <w:rsid w:val="008910F9"/>
    <w:rsid w:val="008913CC"/>
    <w:rsid w:val="008914AE"/>
    <w:rsid w:val="008919CF"/>
    <w:rsid w:val="00891AB1"/>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0F89"/>
    <w:rsid w:val="008C11F0"/>
    <w:rsid w:val="008C1918"/>
    <w:rsid w:val="008C1DBA"/>
    <w:rsid w:val="008C24E7"/>
    <w:rsid w:val="008C2500"/>
    <w:rsid w:val="008C2CAC"/>
    <w:rsid w:val="008C3C57"/>
    <w:rsid w:val="008C3E2A"/>
    <w:rsid w:val="008C45BD"/>
    <w:rsid w:val="008C4B19"/>
    <w:rsid w:val="008C4EB9"/>
    <w:rsid w:val="008C62D4"/>
    <w:rsid w:val="008C6B89"/>
    <w:rsid w:val="008C6B97"/>
    <w:rsid w:val="008C7EF7"/>
    <w:rsid w:val="008D094D"/>
    <w:rsid w:val="008D18AA"/>
    <w:rsid w:val="008D1A2A"/>
    <w:rsid w:val="008D1ADE"/>
    <w:rsid w:val="008D3199"/>
    <w:rsid w:val="008D35D9"/>
    <w:rsid w:val="008D3B36"/>
    <w:rsid w:val="008D3B85"/>
    <w:rsid w:val="008D462D"/>
    <w:rsid w:val="008D5FEB"/>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99F"/>
    <w:rsid w:val="008E3BA4"/>
    <w:rsid w:val="008E3F17"/>
    <w:rsid w:val="008E44AB"/>
    <w:rsid w:val="008E4CAE"/>
    <w:rsid w:val="008E5179"/>
    <w:rsid w:val="008E57FE"/>
    <w:rsid w:val="008E62E9"/>
    <w:rsid w:val="008E6598"/>
    <w:rsid w:val="008E6F83"/>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341"/>
    <w:rsid w:val="008F7905"/>
    <w:rsid w:val="008F7989"/>
    <w:rsid w:val="00900912"/>
    <w:rsid w:val="00901F1D"/>
    <w:rsid w:val="009028E8"/>
    <w:rsid w:val="00902E5C"/>
    <w:rsid w:val="0090363E"/>
    <w:rsid w:val="00903788"/>
    <w:rsid w:val="009046E5"/>
    <w:rsid w:val="009047C5"/>
    <w:rsid w:val="00910683"/>
    <w:rsid w:val="00910CA4"/>
    <w:rsid w:val="00910E00"/>
    <w:rsid w:val="00910E04"/>
    <w:rsid w:val="009116CE"/>
    <w:rsid w:val="00911714"/>
    <w:rsid w:val="00911D04"/>
    <w:rsid w:val="00911EFF"/>
    <w:rsid w:val="0091310F"/>
    <w:rsid w:val="009132C3"/>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579"/>
    <w:rsid w:val="00923A8A"/>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39B3"/>
    <w:rsid w:val="00964138"/>
    <w:rsid w:val="009648D6"/>
    <w:rsid w:val="00964B3F"/>
    <w:rsid w:val="00964C98"/>
    <w:rsid w:val="00971441"/>
    <w:rsid w:val="00971555"/>
    <w:rsid w:val="009715D4"/>
    <w:rsid w:val="0097179A"/>
    <w:rsid w:val="00971B0A"/>
    <w:rsid w:val="00972156"/>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748"/>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5A6"/>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0CD"/>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1F"/>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D77"/>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1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49FD"/>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31C"/>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5F21"/>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1BA"/>
    <w:rsid w:val="00A7723B"/>
    <w:rsid w:val="00A773C3"/>
    <w:rsid w:val="00A7793C"/>
    <w:rsid w:val="00A7795F"/>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1FA"/>
    <w:rsid w:val="00AD6236"/>
    <w:rsid w:val="00AD69D5"/>
    <w:rsid w:val="00AD7619"/>
    <w:rsid w:val="00AD7770"/>
    <w:rsid w:val="00AE1772"/>
    <w:rsid w:val="00AE1990"/>
    <w:rsid w:val="00AE25E8"/>
    <w:rsid w:val="00AE2AD4"/>
    <w:rsid w:val="00AE2CA7"/>
    <w:rsid w:val="00AE2F1D"/>
    <w:rsid w:val="00AE4A7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5FE"/>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0F4D"/>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3FFE"/>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660"/>
    <w:rsid w:val="00BF5C05"/>
    <w:rsid w:val="00BF6A12"/>
    <w:rsid w:val="00BF6FC6"/>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556"/>
    <w:rsid w:val="00C27D37"/>
    <w:rsid w:val="00C309E8"/>
    <w:rsid w:val="00C32017"/>
    <w:rsid w:val="00C32571"/>
    <w:rsid w:val="00C325CD"/>
    <w:rsid w:val="00C32B26"/>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A10"/>
    <w:rsid w:val="00C52C68"/>
    <w:rsid w:val="00C52D98"/>
    <w:rsid w:val="00C52DA1"/>
    <w:rsid w:val="00C53D24"/>
    <w:rsid w:val="00C54640"/>
    <w:rsid w:val="00C547A6"/>
    <w:rsid w:val="00C54A3A"/>
    <w:rsid w:val="00C55322"/>
    <w:rsid w:val="00C55C32"/>
    <w:rsid w:val="00C56A67"/>
    <w:rsid w:val="00C56CC2"/>
    <w:rsid w:val="00C56D8D"/>
    <w:rsid w:val="00C57498"/>
    <w:rsid w:val="00C5763C"/>
    <w:rsid w:val="00C5780C"/>
    <w:rsid w:val="00C5796B"/>
    <w:rsid w:val="00C57C64"/>
    <w:rsid w:val="00C612C4"/>
    <w:rsid w:val="00C619A1"/>
    <w:rsid w:val="00C62370"/>
    <w:rsid w:val="00C62AE8"/>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1F65"/>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35CB"/>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3D2C"/>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97A"/>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0778"/>
    <w:rsid w:val="00CD0D32"/>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B81"/>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3EA4"/>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6A"/>
    <w:rsid w:val="00D451E8"/>
    <w:rsid w:val="00D466C9"/>
    <w:rsid w:val="00D47275"/>
    <w:rsid w:val="00D517F6"/>
    <w:rsid w:val="00D51AB7"/>
    <w:rsid w:val="00D51E15"/>
    <w:rsid w:val="00D52B7E"/>
    <w:rsid w:val="00D52E2F"/>
    <w:rsid w:val="00D52E7B"/>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3CF"/>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32F4"/>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AE4"/>
    <w:rsid w:val="00DD5B04"/>
    <w:rsid w:val="00DD5DAE"/>
    <w:rsid w:val="00DD5EC6"/>
    <w:rsid w:val="00DD605F"/>
    <w:rsid w:val="00DD6A79"/>
    <w:rsid w:val="00DD72A0"/>
    <w:rsid w:val="00DD735D"/>
    <w:rsid w:val="00DD7F7D"/>
    <w:rsid w:val="00DE0159"/>
    <w:rsid w:val="00DE064A"/>
    <w:rsid w:val="00DE082D"/>
    <w:rsid w:val="00DE1410"/>
    <w:rsid w:val="00DE1431"/>
    <w:rsid w:val="00DE20C6"/>
    <w:rsid w:val="00DE3119"/>
    <w:rsid w:val="00DE3C24"/>
    <w:rsid w:val="00DE3FF0"/>
    <w:rsid w:val="00DE4105"/>
    <w:rsid w:val="00DE4B3F"/>
    <w:rsid w:val="00DE4BEA"/>
    <w:rsid w:val="00DE5189"/>
    <w:rsid w:val="00DE7108"/>
    <w:rsid w:val="00DE78D1"/>
    <w:rsid w:val="00DE78FF"/>
    <w:rsid w:val="00DF0263"/>
    <w:rsid w:val="00DF08B0"/>
    <w:rsid w:val="00DF0EB4"/>
    <w:rsid w:val="00DF158B"/>
    <w:rsid w:val="00DF170E"/>
    <w:rsid w:val="00DF193C"/>
    <w:rsid w:val="00DF1E36"/>
    <w:rsid w:val="00DF236B"/>
    <w:rsid w:val="00DF258A"/>
    <w:rsid w:val="00DF2A91"/>
    <w:rsid w:val="00DF2D7F"/>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67F3A"/>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400"/>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BCE"/>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8B5"/>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6CE"/>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4285130">
      <w:bodyDiv w:val="1"/>
      <w:marLeft w:val="0"/>
      <w:marRight w:val="0"/>
      <w:marTop w:val="0"/>
      <w:marBottom w:val="0"/>
      <w:divBdr>
        <w:top w:val="none" w:sz="0" w:space="0" w:color="auto"/>
        <w:left w:val="none" w:sz="0" w:space="0" w:color="auto"/>
        <w:bottom w:val="none" w:sz="0" w:space="0" w:color="auto"/>
        <w:right w:val="none" w:sz="0" w:space="0" w:color="auto"/>
      </w:divBdr>
      <w:divsChild>
        <w:div w:id="1882670075">
          <w:marLeft w:val="0"/>
          <w:marRight w:val="0"/>
          <w:marTop w:val="0"/>
          <w:marBottom w:val="0"/>
          <w:divBdr>
            <w:top w:val="none" w:sz="0" w:space="0" w:color="auto"/>
            <w:left w:val="none" w:sz="0" w:space="0" w:color="auto"/>
            <w:bottom w:val="none" w:sz="0" w:space="0" w:color="auto"/>
            <w:right w:val="none" w:sz="0" w:space="0" w:color="auto"/>
          </w:divBdr>
          <w:divsChild>
            <w:div w:id="609050276">
              <w:marLeft w:val="0"/>
              <w:marRight w:val="0"/>
              <w:marTop w:val="0"/>
              <w:marBottom w:val="0"/>
              <w:divBdr>
                <w:top w:val="none" w:sz="0" w:space="0" w:color="auto"/>
                <w:left w:val="none" w:sz="0" w:space="0" w:color="auto"/>
                <w:bottom w:val="none" w:sz="0" w:space="0" w:color="auto"/>
                <w:right w:val="none" w:sz="0" w:space="0" w:color="auto"/>
              </w:divBdr>
              <w:divsChild>
                <w:div w:id="5776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991118">
      <w:bodyDiv w:val="1"/>
      <w:marLeft w:val="0"/>
      <w:marRight w:val="0"/>
      <w:marTop w:val="0"/>
      <w:marBottom w:val="0"/>
      <w:divBdr>
        <w:top w:val="none" w:sz="0" w:space="0" w:color="auto"/>
        <w:left w:val="none" w:sz="0" w:space="0" w:color="auto"/>
        <w:bottom w:val="none" w:sz="0" w:space="0" w:color="auto"/>
        <w:right w:val="none" w:sz="0" w:space="0" w:color="auto"/>
      </w:divBdr>
    </w:div>
    <w:div w:id="460924416">
      <w:bodyDiv w:val="1"/>
      <w:marLeft w:val="0"/>
      <w:marRight w:val="0"/>
      <w:marTop w:val="0"/>
      <w:marBottom w:val="0"/>
      <w:divBdr>
        <w:top w:val="none" w:sz="0" w:space="0" w:color="auto"/>
        <w:left w:val="none" w:sz="0" w:space="0" w:color="auto"/>
        <w:bottom w:val="none" w:sz="0" w:space="0" w:color="auto"/>
        <w:right w:val="none" w:sz="0" w:space="0" w:color="auto"/>
      </w:divBdr>
      <w:divsChild>
        <w:div w:id="1294673723">
          <w:marLeft w:val="0"/>
          <w:marRight w:val="0"/>
          <w:marTop w:val="0"/>
          <w:marBottom w:val="0"/>
          <w:divBdr>
            <w:top w:val="none" w:sz="0" w:space="0" w:color="auto"/>
            <w:left w:val="none" w:sz="0" w:space="0" w:color="auto"/>
            <w:bottom w:val="none" w:sz="0" w:space="0" w:color="auto"/>
            <w:right w:val="none" w:sz="0" w:space="0" w:color="auto"/>
          </w:divBdr>
          <w:divsChild>
            <w:div w:id="983659597">
              <w:marLeft w:val="0"/>
              <w:marRight w:val="0"/>
              <w:marTop w:val="0"/>
              <w:marBottom w:val="0"/>
              <w:divBdr>
                <w:top w:val="none" w:sz="0" w:space="0" w:color="auto"/>
                <w:left w:val="none" w:sz="0" w:space="0" w:color="auto"/>
                <w:bottom w:val="none" w:sz="0" w:space="0" w:color="auto"/>
                <w:right w:val="none" w:sz="0" w:space="0" w:color="auto"/>
              </w:divBdr>
              <w:divsChild>
                <w:div w:id="93271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113988">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7163524">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5818666">
      <w:bodyDiv w:val="1"/>
      <w:marLeft w:val="0"/>
      <w:marRight w:val="0"/>
      <w:marTop w:val="0"/>
      <w:marBottom w:val="0"/>
      <w:divBdr>
        <w:top w:val="none" w:sz="0" w:space="0" w:color="auto"/>
        <w:left w:val="none" w:sz="0" w:space="0" w:color="auto"/>
        <w:bottom w:val="none" w:sz="0" w:space="0" w:color="auto"/>
        <w:right w:val="none" w:sz="0" w:space="0" w:color="auto"/>
      </w:divBdr>
      <w:divsChild>
        <w:div w:id="153843586">
          <w:marLeft w:val="0"/>
          <w:marRight w:val="0"/>
          <w:marTop w:val="0"/>
          <w:marBottom w:val="0"/>
          <w:divBdr>
            <w:top w:val="none" w:sz="0" w:space="0" w:color="auto"/>
            <w:left w:val="none" w:sz="0" w:space="0" w:color="auto"/>
            <w:bottom w:val="none" w:sz="0" w:space="0" w:color="auto"/>
            <w:right w:val="none" w:sz="0" w:space="0" w:color="auto"/>
          </w:divBdr>
          <w:divsChild>
            <w:div w:id="1852992203">
              <w:marLeft w:val="0"/>
              <w:marRight w:val="0"/>
              <w:marTop w:val="0"/>
              <w:marBottom w:val="0"/>
              <w:divBdr>
                <w:top w:val="none" w:sz="0" w:space="0" w:color="auto"/>
                <w:left w:val="none" w:sz="0" w:space="0" w:color="auto"/>
                <w:bottom w:val="none" w:sz="0" w:space="0" w:color="auto"/>
                <w:right w:val="none" w:sz="0" w:space="0" w:color="auto"/>
              </w:divBdr>
              <w:divsChild>
                <w:div w:id="76828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7900963">
      <w:bodyDiv w:val="1"/>
      <w:marLeft w:val="0"/>
      <w:marRight w:val="0"/>
      <w:marTop w:val="0"/>
      <w:marBottom w:val="0"/>
      <w:divBdr>
        <w:top w:val="none" w:sz="0" w:space="0" w:color="auto"/>
        <w:left w:val="none" w:sz="0" w:space="0" w:color="auto"/>
        <w:bottom w:val="none" w:sz="0" w:space="0" w:color="auto"/>
        <w:right w:val="none" w:sz="0" w:space="0" w:color="auto"/>
      </w:divBdr>
      <w:divsChild>
        <w:div w:id="1484813950">
          <w:marLeft w:val="0"/>
          <w:marRight w:val="0"/>
          <w:marTop w:val="0"/>
          <w:marBottom w:val="0"/>
          <w:divBdr>
            <w:top w:val="none" w:sz="0" w:space="0" w:color="auto"/>
            <w:left w:val="none" w:sz="0" w:space="0" w:color="auto"/>
            <w:bottom w:val="none" w:sz="0" w:space="0" w:color="auto"/>
            <w:right w:val="none" w:sz="0" w:space="0" w:color="auto"/>
          </w:divBdr>
          <w:divsChild>
            <w:div w:id="159128250">
              <w:marLeft w:val="0"/>
              <w:marRight w:val="0"/>
              <w:marTop w:val="0"/>
              <w:marBottom w:val="0"/>
              <w:divBdr>
                <w:top w:val="none" w:sz="0" w:space="0" w:color="auto"/>
                <w:left w:val="none" w:sz="0" w:space="0" w:color="auto"/>
                <w:bottom w:val="none" w:sz="0" w:space="0" w:color="auto"/>
                <w:right w:val="none" w:sz="0" w:space="0" w:color="auto"/>
              </w:divBdr>
              <w:divsChild>
                <w:div w:id="3973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205844">
      <w:bodyDiv w:val="1"/>
      <w:marLeft w:val="0"/>
      <w:marRight w:val="0"/>
      <w:marTop w:val="0"/>
      <w:marBottom w:val="0"/>
      <w:divBdr>
        <w:top w:val="none" w:sz="0" w:space="0" w:color="auto"/>
        <w:left w:val="none" w:sz="0" w:space="0" w:color="auto"/>
        <w:bottom w:val="none" w:sz="0" w:space="0" w:color="auto"/>
        <w:right w:val="none" w:sz="0" w:space="0" w:color="auto"/>
      </w:divBdr>
      <w:divsChild>
        <w:div w:id="1541820815">
          <w:marLeft w:val="0"/>
          <w:marRight w:val="0"/>
          <w:marTop w:val="0"/>
          <w:marBottom w:val="0"/>
          <w:divBdr>
            <w:top w:val="none" w:sz="0" w:space="0" w:color="auto"/>
            <w:left w:val="none" w:sz="0" w:space="0" w:color="auto"/>
            <w:bottom w:val="none" w:sz="0" w:space="0" w:color="auto"/>
            <w:right w:val="none" w:sz="0" w:space="0" w:color="auto"/>
          </w:divBdr>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369</TotalTime>
  <Pages>19</Pages>
  <Words>8006</Words>
  <Characters>44037</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215</cp:revision>
  <cp:lastPrinted>2020-01-30T15:05:00Z</cp:lastPrinted>
  <dcterms:created xsi:type="dcterms:W3CDTF">2021-02-03T17:27:00Z</dcterms:created>
  <dcterms:modified xsi:type="dcterms:W3CDTF">2021-04-26T17:51:00Z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