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0F3F5DAA" w:rsidR="002415B8" w:rsidRPr="00DD69FC" w:rsidRDefault="00B55C69" w:rsidP="005233A5">
      <w:pPr>
        <w:ind w:left="708" w:hanging="708"/>
        <w:jc w:val="right"/>
        <w:rPr>
          <w:rFonts w:ascii="Arial" w:eastAsia="Calibri" w:hAnsi="Arial" w:cs="Arial"/>
          <w:b/>
          <w:sz w:val="20"/>
          <w:szCs w:val="20"/>
          <w:lang w:val="es-ES_tradnl"/>
        </w:rPr>
      </w:pPr>
      <w:bookmarkStart w:id="0" w:name="_Hlk28946138"/>
      <w:bookmarkStart w:id="1" w:name="_Hlk29548183"/>
      <w:r w:rsidRPr="00DD69FC">
        <w:rPr>
          <w:rFonts w:ascii="Arial" w:hAnsi="Arial" w:cs="Arial"/>
          <w:bCs/>
          <w:sz w:val="16"/>
          <w:szCs w:val="16"/>
          <w:lang w:val="es-ES_tradnl" w:eastAsia="es-ES"/>
        </w:rPr>
        <w:t>CCE-DES-FM-17</w:t>
      </w:r>
      <w:bookmarkEnd w:id="0"/>
      <w:bookmarkEnd w:id="1"/>
    </w:p>
    <w:p w14:paraId="55FBD910" w14:textId="480EDF56" w:rsidR="008536BB" w:rsidRPr="00DD69FC" w:rsidRDefault="008536BB" w:rsidP="00B95C30">
      <w:pPr>
        <w:spacing w:line="276" w:lineRule="auto"/>
        <w:jc w:val="both"/>
        <w:rPr>
          <w:rFonts w:ascii="Arial" w:hAnsi="Arial" w:cs="Arial"/>
          <w:noProof/>
          <w:sz w:val="22"/>
          <w:lang w:val="es-ES_tradnl"/>
        </w:rPr>
      </w:pPr>
    </w:p>
    <w:p w14:paraId="608CBA4E" w14:textId="77777777" w:rsidR="00454589" w:rsidRPr="00DD69FC" w:rsidRDefault="00454589" w:rsidP="00B95C30">
      <w:pPr>
        <w:spacing w:line="276" w:lineRule="auto"/>
        <w:jc w:val="both"/>
        <w:rPr>
          <w:rFonts w:ascii="Arial" w:hAnsi="Arial" w:cs="Arial"/>
          <w:noProof/>
          <w:sz w:val="22"/>
          <w:lang w:val="es-ES_tradnl"/>
        </w:rPr>
      </w:pPr>
    </w:p>
    <w:p w14:paraId="6A654097" w14:textId="523CAACE" w:rsidR="00C978D4" w:rsidRPr="00DD69FC" w:rsidRDefault="00272945" w:rsidP="00C978D4">
      <w:pPr>
        <w:jc w:val="both"/>
        <w:rPr>
          <w:rFonts w:ascii="Arial" w:eastAsia="Calibri" w:hAnsi="Arial" w:cs="Arial"/>
          <w:b/>
          <w:sz w:val="22"/>
          <w:lang w:val="es-ES_tradnl"/>
        </w:rPr>
      </w:pPr>
      <w:r w:rsidRPr="00DD69FC">
        <w:rPr>
          <w:rFonts w:ascii="Arial" w:eastAsia="Calibri" w:hAnsi="Arial" w:cs="Arial"/>
          <w:b/>
          <w:sz w:val="22"/>
          <w:lang w:val="es-ES_tradnl"/>
        </w:rPr>
        <w:t>SELECCIÓN OBJETIVA</w:t>
      </w:r>
      <w:r w:rsidR="00C978D4" w:rsidRPr="00DD69FC">
        <w:rPr>
          <w:rFonts w:ascii="Arial" w:eastAsia="Calibri" w:hAnsi="Arial" w:cs="Arial"/>
          <w:b/>
          <w:sz w:val="22"/>
          <w:lang w:val="es-ES_tradnl"/>
        </w:rPr>
        <w:t xml:space="preserve"> – </w:t>
      </w:r>
      <w:r w:rsidR="00003D39" w:rsidRPr="00DD69FC">
        <w:rPr>
          <w:rFonts w:ascii="Arial" w:eastAsia="Calibri" w:hAnsi="Arial" w:cs="Arial"/>
          <w:b/>
          <w:sz w:val="22"/>
          <w:lang w:val="es-ES_tradnl"/>
        </w:rPr>
        <w:t>Contratación estatal</w:t>
      </w:r>
      <w:r w:rsidR="00616D7F" w:rsidRPr="00DD69FC">
        <w:rPr>
          <w:rFonts w:ascii="Arial" w:eastAsia="Calibri" w:hAnsi="Arial" w:cs="Arial"/>
          <w:b/>
          <w:sz w:val="22"/>
          <w:lang w:val="es-ES_tradnl"/>
        </w:rPr>
        <w:t xml:space="preserve"> </w:t>
      </w:r>
      <w:r w:rsidR="00C978D4" w:rsidRPr="00DD69FC">
        <w:rPr>
          <w:rFonts w:ascii="Arial" w:eastAsia="Calibri" w:hAnsi="Arial" w:cs="Arial"/>
          <w:b/>
          <w:sz w:val="22"/>
          <w:lang w:val="es-ES_tradnl"/>
        </w:rPr>
        <w:t xml:space="preserve">– </w:t>
      </w:r>
      <w:r w:rsidRPr="00DD69FC">
        <w:rPr>
          <w:rFonts w:ascii="Arial" w:eastAsia="Calibri" w:hAnsi="Arial" w:cs="Arial"/>
          <w:b/>
          <w:sz w:val="22"/>
          <w:lang w:val="es-ES_tradnl"/>
        </w:rPr>
        <w:t>Concepto</w:t>
      </w:r>
    </w:p>
    <w:p w14:paraId="4AAB8DDD" w14:textId="537B898C" w:rsidR="00C978D4" w:rsidRPr="00DD69FC" w:rsidRDefault="00C978D4" w:rsidP="0099531F">
      <w:pPr>
        <w:jc w:val="both"/>
        <w:rPr>
          <w:rFonts w:ascii="Arial" w:eastAsia="Calibri" w:hAnsi="Arial" w:cs="Arial"/>
          <w:b/>
          <w:sz w:val="22"/>
          <w:lang w:val="es-ES_tradnl"/>
        </w:rPr>
      </w:pPr>
    </w:p>
    <w:p w14:paraId="51D76961" w14:textId="77777777" w:rsidR="0098709E" w:rsidRPr="00DD69FC" w:rsidRDefault="0098709E" w:rsidP="0098709E">
      <w:pPr>
        <w:jc w:val="both"/>
        <w:rPr>
          <w:rFonts w:ascii="Arial" w:eastAsia="Calibri" w:hAnsi="Arial" w:cs="Arial"/>
          <w:sz w:val="20"/>
          <w:szCs w:val="20"/>
          <w:lang w:val="es-ES_tradnl"/>
        </w:rPr>
      </w:pPr>
      <w:r w:rsidRPr="00DD69FC">
        <w:rPr>
          <w:rFonts w:ascii="Arial" w:eastAsia="Calibri" w:hAnsi="Arial" w:cs="Arial"/>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DD69FC">
        <w:rPr>
          <w:rFonts w:ascii="Arial" w:eastAsia="Calibri" w:hAnsi="Arial" w:cs="Arial"/>
          <w:sz w:val="20"/>
          <w:szCs w:val="20"/>
          <w:lang w:val="es-ES_tradnl"/>
        </w:rPr>
        <w:t>equivalentes,</w:t>
      </w:r>
      <w:proofErr w:type="gramEnd"/>
      <w:r w:rsidRPr="00DD69FC">
        <w:rPr>
          <w:rFonts w:ascii="Arial" w:eastAsia="Calibri" w:hAnsi="Arial" w:cs="Arial"/>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33E10CCB" w14:textId="73477A66" w:rsidR="00636F88" w:rsidRPr="00DD69FC" w:rsidRDefault="00636F88" w:rsidP="0099531F">
      <w:pPr>
        <w:jc w:val="both"/>
        <w:rPr>
          <w:rFonts w:ascii="Arial" w:eastAsia="Calibri" w:hAnsi="Arial" w:cs="Arial"/>
          <w:b/>
          <w:sz w:val="22"/>
          <w:lang w:val="es-ES_tradnl"/>
        </w:rPr>
      </w:pPr>
    </w:p>
    <w:p w14:paraId="73365DCF" w14:textId="63E2A713" w:rsidR="00272945" w:rsidRPr="00DD69FC" w:rsidRDefault="00B54215" w:rsidP="00272945">
      <w:pPr>
        <w:jc w:val="both"/>
        <w:rPr>
          <w:rFonts w:ascii="Arial" w:eastAsia="Calibri" w:hAnsi="Arial" w:cs="Arial"/>
          <w:b/>
          <w:sz w:val="22"/>
          <w:lang w:val="es-ES_tradnl"/>
        </w:rPr>
      </w:pPr>
      <w:r w:rsidRPr="00DD69FC">
        <w:rPr>
          <w:rFonts w:ascii="Arial" w:eastAsia="Calibri" w:hAnsi="Arial" w:cs="Arial"/>
          <w:b/>
          <w:sz w:val="22"/>
          <w:lang w:val="es-ES_tradnl"/>
        </w:rPr>
        <w:t>EMPATE</w:t>
      </w:r>
      <w:r w:rsidR="00272945" w:rsidRPr="00DD69FC">
        <w:rPr>
          <w:rFonts w:ascii="Arial" w:eastAsia="Calibri" w:hAnsi="Arial" w:cs="Arial"/>
          <w:b/>
          <w:sz w:val="22"/>
          <w:lang w:val="es-ES_tradnl"/>
        </w:rPr>
        <w:t xml:space="preserve"> – </w:t>
      </w:r>
      <w:r w:rsidRPr="00DD69FC">
        <w:rPr>
          <w:rFonts w:ascii="Arial" w:eastAsia="Calibri" w:hAnsi="Arial" w:cs="Arial"/>
          <w:b/>
          <w:sz w:val="22"/>
          <w:lang w:val="es-ES_tradnl"/>
        </w:rPr>
        <w:t>Procedimiento de selección</w:t>
      </w:r>
      <w:r w:rsidR="00272945" w:rsidRPr="00DD69FC">
        <w:rPr>
          <w:rFonts w:ascii="Arial" w:eastAsia="Calibri" w:hAnsi="Arial" w:cs="Arial"/>
          <w:b/>
          <w:sz w:val="22"/>
          <w:lang w:val="es-ES_tradnl"/>
        </w:rPr>
        <w:t xml:space="preserve"> – Concepto</w:t>
      </w:r>
    </w:p>
    <w:p w14:paraId="182F8CB9" w14:textId="246E5B50" w:rsidR="00272945" w:rsidRPr="00DD69FC" w:rsidRDefault="00272945" w:rsidP="0099531F">
      <w:pPr>
        <w:jc w:val="both"/>
        <w:rPr>
          <w:rFonts w:ascii="Arial" w:eastAsia="Calibri" w:hAnsi="Arial" w:cs="Arial"/>
          <w:b/>
          <w:sz w:val="22"/>
          <w:lang w:val="es-ES_tradnl"/>
        </w:rPr>
      </w:pPr>
    </w:p>
    <w:p w14:paraId="3AD8423B" w14:textId="77777777" w:rsidR="007342BB" w:rsidRPr="00DD69FC" w:rsidRDefault="007342BB" w:rsidP="007342BB">
      <w:pPr>
        <w:jc w:val="both"/>
        <w:rPr>
          <w:rFonts w:ascii="Arial" w:hAnsi="Arial" w:cs="Arial"/>
          <w:noProof/>
          <w:sz w:val="22"/>
          <w:lang w:val="es-ES_tradnl"/>
        </w:rPr>
      </w:pPr>
      <w:r w:rsidRPr="00DD69FC">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9DD8E0A" w14:textId="5F79A1BF" w:rsidR="006F71F5" w:rsidRPr="00DD69FC" w:rsidRDefault="006F71F5" w:rsidP="00B95C30">
      <w:pPr>
        <w:spacing w:line="276" w:lineRule="auto"/>
        <w:jc w:val="both"/>
        <w:rPr>
          <w:rFonts w:ascii="Arial" w:hAnsi="Arial" w:cs="Arial"/>
          <w:noProof/>
          <w:sz w:val="22"/>
          <w:lang w:val="es-ES_tradnl"/>
        </w:rPr>
      </w:pPr>
    </w:p>
    <w:p w14:paraId="04086EC5" w14:textId="04F7FF6D" w:rsidR="00DF71EA" w:rsidRPr="00DD69FC" w:rsidRDefault="00D73881" w:rsidP="00DF71EA">
      <w:pPr>
        <w:jc w:val="both"/>
        <w:rPr>
          <w:rFonts w:ascii="Arial" w:eastAsia="Calibri" w:hAnsi="Arial" w:cs="Arial"/>
          <w:b/>
          <w:sz w:val="22"/>
          <w:lang w:val="es-ES_tradnl"/>
        </w:rPr>
      </w:pPr>
      <w:r w:rsidRPr="00DD69FC">
        <w:rPr>
          <w:rFonts w:ascii="Arial" w:eastAsia="Calibri" w:hAnsi="Arial" w:cs="Arial"/>
          <w:b/>
          <w:sz w:val="22"/>
          <w:lang w:val="es-ES_tradnl"/>
        </w:rPr>
        <w:t>FACTORES DE DESEMPATE</w:t>
      </w:r>
      <w:r w:rsidR="00DF71EA" w:rsidRPr="00DD69FC">
        <w:rPr>
          <w:rFonts w:ascii="Arial" w:eastAsia="Calibri" w:hAnsi="Arial" w:cs="Arial"/>
          <w:b/>
          <w:sz w:val="22"/>
          <w:lang w:val="es-ES_tradnl"/>
        </w:rPr>
        <w:t xml:space="preserve"> – </w:t>
      </w:r>
      <w:r w:rsidRPr="00DD69FC">
        <w:rPr>
          <w:rFonts w:ascii="Arial" w:eastAsia="Calibri" w:hAnsi="Arial" w:cs="Arial"/>
          <w:b/>
          <w:sz w:val="22"/>
          <w:lang w:val="es-ES_tradnl"/>
        </w:rPr>
        <w:t>Características</w:t>
      </w:r>
      <w:r w:rsidR="00DF71EA" w:rsidRPr="00DD69FC">
        <w:rPr>
          <w:rFonts w:ascii="Arial" w:eastAsia="Calibri" w:hAnsi="Arial" w:cs="Arial"/>
          <w:b/>
          <w:sz w:val="22"/>
          <w:lang w:val="es-ES_tradnl"/>
        </w:rPr>
        <w:t xml:space="preserve"> – </w:t>
      </w:r>
      <w:r w:rsidRPr="00DD69FC">
        <w:rPr>
          <w:rFonts w:ascii="Arial" w:eastAsia="Calibri" w:hAnsi="Arial" w:cs="Arial"/>
          <w:b/>
          <w:sz w:val="22"/>
          <w:lang w:val="es-ES_tradnl"/>
        </w:rPr>
        <w:t>Límites</w:t>
      </w:r>
    </w:p>
    <w:p w14:paraId="583F00A4" w14:textId="390EB1EB" w:rsidR="00DF71EA" w:rsidRPr="00DD69FC" w:rsidRDefault="00DF71EA" w:rsidP="00B95C30">
      <w:pPr>
        <w:spacing w:line="276" w:lineRule="auto"/>
        <w:jc w:val="both"/>
        <w:rPr>
          <w:rFonts w:ascii="Arial" w:hAnsi="Arial" w:cs="Arial"/>
          <w:noProof/>
          <w:sz w:val="22"/>
          <w:lang w:val="es-ES_tradnl"/>
        </w:rPr>
      </w:pPr>
    </w:p>
    <w:p w14:paraId="4D06F5C8" w14:textId="1405E28F" w:rsidR="0026051E" w:rsidRPr="00DD69FC" w:rsidRDefault="004636DB" w:rsidP="0026051E">
      <w:pPr>
        <w:jc w:val="both"/>
        <w:rPr>
          <w:rFonts w:ascii="Arial" w:eastAsia="Calibri" w:hAnsi="Arial" w:cs="Arial"/>
          <w:sz w:val="20"/>
          <w:szCs w:val="20"/>
          <w:lang w:val="es-ES_tradnl"/>
        </w:rPr>
      </w:pPr>
      <w:r w:rsidRPr="00DD69FC">
        <w:rPr>
          <w:rFonts w:ascii="Arial" w:eastAsia="Calibri" w:hAnsi="Arial" w:cs="Arial"/>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w:t>
      </w:r>
      <w:proofErr w:type="gramStart"/>
      <w:r w:rsidRPr="00DD69FC">
        <w:rPr>
          <w:rFonts w:ascii="Arial" w:eastAsia="Calibri" w:hAnsi="Arial" w:cs="Arial"/>
          <w:sz w:val="20"/>
          <w:szCs w:val="20"/>
          <w:lang w:val="es-ES_tradnl"/>
        </w:rPr>
        <w:t>selección .</w:t>
      </w:r>
      <w:proofErr w:type="gramEnd"/>
    </w:p>
    <w:p w14:paraId="40D15580" w14:textId="77777777" w:rsidR="004636DB" w:rsidRPr="00DD69FC" w:rsidRDefault="004636DB" w:rsidP="0026051E">
      <w:pPr>
        <w:jc w:val="both"/>
        <w:rPr>
          <w:rFonts w:ascii="Arial" w:eastAsia="Calibri" w:hAnsi="Arial" w:cs="Arial"/>
          <w:sz w:val="20"/>
          <w:szCs w:val="20"/>
          <w:lang w:val="es-ES_tradnl"/>
        </w:rPr>
      </w:pPr>
    </w:p>
    <w:p w14:paraId="1F0FD3F2" w14:textId="77777777" w:rsidR="0026051E" w:rsidRPr="00DD69FC" w:rsidRDefault="0026051E" w:rsidP="0026051E">
      <w:pPr>
        <w:jc w:val="both"/>
        <w:rPr>
          <w:rFonts w:ascii="Arial" w:eastAsia="Calibri" w:hAnsi="Arial" w:cs="Arial"/>
          <w:sz w:val="20"/>
          <w:szCs w:val="20"/>
          <w:lang w:val="es-ES_tradnl"/>
        </w:rPr>
      </w:pPr>
      <w:r w:rsidRPr="00DD69FC">
        <w:rPr>
          <w:rFonts w:ascii="Arial" w:eastAsia="Calibri" w:hAnsi="Arial" w:cs="Arial"/>
          <w:sz w:val="20"/>
          <w:szCs w:val="20"/>
          <w:lang w:val="es-ES_tradnl"/>
        </w:rPr>
        <w:t xml:space="preserve">En tal sentido, la Corte Constitucional explica que cuando la ley establece factores de desempate obligatorios, las entidades estatales no pueden </w:t>
      </w:r>
      <w:proofErr w:type="spellStart"/>
      <w:r w:rsidRPr="00DD69FC">
        <w:rPr>
          <w:rFonts w:ascii="Arial" w:eastAsia="Calibri" w:hAnsi="Arial" w:cs="Arial"/>
          <w:sz w:val="20"/>
          <w:szCs w:val="20"/>
          <w:lang w:val="es-ES_tradnl"/>
        </w:rPr>
        <w:t>inaplicarlos</w:t>
      </w:r>
      <w:proofErr w:type="spellEnd"/>
      <w:r w:rsidRPr="00DD69FC">
        <w:rPr>
          <w:rFonts w:ascii="Arial" w:eastAsia="Calibri" w:hAnsi="Arial" w:cs="Arial"/>
          <w:sz w:val="20"/>
          <w:szCs w:val="20"/>
          <w:lang w:val="es-ES_tradnl"/>
        </w:rPr>
        <w:t xml:space="preserve">,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 </w:t>
      </w:r>
    </w:p>
    <w:p w14:paraId="03CC5C7E" w14:textId="460BCC05" w:rsidR="00D73881" w:rsidRPr="00DD69FC" w:rsidRDefault="00D73881" w:rsidP="00B95C30">
      <w:pPr>
        <w:spacing w:line="276" w:lineRule="auto"/>
        <w:jc w:val="both"/>
        <w:rPr>
          <w:rFonts w:ascii="Arial" w:hAnsi="Arial" w:cs="Arial"/>
          <w:noProof/>
          <w:sz w:val="22"/>
          <w:lang w:val="es-ES_tradnl"/>
        </w:rPr>
      </w:pPr>
    </w:p>
    <w:p w14:paraId="197D1E99" w14:textId="77777777" w:rsidR="0026051E" w:rsidRPr="00DD69FC" w:rsidRDefault="0026051E" w:rsidP="00D73881">
      <w:pPr>
        <w:jc w:val="both"/>
        <w:rPr>
          <w:rFonts w:ascii="Arial" w:eastAsia="Calibri" w:hAnsi="Arial" w:cs="Arial"/>
          <w:b/>
          <w:sz w:val="22"/>
          <w:lang w:val="es-ES_tradnl"/>
        </w:rPr>
      </w:pPr>
    </w:p>
    <w:p w14:paraId="07AD6094" w14:textId="77777777" w:rsidR="0026051E" w:rsidRPr="00DD69FC" w:rsidRDefault="0026051E" w:rsidP="00D73881">
      <w:pPr>
        <w:jc w:val="both"/>
        <w:rPr>
          <w:rFonts w:ascii="Arial" w:eastAsia="Calibri" w:hAnsi="Arial" w:cs="Arial"/>
          <w:b/>
          <w:sz w:val="22"/>
          <w:lang w:val="es-ES_tradnl"/>
        </w:rPr>
      </w:pPr>
    </w:p>
    <w:p w14:paraId="7144E95B" w14:textId="76DD9ABA" w:rsidR="00D73881" w:rsidRPr="00DD69FC" w:rsidRDefault="00D73881" w:rsidP="00D73881">
      <w:pPr>
        <w:jc w:val="both"/>
        <w:rPr>
          <w:rFonts w:ascii="Arial" w:eastAsia="Calibri" w:hAnsi="Arial" w:cs="Arial"/>
          <w:b/>
          <w:sz w:val="22"/>
          <w:lang w:val="es-ES_tradnl"/>
        </w:rPr>
      </w:pPr>
      <w:r w:rsidRPr="00DD69FC">
        <w:rPr>
          <w:rFonts w:ascii="Arial" w:eastAsia="Calibri" w:hAnsi="Arial" w:cs="Arial"/>
          <w:b/>
          <w:sz w:val="22"/>
          <w:lang w:val="es-ES_tradnl"/>
        </w:rPr>
        <w:t xml:space="preserve">LEY DE EMPRENDIMIENTO – Ley </w:t>
      </w:r>
      <w:r w:rsidR="006F0F34" w:rsidRPr="00DD69FC">
        <w:rPr>
          <w:rFonts w:ascii="Arial" w:eastAsia="Calibri" w:hAnsi="Arial" w:cs="Arial"/>
          <w:b/>
          <w:sz w:val="22"/>
          <w:lang w:val="es-ES_tradnl"/>
        </w:rPr>
        <w:t>2069</w:t>
      </w:r>
      <w:r w:rsidRPr="00DD69FC">
        <w:rPr>
          <w:rFonts w:ascii="Arial" w:eastAsia="Calibri" w:hAnsi="Arial" w:cs="Arial"/>
          <w:b/>
          <w:sz w:val="22"/>
          <w:lang w:val="es-ES_tradnl"/>
        </w:rPr>
        <w:t xml:space="preserve"> de 2020 – Vigencia </w:t>
      </w:r>
    </w:p>
    <w:p w14:paraId="0D3B8DEB" w14:textId="33C83BCF" w:rsidR="00D73881" w:rsidRPr="00DD69FC" w:rsidRDefault="00D73881" w:rsidP="00D73881">
      <w:pPr>
        <w:jc w:val="both"/>
        <w:rPr>
          <w:rFonts w:ascii="Arial" w:eastAsia="Calibri" w:hAnsi="Arial" w:cs="Arial"/>
          <w:b/>
          <w:sz w:val="22"/>
          <w:lang w:val="es-ES_tradnl"/>
        </w:rPr>
      </w:pPr>
    </w:p>
    <w:p w14:paraId="097E383C" w14:textId="77777777" w:rsidR="006A2829" w:rsidRPr="00DD69FC" w:rsidRDefault="006A2829" w:rsidP="006A2829">
      <w:pPr>
        <w:jc w:val="both"/>
        <w:rPr>
          <w:rFonts w:ascii="Arial" w:eastAsia="Calibri" w:hAnsi="Arial" w:cs="Arial"/>
          <w:sz w:val="20"/>
          <w:szCs w:val="20"/>
          <w:lang w:val="es-ES_tradnl"/>
        </w:rPr>
      </w:pPr>
      <w:r w:rsidRPr="00DD69FC">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4A4015B6" w14:textId="77777777" w:rsidR="006A2829" w:rsidRPr="00DD69FC" w:rsidRDefault="006A2829" w:rsidP="006A2829">
      <w:pPr>
        <w:jc w:val="both"/>
        <w:rPr>
          <w:rFonts w:ascii="Arial" w:eastAsia="Calibri" w:hAnsi="Arial" w:cs="Arial"/>
          <w:sz w:val="20"/>
          <w:szCs w:val="20"/>
          <w:lang w:val="es-ES_tradnl"/>
        </w:rPr>
      </w:pPr>
    </w:p>
    <w:p w14:paraId="178DBEA3" w14:textId="77777777" w:rsidR="006A2829" w:rsidRPr="00DD69FC" w:rsidRDefault="006A2829" w:rsidP="006A2829">
      <w:pPr>
        <w:jc w:val="both"/>
        <w:rPr>
          <w:rFonts w:ascii="Arial" w:eastAsia="Calibri" w:hAnsi="Arial" w:cs="Arial"/>
          <w:sz w:val="20"/>
          <w:szCs w:val="20"/>
          <w:lang w:val="es-ES_tradnl"/>
        </w:rPr>
      </w:pPr>
      <w:r w:rsidRPr="00DD69FC">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DD69FC">
        <w:rPr>
          <w:rFonts w:ascii="Arial" w:eastAsia="Calibri" w:hAnsi="Arial" w:cs="Arial"/>
          <w:sz w:val="20"/>
          <w:szCs w:val="20"/>
          <w:lang w:val="es-ES_tradnl"/>
        </w:rPr>
        <w:t>de acuerdo a</w:t>
      </w:r>
      <w:proofErr w:type="gramEnd"/>
      <w:r w:rsidRPr="00DD69FC">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DD69FC">
        <w:rPr>
          <w:rFonts w:ascii="Arial" w:eastAsia="Calibri" w:hAnsi="Arial" w:cs="Arial"/>
          <w:sz w:val="20"/>
          <w:szCs w:val="20"/>
          <w:lang w:val="es-ES_tradnl"/>
        </w:rPr>
        <w:t>mipymes</w:t>
      </w:r>
      <w:proofErr w:type="spellEnd"/>
      <w:r w:rsidRPr="00DD69FC">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7B24A529" w14:textId="77777777" w:rsidR="008410B1" w:rsidRPr="00DD69FC" w:rsidRDefault="008410B1" w:rsidP="008410B1">
      <w:pPr>
        <w:jc w:val="both"/>
        <w:rPr>
          <w:rFonts w:ascii="Arial" w:eastAsia="Calibri" w:hAnsi="Arial" w:cs="Arial"/>
          <w:b/>
          <w:sz w:val="22"/>
          <w:lang w:val="es-ES_tradnl"/>
        </w:rPr>
      </w:pPr>
    </w:p>
    <w:p w14:paraId="5C894141" w14:textId="7EEDC5F6" w:rsidR="00D73881" w:rsidRPr="00DD69FC" w:rsidRDefault="00D06CA3" w:rsidP="00D73881">
      <w:pPr>
        <w:jc w:val="both"/>
        <w:rPr>
          <w:rFonts w:ascii="Arial" w:eastAsia="Calibri" w:hAnsi="Arial" w:cs="Arial"/>
          <w:b/>
          <w:sz w:val="22"/>
          <w:lang w:val="es-ES_tradnl"/>
        </w:rPr>
      </w:pPr>
      <w:r w:rsidRPr="00DD69FC">
        <w:rPr>
          <w:rFonts w:ascii="Arial" w:eastAsia="Calibri" w:hAnsi="Arial" w:cs="Arial"/>
          <w:b/>
          <w:sz w:val="22"/>
          <w:lang w:val="es-ES_tradnl"/>
        </w:rPr>
        <w:t>DECRETO 1082 DE 2015</w:t>
      </w:r>
      <w:r w:rsidR="00D73881" w:rsidRPr="00DD69FC">
        <w:rPr>
          <w:rFonts w:ascii="Arial" w:eastAsia="Calibri" w:hAnsi="Arial" w:cs="Arial"/>
          <w:b/>
          <w:sz w:val="22"/>
          <w:lang w:val="es-ES_tradnl"/>
        </w:rPr>
        <w:t xml:space="preserve"> – </w:t>
      </w:r>
      <w:r w:rsidR="008120AC" w:rsidRPr="00DD69FC">
        <w:rPr>
          <w:rFonts w:ascii="Arial" w:eastAsia="Calibri" w:hAnsi="Arial" w:cs="Arial"/>
          <w:b/>
          <w:sz w:val="22"/>
          <w:lang w:val="es-ES_tradnl"/>
        </w:rPr>
        <w:t>Factores de desempate –</w:t>
      </w:r>
      <w:r w:rsidR="00203878" w:rsidRPr="00DD69FC">
        <w:rPr>
          <w:rFonts w:ascii="Arial" w:eastAsia="Calibri" w:hAnsi="Arial" w:cs="Arial"/>
          <w:b/>
          <w:sz w:val="22"/>
          <w:lang w:val="es-ES_tradnl"/>
        </w:rPr>
        <w:t xml:space="preserve"> </w:t>
      </w:r>
      <w:r w:rsidRPr="00DD69FC">
        <w:rPr>
          <w:rFonts w:ascii="Arial" w:eastAsia="Calibri" w:hAnsi="Arial" w:cs="Arial"/>
          <w:b/>
          <w:sz w:val="22"/>
          <w:lang w:val="es-ES_tradnl"/>
        </w:rPr>
        <w:t>Derogatoria</w:t>
      </w:r>
      <w:r w:rsidR="00D73881" w:rsidRPr="00DD69FC">
        <w:rPr>
          <w:rFonts w:ascii="Arial" w:eastAsia="Calibri" w:hAnsi="Arial" w:cs="Arial"/>
          <w:b/>
          <w:sz w:val="22"/>
          <w:lang w:val="es-ES_tradnl"/>
        </w:rPr>
        <w:t xml:space="preserve"> – </w:t>
      </w:r>
      <w:r w:rsidRPr="00DD69FC">
        <w:rPr>
          <w:rFonts w:ascii="Arial" w:eastAsia="Calibri" w:hAnsi="Arial" w:cs="Arial"/>
          <w:b/>
          <w:sz w:val="22"/>
          <w:lang w:val="es-ES_tradnl"/>
        </w:rPr>
        <w:t>Decaimiento</w:t>
      </w:r>
    </w:p>
    <w:p w14:paraId="4D9EB4C1" w14:textId="20D03020" w:rsidR="00D73881" w:rsidRPr="00DD69FC" w:rsidRDefault="00D73881" w:rsidP="00B95C30">
      <w:pPr>
        <w:spacing w:line="276" w:lineRule="auto"/>
        <w:jc w:val="both"/>
        <w:rPr>
          <w:rFonts w:ascii="Arial" w:hAnsi="Arial" w:cs="Arial"/>
          <w:noProof/>
          <w:sz w:val="22"/>
          <w:lang w:val="es-ES_tradnl"/>
        </w:rPr>
      </w:pPr>
    </w:p>
    <w:p w14:paraId="2CA58020" w14:textId="26F01600" w:rsidR="00D06CA3" w:rsidRPr="00DD69FC" w:rsidRDefault="00D06CA3" w:rsidP="00D06CA3">
      <w:pPr>
        <w:jc w:val="both"/>
        <w:rPr>
          <w:rFonts w:ascii="Arial" w:hAnsi="Arial" w:cs="Arial"/>
          <w:sz w:val="20"/>
          <w:szCs w:val="20"/>
          <w:lang w:val="es-ES_tradnl"/>
        </w:rPr>
      </w:pPr>
      <w:r w:rsidRPr="00DD69FC">
        <w:rPr>
          <w:rFonts w:ascii="Arial" w:hAnsi="Arial" w:cs="Arial"/>
          <w:sz w:val="20"/>
          <w:szCs w:val="20"/>
          <w:lang w:val="es-ES_tradnl"/>
        </w:rPr>
        <w:t xml:space="preserve">Ahora bien, hasta la promulgación de la Ley </w:t>
      </w:r>
      <w:r w:rsidR="006F0F34" w:rsidRPr="00DD69FC">
        <w:rPr>
          <w:rFonts w:ascii="Arial" w:hAnsi="Arial" w:cs="Arial"/>
          <w:sz w:val="20"/>
          <w:szCs w:val="20"/>
          <w:lang w:val="es-ES_tradnl"/>
        </w:rPr>
        <w:t>2069</w:t>
      </w:r>
      <w:r w:rsidRPr="00DD69FC">
        <w:rPr>
          <w:rFonts w:ascii="Arial" w:hAnsi="Arial" w:cs="Arial"/>
          <w:sz w:val="20"/>
          <w:szCs w:val="20"/>
          <w:lang w:val="es-ES_tradnl"/>
        </w:rPr>
        <w:t xml:space="preserve"> de 2020, el artículo 2.2.1.1.2.2.9. del Decreto 1082 de 2015 regulaba los factores de desempate que debían aplicarse en los procesos de selección. En criterio de esta </w:t>
      </w:r>
      <w:r w:rsidR="00D7536A" w:rsidRPr="00DD69FC">
        <w:rPr>
          <w:rFonts w:ascii="Arial" w:hAnsi="Arial" w:cs="Arial"/>
          <w:sz w:val="20"/>
          <w:szCs w:val="20"/>
          <w:lang w:val="es-ES_tradnl"/>
        </w:rPr>
        <w:t>Agencia</w:t>
      </w:r>
      <w:r w:rsidRPr="00DD69FC">
        <w:rPr>
          <w:rFonts w:ascii="Arial" w:hAnsi="Arial" w:cs="Arial"/>
          <w:sz w:val="20"/>
          <w:szCs w:val="20"/>
          <w:lang w:val="es-ES_tradnl"/>
        </w:rPr>
        <w:t xml:space="preserve">, dicha norma debe entenderse derogada por el artículo 35 de la Ley </w:t>
      </w:r>
      <w:r w:rsidR="006F0F34" w:rsidRPr="00DD69FC">
        <w:rPr>
          <w:rFonts w:ascii="Arial" w:hAnsi="Arial" w:cs="Arial"/>
          <w:sz w:val="20"/>
          <w:szCs w:val="20"/>
          <w:lang w:val="es-ES_tradnl"/>
        </w:rPr>
        <w:t>2069</w:t>
      </w:r>
      <w:r w:rsidRPr="00DD69FC">
        <w:rPr>
          <w:rFonts w:ascii="Arial" w:hAnsi="Arial" w:cs="Arial"/>
          <w:sz w:val="20"/>
          <w:szCs w:val="20"/>
          <w:lang w:val="es-ES_tradnl"/>
        </w:rPr>
        <w:t xml:space="preserve"> de 2020. Ello no solo porque el artículo 84 de esta Ley dice que «rige a partir del momento de su promulgación», es decir, desde el 31 de diciembre de 2020, sino además porque la misma disposición señala que la Ley </w:t>
      </w:r>
      <w:r w:rsidR="006F0F34" w:rsidRPr="00DD69FC">
        <w:rPr>
          <w:rFonts w:ascii="Arial" w:hAnsi="Arial" w:cs="Arial"/>
          <w:sz w:val="20"/>
          <w:szCs w:val="20"/>
          <w:lang w:val="es-ES_tradnl"/>
        </w:rPr>
        <w:t>2069</w:t>
      </w:r>
      <w:r w:rsidRPr="00DD69FC">
        <w:rPr>
          <w:rFonts w:ascii="Arial" w:hAnsi="Arial" w:cs="Arial"/>
          <w:sz w:val="20"/>
          <w:szCs w:val="20"/>
          <w:lang w:val="es-ES_tradnl"/>
        </w:rPr>
        <w:t xml:space="preserve"> de 2020 deroga «[…] todas las disposiciones que le sean contrarias». Se presenta una antinomia o contradicción normativa cuando dos o más disposiciones normativas regulan en sentido diferente un tema. Bajo esta consideración, como el artículo 35 de la Ley </w:t>
      </w:r>
      <w:r w:rsidR="006F0F34" w:rsidRPr="00DD69FC">
        <w:rPr>
          <w:rFonts w:ascii="Arial" w:hAnsi="Arial" w:cs="Arial"/>
          <w:sz w:val="20"/>
          <w:szCs w:val="20"/>
          <w:lang w:val="es-ES_tradnl"/>
        </w:rPr>
        <w:t>2069</w:t>
      </w:r>
      <w:r w:rsidRPr="00DD69FC">
        <w:rPr>
          <w:rFonts w:ascii="Arial" w:hAnsi="Arial" w:cs="Arial"/>
          <w:sz w:val="20"/>
          <w:szCs w:val="20"/>
          <w:lang w:val="es-ES_tradnl"/>
        </w:rPr>
        <w:t xml:space="preserve"> de 2020 regula en forma distinta a como lo hacía el artículo 2.2.1.1.2.2.9. del Decreto 1082 de 2015 la aplicación de los factores de desempate, aquel debe entenderse derogado. </w:t>
      </w:r>
    </w:p>
    <w:p w14:paraId="44FA67DF" w14:textId="77777777" w:rsidR="00D06CA3" w:rsidRPr="00DD69FC" w:rsidRDefault="00D06CA3" w:rsidP="00D06CA3">
      <w:pPr>
        <w:jc w:val="both"/>
        <w:rPr>
          <w:rFonts w:ascii="Arial" w:hAnsi="Arial" w:cs="Arial"/>
          <w:sz w:val="20"/>
          <w:szCs w:val="20"/>
          <w:lang w:val="es-ES_tradnl"/>
        </w:rPr>
      </w:pPr>
    </w:p>
    <w:p w14:paraId="643109D0" w14:textId="08DA97B3" w:rsidR="00D06CA3" w:rsidRPr="00DD69FC" w:rsidRDefault="00D06CA3" w:rsidP="00D06CA3">
      <w:pPr>
        <w:jc w:val="both"/>
        <w:rPr>
          <w:rFonts w:ascii="Arial" w:hAnsi="Arial" w:cs="Arial"/>
          <w:sz w:val="20"/>
          <w:szCs w:val="20"/>
          <w:lang w:val="es-ES_tradnl"/>
        </w:rPr>
      </w:pPr>
      <w:r w:rsidRPr="00DD69FC">
        <w:rPr>
          <w:rFonts w:ascii="Arial" w:hAnsi="Arial" w:cs="Arial"/>
          <w:sz w:val="20"/>
          <w:szCs w:val="20"/>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Dado que el Decreto 1082 de 2015 es un reglamento </w:t>
      </w:r>
      <w:proofErr w:type="spellStart"/>
      <w:r w:rsidRPr="00DD69FC">
        <w:rPr>
          <w:rFonts w:ascii="Arial" w:hAnsi="Arial" w:cs="Arial"/>
          <w:i/>
          <w:iCs/>
          <w:sz w:val="20"/>
          <w:szCs w:val="20"/>
          <w:lang w:val="es-ES_tradnl"/>
        </w:rPr>
        <w:t>secundum</w:t>
      </w:r>
      <w:proofErr w:type="spellEnd"/>
      <w:r w:rsidRPr="00DD69FC">
        <w:rPr>
          <w:rFonts w:ascii="Arial" w:hAnsi="Arial" w:cs="Arial"/>
          <w:i/>
          <w:iCs/>
          <w:sz w:val="20"/>
          <w:szCs w:val="20"/>
          <w:lang w:val="es-ES_tradnl"/>
        </w:rPr>
        <w:t xml:space="preserve"> </w:t>
      </w:r>
      <w:proofErr w:type="spellStart"/>
      <w:r w:rsidRPr="00DD69FC">
        <w:rPr>
          <w:rFonts w:ascii="Arial" w:hAnsi="Arial" w:cs="Arial"/>
          <w:i/>
          <w:iCs/>
          <w:sz w:val="20"/>
          <w:szCs w:val="20"/>
          <w:lang w:val="es-ES_tradnl"/>
        </w:rPr>
        <w:t>legem</w:t>
      </w:r>
      <w:proofErr w:type="spellEnd"/>
      <w:r w:rsidRPr="00DD69FC">
        <w:rPr>
          <w:rFonts w:ascii="Arial" w:hAnsi="Arial" w:cs="Arial"/>
          <w:sz w:val="20"/>
          <w:szCs w:val="20"/>
          <w:lang w:val="es-ES_tradnl"/>
        </w:rPr>
        <w:t xml:space="preserve"> –es decir, que desarrolla la ley–, la expedición de una ley en sentido formal –es decir, de un precepto que se ubica en un nivel superior de la jerarquía normativa–, que modifica la materia reglamentada, hace que la disposición reglamentaria decaiga.      </w:t>
      </w:r>
    </w:p>
    <w:p w14:paraId="53B8D6C5" w14:textId="02D06C40" w:rsidR="003C5E8A" w:rsidRPr="00DD69FC" w:rsidRDefault="003C5E8A" w:rsidP="003C5E8A">
      <w:pPr>
        <w:jc w:val="both"/>
        <w:rPr>
          <w:rFonts w:ascii="Arial" w:eastAsia="Calibri" w:hAnsi="Arial" w:cs="Arial"/>
          <w:sz w:val="20"/>
          <w:szCs w:val="20"/>
          <w:lang w:val="es-ES_tradnl"/>
        </w:rPr>
      </w:pPr>
    </w:p>
    <w:p w14:paraId="10D58CB9" w14:textId="6B8454E5" w:rsidR="00203878" w:rsidRPr="00DD69FC" w:rsidRDefault="00203878" w:rsidP="003C5E8A">
      <w:pPr>
        <w:jc w:val="both"/>
        <w:rPr>
          <w:rFonts w:ascii="Arial" w:eastAsia="Calibri" w:hAnsi="Arial" w:cs="Arial"/>
          <w:sz w:val="20"/>
          <w:szCs w:val="20"/>
          <w:lang w:val="es-ES_tradnl"/>
        </w:rPr>
      </w:pPr>
    </w:p>
    <w:p w14:paraId="4EB9D52B" w14:textId="4A33B5C0" w:rsidR="00203878" w:rsidRPr="00DD69FC" w:rsidRDefault="00203878" w:rsidP="003C5E8A">
      <w:pPr>
        <w:jc w:val="both"/>
        <w:rPr>
          <w:rFonts w:ascii="Arial" w:eastAsia="Calibri" w:hAnsi="Arial" w:cs="Arial"/>
          <w:sz w:val="20"/>
          <w:szCs w:val="20"/>
          <w:lang w:val="es-ES_tradnl"/>
        </w:rPr>
      </w:pPr>
    </w:p>
    <w:p w14:paraId="3CD06C81" w14:textId="22DF5DF7" w:rsidR="00203878" w:rsidRPr="00DD69FC" w:rsidRDefault="00203878" w:rsidP="003C5E8A">
      <w:pPr>
        <w:jc w:val="both"/>
        <w:rPr>
          <w:rFonts w:ascii="Arial" w:eastAsia="Calibri" w:hAnsi="Arial" w:cs="Arial"/>
          <w:sz w:val="20"/>
          <w:szCs w:val="20"/>
          <w:lang w:val="es-ES_tradnl"/>
        </w:rPr>
      </w:pPr>
    </w:p>
    <w:p w14:paraId="6E24A30C" w14:textId="0E8FE6CB" w:rsidR="00203878" w:rsidRPr="00DD69FC" w:rsidRDefault="00203878" w:rsidP="003C5E8A">
      <w:pPr>
        <w:jc w:val="both"/>
        <w:rPr>
          <w:rFonts w:ascii="Arial" w:eastAsia="Calibri" w:hAnsi="Arial" w:cs="Arial"/>
          <w:sz w:val="20"/>
          <w:szCs w:val="20"/>
          <w:lang w:val="es-ES_tradnl"/>
        </w:rPr>
      </w:pPr>
    </w:p>
    <w:p w14:paraId="4195AEB8" w14:textId="265CB2CB" w:rsidR="00203878" w:rsidRPr="00DD69FC" w:rsidRDefault="00203878" w:rsidP="003C5E8A">
      <w:pPr>
        <w:jc w:val="both"/>
        <w:rPr>
          <w:rFonts w:ascii="Arial" w:eastAsia="Calibri" w:hAnsi="Arial" w:cs="Arial"/>
          <w:sz w:val="20"/>
          <w:szCs w:val="20"/>
          <w:lang w:val="es-ES_tradnl"/>
        </w:rPr>
      </w:pPr>
    </w:p>
    <w:p w14:paraId="4D43E971" w14:textId="415F69C5" w:rsidR="00203878" w:rsidRPr="00DD69FC" w:rsidRDefault="00203878" w:rsidP="003C5E8A">
      <w:pPr>
        <w:jc w:val="both"/>
        <w:rPr>
          <w:rFonts w:ascii="Arial" w:eastAsia="Calibri" w:hAnsi="Arial" w:cs="Arial"/>
          <w:sz w:val="20"/>
          <w:szCs w:val="20"/>
          <w:lang w:val="es-ES_tradnl"/>
        </w:rPr>
      </w:pPr>
    </w:p>
    <w:p w14:paraId="04697C9E" w14:textId="77777777" w:rsidR="00203878" w:rsidRPr="00DD69FC" w:rsidRDefault="00203878" w:rsidP="003C5E8A">
      <w:pPr>
        <w:jc w:val="both"/>
        <w:rPr>
          <w:rFonts w:ascii="Arial" w:eastAsia="Calibri" w:hAnsi="Arial" w:cs="Arial"/>
          <w:sz w:val="20"/>
          <w:szCs w:val="20"/>
          <w:lang w:val="es-ES_tradnl"/>
        </w:rPr>
      </w:pPr>
    </w:p>
    <w:p w14:paraId="386B45E7" w14:textId="09266E66" w:rsidR="00203878" w:rsidRPr="00DD69FC" w:rsidRDefault="00203878" w:rsidP="00C5587F">
      <w:pPr>
        <w:jc w:val="both"/>
        <w:rPr>
          <w:rFonts w:ascii="Arial" w:eastAsia="Arial" w:hAnsi="Arial" w:cs="Arial"/>
          <w:b/>
          <w:bCs/>
          <w:sz w:val="22"/>
          <w:szCs w:val="22"/>
          <w:lang w:val="es-ES" w:eastAsia="en-US"/>
        </w:rPr>
      </w:pPr>
      <w:r w:rsidRPr="00DD69FC">
        <w:rPr>
          <w:rFonts w:ascii="Arial" w:eastAsia="Arial" w:hAnsi="Arial" w:cs="Arial"/>
          <w:b/>
          <w:bCs/>
          <w:sz w:val="22"/>
          <w:szCs w:val="22"/>
          <w:lang w:val="es-ES" w:eastAsia="en-US"/>
        </w:rPr>
        <w:t xml:space="preserve">DECRETO 1082 DE 2015 – Factores de desempate – </w:t>
      </w:r>
      <w:r w:rsidR="00872465" w:rsidRPr="00DD69FC">
        <w:rPr>
          <w:rFonts w:ascii="Arial" w:eastAsia="Arial" w:hAnsi="Arial" w:cs="Arial"/>
          <w:b/>
          <w:bCs/>
          <w:sz w:val="22"/>
          <w:szCs w:val="22"/>
          <w:lang w:val="es-ES" w:eastAsia="en-US"/>
        </w:rPr>
        <w:t>Mínima Cuantía</w:t>
      </w:r>
      <w:r w:rsidRPr="00DD69FC">
        <w:rPr>
          <w:rFonts w:ascii="Arial" w:eastAsia="Arial" w:hAnsi="Arial" w:cs="Arial"/>
          <w:b/>
          <w:bCs/>
          <w:sz w:val="22"/>
          <w:szCs w:val="22"/>
          <w:lang w:val="es-ES" w:eastAsia="en-US"/>
        </w:rPr>
        <w:t xml:space="preserve"> </w:t>
      </w:r>
      <w:r w:rsidR="00872465" w:rsidRPr="00DD69FC">
        <w:rPr>
          <w:rFonts w:ascii="Arial" w:eastAsia="Arial" w:hAnsi="Arial" w:cs="Arial"/>
          <w:b/>
          <w:bCs/>
          <w:sz w:val="22"/>
          <w:szCs w:val="22"/>
          <w:lang w:val="es-ES" w:eastAsia="en-US"/>
        </w:rPr>
        <w:t xml:space="preserve">– Adquisición en grandes superficies </w:t>
      </w:r>
      <w:r w:rsidRPr="00DD69FC">
        <w:rPr>
          <w:rFonts w:ascii="Arial" w:eastAsia="Arial" w:hAnsi="Arial" w:cs="Arial"/>
          <w:b/>
          <w:bCs/>
          <w:sz w:val="22"/>
          <w:szCs w:val="22"/>
          <w:lang w:val="es-ES" w:eastAsia="en-US"/>
        </w:rPr>
        <w:t>– Derogatoria – Decaimiento</w:t>
      </w:r>
    </w:p>
    <w:p w14:paraId="5B0686AF" w14:textId="77777777" w:rsidR="00872465" w:rsidRPr="00DD69FC" w:rsidRDefault="00872465" w:rsidP="00C5587F">
      <w:pPr>
        <w:jc w:val="both"/>
        <w:rPr>
          <w:rFonts w:ascii="Arial" w:eastAsia="Arial" w:hAnsi="Arial" w:cs="Arial"/>
          <w:b/>
          <w:bCs/>
          <w:sz w:val="22"/>
          <w:szCs w:val="22"/>
          <w:lang w:val="es-ES" w:eastAsia="en-US"/>
        </w:rPr>
      </w:pPr>
    </w:p>
    <w:p w14:paraId="1735D996" w14:textId="236251D2" w:rsidR="00DB2E17" w:rsidRPr="00DD69FC" w:rsidRDefault="00DB2E17" w:rsidP="00DB2E17">
      <w:pPr>
        <w:jc w:val="both"/>
        <w:rPr>
          <w:rFonts w:ascii="Arial" w:hAnsi="Arial" w:cs="Arial"/>
          <w:sz w:val="20"/>
          <w:szCs w:val="20"/>
          <w:lang w:val="es-ES_tradnl"/>
        </w:rPr>
      </w:pPr>
      <w:r w:rsidRPr="00DD69FC">
        <w:rPr>
          <w:rFonts w:ascii="Arial" w:hAnsi="Arial" w:cs="Arial"/>
          <w:sz w:val="20"/>
          <w:szCs w:val="20"/>
          <w:lang w:val="es-ES_tradnl"/>
        </w:rPr>
        <w:t xml:space="preserve">Lo expuesto en los dos (2) párrafos precedentes también aplica </w:t>
      </w:r>
      <w:r w:rsidRPr="00DD69FC">
        <w:rPr>
          <w:rFonts w:ascii="Arial" w:hAnsi="Arial" w:cs="Arial"/>
          <w:i/>
          <w:iCs/>
          <w:sz w:val="20"/>
          <w:szCs w:val="20"/>
          <w:lang w:val="es-ES_tradnl"/>
        </w:rPr>
        <w:t>mutatis mutandis</w:t>
      </w:r>
      <w:r w:rsidRPr="00DD69FC">
        <w:rPr>
          <w:rFonts w:ascii="Arial" w:hAnsi="Arial" w:cs="Arial"/>
          <w:sz w:val="20"/>
          <w:szCs w:val="20"/>
          <w:lang w:val="es-ES_tradnl"/>
        </w:rPr>
        <w:t xml:space="preserve"> a los factores de desempate previstos en el Decreto Único Reglamentario del Sector Administrativo de Planeación Nacional para los procedimientos de mínima cuantía y adquisición en grandes superficies hasta por el monto de dicha modalidad. En el caso del procedimiento de la modalidad de mínima cuantía, a pesar de que el numeral 7 del artículo 2.2.1.2.1.5.2 del Decreto 1082 de 2015 establecía una regla especial para el desempate entre ofertas, el primer inciso del artículo 35 de la Ley 2069 de 2020 no distingue modalidades de selección y regula la institución de los factores de desempate en los procesos de contratación estatal de manera integral. Lo mismo se puede afirmar respecto del factor de desempate establecido en el numeral 3 del artículo 2.2.1.2.1.5.3 del Decreto 1082 de 2015 para la adquisición en grandes superficies hasta por el monto de la mínima cuantía.</w:t>
      </w:r>
    </w:p>
    <w:p w14:paraId="6C1D4A6B" w14:textId="77777777" w:rsidR="00DB2E17" w:rsidRPr="00DD69FC" w:rsidRDefault="00DB2E17" w:rsidP="00DB2E17">
      <w:pPr>
        <w:jc w:val="both"/>
        <w:rPr>
          <w:rFonts w:ascii="Arial" w:hAnsi="Arial" w:cs="Arial"/>
          <w:sz w:val="20"/>
          <w:szCs w:val="20"/>
          <w:lang w:val="es-ES_tradnl"/>
        </w:rPr>
      </w:pPr>
    </w:p>
    <w:p w14:paraId="7DC37916" w14:textId="3A806E89" w:rsidR="00872465" w:rsidRPr="00DD69FC" w:rsidRDefault="00DB2E17" w:rsidP="00DB2E17">
      <w:pPr>
        <w:jc w:val="both"/>
        <w:rPr>
          <w:rFonts w:ascii="Arial" w:hAnsi="Arial" w:cs="Arial"/>
          <w:sz w:val="22"/>
          <w:szCs w:val="22"/>
          <w:lang w:val="es-ES_tradnl"/>
        </w:rPr>
      </w:pPr>
      <w:r w:rsidRPr="00DD69FC">
        <w:rPr>
          <w:rFonts w:ascii="Arial" w:hAnsi="Arial" w:cs="Arial"/>
          <w:sz w:val="20"/>
          <w:szCs w:val="20"/>
          <w:lang w:val="es-ES_tradnl"/>
        </w:rPr>
        <w:t xml:space="preserve">Esta afirmación se sustenta en el criterio </w:t>
      </w:r>
      <w:r w:rsidRPr="00DD69FC">
        <w:rPr>
          <w:rFonts w:ascii="Arial" w:hAnsi="Arial" w:cs="Arial"/>
          <w:i/>
          <w:iCs/>
          <w:sz w:val="20"/>
          <w:szCs w:val="20"/>
          <w:lang w:val="es-ES_tradnl"/>
        </w:rPr>
        <w:t xml:space="preserve">Lex posterior </w:t>
      </w:r>
      <w:proofErr w:type="spellStart"/>
      <w:r w:rsidRPr="00DD69FC">
        <w:rPr>
          <w:rFonts w:ascii="Arial" w:hAnsi="Arial" w:cs="Arial"/>
          <w:i/>
          <w:iCs/>
          <w:sz w:val="20"/>
          <w:szCs w:val="20"/>
          <w:lang w:val="es-ES_tradnl"/>
        </w:rPr>
        <w:t>derogat</w:t>
      </w:r>
      <w:proofErr w:type="spellEnd"/>
      <w:r w:rsidRPr="00DD69FC">
        <w:rPr>
          <w:rFonts w:ascii="Arial" w:hAnsi="Arial" w:cs="Arial"/>
          <w:i/>
          <w:iCs/>
          <w:sz w:val="20"/>
          <w:szCs w:val="20"/>
          <w:lang w:val="es-ES_tradnl"/>
        </w:rPr>
        <w:t xml:space="preserve"> priori</w:t>
      </w:r>
      <w:r w:rsidRPr="00DD69FC">
        <w:rPr>
          <w:rFonts w:ascii="Arial" w:hAnsi="Arial" w:cs="Arial"/>
          <w:sz w:val="20"/>
          <w:szCs w:val="20"/>
          <w:lang w:val="es-ES_tradnl"/>
        </w:rPr>
        <w:t xml:space="preserve">, cuya aplicación se encuentran prevista en el artículo 2 de la Ley 153 de 1887. Además, con el fin de descartar la aplicación criterio de especialidad, la jurisprudencia constitucional explica que este criterio no es aplicable cuando se trata de preceptos de distinta </w:t>
      </w:r>
      <w:proofErr w:type="gramStart"/>
      <w:r w:rsidRPr="00DD69FC">
        <w:rPr>
          <w:rFonts w:ascii="Arial" w:hAnsi="Arial" w:cs="Arial"/>
          <w:sz w:val="20"/>
          <w:szCs w:val="20"/>
          <w:lang w:val="es-ES_tradnl"/>
        </w:rPr>
        <w:t>jerarquía .</w:t>
      </w:r>
      <w:proofErr w:type="gramEnd"/>
      <w:r w:rsidRPr="00DD69FC">
        <w:rPr>
          <w:rFonts w:ascii="Arial" w:hAnsi="Arial" w:cs="Arial"/>
          <w:sz w:val="20"/>
          <w:szCs w:val="20"/>
          <w:lang w:val="es-ES_tradnl"/>
        </w:rPr>
        <w:t xml:space="preserve"> Esta situación se presenta en este caso, pues la Ley 2069 de 2020 tiene una jerarquía superior al Decreto 1082 de 2015 en el ordenamiento jurídico.</w:t>
      </w:r>
    </w:p>
    <w:p w14:paraId="0A999F9F" w14:textId="77777777" w:rsidR="00C03EDB" w:rsidRPr="00DD69FC" w:rsidRDefault="00C03EDB" w:rsidP="004636DB">
      <w:pPr>
        <w:jc w:val="both"/>
        <w:rPr>
          <w:rFonts w:ascii="Arial" w:eastAsia="Calibri" w:hAnsi="Arial" w:cs="Arial"/>
          <w:b/>
          <w:bCs/>
          <w:sz w:val="20"/>
          <w:szCs w:val="20"/>
          <w:lang w:val="es-ES_tradnl"/>
        </w:rPr>
      </w:pPr>
    </w:p>
    <w:p w14:paraId="54939D39" w14:textId="50EC022D" w:rsidR="00203878" w:rsidRPr="00DD69FC" w:rsidRDefault="003169F5" w:rsidP="00B74FF1">
      <w:pPr>
        <w:jc w:val="both"/>
        <w:rPr>
          <w:rFonts w:ascii="Arial" w:eastAsia="Arial" w:hAnsi="Arial" w:cs="Arial"/>
          <w:b/>
          <w:bCs/>
          <w:sz w:val="22"/>
          <w:szCs w:val="22"/>
          <w:lang w:val="es-ES" w:eastAsia="en-US"/>
        </w:rPr>
      </w:pPr>
      <w:r w:rsidRPr="00DD69FC">
        <w:rPr>
          <w:rFonts w:ascii="Arial" w:eastAsia="Arial" w:hAnsi="Arial" w:cs="Arial"/>
          <w:b/>
          <w:bCs/>
          <w:sz w:val="22"/>
          <w:szCs w:val="22"/>
          <w:lang w:val="es-ES" w:eastAsia="en-US"/>
        </w:rPr>
        <w:t xml:space="preserve">LEY DE EMPRENDIMIENTO – Artículo 35 </w:t>
      </w:r>
      <w:r w:rsidR="008A5DEF" w:rsidRPr="00DD69FC">
        <w:rPr>
          <w:rFonts w:ascii="Arial" w:eastAsia="Arial" w:hAnsi="Arial" w:cs="Arial"/>
          <w:b/>
          <w:bCs/>
          <w:sz w:val="22"/>
          <w:szCs w:val="22"/>
          <w:lang w:val="es-ES" w:eastAsia="en-US"/>
        </w:rPr>
        <w:t>–</w:t>
      </w:r>
      <w:r w:rsidRPr="00DD69FC">
        <w:rPr>
          <w:rFonts w:ascii="Arial" w:eastAsia="Arial" w:hAnsi="Arial" w:cs="Arial"/>
          <w:b/>
          <w:bCs/>
          <w:sz w:val="22"/>
          <w:szCs w:val="22"/>
          <w:lang w:val="es-ES" w:eastAsia="en-US"/>
        </w:rPr>
        <w:t xml:space="preserve"> </w:t>
      </w:r>
      <w:r w:rsidR="00203878" w:rsidRPr="00DD69FC">
        <w:rPr>
          <w:rFonts w:ascii="Arial" w:eastAsia="Arial" w:hAnsi="Arial" w:cs="Arial"/>
          <w:b/>
          <w:bCs/>
          <w:sz w:val="22"/>
          <w:szCs w:val="22"/>
          <w:lang w:val="es-ES" w:eastAsia="en-US"/>
        </w:rPr>
        <w:t>Factores de desempate</w:t>
      </w:r>
      <w:r w:rsidR="008A5DEF" w:rsidRPr="00DD69FC">
        <w:rPr>
          <w:rFonts w:ascii="Arial" w:eastAsia="Arial" w:hAnsi="Arial" w:cs="Arial"/>
          <w:b/>
          <w:bCs/>
          <w:sz w:val="22"/>
          <w:szCs w:val="22"/>
          <w:lang w:val="es-ES" w:eastAsia="en-US"/>
        </w:rPr>
        <w:t xml:space="preserve"> </w:t>
      </w:r>
      <w:r w:rsidR="00203878" w:rsidRPr="00DD69FC">
        <w:rPr>
          <w:rFonts w:ascii="Arial" w:eastAsia="Arial" w:hAnsi="Arial" w:cs="Arial"/>
          <w:b/>
          <w:bCs/>
          <w:sz w:val="22"/>
          <w:szCs w:val="22"/>
          <w:lang w:val="es-ES" w:eastAsia="en-US"/>
        </w:rPr>
        <w:t xml:space="preserve">– </w:t>
      </w:r>
      <w:r w:rsidRPr="00DD69FC">
        <w:rPr>
          <w:rFonts w:ascii="Arial" w:eastAsia="Arial" w:hAnsi="Arial" w:cs="Arial"/>
          <w:b/>
          <w:bCs/>
          <w:sz w:val="22"/>
          <w:szCs w:val="22"/>
          <w:lang w:val="es-ES" w:eastAsia="en-US"/>
        </w:rPr>
        <w:t xml:space="preserve">Norma </w:t>
      </w:r>
      <w:proofErr w:type="gramStart"/>
      <w:r w:rsidRPr="00DD69FC">
        <w:rPr>
          <w:rFonts w:ascii="Arial" w:eastAsia="Arial" w:hAnsi="Arial" w:cs="Arial"/>
          <w:b/>
          <w:bCs/>
          <w:sz w:val="22"/>
          <w:szCs w:val="22"/>
          <w:lang w:val="es-ES" w:eastAsia="en-US"/>
        </w:rPr>
        <w:t>transversal</w:t>
      </w:r>
      <w:r w:rsidR="008A5DEF" w:rsidRPr="00DD69FC">
        <w:rPr>
          <w:rFonts w:ascii="Arial" w:eastAsia="Arial" w:hAnsi="Arial" w:cs="Arial"/>
          <w:b/>
          <w:bCs/>
          <w:sz w:val="22"/>
          <w:szCs w:val="22"/>
          <w:lang w:val="es-ES" w:eastAsia="en-US"/>
        </w:rPr>
        <w:t xml:space="preserve">  –</w:t>
      </w:r>
      <w:proofErr w:type="gramEnd"/>
      <w:r w:rsidR="008A5DEF" w:rsidRPr="00DD69FC">
        <w:rPr>
          <w:rFonts w:ascii="Arial" w:eastAsia="Arial" w:hAnsi="Arial" w:cs="Arial"/>
          <w:b/>
          <w:bCs/>
          <w:sz w:val="22"/>
          <w:szCs w:val="22"/>
          <w:lang w:val="es-ES" w:eastAsia="en-US"/>
        </w:rPr>
        <w:t xml:space="preserve"> Mínima cuantía – Adquisición en grandes superficies</w:t>
      </w:r>
      <w:r w:rsidR="00180858" w:rsidRPr="00DD69FC">
        <w:rPr>
          <w:rFonts w:ascii="Arial" w:eastAsia="Arial" w:hAnsi="Arial" w:cs="Arial"/>
          <w:b/>
          <w:bCs/>
          <w:sz w:val="22"/>
          <w:szCs w:val="22"/>
          <w:lang w:val="es-ES" w:eastAsia="en-US"/>
        </w:rPr>
        <w:t xml:space="preserve"> </w:t>
      </w:r>
    </w:p>
    <w:p w14:paraId="45E08C64" w14:textId="77777777" w:rsidR="00B74FF1" w:rsidRPr="00DD69FC" w:rsidRDefault="00B74FF1" w:rsidP="00B74FF1">
      <w:pPr>
        <w:jc w:val="both"/>
        <w:rPr>
          <w:rFonts w:ascii="Arial" w:eastAsia="Calibri" w:hAnsi="Arial" w:cs="Arial"/>
          <w:sz w:val="20"/>
          <w:szCs w:val="20"/>
          <w:lang w:val="es-ES_tradnl"/>
        </w:rPr>
      </w:pPr>
    </w:p>
    <w:p w14:paraId="77A019B5" w14:textId="734C0173" w:rsidR="005F6C38" w:rsidRPr="00DD69FC" w:rsidRDefault="00D906FF" w:rsidP="005F6C38">
      <w:pPr>
        <w:spacing w:after="200"/>
        <w:jc w:val="both"/>
        <w:rPr>
          <w:rFonts w:ascii="Arial" w:eastAsia="Calibri" w:hAnsi="Arial" w:cs="Arial"/>
          <w:sz w:val="20"/>
          <w:szCs w:val="20"/>
          <w:lang w:val="es-ES_tradnl"/>
        </w:rPr>
      </w:pPr>
      <w:r w:rsidRPr="00DD69FC">
        <w:rPr>
          <w:rFonts w:ascii="Arial" w:eastAsia="Calibri" w:hAnsi="Arial" w:cs="Arial"/>
          <w:sz w:val="20"/>
          <w:szCs w:val="20"/>
          <w:lang w:val="es-ES_tradnl"/>
        </w:rPr>
        <w:t>[L]</w:t>
      </w:r>
      <w:r w:rsidR="005F6C38" w:rsidRPr="00DD69FC">
        <w:rPr>
          <w:rFonts w:ascii="Arial" w:eastAsia="Calibri" w:hAnsi="Arial" w:cs="Arial"/>
          <w:sz w:val="20"/>
          <w:szCs w:val="20"/>
          <w:lang w:val="es-ES_tradnl"/>
        </w:rPr>
        <w:t>o dispuesto en el parágrafo 2 del artículo 30 de la Ley de Emprendimiento –referente a los procesos de mínima cuantía– al señalar «La contratación a que se refiere el presente artículo se realizará exclusivamente con las reglas en él contempladas y en su reglamentación […]», ciertamente podría llevar a concluir que los procesos de mínima cuantía se rigen exclusivamente por las reglas del artículo 30 de la Ley 2069 de 2020 y lo reglamentado en el decreto 1082 de 2015.</w:t>
      </w:r>
      <w:r w:rsidR="00F512EC" w:rsidRPr="00DD69FC">
        <w:rPr>
          <w:rFonts w:ascii="Arial" w:eastAsia="Calibri" w:hAnsi="Arial" w:cs="Arial"/>
          <w:sz w:val="20"/>
          <w:szCs w:val="20"/>
          <w:lang w:val="es-ES_tradnl"/>
        </w:rPr>
        <w:t xml:space="preserve"> </w:t>
      </w:r>
      <w:r w:rsidR="005F6C38" w:rsidRPr="00DD69FC">
        <w:rPr>
          <w:rFonts w:ascii="Arial" w:eastAsia="Calibri" w:hAnsi="Arial" w:cs="Arial"/>
          <w:sz w:val="20"/>
          <w:szCs w:val="20"/>
          <w:lang w:val="es-ES_tradnl"/>
        </w:rPr>
        <w:t xml:space="preserve">No obstante, una interpretación exegética del parágrafo 2 del artículo 30 de la Ley de Emprendimiento desconocería la aplicación de normas transversales al sistema de compras y contratación pública, tales como la capacidad de los consorcios y las uniones temporales, el régimen de inhabilidades e incompatibilidades, los requisitos para ejercer las potestades exorbitantes o los principios de la contratación estatal –arts. 6, 8, 14.2 y 23 de la Ley 80 de 1993, respectivamente–. Llevada al extremo, la idea de que el procedimiento de mínima cuantía solo se regula por el artículo 30 de la Ley 2069 de 2020 y su correspondiente reglamentación genera consecuencias absurdas, pues daría a entender que el reglamento podría llegar a modificar aspectos elevados a rango de ley, como lo son los criterios de desempate previstos en el artículo 35 de la Ley 2069 de 2020. </w:t>
      </w:r>
    </w:p>
    <w:p w14:paraId="75B7CC9E" w14:textId="2B969E51" w:rsidR="00203878" w:rsidRPr="00DD69FC" w:rsidRDefault="005F6C38" w:rsidP="005F6C38">
      <w:pPr>
        <w:spacing w:after="200"/>
        <w:jc w:val="both"/>
        <w:rPr>
          <w:rFonts w:ascii="Arial" w:eastAsia="Calibri" w:hAnsi="Arial" w:cs="Arial"/>
          <w:sz w:val="20"/>
          <w:szCs w:val="20"/>
          <w:lang w:val="es-ES_tradnl"/>
        </w:rPr>
      </w:pPr>
      <w:r w:rsidRPr="00DD69FC">
        <w:rPr>
          <w:rFonts w:ascii="Arial" w:eastAsia="Calibri" w:hAnsi="Arial" w:cs="Arial"/>
          <w:sz w:val="20"/>
          <w:szCs w:val="20"/>
          <w:lang w:val="es-ES_tradnl"/>
        </w:rPr>
        <w:t xml:space="preserve">Además, aunque el artículo 5.1 de la Ley 57 de 1887 consagra la regla lex </w:t>
      </w:r>
      <w:proofErr w:type="spellStart"/>
      <w:r w:rsidRPr="00DD69FC">
        <w:rPr>
          <w:rFonts w:ascii="Arial" w:eastAsia="Calibri" w:hAnsi="Arial" w:cs="Arial"/>
          <w:sz w:val="20"/>
          <w:szCs w:val="20"/>
          <w:lang w:val="es-ES_tradnl"/>
        </w:rPr>
        <w:t>specialis</w:t>
      </w:r>
      <w:proofErr w:type="spellEnd"/>
      <w:r w:rsidRPr="00DD69FC">
        <w:rPr>
          <w:rFonts w:ascii="Arial" w:eastAsia="Calibri" w:hAnsi="Arial" w:cs="Arial"/>
          <w:sz w:val="20"/>
          <w:szCs w:val="20"/>
          <w:lang w:val="es-ES_tradnl"/>
        </w:rPr>
        <w:t xml:space="preserve"> </w:t>
      </w:r>
      <w:proofErr w:type="spellStart"/>
      <w:r w:rsidRPr="00DD69FC">
        <w:rPr>
          <w:rFonts w:ascii="Arial" w:eastAsia="Calibri" w:hAnsi="Arial" w:cs="Arial"/>
          <w:sz w:val="20"/>
          <w:szCs w:val="20"/>
          <w:lang w:val="es-ES_tradnl"/>
        </w:rPr>
        <w:t>derogat</w:t>
      </w:r>
      <w:proofErr w:type="spellEnd"/>
      <w:r w:rsidRPr="00DD69FC">
        <w:rPr>
          <w:rFonts w:ascii="Arial" w:eastAsia="Calibri" w:hAnsi="Arial" w:cs="Arial"/>
          <w:sz w:val="20"/>
          <w:szCs w:val="20"/>
          <w:lang w:val="es-ES_tradnl"/>
        </w:rPr>
        <w:t xml:space="preserve"> </w:t>
      </w:r>
      <w:proofErr w:type="spellStart"/>
      <w:r w:rsidRPr="00DD69FC">
        <w:rPr>
          <w:rFonts w:ascii="Arial" w:eastAsia="Calibri" w:hAnsi="Arial" w:cs="Arial"/>
          <w:sz w:val="20"/>
          <w:szCs w:val="20"/>
          <w:lang w:val="es-ES_tradnl"/>
        </w:rPr>
        <w:t>legi</w:t>
      </w:r>
      <w:proofErr w:type="spellEnd"/>
      <w:r w:rsidRPr="00DD69FC">
        <w:rPr>
          <w:rFonts w:ascii="Arial" w:eastAsia="Calibri" w:hAnsi="Arial" w:cs="Arial"/>
          <w:sz w:val="20"/>
          <w:szCs w:val="20"/>
          <w:lang w:val="es-ES_tradnl"/>
        </w:rPr>
        <w:t xml:space="preserve"> </w:t>
      </w:r>
      <w:proofErr w:type="spellStart"/>
      <w:proofErr w:type="gramStart"/>
      <w:r w:rsidRPr="00DD69FC">
        <w:rPr>
          <w:rFonts w:ascii="Arial" w:eastAsia="Calibri" w:hAnsi="Arial" w:cs="Arial"/>
          <w:sz w:val="20"/>
          <w:szCs w:val="20"/>
          <w:lang w:val="es-ES_tradnl"/>
        </w:rPr>
        <w:t>generali</w:t>
      </w:r>
      <w:proofErr w:type="spellEnd"/>
      <w:r w:rsidRPr="00DD69FC">
        <w:rPr>
          <w:rFonts w:ascii="Arial" w:eastAsia="Calibri" w:hAnsi="Arial" w:cs="Arial"/>
          <w:sz w:val="20"/>
          <w:szCs w:val="20"/>
          <w:lang w:val="es-ES_tradnl"/>
        </w:rPr>
        <w:t xml:space="preserve"> ,</w:t>
      </w:r>
      <w:proofErr w:type="gramEnd"/>
      <w:r w:rsidRPr="00DD69FC">
        <w:rPr>
          <w:rFonts w:ascii="Arial" w:eastAsia="Calibri" w:hAnsi="Arial" w:cs="Arial"/>
          <w:sz w:val="20"/>
          <w:szCs w:val="20"/>
          <w:lang w:val="es-ES_tradnl"/>
        </w:rPr>
        <w:t xml:space="preserve"> este criterio para la resolución de antinomias carece de aplicación matemática para concluir que los factores de desempate para la mínima cuantía se rigen por las normas especiales previstas en el reglamento. De esta manera, los límites de esta regla hay que verificarlos en cada caso teniendo en cuenta la intención del legislador, por lo cual es posible la existencia de una regla general que no tolere excepciones</w:t>
      </w:r>
      <w:r w:rsidR="00F512EC" w:rsidRPr="00DD69FC">
        <w:rPr>
          <w:rFonts w:ascii="Arial" w:eastAsia="Calibri" w:hAnsi="Arial" w:cs="Arial"/>
          <w:sz w:val="20"/>
          <w:szCs w:val="20"/>
          <w:lang w:val="es-ES_tradnl"/>
        </w:rPr>
        <w:t xml:space="preserve">. </w:t>
      </w:r>
      <w:r w:rsidR="00D906FF" w:rsidRPr="00DD69FC">
        <w:rPr>
          <w:rFonts w:ascii="Arial" w:eastAsia="Calibri" w:hAnsi="Arial" w:cs="Arial"/>
          <w:sz w:val="20"/>
          <w:szCs w:val="20"/>
          <w:lang w:val="es-ES_tradnl"/>
        </w:rPr>
        <w:t>[</w:t>
      </w:r>
      <w:r w:rsidR="004636DB" w:rsidRPr="00DD69FC">
        <w:rPr>
          <w:rFonts w:ascii="Arial" w:eastAsia="Calibri" w:hAnsi="Arial" w:cs="Arial"/>
          <w:sz w:val="20"/>
          <w:szCs w:val="20"/>
          <w:lang w:val="es-ES_tradnl"/>
        </w:rPr>
        <w:t>E</w:t>
      </w:r>
      <w:r w:rsidR="00D906FF" w:rsidRPr="00DD69FC">
        <w:rPr>
          <w:rFonts w:ascii="Arial" w:eastAsia="Calibri" w:hAnsi="Arial" w:cs="Arial"/>
          <w:sz w:val="20"/>
          <w:szCs w:val="20"/>
          <w:lang w:val="es-ES_tradnl"/>
        </w:rPr>
        <w:t>]</w:t>
      </w:r>
      <w:r w:rsidR="004636DB" w:rsidRPr="00DD69FC">
        <w:rPr>
          <w:rFonts w:ascii="Arial" w:eastAsia="Calibri" w:hAnsi="Arial" w:cs="Arial"/>
          <w:sz w:val="20"/>
          <w:szCs w:val="20"/>
          <w:lang w:val="es-ES_tradnl"/>
        </w:rPr>
        <w:t xml:space="preserve">n consecuencia, por tratarse de una norma transversal al sistema de compras y contratación pública, el artículo 35 de la Ley 2069 de 2020 es aplicable a los procedimientos de subasta inversa y mínima cuantía, presentándose tanto la derogación como el decaimiento de los criterios de desempate previstos en el Decreto 1082 de 2015 para estas modalidades de selección.         </w:t>
      </w:r>
    </w:p>
    <w:p w14:paraId="4C44637D" w14:textId="7F47BACC" w:rsidR="00180858" w:rsidRPr="00DD69FC" w:rsidRDefault="00180858" w:rsidP="005F6C38">
      <w:pPr>
        <w:spacing w:after="200"/>
        <w:jc w:val="both"/>
        <w:rPr>
          <w:rFonts w:ascii="Arial" w:eastAsia="Calibri" w:hAnsi="Arial" w:cs="Arial"/>
          <w:sz w:val="20"/>
          <w:szCs w:val="20"/>
          <w:lang w:val="es-ES_tradnl"/>
        </w:rPr>
      </w:pPr>
      <w:r w:rsidRPr="00DD69FC">
        <w:rPr>
          <w:rFonts w:ascii="Arial" w:eastAsia="Arial" w:hAnsi="Arial" w:cs="Arial"/>
          <w:b/>
          <w:bCs/>
          <w:sz w:val="22"/>
          <w:szCs w:val="22"/>
          <w:lang w:val="es-ES" w:eastAsia="en-US"/>
        </w:rPr>
        <w:lastRenderedPageBreak/>
        <w:t>LEY DE EMPRENDIMIENTO – Artículo 35 – Factores de desempate –</w:t>
      </w:r>
      <w:r w:rsidR="009D28A1" w:rsidRPr="00DD69FC">
        <w:rPr>
          <w:rFonts w:ascii="Arial" w:eastAsia="Arial" w:hAnsi="Arial" w:cs="Arial"/>
          <w:b/>
          <w:bCs/>
          <w:sz w:val="22"/>
          <w:szCs w:val="22"/>
          <w:lang w:val="es-ES" w:eastAsia="en-US"/>
        </w:rPr>
        <w:t xml:space="preserve"> Procedimiento –</w:t>
      </w:r>
      <w:r w:rsidR="00B74FF1" w:rsidRPr="00DD69FC">
        <w:rPr>
          <w:rFonts w:ascii="Arial" w:eastAsia="Arial" w:hAnsi="Arial" w:cs="Arial"/>
          <w:b/>
          <w:bCs/>
          <w:sz w:val="22"/>
          <w:szCs w:val="22"/>
          <w:lang w:val="es-ES" w:eastAsia="en-US"/>
        </w:rPr>
        <w:t xml:space="preserve"> Aplicación – Sucesiva y excluyente – Compromisos internacionales </w:t>
      </w:r>
    </w:p>
    <w:p w14:paraId="4C013C89" w14:textId="77777777" w:rsidR="00180858" w:rsidRPr="00DD69FC" w:rsidRDefault="00180858" w:rsidP="00B74FF1">
      <w:pPr>
        <w:spacing w:after="120"/>
        <w:jc w:val="both"/>
        <w:rPr>
          <w:rFonts w:ascii="Arial" w:hAnsi="Arial" w:cs="Arial"/>
          <w:sz w:val="20"/>
          <w:szCs w:val="20"/>
          <w:lang w:val="es-ES_tradnl"/>
        </w:rPr>
      </w:pPr>
      <w:r w:rsidRPr="00DD69FC">
        <w:rPr>
          <w:rFonts w:ascii="Arial" w:hAnsi="Arial" w:cs="Arial"/>
          <w:sz w:val="20"/>
          <w:szCs w:val="20"/>
          <w:lang w:val="es-ES_tradnl"/>
        </w:rPr>
        <w:t>Conforme a lo expuesto, la Ley 2069 de 2020 no establece un procedimiento para la aplicación de los factores de desempates contemplados en su artículo 35. La aplicación de tales factores de desempate tampoco se encuentra condicionada por la expedición de una norma reglamentaria, por lo que son de aplicación inmediata. Esto sin perjuicio de que, el Gobierno nacional expida un reglamento en ejercicio de la potestad reglamentaria para garantizar la cumplida ejecución de la ley, en virtud de lo dispuesto en el artículo 189.11 de la Constitución Política. Particularmente, la potestad podrá ser ejercida con relación a lo señalado en el parágrafo tercero del artículo 35 de la Ley 2069 de 2020, en el que se establece que «</w:t>
      </w:r>
      <w:r w:rsidRPr="00DD69FC">
        <w:rPr>
          <w:rFonts w:ascii="Arial" w:hAnsi="Arial" w:cs="Arial"/>
          <w:sz w:val="20"/>
          <w:szCs w:val="20"/>
        </w:rPr>
        <w:t>El Gobierno Nacional podrá reglamentar la aplicación de factores de desempate en casos en que concurran dos o más de los factores aquí previstos</w:t>
      </w:r>
      <w:r w:rsidRPr="00DD69FC">
        <w:rPr>
          <w:rFonts w:ascii="Arial" w:hAnsi="Arial" w:cs="Arial"/>
          <w:sz w:val="20"/>
          <w:szCs w:val="20"/>
          <w:lang w:val="es-ES_tradnl"/>
        </w:rPr>
        <w:t>».</w:t>
      </w:r>
    </w:p>
    <w:p w14:paraId="46FC93AD" w14:textId="51120841" w:rsidR="00180858" w:rsidRPr="00DD69FC" w:rsidRDefault="00180858" w:rsidP="00B74FF1">
      <w:pPr>
        <w:jc w:val="both"/>
        <w:rPr>
          <w:rFonts w:ascii="Arial" w:hAnsi="Arial" w:cs="Arial"/>
          <w:sz w:val="20"/>
          <w:szCs w:val="20"/>
          <w:lang w:val="es-ES_tradnl"/>
        </w:rPr>
      </w:pPr>
      <w:r w:rsidRPr="00DD69FC">
        <w:rPr>
          <w:rFonts w:ascii="Arial" w:hAnsi="Arial" w:cs="Arial"/>
          <w:sz w:val="20"/>
          <w:szCs w:val="20"/>
          <w:lang w:val="es-ES_tradnl"/>
        </w:rPr>
        <w:t xml:space="preserve">Como pautas para la aplicación de los referidos factores, el primer inciso del artículo 35 se limita a señalar que esta debe hacer de manera sucesiva y excluyente, al igual que respetando los compromisos internacionales vigentes. </w:t>
      </w:r>
      <w:r w:rsidRPr="00DD69FC">
        <w:rPr>
          <w:rFonts w:ascii="Arial" w:eastAsia="Calibri" w:hAnsi="Arial" w:cs="Arial"/>
          <w:sz w:val="20"/>
          <w:szCs w:val="22"/>
          <w:lang w:val="es-ES"/>
        </w:rPr>
        <w:t xml:space="preserve">Esto significa, por un lado, que los factores de desempate deben aplicarse de tal manera que, si se presenta una situación de empate, la entidad debe resolverlo mediante la aplicación del factor del numeral 1 y de no ser posible seguir con el siguiente, y así sucesivamente hasta aplicar uno que lo resuelva. </w:t>
      </w:r>
      <w:r w:rsidRPr="00DD69FC">
        <w:rPr>
          <w:rFonts w:ascii="Arial" w:hAnsi="Arial" w:cs="Arial"/>
          <w:sz w:val="20"/>
          <w:szCs w:val="20"/>
          <w:lang w:val="es-ES_tradnl"/>
        </w:rPr>
        <w:t>Por otro lado, el respeto de los compromisos internacionales vigentes implica que si existe un tratado o acuerdo comercial que establezca disposiciones especiales en materia de compras y contratación pública, debe prevalecer la aplicación la regulación contenida derivada del compromiso internacional. Esto en concordancia con el artículo 2.2.1.2.4.1.1. del Decreto 1082 de 2015, según el cual «Las Entidades Estatales deben adelantar los Procesos de Contratación de acuerdo con lo previsto en los Acuerdos Comerciales, cuando estos les sean aplicables».​ Esto no significa que ante la existencia de tratados o acuerdos comerciales aplicables en el procedimiento de selección la entidad contratante deba abstenerse de aplicar algunos numerales del artículo 35, sino que esta debe consultar en cada caso cuáles son las disposiciones del acuerdo comercial, determinando si son o no compatibles con los factores de desempate, prevaleciendo en caso negativo el tratado.</w:t>
      </w:r>
    </w:p>
    <w:p w14:paraId="20894396" w14:textId="77777777" w:rsidR="00180858" w:rsidRPr="00DD69FC" w:rsidRDefault="00180858" w:rsidP="00180858">
      <w:pPr>
        <w:spacing w:before="120" w:line="276" w:lineRule="auto"/>
        <w:jc w:val="both"/>
        <w:rPr>
          <w:rFonts w:ascii="Arial" w:eastAsia="Calibri" w:hAnsi="Arial" w:cs="Arial"/>
          <w:sz w:val="22"/>
          <w:szCs w:val="22"/>
          <w:lang w:val="es-ES_tradnl"/>
        </w:rPr>
      </w:pPr>
    </w:p>
    <w:p w14:paraId="10E398C0" w14:textId="343C2C24" w:rsidR="00180858" w:rsidRPr="00DD69FC" w:rsidRDefault="00B74FF1" w:rsidP="00B74FF1">
      <w:pPr>
        <w:spacing w:line="276" w:lineRule="auto"/>
        <w:jc w:val="both"/>
        <w:rPr>
          <w:rFonts w:ascii="Arial" w:eastAsia="Calibri" w:hAnsi="Arial" w:cs="Arial"/>
          <w:sz w:val="22"/>
          <w:szCs w:val="22"/>
          <w:lang w:val="es-ES_tradnl"/>
        </w:rPr>
      </w:pPr>
      <w:r w:rsidRPr="00DD69FC">
        <w:rPr>
          <w:rFonts w:ascii="Arial" w:eastAsia="Arial" w:hAnsi="Arial" w:cs="Arial"/>
          <w:b/>
          <w:bCs/>
          <w:sz w:val="22"/>
          <w:szCs w:val="22"/>
          <w:lang w:val="es-ES" w:eastAsia="en-US"/>
        </w:rPr>
        <w:t>LEY DE EMPRENDIMIENTO – Artículo 35 – Factores de desempate – Acreditación</w:t>
      </w:r>
    </w:p>
    <w:p w14:paraId="62BA3A59" w14:textId="4CF2924E" w:rsidR="00180858" w:rsidRPr="00DD69FC" w:rsidRDefault="00180858" w:rsidP="00B74FF1">
      <w:pPr>
        <w:spacing w:before="120"/>
        <w:jc w:val="both"/>
        <w:rPr>
          <w:rFonts w:ascii="Arial" w:eastAsia="Calibri" w:hAnsi="Arial" w:cs="Arial"/>
          <w:sz w:val="20"/>
          <w:szCs w:val="20"/>
          <w:lang w:val="es-ES_tradnl"/>
        </w:rPr>
      </w:pPr>
      <w:r w:rsidRPr="00DD69FC">
        <w:rPr>
          <w:rFonts w:ascii="Arial" w:eastAsia="Calibri" w:hAnsi="Arial" w:cs="Arial"/>
          <w:sz w:val="20"/>
          <w:szCs w:val="20"/>
          <w:lang w:val="es-ES_tradnl"/>
        </w:rPr>
        <w:t>En lo que respecta a la demostración de los supuestos fácticos y jurídicos de los factores de desempate, conviene señalar que los numerales previstos en el artículo 35 de la Ley 2069 de 2020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635EEEEF" w14:textId="77777777" w:rsidR="00180858" w:rsidRPr="00DD69FC" w:rsidRDefault="00180858" w:rsidP="005F6C38">
      <w:pPr>
        <w:spacing w:after="200"/>
        <w:jc w:val="both"/>
        <w:rPr>
          <w:rFonts w:ascii="Arial" w:eastAsia="Calibri" w:hAnsi="Arial" w:cs="Arial"/>
          <w:sz w:val="20"/>
          <w:szCs w:val="20"/>
          <w:lang w:val="es-ES_tradnl"/>
        </w:rPr>
      </w:pPr>
    </w:p>
    <w:p w14:paraId="21EA1695" w14:textId="7C304625" w:rsidR="00454589" w:rsidRPr="00DD69FC" w:rsidRDefault="00203878" w:rsidP="00307833">
      <w:pPr>
        <w:spacing w:after="200" w:line="276" w:lineRule="auto"/>
        <w:jc w:val="both"/>
        <w:rPr>
          <w:rFonts w:ascii="Arial" w:eastAsia="Calibri" w:hAnsi="Arial" w:cs="Arial"/>
          <w:b/>
          <w:bCs/>
          <w:sz w:val="20"/>
          <w:szCs w:val="20"/>
          <w:lang w:val="es-ES_tradnl"/>
        </w:rPr>
      </w:pPr>
      <w:r w:rsidRPr="00DD69FC">
        <w:rPr>
          <w:rFonts w:ascii="Arial" w:eastAsia="Calibri" w:hAnsi="Arial" w:cs="Arial"/>
          <w:b/>
          <w:bCs/>
          <w:sz w:val="20"/>
          <w:szCs w:val="20"/>
          <w:lang w:val="es-ES_tradnl"/>
        </w:rPr>
        <w:t xml:space="preserve">    </w:t>
      </w:r>
      <w:r w:rsidR="00C5587F" w:rsidRPr="00DD69FC">
        <w:rPr>
          <w:rFonts w:ascii="Arial" w:eastAsia="Calibri" w:hAnsi="Arial" w:cs="Arial"/>
          <w:b/>
          <w:bCs/>
          <w:sz w:val="20"/>
          <w:szCs w:val="20"/>
          <w:lang w:val="es-ES_tradnl"/>
        </w:rPr>
        <w:br w:type="page"/>
      </w:r>
    </w:p>
    <w:p w14:paraId="247B4BC2" w14:textId="77777777" w:rsidR="00996352" w:rsidRDefault="00996352">
      <w:pPr>
        <w:rPr>
          <w:rFonts w:ascii="Arial" w:hAnsi="Arial" w:cs="Arial"/>
          <w:sz w:val="22"/>
          <w:szCs w:val="20"/>
        </w:rPr>
      </w:pPr>
    </w:p>
    <w:p w14:paraId="4F5838D3" w14:textId="580EB51C" w:rsidR="00996352" w:rsidRDefault="00CF1118" w:rsidP="00CF1118">
      <w:pPr>
        <w:jc w:val="right"/>
        <w:rPr>
          <w:rFonts w:ascii="Arial" w:hAnsi="Arial" w:cs="Arial"/>
          <w:sz w:val="22"/>
          <w:szCs w:val="20"/>
        </w:rPr>
      </w:pPr>
      <w:r w:rsidRPr="00CF1118">
        <w:rPr>
          <w:rFonts w:ascii="Arial" w:hAnsi="Arial" w:cs="Arial"/>
          <w:noProof/>
          <w:sz w:val="22"/>
          <w:szCs w:val="20"/>
        </w:rPr>
        <w:drawing>
          <wp:inline distT="0" distB="0" distL="0" distR="0" wp14:anchorId="4746DD32" wp14:editId="1E61BFD0">
            <wp:extent cx="2819400" cy="771478"/>
            <wp:effectExtent l="0" t="0" r="0" b="0"/>
            <wp:docPr id="1" name="Imagen 1"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 Chat o mensaje de texto&#10;&#10;Descripción generada automáticamente"/>
                    <pic:cNvPicPr/>
                  </pic:nvPicPr>
                  <pic:blipFill>
                    <a:blip r:embed="rId11"/>
                    <a:stretch>
                      <a:fillRect/>
                    </a:stretch>
                  </pic:blipFill>
                  <pic:spPr>
                    <a:xfrm>
                      <a:off x="0" y="0"/>
                      <a:ext cx="2847225" cy="779092"/>
                    </a:xfrm>
                    <a:prstGeom prst="rect">
                      <a:avLst/>
                    </a:prstGeom>
                  </pic:spPr>
                </pic:pic>
              </a:graphicData>
            </a:graphic>
          </wp:inline>
        </w:drawing>
      </w:r>
    </w:p>
    <w:p w14:paraId="68DDE525" w14:textId="23ACB6F4" w:rsidR="00CF1118" w:rsidRDefault="00CF1118">
      <w:pPr>
        <w:rPr>
          <w:rFonts w:ascii="Arial" w:hAnsi="Arial" w:cs="Arial"/>
          <w:sz w:val="22"/>
          <w:szCs w:val="20"/>
        </w:rPr>
      </w:pPr>
    </w:p>
    <w:p w14:paraId="4D2C59F8" w14:textId="049FE893" w:rsidR="00A07F12" w:rsidRPr="00CF1118" w:rsidRDefault="00996352" w:rsidP="00900530">
      <w:pPr>
        <w:rPr>
          <w:rFonts w:ascii="Arial" w:hAnsi="Arial" w:cs="Arial"/>
          <w:sz w:val="22"/>
          <w:szCs w:val="20"/>
        </w:rPr>
      </w:pPr>
      <w:r w:rsidRPr="00996352">
        <w:rPr>
          <w:rFonts w:ascii="Arial" w:hAnsi="Arial" w:cs="Arial"/>
          <w:sz w:val="22"/>
          <w:szCs w:val="20"/>
        </w:rPr>
        <w:t>Bogotá, 29 Abril 2021</w:t>
      </w:r>
    </w:p>
    <w:p w14:paraId="26B62A97" w14:textId="77777777" w:rsidR="00A07F12" w:rsidRPr="00DD69FC" w:rsidRDefault="00A07F12" w:rsidP="00900530">
      <w:pPr>
        <w:rPr>
          <w:rFonts w:ascii="Arial" w:hAnsi="Arial" w:cs="Arial"/>
          <w:bCs/>
          <w:sz w:val="22"/>
          <w:lang w:val="es-ES_tradnl"/>
        </w:rPr>
      </w:pPr>
    </w:p>
    <w:p w14:paraId="12C8F066" w14:textId="39846226" w:rsidR="00900530" w:rsidRPr="00DD69FC" w:rsidRDefault="00900530" w:rsidP="00900530">
      <w:pPr>
        <w:rPr>
          <w:rFonts w:ascii="Arial" w:hAnsi="Arial" w:cs="Arial"/>
          <w:bCs/>
          <w:sz w:val="22"/>
          <w:lang w:val="es-ES_tradnl"/>
        </w:rPr>
      </w:pPr>
      <w:bookmarkStart w:id="2" w:name="_Hlk70620217"/>
      <w:r w:rsidRPr="00DD69FC">
        <w:rPr>
          <w:rFonts w:ascii="Arial" w:hAnsi="Arial" w:cs="Arial"/>
          <w:bCs/>
          <w:sz w:val="22"/>
          <w:lang w:val="es-ES_tradnl"/>
        </w:rPr>
        <w:t>Señor</w:t>
      </w:r>
    </w:p>
    <w:p w14:paraId="41BB2B8F" w14:textId="21300D59" w:rsidR="00900530" w:rsidRPr="00DD69FC" w:rsidRDefault="005072BC" w:rsidP="00900530">
      <w:pPr>
        <w:jc w:val="both"/>
        <w:rPr>
          <w:rFonts w:ascii="Arial" w:hAnsi="Arial" w:cs="Arial"/>
          <w:b/>
          <w:sz w:val="22"/>
          <w:lang w:val="es-ES_tradnl"/>
        </w:rPr>
      </w:pPr>
      <w:r w:rsidRPr="00DD69FC">
        <w:rPr>
          <w:rFonts w:ascii="Arial" w:hAnsi="Arial" w:cs="Arial"/>
          <w:b/>
          <w:sz w:val="22"/>
          <w:lang w:val="es-ES_tradnl"/>
        </w:rPr>
        <w:t>Juan Pablo Bustos</w:t>
      </w:r>
    </w:p>
    <w:p w14:paraId="4482E7C3" w14:textId="77777777" w:rsidR="00900530" w:rsidRPr="00DD69FC" w:rsidRDefault="00900530" w:rsidP="00900530">
      <w:pPr>
        <w:jc w:val="both"/>
        <w:rPr>
          <w:rFonts w:ascii="Arial" w:hAnsi="Arial" w:cs="Arial"/>
          <w:bCs/>
          <w:sz w:val="22"/>
          <w:lang w:val="es-ES_tradnl"/>
        </w:rPr>
      </w:pPr>
      <w:r w:rsidRPr="00DD69FC">
        <w:rPr>
          <w:rFonts w:ascii="Arial" w:hAnsi="Arial" w:cs="Arial"/>
          <w:bCs/>
          <w:sz w:val="22"/>
          <w:lang w:val="es-ES_tradnl"/>
        </w:rPr>
        <w:t>Bogotá D.C.</w:t>
      </w:r>
    </w:p>
    <w:p w14:paraId="6D02035F" w14:textId="77777777" w:rsidR="00900530" w:rsidRPr="00DD69FC" w:rsidRDefault="00900530" w:rsidP="00900530">
      <w:pPr>
        <w:jc w:val="both"/>
        <w:rPr>
          <w:rFonts w:ascii="Arial" w:hAnsi="Arial" w:cs="Arial"/>
          <w:b/>
          <w:sz w:val="22"/>
          <w:lang w:val="es-ES_tradnl"/>
        </w:rPr>
      </w:pPr>
    </w:p>
    <w:p w14:paraId="7FEA18D2" w14:textId="77777777" w:rsidR="0031674D" w:rsidRPr="00DD69FC" w:rsidRDefault="0031674D" w:rsidP="00B95C30">
      <w:pPr>
        <w:jc w:val="both"/>
        <w:rPr>
          <w:rFonts w:ascii="Arial" w:eastAsia="Calibri" w:hAnsi="Arial" w:cs="Arial"/>
          <w:sz w:val="22"/>
          <w:lang w:val="es-ES_tradnl"/>
        </w:rPr>
      </w:pPr>
    </w:p>
    <w:p w14:paraId="12E66182" w14:textId="1BC39558" w:rsidR="00B95C30" w:rsidRPr="00DD69FC" w:rsidRDefault="0031674D" w:rsidP="006E3937">
      <w:pPr>
        <w:rPr>
          <w:rFonts w:ascii="Arial" w:eastAsia="Calibri" w:hAnsi="Arial" w:cs="Arial"/>
          <w:b/>
          <w:bCs/>
          <w:sz w:val="22"/>
          <w:lang w:val="es-ES_tradnl"/>
        </w:rPr>
      </w:pPr>
      <w:r w:rsidRPr="00DD69FC">
        <w:rPr>
          <w:rFonts w:ascii="Arial" w:eastAsia="Calibri" w:hAnsi="Arial" w:cs="Arial"/>
          <w:b/>
          <w:bCs/>
          <w:sz w:val="22"/>
          <w:lang w:val="es-ES_tradnl"/>
        </w:rPr>
        <w:t xml:space="preserve">                                            </w:t>
      </w:r>
      <w:r w:rsidR="00B95C30" w:rsidRPr="00DD69FC">
        <w:rPr>
          <w:rFonts w:ascii="Arial" w:eastAsia="Calibri" w:hAnsi="Arial" w:cs="Arial"/>
          <w:b/>
          <w:bCs/>
          <w:sz w:val="22"/>
          <w:lang w:val="es-ES_tradnl"/>
        </w:rPr>
        <w:t xml:space="preserve">Concepto C ‒ </w:t>
      </w:r>
      <w:r w:rsidR="00B90CA6" w:rsidRPr="00DD69FC">
        <w:rPr>
          <w:rFonts w:ascii="Arial" w:eastAsia="Calibri" w:hAnsi="Arial" w:cs="Arial"/>
          <w:b/>
          <w:bCs/>
          <w:sz w:val="22"/>
          <w:lang w:val="es-ES_tradnl"/>
        </w:rPr>
        <w:t>1</w:t>
      </w:r>
      <w:r w:rsidR="006F05F7" w:rsidRPr="00DD69FC">
        <w:rPr>
          <w:rFonts w:ascii="Arial" w:eastAsia="Calibri" w:hAnsi="Arial" w:cs="Arial"/>
          <w:b/>
          <w:bCs/>
          <w:sz w:val="22"/>
          <w:lang w:val="es-ES_tradnl"/>
        </w:rPr>
        <w:t>92</w:t>
      </w:r>
      <w:r w:rsidR="00B95C30" w:rsidRPr="00DD69FC">
        <w:rPr>
          <w:rFonts w:ascii="Arial" w:eastAsia="Calibri" w:hAnsi="Arial" w:cs="Arial"/>
          <w:b/>
          <w:bCs/>
          <w:sz w:val="22"/>
          <w:lang w:val="es-ES_tradnl"/>
        </w:rPr>
        <w:t xml:space="preserve"> de 202</w:t>
      </w:r>
      <w:r w:rsidR="005E781C" w:rsidRPr="00DD69FC">
        <w:rPr>
          <w:rFonts w:ascii="Arial" w:eastAsia="Calibri" w:hAnsi="Arial" w:cs="Arial"/>
          <w:b/>
          <w:bCs/>
          <w:sz w:val="22"/>
          <w:lang w:val="es-ES_tradnl"/>
        </w:rPr>
        <w:t>1</w:t>
      </w:r>
    </w:p>
    <w:p w14:paraId="1BD594F9" w14:textId="77777777" w:rsidR="00B95C30" w:rsidRPr="00DD69FC"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69FC" w:rsidRPr="00DD69FC" w14:paraId="19DFC051" w14:textId="77777777" w:rsidTr="008F4163">
        <w:tc>
          <w:tcPr>
            <w:tcW w:w="2689" w:type="dxa"/>
          </w:tcPr>
          <w:p w14:paraId="6BC0D1AC" w14:textId="77777777" w:rsidR="00B95C30" w:rsidRPr="00DD69FC" w:rsidRDefault="00B95C30" w:rsidP="008F4163">
            <w:pPr>
              <w:jc w:val="both"/>
              <w:rPr>
                <w:rFonts w:ascii="Arial" w:eastAsia="Calibri" w:hAnsi="Arial" w:cs="Arial"/>
                <w:sz w:val="22"/>
                <w:lang w:val="es-ES_tradnl"/>
              </w:rPr>
            </w:pPr>
            <w:r w:rsidRPr="00DD69FC">
              <w:rPr>
                <w:rFonts w:ascii="Arial" w:eastAsia="Calibri" w:hAnsi="Arial" w:cs="Arial"/>
                <w:b/>
                <w:sz w:val="22"/>
                <w:lang w:val="es-ES_tradnl"/>
              </w:rPr>
              <w:t>Temas:</w:t>
            </w:r>
            <w:r w:rsidRPr="00DD69FC">
              <w:rPr>
                <w:rFonts w:ascii="Arial" w:eastAsia="Calibri" w:hAnsi="Arial" w:cs="Arial"/>
                <w:sz w:val="22"/>
                <w:lang w:val="es-ES_tradnl"/>
              </w:rPr>
              <w:t xml:space="preserve">                                      </w:t>
            </w:r>
          </w:p>
        </w:tc>
        <w:tc>
          <w:tcPr>
            <w:tcW w:w="6237" w:type="dxa"/>
          </w:tcPr>
          <w:p w14:paraId="5F389CAF" w14:textId="202FDC5D" w:rsidR="00B95C30" w:rsidRPr="00DD69FC" w:rsidRDefault="00900530" w:rsidP="008F4163">
            <w:pPr>
              <w:jc w:val="both"/>
              <w:rPr>
                <w:rFonts w:ascii="Arial" w:eastAsia="Calibri" w:hAnsi="Arial" w:cs="Arial"/>
                <w:sz w:val="22"/>
                <w:lang w:val="es-ES_tradnl"/>
              </w:rPr>
            </w:pPr>
            <w:r w:rsidRPr="00DD69FC">
              <w:rPr>
                <w:rFonts w:ascii="Arial" w:eastAsia="Arial" w:hAnsi="Arial" w:cs="Arial"/>
                <w:sz w:val="22"/>
                <w:szCs w:val="22"/>
                <w:lang w:val="es-ES" w:eastAsia="en-US"/>
              </w:rPr>
              <w:t>SELECCIÓN OBJETIVA – Contratación estatal – Concepto / EMPATE – Procedimiento de selección – Concepto / FACTORES DE DESEMPATE – Características – Límites /</w:t>
            </w:r>
            <w:r w:rsidRPr="00DD69FC">
              <w:rPr>
                <w:rFonts w:ascii="Arial" w:eastAsia="Arial" w:hAnsi="Arial" w:cs="Arial"/>
                <w:spacing w:val="-22"/>
                <w:sz w:val="22"/>
                <w:szCs w:val="22"/>
                <w:lang w:val="es-ES" w:eastAsia="en-US"/>
              </w:rPr>
              <w:t xml:space="preserve"> </w:t>
            </w:r>
            <w:r w:rsidRPr="00DD69FC">
              <w:rPr>
                <w:rFonts w:ascii="Arial" w:eastAsia="Arial" w:hAnsi="Arial" w:cs="Arial"/>
                <w:sz w:val="22"/>
                <w:szCs w:val="22"/>
                <w:lang w:val="es-ES" w:eastAsia="en-US"/>
              </w:rPr>
              <w:t xml:space="preserve">LEY DE EMPRENDIMIENTO – Ley 2069 de 2020 – Vigencia / </w:t>
            </w:r>
            <w:r w:rsidR="00B74FF1" w:rsidRPr="00DD69FC">
              <w:rPr>
                <w:rFonts w:ascii="Arial" w:eastAsia="Arial" w:hAnsi="Arial" w:cs="Arial"/>
                <w:sz w:val="22"/>
                <w:szCs w:val="22"/>
                <w:lang w:val="es-ES" w:eastAsia="en-US"/>
              </w:rPr>
              <w:t>DECRETO 1082 DE 2015 – Factores de desempate – Derogatoria – Decaimiento / DECRETO 1082 DE 2015 – Factores de desempate – Mínima Cuantía – Adquisición en grandes superficies – Derogatoria – Decaimiento / LEY DE EMPRENDIMIENTO – Artículo 35 – Factores de desempate – Norma transversal  – Mínima cuantía – Adquisición en grandes superficies / LEY DE EMPRENDIMIENTO – Artículo 35 – Factores de desempate –</w:t>
            </w:r>
            <w:r w:rsidR="00DD69FC" w:rsidRPr="00DD69FC">
              <w:rPr>
                <w:rFonts w:ascii="Arial" w:eastAsia="Arial" w:hAnsi="Arial" w:cs="Arial"/>
                <w:sz w:val="22"/>
                <w:szCs w:val="22"/>
                <w:lang w:val="es-ES" w:eastAsia="en-US"/>
              </w:rPr>
              <w:t xml:space="preserve"> Procedimiento </w:t>
            </w:r>
            <w:r w:rsidR="009D28A1" w:rsidRPr="00DD69FC">
              <w:rPr>
                <w:rFonts w:ascii="Arial" w:eastAsia="Arial" w:hAnsi="Arial" w:cs="Arial"/>
                <w:b/>
                <w:bCs/>
                <w:sz w:val="22"/>
                <w:szCs w:val="22"/>
                <w:lang w:val="es-ES" w:eastAsia="en-US"/>
              </w:rPr>
              <w:t>–</w:t>
            </w:r>
            <w:r w:rsidR="00B74FF1" w:rsidRPr="00DD69FC">
              <w:rPr>
                <w:rFonts w:ascii="Arial" w:eastAsia="Arial" w:hAnsi="Arial" w:cs="Arial"/>
                <w:sz w:val="22"/>
                <w:szCs w:val="22"/>
                <w:lang w:val="es-ES" w:eastAsia="en-US"/>
              </w:rPr>
              <w:t xml:space="preserve"> Aplicación – Sucesiva y excluyente – Compromisos internacionales / LEY DE EMPRENDIMIENTO – Artículo 35 – Factores de desempate – Acreditación</w:t>
            </w:r>
          </w:p>
        </w:tc>
      </w:tr>
      <w:tr w:rsidR="00B95C30" w:rsidRPr="00DD69FC" w14:paraId="27CD52AB" w14:textId="77777777" w:rsidTr="008F4163">
        <w:tc>
          <w:tcPr>
            <w:tcW w:w="2689" w:type="dxa"/>
          </w:tcPr>
          <w:p w14:paraId="37E195A1" w14:textId="1BA218D5" w:rsidR="00B95C30" w:rsidRPr="00DD69FC" w:rsidRDefault="00B95C30" w:rsidP="008F4163">
            <w:pPr>
              <w:spacing w:before="120"/>
              <w:jc w:val="both"/>
              <w:rPr>
                <w:rFonts w:ascii="Arial" w:eastAsia="Calibri" w:hAnsi="Arial" w:cs="Arial"/>
                <w:b/>
                <w:sz w:val="22"/>
                <w:lang w:val="es-ES_tradnl"/>
              </w:rPr>
            </w:pPr>
            <w:r w:rsidRPr="00DD69FC">
              <w:rPr>
                <w:rFonts w:ascii="Arial" w:eastAsia="Calibri" w:hAnsi="Arial" w:cs="Arial"/>
                <w:b/>
                <w:sz w:val="22"/>
                <w:lang w:val="es-ES_tradnl"/>
              </w:rPr>
              <w:t>Radicación:</w:t>
            </w:r>
            <w:r w:rsidRPr="00DD69FC">
              <w:rPr>
                <w:rFonts w:ascii="Arial" w:eastAsia="Calibri" w:hAnsi="Arial" w:cs="Arial"/>
                <w:sz w:val="22"/>
                <w:lang w:val="es-ES_tradnl"/>
              </w:rPr>
              <w:t xml:space="preserve">                              </w:t>
            </w:r>
          </w:p>
        </w:tc>
        <w:tc>
          <w:tcPr>
            <w:tcW w:w="6237" w:type="dxa"/>
          </w:tcPr>
          <w:p w14:paraId="09088B1B" w14:textId="1CA09A98" w:rsidR="00B95C30" w:rsidRPr="00DD69FC" w:rsidRDefault="00900530" w:rsidP="008F4163">
            <w:pPr>
              <w:spacing w:before="120"/>
              <w:jc w:val="both"/>
              <w:rPr>
                <w:rFonts w:ascii="Arial" w:eastAsia="Calibri" w:hAnsi="Arial" w:cs="Arial"/>
                <w:sz w:val="22"/>
                <w:lang w:val="es-ES_tradnl"/>
              </w:rPr>
            </w:pPr>
            <w:r w:rsidRPr="00DD69FC">
              <w:rPr>
                <w:rFonts w:ascii="Arial" w:eastAsia="Arial" w:hAnsi="Arial" w:cs="Arial"/>
                <w:sz w:val="22"/>
                <w:szCs w:val="22"/>
                <w:lang w:val="es-ES" w:eastAsia="en-US"/>
              </w:rPr>
              <w:t xml:space="preserve">Respuesta a consulta # </w:t>
            </w:r>
            <w:r w:rsidR="00EB2CCC" w:rsidRPr="00DD69FC">
              <w:rPr>
                <w:rFonts w:ascii="Arial" w:eastAsia="Arial" w:hAnsi="Arial" w:cs="Arial"/>
                <w:sz w:val="22"/>
                <w:szCs w:val="22"/>
                <w:lang w:val="es-ES" w:eastAsia="en-US"/>
              </w:rPr>
              <w:t>P20210317002202</w:t>
            </w:r>
          </w:p>
        </w:tc>
      </w:tr>
    </w:tbl>
    <w:p w14:paraId="69729BEF" w14:textId="77777777" w:rsidR="00096D30" w:rsidRPr="00DD69FC" w:rsidRDefault="00096D30" w:rsidP="003C3339">
      <w:pPr>
        <w:jc w:val="both"/>
        <w:rPr>
          <w:rFonts w:ascii="Arial" w:eastAsia="Calibri" w:hAnsi="Arial" w:cs="Arial"/>
          <w:sz w:val="22"/>
          <w:lang w:val="es-ES_tradnl"/>
        </w:rPr>
      </w:pPr>
    </w:p>
    <w:p w14:paraId="43664A51" w14:textId="77777777" w:rsidR="00096D30" w:rsidRPr="00DD69FC" w:rsidRDefault="00096D30" w:rsidP="003C3339">
      <w:pPr>
        <w:jc w:val="both"/>
        <w:rPr>
          <w:rFonts w:ascii="Arial" w:eastAsia="Calibri" w:hAnsi="Arial" w:cs="Arial"/>
          <w:sz w:val="22"/>
          <w:lang w:val="es-ES_tradnl"/>
        </w:rPr>
      </w:pPr>
    </w:p>
    <w:p w14:paraId="1CF4AEA0" w14:textId="594E2624" w:rsidR="003C3339" w:rsidRPr="00DD69FC" w:rsidRDefault="003C3339" w:rsidP="003C3339">
      <w:pPr>
        <w:jc w:val="both"/>
        <w:rPr>
          <w:rFonts w:ascii="Arial" w:eastAsia="Calibri" w:hAnsi="Arial" w:cs="Arial"/>
          <w:sz w:val="22"/>
          <w:lang w:val="es-ES_tradnl"/>
        </w:rPr>
      </w:pPr>
      <w:r w:rsidRPr="00DD69FC">
        <w:rPr>
          <w:rFonts w:ascii="Arial" w:eastAsia="Calibri" w:hAnsi="Arial" w:cs="Arial"/>
          <w:sz w:val="22"/>
          <w:lang w:val="es-ES_tradnl"/>
        </w:rPr>
        <w:t>Estimad</w:t>
      </w:r>
      <w:r w:rsidR="00C018F7" w:rsidRPr="00DD69FC">
        <w:rPr>
          <w:rFonts w:ascii="Arial" w:eastAsia="Calibri" w:hAnsi="Arial" w:cs="Arial"/>
          <w:sz w:val="22"/>
          <w:lang w:val="es-ES_tradnl"/>
        </w:rPr>
        <w:t>o</w:t>
      </w:r>
      <w:r w:rsidRPr="00DD69FC">
        <w:rPr>
          <w:rFonts w:ascii="Arial" w:eastAsia="Calibri" w:hAnsi="Arial" w:cs="Arial"/>
          <w:sz w:val="22"/>
          <w:lang w:val="es-ES_tradnl"/>
        </w:rPr>
        <w:t xml:space="preserve"> </w:t>
      </w:r>
      <w:r w:rsidR="0063732C" w:rsidRPr="00DD69FC">
        <w:rPr>
          <w:rFonts w:ascii="Arial" w:eastAsia="Calibri" w:hAnsi="Arial" w:cs="Arial"/>
          <w:sz w:val="22"/>
          <w:lang w:val="es-ES_tradnl"/>
        </w:rPr>
        <w:t>señor</w:t>
      </w:r>
      <w:r w:rsidR="00BE4FBF" w:rsidRPr="00DD69FC">
        <w:rPr>
          <w:rFonts w:ascii="Arial" w:eastAsia="Calibri" w:hAnsi="Arial" w:cs="Arial"/>
          <w:sz w:val="22"/>
          <w:lang w:val="es-ES_tradnl"/>
        </w:rPr>
        <w:t xml:space="preserve"> </w:t>
      </w:r>
      <w:r w:rsidR="005072BC" w:rsidRPr="00DD69FC">
        <w:rPr>
          <w:rFonts w:ascii="Arial" w:eastAsia="Calibri" w:hAnsi="Arial" w:cs="Arial"/>
          <w:sz w:val="22"/>
          <w:lang w:val="es-ES_tradnl"/>
        </w:rPr>
        <w:t>Bustos</w:t>
      </w:r>
      <w:r w:rsidRPr="00DD69FC">
        <w:rPr>
          <w:rFonts w:ascii="Arial" w:eastAsia="Calibri" w:hAnsi="Arial" w:cs="Arial"/>
          <w:sz w:val="22"/>
          <w:lang w:val="es-ES_tradnl"/>
        </w:rPr>
        <w:t>:</w:t>
      </w:r>
    </w:p>
    <w:p w14:paraId="1EAE5543" w14:textId="77777777" w:rsidR="00DD5B04" w:rsidRPr="00DD69FC" w:rsidRDefault="00DD5B04" w:rsidP="00DF76A2">
      <w:pPr>
        <w:jc w:val="both"/>
        <w:rPr>
          <w:rFonts w:ascii="Arial" w:eastAsia="Calibri" w:hAnsi="Arial" w:cs="Arial"/>
          <w:sz w:val="22"/>
          <w:lang w:val="es-ES_tradnl"/>
        </w:rPr>
      </w:pPr>
    </w:p>
    <w:p w14:paraId="2109B2D3" w14:textId="179C54A0" w:rsidR="00DD5B04" w:rsidRPr="00DD69FC" w:rsidRDefault="00DD5B04" w:rsidP="00DF76A2">
      <w:pPr>
        <w:spacing w:line="276" w:lineRule="auto"/>
        <w:jc w:val="both"/>
        <w:rPr>
          <w:rFonts w:ascii="Arial" w:eastAsia="Calibri" w:hAnsi="Arial" w:cs="Arial"/>
          <w:sz w:val="22"/>
          <w:lang w:val="es-ES_tradnl"/>
        </w:rPr>
      </w:pPr>
      <w:r w:rsidRPr="00DD69FC">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w:t>
      </w:r>
      <w:r w:rsidR="0031674D" w:rsidRPr="00DD69FC">
        <w:rPr>
          <w:rFonts w:ascii="Arial" w:eastAsia="Calibri" w:hAnsi="Arial" w:cs="Arial"/>
          <w:sz w:val="22"/>
          <w:lang w:val="es-ES_tradnl"/>
        </w:rPr>
        <w:t>–</w:t>
      </w:r>
      <w:r w:rsidRPr="00DD69FC">
        <w:rPr>
          <w:rFonts w:ascii="Arial" w:eastAsia="Calibri" w:hAnsi="Arial" w:cs="Arial"/>
          <w:sz w:val="22"/>
          <w:lang w:val="es-ES_tradnl"/>
        </w:rPr>
        <w:t xml:space="preserve"> Colombia Compra Eficiente</w:t>
      </w:r>
      <w:r w:rsidR="008C3C57" w:rsidRPr="00DD69FC">
        <w:rPr>
          <w:rFonts w:ascii="Arial" w:eastAsia="Calibri" w:hAnsi="Arial" w:cs="Arial"/>
          <w:sz w:val="22"/>
          <w:lang w:val="es-ES_tradnl"/>
        </w:rPr>
        <w:t xml:space="preserve"> </w:t>
      </w:r>
      <w:r w:rsidRPr="00DD69FC">
        <w:rPr>
          <w:rFonts w:ascii="Arial" w:eastAsia="Calibri" w:hAnsi="Arial" w:cs="Arial"/>
          <w:sz w:val="22"/>
          <w:lang w:val="es-ES_tradnl"/>
        </w:rPr>
        <w:t xml:space="preserve">responde su consulta del </w:t>
      </w:r>
      <w:r w:rsidR="00454589" w:rsidRPr="00DD69FC">
        <w:rPr>
          <w:rFonts w:ascii="Arial" w:eastAsia="Calibri" w:hAnsi="Arial" w:cs="Arial"/>
          <w:sz w:val="22"/>
          <w:lang w:val="es-ES_tradnl"/>
        </w:rPr>
        <w:t>1</w:t>
      </w:r>
      <w:r w:rsidR="005072BC" w:rsidRPr="00DD69FC">
        <w:rPr>
          <w:rFonts w:ascii="Arial" w:eastAsia="Calibri" w:hAnsi="Arial" w:cs="Arial"/>
          <w:sz w:val="22"/>
          <w:lang w:val="es-ES_tradnl"/>
        </w:rPr>
        <w:t>6</w:t>
      </w:r>
      <w:r w:rsidR="00FD4AF3" w:rsidRPr="00DD69FC">
        <w:rPr>
          <w:rFonts w:ascii="Arial" w:eastAsia="Calibri" w:hAnsi="Arial" w:cs="Arial"/>
          <w:sz w:val="22"/>
          <w:lang w:val="es-ES_tradnl"/>
        </w:rPr>
        <w:t xml:space="preserve"> de </w:t>
      </w:r>
      <w:r w:rsidR="00A40C14" w:rsidRPr="00DD69FC">
        <w:rPr>
          <w:rFonts w:ascii="Arial" w:eastAsia="Calibri" w:hAnsi="Arial" w:cs="Arial"/>
          <w:sz w:val="22"/>
          <w:lang w:val="es-ES_tradnl"/>
        </w:rPr>
        <w:t>marz</w:t>
      </w:r>
      <w:r w:rsidR="00337B9F" w:rsidRPr="00DD69FC">
        <w:rPr>
          <w:rFonts w:ascii="Arial" w:eastAsia="Calibri" w:hAnsi="Arial" w:cs="Arial"/>
          <w:sz w:val="22"/>
          <w:lang w:val="es-ES_tradnl"/>
        </w:rPr>
        <w:t>o</w:t>
      </w:r>
      <w:r w:rsidRPr="00DD69FC">
        <w:rPr>
          <w:rFonts w:ascii="Arial" w:eastAsia="Calibri" w:hAnsi="Arial" w:cs="Arial"/>
          <w:sz w:val="22"/>
          <w:lang w:val="es-ES_tradnl"/>
        </w:rPr>
        <w:t xml:space="preserve"> del</w:t>
      </w:r>
      <w:r w:rsidR="007E74BF" w:rsidRPr="00DD69FC">
        <w:rPr>
          <w:rFonts w:ascii="Arial" w:eastAsia="Calibri" w:hAnsi="Arial" w:cs="Arial"/>
          <w:sz w:val="22"/>
          <w:lang w:val="es-ES_tradnl"/>
        </w:rPr>
        <w:t xml:space="preserve"> </w:t>
      </w:r>
      <w:r w:rsidRPr="00DD69FC">
        <w:rPr>
          <w:rFonts w:ascii="Arial" w:eastAsia="Calibri" w:hAnsi="Arial" w:cs="Arial"/>
          <w:sz w:val="22"/>
          <w:lang w:val="es-ES_tradnl"/>
        </w:rPr>
        <w:t>202</w:t>
      </w:r>
      <w:r w:rsidR="00FB0880" w:rsidRPr="00DD69FC">
        <w:rPr>
          <w:rFonts w:ascii="Arial" w:eastAsia="Calibri" w:hAnsi="Arial" w:cs="Arial"/>
          <w:sz w:val="22"/>
          <w:lang w:val="es-ES_tradnl"/>
        </w:rPr>
        <w:t>1</w:t>
      </w:r>
      <w:r w:rsidR="008C3C57" w:rsidRPr="00DD69FC">
        <w:rPr>
          <w:rFonts w:ascii="Arial" w:eastAsia="Calibri" w:hAnsi="Arial" w:cs="Arial"/>
          <w:sz w:val="22"/>
          <w:lang w:val="es-ES_tradnl"/>
        </w:rPr>
        <w:t>.</w:t>
      </w:r>
    </w:p>
    <w:p w14:paraId="0C1E0712" w14:textId="77777777" w:rsidR="00DD5B04" w:rsidRPr="00DD69FC" w:rsidRDefault="00DD5B04" w:rsidP="00DF76A2">
      <w:pPr>
        <w:spacing w:line="276" w:lineRule="auto"/>
        <w:jc w:val="both"/>
        <w:rPr>
          <w:rFonts w:ascii="Arial" w:eastAsia="Calibri" w:hAnsi="Arial" w:cs="Arial"/>
          <w:b/>
          <w:sz w:val="22"/>
          <w:lang w:val="es-ES_tradnl"/>
        </w:rPr>
      </w:pPr>
    </w:p>
    <w:p w14:paraId="7701FCC7" w14:textId="77777777" w:rsidR="00DD5B04" w:rsidRPr="00DD69FC"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DD69FC">
        <w:rPr>
          <w:rFonts w:ascii="Arial" w:eastAsia="Calibri" w:hAnsi="Arial" w:cs="Arial"/>
          <w:b/>
          <w:sz w:val="22"/>
          <w:lang w:val="es-ES_tradnl"/>
        </w:rPr>
        <w:t xml:space="preserve">Problema planteado </w:t>
      </w:r>
    </w:p>
    <w:p w14:paraId="224B43D3" w14:textId="77777777" w:rsidR="00DD5B04" w:rsidRPr="00DD69FC" w:rsidRDefault="00DD5B04" w:rsidP="00DF76A2">
      <w:pPr>
        <w:tabs>
          <w:tab w:val="left" w:pos="426"/>
        </w:tabs>
        <w:spacing w:line="276" w:lineRule="auto"/>
        <w:jc w:val="both"/>
        <w:rPr>
          <w:rFonts w:ascii="Arial" w:eastAsia="Calibri" w:hAnsi="Arial" w:cs="Arial"/>
          <w:b/>
          <w:sz w:val="22"/>
          <w:lang w:val="es-ES_tradnl"/>
        </w:rPr>
      </w:pPr>
    </w:p>
    <w:p w14:paraId="60E9EAB0" w14:textId="362D31A5" w:rsidR="00454589" w:rsidRPr="00961044" w:rsidRDefault="00900530" w:rsidP="00961044">
      <w:pPr>
        <w:spacing w:line="276" w:lineRule="auto"/>
        <w:jc w:val="both"/>
        <w:rPr>
          <w:rFonts w:ascii="Arial" w:hAnsi="Arial" w:cs="Arial"/>
          <w:sz w:val="22"/>
          <w:szCs w:val="22"/>
          <w:lang w:val="es-ES_tradnl"/>
        </w:rPr>
      </w:pPr>
      <w:r w:rsidRPr="00406DD8">
        <w:rPr>
          <w:rFonts w:ascii="Arial" w:hAnsi="Arial" w:cs="Arial"/>
          <w:sz w:val="22"/>
          <w:szCs w:val="22"/>
          <w:lang w:val="es-ES_tradnl"/>
        </w:rPr>
        <w:t xml:space="preserve">Usted </w:t>
      </w:r>
      <w:r w:rsidR="00A11F93" w:rsidRPr="00961044">
        <w:rPr>
          <w:rFonts w:ascii="Arial" w:hAnsi="Arial" w:cs="Arial"/>
          <w:sz w:val="22"/>
          <w:szCs w:val="22"/>
          <w:lang w:val="es-ES_tradnl"/>
        </w:rPr>
        <w:t xml:space="preserve">realiza </w:t>
      </w:r>
      <w:r w:rsidRPr="00961044">
        <w:rPr>
          <w:rFonts w:ascii="Arial" w:hAnsi="Arial" w:cs="Arial"/>
          <w:sz w:val="22"/>
          <w:szCs w:val="22"/>
          <w:lang w:val="es-ES_tradnl"/>
        </w:rPr>
        <w:t>la</w:t>
      </w:r>
      <w:bookmarkStart w:id="3" w:name="_Hlk64445064"/>
      <w:r w:rsidR="000061E9" w:rsidRPr="00961044">
        <w:rPr>
          <w:rFonts w:ascii="Arial" w:hAnsi="Arial" w:cs="Arial"/>
          <w:sz w:val="22"/>
          <w:szCs w:val="22"/>
          <w:lang w:val="es-ES_tradnl"/>
        </w:rPr>
        <w:t>s siguientes preguntas:</w:t>
      </w:r>
      <w:r w:rsidR="00A11F93" w:rsidRPr="00961044">
        <w:rPr>
          <w:rFonts w:ascii="Arial" w:hAnsi="Arial" w:cs="Arial"/>
          <w:sz w:val="22"/>
          <w:szCs w:val="22"/>
          <w:lang w:val="es-ES_tradnl"/>
        </w:rPr>
        <w:t xml:space="preserve"> i) </w:t>
      </w:r>
      <w:r w:rsidRPr="00961044">
        <w:rPr>
          <w:rFonts w:ascii="Arial" w:hAnsi="Arial" w:cs="Arial"/>
          <w:sz w:val="22"/>
          <w:szCs w:val="22"/>
          <w:lang w:val="es-ES_tradnl"/>
        </w:rPr>
        <w:t>«</w:t>
      </w:r>
      <w:proofErr w:type="gramStart"/>
      <w:r w:rsidR="00005054" w:rsidRPr="00961044">
        <w:rPr>
          <w:rFonts w:ascii="Arial" w:hAnsi="Arial" w:cs="Arial"/>
          <w:sz w:val="22"/>
          <w:szCs w:val="22"/>
          <w:lang w:val="es-ES_tradnl"/>
        </w:rPr>
        <w:t>¿Considera Colombia Compra Eficiente que Ley 2069 de 2020 también derogó el numeral 7 del Artículo 2.</w:t>
      </w:r>
      <w:proofErr w:type="gramEnd"/>
      <w:r w:rsidR="00005054" w:rsidRPr="00961044">
        <w:rPr>
          <w:rFonts w:ascii="Arial" w:hAnsi="Arial" w:cs="Arial"/>
          <w:sz w:val="22"/>
          <w:szCs w:val="22"/>
          <w:lang w:val="es-ES_tradnl"/>
        </w:rPr>
        <w:t>2.1.2.1.5.2. y el numeral 3 del artículo 2.2.1.2.1.5.3.del Decreto 1082 de 2015?</w:t>
      </w:r>
      <w:r w:rsidR="00406DD8" w:rsidRPr="00961044">
        <w:rPr>
          <w:rFonts w:ascii="Arial" w:hAnsi="Arial" w:cs="Arial"/>
          <w:sz w:val="22"/>
          <w:szCs w:val="22"/>
          <w:lang w:val="es-ES_tradnl"/>
        </w:rPr>
        <w:t xml:space="preserve">» y </w:t>
      </w:r>
      <w:proofErr w:type="spellStart"/>
      <w:r w:rsidR="00406DD8" w:rsidRPr="00961044">
        <w:rPr>
          <w:rFonts w:ascii="Arial" w:hAnsi="Arial" w:cs="Arial"/>
          <w:sz w:val="22"/>
          <w:szCs w:val="22"/>
          <w:lang w:val="es-ES_tradnl"/>
        </w:rPr>
        <w:t>ii</w:t>
      </w:r>
      <w:proofErr w:type="spellEnd"/>
      <w:r w:rsidR="00406DD8" w:rsidRPr="00961044">
        <w:rPr>
          <w:rFonts w:ascii="Arial" w:hAnsi="Arial" w:cs="Arial"/>
          <w:sz w:val="22"/>
          <w:szCs w:val="22"/>
          <w:lang w:val="es-ES_tradnl"/>
        </w:rPr>
        <w:t xml:space="preserve">) </w:t>
      </w:r>
      <w:r w:rsidR="00005054" w:rsidRPr="00961044">
        <w:rPr>
          <w:rFonts w:ascii="Arial" w:hAnsi="Arial" w:cs="Arial"/>
          <w:sz w:val="22"/>
          <w:szCs w:val="22"/>
          <w:lang w:val="es-ES_tradnl"/>
        </w:rPr>
        <w:t xml:space="preserve">En el caso que la respuesta sea </w:t>
      </w:r>
      <w:r w:rsidR="00005054" w:rsidRPr="00961044">
        <w:rPr>
          <w:rFonts w:ascii="Arial" w:hAnsi="Arial" w:cs="Arial"/>
          <w:sz w:val="22"/>
          <w:szCs w:val="22"/>
          <w:lang w:val="es-ES_tradnl"/>
        </w:rPr>
        <w:lastRenderedPageBreak/>
        <w:t>afirmativa</w:t>
      </w:r>
      <w:r w:rsidR="00406DD8" w:rsidRPr="00961044">
        <w:rPr>
          <w:rFonts w:ascii="Arial" w:hAnsi="Arial" w:cs="Arial"/>
          <w:sz w:val="22"/>
          <w:szCs w:val="22"/>
          <w:lang w:val="es-ES_tradnl"/>
        </w:rPr>
        <w:t xml:space="preserve"> </w:t>
      </w:r>
      <w:r w:rsidR="00005054" w:rsidRPr="00961044">
        <w:rPr>
          <w:rFonts w:ascii="Arial" w:hAnsi="Arial" w:cs="Arial"/>
          <w:sz w:val="22"/>
          <w:szCs w:val="22"/>
          <w:lang w:val="es-ES_tradnl"/>
        </w:rPr>
        <w:t>¿Cómo sería el procedimiento para la aplicación de los criterios de desempate del</w:t>
      </w:r>
      <w:r w:rsidR="000061E9" w:rsidRPr="00961044">
        <w:rPr>
          <w:rFonts w:ascii="Arial" w:hAnsi="Arial" w:cs="Arial"/>
          <w:sz w:val="22"/>
          <w:szCs w:val="22"/>
          <w:lang w:val="es-ES_tradnl"/>
        </w:rPr>
        <w:t xml:space="preserve"> </w:t>
      </w:r>
      <w:r w:rsidR="00005054" w:rsidRPr="00961044">
        <w:rPr>
          <w:rFonts w:ascii="Arial" w:hAnsi="Arial" w:cs="Arial"/>
          <w:sz w:val="22"/>
          <w:szCs w:val="22"/>
          <w:lang w:val="es-ES_tradnl"/>
        </w:rPr>
        <w:t>artículo 35 de la Ley 2069 de 2020 para los procesos de contratación de mínima</w:t>
      </w:r>
      <w:r w:rsidR="000061E9" w:rsidRPr="00961044">
        <w:rPr>
          <w:rFonts w:ascii="Arial" w:hAnsi="Arial" w:cs="Arial"/>
          <w:sz w:val="22"/>
          <w:szCs w:val="22"/>
          <w:lang w:val="es-ES_tradnl"/>
        </w:rPr>
        <w:t xml:space="preserve"> </w:t>
      </w:r>
      <w:r w:rsidR="00005054" w:rsidRPr="00961044">
        <w:rPr>
          <w:rFonts w:ascii="Arial" w:hAnsi="Arial" w:cs="Arial"/>
          <w:sz w:val="22"/>
          <w:szCs w:val="22"/>
          <w:lang w:val="es-ES_tradnl"/>
        </w:rPr>
        <w:t>cuantía y para los procesos adquisición en Grandes Superficies?</w:t>
      </w:r>
      <w:r w:rsidRPr="00961044">
        <w:rPr>
          <w:rFonts w:ascii="Arial" w:hAnsi="Arial" w:cs="Arial"/>
          <w:sz w:val="22"/>
          <w:szCs w:val="22"/>
          <w:lang w:val="es-ES_tradnl"/>
        </w:rPr>
        <w:t>»</w:t>
      </w:r>
      <w:bookmarkEnd w:id="3"/>
      <w:r w:rsidRPr="00961044">
        <w:rPr>
          <w:rFonts w:ascii="Arial" w:hAnsi="Arial" w:cs="Arial"/>
          <w:sz w:val="22"/>
          <w:szCs w:val="22"/>
          <w:lang w:val="es-ES_tradnl"/>
        </w:rPr>
        <w:t>.</w:t>
      </w:r>
    </w:p>
    <w:p w14:paraId="7C90D8BB" w14:textId="77777777" w:rsidR="00900530" w:rsidRPr="00DD69FC" w:rsidRDefault="00900530" w:rsidP="00900530">
      <w:pPr>
        <w:jc w:val="both"/>
        <w:rPr>
          <w:rFonts w:ascii="Arial" w:hAnsi="Arial" w:cs="Arial"/>
          <w:sz w:val="21"/>
          <w:szCs w:val="21"/>
          <w:lang w:val="es-ES_tradnl"/>
        </w:rPr>
      </w:pPr>
    </w:p>
    <w:p w14:paraId="4805B484" w14:textId="77777777" w:rsidR="00F80411" w:rsidRPr="00DD69FC" w:rsidRDefault="00F80411" w:rsidP="00F80411">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DD69FC">
        <w:rPr>
          <w:rFonts w:ascii="Arial" w:eastAsia="Calibri" w:hAnsi="Arial" w:cs="Arial"/>
          <w:b/>
          <w:sz w:val="22"/>
          <w:lang w:val="es-ES_tradnl"/>
        </w:rPr>
        <w:t>Consideraciones</w:t>
      </w:r>
    </w:p>
    <w:p w14:paraId="1DEB17ED" w14:textId="77777777" w:rsidR="00F80411" w:rsidRPr="00DD69FC" w:rsidRDefault="00F80411" w:rsidP="00F80411">
      <w:pPr>
        <w:spacing w:line="276" w:lineRule="auto"/>
        <w:jc w:val="both"/>
        <w:rPr>
          <w:rFonts w:ascii="Arial" w:eastAsia="Calibri" w:hAnsi="Arial" w:cs="Arial"/>
          <w:sz w:val="22"/>
          <w:szCs w:val="22"/>
          <w:lang w:val="es-ES_tradnl"/>
        </w:rPr>
      </w:pPr>
    </w:p>
    <w:p w14:paraId="5F01AF1F" w14:textId="33312525" w:rsidR="00F80411" w:rsidRPr="00DD69FC" w:rsidRDefault="00F80411" w:rsidP="00191AE3">
      <w:pPr>
        <w:spacing w:after="120" w:line="276" w:lineRule="auto"/>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La Subdirección de Gestión Contractual responderá la consulta, luego de analizar los siguientes temas: i) definición de los criterios de desempate en la contratación estatal, </w:t>
      </w:r>
      <w:proofErr w:type="spellStart"/>
      <w:r w:rsidRPr="00DD69FC">
        <w:rPr>
          <w:rFonts w:ascii="Arial" w:eastAsia="Calibri" w:hAnsi="Arial" w:cs="Arial"/>
          <w:sz w:val="22"/>
          <w:szCs w:val="22"/>
          <w:lang w:val="es-ES_tradnl"/>
        </w:rPr>
        <w:t>ii</w:t>
      </w:r>
      <w:proofErr w:type="spellEnd"/>
      <w:r w:rsidRPr="00DD69FC">
        <w:rPr>
          <w:rFonts w:ascii="Arial" w:eastAsia="Calibri" w:hAnsi="Arial" w:cs="Arial"/>
          <w:sz w:val="22"/>
          <w:szCs w:val="22"/>
          <w:lang w:val="es-ES_tradnl"/>
        </w:rPr>
        <w:t>) vigencia y ámbito de aplicación de la Ley 2069 de 2020</w:t>
      </w:r>
      <w:r w:rsidR="00EA7341" w:rsidRPr="00DD69FC">
        <w:rPr>
          <w:rFonts w:ascii="Arial" w:eastAsia="Calibri" w:hAnsi="Arial" w:cs="Arial"/>
          <w:sz w:val="22"/>
          <w:szCs w:val="22"/>
          <w:lang w:val="es-ES_tradnl"/>
        </w:rPr>
        <w:t>,</w:t>
      </w:r>
      <w:r w:rsidRPr="00DD69FC">
        <w:rPr>
          <w:rFonts w:ascii="Arial" w:eastAsia="Calibri" w:hAnsi="Arial" w:cs="Arial"/>
          <w:sz w:val="22"/>
          <w:szCs w:val="22"/>
          <w:lang w:val="es-ES_tradnl"/>
        </w:rPr>
        <w:t xml:space="preserve"> </w:t>
      </w:r>
      <w:proofErr w:type="spellStart"/>
      <w:r w:rsidR="00EA7341" w:rsidRPr="00DD69FC">
        <w:rPr>
          <w:rFonts w:ascii="Arial" w:eastAsia="Calibri" w:hAnsi="Arial" w:cs="Arial"/>
          <w:sz w:val="22"/>
          <w:szCs w:val="22"/>
          <w:lang w:val="es-ES_tradnl"/>
        </w:rPr>
        <w:t>iii</w:t>
      </w:r>
      <w:proofErr w:type="spellEnd"/>
      <w:r w:rsidR="00EA7341" w:rsidRPr="00DD69FC">
        <w:rPr>
          <w:rFonts w:ascii="Arial" w:eastAsia="Calibri" w:hAnsi="Arial" w:cs="Arial"/>
          <w:sz w:val="22"/>
          <w:szCs w:val="22"/>
          <w:lang w:val="es-ES_tradnl"/>
        </w:rPr>
        <w:t>) derogatoria producida por el artículo 35 de la Ley 2069 de 2020 a los factores de desempate del Decreto 1082 de 2015</w:t>
      </w:r>
      <w:r w:rsidR="0076000D" w:rsidRPr="00DD69FC">
        <w:rPr>
          <w:rFonts w:ascii="Arial" w:eastAsia="Calibri" w:hAnsi="Arial" w:cs="Arial"/>
          <w:sz w:val="22"/>
          <w:szCs w:val="22"/>
          <w:lang w:val="es-ES_tradnl"/>
        </w:rPr>
        <w:t xml:space="preserve"> y </w:t>
      </w:r>
      <w:proofErr w:type="spellStart"/>
      <w:r w:rsidR="0076000D" w:rsidRPr="00DD69FC">
        <w:rPr>
          <w:rFonts w:ascii="Arial" w:eastAsia="Calibri" w:hAnsi="Arial" w:cs="Arial"/>
          <w:sz w:val="22"/>
          <w:szCs w:val="22"/>
          <w:lang w:val="es-ES_tradnl"/>
        </w:rPr>
        <w:t>iv</w:t>
      </w:r>
      <w:proofErr w:type="spellEnd"/>
      <w:r w:rsidR="0076000D" w:rsidRPr="00DD69FC">
        <w:rPr>
          <w:rFonts w:ascii="Arial" w:eastAsia="Calibri" w:hAnsi="Arial" w:cs="Arial"/>
          <w:sz w:val="22"/>
          <w:szCs w:val="22"/>
          <w:lang w:val="es-ES_tradnl"/>
        </w:rPr>
        <w:t xml:space="preserve">) </w:t>
      </w:r>
      <w:r w:rsidR="00BA0016" w:rsidRPr="00DD69FC">
        <w:rPr>
          <w:rFonts w:ascii="Arial" w:eastAsia="Calibri" w:hAnsi="Arial" w:cs="Arial"/>
          <w:sz w:val="22"/>
          <w:szCs w:val="22"/>
          <w:lang w:val="es-ES_tradnl"/>
        </w:rPr>
        <w:t>aplicación de los factores de desempate consagrados en el artículo 35 de la Ley 2069 de 2020.</w:t>
      </w:r>
    </w:p>
    <w:p w14:paraId="5EA811CD" w14:textId="3853C1DF" w:rsidR="00F80411" w:rsidRPr="00DD69FC" w:rsidRDefault="00191AE3" w:rsidP="00035FA2">
      <w:pPr>
        <w:tabs>
          <w:tab w:val="left" w:pos="426"/>
        </w:tabs>
        <w:spacing w:line="276" w:lineRule="auto"/>
        <w:jc w:val="both"/>
        <w:rPr>
          <w:rFonts w:ascii="Arial" w:eastAsia="Calibri" w:hAnsi="Arial" w:cs="Arial"/>
          <w:bCs/>
          <w:sz w:val="22"/>
        </w:rPr>
      </w:pPr>
      <w:r w:rsidRPr="00DD69FC">
        <w:rPr>
          <w:rFonts w:ascii="Arial" w:eastAsia="Calibri" w:hAnsi="Arial" w:cs="Arial"/>
          <w:sz w:val="22"/>
          <w:szCs w:val="22"/>
          <w:lang w:val="es-ES_tradnl"/>
        </w:rPr>
        <w:tab/>
      </w:r>
      <w:r w:rsidRPr="00DD69FC">
        <w:rPr>
          <w:rFonts w:ascii="Arial" w:eastAsia="Calibri" w:hAnsi="Arial" w:cs="Arial"/>
          <w:sz w:val="22"/>
          <w:szCs w:val="22"/>
          <w:lang w:val="es-ES_tradnl"/>
        </w:rPr>
        <w:tab/>
      </w:r>
      <w:r w:rsidR="00F80411" w:rsidRPr="00DD69FC">
        <w:rPr>
          <w:rFonts w:ascii="Arial" w:eastAsia="Calibri" w:hAnsi="Arial" w:cs="Arial"/>
          <w:sz w:val="22"/>
          <w:szCs w:val="22"/>
          <w:lang w:val="es-ES_tradnl"/>
        </w:rPr>
        <w:t>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w:t>
      </w:r>
      <w:r w:rsidR="00035FA2" w:rsidRPr="00DD69FC">
        <w:rPr>
          <w:rFonts w:ascii="Arial" w:eastAsia="Calibri" w:hAnsi="Arial" w:cs="Arial"/>
          <w:sz w:val="22"/>
          <w:szCs w:val="22"/>
          <w:lang w:val="es-ES_tradnl"/>
        </w:rPr>
        <w:t xml:space="preserve"> </w:t>
      </w:r>
      <w:r w:rsidR="00035FA2" w:rsidRPr="00DD69FC">
        <w:rPr>
          <w:rFonts w:ascii="Arial" w:eastAsia="Calibri" w:hAnsi="Arial" w:cs="Arial"/>
          <w:bCs/>
          <w:sz w:val="22"/>
        </w:rPr>
        <w:t xml:space="preserve">Igualmente, en los </w:t>
      </w:r>
      <w:r w:rsidR="00BD6847" w:rsidRPr="00DD69FC">
        <w:rPr>
          <w:rFonts w:ascii="Arial" w:eastAsia="Calibri" w:hAnsi="Arial" w:cs="Arial"/>
          <w:bCs/>
          <w:sz w:val="22"/>
        </w:rPr>
        <w:t>c</w:t>
      </w:r>
      <w:r w:rsidR="00035FA2" w:rsidRPr="00DD69FC">
        <w:rPr>
          <w:rFonts w:ascii="Arial" w:eastAsia="Calibri" w:hAnsi="Arial" w:cs="Arial"/>
          <w:bCs/>
          <w:sz w:val="22"/>
        </w:rPr>
        <w:t xml:space="preserve">onceptos C-009, </w:t>
      </w:r>
      <w:r w:rsidR="00BD6847" w:rsidRPr="00DD69FC">
        <w:rPr>
          <w:rFonts w:ascii="Arial" w:eastAsia="Calibri" w:hAnsi="Arial" w:cs="Arial"/>
          <w:bCs/>
          <w:sz w:val="22"/>
        </w:rPr>
        <w:t>C-</w:t>
      </w:r>
      <w:r w:rsidR="00035FA2" w:rsidRPr="00DD69FC">
        <w:rPr>
          <w:rFonts w:ascii="Arial" w:eastAsia="Calibri" w:hAnsi="Arial" w:cs="Arial"/>
          <w:bCs/>
          <w:sz w:val="22"/>
        </w:rPr>
        <w:t xml:space="preserve">012, </w:t>
      </w:r>
      <w:r w:rsidR="00BD6847" w:rsidRPr="00DD69FC">
        <w:rPr>
          <w:rFonts w:ascii="Arial" w:eastAsia="Calibri" w:hAnsi="Arial" w:cs="Arial"/>
          <w:bCs/>
          <w:sz w:val="22"/>
        </w:rPr>
        <w:t>C-</w:t>
      </w:r>
      <w:r w:rsidR="00035FA2" w:rsidRPr="00DD69FC">
        <w:rPr>
          <w:rFonts w:ascii="Arial" w:eastAsia="Calibri" w:hAnsi="Arial" w:cs="Arial"/>
          <w:bCs/>
          <w:sz w:val="22"/>
        </w:rPr>
        <w:t>013,</w:t>
      </w:r>
      <w:r w:rsidR="00BD6847" w:rsidRPr="00DD69FC">
        <w:rPr>
          <w:rFonts w:ascii="Arial" w:eastAsia="Calibri" w:hAnsi="Arial" w:cs="Arial"/>
          <w:bCs/>
          <w:sz w:val="22"/>
        </w:rPr>
        <w:t xml:space="preserve"> C-</w:t>
      </w:r>
      <w:r w:rsidR="00035FA2" w:rsidRPr="00DD69FC">
        <w:rPr>
          <w:rFonts w:ascii="Arial" w:eastAsia="Calibri" w:hAnsi="Arial" w:cs="Arial"/>
          <w:bCs/>
          <w:sz w:val="22"/>
        </w:rPr>
        <w:t xml:space="preserve">015, </w:t>
      </w:r>
      <w:r w:rsidR="00BD6847" w:rsidRPr="00DD69FC">
        <w:rPr>
          <w:rFonts w:ascii="Arial" w:eastAsia="Calibri" w:hAnsi="Arial" w:cs="Arial"/>
          <w:bCs/>
          <w:sz w:val="22"/>
        </w:rPr>
        <w:t>C-</w:t>
      </w:r>
      <w:r w:rsidR="00035FA2" w:rsidRPr="00DD69FC">
        <w:rPr>
          <w:rFonts w:ascii="Arial" w:eastAsia="Calibri" w:hAnsi="Arial" w:cs="Arial"/>
          <w:bCs/>
          <w:sz w:val="22"/>
        </w:rPr>
        <w:t xml:space="preserve">016, </w:t>
      </w:r>
      <w:r w:rsidR="00BD6847" w:rsidRPr="00DD69FC">
        <w:rPr>
          <w:rFonts w:ascii="Arial" w:eastAsia="Calibri" w:hAnsi="Arial" w:cs="Arial"/>
          <w:bCs/>
          <w:sz w:val="22"/>
        </w:rPr>
        <w:t>C-</w:t>
      </w:r>
      <w:r w:rsidR="00035FA2" w:rsidRPr="00DD69FC">
        <w:rPr>
          <w:rFonts w:ascii="Arial" w:eastAsia="Calibri" w:hAnsi="Arial" w:cs="Arial"/>
          <w:bCs/>
          <w:sz w:val="22"/>
        </w:rPr>
        <w:t xml:space="preserve">026 del 4 de febrero de 2021, así como en los </w:t>
      </w:r>
      <w:r w:rsidR="00C96222" w:rsidRPr="00DD69FC">
        <w:rPr>
          <w:rFonts w:ascii="Arial" w:eastAsia="Calibri" w:hAnsi="Arial" w:cs="Arial"/>
          <w:bCs/>
          <w:sz w:val="22"/>
        </w:rPr>
        <w:t>c</w:t>
      </w:r>
      <w:r w:rsidR="00035FA2" w:rsidRPr="00DD69FC">
        <w:rPr>
          <w:rFonts w:ascii="Arial" w:eastAsia="Calibri" w:hAnsi="Arial" w:cs="Arial"/>
          <w:bCs/>
          <w:sz w:val="22"/>
        </w:rPr>
        <w:t>onceptos C-006 del 5 de febrero de 2021</w:t>
      </w:r>
      <w:r w:rsidR="00337B9F" w:rsidRPr="00DD69FC">
        <w:rPr>
          <w:rFonts w:ascii="Arial" w:eastAsia="Calibri" w:hAnsi="Arial" w:cs="Arial"/>
          <w:bCs/>
          <w:sz w:val="22"/>
        </w:rPr>
        <w:t xml:space="preserve">, </w:t>
      </w:r>
      <w:r w:rsidR="00035FA2" w:rsidRPr="00DD69FC">
        <w:rPr>
          <w:rFonts w:ascii="Arial" w:eastAsia="Calibri" w:hAnsi="Arial" w:cs="Arial"/>
          <w:bCs/>
          <w:sz w:val="22"/>
        </w:rPr>
        <w:t>C-043 del 9 de febrero de 2021,</w:t>
      </w:r>
      <w:r w:rsidR="00DB5580" w:rsidRPr="00DD69FC">
        <w:rPr>
          <w:rFonts w:ascii="Arial" w:eastAsia="Calibri" w:hAnsi="Arial" w:cs="Arial"/>
          <w:bCs/>
          <w:sz w:val="22"/>
        </w:rPr>
        <w:t xml:space="preserve"> C-081 y C-087 del 23 de febrero de 2021, </w:t>
      </w:r>
      <w:r w:rsidR="00337B9F" w:rsidRPr="00DD69FC">
        <w:rPr>
          <w:rFonts w:ascii="Arial" w:eastAsia="Calibri" w:hAnsi="Arial" w:cs="Arial"/>
          <w:bCs/>
          <w:sz w:val="22"/>
        </w:rPr>
        <w:t>C-044</w:t>
      </w:r>
      <w:r w:rsidR="00035FA2" w:rsidRPr="00DD69FC">
        <w:rPr>
          <w:rFonts w:ascii="Arial" w:eastAsia="Calibri" w:hAnsi="Arial" w:cs="Arial"/>
          <w:bCs/>
          <w:sz w:val="22"/>
        </w:rPr>
        <w:t xml:space="preserve"> </w:t>
      </w:r>
      <w:r w:rsidR="00337B9F" w:rsidRPr="00DD69FC">
        <w:rPr>
          <w:rFonts w:ascii="Arial" w:eastAsia="Calibri" w:hAnsi="Arial" w:cs="Arial"/>
          <w:bCs/>
          <w:sz w:val="22"/>
        </w:rPr>
        <w:t>del 3 de marzo de 2021</w:t>
      </w:r>
      <w:r w:rsidR="00600FC8" w:rsidRPr="00DD69FC">
        <w:rPr>
          <w:rFonts w:ascii="Arial" w:eastAsia="Calibri" w:hAnsi="Arial" w:cs="Arial"/>
          <w:bCs/>
          <w:sz w:val="22"/>
        </w:rPr>
        <w:t>,</w:t>
      </w:r>
      <w:r w:rsidR="00DB5580" w:rsidRPr="00DD69FC">
        <w:rPr>
          <w:rFonts w:ascii="Arial" w:eastAsia="Calibri" w:hAnsi="Arial" w:cs="Arial"/>
          <w:bCs/>
          <w:sz w:val="22"/>
        </w:rPr>
        <w:t xml:space="preserve"> </w:t>
      </w:r>
      <w:r w:rsidR="00337B9F" w:rsidRPr="00DD69FC">
        <w:rPr>
          <w:rFonts w:ascii="Arial" w:eastAsia="Calibri" w:hAnsi="Arial" w:cs="Arial"/>
          <w:bCs/>
          <w:sz w:val="22"/>
        </w:rPr>
        <w:t xml:space="preserve">C-056 del 10 de marzo de 2021, </w:t>
      </w:r>
      <w:r w:rsidR="007A64CF" w:rsidRPr="00DD69FC">
        <w:rPr>
          <w:rFonts w:ascii="Arial" w:eastAsia="Calibri" w:hAnsi="Arial" w:cs="Arial"/>
          <w:bCs/>
          <w:sz w:val="22"/>
        </w:rPr>
        <w:t>C-061 del 10</w:t>
      </w:r>
      <w:r w:rsidR="00600FC8" w:rsidRPr="00DD69FC">
        <w:rPr>
          <w:rFonts w:ascii="Arial" w:eastAsia="Calibri" w:hAnsi="Arial" w:cs="Arial"/>
          <w:bCs/>
          <w:sz w:val="22"/>
        </w:rPr>
        <w:t xml:space="preserve"> de marzo de </w:t>
      </w:r>
      <w:r w:rsidR="007A64CF" w:rsidRPr="00DD69FC">
        <w:rPr>
          <w:rFonts w:ascii="Arial" w:eastAsia="Calibri" w:hAnsi="Arial" w:cs="Arial"/>
          <w:bCs/>
          <w:sz w:val="22"/>
        </w:rPr>
        <w:t>2021, C-055 del 10</w:t>
      </w:r>
      <w:r w:rsidR="000068B7" w:rsidRPr="00DD69FC">
        <w:rPr>
          <w:rFonts w:ascii="Arial" w:eastAsia="Calibri" w:hAnsi="Arial" w:cs="Arial"/>
          <w:bCs/>
          <w:sz w:val="22"/>
        </w:rPr>
        <w:t xml:space="preserve"> de marzo de </w:t>
      </w:r>
      <w:r w:rsidR="007A64CF" w:rsidRPr="00DD69FC">
        <w:rPr>
          <w:rFonts w:ascii="Arial" w:eastAsia="Calibri" w:hAnsi="Arial" w:cs="Arial"/>
          <w:bCs/>
          <w:sz w:val="22"/>
        </w:rPr>
        <w:t>2021, C-058 del 11</w:t>
      </w:r>
      <w:r w:rsidR="000068B7" w:rsidRPr="00DD69FC">
        <w:rPr>
          <w:rFonts w:ascii="Arial" w:eastAsia="Calibri" w:hAnsi="Arial" w:cs="Arial"/>
          <w:bCs/>
          <w:sz w:val="22"/>
        </w:rPr>
        <w:t xml:space="preserve"> de marzo de </w:t>
      </w:r>
      <w:r w:rsidR="007A64CF" w:rsidRPr="00DD69FC">
        <w:rPr>
          <w:rFonts w:ascii="Arial" w:eastAsia="Calibri" w:hAnsi="Arial" w:cs="Arial"/>
          <w:bCs/>
          <w:sz w:val="22"/>
        </w:rPr>
        <w:t>2021, C-069 del 12</w:t>
      </w:r>
      <w:r w:rsidR="000068B7" w:rsidRPr="00DD69FC">
        <w:rPr>
          <w:rFonts w:ascii="Arial" w:eastAsia="Calibri" w:hAnsi="Arial" w:cs="Arial"/>
          <w:bCs/>
          <w:sz w:val="22"/>
        </w:rPr>
        <w:t xml:space="preserve"> de marzo de </w:t>
      </w:r>
      <w:r w:rsidR="007A64CF" w:rsidRPr="00DD69FC">
        <w:rPr>
          <w:rFonts w:ascii="Arial" w:eastAsia="Calibri" w:hAnsi="Arial" w:cs="Arial"/>
          <w:bCs/>
          <w:sz w:val="22"/>
        </w:rPr>
        <w:t>2021, C-102 del 25</w:t>
      </w:r>
      <w:r w:rsidR="00E00CAA" w:rsidRPr="00DD69FC">
        <w:rPr>
          <w:rFonts w:ascii="Arial" w:eastAsia="Calibri" w:hAnsi="Arial" w:cs="Arial"/>
          <w:bCs/>
          <w:sz w:val="22"/>
        </w:rPr>
        <w:t xml:space="preserve"> de marzo de 2021</w:t>
      </w:r>
      <w:r w:rsidR="007A64CF" w:rsidRPr="00DD69FC">
        <w:rPr>
          <w:rFonts w:ascii="Arial" w:eastAsia="Calibri" w:hAnsi="Arial" w:cs="Arial"/>
          <w:bCs/>
          <w:sz w:val="22"/>
        </w:rPr>
        <w:t>, C-136</w:t>
      </w:r>
      <w:r w:rsidR="00E00CAA" w:rsidRPr="00DD69FC">
        <w:rPr>
          <w:rFonts w:ascii="Arial" w:eastAsia="Calibri" w:hAnsi="Arial" w:cs="Arial"/>
          <w:bCs/>
          <w:sz w:val="22"/>
        </w:rPr>
        <w:t>, C-138</w:t>
      </w:r>
      <w:r w:rsidR="009365E9" w:rsidRPr="00DD69FC">
        <w:rPr>
          <w:rFonts w:ascii="Arial" w:eastAsia="Calibri" w:hAnsi="Arial" w:cs="Arial"/>
          <w:bCs/>
          <w:sz w:val="22"/>
        </w:rPr>
        <w:t xml:space="preserve"> y</w:t>
      </w:r>
      <w:r w:rsidR="00E00CAA" w:rsidRPr="00DD69FC">
        <w:rPr>
          <w:rFonts w:ascii="Arial" w:eastAsia="Calibri" w:hAnsi="Arial" w:cs="Arial"/>
          <w:bCs/>
          <w:sz w:val="22"/>
        </w:rPr>
        <w:t xml:space="preserve"> C-</w:t>
      </w:r>
      <w:r w:rsidR="009365E9" w:rsidRPr="00DD69FC">
        <w:rPr>
          <w:rFonts w:ascii="Arial" w:eastAsia="Calibri" w:hAnsi="Arial" w:cs="Arial"/>
          <w:bCs/>
          <w:sz w:val="22"/>
        </w:rPr>
        <w:t>139</w:t>
      </w:r>
      <w:r w:rsidR="007A64CF" w:rsidRPr="00DD69FC">
        <w:rPr>
          <w:rFonts w:ascii="Arial" w:eastAsia="Calibri" w:hAnsi="Arial" w:cs="Arial"/>
          <w:bCs/>
          <w:sz w:val="22"/>
        </w:rPr>
        <w:t xml:space="preserve"> del 7</w:t>
      </w:r>
      <w:r w:rsidR="00E00CAA" w:rsidRPr="00DD69FC">
        <w:rPr>
          <w:rFonts w:ascii="Arial" w:eastAsia="Calibri" w:hAnsi="Arial" w:cs="Arial"/>
          <w:bCs/>
          <w:sz w:val="22"/>
        </w:rPr>
        <w:t xml:space="preserve"> de abril de </w:t>
      </w:r>
      <w:r w:rsidR="007A64CF" w:rsidRPr="00DD69FC">
        <w:rPr>
          <w:rFonts w:ascii="Arial" w:eastAsia="Calibri" w:hAnsi="Arial" w:cs="Arial"/>
          <w:bCs/>
          <w:sz w:val="22"/>
        </w:rPr>
        <w:t>2021, C-141 del 08</w:t>
      </w:r>
      <w:r w:rsidR="009365E9" w:rsidRPr="00DD69FC">
        <w:rPr>
          <w:rFonts w:ascii="Arial" w:eastAsia="Calibri" w:hAnsi="Arial" w:cs="Arial"/>
          <w:bCs/>
          <w:sz w:val="22"/>
        </w:rPr>
        <w:t xml:space="preserve"> de abril de </w:t>
      </w:r>
      <w:r w:rsidR="007A64CF" w:rsidRPr="00DD69FC">
        <w:rPr>
          <w:rFonts w:ascii="Arial" w:eastAsia="Calibri" w:hAnsi="Arial" w:cs="Arial"/>
          <w:bCs/>
          <w:sz w:val="22"/>
        </w:rPr>
        <w:t>2021, C-162</w:t>
      </w:r>
      <w:r w:rsidR="009365E9" w:rsidRPr="00DD69FC">
        <w:rPr>
          <w:rFonts w:ascii="Arial" w:eastAsia="Calibri" w:hAnsi="Arial" w:cs="Arial"/>
          <w:bCs/>
          <w:sz w:val="22"/>
        </w:rPr>
        <w:t xml:space="preserve"> y C-165</w:t>
      </w:r>
      <w:r w:rsidR="007A64CF" w:rsidRPr="00DD69FC">
        <w:rPr>
          <w:rFonts w:ascii="Arial" w:eastAsia="Calibri" w:hAnsi="Arial" w:cs="Arial"/>
          <w:bCs/>
          <w:sz w:val="22"/>
        </w:rPr>
        <w:t xml:space="preserve"> de 13</w:t>
      </w:r>
      <w:r w:rsidR="009365E9" w:rsidRPr="00DD69FC">
        <w:rPr>
          <w:rFonts w:ascii="Arial" w:eastAsia="Calibri" w:hAnsi="Arial" w:cs="Arial"/>
          <w:bCs/>
          <w:sz w:val="22"/>
        </w:rPr>
        <w:t xml:space="preserve"> de abril de </w:t>
      </w:r>
      <w:r w:rsidR="007A64CF" w:rsidRPr="00DD69FC">
        <w:rPr>
          <w:rFonts w:ascii="Arial" w:eastAsia="Calibri" w:hAnsi="Arial" w:cs="Arial"/>
          <w:bCs/>
          <w:sz w:val="22"/>
        </w:rPr>
        <w:t>2021, C-164 del 19</w:t>
      </w:r>
      <w:r w:rsidR="005C2637" w:rsidRPr="00DD69FC">
        <w:rPr>
          <w:rFonts w:ascii="Arial" w:eastAsia="Calibri" w:hAnsi="Arial" w:cs="Arial"/>
          <w:bCs/>
          <w:sz w:val="22"/>
        </w:rPr>
        <w:t xml:space="preserve"> de abril de </w:t>
      </w:r>
      <w:r w:rsidR="007A64CF" w:rsidRPr="00DD69FC">
        <w:rPr>
          <w:rFonts w:ascii="Arial" w:eastAsia="Calibri" w:hAnsi="Arial" w:cs="Arial"/>
          <w:bCs/>
          <w:sz w:val="22"/>
        </w:rPr>
        <w:t>2021</w:t>
      </w:r>
      <w:r w:rsidR="00B76CE8" w:rsidRPr="00DD69FC">
        <w:rPr>
          <w:rFonts w:ascii="Arial" w:eastAsia="Calibri" w:hAnsi="Arial" w:cs="Arial"/>
          <w:bCs/>
          <w:sz w:val="22"/>
        </w:rPr>
        <w:t xml:space="preserve"> y</w:t>
      </w:r>
      <w:r w:rsidR="007A64CF" w:rsidRPr="00DD69FC">
        <w:rPr>
          <w:rFonts w:ascii="Arial" w:eastAsia="Calibri" w:hAnsi="Arial" w:cs="Arial"/>
          <w:bCs/>
          <w:sz w:val="22"/>
        </w:rPr>
        <w:t xml:space="preserve">  C-191 del 26</w:t>
      </w:r>
      <w:r w:rsidR="005C2637" w:rsidRPr="00DD69FC">
        <w:rPr>
          <w:rFonts w:ascii="Arial" w:eastAsia="Calibri" w:hAnsi="Arial" w:cs="Arial"/>
          <w:bCs/>
          <w:sz w:val="22"/>
        </w:rPr>
        <w:t xml:space="preserve"> de abril de </w:t>
      </w:r>
      <w:r w:rsidR="007A64CF" w:rsidRPr="00DD69FC">
        <w:rPr>
          <w:rFonts w:ascii="Arial" w:eastAsia="Calibri" w:hAnsi="Arial" w:cs="Arial"/>
          <w:bCs/>
          <w:sz w:val="22"/>
        </w:rPr>
        <w:t>2021</w:t>
      </w:r>
      <w:r w:rsidR="00B76CE8" w:rsidRPr="00DD69FC">
        <w:rPr>
          <w:rFonts w:ascii="Arial" w:eastAsia="Calibri" w:hAnsi="Arial" w:cs="Arial"/>
          <w:bCs/>
          <w:sz w:val="22"/>
        </w:rPr>
        <w:t xml:space="preserve"> </w:t>
      </w:r>
      <w:r w:rsidR="00035FA2" w:rsidRPr="00DD69FC">
        <w:rPr>
          <w:rFonts w:ascii="Arial" w:eastAsia="Calibri" w:hAnsi="Arial" w:cs="Arial"/>
          <w:bCs/>
          <w:sz w:val="22"/>
        </w:rPr>
        <w:t>se analizaron algunos aspectos sobre la aplicación de la Ley de Emprendimiento.</w:t>
      </w:r>
      <w:r w:rsidR="00F80411" w:rsidRPr="00DD69FC">
        <w:rPr>
          <w:rFonts w:ascii="Arial" w:eastAsia="Calibri" w:hAnsi="Arial" w:cs="Arial"/>
          <w:sz w:val="22"/>
          <w:szCs w:val="22"/>
          <w:lang w:val="es-ES_tradnl"/>
        </w:rPr>
        <w:t xml:space="preserve"> </w:t>
      </w:r>
      <w:r w:rsidR="00900530" w:rsidRPr="00DD69FC">
        <w:rPr>
          <w:rFonts w:ascii="Arial" w:eastAsia="Calibri" w:hAnsi="Arial" w:cs="Arial"/>
          <w:bCs/>
          <w:sz w:val="22"/>
        </w:rPr>
        <w:t>Por otro lado,</w:t>
      </w:r>
      <w:r w:rsidR="00DB5580" w:rsidRPr="00DD69FC">
        <w:rPr>
          <w:rFonts w:ascii="Arial" w:eastAsia="Calibri" w:hAnsi="Arial" w:cs="Arial"/>
          <w:bCs/>
          <w:sz w:val="22"/>
        </w:rPr>
        <w:t xml:space="preserve"> e</w:t>
      </w:r>
      <w:r w:rsidR="006B2D1C" w:rsidRPr="00DD69FC">
        <w:rPr>
          <w:rFonts w:ascii="Arial" w:eastAsia="Calibri" w:hAnsi="Arial" w:cs="Arial"/>
          <w:bCs/>
          <w:sz w:val="22"/>
        </w:rPr>
        <w:t>n</w:t>
      </w:r>
      <w:r w:rsidR="00900530" w:rsidRPr="00DD69FC">
        <w:rPr>
          <w:rFonts w:ascii="Arial" w:eastAsia="Calibri" w:hAnsi="Arial" w:cs="Arial"/>
          <w:bCs/>
          <w:sz w:val="22"/>
        </w:rPr>
        <w:t xml:space="preserve"> </w:t>
      </w:r>
      <w:r w:rsidR="006B2D1C" w:rsidRPr="00DD69FC">
        <w:rPr>
          <w:rFonts w:ascii="Arial" w:eastAsia="Calibri" w:hAnsi="Arial" w:cs="Arial"/>
          <w:bCs/>
          <w:sz w:val="22"/>
        </w:rPr>
        <w:t>los</w:t>
      </w:r>
      <w:r w:rsidR="00900530" w:rsidRPr="00DD69FC">
        <w:rPr>
          <w:rFonts w:ascii="Arial" w:eastAsia="Calibri" w:hAnsi="Arial" w:cs="Arial"/>
          <w:bCs/>
          <w:sz w:val="22"/>
        </w:rPr>
        <w:t xml:space="preserve"> </w:t>
      </w:r>
      <w:r w:rsidR="006B2D1C" w:rsidRPr="00DD69FC">
        <w:rPr>
          <w:rFonts w:ascii="Arial" w:eastAsia="Calibri" w:hAnsi="Arial" w:cs="Arial"/>
          <w:bCs/>
          <w:sz w:val="22"/>
        </w:rPr>
        <w:t>c</w:t>
      </w:r>
      <w:r w:rsidR="00900530" w:rsidRPr="00DD69FC">
        <w:rPr>
          <w:rFonts w:ascii="Arial" w:eastAsia="Calibri" w:hAnsi="Arial" w:cs="Arial"/>
          <w:bCs/>
          <w:sz w:val="22"/>
        </w:rPr>
        <w:t>oncepto</w:t>
      </w:r>
      <w:r w:rsidR="006B2D1C" w:rsidRPr="00DD69FC">
        <w:rPr>
          <w:rFonts w:ascii="Arial" w:eastAsia="Calibri" w:hAnsi="Arial" w:cs="Arial"/>
          <w:bCs/>
          <w:sz w:val="22"/>
        </w:rPr>
        <w:t>s</w:t>
      </w:r>
      <w:r w:rsidR="00900530" w:rsidRPr="00DD69FC">
        <w:rPr>
          <w:rFonts w:ascii="Arial" w:eastAsia="Calibri" w:hAnsi="Arial" w:cs="Arial"/>
          <w:bCs/>
          <w:sz w:val="22"/>
        </w:rPr>
        <w:t xml:space="preserve"> C-007 del 16 de febrero de 2021,</w:t>
      </w:r>
      <w:r w:rsidR="006B2D1C" w:rsidRPr="00DD69FC">
        <w:rPr>
          <w:rFonts w:ascii="Arial" w:eastAsia="Calibri" w:hAnsi="Arial" w:cs="Arial"/>
          <w:bCs/>
          <w:sz w:val="22"/>
        </w:rPr>
        <w:t xml:space="preserve"> C-101 del</w:t>
      </w:r>
      <w:r w:rsidR="00237B87" w:rsidRPr="00DD69FC">
        <w:rPr>
          <w:rFonts w:ascii="Arial" w:eastAsia="Calibri" w:hAnsi="Arial" w:cs="Arial"/>
          <w:bCs/>
          <w:sz w:val="22"/>
        </w:rPr>
        <w:t xml:space="preserve"> 24 de marzo de 2021</w:t>
      </w:r>
      <w:r w:rsidR="006B2D1C" w:rsidRPr="00DD69FC">
        <w:rPr>
          <w:rFonts w:ascii="Arial" w:eastAsia="Calibri" w:hAnsi="Arial" w:cs="Arial"/>
          <w:bCs/>
          <w:sz w:val="22"/>
        </w:rPr>
        <w:t xml:space="preserve"> y C-166 del 23 de abril de 2021</w:t>
      </w:r>
      <w:r w:rsidR="008247E8">
        <w:rPr>
          <w:rFonts w:ascii="Arial" w:eastAsia="Calibri" w:hAnsi="Arial" w:cs="Arial"/>
          <w:bCs/>
          <w:sz w:val="22"/>
        </w:rPr>
        <w:t>,</w:t>
      </w:r>
      <w:r w:rsidR="00900530" w:rsidRPr="00DD69FC">
        <w:rPr>
          <w:rFonts w:ascii="Arial" w:eastAsia="Calibri" w:hAnsi="Arial" w:cs="Arial"/>
          <w:bCs/>
          <w:sz w:val="22"/>
        </w:rPr>
        <w:t xml:space="preserve"> la Agencia se pronunció sobre la derogatoria producida por el artículo 35 de la Ley 2069 de 2020 sobre el factor de desempate previsto en los procesos de mínima cuantía. En lo pertinente, la tesis</w:t>
      </w:r>
      <w:r w:rsidR="00851E09" w:rsidRPr="00DD69FC">
        <w:rPr>
          <w:rFonts w:ascii="Arial" w:eastAsia="Calibri" w:hAnsi="Arial" w:cs="Arial"/>
          <w:bCs/>
          <w:sz w:val="22"/>
        </w:rPr>
        <w:t xml:space="preserve"> desarrollada en estos conceptos se reitera a continuación.</w:t>
      </w:r>
      <w:r w:rsidR="00900530" w:rsidRPr="00DD69FC">
        <w:rPr>
          <w:rFonts w:ascii="Arial" w:eastAsia="Calibri" w:hAnsi="Arial" w:cs="Arial"/>
          <w:bCs/>
          <w:sz w:val="22"/>
        </w:rPr>
        <w:t xml:space="preserve"> </w:t>
      </w:r>
    </w:p>
    <w:p w14:paraId="70BFC1A2" w14:textId="77777777" w:rsidR="00F80411" w:rsidRPr="00DD69FC" w:rsidRDefault="00F80411" w:rsidP="00F80411">
      <w:pPr>
        <w:spacing w:line="276" w:lineRule="auto"/>
        <w:jc w:val="both"/>
        <w:rPr>
          <w:rFonts w:ascii="Arial" w:eastAsia="Calibri" w:hAnsi="Arial" w:cs="Arial"/>
          <w:sz w:val="22"/>
          <w:szCs w:val="22"/>
          <w:lang w:val="es-ES_tradnl"/>
        </w:rPr>
      </w:pPr>
    </w:p>
    <w:p w14:paraId="07744DBB" w14:textId="77777777" w:rsidR="00F80411" w:rsidRPr="00DD69FC" w:rsidRDefault="00F80411" w:rsidP="00F80411">
      <w:pPr>
        <w:spacing w:line="276" w:lineRule="auto"/>
        <w:jc w:val="both"/>
        <w:rPr>
          <w:rFonts w:ascii="Arial" w:eastAsia="Calibri" w:hAnsi="Arial" w:cs="Arial"/>
          <w:b/>
          <w:bCs/>
          <w:sz w:val="22"/>
          <w:szCs w:val="22"/>
          <w:lang w:val="es-ES_tradnl"/>
        </w:rPr>
      </w:pPr>
      <w:r w:rsidRPr="00DD69FC">
        <w:rPr>
          <w:rFonts w:ascii="Arial" w:eastAsia="Calibri" w:hAnsi="Arial" w:cs="Arial"/>
          <w:b/>
          <w:bCs/>
          <w:sz w:val="22"/>
          <w:szCs w:val="22"/>
          <w:lang w:val="es-ES_tradnl"/>
        </w:rPr>
        <w:t>2.1. Factores de desempate en la contratación estatal: concepto y características</w:t>
      </w:r>
    </w:p>
    <w:p w14:paraId="13D6A560" w14:textId="77777777" w:rsidR="00F80411" w:rsidRPr="00DD69FC" w:rsidRDefault="00F80411" w:rsidP="00F80411">
      <w:pPr>
        <w:spacing w:line="276" w:lineRule="auto"/>
        <w:jc w:val="both"/>
        <w:rPr>
          <w:rFonts w:ascii="Arial" w:eastAsia="Calibri" w:hAnsi="Arial" w:cs="Arial"/>
          <w:sz w:val="22"/>
          <w:szCs w:val="22"/>
          <w:lang w:val="es-ES_tradnl"/>
        </w:rPr>
      </w:pPr>
    </w:p>
    <w:p w14:paraId="2C930E52" w14:textId="540B7A71" w:rsidR="00F80411" w:rsidRPr="00DD69FC" w:rsidRDefault="00F80411" w:rsidP="00F80411">
      <w:pPr>
        <w:spacing w:line="276" w:lineRule="auto"/>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r w:rsidR="00337B9F" w:rsidRPr="00DD69FC">
        <w:rPr>
          <w:rFonts w:ascii="Arial" w:eastAsia="Calibri" w:hAnsi="Arial" w:cs="Arial"/>
          <w:sz w:val="22"/>
          <w:szCs w:val="22"/>
          <w:lang w:val="es-ES_tradnl"/>
        </w:rPr>
        <w:t>equivalentes</w:t>
      </w:r>
      <w:r w:rsidRPr="00DD69FC">
        <w:rPr>
          <w:rFonts w:ascii="Arial" w:eastAsia="Calibri" w:hAnsi="Arial" w:cs="Arial"/>
          <w:sz w:val="22"/>
          <w:szCs w:val="22"/>
          <w:lang w:val="es-ES_tradnl"/>
        </w:rPr>
        <w:t xml:space="preserve"> tendrán en </w:t>
      </w:r>
      <w:r w:rsidRPr="00DD69FC">
        <w:rPr>
          <w:rFonts w:ascii="Arial" w:eastAsia="Calibri" w:hAnsi="Arial" w:cs="Arial"/>
          <w:sz w:val="22"/>
          <w:szCs w:val="22"/>
          <w:lang w:val="es-ES_tradnl"/>
        </w:rPr>
        <w:lastRenderedPageBreak/>
        <w:t>cuenta criterios como la experiencia y la capacidad jurídica, financiera y de organización, entre otros elementos que garanticen la escogencia de la mejor opción de negocio para la entidad estatal.</w:t>
      </w:r>
    </w:p>
    <w:p w14:paraId="20992D58" w14:textId="6ACF4930" w:rsidR="00F80411" w:rsidRPr="00DD69FC" w:rsidRDefault="00F80411" w:rsidP="00F80411">
      <w:pPr>
        <w:spacing w:before="120" w:line="276" w:lineRule="auto"/>
        <w:ind w:firstLine="709"/>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w:t>
      </w:r>
      <w:r w:rsidR="00D401D4" w:rsidRPr="00DD69FC">
        <w:rPr>
          <w:rFonts w:ascii="Arial" w:eastAsia="Calibri" w:hAnsi="Arial" w:cs="Arial"/>
          <w:sz w:val="22"/>
          <w:szCs w:val="22"/>
          <w:lang w:val="es-ES_tradnl"/>
        </w:rPr>
        <w:t>id</w:t>
      </w:r>
      <w:r w:rsidRPr="00DD69FC">
        <w:rPr>
          <w:rFonts w:ascii="Arial" w:eastAsia="Calibri" w:hAnsi="Arial" w:cs="Arial"/>
          <w:sz w:val="22"/>
          <w:szCs w:val="22"/>
          <w:lang w:val="es-ES_tradnl"/>
        </w:rPr>
        <w:t>ó</w:t>
      </w:r>
      <w:r w:rsidR="00D401D4" w:rsidRPr="00DD69FC">
        <w:rPr>
          <w:rFonts w:ascii="Arial" w:eastAsia="Calibri" w:hAnsi="Arial" w:cs="Arial"/>
          <w:sz w:val="22"/>
          <w:szCs w:val="22"/>
          <w:lang w:val="es-ES_tradnl"/>
        </w:rPr>
        <w:t>neo</w:t>
      </w:r>
      <w:r w:rsidRPr="00DD69FC">
        <w:rPr>
          <w:rFonts w:ascii="Arial" w:eastAsia="Calibri" w:hAnsi="Arial" w:cs="Arial"/>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2F6D3C5F" w14:textId="5DC822DC" w:rsidR="00F80411" w:rsidRPr="00DD69FC" w:rsidRDefault="00D401D4" w:rsidP="00F80411">
      <w:pPr>
        <w:spacing w:before="120" w:line="276" w:lineRule="auto"/>
        <w:ind w:firstLine="709"/>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Sin </w:t>
      </w:r>
      <w:r w:rsidR="00337B9F" w:rsidRPr="00DD69FC">
        <w:rPr>
          <w:rFonts w:ascii="Arial" w:eastAsia="Calibri" w:hAnsi="Arial" w:cs="Arial"/>
          <w:sz w:val="22"/>
          <w:szCs w:val="22"/>
          <w:lang w:val="es-ES_tradnl"/>
        </w:rPr>
        <w:t>embargo,</w:t>
      </w:r>
      <w:r w:rsidR="00F80411" w:rsidRPr="00DD69FC">
        <w:rPr>
          <w:rFonts w:ascii="Arial" w:eastAsia="Calibri" w:hAnsi="Arial" w:cs="Arial"/>
          <w:sz w:val="22"/>
          <w:szCs w:val="22"/>
          <w:lang w:val="es-ES_tradnl"/>
        </w:rPr>
        <w:t xml:space="preserve">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w:t>
      </w:r>
      <w:r w:rsidRPr="00DD69FC">
        <w:rPr>
          <w:rFonts w:ascii="Arial" w:eastAsia="Calibri" w:hAnsi="Arial" w:cs="Arial"/>
          <w:sz w:val="22"/>
          <w:szCs w:val="22"/>
          <w:lang w:val="es-ES_tradnl"/>
        </w:rPr>
        <w:t>, entre las que se cuenta</w:t>
      </w:r>
      <w:r w:rsidR="00F80411" w:rsidRPr="00DD69FC">
        <w:rPr>
          <w:rFonts w:ascii="Arial" w:eastAsia="Calibri" w:hAnsi="Arial" w:cs="Arial"/>
          <w:sz w:val="22"/>
          <w:szCs w:val="22"/>
          <w:lang w:val="es-ES_tradnl"/>
        </w:rPr>
        <w:t xml:space="preserve"> el artículo 35 de la Ley 2069 de 2020. La jurisprudencia comparte la idea de que los criterios de desempate deben estar establecidos de antemano y constituyen un límite a la discrecionalidad administrativa en los procedimientos de selección</w:t>
      </w:r>
      <w:r w:rsidR="00F80411" w:rsidRPr="00DD69FC">
        <w:rPr>
          <w:rStyle w:val="Refdenotaalpie"/>
          <w:rFonts w:ascii="Arial" w:hAnsi="Arial" w:cs="Arial"/>
          <w:sz w:val="21"/>
          <w:szCs w:val="21"/>
          <w:lang w:val="es-ES_tradnl"/>
        </w:rPr>
        <w:footnoteReference w:id="2"/>
      </w:r>
      <w:r w:rsidR="00F80411" w:rsidRPr="00DD69FC">
        <w:rPr>
          <w:rFonts w:ascii="Arial" w:eastAsia="Calibri" w:hAnsi="Arial" w:cs="Arial"/>
          <w:sz w:val="22"/>
          <w:szCs w:val="22"/>
          <w:lang w:val="es-ES_tradnl"/>
        </w:rPr>
        <w:t xml:space="preserve">. </w:t>
      </w:r>
    </w:p>
    <w:p w14:paraId="0CB1D338" w14:textId="29C17ED9" w:rsidR="00F80411" w:rsidRPr="00DD69FC" w:rsidRDefault="00F80411" w:rsidP="00F80411">
      <w:pPr>
        <w:spacing w:before="120" w:line="276" w:lineRule="auto"/>
        <w:ind w:firstLine="709"/>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En tal sentido, la Corte Constitucional explica que cuando la ley establece factores de desempate obligatorios, las entidades estatales no pueden </w:t>
      </w:r>
      <w:proofErr w:type="spellStart"/>
      <w:r w:rsidRPr="00DD69FC">
        <w:rPr>
          <w:rFonts w:ascii="Arial" w:eastAsia="Calibri" w:hAnsi="Arial" w:cs="Arial"/>
          <w:sz w:val="22"/>
          <w:szCs w:val="22"/>
          <w:lang w:val="es-ES_tradnl"/>
        </w:rPr>
        <w:t>inaplicarlos</w:t>
      </w:r>
      <w:proofErr w:type="spellEnd"/>
      <w:r w:rsidRPr="00DD69FC">
        <w:rPr>
          <w:rFonts w:ascii="Arial" w:eastAsia="Calibri" w:hAnsi="Arial" w:cs="Arial"/>
          <w:sz w:val="22"/>
          <w:szCs w:val="22"/>
          <w:lang w:val="es-ES_tradnl"/>
        </w:rPr>
        <w:t>, porque ello podría vulnerar el principio de igualdad, especialmente, cuando algunos de estos criterios surgen como acciones afirmativas para ciertos sectores de la población</w:t>
      </w:r>
      <w:r w:rsidRPr="00DD69FC">
        <w:rPr>
          <w:rStyle w:val="Refdenotaalpie"/>
          <w:rFonts w:ascii="Arial" w:eastAsia="Calibri" w:hAnsi="Arial" w:cs="Arial"/>
          <w:sz w:val="22"/>
          <w:szCs w:val="22"/>
          <w:lang w:val="es-ES_tradnl"/>
        </w:rPr>
        <w:footnoteReference w:id="3"/>
      </w:r>
      <w:r w:rsidRPr="00DD69FC">
        <w:rPr>
          <w:rFonts w:ascii="Arial" w:eastAsia="Calibri" w:hAnsi="Arial" w:cs="Arial"/>
          <w:sz w:val="22"/>
          <w:szCs w:val="22"/>
          <w:lang w:val="es-ES_tradnl"/>
        </w:rPr>
        <w:t xml:space="preserve">. </w:t>
      </w:r>
      <w:r w:rsidR="00D401D4" w:rsidRPr="00DD69FC">
        <w:rPr>
          <w:rFonts w:ascii="Arial" w:eastAsia="Calibri" w:hAnsi="Arial" w:cs="Arial"/>
          <w:sz w:val="22"/>
          <w:szCs w:val="22"/>
          <w:lang w:val="es-ES_tradnl"/>
        </w:rPr>
        <w:t>Más aún,</w:t>
      </w:r>
      <w:r w:rsidRPr="00DD69FC">
        <w:rPr>
          <w:rFonts w:ascii="Arial" w:eastAsia="Calibri" w:hAnsi="Arial" w:cs="Arial"/>
          <w:sz w:val="22"/>
          <w:szCs w:val="22"/>
          <w:lang w:val="es-ES_tradnl"/>
        </w:rPr>
        <w:t xml:space="preserve"> el Consejo de Estado</w:t>
      </w:r>
      <w:r w:rsidR="00D401D4" w:rsidRPr="00DD69FC">
        <w:rPr>
          <w:rFonts w:ascii="Arial" w:eastAsia="Calibri" w:hAnsi="Arial" w:cs="Arial"/>
          <w:sz w:val="22"/>
          <w:szCs w:val="22"/>
          <w:lang w:val="es-ES_tradnl"/>
        </w:rPr>
        <w:t xml:space="preserve"> ha sostenido que</w:t>
      </w:r>
      <w:r w:rsidRPr="00DD69FC">
        <w:rPr>
          <w:rFonts w:ascii="Arial" w:eastAsia="Calibri" w:hAnsi="Arial" w:cs="Arial"/>
          <w:sz w:val="22"/>
          <w:szCs w:val="22"/>
          <w:lang w:val="es-ES_tradnl"/>
        </w:rPr>
        <w:t xml:space="preserve"> ir en contra de los factores de desempate establecidos expresamente genera la nulidad del contrato, conforme al artículo 44, inciso 1º de la Ley 80 de 1993</w:t>
      </w:r>
      <w:r w:rsidRPr="00DD69FC">
        <w:rPr>
          <w:rStyle w:val="Refdenotaalpie"/>
          <w:rFonts w:ascii="Arial" w:eastAsia="Calibri" w:hAnsi="Arial" w:cs="Arial"/>
          <w:sz w:val="22"/>
          <w:szCs w:val="22"/>
          <w:lang w:val="es-ES_tradnl"/>
        </w:rPr>
        <w:footnoteReference w:id="4"/>
      </w:r>
      <w:r w:rsidRPr="00DD69FC">
        <w:rPr>
          <w:rFonts w:ascii="Arial" w:eastAsia="Calibri" w:hAnsi="Arial" w:cs="Arial"/>
          <w:sz w:val="22"/>
          <w:szCs w:val="22"/>
          <w:lang w:val="es-ES_tradnl"/>
        </w:rPr>
        <w:t>.</w:t>
      </w:r>
    </w:p>
    <w:p w14:paraId="2B61E66C" w14:textId="3F8BB8C8" w:rsidR="00454589" w:rsidRPr="00DD69FC" w:rsidRDefault="00F80411" w:rsidP="00307833">
      <w:pPr>
        <w:spacing w:before="120" w:line="276" w:lineRule="auto"/>
        <w:ind w:firstLine="709"/>
        <w:jc w:val="both"/>
        <w:rPr>
          <w:rFonts w:ascii="Arial" w:eastAsia="Calibri" w:hAnsi="Arial" w:cs="Arial"/>
          <w:sz w:val="22"/>
          <w:szCs w:val="22"/>
          <w:lang w:val="es-ES_tradnl"/>
        </w:rPr>
      </w:pPr>
      <w:r w:rsidRPr="00DD69FC">
        <w:rPr>
          <w:rFonts w:ascii="Arial" w:eastAsia="Calibri" w:hAnsi="Arial" w:cs="Arial"/>
          <w:sz w:val="22"/>
          <w:szCs w:val="22"/>
          <w:lang w:val="es-ES_tradnl"/>
        </w:rPr>
        <w:lastRenderedPageBreak/>
        <w:t xml:space="preserve">Ahora bien, en cumplimiento de los principios de reciprocidad y de </w:t>
      </w:r>
      <w:r w:rsidRPr="00DD69FC">
        <w:rPr>
          <w:rFonts w:ascii="Arial" w:eastAsia="Calibri" w:hAnsi="Arial" w:cs="Arial"/>
          <w:i/>
          <w:iCs/>
          <w:sz w:val="22"/>
          <w:szCs w:val="22"/>
          <w:lang w:val="es-ES_tradnl"/>
        </w:rPr>
        <w:t xml:space="preserve">pacta sunt </w:t>
      </w:r>
      <w:proofErr w:type="spellStart"/>
      <w:r w:rsidRPr="00DD69FC">
        <w:rPr>
          <w:rFonts w:ascii="Arial" w:eastAsia="Calibri" w:hAnsi="Arial" w:cs="Arial"/>
          <w:i/>
          <w:iCs/>
          <w:sz w:val="22"/>
          <w:szCs w:val="22"/>
          <w:lang w:val="es-ES_tradnl"/>
        </w:rPr>
        <w:t>servanda</w:t>
      </w:r>
      <w:proofErr w:type="spellEnd"/>
      <w:r w:rsidRPr="00DD69FC">
        <w:rPr>
          <w:rFonts w:ascii="Arial" w:eastAsia="Calibri" w:hAnsi="Arial" w:cs="Arial"/>
          <w:sz w:val="22"/>
          <w:szCs w:val="22"/>
          <w:lang w:val="es-ES_tradnl"/>
        </w:rPr>
        <w:t>, los factores de desempate que rigen la contratación estatal deben guardar armonía con los tratados comerciales internacionales suscritos por el Estado colombiano. Por tanto, las normas internas deben acoplarse a lo establecido en los acuerdos, pues estos prevalecen</w:t>
      </w:r>
      <w:r w:rsidR="00D401D4" w:rsidRPr="00DD69FC">
        <w:rPr>
          <w:rFonts w:ascii="Arial" w:eastAsia="Calibri" w:hAnsi="Arial" w:cs="Arial"/>
          <w:sz w:val="22"/>
          <w:szCs w:val="22"/>
          <w:lang w:val="es-ES_tradnl"/>
        </w:rPr>
        <w:t xml:space="preserve"> frente al orden interno</w:t>
      </w:r>
      <w:r w:rsidRPr="00DD69FC">
        <w:rPr>
          <w:rFonts w:ascii="Arial" w:eastAsia="Calibri" w:hAnsi="Arial" w:cs="Arial"/>
          <w:sz w:val="22"/>
          <w:szCs w:val="22"/>
          <w:lang w:val="es-ES_tradnl"/>
        </w:rPr>
        <w:t xml:space="preserve">. Así lo precisó la Agencia Nacional de Contratación Pública – Colombia Compra Eficiente en el numeral IV, literal C, del «Manual para el manejo de los incentivos en los procesos de contratación». </w:t>
      </w:r>
    </w:p>
    <w:p w14:paraId="413229A0" w14:textId="77777777" w:rsidR="00F80411" w:rsidRPr="00DD69FC" w:rsidRDefault="00F80411" w:rsidP="00F80411">
      <w:pPr>
        <w:spacing w:line="276" w:lineRule="auto"/>
        <w:rPr>
          <w:rFonts w:ascii="Arial" w:eastAsia="Calibri" w:hAnsi="Arial" w:cs="Arial"/>
          <w:sz w:val="22"/>
          <w:szCs w:val="22"/>
          <w:lang w:val="es-ES_tradnl"/>
        </w:rPr>
      </w:pPr>
    </w:p>
    <w:p w14:paraId="3C73AE66" w14:textId="77777777" w:rsidR="00F80411" w:rsidRPr="00DD69FC" w:rsidRDefault="00F80411" w:rsidP="00F80411">
      <w:pPr>
        <w:spacing w:line="276" w:lineRule="auto"/>
        <w:jc w:val="both"/>
        <w:rPr>
          <w:rFonts w:ascii="Arial" w:eastAsia="Calibri" w:hAnsi="Arial" w:cs="Arial"/>
          <w:b/>
          <w:bCs/>
          <w:sz w:val="22"/>
          <w:szCs w:val="22"/>
          <w:lang w:val="es-ES_tradnl"/>
        </w:rPr>
      </w:pPr>
      <w:r w:rsidRPr="00DD69FC">
        <w:rPr>
          <w:rFonts w:ascii="Arial" w:eastAsia="Calibri" w:hAnsi="Arial" w:cs="Arial"/>
          <w:b/>
          <w:bCs/>
          <w:sz w:val="22"/>
          <w:szCs w:val="22"/>
          <w:lang w:val="es-ES_tradnl"/>
        </w:rPr>
        <w:t>2.2. Vigencia y ámbito de aplicación de la Ley 2069 de 2020</w:t>
      </w:r>
    </w:p>
    <w:p w14:paraId="3CF65FA3" w14:textId="77777777" w:rsidR="00F80411" w:rsidRPr="00DD69FC" w:rsidRDefault="00F80411" w:rsidP="00F80411">
      <w:pPr>
        <w:spacing w:line="276" w:lineRule="auto"/>
        <w:jc w:val="both"/>
        <w:rPr>
          <w:rFonts w:ascii="Arial" w:eastAsia="Calibri" w:hAnsi="Arial" w:cs="Arial"/>
          <w:sz w:val="22"/>
          <w:szCs w:val="22"/>
          <w:lang w:val="es-ES_tradnl"/>
        </w:rPr>
      </w:pPr>
    </w:p>
    <w:p w14:paraId="52BFCF39" w14:textId="77777777" w:rsidR="00F80411" w:rsidRPr="00DD69FC" w:rsidRDefault="00F80411" w:rsidP="00F80411">
      <w:pPr>
        <w:spacing w:line="276" w:lineRule="auto"/>
        <w:jc w:val="both"/>
        <w:rPr>
          <w:rFonts w:ascii="Arial" w:eastAsia="Calibri" w:hAnsi="Arial" w:cs="Arial"/>
          <w:sz w:val="22"/>
          <w:szCs w:val="22"/>
          <w:lang w:val="es-ES_tradnl"/>
        </w:rPr>
      </w:pPr>
      <w:r w:rsidRPr="00DD69FC">
        <w:rPr>
          <w:rFonts w:ascii="Arial" w:eastAsia="Calibri" w:hAnsi="Arial" w:cs="Arial"/>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237DA3D6" w14:textId="7F2C0679" w:rsidR="00F80411" w:rsidRPr="00DD69FC" w:rsidRDefault="00F80411" w:rsidP="00F80411">
      <w:pPr>
        <w:spacing w:before="120" w:line="276" w:lineRule="auto"/>
        <w:ind w:firstLine="709"/>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DD69FC">
        <w:rPr>
          <w:rFonts w:ascii="Arial" w:eastAsia="Calibri" w:hAnsi="Arial" w:cs="Arial"/>
          <w:sz w:val="22"/>
          <w:szCs w:val="22"/>
          <w:lang w:val="es-ES_tradnl"/>
        </w:rPr>
        <w:t>de acuerdo a</w:t>
      </w:r>
      <w:proofErr w:type="gramEnd"/>
      <w:r w:rsidRPr="00DD69FC">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w:t>
      </w:r>
      <w:proofErr w:type="spellStart"/>
      <w:r w:rsidRPr="00DD69FC">
        <w:rPr>
          <w:rFonts w:ascii="Arial" w:eastAsia="Calibri" w:hAnsi="Arial" w:cs="Arial"/>
          <w:sz w:val="22"/>
          <w:szCs w:val="22"/>
          <w:lang w:val="es-ES_tradnl"/>
        </w:rPr>
        <w:t>mipymes</w:t>
      </w:r>
      <w:proofErr w:type="spellEnd"/>
      <w:r w:rsidRPr="00DD69FC">
        <w:rPr>
          <w:rFonts w:ascii="Arial" w:eastAsia="Calibri" w:hAnsi="Arial" w:cs="Arial"/>
          <w:sz w:val="22"/>
          <w:szCs w:val="22"/>
          <w:lang w:val="es-ES_tradnl"/>
        </w:rPr>
        <w:t>–, mediante la racionalización y simplificación de los trámites y tarifas</w:t>
      </w:r>
      <w:r w:rsidRPr="00DD69FC">
        <w:rPr>
          <w:rStyle w:val="Refdenotaalpie"/>
          <w:rFonts w:ascii="Arial" w:eastAsia="Calibri" w:hAnsi="Arial" w:cs="Arial"/>
          <w:sz w:val="22"/>
          <w:szCs w:val="22"/>
          <w:lang w:val="es-ES_tradnl"/>
        </w:rPr>
        <w:footnoteReference w:id="5"/>
      </w:r>
      <w:r w:rsidRPr="00DD69FC">
        <w:rPr>
          <w:rFonts w:ascii="Arial" w:eastAsia="Calibri" w:hAnsi="Arial" w:cs="Arial"/>
          <w:sz w:val="22"/>
          <w:szCs w:val="22"/>
          <w:lang w:val="es-ES_tradnl"/>
        </w:rPr>
        <w:t>, así como incentivos a favor de aquellas dentro del sistema de compras y contratación pública</w:t>
      </w:r>
      <w:r w:rsidRPr="00DD69FC">
        <w:rPr>
          <w:rStyle w:val="Refdenotaalpie"/>
          <w:rFonts w:ascii="Arial" w:eastAsia="Calibri" w:hAnsi="Arial" w:cs="Arial"/>
          <w:sz w:val="22"/>
          <w:szCs w:val="22"/>
          <w:lang w:val="es-ES_tradnl"/>
        </w:rPr>
        <w:footnoteReference w:id="6"/>
      </w:r>
      <w:r w:rsidRPr="00DD69FC">
        <w:rPr>
          <w:rFonts w:ascii="Arial" w:eastAsia="Calibri" w:hAnsi="Arial" w:cs="Arial"/>
          <w:sz w:val="22"/>
          <w:szCs w:val="22"/>
          <w:lang w:val="es-ES_tradnl"/>
        </w:rPr>
        <w:t xml:space="preserve">. </w:t>
      </w:r>
      <w:r w:rsidR="005B4371" w:rsidRPr="00DD69FC">
        <w:rPr>
          <w:rFonts w:ascii="Arial" w:eastAsia="Calibri" w:hAnsi="Arial" w:cs="Arial"/>
          <w:sz w:val="22"/>
          <w:szCs w:val="22"/>
          <w:lang w:val="es-ES_tradnl"/>
        </w:rPr>
        <w:t>De igual forma,</w:t>
      </w:r>
      <w:r w:rsidRPr="00DD69FC">
        <w:rPr>
          <w:rFonts w:ascii="Arial" w:eastAsia="Calibri" w:hAnsi="Arial" w:cs="Arial"/>
          <w:sz w:val="22"/>
          <w:szCs w:val="22"/>
          <w:lang w:val="es-ES_tradnl"/>
        </w:rPr>
        <w:t xml:space="preserve"> se consagran mecanismos de acceso al financiamiento</w:t>
      </w:r>
      <w:r w:rsidRPr="00DD69FC">
        <w:rPr>
          <w:rStyle w:val="Refdenotaalpie"/>
          <w:rFonts w:ascii="Arial" w:eastAsia="Calibri" w:hAnsi="Arial" w:cs="Arial"/>
          <w:sz w:val="22"/>
          <w:szCs w:val="22"/>
          <w:lang w:val="es-ES_tradnl"/>
        </w:rPr>
        <w:footnoteReference w:id="7"/>
      </w:r>
      <w:r w:rsidRPr="00DD69FC">
        <w:rPr>
          <w:rFonts w:ascii="Arial" w:eastAsia="Calibri" w:hAnsi="Arial" w:cs="Arial"/>
          <w:sz w:val="22"/>
          <w:szCs w:val="22"/>
          <w:lang w:val="es-ES_tradnl"/>
        </w:rPr>
        <w:t xml:space="preserve">, se unifican las fuentes de emprendimiento y de desarrollo empresarial, para fortalecer y promover los distintos </w:t>
      </w:r>
      <w:r w:rsidRPr="00DD69FC">
        <w:rPr>
          <w:rFonts w:ascii="Arial" w:eastAsia="Calibri" w:hAnsi="Arial" w:cs="Arial"/>
          <w:sz w:val="22"/>
          <w:szCs w:val="22"/>
          <w:lang w:val="es-ES_tradnl"/>
        </w:rPr>
        <w:lastRenderedPageBreak/>
        <w:t>sectores de la economía</w:t>
      </w:r>
      <w:r w:rsidRPr="00DD69FC">
        <w:rPr>
          <w:rStyle w:val="Refdenotaalpie"/>
          <w:rFonts w:ascii="Arial" w:eastAsia="Calibri" w:hAnsi="Arial" w:cs="Arial"/>
          <w:sz w:val="22"/>
          <w:szCs w:val="22"/>
          <w:lang w:val="es-ES_tradnl"/>
        </w:rPr>
        <w:footnoteReference w:id="8"/>
      </w:r>
      <w:r w:rsidRPr="00DD69FC">
        <w:rPr>
          <w:rFonts w:ascii="Arial" w:eastAsia="Calibri" w:hAnsi="Arial" w:cs="Arial"/>
          <w:sz w:val="22"/>
          <w:szCs w:val="22"/>
          <w:lang w:val="es-ES_tradnl"/>
        </w:rPr>
        <w:t xml:space="preserve"> y se prevén medidas de educación para el emprendimiento y la innovación</w:t>
      </w:r>
      <w:r w:rsidRPr="00DD69FC">
        <w:rPr>
          <w:rStyle w:val="Refdenotaalpie"/>
          <w:rFonts w:ascii="Arial" w:eastAsia="Calibri" w:hAnsi="Arial" w:cs="Arial"/>
          <w:sz w:val="22"/>
          <w:szCs w:val="22"/>
          <w:lang w:val="es-ES_tradnl"/>
        </w:rPr>
        <w:footnoteReference w:id="9"/>
      </w:r>
      <w:r w:rsidRPr="00DD69FC">
        <w:rPr>
          <w:rFonts w:ascii="Arial" w:eastAsia="Calibri" w:hAnsi="Arial" w:cs="Arial"/>
          <w:sz w:val="22"/>
          <w:szCs w:val="22"/>
          <w:lang w:val="es-ES_tradnl"/>
        </w:rPr>
        <w:t>.</w:t>
      </w:r>
    </w:p>
    <w:p w14:paraId="3F42E22F" w14:textId="60FC9BEA" w:rsidR="001B0F40" w:rsidRPr="00DD69FC" w:rsidRDefault="00F80411" w:rsidP="009B0101">
      <w:pPr>
        <w:spacing w:before="120" w:line="276" w:lineRule="auto"/>
        <w:ind w:firstLine="709"/>
        <w:jc w:val="both"/>
        <w:rPr>
          <w:rFonts w:ascii="Arial" w:eastAsia="Calibri" w:hAnsi="Arial" w:cs="Arial"/>
          <w:sz w:val="22"/>
          <w:szCs w:val="22"/>
          <w:lang w:val="es-ES_tradnl"/>
        </w:rPr>
      </w:pPr>
      <w:r w:rsidRPr="00DD69FC">
        <w:rPr>
          <w:rFonts w:ascii="Arial" w:eastAsia="Calibri" w:hAnsi="Arial" w:cs="Arial"/>
          <w:sz w:val="22"/>
          <w:szCs w:val="22"/>
          <w:lang w:val="es-ES_tradnl"/>
        </w:rPr>
        <w:t>Como se indicó, parte de la Ley 2069 contiene normas que modifican algunos aspectos de la contratación estatal para promover el emprendimiento</w:t>
      </w:r>
      <w:r w:rsidR="005B4371" w:rsidRPr="00DD69FC">
        <w:rPr>
          <w:rFonts w:ascii="Arial" w:eastAsia="Calibri" w:hAnsi="Arial" w:cs="Arial"/>
          <w:sz w:val="22"/>
          <w:szCs w:val="22"/>
          <w:lang w:val="es-ES_tradnl"/>
        </w:rPr>
        <w:t>, particularmente las contenidas</w:t>
      </w:r>
      <w:r w:rsidRPr="00DD69FC">
        <w:rPr>
          <w:rFonts w:ascii="Arial" w:eastAsia="Calibri" w:hAnsi="Arial" w:cs="Arial"/>
          <w:sz w:val="22"/>
          <w:szCs w:val="22"/>
          <w:lang w:val="es-ES_tradnl"/>
        </w:rPr>
        <w:t xml:space="preserve"> en el Capítulo III –artículos 30 al 36–. En su orden, tales artículos consagran: i) reglas sobre la participación de las </w:t>
      </w:r>
      <w:proofErr w:type="spellStart"/>
      <w:r w:rsidRPr="00DD69FC">
        <w:rPr>
          <w:rFonts w:ascii="Arial" w:eastAsia="Calibri" w:hAnsi="Arial" w:cs="Arial"/>
          <w:sz w:val="22"/>
          <w:szCs w:val="22"/>
          <w:lang w:val="es-ES_tradnl"/>
        </w:rPr>
        <w:t>mipymes</w:t>
      </w:r>
      <w:proofErr w:type="spellEnd"/>
      <w:r w:rsidRPr="00DD69FC">
        <w:rPr>
          <w:rFonts w:ascii="Arial" w:eastAsia="Calibri" w:hAnsi="Arial" w:cs="Arial"/>
          <w:sz w:val="22"/>
          <w:szCs w:val="22"/>
          <w:lang w:val="es-ES_tradnl"/>
        </w:rPr>
        <w:t xml:space="preserve"> en el procedimiento de mínima cuantía, </w:t>
      </w:r>
      <w:proofErr w:type="spellStart"/>
      <w:r w:rsidRPr="00DD69FC">
        <w:rPr>
          <w:rFonts w:ascii="Arial" w:eastAsia="Calibri" w:hAnsi="Arial" w:cs="Arial"/>
          <w:sz w:val="22"/>
          <w:szCs w:val="22"/>
          <w:lang w:val="es-ES_tradnl"/>
        </w:rPr>
        <w:t>ii</w:t>
      </w:r>
      <w:proofErr w:type="spellEnd"/>
      <w:r w:rsidRPr="00DD69FC">
        <w:rPr>
          <w:rFonts w:ascii="Arial" w:eastAsia="Calibri" w:hAnsi="Arial" w:cs="Arial"/>
          <w:sz w:val="22"/>
          <w:szCs w:val="22"/>
          <w:lang w:val="es-ES_tradnl"/>
        </w:rPr>
        <w:t xml:space="preserve">) criterios diferenciales para </w:t>
      </w:r>
      <w:proofErr w:type="spellStart"/>
      <w:r w:rsidRPr="00DD69FC">
        <w:rPr>
          <w:rFonts w:ascii="Arial" w:eastAsia="Calibri" w:hAnsi="Arial" w:cs="Arial"/>
          <w:sz w:val="22"/>
          <w:szCs w:val="22"/>
          <w:lang w:val="es-ES_tradnl"/>
        </w:rPr>
        <w:t>mipymes</w:t>
      </w:r>
      <w:proofErr w:type="spellEnd"/>
      <w:r w:rsidRPr="00DD69FC">
        <w:rPr>
          <w:rFonts w:ascii="Arial" w:eastAsia="Calibri" w:hAnsi="Arial" w:cs="Arial"/>
          <w:sz w:val="22"/>
          <w:szCs w:val="22"/>
          <w:lang w:val="es-ES_tradnl"/>
        </w:rPr>
        <w:t xml:space="preserve"> en el sistema de compras públicas, </w:t>
      </w:r>
      <w:proofErr w:type="spellStart"/>
      <w:r w:rsidRPr="00DD69FC">
        <w:rPr>
          <w:rFonts w:ascii="Arial" w:eastAsia="Calibri" w:hAnsi="Arial" w:cs="Arial"/>
          <w:sz w:val="22"/>
          <w:szCs w:val="22"/>
          <w:lang w:val="es-ES_tradnl"/>
        </w:rPr>
        <w:t>iii</w:t>
      </w:r>
      <w:proofErr w:type="spellEnd"/>
      <w:r w:rsidRPr="00DD69FC">
        <w:rPr>
          <w:rFonts w:ascii="Arial" w:eastAsia="Calibri" w:hAnsi="Arial" w:cs="Arial"/>
          <w:sz w:val="22"/>
          <w:szCs w:val="22"/>
          <w:lang w:val="es-ES_tradnl"/>
        </w:rPr>
        <w:t xml:space="preserve">) criterios diferenciales para emprendimientos y empresas de mujeres en el sistema de compras públicas, </w:t>
      </w:r>
      <w:proofErr w:type="spellStart"/>
      <w:r w:rsidRPr="00DD69FC">
        <w:rPr>
          <w:rFonts w:ascii="Arial" w:eastAsia="Calibri" w:hAnsi="Arial" w:cs="Arial"/>
          <w:sz w:val="22"/>
          <w:szCs w:val="22"/>
          <w:lang w:val="es-ES_tradnl"/>
        </w:rPr>
        <w:t>iv</w:t>
      </w:r>
      <w:proofErr w:type="spellEnd"/>
      <w:r w:rsidRPr="00DD69FC">
        <w:rPr>
          <w:rFonts w:ascii="Arial" w:eastAsia="Calibri" w:hAnsi="Arial" w:cs="Arial"/>
          <w:sz w:val="22"/>
          <w:szCs w:val="22"/>
          <w:lang w:val="es-ES_tradnl"/>
        </w:rPr>
        <w:t xml:space="preserve">) promoción del acceso de las </w:t>
      </w:r>
      <w:proofErr w:type="spellStart"/>
      <w:r w:rsidRPr="00DD69FC">
        <w:rPr>
          <w:rFonts w:ascii="Arial" w:eastAsia="Calibri" w:hAnsi="Arial" w:cs="Arial"/>
          <w:sz w:val="22"/>
          <w:szCs w:val="22"/>
          <w:lang w:val="es-ES_tradnl"/>
        </w:rPr>
        <w:t>mipymes</w:t>
      </w:r>
      <w:proofErr w:type="spellEnd"/>
      <w:r w:rsidRPr="00DD69FC">
        <w:rPr>
          <w:rFonts w:ascii="Arial" w:eastAsia="Calibri" w:hAnsi="Arial"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w:t>
      </w:r>
      <w:r w:rsidR="00FD18A2">
        <w:rPr>
          <w:rFonts w:ascii="Arial" w:eastAsia="Calibri" w:hAnsi="Arial" w:cs="Arial"/>
          <w:sz w:val="22"/>
          <w:szCs w:val="22"/>
          <w:lang w:val="es-ES_tradnl"/>
        </w:rPr>
        <w:t>l</w:t>
      </w:r>
      <w:r w:rsidRPr="00DD69FC">
        <w:rPr>
          <w:rFonts w:ascii="Arial" w:eastAsia="Calibri" w:hAnsi="Arial" w:cs="Arial"/>
          <w:sz w:val="22"/>
          <w:szCs w:val="22"/>
          <w:lang w:val="es-ES_tradnl"/>
        </w:rPr>
        <w:t xml:space="preserve">ey, a </w:t>
      </w:r>
      <w:proofErr w:type="gramStart"/>
      <w:r w:rsidRPr="00DD69FC">
        <w:rPr>
          <w:rFonts w:ascii="Arial" w:eastAsia="Calibri" w:hAnsi="Arial" w:cs="Arial"/>
          <w:sz w:val="22"/>
          <w:szCs w:val="22"/>
          <w:lang w:val="es-ES_tradnl"/>
        </w:rPr>
        <w:t>continuación</w:t>
      </w:r>
      <w:proofErr w:type="gramEnd"/>
      <w:r w:rsidRPr="00DD69FC">
        <w:rPr>
          <w:rFonts w:ascii="Arial" w:eastAsia="Calibri" w:hAnsi="Arial" w:cs="Arial"/>
          <w:sz w:val="22"/>
          <w:szCs w:val="22"/>
          <w:lang w:val="es-ES_tradnl"/>
        </w:rPr>
        <w:t xml:space="preserve"> se estudiará el contenido y alcance de dicha norma.  </w:t>
      </w:r>
    </w:p>
    <w:p w14:paraId="0F9968F1" w14:textId="77777777" w:rsidR="001B0F40" w:rsidRPr="00DD69FC" w:rsidRDefault="001B0F40" w:rsidP="00833ADA">
      <w:pPr>
        <w:spacing w:line="276" w:lineRule="auto"/>
        <w:jc w:val="both"/>
        <w:rPr>
          <w:rFonts w:ascii="Arial" w:eastAsia="Calibri" w:hAnsi="Arial" w:cs="Arial"/>
          <w:b/>
          <w:bCs/>
          <w:sz w:val="22"/>
          <w:szCs w:val="22"/>
          <w:lang w:val="es-ES_tradnl"/>
        </w:rPr>
      </w:pPr>
    </w:p>
    <w:p w14:paraId="2C2833A6" w14:textId="37CA57A2" w:rsidR="00833ADA" w:rsidRPr="00DD69FC" w:rsidRDefault="00523F41" w:rsidP="00833ADA">
      <w:pPr>
        <w:spacing w:line="276" w:lineRule="auto"/>
        <w:jc w:val="both"/>
        <w:rPr>
          <w:rFonts w:ascii="Arial" w:eastAsia="Calibri" w:hAnsi="Arial" w:cs="Arial"/>
          <w:b/>
          <w:bCs/>
          <w:sz w:val="22"/>
          <w:szCs w:val="22"/>
          <w:lang w:val="es-ES_tradnl"/>
        </w:rPr>
      </w:pPr>
      <w:r w:rsidRPr="00DD69FC">
        <w:rPr>
          <w:rFonts w:ascii="Arial" w:eastAsia="Calibri" w:hAnsi="Arial" w:cs="Arial"/>
          <w:b/>
          <w:bCs/>
          <w:sz w:val="22"/>
          <w:szCs w:val="22"/>
          <w:lang w:val="es-ES_tradnl"/>
        </w:rPr>
        <w:t>2.3.</w:t>
      </w:r>
      <w:r w:rsidR="00833ADA" w:rsidRPr="00DD69FC">
        <w:rPr>
          <w:rFonts w:ascii="Arial" w:eastAsia="Calibri" w:hAnsi="Arial" w:cs="Arial"/>
          <w:b/>
          <w:bCs/>
          <w:sz w:val="22"/>
          <w:szCs w:val="22"/>
          <w:lang w:val="es-ES_tradnl"/>
        </w:rPr>
        <w:t xml:space="preserve"> </w:t>
      </w:r>
      <w:r w:rsidR="000A43B0" w:rsidRPr="00DD69FC">
        <w:rPr>
          <w:rFonts w:ascii="Arial" w:eastAsia="Calibri" w:hAnsi="Arial" w:cs="Arial"/>
          <w:b/>
          <w:bCs/>
          <w:sz w:val="22"/>
          <w:szCs w:val="22"/>
          <w:lang w:val="es-ES_tradnl"/>
        </w:rPr>
        <w:t xml:space="preserve">Derogatoria producida por el artículo 35 de la Ley </w:t>
      </w:r>
      <w:r w:rsidR="006F0F34" w:rsidRPr="00DD69FC">
        <w:rPr>
          <w:rFonts w:ascii="Arial" w:eastAsia="Calibri" w:hAnsi="Arial" w:cs="Arial"/>
          <w:b/>
          <w:bCs/>
          <w:sz w:val="22"/>
          <w:szCs w:val="22"/>
          <w:lang w:val="es-ES_tradnl"/>
        </w:rPr>
        <w:t>2069</w:t>
      </w:r>
      <w:r w:rsidR="000A43B0" w:rsidRPr="00DD69FC">
        <w:rPr>
          <w:rFonts w:ascii="Arial" w:eastAsia="Calibri" w:hAnsi="Arial" w:cs="Arial"/>
          <w:b/>
          <w:bCs/>
          <w:sz w:val="22"/>
          <w:szCs w:val="22"/>
          <w:lang w:val="es-ES_tradnl"/>
        </w:rPr>
        <w:t xml:space="preserve"> de 2020 </w:t>
      </w:r>
      <w:r w:rsidR="00035FA2" w:rsidRPr="00DD69FC">
        <w:rPr>
          <w:rFonts w:ascii="Arial" w:eastAsia="Calibri" w:hAnsi="Arial" w:cs="Arial"/>
          <w:b/>
          <w:bCs/>
          <w:sz w:val="22"/>
          <w:szCs w:val="22"/>
          <w:lang w:val="es-ES_tradnl"/>
        </w:rPr>
        <w:t>a los factores de desempate del Decreto</w:t>
      </w:r>
      <w:r w:rsidR="000A43B0" w:rsidRPr="00DD69FC">
        <w:rPr>
          <w:rFonts w:ascii="Arial" w:eastAsia="Calibri" w:hAnsi="Arial" w:cs="Arial"/>
          <w:b/>
          <w:bCs/>
          <w:sz w:val="22"/>
          <w:szCs w:val="22"/>
          <w:lang w:val="es-ES_tradnl"/>
        </w:rPr>
        <w:t xml:space="preserve"> 1082 de 2015.</w:t>
      </w:r>
    </w:p>
    <w:p w14:paraId="39B77F09" w14:textId="77777777" w:rsidR="00FC6DB9" w:rsidRPr="00DD69FC" w:rsidRDefault="00FC6DB9" w:rsidP="00271230">
      <w:pPr>
        <w:spacing w:line="276" w:lineRule="auto"/>
        <w:jc w:val="both"/>
        <w:rPr>
          <w:rFonts w:ascii="Arial" w:eastAsia="Calibri" w:hAnsi="Arial" w:cs="Arial"/>
          <w:sz w:val="22"/>
          <w:szCs w:val="22"/>
          <w:lang w:val="es-ES_tradnl"/>
        </w:rPr>
      </w:pPr>
    </w:p>
    <w:p w14:paraId="5A4EC232" w14:textId="5740B62A" w:rsidR="008C6A49" w:rsidRPr="00DD69FC" w:rsidRDefault="008C6A49" w:rsidP="008C6A49">
      <w:pPr>
        <w:spacing w:line="276" w:lineRule="auto"/>
        <w:jc w:val="both"/>
        <w:rPr>
          <w:rFonts w:ascii="Arial" w:eastAsia="Calibri" w:hAnsi="Arial" w:cs="Arial"/>
          <w:sz w:val="22"/>
          <w:szCs w:val="22"/>
          <w:lang w:val="es-ES_tradnl"/>
        </w:rPr>
      </w:pPr>
      <w:r w:rsidRPr="00DD69FC">
        <w:rPr>
          <w:rFonts w:ascii="Arial" w:eastAsia="Calibri" w:hAnsi="Arial" w:cs="Arial"/>
          <w:sz w:val="22"/>
          <w:szCs w:val="22"/>
          <w:lang w:val="es-ES_tradnl"/>
        </w:rPr>
        <w:t>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w:t>
      </w:r>
      <w:r w:rsidR="005B4371" w:rsidRPr="00DD69FC">
        <w:rPr>
          <w:rFonts w:ascii="Arial" w:eastAsia="Calibri" w:hAnsi="Arial" w:cs="Arial"/>
          <w:sz w:val="22"/>
          <w:szCs w:val="22"/>
          <w:lang w:val="es-ES_tradnl"/>
        </w:rPr>
        <w:t>, l</w:t>
      </w:r>
      <w:r w:rsidRPr="00DD69FC">
        <w:rPr>
          <w:rFonts w:ascii="Arial" w:eastAsia="Calibri" w:hAnsi="Arial" w:cs="Arial"/>
          <w:sz w:val="22"/>
          <w:szCs w:val="22"/>
          <w:lang w:val="es-ES_tradnl"/>
        </w:rPr>
        <w:t xml:space="preserve">a </w:t>
      </w:r>
      <w:r w:rsidR="00D7536A" w:rsidRPr="00DD69FC">
        <w:rPr>
          <w:rFonts w:ascii="Arial" w:eastAsia="Calibri" w:hAnsi="Arial" w:cs="Arial"/>
          <w:sz w:val="22"/>
          <w:szCs w:val="22"/>
          <w:lang w:val="es-ES_tradnl"/>
        </w:rPr>
        <w:t>Agencia</w:t>
      </w:r>
      <w:r w:rsidRPr="00DD69FC">
        <w:rPr>
          <w:rFonts w:ascii="Arial" w:eastAsia="Calibri" w:hAnsi="Arial" w:cs="Arial"/>
          <w:sz w:val="22"/>
          <w:szCs w:val="22"/>
          <w:lang w:val="es-ES_tradnl"/>
        </w:rPr>
        <w:t xml:space="preserve"> se pronunciará sobre el alcance que otorga a tales disposiciones</w:t>
      </w:r>
      <w:r w:rsidR="005B4371" w:rsidRPr="00DD69FC">
        <w:rPr>
          <w:rFonts w:ascii="Arial" w:eastAsia="Calibri" w:hAnsi="Arial" w:cs="Arial"/>
          <w:sz w:val="22"/>
          <w:szCs w:val="22"/>
          <w:lang w:val="es-ES_tradnl"/>
        </w:rPr>
        <w:t>. Lo anterior,</w:t>
      </w:r>
      <w:r w:rsidRPr="00DD69FC">
        <w:rPr>
          <w:rFonts w:ascii="Arial" w:eastAsia="Calibri" w:hAnsi="Arial" w:cs="Arial"/>
          <w:sz w:val="22"/>
          <w:szCs w:val="22"/>
          <w:lang w:val="es-ES_tradnl"/>
        </w:rPr>
        <w:t xml:space="preserve"> sin pasar por alto la novedad de la Ley 2069 de 2020 –dada su reciente </w:t>
      </w:r>
      <w:proofErr w:type="gramStart"/>
      <w:r w:rsidRPr="00DD69FC">
        <w:rPr>
          <w:rFonts w:ascii="Arial" w:eastAsia="Calibri" w:hAnsi="Arial" w:cs="Arial"/>
          <w:sz w:val="22"/>
          <w:szCs w:val="22"/>
          <w:lang w:val="es-ES_tradnl"/>
        </w:rPr>
        <w:t>entrada en vigencia</w:t>
      </w:r>
      <w:proofErr w:type="gramEnd"/>
      <w:r w:rsidRPr="00DD69FC">
        <w:rPr>
          <w:rFonts w:ascii="Arial" w:eastAsia="Calibri" w:hAnsi="Arial" w:cs="Arial"/>
          <w:sz w:val="22"/>
          <w:szCs w:val="22"/>
          <w:lang w:val="es-ES_tradnl"/>
        </w:rPr>
        <w:t>– y la ausencia de pronunciamientos jurisprudenciales o estudios doctrinarios sobre el tema, que seguramente contribuirán a decantar la interpretación de las normas en comento.</w:t>
      </w:r>
    </w:p>
    <w:p w14:paraId="7041E5AE" w14:textId="0D5CCB0F" w:rsidR="00337296" w:rsidRPr="00DD69FC" w:rsidRDefault="00337296" w:rsidP="00337296">
      <w:pPr>
        <w:spacing w:before="120" w:line="276" w:lineRule="auto"/>
        <w:ind w:firstLine="709"/>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42911686" w14:textId="77777777" w:rsidR="008C6A49" w:rsidRPr="00DD69FC" w:rsidRDefault="008C6A49" w:rsidP="008C6A49">
      <w:pPr>
        <w:spacing w:before="120" w:line="276" w:lineRule="auto"/>
        <w:ind w:firstLine="709"/>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Por ejemplo, en lo que a las compras públicas se refiere, el parágrafo primero del artículo 30, que alude a la participación de </w:t>
      </w:r>
      <w:proofErr w:type="spellStart"/>
      <w:r w:rsidRPr="00DD69FC">
        <w:rPr>
          <w:rFonts w:ascii="Arial" w:eastAsia="Calibri" w:hAnsi="Arial" w:cs="Arial"/>
          <w:sz w:val="22"/>
          <w:szCs w:val="22"/>
          <w:lang w:val="es-ES_tradnl"/>
        </w:rPr>
        <w:t>mipymes</w:t>
      </w:r>
      <w:proofErr w:type="spellEnd"/>
      <w:r w:rsidRPr="00DD69FC">
        <w:rPr>
          <w:rFonts w:ascii="Arial" w:eastAsia="Calibri" w:hAnsi="Arial" w:cs="Arial"/>
          <w:sz w:val="22"/>
          <w:szCs w:val="22"/>
          <w:lang w:val="es-ES_tradnl"/>
        </w:rPr>
        <w:t xml:space="preserve"> en procedimientos de mínima cuantía, </w:t>
      </w:r>
      <w:r w:rsidRPr="00DD69FC">
        <w:rPr>
          <w:rFonts w:ascii="Arial" w:eastAsia="Calibri" w:hAnsi="Arial" w:cs="Arial"/>
          <w:sz w:val="22"/>
          <w:szCs w:val="22"/>
          <w:lang w:val="es-ES_tradnl"/>
        </w:rPr>
        <w:lastRenderedPageBreak/>
        <w:t xml:space="preserve">establece que «Las particularidades del procedimiento aquí previsto, así como la posibilidad que tengan las entidades de realizar estas adquisiciones a </w:t>
      </w:r>
      <w:proofErr w:type="spellStart"/>
      <w:r w:rsidRPr="00DD69FC">
        <w:rPr>
          <w:rFonts w:ascii="Arial" w:eastAsia="Calibri" w:hAnsi="Arial" w:cs="Arial"/>
          <w:sz w:val="22"/>
          <w:szCs w:val="22"/>
          <w:lang w:val="es-ES_tradnl"/>
        </w:rPr>
        <w:t>Mipymes</w:t>
      </w:r>
      <w:proofErr w:type="spellEnd"/>
      <w:r w:rsidRPr="00DD69FC">
        <w:rPr>
          <w:rFonts w:ascii="Arial" w:eastAsia="Calibri" w:hAnsi="Arial" w:cs="Arial"/>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5319FCED" w14:textId="77777777" w:rsidR="008C6A49" w:rsidRPr="00DD69FC" w:rsidRDefault="008C6A49" w:rsidP="008C6A49">
      <w:pPr>
        <w:spacing w:before="120" w:line="276" w:lineRule="auto"/>
        <w:ind w:firstLine="709"/>
        <w:jc w:val="both"/>
        <w:rPr>
          <w:rFonts w:ascii="Arial" w:eastAsia="Calibri" w:hAnsi="Arial" w:cs="Arial"/>
          <w:sz w:val="22"/>
          <w:szCs w:val="22"/>
          <w:lang w:val="es-ES_tradnl"/>
        </w:rPr>
      </w:pPr>
      <w:r w:rsidRPr="00DD69FC">
        <w:rPr>
          <w:rFonts w:ascii="Arial" w:eastAsia="Calibri" w:hAnsi="Arial" w:cs="Arial"/>
          <w:sz w:val="22"/>
          <w:szCs w:val="22"/>
          <w:lang w:val="es-ES_tradnl"/>
        </w:rPr>
        <w:t>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021F0A3C" w14:textId="77777777" w:rsidR="0047771F" w:rsidRPr="00DD69FC" w:rsidRDefault="0047771F" w:rsidP="0047771F">
      <w:pPr>
        <w:spacing w:before="120" w:line="276" w:lineRule="auto"/>
        <w:ind w:firstLine="708"/>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Lo mismo no sucede con el artículo 35. En efecto, </w:t>
      </w:r>
      <w:r w:rsidRPr="00DD69FC">
        <w:rPr>
          <w:rFonts w:ascii="Arial" w:hAnsi="Arial" w:cs="Arial"/>
          <w:sz w:val="22"/>
          <w:szCs w:val="22"/>
          <w:lang w:val="es-ES_tradnl"/>
        </w:rPr>
        <w:t>si bien los factores de desempate regulados en el artículo 35 deben aplicarse «</w:t>
      </w:r>
      <w:r w:rsidRPr="00DD69FC">
        <w:rPr>
          <w:rFonts w:ascii="Arial" w:hAnsi="Arial" w:cs="Arial"/>
          <w:lang w:val="es-ES_tradnl"/>
        </w:rPr>
        <w:t xml:space="preserve">[…] </w:t>
      </w:r>
      <w:r w:rsidRPr="00DD69FC">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DD69FC">
        <w:rPr>
          <w:rFonts w:ascii="Arial" w:eastAsia="Calibri" w:hAnsi="Arial" w:cs="Arial"/>
          <w:sz w:val="22"/>
          <w:szCs w:val="22"/>
          <w:lang w:val="es-ES_tradnl"/>
        </w:rPr>
        <w:t xml:space="preserve"> </w:t>
      </w:r>
    </w:p>
    <w:p w14:paraId="1F45085B" w14:textId="77777777" w:rsidR="008C6A49" w:rsidRPr="00DD69FC" w:rsidRDefault="008C6A49" w:rsidP="008C6A49">
      <w:pPr>
        <w:spacing w:before="120" w:line="276" w:lineRule="auto"/>
        <w:ind w:firstLine="709"/>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DD69FC">
        <w:rPr>
          <w:rFonts w:ascii="Arial" w:eastAsia="Calibri" w:hAnsi="Arial" w:cs="Arial"/>
          <w:i/>
          <w:iCs/>
          <w:sz w:val="22"/>
          <w:szCs w:val="22"/>
          <w:lang w:val="es-ES_tradnl"/>
        </w:rPr>
        <w:t>podrá reglamentar</w:t>
      </w:r>
      <w:r w:rsidRPr="00DD69FC">
        <w:rPr>
          <w:rFonts w:ascii="Arial" w:eastAsia="Calibri" w:hAnsi="Arial" w:cs="Arial"/>
          <w:sz w:val="22"/>
          <w:szCs w:val="22"/>
          <w:lang w:val="es-ES_tradnl"/>
        </w:rPr>
        <w:t xml:space="preserve"> la aplicación de factores de desempate en casos en que concurran dos o más de los factores aquí previstos» (Énfasis fuera de texto).</w:t>
      </w:r>
    </w:p>
    <w:p w14:paraId="365E5E9B" w14:textId="0AFFD78A" w:rsidR="008C6A49" w:rsidRPr="00DD69FC" w:rsidRDefault="008C6A49" w:rsidP="008C6A49">
      <w:pPr>
        <w:spacing w:before="120" w:line="276" w:lineRule="auto"/>
        <w:ind w:firstLine="709"/>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Como se observa se trata de una competencia que, en concordancia con el artículo 189.11 superior, el gobierno nacional puede ejercer discrecionalmente para la ejecución de las leyes. Por tanto, </w:t>
      </w:r>
      <w:r w:rsidR="00E65A79" w:rsidRPr="00DD69FC">
        <w:rPr>
          <w:rFonts w:ascii="Arial" w:eastAsia="Calibri" w:hAnsi="Arial" w:cs="Arial"/>
          <w:sz w:val="22"/>
          <w:szCs w:val="22"/>
          <w:lang w:val="es-ES_tradnl"/>
        </w:rPr>
        <w:t xml:space="preserve">sin perjuicio de que el Gobierno Nacional ejerza la potestad reglamentaria para regular los casos en que concurren dos o más de los factores de desempate, </w:t>
      </w:r>
      <w:r w:rsidRPr="00DD69FC">
        <w:rPr>
          <w:rFonts w:ascii="Arial" w:eastAsia="Calibri" w:hAnsi="Arial" w:cs="Arial"/>
          <w:sz w:val="22"/>
          <w:szCs w:val="22"/>
          <w:lang w:val="es-ES_tradnl"/>
        </w:rPr>
        <w:t xml:space="preserve">no es necesaria la existencia del reglamento como presupuesto necesario para aplicar el artículo 35 de la Ley 2069 de 2020. De este modo, se concluye que los factores </w:t>
      </w:r>
      <w:r w:rsidRPr="00DD69FC">
        <w:rPr>
          <w:rFonts w:ascii="Arial" w:eastAsia="Calibri" w:hAnsi="Arial" w:cs="Arial"/>
          <w:sz w:val="22"/>
          <w:szCs w:val="22"/>
          <w:lang w:val="es-ES_tradnl"/>
        </w:rPr>
        <w:lastRenderedPageBreak/>
        <w:t>de desempate del artículo citado son exigibles desde la fecha de su promulgación, es decir, deben tenerse en cuenta en los procesos de selección que se inicien después del 31 de diciembre de 2020.</w:t>
      </w:r>
    </w:p>
    <w:p w14:paraId="041BB6BB" w14:textId="79A3C805" w:rsidR="008E26D9" w:rsidRPr="00DD69FC" w:rsidRDefault="006A4F85" w:rsidP="00AC4AD2">
      <w:pPr>
        <w:spacing w:before="120" w:line="276" w:lineRule="auto"/>
        <w:ind w:firstLine="709"/>
        <w:jc w:val="both"/>
        <w:rPr>
          <w:rFonts w:ascii="Arial" w:hAnsi="Arial" w:cs="Arial"/>
          <w:sz w:val="22"/>
          <w:szCs w:val="22"/>
          <w:lang w:val="es-ES_tradnl"/>
        </w:rPr>
      </w:pPr>
      <w:r w:rsidRPr="00DD69FC">
        <w:rPr>
          <w:rFonts w:ascii="Arial" w:hAnsi="Arial" w:cs="Arial"/>
          <w:sz w:val="22"/>
          <w:szCs w:val="22"/>
          <w:lang w:val="es-ES_tradnl"/>
        </w:rPr>
        <w:t xml:space="preserve">Ahora bien, </w:t>
      </w:r>
      <w:r w:rsidR="00A46B4B" w:rsidRPr="00DD69FC">
        <w:rPr>
          <w:rFonts w:ascii="Arial" w:hAnsi="Arial" w:cs="Arial"/>
          <w:sz w:val="22"/>
          <w:szCs w:val="22"/>
          <w:lang w:val="es-ES_tradnl"/>
        </w:rPr>
        <w:t xml:space="preserve">hasta la promulgación de la Ley </w:t>
      </w:r>
      <w:r w:rsidR="006F0F34" w:rsidRPr="00DD69FC">
        <w:rPr>
          <w:rFonts w:ascii="Arial" w:hAnsi="Arial" w:cs="Arial"/>
          <w:sz w:val="22"/>
          <w:szCs w:val="22"/>
          <w:lang w:val="es-ES_tradnl"/>
        </w:rPr>
        <w:t>2069</w:t>
      </w:r>
      <w:r w:rsidR="00530059" w:rsidRPr="00DD69FC">
        <w:rPr>
          <w:rFonts w:ascii="Arial" w:hAnsi="Arial" w:cs="Arial"/>
          <w:sz w:val="22"/>
          <w:szCs w:val="22"/>
          <w:lang w:val="es-ES_tradnl"/>
        </w:rPr>
        <w:t xml:space="preserve"> de 2020</w:t>
      </w:r>
      <w:r w:rsidR="00D65861" w:rsidRPr="00DD69FC">
        <w:rPr>
          <w:rFonts w:ascii="Arial" w:hAnsi="Arial" w:cs="Arial"/>
          <w:sz w:val="22"/>
          <w:szCs w:val="22"/>
          <w:lang w:val="es-ES_tradnl"/>
        </w:rPr>
        <w:t>,</w:t>
      </w:r>
      <w:r w:rsidR="00530059" w:rsidRPr="00DD69FC">
        <w:rPr>
          <w:rFonts w:ascii="Arial" w:hAnsi="Arial" w:cs="Arial"/>
          <w:sz w:val="22"/>
          <w:szCs w:val="22"/>
          <w:lang w:val="es-ES_tradnl"/>
        </w:rPr>
        <w:t xml:space="preserve"> </w:t>
      </w:r>
      <w:r w:rsidRPr="00DD69FC">
        <w:rPr>
          <w:rFonts w:ascii="Arial" w:hAnsi="Arial" w:cs="Arial"/>
          <w:sz w:val="22"/>
          <w:szCs w:val="22"/>
          <w:lang w:val="es-ES_tradnl"/>
        </w:rPr>
        <w:t xml:space="preserve">el artículo </w:t>
      </w:r>
      <w:r w:rsidR="00A46B4B" w:rsidRPr="00DD69FC">
        <w:rPr>
          <w:rFonts w:ascii="Arial" w:hAnsi="Arial" w:cs="Arial"/>
          <w:sz w:val="22"/>
          <w:szCs w:val="22"/>
          <w:lang w:val="es-ES_tradnl"/>
        </w:rPr>
        <w:t xml:space="preserve">2.2.1.1.2.2.9. del Decreto 1082 de 2015 </w:t>
      </w:r>
      <w:r w:rsidR="001F10BD" w:rsidRPr="00DD69FC">
        <w:rPr>
          <w:rFonts w:ascii="Arial" w:hAnsi="Arial" w:cs="Arial"/>
          <w:sz w:val="22"/>
          <w:szCs w:val="22"/>
          <w:lang w:val="es-ES_tradnl"/>
        </w:rPr>
        <w:t>regulaba</w:t>
      </w:r>
      <w:r w:rsidR="00530059" w:rsidRPr="00DD69FC">
        <w:rPr>
          <w:rFonts w:ascii="Arial" w:hAnsi="Arial" w:cs="Arial"/>
          <w:sz w:val="22"/>
          <w:szCs w:val="22"/>
          <w:lang w:val="es-ES_tradnl"/>
        </w:rPr>
        <w:t xml:space="preserve"> los factores de desempate que debían aplicarse en los procesos de selección</w:t>
      </w:r>
      <w:r w:rsidR="00530059" w:rsidRPr="00DD69FC">
        <w:rPr>
          <w:rStyle w:val="Refdenotaalpie"/>
          <w:rFonts w:ascii="Arial" w:hAnsi="Arial" w:cs="Arial"/>
          <w:sz w:val="22"/>
          <w:szCs w:val="22"/>
          <w:lang w:val="es-ES_tradnl"/>
        </w:rPr>
        <w:footnoteReference w:id="10"/>
      </w:r>
      <w:r w:rsidR="00530059" w:rsidRPr="00DD69FC">
        <w:rPr>
          <w:rFonts w:ascii="Arial" w:hAnsi="Arial" w:cs="Arial"/>
          <w:sz w:val="22"/>
          <w:szCs w:val="22"/>
          <w:lang w:val="es-ES_tradnl"/>
        </w:rPr>
        <w:t>.</w:t>
      </w:r>
      <w:r w:rsidR="00D65861" w:rsidRPr="00DD69FC">
        <w:rPr>
          <w:rFonts w:ascii="Arial" w:hAnsi="Arial" w:cs="Arial"/>
          <w:sz w:val="22"/>
          <w:szCs w:val="22"/>
          <w:lang w:val="es-ES_tradnl"/>
        </w:rPr>
        <w:t xml:space="preserve"> En </w:t>
      </w:r>
      <w:r w:rsidR="00817661" w:rsidRPr="00DD69FC">
        <w:rPr>
          <w:rFonts w:ascii="Arial" w:hAnsi="Arial" w:cs="Arial"/>
          <w:sz w:val="22"/>
          <w:szCs w:val="22"/>
          <w:lang w:val="es-ES_tradnl"/>
        </w:rPr>
        <w:t xml:space="preserve">criterio de esta </w:t>
      </w:r>
      <w:r w:rsidR="009962B0" w:rsidRPr="00DD69FC">
        <w:rPr>
          <w:rFonts w:ascii="Arial" w:hAnsi="Arial" w:cs="Arial"/>
          <w:sz w:val="22"/>
          <w:szCs w:val="22"/>
          <w:lang w:val="es-ES_tradnl"/>
        </w:rPr>
        <w:t>Agencia</w:t>
      </w:r>
      <w:r w:rsidR="00817661" w:rsidRPr="00DD69FC">
        <w:rPr>
          <w:rFonts w:ascii="Arial" w:hAnsi="Arial" w:cs="Arial"/>
          <w:sz w:val="22"/>
          <w:szCs w:val="22"/>
          <w:lang w:val="es-ES_tradnl"/>
        </w:rPr>
        <w:t xml:space="preserve">, dicha norma debe entenderse derogada por el artículo 35 de la Ley </w:t>
      </w:r>
      <w:r w:rsidR="006F0F34" w:rsidRPr="00DD69FC">
        <w:rPr>
          <w:rFonts w:ascii="Arial" w:hAnsi="Arial" w:cs="Arial"/>
          <w:sz w:val="22"/>
          <w:szCs w:val="22"/>
          <w:lang w:val="es-ES_tradnl"/>
        </w:rPr>
        <w:t>2069</w:t>
      </w:r>
      <w:r w:rsidR="00817661" w:rsidRPr="00DD69FC">
        <w:rPr>
          <w:rFonts w:ascii="Arial" w:hAnsi="Arial" w:cs="Arial"/>
          <w:sz w:val="22"/>
          <w:szCs w:val="22"/>
          <w:lang w:val="es-ES_tradnl"/>
        </w:rPr>
        <w:t xml:space="preserve"> de 2020.</w:t>
      </w:r>
      <w:r w:rsidR="008D021B" w:rsidRPr="00DD69FC">
        <w:rPr>
          <w:rFonts w:ascii="Arial" w:hAnsi="Arial" w:cs="Arial"/>
          <w:sz w:val="22"/>
          <w:szCs w:val="22"/>
          <w:lang w:val="es-ES_tradnl"/>
        </w:rPr>
        <w:t xml:space="preserve"> Ello no solo porque el artículo </w:t>
      </w:r>
      <w:r w:rsidR="000B1057" w:rsidRPr="00DD69FC">
        <w:rPr>
          <w:rFonts w:ascii="Arial" w:hAnsi="Arial" w:cs="Arial"/>
          <w:sz w:val="22"/>
          <w:szCs w:val="22"/>
          <w:lang w:val="es-ES_tradnl"/>
        </w:rPr>
        <w:t xml:space="preserve">84 de esta Ley dice que «rige a partir del momento de su promulgación», es decir, desde el 31 de diciembre de 2020, sino además porque </w:t>
      </w:r>
      <w:r w:rsidR="00AE5899" w:rsidRPr="00DD69FC">
        <w:rPr>
          <w:rFonts w:ascii="Arial" w:hAnsi="Arial" w:cs="Arial"/>
          <w:sz w:val="22"/>
          <w:szCs w:val="22"/>
          <w:lang w:val="es-ES_tradnl"/>
        </w:rPr>
        <w:t xml:space="preserve">la misma disposición señala que </w:t>
      </w:r>
      <w:r w:rsidR="00EF07FB" w:rsidRPr="00DD69FC">
        <w:rPr>
          <w:rFonts w:ascii="Arial" w:hAnsi="Arial" w:cs="Arial"/>
          <w:sz w:val="22"/>
          <w:szCs w:val="22"/>
          <w:lang w:val="es-ES_tradnl"/>
        </w:rPr>
        <w:t xml:space="preserve">la Ley </w:t>
      </w:r>
      <w:r w:rsidR="006F0F34" w:rsidRPr="00DD69FC">
        <w:rPr>
          <w:rFonts w:ascii="Arial" w:hAnsi="Arial" w:cs="Arial"/>
          <w:sz w:val="22"/>
          <w:szCs w:val="22"/>
          <w:lang w:val="es-ES_tradnl"/>
        </w:rPr>
        <w:t>2069</w:t>
      </w:r>
      <w:r w:rsidR="00EF07FB" w:rsidRPr="00DD69FC">
        <w:rPr>
          <w:rFonts w:ascii="Arial" w:hAnsi="Arial" w:cs="Arial"/>
          <w:sz w:val="22"/>
          <w:szCs w:val="22"/>
          <w:lang w:val="es-ES_tradnl"/>
        </w:rPr>
        <w:t xml:space="preserve"> de 2020 deroga «[…] todas las disposiciones que le sean contrarias». Se presenta una antinomia o contradicción normativa cuando dos o más disposiciones normativas regulan en sentido diferente un tema.</w:t>
      </w:r>
      <w:r w:rsidR="00583E07" w:rsidRPr="00DD69FC">
        <w:rPr>
          <w:rFonts w:ascii="Arial" w:hAnsi="Arial" w:cs="Arial"/>
          <w:sz w:val="22"/>
          <w:szCs w:val="22"/>
          <w:lang w:val="es-ES_tradnl"/>
        </w:rPr>
        <w:t xml:space="preserve"> Bajo esta consideración, como el artículo 35 de la Ley </w:t>
      </w:r>
      <w:r w:rsidR="006F0F34" w:rsidRPr="00DD69FC">
        <w:rPr>
          <w:rFonts w:ascii="Arial" w:hAnsi="Arial" w:cs="Arial"/>
          <w:sz w:val="22"/>
          <w:szCs w:val="22"/>
          <w:lang w:val="es-ES_tradnl"/>
        </w:rPr>
        <w:t>2069</w:t>
      </w:r>
      <w:r w:rsidR="00583E07" w:rsidRPr="00DD69FC">
        <w:rPr>
          <w:rFonts w:ascii="Arial" w:hAnsi="Arial" w:cs="Arial"/>
          <w:sz w:val="22"/>
          <w:szCs w:val="22"/>
          <w:lang w:val="es-ES_tradnl"/>
        </w:rPr>
        <w:t xml:space="preserve"> de 2020 regula en forma distinta</w:t>
      </w:r>
      <w:r w:rsidR="00AB24F8" w:rsidRPr="00DD69FC">
        <w:rPr>
          <w:rFonts w:ascii="Arial" w:hAnsi="Arial" w:cs="Arial"/>
          <w:sz w:val="22"/>
          <w:szCs w:val="22"/>
          <w:lang w:val="es-ES_tradnl"/>
        </w:rPr>
        <w:t xml:space="preserve"> a como lo hacía el artículo 2.2.1.1.2.2.9. del Decreto 1082 de 2015 </w:t>
      </w:r>
      <w:r w:rsidR="00397C34" w:rsidRPr="00DD69FC">
        <w:rPr>
          <w:rFonts w:ascii="Arial" w:hAnsi="Arial" w:cs="Arial"/>
          <w:sz w:val="22"/>
          <w:szCs w:val="22"/>
          <w:lang w:val="es-ES_tradnl"/>
        </w:rPr>
        <w:t>la aplicación de los factores de desempate,</w:t>
      </w:r>
      <w:r w:rsidR="00AB24F8" w:rsidRPr="00DD69FC">
        <w:rPr>
          <w:rFonts w:ascii="Arial" w:hAnsi="Arial" w:cs="Arial"/>
          <w:sz w:val="22"/>
          <w:szCs w:val="22"/>
          <w:lang w:val="es-ES_tradnl"/>
        </w:rPr>
        <w:t xml:space="preserve"> </w:t>
      </w:r>
      <w:r w:rsidR="0018007F" w:rsidRPr="00DD69FC">
        <w:rPr>
          <w:rFonts w:ascii="Arial" w:hAnsi="Arial" w:cs="Arial"/>
          <w:sz w:val="22"/>
          <w:szCs w:val="22"/>
          <w:lang w:val="es-ES_tradnl"/>
        </w:rPr>
        <w:t xml:space="preserve">este último </w:t>
      </w:r>
      <w:r w:rsidR="00AB24F8" w:rsidRPr="00DD69FC">
        <w:rPr>
          <w:rFonts w:ascii="Arial" w:hAnsi="Arial" w:cs="Arial"/>
          <w:sz w:val="22"/>
          <w:szCs w:val="22"/>
          <w:lang w:val="es-ES_tradnl"/>
        </w:rPr>
        <w:t xml:space="preserve">debe entenderse derogado. </w:t>
      </w:r>
    </w:p>
    <w:p w14:paraId="06AA9677" w14:textId="77777777" w:rsidR="006C572F" w:rsidRPr="00DD69FC" w:rsidRDefault="00AB24F8" w:rsidP="00AC4AD2">
      <w:pPr>
        <w:spacing w:before="120" w:line="276" w:lineRule="auto"/>
        <w:ind w:firstLine="709"/>
        <w:jc w:val="both"/>
        <w:rPr>
          <w:rFonts w:ascii="Arial" w:hAnsi="Arial" w:cs="Arial"/>
          <w:sz w:val="22"/>
          <w:szCs w:val="22"/>
          <w:lang w:val="es-ES_tradnl"/>
        </w:rPr>
      </w:pPr>
      <w:r w:rsidRPr="00DD69FC">
        <w:rPr>
          <w:rFonts w:ascii="Arial" w:hAnsi="Arial" w:cs="Arial"/>
          <w:sz w:val="22"/>
          <w:szCs w:val="22"/>
          <w:lang w:val="es-ES_tradnl"/>
        </w:rPr>
        <w:t xml:space="preserve">Un argumento adicional para sostener esta tesis tiene que ver con el fenómeno de la pérdida de fuerza ejecutoria –o decaimiento– de los actos administrativos, regulado en el numeral </w:t>
      </w:r>
      <w:r w:rsidR="00A639A9" w:rsidRPr="00DD69FC">
        <w:rPr>
          <w:rFonts w:ascii="Arial" w:hAnsi="Arial" w:cs="Arial"/>
          <w:sz w:val="22"/>
          <w:szCs w:val="22"/>
          <w:lang w:val="es-ES_tradnl"/>
        </w:rPr>
        <w:t>2 del artículo 91 de la Ley 1437 de 2011.</w:t>
      </w:r>
      <w:r w:rsidR="005907D4" w:rsidRPr="00DD69FC">
        <w:rPr>
          <w:rFonts w:ascii="Arial" w:hAnsi="Arial" w:cs="Arial"/>
          <w:sz w:val="22"/>
          <w:szCs w:val="22"/>
          <w:lang w:val="es-ES_tradnl"/>
        </w:rPr>
        <w:t xml:space="preserve"> </w:t>
      </w:r>
      <w:r w:rsidR="00A639A9" w:rsidRPr="00DD69FC">
        <w:rPr>
          <w:rFonts w:ascii="Arial" w:hAnsi="Arial" w:cs="Arial"/>
          <w:sz w:val="22"/>
          <w:szCs w:val="22"/>
          <w:lang w:val="es-ES_tradnl"/>
        </w:rPr>
        <w:t xml:space="preserve">Esta norma señala que los actos </w:t>
      </w:r>
      <w:r w:rsidR="00A639A9" w:rsidRPr="00DD69FC">
        <w:rPr>
          <w:rFonts w:ascii="Arial" w:hAnsi="Arial" w:cs="Arial"/>
          <w:sz w:val="22"/>
          <w:szCs w:val="22"/>
          <w:lang w:val="es-ES_tradnl"/>
        </w:rPr>
        <w:lastRenderedPageBreak/>
        <w:t xml:space="preserve">administrativos pierden fuerza ejecutoria </w:t>
      </w:r>
      <w:r w:rsidR="0064194F" w:rsidRPr="00DD69FC">
        <w:rPr>
          <w:rFonts w:ascii="Arial" w:hAnsi="Arial" w:cs="Arial"/>
          <w:sz w:val="22"/>
          <w:szCs w:val="22"/>
          <w:lang w:val="es-ES_tradnl"/>
        </w:rPr>
        <w:t xml:space="preserve">«Cuando desaparezcan sus fundamentos de hecho o de derecho». </w:t>
      </w:r>
      <w:bookmarkStart w:id="4" w:name="_Hlk62546732"/>
      <w:r w:rsidR="0064194F" w:rsidRPr="00DD69FC">
        <w:rPr>
          <w:rFonts w:ascii="Arial" w:hAnsi="Arial" w:cs="Arial"/>
          <w:sz w:val="22"/>
          <w:szCs w:val="22"/>
          <w:lang w:val="es-ES_tradnl"/>
        </w:rPr>
        <w:t xml:space="preserve">Dado que el Decreto 1082 de 2015 es un reglamento </w:t>
      </w:r>
      <w:proofErr w:type="spellStart"/>
      <w:r w:rsidR="0064194F" w:rsidRPr="00DD69FC">
        <w:rPr>
          <w:rFonts w:ascii="Arial" w:hAnsi="Arial" w:cs="Arial"/>
          <w:i/>
          <w:iCs/>
          <w:sz w:val="22"/>
          <w:szCs w:val="22"/>
          <w:lang w:val="es-ES_tradnl"/>
        </w:rPr>
        <w:t>secundum</w:t>
      </w:r>
      <w:proofErr w:type="spellEnd"/>
      <w:r w:rsidR="0064194F" w:rsidRPr="00DD69FC">
        <w:rPr>
          <w:rFonts w:ascii="Arial" w:hAnsi="Arial" w:cs="Arial"/>
          <w:i/>
          <w:iCs/>
          <w:sz w:val="22"/>
          <w:szCs w:val="22"/>
          <w:lang w:val="es-ES_tradnl"/>
        </w:rPr>
        <w:t xml:space="preserve"> </w:t>
      </w:r>
      <w:proofErr w:type="spellStart"/>
      <w:r w:rsidR="0064194F" w:rsidRPr="00DD69FC">
        <w:rPr>
          <w:rFonts w:ascii="Arial" w:hAnsi="Arial" w:cs="Arial"/>
          <w:i/>
          <w:iCs/>
          <w:sz w:val="22"/>
          <w:szCs w:val="22"/>
          <w:lang w:val="es-ES_tradnl"/>
        </w:rPr>
        <w:t>legem</w:t>
      </w:r>
      <w:proofErr w:type="spellEnd"/>
      <w:r w:rsidR="0064194F" w:rsidRPr="00DD69FC">
        <w:rPr>
          <w:rFonts w:ascii="Arial" w:hAnsi="Arial" w:cs="Arial"/>
          <w:sz w:val="22"/>
          <w:szCs w:val="22"/>
          <w:lang w:val="es-ES_tradnl"/>
        </w:rPr>
        <w:t xml:space="preserve"> </w:t>
      </w:r>
      <w:r w:rsidR="00E305A8" w:rsidRPr="00DD69FC">
        <w:rPr>
          <w:rFonts w:ascii="Arial" w:hAnsi="Arial" w:cs="Arial"/>
          <w:sz w:val="22"/>
          <w:szCs w:val="22"/>
          <w:lang w:val="es-ES_tradnl"/>
        </w:rPr>
        <w:t xml:space="preserve">–es decir, que desarrolla </w:t>
      </w:r>
      <w:r w:rsidR="00F44120" w:rsidRPr="00DD69FC">
        <w:rPr>
          <w:rFonts w:ascii="Arial" w:hAnsi="Arial" w:cs="Arial"/>
          <w:sz w:val="22"/>
          <w:szCs w:val="22"/>
          <w:lang w:val="es-ES_tradnl"/>
        </w:rPr>
        <w:t>una norma de mayor jerarquía</w:t>
      </w:r>
      <w:r w:rsidR="00E305A8" w:rsidRPr="00DD69FC">
        <w:rPr>
          <w:rFonts w:ascii="Arial" w:hAnsi="Arial" w:cs="Arial"/>
          <w:sz w:val="22"/>
          <w:szCs w:val="22"/>
          <w:lang w:val="es-ES_tradnl"/>
        </w:rPr>
        <w:t>–</w:t>
      </w:r>
      <w:r w:rsidR="004B6EF5" w:rsidRPr="00DD69FC">
        <w:rPr>
          <w:rFonts w:ascii="Arial" w:hAnsi="Arial" w:cs="Arial"/>
          <w:sz w:val="22"/>
          <w:szCs w:val="22"/>
          <w:lang w:val="es-ES_tradnl"/>
        </w:rPr>
        <w:t>, la expedición de una ley</w:t>
      </w:r>
      <w:r w:rsidR="008E26D9" w:rsidRPr="00DD69FC">
        <w:rPr>
          <w:rFonts w:ascii="Arial" w:hAnsi="Arial" w:cs="Arial"/>
          <w:sz w:val="22"/>
          <w:szCs w:val="22"/>
          <w:lang w:val="es-ES_tradnl"/>
        </w:rPr>
        <w:t xml:space="preserve"> en sentido formal</w:t>
      </w:r>
      <w:r w:rsidR="00C03664" w:rsidRPr="00DD69FC">
        <w:rPr>
          <w:rFonts w:ascii="Arial" w:hAnsi="Arial" w:cs="Arial"/>
          <w:sz w:val="22"/>
          <w:szCs w:val="22"/>
          <w:lang w:val="es-ES_tradnl"/>
        </w:rPr>
        <w:t xml:space="preserve"> –</w:t>
      </w:r>
      <w:r w:rsidR="008E26D9" w:rsidRPr="00DD69FC">
        <w:rPr>
          <w:rFonts w:ascii="Arial" w:hAnsi="Arial" w:cs="Arial"/>
          <w:sz w:val="22"/>
          <w:szCs w:val="22"/>
          <w:lang w:val="es-ES_tradnl"/>
        </w:rPr>
        <w:t xml:space="preserve">es decir, </w:t>
      </w:r>
      <w:r w:rsidR="00F44120" w:rsidRPr="00DD69FC">
        <w:rPr>
          <w:rFonts w:ascii="Arial" w:hAnsi="Arial" w:cs="Arial"/>
          <w:sz w:val="22"/>
          <w:szCs w:val="22"/>
          <w:lang w:val="es-ES_tradnl"/>
        </w:rPr>
        <w:t>una fuente que condiciona el contenido de este último</w:t>
      </w:r>
      <w:r w:rsidR="00C03664" w:rsidRPr="00DD69FC">
        <w:rPr>
          <w:rFonts w:ascii="Arial" w:hAnsi="Arial" w:cs="Arial"/>
          <w:sz w:val="22"/>
          <w:szCs w:val="22"/>
          <w:lang w:val="es-ES_tradnl"/>
        </w:rPr>
        <w:t>–</w:t>
      </w:r>
      <w:r w:rsidR="008E26D9" w:rsidRPr="00DD69FC">
        <w:rPr>
          <w:rFonts w:ascii="Arial" w:hAnsi="Arial" w:cs="Arial"/>
          <w:sz w:val="22"/>
          <w:szCs w:val="22"/>
          <w:lang w:val="es-ES_tradnl"/>
        </w:rPr>
        <w:t>, hace que la disposición reglamentaria decaiga</w:t>
      </w:r>
      <w:bookmarkEnd w:id="4"/>
      <w:r w:rsidR="008E26D9" w:rsidRPr="00DD69FC">
        <w:rPr>
          <w:rFonts w:ascii="Arial" w:hAnsi="Arial" w:cs="Arial"/>
          <w:sz w:val="22"/>
          <w:szCs w:val="22"/>
          <w:lang w:val="es-ES_tradnl"/>
        </w:rPr>
        <w:t xml:space="preserve">. </w:t>
      </w:r>
      <w:r w:rsidR="00397C34" w:rsidRPr="00DD69FC">
        <w:rPr>
          <w:rFonts w:ascii="Arial" w:hAnsi="Arial" w:cs="Arial"/>
          <w:sz w:val="22"/>
          <w:szCs w:val="22"/>
          <w:lang w:val="es-ES_tradnl"/>
        </w:rPr>
        <w:t xml:space="preserve"> </w:t>
      </w:r>
      <w:r w:rsidR="00817661" w:rsidRPr="00DD69FC">
        <w:rPr>
          <w:rFonts w:ascii="Arial" w:hAnsi="Arial" w:cs="Arial"/>
          <w:sz w:val="22"/>
          <w:szCs w:val="22"/>
          <w:lang w:val="es-ES_tradnl"/>
        </w:rPr>
        <w:t xml:space="preserve"> </w:t>
      </w:r>
    </w:p>
    <w:p w14:paraId="3401A6A9" w14:textId="4A3C7684" w:rsidR="00851E09" w:rsidRPr="00DD69FC" w:rsidRDefault="006C572F">
      <w:pPr>
        <w:spacing w:before="120" w:line="276" w:lineRule="auto"/>
        <w:ind w:firstLine="709"/>
        <w:jc w:val="both"/>
        <w:rPr>
          <w:rFonts w:ascii="Arial" w:hAnsi="Arial" w:cs="Arial"/>
          <w:sz w:val="22"/>
          <w:szCs w:val="22"/>
          <w:lang w:val="es-ES_tradnl"/>
        </w:rPr>
      </w:pPr>
      <w:bookmarkStart w:id="5" w:name="_Hlk64445822"/>
      <w:r w:rsidRPr="00DD69FC">
        <w:rPr>
          <w:rFonts w:ascii="Arial" w:hAnsi="Arial" w:cs="Arial"/>
          <w:sz w:val="22"/>
          <w:szCs w:val="22"/>
          <w:lang w:val="es-ES_tradnl"/>
        </w:rPr>
        <w:t xml:space="preserve">Lo expuesto también aplica </w:t>
      </w:r>
      <w:r w:rsidRPr="00DD69FC">
        <w:rPr>
          <w:rFonts w:ascii="Arial" w:hAnsi="Arial" w:cs="Arial"/>
          <w:i/>
          <w:iCs/>
          <w:sz w:val="22"/>
          <w:szCs w:val="22"/>
          <w:lang w:val="es-ES_tradnl"/>
        </w:rPr>
        <w:t>mutatis mutandis</w:t>
      </w:r>
      <w:r w:rsidRPr="00DD69FC">
        <w:rPr>
          <w:rFonts w:ascii="Arial" w:hAnsi="Arial" w:cs="Arial"/>
          <w:sz w:val="22"/>
          <w:szCs w:val="22"/>
          <w:lang w:val="es-ES_tradnl"/>
        </w:rPr>
        <w:t xml:space="preserve"> a</w:t>
      </w:r>
      <w:r w:rsidR="00CC3995" w:rsidRPr="00DD69FC">
        <w:rPr>
          <w:rFonts w:ascii="Arial" w:hAnsi="Arial" w:cs="Arial"/>
          <w:sz w:val="22"/>
          <w:szCs w:val="22"/>
          <w:lang w:val="es-ES_tradnl"/>
        </w:rPr>
        <w:t xml:space="preserve"> </w:t>
      </w:r>
      <w:r w:rsidRPr="00DD69FC">
        <w:rPr>
          <w:rFonts w:ascii="Arial" w:hAnsi="Arial" w:cs="Arial"/>
          <w:sz w:val="22"/>
          <w:szCs w:val="22"/>
          <w:lang w:val="es-ES_tradnl"/>
        </w:rPr>
        <w:t>l</w:t>
      </w:r>
      <w:r w:rsidR="00CC3995" w:rsidRPr="00DD69FC">
        <w:rPr>
          <w:rFonts w:ascii="Arial" w:hAnsi="Arial" w:cs="Arial"/>
          <w:sz w:val="22"/>
          <w:szCs w:val="22"/>
          <w:lang w:val="es-ES_tradnl"/>
        </w:rPr>
        <w:t>os</w:t>
      </w:r>
      <w:r w:rsidRPr="00DD69FC">
        <w:rPr>
          <w:rFonts w:ascii="Arial" w:hAnsi="Arial" w:cs="Arial"/>
          <w:sz w:val="22"/>
          <w:szCs w:val="22"/>
          <w:lang w:val="es-ES_tradnl"/>
        </w:rPr>
        <w:t xml:space="preserve"> </w:t>
      </w:r>
      <w:r w:rsidR="00CC3995" w:rsidRPr="00DD69FC">
        <w:rPr>
          <w:rFonts w:ascii="Arial" w:hAnsi="Arial" w:cs="Arial"/>
          <w:sz w:val="22"/>
          <w:szCs w:val="22"/>
          <w:lang w:val="es-ES_tradnl"/>
        </w:rPr>
        <w:t>factores de desempate previstos en el Decreto</w:t>
      </w:r>
      <w:r w:rsidR="00AA3088" w:rsidRPr="00DD69FC">
        <w:rPr>
          <w:rFonts w:ascii="Arial" w:hAnsi="Arial" w:cs="Arial"/>
          <w:sz w:val="22"/>
          <w:szCs w:val="22"/>
          <w:lang w:val="es-ES_tradnl"/>
        </w:rPr>
        <w:t xml:space="preserve"> Único Reglamentario del Sector Administrativo de Planeación Nacional</w:t>
      </w:r>
      <w:r w:rsidR="00CC3995" w:rsidRPr="00DD69FC">
        <w:rPr>
          <w:rFonts w:ascii="Arial" w:hAnsi="Arial" w:cs="Arial"/>
          <w:sz w:val="22"/>
          <w:szCs w:val="22"/>
          <w:lang w:val="es-ES_tradnl"/>
        </w:rPr>
        <w:t xml:space="preserve"> para l</w:t>
      </w:r>
      <w:r w:rsidR="00851E09" w:rsidRPr="00DD69FC">
        <w:rPr>
          <w:rFonts w:ascii="Arial" w:hAnsi="Arial" w:cs="Arial"/>
          <w:sz w:val="22"/>
          <w:szCs w:val="22"/>
          <w:lang w:val="es-ES_tradnl"/>
        </w:rPr>
        <w:t>os</w:t>
      </w:r>
      <w:r w:rsidR="00CC3995" w:rsidRPr="00DD69FC">
        <w:rPr>
          <w:rFonts w:ascii="Arial" w:hAnsi="Arial" w:cs="Arial"/>
          <w:sz w:val="22"/>
          <w:szCs w:val="22"/>
          <w:lang w:val="es-ES_tradnl"/>
        </w:rPr>
        <w:t xml:space="preserve"> procedimiento</w:t>
      </w:r>
      <w:r w:rsidR="00851E09" w:rsidRPr="00DD69FC">
        <w:rPr>
          <w:rFonts w:ascii="Arial" w:hAnsi="Arial" w:cs="Arial"/>
          <w:sz w:val="22"/>
          <w:szCs w:val="22"/>
          <w:lang w:val="es-ES_tradnl"/>
        </w:rPr>
        <w:t>s</w:t>
      </w:r>
      <w:r w:rsidR="00CC3995" w:rsidRPr="00DD69FC">
        <w:rPr>
          <w:rFonts w:ascii="Arial" w:hAnsi="Arial" w:cs="Arial"/>
          <w:sz w:val="22"/>
          <w:szCs w:val="22"/>
          <w:lang w:val="es-ES_tradnl"/>
        </w:rPr>
        <w:t xml:space="preserve"> de mínima cuantía</w:t>
      </w:r>
      <w:r w:rsidR="00851E09" w:rsidRPr="00DD69FC">
        <w:rPr>
          <w:rFonts w:ascii="Arial" w:hAnsi="Arial" w:cs="Arial"/>
          <w:sz w:val="22"/>
          <w:szCs w:val="22"/>
          <w:lang w:val="es-ES_tradnl"/>
        </w:rPr>
        <w:t xml:space="preserve"> </w:t>
      </w:r>
      <w:r w:rsidR="00D609E9" w:rsidRPr="00DD69FC">
        <w:rPr>
          <w:rFonts w:ascii="Arial" w:hAnsi="Arial" w:cs="Arial"/>
          <w:sz w:val="22"/>
          <w:szCs w:val="22"/>
          <w:lang w:val="es-ES_tradnl"/>
        </w:rPr>
        <w:t xml:space="preserve">y </w:t>
      </w:r>
      <w:r w:rsidR="00D609E9" w:rsidRPr="00DD69FC">
        <w:rPr>
          <w:rFonts w:ascii="Arial" w:hAnsi="Arial" w:cs="Arial"/>
          <w:sz w:val="22"/>
          <w:szCs w:val="22"/>
        </w:rPr>
        <w:t>adquisición</w:t>
      </w:r>
      <w:r w:rsidR="00AC6892" w:rsidRPr="00DD69FC">
        <w:rPr>
          <w:rFonts w:ascii="Arial" w:hAnsi="Arial" w:cs="Arial"/>
          <w:sz w:val="22"/>
          <w:szCs w:val="22"/>
          <w:lang w:val="es-ES_tradnl"/>
        </w:rPr>
        <w:t xml:space="preserve"> en grandes superficies </w:t>
      </w:r>
      <w:r w:rsidR="00127CE4" w:rsidRPr="00DD69FC">
        <w:rPr>
          <w:rFonts w:ascii="Arial" w:hAnsi="Arial" w:cs="Arial"/>
          <w:sz w:val="22"/>
          <w:szCs w:val="22"/>
          <w:lang w:val="es-ES_tradnl"/>
        </w:rPr>
        <w:t>hasta por el monto de</w:t>
      </w:r>
      <w:r w:rsidR="00AC6892" w:rsidRPr="00DD69FC">
        <w:rPr>
          <w:rFonts w:ascii="Arial" w:hAnsi="Arial" w:cs="Arial"/>
          <w:sz w:val="22"/>
          <w:szCs w:val="22"/>
          <w:lang w:val="es-ES_tradnl"/>
        </w:rPr>
        <w:t xml:space="preserve"> </w:t>
      </w:r>
      <w:r w:rsidR="008636AC" w:rsidRPr="00DD69FC">
        <w:rPr>
          <w:rFonts w:ascii="Arial" w:hAnsi="Arial" w:cs="Arial"/>
          <w:sz w:val="22"/>
          <w:szCs w:val="22"/>
          <w:lang w:val="es-ES_tradnl"/>
        </w:rPr>
        <w:t>dicha modalidad</w:t>
      </w:r>
      <w:r w:rsidRPr="00DD69FC">
        <w:rPr>
          <w:rFonts w:ascii="Arial" w:hAnsi="Arial" w:cs="Arial"/>
          <w:sz w:val="22"/>
          <w:szCs w:val="22"/>
          <w:lang w:val="es-ES_tradnl"/>
        </w:rPr>
        <w:t xml:space="preserve">. </w:t>
      </w:r>
      <w:r w:rsidR="00A1115C">
        <w:rPr>
          <w:rFonts w:ascii="Arial" w:hAnsi="Arial" w:cs="Arial"/>
          <w:sz w:val="22"/>
          <w:szCs w:val="22"/>
          <w:lang w:val="es-ES_tradnl"/>
        </w:rPr>
        <w:t>A</w:t>
      </w:r>
      <w:r w:rsidR="00851E09" w:rsidRPr="00DD69FC">
        <w:rPr>
          <w:rFonts w:ascii="Arial" w:hAnsi="Arial" w:cs="Arial"/>
          <w:sz w:val="22"/>
          <w:szCs w:val="22"/>
          <w:lang w:val="es-ES_tradnl"/>
        </w:rPr>
        <w:t xml:space="preserve"> pesar de que el numeral </w:t>
      </w:r>
      <w:r w:rsidR="000869A5" w:rsidRPr="00DD69FC">
        <w:rPr>
          <w:rFonts w:ascii="Arial" w:hAnsi="Arial" w:cs="Arial"/>
          <w:sz w:val="22"/>
          <w:szCs w:val="22"/>
          <w:lang w:val="es-ES_tradnl"/>
        </w:rPr>
        <w:t>7</w:t>
      </w:r>
      <w:r w:rsidR="00851E09" w:rsidRPr="00DD69FC">
        <w:rPr>
          <w:rFonts w:ascii="Arial" w:hAnsi="Arial" w:cs="Arial"/>
          <w:sz w:val="22"/>
          <w:szCs w:val="22"/>
          <w:lang w:val="es-ES_tradnl"/>
        </w:rPr>
        <w:t xml:space="preserve"> del artículo </w:t>
      </w:r>
      <w:r w:rsidR="000869A5" w:rsidRPr="00DD69FC">
        <w:rPr>
          <w:rFonts w:ascii="Arial" w:hAnsi="Arial" w:cs="Arial"/>
          <w:sz w:val="22"/>
          <w:szCs w:val="22"/>
          <w:lang w:val="es-ES_tradnl"/>
        </w:rPr>
        <w:t>2.2.1.2.1.5.2</w:t>
      </w:r>
      <w:r w:rsidR="00851E09" w:rsidRPr="00DD69FC">
        <w:rPr>
          <w:rFonts w:ascii="Arial" w:hAnsi="Arial" w:cs="Arial"/>
          <w:sz w:val="22"/>
          <w:szCs w:val="22"/>
          <w:lang w:val="es-ES_tradnl"/>
        </w:rPr>
        <w:t xml:space="preserve"> </w:t>
      </w:r>
      <w:r w:rsidR="000869A5" w:rsidRPr="00DD69FC">
        <w:rPr>
          <w:rFonts w:ascii="Arial" w:hAnsi="Arial" w:cs="Arial"/>
          <w:sz w:val="22"/>
          <w:szCs w:val="22"/>
          <w:lang w:val="es-ES_tradnl"/>
        </w:rPr>
        <w:t xml:space="preserve">del </w:t>
      </w:r>
      <w:r w:rsidR="00851E09" w:rsidRPr="00DD69FC">
        <w:rPr>
          <w:rFonts w:ascii="Arial" w:hAnsi="Arial" w:cs="Arial"/>
          <w:sz w:val="22"/>
          <w:szCs w:val="22"/>
          <w:lang w:val="es-ES_tradnl"/>
        </w:rPr>
        <w:t xml:space="preserve">Decreto 1082 de 2015 establecía una regla especial para el desempate entre ofertas, el primer inciso del artículo 35 de la Ley 2069 de 2020 no distingue modalidades de selección y regula la </w:t>
      </w:r>
      <w:r w:rsidR="00121F58" w:rsidRPr="00DD69FC">
        <w:rPr>
          <w:rFonts w:ascii="Arial" w:hAnsi="Arial" w:cs="Arial"/>
          <w:sz w:val="22"/>
          <w:szCs w:val="22"/>
          <w:lang w:val="es-ES_tradnl"/>
        </w:rPr>
        <w:t>institución de los factores de desempate en los procesos de contratación estatal de manera integral.</w:t>
      </w:r>
      <w:r w:rsidR="00090318" w:rsidRPr="00DD69FC">
        <w:rPr>
          <w:rFonts w:ascii="Arial" w:hAnsi="Arial" w:cs="Arial"/>
          <w:sz w:val="22"/>
          <w:szCs w:val="22"/>
          <w:lang w:val="es-ES_tradnl"/>
        </w:rPr>
        <w:t xml:space="preserve"> </w:t>
      </w:r>
      <w:r w:rsidR="00215B72" w:rsidRPr="00DD69FC">
        <w:rPr>
          <w:rFonts w:ascii="Arial" w:hAnsi="Arial" w:cs="Arial"/>
          <w:sz w:val="22"/>
          <w:szCs w:val="22"/>
          <w:lang w:val="es-ES_tradnl"/>
        </w:rPr>
        <w:t>Lo mismo se puede afirmar</w:t>
      </w:r>
      <w:r w:rsidR="00747290" w:rsidRPr="00DD69FC">
        <w:rPr>
          <w:rFonts w:ascii="Arial" w:hAnsi="Arial" w:cs="Arial"/>
          <w:sz w:val="22"/>
          <w:szCs w:val="22"/>
          <w:lang w:val="es-ES_tradnl"/>
        </w:rPr>
        <w:t xml:space="preserve"> </w:t>
      </w:r>
      <w:r w:rsidR="00215B72" w:rsidRPr="00DD69FC">
        <w:rPr>
          <w:rFonts w:ascii="Arial" w:hAnsi="Arial" w:cs="Arial"/>
          <w:sz w:val="22"/>
          <w:szCs w:val="22"/>
          <w:lang w:val="es-ES_tradnl"/>
        </w:rPr>
        <w:t>respecto</w:t>
      </w:r>
      <w:r w:rsidR="00090318" w:rsidRPr="00DD69FC">
        <w:rPr>
          <w:rFonts w:ascii="Arial" w:hAnsi="Arial" w:cs="Arial"/>
          <w:sz w:val="22"/>
          <w:szCs w:val="22"/>
          <w:lang w:val="es-ES_tradnl"/>
        </w:rPr>
        <w:t xml:space="preserve"> </w:t>
      </w:r>
      <w:r w:rsidR="00215B72" w:rsidRPr="00DD69FC">
        <w:rPr>
          <w:rFonts w:ascii="Arial" w:hAnsi="Arial" w:cs="Arial"/>
          <w:sz w:val="22"/>
          <w:szCs w:val="22"/>
          <w:lang w:val="es-ES_tradnl"/>
        </w:rPr>
        <w:t>d</w:t>
      </w:r>
      <w:r w:rsidR="00090318" w:rsidRPr="00DD69FC">
        <w:rPr>
          <w:rFonts w:ascii="Arial" w:hAnsi="Arial" w:cs="Arial"/>
          <w:sz w:val="22"/>
          <w:szCs w:val="22"/>
          <w:lang w:val="es-ES_tradnl"/>
        </w:rPr>
        <w:t xml:space="preserve">el factor de desempate </w:t>
      </w:r>
      <w:r w:rsidR="00A1115C">
        <w:rPr>
          <w:rFonts w:ascii="Arial" w:hAnsi="Arial" w:cs="Arial"/>
          <w:sz w:val="22"/>
          <w:szCs w:val="22"/>
          <w:lang w:val="es-ES_tradnl"/>
        </w:rPr>
        <w:t>d</w:t>
      </w:r>
      <w:r w:rsidR="00090318" w:rsidRPr="00DD69FC">
        <w:rPr>
          <w:rFonts w:ascii="Arial" w:hAnsi="Arial" w:cs="Arial"/>
          <w:sz w:val="22"/>
          <w:szCs w:val="22"/>
          <w:lang w:val="es-ES_tradnl"/>
        </w:rPr>
        <w:t>el numeral 3 del artículo 2.2.1.2.1.5.3 del Decreto 1082 de 2015</w:t>
      </w:r>
      <w:r w:rsidR="00747290" w:rsidRPr="00DD69FC">
        <w:rPr>
          <w:rFonts w:ascii="Arial" w:hAnsi="Arial" w:cs="Arial"/>
          <w:sz w:val="22"/>
          <w:szCs w:val="22"/>
          <w:lang w:val="es-ES_tradnl"/>
        </w:rPr>
        <w:t>.</w:t>
      </w:r>
    </w:p>
    <w:p w14:paraId="7DC72E0B" w14:textId="0C9B7980" w:rsidR="00121F58" w:rsidRPr="00DD69FC" w:rsidRDefault="00121F58" w:rsidP="00AC4AD2">
      <w:pPr>
        <w:spacing w:before="120" w:line="276" w:lineRule="auto"/>
        <w:ind w:firstLine="709"/>
        <w:jc w:val="both"/>
        <w:rPr>
          <w:rFonts w:ascii="Arial" w:hAnsi="Arial" w:cs="Arial"/>
          <w:sz w:val="22"/>
          <w:szCs w:val="22"/>
          <w:lang w:val="es-ES_tradnl"/>
        </w:rPr>
      </w:pPr>
      <w:bookmarkStart w:id="6" w:name="_Hlk64445869"/>
      <w:bookmarkEnd w:id="5"/>
      <w:r w:rsidRPr="00DD69FC">
        <w:rPr>
          <w:rFonts w:ascii="Arial" w:hAnsi="Arial" w:cs="Arial"/>
          <w:sz w:val="22"/>
          <w:szCs w:val="22"/>
          <w:lang w:val="es-ES_tradnl"/>
        </w:rPr>
        <w:t xml:space="preserve">Esta afirmación </w:t>
      </w:r>
      <w:r w:rsidR="009F3847" w:rsidRPr="00DD69FC">
        <w:rPr>
          <w:rFonts w:ascii="Arial" w:hAnsi="Arial" w:cs="Arial"/>
          <w:sz w:val="22"/>
          <w:szCs w:val="22"/>
          <w:lang w:val="es-ES_tradnl"/>
        </w:rPr>
        <w:t>se sustenta</w:t>
      </w:r>
      <w:r w:rsidRPr="00DD69FC">
        <w:rPr>
          <w:rFonts w:ascii="Arial" w:hAnsi="Arial" w:cs="Arial"/>
          <w:sz w:val="22"/>
          <w:szCs w:val="22"/>
          <w:lang w:val="es-ES_tradnl"/>
        </w:rPr>
        <w:t xml:space="preserve"> en el criterio </w:t>
      </w:r>
      <w:r w:rsidRPr="00DD69FC">
        <w:rPr>
          <w:rFonts w:ascii="Arial" w:hAnsi="Arial" w:cs="Arial"/>
          <w:i/>
          <w:iCs/>
          <w:sz w:val="22"/>
          <w:szCs w:val="22"/>
          <w:lang w:val="es-ES_tradnl"/>
        </w:rPr>
        <w:t xml:space="preserve">Lex posterior </w:t>
      </w:r>
      <w:proofErr w:type="spellStart"/>
      <w:r w:rsidRPr="00DD69FC">
        <w:rPr>
          <w:rFonts w:ascii="Arial" w:hAnsi="Arial" w:cs="Arial"/>
          <w:i/>
          <w:iCs/>
          <w:sz w:val="22"/>
          <w:szCs w:val="22"/>
          <w:lang w:val="es-ES_tradnl"/>
        </w:rPr>
        <w:t>derogat</w:t>
      </w:r>
      <w:proofErr w:type="spellEnd"/>
      <w:r w:rsidRPr="00DD69FC">
        <w:rPr>
          <w:rFonts w:ascii="Arial" w:hAnsi="Arial" w:cs="Arial"/>
          <w:i/>
          <w:iCs/>
          <w:sz w:val="22"/>
          <w:szCs w:val="22"/>
          <w:lang w:val="es-ES_tradnl"/>
        </w:rPr>
        <w:t xml:space="preserve"> priori</w:t>
      </w:r>
      <w:r w:rsidR="00240F06">
        <w:rPr>
          <w:rFonts w:ascii="Arial" w:hAnsi="Arial" w:cs="Arial"/>
          <w:sz w:val="22"/>
          <w:szCs w:val="22"/>
          <w:lang w:val="es-ES_tradnl"/>
        </w:rPr>
        <w:t xml:space="preserve"> d</w:t>
      </w:r>
      <w:r w:rsidRPr="00DD69FC">
        <w:rPr>
          <w:rFonts w:ascii="Arial" w:hAnsi="Arial" w:cs="Arial"/>
          <w:sz w:val="22"/>
          <w:szCs w:val="22"/>
          <w:lang w:val="es-ES_tradnl"/>
        </w:rPr>
        <w:t xml:space="preserve">el artículo </w:t>
      </w:r>
      <w:r w:rsidR="009F3847" w:rsidRPr="00DD69FC">
        <w:rPr>
          <w:rFonts w:ascii="Arial" w:hAnsi="Arial" w:cs="Arial"/>
          <w:sz w:val="22"/>
          <w:szCs w:val="22"/>
          <w:lang w:val="es-ES_tradnl"/>
        </w:rPr>
        <w:t>2</w:t>
      </w:r>
      <w:r w:rsidRPr="00DD69FC">
        <w:rPr>
          <w:rFonts w:ascii="Arial" w:hAnsi="Arial" w:cs="Arial"/>
          <w:sz w:val="22"/>
          <w:szCs w:val="22"/>
          <w:lang w:val="es-ES_tradnl"/>
        </w:rPr>
        <w:t xml:space="preserve"> de la </w:t>
      </w:r>
      <w:r w:rsidR="00DE7F85" w:rsidRPr="00DD69FC">
        <w:rPr>
          <w:rFonts w:ascii="Arial" w:hAnsi="Arial" w:cs="Arial"/>
          <w:sz w:val="22"/>
          <w:szCs w:val="22"/>
          <w:lang w:val="es-ES_tradnl"/>
        </w:rPr>
        <w:t>L</w:t>
      </w:r>
      <w:r w:rsidRPr="00DD69FC">
        <w:rPr>
          <w:rFonts w:ascii="Arial" w:hAnsi="Arial" w:cs="Arial"/>
          <w:sz w:val="22"/>
          <w:szCs w:val="22"/>
          <w:lang w:val="es-ES_tradnl"/>
        </w:rPr>
        <w:t>ey 153 de 1887.</w:t>
      </w:r>
      <w:r w:rsidR="0031277A" w:rsidRPr="00DD69FC">
        <w:rPr>
          <w:rFonts w:ascii="Arial" w:hAnsi="Arial" w:cs="Arial"/>
          <w:sz w:val="22"/>
          <w:szCs w:val="22"/>
          <w:lang w:val="es-ES_tradnl"/>
        </w:rPr>
        <w:t xml:space="preserve"> Ad</w:t>
      </w:r>
      <w:r w:rsidR="00833821" w:rsidRPr="00DD69FC">
        <w:rPr>
          <w:rFonts w:ascii="Arial" w:hAnsi="Arial" w:cs="Arial"/>
          <w:sz w:val="22"/>
          <w:szCs w:val="22"/>
          <w:lang w:val="es-ES_tradnl"/>
        </w:rPr>
        <w:t>emás</w:t>
      </w:r>
      <w:r w:rsidR="0031277A" w:rsidRPr="00DD69FC">
        <w:rPr>
          <w:rFonts w:ascii="Arial" w:hAnsi="Arial" w:cs="Arial"/>
          <w:sz w:val="22"/>
          <w:szCs w:val="22"/>
          <w:lang w:val="es-ES_tradnl"/>
        </w:rPr>
        <w:t xml:space="preserve">, </w:t>
      </w:r>
      <w:r w:rsidR="00833821" w:rsidRPr="00DD69FC">
        <w:rPr>
          <w:rFonts w:ascii="Arial" w:hAnsi="Arial" w:cs="Arial"/>
          <w:sz w:val="22"/>
          <w:szCs w:val="22"/>
          <w:lang w:val="es-ES_tradnl"/>
        </w:rPr>
        <w:t xml:space="preserve">con el fin de descartar la aplicación criterio de especialidad, la jurisprudencia constitucional </w:t>
      </w:r>
      <w:r w:rsidR="009F3847" w:rsidRPr="00DD69FC">
        <w:rPr>
          <w:rFonts w:ascii="Arial" w:hAnsi="Arial" w:cs="Arial"/>
          <w:sz w:val="22"/>
          <w:szCs w:val="22"/>
          <w:lang w:val="es-ES_tradnl"/>
        </w:rPr>
        <w:t>explica</w:t>
      </w:r>
      <w:r w:rsidR="00833821" w:rsidRPr="00DD69FC">
        <w:rPr>
          <w:rFonts w:ascii="Arial" w:hAnsi="Arial" w:cs="Arial"/>
          <w:sz w:val="22"/>
          <w:szCs w:val="22"/>
          <w:lang w:val="es-ES_tradnl"/>
        </w:rPr>
        <w:t xml:space="preserve"> que este criterio no es aplicable cuando se trata de preceptos de distinta jerarquía</w:t>
      </w:r>
      <w:r w:rsidR="00833821" w:rsidRPr="00DD69FC">
        <w:rPr>
          <w:rStyle w:val="Refdenotaalpie"/>
          <w:rFonts w:ascii="Arial" w:hAnsi="Arial" w:cs="Arial"/>
          <w:sz w:val="22"/>
          <w:szCs w:val="22"/>
          <w:lang w:val="es-ES_tradnl"/>
        </w:rPr>
        <w:footnoteReference w:id="11"/>
      </w:r>
      <w:r w:rsidR="009F3847" w:rsidRPr="00DD69FC">
        <w:rPr>
          <w:rFonts w:ascii="Arial" w:hAnsi="Arial" w:cs="Arial"/>
          <w:sz w:val="22"/>
          <w:szCs w:val="22"/>
          <w:lang w:val="es-ES_tradnl"/>
        </w:rPr>
        <w:t>. Esta</w:t>
      </w:r>
      <w:r w:rsidR="00833821" w:rsidRPr="00DD69FC">
        <w:rPr>
          <w:rFonts w:ascii="Arial" w:hAnsi="Arial" w:cs="Arial"/>
          <w:sz w:val="22"/>
          <w:szCs w:val="22"/>
          <w:lang w:val="es-ES_tradnl"/>
        </w:rPr>
        <w:t xml:space="preserve"> situación se presenta en este caso, pues la Ley 2069 de 2020 tiene una jerarquía superior al Decreto 1082 de 2015</w:t>
      </w:r>
      <w:r w:rsidR="00454589" w:rsidRPr="00DD69FC">
        <w:rPr>
          <w:rFonts w:ascii="Arial" w:hAnsi="Arial" w:cs="Arial"/>
          <w:sz w:val="22"/>
          <w:szCs w:val="22"/>
          <w:lang w:val="es-ES_tradnl"/>
        </w:rPr>
        <w:t xml:space="preserve"> en el ordenamiento jurídico</w:t>
      </w:r>
      <w:r w:rsidR="00833821" w:rsidRPr="00DD69FC">
        <w:rPr>
          <w:rFonts w:ascii="Arial" w:hAnsi="Arial" w:cs="Arial"/>
          <w:sz w:val="22"/>
          <w:szCs w:val="22"/>
          <w:lang w:val="es-ES_tradnl"/>
        </w:rPr>
        <w:t xml:space="preserve">. </w:t>
      </w:r>
    </w:p>
    <w:bookmarkEnd w:id="6"/>
    <w:p w14:paraId="65F9E871" w14:textId="05673C56" w:rsidR="00CD32FB" w:rsidRPr="00DD69FC" w:rsidRDefault="0031277A" w:rsidP="00CD32FB">
      <w:pPr>
        <w:spacing w:before="120" w:line="276" w:lineRule="auto"/>
        <w:ind w:firstLine="709"/>
        <w:jc w:val="both"/>
        <w:rPr>
          <w:rFonts w:ascii="Arial" w:hAnsi="Arial" w:cs="Arial"/>
          <w:sz w:val="22"/>
          <w:szCs w:val="22"/>
          <w:lang w:val="es-ES_tradnl"/>
        </w:rPr>
      </w:pPr>
      <w:r w:rsidRPr="00DD69FC">
        <w:rPr>
          <w:rFonts w:ascii="Arial" w:hAnsi="Arial" w:cs="Arial"/>
          <w:sz w:val="22"/>
          <w:szCs w:val="22"/>
          <w:lang w:val="es-ES_tradnl"/>
        </w:rPr>
        <w:t>Ahora bien</w:t>
      </w:r>
      <w:r w:rsidR="00121F58" w:rsidRPr="00DD69FC">
        <w:rPr>
          <w:rFonts w:ascii="Arial" w:hAnsi="Arial" w:cs="Arial"/>
          <w:sz w:val="22"/>
          <w:szCs w:val="22"/>
          <w:lang w:val="es-ES_tradnl"/>
        </w:rPr>
        <w:t xml:space="preserve">, lo dispuesto en el artículo </w:t>
      </w:r>
      <w:r w:rsidR="009F3847" w:rsidRPr="00DD69FC">
        <w:rPr>
          <w:rFonts w:ascii="Arial" w:hAnsi="Arial" w:cs="Arial"/>
          <w:sz w:val="22"/>
          <w:szCs w:val="22"/>
          <w:lang w:val="es-ES_tradnl"/>
        </w:rPr>
        <w:t>2</w:t>
      </w:r>
      <w:r w:rsidR="00121F58" w:rsidRPr="00DD69FC">
        <w:rPr>
          <w:rFonts w:ascii="Arial" w:hAnsi="Arial" w:cs="Arial"/>
          <w:sz w:val="22"/>
          <w:szCs w:val="22"/>
          <w:lang w:val="es-ES_tradnl"/>
        </w:rPr>
        <w:t xml:space="preserve"> de la Ley 153 de 1887 es aplicable a</w:t>
      </w:r>
      <w:r w:rsidRPr="00DD69FC">
        <w:rPr>
          <w:rFonts w:ascii="Arial" w:hAnsi="Arial" w:cs="Arial"/>
          <w:sz w:val="22"/>
          <w:szCs w:val="22"/>
          <w:lang w:val="es-ES_tradnl"/>
        </w:rPr>
        <w:t xml:space="preserve"> los factores de desempate</w:t>
      </w:r>
      <w:r w:rsidR="00121F58" w:rsidRPr="00DD69FC">
        <w:rPr>
          <w:rFonts w:ascii="Arial" w:hAnsi="Arial" w:cs="Arial"/>
          <w:sz w:val="22"/>
          <w:szCs w:val="22"/>
          <w:lang w:val="es-ES_tradnl"/>
        </w:rPr>
        <w:t>, pues el legislador</w:t>
      </w:r>
      <w:r w:rsidRPr="00DD69FC">
        <w:rPr>
          <w:rFonts w:ascii="Arial" w:hAnsi="Arial" w:cs="Arial"/>
          <w:sz w:val="22"/>
          <w:szCs w:val="22"/>
          <w:lang w:val="es-ES_tradnl"/>
        </w:rPr>
        <w:t xml:space="preserve"> –</w:t>
      </w:r>
      <w:r w:rsidR="009F3847" w:rsidRPr="00DD69FC">
        <w:rPr>
          <w:rFonts w:ascii="Arial" w:hAnsi="Arial" w:cs="Arial"/>
          <w:sz w:val="22"/>
          <w:szCs w:val="22"/>
          <w:lang w:val="es-ES_tradnl"/>
        </w:rPr>
        <w:t xml:space="preserve">con la expedición de </w:t>
      </w:r>
      <w:r w:rsidRPr="00DD69FC">
        <w:rPr>
          <w:rFonts w:ascii="Arial" w:hAnsi="Arial" w:cs="Arial"/>
          <w:sz w:val="22"/>
          <w:szCs w:val="22"/>
          <w:lang w:val="es-ES_tradnl"/>
        </w:rPr>
        <w:t>la Ley 2069 de 2020</w:t>
      </w:r>
      <w:r w:rsidR="009F3847" w:rsidRPr="00DD69FC">
        <w:rPr>
          <w:rFonts w:ascii="Arial" w:hAnsi="Arial" w:cs="Arial"/>
          <w:sz w:val="22"/>
          <w:szCs w:val="22"/>
          <w:lang w:val="es-ES_tradnl"/>
        </w:rPr>
        <w:t>–</w:t>
      </w:r>
      <w:r w:rsidRPr="00DD69FC">
        <w:rPr>
          <w:rFonts w:ascii="Arial" w:hAnsi="Arial" w:cs="Arial"/>
          <w:sz w:val="22"/>
          <w:szCs w:val="22"/>
          <w:lang w:val="es-ES_tradnl"/>
        </w:rPr>
        <w:t xml:space="preserve"> </w:t>
      </w:r>
      <w:r w:rsidR="00121F58" w:rsidRPr="00DD69FC">
        <w:rPr>
          <w:rFonts w:ascii="Arial" w:hAnsi="Arial" w:cs="Arial"/>
          <w:sz w:val="22"/>
          <w:szCs w:val="22"/>
          <w:lang w:val="es-ES_tradnl"/>
        </w:rPr>
        <w:t xml:space="preserve"> tuvo la intención de regular íntegramente la materia de los factores de desempate</w:t>
      </w:r>
      <w:r w:rsidR="00CD32FB" w:rsidRPr="00DD69FC">
        <w:rPr>
          <w:rFonts w:ascii="Arial" w:hAnsi="Arial" w:cs="Arial"/>
          <w:sz w:val="22"/>
          <w:szCs w:val="22"/>
          <w:lang w:val="es-ES_tradnl"/>
        </w:rPr>
        <w:t xml:space="preserve"> en la contratación pública</w:t>
      </w:r>
      <w:r w:rsidR="00121F58" w:rsidRPr="00DD69FC">
        <w:rPr>
          <w:rFonts w:ascii="Arial" w:hAnsi="Arial" w:cs="Arial"/>
          <w:sz w:val="22"/>
          <w:szCs w:val="22"/>
          <w:lang w:val="es-ES_tradnl"/>
        </w:rPr>
        <w:t xml:space="preserve"> al establecer</w:t>
      </w:r>
      <w:r w:rsidRPr="00DD69FC">
        <w:rPr>
          <w:rFonts w:ascii="Arial" w:hAnsi="Arial" w:cs="Arial"/>
          <w:sz w:val="22"/>
          <w:szCs w:val="22"/>
          <w:lang w:val="es-ES_tradnl"/>
        </w:rPr>
        <w:t xml:space="preserve"> </w:t>
      </w:r>
      <w:r w:rsidR="00121F58" w:rsidRPr="00DD69FC">
        <w:rPr>
          <w:rFonts w:ascii="Arial" w:hAnsi="Arial" w:cs="Arial"/>
          <w:sz w:val="22"/>
          <w:szCs w:val="22"/>
          <w:lang w:val="es-ES_tradnl"/>
        </w:rPr>
        <w:t xml:space="preserve">que estos son aplicables a </w:t>
      </w:r>
      <w:r w:rsidR="00121F58" w:rsidRPr="00DD69FC">
        <w:rPr>
          <w:rFonts w:ascii="Arial" w:hAnsi="Arial" w:cs="Arial"/>
          <w:sz w:val="22"/>
          <w:szCs w:val="22"/>
        </w:rPr>
        <w:t>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r w:rsidR="009F3847" w:rsidRPr="00DD69FC">
        <w:rPr>
          <w:rFonts w:ascii="Arial" w:hAnsi="Arial" w:cs="Arial"/>
          <w:sz w:val="22"/>
          <w:szCs w:val="22"/>
        </w:rPr>
        <w:t>,</w:t>
      </w:r>
      <w:r w:rsidR="009F3847" w:rsidRPr="00DD69FC">
        <w:rPr>
          <w:rFonts w:ascii="Arial" w:hAnsi="Arial" w:cs="Arial"/>
          <w:sz w:val="22"/>
          <w:szCs w:val="22"/>
          <w:lang w:val="es-ES_tradnl"/>
        </w:rPr>
        <w:t xml:space="preserve"> </w:t>
      </w:r>
      <w:r w:rsidR="00121F58" w:rsidRPr="00DD69FC">
        <w:rPr>
          <w:rFonts w:ascii="Arial" w:hAnsi="Arial" w:cs="Arial"/>
          <w:sz w:val="22"/>
          <w:szCs w:val="22"/>
          <w:lang w:val="es-ES_tradnl"/>
        </w:rPr>
        <w:t xml:space="preserve">sin hacer distinción o excepción alguna. </w:t>
      </w:r>
    </w:p>
    <w:p w14:paraId="01981D84" w14:textId="7D05A863" w:rsidR="00CD32FB" w:rsidRPr="00DD69FC" w:rsidRDefault="00CD32FB" w:rsidP="00AC4AD2">
      <w:pPr>
        <w:spacing w:before="120" w:line="276" w:lineRule="auto"/>
        <w:ind w:firstLine="709"/>
        <w:jc w:val="both"/>
        <w:rPr>
          <w:rFonts w:ascii="Arial" w:hAnsi="Arial" w:cs="Arial"/>
          <w:sz w:val="22"/>
          <w:szCs w:val="22"/>
          <w:lang w:val="es-ES_tradnl"/>
        </w:rPr>
      </w:pPr>
      <w:bookmarkStart w:id="7" w:name="_Hlk64445981"/>
      <w:r w:rsidRPr="00DD69FC">
        <w:rPr>
          <w:rFonts w:ascii="Arial" w:hAnsi="Arial" w:cs="Arial"/>
          <w:sz w:val="22"/>
          <w:szCs w:val="22"/>
          <w:lang w:val="es-ES_tradnl"/>
        </w:rPr>
        <w:t xml:space="preserve">Por otro lado, </w:t>
      </w:r>
      <w:r w:rsidR="003633C4" w:rsidRPr="00DD69FC">
        <w:rPr>
          <w:rFonts w:ascii="Arial" w:hAnsi="Arial" w:cs="Arial"/>
          <w:sz w:val="22"/>
          <w:szCs w:val="22"/>
          <w:lang w:val="es-ES_tradnl"/>
        </w:rPr>
        <w:t>lo dispuesto en</w:t>
      </w:r>
      <w:r w:rsidRPr="00DD69FC">
        <w:rPr>
          <w:rFonts w:ascii="Arial" w:hAnsi="Arial" w:cs="Arial"/>
          <w:sz w:val="22"/>
          <w:szCs w:val="22"/>
          <w:lang w:val="es-ES_tradnl"/>
        </w:rPr>
        <w:t xml:space="preserve"> el parágrafo 2 del artículo 30 de la Ley de Emprendimiento –referente a los procesos de mínima cuantía– </w:t>
      </w:r>
      <w:r w:rsidR="007D0135" w:rsidRPr="00DD69FC">
        <w:rPr>
          <w:rFonts w:ascii="Arial" w:hAnsi="Arial" w:cs="Arial"/>
          <w:sz w:val="22"/>
          <w:szCs w:val="22"/>
          <w:lang w:val="es-ES_tradnl"/>
        </w:rPr>
        <w:t>al señalar</w:t>
      </w:r>
      <w:r w:rsidRPr="00DD69FC">
        <w:rPr>
          <w:rFonts w:ascii="Arial" w:hAnsi="Arial" w:cs="Arial"/>
          <w:sz w:val="22"/>
          <w:szCs w:val="22"/>
          <w:lang w:val="es-ES_tradnl"/>
        </w:rPr>
        <w:t xml:space="preserve"> </w:t>
      </w:r>
      <w:bookmarkStart w:id="8" w:name="_Hlk64447316"/>
      <w:r w:rsidRPr="00DD69FC">
        <w:rPr>
          <w:rFonts w:ascii="Arial" w:hAnsi="Arial" w:cs="Arial"/>
          <w:sz w:val="22"/>
          <w:szCs w:val="22"/>
          <w:lang w:val="es-ES_tradnl"/>
        </w:rPr>
        <w:t>«</w:t>
      </w:r>
      <w:bookmarkEnd w:id="8"/>
      <w:r w:rsidRPr="00DD69FC">
        <w:rPr>
          <w:rFonts w:ascii="Arial" w:hAnsi="Arial" w:cs="Arial"/>
          <w:sz w:val="22"/>
          <w:szCs w:val="22"/>
        </w:rPr>
        <w:t>La contratación a que se refiere el presente artículo se realizará exclusivamente con las reglas en él contempladas y en su reglamentación […]</w:t>
      </w:r>
      <w:r w:rsidRPr="00DD69FC">
        <w:rPr>
          <w:rFonts w:ascii="Arial" w:hAnsi="Arial" w:cs="Arial"/>
          <w:sz w:val="22"/>
          <w:szCs w:val="22"/>
          <w:lang w:val="es-ES_tradnl"/>
        </w:rPr>
        <w:t xml:space="preserve">», </w:t>
      </w:r>
      <w:r w:rsidR="007D0135" w:rsidRPr="00DD69FC">
        <w:rPr>
          <w:rFonts w:ascii="Arial" w:hAnsi="Arial" w:cs="Arial"/>
          <w:sz w:val="22"/>
          <w:szCs w:val="22"/>
          <w:lang w:val="es-ES_tradnl"/>
        </w:rPr>
        <w:t>ciertamente</w:t>
      </w:r>
      <w:r w:rsidRPr="00DD69FC">
        <w:rPr>
          <w:rFonts w:ascii="Arial" w:hAnsi="Arial" w:cs="Arial"/>
          <w:sz w:val="22"/>
          <w:szCs w:val="22"/>
          <w:lang w:val="es-ES_tradnl"/>
        </w:rPr>
        <w:t xml:space="preserve"> podría llevar a concluir que los </w:t>
      </w:r>
      <w:r w:rsidRPr="00DD69FC">
        <w:rPr>
          <w:rFonts w:ascii="Arial" w:hAnsi="Arial" w:cs="Arial"/>
          <w:sz w:val="22"/>
          <w:szCs w:val="22"/>
          <w:lang w:val="es-ES_tradnl"/>
        </w:rPr>
        <w:lastRenderedPageBreak/>
        <w:t>procesos de mínima cuantía se rigen exclusivamente por las reglas del artículo 30 de la Ley 2069 de 2020 y lo reglamentado en el decreto 1082 de 2015.</w:t>
      </w:r>
    </w:p>
    <w:p w14:paraId="56199B0C" w14:textId="120F649B" w:rsidR="00F77DD4" w:rsidRPr="00DD69FC" w:rsidRDefault="009F72BF" w:rsidP="00CD32FB">
      <w:pPr>
        <w:spacing w:before="120" w:line="276" w:lineRule="auto"/>
        <w:ind w:firstLine="708"/>
        <w:jc w:val="both"/>
        <w:rPr>
          <w:rFonts w:ascii="Arial" w:hAnsi="Arial" w:cs="Arial"/>
          <w:sz w:val="22"/>
          <w:szCs w:val="22"/>
          <w:lang w:val="es-ES_tradnl"/>
        </w:rPr>
      </w:pPr>
      <w:r w:rsidRPr="00DD69FC">
        <w:rPr>
          <w:rFonts w:ascii="Arial" w:hAnsi="Arial" w:cs="Arial"/>
          <w:sz w:val="22"/>
          <w:szCs w:val="22"/>
          <w:lang w:val="es-ES_tradnl"/>
        </w:rPr>
        <w:t>No obstante</w:t>
      </w:r>
      <w:r w:rsidR="00AA3088" w:rsidRPr="00DD69FC">
        <w:rPr>
          <w:rFonts w:ascii="Arial" w:hAnsi="Arial" w:cs="Arial"/>
          <w:sz w:val="22"/>
          <w:szCs w:val="22"/>
          <w:lang w:val="es-ES_tradnl"/>
        </w:rPr>
        <w:t>, una interpretación exegética del parágrafo 2 del artículo 30 de la Ley de Emprendimiento desconoce</w:t>
      </w:r>
      <w:r w:rsidR="004F4D5A" w:rsidRPr="00DD69FC">
        <w:rPr>
          <w:rFonts w:ascii="Arial" w:hAnsi="Arial" w:cs="Arial"/>
          <w:sz w:val="22"/>
          <w:szCs w:val="22"/>
          <w:lang w:val="es-ES_tradnl"/>
        </w:rPr>
        <w:t>ría</w:t>
      </w:r>
      <w:r w:rsidR="00AA3088" w:rsidRPr="00DD69FC">
        <w:rPr>
          <w:rFonts w:ascii="Arial" w:hAnsi="Arial" w:cs="Arial"/>
          <w:sz w:val="22"/>
          <w:szCs w:val="22"/>
          <w:lang w:val="es-ES_tradnl"/>
        </w:rPr>
        <w:t xml:space="preserve"> la aplicación de normas transversales al sistema de compras y contratación pública, tales como </w:t>
      </w:r>
      <w:r w:rsidR="00513170" w:rsidRPr="00DD69FC">
        <w:rPr>
          <w:rFonts w:ascii="Arial" w:hAnsi="Arial" w:cs="Arial"/>
          <w:sz w:val="22"/>
          <w:szCs w:val="22"/>
          <w:lang w:val="es-ES_tradnl"/>
        </w:rPr>
        <w:t xml:space="preserve">la capacidad de los consorcios y las uniones temporales, </w:t>
      </w:r>
      <w:r w:rsidR="00AA3088" w:rsidRPr="00DD69FC">
        <w:rPr>
          <w:rFonts w:ascii="Arial" w:hAnsi="Arial" w:cs="Arial"/>
          <w:sz w:val="22"/>
          <w:szCs w:val="22"/>
          <w:lang w:val="es-ES_tradnl"/>
        </w:rPr>
        <w:t>el régimen de inhabilidades e incompatibilidades</w:t>
      </w:r>
      <w:r w:rsidR="00513170" w:rsidRPr="00DD69FC">
        <w:rPr>
          <w:rFonts w:ascii="Arial" w:hAnsi="Arial" w:cs="Arial"/>
          <w:sz w:val="22"/>
          <w:szCs w:val="22"/>
          <w:lang w:val="es-ES_tradnl"/>
        </w:rPr>
        <w:t xml:space="preserve">, </w:t>
      </w:r>
      <w:r w:rsidR="00F77DD4" w:rsidRPr="00DD69FC">
        <w:rPr>
          <w:rFonts w:ascii="Arial" w:hAnsi="Arial" w:cs="Arial"/>
          <w:sz w:val="22"/>
          <w:szCs w:val="22"/>
          <w:lang w:val="es-ES_tradnl"/>
        </w:rPr>
        <w:t>los requisitos para ejercer</w:t>
      </w:r>
      <w:r w:rsidR="00513170" w:rsidRPr="00DD69FC">
        <w:rPr>
          <w:rFonts w:ascii="Arial" w:hAnsi="Arial" w:cs="Arial"/>
          <w:sz w:val="22"/>
          <w:szCs w:val="22"/>
          <w:lang w:val="es-ES_tradnl"/>
        </w:rPr>
        <w:t xml:space="preserve"> las potestades exorbitantes</w:t>
      </w:r>
      <w:r w:rsidR="00AA3088" w:rsidRPr="00DD69FC">
        <w:rPr>
          <w:rFonts w:ascii="Arial" w:hAnsi="Arial" w:cs="Arial"/>
          <w:sz w:val="22"/>
          <w:szCs w:val="22"/>
          <w:lang w:val="es-ES_tradnl"/>
        </w:rPr>
        <w:t xml:space="preserve"> o los principios de la contratación estatal –art</w:t>
      </w:r>
      <w:r w:rsidR="00513170" w:rsidRPr="00DD69FC">
        <w:rPr>
          <w:rFonts w:ascii="Arial" w:hAnsi="Arial" w:cs="Arial"/>
          <w:sz w:val="22"/>
          <w:szCs w:val="22"/>
          <w:lang w:val="es-ES_tradnl"/>
        </w:rPr>
        <w:t>s</w:t>
      </w:r>
      <w:r w:rsidR="00AA3088" w:rsidRPr="00DD69FC">
        <w:rPr>
          <w:rFonts w:ascii="Arial" w:hAnsi="Arial" w:cs="Arial"/>
          <w:sz w:val="22"/>
          <w:szCs w:val="22"/>
          <w:lang w:val="es-ES_tradnl"/>
        </w:rPr>
        <w:t xml:space="preserve">. </w:t>
      </w:r>
      <w:r w:rsidR="00513170" w:rsidRPr="00DD69FC">
        <w:rPr>
          <w:rFonts w:ascii="Arial" w:hAnsi="Arial" w:cs="Arial"/>
          <w:sz w:val="22"/>
          <w:szCs w:val="22"/>
          <w:lang w:val="es-ES_tradnl"/>
        </w:rPr>
        <w:t xml:space="preserve">6, 8, 14.2 y </w:t>
      </w:r>
      <w:r w:rsidR="00AA3088" w:rsidRPr="00DD69FC">
        <w:rPr>
          <w:rFonts w:ascii="Arial" w:hAnsi="Arial" w:cs="Arial"/>
          <w:sz w:val="22"/>
          <w:szCs w:val="22"/>
          <w:lang w:val="es-ES_tradnl"/>
        </w:rPr>
        <w:t>23 de la Ley 80 de 1993</w:t>
      </w:r>
      <w:r w:rsidR="00513170" w:rsidRPr="00DD69FC">
        <w:rPr>
          <w:rFonts w:ascii="Arial" w:hAnsi="Arial" w:cs="Arial"/>
          <w:sz w:val="22"/>
          <w:szCs w:val="22"/>
          <w:lang w:val="es-ES_tradnl"/>
        </w:rPr>
        <w:t xml:space="preserve">, respectivamente–. </w:t>
      </w:r>
      <w:bookmarkEnd w:id="7"/>
      <w:r w:rsidR="00513170" w:rsidRPr="00DD69FC">
        <w:rPr>
          <w:rFonts w:ascii="Arial" w:hAnsi="Arial" w:cs="Arial"/>
          <w:sz w:val="22"/>
          <w:szCs w:val="22"/>
          <w:lang w:val="es-ES_tradnl"/>
        </w:rPr>
        <w:t xml:space="preserve">Llevada al </w:t>
      </w:r>
      <w:r w:rsidR="00850C34" w:rsidRPr="00DD69FC">
        <w:rPr>
          <w:rFonts w:ascii="Arial" w:hAnsi="Arial" w:cs="Arial"/>
          <w:sz w:val="22"/>
          <w:szCs w:val="22"/>
          <w:lang w:val="es-ES_tradnl"/>
        </w:rPr>
        <w:t>extremo</w:t>
      </w:r>
      <w:r w:rsidR="00513170" w:rsidRPr="00DD69FC">
        <w:rPr>
          <w:rFonts w:ascii="Arial" w:hAnsi="Arial" w:cs="Arial"/>
          <w:sz w:val="22"/>
          <w:szCs w:val="22"/>
          <w:lang w:val="es-ES_tradnl"/>
        </w:rPr>
        <w:t>, la idea de que el procedimiento de mínima cuantía solo se regula por el artículo 30 de la Ley 2069 de 2020 y su correspondiente reglamentación genera consecuencia</w:t>
      </w:r>
      <w:r w:rsidR="00F77DD4" w:rsidRPr="00DD69FC">
        <w:rPr>
          <w:rFonts w:ascii="Arial" w:hAnsi="Arial" w:cs="Arial"/>
          <w:sz w:val="22"/>
          <w:szCs w:val="22"/>
          <w:lang w:val="es-ES_tradnl"/>
        </w:rPr>
        <w:t>s</w:t>
      </w:r>
      <w:r w:rsidR="00513170" w:rsidRPr="00DD69FC">
        <w:rPr>
          <w:rFonts w:ascii="Arial" w:hAnsi="Arial" w:cs="Arial"/>
          <w:sz w:val="22"/>
          <w:szCs w:val="22"/>
          <w:lang w:val="es-ES_tradnl"/>
        </w:rPr>
        <w:t xml:space="preserve"> absurdas</w:t>
      </w:r>
      <w:r w:rsidR="00F77DD4" w:rsidRPr="00DD69FC">
        <w:rPr>
          <w:rFonts w:ascii="Arial" w:hAnsi="Arial" w:cs="Arial"/>
          <w:sz w:val="22"/>
          <w:szCs w:val="22"/>
          <w:lang w:val="es-ES_tradnl"/>
        </w:rPr>
        <w:t>, pues da</w:t>
      </w:r>
      <w:r w:rsidR="007B2820" w:rsidRPr="00DD69FC">
        <w:rPr>
          <w:rFonts w:ascii="Arial" w:hAnsi="Arial" w:cs="Arial"/>
          <w:sz w:val="22"/>
          <w:szCs w:val="22"/>
          <w:lang w:val="es-ES_tradnl"/>
        </w:rPr>
        <w:t>ría</w:t>
      </w:r>
      <w:r w:rsidR="00F77DD4" w:rsidRPr="00DD69FC">
        <w:rPr>
          <w:rFonts w:ascii="Arial" w:hAnsi="Arial" w:cs="Arial"/>
          <w:sz w:val="22"/>
          <w:szCs w:val="22"/>
          <w:lang w:val="es-ES_tradnl"/>
        </w:rPr>
        <w:t xml:space="preserve"> a entender que el reglamento p</w:t>
      </w:r>
      <w:r w:rsidR="007B2820" w:rsidRPr="00DD69FC">
        <w:rPr>
          <w:rFonts w:ascii="Arial" w:hAnsi="Arial" w:cs="Arial"/>
          <w:sz w:val="22"/>
          <w:szCs w:val="22"/>
          <w:lang w:val="es-ES_tradnl"/>
        </w:rPr>
        <w:t>odría llegar a</w:t>
      </w:r>
      <w:r w:rsidR="00F77DD4" w:rsidRPr="00DD69FC">
        <w:rPr>
          <w:rFonts w:ascii="Arial" w:hAnsi="Arial" w:cs="Arial"/>
          <w:sz w:val="22"/>
          <w:szCs w:val="22"/>
          <w:lang w:val="es-ES_tradnl"/>
        </w:rPr>
        <w:t xml:space="preserve"> modificar aspectos elevados a rango de ley</w:t>
      </w:r>
      <w:r w:rsidR="007B2820" w:rsidRPr="00DD69FC">
        <w:rPr>
          <w:rFonts w:ascii="Arial" w:hAnsi="Arial" w:cs="Arial"/>
          <w:sz w:val="22"/>
          <w:szCs w:val="22"/>
          <w:lang w:val="es-ES_tradnl"/>
        </w:rPr>
        <w:t>, como lo son los criterios de desempate previstos en el artículo 35 de la Ley 2069 de 2020</w:t>
      </w:r>
      <w:r w:rsidR="00F77DD4" w:rsidRPr="00DD69FC">
        <w:rPr>
          <w:rFonts w:ascii="Arial" w:hAnsi="Arial" w:cs="Arial"/>
          <w:sz w:val="22"/>
          <w:szCs w:val="22"/>
          <w:lang w:val="es-ES_tradnl"/>
        </w:rPr>
        <w:t xml:space="preserve">. </w:t>
      </w:r>
    </w:p>
    <w:p w14:paraId="7B114987" w14:textId="77777777" w:rsidR="003165A4" w:rsidRPr="00DD69FC" w:rsidRDefault="00F77DD4" w:rsidP="00F77DD4">
      <w:pPr>
        <w:spacing w:before="120" w:line="276" w:lineRule="auto"/>
        <w:ind w:firstLine="709"/>
        <w:jc w:val="both"/>
        <w:rPr>
          <w:rFonts w:ascii="Arial" w:hAnsi="Arial" w:cs="Arial"/>
          <w:sz w:val="22"/>
          <w:szCs w:val="22"/>
          <w:lang w:val="es-ES_tradnl"/>
        </w:rPr>
      </w:pPr>
      <w:r w:rsidRPr="00DD69FC">
        <w:rPr>
          <w:rFonts w:ascii="Arial" w:hAnsi="Arial" w:cs="Arial"/>
          <w:sz w:val="22"/>
          <w:szCs w:val="22"/>
          <w:lang w:val="es-ES_tradnl"/>
        </w:rPr>
        <w:t xml:space="preserve">Además, aunque el artículo 5.1 de la Ley 57 de 1887 consagra la regla </w:t>
      </w:r>
      <w:r w:rsidRPr="00DD69FC">
        <w:rPr>
          <w:rFonts w:ascii="Arial" w:hAnsi="Arial" w:cs="Arial"/>
          <w:i/>
          <w:iCs/>
          <w:sz w:val="22"/>
          <w:szCs w:val="22"/>
          <w:lang w:val="es-ES_tradnl"/>
        </w:rPr>
        <w:t xml:space="preserve">lex </w:t>
      </w:r>
      <w:proofErr w:type="spellStart"/>
      <w:r w:rsidRPr="00DD69FC">
        <w:rPr>
          <w:rFonts w:ascii="Arial" w:hAnsi="Arial" w:cs="Arial"/>
          <w:i/>
          <w:iCs/>
          <w:sz w:val="22"/>
          <w:szCs w:val="22"/>
          <w:lang w:val="es-ES_tradnl"/>
        </w:rPr>
        <w:t>specialis</w:t>
      </w:r>
      <w:proofErr w:type="spellEnd"/>
      <w:r w:rsidRPr="00DD69FC">
        <w:rPr>
          <w:rFonts w:ascii="Arial" w:hAnsi="Arial" w:cs="Arial"/>
          <w:i/>
          <w:iCs/>
          <w:sz w:val="22"/>
          <w:szCs w:val="22"/>
          <w:lang w:val="es-ES_tradnl"/>
        </w:rPr>
        <w:t xml:space="preserve"> </w:t>
      </w:r>
      <w:proofErr w:type="spellStart"/>
      <w:r w:rsidRPr="00DD69FC">
        <w:rPr>
          <w:rFonts w:ascii="Arial" w:hAnsi="Arial" w:cs="Arial"/>
          <w:i/>
          <w:iCs/>
          <w:sz w:val="22"/>
          <w:szCs w:val="22"/>
          <w:lang w:val="es-ES_tradnl"/>
        </w:rPr>
        <w:t>derogat</w:t>
      </w:r>
      <w:proofErr w:type="spellEnd"/>
      <w:r w:rsidRPr="00DD69FC">
        <w:rPr>
          <w:rFonts w:ascii="Arial" w:hAnsi="Arial" w:cs="Arial"/>
          <w:i/>
          <w:iCs/>
          <w:sz w:val="22"/>
          <w:szCs w:val="22"/>
          <w:lang w:val="es-ES_tradnl"/>
        </w:rPr>
        <w:t xml:space="preserve"> </w:t>
      </w:r>
      <w:proofErr w:type="spellStart"/>
      <w:r w:rsidRPr="00DD69FC">
        <w:rPr>
          <w:rFonts w:ascii="Arial" w:hAnsi="Arial" w:cs="Arial"/>
          <w:i/>
          <w:iCs/>
          <w:sz w:val="22"/>
          <w:szCs w:val="22"/>
          <w:lang w:val="es-ES_tradnl"/>
        </w:rPr>
        <w:t>legi</w:t>
      </w:r>
      <w:proofErr w:type="spellEnd"/>
      <w:r w:rsidRPr="00DD69FC">
        <w:rPr>
          <w:rFonts w:ascii="Arial" w:hAnsi="Arial" w:cs="Arial"/>
          <w:i/>
          <w:iCs/>
          <w:sz w:val="22"/>
          <w:szCs w:val="22"/>
          <w:lang w:val="es-ES_tradnl"/>
        </w:rPr>
        <w:t xml:space="preserve"> </w:t>
      </w:r>
      <w:proofErr w:type="spellStart"/>
      <w:r w:rsidRPr="00DD69FC">
        <w:rPr>
          <w:rFonts w:ascii="Arial" w:hAnsi="Arial" w:cs="Arial"/>
          <w:i/>
          <w:iCs/>
          <w:sz w:val="22"/>
          <w:szCs w:val="22"/>
          <w:lang w:val="es-ES_tradnl"/>
        </w:rPr>
        <w:t>generali</w:t>
      </w:r>
      <w:proofErr w:type="spellEnd"/>
      <w:r w:rsidR="00231293" w:rsidRPr="00DD69FC">
        <w:rPr>
          <w:rStyle w:val="Refdenotaalpie"/>
          <w:rFonts w:ascii="Arial" w:hAnsi="Arial" w:cs="Arial"/>
          <w:sz w:val="22"/>
          <w:szCs w:val="22"/>
          <w:lang w:val="es-ES_tradnl"/>
        </w:rPr>
        <w:footnoteReference w:id="12"/>
      </w:r>
      <w:r w:rsidRPr="00DD69FC">
        <w:rPr>
          <w:rFonts w:ascii="Arial" w:hAnsi="Arial" w:cs="Arial"/>
          <w:sz w:val="22"/>
          <w:szCs w:val="22"/>
          <w:lang w:val="es-ES_tradnl"/>
        </w:rPr>
        <w:t xml:space="preserve">, este criterio para la resolución de antinomias carece de aplicación matemática para concluir que los factores de desempate </w:t>
      </w:r>
      <w:r w:rsidR="00D56A53" w:rsidRPr="00DD69FC">
        <w:rPr>
          <w:rFonts w:ascii="Arial" w:hAnsi="Arial" w:cs="Arial"/>
          <w:sz w:val="22"/>
          <w:szCs w:val="22"/>
          <w:lang w:val="es-ES_tradnl"/>
        </w:rPr>
        <w:t xml:space="preserve">para la mínima cuantía </w:t>
      </w:r>
      <w:r w:rsidRPr="00DD69FC">
        <w:rPr>
          <w:rFonts w:ascii="Arial" w:hAnsi="Arial" w:cs="Arial"/>
          <w:sz w:val="22"/>
          <w:szCs w:val="22"/>
          <w:lang w:val="es-ES_tradnl"/>
        </w:rPr>
        <w:t>se rigen por las normas especiales previstas en el reglamento</w:t>
      </w:r>
      <w:r w:rsidR="00231293" w:rsidRPr="00DD69FC">
        <w:rPr>
          <w:rFonts w:ascii="Arial" w:hAnsi="Arial" w:cs="Arial"/>
          <w:sz w:val="22"/>
          <w:szCs w:val="22"/>
          <w:lang w:val="es-ES_tradnl"/>
        </w:rPr>
        <w:t xml:space="preserve">. </w:t>
      </w:r>
      <w:r w:rsidR="00FF5E27" w:rsidRPr="00DD69FC">
        <w:rPr>
          <w:rFonts w:ascii="Arial" w:hAnsi="Arial" w:cs="Arial"/>
          <w:sz w:val="22"/>
          <w:szCs w:val="22"/>
          <w:lang w:val="es-ES_tradnl"/>
        </w:rPr>
        <w:t>De esta manera, los</w:t>
      </w:r>
      <w:r w:rsidR="00231293" w:rsidRPr="00DD69FC">
        <w:rPr>
          <w:rFonts w:ascii="Arial" w:hAnsi="Arial" w:cs="Arial"/>
          <w:sz w:val="22"/>
          <w:szCs w:val="22"/>
          <w:lang w:val="es-ES_tradnl"/>
        </w:rPr>
        <w:t xml:space="preserve"> límites de esta regla hay que verificarlos en cada caso teniendo en cuenta la intención del legislador, por lo cual es posible </w:t>
      </w:r>
      <w:r w:rsidR="00FF5E27" w:rsidRPr="00DD69FC">
        <w:rPr>
          <w:rFonts w:ascii="Arial" w:hAnsi="Arial" w:cs="Arial"/>
          <w:sz w:val="22"/>
          <w:szCs w:val="22"/>
          <w:lang w:val="es-ES_tradnl"/>
        </w:rPr>
        <w:t>la existencia de una regla general que no tolere excepciones</w:t>
      </w:r>
      <w:r w:rsidR="00231293" w:rsidRPr="00DD69FC">
        <w:rPr>
          <w:rStyle w:val="Refdenotaalpie"/>
          <w:rFonts w:ascii="Arial" w:hAnsi="Arial" w:cs="Arial"/>
          <w:sz w:val="22"/>
          <w:szCs w:val="22"/>
          <w:lang w:val="es-ES_tradnl"/>
        </w:rPr>
        <w:footnoteReference w:id="13"/>
      </w:r>
      <w:r w:rsidRPr="00DD69FC">
        <w:rPr>
          <w:rFonts w:ascii="Arial" w:hAnsi="Arial" w:cs="Arial"/>
          <w:sz w:val="22"/>
          <w:szCs w:val="22"/>
          <w:lang w:val="es-ES_tradnl"/>
        </w:rPr>
        <w:t>.</w:t>
      </w:r>
      <w:r w:rsidR="00231293" w:rsidRPr="00DD69FC">
        <w:rPr>
          <w:rFonts w:ascii="Arial" w:hAnsi="Arial" w:cs="Arial"/>
          <w:sz w:val="22"/>
          <w:szCs w:val="22"/>
          <w:lang w:val="es-ES_tradnl"/>
        </w:rPr>
        <w:t xml:space="preserve"> Al respecto, la doctrina considera que:</w:t>
      </w:r>
      <w:r w:rsidRPr="00DD69FC">
        <w:rPr>
          <w:rFonts w:ascii="Arial" w:hAnsi="Arial" w:cs="Arial"/>
          <w:sz w:val="22"/>
          <w:szCs w:val="22"/>
          <w:lang w:val="es-ES_tradnl"/>
        </w:rPr>
        <w:t xml:space="preserve"> </w:t>
      </w:r>
    </w:p>
    <w:p w14:paraId="7A90DE71" w14:textId="4937C1C4" w:rsidR="00FF5E27" w:rsidRPr="00DD69FC" w:rsidRDefault="00513170" w:rsidP="003165A4">
      <w:pPr>
        <w:spacing w:line="276" w:lineRule="auto"/>
        <w:ind w:firstLine="709"/>
        <w:jc w:val="both"/>
        <w:rPr>
          <w:rFonts w:ascii="Arial" w:hAnsi="Arial" w:cs="Arial"/>
          <w:sz w:val="22"/>
          <w:szCs w:val="22"/>
          <w:lang w:val="es-ES_tradnl"/>
        </w:rPr>
      </w:pPr>
      <w:r w:rsidRPr="00DD69FC">
        <w:rPr>
          <w:rFonts w:ascii="Arial" w:hAnsi="Arial" w:cs="Arial"/>
          <w:sz w:val="22"/>
          <w:szCs w:val="22"/>
          <w:lang w:val="es-ES_tradnl"/>
        </w:rPr>
        <w:t xml:space="preserve">  </w:t>
      </w:r>
    </w:p>
    <w:p w14:paraId="180D3A54" w14:textId="77DB4E67" w:rsidR="003165A4" w:rsidRPr="00DD69FC" w:rsidRDefault="00FF5E27" w:rsidP="003165A4">
      <w:pPr>
        <w:ind w:left="709" w:right="758"/>
        <w:jc w:val="both"/>
        <w:rPr>
          <w:rFonts w:ascii="Arial" w:hAnsi="Arial" w:cs="Arial"/>
          <w:sz w:val="21"/>
          <w:szCs w:val="21"/>
          <w:lang w:val="es-ES_tradnl"/>
        </w:rPr>
      </w:pPr>
      <w:r w:rsidRPr="00DD69FC">
        <w:rPr>
          <w:rFonts w:ascii="Arial" w:hAnsi="Arial" w:cs="Arial"/>
          <w:sz w:val="21"/>
          <w:szCs w:val="21"/>
        </w:rPr>
        <w:t xml:space="preserve">[…] la preferencia por la norma especial sobre la norma posterior no puede tener jamás un valor absoluto, porque razones de orden teleológico pueden impeler a dar prioridad a la </w:t>
      </w:r>
      <w:r w:rsidRPr="00DD69FC">
        <w:rPr>
          <w:rFonts w:ascii="Arial" w:hAnsi="Arial" w:cs="Arial"/>
          <w:i/>
          <w:iCs/>
          <w:sz w:val="21"/>
          <w:szCs w:val="21"/>
        </w:rPr>
        <w:t xml:space="preserve">lex posterior </w:t>
      </w:r>
      <w:proofErr w:type="spellStart"/>
      <w:r w:rsidRPr="00DD69FC">
        <w:rPr>
          <w:rFonts w:ascii="Arial" w:hAnsi="Arial" w:cs="Arial"/>
          <w:i/>
          <w:iCs/>
          <w:sz w:val="21"/>
          <w:szCs w:val="21"/>
        </w:rPr>
        <w:t>generalis</w:t>
      </w:r>
      <w:proofErr w:type="spellEnd"/>
      <w:r w:rsidRPr="00DD69FC">
        <w:rPr>
          <w:rFonts w:ascii="Arial" w:hAnsi="Arial" w:cs="Arial"/>
          <w:sz w:val="21"/>
          <w:szCs w:val="21"/>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r w:rsidRPr="00DD69FC">
        <w:rPr>
          <w:rFonts w:ascii="Arial" w:hAnsi="Arial" w:cs="Arial"/>
          <w:i/>
          <w:iCs/>
          <w:sz w:val="21"/>
          <w:szCs w:val="21"/>
        </w:rPr>
        <w:t xml:space="preserve">lex posterior </w:t>
      </w:r>
      <w:proofErr w:type="spellStart"/>
      <w:r w:rsidRPr="00DD69FC">
        <w:rPr>
          <w:rFonts w:ascii="Arial" w:hAnsi="Arial" w:cs="Arial"/>
          <w:i/>
          <w:iCs/>
          <w:sz w:val="21"/>
          <w:szCs w:val="21"/>
        </w:rPr>
        <w:t>generalis</w:t>
      </w:r>
      <w:proofErr w:type="spellEnd"/>
      <w:r w:rsidRPr="00DD69FC">
        <w:rPr>
          <w:rFonts w:ascii="Arial" w:hAnsi="Arial" w:cs="Arial"/>
          <w:i/>
          <w:iCs/>
          <w:sz w:val="21"/>
          <w:szCs w:val="21"/>
        </w:rPr>
        <w:t xml:space="preserve"> non </w:t>
      </w:r>
      <w:proofErr w:type="spellStart"/>
      <w:r w:rsidRPr="00DD69FC">
        <w:rPr>
          <w:rFonts w:ascii="Arial" w:hAnsi="Arial" w:cs="Arial"/>
          <w:i/>
          <w:iCs/>
          <w:sz w:val="21"/>
          <w:szCs w:val="21"/>
        </w:rPr>
        <w:t>derogat</w:t>
      </w:r>
      <w:proofErr w:type="spellEnd"/>
      <w:r w:rsidRPr="00DD69FC">
        <w:rPr>
          <w:rFonts w:ascii="Arial" w:hAnsi="Arial" w:cs="Arial"/>
          <w:i/>
          <w:iCs/>
          <w:sz w:val="21"/>
          <w:szCs w:val="21"/>
        </w:rPr>
        <w:t xml:space="preserve"> </w:t>
      </w:r>
      <w:proofErr w:type="spellStart"/>
      <w:r w:rsidRPr="00DD69FC">
        <w:rPr>
          <w:rFonts w:ascii="Arial" w:hAnsi="Arial" w:cs="Arial"/>
          <w:i/>
          <w:iCs/>
          <w:sz w:val="21"/>
          <w:szCs w:val="21"/>
        </w:rPr>
        <w:lastRenderedPageBreak/>
        <w:t>legi</w:t>
      </w:r>
      <w:proofErr w:type="spellEnd"/>
      <w:r w:rsidRPr="00DD69FC">
        <w:rPr>
          <w:rFonts w:ascii="Arial" w:hAnsi="Arial" w:cs="Arial"/>
          <w:i/>
          <w:iCs/>
          <w:sz w:val="21"/>
          <w:szCs w:val="21"/>
        </w:rPr>
        <w:t xml:space="preserve"> priori </w:t>
      </w:r>
      <w:proofErr w:type="spellStart"/>
      <w:r w:rsidRPr="00DD69FC">
        <w:rPr>
          <w:rFonts w:ascii="Arial" w:hAnsi="Arial" w:cs="Arial"/>
          <w:i/>
          <w:iCs/>
          <w:sz w:val="21"/>
          <w:szCs w:val="21"/>
        </w:rPr>
        <w:t>speciali</w:t>
      </w:r>
      <w:proofErr w:type="spellEnd"/>
      <w:r w:rsidRPr="00DD69FC">
        <w:rPr>
          <w:rFonts w:ascii="Arial" w:hAnsi="Arial" w:cs="Arial"/>
          <w:sz w:val="21"/>
          <w:szCs w:val="21"/>
        </w:rPr>
        <w:t xml:space="preserve"> opera como una mera presunción hermenéutica, que puede ser destruida por una clara </w:t>
      </w:r>
      <w:proofErr w:type="spellStart"/>
      <w:r w:rsidRPr="00DD69FC">
        <w:rPr>
          <w:rFonts w:ascii="Arial" w:hAnsi="Arial" w:cs="Arial"/>
          <w:i/>
          <w:iCs/>
          <w:sz w:val="21"/>
          <w:szCs w:val="21"/>
        </w:rPr>
        <w:t>voluntas</w:t>
      </w:r>
      <w:proofErr w:type="spellEnd"/>
      <w:r w:rsidRPr="00DD69FC">
        <w:rPr>
          <w:rFonts w:ascii="Arial" w:hAnsi="Arial" w:cs="Arial"/>
          <w:i/>
          <w:iCs/>
          <w:sz w:val="21"/>
          <w:szCs w:val="21"/>
        </w:rPr>
        <w:t xml:space="preserve"> </w:t>
      </w:r>
      <w:proofErr w:type="spellStart"/>
      <w:r w:rsidRPr="00DD69FC">
        <w:rPr>
          <w:rFonts w:ascii="Arial" w:hAnsi="Arial" w:cs="Arial"/>
          <w:i/>
          <w:iCs/>
          <w:sz w:val="21"/>
          <w:szCs w:val="21"/>
        </w:rPr>
        <w:t>legis</w:t>
      </w:r>
      <w:proofErr w:type="spellEnd"/>
      <w:r w:rsidRPr="00DD69FC">
        <w:rPr>
          <w:rFonts w:ascii="Arial" w:hAnsi="Arial" w:cs="Arial"/>
          <w:sz w:val="21"/>
          <w:szCs w:val="21"/>
        </w:rPr>
        <w:t xml:space="preserve"> de sentido contrario</w:t>
      </w:r>
      <w:r w:rsidRPr="00DD69FC">
        <w:rPr>
          <w:rStyle w:val="Refdenotaalpie"/>
          <w:rFonts w:ascii="Arial" w:hAnsi="Arial" w:cs="Arial"/>
          <w:sz w:val="21"/>
          <w:szCs w:val="21"/>
        </w:rPr>
        <w:footnoteReference w:id="14"/>
      </w:r>
      <w:r w:rsidRPr="00DD69FC">
        <w:rPr>
          <w:rFonts w:ascii="Arial" w:hAnsi="Arial" w:cs="Arial"/>
          <w:sz w:val="21"/>
          <w:szCs w:val="21"/>
        </w:rPr>
        <w:t>.</w:t>
      </w:r>
      <w:r w:rsidR="00AA3088" w:rsidRPr="00DD69FC">
        <w:rPr>
          <w:rFonts w:ascii="Arial" w:hAnsi="Arial" w:cs="Arial"/>
          <w:sz w:val="21"/>
          <w:szCs w:val="21"/>
          <w:lang w:val="es-ES_tradnl"/>
        </w:rPr>
        <w:t xml:space="preserve"> </w:t>
      </w:r>
    </w:p>
    <w:p w14:paraId="335BABD9" w14:textId="77777777" w:rsidR="003165A4" w:rsidRPr="00DD69FC" w:rsidRDefault="003165A4" w:rsidP="003165A4">
      <w:pPr>
        <w:spacing w:line="276" w:lineRule="auto"/>
        <w:jc w:val="both"/>
        <w:rPr>
          <w:rFonts w:ascii="Arial" w:hAnsi="Arial" w:cs="Arial"/>
          <w:sz w:val="22"/>
          <w:szCs w:val="22"/>
          <w:lang w:val="es-ES_tradnl"/>
        </w:rPr>
      </w:pPr>
    </w:p>
    <w:p w14:paraId="1523A9FF" w14:textId="2059EE53" w:rsidR="0016204B" w:rsidRPr="00DD69FC" w:rsidRDefault="003165A4" w:rsidP="00961044">
      <w:pPr>
        <w:spacing w:line="276" w:lineRule="auto"/>
        <w:jc w:val="both"/>
        <w:rPr>
          <w:rFonts w:ascii="Arial" w:hAnsi="Arial" w:cs="Arial"/>
          <w:sz w:val="22"/>
          <w:szCs w:val="22"/>
          <w:lang w:val="es-ES_tradnl"/>
        </w:rPr>
      </w:pPr>
      <w:r w:rsidRPr="00DD69FC">
        <w:rPr>
          <w:rFonts w:ascii="Arial" w:hAnsi="Arial" w:cs="Arial"/>
          <w:sz w:val="22"/>
          <w:szCs w:val="22"/>
          <w:lang w:val="es-ES_tradnl"/>
        </w:rPr>
        <w:tab/>
        <w:t xml:space="preserve">Tratándose de los factores de desempate, la intención del legislador es que el artículo 35 de la Ley de Emprendimiento sea una norma transversal al sistema de compras y contratación pública. Particularmente, </w:t>
      </w:r>
      <w:r w:rsidRPr="00DD69FC">
        <w:rPr>
          <w:rFonts w:ascii="Arial" w:eastAsia="Calibri" w:hAnsi="Arial" w:cs="Arial"/>
          <w:bCs/>
          <w:sz w:val="22"/>
        </w:rPr>
        <w:t>conforme a la exposición de motivos, la ley «</w:t>
      </w:r>
      <w:r w:rsidRPr="00DD69FC">
        <w:rPr>
          <w:rFonts w:ascii="Arial" w:hAnsi="Arial" w:cs="Arial"/>
          <w:sz w:val="22"/>
        </w:rPr>
        <w:t xml:space="preserve">[…] </w:t>
      </w:r>
      <w:r w:rsidRPr="00DD69FC">
        <w:rPr>
          <w:rFonts w:ascii="Arial" w:eastAsia="Calibri" w:hAnsi="Arial" w:cs="Arial"/>
          <w:bCs/>
          <w:sz w:val="22"/>
        </w:rPr>
        <w:t xml:space="preserve">propone facilitar el acceso de las </w:t>
      </w:r>
      <w:proofErr w:type="spellStart"/>
      <w:r w:rsidRPr="00DD69FC">
        <w:rPr>
          <w:rFonts w:ascii="Arial" w:eastAsia="Calibri" w:hAnsi="Arial" w:cs="Arial"/>
          <w:bCs/>
          <w:sz w:val="22"/>
        </w:rPr>
        <w:t>Mipymes</w:t>
      </w:r>
      <w:proofErr w:type="spellEnd"/>
      <w:r w:rsidRPr="00DD69FC">
        <w:rPr>
          <w:rFonts w:ascii="Arial" w:eastAsia="Calibri" w:hAnsi="Arial" w:cs="Arial"/>
          <w:bCs/>
          <w:sz w:val="22"/>
        </w:rPr>
        <w:t xml:space="preserve"> a la modalidad de contratación de mínima cuantía, la limitación de estos procesos a </w:t>
      </w:r>
      <w:proofErr w:type="spellStart"/>
      <w:r w:rsidRPr="00DD69FC">
        <w:rPr>
          <w:rFonts w:ascii="Arial" w:eastAsia="Calibri" w:hAnsi="Arial" w:cs="Arial"/>
          <w:bCs/>
          <w:sz w:val="22"/>
        </w:rPr>
        <w:t>Mipymes</w:t>
      </w:r>
      <w:proofErr w:type="spellEnd"/>
      <w:r w:rsidRPr="00DD69FC">
        <w:rPr>
          <w:rFonts w:ascii="Arial" w:eastAsia="Calibri" w:hAnsi="Arial" w:cs="Arial"/>
          <w:bCs/>
          <w:sz w:val="22"/>
        </w:rPr>
        <w:t xml:space="preserve">, […] y </w:t>
      </w:r>
      <w:r w:rsidRPr="00DD69FC">
        <w:rPr>
          <w:rFonts w:ascii="Arial" w:eastAsia="Calibri" w:hAnsi="Arial" w:cs="Arial"/>
          <w:bCs/>
          <w:i/>
          <w:iCs/>
          <w:sz w:val="22"/>
        </w:rPr>
        <w:t>define la inclusión de factores de desempate en los procesos de contratación pública que priorizan este segmento</w:t>
      </w:r>
      <w:r w:rsidRPr="00DD69FC">
        <w:rPr>
          <w:rFonts w:ascii="Arial" w:eastAsia="Calibri" w:hAnsi="Arial" w:cs="Arial"/>
          <w:bCs/>
          <w:sz w:val="22"/>
        </w:rPr>
        <w:t>» (Énfasis fuera de texto)</w:t>
      </w:r>
      <w:r w:rsidRPr="00DD69FC">
        <w:rPr>
          <w:rStyle w:val="Refdenotaalpie"/>
          <w:rFonts w:ascii="Arial" w:eastAsia="Calibri" w:hAnsi="Arial" w:cs="Arial"/>
          <w:bCs/>
          <w:sz w:val="22"/>
        </w:rPr>
        <w:footnoteReference w:id="15"/>
      </w:r>
      <w:r w:rsidRPr="00DD69FC">
        <w:rPr>
          <w:rFonts w:ascii="Arial" w:eastAsia="Calibri" w:hAnsi="Arial" w:cs="Arial"/>
          <w:bCs/>
          <w:sz w:val="22"/>
        </w:rPr>
        <w:t xml:space="preserve">. </w:t>
      </w:r>
      <w:r w:rsidR="00D22284">
        <w:rPr>
          <w:rFonts w:ascii="Arial" w:eastAsia="Calibri" w:hAnsi="Arial" w:cs="Arial"/>
          <w:bCs/>
          <w:color w:val="000000" w:themeColor="text1"/>
          <w:sz w:val="22"/>
        </w:rPr>
        <w:t>En esta medida, carece de sentido que los criterios de desempate sean inaplicables a la mínima cuantía, cuando la regla revista en el artículo citado obliga a todas las entidades exceptuadas sin consideración al valor del presupuesto oficial estimado.</w:t>
      </w:r>
      <w:bookmarkStart w:id="9" w:name="_Hlk64307901"/>
      <w:r w:rsidR="00D22284">
        <w:rPr>
          <w:rFonts w:ascii="Arial" w:eastAsia="Calibri" w:hAnsi="Arial" w:cs="Arial"/>
          <w:bCs/>
          <w:sz w:val="22"/>
        </w:rPr>
        <w:t xml:space="preserve"> </w:t>
      </w:r>
      <w:r w:rsidRPr="00DD69FC">
        <w:rPr>
          <w:rFonts w:ascii="Arial" w:eastAsia="Calibri" w:hAnsi="Arial" w:cs="Arial"/>
          <w:bCs/>
          <w:sz w:val="22"/>
        </w:rPr>
        <w:t>Teniendo en cuenta lo anterior, se concluye</w:t>
      </w:r>
      <w:r w:rsidR="00623346" w:rsidRPr="00DD69FC">
        <w:rPr>
          <w:rFonts w:ascii="Arial" w:eastAsia="Calibri" w:hAnsi="Arial" w:cs="Arial"/>
          <w:bCs/>
          <w:sz w:val="22"/>
        </w:rPr>
        <w:t xml:space="preserve"> que el artículo </w:t>
      </w:r>
      <w:r w:rsidR="00623346" w:rsidRPr="00DD69FC">
        <w:rPr>
          <w:rFonts w:ascii="Arial" w:hAnsi="Arial" w:cs="Arial"/>
          <w:sz w:val="22"/>
          <w:szCs w:val="22"/>
          <w:lang w:val="es-ES_tradnl"/>
        </w:rPr>
        <w:t>35 de la Ley 2069 de 2020 es aplicable a</w:t>
      </w:r>
      <w:r w:rsidR="001A422D" w:rsidRPr="00DD69FC">
        <w:rPr>
          <w:rFonts w:ascii="Arial" w:hAnsi="Arial" w:cs="Arial"/>
          <w:sz w:val="22"/>
          <w:szCs w:val="22"/>
          <w:lang w:val="es-ES_tradnl"/>
        </w:rPr>
        <w:t xml:space="preserve"> los procesos de mínima cuantía y </w:t>
      </w:r>
      <w:r w:rsidR="000F069A" w:rsidRPr="00DD69FC">
        <w:rPr>
          <w:rFonts w:ascii="Arial" w:hAnsi="Arial" w:cs="Arial"/>
          <w:sz w:val="22"/>
          <w:szCs w:val="22"/>
          <w:lang w:val="es-ES_tradnl"/>
        </w:rPr>
        <w:t>adquisición en grandes superficies</w:t>
      </w:r>
      <w:r w:rsidR="00DD3CD4">
        <w:rPr>
          <w:rFonts w:ascii="Arial" w:hAnsi="Arial" w:cs="Arial"/>
          <w:sz w:val="22"/>
          <w:szCs w:val="22"/>
          <w:lang w:val="es-ES_tradnl"/>
        </w:rPr>
        <w:t>. En esta medida</w:t>
      </w:r>
      <w:r w:rsidR="00623346" w:rsidRPr="00DD69FC">
        <w:rPr>
          <w:rFonts w:ascii="Arial" w:hAnsi="Arial" w:cs="Arial"/>
          <w:sz w:val="22"/>
          <w:szCs w:val="22"/>
          <w:lang w:val="es-ES_tradnl"/>
        </w:rPr>
        <w:t xml:space="preserve"> se presenta tanto la derogación como el decaimiento de </w:t>
      </w:r>
      <w:r w:rsidR="00850C34" w:rsidRPr="00DD69FC">
        <w:rPr>
          <w:rFonts w:ascii="Arial" w:hAnsi="Arial" w:cs="Arial"/>
          <w:sz w:val="22"/>
          <w:szCs w:val="22"/>
          <w:lang w:val="es-ES_tradnl"/>
        </w:rPr>
        <w:t>los criterios de desempate previstos</w:t>
      </w:r>
      <w:r w:rsidR="00623346" w:rsidRPr="00DD69FC">
        <w:rPr>
          <w:rFonts w:ascii="Arial" w:hAnsi="Arial" w:cs="Arial"/>
          <w:sz w:val="22"/>
          <w:szCs w:val="22"/>
          <w:lang w:val="es-ES_tradnl"/>
        </w:rPr>
        <w:t xml:space="preserve"> en </w:t>
      </w:r>
      <w:r w:rsidR="00962E2B" w:rsidRPr="00DD69FC">
        <w:rPr>
          <w:rFonts w:ascii="Arial" w:hAnsi="Arial" w:cs="Arial"/>
          <w:sz w:val="22"/>
          <w:szCs w:val="22"/>
          <w:lang w:val="es-ES_tradnl"/>
        </w:rPr>
        <w:t>el numeral 7 del artículo 2.2.1.2.1.5.2</w:t>
      </w:r>
      <w:r w:rsidR="004C08D1" w:rsidRPr="00DD69FC">
        <w:rPr>
          <w:rFonts w:ascii="Arial" w:hAnsi="Arial" w:cs="Arial"/>
          <w:sz w:val="22"/>
          <w:szCs w:val="22"/>
          <w:lang w:val="es-ES_tradnl"/>
        </w:rPr>
        <w:t xml:space="preserve"> y en el numeral 3 del artículo 2.2.1.2.1.5.3 del Decreto 1082 de 2015</w:t>
      </w:r>
      <w:r w:rsidR="00623346" w:rsidRPr="00DD69FC">
        <w:rPr>
          <w:rFonts w:ascii="Arial" w:hAnsi="Arial" w:cs="Arial"/>
          <w:sz w:val="22"/>
          <w:szCs w:val="22"/>
          <w:lang w:val="es-ES_tradnl"/>
        </w:rPr>
        <w:t xml:space="preserve">. </w:t>
      </w:r>
      <w:r w:rsidR="00623346" w:rsidRPr="00DD69FC">
        <w:rPr>
          <w:rFonts w:ascii="Arial" w:eastAsia="Calibri" w:hAnsi="Arial" w:cs="Arial"/>
          <w:bCs/>
          <w:sz w:val="22"/>
        </w:rPr>
        <w:t xml:space="preserve"> </w:t>
      </w:r>
      <w:r w:rsidRPr="00DD69FC">
        <w:rPr>
          <w:rFonts w:ascii="Arial" w:eastAsia="Calibri" w:hAnsi="Arial" w:cs="Arial"/>
          <w:bCs/>
          <w:sz w:val="22"/>
        </w:rPr>
        <w:t xml:space="preserve">  </w:t>
      </w:r>
      <w:r w:rsidRPr="00DD69FC">
        <w:rPr>
          <w:rFonts w:ascii="Arial" w:hAnsi="Arial" w:cs="Arial"/>
          <w:sz w:val="22"/>
          <w:szCs w:val="22"/>
          <w:lang w:val="es-ES_tradnl"/>
        </w:rPr>
        <w:t xml:space="preserve">  </w:t>
      </w:r>
      <w:r w:rsidR="00AA3088" w:rsidRPr="00DD69FC">
        <w:rPr>
          <w:rFonts w:ascii="Arial" w:hAnsi="Arial" w:cs="Arial"/>
          <w:sz w:val="22"/>
          <w:szCs w:val="22"/>
          <w:lang w:val="es-ES_tradnl"/>
        </w:rPr>
        <w:t xml:space="preserve">   </w:t>
      </w:r>
    </w:p>
    <w:p w14:paraId="7FB46F8C" w14:textId="77777777" w:rsidR="00FB618A" w:rsidRPr="00DD69FC" w:rsidRDefault="00FB618A" w:rsidP="00D20E05">
      <w:pPr>
        <w:spacing w:line="276" w:lineRule="auto"/>
        <w:jc w:val="both"/>
        <w:rPr>
          <w:rFonts w:ascii="Arial" w:hAnsi="Arial" w:cs="Arial"/>
          <w:sz w:val="22"/>
          <w:szCs w:val="22"/>
          <w:lang w:val="es-ES_tradnl"/>
        </w:rPr>
      </w:pPr>
    </w:p>
    <w:p w14:paraId="76C1F3A7" w14:textId="07D84446" w:rsidR="00FB618A" w:rsidRPr="00DD69FC" w:rsidRDefault="00FB618A" w:rsidP="00FB618A">
      <w:pPr>
        <w:spacing w:line="276" w:lineRule="auto"/>
        <w:jc w:val="both"/>
        <w:rPr>
          <w:rFonts w:ascii="Arial" w:eastAsia="Calibri" w:hAnsi="Arial" w:cs="Arial"/>
          <w:b/>
          <w:bCs/>
          <w:sz w:val="22"/>
          <w:szCs w:val="22"/>
          <w:lang w:val="es-ES_tradnl"/>
        </w:rPr>
      </w:pPr>
      <w:r w:rsidRPr="00DD69FC">
        <w:rPr>
          <w:rFonts w:ascii="Arial" w:eastAsia="Calibri" w:hAnsi="Arial" w:cs="Arial"/>
          <w:b/>
          <w:bCs/>
          <w:sz w:val="22"/>
          <w:szCs w:val="22"/>
          <w:lang w:val="es-ES_tradnl"/>
        </w:rPr>
        <w:t xml:space="preserve">2.4. </w:t>
      </w:r>
      <w:r w:rsidR="001A1034" w:rsidRPr="00DD69FC">
        <w:rPr>
          <w:rFonts w:ascii="Arial" w:eastAsia="Calibri" w:hAnsi="Arial" w:cs="Arial"/>
          <w:b/>
          <w:bCs/>
          <w:sz w:val="22"/>
          <w:szCs w:val="22"/>
          <w:lang w:val="es-ES_tradnl"/>
        </w:rPr>
        <w:t xml:space="preserve">Aplicación </w:t>
      </w:r>
      <w:r w:rsidRPr="00DD69FC">
        <w:rPr>
          <w:rFonts w:ascii="Arial" w:eastAsia="Calibri" w:hAnsi="Arial" w:cs="Arial"/>
          <w:b/>
          <w:bCs/>
          <w:sz w:val="22"/>
          <w:szCs w:val="22"/>
          <w:lang w:val="es-ES_tradnl"/>
        </w:rPr>
        <w:t>de los factores de desempate consagrados en el artículo 35 de la Ley 2069 de 2020</w:t>
      </w:r>
    </w:p>
    <w:p w14:paraId="09AD481B" w14:textId="66A37915" w:rsidR="00FB618A" w:rsidRPr="00DD69FC" w:rsidRDefault="00FB618A" w:rsidP="00FB618A">
      <w:pPr>
        <w:spacing w:line="276" w:lineRule="auto"/>
        <w:jc w:val="both"/>
        <w:rPr>
          <w:rFonts w:ascii="Arial" w:eastAsia="Calibri" w:hAnsi="Arial" w:cs="Arial"/>
          <w:sz w:val="22"/>
          <w:szCs w:val="22"/>
          <w:lang w:val="es-ES_tradnl"/>
        </w:rPr>
      </w:pPr>
    </w:p>
    <w:p w14:paraId="2869004F" w14:textId="4D7C2D41" w:rsidR="00FB618A" w:rsidRPr="00DD69FC" w:rsidRDefault="00FB618A" w:rsidP="00FB618A">
      <w:pPr>
        <w:spacing w:line="276" w:lineRule="auto"/>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Como se estableció </w:t>
      </w:r>
      <w:r w:rsidRPr="00DD69FC">
        <w:rPr>
          <w:rFonts w:ascii="Arial" w:eastAsia="Calibri" w:hAnsi="Arial" w:cs="Arial"/>
          <w:i/>
          <w:iCs/>
          <w:sz w:val="22"/>
          <w:szCs w:val="22"/>
          <w:lang w:val="es-ES_tradnl"/>
        </w:rPr>
        <w:t xml:space="preserve">ut supra, </w:t>
      </w:r>
      <w:r w:rsidR="001A1034" w:rsidRPr="00DD69FC">
        <w:rPr>
          <w:rFonts w:ascii="Arial" w:eastAsia="Calibri" w:hAnsi="Arial" w:cs="Arial"/>
          <w:sz w:val="22"/>
          <w:szCs w:val="22"/>
          <w:lang w:val="es-ES_tradnl"/>
        </w:rPr>
        <w:t xml:space="preserve">los factores de desempate del artículo 35 de </w:t>
      </w:r>
      <w:r w:rsidR="005658EA" w:rsidRPr="00DD69FC">
        <w:rPr>
          <w:rFonts w:ascii="Arial" w:eastAsia="Calibri" w:hAnsi="Arial" w:cs="Arial"/>
          <w:sz w:val="22"/>
          <w:szCs w:val="22"/>
          <w:lang w:val="es-ES_tradnl"/>
        </w:rPr>
        <w:t xml:space="preserve">la Ley 2069 de 2020 son aplicables en los procesos de </w:t>
      </w:r>
      <w:r w:rsidR="009E52A9" w:rsidRPr="00DD69FC">
        <w:rPr>
          <w:rFonts w:ascii="Arial" w:eastAsia="Calibri" w:hAnsi="Arial" w:cs="Arial"/>
          <w:sz w:val="22"/>
          <w:szCs w:val="22"/>
          <w:lang w:val="es-ES_tradnl"/>
        </w:rPr>
        <w:t>selección realizados con cargo a recursos públicos, en los adelantados por las entidades es</w:t>
      </w:r>
      <w:r w:rsidR="00742DDD" w:rsidRPr="00DD69FC">
        <w:rPr>
          <w:rFonts w:ascii="Arial" w:eastAsia="Calibri" w:hAnsi="Arial" w:cs="Arial"/>
          <w:sz w:val="22"/>
          <w:szCs w:val="22"/>
          <w:lang w:val="es-ES_tradnl"/>
        </w:rPr>
        <w:t xml:space="preserve">tatales sin importar su régimen de contratación, </w:t>
      </w:r>
      <w:r w:rsidR="0045123C" w:rsidRPr="00DD69FC">
        <w:rPr>
          <w:rFonts w:ascii="Arial" w:eastAsia="Calibri" w:hAnsi="Arial" w:cs="Arial"/>
          <w:sz w:val="22"/>
          <w:szCs w:val="22"/>
          <w:lang w:val="es-ES_tradnl"/>
        </w:rPr>
        <w:t xml:space="preserve">al igual que en los adelantados por patrimonios autónomos </w:t>
      </w:r>
      <w:r w:rsidR="00D778F6" w:rsidRPr="00DD69FC">
        <w:rPr>
          <w:rFonts w:ascii="Arial" w:eastAsia="Calibri" w:hAnsi="Arial" w:cs="Arial"/>
          <w:sz w:val="22"/>
          <w:szCs w:val="22"/>
          <w:lang w:val="es-ES_tradnl"/>
        </w:rPr>
        <w:t>constituidos por entidades estatales, siendo además una norma de aplicación inmediata</w:t>
      </w:r>
      <w:r w:rsidR="001F5391" w:rsidRPr="00DD69FC">
        <w:rPr>
          <w:rFonts w:ascii="Arial" w:eastAsia="Calibri" w:hAnsi="Arial" w:cs="Arial"/>
          <w:sz w:val="22"/>
          <w:szCs w:val="22"/>
          <w:lang w:val="es-ES_tradnl"/>
        </w:rPr>
        <w:t>. Sobre la aplicación</w:t>
      </w:r>
      <w:r w:rsidR="00E00B30" w:rsidRPr="00DD69FC">
        <w:rPr>
          <w:rFonts w:ascii="Arial" w:eastAsia="Calibri" w:hAnsi="Arial" w:cs="Arial"/>
          <w:sz w:val="22"/>
          <w:szCs w:val="22"/>
          <w:lang w:val="es-ES_tradnl"/>
        </w:rPr>
        <w:t xml:space="preserve"> de tales factores, la norma </w:t>
      </w:r>
      <w:r w:rsidR="00E46683">
        <w:rPr>
          <w:rFonts w:ascii="Arial" w:eastAsia="Calibri" w:hAnsi="Arial" w:cs="Arial"/>
          <w:sz w:val="22"/>
          <w:szCs w:val="22"/>
          <w:lang w:val="es-ES_tradnl"/>
        </w:rPr>
        <w:t>dispone</w:t>
      </w:r>
      <w:r w:rsidR="00E00B30" w:rsidRPr="00DD69FC">
        <w:rPr>
          <w:rFonts w:ascii="Arial" w:eastAsia="Calibri" w:hAnsi="Arial" w:cs="Arial"/>
          <w:sz w:val="22"/>
          <w:szCs w:val="22"/>
          <w:lang w:val="es-ES_tradnl"/>
        </w:rPr>
        <w:t xml:space="preserve"> que debe</w:t>
      </w:r>
      <w:r w:rsidR="00E46683">
        <w:rPr>
          <w:rFonts w:ascii="Arial" w:eastAsia="Calibri" w:hAnsi="Arial" w:cs="Arial"/>
          <w:sz w:val="22"/>
          <w:szCs w:val="22"/>
          <w:lang w:val="es-ES_tradnl"/>
        </w:rPr>
        <w:t>n</w:t>
      </w:r>
      <w:r w:rsidR="00E00B30" w:rsidRPr="00DD69FC">
        <w:rPr>
          <w:rFonts w:ascii="Arial" w:eastAsia="Calibri" w:hAnsi="Arial" w:cs="Arial"/>
          <w:sz w:val="22"/>
          <w:szCs w:val="22"/>
          <w:lang w:val="es-ES_tradnl"/>
        </w:rPr>
        <w:t xml:space="preserve"> </w:t>
      </w:r>
      <w:r w:rsidR="00E46683">
        <w:rPr>
          <w:rFonts w:ascii="Arial" w:eastAsia="Calibri" w:hAnsi="Arial" w:cs="Arial"/>
          <w:sz w:val="22"/>
          <w:szCs w:val="22"/>
          <w:lang w:val="es-ES_tradnl"/>
        </w:rPr>
        <w:t>aplicarse</w:t>
      </w:r>
      <w:r w:rsidR="00E00B30" w:rsidRPr="00DD69FC">
        <w:rPr>
          <w:rFonts w:ascii="Arial" w:eastAsia="Calibri" w:hAnsi="Arial" w:cs="Arial"/>
          <w:sz w:val="22"/>
          <w:szCs w:val="22"/>
          <w:lang w:val="es-ES_tradnl"/>
        </w:rPr>
        <w:t xml:space="preserve"> de manera </w:t>
      </w:r>
      <w:r w:rsidR="00E00B30" w:rsidRPr="00DD69FC">
        <w:rPr>
          <w:rFonts w:ascii="Arial" w:eastAsia="Calibri" w:hAnsi="Arial" w:cs="Arial"/>
          <w:i/>
          <w:iCs/>
          <w:sz w:val="22"/>
          <w:szCs w:val="22"/>
          <w:lang w:val="es-ES_tradnl"/>
        </w:rPr>
        <w:t>sucesiva</w:t>
      </w:r>
      <w:r w:rsidR="00E00B30" w:rsidRPr="00DD69FC">
        <w:rPr>
          <w:rFonts w:ascii="Arial" w:eastAsia="Calibri" w:hAnsi="Arial" w:cs="Arial"/>
          <w:sz w:val="22"/>
          <w:szCs w:val="22"/>
          <w:lang w:val="es-ES_tradnl"/>
        </w:rPr>
        <w:t xml:space="preserve"> y </w:t>
      </w:r>
      <w:r w:rsidR="00E00B30" w:rsidRPr="00DD69FC">
        <w:rPr>
          <w:rFonts w:ascii="Arial" w:eastAsia="Calibri" w:hAnsi="Arial" w:cs="Arial"/>
          <w:i/>
          <w:iCs/>
          <w:sz w:val="22"/>
          <w:szCs w:val="22"/>
          <w:lang w:val="es-ES_tradnl"/>
        </w:rPr>
        <w:t xml:space="preserve">excluyente, </w:t>
      </w:r>
      <w:r w:rsidR="0090495E" w:rsidRPr="00DD69FC">
        <w:rPr>
          <w:rFonts w:ascii="Arial" w:eastAsia="Calibri" w:hAnsi="Arial" w:cs="Arial"/>
          <w:sz w:val="22"/>
          <w:szCs w:val="22"/>
          <w:lang w:val="es-ES_tradnl"/>
        </w:rPr>
        <w:t>respetando en todo caso los compromisos internacionales vigentes</w:t>
      </w:r>
      <w:r w:rsidR="009037B8" w:rsidRPr="00DD69FC">
        <w:rPr>
          <w:rFonts w:ascii="Arial" w:eastAsia="Calibri" w:hAnsi="Arial" w:cs="Arial"/>
          <w:sz w:val="22"/>
          <w:szCs w:val="22"/>
          <w:lang w:val="es-ES_tradnl"/>
        </w:rPr>
        <w:t xml:space="preserve">, sin referirse a un procedimiento </w:t>
      </w:r>
      <w:proofErr w:type="spellStart"/>
      <w:r w:rsidR="009037B8" w:rsidRPr="00DD69FC">
        <w:rPr>
          <w:rFonts w:ascii="Arial" w:eastAsia="Calibri" w:hAnsi="Arial" w:cs="Arial"/>
          <w:sz w:val="22"/>
          <w:szCs w:val="22"/>
          <w:lang w:val="es-ES_tradnl"/>
        </w:rPr>
        <w:t>especifico</w:t>
      </w:r>
      <w:proofErr w:type="spellEnd"/>
      <w:r w:rsidR="009037B8" w:rsidRPr="00DD69FC">
        <w:rPr>
          <w:rFonts w:ascii="Arial" w:eastAsia="Calibri" w:hAnsi="Arial" w:cs="Arial"/>
          <w:sz w:val="22"/>
          <w:szCs w:val="22"/>
          <w:lang w:val="es-ES_tradnl"/>
        </w:rPr>
        <w:t xml:space="preserve"> para su aplicación o acreditación</w:t>
      </w:r>
      <w:r w:rsidR="0032362D" w:rsidRPr="00DD69FC">
        <w:rPr>
          <w:rFonts w:ascii="Arial" w:eastAsia="Calibri" w:hAnsi="Arial" w:cs="Arial"/>
          <w:sz w:val="22"/>
          <w:szCs w:val="22"/>
          <w:lang w:val="es-ES_tradnl"/>
        </w:rPr>
        <w:t>, ni a la necesidad de norma reglamentaria como presupuesto para su eficacia.</w:t>
      </w:r>
    </w:p>
    <w:p w14:paraId="7A85E62A" w14:textId="1C4B173C" w:rsidR="00F675C7" w:rsidRPr="00DD69FC" w:rsidRDefault="00E6386F" w:rsidP="00FB618A">
      <w:pPr>
        <w:spacing w:before="120" w:line="276" w:lineRule="auto"/>
        <w:ind w:firstLine="709"/>
        <w:jc w:val="both"/>
        <w:rPr>
          <w:rFonts w:ascii="Arial" w:eastAsia="Calibri" w:hAnsi="Arial" w:cs="Arial"/>
          <w:sz w:val="22"/>
          <w:szCs w:val="22"/>
          <w:lang w:val="es-ES_tradnl"/>
        </w:rPr>
      </w:pPr>
      <w:bookmarkStart w:id="10" w:name="_Hlk62459524"/>
      <w:r w:rsidRPr="00DD69FC">
        <w:rPr>
          <w:rFonts w:ascii="Arial" w:hAnsi="Arial" w:cs="Arial"/>
          <w:sz w:val="22"/>
          <w:szCs w:val="22"/>
          <w:lang w:val="es-ES_tradnl"/>
        </w:rPr>
        <w:t>Según el inciso primero del</w:t>
      </w:r>
      <w:r w:rsidR="00F53C17" w:rsidRPr="00DD69FC">
        <w:rPr>
          <w:rFonts w:ascii="Arial" w:hAnsi="Arial" w:cs="Arial"/>
          <w:sz w:val="22"/>
          <w:szCs w:val="22"/>
          <w:lang w:val="es-ES_tradnl"/>
        </w:rPr>
        <w:t xml:space="preserve"> artículo 35</w:t>
      </w:r>
      <w:r w:rsidRPr="00DD69FC">
        <w:rPr>
          <w:rFonts w:ascii="Arial" w:hAnsi="Arial" w:cs="Arial"/>
          <w:sz w:val="22"/>
          <w:szCs w:val="22"/>
          <w:lang w:val="es-ES_tradnl"/>
        </w:rPr>
        <w:t xml:space="preserve"> de la Ley 2069 de 2020</w:t>
      </w:r>
      <w:r w:rsidR="00F53C17" w:rsidRPr="00DD69FC">
        <w:rPr>
          <w:rFonts w:ascii="Arial" w:hAnsi="Arial" w:cs="Arial"/>
          <w:sz w:val="22"/>
          <w:szCs w:val="22"/>
          <w:lang w:val="es-ES_tradnl"/>
        </w:rPr>
        <w:t xml:space="preserve"> deben aplicarse «[…] de forma sucesiva y excluyente para seleccionar al oferente favorecido</w:t>
      </w:r>
      <w:r w:rsidRPr="00DD69FC">
        <w:rPr>
          <w:rFonts w:ascii="Arial" w:hAnsi="Arial" w:cs="Arial"/>
          <w:sz w:val="22"/>
          <w:szCs w:val="22"/>
          <w:lang w:val="es-ES_tradnl"/>
        </w:rPr>
        <w:t xml:space="preserve"> […]</w:t>
      </w:r>
      <w:r w:rsidR="00F53C17" w:rsidRPr="00DD69FC">
        <w:rPr>
          <w:rFonts w:ascii="Arial" w:hAnsi="Arial" w:cs="Arial"/>
          <w:sz w:val="22"/>
          <w:szCs w:val="22"/>
          <w:lang w:val="es-ES_tradnl"/>
        </w:rPr>
        <w:t>»</w:t>
      </w:r>
      <w:r w:rsidR="00902A36" w:rsidRPr="00DD69FC">
        <w:rPr>
          <w:rFonts w:ascii="Arial" w:hAnsi="Arial" w:cs="Arial"/>
          <w:sz w:val="22"/>
          <w:szCs w:val="22"/>
          <w:lang w:val="es-ES_tradnl"/>
        </w:rPr>
        <w:t xml:space="preserve">. Esto significa </w:t>
      </w:r>
      <w:proofErr w:type="gramStart"/>
      <w:r w:rsidR="00902A36" w:rsidRPr="00DD69FC">
        <w:rPr>
          <w:rFonts w:ascii="Arial" w:hAnsi="Arial" w:cs="Arial"/>
          <w:sz w:val="22"/>
          <w:szCs w:val="22"/>
          <w:lang w:val="es-ES_tradnl"/>
        </w:rPr>
        <w:t>que</w:t>
      </w:r>
      <w:proofErr w:type="gramEnd"/>
      <w:r w:rsidR="00902A36" w:rsidRPr="00DD69FC">
        <w:rPr>
          <w:rFonts w:ascii="Arial" w:hAnsi="Arial" w:cs="Arial"/>
          <w:sz w:val="22"/>
          <w:szCs w:val="22"/>
          <w:lang w:val="es-ES_tradnl"/>
        </w:rPr>
        <w:t xml:space="preserve"> ante una situación de empate, la entidad que adelanta el procedimiento debe acudir, en primer lugar, al primero de los factores de desempate</w:t>
      </w:r>
      <w:r w:rsidR="00FB1DE2" w:rsidRPr="00DD69FC">
        <w:rPr>
          <w:rFonts w:ascii="Arial" w:hAnsi="Arial" w:cs="Arial"/>
          <w:sz w:val="22"/>
          <w:szCs w:val="22"/>
          <w:lang w:val="es-ES_tradnl"/>
        </w:rPr>
        <w:t xml:space="preserve"> contemplados en la norma, y en caso de que este no permita resolver el empate, proceder a aplicar el siguiente, </w:t>
      </w:r>
      <w:r w:rsidR="003C5350" w:rsidRPr="00DD69FC">
        <w:rPr>
          <w:rFonts w:ascii="Arial" w:hAnsi="Arial" w:cs="Arial"/>
          <w:sz w:val="22"/>
          <w:szCs w:val="22"/>
          <w:lang w:val="es-ES_tradnl"/>
        </w:rPr>
        <w:t xml:space="preserve">y así sucesivamente hasta </w:t>
      </w:r>
      <w:r w:rsidR="00827D0E" w:rsidRPr="00DD69FC">
        <w:rPr>
          <w:rFonts w:ascii="Arial" w:hAnsi="Arial" w:cs="Arial"/>
          <w:sz w:val="22"/>
          <w:szCs w:val="22"/>
          <w:lang w:val="es-ES_tradnl"/>
        </w:rPr>
        <w:t xml:space="preserve">encontrar uno que permite desempatar. </w:t>
      </w:r>
      <w:r w:rsidR="00F53C17" w:rsidRPr="00DD69FC">
        <w:rPr>
          <w:rFonts w:ascii="Arial" w:hAnsi="Arial" w:cs="Arial"/>
          <w:sz w:val="22"/>
          <w:szCs w:val="22"/>
          <w:lang w:val="es-ES_tradnl"/>
        </w:rPr>
        <w:t xml:space="preserve"> </w:t>
      </w:r>
    </w:p>
    <w:bookmarkEnd w:id="10"/>
    <w:p w14:paraId="7EE95C2E" w14:textId="20EF8D0A" w:rsidR="00FB618A" w:rsidRPr="00DD69FC" w:rsidRDefault="008935EF" w:rsidP="00FB618A">
      <w:pPr>
        <w:spacing w:before="120" w:line="276" w:lineRule="auto"/>
        <w:ind w:firstLine="709"/>
        <w:jc w:val="both"/>
        <w:rPr>
          <w:rFonts w:ascii="Arial" w:hAnsi="Arial" w:cs="Arial"/>
          <w:sz w:val="22"/>
          <w:szCs w:val="22"/>
          <w:lang w:val="es-ES_tradnl"/>
        </w:rPr>
      </w:pPr>
      <w:r w:rsidRPr="00DD69FC">
        <w:rPr>
          <w:rFonts w:ascii="Arial" w:hAnsi="Arial" w:cs="Arial"/>
          <w:sz w:val="22"/>
          <w:szCs w:val="22"/>
          <w:lang w:val="es-ES_tradnl"/>
        </w:rPr>
        <w:lastRenderedPageBreak/>
        <w:t xml:space="preserve">Por otro lado, </w:t>
      </w:r>
      <w:r w:rsidR="00F2228E" w:rsidRPr="00DD69FC">
        <w:rPr>
          <w:rFonts w:ascii="Arial" w:hAnsi="Arial" w:cs="Arial"/>
          <w:sz w:val="22"/>
          <w:szCs w:val="22"/>
          <w:lang w:val="es-ES_tradnl"/>
        </w:rPr>
        <w:t xml:space="preserve">el deber de aplicar los factores de desempate </w:t>
      </w:r>
      <w:r w:rsidR="00821E20" w:rsidRPr="00DD69FC">
        <w:rPr>
          <w:rFonts w:ascii="Arial" w:hAnsi="Arial" w:cs="Arial"/>
          <w:sz w:val="22"/>
          <w:szCs w:val="22"/>
          <w:lang w:val="es-ES_tradnl"/>
        </w:rPr>
        <w:t>«</w:t>
      </w:r>
      <w:r w:rsidR="00E6386F" w:rsidRPr="00DD69FC">
        <w:rPr>
          <w:rFonts w:ascii="Arial" w:hAnsi="Arial" w:cs="Arial"/>
          <w:sz w:val="22"/>
          <w:szCs w:val="22"/>
          <w:lang w:val="es-ES_tradnl"/>
        </w:rPr>
        <w:t xml:space="preserve">[…] </w:t>
      </w:r>
      <w:r w:rsidR="00F2228E" w:rsidRPr="00DD69FC">
        <w:rPr>
          <w:rFonts w:ascii="Arial" w:hAnsi="Arial" w:cs="Arial"/>
          <w:sz w:val="22"/>
          <w:szCs w:val="22"/>
          <w:lang w:val="es-ES_tradnl"/>
        </w:rPr>
        <w:t xml:space="preserve">respetando los </w:t>
      </w:r>
      <w:r w:rsidR="00F675C7" w:rsidRPr="00DD69FC">
        <w:rPr>
          <w:rFonts w:ascii="Arial" w:hAnsi="Arial" w:cs="Arial"/>
          <w:sz w:val="22"/>
          <w:szCs w:val="22"/>
          <w:lang w:val="es-ES_tradnl"/>
        </w:rPr>
        <w:t>compromisos internacionales vigentes</w:t>
      </w:r>
      <w:r w:rsidR="00E6386F" w:rsidRPr="00DD69FC">
        <w:rPr>
          <w:rFonts w:ascii="Arial" w:hAnsi="Arial" w:cs="Arial"/>
          <w:sz w:val="22"/>
          <w:szCs w:val="22"/>
          <w:lang w:val="es-ES_tradnl"/>
        </w:rPr>
        <w:t xml:space="preserve"> […]</w:t>
      </w:r>
      <w:r w:rsidR="00821E20" w:rsidRPr="00DD69FC">
        <w:rPr>
          <w:rFonts w:ascii="Arial" w:hAnsi="Arial" w:cs="Arial"/>
          <w:sz w:val="22"/>
          <w:szCs w:val="22"/>
          <w:lang w:val="es-ES_tradnl"/>
        </w:rPr>
        <w:t>»</w:t>
      </w:r>
      <w:r w:rsidR="00F675C7" w:rsidRPr="00DD69FC">
        <w:rPr>
          <w:rFonts w:ascii="Arial" w:hAnsi="Arial" w:cs="Arial"/>
          <w:sz w:val="22"/>
          <w:szCs w:val="22"/>
          <w:lang w:val="es-ES_tradnl"/>
        </w:rPr>
        <w:t xml:space="preserve">, implica que si </w:t>
      </w:r>
      <w:r w:rsidR="00FB618A" w:rsidRPr="00DD69FC">
        <w:rPr>
          <w:rFonts w:ascii="Arial" w:hAnsi="Arial" w:cs="Arial"/>
          <w:sz w:val="22"/>
          <w:szCs w:val="22"/>
          <w:lang w:val="es-ES_tradnl"/>
        </w:rPr>
        <w:t xml:space="preserve">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2069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 </w:t>
      </w:r>
    </w:p>
    <w:p w14:paraId="7AC825F8" w14:textId="38021532" w:rsidR="00F2228E" w:rsidRPr="00DD69FC" w:rsidRDefault="00F2228E" w:rsidP="00F2228E">
      <w:pPr>
        <w:spacing w:before="120" w:line="276" w:lineRule="auto"/>
        <w:ind w:firstLine="709"/>
        <w:jc w:val="both"/>
        <w:rPr>
          <w:rFonts w:ascii="Arial" w:hAnsi="Arial" w:cs="Arial"/>
          <w:sz w:val="22"/>
          <w:szCs w:val="22"/>
          <w:lang w:val="es-ES_tradnl"/>
        </w:rPr>
      </w:pPr>
      <w:r w:rsidRPr="00DD69FC">
        <w:rPr>
          <w:rFonts w:ascii="Arial" w:hAnsi="Arial" w:cs="Arial"/>
          <w:sz w:val="22"/>
          <w:szCs w:val="22"/>
          <w:lang w:val="es-ES_tradnl"/>
        </w:rPr>
        <w:t>Sin perjuicio de lo anterior,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629B1F31" w14:textId="77777777" w:rsidR="00D50BBE" w:rsidRDefault="00410A64" w:rsidP="00410A64">
      <w:pPr>
        <w:spacing w:before="120" w:line="276" w:lineRule="auto"/>
        <w:ind w:firstLine="709"/>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En lo que respecta a la demostración de los supuestos fácticos y jurídicos de los factores de desempate, conviene señalar que los numerales previstos en el artículo 35 de la Ley 2069 de 2020 no establecen medios específicos para acreditar cada una de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6A1F1681" w14:textId="24761F4A" w:rsidR="00410A64" w:rsidRPr="00DD69FC" w:rsidRDefault="00410A64" w:rsidP="00410A64">
      <w:pPr>
        <w:spacing w:before="120" w:line="276" w:lineRule="auto"/>
        <w:ind w:firstLine="709"/>
        <w:jc w:val="both"/>
        <w:rPr>
          <w:rFonts w:ascii="Arial" w:eastAsia="Calibri" w:hAnsi="Arial" w:cs="Arial"/>
          <w:sz w:val="22"/>
          <w:szCs w:val="22"/>
          <w:lang w:val="es-ES_tradnl"/>
        </w:rPr>
      </w:pPr>
      <w:r w:rsidRPr="00DD69FC">
        <w:rPr>
          <w:rFonts w:ascii="Arial" w:eastAsia="Calibri" w:hAnsi="Arial" w:cs="Arial"/>
          <w:sz w:val="22"/>
          <w:szCs w:val="22"/>
          <w:lang w:val="es-ES_tradnl"/>
        </w:rPr>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bookmarkEnd w:id="9"/>
    <w:p w14:paraId="08FBFC73" w14:textId="77777777" w:rsidR="00D20E05" w:rsidRPr="00DD69FC" w:rsidRDefault="00D20E05" w:rsidP="00510DE9">
      <w:pPr>
        <w:tabs>
          <w:tab w:val="left" w:pos="0"/>
        </w:tabs>
        <w:jc w:val="both"/>
        <w:rPr>
          <w:rFonts w:ascii="Arial" w:eastAsia="Calibri" w:hAnsi="Arial" w:cs="Arial"/>
          <w:b/>
          <w:sz w:val="22"/>
          <w:lang w:val="es-ES_tradnl"/>
        </w:rPr>
      </w:pPr>
    </w:p>
    <w:p w14:paraId="37CA9805" w14:textId="69EB7532" w:rsidR="00DD5B04" w:rsidRPr="00DD69FC" w:rsidRDefault="004177A6" w:rsidP="00510DE9">
      <w:pPr>
        <w:tabs>
          <w:tab w:val="left" w:pos="0"/>
        </w:tabs>
        <w:jc w:val="both"/>
        <w:rPr>
          <w:rFonts w:ascii="Arial" w:eastAsia="Calibri" w:hAnsi="Arial" w:cs="Arial"/>
          <w:b/>
          <w:sz w:val="22"/>
          <w:lang w:val="es-ES_tradnl"/>
        </w:rPr>
      </w:pPr>
      <w:r w:rsidRPr="00DD69FC">
        <w:rPr>
          <w:rFonts w:ascii="Arial" w:eastAsia="Calibri" w:hAnsi="Arial" w:cs="Arial"/>
          <w:b/>
          <w:sz w:val="22"/>
          <w:lang w:val="es-ES_tradnl"/>
        </w:rPr>
        <w:t>3</w:t>
      </w:r>
      <w:r w:rsidR="00B011A9" w:rsidRPr="00DD69FC">
        <w:rPr>
          <w:rFonts w:ascii="Arial" w:eastAsia="Calibri" w:hAnsi="Arial" w:cs="Arial"/>
          <w:b/>
          <w:sz w:val="22"/>
          <w:lang w:val="es-ES_tradnl"/>
        </w:rPr>
        <w:t xml:space="preserve">. </w:t>
      </w:r>
      <w:r w:rsidR="00DD5B04" w:rsidRPr="00DD69FC">
        <w:rPr>
          <w:rFonts w:ascii="Arial" w:eastAsia="Calibri" w:hAnsi="Arial" w:cs="Arial"/>
          <w:b/>
          <w:sz w:val="22"/>
          <w:lang w:val="es-ES_tradnl"/>
        </w:rPr>
        <w:t>Respuesta</w:t>
      </w:r>
      <w:r w:rsidR="002A7D84" w:rsidRPr="00DD69FC">
        <w:rPr>
          <w:rFonts w:ascii="Arial" w:eastAsia="Calibri" w:hAnsi="Arial" w:cs="Arial"/>
          <w:b/>
          <w:sz w:val="22"/>
          <w:lang w:val="es-ES_tradnl"/>
        </w:rPr>
        <w:t>s</w:t>
      </w:r>
    </w:p>
    <w:p w14:paraId="0B74D5B8" w14:textId="7F0A7F13" w:rsidR="00C4581D" w:rsidRPr="00DD69FC" w:rsidRDefault="00C4581D" w:rsidP="00510DE9">
      <w:pPr>
        <w:tabs>
          <w:tab w:val="left" w:pos="0"/>
        </w:tabs>
        <w:jc w:val="both"/>
        <w:rPr>
          <w:rFonts w:ascii="Arial" w:eastAsia="Calibri" w:hAnsi="Arial" w:cs="Arial"/>
          <w:sz w:val="22"/>
          <w:lang w:val="es-ES_tradnl"/>
        </w:rPr>
      </w:pPr>
    </w:p>
    <w:p w14:paraId="5BB59FAC" w14:textId="042EFA2C" w:rsidR="00BA0016" w:rsidRPr="00DD69FC" w:rsidRDefault="001C6DA2" w:rsidP="00961044">
      <w:pPr>
        <w:ind w:left="709" w:right="709"/>
        <w:jc w:val="both"/>
        <w:rPr>
          <w:rFonts w:ascii="Arial" w:hAnsi="Arial" w:cs="Arial"/>
          <w:sz w:val="21"/>
          <w:szCs w:val="21"/>
          <w:lang w:val="es-ES_tradnl"/>
        </w:rPr>
      </w:pPr>
      <w:r>
        <w:rPr>
          <w:rFonts w:ascii="Arial" w:hAnsi="Arial" w:cs="Arial"/>
          <w:sz w:val="21"/>
          <w:szCs w:val="21"/>
          <w:lang w:val="es-ES_tradnl"/>
        </w:rPr>
        <w:t xml:space="preserve">i) </w:t>
      </w:r>
      <w:r w:rsidR="00BA0016" w:rsidRPr="00DD69FC">
        <w:rPr>
          <w:rFonts w:ascii="Arial" w:hAnsi="Arial" w:cs="Arial"/>
          <w:sz w:val="21"/>
          <w:szCs w:val="21"/>
          <w:lang w:val="es-ES_tradnl"/>
        </w:rPr>
        <w:t>«</w:t>
      </w:r>
      <w:proofErr w:type="gramStart"/>
      <w:r w:rsidR="00BA0016" w:rsidRPr="00DD69FC">
        <w:rPr>
          <w:rFonts w:ascii="Arial" w:hAnsi="Arial" w:cs="Arial"/>
          <w:sz w:val="21"/>
          <w:szCs w:val="21"/>
          <w:lang w:val="es-ES_tradnl"/>
        </w:rPr>
        <w:t>¿Considera Colombia Compra Eficiente que Ley 2069 de 2020 también derogó el numeral 7 del Artículo 2.</w:t>
      </w:r>
      <w:proofErr w:type="gramEnd"/>
      <w:r w:rsidR="00BA0016" w:rsidRPr="00DD69FC">
        <w:rPr>
          <w:rFonts w:ascii="Arial" w:hAnsi="Arial" w:cs="Arial"/>
          <w:sz w:val="21"/>
          <w:szCs w:val="21"/>
          <w:lang w:val="es-ES_tradnl"/>
        </w:rPr>
        <w:t>2.1.2.1.5.2. y el numeral 3 del artículo 2.2.1.2.1.5.3.del Decreto 1082 de 2015?</w:t>
      </w:r>
      <w:r w:rsidR="000231FC" w:rsidRPr="00DD69FC">
        <w:rPr>
          <w:rFonts w:ascii="Arial" w:hAnsi="Arial" w:cs="Arial"/>
          <w:sz w:val="21"/>
          <w:szCs w:val="21"/>
          <w:lang w:val="es-ES_tradnl"/>
        </w:rPr>
        <w:t>»</w:t>
      </w:r>
      <w:r>
        <w:rPr>
          <w:rFonts w:ascii="Arial" w:hAnsi="Arial" w:cs="Arial"/>
          <w:sz w:val="21"/>
          <w:szCs w:val="21"/>
          <w:lang w:val="es-ES_tradnl"/>
        </w:rPr>
        <w:t>.</w:t>
      </w:r>
    </w:p>
    <w:p w14:paraId="467B7625" w14:textId="77777777" w:rsidR="00BA0016" w:rsidRPr="00DD69FC" w:rsidRDefault="00BA0016" w:rsidP="00DF76A2">
      <w:pPr>
        <w:spacing w:line="276" w:lineRule="auto"/>
        <w:jc w:val="both"/>
        <w:rPr>
          <w:rFonts w:ascii="Arial" w:eastAsia="Calibri" w:hAnsi="Arial" w:cs="Arial"/>
          <w:sz w:val="22"/>
          <w:szCs w:val="22"/>
          <w:lang w:val="es-ES_tradnl"/>
        </w:rPr>
      </w:pPr>
    </w:p>
    <w:p w14:paraId="43708F48" w14:textId="2FF0DDD8" w:rsidR="00CA5E65" w:rsidRPr="00DD69FC" w:rsidRDefault="00F740A0" w:rsidP="00DF76A2">
      <w:pPr>
        <w:spacing w:line="276" w:lineRule="auto"/>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El artículo 35 de la Ley </w:t>
      </w:r>
      <w:r w:rsidR="006F0F34" w:rsidRPr="00DD69FC">
        <w:rPr>
          <w:rFonts w:ascii="Arial" w:eastAsia="Calibri" w:hAnsi="Arial" w:cs="Arial"/>
          <w:sz w:val="22"/>
          <w:szCs w:val="22"/>
          <w:lang w:val="es-ES_tradnl"/>
        </w:rPr>
        <w:t>2069</w:t>
      </w:r>
      <w:r w:rsidRPr="00DD69FC">
        <w:rPr>
          <w:rFonts w:ascii="Arial" w:eastAsia="Calibri" w:hAnsi="Arial" w:cs="Arial"/>
          <w:sz w:val="22"/>
          <w:szCs w:val="22"/>
          <w:lang w:val="es-ES_tradnl"/>
        </w:rPr>
        <w:t xml:space="preserve"> de 2020, que modifica el régimen de los factores de desempate en la contratación estatal, se encuentra vigente y goza de aplicación directa desde la fecha de su promulgación, </w:t>
      </w:r>
      <w:r w:rsidR="0018007F" w:rsidRPr="00DD69FC">
        <w:rPr>
          <w:rFonts w:ascii="Arial" w:eastAsia="Calibri" w:hAnsi="Arial" w:cs="Arial"/>
          <w:sz w:val="22"/>
          <w:szCs w:val="22"/>
          <w:lang w:val="es-ES_tradnl"/>
        </w:rPr>
        <w:t>es decir,</w:t>
      </w:r>
      <w:r w:rsidRPr="00DD69FC">
        <w:rPr>
          <w:rFonts w:ascii="Arial" w:eastAsia="Calibri" w:hAnsi="Arial" w:cs="Arial"/>
          <w:sz w:val="22"/>
          <w:szCs w:val="22"/>
          <w:lang w:val="es-ES_tradnl"/>
        </w:rPr>
        <w:t xml:space="preserve"> no requiere de una reglamentación previa como presupuesto para su eficacia.</w:t>
      </w:r>
      <w:r w:rsidR="00470552" w:rsidRPr="00DD69FC">
        <w:rPr>
          <w:rFonts w:ascii="Arial" w:eastAsia="Calibri" w:hAnsi="Arial" w:cs="Arial"/>
          <w:sz w:val="22"/>
          <w:szCs w:val="22"/>
          <w:lang w:val="es-ES_tradnl"/>
        </w:rPr>
        <w:t xml:space="preserve"> </w:t>
      </w:r>
      <w:r w:rsidR="0018007F" w:rsidRPr="00DD69FC">
        <w:rPr>
          <w:rFonts w:ascii="Arial" w:eastAsia="Calibri" w:hAnsi="Arial" w:cs="Arial"/>
          <w:sz w:val="22"/>
          <w:szCs w:val="22"/>
          <w:lang w:val="es-ES_tradnl"/>
        </w:rPr>
        <w:t>Estos</w:t>
      </w:r>
      <w:r w:rsidR="009E41E5" w:rsidRPr="00DD69FC">
        <w:rPr>
          <w:rFonts w:ascii="Arial" w:eastAsia="Calibri" w:hAnsi="Arial" w:cs="Arial"/>
          <w:sz w:val="22"/>
          <w:szCs w:val="22"/>
          <w:lang w:val="es-ES_tradnl"/>
        </w:rPr>
        <w:t xml:space="preserve"> criterios de desempate </w:t>
      </w:r>
      <w:r w:rsidR="0018007F" w:rsidRPr="00DD69FC">
        <w:rPr>
          <w:rFonts w:ascii="Arial" w:eastAsia="Calibri" w:hAnsi="Arial" w:cs="Arial"/>
          <w:sz w:val="22"/>
          <w:szCs w:val="22"/>
          <w:lang w:val="es-ES_tradnl"/>
        </w:rPr>
        <w:t>actualmente</w:t>
      </w:r>
      <w:r w:rsidR="0018007F" w:rsidRPr="00DD69FC" w:rsidDel="0018007F">
        <w:rPr>
          <w:rFonts w:ascii="Arial" w:eastAsia="Calibri" w:hAnsi="Arial" w:cs="Arial"/>
          <w:sz w:val="22"/>
          <w:szCs w:val="22"/>
          <w:lang w:val="es-ES_tradnl"/>
        </w:rPr>
        <w:t xml:space="preserve"> </w:t>
      </w:r>
      <w:r w:rsidR="009E41E5" w:rsidRPr="00DD69FC">
        <w:rPr>
          <w:rFonts w:ascii="Arial" w:eastAsia="Calibri" w:hAnsi="Arial" w:cs="Arial"/>
          <w:sz w:val="22"/>
          <w:szCs w:val="22"/>
          <w:lang w:val="es-ES_tradnl"/>
        </w:rPr>
        <w:t>son</w:t>
      </w:r>
      <w:r w:rsidR="00DB31EE" w:rsidRPr="00DD69FC">
        <w:rPr>
          <w:rFonts w:ascii="Arial" w:eastAsia="Calibri" w:hAnsi="Arial" w:cs="Arial"/>
          <w:sz w:val="22"/>
          <w:szCs w:val="22"/>
          <w:lang w:val="es-ES_tradnl"/>
        </w:rPr>
        <w:t xml:space="preserve"> </w:t>
      </w:r>
      <w:r w:rsidR="009E41E5" w:rsidRPr="00DD69FC">
        <w:rPr>
          <w:rFonts w:ascii="Arial" w:eastAsia="Calibri" w:hAnsi="Arial" w:cs="Arial"/>
          <w:sz w:val="22"/>
          <w:szCs w:val="22"/>
          <w:lang w:val="es-ES_tradnl"/>
        </w:rPr>
        <w:t>aplicables</w:t>
      </w:r>
      <w:r w:rsidR="00DB31EE" w:rsidRPr="00DD69FC">
        <w:rPr>
          <w:rFonts w:ascii="Arial" w:eastAsia="Calibri" w:hAnsi="Arial" w:cs="Arial"/>
          <w:sz w:val="22"/>
          <w:szCs w:val="22"/>
          <w:lang w:val="es-ES_tradnl"/>
        </w:rPr>
        <w:t xml:space="preserve"> </w:t>
      </w:r>
      <w:r w:rsidR="009E41E5" w:rsidRPr="00DD69FC">
        <w:rPr>
          <w:rFonts w:ascii="Arial" w:eastAsia="Calibri" w:hAnsi="Arial" w:cs="Arial"/>
          <w:sz w:val="22"/>
          <w:szCs w:val="22"/>
          <w:lang w:val="es-ES_tradnl"/>
        </w:rPr>
        <w:t>a todas las entidades estatales</w:t>
      </w:r>
      <w:r w:rsidR="00DB31EE" w:rsidRPr="00DD69FC">
        <w:rPr>
          <w:rFonts w:ascii="Arial" w:eastAsia="Calibri" w:hAnsi="Arial" w:cs="Arial"/>
          <w:sz w:val="22"/>
          <w:szCs w:val="22"/>
          <w:lang w:val="es-ES_tradnl"/>
        </w:rPr>
        <w:t>, independientemente de su régimen de contratación.</w:t>
      </w:r>
    </w:p>
    <w:p w14:paraId="355AC078" w14:textId="3297D5E3" w:rsidR="00C440B6" w:rsidRPr="00DD69FC" w:rsidRDefault="00C440B6" w:rsidP="00C440B6">
      <w:pPr>
        <w:spacing w:before="120" w:line="276" w:lineRule="auto"/>
        <w:ind w:firstLine="709"/>
        <w:jc w:val="both"/>
        <w:rPr>
          <w:rFonts w:ascii="Arial" w:hAnsi="Arial" w:cs="Arial"/>
          <w:sz w:val="22"/>
          <w:szCs w:val="22"/>
          <w:lang w:val="es-ES_tradnl"/>
        </w:rPr>
      </w:pPr>
      <w:r w:rsidRPr="00DD69FC">
        <w:rPr>
          <w:rFonts w:ascii="Arial" w:hAnsi="Arial" w:cs="Arial"/>
          <w:sz w:val="22"/>
          <w:szCs w:val="22"/>
          <w:lang w:val="es-ES_tradnl"/>
        </w:rPr>
        <w:t xml:space="preserve">Ahora bien, hasta la promulgación de la Ley </w:t>
      </w:r>
      <w:r w:rsidR="006F0F34" w:rsidRPr="00DD69FC">
        <w:rPr>
          <w:rFonts w:ascii="Arial" w:hAnsi="Arial" w:cs="Arial"/>
          <w:sz w:val="22"/>
          <w:szCs w:val="22"/>
          <w:lang w:val="es-ES_tradnl"/>
        </w:rPr>
        <w:t>2069</w:t>
      </w:r>
      <w:r w:rsidRPr="00DD69FC">
        <w:rPr>
          <w:rFonts w:ascii="Arial" w:hAnsi="Arial" w:cs="Arial"/>
          <w:sz w:val="22"/>
          <w:szCs w:val="22"/>
          <w:lang w:val="es-ES_tradnl"/>
        </w:rPr>
        <w:t xml:space="preserve"> de 2020, el artículo 2.2.1.1.2.2.9. del Decreto 1082 de 2015 </w:t>
      </w:r>
      <w:r w:rsidR="001F10BD" w:rsidRPr="00DD69FC">
        <w:rPr>
          <w:rFonts w:ascii="Arial" w:hAnsi="Arial" w:cs="Arial"/>
          <w:sz w:val="22"/>
          <w:szCs w:val="22"/>
          <w:lang w:val="es-ES_tradnl"/>
        </w:rPr>
        <w:t>regulaba</w:t>
      </w:r>
      <w:r w:rsidRPr="00DD69FC">
        <w:rPr>
          <w:rFonts w:ascii="Arial" w:hAnsi="Arial" w:cs="Arial"/>
          <w:sz w:val="22"/>
          <w:szCs w:val="22"/>
          <w:lang w:val="es-ES_tradnl"/>
        </w:rPr>
        <w:t xml:space="preserve"> los factores de desempate que debían aplicarse en los procesos de selección. En criterio de esta </w:t>
      </w:r>
      <w:r w:rsidR="009962B0" w:rsidRPr="00DD69FC">
        <w:rPr>
          <w:rFonts w:ascii="Arial" w:hAnsi="Arial" w:cs="Arial"/>
          <w:sz w:val="22"/>
          <w:szCs w:val="22"/>
          <w:lang w:val="es-ES_tradnl"/>
        </w:rPr>
        <w:t>Agencia</w:t>
      </w:r>
      <w:r w:rsidRPr="00DD69FC">
        <w:rPr>
          <w:rFonts w:ascii="Arial" w:hAnsi="Arial" w:cs="Arial"/>
          <w:sz w:val="22"/>
          <w:szCs w:val="22"/>
          <w:lang w:val="es-ES_tradnl"/>
        </w:rPr>
        <w:t xml:space="preserve">, dicha norma debe entenderse derogada por el artículo 35 de la Ley </w:t>
      </w:r>
      <w:r w:rsidR="006F0F34" w:rsidRPr="00DD69FC">
        <w:rPr>
          <w:rFonts w:ascii="Arial" w:hAnsi="Arial" w:cs="Arial"/>
          <w:sz w:val="22"/>
          <w:szCs w:val="22"/>
          <w:lang w:val="es-ES_tradnl"/>
        </w:rPr>
        <w:t>2069</w:t>
      </w:r>
      <w:r w:rsidRPr="00DD69FC">
        <w:rPr>
          <w:rFonts w:ascii="Arial" w:hAnsi="Arial" w:cs="Arial"/>
          <w:sz w:val="22"/>
          <w:szCs w:val="22"/>
          <w:lang w:val="es-ES_tradnl"/>
        </w:rPr>
        <w:t xml:space="preserve"> de 2020. Ello no solo porque el artículo 84 de esta Ley dice que «rige a partir del momento de su promulgación», es decir, desde el 31 de diciembre de 2020, sino además porque la misma disposición señala que la Ley </w:t>
      </w:r>
      <w:r w:rsidR="006F0F34" w:rsidRPr="00DD69FC">
        <w:rPr>
          <w:rFonts w:ascii="Arial" w:hAnsi="Arial" w:cs="Arial"/>
          <w:sz w:val="22"/>
          <w:szCs w:val="22"/>
          <w:lang w:val="es-ES_tradnl"/>
        </w:rPr>
        <w:t>2069</w:t>
      </w:r>
      <w:r w:rsidRPr="00DD69FC">
        <w:rPr>
          <w:rFonts w:ascii="Arial" w:hAnsi="Arial" w:cs="Arial"/>
          <w:sz w:val="22"/>
          <w:szCs w:val="22"/>
          <w:lang w:val="es-ES_tradnl"/>
        </w:rPr>
        <w:t xml:space="preserve"> de 2020 deroga «[…] todas las disposiciones que le sean contrarias». </w:t>
      </w:r>
    </w:p>
    <w:p w14:paraId="749640EA" w14:textId="6233E8F2" w:rsidR="00623346" w:rsidRPr="00DD69FC" w:rsidRDefault="00C440B6" w:rsidP="00C440B6">
      <w:pPr>
        <w:spacing w:before="120" w:line="276" w:lineRule="auto"/>
        <w:ind w:firstLine="709"/>
        <w:jc w:val="both"/>
        <w:rPr>
          <w:rFonts w:ascii="Arial" w:hAnsi="Arial" w:cs="Arial"/>
          <w:sz w:val="22"/>
          <w:szCs w:val="22"/>
          <w:lang w:val="es-ES_tradnl"/>
        </w:rPr>
      </w:pPr>
      <w:r w:rsidRPr="00DD69FC">
        <w:rPr>
          <w:rFonts w:ascii="Arial" w:hAnsi="Arial" w:cs="Arial"/>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w:t>
      </w:r>
      <w:r w:rsidR="005F5694" w:rsidRPr="00DD69FC">
        <w:rPr>
          <w:rFonts w:ascii="Arial" w:hAnsi="Arial" w:cs="Arial"/>
          <w:sz w:val="22"/>
          <w:szCs w:val="22"/>
          <w:lang w:val="es-ES_tradnl"/>
        </w:rPr>
        <w:t xml:space="preserve">Dado que el Decreto 1082 de 2015 es un reglamento </w:t>
      </w:r>
      <w:proofErr w:type="spellStart"/>
      <w:r w:rsidR="005F5694" w:rsidRPr="00DD69FC">
        <w:rPr>
          <w:rFonts w:ascii="Arial" w:hAnsi="Arial" w:cs="Arial"/>
          <w:i/>
          <w:iCs/>
          <w:sz w:val="22"/>
          <w:szCs w:val="22"/>
          <w:lang w:val="es-ES_tradnl"/>
        </w:rPr>
        <w:t>secundum</w:t>
      </w:r>
      <w:proofErr w:type="spellEnd"/>
      <w:r w:rsidR="005F5694" w:rsidRPr="00DD69FC">
        <w:rPr>
          <w:rFonts w:ascii="Arial" w:hAnsi="Arial" w:cs="Arial"/>
          <w:i/>
          <w:iCs/>
          <w:sz w:val="22"/>
          <w:szCs w:val="22"/>
          <w:lang w:val="es-ES_tradnl"/>
        </w:rPr>
        <w:t xml:space="preserve"> </w:t>
      </w:r>
      <w:proofErr w:type="spellStart"/>
      <w:r w:rsidR="005F5694" w:rsidRPr="00DD69FC">
        <w:rPr>
          <w:rFonts w:ascii="Arial" w:hAnsi="Arial" w:cs="Arial"/>
          <w:i/>
          <w:iCs/>
          <w:sz w:val="22"/>
          <w:szCs w:val="22"/>
          <w:lang w:val="es-ES_tradnl"/>
        </w:rPr>
        <w:t>legem</w:t>
      </w:r>
      <w:proofErr w:type="spellEnd"/>
      <w:r w:rsidR="005F5694" w:rsidRPr="00DD69FC">
        <w:rPr>
          <w:rFonts w:ascii="Arial" w:hAnsi="Arial" w:cs="Arial"/>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w:t>
      </w:r>
      <w:r w:rsidRPr="00DD69FC">
        <w:rPr>
          <w:rFonts w:ascii="Arial" w:hAnsi="Arial" w:cs="Arial"/>
          <w:sz w:val="22"/>
          <w:szCs w:val="22"/>
          <w:lang w:val="es-ES_tradnl"/>
        </w:rPr>
        <w:t xml:space="preserve">.  </w:t>
      </w:r>
    </w:p>
    <w:p w14:paraId="3C159907" w14:textId="6CDC061B" w:rsidR="001A422D" w:rsidRPr="00DD69FC" w:rsidRDefault="00623346" w:rsidP="001A422D">
      <w:pPr>
        <w:spacing w:before="120" w:line="276" w:lineRule="auto"/>
        <w:ind w:firstLine="709"/>
        <w:jc w:val="both"/>
        <w:rPr>
          <w:rFonts w:ascii="Arial" w:hAnsi="Arial" w:cs="Arial"/>
          <w:sz w:val="22"/>
          <w:szCs w:val="22"/>
          <w:lang w:val="es-ES_tradnl"/>
        </w:rPr>
      </w:pPr>
      <w:bookmarkStart w:id="11" w:name="_Hlk64308251"/>
      <w:r w:rsidRPr="00DD69FC">
        <w:rPr>
          <w:rFonts w:ascii="Arial" w:hAnsi="Arial" w:cs="Arial"/>
          <w:sz w:val="22"/>
          <w:szCs w:val="22"/>
          <w:lang w:val="es-ES_tradnl"/>
        </w:rPr>
        <w:t xml:space="preserve">Lo explicado en los párrafos precedentes también aplica </w:t>
      </w:r>
      <w:r w:rsidRPr="00DD69FC">
        <w:rPr>
          <w:rFonts w:ascii="Arial" w:hAnsi="Arial" w:cs="Arial"/>
          <w:i/>
          <w:iCs/>
          <w:sz w:val="22"/>
          <w:szCs w:val="22"/>
          <w:lang w:val="es-ES_tradnl"/>
        </w:rPr>
        <w:t>mutatis mutandis</w:t>
      </w:r>
      <w:r w:rsidRPr="00DD69FC">
        <w:rPr>
          <w:rFonts w:ascii="Arial" w:hAnsi="Arial" w:cs="Arial"/>
          <w:sz w:val="22"/>
          <w:szCs w:val="22"/>
          <w:lang w:val="es-ES_tradnl"/>
        </w:rPr>
        <w:t xml:space="preserve"> a los factores de desempate previstos en el Decreto Único Reglamentario del Sector Administrativo de Planeación Nacional para l</w:t>
      </w:r>
      <w:r w:rsidR="001A422D" w:rsidRPr="00DD69FC">
        <w:rPr>
          <w:rFonts w:ascii="Arial" w:hAnsi="Arial" w:cs="Arial"/>
          <w:sz w:val="22"/>
          <w:szCs w:val="22"/>
          <w:lang w:val="es-ES_tradnl"/>
        </w:rPr>
        <w:t>os</w:t>
      </w:r>
      <w:r w:rsidRPr="00DD69FC">
        <w:rPr>
          <w:rFonts w:ascii="Arial" w:hAnsi="Arial" w:cs="Arial"/>
          <w:sz w:val="22"/>
          <w:szCs w:val="22"/>
          <w:lang w:val="es-ES_tradnl"/>
        </w:rPr>
        <w:t xml:space="preserve"> </w:t>
      </w:r>
      <w:r w:rsidR="001A422D" w:rsidRPr="00DD69FC">
        <w:rPr>
          <w:rFonts w:ascii="Arial" w:hAnsi="Arial" w:cs="Arial"/>
          <w:sz w:val="22"/>
          <w:szCs w:val="22"/>
          <w:lang w:val="es-ES_tradnl"/>
        </w:rPr>
        <w:t xml:space="preserve">procesos de mínima cuantía y </w:t>
      </w:r>
      <w:r w:rsidR="000231FC" w:rsidRPr="00DD69FC">
        <w:rPr>
          <w:rFonts w:ascii="Arial" w:hAnsi="Arial" w:cs="Arial"/>
          <w:sz w:val="22"/>
          <w:szCs w:val="22"/>
          <w:lang w:val="es-ES_tradnl"/>
        </w:rPr>
        <w:t>adquisición en grandes superficies hasta por el monto de la mínima cuantía</w:t>
      </w:r>
      <w:r w:rsidRPr="00DD69FC">
        <w:rPr>
          <w:rFonts w:ascii="Arial" w:hAnsi="Arial" w:cs="Arial"/>
          <w:sz w:val="22"/>
          <w:szCs w:val="22"/>
          <w:lang w:val="es-ES_tradnl"/>
        </w:rPr>
        <w:t xml:space="preserve">. </w:t>
      </w:r>
      <w:r w:rsidR="000D4837" w:rsidRPr="00DD69FC">
        <w:rPr>
          <w:rFonts w:ascii="Arial" w:hAnsi="Arial" w:cs="Arial"/>
          <w:sz w:val="22"/>
          <w:szCs w:val="22"/>
          <w:lang w:val="es-ES_tradnl"/>
        </w:rPr>
        <w:t>A</w:t>
      </w:r>
      <w:r w:rsidR="001A422D" w:rsidRPr="00DD69FC">
        <w:rPr>
          <w:rFonts w:ascii="Arial" w:hAnsi="Arial" w:cs="Arial"/>
          <w:sz w:val="22"/>
          <w:szCs w:val="22"/>
          <w:lang w:val="es-ES_tradnl"/>
        </w:rPr>
        <w:t xml:space="preserve"> pesar de que </w:t>
      </w:r>
      <w:r w:rsidR="000D4837" w:rsidRPr="00DD69FC">
        <w:rPr>
          <w:rFonts w:ascii="Arial" w:hAnsi="Arial" w:cs="Arial"/>
          <w:sz w:val="22"/>
          <w:szCs w:val="22"/>
          <w:lang w:val="es-ES_tradnl"/>
        </w:rPr>
        <w:t xml:space="preserve">numeral 7 del artículo 2.2.1.2.1.5.2 y el 3 del artículo 2.2.1.2.1.5.3 del Decreto 1082 de 2015 </w:t>
      </w:r>
      <w:r w:rsidR="001A422D" w:rsidRPr="00DD69FC">
        <w:rPr>
          <w:rFonts w:ascii="Arial" w:hAnsi="Arial" w:cs="Arial"/>
          <w:sz w:val="22"/>
          <w:szCs w:val="22"/>
          <w:lang w:val="es-ES_tradnl"/>
        </w:rPr>
        <w:t>establecía</w:t>
      </w:r>
      <w:r w:rsidR="000909F6" w:rsidRPr="00DD69FC">
        <w:rPr>
          <w:rFonts w:ascii="Arial" w:hAnsi="Arial" w:cs="Arial"/>
          <w:sz w:val="22"/>
          <w:szCs w:val="22"/>
          <w:lang w:val="es-ES_tradnl"/>
        </w:rPr>
        <w:t>n</w:t>
      </w:r>
      <w:r w:rsidR="001A422D" w:rsidRPr="00DD69FC">
        <w:rPr>
          <w:rFonts w:ascii="Arial" w:hAnsi="Arial" w:cs="Arial"/>
          <w:sz w:val="22"/>
          <w:szCs w:val="22"/>
          <w:lang w:val="es-ES_tradnl"/>
        </w:rPr>
        <w:t xml:space="preserve"> una</w:t>
      </w:r>
      <w:r w:rsidR="000909F6" w:rsidRPr="00DD69FC">
        <w:rPr>
          <w:rFonts w:ascii="Arial" w:hAnsi="Arial" w:cs="Arial"/>
          <w:sz w:val="22"/>
          <w:szCs w:val="22"/>
          <w:lang w:val="es-ES_tradnl"/>
        </w:rPr>
        <w:t>s</w:t>
      </w:r>
      <w:r w:rsidR="001A422D" w:rsidRPr="00DD69FC">
        <w:rPr>
          <w:rFonts w:ascii="Arial" w:hAnsi="Arial" w:cs="Arial"/>
          <w:sz w:val="22"/>
          <w:szCs w:val="22"/>
          <w:lang w:val="es-ES_tradnl"/>
        </w:rPr>
        <w:t xml:space="preserve"> regla</w:t>
      </w:r>
      <w:r w:rsidR="000909F6" w:rsidRPr="00DD69FC">
        <w:rPr>
          <w:rFonts w:ascii="Arial" w:hAnsi="Arial" w:cs="Arial"/>
          <w:sz w:val="22"/>
          <w:szCs w:val="22"/>
          <w:lang w:val="es-ES_tradnl"/>
        </w:rPr>
        <w:t>s</w:t>
      </w:r>
      <w:r w:rsidR="001A422D" w:rsidRPr="00DD69FC">
        <w:rPr>
          <w:rFonts w:ascii="Arial" w:hAnsi="Arial" w:cs="Arial"/>
          <w:sz w:val="22"/>
          <w:szCs w:val="22"/>
          <w:lang w:val="es-ES_tradnl"/>
        </w:rPr>
        <w:t xml:space="preserve"> especial</w:t>
      </w:r>
      <w:r w:rsidR="000909F6" w:rsidRPr="00DD69FC">
        <w:rPr>
          <w:rFonts w:ascii="Arial" w:hAnsi="Arial" w:cs="Arial"/>
          <w:sz w:val="22"/>
          <w:szCs w:val="22"/>
          <w:lang w:val="es-ES_tradnl"/>
        </w:rPr>
        <w:t>es</w:t>
      </w:r>
      <w:r w:rsidR="001A422D" w:rsidRPr="00DD69FC">
        <w:rPr>
          <w:rFonts w:ascii="Arial" w:hAnsi="Arial" w:cs="Arial"/>
          <w:sz w:val="22"/>
          <w:szCs w:val="22"/>
          <w:lang w:val="es-ES_tradnl"/>
        </w:rPr>
        <w:t xml:space="preserve"> para el desempate entre ofertas</w:t>
      </w:r>
      <w:r w:rsidR="000909F6" w:rsidRPr="00DD69FC">
        <w:rPr>
          <w:rFonts w:ascii="Arial" w:hAnsi="Arial" w:cs="Arial"/>
          <w:sz w:val="22"/>
          <w:szCs w:val="22"/>
          <w:lang w:val="es-ES_tradnl"/>
        </w:rPr>
        <w:t xml:space="preserve"> </w:t>
      </w:r>
      <w:r w:rsidR="00A20E8E" w:rsidRPr="00DD69FC">
        <w:rPr>
          <w:rFonts w:ascii="Arial" w:hAnsi="Arial" w:cs="Arial"/>
          <w:sz w:val="22"/>
          <w:szCs w:val="22"/>
          <w:lang w:val="es-ES_tradnl"/>
        </w:rPr>
        <w:t>para los referidos procedimientos</w:t>
      </w:r>
      <w:r w:rsidR="001A422D" w:rsidRPr="00DD69FC">
        <w:rPr>
          <w:rFonts w:ascii="Arial" w:hAnsi="Arial" w:cs="Arial"/>
          <w:sz w:val="22"/>
          <w:szCs w:val="22"/>
          <w:lang w:val="es-ES_tradnl"/>
        </w:rPr>
        <w:t>, el primer inciso del artículo 35 de la Ley 2069 de 2020 no distingue modalidades de selección y regula la institución de los factores de desempate en los procesos de contratación estatal de manera integral.</w:t>
      </w:r>
    </w:p>
    <w:p w14:paraId="452AB0CA" w14:textId="04C49EBE" w:rsidR="001A422D" w:rsidRPr="00DD69FC" w:rsidRDefault="00A20E8E" w:rsidP="00C5587F">
      <w:pPr>
        <w:spacing w:before="120" w:line="276" w:lineRule="auto"/>
        <w:ind w:firstLine="709"/>
        <w:jc w:val="both"/>
        <w:rPr>
          <w:rFonts w:ascii="Arial" w:hAnsi="Arial" w:cs="Arial"/>
          <w:sz w:val="22"/>
          <w:szCs w:val="22"/>
          <w:lang w:val="es-ES_tradnl"/>
        </w:rPr>
      </w:pPr>
      <w:r w:rsidRPr="00DD69FC">
        <w:rPr>
          <w:rFonts w:ascii="Arial" w:hAnsi="Arial" w:cs="Arial"/>
          <w:sz w:val="22"/>
          <w:szCs w:val="22"/>
          <w:lang w:val="es-ES_tradnl"/>
        </w:rPr>
        <w:t>S</w:t>
      </w:r>
      <w:r w:rsidR="00623346" w:rsidRPr="00DD69FC">
        <w:rPr>
          <w:rFonts w:ascii="Arial" w:hAnsi="Arial" w:cs="Arial"/>
          <w:sz w:val="22"/>
          <w:szCs w:val="22"/>
          <w:lang w:val="es-ES_tradnl"/>
        </w:rPr>
        <w:t xml:space="preserve">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p>
    <w:p w14:paraId="5F044810" w14:textId="6106000B" w:rsidR="00623346" w:rsidRPr="00DD69FC" w:rsidRDefault="00C5587F" w:rsidP="00C5587F">
      <w:pPr>
        <w:spacing w:before="120" w:line="276" w:lineRule="auto"/>
        <w:ind w:firstLine="709"/>
        <w:jc w:val="both"/>
        <w:rPr>
          <w:rFonts w:ascii="Arial" w:hAnsi="Arial" w:cs="Arial"/>
          <w:sz w:val="22"/>
          <w:szCs w:val="22"/>
          <w:lang w:val="es-ES_tradnl"/>
        </w:rPr>
      </w:pPr>
      <w:r w:rsidRPr="00DD69FC">
        <w:rPr>
          <w:rFonts w:ascii="Arial" w:hAnsi="Arial" w:cs="Arial"/>
          <w:sz w:val="22"/>
          <w:szCs w:val="22"/>
          <w:lang w:val="es-ES_tradnl"/>
        </w:rPr>
        <w:t>En consecuencia</w:t>
      </w:r>
      <w:r w:rsidR="00623346" w:rsidRPr="00DD69FC">
        <w:rPr>
          <w:rFonts w:ascii="Arial" w:hAnsi="Arial" w:cs="Arial"/>
          <w:sz w:val="22"/>
          <w:szCs w:val="22"/>
          <w:lang w:val="es-ES_tradnl"/>
        </w:rPr>
        <w:t xml:space="preserve">, </w:t>
      </w:r>
      <w:r w:rsidRPr="00DD69FC">
        <w:rPr>
          <w:rFonts w:ascii="Arial" w:hAnsi="Arial" w:cs="Arial"/>
          <w:sz w:val="22"/>
          <w:szCs w:val="22"/>
          <w:lang w:val="es-ES_tradnl"/>
        </w:rPr>
        <w:t>por tratarse de</w:t>
      </w:r>
      <w:r w:rsidR="00623346" w:rsidRPr="00DD69FC">
        <w:rPr>
          <w:rFonts w:ascii="Arial" w:hAnsi="Arial" w:cs="Arial"/>
          <w:sz w:val="22"/>
          <w:szCs w:val="22"/>
          <w:lang w:val="es-ES_tradnl"/>
        </w:rPr>
        <w:t xml:space="preserve"> una norma transversal al sistema de compras y contratación pública</w:t>
      </w:r>
      <w:r w:rsidRPr="00DD69FC">
        <w:rPr>
          <w:rFonts w:ascii="Arial" w:hAnsi="Arial" w:cs="Arial"/>
          <w:sz w:val="22"/>
          <w:szCs w:val="22"/>
          <w:lang w:val="es-ES_tradnl"/>
        </w:rPr>
        <w:t xml:space="preserve">, </w:t>
      </w:r>
      <w:r w:rsidR="00623346" w:rsidRPr="00DD69FC">
        <w:rPr>
          <w:rFonts w:ascii="Arial" w:hAnsi="Arial" w:cs="Arial"/>
          <w:sz w:val="22"/>
          <w:szCs w:val="22"/>
          <w:lang w:val="es-ES_tradnl"/>
        </w:rPr>
        <w:t>el artículo 35 de la Ley 2069 de 2020 es aplicable a</w:t>
      </w:r>
      <w:r w:rsidR="001A422D" w:rsidRPr="00DD69FC">
        <w:rPr>
          <w:rFonts w:ascii="Arial" w:hAnsi="Arial" w:cs="Arial"/>
          <w:sz w:val="22"/>
          <w:szCs w:val="22"/>
          <w:lang w:val="es-ES_tradnl"/>
        </w:rPr>
        <w:t xml:space="preserve"> los procedimientos </w:t>
      </w:r>
      <w:r w:rsidR="001A422D" w:rsidRPr="00DD69FC">
        <w:rPr>
          <w:rFonts w:ascii="Arial" w:hAnsi="Arial" w:cs="Arial"/>
          <w:sz w:val="22"/>
          <w:szCs w:val="22"/>
          <w:lang w:val="es-ES_tradnl"/>
        </w:rPr>
        <w:lastRenderedPageBreak/>
        <w:t>de mínima cuantía</w:t>
      </w:r>
      <w:r w:rsidR="00A317D2" w:rsidRPr="00DD69FC">
        <w:rPr>
          <w:rFonts w:ascii="Arial" w:hAnsi="Arial" w:cs="Arial"/>
          <w:sz w:val="22"/>
          <w:szCs w:val="22"/>
          <w:lang w:val="es-ES_tradnl"/>
        </w:rPr>
        <w:t xml:space="preserve"> y adquisición en grandes superficies hasta por el monto de la mínima cuantía</w:t>
      </w:r>
      <w:r w:rsidR="00623346" w:rsidRPr="00DD69FC">
        <w:rPr>
          <w:rFonts w:ascii="Arial" w:hAnsi="Arial" w:cs="Arial"/>
          <w:sz w:val="22"/>
          <w:szCs w:val="22"/>
          <w:lang w:val="es-ES_tradnl"/>
        </w:rPr>
        <w:t xml:space="preserve">, </w:t>
      </w:r>
      <w:r w:rsidRPr="00DD69FC">
        <w:rPr>
          <w:rFonts w:ascii="Arial" w:hAnsi="Arial" w:cs="Arial"/>
          <w:sz w:val="22"/>
          <w:szCs w:val="22"/>
          <w:lang w:val="es-ES_tradnl"/>
        </w:rPr>
        <w:t>presentándose</w:t>
      </w:r>
      <w:r w:rsidR="00623346" w:rsidRPr="00DD69FC">
        <w:rPr>
          <w:rFonts w:ascii="Arial" w:hAnsi="Arial" w:cs="Arial"/>
          <w:sz w:val="22"/>
          <w:szCs w:val="22"/>
          <w:lang w:val="es-ES_tradnl"/>
        </w:rPr>
        <w:t xml:space="preserve"> tanto la derogación como el decaimiento de </w:t>
      </w:r>
      <w:r w:rsidRPr="00DD69FC">
        <w:rPr>
          <w:rFonts w:ascii="Arial" w:hAnsi="Arial" w:cs="Arial"/>
          <w:sz w:val="22"/>
          <w:szCs w:val="22"/>
          <w:lang w:val="es-ES_tradnl"/>
        </w:rPr>
        <w:t>los criterios de desempate previstos</w:t>
      </w:r>
      <w:r w:rsidR="00A317D2" w:rsidRPr="00DD69FC">
        <w:rPr>
          <w:rFonts w:ascii="Arial" w:hAnsi="Arial" w:cs="Arial"/>
          <w:sz w:val="22"/>
          <w:szCs w:val="22"/>
          <w:lang w:val="es-ES_tradnl"/>
        </w:rPr>
        <w:t xml:space="preserve"> en el numeral 7 del artículo 2.2.1.2.1.5.2 y en el 3 del artículo 2.2.1.2.1.5.3 del Decreto 1082 de 2015</w:t>
      </w:r>
      <w:r w:rsidR="00623346" w:rsidRPr="00DD69FC">
        <w:rPr>
          <w:rFonts w:ascii="Arial" w:hAnsi="Arial" w:cs="Arial"/>
          <w:sz w:val="22"/>
          <w:szCs w:val="22"/>
          <w:lang w:val="es-ES_tradnl"/>
        </w:rPr>
        <w:t xml:space="preserve"> para est</w:t>
      </w:r>
      <w:r w:rsidR="006C67A8" w:rsidRPr="00DD69FC">
        <w:rPr>
          <w:rFonts w:ascii="Arial" w:hAnsi="Arial" w:cs="Arial"/>
          <w:sz w:val="22"/>
          <w:szCs w:val="22"/>
          <w:lang w:val="es-ES_tradnl"/>
        </w:rPr>
        <w:t>os</w:t>
      </w:r>
      <w:r w:rsidR="00A20E8E" w:rsidRPr="00DD69FC">
        <w:rPr>
          <w:rFonts w:ascii="Arial" w:hAnsi="Arial" w:cs="Arial"/>
          <w:sz w:val="22"/>
          <w:szCs w:val="22"/>
          <w:lang w:val="es-ES_tradnl"/>
        </w:rPr>
        <w:t xml:space="preserve"> procedimientos </w:t>
      </w:r>
      <w:r w:rsidR="00623346" w:rsidRPr="00DD69FC">
        <w:rPr>
          <w:rFonts w:ascii="Arial" w:hAnsi="Arial" w:cs="Arial"/>
          <w:sz w:val="22"/>
          <w:szCs w:val="22"/>
          <w:lang w:val="es-ES_tradnl"/>
        </w:rPr>
        <w:t xml:space="preserve">de selección.         </w:t>
      </w:r>
    </w:p>
    <w:bookmarkEnd w:id="11"/>
    <w:p w14:paraId="7FA06065" w14:textId="77777777" w:rsidR="004714D3" w:rsidRPr="00DD69FC" w:rsidRDefault="004714D3" w:rsidP="004714D3">
      <w:pPr>
        <w:spacing w:line="276" w:lineRule="auto"/>
        <w:ind w:left="709" w:right="709"/>
        <w:jc w:val="both"/>
        <w:rPr>
          <w:rFonts w:ascii="Arial" w:hAnsi="Arial" w:cs="Arial"/>
          <w:sz w:val="21"/>
          <w:szCs w:val="21"/>
          <w:lang w:val="es-ES_tradnl"/>
        </w:rPr>
      </w:pPr>
    </w:p>
    <w:p w14:paraId="3139C532" w14:textId="7D94A8FF" w:rsidR="00BA0016" w:rsidRPr="00DD69FC" w:rsidRDefault="000048D9" w:rsidP="00961044">
      <w:pPr>
        <w:ind w:left="709" w:right="709"/>
        <w:jc w:val="both"/>
        <w:rPr>
          <w:rFonts w:ascii="Arial" w:hAnsi="Arial" w:cs="Arial"/>
          <w:sz w:val="22"/>
          <w:szCs w:val="22"/>
          <w:lang w:val="es-ES_tradnl"/>
        </w:rPr>
      </w:pPr>
      <w:proofErr w:type="spellStart"/>
      <w:r>
        <w:rPr>
          <w:rFonts w:ascii="Arial" w:hAnsi="Arial" w:cs="Arial"/>
          <w:sz w:val="21"/>
          <w:szCs w:val="21"/>
          <w:lang w:val="es-ES_tradnl"/>
        </w:rPr>
        <w:t>ii</w:t>
      </w:r>
      <w:proofErr w:type="spellEnd"/>
      <w:r>
        <w:rPr>
          <w:rFonts w:ascii="Arial" w:hAnsi="Arial" w:cs="Arial"/>
          <w:sz w:val="21"/>
          <w:szCs w:val="21"/>
          <w:lang w:val="es-ES_tradnl"/>
        </w:rPr>
        <w:t xml:space="preserve">) </w:t>
      </w:r>
      <w:r w:rsidR="00A20E8E" w:rsidRPr="00DD69FC">
        <w:rPr>
          <w:rFonts w:ascii="Arial" w:hAnsi="Arial" w:cs="Arial"/>
          <w:sz w:val="21"/>
          <w:szCs w:val="21"/>
          <w:lang w:val="es-ES_tradnl"/>
        </w:rPr>
        <w:t>«</w:t>
      </w:r>
      <w:r w:rsidR="00BA0016" w:rsidRPr="00DD69FC">
        <w:rPr>
          <w:rFonts w:ascii="Arial" w:hAnsi="Arial" w:cs="Arial"/>
          <w:sz w:val="21"/>
          <w:szCs w:val="21"/>
          <w:lang w:val="es-ES_tradnl"/>
        </w:rPr>
        <w:t>¿Cómo sería el procedimiento para la aplicación de los criterios de desempate del artículo 35 de la Ley 2069 de 2020 para los procesos de contratación de mínima cuantía y para los procesos adquisición en Grandes Superficies?».</w:t>
      </w:r>
    </w:p>
    <w:p w14:paraId="52E9B147" w14:textId="77777777" w:rsidR="003007D7" w:rsidRPr="00DD69FC" w:rsidRDefault="003007D7" w:rsidP="003007D7">
      <w:pPr>
        <w:spacing w:line="276" w:lineRule="auto"/>
        <w:jc w:val="both"/>
        <w:rPr>
          <w:rFonts w:ascii="Arial" w:hAnsi="Arial" w:cs="Arial"/>
          <w:sz w:val="22"/>
          <w:szCs w:val="22"/>
          <w:lang w:val="es-ES_tradnl"/>
        </w:rPr>
      </w:pPr>
    </w:p>
    <w:p w14:paraId="5C2692D2" w14:textId="070F9E5B" w:rsidR="006706E4" w:rsidRPr="00DD69FC" w:rsidRDefault="00361D72" w:rsidP="00961044">
      <w:pPr>
        <w:spacing w:after="120" w:line="276" w:lineRule="auto"/>
        <w:jc w:val="both"/>
        <w:rPr>
          <w:rFonts w:ascii="Arial" w:hAnsi="Arial" w:cs="Arial"/>
          <w:sz w:val="22"/>
          <w:szCs w:val="22"/>
          <w:lang w:val="es-ES_tradnl"/>
        </w:rPr>
      </w:pPr>
      <w:r>
        <w:rPr>
          <w:rFonts w:ascii="Arial" w:hAnsi="Arial" w:cs="Arial"/>
          <w:sz w:val="22"/>
          <w:szCs w:val="22"/>
          <w:lang w:val="es-ES_tradnl"/>
        </w:rPr>
        <w:t>Respecto a</w:t>
      </w:r>
      <w:r w:rsidR="00B1477B" w:rsidRPr="00DD69FC">
        <w:rPr>
          <w:rFonts w:ascii="Arial" w:hAnsi="Arial" w:cs="Arial"/>
          <w:sz w:val="22"/>
          <w:szCs w:val="22"/>
          <w:lang w:val="es-ES_tradnl"/>
        </w:rPr>
        <w:t xml:space="preserve"> los factores</w:t>
      </w:r>
      <w:r>
        <w:rPr>
          <w:rFonts w:ascii="Arial" w:hAnsi="Arial" w:cs="Arial"/>
          <w:sz w:val="22"/>
          <w:szCs w:val="22"/>
          <w:lang w:val="es-ES_tradnl"/>
        </w:rPr>
        <w:t xml:space="preserve"> de desempate</w:t>
      </w:r>
      <w:r w:rsidR="00B1477B" w:rsidRPr="00DD69FC">
        <w:rPr>
          <w:rFonts w:ascii="Arial" w:hAnsi="Arial" w:cs="Arial"/>
          <w:sz w:val="22"/>
          <w:szCs w:val="22"/>
          <w:lang w:val="es-ES_tradnl"/>
        </w:rPr>
        <w:t>, el</w:t>
      </w:r>
      <w:r w:rsidR="00E81563" w:rsidRPr="00DD69FC">
        <w:rPr>
          <w:rFonts w:ascii="Arial" w:hAnsi="Arial" w:cs="Arial"/>
          <w:sz w:val="22"/>
          <w:szCs w:val="22"/>
          <w:lang w:val="es-ES_tradnl"/>
        </w:rPr>
        <w:t xml:space="preserve"> primer inciso del</w:t>
      </w:r>
      <w:r w:rsidR="00B1477B" w:rsidRPr="00DD69FC">
        <w:rPr>
          <w:rFonts w:ascii="Arial" w:hAnsi="Arial" w:cs="Arial"/>
          <w:sz w:val="22"/>
          <w:szCs w:val="22"/>
          <w:lang w:val="es-ES_tradnl"/>
        </w:rPr>
        <w:t xml:space="preserve"> artículo 35</w:t>
      </w:r>
      <w:r>
        <w:rPr>
          <w:rFonts w:ascii="Arial" w:hAnsi="Arial" w:cs="Arial"/>
          <w:sz w:val="22"/>
          <w:szCs w:val="22"/>
          <w:lang w:val="es-ES_tradnl"/>
        </w:rPr>
        <w:t xml:space="preserve"> de la Ley 2069</w:t>
      </w:r>
      <w:r w:rsidR="00B1477B" w:rsidRPr="00DD69FC">
        <w:rPr>
          <w:rFonts w:ascii="Arial" w:hAnsi="Arial" w:cs="Arial"/>
          <w:sz w:val="22"/>
          <w:szCs w:val="22"/>
          <w:lang w:val="es-ES_tradnl"/>
        </w:rPr>
        <w:t xml:space="preserve"> se limita a se</w:t>
      </w:r>
      <w:r w:rsidR="00B17BE9" w:rsidRPr="00DD69FC">
        <w:rPr>
          <w:rFonts w:ascii="Arial" w:hAnsi="Arial" w:cs="Arial"/>
          <w:sz w:val="22"/>
          <w:szCs w:val="22"/>
          <w:lang w:val="es-ES_tradnl"/>
        </w:rPr>
        <w:t xml:space="preserve">ñalar que </w:t>
      </w:r>
      <w:r w:rsidR="0033656B">
        <w:rPr>
          <w:rFonts w:ascii="Arial" w:hAnsi="Arial" w:cs="Arial"/>
          <w:sz w:val="22"/>
          <w:szCs w:val="22"/>
          <w:lang w:val="es-ES_tradnl"/>
        </w:rPr>
        <w:t>estos deben aplicarse</w:t>
      </w:r>
      <w:r w:rsidR="00B17BE9" w:rsidRPr="00DD69FC">
        <w:rPr>
          <w:rFonts w:ascii="Arial" w:hAnsi="Arial" w:cs="Arial"/>
          <w:sz w:val="22"/>
          <w:szCs w:val="22"/>
          <w:lang w:val="es-ES_tradnl"/>
        </w:rPr>
        <w:t xml:space="preserve"> de manera sucesiva y excluyente, respetando los compromisos internacionales vigentes. </w:t>
      </w:r>
      <w:r w:rsidR="004037FD" w:rsidRPr="00DD69FC">
        <w:rPr>
          <w:rFonts w:ascii="Arial" w:eastAsia="Calibri" w:hAnsi="Arial" w:cs="Arial"/>
          <w:sz w:val="22"/>
          <w:lang w:val="es-ES"/>
        </w:rPr>
        <w:t xml:space="preserve">Esto significa, por un lado, que </w:t>
      </w:r>
      <w:r w:rsidR="00035A82" w:rsidRPr="00DD69FC">
        <w:rPr>
          <w:rFonts w:ascii="Arial" w:eastAsia="Calibri" w:hAnsi="Arial" w:cs="Arial"/>
          <w:sz w:val="22"/>
          <w:lang w:val="es-ES"/>
        </w:rPr>
        <w:t xml:space="preserve">los factores de desempate deben aplicarse de tal manera que, si se presenta una situación de empate, la entidad debe resolverlo mediante la aplicación del factor del numeral 1 y de no ser posible seguir con el siguiente, y así sucesivamente hasta aplicar uno que lo resuelva. </w:t>
      </w:r>
    </w:p>
    <w:p w14:paraId="629AE786" w14:textId="7D3AC2D3" w:rsidR="006706E4" w:rsidRPr="00DD69FC" w:rsidRDefault="006706E4" w:rsidP="006706E4">
      <w:pPr>
        <w:spacing w:line="276" w:lineRule="auto"/>
        <w:ind w:firstLine="708"/>
        <w:jc w:val="both"/>
        <w:rPr>
          <w:rFonts w:ascii="Arial" w:hAnsi="Arial" w:cs="Arial"/>
          <w:sz w:val="22"/>
          <w:szCs w:val="22"/>
          <w:lang w:val="es-ES_tradnl"/>
        </w:rPr>
      </w:pPr>
      <w:r w:rsidRPr="00DD69FC">
        <w:rPr>
          <w:rFonts w:ascii="Arial" w:hAnsi="Arial" w:cs="Arial"/>
          <w:sz w:val="22"/>
          <w:szCs w:val="22"/>
          <w:lang w:val="es-ES_tradnl"/>
        </w:rPr>
        <w:t xml:space="preserve">Por otro lado, el respeto de los compromisos internacionales vigentes implica que si existe un tratado o acuerdo comercial que establezca disposiciones especiales en materia de compras y contratación pública, </w:t>
      </w:r>
      <w:r w:rsidR="00F4568E" w:rsidRPr="00DD69FC">
        <w:rPr>
          <w:rFonts w:ascii="Arial" w:hAnsi="Arial" w:cs="Arial"/>
          <w:sz w:val="22"/>
          <w:szCs w:val="22"/>
          <w:lang w:val="es-ES_tradnl"/>
        </w:rPr>
        <w:t xml:space="preserve">debe </w:t>
      </w:r>
      <w:r w:rsidRPr="00DD69FC">
        <w:rPr>
          <w:rFonts w:ascii="Arial" w:hAnsi="Arial" w:cs="Arial"/>
          <w:sz w:val="22"/>
          <w:szCs w:val="22"/>
          <w:lang w:val="es-ES_tradnl"/>
        </w:rPr>
        <w:t>prevalece</w:t>
      </w:r>
      <w:r w:rsidR="00F4568E" w:rsidRPr="00DD69FC">
        <w:rPr>
          <w:rFonts w:ascii="Arial" w:hAnsi="Arial" w:cs="Arial"/>
          <w:sz w:val="22"/>
          <w:szCs w:val="22"/>
          <w:lang w:val="es-ES_tradnl"/>
        </w:rPr>
        <w:t>r</w:t>
      </w:r>
      <w:r w:rsidRPr="00DD69FC">
        <w:rPr>
          <w:rFonts w:ascii="Arial" w:hAnsi="Arial" w:cs="Arial"/>
          <w:sz w:val="22"/>
          <w:szCs w:val="22"/>
          <w:lang w:val="es-ES_tradnl"/>
        </w:rPr>
        <w:t xml:space="preserve"> </w:t>
      </w:r>
      <w:r w:rsidR="00F4568E" w:rsidRPr="00DD69FC">
        <w:rPr>
          <w:rFonts w:ascii="Arial" w:hAnsi="Arial" w:cs="Arial"/>
          <w:sz w:val="22"/>
          <w:szCs w:val="22"/>
          <w:lang w:val="es-ES_tradnl"/>
        </w:rPr>
        <w:t xml:space="preserve">la aplicación </w:t>
      </w:r>
      <w:r w:rsidRPr="00DD69FC">
        <w:rPr>
          <w:rFonts w:ascii="Arial" w:hAnsi="Arial" w:cs="Arial"/>
          <w:sz w:val="22"/>
          <w:szCs w:val="22"/>
          <w:lang w:val="es-ES_tradnl"/>
        </w:rPr>
        <w:t xml:space="preserve">la regulación contenida </w:t>
      </w:r>
      <w:r w:rsidR="00F4568E" w:rsidRPr="00DD69FC">
        <w:rPr>
          <w:rFonts w:ascii="Arial" w:hAnsi="Arial" w:cs="Arial"/>
          <w:sz w:val="22"/>
          <w:szCs w:val="22"/>
          <w:lang w:val="es-ES_tradnl"/>
        </w:rPr>
        <w:t>derivada del compromiso internacional</w:t>
      </w:r>
      <w:r w:rsidRPr="00DD69FC">
        <w:rPr>
          <w:rFonts w:ascii="Arial" w:hAnsi="Arial" w:cs="Arial"/>
          <w:sz w:val="22"/>
          <w:szCs w:val="22"/>
          <w:lang w:val="es-ES_tradnl"/>
        </w:rPr>
        <w:t>. Est</w:t>
      </w:r>
      <w:r w:rsidR="00F4568E" w:rsidRPr="00DD69FC">
        <w:rPr>
          <w:rFonts w:ascii="Arial" w:hAnsi="Arial" w:cs="Arial"/>
          <w:sz w:val="22"/>
          <w:szCs w:val="22"/>
          <w:lang w:val="es-ES_tradnl"/>
        </w:rPr>
        <w:t>o</w:t>
      </w:r>
      <w:r w:rsidRPr="00DD69FC">
        <w:rPr>
          <w:rFonts w:ascii="Arial" w:hAnsi="Arial" w:cs="Arial"/>
          <w:sz w:val="22"/>
          <w:szCs w:val="22"/>
          <w:lang w:val="es-ES_tradnl"/>
        </w:rPr>
        <w:t xml:space="preserve"> </w:t>
      </w:r>
      <w:r w:rsidR="00F4568E" w:rsidRPr="00DD69FC">
        <w:rPr>
          <w:rFonts w:ascii="Arial" w:hAnsi="Arial" w:cs="Arial"/>
          <w:sz w:val="22"/>
          <w:szCs w:val="22"/>
          <w:lang w:val="es-ES_tradnl"/>
        </w:rPr>
        <w:t xml:space="preserve">en concordancia con </w:t>
      </w:r>
      <w:r w:rsidRPr="00DD69FC">
        <w:rPr>
          <w:rFonts w:ascii="Arial" w:hAnsi="Arial" w:cs="Arial"/>
          <w:sz w:val="22"/>
          <w:szCs w:val="22"/>
          <w:lang w:val="es-ES_tradnl"/>
        </w:rPr>
        <w:t xml:space="preserve">el artículo 2.2.1.2.4.1.1. del Decreto 1082 de 2015, según el cual «Las Entidades Estatales deben adelantar los Procesos de Contratación de acuerdo con lo previsto en los Acuerdos Comerciales, cuando estos les sean aplicables».​ </w:t>
      </w:r>
      <w:r w:rsidR="00735A3A" w:rsidRPr="00DD69FC">
        <w:rPr>
          <w:rFonts w:ascii="Arial" w:hAnsi="Arial" w:cs="Arial"/>
          <w:sz w:val="22"/>
          <w:szCs w:val="22"/>
          <w:lang w:val="es-ES_tradnl"/>
        </w:rPr>
        <w:t xml:space="preserve">Esto no significa que </w:t>
      </w:r>
      <w:r w:rsidRPr="00DD69FC">
        <w:rPr>
          <w:rFonts w:ascii="Arial" w:hAnsi="Arial" w:cs="Arial"/>
          <w:sz w:val="22"/>
          <w:szCs w:val="22"/>
          <w:lang w:val="es-ES_tradnl"/>
        </w:rPr>
        <w:t xml:space="preserve">ante la existencia de tratados o acuerdos comerciales </w:t>
      </w:r>
      <w:r w:rsidR="00735A3A" w:rsidRPr="00DD69FC">
        <w:rPr>
          <w:rFonts w:ascii="Arial" w:hAnsi="Arial" w:cs="Arial"/>
          <w:sz w:val="22"/>
          <w:szCs w:val="22"/>
          <w:lang w:val="es-ES_tradnl"/>
        </w:rPr>
        <w:t xml:space="preserve">aplicables en </w:t>
      </w:r>
      <w:r w:rsidRPr="00DD69FC">
        <w:rPr>
          <w:rFonts w:ascii="Arial" w:hAnsi="Arial" w:cs="Arial"/>
          <w:sz w:val="22"/>
          <w:szCs w:val="22"/>
          <w:lang w:val="es-ES_tradnl"/>
        </w:rPr>
        <w:t xml:space="preserve">el procedimiento de selección </w:t>
      </w:r>
      <w:r w:rsidR="00735A3A" w:rsidRPr="00DD69FC">
        <w:rPr>
          <w:rFonts w:ascii="Arial" w:hAnsi="Arial" w:cs="Arial"/>
          <w:sz w:val="22"/>
          <w:szCs w:val="22"/>
          <w:lang w:val="es-ES_tradnl"/>
        </w:rPr>
        <w:t>la entidad</w:t>
      </w:r>
      <w:r w:rsidRPr="00DD69FC">
        <w:rPr>
          <w:rFonts w:ascii="Arial" w:hAnsi="Arial" w:cs="Arial"/>
          <w:sz w:val="22"/>
          <w:szCs w:val="22"/>
          <w:lang w:val="es-ES_tradnl"/>
        </w:rPr>
        <w:t xml:space="preserve"> contratante deb</w:t>
      </w:r>
      <w:r w:rsidR="00735A3A" w:rsidRPr="00DD69FC">
        <w:rPr>
          <w:rFonts w:ascii="Arial" w:hAnsi="Arial" w:cs="Arial"/>
          <w:sz w:val="22"/>
          <w:szCs w:val="22"/>
          <w:lang w:val="es-ES_tradnl"/>
        </w:rPr>
        <w:t>a</w:t>
      </w:r>
      <w:r w:rsidRPr="00DD69FC">
        <w:rPr>
          <w:rFonts w:ascii="Arial" w:hAnsi="Arial" w:cs="Arial"/>
          <w:sz w:val="22"/>
          <w:szCs w:val="22"/>
          <w:lang w:val="es-ES_tradnl"/>
        </w:rPr>
        <w:t xml:space="preserve"> abstener</w:t>
      </w:r>
      <w:r w:rsidR="00735A3A" w:rsidRPr="00DD69FC">
        <w:rPr>
          <w:rFonts w:ascii="Arial" w:hAnsi="Arial" w:cs="Arial"/>
          <w:sz w:val="22"/>
          <w:szCs w:val="22"/>
          <w:lang w:val="es-ES_tradnl"/>
        </w:rPr>
        <w:t>se</w:t>
      </w:r>
      <w:r w:rsidRPr="00DD69FC">
        <w:rPr>
          <w:rFonts w:ascii="Arial" w:hAnsi="Arial" w:cs="Arial"/>
          <w:sz w:val="22"/>
          <w:szCs w:val="22"/>
          <w:lang w:val="es-ES_tradnl"/>
        </w:rPr>
        <w:t xml:space="preserve"> de aplicar algunos numerales del artículo 35, sino que </w:t>
      </w:r>
      <w:r w:rsidR="00735A3A" w:rsidRPr="00DD69FC">
        <w:rPr>
          <w:rFonts w:ascii="Arial" w:hAnsi="Arial" w:cs="Arial"/>
          <w:sz w:val="22"/>
          <w:szCs w:val="22"/>
          <w:lang w:val="es-ES_tradnl"/>
        </w:rPr>
        <w:t>esta</w:t>
      </w:r>
      <w:r w:rsidRPr="00DD69FC">
        <w:rPr>
          <w:rFonts w:ascii="Arial" w:hAnsi="Arial" w:cs="Arial"/>
          <w:sz w:val="22"/>
          <w:szCs w:val="22"/>
          <w:lang w:val="es-ES_tradnl"/>
        </w:rPr>
        <w:t xml:space="preserve"> debe consultar en cada caso cuáles son las disposiciones del acuerdo comercial</w:t>
      </w:r>
      <w:r w:rsidR="00735A3A" w:rsidRPr="00DD69FC">
        <w:rPr>
          <w:rFonts w:ascii="Arial" w:hAnsi="Arial" w:cs="Arial"/>
          <w:sz w:val="22"/>
          <w:szCs w:val="22"/>
          <w:lang w:val="es-ES_tradnl"/>
        </w:rPr>
        <w:t>, determinando</w:t>
      </w:r>
      <w:r w:rsidRPr="00DD69FC">
        <w:rPr>
          <w:rFonts w:ascii="Arial" w:hAnsi="Arial" w:cs="Arial"/>
          <w:sz w:val="22"/>
          <w:szCs w:val="22"/>
          <w:lang w:val="es-ES_tradnl"/>
        </w:rPr>
        <w:t xml:space="preserve"> si son o no compatibles con los factores de desempate</w:t>
      </w:r>
      <w:r w:rsidR="00735A3A" w:rsidRPr="00DD69FC">
        <w:rPr>
          <w:rFonts w:ascii="Arial" w:hAnsi="Arial" w:cs="Arial"/>
          <w:sz w:val="22"/>
          <w:szCs w:val="22"/>
          <w:lang w:val="es-ES_tradnl"/>
        </w:rPr>
        <w:t xml:space="preserve">, </w:t>
      </w:r>
      <w:r w:rsidR="004714D3" w:rsidRPr="00DD69FC">
        <w:rPr>
          <w:rFonts w:ascii="Arial" w:hAnsi="Arial" w:cs="Arial"/>
          <w:sz w:val="22"/>
          <w:szCs w:val="22"/>
          <w:lang w:val="es-ES_tradnl"/>
        </w:rPr>
        <w:t>prevaleciendo</w:t>
      </w:r>
      <w:r w:rsidRPr="00DD69FC">
        <w:rPr>
          <w:rFonts w:ascii="Arial" w:hAnsi="Arial" w:cs="Arial"/>
          <w:sz w:val="22"/>
          <w:szCs w:val="22"/>
          <w:lang w:val="es-ES_tradnl"/>
        </w:rPr>
        <w:t xml:space="preserve"> </w:t>
      </w:r>
      <w:r w:rsidR="00203AD7" w:rsidRPr="00DD69FC">
        <w:rPr>
          <w:rFonts w:ascii="Arial" w:hAnsi="Arial" w:cs="Arial"/>
          <w:sz w:val="22"/>
          <w:szCs w:val="22"/>
          <w:lang w:val="es-ES_tradnl"/>
        </w:rPr>
        <w:t xml:space="preserve">el tratado </w:t>
      </w:r>
      <w:r w:rsidR="004714D3" w:rsidRPr="00DD69FC">
        <w:rPr>
          <w:rFonts w:ascii="Arial" w:hAnsi="Arial" w:cs="Arial"/>
          <w:sz w:val="22"/>
          <w:szCs w:val="22"/>
          <w:lang w:val="es-ES_tradnl"/>
        </w:rPr>
        <w:t>e</w:t>
      </w:r>
      <w:r w:rsidRPr="00DD69FC">
        <w:rPr>
          <w:rFonts w:ascii="Arial" w:hAnsi="Arial" w:cs="Arial"/>
          <w:sz w:val="22"/>
          <w:szCs w:val="22"/>
          <w:lang w:val="es-ES_tradnl"/>
        </w:rPr>
        <w:t>n caso negativo.</w:t>
      </w:r>
    </w:p>
    <w:p w14:paraId="4D59D71D" w14:textId="77777777" w:rsidR="00BA0294" w:rsidRDefault="00410A64" w:rsidP="00410A64">
      <w:pPr>
        <w:spacing w:before="120" w:line="276" w:lineRule="auto"/>
        <w:ind w:firstLine="709"/>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En lo que respecta a la demostración de los supuestos fácticos y jurídicos de los factores de desempate, conviene señalar que los numerales previstos en el artículo 35 de la Ley 2069 de 2020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4229674A" w14:textId="20CC0147" w:rsidR="00410A64" w:rsidRPr="00DD69FC" w:rsidRDefault="00410A64" w:rsidP="00961044">
      <w:pPr>
        <w:spacing w:line="276" w:lineRule="auto"/>
        <w:ind w:firstLine="709"/>
        <w:jc w:val="both"/>
        <w:rPr>
          <w:rFonts w:ascii="Arial" w:eastAsia="Calibri" w:hAnsi="Arial" w:cs="Arial"/>
          <w:sz w:val="22"/>
          <w:szCs w:val="22"/>
          <w:lang w:val="es-ES_tradnl"/>
        </w:rPr>
      </w:pPr>
      <w:r w:rsidRPr="00DD69FC">
        <w:rPr>
          <w:rFonts w:ascii="Arial" w:eastAsia="Calibri" w:hAnsi="Arial" w:cs="Arial"/>
          <w:sz w:val="22"/>
          <w:szCs w:val="22"/>
          <w:lang w:val="es-ES_tradnl"/>
        </w:rPr>
        <w:t xml:space="preserve">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w:t>
      </w:r>
      <w:r w:rsidR="00C03EDB" w:rsidRPr="00DD69FC">
        <w:rPr>
          <w:rFonts w:ascii="Arial" w:eastAsia="Calibri" w:hAnsi="Arial" w:cs="Arial"/>
          <w:sz w:val="22"/>
          <w:szCs w:val="22"/>
          <w:lang w:val="es-ES_tradnl"/>
        </w:rPr>
        <w:t>G</w:t>
      </w:r>
      <w:r w:rsidRPr="00DD69FC">
        <w:rPr>
          <w:rFonts w:ascii="Arial" w:eastAsia="Calibri" w:hAnsi="Arial" w:cs="Arial"/>
          <w:sz w:val="22"/>
          <w:szCs w:val="22"/>
          <w:lang w:val="es-ES_tradnl"/>
        </w:rPr>
        <w:t xml:space="preserve">obierno nacional para garantizar la cumplida </w:t>
      </w:r>
      <w:r w:rsidRPr="00DD69FC">
        <w:rPr>
          <w:rFonts w:ascii="Arial" w:eastAsia="Calibri" w:hAnsi="Arial" w:cs="Arial"/>
          <w:sz w:val="22"/>
          <w:szCs w:val="22"/>
          <w:lang w:val="es-ES_tradnl"/>
        </w:rPr>
        <w:lastRenderedPageBreak/>
        <w:t>ejecución de la Ley 2069 de 2020 podría establecer los medios de prueba, así como las autoridades encargadas de certificar las circunstancias del artículo 35. Sin embargo, mientras ello no suceda, deberá aplicarse el criterio indicado con anterioridad.</w:t>
      </w:r>
    </w:p>
    <w:p w14:paraId="4E83C72D" w14:textId="77777777" w:rsidR="00F7530F" w:rsidRDefault="00F7530F">
      <w:pPr>
        <w:spacing w:after="120" w:line="276" w:lineRule="auto"/>
        <w:jc w:val="both"/>
        <w:rPr>
          <w:rFonts w:ascii="Arial" w:hAnsi="Arial" w:cs="Arial"/>
          <w:sz w:val="22"/>
          <w:lang w:val="es-ES_tradnl"/>
        </w:rPr>
      </w:pPr>
    </w:p>
    <w:p w14:paraId="7B2C921D" w14:textId="0EE050AD" w:rsidR="00DD5B04" w:rsidRPr="00DD69FC" w:rsidRDefault="00DD5B04" w:rsidP="00961044">
      <w:pPr>
        <w:spacing w:after="120" w:line="276" w:lineRule="auto"/>
        <w:jc w:val="both"/>
        <w:rPr>
          <w:rFonts w:ascii="Arial" w:hAnsi="Arial" w:cs="Arial"/>
          <w:sz w:val="22"/>
          <w:lang w:val="es-ES_tradnl"/>
        </w:rPr>
      </w:pPr>
      <w:r w:rsidRPr="00DD69FC">
        <w:rPr>
          <w:rFonts w:ascii="Arial" w:hAnsi="Arial" w:cs="Arial"/>
          <w:sz w:val="22"/>
          <w:lang w:val="es-ES_tradnl"/>
        </w:rPr>
        <w:t>Este concepto tiene el alcance previsto en el artículo 28 del Código de Procedimiento Administrativo y de lo Contencioso Administrativo.</w:t>
      </w:r>
    </w:p>
    <w:p w14:paraId="051BAB02" w14:textId="77777777" w:rsidR="00C36DC1" w:rsidRPr="00DD69FC" w:rsidRDefault="00C36DC1" w:rsidP="00C36DC1">
      <w:pPr>
        <w:spacing w:line="276" w:lineRule="auto"/>
        <w:rPr>
          <w:rFonts w:ascii="Arial" w:hAnsi="Arial" w:cs="Arial"/>
          <w:sz w:val="22"/>
          <w:szCs w:val="22"/>
          <w:lang w:eastAsia="es-CO"/>
        </w:rPr>
      </w:pPr>
    </w:p>
    <w:p w14:paraId="117C128B" w14:textId="331BA22D" w:rsidR="00C36DC1" w:rsidRPr="00DD69FC" w:rsidRDefault="00C36DC1" w:rsidP="00C36DC1">
      <w:pPr>
        <w:spacing w:line="276" w:lineRule="auto"/>
        <w:rPr>
          <w:rFonts w:ascii="Arial" w:hAnsi="Arial" w:cs="Arial"/>
          <w:sz w:val="22"/>
          <w:szCs w:val="22"/>
        </w:rPr>
      </w:pPr>
      <w:r w:rsidRPr="00DD69FC">
        <w:rPr>
          <w:rFonts w:ascii="Arial" w:hAnsi="Arial" w:cs="Arial"/>
          <w:sz w:val="22"/>
          <w:szCs w:val="22"/>
          <w:lang w:eastAsia="es-CO"/>
        </w:rPr>
        <w:t>Atentamente,</w:t>
      </w:r>
    </w:p>
    <w:p w14:paraId="5FE020EA" w14:textId="77777777" w:rsidR="00C36DC1" w:rsidRPr="00DD69FC" w:rsidRDefault="00C36DC1" w:rsidP="00C36DC1">
      <w:pPr>
        <w:jc w:val="both"/>
        <w:rPr>
          <w:rFonts w:ascii="Arial" w:hAnsi="Arial" w:cs="Arial"/>
          <w:lang w:eastAsia="es-CO"/>
        </w:rPr>
      </w:pPr>
    </w:p>
    <w:p w14:paraId="307BF77D" w14:textId="60F34932" w:rsidR="00C36DC1" w:rsidRPr="00DD69FC" w:rsidRDefault="00312C74" w:rsidP="00C36DC1">
      <w:pPr>
        <w:spacing w:after="18"/>
        <w:jc w:val="center"/>
        <w:rPr>
          <w:rFonts w:ascii="Arial" w:hAnsi="Arial" w:cs="Arial"/>
          <w:lang w:eastAsia="es-CO"/>
        </w:rPr>
      </w:pPr>
      <w:r>
        <w:rPr>
          <w:rFonts w:ascii="Arial" w:hAnsi="Arial" w:cs="Arial"/>
          <w:noProof/>
          <w:color w:val="000000" w:themeColor="text1"/>
          <w:sz w:val="18"/>
          <w:szCs w:val="20"/>
        </w:rPr>
        <w:drawing>
          <wp:inline distT="0" distB="0" distL="0" distR="0" wp14:anchorId="704BF4AE" wp14:editId="7ED5ADFF">
            <wp:extent cx="2509284" cy="1110168"/>
            <wp:effectExtent l="0" t="0" r="571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6388" cy="1126584"/>
                    </a:xfrm>
                    <a:prstGeom prst="rect">
                      <a:avLst/>
                    </a:prstGeom>
                    <a:noFill/>
                    <a:ln>
                      <a:noFill/>
                    </a:ln>
                  </pic:spPr>
                </pic:pic>
              </a:graphicData>
            </a:graphic>
          </wp:inline>
        </w:drawing>
      </w:r>
    </w:p>
    <w:p w14:paraId="1ED25220" w14:textId="052A5E9A" w:rsidR="00C36DC1" w:rsidRPr="00DD69FC" w:rsidRDefault="00C36DC1" w:rsidP="00C36DC1">
      <w:pPr>
        <w:spacing w:after="18"/>
        <w:jc w:val="center"/>
        <w:rPr>
          <w:rFonts w:ascii="Arial" w:hAnsi="Arial" w:cs="Arial"/>
          <w:lang w:eastAsia="es-CO"/>
        </w:rPr>
      </w:pPr>
    </w:p>
    <w:p w14:paraId="05A555B1" w14:textId="77777777" w:rsidR="00C36DC1" w:rsidRPr="00DD69FC" w:rsidRDefault="00C36DC1" w:rsidP="00C36DC1">
      <w:pPr>
        <w:spacing w:after="18"/>
        <w:jc w:val="center"/>
        <w:rPr>
          <w:rFonts w:ascii="Arial" w:hAnsi="Arial" w:cs="Arial"/>
          <w:lang w:eastAsia="es-CO"/>
        </w:rPr>
      </w:pPr>
    </w:p>
    <w:p w14:paraId="36069B2C" w14:textId="77777777" w:rsidR="00C36DC1" w:rsidRPr="00DD69FC" w:rsidRDefault="00C36DC1" w:rsidP="00C36DC1">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DD69FC" w:rsidRPr="00DD69FC" w14:paraId="4B57AD9F" w14:textId="77777777" w:rsidTr="007F4374">
        <w:trPr>
          <w:trHeight w:val="286"/>
        </w:trPr>
        <w:tc>
          <w:tcPr>
            <w:tcW w:w="886" w:type="dxa"/>
            <w:vAlign w:val="center"/>
            <w:hideMark/>
          </w:tcPr>
          <w:p w14:paraId="367BC8EB" w14:textId="77777777" w:rsidR="00C36DC1" w:rsidRPr="00DD69FC" w:rsidRDefault="00C36DC1" w:rsidP="007F4374">
            <w:pPr>
              <w:rPr>
                <w:rFonts w:ascii="Arial" w:hAnsi="Arial" w:cs="Arial"/>
                <w:sz w:val="14"/>
                <w:szCs w:val="14"/>
                <w:lang w:eastAsia="es-ES"/>
              </w:rPr>
            </w:pPr>
            <w:r w:rsidRPr="00DD69FC">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45D7A25B" w14:textId="77777777" w:rsidR="00C36DC1" w:rsidRPr="00DD69FC" w:rsidRDefault="00C36DC1" w:rsidP="007F4374">
            <w:pPr>
              <w:rPr>
                <w:rFonts w:ascii="Arial" w:hAnsi="Arial" w:cs="Arial"/>
                <w:sz w:val="14"/>
                <w:szCs w:val="14"/>
                <w:lang w:eastAsia="es-ES"/>
              </w:rPr>
            </w:pPr>
            <w:r w:rsidRPr="00DD69FC">
              <w:rPr>
                <w:rFonts w:ascii="Arial" w:hAnsi="Arial" w:cs="Arial"/>
                <w:sz w:val="14"/>
                <w:szCs w:val="14"/>
                <w:lang w:eastAsia="es-ES"/>
              </w:rPr>
              <w:t>Alejandro Sarmiento Cantillo</w:t>
            </w:r>
          </w:p>
          <w:p w14:paraId="7C7C65BB" w14:textId="77777777" w:rsidR="00C36DC1" w:rsidRPr="00DD69FC" w:rsidRDefault="00C36DC1" w:rsidP="007F4374">
            <w:pPr>
              <w:rPr>
                <w:rFonts w:ascii="Arial" w:hAnsi="Arial" w:cs="Arial"/>
                <w:sz w:val="14"/>
                <w:szCs w:val="14"/>
                <w:lang w:eastAsia="es-ES"/>
              </w:rPr>
            </w:pPr>
            <w:r w:rsidRPr="00DD69FC">
              <w:rPr>
                <w:rFonts w:ascii="Arial" w:hAnsi="Arial" w:cs="Arial"/>
                <w:sz w:val="14"/>
                <w:szCs w:val="14"/>
                <w:lang w:eastAsia="es-ES"/>
              </w:rPr>
              <w:t>Gestor T1-11 de la Subdirección de Gestión Contractual</w:t>
            </w:r>
          </w:p>
        </w:tc>
      </w:tr>
      <w:tr w:rsidR="00DD69FC" w:rsidRPr="00DD69FC" w14:paraId="61BACF26" w14:textId="77777777" w:rsidTr="007F4374">
        <w:trPr>
          <w:trHeight w:val="299"/>
        </w:trPr>
        <w:tc>
          <w:tcPr>
            <w:tcW w:w="886" w:type="dxa"/>
            <w:vAlign w:val="center"/>
          </w:tcPr>
          <w:p w14:paraId="7DAC7BCF" w14:textId="77777777" w:rsidR="00C36DC1" w:rsidRPr="00DD69FC" w:rsidRDefault="00C36DC1" w:rsidP="007F4374">
            <w:pPr>
              <w:rPr>
                <w:rFonts w:ascii="Arial" w:hAnsi="Arial" w:cs="Arial"/>
                <w:sz w:val="14"/>
                <w:szCs w:val="14"/>
                <w:lang w:eastAsia="es-ES"/>
              </w:rPr>
            </w:pPr>
            <w:r w:rsidRPr="00DD69FC">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5D16A63D" w14:textId="77777777" w:rsidR="00C36DC1" w:rsidRPr="00DD69FC" w:rsidRDefault="00C36DC1" w:rsidP="007F4374">
            <w:pPr>
              <w:rPr>
                <w:rFonts w:ascii="Arial" w:hAnsi="Arial" w:cs="Arial"/>
                <w:sz w:val="14"/>
                <w:szCs w:val="14"/>
                <w:lang w:eastAsia="es-ES"/>
              </w:rPr>
            </w:pPr>
            <w:r w:rsidRPr="00DD69FC">
              <w:rPr>
                <w:rFonts w:ascii="Arial" w:hAnsi="Arial" w:cs="Arial"/>
                <w:sz w:val="14"/>
                <w:szCs w:val="14"/>
                <w:lang w:eastAsia="es-ES"/>
              </w:rPr>
              <w:t>Juan David Montoya Penagos</w:t>
            </w:r>
          </w:p>
          <w:p w14:paraId="48F45DAF" w14:textId="77777777" w:rsidR="00C36DC1" w:rsidRPr="00DD69FC" w:rsidRDefault="00C36DC1" w:rsidP="007F4374">
            <w:pPr>
              <w:rPr>
                <w:rFonts w:ascii="Arial" w:hAnsi="Arial" w:cs="Arial"/>
                <w:sz w:val="14"/>
                <w:szCs w:val="14"/>
                <w:lang w:eastAsia="es-ES"/>
              </w:rPr>
            </w:pPr>
            <w:r w:rsidRPr="00DD69FC">
              <w:rPr>
                <w:rFonts w:ascii="Arial" w:hAnsi="Arial" w:cs="Arial"/>
                <w:sz w:val="14"/>
                <w:szCs w:val="14"/>
                <w:lang w:eastAsia="es-ES"/>
              </w:rPr>
              <w:t xml:space="preserve">Gestor T1-15 de la Subdirección de Gestión Contractual  </w:t>
            </w:r>
          </w:p>
        </w:tc>
      </w:tr>
      <w:tr w:rsidR="00DD69FC" w:rsidRPr="00DD69FC" w14:paraId="359BFEED" w14:textId="77777777" w:rsidTr="007F4374">
        <w:trPr>
          <w:trHeight w:val="272"/>
        </w:trPr>
        <w:tc>
          <w:tcPr>
            <w:tcW w:w="886" w:type="dxa"/>
            <w:vAlign w:val="center"/>
            <w:hideMark/>
          </w:tcPr>
          <w:p w14:paraId="56A9D712" w14:textId="77777777" w:rsidR="00C36DC1" w:rsidRPr="00DD69FC" w:rsidRDefault="00C36DC1" w:rsidP="007F4374">
            <w:pPr>
              <w:rPr>
                <w:rFonts w:ascii="Arial" w:hAnsi="Arial" w:cs="Arial"/>
                <w:sz w:val="14"/>
                <w:szCs w:val="14"/>
                <w:lang w:eastAsia="es-ES"/>
              </w:rPr>
            </w:pPr>
            <w:r w:rsidRPr="00DD69FC">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4CACA774" w14:textId="77777777" w:rsidR="00C36DC1" w:rsidRPr="00DD69FC" w:rsidRDefault="00C36DC1" w:rsidP="007F4374">
            <w:pPr>
              <w:rPr>
                <w:rFonts w:ascii="Arial" w:hAnsi="Arial" w:cs="Arial"/>
                <w:sz w:val="14"/>
                <w:szCs w:val="14"/>
                <w:lang w:eastAsia="es-ES"/>
              </w:rPr>
            </w:pPr>
            <w:r w:rsidRPr="00DD69FC">
              <w:rPr>
                <w:rFonts w:ascii="Arial" w:hAnsi="Arial" w:cs="Arial"/>
                <w:sz w:val="14"/>
                <w:szCs w:val="14"/>
                <w:lang w:eastAsia="es-ES"/>
              </w:rPr>
              <w:t>Jorge Augusto Tirado Navarro</w:t>
            </w:r>
          </w:p>
          <w:p w14:paraId="16A0E5C9" w14:textId="428DCB51" w:rsidR="00C36DC1" w:rsidRPr="00DD69FC" w:rsidRDefault="00C36DC1" w:rsidP="007F4374">
            <w:pPr>
              <w:rPr>
                <w:rFonts w:ascii="Arial" w:hAnsi="Arial" w:cs="Arial"/>
                <w:sz w:val="14"/>
                <w:szCs w:val="14"/>
                <w:lang w:eastAsia="es-ES"/>
              </w:rPr>
            </w:pPr>
            <w:r w:rsidRPr="00DD69FC">
              <w:rPr>
                <w:rFonts w:ascii="Arial" w:hAnsi="Arial" w:cs="Arial"/>
                <w:sz w:val="14"/>
                <w:szCs w:val="14"/>
                <w:lang w:eastAsia="es-ES"/>
              </w:rPr>
              <w:t>Subdirector de Gestión Contractual</w:t>
            </w:r>
            <w:r w:rsidR="00203AD7">
              <w:rPr>
                <w:rFonts w:ascii="Arial" w:hAnsi="Arial" w:cs="Arial"/>
                <w:sz w:val="14"/>
                <w:szCs w:val="14"/>
                <w:lang w:eastAsia="es-ES"/>
              </w:rPr>
              <w:t xml:space="preserve"> ANCP–CCE</w:t>
            </w:r>
          </w:p>
        </w:tc>
      </w:tr>
    </w:tbl>
    <w:p w14:paraId="3C8F98B3" w14:textId="77777777" w:rsidR="00C36DC1" w:rsidRPr="00DD69FC" w:rsidRDefault="00C36DC1" w:rsidP="00C36DC1">
      <w:pPr>
        <w:rPr>
          <w:rFonts w:ascii="Arial" w:hAnsi="Arial" w:cs="Arial"/>
          <w:lang w:eastAsia="es-ES"/>
        </w:rPr>
      </w:pPr>
    </w:p>
    <w:p w14:paraId="6BE1D342" w14:textId="77777777" w:rsidR="00C36DC1" w:rsidRPr="00DD69FC" w:rsidRDefault="00C36DC1" w:rsidP="00C36DC1">
      <w:pPr>
        <w:spacing w:line="276" w:lineRule="auto"/>
        <w:jc w:val="both"/>
        <w:rPr>
          <w:rFonts w:ascii="Arial" w:hAnsi="Arial" w:cs="Arial"/>
          <w:lang w:val="es-ES_tradnl"/>
        </w:rPr>
      </w:pPr>
    </w:p>
    <w:bookmarkEnd w:id="2"/>
    <w:p w14:paraId="35B56F46" w14:textId="77777777" w:rsidR="00746E08" w:rsidRPr="00DD69FC" w:rsidRDefault="00746E08" w:rsidP="00215B8E">
      <w:pPr>
        <w:jc w:val="both"/>
        <w:rPr>
          <w:rFonts w:ascii="Arial" w:hAnsi="Arial" w:cs="Arial"/>
          <w:lang w:val="es-ES_tradnl"/>
        </w:rPr>
      </w:pPr>
    </w:p>
    <w:sectPr w:rsidR="00746E08" w:rsidRPr="00DD69F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BC38E" w14:textId="77777777" w:rsidR="00B10F56" w:rsidRDefault="00B10F56">
      <w:r>
        <w:separator/>
      </w:r>
    </w:p>
  </w:endnote>
  <w:endnote w:type="continuationSeparator" w:id="0">
    <w:p w14:paraId="56DE0B6D" w14:textId="77777777" w:rsidR="00B10F56" w:rsidRDefault="00B10F56">
      <w:r>
        <w:continuationSeparator/>
      </w:r>
    </w:p>
  </w:endnote>
  <w:endnote w:type="continuationNotice" w:id="1">
    <w:p w14:paraId="21A5CAAC" w14:textId="77777777" w:rsidR="00B10F56" w:rsidRDefault="00B10F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12BCB650" w:rsidP="00322937">
    <w:pPr>
      <w:pStyle w:val="Piedepgina"/>
      <w:jc w:val="center"/>
      <w:rPr>
        <w:lang w:val="es-ES"/>
      </w:rPr>
    </w:pPr>
    <w:r>
      <w:rPr>
        <w:noProof/>
      </w:rPr>
      <w:drawing>
        <wp:inline distT="0" distB="0" distL="0" distR="0" wp14:anchorId="608B196D" wp14:editId="002D1414">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4A1E5" w14:textId="77777777" w:rsidR="00B10F56" w:rsidRDefault="00B10F56">
      <w:r>
        <w:separator/>
      </w:r>
    </w:p>
  </w:footnote>
  <w:footnote w:type="continuationSeparator" w:id="0">
    <w:p w14:paraId="4925BFD9" w14:textId="77777777" w:rsidR="00B10F56" w:rsidRDefault="00B10F56">
      <w:r>
        <w:continuationSeparator/>
      </w:r>
    </w:p>
  </w:footnote>
  <w:footnote w:type="continuationNotice" w:id="1">
    <w:p w14:paraId="0435F56B" w14:textId="77777777" w:rsidR="00B10F56" w:rsidRDefault="00B10F56"/>
  </w:footnote>
  <w:footnote w:id="2">
    <w:p w14:paraId="5EE2BBDD" w14:textId="77777777" w:rsidR="00F80411" w:rsidRPr="00EA10E4" w:rsidRDefault="00F80411" w:rsidP="00F80411">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3B4DF297" w14:textId="77777777" w:rsidR="00F80411" w:rsidRPr="00EA10E4" w:rsidRDefault="00F80411" w:rsidP="00F80411">
      <w:pPr>
        <w:pStyle w:val="Textonotapie"/>
        <w:ind w:firstLine="709"/>
        <w:jc w:val="both"/>
        <w:rPr>
          <w:rFonts w:ascii="Arial" w:hAnsi="Arial" w:cs="Arial"/>
          <w:sz w:val="19"/>
          <w:szCs w:val="19"/>
          <w:lang w:val="es-ES"/>
        </w:rPr>
      </w:pPr>
    </w:p>
  </w:footnote>
  <w:footnote w:id="3">
    <w:p w14:paraId="38605483"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6296EE45" w14:textId="77777777" w:rsidR="00F80411" w:rsidRPr="008640C4" w:rsidRDefault="00F80411" w:rsidP="00F80411">
      <w:pPr>
        <w:pStyle w:val="Textonotapie"/>
        <w:ind w:firstLine="709"/>
        <w:jc w:val="both"/>
        <w:rPr>
          <w:rFonts w:ascii="Arial" w:hAnsi="Arial" w:cs="Arial"/>
          <w:sz w:val="19"/>
          <w:szCs w:val="19"/>
          <w:lang w:val="es-ES"/>
        </w:rPr>
      </w:pPr>
    </w:p>
  </w:footnote>
  <w:footnote w:id="4">
    <w:p w14:paraId="533FAE3F"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4D0C9747" w14:textId="77777777" w:rsidR="00F80411" w:rsidRPr="008640C4" w:rsidRDefault="00F80411" w:rsidP="00F80411">
      <w:pPr>
        <w:pStyle w:val="Textonotapie"/>
        <w:ind w:firstLine="709"/>
        <w:jc w:val="both"/>
        <w:rPr>
          <w:rFonts w:ascii="Arial" w:hAnsi="Arial" w:cs="Arial"/>
          <w:sz w:val="19"/>
          <w:szCs w:val="19"/>
          <w:lang w:val="es-CO"/>
        </w:rPr>
      </w:pPr>
    </w:p>
  </w:footnote>
  <w:footnote w:id="5">
    <w:p w14:paraId="77146A50"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653F7200" w14:textId="77777777" w:rsidR="00F80411" w:rsidRPr="008640C4" w:rsidRDefault="00F80411" w:rsidP="00F80411">
      <w:pPr>
        <w:pStyle w:val="Textonotapie"/>
        <w:ind w:firstLine="709"/>
        <w:jc w:val="both"/>
        <w:rPr>
          <w:rFonts w:ascii="Arial" w:hAnsi="Arial" w:cs="Arial"/>
          <w:sz w:val="19"/>
          <w:szCs w:val="19"/>
          <w:lang w:val="es-ES"/>
        </w:rPr>
      </w:pPr>
    </w:p>
  </w:footnote>
  <w:footnote w:id="6">
    <w:p w14:paraId="4E055C6A"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3EB7365C" w14:textId="77777777" w:rsidR="00F80411" w:rsidRPr="008640C4" w:rsidRDefault="00F80411" w:rsidP="00F80411">
      <w:pPr>
        <w:pStyle w:val="Textonotapie"/>
        <w:ind w:firstLine="709"/>
        <w:jc w:val="both"/>
        <w:rPr>
          <w:rFonts w:ascii="Arial" w:hAnsi="Arial" w:cs="Arial"/>
          <w:sz w:val="19"/>
          <w:szCs w:val="19"/>
          <w:lang w:val="es-ES"/>
        </w:rPr>
      </w:pPr>
    </w:p>
  </w:footnote>
  <w:footnote w:id="7">
    <w:p w14:paraId="15AD37D3"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3143494F" w14:textId="77777777" w:rsidR="00F80411" w:rsidRPr="008640C4" w:rsidRDefault="00F80411" w:rsidP="00F80411">
      <w:pPr>
        <w:pStyle w:val="Textonotapie"/>
        <w:ind w:firstLine="709"/>
        <w:jc w:val="both"/>
        <w:rPr>
          <w:rFonts w:ascii="Arial" w:hAnsi="Arial" w:cs="Arial"/>
          <w:sz w:val="19"/>
          <w:szCs w:val="19"/>
          <w:lang w:val="es-ES"/>
        </w:rPr>
      </w:pPr>
    </w:p>
  </w:footnote>
  <w:footnote w:id="8">
    <w:p w14:paraId="7D602341"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6C35605C" w14:textId="77777777" w:rsidR="00F80411" w:rsidRPr="008640C4" w:rsidRDefault="00F80411" w:rsidP="00F80411">
      <w:pPr>
        <w:pStyle w:val="Textonotapie"/>
        <w:ind w:firstLine="709"/>
        <w:jc w:val="both"/>
        <w:rPr>
          <w:rFonts w:ascii="Arial" w:hAnsi="Arial" w:cs="Arial"/>
          <w:sz w:val="19"/>
          <w:szCs w:val="19"/>
          <w:lang w:val="es-ES"/>
        </w:rPr>
      </w:pPr>
    </w:p>
  </w:footnote>
  <w:footnote w:id="9">
    <w:p w14:paraId="56BE8B0D"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66E965A2" w14:textId="77777777" w:rsidR="00F80411" w:rsidRPr="008640C4" w:rsidRDefault="00F80411" w:rsidP="00F80411">
      <w:pPr>
        <w:pStyle w:val="Textonotapie"/>
        <w:ind w:firstLine="709"/>
        <w:jc w:val="both"/>
        <w:rPr>
          <w:rFonts w:ascii="Arial" w:hAnsi="Arial" w:cs="Arial"/>
          <w:sz w:val="19"/>
          <w:szCs w:val="19"/>
          <w:lang w:val="es-ES"/>
        </w:rPr>
      </w:pPr>
    </w:p>
  </w:footnote>
  <w:footnote w:id="10">
    <w:p w14:paraId="7BEBE4BC" w14:textId="0B820A13" w:rsidR="00530059" w:rsidRPr="0064696D" w:rsidRDefault="00530059" w:rsidP="009949CE">
      <w:pPr>
        <w:pStyle w:val="Textonotapie"/>
        <w:ind w:firstLine="709"/>
        <w:jc w:val="both"/>
        <w:rPr>
          <w:rFonts w:ascii="Arial" w:hAnsi="Arial" w:cs="Arial"/>
          <w:sz w:val="19"/>
          <w:szCs w:val="19"/>
          <w:lang w:val="es-ES"/>
        </w:rPr>
      </w:pPr>
      <w:r w:rsidRPr="0064696D">
        <w:rPr>
          <w:rStyle w:val="Refdenotaalpie"/>
          <w:rFonts w:ascii="Arial" w:hAnsi="Arial" w:cs="Arial"/>
          <w:sz w:val="19"/>
          <w:szCs w:val="19"/>
        </w:rPr>
        <w:footnoteRef/>
      </w:r>
      <w:r w:rsidRPr="0064696D">
        <w:rPr>
          <w:rFonts w:ascii="Arial" w:hAnsi="Arial" w:cs="Arial"/>
          <w:sz w:val="19"/>
          <w:szCs w:val="19"/>
        </w:rPr>
        <w:t xml:space="preserve"> </w:t>
      </w:r>
      <w:r w:rsidRPr="0064696D">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2186A106" w14:textId="03EE071D"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Si persiste el empate, la Entidad Estatal debe utilizar las siguientes reglas de forma sucesiva y excluyente para seleccionar el oferente favorecido, respetando los compromisos adquiridos por Acuerdos Comerciales:</w:t>
      </w:r>
    </w:p>
    <w:p w14:paraId="4DFE72EE" w14:textId="07C46650"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1.</w:t>
      </w:r>
      <w:r>
        <w:rPr>
          <w:rFonts w:ascii="Arial" w:hAnsi="Arial" w:cs="Arial"/>
          <w:sz w:val="19"/>
          <w:szCs w:val="19"/>
          <w:lang w:val="es-ES"/>
        </w:rPr>
        <w:t xml:space="preserve"> </w:t>
      </w:r>
      <w:r w:rsidR="00530059" w:rsidRPr="0064696D">
        <w:rPr>
          <w:rFonts w:ascii="Arial" w:hAnsi="Arial" w:cs="Arial"/>
          <w:sz w:val="19"/>
          <w:szCs w:val="19"/>
          <w:lang w:val="es-ES"/>
        </w:rPr>
        <w:t>Preferir la oferta de bienes o servicios nacionales frente a la oferta de bienes o servicios extranjeros.</w:t>
      </w:r>
    </w:p>
    <w:p w14:paraId="55EE1E60" w14:textId="019C69CF"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2.</w:t>
      </w:r>
      <w:r>
        <w:rPr>
          <w:rFonts w:ascii="Arial" w:hAnsi="Arial" w:cs="Arial"/>
          <w:sz w:val="19"/>
          <w:szCs w:val="19"/>
          <w:lang w:val="es-ES"/>
        </w:rPr>
        <w:t xml:space="preserve"> </w:t>
      </w:r>
      <w:r w:rsidR="00530059" w:rsidRPr="0064696D">
        <w:rPr>
          <w:rFonts w:ascii="Arial" w:hAnsi="Arial" w:cs="Arial"/>
          <w:sz w:val="19"/>
          <w:szCs w:val="19"/>
          <w:lang w:val="es-ES"/>
        </w:rPr>
        <w:t>Preferir las ofertas presentada por una Mipyme nacional.</w:t>
      </w:r>
    </w:p>
    <w:p w14:paraId="24F6B951" w14:textId="78F6340D"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3.</w:t>
      </w:r>
      <w:r>
        <w:rPr>
          <w:rFonts w:ascii="Arial" w:hAnsi="Arial" w:cs="Arial"/>
          <w:sz w:val="19"/>
          <w:szCs w:val="19"/>
          <w:lang w:val="es-ES"/>
        </w:rPr>
        <w:t xml:space="preserve"> </w:t>
      </w:r>
      <w:r w:rsidR="00530059" w:rsidRPr="0064696D">
        <w:rPr>
          <w:rFonts w:ascii="Arial" w:hAnsi="Arial" w:cs="Arial"/>
          <w:sz w:val="19"/>
          <w:szCs w:val="19"/>
          <w:lang w:val="es-ES"/>
        </w:rPr>
        <w:t>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14:paraId="5BC30F59" w14:textId="518BE03D"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4.</w:t>
      </w:r>
      <w:r>
        <w:rPr>
          <w:rFonts w:ascii="Arial" w:hAnsi="Arial" w:cs="Arial"/>
          <w:sz w:val="19"/>
          <w:szCs w:val="19"/>
          <w:lang w:val="es-ES"/>
        </w:rPr>
        <w:t xml:space="preserve"> </w:t>
      </w:r>
      <w:r w:rsidR="00530059" w:rsidRPr="0064696D">
        <w:rPr>
          <w:rFonts w:ascii="Arial" w:hAnsi="Arial" w:cs="Arial"/>
          <w:sz w:val="19"/>
          <w:szCs w:val="19"/>
          <w:lang w:val="es-ES"/>
        </w:rPr>
        <w:t>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762F4336" w14:textId="04C31981" w:rsidR="00530059" w:rsidRPr="0064696D" w:rsidRDefault="009949CE" w:rsidP="0064696D">
      <w:pPr>
        <w:pStyle w:val="Textonotapie"/>
        <w:ind w:firstLine="709"/>
        <w:jc w:val="both"/>
        <w:rPr>
          <w:rFonts w:ascii="Arial" w:hAnsi="Arial" w:cs="Arial"/>
          <w:sz w:val="19"/>
          <w:szCs w:val="19"/>
          <w:lang w:val="es-CO"/>
        </w:rPr>
      </w:pPr>
      <w:r>
        <w:rPr>
          <w:rFonts w:ascii="Arial" w:hAnsi="Arial" w:cs="Arial"/>
          <w:sz w:val="19"/>
          <w:szCs w:val="19"/>
          <w:lang w:val="es-ES"/>
        </w:rPr>
        <w:t>»</w:t>
      </w:r>
      <w:r w:rsidR="00530059" w:rsidRPr="0064696D">
        <w:rPr>
          <w:rFonts w:ascii="Arial" w:hAnsi="Arial" w:cs="Arial"/>
          <w:sz w:val="19"/>
          <w:szCs w:val="19"/>
          <w:lang w:val="es-ES"/>
        </w:rPr>
        <w:t>5.</w:t>
      </w:r>
      <w:r>
        <w:rPr>
          <w:rFonts w:ascii="Arial" w:hAnsi="Arial" w:cs="Arial"/>
          <w:sz w:val="19"/>
          <w:szCs w:val="19"/>
          <w:lang w:val="es-ES"/>
        </w:rPr>
        <w:t xml:space="preserve"> </w:t>
      </w:r>
      <w:r w:rsidR="00530059" w:rsidRPr="0064696D">
        <w:rPr>
          <w:rFonts w:ascii="Arial" w:hAnsi="Arial" w:cs="Arial"/>
          <w:sz w:val="19"/>
          <w:szCs w:val="19"/>
          <w:lang w:val="es-ES"/>
        </w:rPr>
        <w:t>Utilizar un método aleatorio para seleccionar el oferente, método que deberá haber sido previsto en los pliegos de condiciones del Proceso de Contratación</w:t>
      </w:r>
      <w:r>
        <w:rPr>
          <w:rFonts w:ascii="Arial" w:hAnsi="Arial" w:cs="Arial"/>
          <w:sz w:val="19"/>
          <w:szCs w:val="19"/>
          <w:lang w:val="es-ES"/>
        </w:rPr>
        <w:t>»</w:t>
      </w:r>
      <w:r w:rsidR="00530059" w:rsidRPr="0064696D">
        <w:rPr>
          <w:rFonts w:ascii="Arial" w:hAnsi="Arial" w:cs="Arial"/>
          <w:sz w:val="19"/>
          <w:szCs w:val="19"/>
          <w:lang w:val="es-ES"/>
        </w:rPr>
        <w:t>.</w:t>
      </w:r>
    </w:p>
  </w:footnote>
  <w:footnote w:id="11">
    <w:p w14:paraId="31684F0B" w14:textId="46BB0669" w:rsidR="00833821" w:rsidRDefault="00833821" w:rsidP="00454589">
      <w:pPr>
        <w:pStyle w:val="Textonotapie"/>
        <w:ind w:firstLine="708"/>
        <w:jc w:val="both"/>
        <w:rPr>
          <w:rFonts w:ascii="Arial" w:hAnsi="Arial" w:cs="Arial"/>
          <w:sz w:val="19"/>
          <w:szCs w:val="19"/>
        </w:rPr>
      </w:pPr>
      <w:r w:rsidRPr="00833821">
        <w:rPr>
          <w:rStyle w:val="Refdenotaalpie"/>
          <w:rFonts w:ascii="Arial" w:hAnsi="Arial" w:cs="Arial"/>
          <w:sz w:val="19"/>
          <w:szCs w:val="19"/>
        </w:rPr>
        <w:footnoteRef/>
      </w:r>
      <w:r w:rsidRPr="00833821">
        <w:rPr>
          <w:rFonts w:ascii="Arial" w:hAnsi="Arial" w:cs="Arial"/>
          <w:sz w:val="19"/>
          <w:szCs w:val="19"/>
        </w:rPr>
        <w:t xml:space="preserve"> Corte Cons</w:t>
      </w:r>
      <w:r>
        <w:rPr>
          <w:rFonts w:ascii="Arial" w:hAnsi="Arial" w:cs="Arial"/>
          <w:sz w:val="19"/>
          <w:szCs w:val="19"/>
        </w:rPr>
        <w:t xml:space="preserve">titucional. Sentencia </w:t>
      </w:r>
      <w:r w:rsidRPr="00833821">
        <w:rPr>
          <w:rFonts w:ascii="Arial" w:hAnsi="Arial" w:cs="Arial"/>
          <w:sz w:val="19"/>
          <w:szCs w:val="19"/>
        </w:rPr>
        <w:t>C-439</w:t>
      </w:r>
      <w:r>
        <w:rPr>
          <w:rFonts w:ascii="Arial" w:hAnsi="Arial" w:cs="Arial"/>
          <w:sz w:val="19"/>
          <w:szCs w:val="19"/>
        </w:rPr>
        <w:t xml:space="preserve"> del 17 de agosto de 20</w:t>
      </w:r>
      <w:r w:rsidRPr="00833821">
        <w:rPr>
          <w:rFonts w:ascii="Arial" w:hAnsi="Arial" w:cs="Arial"/>
          <w:sz w:val="19"/>
          <w:szCs w:val="19"/>
        </w:rPr>
        <w:t>16</w:t>
      </w:r>
      <w:r>
        <w:rPr>
          <w:rFonts w:ascii="Arial" w:hAnsi="Arial" w:cs="Arial"/>
          <w:sz w:val="19"/>
          <w:szCs w:val="19"/>
        </w:rPr>
        <w:t xml:space="preserve">. Magistrado Ponente: Luis Guillermo Guerrero Pérez: </w:t>
      </w:r>
      <w:r w:rsidRPr="00833821">
        <w:rPr>
          <w:rFonts w:ascii="Arial" w:hAnsi="Arial" w:cs="Arial"/>
          <w:sz w:val="19"/>
          <w:szCs w:val="19"/>
        </w:rPr>
        <w:t>«En relación con este último punto, la propia jurisprudencia constitucional ha destacado que el principio de especialidad se aplica entre normas de igual jerarquía, sin que dicho principio tenga cabida entre preceptos de distinta jerarquía, como ocurre entre una la ley ordinaria y una ley estatutaria, o entre la Constitución y la ley en general, pues en tales eventos es claro que prevalece y se aplica siempre la norma superior</w:t>
      </w:r>
      <w:r w:rsidR="00454589" w:rsidRPr="00F175E1">
        <w:rPr>
          <w:rFonts w:ascii="Arial" w:hAnsi="Arial" w:cs="Arial"/>
          <w:sz w:val="19"/>
          <w:szCs w:val="19"/>
        </w:rPr>
        <w:t>»</w:t>
      </w:r>
      <w:r w:rsidR="00454589">
        <w:rPr>
          <w:rFonts w:ascii="Arial" w:hAnsi="Arial" w:cs="Arial"/>
          <w:sz w:val="19"/>
          <w:szCs w:val="19"/>
        </w:rPr>
        <w:t>.</w:t>
      </w:r>
    </w:p>
    <w:p w14:paraId="0FF1CBEE" w14:textId="77777777" w:rsidR="00454589" w:rsidRPr="00833821" w:rsidRDefault="00454589" w:rsidP="00454589">
      <w:pPr>
        <w:pStyle w:val="Textonotapie"/>
        <w:ind w:firstLine="708"/>
        <w:jc w:val="both"/>
      </w:pPr>
    </w:p>
  </w:footnote>
  <w:footnote w:id="12">
    <w:p w14:paraId="5847D64B" w14:textId="77777777" w:rsidR="00231293" w:rsidRPr="00F175E1" w:rsidRDefault="00231293" w:rsidP="00231293">
      <w:pPr>
        <w:jc w:val="both"/>
        <w:rPr>
          <w:rFonts w:ascii="Arial" w:hAnsi="Arial" w:cs="Arial"/>
          <w:sz w:val="19"/>
          <w:szCs w:val="19"/>
        </w:rPr>
      </w:pPr>
      <w:r w:rsidRPr="00F77DD4">
        <w:rPr>
          <w:rStyle w:val="Refdenotaalpie"/>
          <w:rFonts w:ascii="Arial" w:hAnsi="Arial" w:cs="Arial"/>
          <w:sz w:val="19"/>
          <w:szCs w:val="19"/>
        </w:rPr>
        <w:footnoteRef/>
      </w:r>
      <w:r w:rsidRPr="00F77DD4">
        <w:rPr>
          <w:rFonts w:ascii="Arial" w:hAnsi="Arial" w:cs="Arial"/>
          <w:sz w:val="19"/>
          <w:szCs w:val="19"/>
        </w:rPr>
        <w:t xml:space="preserve"> </w:t>
      </w:r>
      <w:r>
        <w:rPr>
          <w:rFonts w:ascii="Arial" w:hAnsi="Arial" w:cs="Arial"/>
          <w:sz w:val="19"/>
          <w:szCs w:val="19"/>
        </w:rPr>
        <w:t xml:space="preserve">El artículo 5 de la Ley 57 de 1887 dispone que </w:t>
      </w:r>
      <w:r w:rsidRPr="00F175E1">
        <w:rPr>
          <w:rFonts w:ascii="Arial" w:hAnsi="Arial" w:cs="Arial"/>
          <w:sz w:val="19"/>
          <w:szCs w:val="19"/>
        </w:rPr>
        <w:t xml:space="preserve">«Cuando haya incompatibilidad entre una disposición constitucional y una legal, preferirá aquélla. </w:t>
      </w:r>
    </w:p>
    <w:p w14:paraId="56F4D349" w14:textId="77777777" w:rsidR="00231293" w:rsidRPr="00F175E1" w:rsidRDefault="00231293" w:rsidP="00231293">
      <w:pPr>
        <w:ind w:firstLine="708"/>
        <w:jc w:val="both"/>
        <w:rPr>
          <w:rFonts w:ascii="Arial" w:hAnsi="Arial" w:cs="Arial"/>
          <w:sz w:val="19"/>
          <w:szCs w:val="19"/>
        </w:rPr>
      </w:pPr>
      <w:r w:rsidRPr="00F175E1">
        <w:rPr>
          <w:rFonts w:ascii="Arial" w:hAnsi="Arial" w:cs="Arial"/>
          <w:sz w:val="19"/>
          <w:szCs w:val="19"/>
        </w:rPr>
        <w:t xml:space="preserve">»Si en los Códigos que se adoptan se hallaren algunas disposiciones incompatibles entre sí, se observarán en su aplicación las reglas siguientes: </w:t>
      </w:r>
    </w:p>
    <w:p w14:paraId="095A81C6" w14:textId="77777777" w:rsidR="00231293" w:rsidRPr="00F175E1" w:rsidRDefault="00231293" w:rsidP="00231293">
      <w:pPr>
        <w:ind w:firstLine="708"/>
        <w:jc w:val="both"/>
        <w:rPr>
          <w:rFonts w:ascii="Arial" w:hAnsi="Arial" w:cs="Arial"/>
          <w:sz w:val="19"/>
          <w:szCs w:val="19"/>
        </w:rPr>
      </w:pPr>
      <w:r w:rsidRPr="00F175E1">
        <w:rPr>
          <w:rFonts w:ascii="Arial" w:hAnsi="Arial" w:cs="Arial"/>
          <w:sz w:val="19"/>
          <w:szCs w:val="19"/>
        </w:rPr>
        <w:t xml:space="preserve">»1ª La disposición relativa a un asunto especial prefiere a la que tenga carácter general; </w:t>
      </w:r>
    </w:p>
    <w:p w14:paraId="70312BC5" w14:textId="3B167DC8" w:rsidR="00231293" w:rsidRDefault="00231293" w:rsidP="00231293">
      <w:pPr>
        <w:ind w:firstLine="708"/>
        <w:jc w:val="both"/>
        <w:rPr>
          <w:rFonts w:ascii="Arial" w:hAnsi="Arial" w:cs="Arial"/>
          <w:sz w:val="19"/>
          <w:szCs w:val="19"/>
        </w:rPr>
      </w:pPr>
      <w:r w:rsidRPr="00F175E1">
        <w:rPr>
          <w:rFonts w:ascii="Arial" w:hAnsi="Arial" w:cs="Arial"/>
          <w:sz w:val="19"/>
          <w:szCs w:val="19"/>
        </w:rPr>
        <w:t xml:space="preserve">»2ª Cuando las disposiciones tengan una misma especialidad </w:t>
      </w:r>
      <w:r w:rsidR="003165A4">
        <w:rPr>
          <w:rFonts w:ascii="Arial" w:hAnsi="Arial" w:cs="Arial"/>
          <w:sz w:val="19"/>
          <w:szCs w:val="19"/>
        </w:rPr>
        <w:t>o</w:t>
      </w:r>
      <w:r w:rsidRPr="00F175E1">
        <w:rPr>
          <w:rFonts w:ascii="Arial" w:hAnsi="Arial" w:cs="Arial"/>
          <w:sz w:val="19"/>
          <w:szCs w:val="19"/>
        </w:rPr>
        <w:t xml:space="preserve"> generalidad, y se hallen en un mismo Código, preferirá la disposición consignada en artículo posterior; y si estuvieren en diversos Códigos preferirán, por razón de éstos, en el orden siguiente: Civil, de Comercio, Penal. Judicial, Administrativo, Fiscal, de Elecciones, Militar, de Policía, de Fomento, de Minas, de Beneficencia y de Instrucción Pública».</w:t>
      </w:r>
    </w:p>
    <w:p w14:paraId="5608D3C2" w14:textId="77777777" w:rsidR="00231293" w:rsidRPr="00D56A53" w:rsidRDefault="00231293" w:rsidP="00231293">
      <w:pPr>
        <w:ind w:firstLine="708"/>
        <w:jc w:val="both"/>
        <w:rPr>
          <w:rFonts w:ascii="Arial" w:hAnsi="Arial" w:cs="Arial"/>
          <w:sz w:val="19"/>
          <w:szCs w:val="19"/>
        </w:rPr>
      </w:pPr>
    </w:p>
  </w:footnote>
  <w:footnote w:id="13">
    <w:p w14:paraId="44CA3952" w14:textId="59228CAD" w:rsidR="00231293" w:rsidRDefault="00231293" w:rsidP="00231293">
      <w:pPr>
        <w:pStyle w:val="Textonotapie"/>
        <w:ind w:firstLine="708"/>
        <w:jc w:val="both"/>
        <w:rPr>
          <w:rFonts w:ascii="Arial" w:hAnsi="Arial" w:cs="Arial"/>
          <w:sz w:val="19"/>
          <w:szCs w:val="19"/>
        </w:rPr>
      </w:pPr>
      <w:r w:rsidRPr="00231293">
        <w:rPr>
          <w:rStyle w:val="Refdenotaalpie"/>
          <w:rFonts w:ascii="Arial" w:hAnsi="Arial" w:cs="Arial"/>
          <w:sz w:val="19"/>
          <w:szCs w:val="19"/>
        </w:rPr>
        <w:footnoteRef/>
      </w:r>
      <w:r w:rsidRPr="00231293">
        <w:rPr>
          <w:rFonts w:ascii="Arial" w:hAnsi="Arial" w:cs="Arial"/>
          <w:sz w:val="19"/>
          <w:szCs w:val="19"/>
        </w:rPr>
        <w:t xml:space="preserve"> </w:t>
      </w:r>
      <w:r>
        <w:rPr>
          <w:rFonts w:ascii="Arial" w:hAnsi="Arial" w:cs="Arial"/>
          <w:sz w:val="19"/>
          <w:szCs w:val="19"/>
        </w:rPr>
        <w:t xml:space="preserve">Cfr. </w:t>
      </w:r>
      <w:r w:rsidRPr="00231293">
        <w:rPr>
          <w:rFonts w:ascii="Arial" w:hAnsi="Arial" w:cs="Arial"/>
          <w:sz w:val="19"/>
          <w:szCs w:val="19"/>
        </w:rPr>
        <w:t>GUASTINI, Riccardo</w:t>
      </w:r>
      <w:r>
        <w:rPr>
          <w:rFonts w:ascii="Arial" w:hAnsi="Arial" w:cs="Arial"/>
          <w:sz w:val="19"/>
          <w:szCs w:val="19"/>
        </w:rPr>
        <w:t>. Interpretar y argumentar. Madrid: Centro de Estudios Constitucionales, 2014. p. 134.</w:t>
      </w:r>
    </w:p>
    <w:p w14:paraId="1D7BB4BF" w14:textId="77777777" w:rsidR="00DB2E17" w:rsidRPr="00231293" w:rsidRDefault="00DB2E17" w:rsidP="00231293">
      <w:pPr>
        <w:pStyle w:val="Textonotapie"/>
        <w:ind w:firstLine="708"/>
        <w:jc w:val="both"/>
        <w:rPr>
          <w:rFonts w:ascii="Arial" w:hAnsi="Arial" w:cs="Arial"/>
          <w:sz w:val="19"/>
          <w:szCs w:val="19"/>
          <w:lang w:val="es-ES"/>
        </w:rPr>
      </w:pPr>
    </w:p>
  </w:footnote>
  <w:footnote w:id="14">
    <w:p w14:paraId="3CDBBF78" w14:textId="5209B348" w:rsidR="00FF5E27" w:rsidRDefault="00FF5E27" w:rsidP="00FF5E27">
      <w:pPr>
        <w:pStyle w:val="Textonotapie"/>
        <w:ind w:firstLine="708"/>
        <w:jc w:val="both"/>
        <w:rPr>
          <w:rFonts w:ascii="Arial" w:hAnsi="Arial" w:cs="Arial"/>
          <w:sz w:val="19"/>
          <w:szCs w:val="19"/>
        </w:rPr>
      </w:pPr>
      <w:r w:rsidRPr="00FF5E27">
        <w:rPr>
          <w:rStyle w:val="Refdenotaalpie"/>
          <w:rFonts w:ascii="Arial" w:hAnsi="Arial" w:cs="Arial"/>
          <w:sz w:val="19"/>
          <w:szCs w:val="19"/>
        </w:rPr>
        <w:footnoteRef/>
      </w:r>
      <w:r w:rsidRPr="00FF5E27">
        <w:rPr>
          <w:rFonts w:ascii="Arial" w:hAnsi="Arial" w:cs="Arial"/>
          <w:sz w:val="19"/>
          <w:szCs w:val="19"/>
        </w:rPr>
        <w:t xml:space="preserve"> </w:t>
      </w:r>
      <w:r>
        <w:rPr>
          <w:rFonts w:ascii="Arial" w:hAnsi="Arial" w:cs="Arial"/>
          <w:sz w:val="19"/>
          <w:szCs w:val="19"/>
        </w:rPr>
        <w:t>DÍEZ-PICAZO, Luis María. La derogación de las leyes. Madrid: Editorial Civita, 1990. p. 363.</w:t>
      </w:r>
    </w:p>
    <w:p w14:paraId="592FA23A" w14:textId="77777777" w:rsidR="00DD0DB4" w:rsidRPr="00FF5E27" w:rsidRDefault="00DD0DB4" w:rsidP="00FF5E27">
      <w:pPr>
        <w:pStyle w:val="Textonotapie"/>
        <w:ind w:firstLine="708"/>
        <w:jc w:val="both"/>
        <w:rPr>
          <w:rFonts w:ascii="Arial" w:hAnsi="Arial" w:cs="Arial"/>
          <w:sz w:val="19"/>
          <w:szCs w:val="19"/>
          <w:lang w:val="es-ES"/>
        </w:rPr>
      </w:pPr>
    </w:p>
  </w:footnote>
  <w:footnote w:id="15">
    <w:p w14:paraId="30F85CFC" w14:textId="77777777" w:rsidR="003165A4" w:rsidRDefault="003165A4" w:rsidP="003165A4">
      <w:pPr>
        <w:pStyle w:val="Textonotapie"/>
        <w:ind w:firstLine="708"/>
        <w:jc w:val="both"/>
        <w:rPr>
          <w:rFonts w:ascii="Arial" w:hAnsi="Arial" w:cs="Arial"/>
          <w:sz w:val="19"/>
          <w:szCs w:val="19"/>
        </w:rPr>
      </w:pPr>
      <w:r w:rsidRPr="00F32C99">
        <w:rPr>
          <w:rStyle w:val="Refdenotaalpie"/>
          <w:rFonts w:ascii="Arial" w:hAnsi="Arial" w:cs="Arial"/>
          <w:sz w:val="19"/>
          <w:szCs w:val="19"/>
        </w:rPr>
        <w:footnoteRef/>
      </w:r>
      <w:r w:rsidRPr="00F32C99">
        <w:rPr>
          <w:rFonts w:ascii="Arial" w:hAnsi="Arial" w:cs="Arial"/>
          <w:sz w:val="19"/>
          <w:szCs w:val="19"/>
        </w:rPr>
        <w:t xml:space="preserve"> </w:t>
      </w:r>
      <w:r w:rsidRPr="00F32C99">
        <w:rPr>
          <w:rFonts w:ascii="Arial" w:hAnsi="Arial" w:cs="Arial"/>
          <w:i/>
          <w:iCs/>
          <w:sz w:val="19"/>
          <w:szCs w:val="19"/>
        </w:rPr>
        <w:t>Ibidem</w:t>
      </w:r>
      <w:r>
        <w:rPr>
          <w:rFonts w:ascii="Arial" w:hAnsi="Arial" w:cs="Arial"/>
          <w:sz w:val="19"/>
          <w:szCs w:val="19"/>
        </w:rPr>
        <w:t>. p. 18.</w:t>
      </w:r>
    </w:p>
    <w:p w14:paraId="4314050A" w14:textId="77777777" w:rsidR="003165A4" w:rsidRPr="00F32C99" w:rsidRDefault="003165A4" w:rsidP="003165A4">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433011148">
    <w:abstractNumId w:val="9"/>
  </w:num>
  <w:num w:numId="2" w16cid:durableId="505559389">
    <w:abstractNumId w:val="7"/>
  </w:num>
  <w:num w:numId="3" w16cid:durableId="1110004722">
    <w:abstractNumId w:val="12"/>
  </w:num>
  <w:num w:numId="4" w16cid:durableId="383408169">
    <w:abstractNumId w:val="15"/>
  </w:num>
  <w:num w:numId="5" w16cid:durableId="1765758710">
    <w:abstractNumId w:val="19"/>
  </w:num>
  <w:num w:numId="6" w16cid:durableId="16089705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1044164">
    <w:abstractNumId w:val="17"/>
  </w:num>
  <w:num w:numId="8" w16cid:durableId="1088423806">
    <w:abstractNumId w:val="0"/>
  </w:num>
  <w:num w:numId="9" w16cid:durableId="2116559707">
    <w:abstractNumId w:val="3"/>
  </w:num>
  <w:num w:numId="10" w16cid:durableId="10056675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974704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2071581">
    <w:abstractNumId w:val="8"/>
  </w:num>
  <w:num w:numId="13" w16cid:durableId="1754204532">
    <w:abstractNumId w:val="11"/>
  </w:num>
  <w:num w:numId="14" w16cid:durableId="389155458">
    <w:abstractNumId w:val="6"/>
  </w:num>
  <w:num w:numId="15" w16cid:durableId="231086030">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3930655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2234056">
    <w:abstractNumId w:val="21"/>
  </w:num>
  <w:num w:numId="18" w16cid:durableId="595752644">
    <w:abstractNumId w:val="13"/>
  </w:num>
  <w:num w:numId="19" w16cid:durableId="1229612596">
    <w:abstractNumId w:val="2"/>
  </w:num>
  <w:num w:numId="20" w16cid:durableId="11535599">
    <w:abstractNumId w:val="22"/>
  </w:num>
  <w:num w:numId="21" w16cid:durableId="1351449965">
    <w:abstractNumId w:val="14"/>
  </w:num>
  <w:num w:numId="22" w16cid:durableId="756247221">
    <w:abstractNumId w:val="5"/>
  </w:num>
  <w:num w:numId="23" w16cid:durableId="1739404308">
    <w:abstractNumId w:val="4"/>
  </w:num>
  <w:num w:numId="24" w16cid:durableId="218251372">
    <w:abstractNumId w:val="20"/>
  </w:num>
  <w:num w:numId="25" w16cid:durableId="19841940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48D9"/>
    <w:rsid w:val="00005054"/>
    <w:rsid w:val="000051AF"/>
    <w:rsid w:val="000059D3"/>
    <w:rsid w:val="00005B6D"/>
    <w:rsid w:val="0000600A"/>
    <w:rsid w:val="00006081"/>
    <w:rsid w:val="000061E9"/>
    <w:rsid w:val="000068B7"/>
    <w:rsid w:val="00007750"/>
    <w:rsid w:val="000077FD"/>
    <w:rsid w:val="00007E37"/>
    <w:rsid w:val="00010C40"/>
    <w:rsid w:val="00010F9A"/>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1FC"/>
    <w:rsid w:val="00023DAE"/>
    <w:rsid w:val="00024896"/>
    <w:rsid w:val="000255FA"/>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5A82"/>
    <w:rsid w:val="00035CEE"/>
    <w:rsid w:val="00035FA2"/>
    <w:rsid w:val="00036E03"/>
    <w:rsid w:val="000406DB"/>
    <w:rsid w:val="0004094D"/>
    <w:rsid w:val="00041029"/>
    <w:rsid w:val="00041357"/>
    <w:rsid w:val="0004149B"/>
    <w:rsid w:val="00041FC6"/>
    <w:rsid w:val="00042961"/>
    <w:rsid w:val="00042C25"/>
    <w:rsid w:val="00042D03"/>
    <w:rsid w:val="00043086"/>
    <w:rsid w:val="000430A0"/>
    <w:rsid w:val="00043399"/>
    <w:rsid w:val="00043D3B"/>
    <w:rsid w:val="0004418C"/>
    <w:rsid w:val="00044204"/>
    <w:rsid w:val="0004477A"/>
    <w:rsid w:val="000449D4"/>
    <w:rsid w:val="0004600D"/>
    <w:rsid w:val="000463B5"/>
    <w:rsid w:val="00046717"/>
    <w:rsid w:val="00046A63"/>
    <w:rsid w:val="00046C09"/>
    <w:rsid w:val="0004716A"/>
    <w:rsid w:val="00047385"/>
    <w:rsid w:val="000473E8"/>
    <w:rsid w:val="00047432"/>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526"/>
    <w:rsid w:val="00061D06"/>
    <w:rsid w:val="00062CDD"/>
    <w:rsid w:val="00062DB3"/>
    <w:rsid w:val="00063472"/>
    <w:rsid w:val="000640AF"/>
    <w:rsid w:val="00064451"/>
    <w:rsid w:val="00064940"/>
    <w:rsid w:val="00064CAE"/>
    <w:rsid w:val="00064DB7"/>
    <w:rsid w:val="00064FA7"/>
    <w:rsid w:val="00065195"/>
    <w:rsid w:val="0006536C"/>
    <w:rsid w:val="0006626E"/>
    <w:rsid w:val="00070AF1"/>
    <w:rsid w:val="000714DE"/>
    <w:rsid w:val="000717A5"/>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9A5"/>
    <w:rsid w:val="00086B2A"/>
    <w:rsid w:val="00086ED2"/>
    <w:rsid w:val="00087A64"/>
    <w:rsid w:val="00090318"/>
    <w:rsid w:val="0009082C"/>
    <w:rsid w:val="000909F6"/>
    <w:rsid w:val="00090C39"/>
    <w:rsid w:val="000914D6"/>
    <w:rsid w:val="00091569"/>
    <w:rsid w:val="0009200C"/>
    <w:rsid w:val="00092CDB"/>
    <w:rsid w:val="00092DCA"/>
    <w:rsid w:val="000942EB"/>
    <w:rsid w:val="00095557"/>
    <w:rsid w:val="00095B70"/>
    <w:rsid w:val="0009617E"/>
    <w:rsid w:val="0009628D"/>
    <w:rsid w:val="0009670F"/>
    <w:rsid w:val="00096D30"/>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3B0"/>
    <w:rsid w:val="000A46FE"/>
    <w:rsid w:val="000A47E6"/>
    <w:rsid w:val="000A52C0"/>
    <w:rsid w:val="000A5AAF"/>
    <w:rsid w:val="000A5F97"/>
    <w:rsid w:val="000A648E"/>
    <w:rsid w:val="000A7268"/>
    <w:rsid w:val="000A73BB"/>
    <w:rsid w:val="000A73E8"/>
    <w:rsid w:val="000A7EF4"/>
    <w:rsid w:val="000B0A15"/>
    <w:rsid w:val="000B103F"/>
    <w:rsid w:val="000B1057"/>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837"/>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69"/>
    <w:rsid w:val="000E7E0B"/>
    <w:rsid w:val="000F0136"/>
    <w:rsid w:val="000F069A"/>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5F4B"/>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C37"/>
    <w:rsid w:val="00116328"/>
    <w:rsid w:val="001163CF"/>
    <w:rsid w:val="001174C9"/>
    <w:rsid w:val="001177FE"/>
    <w:rsid w:val="00117E69"/>
    <w:rsid w:val="00121103"/>
    <w:rsid w:val="00121B78"/>
    <w:rsid w:val="00121BAB"/>
    <w:rsid w:val="00121E3C"/>
    <w:rsid w:val="00121F58"/>
    <w:rsid w:val="00122B23"/>
    <w:rsid w:val="00122B7E"/>
    <w:rsid w:val="00123E27"/>
    <w:rsid w:val="00123FB5"/>
    <w:rsid w:val="0012400F"/>
    <w:rsid w:val="001249DC"/>
    <w:rsid w:val="0012572D"/>
    <w:rsid w:val="00125BED"/>
    <w:rsid w:val="00125C59"/>
    <w:rsid w:val="00125D4F"/>
    <w:rsid w:val="00127004"/>
    <w:rsid w:val="0012770B"/>
    <w:rsid w:val="00127AF2"/>
    <w:rsid w:val="00127CE4"/>
    <w:rsid w:val="00127EDC"/>
    <w:rsid w:val="00127F42"/>
    <w:rsid w:val="00127F6D"/>
    <w:rsid w:val="00130355"/>
    <w:rsid w:val="00130365"/>
    <w:rsid w:val="001304E5"/>
    <w:rsid w:val="00131B5A"/>
    <w:rsid w:val="00132C30"/>
    <w:rsid w:val="00132EFD"/>
    <w:rsid w:val="00133AED"/>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5BED"/>
    <w:rsid w:val="00155D08"/>
    <w:rsid w:val="0015623B"/>
    <w:rsid w:val="00156BE5"/>
    <w:rsid w:val="00157232"/>
    <w:rsid w:val="00157B5F"/>
    <w:rsid w:val="00160401"/>
    <w:rsid w:val="00160D4E"/>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4F7D"/>
    <w:rsid w:val="00175BE2"/>
    <w:rsid w:val="00175E49"/>
    <w:rsid w:val="0017649F"/>
    <w:rsid w:val="0017655B"/>
    <w:rsid w:val="0018007F"/>
    <w:rsid w:val="001805C1"/>
    <w:rsid w:val="00180858"/>
    <w:rsid w:val="00180A2E"/>
    <w:rsid w:val="001813AF"/>
    <w:rsid w:val="00182368"/>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AE3"/>
    <w:rsid w:val="00191C5A"/>
    <w:rsid w:val="00191CEB"/>
    <w:rsid w:val="00191E63"/>
    <w:rsid w:val="00192D68"/>
    <w:rsid w:val="0019388B"/>
    <w:rsid w:val="00193ADE"/>
    <w:rsid w:val="00193AF8"/>
    <w:rsid w:val="00193B9A"/>
    <w:rsid w:val="001940ED"/>
    <w:rsid w:val="001946AE"/>
    <w:rsid w:val="001946D5"/>
    <w:rsid w:val="00194E8C"/>
    <w:rsid w:val="00195F02"/>
    <w:rsid w:val="001962EC"/>
    <w:rsid w:val="001963DD"/>
    <w:rsid w:val="001965DB"/>
    <w:rsid w:val="00196D01"/>
    <w:rsid w:val="00196DC9"/>
    <w:rsid w:val="00196E95"/>
    <w:rsid w:val="00197758"/>
    <w:rsid w:val="00197C13"/>
    <w:rsid w:val="001A0236"/>
    <w:rsid w:val="001A0915"/>
    <w:rsid w:val="001A0AF8"/>
    <w:rsid w:val="001A0E1B"/>
    <w:rsid w:val="001A1034"/>
    <w:rsid w:val="001A1490"/>
    <w:rsid w:val="001A18D5"/>
    <w:rsid w:val="001A1A38"/>
    <w:rsid w:val="001A1BE0"/>
    <w:rsid w:val="001A1D4A"/>
    <w:rsid w:val="001A3011"/>
    <w:rsid w:val="001A3078"/>
    <w:rsid w:val="001A422D"/>
    <w:rsid w:val="001A4A9B"/>
    <w:rsid w:val="001A4B32"/>
    <w:rsid w:val="001A4DAF"/>
    <w:rsid w:val="001A4F44"/>
    <w:rsid w:val="001A54CD"/>
    <w:rsid w:val="001A66DF"/>
    <w:rsid w:val="001A67D0"/>
    <w:rsid w:val="001A6863"/>
    <w:rsid w:val="001A7591"/>
    <w:rsid w:val="001A75B1"/>
    <w:rsid w:val="001A7B06"/>
    <w:rsid w:val="001B0366"/>
    <w:rsid w:val="001B0444"/>
    <w:rsid w:val="001B096B"/>
    <w:rsid w:val="001B0EB0"/>
    <w:rsid w:val="001B0F40"/>
    <w:rsid w:val="001B0F9F"/>
    <w:rsid w:val="001B123C"/>
    <w:rsid w:val="001B1A0D"/>
    <w:rsid w:val="001B1BF1"/>
    <w:rsid w:val="001B21AC"/>
    <w:rsid w:val="001B2456"/>
    <w:rsid w:val="001B449C"/>
    <w:rsid w:val="001B4AA2"/>
    <w:rsid w:val="001B4ADE"/>
    <w:rsid w:val="001B5530"/>
    <w:rsid w:val="001B5EF8"/>
    <w:rsid w:val="001B71E8"/>
    <w:rsid w:val="001B7D84"/>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A2"/>
    <w:rsid w:val="001C6DD8"/>
    <w:rsid w:val="001C76FA"/>
    <w:rsid w:val="001C79A4"/>
    <w:rsid w:val="001C7C7B"/>
    <w:rsid w:val="001D068D"/>
    <w:rsid w:val="001D12D1"/>
    <w:rsid w:val="001D15DF"/>
    <w:rsid w:val="001D2EEE"/>
    <w:rsid w:val="001D30F3"/>
    <w:rsid w:val="001D31A0"/>
    <w:rsid w:val="001D338E"/>
    <w:rsid w:val="001D4562"/>
    <w:rsid w:val="001D4CAD"/>
    <w:rsid w:val="001D56E9"/>
    <w:rsid w:val="001D6944"/>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0BD"/>
    <w:rsid w:val="001F1349"/>
    <w:rsid w:val="001F1863"/>
    <w:rsid w:val="001F1A52"/>
    <w:rsid w:val="001F2356"/>
    <w:rsid w:val="001F2A68"/>
    <w:rsid w:val="001F2C47"/>
    <w:rsid w:val="001F4773"/>
    <w:rsid w:val="001F5008"/>
    <w:rsid w:val="001F5391"/>
    <w:rsid w:val="001F56AA"/>
    <w:rsid w:val="001F58AA"/>
    <w:rsid w:val="001F5A4E"/>
    <w:rsid w:val="001F5EF6"/>
    <w:rsid w:val="001F657F"/>
    <w:rsid w:val="001F6FB6"/>
    <w:rsid w:val="001F72BB"/>
    <w:rsid w:val="001F7978"/>
    <w:rsid w:val="001F7A0E"/>
    <w:rsid w:val="001F7A4B"/>
    <w:rsid w:val="002000FE"/>
    <w:rsid w:val="0020022E"/>
    <w:rsid w:val="0020054E"/>
    <w:rsid w:val="00201508"/>
    <w:rsid w:val="00201AC4"/>
    <w:rsid w:val="00201F1E"/>
    <w:rsid w:val="00202761"/>
    <w:rsid w:val="0020299B"/>
    <w:rsid w:val="00202B2A"/>
    <w:rsid w:val="00202E44"/>
    <w:rsid w:val="002037AA"/>
    <w:rsid w:val="00203878"/>
    <w:rsid w:val="00203AD7"/>
    <w:rsid w:val="00203FE3"/>
    <w:rsid w:val="002042D8"/>
    <w:rsid w:val="00204515"/>
    <w:rsid w:val="00204BF5"/>
    <w:rsid w:val="00204E6B"/>
    <w:rsid w:val="002053EF"/>
    <w:rsid w:val="002058D4"/>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72"/>
    <w:rsid w:val="00215B8E"/>
    <w:rsid w:val="00216264"/>
    <w:rsid w:val="002169A0"/>
    <w:rsid w:val="002176B6"/>
    <w:rsid w:val="0021792D"/>
    <w:rsid w:val="00217DB8"/>
    <w:rsid w:val="002202CE"/>
    <w:rsid w:val="0022032A"/>
    <w:rsid w:val="002210AD"/>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6BF2"/>
    <w:rsid w:val="002270C9"/>
    <w:rsid w:val="00227A8B"/>
    <w:rsid w:val="0023033F"/>
    <w:rsid w:val="00231293"/>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37B87"/>
    <w:rsid w:val="0024019A"/>
    <w:rsid w:val="00240EC1"/>
    <w:rsid w:val="00240F06"/>
    <w:rsid w:val="0024120F"/>
    <w:rsid w:val="0024131D"/>
    <w:rsid w:val="002415B8"/>
    <w:rsid w:val="00241B82"/>
    <w:rsid w:val="00242D5F"/>
    <w:rsid w:val="00242D62"/>
    <w:rsid w:val="002430D0"/>
    <w:rsid w:val="002431D7"/>
    <w:rsid w:val="00244058"/>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51E"/>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82E"/>
    <w:rsid w:val="002748F1"/>
    <w:rsid w:val="00274DB5"/>
    <w:rsid w:val="00275BB1"/>
    <w:rsid w:val="0027770B"/>
    <w:rsid w:val="00277933"/>
    <w:rsid w:val="00277F8D"/>
    <w:rsid w:val="00277FA7"/>
    <w:rsid w:val="00280046"/>
    <w:rsid w:val="00280B4F"/>
    <w:rsid w:val="00280F3D"/>
    <w:rsid w:val="0028106A"/>
    <w:rsid w:val="00281EB4"/>
    <w:rsid w:val="00282E03"/>
    <w:rsid w:val="0028308E"/>
    <w:rsid w:val="002834E9"/>
    <w:rsid w:val="00283A52"/>
    <w:rsid w:val="00283C5E"/>
    <w:rsid w:val="00283E26"/>
    <w:rsid w:val="0028428F"/>
    <w:rsid w:val="00284CFC"/>
    <w:rsid w:val="00285832"/>
    <w:rsid w:val="00285969"/>
    <w:rsid w:val="0028599C"/>
    <w:rsid w:val="0028663B"/>
    <w:rsid w:val="00286CEC"/>
    <w:rsid w:val="002870F9"/>
    <w:rsid w:val="002871A9"/>
    <w:rsid w:val="00287505"/>
    <w:rsid w:val="00287727"/>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D94"/>
    <w:rsid w:val="002A4736"/>
    <w:rsid w:val="002A4B1C"/>
    <w:rsid w:val="002A55FE"/>
    <w:rsid w:val="002A625C"/>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1D4"/>
    <w:rsid w:val="002C6291"/>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F50"/>
    <w:rsid w:val="002F33EC"/>
    <w:rsid w:val="002F34E3"/>
    <w:rsid w:val="002F3601"/>
    <w:rsid w:val="002F40E2"/>
    <w:rsid w:val="002F45F6"/>
    <w:rsid w:val="002F4A0E"/>
    <w:rsid w:val="002F5A6F"/>
    <w:rsid w:val="002F692F"/>
    <w:rsid w:val="002F7031"/>
    <w:rsid w:val="002F7961"/>
    <w:rsid w:val="002F7B66"/>
    <w:rsid w:val="003007D7"/>
    <w:rsid w:val="00300CB4"/>
    <w:rsid w:val="00300E24"/>
    <w:rsid w:val="0030257B"/>
    <w:rsid w:val="003033BA"/>
    <w:rsid w:val="0030341E"/>
    <w:rsid w:val="00303C19"/>
    <w:rsid w:val="003043A3"/>
    <w:rsid w:val="0030462D"/>
    <w:rsid w:val="00304BD4"/>
    <w:rsid w:val="00304F54"/>
    <w:rsid w:val="0030500A"/>
    <w:rsid w:val="003052EB"/>
    <w:rsid w:val="00305FCB"/>
    <w:rsid w:val="003063C3"/>
    <w:rsid w:val="003069DC"/>
    <w:rsid w:val="00306A13"/>
    <w:rsid w:val="00306B44"/>
    <w:rsid w:val="00307833"/>
    <w:rsid w:val="00307C44"/>
    <w:rsid w:val="0031040A"/>
    <w:rsid w:val="0031088E"/>
    <w:rsid w:val="00310D01"/>
    <w:rsid w:val="00311376"/>
    <w:rsid w:val="00311A1F"/>
    <w:rsid w:val="00311B47"/>
    <w:rsid w:val="00311D52"/>
    <w:rsid w:val="00312190"/>
    <w:rsid w:val="003125E0"/>
    <w:rsid w:val="0031271D"/>
    <w:rsid w:val="0031277A"/>
    <w:rsid w:val="00312C74"/>
    <w:rsid w:val="003132BB"/>
    <w:rsid w:val="00313337"/>
    <w:rsid w:val="00313447"/>
    <w:rsid w:val="00313748"/>
    <w:rsid w:val="00313EA3"/>
    <w:rsid w:val="003151FE"/>
    <w:rsid w:val="00315365"/>
    <w:rsid w:val="00315457"/>
    <w:rsid w:val="003161A4"/>
    <w:rsid w:val="003165A4"/>
    <w:rsid w:val="0031674D"/>
    <w:rsid w:val="00316955"/>
    <w:rsid w:val="003169F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62D"/>
    <w:rsid w:val="00323881"/>
    <w:rsid w:val="00324885"/>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1CC"/>
    <w:rsid w:val="00333A88"/>
    <w:rsid w:val="00335B15"/>
    <w:rsid w:val="00335B21"/>
    <w:rsid w:val="00335D3F"/>
    <w:rsid w:val="00336104"/>
    <w:rsid w:val="0033656B"/>
    <w:rsid w:val="00336729"/>
    <w:rsid w:val="00336CD9"/>
    <w:rsid w:val="0033726D"/>
    <w:rsid w:val="00337296"/>
    <w:rsid w:val="00337B9F"/>
    <w:rsid w:val="00337CA8"/>
    <w:rsid w:val="00340D3F"/>
    <w:rsid w:val="0034174B"/>
    <w:rsid w:val="0034177C"/>
    <w:rsid w:val="003420E9"/>
    <w:rsid w:val="00342345"/>
    <w:rsid w:val="00342837"/>
    <w:rsid w:val="00342C27"/>
    <w:rsid w:val="003430C8"/>
    <w:rsid w:val="003432C8"/>
    <w:rsid w:val="003434B3"/>
    <w:rsid w:val="00343536"/>
    <w:rsid w:val="00343EFB"/>
    <w:rsid w:val="00344760"/>
    <w:rsid w:val="00344803"/>
    <w:rsid w:val="003454E8"/>
    <w:rsid w:val="00345574"/>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F87"/>
    <w:rsid w:val="00357E83"/>
    <w:rsid w:val="00360B68"/>
    <w:rsid w:val="00360CF3"/>
    <w:rsid w:val="00361A59"/>
    <w:rsid w:val="00361D72"/>
    <w:rsid w:val="00363348"/>
    <w:rsid w:val="003633C4"/>
    <w:rsid w:val="00363857"/>
    <w:rsid w:val="00363D59"/>
    <w:rsid w:val="00363F08"/>
    <w:rsid w:val="003640F7"/>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418"/>
    <w:rsid w:val="00393577"/>
    <w:rsid w:val="00393CAE"/>
    <w:rsid w:val="003945F4"/>
    <w:rsid w:val="00394EB5"/>
    <w:rsid w:val="003953B4"/>
    <w:rsid w:val="0039615F"/>
    <w:rsid w:val="003966A0"/>
    <w:rsid w:val="00396A29"/>
    <w:rsid w:val="00397C34"/>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07A"/>
    <w:rsid w:val="003A6160"/>
    <w:rsid w:val="003A6597"/>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373"/>
    <w:rsid w:val="003C0491"/>
    <w:rsid w:val="003C0C0F"/>
    <w:rsid w:val="003C0D1F"/>
    <w:rsid w:val="003C116A"/>
    <w:rsid w:val="003C1AF4"/>
    <w:rsid w:val="003C1C13"/>
    <w:rsid w:val="003C1CB8"/>
    <w:rsid w:val="003C22DA"/>
    <w:rsid w:val="003C2550"/>
    <w:rsid w:val="003C287F"/>
    <w:rsid w:val="003C3339"/>
    <w:rsid w:val="003C375A"/>
    <w:rsid w:val="003C4317"/>
    <w:rsid w:val="003C4D9F"/>
    <w:rsid w:val="003C5247"/>
    <w:rsid w:val="003C5350"/>
    <w:rsid w:val="003C5B02"/>
    <w:rsid w:val="003C5E8A"/>
    <w:rsid w:val="003C622C"/>
    <w:rsid w:val="003C6505"/>
    <w:rsid w:val="003C73C7"/>
    <w:rsid w:val="003C7CFB"/>
    <w:rsid w:val="003D050B"/>
    <w:rsid w:val="003D0B98"/>
    <w:rsid w:val="003D0C3C"/>
    <w:rsid w:val="003D0DE5"/>
    <w:rsid w:val="003D1351"/>
    <w:rsid w:val="003D21C1"/>
    <w:rsid w:val="003D3B15"/>
    <w:rsid w:val="003D3B2E"/>
    <w:rsid w:val="003D4101"/>
    <w:rsid w:val="003D484D"/>
    <w:rsid w:val="003D49CB"/>
    <w:rsid w:val="003D5F10"/>
    <w:rsid w:val="003D6B8F"/>
    <w:rsid w:val="003D7566"/>
    <w:rsid w:val="003E0224"/>
    <w:rsid w:val="003E09BB"/>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84E"/>
    <w:rsid w:val="00402DE1"/>
    <w:rsid w:val="00402EEB"/>
    <w:rsid w:val="004037C2"/>
    <w:rsid w:val="004037FD"/>
    <w:rsid w:val="00404041"/>
    <w:rsid w:val="004040D4"/>
    <w:rsid w:val="00404B43"/>
    <w:rsid w:val="00404C61"/>
    <w:rsid w:val="00405487"/>
    <w:rsid w:val="00405B8A"/>
    <w:rsid w:val="0040602B"/>
    <w:rsid w:val="0040606C"/>
    <w:rsid w:val="004060DC"/>
    <w:rsid w:val="00406DD8"/>
    <w:rsid w:val="00406DF5"/>
    <w:rsid w:val="00406F35"/>
    <w:rsid w:val="004077D0"/>
    <w:rsid w:val="00407A7A"/>
    <w:rsid w:val="00407ABC"/>
    <w:rsid w:val="00407F1E"/>
    <w:rsid w:val="00410A64"/>
    <w:rsid w:val="00410A88"/>
    <w:rsid w:val="00410CC8"/>
    <w:rsid w:val="00410EA0"/>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158C"/>
    <w:rsid w:val="00421617"/>
    <w:rsid w:val="004217A7"/>
    <w:rsid w:val="00421BD2"/>
    <w:rsid w:val="00421E00"/>
    <w:rsid w:val="00421FCB"/>
    <w:rsid w:val="00422DCA"/>
    <w:rsid w:val="00423C7F"/>
    <w:rsid w:val="00423D04"/>
    <w:rsid w:val="00423F9F"/>
    <w:rsid w:val="00425C43"/>
    <w:rsid w:val="004273FA"/>
    <w:rsid w:val="004275A7"/>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21"/>
    <w:rsid w:val="00442D4D"/>
    <w:rsid w:val="0044374D"/>
    <w:rsid w:val="00443B55"/>
    <w:rsid w:val="00443D27"/>
    <w:rsid w:val="0044500B"/>
    <w:rsid w:val="004451C5"/>
    <w:rsid w:val="00446037"/>
    <w:rsid w:val="00446270"/>
    <w:rsid w:val="0044642F"/>
    <w:rsid w:val="0044772C"/>
    <w:rsid w:val="00450846"/>
    <w:rsid w:val="0045123C"/>
    <w:rsid w:val="00451A52"/>
    <w:rsid w:val="00452663"/>
    <w:rsid w:val="0045271D"/>
    <w:rsid w:val="00452755"/>
    <w:rsid w:val="00452803"/>
    <w:rsid w:val="004529C6"/>
    <w:rsid w:val="00452EAD"/>
    <w:rsid w:val="004533D1"/>
    <w:rsid w:val="004534D1"/>
    <w:rsid w:val="00454548"/>
    <w:rsid w:val="00454589"/>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2E1D"/>
    <w:rsid w:val="0046320A"/>
    <w:rsid w:val="00463347"/>
    <w:rsid w:val="004636CC"/>
    <w:rsid w:val="004636DB"/>
    <w:rsid w:val="004638E2"/>
    <w:rsid w:val="00464030"/>
    <w:rsid w:val="004647F8"/>
    <w:rsid w:val="004647FB"/>
    <w:rsid w:val="00465347"/>
    <w:rsid w:val="00465677"/>
    <w:rsid w:val="00466392"/>
    <w:rsid w:val="00466616"/>
    <w:rsid w:val="00466A0C"/>
    <w:rsid w:val="00466A53"/>
    <w:rsid w:val="00470552"/>
    <w:rsid w:val="00470A6A"/>
    <w:rsid w:val="00470D73"/>
    <w:rsid w:val="00470D92"/>
    <w:rsid w:val="004714D3"/>
    <w:rsid w:val="00471DF7"/>
    <w:rsid w:val="004734CF"/>
    <w:rsid w:val="00473F33"/>
    <w:rsid w:val="0047586C"/>
    <w:rsid w:val="00475C5A"/>
    <w:rsid w:val="00475C9C"/>
    <w:rsid w:val="0047676B"/>
    <w:rsid w:val="0047771F"/>
    <w:rsid w:val="0047773C"/>
    <w:rsid w:val="00477C5F"/>
    <w:rsid w:val="00477F1D"/>
    <w:rsid w:val="00480050"/>
    <w:rsid w:val="0048011C"/>
    <w:rsid w:val="004808DE"/>
    <w:rsid w:val="00480F9A"/>
    <w:rsid w:val="00481AC4"/>
    <w:rsid w:val="00481DC1"/>
    <w:rsid w:val="00482507"/>
    <w:rsid w:val="0048268A"/>
    <w:rsid w:val="00482A64"/>
    <w:rsid w:val="004835CA"/>
    <w:rsid w:val="004836F8"/>
    <w:rsid w:val="004836FE"/>
    <w:rsid w:val="00484A39"/>
    <w:rsid w:val="00484F0F"/>
    <w:rsid w:val="00484F40"/>
    <w:rsid w:val="0048540C"/>
    <w:rsid w:val="0048608A"/>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197"/>
    <w:rsid w:val="004B298A"/>
    <w:rsid w:val="004B2BB8"/>
    <w:rsid w:val="004B50CB"/>
    <w:rsid w:val="004B578D"/>
    <w:rsid w:val="004B5BE7"/>
    <w:rsid w:val="004B5E2D"/>
    <w:rsid w:val="004B6C07"/>
    <w:rsid w:val="004B6EF5"/>
    <w:rsid w:val="004B74D3"/>
    <w:rsid w:val="004B755E"/>
    <w:rsid w:val="004B788E"/>
    <w:rsid w:val="004B7E5D"/>
    <w:rsid w:val="004C08D1"/>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4055"/>
    <w:rsid w:val="004E40CE"/>
    <w:rsid w:val="004E5736"/>
    <w:rsid w:val="004E5A3C"/>
    <w:rsid w:val="004E5B36"/>
    <w:rsid w:val="004E5D5D"/>
    <w:rsid w:val="004E6045"/>
    <w:rsid w:val="004E6804"/>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4D5A"/>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A17"/>
    <w:rsid w:val="00505892"/>
    <w:rsid w:val="00505DCB"/>
    <w:rsid w:val="00506CD5"/>
    <w:rsid w:val="00507066"/>
    <w:rsid w:val="005072BC"/>
    <w:rsid w:val="005075CA"/>
    <w:rsid w:val="00507B06"/>
    <w:rsid w:val="00507BF1"/>
    <w:rsid w:val="0051074C"/>
    <w:rsid w:val="00510DE9"/>
    <w:rsid w:val="005111E2"/>
    <w:rsid w:val="00511231"/>
    <w:rsid w:val="00511741"/>
    <w:rsid w:val="00512C4F"/>
    <w:rsid w:val="00513042"/>
    <w:rsid w:val="00513170"/>
    <w:rsid w:val="0051334F"/>
    <w:rsid w:val="00513399"/>
    <w:rsid w:val="005135BE"/>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3A5"/>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059"/>
    <w:rsid w:val="00530405"/>
    <w:rsid w:val="00530458"/>
    <w:rsid w:val="00530522"/>
    <w:rsid w:val="005305E5"/>
    <w:rsid w:val="0053086F"/>
    <w:rsid w:val="00530CBA"/>
    <w:rsid w:val="00530F38"/>
    <w:rsid w:val="00531F26"/>
    <w:rsid w:val="00531FEF"/>
    <w:rsid w:val="00532501"/>
    <w:rsid w:val="0053277C"/>
    <w:rsid w:val="005327C0"/>
    <w:rsid w:val="00533101"/>
    <w:rsid w:val="00533CA9"/>
    <w:rsid w:val="005346AD"/>
    <w:rsid w:val="00534EFB"/>
    <w:rsid w:val="00534F60"/>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8EA"/>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2F1"/>
    <w:rsid w:val="00574708"/>
    <w:rsid w:val="00574D81"/>
    <w:rsid w:val="005756AA"/>
    <w:rsid w:val="0057696F"/>
    <w:rsid w:val="005774FE"/>
    <w:rsid w:val="0058040C"/>
    <w:rsid w:val="00580963"/>
    <w:rsid w:val="00580D6D"/>
    <w:rsid w:val="00580FD8"/>
    <w:rsid w:val="005813DE"/>
    <w:rsid w:val="00581796"/>
    <w:rsid w:val="00581B45"/>
    <w:rsid w:val="00582480"/>
    <w:rsid w:val="00582805"/>
    <w:rsid w:val="0058290E"/>
    <w:rsid w:val="00582CAB"/>
    <w:rsid w:val="00582FA6"/>
    <w:rsid w:val="005836D5"/>
    <w:rsid w:val="0058375E"/>
    <w:rsid w:val="00583E07"/>
    <w:rsid w:val="00584233"/>
    <w:rsid w:val="005842D0"/>
    <w:rsid w:val="005845FB"/>
    <w:rsid w:val="005855AE"/>
    <w:rsid w:val="00585829"/>
    <w:rsid w:val="00585CA8"/>
    <w:rsid w:val="00586412"/>
    <w:rsid w:val="005864B9"/>
    <w:rsid w:val="00586564"/>
    <w:rsid w:val="005866C4"/>
    <w:rsid w:val="005907D4"/>
    <w:rsid w:val="00590F1A"/>
    <w:rsid w:val="00591C03"/>
    <w:rsid w:val="00591E2A"/>
    <w:rsid w:val="005923C4"/>
    <w:rsid w:val="005936E0"/>
    <w:rsid w:val="0059397D"/>
    <w:rsid w:val="00593EA2"/>
    <w:rsid w:val="00593F75"/>
    <w:rsid w:val="005940A0"/>
    <w:rsid w:val="0059429A"/>
    <w:rsid w:val="00594CBE"/>
    <w:rsid w:val="00596247"/>
    <w:rsid w:val="00596AF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0B2"/>
    <w:rsid w:val="005A718A"/>
    <w:rsid w:val="005A72DD"/>
    <w:rsid w:val="005A7885"/>
    <w:rsid w:val="005B0DC3"/>
    <w:rsid w:val="005B12B2"/>
    <w:rsid w:val="005B143B"/>
    <w:rsid w:val="005B19BD"/>
    <w:rsid w:val="005B1D7A"/>
    <w:rsid w:val="005B1E45"/>
    <w:rsid w:val="005B21C4"/>
    <w:rsid w:val="005B2A28"/>
    <w:rsid w:val="005B35AB"/>
    <w:rsid w:val="005B3621"/>
    <w:rsid w:val="005B3EBE"/>
    <w:rsid w:val="005B4371"/>
    <w:rsid w:val="005B4948"/>
    <w:rsid w:val="005B501D"/>
    <w:rsid w:val="005B54CC"/>
    <w:rsid w:val="005B71BB"/>
    <w:rsid w:val="005B74AD"/>
    <w:rsid w:val="005B7E96"/>
    <w:rsid w:val="005C0429"/>
    <w:rsid w:val="005C084F"/>
    <w:rsid w:val="005C0A99"/>
    <w:rsid w:val="005C0EE9"/>
    <w:rsid w:val="005C169F"/>
    <w:rsid w:val="005C16A8"/>
    <w:rsid w:val="005C1716"/>
    <w:rsid w:val="005C1954"/>
    <w:rsid w:val="005C1C0B"/>
    <w:rsid w:val="005C2011"/>
    <w:rsid w:val="005C21CD"/>
    <w:rsid w:val="005C2637"/>
    <w:rsid w:val="005C3EA3"/>
    <w:rsid w:val="005C44DE"/>
    <w:rsid w:val="005C5011"/>
    <w:rsid w:val="005C5241"/>
    <w:rsid w:val="005C529E"/>
    <w:rsid w:val="005C57BA"/>
    <w:rsid w:val="005C5C52"/>
    <w:rsid w:val="005C5D3D"/>
    <w:rsid w:val="005C5F05"/>
    <w:rsid w:val="005C6186"/>
    <w:rsid w:val="005C6CF7"/>
    <w:rsid w:val="005C7E45"/>
    <w:rsid w:val="005C7F3E"/>
    <w:rsid w:val="005D06D3"/>
    <w:rsid w:val="005D0C3B"/>
    <w:rsid w:val="005D103E"/>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D8B"/>
    <w:rsid w:val="005F305B"/>
    <w:rsid w:val="005F3361"/>
    <w:rsid w:val="005F361A"/>
    <w:rsid w:val="005F3B47"/>
    <w:rsid w:val="005F4481"/>
    <w:rsid w:val="005F47AC"/>
    <w:rsid w:val="005F49AF"/>
    <w:rsid w:val="005F4A58"/>
    <w:rsid w:val="005F54DF"/>
    <w:rsid w:val="005F5694"/>
    <w:rsid w:val="005F5888"/>
    <w:rsid w:val="005F5984"/>
    <w:rsid w:val="005F5EAB"/>
    <w:rsid w:val="005F6C38"/>
    <w:rsid w:val="005F6CE2"/>
    <w:rsid w:val="005F6EC8"/>
    <w:rsid w:val="005F6F24"/>
    <w:rsid w:val="005F72E9"/>
    <w:rsid w:val="005F780B"/>
    <w:rsid w:val="00600473"/>
    <w:rsid w:val="00600FC8"/>
    <w:rsid w:val="0060139A"/>
    <w:rsid w:val="006013C9"/>
    <w:rsid w:val="006018ED"/>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001"/>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875"/>
    <w:rsid w:val="0061591D"/>
    <w:rsid w:val="00615ED0"/>
    <w:rsid w:val="0061604C"/>
    <w:rsid w:val="00616C2B"/>
    <w:rsid w:val="00616D7F"/>
    <w:rsid w:val="006178D1"/>
    <w:rsid w:val="00620719"/>
    <w:rsid w:val="006212C9"/>
    <w:rsid w:val="00621D0C"/>
    <w:rsid w:val="00622229"/>
    <w:rsid w:val="00622470"/>
    <w:rsid w:val="00622725"/>
    <w:rsid w:val="00622785"/>
    <w:rsid w:val="00622ACD"/>
    <w:rsid w:val="00622B63"/>
    <w:rsid w:val="006231AA"/>
    <w:rsid w:val="00623346"/>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B29"/>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194F"/>
    <w:rsid w:val="00642126"/>
    <w:rsid w:val="00642A32"/>
    <w:rsid w:val="00642F7C"/>
    <w:rsid w:val="006433D5"/>
    <w:rsid w:val="00643412"/>
    <w:rsid w:val="00645844"/>
    <w:rsid w:val="00645CEB"/>
    <w:rsid w:val="00645E63"/>
    <w:rsid w:val="0064696D"/>
    <w:rsid w:val="00646B20"/>
    <w:rsid w:val="00646D0F"/>
    <w:rsid w:val="00647A36"/>
    <w:rsid w:val="00647DCC"/>
    <w:rsid w:val="00647E8E"/>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216"/>
    <w:rsid w:val="006564A5"/>
    <w:rsid w:val="00656C4B"/>
    <w:rsid w:val="006572A7"/>
    <w:rsid w:val="006573EA"/>
    <w:rsid w:val="006577C9"/>
    <w:rsid w:val="006606A4"/>
    <w:rsid w:val="00661029"/>
    <w:rsid w:val="006610C3"/>
    <w:rsid w:val="0066135A"/>
    <w:rsid w:val="00661A38"/>
    <w:rsid w:val="0066272D"/>
    <w:rsid w:val="00662E58"/>
    <w:rsid w:val="00662F39"/>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6E4"/>
    <w:rsid w:val="00670B20"/>
    <w:rsid w:val="00670E12"/>
    <w:rsid w:val="00670F27"/>
    <w:rsid w:val="0067266A"/>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42AA"/>
    <w:rsid w:val="00684462"/>
    <w:rsid w:val="00684765"/>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6BCD"/>
    <w:rsid w:val="00697665"/>
    <w:rsid w:val="00697C9A"/>
    <w:rsid w:val="00697E68"/>
    <w:rsid w:val="00697F3D"/>
    <w:rsid w:val="00697FC1"/>
    <w:rsid w:val="006A0274"/>
    <w:rsid w:val="006A0C4C"/>
    <w:rsid w:val="006A27BC"/>
    <w:rsid w:val="006A2829"/>
    <w:rsid w:val="006A2A43"/>
    <w:rsid w:val="006A2BF1"/>
    <w:rsid w:val="006A2F9A"/>
    <w:rsid w:val="006A34E4"/>
    <w:rsid w:val="006A3A5A"/>
    <w:rsid w:val="006A3E98"/>
    <w:rsid w:val="006A44CF"/>
    <w:rsid w:val="006A457D"/>
    <w:rsid w:val="006A4B5A"/>
    <w:rsid w:val="006A4C06"/>
    <w:rsid w:val="006A4F85"/>
    <w:rsid w:val="006A55EE"/>
    <w:rsid w:val="006A575B"/>
    <w:rsid w:val="006A59DE"/>
    <w:rsid w:val="006A64C6"/>
    <w:rsid w:val="006A6655"/>
    <w:rsid w:val="006A6BF9"/>
    <w:rsid w:val="006A7AB8"/>
    <w:rsid w:val="006A7CB5"/>
    <w:rsid w:val="006A7FD0"/>
    <w:rsid w:val="006B025C"/>
    <w:rsid w:val="006B08ED"/>
    <w:rsid w:val="006B2170"/>
    <w:rsid w:val="006B2534"/>
    <w:rsid w:val="006B2CB2"/>
    <w:rsid w:val="006B2D1C"/>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37CA"/>
    <w:rsid w:val="006C39AE"/>
    <w:rsid w:val="006C40D2"/>
    <w:rsid w:val="006C4B85"/>
    <w:rsid w:val="006C4BBD"/>
    <w:rsid w:val="006C551E"/>
    <w:rsid w:val="006C563F"/>
    <w:rsid w:val="006C572F"/>
    <w:rsid w:val="006C5B15"/>
    <w:rsid w:val="006C5D32"/>
    <w:rsid w:val="006C5DCB"/>
    <w:rsid w:val="006C6475"/>
    <w:rsid w:val="006C67A8"/>
    <w:rsid w:val="006C70C4"/>
    <w:rsid w:val="006C741F"/>
    <w:rsid w:val="006D04DA"/>
    <w:rsid w:val="006D0B1A"/>
    <w:rsid w:val="006D10F6"/>
    <w:rsid w:val="006D1544"/>
    <w:rsid w:val="006D1688"/>
    <w:rsid w:val="006D1BE1"/>
    <w:rsid w:val="006D1DD3"/>
    <w:rsid w:val="006D1FF3"/>
    <w:rsid w:val="006D219C"/>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37"/>
    <w:rsid w:val="006E39D1"/>
    <w:rsid w:val="006E3B05"/>
    <w:rsid w:val="006E437F"/>
    <w:rsid w:val="006E4D5B"/>
    <w:rsid w:val="006E602F"/>
    <w:rsid w:val="006E6720"/>
    <w:rsid w:val="006E7275"/>
    <w:rsid w:val="006E77B8"/>
    <w:rsid w:val="006E7AAF"/>
    <w:rsid w:val="006F05F7"/>
    <w:rsid w:val="006F0F34"/>
    <w:rsid w:val="006F0F74"/>
    <w:rsid w:val="006F1041"/>
    <w:rsid w:val="006F13BA"/>
    <w:rsid w:val="006F15CC"/>
    <w:rsid w:val="006F15F6"/>
    <w:rsid w:val="006F36EA"/>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773F"/>
    <w:rsid w:val="00707A2E"/>
    <w:rsid w:val="00707E32"/>
    <w:rsid w:val="00707ED3"/>
    <w:rsid w:val="007101B7"/>
    <w:rsid w:val="00710668"/>
    <w:rsid w:val="00711019"/>
    <w:rsid w:val="007110F4"/>
    <w:rsid w:val="007112B1"/>
    <w:rsid w:val="0071130F"/>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CAD"/>
    <w:rsid w:val="00716CD3"/>
    <w:rsid w:val="00716F18"/>
    <w:rsid w:val="0071708A"/>
    <w:rsid w:val="00717363"/>
    <w:rsid w:val="00717786"/>
    <w:rsid w:val="00717ACB"/>
    <w:rsid w:val="0072138B"/>
    <w:rsid w:val="00721BFF"/>
    <w:rsid w:val="00723475"/>
    <w:rsid w:val="007236C4"/>
    <w:rsid w:val="00724635"/>
    <w:rsid w:val="00724F21"/>
    <w:rsid w:val="00725134"/>
    <w:rsid w:val="0072554B"/>
    <w:rsid w:val="0072571F"/>
    <w:rsid w:val="00725AFD"/>
    <w:rsid w:val="00726603"/>
    <w:rsid w:val="007266AC"/>
    <w:rsid w:val="00727B1D"/>
    <w:rsid w:val="00727DDC"/>
    <w:rsid w:val="0073017B"/>
    <w:rsid w:val="00730CD6"/>
    <w:rsid w:val="00730F74"/>
    <w:rsid w:val="0073114B"/>
    <w:rsid w:val="00732151"/>
    <w:rsid w:val="00732EBC"/>
    <w:rsid w:val="007342BB"/>
    <w:rsid w:val="00734952"/>
    <w:rsid w:val="00734990"/>
    <w:rsid w:val="00734FF5"/>
    <w:rsid w:val="00735A3A"/>
    <w:rsid w:val="00735B78"/>
    <w:rsid w:val="00735BAA"/>
    <w:rsid w:val="00735DA7"/>
    <w:rsid w:val="00736700"/>
    <w:rsid w:val="0073682B"/>
    <w:rsid w:val="007368B4"/>
    <w:rsid w:val="007378E0"/>
    <w:rsid w:val="0074040E"/>
    <w:rsid w:val="00740529"/>
    <w:rsid w:val="00740876"/>
    <w:rsid w:val="00741358"/>
    <w:rsid w:val="00741626"/>
    <w:rsid w:val="00742332"/>
    <w:rsid w:val="00742886"/>
    <w:rsid w:val="00742A3A"/>
    <w:rsid w:val="00742DD2"/>
    <w:rsid w:val="00742DDD"/>
    <w:rsid w:val="007437C6"/>
    <w:rsid w:val="007441A2"/>
    <w:rsid w:val="0074422F"/>
    <w:rsid w:val="00744E80"/>
    <w:rsid w:val="00745035"/>
    <w:rsid w:val="0074531C"/>
    <w:rsid w:val="00745547"/>
    <w:rsid w:val="007459D0"/>
    <w:rsid w:val="0074623A"/>
    <w:rsid w:val="00746420"/>
    <w:rsid w:val="00746A60"/>
    <w:rsid w:val="00746E04"/>
    <w:rsid w:val="00746E08"/>
    <w:rsid w:val="00746E3D"/>
    <w:rsid w:val="00747290"/>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0D"/>
    <w:rsid w:val="00760021"/>
    <w:rsid w:val="00760561"/>
    <w:rsid w:val="00760867"/>
    <w:rsid w:val="00760EB6"/>
    <w:rsid w:val="007616DB"/>
    <w:rsid w:val="00761AB7"/>
    <w:rsid w:val="00761CE6"/>
    <w:rsid w:val="0076228A"/>
    <w:rsid w:val="00762440"/>
    <w:rsid w:val="00762499"/>
    <w:rsid w:val="0076275B"/>
    <w:rsid w:val="007628CA"/>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34E4"/>
    <w:rsid w:val="0077380D"/>
    <w:rsid w:val="00773BC8"/>
    <w:rsid w:val="00774549"/>
    <w:rsid w:val="0077466F"/>
    <w:rsid w:val="007749E0"/>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44"/>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64CF"/>
    <w:rsid w:val="007A717B"/>
    <w:rsid w:val="007A7714"/>
    <w:rsid w:val="007B0302"/>
    <w:rsid w:val="007B0313"/>
    <w:rsid w:val="007B0854"/>
    <w:rsid w:val="007B0E48"/>
    <w:rsid w:val="007B1D1B"/>
    <w:rsid w:val="007B21AA"/>
    <w:rsid w:val="007B2504"/>
    <w:rsid w:val="007B2549"/>
    <w:rsid w:val="007B2820"/>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1BB"/>
    <w:rsid w:val="007C753F"/>
    <w:rsid w:val="007C7C43"/>
    <w:rsid w:val="007C7E15"/>
    <w:rsid w:val="007C7F0D"/>
    <w:rsid w:val="007D0135"/>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6FF4"/>
    <w:rsid w:val="007D7CFC"/>
    <w:rsid w:val="007E0812"/>
    <w:rsid w:val="007E0825"/>
    <w:rsid w:val="007E18DF"/>
    <w:rsid w:val="007E214A"/>
    <w:rsid w:val="007E238D"/>
    <w:rsid w:val="007E2C36"/>
    <w:rsid w:val="007E350D"/>
    <w:rsid w:val="007E3ACA"/>
    <w:rsid w:val="007E3F4A"/>
    <w:rsid w:val="007E564D"/>
    <w:rsid w:val="007E5C4A"/>
    <w:rsid w:val="007E64D4"/>
    <w:rsid w:val="007E6570"/>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6E6"/>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0AC"/>
    <w:rsid w:val="008124D8"/>
    <w:rsid w:val="00813A7B"/>
    <w:rsid w:val="00813F04"/>
    <w:rsid w:val="0081513E"/>
    <w:rsid w:val="00815DA5"/>
    <w:rsid w:val="00816221"/>
    <w:rsid w:val="008174F3"/>
    <w:rsid w:val="00817661"/>
    <w:rsid w:val="0081766B"/>
    <w:rsid w:val="008205AC"/>
    <w:rsid w:val="00820705"/>
    <w:rsid w:val="00820CBF"/>
    <w:rsid w:val="00820FA8"/>
    <w:rsid w:val="008212FD"/>
    <w:rsid w:val="00821489"/>
    <w:rsid w:val="0082168D"/>
    <w:rsid w:val="008217B7"/>
    <w:rsid w:val="00821E20"/>
    <w:rsid w:val="0082239B"/>
    <w:rsid w:val="0082292E"/>
    <w:rsid w:val="00822D06"/>
    <w:rsid w:val="00822EC4"/>
    <w:rsid w:val="0082348D"/>
    <w:rsid w:val="008236BE"/>
    <w:rsid w:val="008241CE"/>
    <w:rsid w:val="008247E8"/>
    <w:rsid w:val="00825240"/>
    <w:rsid w:val="00825B43"/>
    <w:rsid w:val="00826F71"/>
    <w:rsid w:val="00827CC0"/>
    <w:rsid w:val="00827D0E"/>
    <w:rsid w:val="008306AB"/>
    <w:rsid w:val="00831026"/>
    <w:rsid w:val="0083119B"/>
    <w:rsid w:val="00831BAE"/>
    <w:rsid w:val="00832216"/>
    <w:rsid w:val="00832513"/>
    <w:rsid w:val="00832CD0"/>
    <w:rsid w:val="00833430"/>
    <w:rsid w:val="00833821"/>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34"/>
    <w:rsid w:val="00850C79"/>
    <w:rsid w:val="00850D82"/>
    <w:rsid w:val="00850F79"/>
    <w:rsid w:val="0085100B"/>
    <w:rsid w:val="008510A1"/>
    <w:rsid w:val="00851E09"/>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6AC"/>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465"/>
    <w:rsid w:val="00872828"/>
    <w:rsid w:val="00872DCB"/>
    <w:rsid w:val="00872F97"/>
    <w:rsid w:val="00874607"/>
    <w:rsid w:val="008747E9"/>
    <w:rsid w:val="00874915"/>
    <w:rsid w:val="00874B89"/>
    <w:rsid w:val="00875403"/>
    <w:rsid w:val="00875434"/>
    <w:rsid w:val="00875C1F"/>
    <w:rsid w:val="00876215"/>
    <w:rsid w:val="0087646C"/>
    <w:rsid w:val="00876815"/>
    <w:rsid w:val="00876D92"/>
    <w:rsid w:val="00877932"/>
    <w:rsid w:val="008808C7"/>
    <w:rsid w:val="0088106B"/>
    <w:rsid w:val="0088107D"/>
    <w:rsid w:val="0088187A"/>
    <w:rsid w:val="00881E64"/>
    <w:rsid w:val="00882E39"/>
    <w:rsid w:val="00883559"/>
    <w:rsid w:val="00884306"/>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5CF"/>
    <w:rsid w:val="008935E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5DEF"/>
    <w:rsid w:val="008A6005"/>
    <w:rsid w:val="008A614F"/>
    <w:rsid w:val="008A6A55"/>
    <w:rsid w:val="008A6DF0"/>
    <w:rsid w:val="008A6F6E"/>
    <w:rsid w:val="008A7888"/>
    <w:rsid w:val="008A796E"/>
    <w:rsid w:val="008B0862"/>
    <w:rsid w:val="008B088C"/>
    <w:rsid w:val="008B1BF5"/>
    <w:rsid w:val="008B263F"/>
    <w:rsid w:val="008B3045"/>
    <w:rsid w:val="008B361E"/>
    <w:rsid w:val="008B47A6"/>
    <w:rsid w:val="008B5C7C"/>
    <w:rsid w:val="008B63FE"/>
    <w:rsid w:val="008B672C"/>
    <w:rsid w:val="008B7108"/>
    <w:rsid w:val="008C065F"/>
    <w:rsid w:val="008C0743"/>
    <w:rsid w:val="008C0B4C"/>
    <w:rsid w:val="008C11F0"/>
    <w:rsid w:val="008C1DBA"/>
    <w:rsid w:val="008C24E7"/>
    <w:rsid w:val="008C2500"/>
    <w:rsid w:val="008C2CAC"/>
    <w:rsid w:val="008C3C57"/>
    <w:rsid w:val="008C3E2A"/>
    <w:rsid w:val="008C45BD"/>
    <w:rsid w:val="008C4B19"/>
    <w:rsid w:val="008C62D4"/>
    <w:rsid w:val="008C6A49"/>
    <w:rsid w:val="008C6B89"/>
    <w:rsid w:val="008C6B97"/>
    <w:rsid w:val="008C7EF7"/>
    <w:rsid w:val="008D021B"/>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6D9"/>
    <w:rsid w:val="008E28BD"/>
    <w:rsid w:val="008E2BE6"/>
    <w:rsid w:val="008E30C4"/>
    <w:rsid w:val="008E38B4"/>
    <w:rsid w:val="008E3BA4"/>
    <w:rsid w:val="008E3F17"/>
    <w:rsid w:val="008E44AB"/>
    <w:rsid w:val="008E4786"/>
    <w:rsid w:val="008E4CAE"/>
    <w:rsid w:val="008E5179"/>
    <w:rsid w:val="008E57FE"/>
    <w:rsid w:val="008E6598"/>
    <w:rsid w:val="008E710F"/>
    <w:rsid w:val="008E7214"/>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6354"/>
    <w:rsid w:val="008F71AB"/>
    <w:rsid w:val="008F7905"/>
    <w:rsid w:val="008F7989"/>
    <w:rsid w:val="008F7B93"/>
    <w:rsid w:val="00900530"/>
    <w:rsid w:val="00900912"/>
    <w:rsid w:val="00901F1D"/>
    <w:rsid w:val="009028E8"/>
    <w:rsid w:val="00902A36"/>
    <w:rsid w:val="00902E5C"/>
    <w:rsid w:val="0090363E"/>
    <w:rsid w:val="00903788"/>
    <w:rsid w:val="009037B8"/>
    <w:rsid w:val="009046E5"/>
    <w:rsid w:val="009047C5"/>
    <w:rsid w:val="0090495E"/>
    <w:rsid w:val="00905336"/>
    <w:rsid w:val="0090690B"/>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2B1"/>
    <w:rsid w:val="009174E2"/>
    <w:rsid w:val="0091759C"/>
    <w:rsid w:val="00920026"/>
    <w:rsid w:val="009203E2"/>
    <w:rsid w:val="00920BF5"/>
    <w:rsid w:val="00920F61"/>
    <w:rsid w:val="00921304"/>
    <w:rsid w:val="00921395"/>
    <w:rsid w:val="00921805"/>
    <w:rsid w:val="00921E63"/>
    <w:rsid w:val="00923396"/>
    <w:rsid w:val="00923F5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65E9"/>
    <w:rsid w:val="00936815"/>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E6E"/>
    <w:rsid w:val="009512FA"/>
    <w:rsid w:val="009514CB"/>
    <w:rsid w:val="009516A9"/>
    <w:rsid w:val="00951E57"/>
    <w:rsid w:val="00952350"/>
    <w:rsid w:val="00952505"/>
    <w:rsid w:val="00953018"/>
    <w:rsid w:val="009533E2"/>
    <w:rsid w:val="00953554"/>
    <w:rsid w:val="0095385A"/>
    <w:rsid w:val="00954372"/>
    <w:rsid w:val="00954F3A"/>
    <w:rsid w:val="00955DFD"/>
    <w:rsid w:val="0095674F"/>
    <w:rsid w:val="0095780A"/>
    <w:rsid w:val="009578C3"/>
    <w:rsid w:val="009579E4"/>
    <w:rsid w:val="00957AA4"/>
    <w:rsid w:val="00957ACB"/>
    <w:rsid w:val="00957F27"/>
    <w:rsid w:val="00960BDB"/>
    <w:rsid w:val="00961044"/>
    <w:rsid w:val="0096105C"/>
    <w:rsid w:val="0096147D"/>
    <w:rsid w:val="00961C14"/>
    <w:rsid w:val="00961D53"/>
    <w:rsid w:val="00961E5F"/>
    <w:rsid w:val="009625C6"/>
    <w:rsid w:val="009629B5"/>
    <w:rsid w:val="00962A50"/>
    <w:rsid w:val="00962E2B"/>
    <w:rsid w:val="00963550"/>
    <w:rsid w:val="00964138"/>
    <w:rsid w:val="009648D6"/>
    <w:rsid w:val="00964B3F"/>
    <w:rsid w:val="00964C98"/>
    <w:rsid w:val="00966ACB"/>
    <w:rsid w:val="00971441"/>
    <w:rsid w:val="00971555"/>
    <w:rsid w:val="009715D4"/>
    <w:rsid w:val="0097179A"/>
    <w:rsid w:val="00971B0A"/>
    <w:rsid w:val="009731F4"/>
    <w:rsid w:val="009732A4"/>
    <w:rsid w:val="00973370"/>
    <w:rsid w:val="00973AB3"/>
    <w:rsid w:val="00973C05"/>
    <w:rsid w:val="0097494E"/>
    <w:rsid w:val="00974999"/>
    <w:rsid w:val="00974A1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09E"/>
    <w:rsid w:val="009876F2"/>
    <w:rsid w:val="00987C77"/>
    <w:rsid w:val="00987FED"/>
    <w:rsid w:val="00990345"/>
    <w:rsid w:val="00990701"/>
    <w:rsid w:val="0099119C"/>
    <w:rsid w:val="0099137A"/>
    <w:rsid w:val="0099211C"/>
    <w:rsid w:val="00993013"/>
    <w:rsid w:val="009930AB"/>
    <w:rsid w:val="00993B78"/>
    <w:rsid w:val="009949CE"/>
    <w:rsid w:val="00994F3F"/>
    <w:rsid w:val="00995119"/>
    <w:rsid w:val="0099531F"/>
    <w:rsid w:val="009953AD"/>
    <w:rsid w:val="009957D7"/>
    <w:rsid w:val="0099583D"/>
    <w:rsid w:val="00996020"/>
    <w:rsid w:val="0099629E"/>
    <w:rsid w:val="009962B0"/>
    <w:rsid w:val="00996352"/>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A33"/>
    <w:rsid w:val="009A3D47"/>
    <w:rsid w:val="009A4D63"/>
    <w:rsid w:val="009A5356"/>
    <w:rsid w:val="009A5468"/>
    <w:rsid w:val="009A5D99"/>
    <w:rsid w:val="009A608C"/>
    <w:rsid w:val="009A6FDF"/>
    <w:rsid w:val="009A715F"/>
    <w:rsid w:val="009A76D6"/>
    <w:rsid w:val="009B0101"/>
    <w:rsid w:val="009B03F1"/>
    <w:rsid w:val="009B2374"/>
    <w:rsid w:val="009B28D6"/>
    <w:rsid w:val="009B2E29"/>
    <w:rsid w:val="009B3163"/>
    <w:rsid w:val="009B422F"/>
    <w:rsid w:val="009B46BC"/>
    <w:rsid w:val="009B4D1A"/>
    <w:rsid w:val="009B519D"/>
    <w:rsid w:val="009B558B"/>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8A1"/>
    <w:rsid w:val="009D2BDF"/>
    <w:rsid w:val="009D3736"/>
    <w:rsid w:val="009D4529"/>
    <w:rsid w:val="009D460F"/>
    <w:rsid w:val="009D4D17"/>
    <w:rsid w:val="009D604F"/>
    <w:rsid w:val="009D61BB"/>
    <w:rsid w:val="009D6410"/>
    <w:rsid w:val="009D68BB"/>
    <w:rsid w:val="009D6909"/>
    <w:rsid w:val="009D700F"/>
    <w:rsid w:val="009D70C2"/>
    <w:rsid w:val="009D7244"/>
    <w:rsid w:val="009D7ADB"/>
    <w:rsid w:val="009D7B33"/>
    <w:rsid w:val="009E06C3"/>
    <w:rsid w:val="009E0703"/>
    <w:rsid w:val="009E1035"/>
    <w:rsid w:val="009E16DA"/>
    <w:rsid w:val="009E1CD4"/>
    <w:rsid w:val="009E2391"/>
    <w:rsid w:val="009E41E5"/>
    <w:rsid w:val="009E476A"/>
    <w:rsid w:val="009E4A16"/>
    <w:rsid w:val="009E4E05"/>
    <w:rsid w:val="009E52A9"/>
    <w:rsid w:val="009E56FF"/>
    <w:rsid w:val="009E5CB1"/>
    <w:rsid w:val="009E5E56"/>
    <w:rsid w:val="009E61EA"/>
    <w:rsid w:val="009E6990"/>
    <w:rsid w:val="009E6FEE"/>
    <w:rsid w:val="009F00B9"/>
    <w:rsid w:val="009F0312"/>
    <w:rsid w:val="009F060F"/>
    <w:rsid w:val="009F0781"/>
    <w:rsid w:val="009F0850"/>
    <w:rsid w:val="009F1950"/>
    <w:rsid w:val="009F1BDF"/>
    <w:rsid w:val="009F1EAE"/>
    <w:rsid w:val="009F2732"/>
    <w:rsid w:val="009F2848"/>
    <w:rsid w:val="009F369D"/>
    <w:rsid w:val="009F36FE"/>
    <w:rsid w:val="009F3847"/>
    <w:rsid w:val="009F4990"/>
    <w:rsid w:val="009F4F25"/>
    <w:rsid w:val="009F59C2"/>
    <w:rsid w:val="009F7263"/>
    <w:rsid w:val="009F72BF"/>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07F12"/>
    <w:rsid w:val="00A10209"/>
    <w:rsid w:val="00A1036D"/>
    <w:rsid w:val="00A1069F"/>
    <w:rsid w:val="00A10ACA"/>
    <w:rsid w:val="00A10D08"/>
    <w:rsid w:val="00A1115C"/>
    <w:rsid w:val="00A11E78"/>
    <w:rsid w:val="00A11F93"/>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0E8E"/>
    <w:rsid w:val="00A210D4"/>
    <w:rsid w:val="00A213DD"/>
    <w:rsid w:val="00A21454"/>
    <w:rsid w:val="00A216CE"/>
    <w:rsid w:val="00A22025"/>
    <w:rsid w:val="00A22498"/>
    <w:rsid w:val="00A22571"/>
    <w:rsid w:val="00A225F8"/>
    <w:rsid w:val="00A2298D"/>
    <w:rsid w:val="00A24560"/>
    <w:rsid w:val="00A25B0F"/>
    <w:rsid w:val="00A25BBB"/>
    <w:rsid w:val="00A27FB6"/>
    <w:rsid w:val="00A30121"/>
    <w:rsid w:val="00A30368"/>
    <w:rsid w:val="00A3043A"/>
    <w:rsid w:val="00A30E02"/>
    <w:rsid w:val="00A30F6A"/>
    <w:rsid w:val="00A31060"/>
    <w:rsid w:val="00A317D2"/>
    <w:rsid w:val="00A31C3E"/>
    <w:rsid w:val="00A31DE3"/>
    <w:rsid w:val="00A34538"/>
    <w:rsid w:val="00A34677"/>
    <w:rsid w:val="00A3540F"/>
    <w:rsid w:val="00A35630"/>
    <w:rsid w:val="00A35914"/>
    <w:rsid w:val="00A36189"/>
    <w:rsid w:val="00A37E73"/>
    <w:rsid w:val="00A37FB6"/>
    <w:rsid w:val="00A409E2"/>
    <w:rsid w:val="00A40C14"/>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B4B"/>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885"/>
    <w:rsid w:val="00A60B1F"/>
    <w:rsid w:val="00A60E17"/>
    <w:rsid w:val="00A61C60"/>
    <w:rsid w:val="00A62589"/>
    <w:rsid w:val="00A62AD0"/>
    <w:rsid w:val="00A62C3A"/>
    <w:rsid w:val="00A6319C"/>
    <w:rsid w:val="00A63812"/>
    <w:rsid w:val="00A639A9"/>
    <w:rsid w:val="00A63DF7"/>
    <w:rsid w:val="00A6454D"/>
    <w:rsid w:val="00A64767"/>
    <w:rsid w:val="00A64F2F"/>
    <w:rsid w:val="00A6611E"/>
    <w:rsid w:val="00A668BA"/>
    <w:rsid w:val="00A66FA7"/>
    <w:rsid w:val="00A67E16"/>
    <w:rsid w:val="00A67EB1"/>
    <w:rsid w:val="00A703CC"/>
    <w:rsid w:val="00A703EE"/>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088"/>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4F8"/>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6892"/>
    <w:rsid w:val="00AC71C3"/>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87A"/>
    <w:rsid w:val="00AE4C81"/>
    <w:rsid w:val="00AE586F"/>
    <w:rsid w:val="00AE5899"/>
    <w:rsid w:val="00AE62FE"/>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400"/>
    <w:rsid w:val="00B04835"/>
    <w:rsid w:val="00B05A55"/>
    <w:rsid w:val="00B05DE1"/>
    <w:rsid w:val="00B06595"/>
    <w:rsid w:val="00B06862"/>
    <w:rsid w:val="00B079A5"/>
    <w:rsid w:val="00B10109"/>
    <w:rsid w:val="00B1085E"/>
    <w:rsid w:val="00B10F56"/>
    <w:rsid w:val="00B10FD1"/>
    <w:rsid w:val="00B112D5"/>
    <w:rsid w:val="00B11378"/>
    <w:rsid w:val="00B1219D"/>
    <w:rsid w:val="00B12735"/>
    <w:rsid w:val="00B12F44"/>
    <w:rsid w:val="00B13C48"/>
    <w:rsid w:val="00B13E35"/>
    <w:rsid w:val="00B13EC0"/>
    <w:rsid w:val="00B14102"/>
    <w:rsid w:val="00B1477B"/>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17BE9"/>
    <w:rsid w:val="00B20209"/>
    <w:rsid w:val="00B203C9"/>
    <w:rsid w:val="00B2088D"/>
    <w:rsid w:val="00B208FF"/>
    <w:rsid w:val="00B21271"/>
    <w:rsid w:val="00B22E22"/>
    <w:rsid w:val="00B22F5F"/>
    <w:rsid w:val="00B23353"/>
    <w:rsid w:val="00B23813"/>
    <w:rsid w:val="00B23FD9"/>
    <w:rsid w:val="00B24591"/>
    <w:rsid w:val="00B245D5"/>
    <w:rsid w:val="00B245EF"/>
    <w:rsid w:val="00B24C36"/>
    <w:rsid w:val="00B24D9F"/>
    <w:rsid w:val="00B24F94"/>
    <w:rsid w:val="00B25126"/>
    <w:rsid w:val="00B253CE"/>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899"/>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4FF1"/>
    <w:rsid w:val="00B75893"/>
    <w:rsid w:val="00B76CE8"/>
    <w:rsid w:val="00B7708F"/>
    <w:rsid w:val="00B771F4"/>
    <w:rsid w:val="00B7762A"/>
    <w:rsid w:val="00B777FA"/>
    <w:rsid w:val="00B77850"/>
    <w:rsid w:val="00B7796B"/>
    <w:rsid w:val="00B80C72"/>
    <w:rsid w:val="00B8101E"/>
    <w:rsid w:val="00B81964"/>
    <w:rsid w:val="00B81E6F"/>
    <w:rsid w:val="00B82123"/>
    <w:rsid w:val="00B8225B"/>
    <w:rsid w:val="00B82BB5"/>
    <w:rsid w:val="00B83182"/>
    <w:rsid w:val="00B8348E"/>
    <w:rsid w:val="00B83893"/>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0CA6"/>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016"/>
    <w:rsid w:val="00BA0294"/>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47"/>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5D71"/>
    <w:rsid w:val="00BE6074"/>
    <w:rsid w:val="00BE6D73"/>
    <w:rsid w:val="00BE7257"/>
    <w:rsid w:val="00BF020D"/>
    <w:rsid w:val="00BF0532"/>
    <w:rsid w:val="00BF0609"/>
    <w:rsid w:val="00BF0C25"/>
    <w:rsid w:val="00BF0EE8"/>
    <w:rsid w:val="00BF10ED"/>
    <w:rsid w:val="00BF1DD2"/>
    <w:rsid w:val="00BF23A3"/>
    <w:rsid w:val="00BF2A7E"/>
    <w:rsid w:val="00BF3331"/>
    <w:rsid w:val="00BF3A45"/>
    <w:rsid w:val="00BF436F"/>
    <w:rsid w:val="00BF45AE"/>
    <w:rsid w:val="00BF5C05"/>
    <w:rsid w:val="00BF6A12"/>
    <w:rsid w:val="00BF6FC6"/>
    <w:rsid w:val="00BF7C52"/>
    <w:rsid w:val="00BF7F99"/>
    <w:rsid w:val="00C00713"/>
    <w:rsid w:val="00C009A0"/>
    <w:rsid w:val="00C018F7"/>
    <w:rsid w:val="00C01F74"/>
    <w:rsid w:val="00C020C1"/>
    <w:rsid w:val="00C02558"/>
    <w:rsid w:val="00C025FE"/>
    <w:rsid w:val="00C0285F"/>
    <w:rsid w:val="00C028F5"/>
    <w:rsid w:val="00C02F35"/>
    <w:rsid w:val="00C03305"/>
    <w:rsid w:val="00C03515"/>
    <w:rsid w:val="00C03664"/>
    <w:rsid w:val="00C03738"/>
    <w:rsid w:val="00C037A6"/>
    <w:rsid w:val="00C03EDB"/>
    <w:rsid w:val="00C04221"/>
    <w:rsid w:val="00C043F5"/>
    <w:rsid w:val="00C044E3"/>
    <w:rsid w:val="00C04607"/>
    <w:rsid w:val="00C04BDB"/>
    <w:rsid w:val="00C052C6"/>
    <w:rsid w:val="00C05A61"/>
    <w:rsid w:val="00C05FBA"/>
    <w:rsid w:val="00C05FEE"/>
    <w:rsid w:val="00C06CCF"/>
    <w:rsid w:val="00C0794D"/>
    <w:rsid w:val="00C10E78"/>
    <w:rsid w:val="00C1159D"/>
    <w:rsid w:val="00C11728"/>
    <w:rsid w:val="00C1233E"/>
    <w:rsid w:val="00C1276C"/>
    <w:rsid w:val="00C12FB3"/>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8DF"/>
    <w:rsid w:val="00C220B6"/>
    <w:rsid w:val="00C22446"/>
    <w:rsid w:val="00C22D7C"/>
    <w:rsid w:val="00C22DDE"/>
    <w:rsid w:val="00C2338B"/>
    <w:rsid w:val="00C233CE"/>
    <w:rsid w:val="00C237DD"/>
    <w:rsid w:val="00C238F4"/>
    <w:rsid w:val="00C2393A"/>
    <w:rsid w:val="00C23A99"/>
    <w:rsid w:val="00C23AB5"/>
    <w:rsid w:val="00C245EE"/>
    <w:rsid w:val="00C24AE1"/>
    <w:rsid w:val="00C24B8D"/>
    <w:rsid w:val="00C24BD7"/>
    <w:rsid w:val="00C25813"/>
    <w:rsid w:val="00C26C71"/>
    <w:rsid w:val="00C27143"/>
    <w:rsid w:val="00C27490"/>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6DC1"/>
    <w:rsid w:val="00C3711C"/>
    <w:rsid w:val="00C37256"/>
    <w:rsid w:val="00C37A7B"/>
    <w:rsid w:val="00C37DC1"/>
    <w:rsid w:val="00C37FFE"/>
    <w:rsid w:val="00C40B50"/>
    <w:rsid w:val="00C419E3"/>
    <w:rsid w:val="00C419F4"/>
    <w:rsid w:val="00C41E6A"/>
    <w:rsid w:val="00C42247"/>
    <w:rsid w:val="00C428E7"/>
    <w:rsid w:val="00C438A2"/>
    <w:rsid w:val="00C439BE"/>
    <w:rsid w:val="00C440B6"/>
    <w:rsid w:val="00C451B2"/>
    <w:rsid w:val="00C4539B"/>
    <w:rsid w:val="00C45466"/>
    <w:rsid w:val="00C455C1"/>
    <w:rsid w:val="00C4581D"/>
    <w:rsid w:val="00C45AC2"/>
    <w:rsid w:val="00C47472"/>
    <w:rsid w:val="00C500F0"/>
    <w:rsid w:val="00C504A7"/>
    <w:rsid w:val="00C506C9"/>
    <w:rsid w:val="00C50A16"/>
    <w:rsid w:val="00C51C9A"/>
    <w:rsid w:val="00C520E6"/>
    <w:rsid w:val="00C52C68"/>
    <w:rsid w:val="00C52D98"/>
    <w:rsid w:val="00C52DA1"/>
    <w:rsid w:val="00C53423"/>
    <w:rsid w:val="00C53D24"/>
    <w:rsid w:val="00C54640"/>
    <w:rsid w:val="00C547A6"/>
    <w:rsid w:val="00C54A3A"/>
    <w:rsid w:val="00C5587F"/>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7F7"/>
    <w:rsid w:val="00C959BD"/>
    <w:rsid w:val="00C95DFE"/>
    <w:rsid w:val="00C95F44"/>
    <w:rsid w:val="00C96222"/>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5E65"/>
    <w:rsid w:val="00CA7019"/>
    <w:rsid w:val="00CA76FC"/>
    <w:rsid w:val="00CA7E7B"/>
    <w:rsid w:val="00CB0236"/>
    <w:rsid w:val="00CB0CB1"/>
    <w:rsid w:val="00CB137C"/>
    <w:rsid w:val="00CB1881"/>
    <w:rsid w:val="00CB1969"/>
    <w:rsid w:val="00CB19E3"/>
    <w:rsid w:val="00CB2C3A"/>
    <w:rsid w:val="00CB2D38"/>
    <w:rsid w:val="00CB2F5E"/>
    <w:rsid w:val="00CB3EB6"/>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995"/>
    <w:rsid w:val="00CC3D38"/>
    <w:rsid w:val="00CC3F2F"/>
    <w:rsid w:val="00CC40C3"/>
    <w:rsid w:val="00CC4CB4"/>
    <w:rsid w:val="00CC4E5D"/>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32FB"/>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1E"/>
    <w:rsid w:val="00CE6EC4"/>
    <w:rsid w:val="00CE73F2"/>
    <w:rsid w:val="00CE7CBF"/>
    <w:rsid w:val="00CE7F26"/>
    <w:rsid w:val="00CF1118"/>
    <w:rsid w:val="00CF1226"/>
    <w:rsid w:val="00CF1ABB"/>
    <w:rsid w:val="00CF1E1D"/>
    <w:rsid w:val="00CF24FE"/>
    <w:rsid w:val="00CF287F"/>
    <w:rsid w:val="00CF2B86"/>
    <w:rsid w:val="00CF35D0"/>
    <w:rsid w:val="00CF3B57"/>
    <w:rsid w:val="00CF3DD5"/>
    <w:rsid w:val="00CF43E7"/>
    <w:rsid w:val="00CF4AF7"/>
    <w:rsid w:val="00CF4D20"/>
    <w:rsid w:val="00CF6296"/>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06CA3"/>
    <w:rsid w:val="00D1060D"/>
    <w:rsid w:val="00D10D14"/>
    <w:rsid w:val="00D10E7C"/>
    <w:rsid w:val="00D11182"/>
    <w:rsid w:val="00D1137B"/>
    <w:rsid w:val="00D11508"/>
    <w:rsid w:val="00D11807"/>
    <w:rsid w:val="00D11DB3"/>
    <w:rsid w:val="00D11F6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074E"/>
    <w:rsid w:val="00D20E05"/>
    <w:rsid w:val="00D2104A"/>
    <w:rsid w:val="00D21A58"/>
    <w:rsid w:val="00D21BB5"/>
    <w:rsid w:val="00D21FFC"/>
    <w:rsid w:val="00D22284"/>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0CE"/>
    <w:rsid w:val="00D33FA4"/>
    <w:rsid w:val="00D34B25"/>
    <w:rsid w:val="00D34C7F"/>
    <w:rsid w:val="00D34F4E"/>
    <w:rsid w:val="00D357F3"/>
    <w:rsid w:val="00D35C0E"/>
    <w:rsid w:val="00D36FBF"/>
    <w:rsid w:val="00D373A8"/>
    <w:rsid w:val="00D379A5"/>
    <w:rsid w:val="00D37BB3"/>
    <w:rsid w:val="00D401BE"/>
    <w:rsid w:val="00D401D4"/>
    <w:rsid w:val="00D4043A"/>
    <w:rsid w:val="00D40DB0"/>
    <w:rsid w:val="00D41093"/>
    <w:rsid w:val="00D41858"/>
    <w:rsid w:val="00D422DB"/>
    <w:rsid w:val="00D42AC2"/>
    <w:rsid w:val="00D4498E"/>
    <w:rsid w:val="00D4515F"/>
    <w:rsid w:val="00D451E8"/>
    <w:rsid w:val="00D466C9"/>
    <w:rsid w:val="00D47275"/>
    <w:rsid w:val="00D50BBE"/>
    <w:rsid w:val="00D517F6"/>
    <w:rsid w:val="00D51AB7"/>
    <w:rsid w:val="00D51E15"/>
    <w:rsid w:val="00D52B7E"/>
    <w:rsid w:val="00D52E2F"/>
    <w:rsid w:val="00D52F59"/>
    <w:rsid w:val="00D53445"/>
    <w:rsid w:val="00D53E3E"/>
    <w:rsid w:val="00D54620"/>
    <w:rsid w:val="00D55904"/>
    <w:rsid w:val="00D5614E"/>
    <w:rsid w:val="00D5616F"/>
    <w:rsid w:val="00D56A53"/>
    <w:rsid w:val="00D57940"/>
    <w:rsid w:val="00D60327"/>
    <w:rsid w:val="00D609E9"/>
    <w:rsid w:val="00D61384"/>
    <w:rsid w:val="00D61526"/>
    <w:rsid w:val="00D61C39"/>
    <w:rsid w:val="00D61F81"/>
    <w:rsid w:val="00D620A6"/>
    <w:rsid w:val="00D623C0"/>
    <w:rsid w:val="00D62BE6"/>
    <w:rsid w:val="00D63359"/>
    <w:rsid w:val="00D63766"/>
    <w:rsid w:val="00D63912"/>
    <w:rsid w:val="00D63923"/>
    <w:rsid w:val="00D6451B"/>
    <w:rsid w:val="00D64B57"/>
    <w:rsid w:val="00D65124"/>
    <w:rsid w:val="00D651A1"/>
    <w:rsid w:val="00D65861"/>
    <w:rsid w:val="00D65DEA"/>
    <w:rsid w:val="00D6650F"/>
    <w:rsid w:val="00D66579"/>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4B"/>
    <w:rsid w:val="00D7536A"/>
    <w:rsid w:val="00D75396"/>
    <w:rsid w:val="00D759C0"/>
    <w:rsid w:val="00D75E99"/>
    <w:rsid w:val="00D765CE"/>
    <w:rsid w:val="00D766C7"/>
    <w:rsid w:val="00D7692B"/>
    <w:rsid w:val="00D7734F"/>
    <w:rsid w:val="00D778F6"/>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6FF"/>
    <w:rsid w:val="00D90B2A"/>
    <w:rsid w:val="00D91483"/>
    <w:rsid w:val="00D915C8"/>
    <w:rsid w:val="00D9310B"/>
    <w:rsid w:val="00D931F3"/>
    <w:rsid w:val="00D93726"/>
    <w:rsid w:val="00D93F3E"/>
    <w:rsid w:val="00D9405B"/>
    <w:rsid w:val="00D94942"/>
    <w:rsid w:val="00D95145"/>
    <w:rsid w:val="00D95F31"/>
    <w:rsid w:val="00D96594"/>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FF"/>
    <w:rsid w:val="00DB219A"/>
    <w:rsid w:val="00DB2E17"/>
    <w:rsid w:val="00DB3165"/>
    <w:rsid w:val="00DB31EE"/>
    <w:rsid w:val="00DB4292"/>
    <w:rsid w:val="00DB5023"/>
    <w:rsid w:val="00DB5580"/>
    <w:rsid w:val="00DB6E46"/>
    <w:rsid w:val="00DB7117"/>
    <w:rsid w:val="00DB7760"/>
    <w:rsid w:val="00DB7DD4"/>
    <w:rsid w:val="00DC00B4"/>
    <w:rsid w:val="00DC0954"/>
    <w:rsid w:val="00DC0DF8"/>
    <w:rsid w:val="00DC15BA"/>
    <w:rsid w:val="00DC18CD"/>
    <w:rsid w:val="00DC1A68"/>
    <w:rsid w:val="00DC30B8"/>
    <w:rsid w:val="00DC478F"/>
    <w:rsid w:val="00DC558F"/>
    <w:rsid w:val="00DC61AC"/>
    <w:rsid w:val="00DC62E5"/>
    <w:rsid w:val="00DC6D70"/>
    <w:rsid w:val="00DC6DAA"/>
    <w:rsid w:val="00DC6F33"/>
    <w:rsid w:val="00DC7349"/>
    <w:rsid w:val="00DC7389"/>
    <w:rsid w:val="00DD04AB"/>
    <w:rsid w:val="00DD0DB4"/>
    <w:rsid w:val="00DD0EA9"/>
    <w:rsid w:val="00DD14D8"/>
    <w:rsid w:val="00DD1599"/>
    <w:rsid w:val="00DD16F1"/>
    <w:rsid w:val="00DD1B03"/>
    <w:rsid w:val="00DD1E43"/>
    <w:rsid w:val="00DD1EDF"/>
    <w:rsid w:val="00DD2A62"/>
    <w:rsid w:val="00DD2F2F"/>
    <w:rsid w:val="00DD2F7A"/>
    <w:rsid w:val="00DD36D2"/>
    <w:rsid w:val="00DD37C4"/>
    <w:rsid w:val="00DD3885"/>
    <w:rsid w:val="00DD3CD4"/>
    <w:rsid w:val="00DD5808"/>
    <w:rsid w:val="00DD5946"/>
    <w:rsid w:val="00DD5B04"/>
    <w:rsid w:val="00DD5DAE"/>
    <w:rsid w:val="00DD5EC6"/>
    <w:rsid w:val="00DD605F"/>
    <w:rsid w:val="00DD69FC"/>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5365"/>
    <w:rsid w:val="00DE5DA0"/>
    <w:rsid w:val="00DE7108"/>
    <w:rsid w:val="00DE78D1"/>
    <w:rsid w:val="00DE78FF"/>
    <w:rsid w:val="00DE7F85"/>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30"/>
    <w:rsid w:val="00E00B7A"/>
    <w:rsid w:val="00E00CAA"/>
    <w:rsid w:val="00E02186"/>
    <w:rsid w:val="00E025C2"/>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603"/>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5A8"/>
    <w:rsid w:val="00E30E49"/>
    <w:rsid w:val="00E31A4A"/>
    <w:rsid w:val="00E3344A"/>
    <w:rsid w:val="00E33B29"/>
    <w:rsid w:val="00E33B62"/>
    <w:rsid w:val="00E3403D"/>
    <w:rsid w:val="00E344BD"/>
    <w:rsid w:val="00E34E6C"/>
    <w:rsid w:val="00E353E2"/>
    <w:rsid w:val="00E36345"/>
    <w:rsid w:val="00E36C86"/>
    <w:rsid w:val="00E36CEB"/>
    <w:rsid w:val="00E37A28"/>
    <w:rsid w:val="00E400C7"/>
    <w:rsid w:val="00E40430"/>
    <w:rsid w:val="00E40690"/>
    <w:rsid w:val="00E40AEB"/>
    <w:rsid w:val="00E40E82"/>
    <w:rsid w:val="00E41141"/>
    <w:rsid w:val="00E4143A"/>
    <w:rsid w:val="00E41F68"/>
    <w:rsid w:val="00E424C8"/>
    <w:rsid w:val="00E4251D"/>
    <w:rsid w:val="00E427EF"/>
    <w:rsid w:val="00E43D00"/>
    <w:rsid w:val="00E443B4"/>
    <w:rsid w:val="00E445E4"/>
    <w:rsid w:val="00E457CB"/>
    <w:rsid w:val="00E45D47"/>
    <w:rsid w:val="00E45DE4"/>
    <w:rsid w:val="00E45E63"/>
    <w:rsid w:val="00E4668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0D"/>
    <w:rsid w:val="00E60A44"/>
    <w:rsid w:val="00E60B5F"/>
    <w:rsid w:val="00E613AE"/>
    <w:rsid w:val="00E61429"/>
    <w:rsid w:val="00E6143A"/>
    <w:rsid w:val="00E61ABB"/>
    <w:rsid w:val="00E61FD7"/>
    <w:rsid w:val="00E623E6"/>
    <w:rsid w:val="00E62BBF"/>
    <w:rsid w:val="00E62C76"/>
    <w:rsid w:val="00E630A2"/>
    <w:rsid w:val="00E630C0"/>
    <w:rsid w:val="00E63107"/>
    <w:rsid w:val="00E6312C"/>
    <w:rsid w:val="00E634E6"/>
    <w:rsid w:val="00E6386F"/>
    <w:rsid w:val="00E63DCE"/>
    <w:rsid w:val="00E642EF"/>
    <w:rsid w:val="00E64700"/>
    <w:rsid w:val="00E65074"/>
    <w:rsid w:val="00E65857"/>
    <w:rsid w:val="00E65A79"/>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5DC5"/>
    <w:rsid w:val="00E76537"/>
    <w:rsid w:val="00E77784"/>
    <w:rsid w:val="00E77AF5"/>
    <w:rsid w:val="00E8035B"/>
    <w:rsid w:val="00E81563"/>
    <w:rsid w:val="00E820F4"/>
    <w:rsid w:val="00E82263"/>
    <w:rsid w:val="00E823F9"/>
    <w:rsid w:val="00E82C1F"/>
    <w:rsid w:val="00E832B3"/>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1FEC"/>
    <w:rsid w:val="00E922B8"/>
    <w:rsid w:val="00E9241E"/>
    <w:rsid w:val="00E92460"/>
    <w:rsid w:val="00E92E62"/>
    <w:rsid w:val="00E93804"/>
    <w:rsid w:val="00E9429D"/>
    <w:rsid w:val="00E95434"/>
    <w:rsid w:val="00E96414"/>
    <w:rsid w:val="00E96467"/>
    <w:rsid w:val="00E966DA"/>
    <w:rsid w:val="00E96948"/>
    <w:rsid w:val="00E9737B"/>
    <w:rsid w:val="00E97A3F"/>
    <w:rsid w:val="00E97F0A"/>
    <w:rsid w:val="00EA0100"/>
    <w:rsid w:val="00EA0BCE"/>
    <w:rsid w:val="00EA10E4"/>
    <w:rsid w:val="00EA17BC"/>
    <w:rsid w:val="00EA2744"/>
    <w:rsid w:val="00EA37B9"/>
    <w:rsid w:val="00EA39F7"/>
    <w:rsid w:val="00EA3DC2"/>
    <w:rsid w:val="00EA434E"/>
    <w:rsid w:val="00EA4757"/>
    <w:rsid w:val="00EA560B"/>
    <w:rsid w:val="00EA5669"/>
    <w:rsid w:val="00EA5CC6"/>
    <w:rsid w:val="00EA63EF"/>
    <w:rsid w:val="00EA7341"/>
    <w:rsid w:val="00EA7CBF"/>
    <w:rsid w:val="00EB0A89"/>
    <w:rsid w:val="00EB0BD8"/>
    <w:rsid w:val="00EB1573"/>
    <w:rsid w:val="00EB1910"/>
    <w:rsid w:val="00EB2564"/>
    <w:rsid w:val="00EB2CCC"/>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4174"/>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7FB"/>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59B"/>
    <w:rsid w:val="00F15BFF"/>
    <w:rsid w:val="00F16669"/>
    <w:rsid w:val="00F16E4F"/>
    <w:rsid w:val="00F171B2"/>
    <w:rsid w:val="00F17244"/>
    <w:rsid w:val="00F20931"/>
    <w:rsid w:val="00F20ECE"/>
    <w:rsid w:val="00F213A0"/>
    <w:rsid w:val="00F21D54"/>
    <w:rsid w:val="00F21EF4"/>
    <w:rsid w:val="00F221A2"/>
    <w:rsid w:val="00F2228E"/>
    <w:rsid w:val="00F23113"/>
    <w:rsid w:val="00F23255"/>
    <w:rsid w:val="00F23393"/>
    <w:rsid w:val="00F23759"/>
    <w:rsid w:val="00F24644"/>
    <w:rsid w:val="00F25947"/>
    <w:rsid w:val="00F262D6"/>
    <w:rsid w:val="00F26F33"/>
    <w:rsid w:val="00F273D5"/>
    <w:rsid w:val="00F2748A"/>
    <w:rsid w:val="00F2786C"/>
    <w:rsid w:val="00F300A8"/>
    <w:rsid w:val="00F302C6"/>
    <w:rsid w:val="00F30400"/>
    <w:rsid w:val="00F3079E"/>
    <w:rsid w:val="00F31289"/>
    <w:rsid w:val="00F31293"/>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025"/>
    <w:rsid w:val="00F41596"/>
    <w:rsid w:val="00F41D8B"/>
    <w:rsid w:val="00F42121"/>
    <w:rsid w:val="00F424B3"/>
    <w:rsid w:val="00F428B1"/>
    <w:rsid w:val="00F428B4"/>
    <w:rsid w:val="00F4345D"/>
    <w:rsid w:val="00F4387B"/>
    <w:rsid w:val="00F4387F"/>
    <w:rsid w:val="00F44120"/>
    <w:rsid w:val="00F4568E"/>
    <w:rsid w:val="00F45921"/>
    <w:rsid w:val="00F45B91"/>
    <w:rsid w:val="00F46639"/>
    <w:rsid w:val="00F476FD"/>
    <w:rsid w:val="00F50183"/>
    <w:rsid w:val="00F50D92"/>
    <w:rsid w:val="00F512EC"/>
    <w:rsid w:val="00F51765"/>
    <w:rsid w:val="00F51A51"/>
    <w:rsid w:val="00F51BC6"/>
    <w:rsid w:val="00F51CB4"/>
    <w:rsid w:val="00F52200"/>
    <w:rsid w:val="00F52324"/>
    <w:rsid w:val="00F52950"/>
    <w:rsid w:val="00F52C9D"/>
    <w:rsid w:val="00F533F1"/>
    <w:rsid w:val="00F53C17"/>
    <w:rsid w:val="00F55185"/>
    <w:rsid w:val="00F55679"/>
    <w:rsid w:val="00F561E3"/>
    <w:rsid w:val="00F565E6"/>
    <w:rsid w:val="00F5673A"/>
    <w:rsid w:val="00F56AFA"/>
    <w:rsid w:val="00F575E2"/>
    <w:rsid w:val="00F579FF"/>
    <w:rsid w:val="00F600E0"/>
    <w:rsid w:val="00F60442"/>
    <w:rsid w:val="00F605EC"/>
    <w:rsid w:val="00F60F60"/>
    <w:rsid w:val="00F612CE"/>
    <w:rsid w:val="00F6133C"/>
    <w:rsid w:val="00F61405"/>
    <w:rsid w:val="00F62227"/>
    <w:rsid w:val="00F624A7"/>
    <w:rsid w:val="00F62AB6"/>
    <w:rsid w:val="00F65A3C"/>
    <w:rsid w:val="00F66009"/>
    <w:rsid w:val="00F66282"/>
    <w:rsid w:val="00F6639E"/>
    <w:rsid w:val="00F670E9"/>
    <w:rsid w:val="00F675C7"/>
    <w:rsid w:val="00F67AF1"/>
    <w:rsid w:val="00F67D8B"/>
    <w:rsid w:val="00F700CD"/>
    <w:rsid w:val="00F701C5"/>
    <w:rsid w:val="00F70961"/>
    <w:rsid w:val="00F70A8F"/>
    <w:rsid w:val="00F711E1"/>
    <w:rsid w:val="00F71397"/>
    <w:rsid w:val="00F72389"/>
    <w:rsid w:val="00F72516"/>
    <w:rsid w:val="00F72FB4"/>
    <w:rsid w:val="00F732CF"/>
    <w:rsid w:val="00F735E5"/>
    <w:rsid w:val="00F73B82"/>
    <w:rsid w:val="00F73E80"/>
    <w:rsid w:val="00F740A0"/>
    <w:rsid w:val="00F7422B"/>
    <w:rsid w:val="00F7469C"/>
    <w:rsid w:val="00F7492E"/>
    <w:rsid w:val="00F74945"/>
    <w:rsid w:val="00F749A3"/>
    <w:rsid w:val="00F74AE8"/>
    <w:rsid w:val="00F7530F"/>
    <w:rsid w:val="00F76C11"/>
    <w:rsid w:val="00F77021"/>
    <w:rsid w:val="00F770AB"/>
    <w:rsid w:val="00F77DD4"/>
    <w:rsid w:val="00F77E61"/>
    <w:rsid w:val="00F80221"/>
    <w:rsid w:val="00F8041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027"/>
    <w:rsid w:val="00F911E1"/>
    <w:rsid w:val="00F9167D"/>
    <w:rsid w:val="00F91CB2"/>
    <w:rsid w:val="00F927E8"/>
    <w:rsid w:val="00F9289C"/>
    <w:rsid w:val="00F92FC1"/>
    <w:rsid w:val="00F932D1"/>
    <w:rsid w:val="00F93DBC"/>
    <w:rsid w:val="00F93E41"/>
    <w:rsid w:val="00F94644"/>
    <w:rsid w:val="00F952E4"/>
    <w:rsid w:val="00F9537B"/>
    <w:rsid w:val="00F953C2"/>
    <w:rsid w:val="00F96079"/>
    <w:rsid w:val="00F963FC"/>
    <w:rsid w:val="00F97CF1"/>
    <w:rsid w:val="00FA015F"/>
    <w:rsid w:val="00FA082B"/>
    <w:rsid w:val="00FA0FAC"/>
    <w:rsid w:val="00FA10F7"/>
    <w:rsid w:val="00FA1DA2"/>
    <w:rsid w:val="00FA313F"/>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DE2"/>
    <w:rsid w:val="00FB1FBC"/>
    <w:rsid w:val="00FB27B7"/>
    <w:rsid w:val="00FB35E3"/>
    <w:rsid w:val="00FB4C98"/>
    <w:rsid w:val="00FB4CE3"/>
    <w:rsid w:val="00FB583C"/>
    <w:rsid w:val="00FB618A"/>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658"/>
    <w:rsid w:val="00FC2AC4"/>
    <w:rsid w:val="00FC2F73"/>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216"/>
    <w:rsid w:val="00FD04AE"/>
    <w:rsid w:val="00FD0DFA"/>
    <w:rsid w:val="00FD1890"/>
    <w:rsid w:val="00FD18A2"/>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432"/>
    <w:rsid w:val="00FE72A0"/>
    <w:rsid w:val="00FF0050"/>
    <w:rsid w:val="00FF045F"/>
    <w:rsid w:val="00FF13D4"/>
    <w:rsid w:val="00FF2053"/>
    <w:rsid w:val="00FF3B37"/>
    <w:rsid w:val="00FF3CC7"/>
    <w:rsid w:val="00FF3D6F"/>
    <w:rsid w:val="00FF441A"/>
    <w:rsid w:val="00FF4932"/>
    <w:rsid w:val="00FF4BD8"/>
    <w:rsid w:val="00FF4D11"/>
    <w:rsid w:val="00FF5214"/>
    <w:rsid w:val="00FF596E"/>
    <w:rsid w:val="00FF5B59"/>
    <w:rsid w:val="00FF5BFD"/>
    <w:rsid w:val="00FF5E27"/>
    <w:rsid w:val="00FF6095"/>
    <w:rsid w:val="00FF62FE"/>
    <w:rsid w:val="00FF6553"/>
    <w:rsid w:val="00FF70BD"/>
    <w:rsid w:val="00FF7124"/>
    <w:rsid w:val="00FF7A39"/>
    <w:rsid w:val="00FF7DD1"/>
    <w:rsid w:val="0E459E11"/>
    <w:rsid w:val="12BCB650"/>
    <w:rsid w:val="4A715F2C"/>
    <w:rsid w:val="564B9128"/>
    <w:rsid w:val="70877D58"/>
    <w:rsid w:val="710541B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87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775389">
      <w:bodyDiv w:val="1"/>
      <w:marLeft w:val="0"/>
      <w:marRight w:val="0"/>
      <w:marTop w:val="0"/>
      <w:marBottom w:val="0"/>
      <w:divBdr>
        <w:top w:val="none" w:sz="0" w:space="0" w:color="auto"/>
        <w:left w:val="none" w:sz="0" w:space="0" w:color="auto"/>
        <w:bottom w:val="none" w:sz="0" w:space="0" w:color="auto"/>
        <w:right w:val="none" w:sz="0" w:space="0" w:color="auto"/>
      </w:divBdr>
      <w:divsChild>
        <w:div w:id="1940679825">
          <w:marLeft w:val="0"/>
          <w:marRight w:val="0"/>
          <w:marTop w:val="0"/>
          <w:marBottom w:val="0"/>
          <w:divBdr>
            <w:top w:val="none" w:sz="0" w:space="0" w:color="auto"/>
            <w:left w:val="none" w:sz="0" w:space="0" w:color="auto"/>
            <w:bottom w:val="none" w:sz="0" w:space="0" w:color="auto"/>
            <w:right w:val="none" w:sz="0" w:space="0" w:color="auto"/>
          </w:divBdr>
          <w:divsChild>
            <w:div w:id="1033657070">
              <w:marLeft w:val="0"/>
              <w:marRight w:val="0"/>
              <w:marTop w:val="0"/>
              <w:marBottom w:val="0"/>
              <w:divBdr>
                <w:top w:val="none" w:sz="0" w:space="0" w:color="auto"/>
                <w:left w:val="none" w:sz="0" w:space="0" w:color="auto"/>
                <w:bottom w:val="none" w:sz="0" w:space="0" w:color="auto"/>
                <w:right w:val="none" w:sz="0" w:space="0" w:color="auto"/>
              </w:divBdr>
              <w:divsChild>
                <w:div w:id="1885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5783682">
      <w:bodyDiv w:val="1"/>
      <w:marLeft w:val="0"/>
      <w:marRight w:val="0"/>
      <w:marTop w:val="0"/>
      <w:marBottom w:val="0"/>
      <w:divBdr>
        <w:top w:val="none" w:sz="0" w:space="0" w:color="auto"/>
        <w:left w:val="none" w:sz="0" w:space="0" w:color="auto"/>
        <w:bottom w:val="none" w:sz="0" w:space="0" w:color="auto"/>
        <w:right w:val="none" w:sz="0" w:space="0" w:color="auto"/>
      </w:divBdr>
      <w:divsChild>
        <w:div w:id="1875657694">
          <w:marLeft w:val="0"/>
          <w:marRight w:val="0"/>
          <w:marTop w:val="0"/>
          <w:marBottom w:val="0"/>
          <w:divBdr>
            <w:top w:val="none" w:sz="0" w:space="0" w:color="auto"/>
            <w:left w:val="none" w:sz="0" w:space="0" w:color="auto"/>
            <w:bottom w:val="none" w:sz="0" w:space="0" w:color="auto"/>
            <w:right w:val="none" w:sz="0" w:space="0" w:color="auto"/>
          </w:divBdr>
          <w:divsChild>
            <w:div w:id="1323243288">
              <w:marLeft w:val="0"/>
              <w:marRight w:val="0"/>
              <w:marTop w:val="0"/>
              <w:marBottom w:val="0"/>
              <w:divBdr>
                <w:top w:val="none" w:sz="0" w:space="0" w:color="auto"/>
                <w:left w:val="none" w:sz="0" w:space="0" w:color="auto"/>
                <w:bottom w:val="none" w:sz="0" w:space="0" w:color="auto"/>
                <w:right w:val="none" w:sz="0" w:space="0" w:color="auto"/>
              </w:divBdr>
              <w:divsChild>
                <w:div w:id="8187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090013">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588">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3150604">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13730">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6109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315837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4856602">
      <w:bodyDiv w:val="1"/>
      <w:marLeft w:val="0"/>
      <w:marRight w:val="0"/>
      <w:marTop w:val="0"/>
      <w:marBottom w:val="0"/>
      <w:divBdr>
        <w:top w:val="none" w:sz="0" w:space="0" w:color="auto"/>
        <w:left w:val="none" w:sz="0" w:space="0" w:color="auto"/>
        <w:bottom w:val="none" w:sz="0" w:space="0" w:color="auto"/>
        <w:right w:val="none" w:sz="0" w:space="0" w:color="auto"/>
      </w:divBdr>
      <w:divsChild>
        <w:div w:id="1354383366">
          <w:marLeft w:val="0"/>
          <w:marRight w:val="0"/>
          <w:marTop w:val="0"/>
          <w:marBottom w:val="0"/>
          <w:divBdr>
            <w:top w:val="none" w:sz="0" w:space="0" w:color="auto"/>
            <w:left w:val="none" w:sz="0" w:space="0" w:color="auto"/>
            <w:bottom w:val="none" w:sz="0" w:space="0" w:color="auto"/>
            <w:right w:val="none" w:sz="0" w:space="0" w:color="auto"/>
          </w:divBdr>
          <w:divsChild>
            <w:div w:id="932206033">
              <w:marLeft w:val="0"/>
              <w:marRight w:val="0"/>
              <w:marTop w:val="0"/>
              <w:marBottom w:val="0"/>
              <w:divBdr>
                <w:top w:val="none" w:sz="0" w:space="0" w:color="auto"/>
                <w:left w:val="none" w:sz="0" w:space="0" w:color="auto"/>
                <w:bottom w:val="none" w:sz="0" w:space="0" w:color="auto"/>
                <w:right w:val="none" w:sz="0" w:space="0" w:color="auto"/>
              </w:divBdr>
              <w:divsChild>
                <w:div w:id="13236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3343191">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136">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814723">
      <w:bodyDiv w:val="1"/>
      <w:marLeft w:val="0"/>
      <w:marRight w:val="0"/>
      <w:marTop w:val="0"/>
      <w:marBottom w:val="0"/>
      <w:divBdr>
        <w:top w:val="none" w:sz="0" w:space="0" w:color="auto"/>
        <w:left w:val="none" w:sz="0" w:space="0" w:color="auto"/>
        <w:bottom w:val="none" w:sz="0" w:space="0" w:color="auto"/>
        <w:right w:val="none" w:sz="0" w:space="0" w:color="auto"/>
      </w:divBdr>
      <w:divsChild>
        <w:div w:id="230234604">
          <w:marLeft w:val="0"/>
          <w:marRight w:val="0"/>
          <w:marTop w:val="0"/>
          <w:marBottom w:val="0"/>
          <w:divBdr>
            <w:top w:val="none" w:sz="0" w:space="0" w:color="auto"/>
            <w:left w:val="none" w:sz="0" w:space="0" w:color="auto"/>
            <w:bottom w:val="none" w:sz="0" w:space="0" w:color="auto"/>
            <w:right w:val="none" w:sz="0" w:space="0" w:color="auto"/>
          </w:divBdr>
          <w:divsChild>
            <w:div w:id="2049253132">
              <w:marLeft w:val="0"/>
              <w:marRight w:val="0"/>
              <w:marTop w:val="0"/>
              <w:marBottom w:val="0"/>
              <w:divBdr>
                <w:top w:val="none" w:sz="0" w:space="0" w:color="auto"/>
                <w:left w:val="none" w:sz="0" w:space="0" w:color="auto"/>
                <w:bottom w:val="none" w:sz="0" w:space="0" w:color="auto"/>
                <w:right w:val="none" w:sz="0" w:space="0" w:color="auto"/>
              </w:divBdr>
              <w:divsChild>
                <w:div w:id="1679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860D1C8-BD50-4E5E-8074-A9F554C59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Pages>
  <Words>7506</Words>
  <Characters>41288</Characters>
  <Application>Microsoft Office Word</Application>
  <DocSecurity>0</DocSecurity>
  <Lines>344</Lines>
  <Paragraphs>97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4</cp:revision>
  <cp:lastPrinted>2020-01-30T15:05:00Z</cp:lastPrinted>
  <dcterms:created xsi:type="dcterms:W3CDTF">2022-04-07T16:28:00Z</dcterms:created>
  <dcterms:modified xsi:type="dcterms:W3CDTF">2022-05-03T21:34:00Z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