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3CAC71" w14:textId="5282EFA7" w:rsidR="002415B8" w:rsidRPr="007B440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B4401">
        <w:rPr>
          <w:rFonts w:ascii="Arial" w:hAnsi="Arial" w:cs="Arial"/>
          <w:bCs/>
          <w:color w:val="000000" w:themeColor="text1"/>
          <w:sz w:val="16"/>
          <w:szCs w:val="16"/>
          <w:lang w:val="es-ES_tradnl" w:eastAsia="es-ES"/>
        </w:rPr>
        <w:t>CCE-DES-FM-17</w:t>
      </w:r>
      <w:bookmarkEnd w:id="0"/>
      <w:bookmarkEnd w:id="1"/>
    </w:p>
    <w:p w14:paraId="153DCCCC" w14:textId="77777777" w:rsidR="00DB5767" w:rsidRPr="007B4401" w:rsidRDefault="00DB5767" w:rsidP="00C978D4">
      <w:pPr>
        <w:jc w:val="both"/>
        <w:rPr>
          <w:rFonts w:ascii="Arial" w:hAnsi="Arial" w:cs="Arial"/>
          <w:noProof/>
          <w:color w:val="000000" w:themeColor="text1"/>
          <w:sz w:val="22"/>
          <w:lang w:val="es-ES_tradnl"/>
        </w:rPr>
      </w:pPr>
    </w:p>
    <w:p w14:paraId="4C30E58F" w14:textId="6BE8585F" w:rsidR="00BF79E3" w:rsidRPr="007B4401" w:rsidRDefault="00BF79E3" w:rsidP="00BF79E3">
      <w:pPr>
        <w:jc w:val="both"/>
        <w:rPr>
          <w:rFonts w:ascii="Arial" w:eastAsia="Calibri" w:hAnsi="Arial" w:cs="Arial"/>
          <w:b/>
          <w:color w:val="000000" w:themeColor="text1"/>
          <w:sz w:val="22"/>
          <w:lang w:val="es-ES_tradnl"/>
        </w:rPr>
      </w:pPr>
      <w:r w:rsidRPr="007B4401">
        <w:rPr>
          <w:rFonts w:ascii="Arial" w:eastAsia="Calibri" w:hAnsi="Arial" w:cs="Arial"/>
          <w:b/>
          <w:color w:val="000000" w:themeColor="text1"/>
          <w:sz w:val="22"/>
          <w:lang w:val="es-ES_tradnl"/>
        </w:rPr>
        <w:t>CLÁUSULAS EXCEPCIONALES – Multas – Cláusula penal – Imposición unilateral</w:t>
      </w:r>
    </w:p>
    <w:p w14:paraId="0AE37977" w14:textId="77777777" w:rsidR="00BF79E3" w:rsidRPr="007B4401" w:rsidRDefault="00BF79E3" w:rsidP="00BF79E3">
      <w:pPr>
        <w:rPr>
          <w:rFonts w:ascii="Arial" w:hAnsi="Arial" w:cs="Arial"/>
          <w:color w:val="000000" w:themeColor="text1"/>
          <w:sz w:val="20"/>
          <w:szCs w:val="20"/>
          <w:lang w:val="es-ES_tradnl"/>
        </w:rPr>
      </w:pPr>
    </w:p>
    <w:p w14:paraId="53B78DE4" w14:textId="77777777" w:rsidR="00BF79E3" w:rsidRPr="007B4401" w:rsidRDefault="00BF79E3" w:rsidP="00BF79E3">
      <w:pPr>
        <w:jc w:val="both"/>
        <w:rPr>
          <w:rFonts w:ascii="Arial" w:eastAsia="Calibri" w:hAnsi="Arial" w:cs="Arial"/>
          <w:b/>
          <w:color w:val="000000" w:themeColor="text1"/>
          <w:sz w:val="22"/>
          <w:lang w:val="es-ES_tradnl"/>
        </w:rPr>
      </w:pPr>
      <w:r w:rsidRPr="007B4401">
        <w:rPr>
          <w:rFonts w:ascii="Arial" w:hAnsi="Arial" w:cs="Arial"/>
          <w:iCs/>
          <w:color w:val="000000" w:themeColor="text1"/>
          <w:sz w:val="20"/>
          <w:szCs w:val="20"/>
          <w:lang w:val="es-ES_tradnl"/>
        </w:rPr>
        <w:t>El último grupo de potestades excepcionales –imposición unilateral de la multa o la cláusula penal–por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43CB3E7E" w14:textId="77777777" w:rsidR="00BF79E3" w:rsidRPr="007B4401" w:rsidRDefault="00BF79E3" w:rsidP="00BF79E3">
      <w:pPr>
        <w:jc w:val="both"/>
        <w:rPr>
          <w:rFonts w:ascii="Arial" w:hAnsi="Arial" w:cs="Arial"/>
          <w:iCs/>
          <w:color w:val="000000" w:themeColor="text1"/>
          <w:sz w:val="20"/>
          <w:szCs w:val="20"/>
          <w:lang w:val="es-ES_tradnl"/>
        </w:rPr>
      </w:pPr>
    </w:p>
    <w:p w14:paraId="6729395E" w14:textId="77777777" w:rsidR="00BF79E3" w:rsidRPr="007B4401" w:rsidRDefault="00BF79E3" w:rsidP="00BF79E3">
      <w:pPr>
        <w:jc w:val="both"/>
        <w:rPr>
          <w:rFonts w:ascii="Arial" w:eastAsia="Calibri" w:hAnsi="Arial" w:cs="Arial"/>
          <w:b/>
          <w:color w:val="000000" w:themeColor="text1"/>
          <w:sz w:val="22"/>
          <w:lang w:val="es-ES_tradnl"/>
        </w:rPr>
      </w:pPr>
      <w:r w:rsidRPr="007B4401">
        <w:rPr>
          <w:rFonts w:ascii="Arial" w:eastAsia="Calibri" w:hAnsi="Arial" w:cs="Arial"/>
          <w:b/>
          <w:color w:val="000000" w:themeColor="text1"/>
          <w:sz w:val="22"/>
          <w:lang w:val="es-ES_tradnl"/>
        </w:rPr>
        <w:t>PROCEDIMIENTO SANCIONATORIO CONTRACTUAL – Citación a audiencia – Contenido – Ley 1474 de 2011 – Artículo 86</w:t>
      </w:r>
    </w:p>
    <w:p w14:paraId="338AC3EF" w14:textId="77777777" w:rsidR="00BF79E3" w:rsidRPr="007B4401" w:rsidRDefault="00BF79E3" w:rsidP="00BF79E3">
      <w:pPr>
        <w:jc w:val="both"/>
        <w:rPr>
          <w:rFonts w:ascii="Arial" w:eastAsia="Calibri" w:hAnsi="Arial" w:cs="Arial"/>
          <w:b/>
          <w:color w:val="000000" w:themeColor="text1"/>
          <w:sz w:val="20"/>
          <w:szCs w:val="20"/>
          <w:lang w:val="es-ES_tradnl"/>
        </w:rPr>
      </w:pPr>
    </w:p>
    <w:p w14:paraId="6D8B7A2B" w14:textId="77777777" w:rsidR="00BF79E3" w:rsidRPr="007B4401" w:rsidRDefault="00BF79E3" w:rsidP="00BF79E3">
      <w:pPr>
        <w:jc w:val="both"/>
        <w:rPr>
          <w:rFonts w:ascii="Arial" w:eastAsia="Calibri" w:hAnsi="Arial" w:cs="Arial"/>
          <w:color w:val="000000" w:themeColor="text1"/>
          <w:sz w:val="20"/>
          <w:szCs w:val="20"/>
          <w:lang w:val="es-ES_tradnl"/>
        </w:rPr>
      </w:pPr>
      <w:r w:rsidRPr="007B4401">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7B4401">
        <w:rPr>
          <w:rFonts w:ascii="Arial" w:eastAsia="Calibri" w:hAnsi="Arial" w:cs="Arial"/>
          <w:i/>
          <w:iCs/>
          <w:color w:val="000000" w:themeColor="text1"/>
          <w:sz w:val="20"/>
          <w:szCs w:val="20"/>
          <w:lang w:val="es-ES_tradnl"/>
        </w:rPr>
        <w:t>hechos</w:t>
      </w:r>
      <w:r w:rsidRPr="007B4401">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p>
    <w:p w14:paraId="1ADAB55D" w14:textId="77777777" w:rsidR="00BF79E3" w:rsidRPr="007B4401" w:rsidRDefault="00BF79E3" w:rsidP="00BF79E3">
      <w:pPr>
        <w:jc w:val="both"/>
        <w:rPr>
          <w:rFonts w:ascii="Arial" w:hAnsi="Arial" w:cs="Arial"/>
          <w:color w:val="000000" w:themeColor="text1"/>
          <w:sz w:val="21"/>
          <w:szCs w:val="21"/>
          <w:lang w:val="es-ES_tradnl"/>
        </w:rPr>
      </w:pPr>
    </w:p>
    <w:p w14:paraId="536C806F" w14:textId="77777777" w:rsidR="00BF79E3" w:rsidRPr="007B4401" w:rsidRDefault="00BF79E3" w:rsidP="00BF79E3">
      <w:pPr>
        <w:jc w:val="both"/>
        <w:rPr>
          <w:rFonts w:ascii="Arial" w:eastAsia="Calibri" w:hAnsi="Arial" w:cs="Arial"/>
          <w:b/>
          <w:color w:val="000000" w:themeColor="text1"/>
          <w:sz w:val="22"/>
          <w:lang w:val="es-ES_tradnl"/>
        </w:rPr>
      </w:pPr>
      <w:r w:rsidRPr="007B4401">
        <w:rPr>
          <w:rFonts w:ascii="Arial" w:eastAsia="Calibri" w:hAnsi="Arial" w:cs="Arial"/>
          <w:b/>
          <w:color w:val="000000" w:themeColor="text1"/>
          <w:sz w:val="22"/>
          <w:lang w:val="es-ES_tradnl"/>
        </w:rPr>
        <w:t>REDUCCIÓN DE PUNTAJE – Multa – Cláusula Penal – Ley 2195 de 2022 – Artículo 58</w:t>
      </w:r>
    </w:p>
    <w:p w14:paraId="0487FF64" w14:textId="77777777" w:rsidR="00BF79E3" w:rsidRPr="007B4401" w:rsidRDefault="00BF79E3" w:rsidP="00BF79E3">
      <w:pPr>
        <w:jc w:val="both"/>
        <w:rPr>
          <w:rFonts w:ascii="Arial" w:hAnsi="Arial" w:cs="Arial"/>
          <w:color w:val="000000" w:themeColor="text1"/>
          <w:sz w:val="21"/>
          <w:szCs w:val="21"/>
          <w:lang w:val="es-ES_tradnl"/>
        </w:rPr>
      </w:pPr>
    </w:p>
    <w:p w14:paraId="705D435E" w14:textId="77777777" w:rsidR="00BF79E3" w:rsidRPr="007B4401" w:rsidRDefault="00BF79E3" w:rsidP="00BF79E3">
      <w:pPr>
        <w:jc w:val="both"/>
        <w:rPr>
          <w:rFonts w:ascii="Arial" w:eastAsia="Calibri" w:hAnsi="Arial" w:cs="Arial"/>
          <w:color w:val="000000" w:themeColor="text1"/>
          <w:sz w:val="20"/>
          <w:szCs w:val="20"/>
          <w:lang w:val="es-ES_tradnl"/>
        </w:rPr>
      </w:pPr>
      <w:r w:rsidRPr="007B4401">
        <w:rPr>
          <w:rFonts w:ascii="Arial" w:eastAsia="Calibri" w:hAnsi="Arial" w:cs="Arial"/>
          <w:color w:val="000000" w:themeColor="text1"/>
          <w:sz w:val="20"/>
          <w:szCs w:val="20"/>
          <w:lang w:val="es-ES_tradnl"/>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tal como se explicó en apartados anteriores de este concepto. Así pues, la reducción del puntaje exigido por el artículo 58 de la Ley 2195 de 2022 no se aplica en aquellos eventos en los cuales una entidad realiza un requerimiento a un contratista, sin imponer una multa o cláusula penal pecuniaria, como podría suceder en algunos supuestos de </w:t>
      </w:r>
      <w:r w:rsidRPr="007B4401">
        <w:rPr>
          <w:rFonts w:ascii="Arial" w:eastAsia="Calibri" w:hAnsi="Arial" w:cs="Arial"/>
          <w:color w:val="000000" w:themeColor="text1"/>
          <w:sz w:val="20"/>
          <w:szCs w:val="20"/>
          <w:lang w:val="es-ES_tradnl"/>
        </w:rPr>
        <w:lastRenderedPageBreak/>
        <w:t>declaratoria de siniestros, pues la efectividad de las garantías no siempre está condicionada por el incumplimiento.</w:t>
      </w:r>
    </w:p>
    <w:p w14:paraId="44EE5526" w14:textId="77777777" w:rsidR="00BF79E3" w:rsidRPr="007B4401" w:rsidRDefault="00BF79E3" w:rsidP="00BF79E3">
      <w:pPr>
        <w:jc w:val="both"/>
        <w:rPr>
          <w:rFonts w:ascii="Arial" w:eastAsia="Calibri" w:hAnsi="Arial" w:cs="Arial"/>
          <w:b/>
          <w:color w:val="000000" w:themeColor="text1"/>
          <w:sz w:val="22"/>
          <w:lang w:val="es-ES_tradnl"/>
        </w:rPr>
      </w:pPr>
    </w:p>
    <w:p w14:paraId="06457125" w14:textId="77777777" w:rsidR="00BF79E3" w:rsidRPr="007B4401" w:rsidRDefault="00BF79E3" w:rsidP="00BF79E3">
      <w:pPr>
        <w:jc w:val="both"/>
        <w:rPr>
          <w:rFonts w:ascii="Arial" w:eastAsia="Calibri" w:hAnsi="Arial" w:cs="Arial"/>
          <w:b/>
          <w:color w:val="000000" w:themeColor="text1"/>
          <w:sz w:val="22"/>
          <w:lang w:val="es-ES_tradnl"/>
        </w:rPr>
      </w:pPr>
      <w:r w:rsidRPr="007B4401">
        <w:rPr>
          <w:rFonts w:ascii="Arial" w:eastAsia="Calibri" w:hAnsi="Arial" w:cs="Arial"/>
          <w:b/>
          <w:color w:val="000000" w:themeColor="text1"/>
          <w:sz w:val="22"/>
          <w:lang w:val="es-ES_tradnl"/>
        </w:rPr>
        <w:t>IRRETROACTIVIDAD – Ley – Seguridad jurídica – Debido proceso</w:t>
      </w:r>
    </w:p>
    <w:p w14:paraId="31123FDB" w14:textId="77777777" w:rsidR="00BF79E3" w:rsidRPr="007B4401" w:rsidRDefault="00BF79E3" w:rsidP="00BF79E3">
      <w:pPr>
        <w:jc w:val="both"/>
        <w:rPr>
          <w:rFonts w:ascii="Arial" w:hAnsi="Arial" w:cs="Arial"/>
          <w:iCs/>
          <w:color w:val="000000" w:themeColor="text1"/>
          <w:sz w:val="20"/>
          <w:szCs w:val="20"/>
          <w:lang w:val="es-ES_tradnl"/>
        </w:rPr>
      </w:pPr>
    </w:p>
    <w:p w14:paraId="24287CDE" w14:textId="77777777" w:rsidR="00BF79E3" w:rsidRPr="007B4401" w:rsidRDefault="00BF79E3" w:rsidP="00BF79E3">
      <w:pPr>
        <w:jc w:val="both"/>
        <w:rPr>
          <w:rFonts w:ascii="Arial" w:eastAsia="Calibri" w:hAnsi="Arial" w:cs="Arial"/>
          <w:color w:val="000000" w:themeColor="text1"/>
          <w:sz w:val="20"/>
          <w:szCs w:val="20"/>
          <w:lang w:val="es-ES_tradnl"/>
        </w:rPr>
      </w:pPr>
      <w:r w:rsidRPr="007B4401">
        <w:rPr>
          <w:rFonts w:ascii="Arial" w:eastAsia="Calibri" w:hAnsi="Arial" w:cs="Arial"/>
          <w:color w:val="000000" w:themeColor="text1"/>
          <w:sz w:val="20"/>
          <w:szCs w:val="20"/>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404B0EFD" w14:textId="77777777" w:rsidR="00BF79E3" w:rsidRPr="007B4401" w:rsidRDefault="00BF79E3" w:rsidP="00BF79E3">
      <w:pPr>
        <w:jc w:val="both"/>
        <w:rPr>
          <w:rFonts w:ascii="Arial" w:eastAsia="Calibri" w:hAnsi="Arial" w:cs="Arial"/>
          <w:color w:val="000000" w:themeColor="text1"/>
          <w:sz w:val="20"/>
          <w:szCs w:val="20"/>
          <w:lang w:val="es-ES_tradnl"/>
        </w:rPr>
      </w:pPr>
    </w:p>
    <w:p w14:paraId="1A8ADE8C" w14:textId="77777777" w:rsidR="00BF79E3" w:rsidRPr="007B4401" w:rsidRDefault="00BF79E3" w:rsidP="00BF79E3">
      <w:pPr>
        <w:jc w:val="both"/>
        <w:rPr>
          <w:rFonts w:ascii="Arial" w:eastAsia="Calibri" w:hAnsi="Arial" w:cs="Arial"/>
          <w:color w:val="000000" w:themeColor="text1"/>
          <w:sz w:val="20"/>
          <w:szCs w:val="20"/>
          <w:lang w:val="es-ES_tradnl"/>
        </w:rPr>
      </w:pPr>
      <w:r w:rsidRPr="007B4401">
        <w:rPr>
          <w:rFonts w:ascii="Arial" w:eastAsia="Calibri" w:hAnsi="Arial" w:cs="Arial"/>
          <w:color w:val="000000" w:themeColor="text1"/>
          <w:sz w:val="20"/>
          <w:szCs w:val="20"/>
          <w:lang w:val="es-ES_tradnl"/>
        </w:rPr>
        <w:t>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antes de la realización de la conducta activa u omisiva sobre la cual se imputa el reproche. Esto es lo que se conoce en el derecho como la irretroactividad de las leyes.</w:t>
      </w:r>
    </w:p>
    <w:p w14:paraId="5C886425" w14:textId="77777777" w:rsidR="00BF79E3" w:rsidRPr="007B4401" w:rsidRDefault="00BF79E3" w:rsidP="00BF79E3">
      <w:pPr>
        <w:jc w:val="both"/>
        <w:rPr>
          <w:rFonts w:ascii="Arial" w:eastAsia="Calibri" w:hAnsi="Arial" w:cs="Arial"/>
          <w:color w:val="000000" w:themeColor="text1"/>
          <w:sz w:val="20"/>
          <w:szCs w:val="20"/>
          <w:lang w:val="es-ES_tradnl"/>
        </w:rPr>
      </w:pPr>
    </w:p>
    <w:p w14:paraId="75820ACA" w14:textId="012255E1" w:rsidR="00C03F2F" w:rsidRPr="007B4401" w:rsidRDefault="00C03F2F" w:rsidP="00C03F2F">
      <w:pPr>
        <w:jc w:val="both"/>
        <w:textAlignment w:val="baseline"/>
        <w:rPr>
          <w:rFonts w:ascii="Segoe UI" w:hAnsi="Segoe UI" w:cs="Segoe UI"/>
          <w:color w:val="000000" w:themeColor="text1"/>
          <w:sz w:val="18"/>
          <w:szCs w:val="18"/>
          <w:lang w:eastAsia="en-US"/>
        </w:rPr>
      </w:pPr>
      <w:r w:rsidRPr="007B4401">
        <w:rPr>
          <w:rFonts w:ascii="Arial" w:hAnsi="Arial" w:cs="Arial"/>
          <w:b/>
          <w:bCs/>
          <w:color w:val="000000" w:themeColor="text1"/>
          <w:sz w:val="22"/>
          <w:szCs w:val="22"/>
          <w:lang w:val="es-ES" w:eastAsia="en-US"/>
        </w:rPr>
        <w:t>PRESENTACIÓN DE LA DEMANDA – Aplicación excepción – Artículo 58 de la Ley 2195 de 2022</w:t>
      </w:r>
    </w:p>
    <w:p w14:paraId="18E4EF75" w14:textId="77777777" w:rsidR="00C03F2F" w:rsidRPr="007B4401" w:rsidRDefault="00C03F2F" w:rsidP="00C03F2F">
      <w:pPr>
        <w:jc w:val="both"/>
        <w:textAlignment w:val="baseline"/>
        <w:rPr>
          <w:rFonts w:ascii="Segoe UI" w:hAnsi="Segoe UI" w:cs="Segoe UI"/>
          <w:color w:val="000000" w:themeColor="text1"/>
          <w:sz w:val="18"/>
          <w:szCs w:val="18"/>
          <w:lang w:eastAsia="en-US"/>
        </w:rPr>
      </w:pPr>
      <w:r w:rsidRPr="007B4401">
        <w:rPr>
          <w:rFonts w:ascii="Arial" w:hAnsi="Arial" w:cs="Arial"/>
          <w:color w:val="000000" w:themeColor="text1"/>
          <w:sz w:val="20"/>
          <w:szCs w:val="20"/>
          <w:lang w:eastAsia="en-US"/>
        </w:rPr>
        <w:t> </w:t>
      </w:r>
    </w:p>
    <w:p w14:paraId="6453900A" w14:textId="143A50FE" w:rsidR="00F01D3A" w:rsidRPr="00F01D3A" w:rsidRDefault="00F01D3A" w:rsidP="00F01D3A">
      <w:pPr>
        <w:jc w:val="both"/>
        <w:rPr>
          <w:rFonts w:ascii="Arial" w:eastAsia="Calibri" w:hAnsi="Arial" w:cs="Arial"/>
          <w:color w:val="000000" w:themeColor="text1"/>
          <w:sz w:val="20"/>
          <w:szCs w:val="20"/>
          <w:lang w:val="es-ES_tradnl"/>
        </w:rPr>
      </w:pPr>
      <w:r w:rsidRPr="00F01D3A">
        <w:rPr>
          <w:rFonts w:ascii="Arial" w:eastAsia="Calibri" w:hAnsi="Arial" w:cs="Arial"/>
          <w:color w:val="000000" w:themeColor="text1"/>
          <w:sz w:val="20"/>
          <w:szCs w:val="20"/>
          <w:lang w:val="es-ES_tradnl"/>
        </w:rPr>
        <w:t xml:space="preserve">[…] debe entenderse que para que aplique la excepción del artículo 58 de la Ley 2195 de 2022 el acto administrativo que impuso la multa debe haber sido objeto de demanda ante la jurisdicción contenciosa administrativa, pues desde este momento se inicia el proceso contencioso administrativo, en los términos del artículo 179 del CPACA y se ha puesto en marcha el aparato jurisdiccional. En tal sentido, para efectos del parágrafo del artículo 58 de la Ley 2195 de 2022, es viable inferir que desde la presentación de la demanda el acto administrativo es objeto del medio de control jurisdiccional respectivo. </w:t>
      </w:r>
    </w:p>
    <w:p w14:paraId="1C41E702" w14:textId="77777777" w:rsidR="00F01D3A" w:rsidRPr="00F01D3A" w:rsidRDefault="00F01D3A" w:rsidP="00F01D3A">
      <w:pPr>
        <w:jc w:val="both"/>
        <w:rPr>
          <w:rFonts w:ascii="Arial" w:eastAsia="Calibri" w:hAnsi="Arial" w:cs="Arial"/>
          <w:color w:val="000000" w:themeColor="text1"/>
          <w:sz w:val="20"/>
          <w:szCs w:val="20"/>
          <w:lang w:val="es-ES_tradnl"/>
        </w:rPr>
      </w:pPr>
    </w:p>
    <w:p w14:paraId="6A81D6D1" w14:textId="741B031C" w:rsidR="00C03F2F" w:rsidRPr="00F01D3A" w:rsidRDefault="00F01D3A" w:rsidP="00F01D3A">
      <w:pPr>
        <w:jc w:val="both"/>
        <w:textAlignment w:val="baseline"/>
        <w:rPr>
          <w:rFonts w:ascii="Segoe UI" w:hAnsi="Segoe UI" w:cs="Segoe UI"/>
          <w:color w:val="000000" w:themeColor="text1"/>
          <w:sz w:val="20"/>
          <w:szCs w:val="20"/>
          <w:lang w:val="es-ES_tradnl" w:eastAsia="en-US"/>
        </w:rPr>
      </w:pPr>
      <w:r w:rsidRPr="00F01D3A">
        <w:rPr>
          <w:rFonts w:ascii="Arial" w:eastAsia="Calibri" w:hAnsi="Arial" w:cs="Arial"/>
          <w:color w:val="000000" w:themeColor="text1"/>
          <w:sz w:val="20"/>
          <w:szCs w:val="20"/>
          <w:lang w:val="es-ES_tradnl"/>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w:t>
      </w:r>
      <w:r w:rsidRPr="00F01D3A">
        <w:rPr>
          <w:rFonts w:ascii="Arial" w:hAnsi="Arial" w:cs="Arial"/>
          <w:color w:val="000000" w:themeColor="text1"/>
          <w:sz w:val="20"/>
          <w:szCs w:val="20"/>
        </w:rPr>
        <w:t xml:space="preserve">debe privilegiarse aquella que represente menor restricción para </w:t>
      </w:r>
      <w:r w:rsidRPr="00F01D3A">
        <w:rPr>
          <w:rFonts w:ascii="Arial" w:eastAsia="Calibri" w:hAnsi="Arial" w:cs="Arial"/>
          <w:color w:val="000000" w:themeColor="text1"/>
          <w:sz w:val="20"/>
          <w:szCs w:val="20"/>
          <w:lang w:val="es-ES_tradnl"/>
        </w:rPr>
        <w:t>el derecho de las personas</w:t>
      </w:r>
      <w:r w:rsidRPr="00F01D3A">
        <w:rPr>
          <w:rFonts w:ascii="Arial" w:hAnsi="Arial" w:cs="Arial"/>
          <w:color w:val="000000" w:themeColor="text1"/>
          <w:sz w:val="20"/>
          <w:szCs w:val="20"/>
          <w:lang w:val="es-ES_tradnl" w:eastAsia="en-US"/>
        </w:rPr>
        <w:t xml:space="preserve">. </w:t>
      </w:r>
    </w:p>
    <w:p w14:paraId="27D4FB00" w14:textId="6DE62E7C" w:rsidR="002412BC" w:rsidRPr="007B4401" w:rsidRDefault="002412BC" w:rsidP="00E858D2">
      <w:pPr>
        <w:jc w:val="both"/>
        <w:rPr>
          <w:rFonts w:ascii="Arial" w:hAnsi="Arial" w:cs="Arial"/>
          <w:noProof/>
          <w:color w:val="000000" w:themeColor="text1"/>
          <w:sz w:val="22"/>
        </w:rPr>
      </w:pPr>
    </w:p>
    <w:p w14:paraId="7D165B8B" w14:textId="77777777" w:rsidR="005650F0" w:rsidRPr="007B4401" w:rsidRDefault="005650F0" w:rsidP="005650F0">
      <w:pPr>
        <w:rPr>
          <w:rFonts w:ascii="Arial" w:eastAsia="Calibri" w:hAnsi="Arial" w:cs="Arial"/>
          <w:b/>
          <w:bCs/>
          <w:color w:val="000000" w:themeColor="text1"/>
          <w:sz w:val="22"/>
          <w:lang w:val="es-MX"/>
        </w:rPr>
      </w:pPr>
      <w:r w:rsidRPr="007B4401">
        <w:rPr>
          <w:rFonts w:ascii="Arial" w:eastAsia="Arial" w:hAnsi="Arial" w:cs="Arial"/>
          <w:b/>
          <w:color w:val="000000" w:themeColor="text1"/>
          <w:sz w:val="22"/>
          <w:szCs w:val="22"/>
          <w:lang w:val="es-MX" w:eastAsia="en-US"/>
        </w:rPr>
        <w:t>DOCUMENTOS TIPO –</w:t>
      </w:r>
      <w:r w:rsidRPr="007B4401">
        <w:rPr>
          <w:rFonts w:ascii="Arial" w:eastAsiaTheme="minorHAnsi" w:hAnsi="Arial" w:cs="Arial"/>
          <w:b/>
          <w:color w:val="000000" w:themeColor="text1"/>
          <w:sz w:val="22"/>
          <w:szCs w:val="22"/>
          <w:lang w:val="es-ES_tradnl" w:eastAsia="en-US"/>
        </w:rPr>
        <w:t xml:space="preserve"> Fundamento normativo – </w:t>
      </w:r>
      <w:r w:rsidRPr="007B4401">
        <w:rPr>
          <w:rFonts w:ascii="Arial" w:eastAsia="Calibri" w:hAnsi="Arial" w:cs="Arial"/>
          <w:b/>
          <w:bCs/>
          <w:color w:val="000000" w:themeColor="text1"/>
          <w:sz w:val="22"/>
          <w:lang w:val="es-MX"/>
        </w:rPr>
        <w:t xml:space="preserve">Obligatoriedad </w:t>
      </w:r>
    </w:p>
    <w:p w14:paraId="5DC2E69E" w14:textId="77777777" w:rsidR="005650F0" w:rsidRPr="007B4401" w:rsidRDefault="005650F0" w:rsidP="005650F0">
      <w:pPr>
        <w:rPr>
          <w:rFonts w:ascii="Arial" w:eastAsia="Calibri" w:hAnsi="Arial" w:cs="Arial"/>
          <w:b/>
          <w:bCs/>
          <w:color w:val="000000" w:themeColor="text1"/>
          <w:sz w:val="22"/>
          <w:lang w:val="es-MX"/>
        </w:rPr>
      </w:pPr>
    </w:p>
    <w:p w14:paraId="191636CF" w14:textId="77777777" w:rsidR="005650F0" w:rsidRPr="007B4401" w:rsidRDefault="005650F0" w:rsidP="005650F0">
      <w:pPr>
        <w:jc w:val="both"/>
        <w:rPr>
          <w:rFonts w:ascii="Arial" w:eastAsia="Calibri" w:hAnsi="Arial" w:cs="Arial"/>
          <w:color w:val="000000" w:themeColor="text1"/>
          <w:sz w:val="20"/>
          <w:szCs w:val="20"/>
          <w:lang w:val="es-ES"/>
        </w:rPr>
      </w:pPr>
      <w:r w:rsidRPr="007B4401">
        <w:rPr>
          <w:rFonts w:ascii="Arial" w:eastAsia="Calibri" w:hAnsi="Arial" w:cs="Arial"/>
          <w:color w:val="000000" w:themeColor="text1"/>
          <w:sz w:val="20"/>
          <w:szCs w:val="20"/>
          <w:lang w:val="es-ES_tradnl"/>
        </w:rPr>
        <w:t xml:space="preserve">[…] </w:t>
      </w:r>
      <w:r w:rsidRPr="007B4401">
        <w:rPr>
          <w:rFonts w:ascii="Arial" w:eastAsia="Calibri" w:hAnsi="Arial" w:cs="Arial"/>
          <w:color w:val="000000" w:themeColor="text1"/>
          <w:sz w:val="20"/>
          <w:szCs w:val="20"/>
          <w:lang w:val="es-ES"/>
        </w:rPr>
        <w:t xml:space="preserve">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w:t>
      </w:r>
      <w:r w:rsidRPr="007B4401">
        <w:rPr>
          <w:rFonts w:ascii="Arial" w:eastAsia="Calibri" w:hAnsi="Arial" w:cs="Arial"/>
          <w:color w:val="000000" w:themeColor="text1"/>
          <w:sz w:val="20"/>
          <w:szCs w:val="20"/>
          <w:lang w:val="es-ES"/>
        </w:rPr>
        <w:lastRenderedPageBreak/>
        <w:t xml:space="preserve">Pública de aplicar los documentos tipo adoptados por el gobierno nacional. En virtud de las competencias atribuidas por la Ley 1882 de 2018 se expidieron varios documentos tipo para el sector de infraestructura de transporte. </w:t>
      </w:r>
    </w:p>
    <w:p w14:paraId="04415CE6" w14:textId="77777777" w:rsidR="005650F0" w:rsidRPr="007B4401" w:rsidRDefault="005650F0" w:rsidP="005650F0">
      <w:pPr>
        <w:jc w:val="both"/>
        <w:rPr>
          <w:rFonts w:ascii="Arial" w:eastAsia="Calibri" w:hAnsi="Arial" w:cs="Arial"/>
          <w:color w:val="000000" w:themeColor="text1"/>
          <w:sz w:val="20"/>
          <w:szCs w:val="20"/>
          <w:lang w:val="es-ES"/>
        </w:rPr>
      </w:pPr>
    </w:p>
    <w:p w14:paraId="3292446F" w14:textId="6422E834" w:rsidR="005650F0" w:rsidRPr="007B4401" w:rsidRDefault="005650F0" w:rsidP="005650F0">
      <w:pPr>
        <w:jc w:val="both"/>
        <w:rPr>
          <w:rFonts w:ascii="Arial" w:eastAsia="Calibri" w:hAnsi="Arial" w:cs="Arial"/>
          <w:color w:val="000000" w:themeColor="text1"/>
          <w:sz w:val="20"/>
          <w:szCs w:val="20"/>
          <w:lang w:val="es-ES"/>
        </w:rPr>
      </w:pPr>
      <w:r w:rsidRPr="007B4401">
        <w:rPr>
          <w:rFonts w:ascii="Arial" w:eastAsia="Calibri" w:hAnsi="Arial" w:cs="Arial"/>
          <w:color w:val="000000" w:themeColor="text1"/>
          <w:sz w:val="20"/>
          <w:szCs w:val="20"/>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2A32F340" w14:textId="77777777" w:rsidR="005650F0" w:rsidRPr="007B4401" w:rsidRDefault="005650F0" w:rsidP="005650F0">
      <w:pPr>
        <w:jc w:val="both"/>
        <w:rPr>
          <w:rFonts w:ascii="Arial" w:hAnsi="Arial" w:cs="Arial"/>
          <w:noProof/>
          <w:color w:val="000000" w:themeColor="text1"/>
          <w:sz w:val="22"/>
        </w:rPr>
      </w:pPr>
    </w:p>
    <w:p w14:paraId="17F000DC" w14:textId="1E0C987C" w:rsidR="001564F5" w:rsidRPr="007B4401" w:rsidRDefault="001564F5" w:rsidP="001564F5">
      <w:pPr>
        <w:jc w:val="both"/>
        <w:rPr>
          <w:rFonts w:ascii="Arial" w:eastAsia="Arial" w:hAnsi="Arial" w:cs="Arial"/>
          <w:b/>
          <w:color w:val="000000" w:themeColor="text1"/>
          <w:sz w:val="22"/>
          <w:szCs w:val="22"/>
          <w:lang w:val="es-MX" w:eastAsia="en-US"/>
        </w:rPr>
      </w:pPr>
      <w:r w:rsidRPr="007B4401">
        <w:rPr>
          <w:rFonts w:ascii="Arial" w:eastAsia="Arial" w:hAnsi="Arial" w:cs="Arial"/>
          <w:b/>
          <w:color w:val="000000" w:themeColor="text1"/>
          <w:sz w:val="22"/>
          <w:szCs w:val="22"/>
          <w:lang w:val="es-MX" w:eastAsia="en-US"/>
        </w:rPr>
        <w:t xml:space="preserve">DOCUMENTOS TIPO – </w:t>
      </w:r>
      <w:r w:rsidR="005650F0" w:rsidRPr="007B4401">
        <w:rPr>
          <w:rFonts w:ascii="Arial" w:eastAsia="Calibri" w:hAnsi="Arial" w:cs="Arial"/>
          <w:b/>
          <w:color w:val="000000" w:themeColor="text1"/>
          <w:sz w:val="22"/>
          <w:szCs w:val="22"/>
          <w:lang w:val="es-MX" w:eastAsia="en-US"/>
        </w:rPr>
        <w:t xml:space="preserve">Matriz 1 </w:t>
      </w:r>
      <w:r w:rsidR="005650F0" w:rsidRPr="007B4401">
        <w:rPr>
          <w:rFonts w:ascii="Arial" w:eastAsia="Calibri" w:hAnsi="Arial" w:cs="Arial"/>
          <w:b/>
          <w:bCs/>
          <w:color w:val="000000" w:themeColor="text1"/>
          <w:sz w:val="22"/>
          <w:szCs w:val="22"/>
          <w:lang w:val="es-MX" w:eastAsia="en-US"/>
        </w:rPr>
        <w:t>–</w:t>
      </w:r>
      <w:r w:rsidRPr="007B4401">
        <w:rPr>
          <w:rFonts w:ascii="Arial" w:eastAsia="Calibri" w:hAnsi="Arial" w:cs="Arial"/>
          <w:b/>
          <w:color w:val="000000" w:themeColor="text1"/>
          <w:sz w:val="22"/>
          <w:szCs w:val="22"/>
          <w:lang w:val="es-MX" w:eastAsia="en-US"/>
        </w:rPr>
        <w:t xml:space="preserve"> Experiencia </w:t>
      </w:r>
      <w:r w:rsidR="005650F0" w:rsidRPr="007B4401">
        <w:rPr>
          <w:rFonts w:ascii="Arial" w:eastAsia="Calibri" w:hAnsi="Arial" w:cs="Arial"/>
          <w:b/>
          <w:bCs/>
          <w:color w:val="000000" w:themeColor="text1"/>
          <w:sz w:val="22"/>
          <w:szCs w:val="22"/>
          <w:lang w:val="es-MX" w:eastAsia="en-US"/>
        </w:rPr>
        <w:t>–</w:t>
      </w:r>
      <w:r w:rsidRPr="007B4401">
        <w:rPr>
          <w:rFonts w:ascii="Arial" w:eastAsia="Calibri" w:hAnsi="Arial" w:cs="Arial"/>
          <w:b/>
          <w:color w:val="000000" w:themeColor="text1"/>
          <w:sz w:val="22"/>
          <w:szCs w:val="22"/>
          <w:lang w:val="es-MX" w:eastAsia="en-US"/>
        </w:rPr>
        <w:t xml:space="preserve"> Infraestructura de Transporte</w:t>
      </w:r>
      <w:r w:rsidR="005650F0" w:rsidRPr="007B4401">
        <w:rPr>
          <w:rFonts w:ascii="Arial" w:eastAsia="Calibri" w:hAnsi="Arial" w:cs="Arial"/>
          <w:b/>
          <w:color w:val="000000" w:themeColor="text1"/>
          <w:sz w:val="22"/>
          <w:szCs w:val="22"/>
          <w:lang w:val="es-MX" w:eastAsia="en-US"/>
        </w:rPr>
        <w:t xml:space="preserve"> </w:t>
      </w:r>
      <w:r w:rsidRPr="007B4401">
        <w:rPr>
          <w:rFonts w:ascii="Arial" w:eastAsia="Calibri" w:hAnsi="Arial" w:cs="Arial"/>
          <w:b/>
          <w:bCs/>
          <w:color w:val="000000" w:themeColor="text1"/>
          <w:sz w:val="22"/>
          <w:szCs w:val="22"/>
          <w:lang w:val="es-MX" w:eastAsia="en-US"/>
        </w:rPr>
        <w:t>–</w:t>
      </w:r>
      <w:r w:rsidR="005650F0" w:rsidRPr="007B4401">
        <w:rPr>
          <w:rFonts w:ascii="Arial" w:eastAsia="Calibri" w:hAnsi="Arial" w:cs="Arial"/>
          <w:b/>
          <w:bCs/>
          <w:color w:val="000000" w:themeColor="text1"/>
          <w:sz w:val="22"/>
          <w:szCs w:val="22"/>
          <w:lang w:val="es-MX" w:eastAsia="en-US"/>
        </w:rPr>
        <w:t xml:space="preserve"> Infraestructura de agua potable y saneamiento básico – </w:t>
      </w:r>
      <w:r w:rsidRPr="007B4401">
        <w:rPr>
          <w:rFonts w:ascii="Arial" w:eastAsia="Calibri" w:hAnsi="Arial" w:cs="Arial"/>
          <w:b/>
          <w:bCs/>
          <w:color w:val="000000" w:themeColor="text1"/>
          <w:sz w:val="22"/>
          <w:szCs w:val="22"/>
          <w:lang w:val="es-MX" w:eastAsia="en-US"/>
        </w:rPr>
        <w:t>Acreditación de experiencia – Contratos con pluralidad de actividades</w:t>
      </w:r>
    </w:p>
    <w:p w14:paraId="6D5DB0DD" w14:textId="77777777" w:rsidR="001564F5" w:rsidRPr="007B4401" w:rsidRDefault="001564F5" w:rsidP="001564F5">
      <w:pPr>
        <w:spacing w:line="276" w:lineRule="auto"/>
        <w:jc w:val="both"/>
        <w:rPr>
          <w:rFonts w:ascii="Arial" w:hAnsi="Arial" w:cs="Arial"/>
          <w:b/>
          <w:color w:val="000000" w:themeColor="text1"/>
          <w:sz w:val="22"/>
          <w:lang w:val="es-MX"/>
        </w:rPr>
      </w:pPr>
    </w:p>
    <w:p w14:paraId="4BC54A66" w14:textId="77777777" w:rsidR="00F01D3A" w:rsidRDefault="001564F5" w:rsidP="00F01D3A">
      <w:pPr>
        <w:jc w:val="both"/>
        <w:rPr>
          <w:rFonts w:ascii="Arial" w:eastAsiaTheme="minorHAnsi" w:hAnsi="Arial" w:cs="Arial"/>
          <w:color w:val="000000" w:themeColor="text1"/>
          <w:sz w:val="20"/>
          <w:szCs w:val="20"/>
          <w:lang w:val="es-MX" w:eastAsia="en-US"/>
        </w:rPr>
      </w:pPr>
      <w:r w:rsidRPr="00F01D3A">
        <w:rPr>
          <w:rFonts w:ascii="Arial" w:eastAsia="Calibri" w:hAnsi="Arial" w:cs="Arial"/>
          <w:color w:val="000000" w:themeColor="text1"/>
          <w:sz w:val="20"/>
          <w:szCs w:val="20"/>
          <w:lang w:val="es-MX" w:eastAsia="en-US"/>
        </w:rPr>
        <w:t xml:space="preserve">[…] </w:t>
      </w:r>
      <w:r w:rsidR="00F01D3A" w:rsidRPr="00F01D3A">
        <w:rPr>
          <w:rFonts w:ascii="Arial" w:eastAsiaTheme="minorHAnsi" w:hAnsi="Arial" w:cs="Arial"/>
          <w:color w:val="000000" w:themeColor="text1"/>
          <w:sz w:val="20"/>
          <w:szCs w:val="20"/>
          <w:lang w:val="es-MX" w:eastAsia="en-US"/>
        </w:rPr>
        <w:t xml:space="preserve">de conformidad con el literal A del numeral 3.5.1, esta Agencia señaló que 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contenía actividades relacionadas con la experiencia exigida, y otras que no, la entidad debía fraccionar la evaluación de la experiencia a efectos de solo tener en cuenta únicamente lo atinente a la parte del objeto contractual que cumplía con lo señalado en la matriz de experiencia, empleando para tal fin los documentos soporte allegados por el proponente. Esta tesis fue expuesta por la Agencia en el Concepto </w:t>
      </w:r>
      <w:r w:rsidR="00F01D3A" w:rsidRPr="00F01D3A">
        <w:rPr>
          <w:rFonts w:ascii="Arial" w:eastAsiaTheme="minorHAnsi" w:hAnsi="Arial" w:cs="Arial"/>
          <w:color w:val="000000" w:themeColor="text1"/>
          <w:sz w:val="20"/>
          <w:szCs w:val="20"/>
          <w:shd w:val="clear" w:color="auto" w:fill="FFFFFF"/>
          <w:lang w:val="es-MX" w:eastAsia="en-US"/>
        </w:rPr>
        <w:t xml:space="preserve">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pluralidad de actividades. </w:t>
      </w:r>
    </w:p>
    <w:p w14:paraId="505F1462" w14:textId="77777777" w:rsidR="00F01D3A" w:rsidRDefault="00F01D3A" w:rsidP="00F01D3A">
      <w:pPr>
        <w:jc w:val="both"/>
        <w:rPr>
          <w:rFonts w:ascii="Arial" w:eastAsiaTheme="minorHAnsi" w:hAnsi="Arial" w:cs="Arial"/>
          <w:color w:val="000000" w:themeColor="text1"/>
          <w:sz w:val="20"/>
          <w:szCs w:val="20"/>
          <w:lang w:val="es-MX" w:eastAsia="en-US"/>
        </w:rPr>
      </w:pPr>
    </w:p>
    <w:p w14:paraId="7B44BA82" w14:textId="77777777" w:rsidR="00F01D3A" w:rsidRDefault="00F01D3A" w:rsidP="00F01D3A">
      <w:pPr>
        <w:jc w:val="both"/>
        <w:rPr>
          <w:rFonts w:ascii="Arial" w:eastAsiaTheme="minorHAnsi" w:hAnsi="Arial" w:cs="Arial"/>
          <w:color w:val="000000" w:themeColor="text1"/>
          <w:sz w:val="20"/>
          <w:szCs w:val="20"/>
          <w:lang w:val="es-MX" w:eastAsia="en-US"/>
        </w:rPr>
      </w:pPr>
      <w:r w:rsidRPr="00F01D3A">
        <w:rPr>
          <w:rFonts w:ascii="Arial" w:eastAsiaTheme="minorHAnsi" w:hAnsi="Arial" w:cs="Arial"/>
          <w:color w:val="000000" w:themeColor="text1"/>
          <w:sz w:val="20"/>
          <w:szCs w:val="20"/>
          <w:lang w:val="es-MX" w:eastAsia="en-US"/>
        </w:rPr>
        <w:t xml:space="preserve">De acuerdo lo expresado, 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 Lo anterior, de conformidad con la tesis expuesta en el concepto citado, supone que solo se tengan en cuenta los valores de las actividades que efectivamente cumplen con el requisito de experiencia, descartando los valores de las actividades no relacionadas. </w:t>
      </w:r>
    </w:p>
    <w:p w14:paraId="3E98E52C" w14:textId="77777777" w:rsidR="00F01D3A" w:rsidRDefault="00F01D3A" w:rsidP="00F01D3A">
      <w:pPr>
        <w:jc w:val="both"/>
        <w:rPr>
          <w:rFonts w:ascii="Arial" w:eastAsiaTheme="minorHAnsi" w:hAnsi="Arial" w:cs="Arial"/>
          <w:color w:val="000000" w:themeColor="text1"/>
          <w:sz w:val="20"/>
          <w:szCs w:val="20"/>
          <w:lang w:val="es-MX" w:eastAsia="en-US"/>
        </w:rPr>
      </w:pPr>
    </w:p>
    <w:p w14:paraId="738024D4" w14:textId="68772A26" w:rsidR="00F01D3A" w:rsidRPr="00F01D3A" w:rsidRDefault="00F01D3A" w:rsidP="00F01D3A">
      <w:pPr>
        <w:jc w:val="both"/>
        <w:rPr>
          <w:rFonts w:ascii="Arial" w:eastAsiaTheme="minorHAnsi" w:hAnsi="Arial" w:cs="Arial"/>
          <w:color w:val="000000" w:themeColor="text1"/>
          <w:sz w:val="20"/>
          <w:szCs w:val="20"/>
          <w:lang w:val="es-MX" w:eastAsia="en-US"/>
        </w:rPr>
      </w:pPr>
      <w:r w:rsidRPr="00F01D3A">
        <w:rPr>
          <w:rFonts w:ascii="Arial" w:eastAsiaTheme="minorHAnsi" w:hAnsi="Arial" w:cs="Arial"/>
          <w:color w:val="000000" w:themeColor="text1"/>
          <w:sz w:val="20"/>
          <w:szCs w:val="20"/>
          <w:lang w:val="es-MX" w:eastAsia="en-US"/>
        </w:rPr>
        <w:t xml:space="preserve">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En otras palabras, en la evaluación de la experiencia con tales tipos de contratos, al igual que deben descartarse los valores correspondientes a las actividades no relacionadas con el requisito de experiencia, también deben ser descontadas las magnitudes físicas, longitudes o áreas sobre las que se ejecutaron obras que no se relacionan con la experiencia exigida. </w:t>
      </w:r>
      <w:r w:rsidRPr="00F01D3A">
        <w:rPr>
          <w:rFonts w:ascii="Arial" w:eastAsiaTheme="minorHAnsi" w:hAnsi="Arial" w:cs="Arial"/>
          <w:color w:val="000000" w:themeColor="text1"/>
          <w:spacing w:val="2"/>
          <w:sz w:val="20"/>
          <w:szCs w:val="20"/>
          <w:lang w:val="es-MX" w:eastAsia="en-US"/>
        </w:rPr>
        <w:t xml:space="preserve">No </w:t>
      </w:r>
      <w:proofErr w:type="gramStart"/>
      <w:r w:rsidRPr="00F01D3A">
        <w:rPr>
          <w:rFonts w:ascii="Arial" w:eastAsiaTheme="minorHAnsi" w:hAnsi="Arial" w:cs="Arial"/>
          <w:color w:val="000000" w:themeColor="text1"/>
          <w:spacing w:val="2"/>
          <w:sz w:val="20"/>
          <w:szCs w:val="20"/>
          <w:lang w:val="es-MX" w:eastAsia="en-US"/>
        </w:rPr>
        <w:t>obstante</w:t>
      </w:r>
      <w:proofErr w:type="gramEnd"/>
      <w:r w:rsidRPr="00F01D3A">
        <w:rPr>
          <w:rFonts w:ascii="Arial" w:eastAsiaTheme="minorHAnsi" w:hAnsi="Arial" w:cs="Arial"/>
          <w:color w:val="000000" w:themeColor="text1"/>
          <w:spacing w:val="2"/>
          <w:sz w:val="20"/>
          <w:szCs w:val="20"/>
          <w:lang w:val="es-MX" w:eastAsia="en-US"/>
        </w:rPr>
        <w:t xml:space="preserve"> lo anterior, </w:t>
      </w:r>
      <w:r w:rsidRPr="00F01D3A">
        <w:rPr>
          <w:rFonts w:ascii="Arial" w:hAnsi="Arial" w:cs="Arial"/>
          <w:color w:val="000000" w:themeColor="text1"/>
          <w:sz w:val="20"/>
          <w:szCs w:val="20"/>
        </w:rPr>
        <w:t>la Agencia Nacional de Contratación Pública – Colombia Compra Eficiente en relación con la forma en que se la acredita la experiencia cuando se ejecutan varias actividades y algunas de ellas no se relacionan con lo previsto en la «Matriz 1 - Experiencia</w:t>
      </w:r>
      <w:r w:rsidRPr="00F01D3A">
        <w:rPr>
          <w:rFonts w:ascii="Arial" w:eastAsia="Calibri" w:hAnsi="Arial" w:cs="Arial"/>
          <w:color w:val="000000" w:themeColor="text1"/>
          <w:sz w:val="20"/>
          <w:szCs w:val="20"/>
          <w:lang w:eastAsia="en-US"/>
        </w:rPr>
        <w:t>»,</w:t>
      </w:r>
      <w:r w:rsidRPr="00F01D3A">
        <w:rPr>
          <w:rFonts w:ascii="Arial" w:hAnsi="Arial" w:cs="Arial"/>
          <w:color w:val="000000" w:themeColor="text1"/>
          <w:sz w:val="20"/>
          <w:szCs w:val="20"/>
        </w:rPr>
        <w:t xml:space="preserve"> consideró necesario y oportuno concretar esta regla expresamente en el pliego de condiciones. Esto para determinar la conducta de las entidades ante estas circunstancias, y, por tanto, evitar confusiones o dobles interpretaciones en la aplicación del documento base. </w:t>
      </w:r>
    </w:p>
    <w:p w14:paraId="1611D972" w14:textId="77777777" w:rsidR="00F01D3A" w:rsidRPr="00F01D3A" w:rsidRDefault="00F01D3A" w:rsidP="00F01D3A">
      <w:pPr>
        <w:jc w:val="both"/>
        <w:rPr>
          <w:rFonts w:ascii="Arial" w:hAnsi="Arial" w:cs="Arial"/>
          <w:bCs/>
          <w:color w:val="000000" w:themeColor="text1"/>
          <w:sz w:val="20"/>
          <w:szCs w:val="20"/>
        </w:rPr>
      </w:pPr>
      <w:r w:rsidRPr="00F01D3A">
        <w:rPr>
          <w:rFonts w:ascii="Arial" w:hAnsi="Arial" w:cs="Arial"/>
          <w:color w:val="000000" w:themeColor="text1"/>
          <w:sz w:val="20"/>
          <w:szCs w:val="20"/>
        </w:rPr>
        <w:lastRenderedPageBreak/>
        <w:t xml:space="preserve">En este sentido, </w:t>
      </w:r>
      <w:r w:rsidRPr="00F01D3A">
        <w:rPr>
          <w:rFonts w:ascii="Arial" w:hAnsi="Arial" w:cs="Arial"/>
          <w:bCs/>
          <w:color w:val="000000" w:themeColor="text1"/>
          <w:sz w:val="20"/>
          <w:szCs w:val="20"/>
        </w:rPr>
        <w:t xml:space="preserve">esta Agencia </w:t>
      </w:r>
      <w:r w:rsidRPr="00F01D3A">
        <w:rPr>
          <w:rFonts w:ascii="Arial" w:hAnsi="Arial" w:cs="Arial"/>
          <w:color w:val="000000" w:themeColor="text1"/>
          <w:sz w:val="20"/>
          <w:szCs w:val="20"/>
          <w:lang w:val="es-MX"/>
        </w:rPr>
        <w:t>expidió la</w:t>
      </w:r>
      <w:r w:rsidRPr="00F01D3A">
        <w:rPr>
          <w:rFonts w:ascii="Arial" w:hAnsi="Arial" w:cs="Arial"/>
          <w:bCs/>
          <w:color w:val="000000" w:themeColor="text1"/>
          <w:sz w:val="20"/>
          <w:szCs w:val="20"/>
          <w:lang w:val="es-MX"/>
        </w:rPr>
        <w:t xml:space="preserve"> Resolución 161 del 17 de junio de 2021, por la cual</w:t>
      </w:r>
      <w:r w:rsidRPr="00F01D3A">
        <w:rPr>
          <w:rFonts w:ascii="Arial" w:hAnsi="Arial" w:cs="Arial"/>
          <w:color w:val="000000" w:themeColor="text1"/>
          <w:sz w:val="20"/>
          <w:szCs w:val="20"/>
        </w:rPr>
        <w:t xml:space="preserve"> </w:t>
      </w:r>
      <w:r w:rsidRPr="00F01D3A">
        <w:rPr>
          <w:rFonts w:ascii="Arial" w:hAnsi="Arial" w:cs="Arial"/>
          <w:bCs/>
          <w:color w:val="000000" w:themeColor="text1"/>
          <w:sz w:val="20"/>
          <w:szCs w:val="20"/>
        </w:rPr>
        <w:t xml:space="preserve">se modifican los documentos tipo adoptados por la Agencia Nacional de Contratación Pública –Colombia Compra Eficiente. Con base en esta Resolución se </w:t>
      </w:r>
      <w:r w:rsidRPr="00F01D3A">
        <w:rPr>
          <w:rFonts w:ascii="Arial" w:hAnsi="Arial" w:cs="Arial"/>
          <w:bCs/>
          <w:color w:val="000000" w:themeColor="text1"/>
          <w:sz w:val="20"/>
          <w:szCs w:val="20"/>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 Particularmente, frente a la acreditación de la experiencia se</w:t>
      </w:r>
      <w:r w:rsidRPr="00F01D3A">
        <w:rPr>
          <w:rFonts w:ascii="Arial" w:hAnsi="Arial" w:cs="Arial"/>
          <w:bCs/>
          <w:color w:val="000000" w:themeColor="text1"/>
          <w:sz w:val="20"/>
          <w:szCs w:val="20"/>
        </w:rPr>
        <w:t xml:space="preserve"> aclaró la forma en la cual se acredita esta cuando en un contrato se ejecutan varias actividades, de las cuales solo algunas se ajustan a lo exigido por la «Matriz 1 - Experiencia». </w:t>
      </w:r>
    </w:p>
    <w:p w14:paraId="4FF884EF" w14:textId="77777777" w:rsidR="00F01D3A" w:rsidRDefault="00F01D3A" w:rsidP="00F01D3A">
      <w:pPr>
        <w:jc w:val="both"/>
        <w:rPr>
          <w:rFonts w:ascii="Arial" w:hAnsi="Arial" w:cs="Arial"/>
          <w:bCs/>
          <w:color w:val="000000" w:themeColor="text1"/>
          <w:sz w:val="20"/>
          <w:szCs w:val="20"/>
        </w:rPr>
      </w:pPr>
    </w:p>
    <w:p w14:paraId="45CFAAC7" w14:textId="133AC086" w:rsidR="00F01D3A" w:rsidRPr="00F01D3A" w:rsidRDefault="00F01D3A" w:rsidP="00F01D3A">
      <w:pPr>
        <w:jc w:val="both"/>
        <w:rPr>
          <w:rFonts w:ascii="Arial" w:hAnsi="Arial" w:cs="Arial"/>
          <w:color w:val="000000" w:themeColor="text1"/>
          <w:spacing w:val="2"/>
          <w:sz w:val="20"/>
          <w:szCs w:val="20"/>
          <w:lang w:eastAsia="es-CO"/>
        </w:rPr>
      </w:pPr>
      <w:r w:rsidRPr="00F01D3A">
        <w:rPr>
          <w:rFonts w:ascii="Arial" w:hAnsi="Arial" w:cs="Arial"/>
          <w:bCs/>
          <w:color w:val="000000" w:themeColor="text1"/>
          <w:sz w:val="20"/>
          <w:szCs w:val="20"/>
        </w:rPr>
        <w:t>Por ello, el artículo 21 de dicha resolución adicionó el literal j) al numeral 3.5.3 de los documentos tipo de infraestructura de infraestructura de transporte así: «</w:t>
      </w:r>
      <w:r w:rsidRPr="00F01D3A">
        <w:rPr>
          <w:rFonts w:ascii="Arial" w:hAnsi="Arial" w:cs="Arial"/>
          <w:color w:val="000000" w:themeColor="text1"/>
          <w:spacing w:val="2"/>
          <w:sz w:val="20"/>
          <w:szCs w:val="20"/>
          <w:lang w:eastAsia="es-CO"/>
        </w:rPr>
        <w:t xml:space="preserve"> </w:t>
      </w:r>
      <w:r w:rsidRPr="00F01D3A">
        <w:rPr>
          <w:rFonts w:ascii="Arial" w:hAnsi="Arial" w:cs="Arial"/>
          <w:color w:val="000000" w:themeColor="text1"/>
          <w:sz w:val="20"/>
          <w:szCs w:val="20"/>
        </w:rPr>
        <w:t xml:space="preserve">J. Cuando el contrato que se pretende acreditar como experiencia contenga varias actividades, de las cuales solo alguna de ellas se ajustan a lo exigido por la «Matriz 1 -Experiencia», asociadas con actividades de obra pública de infraestructura de transporte, </w:t>
      </w:r>
      <w:proofErr w:type="spellStart"/>
      <w:r w:rsidRPr="00F01D3A">
        <w:rPr>
          <w:rFonts w:ascii="Arial" w:hAnsi="Arial" w:cs="Arial"/>
          <w:color w:val="000000" w:themeColor="text1"/>
          <w:sz w:val="20"/>
          <w:szCs w:val="20"/>
        </w:rPr>
        <w:t>Ia</w:t>
      </w:r>
      <w:proofErr w:type="spellEnd"/>
      <w:r w:rsidRPr="00F01D3A">
        <w:rPr>
          <w:rFonts w:ascii="Arial" w:hAnsi="Arial" w:cs="Arial"/>
          <w:color w:val="000000" w:themeColor="text1"/>
          <w:sz w:val="20"/>
          <w:szCs w:val="20"/>
        </w:rPr>
        <w:t xml:space="preserve"> Entidad Estatal deberá descontar los valores del contrato, magnitudes y áreas construidas relacionadas con las actividades que se encuentran por fuera del requisito de experiencia</w:t>
      </w:r>
      <w:r w:rsidRPr="00F01D3A">
        <w:rPr>
          <w:rFonts w:ascii="Arial" w:hAnsi="Arial" w:cs="Arial"/>
          <w:bCs/>
          <w:color w:val="000000" w:themeColor="text1"/>
          <w:sz w:val="20"/>
          <w:szCs w:val="20"/>
        </w:rPr>
        <w:t>». En esta misma línea, el artículo 23 de la precitada resolución adicionó el literal i) al numeral 3.5.3. de los documentos tipo de infraestructura de agua potable y saneamiento básico así: «</w:t>
      </w:r>
      <w:r w:rsidRPr="00F01D3A">
        <w:rPr>
          <w:rFonts w:ascii="Arial" w:hAnsi="Arial" w:cs="Arial"/>
          <w:color w:val="000000" w:themeColor="text1"/>
          <w:sz w:val="20"/>
          <w:szCs w:val="20"/>
        </w:rPr>
        <w:t xml:space="preserve">1. Cuando el contrato que se pretende acreditar como experiencia contenga varias actividades, de las cuales solo alguna de ellas se ajuste a lo exigido por la «Matriz 1 - Experiencia», asociadas con actividades de obra pública de infraestructura de agua potable y saneamiento básico, </w:t>
      </w:r>
      <w:proofErr w:type="spellStart"/>
      <w:r w:rsidRPr="00F01D3A">
        <w:rPr>
          <w:rFonts w:ascii="Arial" w:hAnsi="Arial" w:cs="Arial"/>
          <w:color w:val="000000" w:themeColor="text1"/>
          <w:sz w:val="20"/>
          <w:szCs w:val="20"/>
        </w:rPr>
        <w:t>Ia</w:t>
      </w:r>
      <w:proofErr w:type="spellEnd"/>
      <w:r w:rsidRPr="00F01D3A">
        <w:rPr>
          <w:rFonts w:ascii="Arial" w:hAnsi="Arial" w:cs="Arial"/>
          <w:color w:val="000000" w:themeColor="text1"/>
          <w:sz w:val="20"/>
          <w:szCs w:val="20"/>
        </w:rPr>
        <w:t xml:space="preserve"> Entidad Estatal deberá descontar los valores del contrato, magnitudes y áreas construidas relacionadas con las actividades que se encuentran por fuera del requisito de experiencia</w:t>
      </w:r>
      <w:r w:rsidRPr="00F01D3A">
        <w:rPr>
          <w:rFonts w:ascii="Arial" w:hAnsi="Arial" w:cs="Arial"/>
          <w:bCs/>
          <w:color w:val="000000" w:themeColor="text1"/>
          <w:sz w:val="20"/>
          <w:szCs w:val="20"/>
        </w:rPr>
        <w:t>»</w:t>
      </w:r>
      <w:r w:rsidRPr="00F01D3A">
        <w:rPr>
          <w:rFonts w:ascii="Arial" w:hAnsi="Arial" w:cs="Arial"/>
          <w:color w:val="000000" w:themeColor="text1"/>
          <w:sz w:val="20"/>
          <w:szCs w:val="20"/>
        </w:rPr>
        <w:t>.</w:t>
      </w:r>
    </w:p>
    <w:p w14:paraId="64F6EC19" w14:textId="77777777" w:rsidR="00F01D3A" w:rsidRDefault="00F01D3A" w:rsidP="00F01D3A">
      <w:pPr>
        <w:tabs>
          <w:tab w:val="left" w:pos="1276"/>
        </w:tabs>
        <w:jc w:val="both"/>
        <w:rPr>
          <w:rFonts w:ascii="Arial" w:hAnsi="Arial" w:cs="Arial"/>
          <w:color w:val="000000" w:themeColor="text1"/>
          <w:sz w:val="20"/>
          <w:szCs w:val="20"/>
        </w:rPr>
      </w:pPr>
    </w:p>
    <w:p w14:paraId="50318511" w14:textId="2A9465C9" w:rsidR="00F01D3A" w:rsidRPr="00F01D3A" w:rsidRDefault="00F01D3A" w:rsidP="00F01D3A">
      <w:pPr>
        <w:tabs>
          <w:tab w:val="left" w:pos="1276"/>
        </w:tabs>
        <w:jc w:val="both"/>
        <w:rPr>
          <w:rFonts w:ascii="Arial" w:hAnsi="Arial" w:cs="Arial"/>
          <w:color w:val="000000" w:themeColor="text1"/>
          <w:sz w:val="20"/>
          <w:szCs w:val="20"/>
        </w:rPr>
      </w:pPr>
      <w:r w:rsidRPr="00F01D3A">
        <w:rPr>
          <w:rFonts w:ascii="Arial" w:hAnsi="Arial" w:cs="Arial"/>
          <w:color w:val="000000" w:themeColor="text1"/>
          <w:sz w:val="20"/>
          <w:szCs w:val="20"/>
        </w:rPr>
        <w:t>Conforme con lo señalado,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No obstante, posteriormente en la Resolución 304 del 13 de octubre de 2021 se estableció en el artículo 11 una modificación al literal J del numeral 3.5.3. de los Documentos Tipo de licitación de obra pública y selección abreviada de menor cuantía de infraestructura de transporte. Específicamente, este artículo ajusta la regla del documento base que se usa para descontar las actividades que no están relacionadas con el tipo de infraestructura de transporte. Al respecto, este artículo –que es la regla vigente– dispone:</w:t>
      </w:r>
      <w:r>
        <w:rPr>
          <w:rFonts w:ascii="Arial" w:hAnsi="Arial" w:cs="Arial"/>
          <w:color w:val="000000" w:themeColor="text1"/>
          <w:sz w:val="20"/>
          <w:szCs w:val="20"/>
        </w:rPr>
        <w:t xml:space="preserve"> </w:t>
      </w:r>
      <w:r w:rsidRPr="007B4401">
        <w:rPr>
          <w:rFonts w:ascii="Arial" w:hAnsi="Arial" w:cs="Arial"/>
          <w:color w:val="000000" w:themeColor="text1"/>
          <w:sz w:val="20"/>
          <w:szCs w:val="20"/>
        </w:rPr>
        <w:t>«</w:t>
      </w:r>
      <w:r w:rsidRPr="00F01D3A">
        <w:rPr>
          <w:rFonts w:ascii="Arial" w:eastAsia="Calibri" w:hAnsi="Arial" w:cs="Arial"/>
          <w:color w:val="000000" w:themeColor="text1"/>
          <w:sz w:val="20"/>
          <w:szCs w:val="20"/>
        </w:rPr>
        <w:t>Artículo 11 – MODIFÍQUESE EL LITERAL J DEL NUMERAL 3.5.3 DE LOS DOCUMENTOS TIPO DE OBRA DE INFRAESTRUCTURA DE TRANSPORTE ADELANTADOS BAJO LA MODALIDAD DE LICITACIÓN PÚBLICA Y SELECCIÓN ABREVIADA DE MENOR CUANTÍA. Modifíquese el literal J) del numeral 3.5.3 de los Documentos Tipo de obra pública de infraestructura de transporte adelantados bajo la modalidad de licitación pública –Versión 3, adoptados mediante la Resolución 240 de 2020 y de los Documentos Tipo de obra pública de infraestructura de transporte adelantados bajo la modalidad de selección abreviada de menor cuantía –Versión 2–, expedidos mediante la Resolución 241 de 2020, en los siguientes términos:</w:t>
      </w:r>
      <w:r>
        <w:rPr>
          <w:rFonts w:ascii="Arial" w:hAnsi="Arial" w:cs="Arial"/>
          <w:color w:val="000000" w:themeColor="text1"/>
          <w:sz w:val="20"/>
          <w:szCs w:val="20"/>
        </w:rPr>
        <w:t xml:space="preserve"> […] </w:t>
      </w:r>
      <w:r w:rsidRPr="00F01D3A">
        <w:rPr>
          <w:rFonts w:ascii="Arial" w:eastAsia="Calibri" w:hAnsi="Arial" w:cs="Arial"/>
          <w:color w:val="000000" w:themeColor="text1"/>
          <w:sz w:val="20"/>
          <w:szCs w:val="20"/>
        </w:rPr>
        <w:t xml:space="preserve">J. 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infraestructura de transporte, la Entidad Estatal solo tendrá en cuenta los valores y magnitudes ejecutadas relacionadas con este tipo de </w:t>
      </w:r>
      <w:proofErr w:type="gramStart"/>
      <w:r w:rsidRPr="00F01D3A">
        <w:rPr>
          <w:rFonts w:ascii="Arial" w:eastAsia="Calibri" w:hAnsi="Arial" w:cs="Arial"/>
          <w:color w:val="000000" w:themeColor="text1"/>
          <w:sz w:val="20"/>
          <w:szCs w:val="20"/>
        </w:rPr>
        <w:t>infraestructura.</w:t>
      </w:r>
      <w:r w:rsidRPr="00F01D3A">
        <w:rPr>
          <w:rFonts w:ascii="Arial" w:eastAsia="Calibri" w:hAnsi="Arial" w:cs="Arial"/>
          <w:color w:val="000000" w:themeColor="text1"/>
          <w:sz w:val="20"/>
          <w:szCs w:val="20"/>
          <w:lang w:val="es-MX" w:eastAsia="en-US"/>
        </w:rPr>
        <w:t>Para</w:t>
      </w:r>
      <w:proofErr w:type="gramEnd"/>
      <w:r w:rsidRPr="00F01D3A">
        <w:rPr>
          <w:rFonts w:ascii="Arial" w:eastAsia="Calibri" w:hAnsi="Arial" w:cs="Arial"/>
          <w:color w:val="000000" w:themeColor="text1"/>
          <w:sz w:val="20"/>
          <w:szCs w:val="20"/>
          <w:lang w:val="es-MX" w:eastAsia="en-US"/>
        </w:rPr>
        <w:t xml:space="preserve"> estos efectos, el oferente deberá acreditar los valores y magnitudes intervenidas dentro del respectivo contrato, empleando alguno de los documentos válidos establecidos en el numeral 3.5.6 del Pliego de Condiciones. En todo caso, la Entidad Estatal permitirá la subsanación, en los términos del numeral 1.6 del Pliego de Condiciones, requiriendo al Proponente para que acredite los valores ejecutados y magnitudes intervenidas. De no lograrse la discriminación de los </w:t>
      </w:r>
      <w:r w:rsidRPr="00F01D3A">
        <w:rPr>
          <w:rFonts w:ascii="Arial" w:eastAsia="Calibri" w:hAnsi="Arial" w:cs="Arial"/>
          <w:color w:val="000000" w:themeColor="text1"/>
          <w:sz w:val="20"/>
          <w:szCs w:val="20"/>
          <w:lang w:val="es-MX" w:eastAsia="en-US"/>
        </w:rPr>
        <w:lastRenderedPageBreak/>
        <w:t>valores y magnitudes ejecutadas en el marco del respectivo contrato, la Entidad Estatal no lo tendrá en cuenta para la evaluación</w:t>
      </w:r>
      <w:r w:rsidRPr="007B4401">
        <w:rPr>
          <w:rFonts w:ascii="Arial" w:hAnsi="Arial" w:cs="Arial"/>
          <w:color w:val="000000" w:themeColor="text1"/>
          <w:sz w:val="20"/>
          <w:szCs w:val="20"/>
        </w:rPr>
        <w:t>»</w:t>
      </w:r>
      <w:r w:rsidRPr="00F01D3A">
        <w:rPr>
          <w:rFonts w:ascii="Arial" w:eastAsia="Calibri" w:hAnsi="Arial" w:cs="Arial"/>
          <w:color w:val="000000" w:themeColor="text1"/>
          <w:sz w:val="20"/>
          <w:szCs w:val="20"/>
          <w:lang w:val="es-MX" w:eastAsia="en-US"/>
        </w:rPr>
        <w:t>.</w:t>
      </w:r>
    </w:p>
    <w:p w14:paraId="16CAADF4" w14:textId="77777777" w:rsidR="00F01D3A" w:rsidRPr="00F01D3A" w:rsidRDefault="00F01D3A" w:rsidP="00F01D3A">
      <w:pPr>
        <w:ind w:left="709" w:right="709"/>
        <w:contextualSpacing/>
        <w:jc w:val="both"/>
        <w:rPr>
          <w:rFonts w:ascii="Arial" w:eastAsia="Calibri" w:hAnsi="Arial" w:cs="Arial"/>
          <w:color w:val="000000" w:themeColor="text1"/>
          <w:sz w:val="20"/>
          <w:szCs w:val="20"/>
          <w:lang w:val="es-MX" w:eastAsia="en-US"/>
        </w:rPr>
      </w:pPr>
    </w:p>
    <w:p w14:paraId="1BA71ACD" w14:textId="0C7AFDF5" w:rsidR="001564F5" w:rsidRPr="00F01D3A" w:rsidRDefault="00F01D3A" w:rsidP="00F01D3A">
      <w:pPr>
        <w:jc w:val="both"/>
        <w:rPr>
          <w:rFonts w:ascii="Arial" w:hAnsi="Arial" w:cs="Arial"/>
          <w:color w:val="000000" w:themeColor="text1"/>
          <w:sz w:val="20"/>
          <w:szCs w:val="20"/>
          <w:lang w:val="es-MX"/>
        </w:rPr>
      </w:pPr>
      <w:r w:rsidRPr="00F01D3A">
        <w:rPr>
          <w:rFonts w:ascii="Arial" w:hAnsi="Arial" w:cs="Arial"/>
          <w:color w:val="000000" w:themeColor="text1"/>
          <w:sz w:val="20"/>
          <w:szCs w:val="20"/>
          <w:lang w:val="es-MX"/>
        </w:rPr>
        <w:t xml:space="preserve">Esta misma regla fue establecida en el artículo 38 de la Resolución 304 del 13 de octubre de 2021 con respecto al literal i) del numeral 3.5.3. de los Documentos Tipo para procesos de licitación pública para obras de infraestructura de agua potable y saneamiento básico y los de la modalidad de llave en mano –que es la regla vigente–. A partir de la regla modificada sobre la validez de la experiencia requerida en cuanto a la desagregación de actividades, se señala que esta no es absoluta, pues dependerá de cada contexto, en el entendido que la entidad tendrá en cuenta los valores y magnitudes ejecutadas que se relacionan con la obra ejecutada, ya sea de infraestructura de transporte o de agua potable o saneamiento básico. Es decir, es válida la experiencia que se relaciona con el tipo de infraestructura que pretenda desarrollar. Por ejemplo, si el proponente dentro de los certificados que entrega a la entidad está la construcción de una vía se tendrán en </w:t>
      </w:r>
      <w:proofErr w:type="gramStart"/>
      <w:r w:rsidRPr="00F01D3A">
        <w:rPr>
          <w:rFonts w:ascii="Arial" w:hAnsi="Arial" w:cs="Arial"/>
          <w:color w:val="000000" w:themeColor="text1"/>
          <w:sz w:val="20"/>
          <w:szCs w:val="20"/>
          <w:lang w:val="es-MX"/>
        </w:rPr>
        <w:t>cuenta  si</w:t>
      </w:r>
      <w:proofErr w:type="gramEnd"/>
      <w:r w:rsidRPr="00F01D3A">
        <w:rPr>
          <w:rFonts w:ascii="Arial" w:hAnsi="Arial" w:cs="Arial"/>
          <w:color w:val="000000" w:themeColor="text1"/>
          <w:sz w:val="20"/>
          <w:szCs w:val="20"/>
          <w:lang w:val="es-MX"/>
        </w:rPr>
        <w:t xml:space="preserve"> las actividades que en ella se realizaron están relacionadas con la infraestructura de transporte. </w:t>
      </w:r>
    </w:p>
    <w:p w14:paraId="7A5FDC94" w14:textId="77777777" w:rsidR="001564F5" w:rsidRPr="007B4401" w:rsidRDefault="001564F5" w:rsidP="00E858D2">
      <w:pPr>
        <w:jc w:val="both"/>
        <w:rPr>
          <w:rFonts w:ascii="Arial" w:hAnsi="Arial" w:cs="Arial"/>
          <w:noProof/>
          <w:color w:val="000000" w:themeColor="text1"/>
          <w:sz w:val="22"/>
          <w:lang w:val="es-MX"/>
        </w:rPr>
      </w:pPr>
    </w:p>
    <w:p w14:paraId="59BBCD9B" w14:textId="77777777" w:rsidR="00186522" w:rsidRPr="007B4401" w:rsidRDefault="00186522" w:rsidP="00186522">
      <w:pPr>
        <w:jc w:val="both"/>
        <w:rPr>
          <w:rFonts w:ascii="Arial" w:eastAsia="Arial" w:hAnsi="Arial" w:cs="Arial"/>
          <w:b/>
          <w:color w:val="000000" w:themeColor="text1"/>
          <w:sz w:val="22"/>
          <w:szCs w:val="22"/>
          <w:lang w:val="es-MX" w:eastAsia="en-US"/>
        </w:rPr>
      </w:pPr>
      <w:r w:rsidRPr="007B4401">
        <w:rPr>
          <w:rFonts w:ascii="Arial" w:eastAsiaTheme="minorHAnsi" w:hAnsi="Arial" w:cs="Arial"/>
          <w:b/>
          <w:color w:val="000000" w:themeColor="text1"/>
          <w:sz w:val="22"/>
          <w:szCs w:val="22"/>
          <w:lang w:val="es-MX" w:eastAsia="en-US"/>
        </w:rPr>
        <w:t xml:space="preserve">MATRIZ 1 EXPERIENCIA </w:t>
      </w:r>
      <w:r w:rsidRPr="007B4401">
        <w:rPr>
          <w:rFonts w:ascii="Arial" w:eastAsia="Calibri" w:hAnsi="Arial" w:cs="Arial"/>
          <w:b/>
          <w:color w:val="000000" w:themeColor="text1"/>
          <w:sz w:val="22"/>
          <w:szCs w:val="22"/>
          <w:lang w:val="es-MX"/>
        </w:rPr>
        <w:t xml:space="preserve">– </w:t>
      </w:r>
      <w:r w:rsidRPr="007B4401">
        <w:rPr>
          <w:rFonts w:ascii="Arial" w:eastAsiaTheme="minorHAnsi" w:hAnsi="Arial" w:cs="Arial"/>
          <w:b/>
          <w:color w:val="000000" w:themeColor="text1"/>
          <w:sz w:val="22"/>
          <w:szCs w:val="22"/>
          <w:lang w:val="es-MX" w:eastAsia="en-US"/>
        </w:rPr>
        <w:t>Agua potable y saneamiento básico</w:t>
      </w:r>
      <w:r w:rsidRPr="007B4401">
        <w:rPr>
          <w:rFonts w:ascii="Arial" w:eastAsia="Calibri" w:hAnsi="Arial" w:cs="Arial"/>
          <w:b/>
          <w:color w:val="000000" w:themeColor="text1"/>
          <w:sz w:val="22"/>
          <w:szCs w:val="22"/>
          <w:lang w:val="es-MX"/>
        </w:rPr>
        <w:t xml:space="preserve"> – Actividad 6.1 – Experiencia general</w:t>
      </w:r>
    </w:p>
    <w:p w14:paraId="14CB892F" w14:textId="77777777" w:rsidR="00186522" w:rsidRPr="007B4401" w:rsidRDefault="00186522" w:rsidP="00186522">
      <w:pPr>
        <w:jc w:val="both"/>
        <w:rPr>
          <w:rFonts w:ascii="Arial" w:eastAsia="Calibri" w:hAnsi="Arial" w:cs="Arial"/>
          <w:b/>
          <w:color w:val="000000" w:themeColor="text1"/>
          <w:sz w:val="22"/>
          <w:szCs w:val="22"/>
          <w:lang w:val="es-MX" w:eastAsia="en-US"/>
        </w:rPr>
      </w:pPr>
    </w:p>
    <w:p w14:paraId="4FD967E2" w14:textId="61814093" w:rsidR="00F01D3A" w:rsidRDefault="00F01D3A" w:rsidP="00F01D3A">
      <w:pPr>
        <w:jc w:val="both"/>
        <w:rPr>
          <w:rFonts w:ascii="Arial" w:eastAsiaTheme="minorHAnsi" w:hAnsi="Arial" w:cs="Arial"/>
          <w:color w:val="000000" w:themeColor="text1"/>
          <w:sz w:val="20"/>
          <w:szCs w:val="20"/>
          <w:lang w:val="es-MX" w:eastAsia="en-US"/>
        </w:rPr>
      </w:pPr>
      <w:r w:rsidRPr="00F01D3A">
        <w:rPr>
          <w:rFonts w:ascii="Arial" w:hAnsi="Arial" w:cs="Arial"/>
          <w:color w:val="000000" w:themeColor="text1"/>
          <w:sz w:val="20"/>
          <w:szCs w:val="20"/>
        </w:rPr>
        <w:t xml:space="preserve">Particularmente, el numeral 6.1 de la «Matriz 1 – Experiencia» contempla los proyectos </w:t>
      </w:r>
      <w:r w:rsidRPr="00F01D3A">
        <w:rPr>
          <w:rFonts w:ascii="Arial" w:hAnsi="Arial" w:cs="Arial"/>
          <w:color w:val="000000" w:themeColor="text1"/>
          <w:sz w:val="20"/>
          <w:szCs w:val="20"/>
          <w:lang w:val="es-ES" w:eastAsia="es-ES"/>
        </w:rPr>
        <w:t>de construcción de unidades sanitarias para vivienda rural dispersa.</w:t>
      </w:r>
      <w:r w:rsidRPr="00F01D3A">
        <w:rPr>
          <w:rFonts w:ascii="Arial" w:eastAsia="Calibri" w:hAnsi="Arial" w:cs="Arial"/>
          <w:color w:val="000000" w:themeColor="text1"/>
          <w:sz w:val="20"/>
          <w:szCs w:val="20"/>
        </w:rPr>
        <w:t xml:space="preserve"> Esta actividad es aplicable cuando la entidad pública requiera ejecutar proyectos cuyo objeto sea la construcción –obra nueva– de unidades sanitarias destinadas exclusivamente a vivienda rural dispersa.</w:t>
      </w:r>
      <w:r w:rsidRPr="00F01D3A">
        <w:rPr>
          <w:rFonts w:ascii="Arial" w:hAnsi="Arial" w:cs="Arial"/>
          <w:color w:val="000000" w:themeColor="text1"/>
          <w:sz w:val="20"/>
          <w:szCs w:val="20"/>
          <w:lang w:val="es-ES_tradnl" w:eastAsia="es-ES"/>
        </w:rPr>
        <w:t xml:space="preserve"> Como experiencia general para esta actividad se solicita </w:t>
      </w:r>
      <w:r w:rsidRPr="00F01D3A">
        <w:rPr>
          <w:rFonts w:ascii="Arial" w:eastAsia="Calibri" w:hAnsi="Arial" w:cs="Arial"/>
          <w:color w:val="000000" w:themeColor="text1"/>
          <w:sz w:val="20"/>
          <w:szCs w:val="20"/>
          <w:lang w:val="es-MX" w:eastAsia="en-US"/>
        </w:rPr>
        <w:t>«</w:t>
      </w:r>
      <w:r w:rsidRPr="00F01D3A">
        <w:rPr>
          <w:rFonts w:ascii="Arial" w:hAnsi="Arial" w:cs="Arial"/>
          <w:color w:val="000000" w:themeColor="text1"/>
          <w:sz w:val="20"/>
          <w:szCs w:val="20"/>
          <w:lang w:val="es-ES_tradnl" w:eastAsia="es-ES"/>
        </w:rPr>
        <w:t>proyectos que hayan contemplado actividades de: construcción y/o instalación de redes hidrosanitarias o baterías sanitarias o unidades sanitarias</w:t>
      </w:r>
      <w:r w:rsidRPr="00F01D3A">
        <w:rPr>
          <w:rFonts w:ascii="Arial" w:eastAsiaTheme="minorHAnsi" w:hAnsi="Arial" w:cs="Arial"/>
          <w:color w:val="000000" w:themeColor="text1"/>
          <w:sz w:val="20"/>
          <w:szCs w:val="20"/>
          <w:lang w:val="es-MX" w:eastAsia="en-US"/>
        </w:rPr>
        <w:t>».</w:t>
      </w:r>
    </w:p>
    <w:p w14:paraId="36973912" w14:textId="77777777" w:rsidR="00F01D3A" w:rsidRPr="00F01D3A" w:rsidRDefault="00F01D3A" w:rsidP="00F01D3A">
      <w:pPr>
        <w:jc w:val="both"/>
        <w:rPr>
          <w:rFonts w:ascii="Arial" w:hAnsi="Arial" w:cs="Arial"/>
          <w:color w:val="000000" w:themeColor="text1"/>
          <w:sz w:val="20"/>
          <w:szCs w:val="20"/>
          <w:lang w:val="es-ES_tradnl" w:eastAsia="es-ES"/>
        </w:rPr>
      </w:pPr>
    </w:p>
    <w:p w14:paraId="627327A9" w14:textId="77777777" w:rsidR="00F01D3A" w:rsidRPr="00F01D3A" w:rsidRDefault="00F01D3A" w:rsidP="00F01D3A">
      <w:pPr>
        <w:jc w:val="both"/>
        <w:rPr>
          <w:rFonts w:ascii="Arial" w:hAnsi="Arial" w:cs="Arial"/>
          <w:color w:val="000000" w:themeColor="text1"/>
          <w:sz w:val="20"/>
          <w:szCs w:val="20"/>
          <w:lang w:eastAsia="es-ES"/>
        </w:rPr>
      </w:pPr>
      <w:r w:rsidRPr="00F01D3A">
        <w:rPr>
          <w:rFonts w:ascii="Arial" w:hAnsi="Arial" w:cs="Arial"/>
          <w:color w:val="000000" w:themeColor="text1"/>
          <w:sz w:val="20"/>
          <w:szCs w:val="20"/>
          <w:lang w:val="es-ES_tradnl" w:eastAsia="es-ES"/>
        </w:rPr>
        <w:t xml:space="preserve">Sobre este punto, </w:t>
      </w:r>
      <w:r w:rsidRPr="00F01D3A">
        <w:rPr>
          <w:rFonts w:ascii="Arial" w:hAnsi="Arial" w:cs="Arial"/>
          <w:color w:val="000000" w:themeColor="text1"/>
          <w:sz w:val="20"/>
          <w:szCs w:val="20"/>
          <w:lang w:val="es-MX" w:eastAsia="es-ES"/>
        </w:rPr>
        <w:t xml:space="preserve">es importante señalar que, conforme se establece en el «Anexo 3 – Glosario» de los documentos tipo de agua potable y saneamiento básico, la palabra </w:t>
      </w:r>
      <w:r w:rsidRPr="00F01D3A">
        <w:rPr>
          <w:rFonts w:ascii="Arial" w:hAnsi="Arial" w:cs="Arial"/>
          <w:i/>
          <w:iCs/>
          <w:color w:val="000000" w:themeColor="text1"/>
          <w:sz w:val="20"/>
          <w:szCs w:val="20"/>
          <w:lang w:val="es-MX" w:eastAsia="es-ES"/>
        </w:rPr>
        <w:t xml:space="preserve">proyecto </w:t>
      </w:r>
      <w:r w:rsidRPr="00F01D3A">
        <w:rPr>
          <w:rFonts w:ascii="Arial" w:hAnsi="Arial" w:cs="Arial"/>
          <w:color w:val="000000" w:themeColor="text1"/>
          <w:sz w:val="20"/>
          <w:szCs w:val="20"/>
          <w:lang w:val="es-MX" w:eastAsia="es-ES"/>
        </w:rPr>
        <w:t>es definida como «</w:t>
      </w:r>
      <w:r w:rsidRPr="00F01D3A">
        <w:rPr>
          <w:rFonts w:ascii="Arial" w:hAnsi="Arial" w:cs="Arial"/>
          <w:color w:val="000000" w:themeColor="text1"/>
          <w:sz w:val="20"/>
          <w:szCs w:val="20"/>
          <w:lang w:eastAsia="es-ES"/>
        </w:rPr>
        <w:t>toda obra o conjunto de obras que hayan permitido la ejecución de al menos uno de los componentes que integran el sistema acueducto o un sistema de alcantarillado y que cumplan con las condiciones señaladas en los documentos de la convocatoria</w:t>
      </w:r>
      <w:r w:rsidRPr="00F01D3A">
        <w:rPr>
          <w:rFonts w:ascii="Arial" w:hAnsi="Arial" w:cs="Arial"/>
          <w:color w:val="000000" w:themeColor="text1"/>
          <w:sz w:val="20"/>
          <w:szCs w:val="20"/>
          <w:lang w:val="es-MX" w:eastAsia="es-ES"/>
        </w:rPr>
        <w:t>»</w:t>
      </w:r>
      <w:r w:rsidRPr="00F01D3A">
        <w:rPr>
          <w:rFonts w:ascii="Arial" w:hAnsi="Arial" w:cs="Arial"/>
          <w:color w:val="000000" w:themeColor="text1"/>
          <w:sz w:val="20"/>
          <w:szCs w:val="20"/>
          <w:lang w:eastAsia="es-ES"/>
        </w:rPr>
        <w:t>. De este modo, la experiencia general solicitada en el numeral 6.1 se refiere a proyectos de obra cuya ejecución haya contemplado cualquiera de los componentes mencionados: i) construcción de redes hidrosanitarias o de baterías sanitarias o de unidades sanitarias, y/o ii) instalación de redes hidrosanitarias o de baterías sanitarias o de unidades sanitarias, más no que su alcance se limite exclusivamente a uno de estos.</w:t>
      </w:r>
    </w:p>
    <w:p w14:paraId="2D13F9CE" w14:textId="77777777" w:rsidR="00186522" w:rsidRPr="00F01D3A" w:rsidRDefault="00186522" w:rsidP="00F01D3A">
      <w:pPr>
        <w:jc w:val="both"/>
        <w:rPr>
          <w:rFonts w:ascii="Arial" w:eastAsia="Calibri" w:hAnsi="Arial" w:cs="Arial"/>
          <w:bCs/>
          <w:color w:val="000000" w:themeColor="text1"/>
          <w:sz w:val="20"/>
          <w:szCs w:val="20"/>
        </w:rPr>
      </w:pPr>
    </w:p>
    <w:p w14:paraId="72630F07" w14:textId="77777777" w:rsidR="00186522" w:rsidRPr="007B4401" w:rsidRDefault="00186522" w:rsidP="00186522">
      <w:pPr>
        <w:jc w:val="both"/>
        <w:rPr>
          <w:rFonts w:ascii="Arial" w:eastAsia="Calibri" w:hAnsi="Arial" w:cs="Arial"/>
          <w:b/>
          <w:color w:val="000000" w:themeColor="text1"/>
          <w:sz w:val="22"/>
          <w:szCs w:val="22"/>
          <w:lang w:val="es-MX" w:eastAsia="en-US"/>
        </w:rPr>
      </w:pPr>
      <w:r w:rsidRPr="007B4401">
        <w:rPr>
          <w:rFonts w:ascii="Arial" w:eastAsia="Calibri" w:hAnsi="Arial" w:cs="Arial"/>
          <w:b/>
          <w:color w:val="000000" w:themeColor="text1"/>
          <w:sz w:val="22"/>
          <w:szCs w:val="22"/>
          <w:lang w:val="es-MX" w:eastAsia="en-US"/>
        </w:rPr>
        <w:t xml:space="preserve">MATRIZ 1 EXPERIENCIA </w:t>
      </w:r>
      <w:r w:rsidRPr="007B4401">
        <w:rPr>
          <w:rFonts w:ascii="Arial" w:eastAsia="Calibri" w:hAnsi="Arial" w:cs="Arial"/>
          <w:b/>
          <w:color w:val="000000" w:themeColor="text1"/>
          <w:sz w:val="22"/>
          <w:szCs w:val="22"/>
          <w:lang w:val="es-MX"/>
        </w:rPr>
        <w:t xml:space="preserve">– </w:t>
      </w:r>
      <w:r w:rsidRPr="007B4401">
        <w:rPr>
          <w:rFonts w:ascii="Arial" w:eastAsia="Calibri" w:hAnsi="Arial" w:cs="Arial"/>
          <w:b/>
          <w:color w:val="000000" w:themeColor="text1"/>
          <w:sz w:val="22"/>
          <w:szCs w:val="22"/>
          <w:lang w:val="es-MX" w:eastAsia="en-US"/>
        </w:rPr>
        <w:t>Actividad 6.1 – Experiencia específica – Construcción – Sistemas de tratamiento en sitio de origen</w:t>
      </w:r>
    </w:p>
    <w:p w14:paraId="5D446C6A" w14:textId="77777777" w:rsidR="00186522" w:rsidRPr="007B4401" w:rsidRDefault="00186522" w:rsidP="00186522">
      <w:pPr>
        <w:jc w:val="both"/>
        <w:rPr>
          <w:rFonts w:ascii="Arial" w:eastAsia="Calibri" w:hAnsi="Arial" w:cs="Arial"/>
          <w:bCs/>
          <w:color w:val="000000" w:themeColor="text1"/>
          <w:sz w:val="20"/>
          <w:szCs w:val="20"/>
          <w:lang w:val="es-ES_tradnl"/>
        </w:rPr>
      </w:pPr>
    </w:p>
    <w:p w14:paraId="1C73F5DD" w14:textId="0D3FB812" w:rsidR="002412BC" w:rsidRPr="00F01D3A" w:rsidRDefault="00F01D3A" w:rsidP="00F01D3A">
      <w:pPr>
        <w:jc w:val="both"/>
        <w:rPr>
          <w:rFonts w:ascii="Arial" w:hAnsi="Arial" w:cs="Arial"/>
          <w:noProof/>
          <w:color w:val="000000" w:themeColor="text1"/>
          <w:sz w:val="20"/>
          <w:szCs w:val="20"/>
          <w:lang w:val="es-ES_tradnl"/>
        </w:rPr>
      </w:pPr>
      <w:r w:rsidRPr="00F01D3A">
        <w:rPr>
          <w:rFonts w:ascii="Arial" w:eastAsia="Calibri" w:hAnsi="Arial" w:cs="Arial"/>
          <w:bCs/>
          <w:color w:val="000000" w:themeColor="text1"/>
          <w:sz w:val="20"/>
          <w:szCs w:val="20"/>
          <w:lang w:val="es-ES_tradnl"/>
        </w:rPr>
        <w:t>[…]</w:t>
      </w:r>
      <w:r w:rsidRPr="00F01D3A">
        <w:rPr>
          <w:rFonts w:ascii="Arial" w:hAnsi="Arial" w:cs="Arial"/>
          <w:bCs/>
          <w:color w:val="000000" w:themeColor="text1"/>
          <w:sz w:val="20"/>
          <w:szCs w:val="20"/>
          <w:lang w:val="es-ES_tradnl" w:eastAsia="es-ES"/>
        </w:rPr>
        <w:t xml:space="preserve">. En este contexto, la construcción de sistema de tratamiento del que trata el numeral 6.1 de la </w:t>
      </w:r>
      <w:r w:rsidRPr="00F01D3A">
        <w:rPr>
          <w:rFonts w:ascii="Arial" w:hAnsi="Arial" w:cs="Arial"/>
          <w:color w:val="000000" w:themeColor="text1"/>
          <w:sz w:val="20"/>
          <w:szCs w:val="20"/>
          <w:lang w:eastAsia="es-ES"/>
        </w:rPr>
        <w:t>«Matriz 1 Experiencia»</w:t>
      </w:r>
      <w:r w:rsidRPr="00F01D3A">
        <w:rPr>
          <w:rFonts w:ascii="Arial" w:hAnsi="Arial" w:cs="Arial"/>
          <w:bCs/>
          <w:color w:val="000000" w:themeColor="text1"/>
          <w:sz w:val="20"/>
          <w:szCs w:val="20"/>
          <w:lang w:val="es-ES_tradnl" w:eastAsia="es-ES"/>
        </w:rPr>
        <w:t xml:space="preserve">, aplica a toda obra de ingeniería nueva, que para el caso que nos ocupa corresponde a sistemas de tratamiento en el sitio de origen. Por ello, la experiencia a acreditar por parte del proponente debe dar cuenta de la actividad de construcción de dichos sistemas de tratamiento, indistintamente del material en el cual hayan sido construidos. </w:t>
      </w:r>
      <w:r w:rsidRPr="00F01D3A">
        <w:rPr>
          <w:rFonts w:ascii="Arial" w:hAnsi="Arial" w:cs="Arial"/>
          <w:color w:val="000000" w:themeColor="text1"/>
          <w:sz w:val="20"/>
          <w:szCs w:val="20"/>
          <w:lang w:val="es-ES_tradnl" w:eastAsia="es-ES"/>
        </w:rPr>
        <w:t xml:space="preserve">Sobre este punto,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w:t>
      </w:r>
      <w:proofErr w:type="spellStart"/>
      <w:r w:rsidRPr="00F01D3A">
        <w:rPr>
          <w:rFonts w:ascii="Arial" w:hAnsi="Arial" w:cs="Arial"/>
          <w:i/>
          <w:iCs/>
          <w:color w:val="000000" w:themeColor="text1"/>
          <w:sz w:val="20"/>
          <w:szCs w:val="20"/>
          <w:lang w:val="es-ES_tradnl" w:eastAsia="es-ES"/>
        </w:rPr>
        <w:t>ibidem</w:t>
      </w:r>
      <w:proofErr w:type="spellEnd"/>
      <w:r w:rsidRPr="00F01D3A">
        <w:rPr>
          <w:rFonts w:ascii="Arial" w:hAnsi="Arial" w:cs="Arial"/>
          <w:i/>
          <w:iCs/>
          <w:color w:val="000000" w:themeColor="text1"/>
          <w:sz w:val="20"/>
          <w:szCs w:val="20"/>
          <w:lang w:val="es-ES_tradnl" w:eastAsia="es-ES"/>
        </w:rPr>
        <w:t xml:space="preserve">, </w:t>
      </w:r>
      <w:r w:rsidRPr="00F01D3A">
        <w:rPr>
          <w:rFonts w:ascii="Arial" w:hAnsi="Arial" w:cs="Arial"/>
          <w:color w:val="000000" w:themeColor="text1"/>
          <w:sz w:val="20"/>
          <w:szCs w:val="20"/>
          <w:lang w:val="es-ES_tradnl" w:eastAsia="es-ES"/>
        </w:rPr>
        <w:t xml:space="preserve">también prescribe que «Las palabras técnicas de toda ciencia o arte se tomarán en el sentido que les den los que profesan la misma ciencia o arte; a menos que aparezca claramente que se han formado en sentido diverso». </w:t>
      </w:r>
    </w:p>
    <w:p w14:paraId="0584F73B" w14:textId="77777777" w:rsidR="002412BC" w:rsidRPr="007B4401" w:rsidRDefault="002412BC" w:rsidP="00B95C30">
      <w:pPr>
        <w:spacing w:line="276" w:lineRule="auto"/>
        <w:jc w:val="both"/>
        <w:rPr>
          <w:rFonts w:ascii="Arial" w:hAnsi="Arial" w:cs="Arial"/>
          <w:noProof/>
          <w:color w:val="000000" w:themeColor="text1"/>
          <w:sz w:val="22"/>
          <w:lang w:val="es-ES_tradnl"/>
        </w:rPr>
      </w:pPr>
    </w:p>
    <w:p w14:paraId="6EA71D26" w14:textId="252302B1" w:rsidR="002412BC" w:rsidRPr="007B4401" w:rsidRDefault="002412BC" w:rsidP="00B95C30">
      <w:pPr>
        <w:spacing w:line="276" w:lineRule="auto"/>
        <w:jc w:val="both"/>
        <w:rPr>
          <w:rFonts w:ascii="Arial" w:hAnsi="Arial" w:cs="Arial"/>
          <w:noProof/>
          <w:color w:val="000000" w:themeColor="text1"/>
          <w:sz w:val="22"/>
          <w:lang w:val="es-ES_tradnl"/>
        </w:rPr>
      </w:pPr>
    </w:p>
    <w:p w14:paraId="7DE849EF" w14:textId="4B2B174B" w:rsidR="00B5786F" w:rsidRDefault="00B5786F" w:rsidP="00B5786F">
      <w:pPr>
        <w:pStyle w:val="Textoindependiente"/>
        <w:ind w:left="3812"/>
        <w:rPr>
          <w:rFonts w:ascii="Times New Roman"/>
          <w:sz w:val="20"/>
        </w:rPr>
      </w:pPr>
      <w:r>
        <w:rPr>
          <w:rFonts w:ascii="Times New Roman"/>
          <w:noProof/>
          <w:sz w:val="20"/>
          <w:lang w:val="en-US" w:eastAsia="en-US"/>
        </w:rPr>
        <w:drawing>
          <wp:anchor distT="0" distB="0" distL="114300" distR="114300" simplePos="0" relativeHeight="251658240" behindDoc="0" locked="0" layoutInCell="1" allowOverlap="1" wp14:anchorId="65C18DC9" wp14:editId="3AFD9700">
            <wp:simplePos x="0" y="0"/>
            <wp:positionH relativeFrom="margin">
              <wp:align>right</wp:align>
            </wp:positionH>
            <wp:positionV relativeFrom="paragraph">
              <wp:posOffset>5080</wp:posOffset>
            </wp:positionV>
            <wp:extent cx="2400300" cy="61595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536955CD" w14:textId="77777777" w:rsidR="00B5786F" w:rsidRDefault="00B5786F" w:rsidP="00B5786F">
      <w:pPr>
        <w:pStyle w:val="Textoindependiente"/>
        <w:rPr>
          <w:rFonts w:ascii="Times New Roman"/>
          <w:sz w:val="20"/>
        </w:rPr>
      </w:pPr>
    </w:p>
    <w:p w14:paraId="0B0D7C9B" w14:textId="77777777" w:rsidR="00B5786F" w:rsidRDefault="00B5786F" w:rsidP="00B5786F">
      <w:pPr>
        <w:pStyle w:val="Textoindependiente"/>
        <w:rPr>
          <w:rFonts w:ascii="Times New Roman"/>
          <w:sz w:val="20"/>
        </w:rPr>
      </w:pPr>
    </w:p>
    <w:p w14:paraId="1F7205B3" w14:textId="77777777" w:rsidR="00B5786F" w:rsidRPr="00B5786F" w:rsidRDefault="00B5786F" w:rsidP="00B5786F">
      <w:pPr>
        <w:pStyle w:val="Textoindependiente"/>
        <w:spacing w:before="2"/>
        <w:rPr>
          <w:rFonts w:ascii="Arial" w:hAnsi="Arial" w:cs="Arial"/>
        </w:rPr>
      </w:pPr>
    </w:p>
    <w:p w14:paraId="74517120" w14:textId="77777777" w:rsidR="00B5786F" w:rsidRPr="00B5786F" w:rsidRDefault="00B5786F" w:rsidP="00B5786F">
      <w:pPr>
        <w:spacing w:before="94"/>
        <w:ind w:right="533"/>
        <w:jc w:val="right"/>
        <w:rPr>
          <w:rFonts w:ascii="Arial" w:hAnsi="Arial" w:cs="Arial"/>
          <w:b/>
          <w:sz w:val="16"/>
          <w:szCs w:val="16"/>
        </w:rPr>
      </w:pPr>
      <w:r w:rsidRPr="00B5786F">
        <w:rPr>
          <w:rFonts w:ascii="Arial" w:hAnsi="Arial" w:cs="Arial"/>
          <w:b/>
          <w:sz w:val="16"/>
          <w:szCs w:val="16"/>
        </w:rPr>
        <w:t>CCE-DES-FM-17</w:t>
      </w:r>
    </w:p>
    <w:p w14:paraId="195BCAA6" w14:textId="736DD54E" w:rsidR="002412BC" w:rsidRPr="00B5786F" w:rsidRDefault="00B5786F" w:rsidP="00B5786F">
      <w:pPr>
        <w:spacing w:line="276" w:lineRule="auto"/>
        <w:jc w:val="both"/>
        <w:rPr>
          <w:rFonts w:ascii="Arial" w:hAnsi="Arial" w:cs="Arial"/>
          <w:noProof/>
          <w:sz w:val="22"/>
          <w:szCs w:val="22"/>
          <w:lang w:val="es-ES_tradnl"/>
        </w:rPr>
      </w:pPr>
      <w:r w:rsidRPr="00B5786F">
        <w:rPr>
          <w:rFonts w:ascii="Arial" w:hAnsi="Arial" w:cs="Arial"/>
          <w:sz w:val="22"/>
          <w:szCs w:val="22"/>
        </w:rPr>
        <w:t xml:space="preserve">Bogotá, 12 </w:t>
      </w:r>
      <w:proofErr w:type="gramStart"/>
      <w:r w:rsidRPr="00B5786F">
        <w:rPr>
          <w:rFonts w:ascii="Arial" w:hAnsi="Arial" w:cs="Arial"/>
          <w:sz w:val="22"/>
          <w:szCs w:val="22"/>
        </w:rPr>
        <w:t>Abril</w:t>
      </w:r>
      <w:proofErr w:type="gramEnd"/>
      <w:r w:rsidRPr="00B5786F">
        <w:rPr>
          <w:rFonts w:ascii="Arial" w:hAnsi="Arial" w:cs="Arial"/>
          <w:sz w:val="22"/>
          <w:szCs w:val="22"/>
        </w:rPr>
        <w:t xml:space="preserve"> 2022</w:t>
      </w:r>
    </w:p>
    <w:p w14:paraId="45D3BC73" w14:textId="4B8C7687" w:rsidR="00186522" w:rsidRDefault="00186522" w:rsidP="00F01D3A">
      <w:pPr>
        <w:widowControl w:val="0"/>
        <w:autoSpaceDE w:val="0"/>
        <w:autoSpaceDN w:val="0"/>
        <w:rPr>
          <w:rFonts w:ascii="Arial" w:eastAsia="Arial MT" w:hAnsi="Arial MT" w:cs="Arial MT"/>
          <w:b/>
          <w:color w:val="000000" w:themeColor="text1"/>
          <w:sz w:val="18"/>
          <w:szCs w:val="22"/>
          <w:lang w:val="es-ES_tradnl" w:eastAsia="en-US"/>
        </w:rPr>
      </w:pPr>
    </w:p>
    <w:p w14:paraId="66ABFE58" w14:textId="77777777" w:rsidR="00B5786F" w:rsidRPr="00B5786F" w:rsidRDefault="00B5786F" w:rsidP="00F01D3A">
      <w:pPr>
        <w:widowControl w:val="0"/>
        <w:autoSpaceDE w:val="0"/>
        <w:autoSpaceDN w:val="0"/>
        <w:rPr>
          <w:rFonts w:ascii="Arial" w:eastAsia="Arial MT" w:hAnsi="Arial MT" w:cs="Arial MT"/>
          <w:b/>
          <w:color w:val="000000" w:themeColor="text1"/>
          <w:sz w:val="18"/>
          <w:szCs w:val="22"/>
          <w:lang w:val="es-ES_tradnl" w:eastAsia="en-US"/>
        </w:rPr>
      </w:pPr>
    </w:p>
    <w:p w14:paraId="36EEEF5F" w14:textId="36CEB52E" w:rsidR="004571B5" w:rsidRPr="007B4401" w:rsidRDefault="004571B5" w:rsidP="004571B5">
      <w:pPr>
        <w:widowControl w:val="0"/>
        <w:autoSpaceDE w:val="0"/>
        <w:autoSpaceDN w:val="0"/>
        <w:spacing w:before="144"/>
        <w:rPr>
          <w:rFonts w:ascii="Arial" w:eastAsia="Arial MT" w:hAnsi="Arial" w:cs="Arial"/>
          <w:color w:val="000000" w:themeColor="text1"/>
          <w:sz w:val="22"/>
          <w:szCs w:val="22"/>
          <w:lang w:val="es-ES" w:eastAsia="en-US"/>
        </w:rPr>
      </w:pPr>
      <w:bookmarkStart w:id="2" w:name="_Hlk94281581"/>
      <w:r w:rsidRPr="007B4401">
        <w:rPr>
          <w:rFonts w:ascii="Arial" w:eastAsia="Arial MT" w:hAnsi="Arial" w:cs="Arial"/>
          <w:color w:val="000000" w:themeColor="text1"/>
          <w:sz w:val="22"/>
          <w:szCs w:val="22"/>
          <w:lang w:val="es-ES" w:eastAsia="en-US"/>
        </w:rPr>
        <w:t>Señor</w:t>
      </w:r>
    </w:p>
    <w:p w14:paraId="2075E9BA" w14:textId="77777777" w:rsidR="007C3E18" w:rsidRPr="007B4401" w:rsidRDefault="007C3E18" w:rsidP="004571B5">
      <w:pPr>
        <w:widowControl w:val="0"/>
        <w:autoSpaceDE w:val="0"/>
        <w:autoSpaceDN w:val="0"/>
        <w:outlineLvl w:val="0"/>
        <w:rPr>
          <w:rFonts w:ascii="Arial" w:eastAsia="Arial" w:hAnsi="Arial" w:cs="Arial"/>
          <w:b/>
          <w:bCs/>
          <w:color w:val="000000" w:themeColor="text1"/>
          <w:sz w:val="22"/>
          <w:szCs w:val="22"/>
          <w:lang w:val="es-ES" w:eastAsia="en-US"/>
        </w:rPr>
      </w:pPr>
      <w:r w:rsidRPr="007B4401">
        <w:rPr>
          <w:rFonts w:ascii="Arial" w:eastAsia="Arial" w:hAnsi="Arial" w:cs="Arial"/>
          <w:b/>
          <w:bCs/>
          <w:color w:val="000000" w:themeColor="text1"/>
          <w:sz w:val="22"/>
          <w:szCs w:val="22"/>
          <w:lang w:val="es-ES" w:eastAsia="en-US"/>
        </w:rPr>
        <w:t>Santiago Andrés Sánchez Mantilla</w:t>
      </w:r>
    </w:p>
    <w:p w14:paraId="11B73A00" w14:textId="6FA1A08E" w:rsidR="004571B5" w:rsidRPr="007B4401" w:rsidRDefault="007C3E18" w:rsidP="004571B5">
      <w:pPr>
        <w:widowControl w:val="0"/>
        <w:autoSpaceDE w:val="0"/>
        <w:autoSpaceDN w:val="0"/>
        <w:rPr>
          <w:rFonts w:ascii="Arial" w:eastAsia="Arial" w:hAnsi="Arial" w:cs="Arial"/>
          <w:bCs/>
          <w:color w:val="000000" w:themeColor="text1"/>
          <w:sz w:val="22"/>
          <w:szCs w:val="22"/>
          <w:lang w:val="es-ES" w:eastAsia="en-US"/>
        </w:rPr>
      </w:pPr>
      <w:r w:rsidRPr="007B4401">
        <w:rPr>
          <w:rFonts w:ascii="Arial" w:eastAsia="Arial" w:hAnsi="Arial" w:cs="Arial"/>
          <w:bCs/>
          <w:color w:val="000000" w:themeColor="text1"/>
          <w:sz w:val="22"/>
          <w:szCs w:val="22"/>
          <w:lang w:val="es-ES" w:eastAsia="en-US"/>
        </w:rPr>
        <w:t>Bogotá</w:t>
      </w:r>
    </w:p>
    <w:p w14:paraId="26994CBE" w14:textId="77777777" w:rsidR="007C3E18" w:rsidRPr="007B4401" w:rsidRDefault="007C3E18" w:rsidP="004571B5">
      <w:pPr>
        <w:widowControl w:val="0"/>
        <w:autoSpaceDE w:val="0"/>
        <w:autoSpaceDN w:val="0"/>
        <w:rPr>
          <w:rFonts w:ascii="Arial" w:eastAsia="Arial MT" w:hAnsi="Arial" w:cs="Arial"/>
          <w:color w:val="000000" w:themeColor="text1"/>
          <w:sz w:val="22"/>
          <w:szCs w:val="22"/>
          <w:lang w:val="es-ES" w:eastAsia="en-US"/>
        </w:rPr>
      </w:pPr>
    </w:p>
    <w:p w14:paraId="3D38C554" w14:textId="77777777" w:rsidR="004571B5" w:rsidRPr="007B4401" w:rsidRDefault="004571B5" w:rsidP="004571B5">
      <w:pPr>
        <w:widowControl w:val="0"/>
        <w:autoSpaceDE w:val="0"/>
        <w:autoSpaceDN w:val="0"/>
        <w:rPr>
          <w:rFonts w:ascii="Arial" w:eastAsia="Arial MT" w:hAnsi="Arial" w:cs="Arial"/>
          <w:color w:val="000000" w:themeColor="text1"/>
          <w:sz w:val="22"/>
          <w:szCs w:val="22"/>
          <w:lang w:val="es-ES" w:eastAsia="en-US"/>
        </w:rPr>
      </w:pPr>
    </w:p>
    <w:p w14:paraId="45F6EB40" w14:textId="5BB22159" w:rsidR="004571B5" w:rsidRPr="007B4401" w:rsidRDefault="00A84CD0" w:rsidP="007206FC">
      <w:pPr>
        <w:widowControl w:val="0"/>
        <w:autoSpaceDE w:val="0"/>
        <w:autoSpaceDN w:val="0"/>
        <w:jc w:val="both"/>
        <w:outlineLvl w:val="0"/>
        <w:rPr>
          <w:rFonts w:ascii="Arial" w:eastAsia="Arial" w:hAnsi="Arial" w:cs="Arial"/>
          <w:b/>
          <w:bCs/>
          <w:color w:val="000000" w:themeColor="text1"/>
          <w:sz w:val="22"/>
          <w:szCs w:val="22"/>
          <w:lang w:val="es-ES" w:eastAsia="en-US"/>
        </w:rPr>
      </w:pPr>
      <w:r w:rsidRPr="007B4401">
        <w:rPr>
          <w:rFonts w:ascii="Arial" w:eastAsia="Arial" w:hAnsi="Arial" w:cs="Arial"/>
          <w:b/>
          <w:bCs/>
          <w:color w:val="000000" w:themeColor="text1"/>
          <w:sz w:val="22"/>
          <w:szCs w:val="22"/>
          <w:lang w:val="es-ES" w:eastAsia="en-US"/>
        </w:rPr>
        <w:t xml:space="preserve">                                            </w:t>
      </w:r>
      <w:r w:rsidR="004571B5" w:rsidRPr="007B4401">
        <w:rPr>
          <w:rFonts w:ascii="Arial" w:eastAsia="Arial" w:hAnsi="Arial" w:cs="Arial"/>
          <w:b/>
          <w:bCs/>
          <w:color w:val="000000" w:themeColor="text1"/>
          <w:sz w:val="22"/>
          <w:szCs w:val="22"/>
          <w:lang w:val="es-ES" w:eastAsia="en-US"/>
        </w:rPr>
        <w:t>Concepto</w:t>
      </w:r>
      <w:r w:rsidR="004571B5" w:rsidRPr="007B4401">
        <w:rPr>
          <w:rFonts w:ascii="Arial" w:eastAsia="Arial" w:hAnsi="Arial" w:cs="Arial"/>
          <w:b/>
          <w:bCs/>
          <w:color w:val="000000" w:themeColor="text1"/>
          <w:spacing w:val="-7"/>
          <w:sz w:val="22"/>
          <w:szCs w:val="22"/>
          <w:lang w:val="es-ES" w:eastAsia="en-US"/>
        </w:rPr>
        <w:t xml:space="preserve"> </w:t>
      </w:r>
      <w:r w:rsidR="004571B5" w:rsidRPr="007B4401">
        <w:rPr>
          <w:rFonts w:ascii="Arial" w:eastAsia="Arial" w:hAnsi="Arial" w:cs="Arial"/>
          <w:b/>
          <w:bCs/>
          <w:color w:val="000000" w:themeColor="text1"/>
          <w:sz w:val="22"/>
          <w:szCs w:val="22"/>
          <w:lang w:val="es-ES" w:eastAsia="en-US"/>
        </w:rPr>
        <w:t>C</w:t>
      </w:r>
      <w:r w:rsidR="004571B5" w:rsidRPr="007B4401">
        <w:rPr>
          <w:rFonts w:ascii="Arial" w:eastAsia="Arial" w:hAnsi="Arial" w:cs="Arial"/>
          <w:b/>
          <w:bCs/>
          <w:color w:val="000000" w:themeColor="text1"/>
          <w:spacing w:val="-4"/>
          <w:sz w:val="22"/>
          <w:szCs w:val="22"/>
          <w:lang w:val="es-ES" w:eastAsia="en-US"/>
        </w:rPr>
        <w:t xml:space="preserve"> </w:t>
      </w:r>
      <w:r w:rsidR="004571B5" w:rsidRPr="007B4401">
        <w:rPr>
          <w:rFonts w:ascii="Arial" w:eastAsia="Arial" w:hAnsi="Arial" w:cs="Arial"/>
          <w:b/>
          <w:bCs/>
          <w:color w:val="000000" w:themeColor="text1"/>
          <w:sz w:val="22"/>
          <w:szCs w:val="22"/>
          <w:lang w:val="es-ES" w:eastAsia="en-US"/>
        </w:rPr>
        <w:t>–</w:t>
      </w:r>
      <w:r w:rsidR="004571B5" w:rsidRPr="007B4401">
        <w:rPr>
          <w:rFonts w:ascii="Arial" w:eastAsia="Arial" w:hAnsi="Arial" w:cs="Arial"/>
          <w:b/>
          <w:bCs/>
          <w:color w:val="000000" w:themeColor="text1"/>
          <w:spacing w:val="-5"/>
          <w:sz w:val="22"/>
          <w:szCs w:val="22"/>
          <w:lang w:val="es-ES" w:eastAsia="en-US"/>
        </w:rPr>
        <w:t xml:space="preserve"> </w:t>
      </w:r>
      <w:r w:rsidR="007C3E18" w:rsidRPr="007B4401">
        <w:rPr>
          <w:rFonts w:ascii="Arial" w:eastAsia="Arial" w:hAnsi="Arial" w:cs="Arial"/>
          <w:b/>
          <w:bCs/>
          <w:color w:val="000000" w:themeColor="text1"/>
          <w:sz w:val="22"/>
          <w:szCs w:val="22"/>
          <w:lang w:val="es-ES" w:eastAsia="en-US"/>
        </w:rPr>
        <w:t>193</w:t>
      </w:r>
      <w:r w:rsidR="00E86263" w:rsidRPr="007B4401">
        <w:rPr>
          <w:rFonts w:ascii="Arial" w:eastAsia="Arial" w:hAnsi="Arial" w:cs="Arial"/>
          <w:b/>
          <w:bCs/>
          <w:color w:val="000000" w:themeColor="text1"/>
          <w:sz w:val="22"/>
          <w:szCs w:val="22"/>
          <w:lang w:val="es-ES" w:eastAsia="en-US"/>
        </w:rPr>
        <w:t xml:space="preserve"> de 2022</w:t>
      </w:r>
    </w:p>
    <w:p w14:paraId="1BD594F9" w14:textId="3891F33B" w:rsidR="00B95C30" w:rsidRPr="007B4401" w:rsidRDefault="00B95C30"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B4401" w:rsidRPr="007B4401" w14:paraId="19DFC051" w14:textId="77777777" w:rsidTr="008F4163">
        <w:tc>
          <w:tcPr>
            <w:tcW w:w="2689" w:type="dxa"/>
          </w:tcPr>
          <w:p w14:paraId="6BC0D1AC" w14:textId="77777777" w:rsidR="00BF79E3" w:rsidRPr="007B4401" w:rsidRDefault="00BF79E3" w:rsidP="00BF79E3">
            <w:pPr>
              <w:jc w:val="both"/>
              <w:rPr>
                <w:rFonts w:ascii="Arial" w:eastAsia="Calibri" w:hAnsi="Arial" w:cs="Arial"/>
                <w:color w:val="000000" w:themeColor="text1"/>
                <w:sz w:val="22"/>
                <w:szCs w:val="22"/>
                <w:lang w:val="es-ES_tradnl"/>
              </w:rPr>
            </w:pPr>
            <w:r w:rsidRPr="007B4401">
              <w:rPr>
                <w:rFonts w:ascii="Arial" w:eastAsia="Calibri" w:hAnsi="Arial" w:cs="Arial"/>
                <w:b/>
                <w:color w:val="000000" w:themeColor="text1"/>
                <w:sz w:val="22"/>
                <w:szCs w:val="22"/>
                <w:lang w:val="es-ES_tradnl"/>
              </w:rPr>
              <w:t>Temas:</w:t>
            </w:r>
            <w:r w:rsidRPr="007B4401">
              <w:rPr>
                <w:rFonts w:ascii="Arial" w:eastAsia="Calibri" w:hAnsi="Arial" w:cs="Arial"/>
                <w:color w:val="000000" w:themeColor="text1"/>
                <w:sz w:val="22"/>
                <w:szCs w:val="22"/>
                <w:lang w:val="es-ES_tradnl"/>
              </w:rPr>
              <w:t xml:space="preserve">                                      </w:t>
            </w:r>
          </w:p>
        </w:tc>
        <w:tc>
          <w:tcPr>
            <w:tcW w:w="6237" w:type="dxa"/>
          </w:tcPr>
          <w:p w14:paraId="19164757" w14:textId="5BA7240A" w:rsidR="00BF79E3" w:rsidRPr="007B4401" w:rsidRDefault="00BF79E3" w:rsidP="009F4A13">
            <w:pPr>
              <w:jc w:val="both"/>
              <w:rPr>
                <w:rFonts w:ascii="Segoe UI" w:hAnsi="Segoe UI" w:cs="Segoe UI"/>
                <w:color w:val="000000" w:themeColor="text1"/>
                <w:sz w:val="18"/>
                <w:szCs w:val="18"/>
                <w:lang w:val="es-MX" w:eastAsia="en-US"/>
              </w:rPr>
            </w:pPr>
            <w:r w:rsidRPr="007B4401">
              <w:rPr>
                <w:rFonts w:ascii="Arial" w:eastAsia="Calibri" w:hAnsi="Arial" w:cs="Arial"/>
                <w:color w:val="000000" w:themeColor="text1"/>
                <w:sz w:val="22"/>
                <w:szCs w:val="22"/>
                <w:lang w:val="es-ES_tradnl"/>
              </w:rPr>
              <w:t>CLÁUSULAS EXCEPCIONALES – Multas – Cláusula penal – Imposición unilateral / PROCEDIMIENTO SANCIONATORIO CONTRACTUAL – Citación a audiencia – Contenido – Ley 1474 de 2011 – Artículo 86 / REDUCCIÓN DE PUNTAJE – Multa – Cláusula Penal – Ley 2195 de 2022 – Artículo 58 / IRRETROACTIVIDAD – Ley – Seguridad jurídica – Debido proceso</w:t>
            </w:r>
            <w:r w:rsidR="00692C4D" w:rsidRPr="007B4401">
              <w:rPr>
                <w:rFonts w:ascii="Arial" w:eastAsia="Calibri" w:hAnsi="Arial" w:cs="Arial"/>
                <w:color w:val="000000" w:themeColor="text1"/>
                <w:sz w:val="22"/>
                <w:szCs w:val="22"/>
                <w:lang w:val="es-ES_tradnl"/>
              </w:rPr>
              <w:t xml:space="preserve"> / </w:t>
            </w:r>
            <w:r w:rsidR="00692C4D" w:rsidRPr="007B4401">
              <w:rPr>
                <w:rFonts w:ascii="Arial" w:hAnsi="Arial" w:cs="Arial"/>
                <w:bCs/>
                <w:color w:val="000000" w:themeColor="text1"/>
                <w:sz w:val="22"/>
                <w:szCs w:val="22"/>
                <w:lang w:val="es-ES" w:eastAsia="en-US"/>
              </w:rPr>
              <w:t>PRESENTACIÓN DE LA DEMANDA – Aplicación excepción – Artículo 58 de la Ley 2195 de 2022</w:t>
            </w:r>
            <w:r w:rsidR="00692C4D" w:rsidRPr="007B4401">
              <w:rPr>
                <w:rFonts w:ascii="Segoe UI" w:hAnsi="Segoe UI" w:cs="Segoe UI"/>
                <w:color w:val="000000" w:themeColor="text1"/>
                <w:sz w:val="18"/>
                <w:szCs w:val="18"/>
                <w:lang w:eastAsia="en-US"/>
              </w:rPr>
              <w:t xml:space="preserve"> / </w:t>
            </w:r>
            <w:r w:rsidR="00692C4D" w:rsidRPr="007B4401">
              <w:rPr>
                <w:rFonts w:ascii="Arial" w:eastAsia="Arial" w:hAnsi="Arial" w:cs="Arial"/>
                <w:color w:val="000000" w:themeColor="text1"/>
                <w:sz w:val="22"/>
                <w:szCs w:val="22"/>
                <w:lang w:val="es-MX" w:eastAsia="en-US"/>
              </w:rPr>
              <w:t>DOCUMENTOS TIPO –</w:t>
            </w:r>
            <w:r w:rsidR="00692C4D" w:rsidRPr="007B4401">
              <w:rPr>
                <w:rFonts w:ascii="Arial" w:eastAsiaTheme="minorHAnsi" w:hAnsi="Arial" w:cs="Arial"/>
                <w:color w:val="000000" w:themeColor="text1"/>
                <w:sz w:val="22"/>
                <w:szCs w:val="22"/>
                <w:lang w:val="es-ES_tradnl" w:eastAsia="en-US"/>
              </w:rPr>
              <w:t xml:space="preserve"> Fundamento normativo – </w:t>
            </w:r>
            <w:r w:rsidR="00692C4D" w:rsidRPr="007B4401">
              <w:rPr>
                <w:rFonts w:ascii="Arial" w:eastAsia="Calibri" w:hAnsi="Arial" w:cs="Arial"/>
                <w:bCs/>
                <w:color w:val="000000" w:themeColor="text1"/>
                <w:sz w:val="22"/>
                <w:lang w:val="es-MX"/>
              </w:rPr>
              <w:t xml:space="preserve">Obligatoriedad / </w:t>
            </w:r>
            <w:r w:rsidR="00692C4D" w:rsidRPr="007B4401">
              <w:rPr>
                <w:rFonts w:ascii="Arial" w:eastAsia="Arial" w:hAnsi="Arial" w:cs="Arial"/>
                <w:color w:val="000000" w:themeColor="text1"/>
                <w:sz w:val="22"/>
                <w:szCs w:val="22"/>
                <w:lang w:val="es-MX" w:eastAsia="en-US"/>
              </w:rPr>
              <w:t xml:space="preserve">DOCUMENTOS TIPO – </w:t>
            </w:r>
            <w:r w:rsidR="00692C4D" w:rsidRPr="007B4401">
              <w:rPr>
                <w:rFonts w:ascii="Arial" w:eastAsia="Calibri" w:hAnsi="Arial" w:cs="Arial"/>
                <w:color w:val="000000" w:themeColor="text1"/>
                <w:sz w:val="22"/>
                <w:szCs w:val="22"/>
                <w:lang w:val="es-MX" w:eastAsia="en-US"/>
              </w:rPr>
              <w:t xml:space="preserve">Matriz 1 </w:t>
            </w:r>
            <w:r w:rsidR="00692C4D" w:rsidRPr="007B4401">
              <w:rPr>
                <w:rFonts w:ascii="Arial" w:eastAsia="Calibri" w:hAnsi="Arial" w:cs="Arial"/>
                <w:bCs/>
                <w:color w:val="000000" w:themeColor="text1"/>
                <w:sz w:val="22"/>
                <w:szCs w:val="22"/>
                <w:lang w:val="es-MX" w:eastAsia="en-US"/>
              </w:rPr>
              <w:t>–</w:t>
            </w:r>
            <w:r w:rsidR="00692C4D" w:rsidRPr="007B4401">
              <w:rPr>
                <w:rFonts w:ascii="Arial" w:eastAsia="Calibri" w:hAnsi="Arial" w:cs="Arial"/>
                <w:color w:val="000000" w:themeColor="text1"/>
                <w:sz w:val="22"/>
                <w:szCs w:val="22"/>
                <w:lang w:val="es-MX" w:eastAsia="en-US"/>
              </w:rPr>
              <w:t xml:space="preserve"> Experiencia </w:t>
            </w:r>
            <w:r w:rsidR="00692C4D" w:rsidRPr="007B4401">
              <w:rPr>
                <w:rFonts w:ascii="Arial" w:eastAsia="Calibri" w:hAnsi="Arial" w:cs="Arial"/>
                <w:bCs/>
                <w:color w:val="000000" w:themeColor="text1"/>
                <w:sz w:val="22"/>
                <w:szCs w:val="22"/>
                <w:lang w:val="es-MX" w:eastAsia="en-US"/>
              </w:rPr>
              <w:t>–</w:t>
            </w:r>
            <w:r w:rsidR="00692C4D" w:rsidRPr="007B4401">
              <w:rPr>
                <w:rFonts w:ascii="Arial" w:eastAsia="Calibri" w:hAnsi="Arial" w:cs="Arial"/>
                <w:color w:val="000000" w:themeColor="text1"/>
                <w:sz w:val="22"/>
                <w:szCs w:val="22"/>
                <w:lang w:val="es-MX" w:eastAsia="en-US"/>
              </w:rPr>
              <w:t xml:space="preserve"> Infraestructura de Transporte </w:t>
            </w:r>
            <w:r w:rsidR="00692C4D" w:rsidRPr="007B4401">
              <w:rPr>
                <w:rFonts w:ascii="Arial" w:eastAsia="Calibri" w:hAnsi="Arial" w:cs="Arial"/>
                <w:bCs/>
                <w:color w:val="000000" w:themeColor="text1"/>
                <w:sz w:val="22"/>
                <w:szCs w:val="22"/>
                <w:lang w:val="es-MX" w:eastAsia="en-US"/>
              </w:rPr>
              <w:t xml:space="preserve">– Infraestructura de agua potable y saneamiento básico – Acreditación de experiencia – Contratos con pluralidad de actividades / </w:t>
            </w:r>
            <w:r w:rsidR="00692C4D" w:rsidRPr="007B4401">
              <w:rPr>
                <w:rFonts w:ascii="Arial" w:eastAsiaTheme="minorHAnsi" w:hAnsi="Arial" w:cs="Arial"/>
                <w:color w:val="000000" w:themeColor="text1"/>
                <w:sz w:val="22"/>
                <w:szCs w:val="22"/>
                <w:lang w:val="es-MX" w:eastAsia="en-US"/>
              </w:rPr>
              <w:t xml:space="preserve">MATRIZ 1 EXPERIENCIA </w:t>
            </w:r>
            <w:r w:rsidR="00692C4D" w:rsidRPr="007B4401">
              <w:rPr>
                <w:rFonts w:ascii="Arial" w:eastAsia="Calibri" w:hAnsi="Arial" w:cs="Arial"/>
                <w:color w:val="000000" w:themeColor="text1"/>
                <w:sz w:val="22"/>
                <w:szCs w:val="22"/>
                <w:lang w:val="es-MX"/>
              </w:rPr>
              <w:t xml:space="preserve">– </w:t>
            </w:r>
            <w:r w:rsidR="00692C4D" w:rsidRPr="007B4401">
              <w:rPr>
                <w:rFonts w:ascii="Arial" w:eastAsiaTheme="minorHAnsi" w:hAnsi="Arial" w:cs="Arial"/>
                <w:color w:val="000000" w:themeColor="text1"/>
                <w:sz w:val="22"/>
                <w:szCs w:val="22"/>
                <w:lang w:val="es-MX" w:eastAsia="en-US"/>
              </w:rPr>
              <w:t>Agua potable y saneamiento básico</w:t>
            </w:r>
            <w:r w:rsidR="00692C4D" w:rsidRPr="007B4401">
              <w:rPr>
                <w:rFonts w:ascii="Arial" w:eastAsia="Calibri" w:hAnsi="Arial" w:cs="Arial"/>
                <w:color w:val="000000" w:themeColor="text1"/>
                <w:sz w:val="22"/>
                <w:szCs w:val="22"/>
                <w:lang w:val="es-MX"/>
              </w:rPr>
              <w:t xml:space="preserve"> – Actividad 6.1 – Experiencia general / </w:t>
            </w:r>
            <w:r w:rsidR="00692C4D" w:rsidRPr="007B4401">
              <w:rPr>
                <w:rFonts w:ascii="Arial" w:eastAsia="Calibri" w:hAnsi="Arial" w:cs="Arial"/>
                <w:color w:val="000000" w:themeColor="text1"/>
                <w:sz w:val="22"/>
                <w:szCs w:val="22"/>
                <w:lang w:val="es-MX" w:eastAsia="en-US"/>
              </w:rPr>
              <w:t xml:space="preserve">MATRIZ 1 EXPERIENCIA </w:t>
            </w:r>
            <w:r w:rsidR="00692C4D" w:rsidRPr="007B4401">
              <w:rPr>
                <w:rFonts w:ascii="Arial" w:eastAsia="Calibri" w:hAnsi="Arial" w:cs="Arial"/>
                <w:color w:val="000000" w:themeColor="text1"/>
                <w:sz w:val="22"/>
                <w:szCs w:val="22"/>
                <w:lang w:val="es-MX"/>
              </w:rPr>
              <w:t xml:space="preserve">– </w:t>
            </w:r>
            <w:r w:rsidR="00692C4D" w:rsidRPr="007B4401">
              <w:rPr>
                <w:rFonts w:ascii="Arial" w:eastAsia="Calibri" w:hAnsi="Arial" w:cs="Arial"/>
                <w:color w:val="000000" w:themeColor="text1"/>
                <w:sz w:val="22"/>
                <w:szCs w:val="22"/>
                <w:lang w:val="es-MX" w:eastAsia="en-US"/>
              </w:rPr>
              <w:t>Actividad 6.1 – Experiencia específica – Construcción – Sistemas de tratamiento en sitio de origen</w:t>
            </w:r>
            <w:r w:rsidR="00363259">
              <w:rPr>
                <w:rFonts w:ascii="Arial" w:eastAsia="Calibri" w:hAnsi="Arial" w:cs="Arial"/>
                <w:color w:val="000000" w:themeColor="text1"/>
                <w:sz w:val="22"/>
                <w:szCs w:val="22"/>
                <w:lang w:val="es-MX" w:eastAsia="en-US"/>
              </w:rPr>
              <w:t>.</w:t>
            </w:r>
          </w:p>
          <w:p w14:paraId="5F389CAF" w14:textId="6AA199B7" w:rsidR="00BF79E3" w:rsidRPr="007B4401" w:rsidRDefault="00BF79E3" w:rsidP="00957C2E">
            <w:pPr>
              <w:spacing w:after="120"/>
              <w:jc w:val="both"/>
              <w:rPr>
                <w:rFonts w:ascii="Arial" w:eastAsia="Calibri" w:hAnsi="Arial" w:cs="Arial"/>
                <w:color w:val="000000" w:themeColor="text1"/>
                <w:sz w:val="22"/>
                <w:szCs w:val="22"/>
                <w:highlight w:val="yellow"/>
                <w:lang w:val="es-ES_tradnl"/>
              </w:rPr>
            </w:pPr>
          </w:p>
        </w:tc>
      </w:tr>
    </w:tbl>
    <w:p w14:paraId="473EFFB3" w14:textId="542CF9F5" w:rsidR="004571B5" w:rsidRPr="007B4401" w:rsidRDefault="004571B5" w:rsidP="004571B5">
      <w:pPr>
        <w:jc w:val="both"/>
        <w:rPr>
          <w:rFonts w:ascii="Arial" w:hAnsi="Arial" w:cs="Arial"/>
          <w:color w:val="000000" w:themeColor="text1"/>
          <w:sz w:val="22"/>
          <w:szCs w:val="22"/>
          <w:lang w:val="es-ES" w:eastAsia="en-US"/>
        </w:rPr>
      </w:pPr>
      <w:r w:rsidRPr="007B4401">
        <w:rPr>
          <w:rFonts w:ascii="Arial" w:eastAsia="Arial MT" w:hAnsi="Arial" w:cs="Arial"/>
          <w:b/>
          <w:color w:val="000000" w:themeColor="text1"/>
          <w:sz w:val="22"/>
          <w:szCs w:val="22"/>
          <w:lang w:val="es-ES" w:eastAsia="en-US"/>
        </w:rPr>
        <w:t xml:space="preserve">Radicación: </w:t>
      </w:r>
      <w:r w:rsidRPr="007B4401">
        <w:rPr>
          <w:rFonts w:ascii="Arial" w:eastAsia="Arial MT" w:hAnsi="Arial" w:cs="Arial"/>
          <w:b/>
          <w:color w:val="000000" w:themeColor="text1"/>
          <w:sz w:val="22"/>
          <w:szCs w:val="22"/>
          <w:lang w:val="es-ES" w:eastAsia="en-US"/>
        </w:rPr>
        <w:tab/>
      </w:r>
      <w:r w:rsidRPr="007B4401">
        <w:rPr>
          <w:rFonts w:ascii="Arial" w:eastAsia="Arial MT" w:hAnsi="Arial" w:cs="Arial"/>
          <w:b/>
          <w:color w:val="000000" w:themeColor="text1"/>
          <w:sz w:val="22"/>
          <w:szCs w:val="22"/>
          <w:lang w:val="es-ES" w:eastAsia="en-US"/>
        </w:rPr>
        <w:tab/>
        <w:t xml:space="preserve"> </w:t>
      </w:r>
      <w:r w:rsidR="00A84CD0" w:rsidRPr="007B4401">
        <w:rPr>
          <w:rFonts w:ascii="Arial" w:eastAsia="Arial MT" w:hAnsi="Arial" w:cs="Arial"/>
          <w:b/>
          <w:color w:val="000000" w:themeColor="text1"/>
          <w:sz w:val="22"/>
          <w:szCs w:val="22"/>
          <w:lang w:val="es-ES" w:eastAsia="en-US"/>
        </w:rPr>
        <w:t xml:space="preserve">        </w:t>
      </w:r>
      <w:r w:rsidRPr="007B4401">
        <w:rPr>
          <w:rFonts w:ascii="Arial" w:eastAsia="Arial MT" w:hAnsi="Arial" w:cs="Arial"/>
          <w:color w:val="000000" w:themeColor="text1"/>
          <w:sz w:val="22"/>
          <w:szCs w:val="22"/>
          <w:lang w:val="es-ES" w:eastAsia="en-US"/>
        </w:rPr>
        <w:t>Respuesta</w:t>
      </w:r>
      <w:r w:rsidRPr="007B4401">
        <w:rPr>
          <w:rFonts w:ascii="Arial" w:eastAsia="Arial MT" w:hAnsi="Arial" w:cs="Arial"/>
          <w:color w:val="000000" w:themeColor="text1"/>
          <w:spacing w:val="-6"/>
          <w:sz w:val="22"/>
          <w:szCs w:val="22"/>
          <w:lang w:val="es-ES" w:eastAsia="en-US"/>
        </w:rPr>
        <w:t xml:space="preserve"> </w:t>
      </w:r>
      <w:r w:rsidRPr="007B4401">
        <w:rPr>
          <w:rFonts w:ascii="Arial" w:eastAsia="Arial MT" w:hAnsi="Arial" w:cs="Arial"/>
          <w:color w:val="000000" w:themeColor="text1"/>
          <w:sz w:val="22"/>
          <w:szCs w:val="22"/>
          <w:lang w:val="es-ES" w:eastAsia="en-US"/>
        </w:rPr>
        <w:t>a</w:t>
      </w:r>
      <w:r w:rsidRPr="007B4401">
        <w:rPr>
          <w:rFonts w:ascii="Arial" w:eastAsia="Arial MT" w:hAnsi="Arial" w:cs="Arial"/>
          <w:color w:val="000000" w:themeColor="text1"/>
          <w:spacing w:val="-6"/>
          <w:sz w:val="22"/>
          <w:szCs w:val="22"/>
          <w:lang w:val="es-ES" w:eastAsia="en-US"/>
        </w:rPr>
        <w:t xml:space="preserve"> </w:t>
      </w:r>
      <w:r w:rsidRPr="007B4401">
        <w:rPr>
          <w:rFonts w:ascii="Arial" w:eastAsia="Arial MT" w:hAnsi="Arial" w:cs="Arial"/>
          <w:color w:val="000000" w:themeColor="text1"/>
          <w:sz w:val="22"/>
          <w:szCs w:val="22"/>
          <w:lang w:val="es-ES" w:eastAsia="en-US"/>
        </w:rPr>
        <w:t>la</w:t>
      </w:r>
      <w:r w:rsidRPr="007B4401">
        <w:rPr>
          <w:rFonts w:ascii="Arial" w:eastAsia="Arial MT" w:hAnsi="Arial" w:cs="Arial"/>
          <w:color w:val="000000" w:themeColor="text1"/>
          <w:spacing w:val="-5"/>
          <w:sz w:val="22"/>
          <w:szCs w:val="22"/>
          <w:lang w:val="es-ES" w:eastAsia="en-US"/>
        </w:rPr>
        <w:t xml:space="preserve"> </w:t>
      </w:r>
      <w:r w:rsidRPr="007B4401">
        <w:rPr>
          <w:rFonts w:ascii="Arial" w:eastAsia="Arial MT" w:hAnsi="Arial" w:cs="Arial"/>
          <w:color w:val="000000" w:themeColor="text1"/>
          <w:sz w:val="22"/>
          <w:szCs w:val="22"/>
          <w:lang w:val="es-ES" w:eastAsia="en-US"/>
        </w:rPr>
        <w:t xml:space="preserve">consulta </w:t>
      </w:r>
      <w:r w:rsidR="007C3E18" w:rsidRPr="007B4401">
        <w:rPr>
          <w:rFonts w:ascii="Arial" w:hAnsi="Arial" w:cs="Arial"/>
          <w:bCs/>
          <w:color w:val="000000" w:themeColor="text1"/>
          <w:sz w:val="22"/>
          <w:szCs w:val="22"/>
          <w:shd w:val="clear" w:color="auto" w:fill="FFFFFF"/>
        </w:rPr>
        <w:t>P20220228001953</w:t>
      </w:r>
    </w:p>
    <w:p w14:paraId="4EBE5920" w14:textId="42175D6E" w:rsidR="004571B5" w:rsidRPr="007B4401" w:rsidRDefault="004571B5" w:rsidP="004571B5">
      <w:pPr>
        <w:ind w:right="709"/>
        <w:jc w:val="both"/>
        <w:rPr>
          <w:rFonts w:ascii="Arial MT" w:eastAsia="Arial MT" w:hAnsi="Arial MT" w:cs="Arial MT"/>
          <w:color w:val="000000" w:themeColor="text1"/>
          <w:sz w:val="22"/>
          <w:szCs w:val="22"/>
          <w:lang w:val="es-ES" w:eastAsia="en-US"/>
        </w:rPr>
      </w:pPr>
    </w:p>
    <w:p w14:paraId="15681A9B" w14:textId="77777777" w:rsidR="004571B5" w:rsidRPr="007B4401" w:rsidRDefault="004571B5" w:rsidP="004571B5">
      <w:pPr>
        <w:ind w:right="709"/>
        <w:jc w:val="both"/>
        <w:rPr>
          <w:rFonts w:ascii="Arial" w:hAnsi="Arial" w:cs="Arial"/>
          <w:color w:val="000000" w:themeColor="text1"/>
          <w:sz w:val="21"/>
          <w:szCs w:val="21"/>
          <w:lang w:val="es-ES"/>
        </w:rPr>
      </w:pPr>
    </w:p>
    <w:p w14:paraId="6C41EFE9" w14:textId="33097EA7" w:rsidR="004571B5" w:rsidRPr="007B4401" w:rsidRDefault="00FB45B3" w:rsidP="004571B5">
      <w:pPr>
        <w:rPr>
          <w:rFonts w:ascii="Arial" w:eastAsia="Calibri" w:hAnsi="Arial" w:cs="Arial"/>
          <w:color w:val="000000" w:themeColor="text1"/>
          <w:sz w:val="22"/>
          <w:szCs w:val="22"/>
          <w:lang w:eastAsia="en-US"/>
        </w:rPr>
      </w:pPr>
      <w:r w:rsidRPr="007B4401">
        <w:rPr>
          <w:rFonts w:ascii="Arial" w:eastAsia="Calibri" w:hAnsi="Arial" w:cs="Arial"/>
          <w:color w:val="000000" w:themeColor="text1"/>
          <w:sz w:val="22"/>
          <w:szCs w:val="22"/>
          <w:lang w:eastAsia="en-US"/>
        </w:rPr>
        <w:t>Estimada Señor</w:t>
      </w:r>
      <w:r w:rsidR="00186522" w:rsidRPr="007B4401">
        <w:rPr>
          <w:rFonts w:ascii="Arial" w:eastAsia="Calibri" w:hAnsi="Arial" w:cs="Arial"/>
          <w:color w:val="000000" w:themeColor="text1"/>
          <w:sz w:val="22"/>
          <w:szCs w:val="22"/>
          <w:lang w:eastAsia="en-US"/>
        </w:rPr>
        <w:t xml:space="preserve"> Sánchez</w:t>
      </w:r>
      <w:r w:rsidRPr="007B4401">
        <w:rPr>
          <w:rFonts w:ascii="Arial" w:eastAsia="Calibri" w:hAnsi="Arial" w:cs="Arial"/>
          <w:color w:val="000000" w:themeColor="text1"/>
          <w:sz w:val="22"/>
          <w:szCs w:val="22"/>
          <w:lang w:eastAsia="en-US"/>
        </w:rPr>
        <w:t>:</w:t>
      </w:r>
    </w:p>
    <w:p w14:paraId="389DB442" w14:textId="77777777" w:rsidR="004571B5" w:rsidRPr="007B4401" w:rsidRDefault="004571B5" w:rsidP="004571B5">
      <w:pPr>
        <w:rPr>
          <w:rFonts w:ascii="Arial" w:eastAsia="Calibri" w:hAnsi="Arial" w:cs="Arial"/>
          <w:color w:val="000000" w:themeColor="text1"/>
          <w:sz w:val="22"/>
          <w:szCs w:val="22"/>
          <w:lang w:eastAsia="en-US"/>
        </w:rPr>
      </w:pPr>
    </w:p>
    <w:p w14:paraId="15191023" w14:textId="2C7976F6" w:rsidR="004571B5" w:rsidRPr="007B4401" w:rsidRDefault="004571B5" w:rsidP="004571B5">
      <w:pPr>
        <w:spacing w:line="276" w:lineRule="auto"/>
        <w:ind w:right="49"/>
        <w:jc w:val="both"/>
        <w:rPr>
          <w:rFonts w:ascii="Arial" w:eastAsia="Calibri" w:hAnsi="Arial" w:cs="Arial"/>
          <w:color w:val="000000" w:themeColor="text1"/>
          <w:sz w:val="22"/>
          <w:szCs w:val="22"/>
          <w:lang w:eastAsia="en-US"/>
        </w:rPr>
      </w:pPr>
      <w:r w:rsidRPr="007B4401">
        <w:rPr>
          <w:rFonts w:ascii="Arial" w:eastAsia="Calibri" w:hAnsi="Arial" w:cs="Arial"/>
          <w:color w:val="000000" w:themeColor="text1"/>
          <w:sz w:val="22"/>
          <w:szCs w:val="22"/>
          <w:lang w:val="es-ES_tradnl" w:eastAsia="en-US"/>
        </w:rPr>
        <w:t>En ejercicio de la competencia otorgada por el numeral 8 del artículo 11 y el numeral 5 del artículo 3 del Decreto Ley 4170 de 2011, la Agencia Nacional de Contratación Pública – Colombia Compra Eficiente responde a su consulta del</w:t>
      </w:r>
      <w:r w:rsidR="00566ABD" w:rsidRPr="007B4401">
        <w:rPr>
          <w:rFonts w:ascii="Arial" w:eastAsia="Calibri" w:hAnsi="Arial" w:cs="Arial"/>
          <w:color w:val="000000" w:themeColor="text1"/>
          <w:sz w:val="22"/>
          <w:szCs w:val="22"/>
          <w:lang w:val="es-ES_tradnl" w:eastAsia="en-US"/>
        </w:rPr>
        <w:t xml:space="preserve"> 25 de febrero de 2022</w:t>
      </w:r>
      <w:r w:rsidR="00E86263" w:rsidRPr="007B4401">
        <w:rPr>
          <w:rFonts w:ascii="Arial" w:eastAsia="Calibri" w:hAnsi="Arial" w:cs="Arial"/>
          <w:color w:val="000000" w:themeColor="text1"/>
          <w:sz w:val="22"/>
          <w:szCs w:val="22"/>
          <w:lang w:val="es-ES_tradnl" w:eastAsia="en-US"/>
        </w:rPr>
        <w:t xml:space="preserve">. </w:t>
      </w:r>
    </w:p>
    <w:p w14:paraId="7D8CBF1D" w14:textId="77777777" w:rsidR="004571B5" w:rsidRPr="007B4401" w:rsidRDefault="004571B5" w:rsidP="004571B5">
      <w:pPr>
        <w:spacing w:line="276" w:lineRule="auto"/>
        <w:jc w:val="both"/>
        <w:rPr>
          <w:rFonts w:ascii="Arial" w:eastAsia="Calibri" w:hAnsi="Arial" w:cs="Arial"/>
          <w:color w:val="000000" w:themeColor="text1"/>
          <w:sz w:val="22"/>
          <w:szCs w:val="22"/>
          <w:lang w:eastAsia="en-US"/>
        </w:rPr>
      </w:pPr>
    </w:p>
    <w:p w14:paraId="1B8CC8C7" w14:textId="77777777" w:rsidR="004571B5" w:rsidRPr="007B4401" w:rsidRDefault="004571B5" w:rsidP="004571B5">
      <w:pPr>
        <w:numPr>
          <w:ilvl w:val="0"/>
          <w:numId w:val="6"/>
        </w:numPr>
        <w:tabs>
          <w:tab w:val="left" w:pos="284"/>
        </w:tabs>
        <w:spacing w:line="276" w:lineRule="auto"/>
        <w:ind w:left="0" w:firstLine="0"/>
        <w:contextualSpacing/>
        <w:jc w:val="both"/>
        <w:rPr>
          <w:rFonts w:ascii="Arial" w:eastAsia="Calibri" w:hAnsi="Arial" w:cs="Arial"/>
          <w:b/>
          <w:color w:val="000000" w:themeColor="text1"/>
          <w:sz w:val="22"/>
          <w:szCs w:val="22"/>
          <w:lang w:eastAsia="en-US"/>
        </w:rPr>
      </w:pPr>
      <w:r w:rsidRPr="007B4401">
        <w:rPr>
          <w:rFonts w:ascii="Arial" w:eastAsia="Calibri" w:hAnsi="Arial" w:cs="Arial"/>
          <w:b/>
          <w:color w:val="000000" w:themeColor="text1"/>
          <w:sz w:val="22"/>
          <w:szCs w:val="22"/>
          <w:lang w:eastAsia="en-US"/>
        </w:rPr>
        <w:lastRenderedPageBreak/>
        <w:t xml:space="preserve">Problema planteado </w:t>
      </w:r>
    </w:p>
    <w:p w14:paraId="02FF3CE9" w14:textId="77777777" w:rsidR="004571B5" w:rsidRPr="007B4401" w:rsidRDefault="004571B5" w:rsidP="004571B5">
      <w:pPr>
        <w:tabs>
          <w:tab w:val="left" w:pos="426"/>
        </w:tabs>
        <w:spacing w:line="276" w:lineRule="auto"/>
        <w:jc w:val="both"/>
        <w:rPr>
          <w:rFonts w:ascii="Arial" w:eastAsia="Calibri" w:hAnsi="Arial" w:cs="Arial"/>
          <w:b/>
          <w:color w:val="000000" w:themeColor="text1"/>
          <w:sz w:val="22"/>
          <w:szCs w:val="22"/>
          <w:lang w:eastAsia="en-US"/>
        </w:rPr>
      </w:pPr>
    </w:p>
    <w:p w14:paraId="3313F662" w14:textId="7D8F229C" w:rsidR="00EC02AA" w:rsidRPr="007B4401" w:rsidRDefault="00B147DA" w:rsidP="004571B5">
      <w:pPr>
        <w:spacing w:line="276" w:lineRule="auto"/>
        <w:jc w:val="both"/>
        <w:rPr>
          <w:rFonts w:ascii="Arial" w:eastAsia="Calibri" w:hAnsi="Arial" w:cs="Arial"/>
          <w:color w:val="000000" w:themeColor="text1"/>
          <w:sz w:val="22"/>
          <w:szCs w:val="22"/>
          <w:lang w:eastAsia="en-US"/>
        </w:rPr>
      </w:pPr>
      <w:r w:rsidRPr="007B4401">
        <w:rPr>
          <w:rFonts w:ascii="Arial" w:eastAsia="Calibri" w:hAnsi="Arial" w:cs="Arial"/>
          <w:color w:val="000000" w:themeColor="text1"/>
          <w:sz w:val="22"/>
          <w:szCs w:val="22"/>
          <w:lang w:eastAsia="en-US"/>
        </w:rPr>
        <w:t>Con respecto a la vigencia del artículo 58 de la Ley 2195 de 2022</w:t>
      </w:r>
      <w:r w:rsidR="00566ABD" w:rsidRPr="007B4401">
        <w:rPr>
          <w:rFonts w:ascii="Arial" w:eastAsia="Calibri" w:hAnsi="Arial" w:cs="Arial"/>
          <w:color w:val="000000" w:themeColor="text1"/>
          <w:sz w:val="22"/>
          <w:szCs w:val="22"/>
          <w:lang w:eastAsia="en-US"/>
        </w:rPr>
        <w:t xml:space="preserve"> y sobre las reglas de la experiencia en documentos tipo de infraestructura de agua potable y saneamiento básico e infraestructura de transporte</w:t>
      </w:r>
      <w:r w:rsidRPr="007B4401">
        <w:rPr>
          <w:rFonts w:ascii="Arial" w:eastAsia="Calibri" w:hAnsi="Arial" w:cs="Arial"/>
          <w:color w:val="000000" w:themeColor="text1"/>
          <w:sz w:val="22"/>
          <w:szCs w:val="22"/>
          <w:lang w:eastAsia="en-US"/>
        </w:rPr>
        <w:t xml:space="preserve">, </w:t>
      </w:r>
      <w:r w:rsidR="00094D03" w:rsidRPr="007B4401">
        <w:rPr>
          <w:rFonts w:ascii="Arial" w:eastAsia="Calibri" w:hAnsi="Arial" w:cs="Arial"/>
          <w:color w:val="000000" w:themeColor="text1"/>
          <w:sz w:val="22"/>
          <w:szCs w:val="22"/>
          <w:lang w:eastAsia="en-US"/>
        </w:rPr>
        <w:t>usted</w:t>
      </w:r>
      <w:r w:rsidRPr="007B4401">
        <w:rPr>
          <w:rFonts w:ascii="Arial" w:eastAsia="Calibri" w:hAnsi="Arial" w:cs="Arial"/>
          <w:color w:val="000000" w:themeColor="text1"/>
          <w:sz w:val="22"/>
          <w:szCs w:val="22"/>
          <w:lang w:eastAsia="en-US"/>
        </w:rPr>
        <w:t xml:space="preserve"> realiza la</w:t>
      </w:r>
      <w:r w:rsidR="00566ABD" w:rsidRPr="007B4401">
        <w:rPr>
          <w:rFonts w:ascii="Arial" w:eastAsia="Calibri" w:hAnsi="Arial" w:cs="Arial"/>
          <w:color w:val="000000" w:themeColor="text1"/>
          <w:sz w:val="22"/>
          <w:szCs w:val="22"/>
          <w:lang w:eastAsia="en-US"/>
        </w:rPr>
        <w:t>s</w:t>
      </w:r>
      <w:r w:rsidRPr="007B4401">
        <w:rPr>
          <w:rFonts w:ascii="Arial" w:eastAsia="Calibri" w:hAnsi="Arial" w:cs="Arial"/>
          <w:color w:val="000000" w:themeColor="text1"/>
          <w:sz w:val="22"/>
          <w:szCs w:val="22"/>
          <w:lang w:eastAsia="en-US"/>
        </w:rPr>
        <w:t xml:space="preserve"> siguiente</w:t>
      </w:r>
      <w:r w:rsidR="00566ABD" w:rsidRPr="007B4401">
        <w:rPr>
          <w:rFonts w:ascii="Arial" w:eastAsia="Calibri" w:hAnsi="Arial" w:cs="Arial"/>
          <w:color w:val="000000" w:themeColor="text1"/>
          <w:sz w:val="22"/>
          <w:szCs w:val="22"/>
          <w:lang w:eastAsia="en-US"/>
        </w:rPr>
        <w:t>s</w:t>
      </w:r>
      <w:r w:rsidRPr="007B4401">
        <w:rPr>
          <w:rFonts w:ascii="Arial" w:eastAsia="Calibri" w:hAnsi="Arial" w:cs="Arial"/>
          <w:color w:val="000000" w:themeColor="text1"/>
          <w:sz w:val="22"/>
          <w:szCs w:val="22"/>
          <w:lang w:eastAsia="en-US"/>
        </w:rPr>
        <w:t xml:space="preserve"> consulta</w:t>
      </w:r>
      <w:r w:rsidR="00566ABD" w:rsidRPr="007B4401">
        <w:rPr>
          <w:rFonts w:ascii="Arial" w:eastAsia="Calibri" w:hAnsi="Arial" w:cs="Arial"/>
          <w:color w:val="000000" w:themeColor="text1"/>
          <w:sz w:val="22"/>
          <w:szCs w:val="22"/>
          <w:lang w:eastAsia="en-US"/>
        </w:rPr>
        <w:t>s</w:t>
      </w:r>
      <w:r w:rsidR="004571B5" w:rsidRPr="007B4401">
        <w:rPr>
          <w:rFonts w:ascii="Arial" w:eastAsia="Calibri" w:hAnsi="Arial" w:cs="Arial"/>
          <w:color w:val="000000" w:themeColor="text1"/>
          <w:sz w:val="22"/>
          <w:szCs w:val="22"/>
          <w:lang w:eastAsia="en-US"/>
        </w:rPr>
        <w:t xml:space="preserve">: </w:t>
      </w:r>
    </w:p>
    <w:p w14:paraId="31E6104A" w14:textId="77777777" w:rsidR="003F20E9" w:rsidRPr="007B4401" w:rsidRDefault="003F20E9" w:rsidP="00094D03">
      <w:pPr>
        <w:autoSpaceDE w:val="0"/>
        <w:autoSpaceDN w:val="0"/>
        <w:adjustRightInd w:val="0"/>
        <w:ind w:left="709" w:right="709"/>
        <w:jc w:val="both"/>
        <w:rPr>
          <w:rFonts w:ascii="Arial" w:eastAsiaTheme="minorHAnsi" w:hAnsi="Arial" w:cs="Arial"/>
          <w:color w:val="000000" w:themeColor="text1"/>
          <w:sz w:val="21"/>
          <w:szCs w:val="21"/>
          <w:lang w:val="es-ES" w:eastAsia="en-US"/>
        </w:rPr>
      </w:pPr>
    </w:p>
    <w:p w14:paraId="45C97F08" w14:textId="5E195753" w:rsidR="003F20E9" w:rsidRPr="007B4401" w:rsidRDefault="00D1555C"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eastAsia="en-US"/>
        </w:rPr>
        <w:t>«</w:t>
      </w:r>
      <w:r w:rsidRPr="007B4401">
        <w:rPr>
          <w:rFonts w:ascii="Arial" w:eastAsia="Calibri" w:hAnsi="Arial" w:cs="Arial"/>
          <w:color w:val="000000" w:themeColor="text1"/>
          <w:sz w:val="21"/>
          <w:szCs w:val="21"/>
          <w:lang w:val="es-ES" w:eastAsia="en-US"/>
        </w:rPr>
        <w:t>1.</w:t>
      </w:r>
      <w:r w:rsidR="003F20E9" w:rsidRPr="007B4401">
        <w:rPr>
          <w:rFonts w:ascii="Arial" w:eastAsia="Calibri" w:hAnsi="Arial" w:cs="Arial"/>
          <w:color w:val="000000" w:themeColor="text1"/>
          <w:sz w:val="21"/>
          <w:szCs w:val="21"/>
          <w:lang w:val="es-ES" w:eastAsia="en-US"/>
        </w:rPr>
        <w:t xml:space="preserve"> El parágrafo 1, del </w:t>
      </w:r>
      <w:proofErr w:type="spellStart"/>
      <w:r w:rsidR="003F20E9" w:rsidRPr="007B4401">
        <w:rPr>
          <w:rFonts w:ascii="Arial" w:eastAsia="Calibri" w:hAnsi="Arial" w:cs="Arial"/>
          <w:color w:val="000000" w:themeColor="text1"/>
          <w:sz w:val="21"/>
          <w:szCs w:val="21"/>
          <w:lang w:val="es-ES" w:eastAsia="en-US"/>
        </w:rPr>
        <w:t>aritculo</w:t>
      </w:r>
      <w:proofErr w:type="spellEnd"/>
      <w:r w:rsidR="003F20E9" w:rsidRPr="007B4401">
        <w:rPr>
          <w:rFonts w:ascii="Arial" w:eastAsia="Calibri" w:hAnsi="Arial" w:cs="Arial"/>
          <w:color w:val="000000" w:themeColor="text1"/>
          <w:sz w:val="21"/>
          <w:szCs w:val="21"/>
          <w:lang w:val="es-ES" w:eastAsia="en-US"/>
        </w:rPr>
        <w:t xml:space="preserve"> de 58 de la ley 2195</w:t>
      </w:r>
      <w:r w:rsidRPr="007B4401">
        <w:rPr>
          <w:rFonts w:ascii="Arial" w:eastAsia="Calibri" w:hAnsi="Arial" w:cs="Arial"/>
          <w:color w:val="000000" w:themeColor="text1"/>
          <w:sz w:val="21"/>
          <w:szCs w:val="21"/>
          <w:lang w:val="es-ES" w:eastAsia="en-US"/>
        </w:rPr>
        <w:t xml:space="preserve"> de 2022, como se debe entender </w:t>
      </w:r>
      <w:r w:rsidR="003F20E9" w:rsidRPr="007B4401">
        <w:rPr>
          <w:rFonts w:ascii="Arial" w:eastAsia="Calibri" w:hAnsi="Arial" w:cs="Arial"/>
          <w:color w:val="000000" w:themeColor="text1"/>
          <w:sz w:val="21"/>
          <w:szCs w:val="21"/>
          <w:lang w:val="es-ES" w:eastAsia="en-US"/>
        </w:rPr>
        <w:t>y aplicar por parte de las entidades al momento de realizar el análisis y evaluación de las ofertas.</w:t>
      </w:r>
    </w:p>
    <w:p w14:paraId="5E1B2A46" w14:textId="704E48C9" w:rsidR="003F20E9" w:rsidRPr="007B4401" w:rsidRDefault="003F20E9"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val="es-ES" w:eastAsia="en-US"/>
        </w:rPr>
        <w:t>a. Si el proponente sancionado, tiene una demanda radicada pero no admitida, en contra de la sanción impuesta, se debe o no descontar el puntaje?</w:t>
      </w:r>
    </w:p>
    <w:p w14:paraId="5331AD80" w14:textId="57B6BC8C" w:rsidR="003F20E9" w:rsidRPr="007B4401" w:rsidRDefault="00D1555C"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val="es-ES" w:eastAsia="en-US"/>
        </w:rPr>
        <w:t xml:space="preserve">b. </w:t>
      </w:r>
      <w:r w:rsidR="003F20E9" w:rsidRPr="007B4401">
        <w:rPr>
          <w:rFonts w:ascii="Arial" w:eastAsia="Calibri" w:hAnsi="Arial" w:cs="Arial"/>
          <w:color w:val="000000" w:themeColor="text1"/>
          <w:sz w:val="21"/>
          <w:szCs w:val="21"/>
          <w:lang w:val="es-ES" w:eastAsia="en-US"/>
        </w:rPr>
        <w:t xml:space="preserve">Si la demanda ya fue admitida, pero </w:t>
      </w:r>
      <w:proofErr w:type="spellStart"/>
      <w:r w:rsidR="003F20E9" w:rsidRPr="007B4401">
        <w:rPr>
          <w:rFonts w:ascii="Arial" w:eastAsia="Calibri" w:hAnsi="Arial" w:cs="Arial"/>
          <w:color w:val="000000" w:themeColor="text1"/>
          <w:sz w:val="21"/>
          <w:szCs w:val="21"/>
          <w:lang w:val="es-ES" w:eastAsia="en-US"/>
        </w:rPr>
        <w:t>aun</w:t>
      </w:r>
      <w:proofErr w:type="spellEnd"/>
      <w:r w:rsidR="003F20E9" w:rsidRPr="007B4401">
        <w:rPr>
          <w:rFonts w:ascii="Arial" w:eastAsia="Calibri" w:hAnsi="Arial" w:cs="Arial"/>
          <w:color w:val="000000" w:themeColor="text1"/>
          <w:sz w:val="21"/>
          <w:szCs w:val="21"/>
          <w:lang w:val="es-ES" w:eastAsia="en-US"/>
        </w:rPr>
        <w:t xml:space="preserve"> no ha sido fallada, se debe o no descontar el puntaje?</w:t>
      </w:r>
    </w:p>
    <w:p w14:paraId="33D9DAD2" w14:textId="1E12CA64" w:rsidR="003F20E9" w:rsidRPr="007B4401" w:rsidRDefault="003F20E9"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val="es-ES" w:eastAsia="en-US"/>
        </w:rPr>
        <w:t>c.</w:t>
      </w:r>
      <w:r w:rsidR="00D1555C"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 xml:space="preserve"> </w:t>
      </w:r>
      <w:proofErr w:type="gramStart"/>
      <w:r w:rsidRPr="007B4401">
        <w:rPr>
          <w:rFonts w:ascii="Arial" w:eastAsia="Calibri" w:hAnsi="Arial" w:cs="Arial"/>
          <w:color w:val="000000" w:themeColor="text1"/>
          <w:sz w:val="21"/>
          <w:szCs w:val="21"/>
          <w:lang w:val="es-ES" w:eastAsia="en-US"/>
        </w:rPr>
        <w:t>Si la demanda fue radicada con posterioridad al cierre, se debe o no descontar el puntaje?</w:t>
      </w:r>
      <w:proofErr w:type="gramEnd"/>
    </w:p>
    <w:p w14:paraId="47AC8387" w14:textId="79763F67" w:rsidR="003F20E9" w:rsidRPr="007B4401" w:rsidRDefault="003F20E9"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val="es-ES" w:eastAsia="en-US"/>
        </w:rPr>
        <w:t>d. Si la demanda fue admitida con posterioridad al cierre, se debe o no descontar el puntaje?</w:t>
      </w:r>
    </w:p>
    <w:p w14:paraId="403EB8B2" w14:textId="506C02D4" w:rsidR="003F20E9" w:rsidRPr="007B4401" w:rsidRDefault="003F20E9"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val="es-ES" w:eastAsia="en-US"/>
        </w:rPr>
        <w:t>e.</w:t>
      </w:r>
      <w:r w:rsidR="00D1555C"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Para procesos cuyo cierre haya sido antes de la entrada en vigencia de esta ley, igual les aplica el descuento de este puntaje?</w:t>
      </w:r>
    </w:p>
    <w:p w14:paraId="414058A9" w14:textId="08A6310C" w:rsidR="003F20E9" w:rsidRPr="007B4401" w:rsidRDefault="003F20E9" w:rsidP="00D1555C">
      <w:pPr>
        <w:ind w:left="709" w:right="709" w:hanging="360"/>
        <w:contextualSpacing/>
        <w:jc w:val="both"/>
        <w:rPr>
          <w:rFonts w:ascii="Arial" w:eastAsia="Calibri" w:hAnsi="Arial" w:cs="Arial"/>
          <w:color w:val="000000" w:themeColor="text1"/>
          <w:sz w:val="21"/>
          <w:szCs w:val="21"/>
          <w:lang w:val="es-ES" w:eastAsia="en-US"/>
        </w:rPr>
      </w:pPr>
      <w:r w:rsidRPr="007B4401">
        <w:rPr>
          <w:rFonts w:ascii="Arial" w:eastAsia="Calibri" w:hAnsi="Arial" w:cs="Arial"/>
          <w:color w:val="000000" w:themeColor="text1"/>
          <w:sz w:val="21"/>
          <w:szCs w:val="21"/>
          <w:lang w:val="es-ES" w:eastAsia="en-US"/>
        </w:rPr>
        <w:t>f.</w:t>
      </w:r>
      <w:r w:rsidR="00D1555C"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Para procesos cuyo aviso de convocatoria haya sido antes de la entrada en vigencia de esta ley, igual les aplica el descuento de este puntaje?</w:t>
      </w:r>
    </w:p>
    <w:p w14:paraId="279173FA" w14:textId="77777777" w:rsidR="00A14F6F" w:rsidRPr="007B4401" w:rsidRDefault="00A14F6F" w:rsidP="00D1555C">
      <w:pPr>
        <w:ind w:left="709" w:right="709" w:hanging="360"/>
        <w:contextualSpacing/>
        <w:jc w:val="both"/>
        <w:rPr>
          <w:rFonts w:ascii="Arial" w:eastAsia="Calibri" w:hAnsi="Arial" w:cs="Arial"/>
          <w:color w:val="000000" w:themeColor="text1"/>
          <w:sz w:val="21"/>
          <w:szCs w:val="21"/>
          <w:lang w:eastAsia="en-US"/>
        </w:rPr>
      </w:pPr>
    </w:p>
    <w:p w14:paraId="5C96169F" w14:textId="243795B2" w:rsidR="003F20E9" w:rsidRPr="007B4401" w:rsidRDefault="00D1555C" w:rsidP="00D1555C">
      <w:pPr>
        <w:ind w:left="709" w:right="709" w:hanging="360"/>
        <w:contextualSpacing/>
        <w:jc w:val="both"/>
        <w:rPr>
          <w:rFonts w:ascii="Arial" w:eastAsia="Calibri" w:hAnsi="Arial" w:cs="Arial"/>
          <w:color w:val="000000" w:themeColor="text1"/>
          <w:sz w:val="21"/>
          <w:szCs w:val="21"/>
          <w:lang w:eastAsia="en-US"/>
        </w:rPr>
      </w:pPr>
      <w:r w:rsidRPr="007B4401">
        <w:rPr>
          <w:rFonts w:ascii="Arial" w:eastAsiaTheme="minorHAnsi" w:hAnsi="Arial" w:cs="Arial"/>
          <w:color w:val="000000" w:themeColor="text1"/>
          <w:sz w:val="21"/>
          <w:szCs w:val="21"/>
          <w:lang w:val="es-ES" w:eastAsia="en-US"/>
        </w:rPr>
        <w:t>»</w:t>
      </w:r>
      <w:r w:rsidR="003F20E9" w:rsidRPr="007B4401">
        <w:rPr>
          <w:rFonts w:ascii="Arial" w:eastAsia="Calibri" w:hAnsi="Arial" w:cs="Arial"/>
          <w:color w:val="000000" w:themeColor="text1"/>
          <w:sz w:val="21"/>
          <w:szCs w:val="21"/>
          <w:lang w:val="es-ES" w:eastAsia="en-US"/>
        </w:rPr>
        <w:t xml:space="preserve">2. En la </w:t>
      </w:r>
      <w:proofErr w:type="spellStart"/>
      <w:r w:rsidR="003F20E9" w:rsidRPr="007B4401">
        <w:rPr>
          <w:rFonts w:ascii="Arial" w:eastAsia="Calibri" w:hAnsi="Arial" w:cs="Arial"/>
          <w:color w:val="000000" w:themeColor="text1"/>
          <w:sz w:val="21"/>
          <w:szCs w:val="21"/>
          <w:lang w:val="es-ES" w:eastAsia="en-US"/>
        </w:rPr>
        <w:t>ultima</w:t>
      </w:r>
      <w:proofErr w:type="spellEnd"/>
      <w:r w:rsidR="00186522" w:rsidRPr="007B4401">
        <w:rPr>
          <w:rFonts w:ascii="Arial" w:eastAsia="Calibri" w:hAnsi="Arial" w:cs="Arial"/>
          <w:color w:val="000000" w:themeColor="text1"/>
          <w:sz w:val="21"/>
          <w:szCs w:val="21"/>
          <w:lang w:val="es-ES" w:eastAsia="en-US"/>
        </w:rPr>
        <w:t xml:space="preserve"> (sic)</w:t>
      </w:r>
      <w:r w:rsidR="003F20E9" w:rsidRPr="007B4401">
        <w:rPr>
          <w:rFonts w:ascii="Arial" w:eastAsia="Calibri" w:hAnsi="Arial" w:cs="Arial"/>
          <w:color w:val="000000" w:themeColor="text1"/>
          <w:sz w:val="21"/>
          <w:szCs w:val="21"/>
          <w:lang w:val="es-ES" w:eastAsia="en-US"/>
        </w:rPr>
        <w:t xml:space="preserve"> versión de los documentos tipo, tanto de infraestructura de transporte y saneamiento básico, se </w:t>
      </w:r>
      <w:proofErr w:type="spellStart"/>
      <w:r w:rsidR="003F20E9" w:rsidRPr="007B4401">
        <w:rPr>
          <w:rFonts w:ascii="Arial" w:eastAsia="Calibri" w:hAnsi="Arial" w:cs="Arial"/>
          <w:color w:val="000000" w:themeColor="text1"/>
          <w:sz w:val="21"/>
          <w:szCs w:val="21"/>
          <w:lang w:val="es-ES" w:eastAsia="en-US"/>
        </w:rPr>
        <w:t>incorporo</w:t>
      </w:r>
      <w:proofErr w:type="spellEnd"/>
      <w:r w:rsidR="00186522" w:rsidRPr="007B4401">
        <w:rPr>
          <w:rFonts w:ascii="Arial" w:eastAsia="Calibri" w:hAnsi="Arial" w:cs="Arial"/>
          <w:color w:val="000000" w:themeColor="text1"/>
          <w:sz w:val="21"/>
          <w:szCs w:val="21"/>
          <w:lang w:val="es-ES" w:eastAsia="en-US"/>
        </w:rPr>
        <w:t xml:space="preserve"> (sic)</w:t>
      </w:r>
      <w:r w:rsidR="003F20E9" w:rsidRPr="007B4401">
        <w:rPr>
          <w:rFonts w:ascii="Arial" w:eastAsia="Calibri" w:hAnsi="Arial" w:cs="Arial"/>
          <w:color w:val="000000" w:themeColor="text1"/>
          <w:sz w:val="21"/>
          <w:szCs w:val="21"/>
          <w:lang w:val="es-ES" w:eastAsia="en-US"/>
        </w:rPr>
        <w:t xml:space="preserve"> para la evaluación de la experiencia lo siguiente:</w:t>
      </w:r>
    </w:p>
    <w:p w14:paraId="04EEB9B1" w14:textId="77777777" w:rsidR="003F20E9" w:rsidRPr="007B4401" w:rsidRDefault="003F20E9" w:rsidP="00D1555C">
      <w:pPr>
        <w:ind w:left="709" w:right="709"/>
        <w:contextualSpacing/>
        <w:jc w:val="both"/>
        <w:rPr>
          <w:rFonts w:ascii="Arial" w:eastAsia="Calibri" w:hAnsi="Arial" w:cs="Arial"/>
          <w:color w:val="000000" w:themeColor="text1"/>
          <w:sz w:val="21"/>
          <w:szCs w:val="21"/>
          <w:lang w:eastAsia="en-US"/>
        </w:rPr>
      </w:pPr>
      <w:r w:rsidRPr="007B4401">
        <w:rPr>
          <w:rFonts w:ascii="Arial" w:eastAsia="Calibri" w:hAnsi="Arial" w:cs="Arial"/>
          <w:color w:val="000000" w:themeColor="text1"/>
          <w:sz w:val="21"/>
          <w:szCs w:val="21"/>
          <w:lang w:val="es-ES" w:eastAsia="en-US"/>
        </w:rPr>
        <w:t> </w:t>
      </w:r>
    </w:p>
    <w:p w14:paraId="55566C4E" w14:textId="77777777" w:rsidR="003F20E9" w:rsidRPr="007B4401" w:rsidRDefault="003F20E9" w:rsidP="00D1555C">
      <w:pPr>
        <w:ind w:left="709" w:right="709"/>
        <w:contextualSpacing/>
        <w:jc w:val="both"/>
        <w:rPr>
          <w:rFonts w:ascii="Arial" w:eastAsia="Calibri" w:hAnsi="Arial" w:cs="Arial"/>
          <w:color w:val="000000" w:themeColor="text1"/>
          <w:sz w:val="21"/>
          <w:szCs w:val="21"/>
          <w:lang w:eastAsia="en-US"/>
        </w:rPr>
      </w:pPr>
      <w:r w:rsidRPr="007B4401">
        <w:rPr>
          <w:rFonts w:ascii="Arial" w:eastAsia="Calibri" w:hAnsi="Arial" w:cs="Arial"/>
          <w:bCs/>
          <w:i/>
          <w:iCs/>
          <w:color w:val="000000" w:themeColor="text1"/>
          <w:sz w:val="21"/>
          <w:szCs w:val="21"/>
          <w:lang w:val="es-ES" w:eastAsia="en-US"/>
        </w:rPr>
        <w:t>3.5.3. CONSIDERACIONES PARA LA VALIDEZ DE LA EXPERIENCIA REQUERIDA</w:t>
      </w:r>
    </w:p>
    <w:p w14:paraId="6F85BE3B" w14:textId="77777777" w:rsidR="003F20E9" w:rsidRPr="007B4401" w:rsidRDefault="003F20E9" w:rsidP="00D1555C">
      <w:pPr>
        <w:ind w:left="709" w:right="709"/>
        <w:contextualSpacing/>
        <w:jc w:val="both"/>
        <w:rPr>
          <w:rFonts w:ascii="Arial" w:eastAsia="Calibri" w:hAnsi="Arial" w:cs="Arial"/>
          <w:color w:val="000000" w:themeColor="text1"/>
          <w:sz w:val="21"/>
          <w:szCs w:val="21"/>
          <w:lang w:eastAsia="en-US"/>
        </w:rPr>
      </w:pPr>
      <w:r w:rsidRPr="007B4401">
        <w:rPr>
          <w:rFonts w:ascii="Arial" w:eastAsia="Calibri" w:hAnsi="Arial" w:cs="Arial"/>
          <w:i/>
          <w:iCs/>
          <w:color w:val="000000" w:themeColor="text1"/>
          <w:sz w:val="21"/>
          <w:szCs w:val="21"/>
          <w:lang w:val="es-ES" w:eastAsia="en-US"/>
        </w:rPr>
        <w:t> </w:t>
      </w:r>
    </w:p>
    <w:p w14:paraId="3C9786CC" w14:textId="2B368BB4" w:rsidR="003F20E9" w:rsidRPr="007B4401" w:rsidRDefault="003F20E9" w:rsidP="00D1555C">
      <w:pPr>
        <w:ind w:left="709" w:right="709"/>
        <w:contextualSpacing/>
        <w:jc w:val="both"/>
        <w:rPr>
          <w:rFonts w:ascii="Arial" w:eastAsia="Calibri" w:hAnsi="Arial" w:cs="Arial"/>
          <w:color w:val="000000" w:themeColor="text1"/>
          <w:sz w:val="21"/>
          <w:szCs w:val="21"/>
          <w:lang w:eastAsia="en-US"/>
        </w:rPr>
      </w:pPr>
      <w:r w:rsidRPr="007B4401">
        <w:rPr>
          <w:rFonts w:ascii="Arial" w:eastAsia="Calibri" w:hAnsi="Arial" w:cs="Arial"/>
          <w:i/>
          <w:iCs/>
          <w:color w:val="000000" w:themeColor="text1"/>
          <w:sz w:val="21"/>
          <w:szCs w:val="21"/>
          <w:lang w:val="es-ES" w:eastAsia="en-US"/>
        </w:rPr>
        <w:t xml:space="preserve">J. El cumplimiento de los requisitos de experiencia que impliquen la </w:t>
      </w:r>
      <w:proofErr w:type="spellStart"/>
      <w:r w:rsidRPr="007B4401">
        <w:rPr>
          <w:rFonts w:ascii="Arial" w:eastAsia="Calibri" w:hAnsi="Arial" w:cs="Arial"/>
          <w:i/>
          <w:iCs/>
          <w:color w:val="000000" w:themeColor="text1"/>
          <w:sz w:val="21"/>
          <w:szCs w:val="21"/>
          <w:lang w:val="es-ES" w:eastAsia="en-US"/>
        </w:rPr>
        <w:t>acreditación</w:t>
      </w:r>
      <w:proofErr w:type="spellEnd"/>
      <w:r w:rsidRPr="007B4401">
        <w:rPr>
          <w:rFonts w:ascii="Arial" w:eastAsia="Calibri" w:hAnsi="Arial" w:cs="Arial"/>
          <w:i/>
          <w:iCs/>
          <w:color w:val="000000" w:themeColor="text1"/>
          <w:sz w:val="21"/>
          <w:szCs w:val="21"/>
          <w:lang w:val="es-ES" w:eastAsia="en-US"/>
        </w:rPr>
        <w:t xml:space="preserve"> de valores y magnitudes intervenidas </w:t>
      </w:r>
      <w:proofErr w:type="spellStart"/>
      <w:r w:rsidRPr="007B4401">
        <w:rPr>
          <w:rFonts w:ascii="Arial" w:eastAsia="Calibri" w:hAnsi="Arial" w:cs="Arial"/>
          <w:i/>
          <w:iCs/>
          <w:color w:val="000000" w:themeColor="text1"/>
          <w:sz w:val="21"/>
          <w:szCs w:val="21"/>
          <w:lang w:val="es-ES" w:eastAsia="en-US"/>
        </w:rPr>
        <w:t>debera</w:t>
      </w:r>
      <w:proofErr w:type="spellEnd"/>
      <w:r w:rsidRPr="007B4401">
        <w:rPr>
          <w:rFonts w:ascii="Arial" w:eastAsia="Calibri" w:hAnsi="Arial" w:cs="Arial"/>
          <w:i/>
          <w:iCs/>
          <w:color w:val="000000" w:themeColor="text1"/>
          <w:sz w:val="21"/>
          <w:szCs w:val="21"/>
          <w:lang w:val="es-ES" w:eastAsia="en-US"/>
        </w:rPr>
        <w:t xml:space="preserve">́ evaluarse de acuerdo con lo </w:t>
      </w:r>
      <w:proofErr w:type="spellStart"/>
      <w:r w:rsidRPr="007B4401">
        <w:rPr>
          <w:rFonts w:ascii="Arial" w:eastAsia="Calibri" w:hAnsi="Arial" w:cs="Arial"/>
          <w:i/>
          <w:iCs/>
          <w:color w:val="000000" w:themeColor="text1"/>
          <w:sz w:val="21"/>
          <w:szCs w:val="21"/>
          <w:lang w:val="es-ES" w:eastAsia="en-US"/>
        </w:rPr>
        <w:t>señalado</w:t>
      </w:r>
      <w:proofErr w:type="spellEnd"/>
      <w:r w:rsidRPr="007B4401">
        <w:rPr>
          <w:rFonts w:ascii="Arial" w:eastAsia="Calibri" w:hAnsi="Arial" w:cs="Arial"/>
          <w:i/>
          <w:iCs/>
          <w:color w:val="000000" w:themeColor="text1"/>
          <w:sz w:val="21"/>
          <w:szCs w:val="21"/>
          <w:lang w:val="es-ES" w:eastAsia="en-US"/>
        </w:rPr>
        <w:t xml:space="preserve"> en la Matriz 1 – Experiencia para la respectiva actividad a contratar. En los contratos aportados como experiencia que contengan actividades ejecutadas ajenas a la obra de infraestructura de transporte </w:t>
      </w:r>
      <w:r w:rsidRPr="007B4401">
        <w:rPr>
          <w:rFonts w:ascii="Arial" w:eastAsia="Calibri" w:hAnsi="Arial" w:cs="Arial"/>
          <w:bCs/>
          <w:color w:val="000000" w:themeColor="text1"/>
          <w:sz w:val="21"/>
          <w:szCs w:val="21"/>
          <w:lang w:val="es-ES" w:eastAsia="en-US"/>
        </w:rPr>
        <w:t>“(o saneamiento básico dependiendo del tipo de proceso)”</w:t>
      </w:r>
      <w:r w:rsidRPr="007B4401">
        <w:rPr>
          <w:rFonts w:ascii="Arial" w:eastAsia="Calibri" w:hAnsi="Arial" w:cs="Arial"/>
          <w:i/>
          <w:iCs/>
          <w:color w:val="000000" w:themeColor="text1"/>
          <w:sz w:val="21"/>
          <w:szCs w:val="21"/>
          <w:lang w:val="es-ES" w:eastAsia="en-US"/>
        </w:rPr>
        <w:t xml:space="preserve">, la Entidad Estatal solo </w:t>
      </w:r>
      <w:proofErr w:type="spellStart"/>
      <w:r w:rsidRPr="007B4401">
        <w:rPr>
          <w:rFonts w:ascii="Arial" w:eastAsia="Calibri" w:hAnsi="Arial" w:cs="Arial"/>
          <w:i/>
          <w:iCs/>
          <w:color w:val="000000" w:themeColor="text1"/>
          <w:sz w:val="21"/>
          <w:szCs w:val="21"/>
          <w:lang w:val="es-ES" w:eastAsia="en-US"/>
        </w:rPr>
        <w:t>tendra</w:t>
      </w:r>
      <w:proofErr w:type="spellEnd"/>
      <w:r w:rsidRPr="007B4401">
        <w:rPr>
          <w:rFonts w:ascii="Arial" w:eastAsia="Calibri" w:hAnsi="Arial" w:cs="Arial"/>
          <w:i/>
          <w:iCs/>
          <w:color w:val="000000" w:themeColor="text1"/>
          <w:sz w:val="21"/>
          <w:szCs w:val="21"/>
          <w:lang w:val="es-ES" w:eastAsia="en-US"/>
        </w:rPr>
        <w:t>́ en cuenta los valores y magnitudes ejecutadas relacionadas con este tipo de infraestructura.</w:t>
      </w:r>
      <w:r w:rsidR="00A14F6F" w:rsidRPr="007B4401">
        <w:rPr>
          <w:rFonts w:ascii="Arial" w:eastAsia="Calibri" w:hAnsi="Arial" w:cs="Arial"/>
          <w:color w:val="000000" w:themeColor="text1"/>
          <w:sz w:val="21"/>
          <w:szCs w:val="21"/>
          <w:lang w:eastAsia="en-US"/>
        </w:rPr>
        <w:t xml:space="preserve"> </w:t>
      </w:r>
      <w:r w:rsidRPr="007B4401">
        <w:rPr>
          <w:rFonts w:ascii="Arial" w:eastAsia="Calibri" w:hAnsi="Arial" w:cs="Arial"/>
          <w:i/>
          <w:iCs/>
          <w:color w:val="000000" w:themeColor="text1"/>
          <w:sz w:val="21"/>
          <w:szCs w:val="21"/>
          <w:lang w:val="es-ES" w:eastAsia="en-US"/>
        </w:rPr>
        <w:t xml:space="preserve">Para estos efectos, el oferente </w:t>
      </w:r>
      <w:proofErr w:type="spellStart"/>
      <w:r w:rsidRPr="007B4401">
        <w:rPr>
          <w:rFonts w:ascii="Arial" w:eastAsia="Calibri" w:hAnsi="Arial" w:cs="Arial"/>
          <w:i/>
          <w:iCs/>
          <w:color w:val="000000" w:themeColor="text1"/>
          <w:sz w:val="21"/>
          <w:szCs w:val="21"/>
          <w:lang w:val="es-ES" w:eastAsia="en-US"/>
        </w:rPr>
        <w:t>debera</w:t>
      </w:r>
      <w:proofErr w:type="spellEnd"/>
      <w:r w:rsidRPr="007B4401">
        <w:rPr>
          <w:rFonts w:ascii="Arial" w:eastAsia="Calibri" w:hAnsi="Arial" w:cs="Arial"/>
          <w:i/>
          <w:iCs/>
          <w:color w:val="000000" w:themeColor="text1"/>
          <w:sz w:val="21"/>
          <w:szCs w:val="21"/>
          <w:lang w:val="es-ES" w:eastAsia="en-US"/>
        </w:rPr>
        <w:t xml:space="preserve">́ acreditar los valores y magnitudes intervenidas dentro del respectivo contrato, empleando alguno de los documentos </w:t>
      </w:r>
      <w:proofErr w:type="spellStart"/>
      <w:r w:rsidRPr="007B4401">
        <w:rPr>
          <w:rFonts w:ascii="Arial" w:eastAsia="Calibri" w:hAnsi="Arial" w:cs="Arial"/>
          <w:i/>
          <w:iCs/>
          <w:color w:val="000000" w:themeColor="text1"/>
          <w:sz w:val="21"/>
          <w:szCs w:val="21"/>
          <w:lang w:val="es-ES" w:eastAsia="en-US"/>
        </w:rPr>
        <w:t>válidos</w:t>
      </w:r>
      <w:proofErr w:type="spellEnd"/>
      <w:r w:rsidRPr="007B4401">
        <w:rPr>
          <w:rFonts w:ascii="Arial" w:eastAsia="Calibri" w:hAnsi="Arial" w:cs="Arial"/>
          <w:i/>
          <w:iCs/>
          <w:color w:val="000000" w:themeColor="text1"/>
          <w:sz w:val="21"/>
          <w:szCs w:val="21"/>
          <w:lang w:val="es-ES" w:eastAsia="en-US"/>
        </w:rPr>
        <w:t xml:space="preserve"> establecidos en el numeral 3.5.6 del Pliego de Condiciones. En todo caso, la Entidad Estatal </w:t>
      </w:r>
      <w:proofErr w:type="spellStart"/>
      <w:r w:rsidRPr="007B4401">
        <w:rPr>
          <w:rFonts w:ascii="Arial" w:eastAsia="Calibri" w:hAnsi="Arial" w:cs="Arial"/>
          <w:i/>
          <w:iCs/>
          <w:color w:val="000000" w:themeColor="text1"/>
          <w:sz w:val="21"/>
          <w:szCs w:val="21"/>
          <w:lang w:val="es-ES" w:eastAsia="en-US"/>
        </w:rPr>
        <w:t>permitira</w:t>
      </w:r>
      <w:proofErr w:type="spellEnd"/>
      <w:r w:rsidRPr="007B4401">
        <w:rPr>
          <w:rFonts w:ascii="Arial" w:eastAsia="Calibri" w:hAnsi="Arial" w:cs="Arial"/>
          <w:i/>
          <w:iCs/>
          <w:color w:val="000000" w:themeColor="text1"/>
          <w:sz w:val="21"/>
          <w:szCs w:val="21"/>
          <w:lang w:val="es-ES" w:eastAsia="en-US"/>
        </w:rPr>
        <w:t xml:space="preserve">́ la </w:t>
      </w:r>
      <w:proofErr w:type="spellStart"/>
      <w:r w:rsidRPr="007B4401">
        <w:rPr>
          <w:rFonts w:ascii="Arial" w:eastAsia="Calibri" w:hAnsi="Arial" w:cs="Arial"/>
          <w:i/>
          <w:iCs/>
          <w:color w:val="000000" w:themeColor="text1"/>
          <w:sz w:val="21"/>
          <w:szCs w:val="21"/>
          <w:lang w:val="es-ES" w:eastAsia="en-US"/>
        </w:rPr>
        <w:t>subsanación</w:t>
      </w:r>
      <w:proofErr w:type="spellEnd"/>
      <w:r w:rsidRPr="007B4401">
        <w:rPr>
          <w:rFonts w:ascii="Arial" w:eastAsia="Calibri" w:hAnsi="Arial" w:cs="Arial"/>
          <w:i/>
          <w:iCs/>
          <w:color w:val="000000" w:themeColor="text1"/>
          <w:sz w:val="21"/>
          <w:szCs w:val="21"/>
          <w:lang w:val="es-ES" w:eastAsia="en-US"/>
        </w:rPr>
        <w:t xml:space="preserve">, en los </w:t>
      </w:r>
      <w:proofErr w:type="spellStart"/>
      <w:r w:rsidRPr="007B4401">
        <w:rPr>
          <w:rFonts w:ascii="Arial" w:eastAsia="Calibri" w:hAnsi="Arial" w:cs="Arial"/>
          <w:i/>
          <w:iCs/>
          <w:color w:val="000000" w:themeColor="text1"/>
          <w:sz w:val="21"/>
          <w:szCs w:val="21"/>
          <w:lang w:val="es-ES" w:eastAsia="en-US"/>
        </w:rPr>
        <w:t>términos</w:t>
      </w:r>
      <w:proofErr w:type="spellEnd"/>
      <w:r w:rsidRPr="007B4401">
        <w:rPr>
          <w:rFonts w:ascii="Arial" w:eastAsia="Calibri" w:hAnsi="Arial" w:cs="Arial"/>
          <w:i/>
          <w:iCs/>
          <w:color w:val="000000" w:themeColor="text1"/>
          <w:sz w:val="21"/>
          <w:szCs w:val="21"/>
          <w:lang w:val="es-ES" w:eastAsia="en-US"/>
        </w:rPr>
        <w:t xml:space="preserve"> del numeral 1.6 del Pliego de Condiciones, requiriendo al Proponente para que acredite los valores ejecutados y magnitudes intervenidas. De no lograrse la </w:t>
      </w:r>
      <w:proofErr w:type="spellStart"/>
      <w:r w:rsidRPr="007B4401">
        <w:rPr>
          <w:rFonts w:ascii="Arial" w:eastAsia="Calibri" w:hAnsi="Arial" w:cs="Arial"/>
          <w:i/>
          <w:iCs/>
          <w:color w:val="000000" w:themeColor="text1"/>
          <w:sz w:val="21"/>
          <w:szCs w:val="21"/>
          <w:lang w:val="es-ES" w:eastAsia="en-US"/>
        </w:rPr>
        <w:t>discriminación</w:t>
      </w:r>
      <w:proofErr w:type="spellEnd"/>
      <w:r w:rsidRPr="007B4401">
        <w:rPr>
          <w:rFonts w:ascii="Arial" w:eastAsia="Calibri" w:hAnsi="Arial" w:cs="Arial"/>
          <w:i/>
          <w:iCs/>
          <w:color w:val="000000" w:themeColor="text1"/>
          <w:sz w:val="21"/>
          <w:szCs w:val="21"/>
          <w:lang w:val="es-ES" w:eastAsia="en-US"/>
        </w:rPr>
        <w:t xml:space="preserve"> de los valores y magnitudes ejecutadas en el marco del respectivo contrato, la Entidad Estatal no lo </w:t>
      </w:r>
      <w:proofErr w:type="spellStart"/>
      <w:r w:rsidRPr="007B4401">
        <w:rPr>
          <w:rFonts w:ascii="Arial" w:eastAsia="Calibri" w:hAnsi="Arial" w:cs="Arial"/>
          <w:i/>
          <w:iCs/>
          <w:color w:val="000000" w:themeColor="text1"/>
          <w:sz w:val="21"/>
          <w:szCs w:val="21"/>
          <w:lang w:val="es-ES" w:eastAsia="en-US"/>
        </w:rPr>
        <w:t>tendra</w:t>
      </w:r>
      <w:proofErr w:type="spellEnd"/>
      <w:r w:rsidRPr="007B4401">
        <w:rPr>
          <w:rFonts w:ascii="Arial" w:eastAsia="Calibri" w:hAnsi="Arial" w:cs="Arial"/>
          <w:i/>
          <w:iCs/>
          <w:color w:val="000000" w:themeColor="text1"/>
          <w:sz w:val="21"/>
          <w:szCs w:val="21"/>
          <w:lang w:val="es-ES" w:eastAsia="en-US"/>
        </w:rPr>
        <w:t xml:space="preserve">́ en cuenta para la </w:t>
      </w:r>
      <w:proofErr w:type="spellStart"/>
      <w:r w:rsidRPr="007B4401">
        <w:rPr>
          <w:rFonts w:ascii="Arial" w:eastAsia="Calibri" w:hAnsi="Arial" w:cs="Arial"/>
          <w:i/>
          <w:iCs/>
          <w:color w:val="000000" w:themeColor="text1"/>
          <w:sz w:val="21"/>
          <w:szCs w:val="21"/>
          <w:lang w:val="es-ES" w:eastAsia="en-US"/>
        </w:rPr>
        <w:t>evaluación</w:t>
      </w:r>
      <w:proofErr w:type="spellEnd"/>
      <w:r w:rsidRPr="007B4401">
        <w:rPr>
          <w:rFonts w:ascii="Arial" w:eastAsia="Calibri" w:hAnsi="Arial" w:cs="Arial"/>
          <w:i/>
          <w:iCs/>
          <w:color w:val="000000" w:themeColor="text1"/>
          <w:sz w:val="21"/>
          <w:szCs w:val="21"/>
          <w:lang w:val="es-ES" w:eastAsia="en-US"/>
        </w:rPr>
        <w:t>.</w:t>
      </w:r>
    </w:p>
    <w:p w14:paraId="34782ED2" w14:textId="77777777" w:rsidR="00A14F6F" w:rsidRPr="007B4401" w:rsidRDefault="00A14F6F" w:rsidP="00D1555C">
      <w:pPr>
        <w:ind w:left="709" w:right="709"/>
        <w:jc w:val="both"/>
        <w:rPr>
          <w:rFonts w:ascii="Arial" w:eastAsia="Calibri" w:hAnsi="Arial" w:cs="Arial"/>
          <w:color w:val="000000" w:themeColor="text1"/>
          <w:sz w:val="21"/>
          <w:szCs w:val="21"/>
          <w:lang w:val="es-ES" w:eastAsia="en-US"/>
        </w:rPr>
      </w:pPr>
    </w:p>
    <w:p w14:paraId="6E07FC4B" w14:textId="77777777" w:rsidR="007D431B" w:rsidRPr="007B4401" w:rsidRDefault="003F20E9" w:rsidP="00D1555C">
      <w:pPr>
        <w:ind w:left="709" w:right="709"/>
        <w:jc w:val="both"/>
        <w:rPr>
          <w:rFonts w:ascii="Arial" w:eastAsia="Calibri" w:hAnsi="Arial" w:cs="Arial"/>
          <w:color w:val="000000" w:themeColor="text1"/>
          <w:sz w:val="21"/>
          <w:szCs w:val="21"/>
          <w:lang w:val="es-ES" w:eastAsia="en-US"/>
        </w:rPr>
      </w:pPr>
      <w:r w:rsidRPr="007B4401">
        <w:rPr>
          <w:rFonts w:ascii="Arial" w:eastAsia="Calibri" w:hAnsi="Arial" w:cs="Arial"/>
          <w:color w:val="000000" w:themeColor="text1"/>
          <w:sz w:val="21"/>
          <w:szCs w:val="21"/>
          <w:lang w:val="es-ES" w:eastAsia="en-US"/>
        </w:rPr>
        <w:lastRenderedPageBreak/>
        <w:t xml:space="preserve">Sobre el numeral anterior, tenemos las siguientes dudas respecto a su aplicación: </w:t>
      </w:r>
      <w:r w:rsidR="00A14F6F" w:rsidRPr="007B4401">
        <w:rPr>
          <w:rFonts w:ascii="Arial" w:eastAsia="Calibri" w:hAnsi="Arial" w:cs="Arial"/>
          <w:bCs/>
          <w:color w:val="000000" w:themeColor="text1"/>
          <w:sz w:val="21"/>
          <w:szCs w:val="21"/>
          <w:lang w:val="es-ES" w:eastAsia="en-US"/>
        </w:rPr>
        <w:t xml:space="preserve">Supuesto 1: </w:t>
      </w:r>
      <w:r w:rsidRPr="007B4401">
        <w:rPr>
          <w:rFonts w:ascii="Arial" w:eastAsia="Calibri" w:hAnsi="Arial" w:cs="Arial"/>
          <w:color w:val="000000" w:themeColor="text1"/>
          <w:sz w:val="21"/>
          <w:szCs w:val="21"/>
          <w:lang w:val="es-ES" w:eastAsia="en-US"/>
        </w:rPr>
        <w:t xml:space="preserve">El objeto de la convocatoria es la construcción de una </w:t>
      </w:r>
      <w:proofErr w:type="spellStart"/>
      <w:r w:rsidRPr="007B4401">
        <w:rPr>
          <w:rFonts w:ascii="Arial" w:eastAsia="Calibri" w:hAnsi="Arial" w:cs="Arial"/>
          <w:color w:val="000000" w:themeColor="text1"/>
          <w:sz w:val="21"/>
          <w:szCs w:val="21"/>
          <w:lang w:val="es-ES" w:eastAsia="en-US"/>
        </w:rPr>
        <w:t>via</w:t>
      </w:r>
      <w:proofErr w:type="spellEnd"/>
      <w:r w:rsidRPr="007B4401">
        <w:rPr>
          <w:rFonts w:ascii="Arial" w:eastAsia="Calibri" w:hAnsi="Arial" w:cs="Arial"/>
          <w:color w:val="000000" w:themeColor="text1"/>
          <w:sz w:val="21"/>
          <w:szCs w:val="21"/>
          <w:lang w:val="es-ES" w:eastAsia="en-US"/>
        </w:rPr>
        <w:t xml:space="preserve"> urbana, y dentro del presupuesto se evidencian actividades ajenas a la infraestructura de transporte, </w:t>
      </w:r>
      <w:proofErr w:type="gramStart"/>
      <w:r w:rsidRPr="007B4401">
        <w:rPr>
          <w:rFonts w:ascii="Arial" w:eastAsia="Calibri" w:hAnsi="Arial" w:cs="Arial"/>
          <w:color w:val="000000" w:themeColor="text1"/>
          <w:sz w:val="21"/>
          <w:szCs w:val="21"/>
          <w:lang w:val="es-ES" w:eastAsia="en-US"/>
        </w:rPr>
        <w:t>como</w:t>
      </w:r>
      <w:proofErr w:type="gramEnd"/>
      <w:r w:rsidRPr="007B4401">
        <w:rPr>
          <w:rFonts w:ascii="Arial" w:eastAsia="Calibri" w:hAnsi="Arial" w:cs="Arial"/>
          <w:color w:val="000000" w:themeColor="text1"/>
          <w:sz w:val="21"/>
          <w:szCs w:val="21"/>
          <w:lang w:val="es-ES" w:eastAsia="en-US"/>
        </w:rPr>
        <w:t xml:space="preserve"> por ejempl</w:t>
      </w:r>
      <w:r w:rsidR="00A14F6F" w:rsidRPr="007B4401">
        <w:rPr>
          <w:rFonts w:ascii="Arial" w:eastAsia="Calibri" w:hAnsi="Arial" w:cs="Arial"/>
          <w:color w:val="000000" w:themeColor="text1"/>
          <w:sz w:val="21"/>
          <w:szCs w:val="21"/>
          <w:lang w:val="es-ES" w:eastAsia="en-US"/>
        </w:rPr>
        <w:t xml:space="preserve">o: redes de servicios públicos. </w:t>
      </w:r>
      <w:r w:rsidRPr="007B4401">
        <w:rPr>
          <w:rFonts w:ascii="Arial" w:eastAsia="Calibri" w:hAnsi="Arial" w:cs="Arial"/>
          <w:color w:val="000000" w:themeColor="text1"/>
          <w:sz w:val="21"/>
          <w:szCs w:val="21"/>
          <w:lang w:val="es-ES" w:eastAsia="en-US"/>
        </w:rPr>
        <w:t xml:space="preserve">El proponente al presentar su oferta allega un contrato cuyo objeto es la construcción de una </w:t>
      </w:r>
      <w:proofErr w:type="spellStart"/>
      <w:r w:rsidRPr="007B4401">
        <w:rPr>
          <w:rFonts w:ascii="Arial" w:eastAsia="Calibri" w:hAnsi="Arial" w:cs="Arial"/>
          <w:color w:val="000000" w:themeColor="text1"/>
          <w:sz w:val="21"/>
          <w:szCs w:val="21"/>
          <w:lang w:val="es-ES" w:eastAsia="en-US"/>
        </w:rPr>
        <w:t>via</w:t>
      </w:r>
      <w:proofErr w:type="spellEnd"/>
      <w:r w:rsidRPr="007B4401">
        <w:rPr>
          <w:rFonts w:ascii="Arial" w:eastAsia="Calibri" w:hAnsi="Arial" w:cs="Arial"/>
          <w:color w:val="000000" w:themeColor="text1"/>
          <w:sz w:val="21"/>
          <w:szCs w:val="21"/>
          <w:lang w:val="es-ES" w:eastAsia="en-US"/>
        </w:rPr>
        <w:t xml:space="preserve"> urbana, pero en sus actividades tiene algunas ajenas a la infraestructura de transporte, como son las re</w:t>
      </w:r>
      <w:r w:rsidR="00A14F6F" w:rsidRPr="007B4401">
        <w:rPr>
          <w:rFonts w:ascii="Arial" w:eastAsia="Calibri" w:hAnsi="Arial" w:cs="Arial"/>
          <w:color w:val="000000" w:themeColor="text1"/>
          <w:sz w:val="21"/>
          <w:szCs w:val="21"/>
          <w:lang w:val="es-ES" w:eastAsia="en-US"/>
        </w:rPr>
        <w:t xml:space="preserve">des de servicios públicos. </w:t>
      </w:r>
      <w:r w:rsidRPr="007B4401">
        <w:rPr>
          <w:rFonts w:ascii="Arial" w:eastAsia="Calibri" w:hAnsi="Arial" w:cs="Arial"/>
          <w:color w:val="000000" w:themeColor="text1"/>
          <w:sz w:val="21"/>
          <w:szCs w:val="21"/>
          <w:lang w:val="es-ES" w:eastAsia="en-US"/>
        </w:rPr>
        <w:t>1.</w:t>
      </w:r>
      <w:r w:rsidR="00A14F6F" w:rsidRPr="007B4401">
        <w:rPr>
          <w:rFonts w:ascii="Arial" w:eastAsia="Calibri" w:hAnsi="Arial" w:cs="Arial"/>
          <w:color w:val="000000" w:themeColor="text1"/>
          <w:sz w:val="21"/>
          <w:szCs w:val="21"/>
          <w:lang w:val="es-ES" w:eastAsia="en-US"/>
        </w:rPr>
        <w:t xml:space="preserve"> </w:t>
      </w:r>
      <w:proofErr w:type="gramStart"/>
      <w:r w:rsidRPr="007B4401">
        <w:rPr>
          <w:rFonts w:ascii="Arial" w:eastAsia="Calibri" w:hAnsi="Arial" w:cs="Arial"/>
          <w:color w:val="000000" w:themeColor="text1"/>
          <w:sz w:val="21"/>
          <w:szCs w:val="21"/>
          <w:lang w:val="es-ES" w:eastAsia="en-US"/>
        </w:rPr>
        <w:t>Debe la entidad desagregar el valor y descontar estas actividades, a pesar que en el mismo proyecto a contratar se co</w:t>
      </w:r>
      <w:r w:rsidR="00A14F6F" w:rsidRPr="007B4401">
        <w:rPr>
          <w:rFonts w:ascii="Arial" w:eastAsia="Calibri" w:hAnsi="Arial" w:cs="Arial"/>
          <w:color w:val="000000" w:themeColor="text1"/>
          <w:sz w:val="21"/>
          <w:szCs w:val="21"/>
          <w:lang w:val="es-ES" w:eastAsia="en-US"/>
        </w:rPr>
        <w:t>ntemplan actividades similares?</w:t>
      </w:r>
      <w:proofErr w:type="gramEnd"/>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bCs/>
          <w:color w:val="000000" w:themeColor="text1"/>
          <w:sz w:val="21"/>
          <w:szCs w:val="21"/>
          <w:lang w:val="es-ES" w:eastAsia="en-US"/>
        </w:rPr>
        <w:t>Supuesto 2:</w:t>
      </w:r>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Otro proponente aporta un contrato cuyo objeto es l</w:t>
      </w:r>
      <w:r w:rsidR="00A14F6F" w:rsidRPr="007B4401">
        <w:rPr>
          <w:rFonts w:ascii="Arial" w:eastAsia="Calibri" w:hAnsi="Arial" w:cs="Arial"/>
          <w:color w:val="000000" w:themeColor="text1"/>
          <w:sz w:val="21"/>
          <w:szCs w:val="21"/>
          <w:lang w:val="es-ES" w:eastAsia="en-US"/>
        </w:rPr>
        <w:t xml:space="preserve">a reposición de redes de </w:t>
      </w:r>
      <w:r w:rsidRPr="007B4401">
        <w:rPr>
          <w:rFonts w:ascii="Arial" w:eastAsia="Calibri" w:hAnsi="Arial" w:cs="Arial"/>
          <w:color w:val="000000" w:themeColor="text1"/>
          <w:sz w:val="21"/>
          <w:szCs w:val="21"/>
          <w:lang w:val="es-ES" w:eastAsia="en-US"/>
        </w:rPr>
        <w:t xml:space="preserve">servicios públicos, pero en su alcance se especifica la construcción de una vía urbana. 1. </w:t>
      </w:r>
      <w:proofErr w:type="gramStart"/>
      <w:r w:rsidRPr="007B4401">
        <w:rPr>
          <w:rFonts w:ascii="Arial" w:eastAsia="Calibri" w:hAnsi="Arial" w:cs="Arial"/>
          <w:color w:val="000000" w:themeColor="text1"/>
          <w:sz w:val="21"/>
          <w:szCs w:val="21"/>
          <w:lang w:val="es-ES" w:eastAsia="en-US"/>
        </w:rPr>
        <w:t>Debe la entidad desagregar el valor y descontar estas actividades, a pesar que en el mismo proyecto a contratar se contemplan actividades similares?</w:t>
      </w:r>
      <w:proofErr w:type="gramEnd"/>
      <w:r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bCs/>
          <w:color w:val="000000" w:themeColor="text1"/>
          <w:sz w:val="21"/>
          <w:szCs w:val="21"/>
          <w:lang w:val="es-ES" w:eastAsia="en-US"/>
        </w:rPr>
        <w:t>Supuesto 3:</w:t>
      </w:r>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El objeto de la convocatoria es la construcción de el plan maestro de a</w:t>
      </w:r>
      <w:r w:rsidR="00A14F6F" w:rsidRPr="007B4401">
        <w:rPr>
          <w:rFonts w:ascii="Arial" w:eastAsia="Calibri" w:hAnsi="Arial" w:cs="Arial"/>
          <w:color w:val="000000" w:themeColor="text1"/>
          <w:sz w:val="21"/>
          <w:szCs w:val="21"/>
          <w:lang w:val="es-ES" w:eastAsia="en-US"/>
        </w:rPr>
        <w:t xml:space="preserve">lcantarillado del municipio X. </w:t>
      </w:r>
      <w:r w:rsidRPr="007B4401">
        <w:rPr>
          <w:rFonts w:ascii="Arial" w:eastAsia="Calibri" w:hAnsi="Arial" w:cs="Arial"/>
          <w:color w:val="000000" w:themeColor="text1"/>
          <w:sz w:val="21"/>
          <w:szCs w:val="21"/>
          <w:lang w:val="es-ES" w:eastAsia="en-US"/>
        </w:rPr>
        <w:t>El proponente al presentar su oferta allega un contrato cuyo objeto es la construcción del plan maestro de acueducto y a</w:t>
      </w:r>
      <w:r w:rsidR="00A14F6F" w:rsidRPr="007B4401">
        <w:rPr>
          <w:rFonts w:ascii="Arial" w:eastAsia="Calibri" w:hAnsi="Arial" w:cs="Arial"/>
          <w:color w:val="000000" w:themeColor="text1"/>
          <w:sz w:val="21"/>
          <w:szCs w:val="21"/>
          <w:lang w:val="es-ES" w:eastAsia="en-US"/>
        </w:rPr>
        <w:t xml:space="preserve">lcantarillado del municipio Y. </w:t>
      </w:r>
      <w:r w:rsidRPr="007B4401">
        <w:rPr>
          <w:rFonts w:ascii="Arial" w:eastAsia="Calibri" w:hAnsi="Arial" w:cs="Arial"/>
          <w:bCs/>
          <w:color w:val="000000" w:themeColor="text1"/>
          <w:sz w:val="21"/>
          <w:szCs w:val="21"/>
          <w:lang w:val="es-ES" w:eastAsia="en-US"/>
        </w:rPr>
        <w:t>1.</w:t>
      </w:r>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 xml:space="preserve">Debe la entidad desagregar el valor de obras de acueducto y alcantarillado, a pesar que en el objeto total del proyecto aportado se enmarca en obras de saneamiento básico. </w:t>
      </w:r>
      <w:r w:rsidRPr="007B4401">
        <w:rPr>
          <w:rFonts w:ascii="Arial" w:eastAsia="Calibri" w:hAnsi="Arial" w:cs="Arial"/>
          <w:bCs/>
          <w:color w:val="000000" w:themeColor="text1"/>
          <w:sz w:val="21"/>
          <w:szCs w:val="21"/>
          <w:lang w:val="es-ES" w:eastAsia="en-US"/>
        </w:rPr>
        <w:t>2.</w:t>
      </w:r>
      <w:r w:rsidRPr="007B4401">
        <w:rPr>
          <w:rFonts w:ascii="Arial" w:eastAsia="Calibri" w:hAnsi="Arial" w:cs="Arial"/>
          <w:color w:val="000000" w:themeColor="text1"/>
          <w:sz w:val="21"/>
          <w:szCs w:val="21"/>
          <w:lang w:val="es-ES" w:eastAsia="en-US"/>
        </w:rPr>
        <w:t xml:space="preserve">Si en el contrato aportado, en sus actividades se ejecutaron obras de pavimentación asociadas a la infraestructura de transporte. Debe la entidad desagregar este valor, así el objeto contractual del proyecto sea saneamiento básico. </w:t>
      </w:r>
      <w:r w:rsidRPr="007B4401">
        <w:rPr>
          <w:rFonts w:ascii="Arial" w:eastAsia="Calibri" w:hAnsi="Arial" w:cs="Arial"/>
          <w:bCs/>
          <w:color w:val="000000" w:themeColor="text1"/>
          <w:sz w:val="21"/>
          <w:szCs w:val="21"/>
          <w:lang w:val="es-ES" w:eastAsia="en-US"/>
        </w:rPr>
        <w:t>3.</w:t>
      </w:r>
      <w:r w:rsidRPr="007B4401">
        <w:rPr>
          <w:rFonts w:ascii="Arial" w:eastAsia="Calibri" w:hAnsi="Arial" w:cs="Arial"/>
          <w:color w:val="000000" w:themeColor="text1"/>
          <w:sz w:val="21"/>
          <w:szCs w:val="21"/>
          <w:lang w:val="es-ES" w:eastAsia="en-US"/>
        </w:rPr>
        <w:t xml:space="preserve">Si en el contrato aportado, en sus actividades se ejecutaron obras de pavimentación asociadas a la infraestructura de transporte. </w:t>
      </w:r>
      <w:proofErr w:type="gramStart"/>
      <w:r w:rsidRPr="007B4401">
        <w:rPr>
          <w:rFonts w:ascii="Arial" w:eastAsia="Calibri" w:hAnsi="Arial" w:cs="Arial"/>
          <w:color w:val="000000" w:themeColor="text1"/>
          <w:sz w:val="21"/>
          <w:szCs w:val="21"/>
          <w:lang w:val="es-ES" w:eastAsia="en-US"/>
        </w:rPr>
        <w:t>Debe la entidad desagregar este valor, así en el proceso a contratar se encuentren contempladas actividades similares?</w:t>
      </w:r>
      <w:proofErr w:type="gramEnd"/>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bCs/>
          <w:color w:val="000000" w:themeColor="text1"/>
          <w:sz w:val="21"/>
          <w:szCs w:val="21"/>
          <w:lang w:val="es-ES" w:eastAsia="en-US"/>
        </w:rPr>
        <w:t>Supuesto 4:</w:t>
      </w:r>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El objeto de la convocatoria es</w:t>
      </w:r>
      <w:r w:rsidR="00A14F6F" w:rsidRPr="007B4401">
        <w:rPr>
          <w:rFonts w:ascii="Arial" w:eastAsia="Calibri" w:hAnsi="Arial" w:cs="Arial"/>
          <w:color w:val="000000" w:themeColor="text1"/>
          <w:sz w:val="21"/>
          <w:szCs w:val="21"/>
          <w:lang w:val="es-ES" w:eastAsia="en-US"/>
        </w:rPr>
        <w:t xml:space="preserve"> la construcción de un puente. </w:t>
      </w:r>
      <w:r w:rsidRPr="007B4401">
        <w:rPr>
          <w:rFonts w:ascii="Arial" w:eastAsia="Calibri" w:hAnsi="Arial" w:cs="Arial"/>
          <w:color w:val="000000" w:themeColor="text1"/>
          <w:sz w:val="21"/>
          <w:szCs w:val="21"/>
          <w:lang w:val="es-ES" w:eastAsia="en-US"/>
        </w:rPr>
        <w:t>El proponente al presentar su oferta allega un contrato cuyo objeto es la construcción de una vía y en su alcance se contempla</w:t>
      </w:r>
      <w:r w:rsidR="00A14F6F" w:rsidRPr="007B4401">
        <w:rPr>
          <w:rFonts w:ascii="Arial" w:eastAsia="Calibri" w:hAnsi="Arial" w:cs="Arial"/>
          <w:color w:val="000000" w:themeColor="text1"/>
          <w:sz w:val="21"/>
          <w:szCs w:val="21"/>
          <w:lang w:val="es-ES" w:eastAsia="en-US"/>
        </w:rPr>
        <w:t xml:space="preserve"> la construcción de un puente. </w:t>
      </w:r>
      <w:r w:rsidRPr="007B4401">
        <w:rPr>
          <w:rFonts w:ascii="Arial" w:eastAsia="Calibri" w:hAnsi="Arial" w:cs="Arial"/>
          <w:bCs/>
          <w:color w:val="000000" w:themeColor="text1"/>
          <w:sz w:val="21"/>
          <w:szCs w:val="21"/>
          <w:lang w:val="es-ES" w:eastAsia="en-US"/>
        </w:rPr>
        <w:t>1.</w:t>
      </w:r>
      <w:r w:rsidR="00D1555C"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 xml:space="preserve">Debe la entidad desagregar el valor de obras, a pesar que en el objeto total del proyecto aportado se enmarca en obras de infraestructura de transporte. </w:t>
      </w:r>
      <w:r w:rsidRPr="007B4401">
        <w:rPr>
          <w:rFonts w:ascii="Arial" w:eastAsia="Calibri" w:hAnsi="Arial" w:cs="Arial"/>
          <w:bCs/>
          <w:color w:val="000000" w:themeColor="text1"/>
          <w:sz w:val="21"/>
          <w:szCs w:val="21"/>
          <w:lang w:val="es-ES" w:eastAsia="en-US"/>
        </w:rPr>
        <w:t>2.</w:t>
      </w:r>
      <w:r w:rsidR="00D1555C"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 xml:space="preserve">Si en el contrato aportado, en sus actividades se ejecutaron obras de pavimentación asociadas a la infraestructura de transporte. </w:t>
      </w:r>
      <w:proofErr w:type="gramStart"/>
      <w:r w:rsidRPr="007B4401">
        <w:rPr>
          <w:rFonts w:ascii="Arial" w:eastAsia="Calibri" w:hAnsi="Arial" w:cs="Arial"/>
          <w:color w:val="000000" w:themeColor="text1"/>
          <w:sz w:val="21"/>
          <w:szCs w:val="21"/>
          <w:lang w:val="es-ES" w:eastAsia="en-US"/>
        </w:rPr>
        <w:t>Debe la entidad desagregar este valor, así en el proceso a contratar se encuentren contempladas actividades similares?</w:t>
      </w:r>
      <w:proofErr w:type="gramEnd"/>
      <w:r w:rsidR="00A14F6F" w:rsidRPr="007B4401">
        <w:rPr>
          <w:rFonts w:ascii="Arial" w:eastAsia="Calibri" w:hAnsi="Arial" w:cs="Arial"/>
          <w:color w:val="000000" w:themeColor="text1"/>
          <w:sz w:val="21"/>
          <w:szCs w:val="21"/>
          <w:lang w:val="es-ES" w:eastAsia="en-US"/>
        </w:rPr>
        <w:t xml:space="preserve"> </w:t>
      </w:r>
      <w:r w:rsidRPr="007B4401">
        <w:rPr>
          <w:rFonts w:ascii="Arial" w:eastAsia="Calibri" w:hAnsi="Arial" w:cs="Arial"/>
          <w:bCs/>
          <w:color w:val="000000" w:themeColor="text1"/>
          <w:sz w:val="21"/>
          <w:szCs w:val="21"/>
          <w:lang w:val="es-ES" w:eastAsia="en-US"/>
        </w:rPr>
        <w:t>Observaciones generales:</w:t>
      </w:r>
      <w:r w:rsidRPr="007B4401">
        <w:rPr>
          <w:rFonts w:ascii="Arial" w:eastAsia="Symbol" w:hAnsi="Arial" w:cs="Arial"/>
          <w:color w:val="000000" w:themeColor="text1"/>
          <w:sz w:val="21"/>
          <w:szCs w:val="21"/>
          <w:lang w:val="es-ES" w:eastAsia="en-US"/>
        </w:rPr>
        <w:t xml:space="preserve"> </w:t>
      </w:r>
      <w:proofErr w:type="gramStart"/>
      <w:r w:rsidRPr="007B4401">
        <w:rPr>
          <w:rFonts w:ascii="Arial" w:eastAsia="Calibri" w:hAnsi="Arial" w:cs="Arial"/>
          <w:color w:val="000000" w:themeColor="text1"/>
          <w:sz w:val="21"/>
          <w:szCs w:val="21"/>
          <w:lang w:val="es-ES" w:eastAsia="en-US"/>
        </w:rPr>
        <w:t xml:space="preserve">Un contrato cuyo objeto se enmarque en su totalidad de infraestructura de transporte, y sea utilizado para un proyecto tipo de infraestructura de transporte, puede </w:t>
      </w:r>
      <w:r w:rsidR="00A14F6F" w:rsidRPr="007B4401">
        <w:rPr>
          <w:rFonts w:ascii="Arial" w:eastAsia="Calibri" w:hAnsi="Arial" w:cs="Arial"/>
          <w:color w:val="000000" w:themeColor="text1"/>
          <w:sz w:val="21"/>
          <w:szCs w:val="21"/>
          <w:lang w:val="es-ES" w:eastAsia="en-US"/>
        </w:rPr>
        <w:t>ser desagregado por la entidad?</w:t>
      </w:r>
      <w:proofErr w:type="gramEnd"/>
      <w:r w:rsidRPr="007B4401">
        <w:rPr>
          <w:rFonts w:ascii="Arial" w:eastAsia="Symbol" w:hAnsi="Arial" w:cs="Arial"/>
          <w:color w:val="000000" w:themeColor="text1"/>
          <w:sz w:val="21"/>
          <w:szCs w:val="21"/>
          <w:lang w:val="es-ES" w:eastAsia="en-US"/>
        </w:rPr>
        <w:t xml:space="preserve"> </w:t>
      </w:r>
      <w:r w:rsidRPr="007B4401">
        <w:rPr>
          <w:rFonts w:ascii="Arial" w:eastAsia="Calibri" w:hAnsi="Arial" w:cs="Arial"/>
          <w:color w:val="000000" w:themeColor="text1"/>
          <w:sz w:val="21"/>
          <w:szCs w:val="21"/>
          <w:lang w:val="es-ES" w:eastAsia="en-US"/>
        </w:rPr>
        <w:t xml:space="preserve">Si el objeto principal del proceso de selección es de infraestructura de transporte, pero en su alcance se evidencian actividades de otro tipo de actividades (espacio público, redes de servicios públicos) como se debería evaluar la experiencia aporta y desagregar el valor aportado. </w:t>
      </w:r>
    </w:p>
    <w:p w14:paraId="212CA233" w14:textId="77777777" w:rsidR="007D431B" w:rsidRPr="007B4401" w:rsidRDefault="007D431B" w:rsidP="00D1555C">
      <w:pPr>
        <w:ind w:left="709" w:right="709"/>
        <w:jc w:val="both"/>
        <w:rPr>
          <w:rFonts w:ascii="Arial" w:eastAsia="Calibri" w:hAnsi="Arial" w:cs="Arial"/>
          <w:color w:val="000000" w:themeColor="text1"/>
          <w:sz w:val="21"/>
          <w:szCs w:val="21"/>
          <w:lang w:val="es-ES" w:eastAsia="en-US"/>
        </w:rPr>
      </w:pPr>
    </w:p>
    <w:p w14:paraId="0805FA57" w14:textId="5AE68B70" w:rsidR="003F20E9" w:rsidRPr="007B4401" w:rsidRDefault="003F20E9" w:rsidP="00D1555C">
      <w:pPr>
        <w:ind w:left="709" w:right="709"/>
        <w:jc w:val="both"/>
        <w:rPr>
          <w:rFonts w:eastAsia="Calibri"/>
          <w:color w:val="000000" w:themeColor="text1"/>
          <w:lang w:val="es-ES" w:eastAsia="en-US"/>
        </w:rPr>
      </w:pPr>
      <w:r w:rsidRPr="007B4401">
        <w:rPr>
          <w:rFonts w:ascii="Arial" w:eastAsia="Calibri" w:hAnsi="Arial" w:cs="Arial"/>
          <w:color w:val="000000" w:themeColor="text1"/>
          <w:sz w:val="21"/>
          <w:szCs w:val="21"/>
          <w:lang w:val="es-ES" w:eastAsia="en-US"/>
        </w:rPr>
        <w:t>3. Para procesos de saneamiento básico, cuyo objeto a contratar sea la construcción de unidades sanitarias, solicitamos aclarar que</w:t>
      </w:r>
      <w:r w:rsidR="00186522" w:rsidRPr="007B4401">
        <w:rPr>
          <w:rFonts w:ascii="Arial" w:eastAsia="Calibri" w:hAnsi="Arial" w:cs="Arial"/>
          <w:color w:val="000000" w:themeColor="text1"/>
          <w:sz w:val="21"/>
          <w:szCs w:val="21"/>
          <w:lang w:val="es-ES" w:eastAsia="en-US"/>
        </w:rPr>
        <w:t xml:space="preserve"> (sic)</w:t>
      </w:r>
      <w:r w:rsidRPr="007B4401">
        <w:rPr>
          <w:rFonts w:ascii="Arial" w:eastAsia="Calibri" w:hAnsi="Arial" w:cs="Arial"/>
          <w:color w:val="000000" w:themeColor="text1"/>
          <w:sz w:val="21"/>
          <w:szCs w:val="21"/>
          <w:lang w:val="es-ES" w:eastAsia="en-US"/>
        </w:rPr>
        <w:t xml:space="preserve"> tipo de obras se enmarcan en PROYECTOS QUE HAYAN CONTEMPLADO ACTIVIDADES DE: CONSTRUCCIÓN Y/O INSTALACIÓN DE REDES HIDROSANITARIAS</w:t>
      </w:r>
      <w:r w:rsidR="00D1555C" w:rsidRPr="007B4401">
        <w:rPr>
          <w:rFonts w:ascii="Arial" w:eastAsiaTheme="minorHAnsi" w:hAnsi="Arial" w:cs="Arial"/>
          <w:color w:val="000000" w:themeColor="text1"/>
          <w:sz w:val="21"/>
          <w:szCs w:val="21"/>
          <w:lang w:val="es-ES" w:eastAsia="en-US"/>
        </w:rPr>
        <w:t>»</w:t>
      </w:r>
      <w:r w:rsidRPr="007B4401">
        <w:rPr>
          <w:rFonts w:eastAsia="Calibri"/>
          <w:color w:val="000000" w:themeColor="text1"/>
          <w:lang w:val="es-ES" w:eastAsia="en-US"/>
        </w:rPr>
        <w:t>.</w:t>
      </w:r>
    </w:p>
    <w:p w14:paraId="4599CE94" w14:textId="77777777" w:rsidR="00D1555C" w:rsidRPr="007B4401" w:rsidRDefault="00D1555C" w:rsidP="00D1555C">
      <w:pPr>
        <w:ind w:left="709" w:right="709"/>
        <w:jc w:val="both"/>
        <w:rPr>
          <w:rFonts w:ascii="Arial" w:eastAsia="Calibri" w:hAnsi="Arial" w:cs="Arial"/>
          <w:color w:val="000000" w:themeColor="text1"/>
          <w:sz w:val="21"/>
          <w:szCs w:val="21"/>
          <w:lang w:val="es-ES" w:eastAsia="en-US"/>
        </w:rPr>
      </w:pPr>
    </w:p>
    <w:p w14:paraId="0DD555B1" w14:textId="77777777" w:rsidR="004B3B91" w:rsidRPr="007B4401" w:rsidRDefault="004B3B91" w:rsidP="004B3B9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B4401">
        <w:rPr>
          <w:rFonts w:ascii="Arial" w:eastAsia="Calibri" w:hAnsi="Arial" w:cs="Arial"/>
          <w:b/>
          <w:color w:val="000000" w:themeColor="text1"/>
          <w:sz w:val="22"/>
          <w:lang w:val="es-ES_tradnl"/>
        </w:rPr>
        <w:t>Consideraciones</w:t>
      </w:r>
    </w:p>
    <w:p w14:paraId="4C451CF3" w14:textId="77777777" w:rsidR="004B3B91" w:rsidRPr="007B4401" w:rsidRDefault="004B3B91" w:rsidP="004B3B91">
      <w:pPr>
        <w:spacing w:line="276" w:lineRule="auto"/>
        <w:jc w:val="both"/>
        <w:rPr>
          <w:rFonts w:ascii="Arial" w:eastAsia="Calibri" w:hAnsi="Arial" w:cs="Arial"/>
          <w:color w:val="000000" w:themeColor="text1"/>
          <w:sz w:val="22"/>
          <w:szCs w:val="22"/>
          <w:lang w:val="es-ES_tradnl"/>
        </w:rPr>
      </w:pPr>
    </w:p>
    <w:p w14:paraId="12747238" w14:textId="2635BBA7" w:rsidR="004B3B91" w:rsidRPr="007B4401" w:rsidRDefault="004B3B91" w:rsidP="004B3B91">
      <w:pPr>
        <w:spacing w:line="276" w:lineRule="auto"/>
        <w:jc w:val="both"/>
        <w:rPr>
          <w:rFonts w:ascii="Arial" w:hAnsi="Arial" w:cs="Arial"/>
          <w:color w:val="000000" w:themeColor="text1"/>
          <w:sz w:val="22"/>
          <w:lang w:val="es-ES_tradnl"/>
        </w:rPr>
      </w:pPr>
      <w:r w:rsidRPr="007B4401">
        <w:rPr>
          <w:rFonts w:ascii="Arial" w:hAnsi="Arial" w:cs="Arial"/>
          <w:color w:val="000000" w:themeColor="text1"/>
          <w:sz w:val="22"/>
          <w:lang w:val="es-ES_tradnl"/>
        </w:rPr>
        <w:lastRenderedPageBreak/>
        <w:t xml:space="preserve">Para resolver su consulta, se analizarán los siguientes temas: </w:t>
      </w:r>
      <w:r w:rsidRPr="009F4A13">
        <w:rPr>
          <w:rFonts w:ascii="Arial" w:hAnsi="Arial" w:cs="Arial"/>
          <w:color w:val="000000" w:themeColor="text1"/>
          <w:sz w:val="22"/>
          <w:lang w:val="es-ES_tradnl"/>
        </w:rPr>
        <w:t>i) régimen sancionatorio en el Estatuto General de Contratación de la Administración Pública</w:t>
      </w:r>
      <w:r w:rsidR="001E72BA" w:rsidRPr="007B4401">
        <w:rPr>
          <w:rFonts w:ascii="Arial" w:hAnsi="Arial" w:cs="Arial"/>
          <w:color w:val="000000" w:themeColor="text1"/>
          <w:sz w:val="22"/>
          <w:lang w:val="es-ES_tradnl"/>
        </w:rPr>
        <w:t>;</w:t>
      </w:r>
      <w:r w:rsidRPr="009F4A13">
        <w:rPr>
          <w:rFonts w:ascii="Arial" w:hAnsi="Arial" w:cs="Arial"/>
          <w:color w:val="000000" w:themeColor="text1"/>
          <w:sz w:val="22"/>
          <w:lang w:val="es-ES_tradnl"/>
        </w:rPr>
        <w:t xml:space="preserve"> ii) procedimiento administrativo sancionatorio contractual previsto en el artículo 86 de la Ley 1474 de 2011</w:t>
      </w:r>
      <w:r w:rsidR="001E72BA" w:rsidRPr="007B4401">
        <w:rPr>
          <w:rFonts w:ascii="Arial" w:hAnsi="Arial" w:cs="Arial"/>
          <w:color w:val="000000" w:themeColor="text1"/>
          <w:sz w:val="22"/>
          <w:lang w:val="es-ES_tradnl"/>
        </w:rPr>
        <w:t>;</w:t>
      </w:r>
      <w:r w:rsidRPr="009F4A13">
        <w:rPr>
          <w:rFonts w:ascii="Arial" w:hAnsi="Arial" w:cs="Arial"/>
          <w:color w:val="000000" w:themeColor="text1"/>
          <w:sz w:val="22"/>
          <w:lang w:val="es-ES_tradnl"/>
        </w:rPr>
        <w:t xml:space="preserve"> iii) alcance de la reducción de puntaje por incumplimiento de contratos estatales, establecida en el artículo 58 de la Ley 2195 de 2022</w:t>
      </w:r>
      <w:r w:rsidR="00584F50" w:rsidRPr="009F4A13">
        <w:rPr>
          <w:rFonts w:ascii="Arial" w:hAnsi="Arial" w:cs="Arial"/>
          <w:color w:val="000000" w:themeColor="text1"/>
          <w:sz w:val="22"/>
          <w:lang w:val="es-ES_tradnl"/>
        </w:rPr>
        <w:t xml:space="preserve">; </w:t>
      </w:r>
      <w:r w:rsidRPr="009F4A13">
        <w:rPr>
          <w:rFonts w:ascii="Arial" w:hAnsi="Arial" w:cs="Arial"/>
          <w:color w:val="000000" w:themeColor="text1"/>
          <w:sz w:val="22"/>
          <w:lang w:val="es-ES_tradnl"/>
        </w:rPr>
        <w:t>iv) vigencia de las normas jurídicas</w:t>
      </w:r>
      <w:r w:rsidR="00142355" w:rsidRPr="009F4A13">
        <w:rPr>
          <w:rFonts w:ascii="Arial" w:hAnsi="Arial" w:cs="Arial"/>
          <w:color w:val="000000" w:themeColor="text1"/>
          <w:sz w:val="22"/>
          <w:lang w:val="es-ES_tradnl"/>
        </w:rPr>
        <w:t>, concretamente del artículo 58 de la Ley 2195 de 2022</w:t>
      </w:r>
      <w:r w:rsidR="00D1555C" w:rsidRPr="009F4A13">
        <w:rPr>
          <w:rFonts w:ascii="Arial" w:hAnsi="Arial" w:cs="Arial"/>
          <w:color w:val="000000" w:themeColor="text1"/>
          <w:sz w:val="22"/>
          <w:lang w:val="es-ES_tradnl"/>
        </w:rPr>
        <w:t xml:space="preserve">; v) </w:t>
      </w:r>
      <w:r w:rsidR="00D1555C" w:rsidRPr="009F4A13">
        <w:rPr>
          <w:rFonts w:ascii="Arial" w:eastAsia="Calibri" w:hAnsi="Arial" w:cs="Arial"/>
          <w:bCs/>
          <w:color w:val="000000" w:themeColor="text1"/>
          <w:sz w:val="22"/>
          <w:lang w:val="es-ES_tradnl" w:eastAsia="en-GB"/>
        </w:rPr>
        <w:t xml:space="preserve">excepción a la reducción del puntaje conforme con el </w:t>
      </w:r>
      <w:r w:rsidR="00D1555C" w:rsidRPr="009F4A13">
        <w:rPr>
          <w:rFonts w:ascii="Arial" w:hAnsi="Arial" w:cs="Arial"/>
          <w:bCs/>
          <w:iCs/>
          <w:color w:val="000000" w:themeColor="text1"/>
          <w:sz w:val="22"/>
          <w:lang w:val="es-ES_tradnl"/>
        </w:rPr>
        <w:t>parágrafo primero del artículo 58 de la Ley 2195 de 2022</w:t>
      </w:r>
      <w:r w:rsidR="00D16195" w:rsidRPr="009F4A13">
        <w:rPr>
          <w:rFonts w:ascii="Arial" w:hAnsi="Arial" w:cs="Arial"/>
          <w:bCs/>
          <w:iCs/>
          <w:color w:val="000000" w:themeColor="text1"/>
          <w:sz w:val="22"/>
          <w:lang w:val="es-ES_tradnl"/>
        </w:rPr>
        <w:t>; vi) generalidades de los documentos tipo; vii)</w:t>
      </w:r>
      <w:r w:rsidR="002D6AB8" w:rsidRPr="009F4A13">
        <w:rPr>
          <w:rFonts w:ascii="Arial" w:hAnsi="Arial" w:cs="Arial"/>
          <w:bCs/>
          <w:iCs/>
          <w:color w:val="000000" w:themeColor="text1"/>
          <w:sz w:val="22"/>
          <w:lang w:val="es-ES_tradnl"/>
        </w:rPr>
        <w:t xml:space="preserve"> </w:t>
      </w:r>
      <w:r w:rsidR="001E72BA" w:rsidRPr="009F4A13">
        <w:rPr>
          <w:rFonts w:ascii="Arial" w:hAnsi="Arial" w:cs="Arial"/>
          <w:bCs/>
          <w:iCs/>
          <w:color w:val="000000" w:themeColor="text1"/>
          <w:sz w:val="22"/>
          <w:lang w:val="es-ES_tradnl"/>
        </w:rPr>
        <w:t>acreditación de la experiencia en procesos regidos por documentos tipo de infraestructura de transporte y de agua potable y saneamiento básico, cuando se acredita con contratos con pluralidad de actividades</w:t>
      </w:r>
      <w:r w:rsidR="002D6AB8" w:rsidRPr="009F4A13">
        <w:rPr>
          <w:rFonts w:ascii="Arial" w:hAnsi="Arial" w:cs="Arial"/>
          <w:bCs/>
          <w:iCs/>
          <w:color w:val="000000" w:themeColor="text1"/>
          <w:sz w:val="22"/>
          <w:lang w:val="es-ES_tradnl"/>
        </w:rPr>
        <w:t xml:space="preserve">; y viii) </w:t>
      </w:r>
      <w:r w:rsidR="001E72BA" w:rsidRPr="007B4401">
        <w:rPr>
          <w:rFonts w:ascii="Arial" w:hAnsi="Arial" w:cs="Arial"/>
          <w:bCs/>
          <w:iCs/>
          <w:color w:val="000000" w:themeColor="text1"/>
          <w:sz w:val="22"/>
          <w:lang w:val="es-ES_tradnl"/>
        </w:rPr>
        <w:t>la actividad 6.1 de la Matriz de Experiencia de los documentos tipo de licitación de obra pública de infraestructura de agua potable y saneamiento básico, relacionada con proyectos de construcción de unidades sanitarias para vivienda rural dispersa</w:t>
      </w:r>
      <w:r w:rsidR="002D6AB8" w:rsidRPr="009F4A13">
        <w:rPr>
          <w:rFonts w:ascii="Arial" w:eastAsia="Calibri" w:hAnsi="Arial" w:cs="Arial"/>
          <w:color w:val="000000" w:themeColor="text1"/>
          <w:sz w:val="22"/>
          <w:szCs w:val="22"/>
        </w:rPr>
        <w:t>.</w:t>
      </w:r>
    </w:p>
    <w:p w14:paraId="184E7CF4" w14:textId="30652961" w:rsidR="004B3B91" w:rsidRPr="007B4401" w:rsidRDefault="004B3B91" w:rsidP="00B05BEA">
      <w:pPr>
        <w:spacing w:before="120" w:line="276" w:lineRule="auto"/>
        <w:ind w:firstLine="709"/>
        <w:jc w:val="both"/>
        <w:rPr>
          <w:rFonts w:ascii="Arial" w:hAnsi="Arial" w:cs="Arial"/>
          <w:color w:val="000000" w:themeColor="text1"/>
          <w:sz w:val="22"/>
          <w:lang w:val="es-ES_tradnl"/>
        </w:rPr>
      </w:pPr>
      <w:r w:rsidRPr="007B4401">
        <w:rPr>
          <w:rFonts w:ascii="Arial" w:hAnsi="Arial" w:cs="Arial"/>
          <w:color w:val="000000" w:themeColor="text1"/>
          <w:sz w:val="22"/>
          <w:lang w:val="es-ES_tradnl"/>
        </w:rPr>
        <w:t xml:space="preserve">La Agencia Nacional de Contratación Pública – Colombia Compra Eficiente, en los conceptos C-147 del 17 de marzo de 2020, C-219 del 29 de abril de 2020, </w:t>
      </w:r>
      <w:r w:rsidRPr="007B4401">
        <w:rPr>
          <w:rFonts w:ascii="Arial" w:hAnsi="Arial" w:cs="Arial"/>
          <w:iCs/>
          <w:color w:val="000000" w:themeColor="text1"/>
          <w:sz w:val="22"/>
          <w:lang w:val="es-ES_tradnl"/>
        </w:rPr>
        <w:t>C-434 del 29 de julio de 2020, C-569 del 31 de agosto de 2020, C-641 del 4 de noviembre de 2020, C-060 del 8 de marzo de 2021</w:t>
      </w:r>
      <w:r w:rsidR="00094D03" w:rsidRPr="007B4401">
        <w:rPr>
          <w:rFonts w:ascii="Arial" w:hAnsi="Arial" w:cs="Arial"/>
          <w:iCs/>
          <w:color w:val="000000" w:themeColor="text1"/>
          <w:sz w:val="22"/>
          <w:lang w:val="es-ES_tradnl"/>
        </w:rPr>
        <w:t>,</w:t>
      </w:r>
      <w:r w:rsidRPr="007B4401">
        <w:rPr>
          <w:rFonts w:ascii="Arial" w:hAnsi="Arial" w:cs="Arial"/>
          <w:iCs/>
          <w:color w:val="000000" w:themeColor="text1"/>
          <w:sz w:val="22"/>
          <w:lang w:val="es-ES_tradnl"/>
        </w:rPr>
        <w:t xml:space="preserve"> C-528 del 5 de abril de 2021,</w:t>
      </w:r>
      <w:r w:rsidR="00C7183F" w:rsidRPr="007B4401">
        <w:rPr>
          <w:rFonts w:ascii="Arial" w:hAnsi="Arial" w:cs="Arial"/>
          <w:iCs/>
          <w:color w:val="000000" w:themeColor="text1"/>
          <w:sz w:val="22"/>
          <w:lang w:val="es-ES_tradnl"/>
        </w:rPr>
        <w:t xml:space="preserve"> C-420 del 25 de agosto de 2022,</w:t>
      </w:r>
      <w:r w:rsidRPr="007B4401">
        <w:rPr>
          <w:rFonts w:ascii="Arial" w:hAnsi="Arial" w:cs="Arial"/>
          <w:color w:val="000000" w:themeColor="text1"/>
          <w:sz w:val="22"/>
          <w:lang w:val="es-ES_tradnl"/>
        </w:rPr>
        <w:t xml:space="preserve"> </w:t>
      </w:r>
      <w:r w:rsidR="00FB45B3" w:rsidRPr="007B4401">
        <w:rPr>
          <w:rFonts w:ascii="Arial" w:hAnsi="Arial" w:cs="Arial"/>
          <w:color w:val="000000" w:themeColor="text1"/>
          <w:sz w:val="22"/>
          <w:lang w:val="es-ES_tradnl"/>
        </w:rPr>
        <w:t xml:space="preserve">C- 720 del 25 de enero de 2022, entre otros, </w:t>
      </w:r>
      <w:r w:rsidRPr="007B4401">
        <w:rPr>
          <w:rFonts w:ascii="Arial" w:hAnsi="Arial" w:cs="Arial"/>
          <w:color w:val="000000" w:themeColor="text1"/>
          <w:sz w:val="22"/>
          <w:lang w:val="es-ES_tradnl"/>
        </w:rPr>
        <w:t>estudió la potestad sancionatoria de las entidades estatales y el procedimiento administrativo que deben efectuar para declarar el incumplimiento y aplicar las sanciones correspondientes, destacando la necesidad de garantizar el debido proceso.</w:t>
      </w:r>
      <w:r w:rsidR="00253CBB" w:rsidRPr="007B4401">
        <w:rPr>
          <w:rFonts w:ascii="Arial" w:hAnsi="Arial" w:cs="Arial"/>
          <w:color w:val="000000" w:themeColor="text1"/>
          <w:sz w:val="22"/>
          <w:lang w:val="es-ES_tradnl"/>
        </w:rPr>
        <w:t xml:space="preserve"> Así mismo, se expidieron los siguientes conceptos </w:t>
      </w:r>
      <w:r w:rsidR="00B05BEA" w:rsidRPr="007B4401">
        <w:rPr>
          <w:rFonts w:ascii="Arial" w:hAnsi="Arial" w:cs="Arial"/>
          <w:color w:val="000000" w:themeColor="text1"/>
          <w:sz w:val="22"/>
          <w:lang w:val="es-ES_tradnl"/>
        </w:rPr>
        <w:t xml:space="preserve">C- 035 del 2 de marzo de 2022, </w:t>
      </w:r>
      <w:r w:rsidR="00253CBB" w:rsidRPr="007B4401">
        <w:rPr>
          <w:rFonts w:ascii="Arial" w:hAnsi="Arial" w:cs="Arial"/>
          <w:color w:val="000000" w:themeColor="text1"/>
          <w:sz w:val="22"/>
          <w:lang w:val="es-ES_tradnl"/>
        </w:rPr>
        <w:t>C</w:t>
      </w:r>
      <w:r w:rsidR="00B05BEA" w:rsidRPr="007B4401">
        <w:rPr>
          <w:rFonts w:ascii="Arial" w:hAnsi="Arial" w:cs="Arial"/>
          <w:color w:val="000000" w:themeColor="text1"/>
          <w:sz w:val="22"/>
          <w:lang w:val="es-ES_tradnl"/>
        </w:rPr>
        <w:t>-0</w:t>
      </w:r>
      <w:r w:rsidR="00253CBB" w:rsidRPr="007B4401">
        <w:rPr>
          <w:rFonts w:ascii="Arial" w:hAnsi="Arial" w:cs="Arial"/>
          <w:color w:val="000000" w:themeColor="text1"/>
          <w:sz w:val="22"/>
          <w:lang w:val="es-ES_tradnl"/>
        </w:rPr>
        <w:t xml:space="preserve">40 del 2 de marzo de 2022, </w:t>
      </w:r>
      <w:r w:rsidR="00B05BEA" w:rsidRPr="007B4401">
        <w:rPr>
          <w:rFonts w:ascii="Arial" w:hAnsi="Arial" w:cs="Arial"/>
          <w:color w:val="000000" w:themeColor="text1"/>
          <w:sz w:val="22"/>
          <w:lang w:val="es-ES_tradnl"/>
        </w:rPr>
        <w:t>C-061 del 8 de marzo de 2022</w:t>
      </w:r>
      <w:r w:rsidR="002E2C6A" w:rsidRPr="007B4401">
        <w:rPr>
          <w:rFonts w:ascii="Arial" w:hAnsi="Arial" w:cs="Arial"/>
          <w:color w:val="000000" w:themeColor="text1"/>
          <w:sz w:val="22"/>
          <w:lang w:val="es-ES_tradnl"/>
        </w:rPr>
        <w:t>, C-125 del 24 de marzo de 2022,</w:t>
      </w:r>
      <w:r w:rsidR="00B05BEA" w:rsidRPr="007B4401">
        <w:rPr>
          <w:rFonts w:ascii="Arial" w:hAnsi="Arial" w:cs="Arial"/>
          <w:color w:val="000000" w:themeColor="text1"/>
          <w:sz w:val="22"/>
          <w:lang w:val="es-ES_tradnl"/>
        </w:rPr>
        <w:t xml:space="preserve"> con respecto al alcance de</w:t>
      </w:r>
      <w:r w:rsidR="00B147DA" w:rsidRPr="007B4401">
        <w:rPr>
          <w:rFonts w:ascii="Arial" w:hAnsi="Arial" w:cs="Arial"/>
          <w:color w:val="000000" w:themeColor="text1"/>
          <w:sz w:val="22"/>
          <w:lang w:val="es-ES_tradnl"/>
        </w:rPr>
        <w:t xml:space="preserve"> la</w:t>
      </w:r>
      <w:r w:rsidR="00B05BEA" w:rsidRPr="007B4401">
        <w:rPr>
          <w:rFonts w:ascii="Arial" w:hAnsi="Arial" w:cs="Arial"/>
          <w:color w:val="000000" w:themeColor="text1"/>
          <w:sz w:val="22"/>
          <w:lang w:val="es-ES_tradnl"/>
        </w:rPr>
        <w:t xml:space="preserve"> interpretación y aplicación </w:t>
      </w:r>
      <w:r w:rsidRPr="007B4401">
        <w:rPr>
          <w:rFonts w:ascii="Arial" w:hAnsi="Arial" w:cs="Arial"/>
          <w:color w:val="000000" w:themeColor="text1"/>
          <w:sz w:val="22"/>
          <w:lang w:val="es-ES_tradnl"/>
        </w:rPr>
        <w:t>del artí</w:t>
      </w:r>
      <w:r w:rsidR="00B05BEA" w:rsidRPr="007B4401">
        <w:rPr>
          <w:rFonts w:ascii="Arial" w:hAnsi="Arial" w:cs="Arial"/>
          <w:color w:val="000000" w:themeColor="text1"/>
          <w:sz w:val="22"/>
          <w:lang w:val="es-ES_tradnl"/>
        </w:rPr>
        <w:t>culo 58 de la Ley 2195 de 2022</w:t>
      </w:r>
      <w:r w:rsidR="00094D03" w:rsidRPr="007B4401">
        <w:rPr>
          <w:rFonts w:ascii="Arial" w:hAnsi="Arial" w:cs="Arial"/>
          <w:color w:val="000000" w:themeColor="text1"/>
          <w:sz w:val="22"/>
          <w:lang w:val="es-ES_tradnl"/>
        </w:rPr>
        <w:t>, cuya tesis se reitera a continuación.</w:t>
      </w:r>
      <w:r w:rsidR="00B05BEA" w:rsidRPr="007B4401">
        <w:rPr>
          <w:rFonts w:ascii="Arial" w:hAnsi="Arial" w:cs="Arial"/>
          <w:color w:val="000000" w:themeColor="text1"/>
          <w:sz w:val="22"/>
          <w:lang w:val="es-ES_tradnl"/>
        </w:rPr>
        <w:t xml:space="preserve"> </w:t>
      </w:r>
    </w:p>
    <w:p w14:paraId="52A7E360" w14:textId="7979BCE6" w:rsidR="00254891" w:rsidRPr="007B4401" w:rsidRDefault="00584F50" w:rsidP="009F4A13">
      <w:pPr>
        <w:spacing w:before="120" w:after="120" w:line="276" w:lineRule="auto"/>
        <w:ind w:firstLine="709"/>
        <w:jc w:val="both"/>
        <w:rPr>
          <w:rFonts w:ascii="Arial" w:hAnsi="Arial" w:cs="Arial"/>
          <w:bCs/>
          <w:color w:val="000000" w:themeColor="text1"/>
          <w:sz w:val="22"/>
          <w:lang w:val="es-ES_tradnl"/>
        </w:rPr>
      </w:pPr>
      <w:r w:rsidRPr="007B4401">
        <w:rPr>
          <w:rFonts w:ascii="Arial" w:hAnsi="Arial" w:cs="Arial"/>
          <w:color w:val="000000" w:themeColor="text1"/>
          <w:sz w:val="22"/>
          <w:lang w:val="es-ES_tradnl"/>
        </w:rPr>
        <w:t xml:space="preserve">Con respecto a </w:t>
      </w:r>
      <w:r w:rsidR="00254891" w:rsidRPr="007B4401">
        <w:rPr>
          <w:rFonts w:ascii="Arial" w:hAnsi="Arial" w:cs="Arial"/>
          <w:color w:val="000000" w:themeColor="text1"/>
          <w:sz w:val="22"/>
          <w:lang w:val="es-ES_tradnl"/>
        </w:rPr>
        <w:t>la</w:t>
      </w:r>
      <w:r w:rsidR="00692C4D" w:rsidRPr="007B4401">
        <w:rPr>
          <w:rFonts w:ascii="Arial" w:hAnsi="Arial" w:cs="Arial"/>
          <w:color w:val="000000" w:themeColor="text1"/>
          <w:sz w:val="22"/>
          <w:lang w:val="es-ES_tradnl"/>
        </w:rPr>
        <w:t>s</w:t>
      </w:r>
      <w:r w:rsidR="00254891" w:rsidRPr="007B4401">
        <w:rPr>
          <w:rFonts w:ascii="Arial" w:hAnsi="Arial" w:cs="Arial"/>
          <w:color w:val="000000" w:themeColor="text1"/>
          <w:sz w:val="22"/>
          <w:lang w:val="es-ES_tradnl"/>
        </w:rPr>
        <w:t xml:space="preserve"> consultas que se realizaron de documentos tipo, </w:t>
      </w:r>
      <w:r w:rsidR="00254891" w:rsidRPr="007B4401">
        <w:rPr>
          <w:rFonts w:ascii="Arial" w:hAnsi="Arial" w:cs="Arial"/>
          <w:bCs/>
          <w:color w:val="000000" w:themeColor="text1"/>
          <w:sz w:val="22"/>
          <w:lang w:val="es-ES_tradnl"/>
        </w:rPr>
        <w:t>es bueno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DCACA7F" w14:textId="77777777" w:rsidR="00254891" w:rsidRPr="007B4401" w:rsidRDefault="00254891" w:rsidP="00254891">
      <w:pPr>
        <w:spacing w:after="120" w:line="276" w:lineRule="auto"/>
        <w:ind w:firstLine="708"/>
        <w:jc w:val="both"/>
        <w:rPr>
          <w:rFonts w:ascii="Arial" w:hAnsi="Arial" w:cs="Arial"/>
          <w:color w:val="000000" w:themeColor="text1"/>
          <w:sz w:val="22"/>
          <w:lang w:val="es-ES_tradnl"/>
        </w:rPr>
      </w:pPr>
      <w:bookmarkStart w:id="3" w:name="_Hlk61701014"/>
      <w:bookmarkStart w:id="4" w:name="_Hlk62136649"/>
      <w:r w:rsidRPr="007B4401">
        <w:rPr>
          <w:rFonts w:ascii="Arial" w:hAnsi="Arial" w:cs="Arial"/>
          <w:color w:val="000000" w:themeColor="text1"/>
          <w:sz w:val="22"/>
          <w:lang w:val="es-ES_tradnl"/>
        </w:rPr>
        <w:t xml:space="preserve">Es necesario tener en cuenta que </w:t>
      </w:r>
      <w:bookmarkStart w:id="5" w:name="_Hlk61026958"/>
      <w:r w:rsidRPr="007B4401">
        <w:rPr>
          <w:rFonts w:ascii="Arial" w:hAnsi="Arial" w:cs="Arial"/>
          <w:color w:val="000000" w:themeColor="text1"/>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B4401">
        <w:rPr>
          <w:rFonts w:ascii="Arial" w:hAnsi="Arial" w:cs="Arial"/>
          <w:bCs/>
          <w:color w:val="000000" w:themeColor="text1"/>
          <w:sz w:val="22"/>
          <w:lang w:val="es-ES_tradnl"/>
        </w:rPr>
        <w:t xml:space="preserve"> de todos los partícipes de la contratación estatal.</w:t>
      </w:r>
    </w:p>
    <w:p w14:paraId="37C71DD7" w14:textId="77777777" w:rsidR="00254891" w:rsidRPr="007B4401" w:rsidRDefault="00254891" w:rsidP="00254891">
      <w:pPr>
        <w:spacing w:after="120" w:line="276" w:lineRule="auto"/>
        <w:ind w:firstLine="708"/>
        <w:jc w:val="both"/>
        <w:rPr>
          <w:rFonts w:ascii="Arial" w:hAnsi="Arial" w:cs="Arial"/>
          <w:color w:val="000000" w:themeColor="text1"/>
          <w:sz w:val="22"/>
          <w:lang w:val="es-ES_tradnl"/>
        </w:rPr>
      </w:pPr>
      <w:r w:rsidRPr="007B4401">
        <w:rPr>
          <w:rFonts w:ascii="Arial" w:hAnsi="Arial" w:cs="Arial"/>
          <w:color w:val="000000" w:themeColor="text1"/>
          <w:sz w:val="22"/>
          <w:lang w:val="es-ES_tradnl"/>
        </w:rPr>
        <w:t xml:space="preserve">La competencia de esta entidad se fija con límites claros, con el objeto de evitar que la Agencia actúe como una instancia de validación de las actuaciones de las entidades </w:t>
      </w:r>
      <w:r w:rsidRPr="007B4401">
        <w:rPr>
          <w:rFonts w:ascii="Arial" w:hAnsi="Arial" w:cs="Arial"/>
          <w:color w:val="000000" w:themeColor="text1"/>
          <w:sz w:val="22"/>
          <w:lang w:val="es-ES_tradnl"/>
        </w:rPr>
        <w:lastRenderedPageBreak/>
        <w:t>sujetas a la Ley 80 de 1993 o de los demás participantes de la contratación pública</w:t>
      </w:r>
      <w:r w:rsidRPr="007B4401">
        <w:rPr>
          <w:rFonts w:ascii="Arial" w:hAnsi="Arial" w:cs="Arial"/>
          <w:color w:val="000000" w:themeColor="text1"/>
          <w:sz w:val="22"/>
          <w:vertAlign w:val="superscript"/>
          <w:lang w:val="es-ES_tradnl"/>
        </w:rPr>
        <w:footnoteReference w:id="2"/>
      </w:r>
      <w:r w:rsidRPr="007B4401">
        <w:rPr>
          <w:rFonts w:ascii="Arial" w:hAnsi="Arial" w:cs="Arial"/>
          <w:color w:val="000000" w:themeColor="text1"/>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7B4401">
        <w:rPr>
          <w:rFonts w:ascii="Arial" w:hAnsi="Arial" w:cs="Arial"/>
          <w:color w:val="000000" w:themeColor="text1"/>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3"/>
    </w:p>
    <w:bookmarkEnd w:id="4"/>
    <w:p w14:paraId="161C4F5F" w14:textId="4CD928CC" w:rsidR="004B3B91" w:rsidRPr="007B4401" w:rsidRDefault="00252A0D" w:rsidP="004B3B91">
      <w:pPr>
        <w:spacing w:line="276" w:lineRule="auto"/>
        <w:jc w:val="both"/>
        <w:rPr>
          <w:rFonts w:ascii="Arial" w:hAnsi="Arial" w:cs="Arial"/>
          <w:color w:val="000000" w:themeColor="text1"/>
          <w:sz w:val="22"/>
          <w:lang w:val="es-MX"/>
        </w:rPr>
      </w:pPr>
      <w:r w:rsidRPr="007B4401">
        <w:rPr>
          <w:rFonts w:ascii="Arial" w:eastAsia="Calibri" w:hAnsi="Arial" w:cs="Arial"/>
          <w:b/>
          <w:color w:val="000000" w:themeColor="text1"/>
          <w:sz w:val="22"/>
          <w:lang w:val="es-ES_tradnl"/>
        </w:rPr>
        <w:tab/>
      </w:r>
      <w:r w:rsidRPr="007B4401">
        <w:rPr>
          <w:rFonts w:ascii="Arial" w:eastAsia="Calibri" w:hAnsi="Arial" w:cs="Arial"/>
          <w:color w:val="000000" w:themeColor="text1"/>
          <w:sz w:val="22"/>
          <w:lang w:val="es-ES_tradnl"/>
        </w:rPr>
        <w:t xml:space="preserve">A partir de estas consideraciones, </w:t>
      </w:r>
      <w:r w:rsidR="009A617B" w:rsidRPr="007B4401">
        <w:rPr>
          <w:rFonts w:ascii="Arial" w:hAnsi="Arial" w:cs="Arial"/>
          <w:color w:val="000000" w:themeColor="text1"/>
          <w:sz w:val="22"/>
          <w:lang w:val="es-MX"/>
        </w:rPr>
        <w:t>la Agencia Nacional de Contratación Pública – Colombia Compra Eficiente se ha pronunciado sobre la experiencia concerniente a la pluralidad y desagregación de actividades, en los conceptos C-212 del 12 de julio de 2021, C-454 del 31 de agosto de 2021, C-507 del 9 de septiembre de 2021</w:t>
      </w:r>
      <w:r w:rsidR="00692C4D" w:rsidRPr="007B4401">
        <w:rPr>
          <w:rFonts w:ascii="Arial" w:hAnsi="Arial" w:cs="Arial"/>
          <w:color w:val="000000" w:themeColor="text1"/>
          <w:sz w:val="22"/>
          <w:lang w:val="es-MX"/>
        </w:rPr>
        <w:t xml:space="preserve">, C-058 del 8 de marzo de 2022, entre otros. En cuanto a </w:t>
      </w:r>
      <w:r w:rsidR="009A617B" w:rsidRPr="007B4401">
        <w:rPr>
          <w:rFonts w:ascii="Arial" w:hAnsi="Arial" w:cs="Arial"/>
          <w:color w:val="000000" w:themeColor="text1"/>
          <w:sz w:val="22"/>
          <w:lang w:val="es-MX"/>
        </w:rPr>
        <w:t xml:space="preserve">la forma de establecer y acreditar la experiencia exigible en procesos de contratación adelantados con documentos tipo de agua potable y saneamiento básico, </w:t>
      </w:r>
      <w:r w:rsidR="00692C4D" w:rsidRPr="007B4401">
        <w:rPr>
          <w:rFonts w:ascii="Arial" w:hAnsi="Arial" w:cs="Arial"/>
          <w:color w:val="000000" w:themeColor="text1"/>
          <w:sz w:val="22"/>
          <w:lang w:val="es-MX"/>
        </w:rPr>
        <w:t xml:space="preserve">la Agencia se ha pronunciado </w:t>
      </w:r>
      <w:r w:rsidR="009A617B" w:rsidRPr="007B4401">
        <w:rPr>
          <w:rFonts w:ascii="Arial" w:hAnsi="Arial" w:cs="Arial"/>
          <w:color w:val="000000" w:themeColor="text1"/>
          <w:sz w:val="22"/>
          <w:lang w:val="es-MX"/>
        </w:rPr>
        <w:t>en los Conceptos</w:t>
      </w:r>
      <w:r w:rsidR="009A617B" w:rsidRPr="007B4401">
        <w:rPr>
          <w:rFonts w:ascii="Arial" w:hAnsi="Arial" w:cs="Arial"/>
          <w:color w:val="000000" w:themeColor="text1"/>
          <w:sz w:val="22"/>
          <w:szCs w:val="22"/>
          <w:bdr w:val="none" w:sz="0" w:space="0" w:color="auto" w:frame="1"/>
        </w:rPr>
        <w:t xml:space="preserve"> C-018 del 23 de febrero de 2021, C-111 del 23 de marzo de 2021, C- 224 del 20 de mayo de 2021, C-233 del 24 de mayo de 2021, C-251 del 2 de junio de 2021 C-273 del 11 de junio de 2021, C-243 del 22 de junio de 2021, C-355 del 19 de julio de 2021, C-452 del 31 de agosto de 2021, C-454 del 31 de agosto de 2021, C-502 del 21 de septiembre de 2021, C-514 del 23 de septiembre de 2021, C-526 del 27 de septiembre de 2021</w:t>
      </w:r>
      <w:r w:rsidR="00DA158F" w:rsidRPr="007B4401">
        <w:rPr>
          <w:rFonts w:ascii="Arial" w:hAnsi="Arial" w:cs="Arial"/>
          <w:color w:val="000000" w:themeColor="text1"/>
          <w:sz w:val="22"/>
          <w:szCs w:val="22"/>
          <w:bdr w:val="none" w:sz="0" w:space="0" w:color="auto" w:frame="1"/>
        </w:rPr>
        <w:t>,</w:t>
      </w:r>
      <w:r w:rsidR="009A617B" w:rsidRPr="007B4401">
        <w:rPr>
          <w:rFonts w:ascii="Arial" w:hAnsi="Arial" w:cs="Arial"/>
          <w:color w:val="000000" w:themeColor="text1"/>
          <w:sz w:val="22"/>
          <w:szCs w:val="22"/>
          <w:bdr w:val="none" w:sz="0" w:space="0" w:color="auto" w:frame="1"/>
        </w:rPr>
        <w:t xml:space="preserve"> C-605 del 2 de noviembre de 2021</w:t>
      </w:r>
      <w:r w:rsidR="00DA158F" w:rsidRPr="007B4401">
        <w:rPr>
          <w:rFonts w:ascii="Arial" w:hAnsi="Arial" w:cs="Arial"/>
          <w:color w:val="000000" w:themeColor="text1"/>
          <w:sz w:val="22"/>
          <w:szCs w:val="22"/>
          <w:bdr w:val="none" w:sz="0" w:space="0" w:color="auto" w:frame="1"/>
        </w:rPr>
        <w:t xml:space="preserve"> y</w:t>
      </w:r>
      <w:r w:rsidR="00692C4D" w:rsidRPr="007B4401">
        <w:rPr>
          <w:rFonts w:ascii="Arial" w:hAnsi="Arial" w:cs="Arial"/>
          <w:color w:val="000000" w:themeColor="text1"/>
          <w:sz w:val="22"/>
          <w:szCs w:val="22"/>
          <w:bdr w:val="none" w:sz="0" w:space="0" w:color="auto" w:frame="1"/>
        </w:rPr>
        <w:t xml:space="preserve"> C-711 del 19 de enero de 2022, entre otros</w:t>
      </w:r>
      <w:r w:rsidR="009A617B" w:rsidRPr="007B4401">
        <w:rPr>
          <w:rFonts w:ascii="Arial" w:hAnsi="Arial" w:cs="Arial"/>
          <w:color w:val="000000" w:themeColor="text1"/>
          <w:sz w:val="22"/>
          <w:szCs w:val="22"/>
          <w:bdr w:val="none" w:sz="0" w:space="0" w:color="auto" w:frame="1"/>
        </w:rPr>
        <w:t>. En lo pertinente, las tesis expuestas en estos conceptos se reiteran a continuación.</w:t>
      </w:r>
    </w:p>
    <w:p w14:paraId="3904BE6E" w14:textId="77777777" w:rsidR="00252A0D" w:rsidRPr="007B4401" w:rsidRDefault="00252A0D" w:rsidP="004B3B91">
      <w:pPr>
        <w:spacing w:line="276" w:lineRule="auto"/>
        <w:jc w:val="both"/>
        <w:rPr>
          <w:rFonts w:ascii="Arial" w:eastAsia="Calibri" w:hAnsi="Arial" w:cs="Arial"/>
          <w:b/>
          <w:color w:val="000000" w:themeColor="text1"/>
          <w:sz w:val="22"/>
          <w:lang w:val="es-ES_tradnl"/>
        </w:rPr>
      </w:pPr>
    </w:p>
    <w:p w14:paraId="571DA1DD" w14:textId="77777777" w:rsidR="004B3B91" w:rsidRPr="007B4401" w:rsidRDefault="004B3B91" w:rsidP="004B3B91">
      <w:pPr>
        <w:spacing w:line="276" w:lineRule="auto"/>
        <w:jc w:val="both"/>
        <w:rPr>
          <w:rFonts w:ascii="Arial" w:eastAsia="Calibri" w:hAnsi="Arial" w:cs="Arial"/>
          <w:b/>
          <w:bCs/>
          <w:color w:val="000000" w:themeColor="text1"/>
          <w:sz w:val="22"/>
          <w:lang w:val="es-ES_tradnl"/>
        </w:rPr>
      </w:pPr>
      <w:r w:rsidRPr="007B4401">
        <w:rPr>
          <w:rFonts w:ascii="Arial" w:eastAsia="Calibri" w:hAnsi="Arial" w:cs="Arial"/>
          <w:b/>
          <w:bCs/>
          <w:color w:val="000000" w:themeColor="text1"/>
          <w:sz w:val="22"/>
          <w:lang w:val="es-ES_tradnl"/>
        </w:rPr>
        <w:t>2.1. Régimen sancionatorio en el Estatuto General de Contratación de la Administración Pública</w:t>
      </w:r>
    </w:p>
    <w:p w14:paraId="26D77786" w14:textId="77777777" w:rsidR="004B3B91" w:rsidRPr="007B4401" w:rsidRDefault="004B3B91" w:rsidP="004B3B91">
      <w:pPr>
        <w:spacing w:line="276" w:lineRule="auto"/>
        <w:jc w:val="both"/>
        <w:rPr>
          <w:rFonts w:ascii="Arial" w:eastAsia="Calibri" w:hAnsi="Arial" w:cs="Arial"/>
          <w:b/>
          <w:bCs/>
          <w:color w:val="000000" w:themeColor="text1"/>
          <w:sz w:val="22"/>
          <w:lang w:val="es-ES_tradnl"/>
        </w:rPr>
      </w:pPr>
    </w:p>
    <w:p w14:paraId="33111A29" w14:textId="77777777" w:rsidR="004B3B91" w:rsidRPr="007B4401" w:rsidRDefault="004B3B91" w:rsidP="004B3B91">
      <w:pPr>
        <w:spacing w:line="276" w:lineRule="auto"/>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w:t>
      </w:r>
      <w:r w:rsidRPr="007B4401">
        <w:rPr>
          <w:rFonts w:ascii="Arial" w:hAnsi="Arial" w:cs="Arial"/>
          <w:iCs/>
          <w:color w:val="000000" w:themeColor="text1"/>
          <w:sz w:val="22"/>
          <w:lang w:val="es-ES_tradnl"/>
        </w:rPr>
        <w:lastRenderedPageBreak/>
        <w:t xml:space="preserve">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proofErr w:type="spellStart"/>
      <w:r w:rsidRPr="007B4401">
        <w:rPr>
          <w:rFonts w:ascii="Arial" w:hAnsi="Arial" w:cs="Arial"/>
          <w:i/>
          <w:color w:val="000000" w:themeColor="text1"/>
          <w:sz w:val="22"/>
          <w:lang w:val="es-ES_tradnl"/>
        </w:rPr>
        <w:t>ibidem</w:t>
      </w:r>
      <w:proofErr w:type="spellEnd"/>
      <w:r w:rsidRPr="007B4401">
        <w:rPr>
          <w:rFonts w:ascii="Arial" w:hAnsi="Arial" w:cs="Arial"/>
          <w:iCs/>
          <w:color w:val="000000" w:themeColor="text1"/>
          <w:sz w:val="22"/>
          <w:lang w:val="es-ES_tradnl"/>
        </w:rPr>
        <w:t xml:space="preserve">. ii) Algunas disposiciones también establecen otras potestades exorbitantes, como la liquidación unilateral y la declaratoria unilateral del siniestro –artículos 7 y 11 de la Ley 1150 de 2007–. Dentro de las potestades unilaterales también se encuentran iii) las cláusulas excepcionales de </w:t>
      </w:r>
      <w:r w:rsidRPr="007B4401">
        <w:rPr>
          <w:rFonts w:ascii="Arial" w:hAnsi="Arial" w:cs="Arial"/>
          <w:i/>
          <w:color w:val="000000" w:themeColor="text1"/>
          <w:sz w:val="22"/>
          <w:lang w:val="es-ES_tradnl"/>
        </w:rPr>
        <w:t>imposición unilateral</w:t>
      </w:r>
      <w:r w:rsidRPr="007B4401">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32255F80" w14:textId="77777777" w:rsidR="004B3B91" w:rsidRPr="007B4401" w:rsidRDefault="004B3B91" w:rsidP="004B3B91">
      <w:pPr>
        <w:spacing w:before="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7B4401">
        <w:rPr>
          <w:rFonts w:ascii="Arial" w:eastAsia="Calibri" w:hAnsi="Arial" w:cs="Arial"/>
          <w:color w:val="000000" w:themeColor="text1"/>
          <w:sz w:val="22"/>
        </w:rPr>
        <w:t>y los relacionados con el programa de alimentación escolar – según lo dispuso la modificación realizada por el artículo 52 de la Ley 2195 de 2022–</w:t>
      </w:r>
      <w:r w:rsidRPr="007B4401">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5ECD8BB6" w14:textId="77777777" w:rsidR="004B3B91" w:rsidRPr="007B4401" w:rsidRDefault="004B3B91" w:rsidP="004B3B91">
      <w:pPr>
        <w:spacing w:before="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0E75B9A2" w14:textId="77777777" w:rsidR="004B3B91" w:rsidRPr="007B4401" w:rsidRDefault="004B3B91" w:rsidP="004B3B91">
      <w:pPr>
        <w:spacing w:line="276" w:lineRule="auto"/>
        <w:jc w:val="both"/>
        <w:rPr>
          <w:rFonts w:ascii="Arial" w:hAnsi="Arial" w:cs="Arial"/>
          <w:iCs/>
          <w:color w:val="000000" w:themeColor="text1"/>
          <w:sz w:val="22"/>
          <w:lang w:val="es-ES_tradnl"/>
        </w:rPr>
      </w:pPr>
    </w:p>
    <w:p w14:paraId="555F40A2" w14:textId="77777777" w:rsidR="004B3B91" w:rsidRPr="007B4401" w:rsidRDefault="004B3B91" w:rsidP="004B3B91">
      <w:pPr>
        <w:ind w:left="709" w:right="709"/>
        <w:jc w:val="both"/>
        <w:rPr>
          <w:rFonts w:ascii="Arial" w:hAnsi="Arial" w:cs="Arial"/>
          <w:iCs/>
          <w:color w:val="000000" w:themeColor="text1"/>
          <w:sz w:val="21"/>
          <w:szCs w:val="21"/>
          <w:lang w:val="es-ES_tradnl"/>
        </w:rPr>
      </w:pPr>
      <w:r w:rsidRPr="007B4401">
        <w:rPr>
          <w:rFonts w:ascii="Arial" w:hAnsi="Arial" w:cs="Arial"/>
          <w:iCs/>
          <w:color w:val="000000" w:themeColor="text1"/>
          <w:sz w:val="21"/>
          <w:szCs w:val="21"/>
          <w:lang w:val="es-ES_tradnl"/>
        </w:rPr>
        <w:t xml:space="preserve">[…]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w:t>
      </w:r>
      <w:r w:rsidRPr="007B4401">
        <w:rPr>
          <w:rFonts w:ascii="Arial" w:hAnsi="Arial" w:cs="Arial"/>
          <w:iCs/>
          <w:color w:val="000000" w:themeColor="text1"/>
          <w:sz w:val="21"/>
          <w:szCs w:val="21"/>
          <w:lang w:val="es-ES_tradnl"/>
        </w:rPr>
        <w:lastRenderedPageBreak/>
        <w:t>cierne sobre el interés general, representado en la debida ejecución del objeto contratado</w:t>
      </w:r>
      <w:r w:rsidRPr="007B4401">
        <w:rPr>
          <w:rStyle w:val="Refdenotaalpie"/>
          <w:rFonts w:ascii="Arial" w:hAnsi="Arial" w:cs="Arial"/>
          <w:color w:val="000000" w:themeColor="text1"/>
        </w:rPr>
        <w:footnoteReference w:id="3"/>
      </w:r>
      <w:r w:rsidRPr="007B4401">
        <w:rPr>
          <w:rFonts w:ascii="Arial" w:hAnsi="Arial" w:cs="Arial"/>
          <w:iCs/>
          <w:color w:val="000000" w:themeColor="text1"/>
          <w:sz w:val="21"/>
          <w:szCs w:val="21"/>
          <w:lang w:val="es-ES_tradnl"/>
        </w:rPr>
        <w:t xml:space="preserve">. </w:t>
      </w:r>
    </w:p>
    <w:p w14:paraId="423F7D50" w14:textId="77777777" w:rsidR="004B3B91" w:rsidRPr="007B4401" w:rsidRDefault="004B3B91" w:rsidP="004B3B91">
      <w:pPr>
        <w:spacing w:line="276" w:lineRule="auto"/>
        <w:jc w:val="both"/>
        <w:rPr>
          <w:rFonts w:ascii="Arial" w:hAnsi="Arial" w:cs="Arial"/>
          <w:iCs/>
          <w:color w:val="000000" w:themeColor="text1"/>
          <w:sz w:val="22"/>
          <w:lang w:val="es-ES_tradnl"/>
        </w:rPr>
      </w:pPr>
    </w:p>
    <w:p w14:paraId="18B74693" w14:textId="77777777" w:rsidR="004B3B91" w:rsidRPr="007B4401" w:rsidRDefault="004B3B91" w:rsidP="004B3B91">
      <w:pPr>
        <w:spacing w:after="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Las consecuencias jurídicas que se generan con la caducidad son: i) la terminación del contrato, ii) la iniciación del trámite de liquidación bilateral –y unilateral, si fracasa la bilateral–, iii) la inhabilidad sobreviniente por cinco años, iv) la efectividad de la garantía única de cumplimiento y v) el reporte en el SECOP, a la Procuraduría General de la Nación y a la Cámara de Comercio donde el contratista esté inscrito con el propósito de incluir la anotación en el Registro Único de Proponentes.</w:t>
      </w:r>
    </w:p>
    <w:p w14:paraId="4A1B2714" w14:textId="77777777" w:rsidR="004B3B91" w:rsidRPr="007B4401" w:rsidRDefault="004B3B91" w:rsidP="004B3B91">
      <w:pPr>
        <w:spacing w:after="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 xml:space="preserve">Los presupuestos para declarar la caducidad están establecidos en los artículos 14 y 18 de la Ley 80 de 1993. En primer lugar, el artículo 18 establece los siguientes requisitos para su procedencia: i) debe acreditarse el </w:t>
      </w:r>
      <w:r w:rsidRPr="007B4401">
        <w:rPr>
          <w:rFonts w:ascii="Arial" w:hAnsi="Arial" w:cs="Arial"/>
          <w:i/>
          <w:color w:val="000000" w:themeColor="text1"/>
          <w:sz w:val="22"/>
          <w:lang w:val="es-ES_tradnl"/>
        </w:rPr>
        <w:t>incumplimiento</w:t>
      </w:r>
      <w:r w:rsidRPr="007B4401">
        <w:rPr>
          <w:rFonts w:ascii="Arial" w:hAnsi="Arial" w:cs="Arial"/>
          <w:iCs/>
          <w:color w:val="000000" w:themeColor="text1"/>
          <w:sz w:val="22"/>
          <w:lang w:val="es-ES_tradnl"/>
        </w:rPr>
        <w:t xml:space="preserve"> de alguna o algunas de las obligaciones del contratista, con todos los elementos que configuran el «incumplimiento», ii) dicho incumplimiento debe afectar de manera </w:t>
      </w:r>
      <w:r w:rsidRPr="007B4401">
        <w:rPr>
          <w:rFonts w:ascii="Arial" w:hAnsi="Arial" w:cs="Arial"/>
          <w:i/>
          <w:color w:val="000000" w:themeColor="text1"/>
          <w:sz w:val="22"/>
          <w:lang w:val="es-ES_tradnl"/>
        </w:rPr>
        <w:t xml:space="preserve">grave </w:t>
      </w:r>
      <w:r w:rsidRPr="007B4401">
        <w:rPr>
          <w:rFonts w:ascii="Arial" w:hAnsi="Arial" w:cs="Arial"/>
          <w:iCs/>
          <w:color w:val="000000" w:themeColor="text1"/>
          <w:sz w:val="22"/>
          <w:lang w:val="es-ES_tradnl"/>
        </w:rPr>
        <w:t xml:space="preserve">y </w:t>
      </w:r>
      <w:r w:rsidRPr="007B4401">
        <w:rPr>
          <w:rFonts w:ascii="Arial" w:hAnsi="Arial" w:cs="Arial"/>
          <w:i/>
          <w:color w:val="000000" w:themeColor="text1"/>
          <w:sz w:val="22"/>
          <w:lang w:val="es-ES_tradnl"/>
        </w:rPr>
        <w:t xml:space="preserve">directa </w:t>
      </w:r>
      <w:r w:rsidRPr="007B4401">
        <w:rPr>
          <w:rFonts w:ascii="Arial" w:hAnsi="Arial" w:cs="Arial"/>
          <w:iCs/>
          <w:color w:val="000000" w:themeColor="text1"/>
          <w:sz w:val="22"/>
          <w:lang w:val="es-ES_tradnl"/>
        </w:rPr>
        <w:t>la ejecución del contrato, y iii)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0EB71484" w14:textId="77777777" w:rsidR="004B3B91" w:rsidRPr="007B4401" w:rsidRDefault="004B3B91" w:rsidP="004B3B91">
      <w:pPr>
        <w:spacing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 xml:space="preserve">Así, dentro de los requisitos de orden legal que deben cumplirse para decretar la caducidad no hay uno que exija a las entidades estatales imponer multas previas al contratista, como condición </w:t>
      </w:r>
      <w:r w:rsidRPr="007B4401">
        <w:rPr>
          <w:rFonts w:ascii="Arial" w:hAnsi="Arial" w:cs="Arial"/>
          <w:i/>
          <w:color w:val="000000" w:themeColor="text1"/>
          <w:sz w:val="22"/>
          <w:lang w:val="es-ES_tradnl"/>
        </w:rPr>
        <w:t>sine qua non</w:t>
      </w:r>
      <w:r w:rsidRPr="007B4401">
        <w:rPr>
          <w:rFonts w:ascii="Arial" w:hAnsi="Arial" w:cs="Arial"/>
          <w:iCs/>
          <w:color w:val="000000" w:themeColor="text1"/>
          <w:sz w:val="22"/>
          <w:lang w:val="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7B4401">
        <w:rPr>
          <w:rFonts w:ascii="Arial" w:hAnsi="Arial" w:cs="Arial"/>
          <w:i/>
          <w:color w:val="000000" w:themeColor="text1"/>
          <w:sz w:val="22"/>
          <w:lang w:val="es-ES_tradnl"/>
        </w:rPr>
        <w:t>ipso facto</w:t>
      </w:r>
      <w:r w:rsidRPr="007B4401">
        <w:rPr>
          <w:rFonts w:ascii="Arial" w:hAnsi="Arial" w:cs="Arial"/>
          <w:iCs/>
          <w:color w:val="000000" w:themeColor="text1"/>
          <w:sz w:val="22"/>
          <w:lang w:val="es-ES_tradnl"/>
        </w:rPr>
        <w:t>, es decir, sin que se evidencien antecedentes de incumplimientos parciales, el Estatuto General de Contratación de la Administración Pública permite decretar directamente esta cláusula excepcional, respetando el debido proceso.</w:t>
      </w:r>
    </w:p>
    <w:p w14:paraId="209AD529" w14:textId="77777777" w:rsidR="004B3B91" w:rsidRPr="007B4401" w:rsidRDefault="004B3B91" w:rsidP="004B3B91">
      <w:pPr>
        <w:spacing w:before="120" w:line="276" w:lineRule="auto"/>
        <w:ind w:firstLine="709"/>
        <w:jc w:val="both"/>
        <w:rPr>
          <w:rFonts w:ascii="Arial" w:hAnsi="Arial" w:cs="Arial"/>
          <w:iCs/>
          <w:color w:val="000000" w:themeColor="text1"/>
          <w:sz w:val="22"/>
          <w:szCs w:val="22"/>
          <w:lang w:val="es-ES_tradnl"/>
        </w:rPr>
      </w:pPr>
      <w:r w:rsidRPr="007B4401">
        <w:rPr>
          <w:rFonts w:ascii="Arial" w:hAnsi="Arial" w:cs="Arial"/>
          <w:iCs/>
          <w:color w:val="000000" w:themeColor="text1"/>
          <w:sz w:val="22"/>
          <w:szCs w:val="22"/>
          <w:lang w:val="es-ES_tradnl"/>
        </w:rPr>
        <w:lastRenderedPageBreak/>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7B4401">
        <w:rPr>
          <w:rFonts w:ascii="Arial" w:hAnsi="Arial" w:cs="Arial"/>
          <w:i/>
          <w:color w:val="000000" w:themeColor="text1"/>
          <w:sz w:val="22"/>
          <w:szCs w:val="22"/>
          <w:lang w:val="es-ES_tradnl"/>
        </w:rPr>
        <w:t>sanción</w:t>
      </w:r>
      <w:r w:rsidRPr="007B4401">
        <w:rPr>
          <w:rFonts w:ascii="Arial" w:hAnsi="Arial" w:cs="Arial"/>
          <w:iCs/>
          <w:color w:val="000000" w:themeColor="text1"/>
          <w:sz w:val="22"/>
          <w:szCs w:val="22"/>
          <w:lang w:val="es-ES_tradnl"/>
        </w:rPr>
        <w:t xml:space="preserve"> que solo procede «</w:t>
      </w:r>
      <w:r w:rsidRPr="007B4401">
        <w:rPr>
          <w:rFonts w:ascii="Arial" w:hAnsi="Arial" w:cs="Arial"/>
          <w:color w:val="000000" w:themeColor="text1"/>
          <w:sz w:val="22"/>
          <w:szCs w:val="22"/>
          <w:lang w:val="es-ES_tradnl"/>
        </w:rPr>
        <w:t xml:space="preserve">[…] </w:t>
      </w:r>
      <w:r w:rsidRPr="007B4401">
        <w:rPr>
          <w:rFonts w:ascii="Arial" w:hAnsi="Arial" w:cs="Arial"/>
          <w:iCs/>
          <w:color w:val="000000" w:themeColor="text1"/>
          <w:sz w:val="22"/>
          <w:szCs w:val="22"/>
          <w:lang w:val="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o de orden público, ii) muerte o incapacidad física permanente del contratista –persona natural– o disolución de la persona jurídica, iii) interdicción judicial o declaratoria de quiebra del contratista y iv) cesación de pagos, concurso de acreedores o embargos judiciales del contratista, que afecten gravemente la ejecución del contrato. </w:t>
      </w:r>
    </w:p>
    <w:p w14:paraId="6EF04B20" w14:textId="77777777" w:rsidR="004B3B91" w:rsidRPr="007B4401" w:rsidRDefault="004B3B91" w:rsidP="004B3B91">
      <w:pPr>
        <w:spacing w:before="120" w:line="276" w:lineRule="auto"/>
        <w:ind w:firstLine="709"/>
        <w:jc w:val="both"/>
        <w:rPr>
          <w:rFonts w:ascii="Arial" w:hAnsi="Arial" w:cs="Arial"/>
          <w:iCs/>
          <w:color w:val="000000" w:themeColor="text1"/>
          <w:sz w:val="22"/>
          <w:szCs w:val="22"/>
          <w:lang w:val="es-ES_tradnl"/>
        </w:rPr>
      </w:pPr>
      <w:r w:rsidRPr="007B4401">
        <w:rPr>
          <w:rFonts w:ascii="Arial" w:hAnsi="Arial" w:cs="Arial"/>
          <w:iCs/>
          <w:color w:val="000000" w:themeColor="text1"/>
          <w:sz w:val="22"/>
          <w:szCs w:val="22"/>
          <w:lang w:val="es-ES_tradnl"/>
        </w:rPr>
        <w:t>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ii) cuando el contrato se haya perfeccionado contraviniendo una prohibición legal o con desviación de poder y iii) cuando se declare la nulidad de los actos administrativos en los que se fundamente la celebración del contrato.</w:t>
      </w:r>
    </w:p>
    <w:p w14:paraId="137F0489" w14:textId="77777777" w:rsidR="004B3B91" w:rsidRPr="007B4401" w:rsidRDefault="004B3B91" w:rsidP="004B3B91">
      <w:pPr>
        <w:spacing w:before="120" w:line="276" w:lineRule="auto"/>
        <w:ind w:firstLine="709"/>
        <w:jc w:val="both"/>
        <w:rPr>
          <w:rFonts w:ascii="Arial" w:hAnsi="Arial" w:cs="Arial"/>
          <w:iCs/>
          <w:color w:val="000000" w:themeColor="text1"/>
          <w:sz w:val="22"/>
          <w:szCs w:val="22"/>
          <w:lang w:val="es-ES_tradnl"/>
        </w:rPr>
      </w:pPr>
      <w:r w:rsidRPr="007B4401">
        <w:rPr>
          <w:rFonts w:ascii="Arial" w:hAnsi="Arial" w:cs="Arial"/>
          <w:iCs/>
          <w:color w:val="000000" w:themeColor="text1"/>
          <w:sz w:val="22"/>
          <w:szCs w:val="22"/>
          <w:lang w:val="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w:t>
      </w:r>
      <w:proofErr w:type="gramStart"/>
      <w:r w:rsidRPr="007B4401">
        <w:rPr>
          <w:rFonts w:ascii="Arial" w:hAnsi="Arial" w:cs="Arial"/>
          <w:iCs/>
          <w:color w:val="000000" w:themeColor="text1"/>
          <w:sz w:val="22"/>
          <w:szCs w:val="22"/>
          <w:lang w:val="es-ES_tradnl"/>
        </w:rPr>
        <w:t>le</w:t>
      </w:r>
      <w:proofErr w:type="gramEnd"/>
      <w:r w:rsidRPr="007B4401">
        <w:rPr>
          <w:rFonts w:ascii="Arial" w:hAnsi="Arial" w:cs="Arial"/>
          <w:iCs/>
          <w:color w:val="000000" w:themeColor="text1"/>
          <w:sz w:val="22"/>
          <w:szCs w:val="22"/>
          <w:lang w:val="es-ES_tradnl"/>
        </w:rPr>
        <w:t xml:space="preserv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0ADDC3A1" w14:textId="77777777" w:rsidR="004B3B91" w:rsidRPr="007B4401" w:rsidRDefault="004B3B91" w:rsidP="004B3B91">
      <w:pPr>
        <w:spacing w:before="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szCs w:val="22"/>
          <w:lang w:val="es-ES_tradnl"/>
        </w:rPr>
        <w:t xml:space="preserve">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w:t>
      </w:r>
      <w:r w:rsidRPr="007B4401">
        <w:rPr>
          <w:rFonts w:ascii="Arial" w:hAnsi="Arial" w:cs="Arial"/>
          <w:iCs/>
          <w:color w:val="000000" w:themeColor="text1"/>
          <w:sz w:val="22"/>
          <w:szCs w:val="22"/>
          <w:lang w:val="es-ES_tradnl"/>
        </w:rPr>
        <w:lastRenderedPageBreak/>
        <w:t>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7B4401">
        <w:rPr>
          <w:rFonts w:ascii="Arial" w:hAnsi="Arial" w:cs="Arial"/>
          <w:color w:val="000000" w:themeColor="text1"/>
          <w:sz w:val="22"/>
          <w:szCs w:val="22"/>
          <w:lang w:val="es-ES_tradnl"/>
        </w:rPr>
        <w:t xml:space="preserve">[…] </w:t>
      </w:r>
      <w:r w:rsidRPr="007B4401">
        <w:rPr>
          <w:rFonts w:ascii="Arial" w:hAnsi="Arial" w:cs="Arial"/>
          <w:iCs/>
          <w:color w:val="000000" w:themeColor="text1"/>
          <w:sz w:val="22"/>
          <w:szCs w:val="22"/>
          <w:lang w:val="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7B4401">
        <w:rPr>
          <w:rFonts w:ascii="Arial" w:hAnsi="Arial" w:cs="Arial"/>
          <w:iCs/>
          <w:color w:val="000000" w:themeColor="text1"/>
          <w:sz w:val="22"/>
          <w:lang w:val="es-ES_tradnl"/>
        </w:rPr>
        <w:t xml:space="preserve"> </w:t>
      </w:r>
    </w:p>
    <w:p w14:paraId="78A6B261" w14:textId="77777777" w:rsidR="004B3B91" w:rsidRPr="007B4401" w:rsidRDefault="004B3B91" w:rsidP="004B3B91">
      <w:pPr>
        <w:spacing w:before="120" w:after="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7B4401">
        <w:rPr>
          <w:rStyle w:val="Refdenotaalpie"/>
          <w:rFonts w:ascii="Arial" w:hAnsi="Arial" w:cs="Arial"/>
          <w:color w:val="000000" w:themeColor="text1"/>
        </w:rPr>
        <w:footnoteReference w:id="4"/>
      </w:r>
      <w:r w:rsidRPr="007B4401">
        <w:rPr>
          <w:rFonts w:ascii="Arial" w:hAnsi="Arial" w:cs="Arial"/>
          <w:iCs/>
          <w:color w:val="000000" w:themeColor="text1"/>
          <w:sz w:val="22"/>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2E162A9A" w14:textId="77777777" w:rsidR="004B3B91" w:rsidRPr="007B4401" w:rsidRDefault="004B3B91" w:rsidP="004B3B91">
      <w:pPr>
        <w:spacing w:before="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236D170F" w14:textId="77777777" w:rsidR="004B3B91" w:rsidRPr="007B4401" w:rsidRDefault="004B3B91" w:rsidP="004B3B91">
      <w:pPr>
        <w:pStyle w:val="Prrafodelista"/>
        <w:spacing w:line="276" w:lineRule="auto"/>
        <w:ind w:right="-425"/>
        <w:jc w:val="both"/>
        <w:rPr>
          <w:rFonts w:ascii="Arial" w:hAnsi="Arial" w:cs="Arial"/>
          <w:iCs/>
          <w:color w:val="000000" w:themeColor="text1"/>
          <w:sz w:val="22"/>
          <w:lang w:val="es-ES_tradnl"/>
        </w:rPr>
      </w:pPr>
    </w:p>
    <w:p w14:paraId="2B1A6E5F"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r w:rsidRPr="007B4401">
        <w:rPr>
          <w:rFonts w:ascii="Arial" w:hAnsi="Arial" w:cs="Arial"/>
          <w:iCs/>
          <w:color w:val="000000" w:themeColor="text1"/>
          <w:sz w:val="21"/>
          <w:szCs w:val="21"/>
          <w:lang w:val="es-ES_tradnl"/>
        </w:rPr>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w:t>
      </w:r>
      <w:r w:rsidRPr="007B4401">
        <w:rPr>
          <w:rFonts w:ascii="Arial" w:hAnsi="Arial" w:cs="Arial"/>
          <w:iCs/>
          <w:color w:val="000000" w:themeColor="text1"/>
          <w:sz w:val="21"/>
          <w:szCs w:val="21"/>
          <w:lang w:val="es-ES_tradnl"/>
        </w:rPr>
        <w:lastRenderedPageBreak/>
        <w:t>conducta reprochable se establezca de manera previa a su realización –</w:t>
      </w:r>
      <w:proofErr w:type="spellStart"/>
      <w:r w:rsidRPr="007B4401">
        <w:rPr>
          <w:rFonts w:ascii="Arial" w:hAnsi="Arial" w:cs="Arial"/>
          <w:iCs/>
          <w:color w:val="000000" w:themeColor="text1"/>
          <w:sz w:val="21"/>
          <w:szCs w:val="21"/>
          <w:lang w:val="es-ES_tradnl"/>
        </w:rPr>
        <w:t>lex</w:t>
      </w:r>
      <w:proofErr w:type="spellEnd"/>
      <w:r w:rsidRPr="007B4401">
        <w:rPr>
          <w:rFonts w:ascii="Arial" w:hAnsi="Arial" w:cs="Arial"/>
          <w:iCs/>
          <w:color w:val="000000" w:themeColor="text1"/>
          <w:sz w:val="21"/>
          <w:szCs w:val="21"/>
          <w:lang w:val="es-ES_tradnl"/>
        </w:rPr>
        <w:t xml:space="preserve"> previa–, para evitar la arbitrariedad y el abuso de poder</w:t>
      </w:r>
      <w:r w:rsidRPr="007B4401">
        <w:rPr>
          <w:rStyle w:val="Refdenotaalpie"/>
          <w:rFonts w:ascii="Arial" w:hAnsi="Arial" w:cs="Arial"/>
          <w:color w:val="000000" w:themeColor="text1"/>
        </w:rPr>
        <w:footnoteReference w:id="5"/>
      </w:r>
      <w:r w:rsidRPr="007B4401">
        <w:rPr>
          <w:rFonts w:ascii="Arial" w:hAnsi="Arial" w:cs="Arial"/>
          <w:iCs/>
          <w:color w:val="000000" w:themeColor="text1"/>
          <w:sz w:val="21"/>
          <w:szCs w:val="21"/>
          <w:lang w:val="es-ES_tradnl"/>
        </w:rPr>
        <w:t xml:space="preserve">. </w:t>
      </w:r>
    </w:p>
    <w:p w14:paraId="3008F6C6" w14:textId="77777777" w:rsidR="004B3B91" w:rsidRPr="007B4401" w:rsidRDefault="004B3B91" w:rsidP="004B3B91">
      <w:pPr>
        <w:ind w:left="709" w:right="758"/>
        <w:jc w:val="both"/>
        <w:rPr>
          <w:rFonts w:ascii="Arial" w:hAnsi="Arial" w:cs="Arial"/>
          <w:iCs/>
          <w:color w:val="000000" w:themeColor="text1"/>
          <w:sz w:val="21"/>
          <w:szCs w:val="21"/>
          <w:lang w:val="es-ES_tradnl"/>
        </w:rPr>
      </w:pPr>
    </w:p>
    <w:p w14:paraId="62EFCF9C" w14:textId="77777777" w:rsidR="004B3B91" w:rsidRPr="007B4401" w:rsidRDefault="004B3B91" w:rsidP="004B3B91">
      <w:pPr>
        <w:spacing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De igual forma, en otra oportunidad, el Consejo de Estado indicó que «el núcleo mínimo de este derecho exige que una norma –legal o contractual– contemple la falta y la sanción. Si ni siquiera lo hace el contrato, la Administración no puede imponer sanciones, so pena de violar el debido proceso»</w:t>
      </w:r>
      <w:r w:rsidRPr="007B4401">
        <w:rPr>
          <w:rStyle w:val="Refdenotaalpie"/>
          <w:rFonts w:ascii="Arial" w:hAnsi="Arial" w:cs="Arial"/>
          <w:color w:val="000000" w:themeColor="text1"/>
        </w:rPr>
        <w:footnoteReference w:id="6"/>
      </w:r>
      <w:r w:rsidRPr="007B4401">
        <w:rPr>
          <w:rFonts w:ascii="Arial" w:hAnsi="Arial" w:cs="Arial"/>
          <w:iCs/>
          <w:color w:val="000000" w:themeColor="text1"/>
          <w:sz w:val="22"/>
          <w:lang w:val="es-ES_tradnl"/>
        </w:rPr>
        <w:t>. De otro lado, la Corte Constitucional</w:t>
      </w:r>
      <w:r w:rsidRPr="007B4401">
        <w:rPr>
          <w:rStyle w:val="Refdenotaalpie"/>
          <w:rFonts w:ascii="Arial" w:hAnsi="Arial" w:cs="Arial"/>
          <w:color w:val="000000" w:themeColor="text1"/>
        </w:rPr>
        <w:footnoteReference w:id="7"/>
      </w:r>
      <w:r w:rsidRPr="007B4401">
        <w:rPr>
          <w:rFonts w:ascii="Arial" w:hAnsi="Arial" w:cs="Arial"/>
          <w:iCs/>
          <w:color w:val="000000" w:themeColor="text1"/>
          <w:sz w:val="22"/>
          <w:lang w:val="es-ES_tradnl"/>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24FC9107" w14:textId="77777777" w:rsidR="004B3B91" w:rsidRPr="007B4401" w:rsidRDefault="004B3B91" w:rsidP="004B3B91">
      <w:pPr>
        <w:spacing w:before="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7B4401">
        <w:rPr>
          <w:rStyle w:val="Refdenotaalpie"/>
          <w:rFonts w:ascii="Arial" w:hAnsi="Arial" w:cs="Arial"/>
          <w:color w:val="000000" w:themeColor="text1"/>
        </w:rPr>
        <w:footnoteReference w:id="8"/>
      </w:r>
      <w:r w:rsidRPr="007B4401">
        <w:rPr>
          <w:rFonts w:ascii="Arial" w:hAnsi="Arial" w:cs="Arial"/>
          <w:iCs/>
          <w:color w:val="000000" w:themeColor="text1"/>
          <w:sz w:val="22"/>
          <w:lang w:val="es-ES_tradnl"/>
        </w:rPr>
        <w:t>, en relación con las diferencias entre las multas y la cláusula penal, esto es: «[a]</w:t>
      </w:r>
      <w:proofErr w:type="spellStart"/>
      <w:r w:rsidRPr="007B4401">
        <w:rPr>
          <w:rFonts w:ascii="Arial" w:hAnsi="Arial" w:cs="Arial"/>
          <w:iCs/>
          <w:color w:val="000000" w:themeColor="text1"/>
          <w:sz w:val="22"/>
          <w:lang w:val="es-ES_tradnl"/>
        </w:rPr>
        <w:t>unque</w:t>
      </w:r>
      <w:proofErr w:type="spellEnd"/>
      <w:r w:rsidRPr="007B4401">
        <w:rPr>
          <w:rFonts w:ascii="Arial" w:hAnsi="Arial" w:cs="Arial"/>
          <w:iCs/>
          <w:color w:val="000000" w:themeColor="text1"/>
          <w:sz w:val="22"/>
          <w:lang w:val="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7B4401">
        <w:rPr>
          <w:rStyle w:val="Refdenotaalpie"/>
          <w:rFonts w:ascii="Arial" w:hAnsi="Arial" w:cs="Arial"/>
          <w:color w:val="000000" w:themeColor="text1"/>
        </w:rPr>
        <w:footnoteReference w:id="9"/>
      </w:r>
      <w:r w:rsidRPr="007B4401">
        <w:rPr>
          <w:rFonts w:ascii="Arial" w:hAnsi="Arial" w:cs="Arial"/>
          <w:iCs/>
          <w:color w:val="000000" w:themeColor="text1"/>
          <w:sz w:val="22"/>
          <w:lang w:val="es-ES_tradnl"/>
        </w:rPr>
        <w:t>.</w:t>
      </w:r>
    </w:p>
    <w:p w14:paraId="08548EF7" w14:textId="77777777" w:rsidR="004B3B91" w:rsidRPr="007B4401" w:rsidRDefault="004B3B91" w:rsidP="004B3B91">
      <w:pPr>
        <w:spacing w:before="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 xml:space="preserve">Estudiadas las cláusulas excepcionales de caducidad y terminación unilateral, así como la potestad de </w:t>
      </w:r>
      <w:r w:rsidRPr="007B4401">
        <w:rPr>
          <w:rFonts w:ascii="Arial" w:hAnsi="Arial" w:cs="Arial"/>
          <w:i/>
          <w:color w:val="000000" w:themeColor="text1"/>
          <w:sz w:val="22"/>
          <w:lang w:val="es-ES_tradnl"/>
        </w:rPr>
        <w:t xml:space="preserve">imposición unilateral </w:t>
      </w:r>
      <w:r w:rsidRPr="007B4401">
        <w:rPr>
          <w:rFonts w:ascii="Arial" w:hAnsi="Arial" w:cs="Arial"/>
          <w:iCs/>
          <w:color w:val="000000" w:themeColor="text1"/>
          <w:sz w:val="22"/>
          <w:lang w:val="es-ES_tradnl"/>
        </w:rPr>
        <w:t>de multas y la cláusula penal, corresponde analizar algunos aspectos del procedimiento administrativo sancionatorio contractual establecido en el artículo 86 de la Ley 1474 de 2011, con la finalidad de resolver la consulta.</w:t>
      </w:r>
    </w:p>
    <w:p w14:paraId="2EFD4FE8" w14:textId="77777777" w:rsidR="004B3B91" w:rsidRPr="007B4401" w:rsidRDefault="004B3B91" w:rsidP="004B3B91">
      <w:pPr>
        <w:spacing w:line="276" w:lineRule="auto"/>
        <w:ind w:firstLine="709"/>
        <w:jc w:val="both"/>
        <w:rPr>
          <w:rFonts w:ascii="Arial" w:hAnsi="Arial" w:cs="Arial"/>
          <w:iCs/>
          <w:color w:val="000000" w:themeColor="text1"/>
          <w:sz w:val="22"/>
          <w:lang w:val="es-ES_tradnl"/>
        </w:rPr>
      </w:pPr>
    </w:p>
    <w:p w14:paraId="46EF3745" w14:textId="77777777" w:rsidR="004B3B91" w:rsidRPr="007B4401" w:rsidRDefault="004B3B91" w:rsidP="004B3B91">
      <w:pPr>
        <w:spacing w:line="276" w:lineRule="auto"/>
        <w:jc w:val="both"/>
        <w:rPr>
          <w:rFonts w:ascii="Arial" w:hAnsi="Arial" w:cs="Arial"/>
          <w:b/>
          <w:bCs/>
          <w:iCs/>
          <w:color w:val="000000" w:themeColor="text1"/>
          <w:sz w:val="22"/>
          <w:lang w:val="es-ES_tradnl"/>
        </w:rPr>
      </w:pPr>
      <w:r w:rsidRPr="007B4401">
        <w:rPr>
          <w:rFonts w:ascii="Arial" w:hAnsi="Arial" w:cs="Arial"/>
          <w:b/>
          <w:bCs/>
          <w:iCs/>
          <w:color w:val="000000" w:themeColor="text1"/>
          <w:sz w:val="22"/>
          <w:lang w:val="es-ES_tradnl"/>
        </w:rPr>
        <w:lastRenderedPageBreak/>
        <w:t>2.2. Procedimiento administrativo sancionatorio contractual: artículo 86 de la Ley 1474 de 2011</w:t>
      </w:r>
    </w:p>
    <w:p w14:paraId="6228308D" w14:textId="77777777" w:rsidR="004B3B91" w:rsidRPr="007B4401" w:rsidRDefault="004B3B91" w:rsidP="004B3B91">
      <w:pPr>
        <w:spacing w:line="276" w:lineRule="auto"/>
        <w:ind w:firstLine="709"/>
        <w:jc w:val="both"/>
        <w:rPr>
          <w:rFonts w:ascii="Arial" w:hAnsi="Arial" w:cs="Arial"/>
          <w:b/>
          <w:bCs/>
          <w:iCs/>
          <w:color w:val="000000" w:themeColor="text1"/>
          <w:sz w:val="22"/>
          <w:lang w:val="es-ES_tradnl"/>
        </w:rPr>
      </w:pPr>
    </w:p>
    <w:p w14:paraId="3ADB6CEF" w14:textId="77777777" w:rsidR="004B3B91" w:rsidRPr="007B4401" w:rsidRDefault="004B3B91" w:rsidP="004B3B91">
      <w:pPr>
        <w:spacing w:after="120" w:line="276" w:lineRule="auto"/>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 Para tal efecto observarán el siguiente procedimiento». </w:t>
      </w:r>
    </w:p>
    <w:p w14:paraId="0EEEF341" w14:textId="77777777" w:rsidR="004B3B91" w:rsidRPr="007B4401" w:rsidRDefault="004B3B91" w:rsidP="004B3B91">
      <w:pPr>
        <w:spacing w:after="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7B4401">
        <w:rPr>
          <w:rStyle w:val="Refdenotaalpie"/>
          <w:rFonts w:ascii="Arial" w:hAnsi="Arial" w:cs="Arial"/>
          <w:color w:val="000000" w:themeColor="text1"/>
        </w:rPr>
        <w:footnoteReference w:id="10"/>
      </w:r>
      <w:r w:rsidRPr="007B4401">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7FF6C3B3" w14:textId="77777777" w:rsidR="004B3B91" w:rsidRPr="007B4401" w:rsidRDefault="004B3B91" w:rsidP="004B3B91">
      <w:pPr>
        <w:spacing w:after="120" w:line="276" w:lineRule="auto"/>
        <w:ind w:firstLine="709"/>
        <w:jc w:val="both"/>
        <w:rPr>
          <w:rFonts w:ascii="Arial" w:hAnsi="Arial" w:cs="Arial"/>
          <w:iCs/>
          <w:color w:val="000000" w:themeColor="text1"/>
          <w:sz w:val="22"/>
          <w:lang w:val="es-ES_tradnl"/>
        </w:rPr>
      </w:pPr>
      <w:r w:rsidRPr="007B4401">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7B4401">
        <w:rPr>
          <w:rFonts w:ascii="Arial" w:hAnsi="Arial" w:cs="Arial"/>
          <w:i/>
          <w:iCs/>
          <w:color w:val="000000" w:themeColor="text1"/>
          <w:sz w:val="22"/>
          <w:lang w:val="es-ES_tradnl"/>
        </w:rPr>
        <w:t>itación a audiencia</w:t>
      </w:r>
      <w:r w:rsidRPr="007B4401">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7B4401">
        <w:rPr>
          <w:rFonts w:ascii="Arial" w:hAnsi="Arial" w:cs="Arial"/>
          <w:i/>
          <w:iCs/>
          <w:color w:val="000000" w:themeColor="text1"/>
          <w:sz w:val="22"/>
          <w:lang w:val="es-ES_tradnl"/>
        </w:rPr>
        <w:t>Audiencia</w:t>
      </w:r>
      <w:r w:rsidRPr="007B4401">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7B4401">
        <w:rPr>
          <w:rFonts w:ascii="Arial" w:hAnsi="Arial" w:cs="Arial"/>
          <w:i/>
          <w:iCs/>
          <w:color w:val="000000" w:themeColor="text1"/>
          <w:sz w:val="22"/>
          <w:lang w:val="es-ES_tradnl"/>
        </w:rPr>
        <w:t>Decisión</w:t>
      </w:r>
      <w:r w:rsidRPr="007B4401">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38BEA7FC" w14:textId="77777777" w:rsidR="004B3B91" w:rsidRPr="007B4401" w:rsidRDefault="004B3B91" w:rsidP="004B3B91">
      <w:pPr>
        <w:spacing w:line="276" w:lineRule="auto"/>
        <w:ind w:firstLine="709"/>
        <w:jc w:val="both"/>
        <w:rPr>
          <w:rFonts w:ascii="Arial" w:eastAsia="Calibri" w:hAnsi="Arial" w:cs="Arial"/>
          <w:color w:val="000000" w:themeColor="text1"/>
          <w:sz w:val="22"/>
          <w:lang w:val="es-ES_tradnl"/>
        </w:rPr>
      </w:pPr>
      <w:r w:rsidRPr="007B4401">
        <w:rPr>
          <w:rFonts w:ascii="Arial" w:hAnsi="Arial" w:cs="Arial"/>
          <w:iCs/>
          <w:color w:val="000000" w:themeColor="text1"/>
          <w:sz w:val="22"/>
          <w:lang w:val="es-ES_tradnl"/>
        </w:rPr>
        <w:t>Como precisión previa, vale la pena aclarar que e</w:t>
      </w:r>
      <w:r w:rsidRPr="007B4401">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7B4401">
        <w:rPr>
          <w:rStyle w:val="Refdenotaalpie"/>
          <w:rFonts w:ascii="Arial" w:eastAsia="Calibri" w:hAnsi="Arial" w:cs="Arial"/>
          <w:color w:val="000000" w:themeColor="text1"/>
        </w:rPr>
        <w:footnoteReference w:id="11"/>
      </w:r>
      <w:r w:rsidRPr="007B4401">
        <w:rPr>
          <w:rFonts w:ascii="Arial" w:eastAsia="Calibri" w:hAnsi="Arial" w:cs="Arial"/>
          <w:color w:val="000000" w:themeColor="text1"/>
          <w:sz w:val="22"/>
          <w:lang w:val="es-ES_tradnl"/>
        </w:rPr>
        <w:t xml:space="preserve">. </w:t>
      </w:r>
      <w:r w:rsidRPr="007B4401">
        <w:rPr>
          <w:rFonts w:ascii="Arial" w:eastAsia="Calibri" w:hAnsi="Arial" w:cs="Arial"/>
          <w:color w:val="000000" w:themeColor="text1"/>
          <w:sz w:val="22"/>
          <w:lang w:val="es-ES_tradnl"/>
        </w:rPr>
        <w:lastRenderedPageBreak/>
        <w:t xml:space="preserve">De ahí que las entidades de </w:t>
      </w:r>
      <w:r w:rsidRPr="007B4401">
        <w:rPr>
          <w:rFonts w:ascii="Arial" w:eastAsia="Calibri" w:hAnsi="Arial" w:cs="Arial"/>
          <w:i/>
          <w:iCs/>
          <w:color w:val="000000" w:themeColor="text1"/>
          <w:sz w:val="22"/>
          <w:lang w:val="es-ES_tradnl"/>
        </w:rPr>
        <w:t>régimen especial</w:t>
      </w:r>
      <w:r w:rsidRPr="007B4401">
        <w:rPr>
          <w:rStyle w:val="Refdenotaalpie"/>
          <w:rFonts w:ascii="Arial" w:eastAsia="Calibri" w:hAnsi="Arial" w:cs="Arial"/>
          <w:color w:val="000000" w:themeColor="text1"/>
        </w:rPr>
        <w:footnoteReference w:id="12"/>
      </w:r>
      <w:r w:rsidRPr="007B4401">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w:t>
      </w:r>
      <w:r w:rsidRPr="007B4401">
        <w:rPr>
          <w:rStyle w:val="Refdenotaalpie"/>
          <w:rFonts w:ascii="Arial" w:eastAsia="Calibri" w:hAnsi="Arial" w:cs="Arial"/>
          <w:color w:val="000000" w:themeColor="text1"/>
        </w:rPr>
        <w:footnoteReference w:id="13"/>
      </w:r>
      <w:r w:rsidRPr="007B4401">
        <w:rPr>
          <w:rFonts w:ascii="Arial" w:eastAsia="Calibri" w:hAnsi="Arial" w:cs="Arial"/>
          <w:color w:val="000000" w:themeColor="text1"/>
          <w:sz w:val="22"/>
          <w:lang w:val="es-ES_tradnl"/>
        </w:rPr>
        <w:t>. La norma indicada desarrolla el procedimiento de la siguiente manera:</w:t>
      </w:r>
    </w:p>
    <w:p w14:paraId="053F2F10" w14:textId="77777777" w:rsidR="004B3B91" w:rsidRPr="007B4401" w:rsidRDefault="004B3B91" w:rsidP="004B3B91">
      <w:pPr>
        <w:spacing w:line="276" w:lineRule="auto"/>
        <w:ind w:right="142" w:firstLine="709"/>
        <w:jc w:val="both"/>
        <w:rPr>
          <w:rFonts w:ascii="Arial" w:eastAsia="Calibri" w:hAnsi="Arial" w:cs="Arial"/>
          <w:color w:val="000000" w:themeColor="text1"/>
          <w:sz w:val="22"/>
          <w:lang w:val="es-ES_tradnl"/>
        </w:rPr>
      </w:pPr>
    </w:p>
    <w:p w14:paraId="63FD3B59"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bookmarkStart w:id="6" w:name="86"/>
      <w:r w:rsidRPr="007B4401">
        <w:rPr>
          <w:rFonts w:ascii="Arial" w:hAnsi="Arial" w:cs="Arial"/>
          <w:iCs/>
          <w:color w:val="000000" w:themeColor="text1"/>
          <w:sz w:val="21"/>
          <w:szCs w:val="21"/>
          <w:lang w:val="es-ES_tradnl"/>
        </w:rPr>
        <w:t>Artículo 86. Imposición de multas, sanciones y declaratorias de incumplimiento.</w:t>
      </w:r>
      <w:bookmarkEnd w:id="6"/>
      <w:r w:rsidRPr="007B4401">
        <w:rPr>
          <w:rFonts w:ascii="Arial" w:hAnsi="Arial" w:cs="Arial"/>
          <w:iCs/>
          <w:color w:val="000000" w:themeColor="text1"/>
          <w:sz w:val="21"/>
          <w:szCs w:val="21"/>
          <w:lang w:val="es-ES_tradn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04DAAA90"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p>
    <w:p w14:paraId="53CE18FF"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r w:rsidRPr="007B4401">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24A1E1CE" w14:textId="77777777" w:rsidR="004B3B91" w:rsidRPr="007B4401" w:rsidRDefault="004B3B91" w:rsidP="004B3B91">
      <w:pPr>
        <w:pStyle w:val="Prrafodelista"/>
        <w:ind w:left="709" w:right="709"/>
        <w:jc w:val="both"/>
        <w:rPr>
          <w:rFonts w:ascii="Arial" w:hAnsi="Arial" w:cs="Arial"/>
          <w:color w:val="000000" w:themeColor="text1"/>
          <w:lang w:val="es-ES_tradnl"/>
        </w:rPr>
      </w:pPr>
    </w:p>
    <w:p w14:paraId="71605647"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r w:rsidRPr="007B4401">
        <w:rPr>
          <w:rFonts w:ascii="Arial" w:hAnsi="Arial" w:cs="Arial"/>
          <w:iCs/>
          <w:color w:val="000000" w:themeColor="text1"/>
          <w:sz w:val="21"/>
          <w:szCs w:val="21"/>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17DAD5B6"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p>
    <w:p w14:paraId="41455A98"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r w:rsidRPr="007B4401">
        <w:rPr>
          <w:rFonts w:ascii="Arial" w:hAnsi="Arial" w:cs="Arial"/>
          <w:iCs/>
          <w:color w:val="000000" w:themeColor="text1"/>
          <w:sz w:val="21"/>
          <w:szCs w:val="21"/>
          <w:lang w:val="es-ES_tradnl"/>
        </w:rPr>
        <w:t xml:space="preserve">c) Hecho lo precedente, mediante resolución motivada en la que se consigne lo ocurrido en desarrollo de la audiencia y la cual se entenderá notificada en dicho acto público, la entidad procederá a decidir sobre la imposición o no de la multa, </w:t>
      </w:r>
      <w:r w:rsidRPr="007B4401">
        <w:rPr>
          <w:rFonts w:ascii="Arial" w:hAnsi="Arial" w:cs="Arial"/>
          <w:iCs/>
          <w:color w:val="000000" w:themeColor="text1"/>
          <w:sz w:val="21"/>
          <w:szCs w:val="21"/>
          <w:lang w:val="es-ES_tradnl"/>
        </w:rPr>
        <w:lastRenderedPageBreak/>
        <w:t>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1CB14AE5"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p>
    <w:p w14:paraId="5892E637" w14:textId="77777777" w:rsidR="004B3B91" w:rsidRPr="007B4401" w:rsidRDefault="004B3B91" w:rsidP="004B3B91">
      <w:pPr>
        <w:pStyle w:val="Prrafodelista"/>
        <w:ind w:left="709" w:right="709"/>
        <w:jc w:val="both"/>
        <w:rPr>
          <w:rFonts w:ascii="Arial" w:hAnsi="Arial" w:cs="Arial"/>
          <w:iCs/>
          <w:color w:val="000000" w:themeColor="text1"/>
          <w:sz w:val="21"/>
          <w:szCs w:val="21"/>
          <w:lang w:val="es-ES_tradnl"/>
        </w:rPr>
      </w:pPr>
      <w:r w:rsidRPr="007B4401">
        <w:rPr>
          <w:rFonts w:ascii="Arial" w:hAnsi="Arial" w:cs="Arial"/>
          <w:iCs/>
          <w:color w:val="000000" w:themeColor="text1"/>
          <w:sz w:val="21"/>
          <w:szCs w:val="21"/>
          <w:lang w:val="es-ES_tradnl"/>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1696C092" w14:textId="77777777" w:rsidR="004B3B91" w:rsidRPr="007B4401" w:rsidRDefault="004B3B91" w:rsidP="004B3B91">
      <w:pPr>
        <w:spacing w:line="276" w:lineRule="auto"/>
        <w:ind w:right="142"/>
        <w:jc w:val="both"/>
        <w:rPr>
          <w:rFonts w:ascii="Arial" w:eastAsia="Calibri" w:hAnsi="Arial" w:cs="Arial"/>
          <w:color w:val="000000" w:themeColor="text1"/>
          <w:sz w:val="22"/>
          <w:lang w:val="es-ES_tradnl"/>
        </w:rPr>
      </w:pPr>
    </w:p>
    <w:p w14:paraId="30666CCB" w14:textId="77777777" w:rsidR="004B3B91" w:rsidRPr="007B4401" w:rsidRDefault="004B3B91" w:rsidP="004B3B91">
      <w:pPr>
        <w:spacing w:after="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7B4401">
        <w:rPr>
          <w:rFonts w:ascii="Arial" w:eastAsia="Calibri" w:hAnsi="Arial" w:cs="Arial"/>
          <w:i/>
          <w:iCs/>
          <w:color w:val="000000" w:themeColor="text1"/>
          <w:sz w:val="22"/>
          <w:lang w:val="es-ES_tradnl"/>
        </w:rPr>
        <w:t>hechos</w:t>
      </w:r>
      <w:r w:rsidRPr="007B4401">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r w:rsidRPr="007B4401">
        <w:rPr>
          <w:rStyle w:val="Refdenotaalpie"/>
          <w:rFonts w:ascii="Arial" w:eastAsia="Calibri" w:hAnsi="Arial" w:cs="Arial"/>
          <w:color w:val="000000" w:themeColor="text1"/>
        </w:rPr>
        <w:footnoteReference w:id="14"/>
      </w:r>
      <w:r w:rsidRPr="007B4401">
        <w:rPr>
          <w:rFonts w:ascii="Arial" w:eastAsia="Calibri" w:hAnsi="Arial" w:cs="Arial"/>
          <w:color w:val="000000" w:themeColor="text1"/>
          <w:sz w:val="22"/>
          <w:lang w:val="es-ES_tradnl"/>
        </w:rPr>
        <w:t>.</w:t>
      </w:r>
    </w:p>
    <w:p w14:paraId="646873B9" w14:textId="77777777" w:rsidR="004B3B91" w:rsidRPr="007B4401" w:rsidRDefault="004B3B91" w:rsidP="004B3B91">
      <w:pPr>
        <w:spacing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lastRenderedPageBreak/>
        <w:t>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probatorio. Sin embargo, como lo expresa la doctrina, el término debe ser razonable y suficiente</w:t>
      </w:r>
      <w:r w:rsidRPr="007B4401">
        <w:rPr>
          <w:rStyle w:val="Refdenotaalpie"/>
          <w:rFonts w:ascii="Arial" w:eastAsia="Calibri" w:hAnsi="Arial" w:cs="Arial"/>
          <w:color w:val="000000" w:themeColor="text1"/>
        </w:rPr>
        <w:footnoteReference w:id="15"/>
      </w:r>
      <w:r w:rsidRPr="007B4401">
        <w:rPr>
          <w:rFonts w:ascii="Arial" w:eastAsia="Calibri" w:hAnsi="Arial" w:cs="Arial"/>
          <w:color w:val="000000" w:themeColor="text1"/>
          <w:sz w:val="22"/>
          <w:lang w:val="es-ES_tradnl"/>
        </w:rPr>
        <w:t>.</w:t>
      </w:r>
    </w:p>
    <w:p w14:paraId="162C6118" w14:textId="77777777" w:rsidR="004B3B91" w:rsidRPr="007B4401" w:rsidRDefault="004B3B91" w:rsidP="004B3B91">
      <w:pPr>
        <w:spacing w:line="276" w:lineRule="auto"/>
        <w:jc w:val="both"/>
        <w:rPr>
          <w:rFonts w:ascii="Arial" w:eastAsia="Calibri" w:hAnsi="Arial" w:cs="Arial"/>
          <w:color w:val="000000" w:themeColor="text1"/>
          <w:sz w:val="22"/>
          <w:lang w:val="es-ES_tradnl"/>
        </w:rPr>
      </w:pPr>
    </w:p>
    <w:p w14:paraId="3F9583E0" w14:textId="77777777" w:rsidR="004B3B91" w:rsidRPr="007B4401" w:rsidRDefault="004B3B91" w:rsidP="004B3B91">
      <w:pPr>
        <w:spacing w:line="276" w:lineRule="auto"/>
        <w:jc w:val="both"/>
        <w:rPr>
          <w:rFonts w:ascii="Arial" w:hAnsi="Arial" w:cs="Arial"/>
          <w:b/>
          <w:bCs/>
          <w:iCs/>
          <w:color w:val="000000" w:themeColor="text1"/>
          <w:sz w:val="22"/>
          <w:lang w:val="es-ES_tradnl"/>
        </w:rPr>
      </w:pPr>
      <w:r w:rsidRPr="007B4401">
        <w:rPr>
          <w:rFonts w:ascii="Arial" w:hAnsi="Arial" w:cs="Arial"/>
          <w:b/>
          <w:bCs/>
          <w:iCs/>
          <w:color w:val="000000" w:themeColor="text1"/>
          <w:sz w:val="22"/>
          <w:lang w:val="es-ES_tradnl"/>
        </w:rPr>
        <w:t>2.3. Alcance del artículo 58 de la Ley 2195 de 2022: reducción de puntaje por incumplimiento de contratos estatales</w:t>
      </w:r>
    </w:p>
    <w:p w14:paraId="65F0FE04" w14:textId="77777777" w:rsidR="004B3B91" w:rsidRPr="007B4401" w:rsidRDefault="004B3B91" w:rsidP="004B3B91">
      <w:pPr>
        <w:spacing w:line="276" w:lineRule="auto"/>
        <w:jc w:val="both"/>
        <w:rPr>
          <w:rFonts w:ascii="Arial" w:eastAsia="Calibri" w:hAnsi="Arial" w:cs="Arial"/>
          <w:color w:val="000000" w:themeColor="text1"/>
          <w:sz w:val="22"/>
          <w:lang w:val="es-ES_tradnl"/>
        </w:rPr>
      </w:pPr>
    </w:p>
    <w:p w14:paraId="74B759D9" w14:textId="2A2C636A" w:rsidR="004A24E3" w:rsidRPr="007B4401" w:rsidRDefault="004B3B91" w:rsidP="003D34C7">
      <w:pPr>
        <w:shd w:val="clear" w:color="auto" w:fill="FFFFFF"/>
        <w:spacing w:line="276" w:lineRule="auto"/>
        <w:jc w:val="both"/>
        <w:rPr>
          <w:rFonts w:ascii="Arial" w:hAnsi="Arial" w:cs="Arial"/>
          <w:color w:val="000000" w:themeColor="text1"/>
          <w:sz w:val="22"/>
          <w:szCs w:val="22"/>
          <w:lang w:val="es-ES_tradnl" w:eastAsia="es-ES"/>
        </w:rPr>
      </w:pPr>
      <w:r w:rsidRPr="007B4401">
        <w:rPr>
          <w:rFonts w:ascii="Arial" w:eastAsia="Calibri" w:hAnsi="Arial" w:cs="Arial"/>
          <w:color w:val="000000" w:themeColor="text1"/>
          <w:sz w:val="22"/>
          <w:szCs w:val="22"/>
          <w:lang w:val="es-ES_tradnl"/>
        </w:rPr>
        <w:t>La Ley 2195 de 2022, como lo establece su artículo 1, «</w:t>
      </w:r>
      <w:r w:rsidRPr="007B4401">
        <w:rPr>
          <w:rFonts w:ascii="Arial" w:hAnsi="Arial" w:cs="Arial"/>
          <w:color w:val="000000" w:themeColor="text1"/>
          <w:sz w:val="22"/>
          <w:szCs w:val="22"/>
          <w:lang w:val="es-ES_tradnl"/>
        </w:rPr>
        <w:t xml:space="preserve">[…] </w:t>
      </w:r>
      <w:r w:rsidRPr="007B4401">
        <w:rPr>
          <w:rFonts w:ascii="Arial" w:eastAsia="Calibri" w:hAnsi="Arial" w:cs="Arial"/>
          <w:color w:val="000000" w:themeColor="text1"/>
          <w:sz w:val="22"/>
          <w:szCs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(sic)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7B4401">
        <w:rPr>
          <w:rFonts w:ascii="Arial" w:eastAsia="Calibri" w:hAnsi="Arial" w:cs="Arial"/>
          <w:i/>
          <w:iCs/>
          <w:color w:val="000000" w:themeColor="text1"/>
          <w:sz w:val="22"/>
          <w:szCs w:val="22"/>
          <w:lang w:val="es-ES_tradnl"/>
        </w:rPr>
        <w:t>no</w:t>
      </w:r>
      <w:r w:rsidRPr="007B4401">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w:t>
      </w:r>
      <w:r w:rsidRPr="007B4401">
        <w:rPr>
          <w:rFonts w:ascii="Arial" w:eastAsia="Calibri" w:hAnsi="Arial" w:cs="Arial"/>
          <w:color w:val="000000" w:themeColor="text1"/>
          <w:sz w:val="22"/>
          <w:szCs w:val="22"/>
          <w:lang w:val="es-ES_tradnl"/>
        </w:rPr>
        <w:lastRenderedPageBreak/>
        <w:t>por incumplimiento de contratos –artículo 58–.</w:t>
      </w:r>
      <w:r w:rsidR="004A24E3" w:rsidRPr="007B4401">
        <w:rPr>
          <w:rFonts w:ascii="Arial" w:hAnsi="Arial" w:cs="Arial"/>
          <w:color w:val="000000" w:themeColor="text1"/>
          <w:sz w:val="22"/>
          <w:szCs w:val="22"/>
          <w:lang w:val="es-ES_tradnl" w:eastAsia="es-ES"/>
        </w:rPr>
        <w:t xml:space="preserve"> Para entender la finalidad del Capítulo VIII, se exponen los antecedentes normativos, contenida en la exposición de motivos: </w:t>
      </w:r>
    </w:p>
    <w:p w14:paraId="03EEB599" w14:textId="77777777" w:rsidR="004A24E3" w:rsidRPr="007B4401" w:rsidRDefault="004A24E3" w:rsidP="003D34C7">
      <w:pPr>
        <w:shd w:val="clear" w:color="auto" w:fill="FFFFFF"/>
        <w:spacing w:line="276" w:lineRule="auto"/>
        <w:jc w:val="both"/>
        <w:rPr>
          <w:rFonts w:ascii="Arial" w:hAnsi="Arial" w:cs="Arial"/>
          <w:color w:val="000000" w:themeColor="text1"/>
          <w:sz w:val="22"/>
          <w:szCs w:val="22"/>
          <w:lang w:val="es-ES_tradnl" w:eastAsia="es-ES"/>
        </w:rPr>
      </w:pPr>
    </w:p>
    <w:p w14:paraId="247AF788" w14:textId="4DBA87B7" w:rsidR="004A24E3" w:rsidRPr="007B4401" w:rsidRDefault="004A24E3" w:rsidP="003D34C7">
      <w:pPr>
        <w:shd w:val="clear" w:color="auto" w:fill="FFFFFF"/>
        <w:spacing w:line="276" w:lineRule="auto"/>
        <w:ind w:left="709" w:right="709"/>
        <w:jc w:val="both"/>
        <w:rPr>
          <w:rFonts w:ascii="Arial" w:hAnsi="Arial" w:cs="Arial"/>
          <w:color w:val="000000" w:themeColor="text1"/>
          <w:sz w:val="21"/>
          <w:szCs w:val="21"/>
          <w:lang w:val="es-ES_tradnl" w:eastAsia="es-ES"/>
        </w:rPr>
      </w:pPr>
      <w:r w:rsidRPr="007B4401">
        <w:rPr>
          <w:rFonts w:ascii="Arial" w:hAnsi="Arial" w:cs="Arial"/>
          <w:color w:val="000000" w:themeColor="text1"/>
          <w:sz w:val="21"/>
          <w:szCs w:val="21"/>
          <w:lang w:val="es-ES_tradnl" w:eastAsia="es-ES"/>
        </w:rPr>
        <w:t>La experiencia demuestra que no bastan sanciones económicas, disciplinarias, fiscales o penales, sino que es necesario exaltar una verdadera política pública de prevención en el ejercicio de la actividad contractual y de la gestión pública. Por eso, este proyecto propone el fortalecimiento de algunas disposiciones jurídicas que promuevan la gestión contractual del Estado y faciliten los mecanismos de prevención de la corrupción en esa materia</w:t>
      </w:r>
      <w:r w:rsidRPr="007B4401">
        <w:rPr>
          <w:rFonts w:ascii="Arial" w:hAnsi="Arial" w:cs="Arial"/>
          <w:color w:val="000000" w:themeColor="text1"/>
          <w:sz w:val="21"/>
          <w:szCs w:val="21"/>
          <w:vertAlign w:val="superscript"/>
          <w:lang w:val="es-ES_tradnl" w:eastAsia="es-ES"/>
        </w:rPr>
        <w:footnoteReference w:id="16"/>
      </w:r>
      <w:r w:rsidRPr="007B4401">
        <w:rPr>
          <w:rFonts w:ascii="Arial" w:hAnsi="Arial" w:cs="Arial"/>
          <w:color w:val="000000" w:themeColor="text1"/>
          <w:sz w:val="21"/>
          <w:szCs w:val="21"/>
          <w:lang w:val="es-ES_tradnl" w:eastAsia="es-ES"/>
        </w:rPr>
        <w:t xml:space="preserve">. </w:t>
      </w:r>
    </w:p>
    <w:p w14:paraId="07F5530D" w14:textId="77777777" w:rsidR="004A24E3" w:rsidRPr="007B4401" w:rsidRDefault="004A24E3">
      <w:pPr>
        <w:shd w:val="clear" w:color="auto" w:fill="FFFFFF"/>
        <w:spacing w:after="120" w:line="276" w:lineRule="auto"/>
        <w:ind w:left="709" w:right="709"/>
        <w:jc w:val="both"/>
        <w:rPr>
          <w:rFonts w:ascii="Arial" w:hAnsi="Arial" w:cs="Arial"/>
          <w:color w:val="000000" w:themeColor="text1"/>
          <w:sz w:val="21"/>
          <w:szCs w:val="21"/>
          <w:lang w:val="es-ES_tradnl" w:eastAsia="es-ES"/>
        </w:rPr>
      </w:pPr>
    </w:p>
    <w:p w14:paraId="6953BB2E" w14:textId="5BAEEFCE" w:rsidR="004B3B91" w:rsidRPr="007B4401" w:rsidRDefault="004A24E3" w:rsidP="003D34C7">
      <w:pPr>
        <w:spacing w:line="276" w:lineRule="auto"/>
        <w:ind w:firstLine="709"/>
        <w:jc w:val="both"/>
        <w:rPr>
          <w:rFonts w:ascii="Arial" w:eastAsia="Calibri" w:hAnsi="Arial" w:cs="Arial"/>
          <w:color w:val="000000" w:themeColor="text1"/>
          <w:sz w:val="22"/>
          <w:szCs w:val="22"/>
          <w:lang w:val="es-ES_tradnl"/>
        </w:rPr>
      </w:pPr>
      <w:r w:rsidRPr="007B4401">
        <w:rPr>
          <w:rFonts w:ascii="Arial" w:hAnsi="Arial" w:cs="Arial"/>
          <w:color w:val="000000" w:themeColor="text1"/>
          <w:sz w:val="22"/>
          <w:szCs w:val="22"/>
          <w:lang w:val="es-ES_tradnl" w:eastAsia="es-ES"/>
        </w:rPr>
        <w:t xml:space="preserve">En este contexto, el Capítulo VIII busca establecer herramientas para la lucha contra la corrupción y la salvaguarda de la transparencia en la gestión contractual. En tal sentido, </w:t>
      </w:r>
      <w:r w:rsidRPr="007B4401">
        <w:rPr>
          <w:rFonts w:ascii="Arial" w:eastAsia="Calibri" w:hAnsi="Arial" w:cs="Arial"/>
          <w:color w:val="000000" w:themeColor="text1"/>
          <w:sz w:val="22"/>
          <w:szCs w:val="22"/>
          <w:lang w:val="es-ES_tradnl"/>
        </w:rPr>
        <w:t>l</w:t>
      </w:r>
      <w:r w:rsidR="004B3B91" w:rsidRPr="007B4401">
        <w:rPr>
          <w:rFonts w:ascii="Arial" w:eastAsia="Calibri" w:hAnsi="Arial" w:cs="Arial"/>
          <w:color w:val="000000" w:themeColor="text1"/>
          <w:sz w:val="22"/>
          <w:szCs w:val="22"/>
          <w:lang w:val="es-ES_tradnl"/>
        </w:rPr>
        <w:t>a consulta que se estudia en esta oportunidad tiene que ver, precisamente, con el último aspecto señalado, es decir, con la reducción del puntaje ordenada por el artículo 58 de la Ley 2195 de 2022. Esta norma dispone:</w:t>
      </w:r>
    </w:p>
    <w:p w14:paraId="4C40B352" w14:textId="77777777" w:rsidR="004B3B91" w:rsidRPr="007B4401" w:rsidRDefault="004B3B91" w:rsidP="004B3B91">
      <w:pPr>
        <w:ind w:left="709" w:right="709"/>
        <w:jc w:val="both"/>
        <w:rPr>
          <w:rFonts w:ascii="Arial" w:eastAsia="Calibri" w:hAnsi="Arial" w:cs="Arial"/>
          <w:color w:val="000000" w:themeColor="text1"/>
          <w:sz w:val="19"/>
          <w:szCs w:val="19"/>
          <w:lang w:val="es-ES_tradnl"/>
        </w:rPr>
      </w:pPr>
    </w:p>
    <w:p w14:paraId="692C21EF"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r w:rsidRPr="007B4401">
        <w:rPr>
          <w:rFonts w:ascii="Arial" w:eastAsia="Calibri" w:hAnsi="Arial" w:cs="Arial"/>
          <w:color w:val="000000" w:themeColor="text1"/>
          <w:sz w:val="21"/>
          <w:szCs w:val="21"/>
          <w:lang w:val="es-ES_tradnl"/>
        </w:rPr>
        <w:t xml:space="preserve">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14:paraId="5D1EC329"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p>
    <w:p w14:paraId="0031E6F9"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r w:rsidRPr="007B4401">
        <w:rPr>
          <w:rFonts w:ascii="Arial" w:eastAsia="Calibri" w:hAnsi="Arial" w:cs="Arial"/>
          <w:color w:val="000000" w:themeColor="text1"/>
          <w:sz w:val="21"/>
          <w:szCs w:val="21"/>
          <w:lang w:val="es-ES_tradnl"/>
        </w:rPr>
        <w:t xml:space="preserve">Esta reducción también afecta a los consorcios y uniones temporales si alguno de sus integrantes se encuentra en la situación anterior. </w:t>
      </w:r>
    </w:p>
    <w:p w14:paraId="1576813A"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p>
    <w:p w14:paraId="7E484C55"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r w:rsidRPr="007B4401">
        <w:rPr>
          <w:rFonts w:ascii="Arial" w:eastAsia="Calibri" w:hAnsi="Arial" w:cs="Arial"/>
          <w:color w:val="000000" w:themeColor="text1"/>
          <w:sz w:val="21"/>
          <w:szCs w:val="21"/>
          <w:lang w:val="es-ES_tradnl"/>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14:paraId="36A56547"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p>
    <w:p w14:paraId="022B1F5A" w14:textId="77777777" w:rsidR="004B3B91" w:rsidRPr="007B4401" w:rsidRDefault="004B3B91" w:rsidP="004B3B91">
      <w:pPr>
        <w:ind w:left="709" w:right="709"/>
        <w:jc w:val="both"/>
        <w:rPr>
          <w:rFonts w:ascii="Arial" w:eastAsia="Calibri" w:hAnsi="Arial" w:cs="Arial"/>
          <w:color w:val="000000" w:themeColor="text1"/>
          <w:sz w:val="21"/>
          <w:szCs w:val="21"/>
          <w:lang w:val="es-ES_tradnl"/>
        </w:rPr>
      </w:pPr>
      <w:r w:rsidRPr="007B4401">
        <w:rPr>
          <w:rFonts w:ascii="Arial" w:eastAsia="Calibri" w:hAnsi="Arial" w:cs="Arial"/>
          <w:color w:val="000000" w:themeColor="text1"/>
          <w:sz w:val="21"/>
          <w:szCs w:val="21"/>
          <w:lang w:val="es-ES_tradnl"/>
        </w:rPr>
        <w:t xml:space="preserve">Parágrafo segundo. La reducción de puntaje por incumplimiento de contratos se aplicará sin perjuicio de lo contenido en el artículo 6 de la Ley 2020 de 2020. </w:t>
      </w:r>
    </w:p>
    <w:p w14:paraId="4B5E68E8" w14:textId="77777777" w:rsidR="004B3B91" w:rsidRPr="007B4401" w:rsidRDefault="004B3B91" w:rsidP="004B3B91">
      <w:pPr>
        <w:ind w:left="709" w:right="709"/>
        <w:jc w:val="both"/>
        <w:rPr>
          <w:rFonts w:ascii="Arial" w:eastAsia="Calibri" w:hAnsi="Arial" w:cs="Arial"/>
          <w:color w:val="000000" w:themeColor="text1"/>
          <w:sz w:val="22"/>
          <w:szCs w:val="22"/>
          <w:lang w:val="es-ES_tradnl"/>
        </w:rPr>
      </w:pPr>
    </w:p>
    <w:p w14:paraId="7FEB625F" w14:textId="77777777" w:rsidR="004B3B91" w:rsidRPr="007B4401" w:rsidRDefault="004B3B91" w:rsidP="004B3B91">
      <w:pPr>
        <w:spacing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Como puede advertirse, esta disposición contiene las reglas que, a continuación, se explican:</w:t>
      </w:r>
    </w:p>
    <w:p w14:paraId="0429E268" w14:textId="77777777" w:rsidR="004B3B91" w:rsidRPr="007B4401" w:rsidRDefault="004B3B91" w:rsidP="004B3B91">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lastRenderedPageBreak/>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55DF680D" w14:textId="61329ABC" w:rsidR="004B3B91" w:rsidRPr="007B4401" w:rsidRDefault="004B3B91" w:rsidP="004B3B91">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ii) Sin embargo, el deber de reducción del puntaje, para las entidades sometidas al Estatuto General de Contratación de la Administración Pública, previsto en el artículo que se viene comentando, tiene algunas excepciones. Los supuestos en los que no</w:t>
      </w:r>
      <w:r w:rsidR="00F978FE" w:rsidRPr="007B4401">
        <w:rPr>
          <w:rFonts w:ascii="Arial" w:eastAsia="Calibri" w:hAnsi="Arial" w:cs="Arial"/>
          <w:color w:val="000000" w:themeColor="text1"/>
          <w:sz w:val="22"/>
          <w:lang w:val="es-ES_tradnl"/>
        </w:rPr>
        <w:t xml:space="preserve"> aplica</w:t>
      </w:r>
      <w:r w:rsidRPr="007B4401">
        <w:rPr>
          <w:rFonts w:ascii="Arial" w:eastAsia="Calibri" w:hAnsi="Arial" w:cs="Arial"/>
          <w:color w:val="000000" w:themeColor="text1"/>
          <w:sz w:val="22"/>
          <w:lang w:val="es-ES_tradnl"/>
        </w:rPr>
        <w:t xml:space="preserve"> dicha disminución son los consagrados en el primer inciso del artículo 58 –en comento–, a saber: los «establecidos en el literal a) del numeral 2 del artículo 2 de la Ley 1150 de 2007</w:t>
      </w:r>
      <w:r w:rsidRPr="007B4401">
        <w:rPr>
          <w:rStyle w:val="Refdenotaalpie"/>
          <w:rFonts w:ascii="Arial" w:eastAsia="Calibri" w:hAnsi="Arial" w:cs="Arial"/>
          <w:color w:val="000000" w:themeColor="text1"/>
        </w:rPr>
        <w:footnoteReference w:id="17"/>
      </w:r>
      <w:r w:rsidRPr="007B4401">
        <w:rPr>
          <w:rFonts w:ascii="Arial" w:eastAsia="Calibri" w:hAnsi="Arial" w:cs="Arial"/>
          <w:color w:val="000000" w:themeColor="text1"/>
          <w:sz w:val="22"/>
          <w:lang w:val="es-ES_tradnl"/>
        </w:rPr>
        <w:t>, en los de mínima cuantía y en aquellos donde únicamente se pondere el menor precio ofrecido».</w:t>
      </w:r>
    </w:p>
    <w:p w14:paraId="76A7A45E" w14:textId="77777777" w:rsidR="004B3B91" w:rsidRPr="007B4401" w:rsidRDefault="004B3B91" w:rsidP="004B3B91">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 xml:space="preserve">iii)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7B4401">
        <w:rPr>
          <w:rFonts w:ascii="Arial" w:eastAsia="Calibri" w:hAnsi="Arial" w:cs="Arial"/>
          <w:i/>
          <w:iCs/>
          <w:color w:val="000000" w:themeColor="text1"/>
          <w:sz w:val="22"/>
          <w:lang w:val="es-ES_tradnl"/>
        </w:rPr>
        <w:t>hasta</w:t>
      </w:r>
      <w:r w:rsidRPr="007B4401">
        <w:rPr>
          <w:rFonts w:ascii="Arial" w:eastAsia="Calibri" w:hAnsi="Arial" w:cs="Arial"/>
          <w:color w:val="000000" w:themeColor="text1"/>
          <w:sz w:val="22"/>
          <w:lang w:val="es-ES_tradnl"/>
        </w:rPr>
        <w:t xml:space="preserve">, ni dice que debe ser, </w:t>
      </w:r>
      <w:r w:rsidRPr="007B4401">
        <w:rPr>
          <w:rFonts w:ascii="Arial" w:eastAsia="Calibri" w:hAnsi="Arial" w:cs="Arial"/>
          <w:i/>
          <w:iCs/>
          <w:color w:val="000000" w:themeColor="text1"/>
          <w:sz w:val="22"/>
          <w:lang w:val="es-ES_tradnl"/>
        </w:rPr>
        <w:t>como mínimo</w:t>
      </w:r>
      <w:r w:rsidRPr="007B4401">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1859AEB3" w14:textId="6D670386" w:rsidR="004B3B91" w:rsidRPr="007B4401" w:rsidRDefault="004B3B91" w:rsidP="004B3B91">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iv) Los sujetos pasivos –es decir, los afectados por lo dispuesto en el artículo– son los proponentes –incluidos los consorcios y uniones temporales, por la situación de alguno de sus integrantes– a quienes «</w:t>
      </w:r>
      <w:r w:rsidRPr="007B4401">
        <w:rPr>
          <w:rFonts w:ascii="Arial" w:hAnsi="Arial" w:cs="Arial"/>
          <w:color w:val="000000" w:themeColor="text1"/>
          <w:sz w:val="22"/>
          <w:szCs w:val="22"/>
        </w:rPr>
        <w:t xml:space="preserve">[…] </w:t>
      </w:r>
      <w:r w:rsidRPr="007B4401">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tal como se explicó en apartados anteriores de este concepto.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438FC8F1" w14:textId="77777777" w:rsidR="004B3B91" w:rsidRPr="007B4401" w:rsidRDefault="004B3B91" w:rsidP="004B3B91">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7B4401">
        <w:rPr>
          <w:rFonts w:ascii="Arial" w:hAnsi="Arial" w:cs="Arial"/>
          <w:color w:val="000000" w:themeColor="text1"/>
          <w:sz w:val="22"/>
          <w:szCs w:val="22"/>
        </w:rPr>
        <w:t xml:space="preserve">[…] </w:t>
      </w:r>
      <w:r w:rsidRPr="007B4401">
        <w:rPr>
          <w:rFonts w:ascii="Arial" w:eastAsia="Calibri" w:hAnsi="Arial" w:cs="Arial"/>
          <w:color w:val="000000" w:themeColor="text1"/>
          <w:sz w:val="22"/>
          <w:szCs w:val="22"/>
          <w:lang w:val="es-ES_tradnl"/>
        </w:rPr>
        <w:t xml:space="preserve">durante el último año, contado a partir de la fecha prevista para la presentación de las ofertas». O sea que la entidad estatal </w:t>
      </w:r>
      <w:r w:rsidRPr="007B4401">
        <w:rPr>
          <w:rFonts w:ascii="Arial" w:eastAsia="Calibri" w:hAnsi="Arial" w:cs="Arial"/>
          <w:color w:val="000000" w:themeColor="text1"/>
          <w:sz w:val="22"/>
          <w:szCs w:val="22"/>
          <w:lang w:val="es-ES_tradnl"/>
        </w:rPr>
        <w:lastRenderedPageBreak/>
        <w:t xml:space="preserve">contratante –que está adelantando el procedimiento de selección–, debe verificar si en el último año anterior al cierre del proceso –fecha prevista para la presentación de las ofertas–,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7E1C9D10" w14:textId="77777777" w:rsidR="004B3B91" w:rsidRPr="007B4401" w:rsidRDefault="004B3B91" w:rsidP="004B3B91">
      <w:pPr>
        <w:spacing w:before="120" w:line="276" w:lineRule="auto"/>
        <w:ind w:firstLine="709"/>
        <w:jc w:val="both"/>
        <w:rPr>
          <w:rFonts w:ascii="Arial" w:eastAsia="Calibri" w:hAnsi="Arial" w:cs="Arial"/>
          <w:color w:val="000000" w:themeColor="text1"/>
          <w:sz w:val="22"/>
          <w:szCs w:val="22"/>
          <w:lang w:val="es-ES_tradnl"/>
        </w:rPr>
      </w:pPr>
      <w:bookmarkStart w:id="7" w:name="_Hlk97036317"/>
      <w:r w:rsidRPr="007B4401">
        <w:rPr>
          <w:rFonts w:ascii="Arial" w:eastAsia="Calibri" w:hAnsi="Arial" w:cs="Arial"/>
          <w:color w:val="000000" w:themeColor="text1"/>
          <w:sz w:val="22"/>
          <w:szCs w:val="22"/>
          <w:lang w:val="es-ES_tradnl"/>
        </w:rPr>
        <w:t>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r w:rsidRPr="007B4401">
        <w:rPr>
          <w:rFonts w:ascii="Arial" w:hAnsi="Arial" w:cs="Arial"/>
          <w:color w:val="000000" w:themeColor="text1"/>
          <w:sz w:val="22"/>
          <w:szCs w:val="22"/>
          <w:lang w:val="es-ES_tradnl"/>
        </w:rPr>
        <w:t xml:space="preserve">[…] </w:t>
      </w:r>
      <w:r w:rsidRPr="007B4401">
        <w:rPr>
          <w:rFonts w:ascii="Arial" w:eastAsia="Calibri" w:hAnsi="Arial" w:cs="Arial"/>
          <w:color w:val="000000" w:themeColor="text1"/>
          <w:sz w:val="22"/>
          <w:szCs w:val="22"/>
          <w:lang w:val="es-ES_tradnl"/>
        </w:rPr>
        <w:t>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w:t>
      </w:r>
      <w:bookmarkEnd w:id="7"/>
      <w:r w:rsidRPr="007B4401">
        <w:rPr>
          <w:rFonts w:ascii="Arial" w:eastAsia="Calibri" w:hAnsi="Arial" w:cs="Arial"/>
          <w:color w:val="000000" w:themeColor="text1"/>
          <w:sz w:val="22"/>
          <w:szCs w:val="22"/>
          <w:lang w:val="es-ES_tradnl"/>
        </w:rPr>
        <w:t>, por lo que el legislador optó por realizar una distinción en su tratamiento.</w:t>
      </w:r>
    </w:p>
    <w:p w14:paraId="2AC27503" w14:textId="77777777" w:rsidR="004B3B91" w:rsidRPr="007B4401" w:rsidRDefault="004B3B91" w:rsidP="004B3B91">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vii) La reducción del puntaje que exige efectuar el artículo 58 de la Ley 2195 de 2022, como lo expresa su parágrafo 2, debe aplicarse «sin perjuicio de lo contenido en el artículo 6 de la Ley 2020 de 2020»</w:t>
      </w:r>
      <w:r w:rsidRPr="007B4401">
        <w:rPr>
          <w:rStyle w:val="Refdenotaalpie"/>
          <w:rFonts w:ascii="Arial" w:eastAsia="Calibri" w:hAnsi="Arial" w:cs="Arial"/>
          <w:color w:val="000000" w:themeColor="text1"/>
        </w:rPr>
        <w:footnoteReference w:id="18"/>
      </w:r>
      <w:r w:rsidRPr="007B4401">
        <w:rPr>
          <w:rFonts w:ascii="Arial" w:eastAsia="Calibri" w:hAnsi="Arial" w:cs="Arial"/>
          <w:color w:val="000000" w:themeColor="text1"/>
          <w:sz w:val="22"/>
          <w:szCs w:val="22"/>
          <w:lang w:val="es-ES_tradnl"/>
        </w:rPr>
        <w:t>. Esto significa que no riñe la disminución del puntaje con la verificación de las anotaciones contenidas en el Registro Nacional de Obras Civiles Inconclusas.</w:t>
      </w:r>
    </w:p>
    <w:p w14:paraId="010FB3DC" w14:textId="744079E0" w:rsidR="004B3B91" w:rsidRPr="007B4401" w:rsidRDefault="004B3B91" w:rsidP="004B3B91">
      <w:pPr>
        <w:spacing w:before="120" w:line="276" w:lineRule="auto"/>
        <w:ind w:firstLine="709"/>
        <w:jc w:val="both"/>
        <w:rPr>
          <w:rFonts w:ascii="Arial" w:eastAsia="Calibri" w:hAnsi="Arial" w:cs="Arial"/>
          <w:color w:val="000000" w:themeColor="text1"/>
          <w:sz w:val="22"/>
          <w:szCs w:val="22"/>
        </w:rPr>
      </w:pPr>
      <w:r w:rsidRPr="007B4401">
        <w:rPr>
          <w:rFonts w:ascii="Arial" w:eastAsia="Calibri" w:hAnsi="Arial" w:cs="Arial"/>
          <w:color w:val="000000" w:themeColor="text1"/>
          <w:sz w:val="22"/>
          <w:szCs w:val="22"/>
          <w:lang w:val="es-ES_tradnl"/>
        </w:rPr>
        <w:lastRenderedPageBreak/>
        <w:t>Ahora bien, en la consulta se pregunta</w:t>
      </w:r>
      <w:r w:rsidR="00D16953" w:rsidRPr="007B4401">
        <w:rPr>
          <w:rFonts w:ascii="Arial" w:eastAsia="Calibri" w:hAnsi="Arial" w:cs="Arial"/>
          <w:color w:val="000000" w:themeColor="text1"/>
          <w:sz w:val="22"/>
          <w:szCs w:val="22"/>
          <w:lang w:val="es-ES_tradnl"/>
        </w:rPr>
        <w:t xml:space="preserve"> si la reducción del puntaje establecida en el artículo 58 aplica en relación con las multas y cláusulas penales que hubieren quedado en firme antes de la expedición de la Ley 2195 de 2022. </w:t>
      </w:r>
      <w:r w:rsidRPr="007B4401">
        <w:rPr>
          <w:rFonts w:ascii="Arial" w:eastAsia="Calibri" w:hAnsi="Arial" w:cs="Arial"/>
          <w:color w:val="000000" w:themeColor="text1"/>
          <w:sz w:val="22"/>
          <w:szCs w:val="22"/>
          <w:lang w:val="es-ES_tradnl"/>
        </w:rPr>
        <w:t>Para resolver esta inquietud la Agencia estima pertinentes algunos comentarios sobre la vigencia de las normas jurídicas en el tiempo.</w:t>
      </w:r>
    </w:p>
    <w:p w14:paraId="5273A223" w14:textId="77777777" w:rsidR="004B3B91" w:rsidRPr="007B4401" w:rsidRDefault="004B3B91" w:rsidP="004B3B91">
      <w:pPr>
        <w:spacing w:line="276" w:lineRule="auto"/>
        <w:ind w:firstLine="709"/>
        <w:jc w:val="both"/>
        <w:rPr>
          <w:rFonts w:ascii="Arial" w:eastAsia="Calibri" w:hAnsi="Arial" w:cs="Arial"/>
          <w:color w:val="000000" w:themeColor="text1"/>
          <w:sz w:val="22"/>
          <w:lang w:val="es-ES_tradnl"/>
        </w:rPr>
      </w:pPr>
    </w:p>
    <w:p w14:paraId="392000CB" w14:textId="68908766" w:rsidR="004B3B91" w:rsidRPr="007B4401" w:rsidRDefault="004B3B91" w:rsidP="004B3B91">
      <w:pPr>
        <w:spacing w:line="276" w:lineRule="auto"/>
        <w:jc w:val="both"/>
        <w:rPr>
          <w:rFonts w:ascii="Arial" w:hAnsi="Arial" w:cs="Arial"/>
          <w:b/>
          <w:bCs/>
          <w:iCs/>
          <w:color w:val="000000" w:themeColor="text1"/>
          <w:sz w:val="22"/>
          <w:lang w:val="es-ES_tradnl"/>
        </w:rPr>
      </w:pPr>
      <w:r w:rsidRPr="007B4401">
        <w:rPr>
          <w:rFonts w:ascii="Arial" w:hAnsi="Arial" w:cs="Arial"/>
          <w:b/>
          <w:bCs/>
          <w:iCs/>
          <w:color w:val="000000" w:themeColor="text1"/>
          <w:sz w:val="22"/>
          <w:lang w:val="es-ES_tradnl"/>
        </w:rPr>
        <w:t xml:space="preserve">2.4. </w:t>
      </w:r>
      <w:r w:rsidR="00D16953" w:rsidRPr="007B4401">
        <w:rPr>
          <w:rFonts w:ascii="Arial" w:hAnsi="Arial" w:cs="Arial"/>
          <w:b/>
          <w:bCs/>
          <w:iCs/>
          <w:color w:val="000000" w:themeColor="text1"/>
          <w:sz w:val="22"/>
          <w:lang w:val="es-ES_tradnl"/>
        </w:rPr>
        <w:t>Vigencia de las normas jurídicas. El caso del artículo 58 de la Ley 2195 de 2022</w:t>
      </w:r>
    </w:p>
    <w:p w14:paraId="1BCB3627" w14:textId="77777777" w:rsidR="004B3B91" w:rsidRPr="007B4401" w:rsidRDefault="004B3B91" w:rsidP="004B3B91">
      <w:pPr>
        <w:spacing w:line="276" w:lineRule="auto"/>
        <w:jc w:val="both"/>
        <w:rPr>
          <w:rFonts w:ascii="Arial" w:eastAsia="Calibri" w:hAnsi="Arial" w:cs="Arial"/>
          <w:color w:val="000000" w:themeColor="text1"/>
          <w:sz w:val="22"/>
          <w:lang w:val="es-ES_tradnl"/>
        </w:rPr>
      </w:pPr>
    </w:p>
    <w:p w14:paraId="5DE937CE" w14:textId="4D74A897" w:rsidR="004B3B91" w:rsidRPr="007B4401" w:rsidRDefault="004B3B91" w:rsidP="004B3B91">
      <w:pPr>
        <w:spacing w:line="276" w:lineRule="auto"/>
        <w:jc w:val="both"/>
        <w:rPr>
          <w:rFonts w:ascii="Arial" w:eastAsia="Calibri" w:hAnsi="Arial" w:cs="Arial"/>
          <w:color w:val="000000" w:themeColor="text1"/>
          <w:sz w:val="22"/>
          <w:szCs w:val="22"/>
          <w:lang w:val="es-ES_tradnl"/>
        </w:rPr>
      </w:pPr>
      <w:bookmarkStart w:id="8" w:name="_Hlk97107784"/>
      <w:r w:rsidRPr="007B4401">
        <w:rPr>
          <w:rFonts w:ascii="Arial" w:eastAsia="Calibri" w:hAnsi="Arial" w:cs="Arial"/>
          <w:color w:val="000000" w:themeColor="text1"/>
          <w:sz w:val="22"/>
          <w:szCs w:val="22"/>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7B4401">
        <w:rPr>
          <w:rStyle w:val="Refdenotaalpie"/>
          <w:rFonts w:ascii="Arial" w:eastAsia="Calibri" w:hAnsi="Arial" w:cs="Arial"/>
          <w:color w:val="000000" w:themeColor="text1"/>
        </w:rPr>
        <w:footnoteReference w:id="19"/>
      </w:r>
      <w:r w:rsidRPr="007B4401">
        <w:rPr>
          <w:rFonts w:ascii="Arial" w:eastAsia="Calibri" w:hAnsi="Arial" w:cs="Arial"/>
          <w:color w:val="000000" w:themeColor="text1"/>
          <w:sz w:val="22"/>
          <w:szCs w:val="22"/>
          <w:lang w:val="es-ES_tradnl"/>
        </w:rPr>
        <w:t>.</w:t>
      </w:r>
    </w:p>
    <w:p w14:paraId="570EB82B" w14:textId="0BA74C2B" w:rsidR="004B3B91" w:rsidRPr="007B4401" w:rsidRDefault="004B3B91" w:rsidP="004B3B91">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Tal es la garantía que se desprende del artículo 29 de la Constitución Política –aplicable también a las actuaciones administrativas, como d</w:t>
      </w:r>
      <w:r w:rsidR="00C50639" w:rsidRPr="007B4401">
        <w:rPr>
          <w:rFonts w:ascii="Arial" w:eastAsia="Calibri" w:hAnsi="Arial" w:cs="Arial"/>
          <w:color w:val="000000" w:themeColor="text1"/>
          <w:sz w:val="22"/>
          <w:lang w:val="es-ES_tradnl"/>
        </w:rPr>
        <w:t>ispone</w:t>
      </w:r>
      <w:r w:rsidRPr="007B4401">
        <w:rPr>
          <w:rFonts w:ascii="Arial" w:eastAsia="Calibri" w:hAnsi="Arial" w:cs="Arial"/>
          <w:color w:val="000000" w:themeColor="text1"/>
          <w:sz w:val="22"/>
          <w:lang w:val="es-ES_tradnl"/>
        </w:rPr>
        <w:t xml:space="preserv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7B4401">
        <w:rPr>
          <w:rFonts w:ascii="Arial" w:eastAsia="Calibri" w:hAnsi="Arial" w:cs="Arial"/>
          <w:i/>
          <w:iCs/>
          <w:color w:val="000000" w:themeColor="text1"/>
          <w:sz w:val="22"/>
          <w:lang w:val="es-ES_tradnl"/>
        </w:rPr>
        <w:t>antes</w:t>
      </w:r>
      <w:r w:rsidRPr="007B4401">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7B4401">
        <w:rPr>
          <w:rFonts w:ascii="Arial" w:eastAsia="Calibri" w:hAnsi="Arial" w:cs="Arial"/>
          <w:i/>
          <w:iCs/>
          <w:color w:val="000000" w:themeColor="text1"/>
          <w:sz w:val="22"/>
          <w:lang w:val="es-ES_tradnl"/>
        </w:rPr>
        <w:t>irretroactividad</w:t>
      </w:r>
      <w:r w:rsidRPr="007B4401">
        <w:rPr>
          <w:rFonts w:ascii="Arial" w:eastAsia="Calibri" w:hAnsi="Arial" w:cs="Arial"/>
          <w:color w:val="000000" w:themeColor="text1"/>
          <w:sz w:val="22"/>
          <w:lang w:val="es-ES_tradnl"/>
        </w:rPr>
        <w:t xml:space="preserve"> de las leyes.</w:t>
      </w:r>
    </w:p>
    <w:p w14:paraId="6ABC3DC2" w14:textId="0F74768F" w:rsidR="004B3B91" w:rsidRPr="007B4401" w:rsidRDefault="004B3B91" w:rsidP="004B3B91">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se hace referencia a los artículos 17 al 49 de la Ley 153 de 1887. Pero, por su aplicación al caso concreto, que se analiza en este concepto, se resaltan los siguientes artículos de dicha Ley:</w:t>
      </w:r>
    </w:p>
    <w:p w14:paraId="529A2A25" w14:textId="77777777" w:rsidR="004B3B91" w:rsidRPr="007B4401" w:rsidRDefault="004B3B91" w:rsidP="004B3B91">
      <w:pPr>
        <w:spacing w:line="276" w:lineRule="auto"/>
        <w:ind w:firstLine="709"/>
        <w:jc w:val="both"/>
        <w:rPr>
          <w:rFonts w:ascii="Arial" w:eastAsia="Calibri" w:hAnsi="Arial" w:cs="Arial"/>
          <w:color w:val="000000" w:themeColor="text1"/>
          <w:sz w:val="22"/>
          <w:lang w:val="es-ES_tradnl"/>
        </w:rPr>
      </w:pPr>
    </w:p>
    <w:p w14:paraId="7F4FB224" w14:textId="26F3C281" w:rsidR="004B3B91" w:rsidRPr="007B4401" w:rsidRDefault="004B3B91" w:rsidP="004B3B91">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Artículo 38.</w:t>
      </w:r>
      <w:r w:rsidR="00C24C78" w:rsidRPr="007B4401">
        <w:rPr>
          <w:rFonts w:ascii="Arial" w:hAnsi="Arial" w:cs="Arial"/>
          <w:color w:val="000000" w:themeColor="text1"/>
          <w:sz w:val="21"/>
          <w:szCs w:val="21"/>
          <w:lang w:val="es-ES_tradnl"/>
        </w:rPr>
        <w:t xml:space="preserve"> </w:t>
      </w:r>
      <w:r w:rsidRPr="007B4401">
        <w:rPr>
          <w:rFonts w:ascii="Arial" w:hAnsi="Arial" w:cs="Arial"/>
          <w:color w:val="000000" w:themeColor="text1"/>
          <w:sz w:val="21"/>
          <w:szCs w:val="21"/>
          <w:lang w:val="es-ES_tradnl"/>
        </w:rPr>
        <w:t>En todo contrato se entenderán incorporadas las leyes vigentes al tiempo de su celebración.</w:t>
      </w:r>
    </w:p>
    <w:p w14:paraId="2F721414" w14:textId="70799AFD" w:rsidR="004B3B91" w:rsidRPr="007B4401" w:rsidRDefault="004B3B91" w:rsidP="004B3B91">
      <w:pPr>
        <w:ind w:left="709" w:right="709"/>
        <w:jc w:val="both"/>
        <w:rPr>
          <w:rFonts w:ascii="Arial" w:hAnsi="Arial" w:cs="Arial"/>
          <w:color w:val="000000" w:themeColor="text1"/>
          <w:sz w:val="21"/>
          <w:szCs w:val="21"/>
          <w:lang w:val="es-ES_tradnl"/>
        </w:rPr>
      </w:pPr>
    </w:p>
    <w:p w14:paraId="467906A0" w14:textId="77777777" w:rsidR="004B3B91" w:rsidRPr="007B4401" w:rsidRDefault="004B3B91" w:rsidP="004B3B91">
      <w:pPr>
        <w:ind w:left="709" w:right="709"/>
        <w:jc w:val="both"/>
        <w:rPr>
          <w:rFonts w:ascii="Arial" w:hAnsi="Arial" w:cs="Arial"/>
          <w:color w:val="000000" w:themeColor="text1"/>
          <w:sz w:val="21"/>
          <w:szCs w:val="21"/>
          <w:lang w:val="es-ES_tradnl"/>
        </w:rPr>
      </w:pPr>
      <w:proofErr w:type="spellStart"/>
      <w:r w:rsidRPr="007B4401">
        <w:rPr>
          <w:rFonts w:ascii="Arial" w:hAnsi="Arial" w:cs="Arial"/>
          <w:color w:val="000000" w:themeColor="text1"/>
          <w:sz w:val="21"/>
          <w:szCs w:val="21"/>
          <w:lang w:val="es-ES_tradnl"/>
        </w:rPr>
        <w:t>Exceptúanse</w:t>
      </w:r>
      <w:proofErr w:type="spellEnd"/>
      <w:r w:rsidRPr="007B4401">
        <w:rPr>
          <w:rFonts w:ascii="Arial" w:hAnsi="Arial" w:cs="Arial"/>
          <w:color w:val="000000" w:themeColor="text1"/>
          <w:sz w:val="21"/>
          <w:szCs w:val="21"/>
          <w:lang w:val="es-ES_tradnl"/>
        </w:rPr>
        <w:t xml:space="preserve"> de esta disposición: </w:t>
      </w:r>
    </w:p>
    <w:p w14:paraId="2C000D48" w14:textId="043BCABC" w:rsidR="004B3B91" w:rsidRPr="007B4401" w:rsidRDefault="004B3B91" w:rsidP="004B3B91">
      <w:pPr>
        <w:ind w:left="709" w:right="709"/>
        <w:jc w:val="both"/>
        <w:rPr>
          <w:rFonts w:ascii="Arial" w:hAnsi="Arial" w:cs="Arial"/>
          <w:color w:val="000000" w:themeColor="text1"/>
          <w:sz w:val="21"/>
          <w:szCs w:val="21"/>
          <w:lang w:val="es-ES_tradnl"/>
        </w:rPr>
      </w:pPr>
    </w:p>
    <w:p w14:paraId="190A3EE0" w14:textId="77777777" w:rsidR="004B3B91" w:rsidRPr="007B4401" w:rsidRDefault="004B3B91" w:rsidP="004B3B91">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1. Las leyes concernientes al modo de reclamar en juicio los derechos que resultaren del contrato, y </w:t>
      </w:r>
    </w:p>
    <w:p w14:paraId="391AE84C" w14:textId="04DD344A" w:rsidR="004B3B91" w:rsidRPr="007B4401" w:rsidRDefault="004B3B91" w:rsidP="004B3B91">
      <w:pPr>
        <w:ind w:left="709" w:right="709"/>
        <w:jc w:val="both"/>
        <w:rPr>
          <w:rFonts w:ascii="Arial" w:hAnsi="Arial" w:cs="Arial"/>
          <w:color w:val="000000" w:themeColor="text1"/>
          <w:sz w:val="21"/>
          <w:szCs w:val="21"/>
          <w:lang w:val="es-ES_tradnl"/>
        </w:rPr>
      </w:pPr>
    </w:p>
    <w:p w14:paraId="584E8C0A" w14:textId="352BB1E2" w:rsidR="004B3B91" w:rsidRPr="007B4401" w:rsidRDefault="004B3B91" w:rsidP="004B3B91">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 xml:space="preserve">2. Las que señalan penas para el caso de infracción de lo estipulado; la cual infracción será castigada con arreglo </w:t>
      </w:r>
      <w:proofErr w:type="spellStart"/>
      <w:r w:rsidRPr="007B4401">
        <w:rPr>
          <w:rFonts w:ascii="Arial" w:hAnsi="Arial" w:cs="Arial"/>
          <w:color w:val="000000" w:themeColor="text1"/>
          <w:sz w:val="21"/>
          <w:szCs w:val="21"/>
          <w:lang w:val="es-ES_tradnl"/>
        </w:rPr>
        <w:t>á</w:t>
      </w:r>
      <w:proofErr w:type="spellEnd"/>
      <w:r w:rsidRPr="007B4401">
        <w:rPr>
          <w:rFonts w:ascii="Arial" w:hAnsi="Arial" w:cs="Arial"/>
          <w:color w:val="000000" w:themeColor="text1"/>
          <w:sz w:val="21"/>
          <w:szCs w:val="21"/>
          <w:lang w:val="es-ES_tradnl"/>
        </w:rPr>
        <w:t xml:space="preserve"> la ley bajo la cual se hubiere cometido.</w:t>
      </w:r>
    </w:p>
    <w:p w14:paraId="585F5311" w14:textId="77777777" w:rsidR="004B3B91" w:rsidRPr="007B4401" w:rsidRDefault="004B3B91" w:rsidP="004B3B91">
      <w:pPr>
        <w:jc w:val="both"/>
        <w:rPr>
          <w:rFonts w:ascii="Arial" w:hAnsi="Arial" w:cs="Arial"/>
          <w:color w:val="000000" w:themeColor="text1"/>
          <w:lang w:val="es-ES_tradnl"/>
        </w:rPr>
      </w:pPr>
    </w:p>
    <w:p w14:paraId="5C02A18B" w14:textId="77777777" w:rsidR="004B3B91" w:rsidRPr="007B4401" w:rsidRDefault="004B3B91" w:rsidP="004B3B91">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 xml:space="preserve">Artículo 40. [Modificado por el artículo 624 de la Ley 1564 de 2012] Las leyes concernientes a la sustanciación y ritualidad de los juicios prevalecen sobre las anteriores desde el momento en que deben empezar a regir. </w:t>
      </w:r>
    </w:p>
    <w:p w14:paraId="6BFC40B0" w14:textId="77777777" w:rsidR="004B3B91" w:rsidRPr="007B4401" w:rsidRDefault="004B3B91" w:rsidP="004B3B91">
      <w:pPr>
        <w:ind w:right="709"/>
        <w:jc w:val="both"/>
        <w:rPr>
          <w:rFonts w:ascii="Arial" w:hAnsi="Arial" w:cs="Arial"/>
          <w:color w:val="000000" w:themeColor="text1"/>
          <w:sz w:val="21"/>
          <w:szCs w:val="21"/>
          <w:lang w:val="es-ES_tradnl"/>
        </w:rPr>
      </w:pPr>
    </w:p>
    <w:p w14:paraId="474A8F0E" w14:textId="77777777" w:rsidR="004B3B91" w:rsidRPr="007B4401" w:rsidRDefault="004B3B91" w:rsidP="004B3B91">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125EF450" w14:textId="77777777" w:rsidR="004B3B91" w:rsidRPr="007B4401" w:rsidRDefault="004B3B91" w:rsidP="004B3B91">
      <w:pPr>
        <w:ind w:right="709"/>
        <w:jc w:val="both"/>
        <w:rPr>
          <w:rFonts w:ascii="Arial" w:hAnsi="Arial" w:cs="Arial"/>
          <w:color w:val="000000" w:themeColor="text1"/>
          <w:sz w:val="21"/>
          <w:szCs w:val="21"/>
          <w:lang w:val="es-ES_tradnl"/>
        </w:rPr>
      </w:pPr>
    </w:p>
    <w:p w14:paraId="5FCF6DF0" w14:textId="77777777" w:rsidR="004B3B91" w:rsidRPr="007B4401" w:rsidRDefault="004B3B91" w:rsidP="004B3B91">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33B977F7" w14:textId="77777777" w:rsidR="004B3B91" w:rsidRPr="007B4401" w:rsidRDefault="004B3B91" w:rsidP="004B3B91">
      <w:pPr>
        <w:ind w:left="709" w:right="709"/>
        <w:jc w:val="both"/>
        <w:rPr>
          <w:rFonts w:ascii="Arial" w:hAnsi="Arial" w:cs="Arial"/>
          <w:color w:val="000000" w:themeColor="text1"/>
          <w:sz w:val="21"/>
          <w:szCs w:val="21"/>
          <w:lang w:val="es-ES_tradnl"/>
        </w:rPr>
      </w:pPr>
    </w:p>
    <w:p w14:paraId="6D3C0828" w14:textId="21163CEE" w:rsidR="004B3B91" w:rsidRPr="007B4401" w:rsidRDefault="004B3B91" w:rsidP="004B3B91">
      <w:pPr>
        <w:spacing w:line="276" w:lineRule="auto"/>
        <w:ind w:firstLine="709"/>
        <w:jc w:val="both"/>
        <w:rPr>
          <w:rFonts w:ascii="Arial"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De dichos enunciados pueden extraer</w:t>
      </w:r>
      <w:r w:rsidR="00C24C78" w:rsidRPr="007B4401">
        <w:rPr>
          <w:rFonts w:ascii="Arial" w:eastAsia="Calibri" w:hAnsi="Arial" w:cs="Arial"/>
          <w:color w:val="000000" w:themeColor="text1"/>
          <w:sz w:val="22"/>
          <w:szCs w:val="22"/>
          <w:lang w:val="es-ES_tradnl"/>
        </w:rPr>
        <w:t>se</w:t>
      </w:r>
      <w:r w:rsidRPr="007B4401">
        <w:rPr>
          <w:rFonts w:ascii="Arial" w:eastAsia="Calibri" w:hAnsi="Arial" w:cs="Arial"/>
          <w:color w:val="000000" w:themeColor="text1"/>
          <w:sz w:val="22"/>
          <w:szCs w:val="22"/>
          <w:lang w:val="es-ES_tradnl"/>
        </w:rPr>
        <w:t xml:space="preserve"> las siguientes </w:t>
      </w:r>
      <w:proofErr w:type="spellStart"/>
      <w:r w:rsidRPr="007B4401">
        <w:rPr>
          <w:rFonts w:ascii="Arial" w:eastAsia="Calibri" w:hAnsi="Arial" w:cs="Arial"/>
          <w:color w:val="000000" w:themeColor="text1"/>
          <w:sz w:val="22"/>
          <w:szCs w:val="22"/>
          <w:lang w:val="es-ES_tradnl"/>
        </w:rPr>
        <w:t>subreglas</w:t>
      </w:r>
      <w:proofErr w:type="spellEnd"/>
      <w:r w:rsidRPr="007B4401">
        <w:rPr>
          <w:rFonts w:ascii="Arial" w:eastAsia="Calibri" w:hAnsi="Arial" w:cs="Arial"/>
          <w:color w:val="000000" w:themeColor="text1"/>
          <w:sz w:val="22"/>
          <w:szCs w:val="22"/>
          <w:lang w:val="es-ES_tradnl"/>
        </w:rPr>
        <w:t xml:space="preserve">: i) en principio, las leyes promulgadas rigen hacia el futuro, es decir, no regulan situaciones del pasado; son, pues, </w:t>
      </w:r>
      <w:proofErr w:type="spellStart"/>
      <w:r w:rsidRPr="007B4401">
        <w:rPr>
          <w:rFonts w:ascii="Arial" w:eastAsia="Calibri" w:hAnsi="Arial" w:cs="Arial"/>
          <w:color w:val="000000" w:themeColor="text1"/>
          <w:sz w:val="22"/>
          <w:szCs w:val="22"/>
          <w:lang w:val="es-ES_tradnl"/>
        </w:rPr>
        <w:t>irretroactivas</w:t>
      </w:r>
      <w:proofErr w:type="spellEnd"/>
      <w:r w:rsidRPr="007B4401">
        <w:rPr>
          <w:rFonts w:ascii="Arial" w:eastAsia="Calibri" w:hAnsi="Arial" w:cs="Arial"/>
          <w:color w:val="000000" w:themeColor="text1"/>
          <w:sz w:val="22"/>
          <w:szCs w:val="22"/>
          <w:lang w:val="es-ES_tradnl"/>
        </w:rPr>
        <w:t>. En consecuencia, nadie puede ser «juzgado» ni sancionado, sino conforme a leyes preexistentes al acto que se imputa. ii) Por lo tanto, las leyes que regulan los contratos son las vigentes al momento de su celebración; es decir</w:t>
      </w:r>
      <w:r w:rsidR="00EC02AA" w:rsidRPr="007B4401">
        <w:rPr>
          <w:rFonts w:ascii="Arial" w:eastAsia="Calibri" w:hAnsi="Arial" w:cs="Arial"/>
          <w:color w:val="000000" w:themeColor="text1"/>
          <w:sz w:val="22"/>
          <w:szCs w:val="22"/>
          <w:lang w:val="es-ES_tradnl"/>
        </w:rPr>
        <w:t>,</w:t>
      </w:r>
      <w:r w:rsidRPr="007B4401">
        <w:rPr>
          <w:rFonts w:ascii="Arial" w:eastAsia="Calibri" w:hAnsi="Arial" w:cs="Arial"/>
          <w:color w:val="000000" w:themeColor="text1"/>
          <w:sz w:val="22"/>
          <w:szCs w:val="22"/>
          <w:lang w:val="es-ES_tradnl"/>
        </w:rPr>
        <w:t xml:space="preserve"> </w:t>
      </w:r>
      <w:proofErr w:type="gramStart"/>
      <w:r w:rsidRPr="007B4401">
        <w:rPr>
          <w:rFonts w:ascii="Arial" w:eastAsia="Calibri" w:hAnsi="Arial" w:cs="Arial"/>
          <w:color w:val="000000" w:themeColor="text1"/>
          <w:sz w:val="22"/>
          <w:szCs w:val="22"/>
          <w:lang w:val="es-ES_tradnl"/>
        </w:rPr>
        <w:t>que</w:t>
      </w:r>
      <w:proofErr w:type="gramEnd"/>
      <w:r w:rsidRPr="007B4401">
        <w:rPr>
          <w:rFonts w:ascii="Arial" w:eastAsia="Calibri" w:hAnsi="Arial" w:cs="Arial"/>
          <w:color w:val="000000" w:themeColor="text1"/>
          <w:sz w:val="22"/>
          <w:szCs w:val="22"/>
          <w:lang w:val="es-ES_tradnl"/>
        </w:rPr>
        <w:t xml:space="preserv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w:t>
      </w:r>
      <w:proofErr w:type="spellStart"/>
      <w:r w:rsidRPr="007B4401">
        <w:rPr>
          <w:rFonts w:ascii="Arial" w:eastAsia="Calibri" w:hAnsi="Arial" w:cs="Arial"/>
          <w:color w:val="000000" w:themeColor="text1"/>
          <w:sz w:val="22"/>
          <w:szCs w:val="22"/>
          <w:lang w:val="es-ES_tradnl"/>
        </w:rPr>
        <w:t>subregla</w:t>
      </w:r>
      <w:proofErr w:type="spellEnd"/>
      <w:r w:rsidRPr="007B4401">
        <w:rPr>
          <w:rFonts w:ascii="Arial" w:eastAsia="Calibri" w:hAnsi="Arial" w:cs="Arial"/>
          <w:color w:val="000000" w:themeColor="text1"/>
          <w:sz w:val="22"/>
          <w:szCs w:val="22"/>
          <w:lang w:val="es-ES_tradnl"/>
        </w:rPr>
        <w:t>, a su vez, tiene dos hipótesis: 1) si la ley posterior es más favorable que la que estaba vigente cuando, supuestamente, se cometió la falta o delito, debe aplicar</w:t>
      </w:r>
      <w:r w:rsidR="00935919" w:rsidRPr="007B4401">
        <w:rPr>
          <w:rFonts w:ascii="Arial" w:eastAsia="Calibri" w:hAnsi="Arial" w:cs="Arial"/>
          <w:color w:val="000000" w:themeColor="text1"/>
          <w:sz w:val="22"/>
          <w:szCs w:val="22"/>
          <w:lang w:val="es-ES_tradnl"/>
        </w:rPr>
        <w:t>se</w:t>
      </w:r>
      <w:r w:rsidRPr="007B4401">
        <w:rPr>
          <w:rFonts w:ascii="Arial" w:eastAsia="Calibri" w:hAnsi="Arial" w:cs="Arial"/>
          <w:color w:val="000000" w:themeColor="text1"/>
          <w:sz w:val="22"/>
          <w:szCs w:val="22"/>
          <w:lang w:val="es-ES_tradnl"/>
        </w:rPr>
        <w:t xml:space="preserve">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7B4401">
        <w:rPr>
          <w:rStyle w:val="Refdenotaalpie"/>
          <w:rFonts w:ascii="Arial" w:eastAsia="Calibri" w:hAnsi="Arial" w:cs="Arial"/>
          <w:color w:val="000000" w:themeColor="text1"/>
        </w:rPr>
        <w:footnoteReference w:id="20"/>
      </w:r>
      <w:r w:rsidRPr="007B4401">
        <w:rPr>
          <w:rFonts w:ascii="Arial" w:eastAsia="Calibri" w:hAnsi="Arial" w:cs="Arial"/>
          <w:color w:val="000000" w:themeColor="text1"/>
          <w:sz w:val="22"/>
          <w:szCs w:val="22"/>
          <w:lang w:val="es-ES_tradnl"/>
        </w:rPr>
        <w:t xml:space="preserve">. Así lo ha </w:t>
      </w:r>
      <w:r w:rsidRPr="007B4401">
        <w:rPr>
          <w:rFonts w:ascii="Arial" w:eastAsia="Calibri" w:hAnsi="Arial" w:cs="Arial"/>
          <w:color w:val="000000" w:themeColor="text1"/>
          <w:sz w:val="22"/>
          <w:szCs w:val="22"/>
          <w:lang w:val="es-ES_tradnl"/>
        </w:rPr>
        <w:lastRenderedPageBreak/>
        <w:t>entendido la Corte Constitucional, al indicar que en las actuaciones administrativas se debe aplicar el principio de favorabilidad. Esta fue la tesis que defendió en la Sentencia C-619 de 2001, que estudió la demanda de inconstitucionalidad en contra del primer inciso del artículo 67 de la Ley 610 de 2000</w:t>
      </w:r>
      <w:r w:rsidRPr="007B4401">
        <w:rPr>
          <w:rStyle w:val="Refdenotaalpie"/>
          <w:rFonts w:ascii="Arial" w:eastAsia="Calibri" w:hAnsi="Arial" w:cs="Arial"/>
          <w:color w:val="000000" w:themeColor="text1"/>
        </w:rPr>
        <w:footnoteReference w:id="21"/>
      </w:r>
      <w:r w:rsidRPr="007B4401">
        <w:rPr>
          <w:rFonts w:ascii="Arial" w:eastAsia="Calibri" w:hAnsi="Arial" w:cs="Arial"/>
          <w:color w:val="000000" w:themeColor="text1"/>
          <w:sz w:val="22"/>
          <w:szCs w:val="22"/>
          <w:lang w:val="es-ES_tradnl"/>
        </w:rPr>
        <w:t>. De otro lado, en relación con las normas procesales, el artículo 40 de la Ley 153 de 1887 es claro en el sentido de</w:t>
      </w:r>
      <w:r w:rsidR="00CE22DF" w:rsidRPr="007B4401">
        <w:rPr>
          <w:rFonts w:ascii="Arial" w:eastAsia="Calibri" w:hAnsi="Arial" w:cs="Arial"/>
          <w:color w:val="000000" w:themeColor="text1"/>
          <w:sz w:val="22"/>
          <w:szCs w:val="22"/>
          <w:lang w:val="es-ES_tradnl"/>
        </w:rPr>
        <w:t xml:space="preserve"> prescribir</w:t>
      </w:r>
      <w:r w:rsidRPr="007B4401">
        <w:rPr>
          <w:rFonts w:ascii="Arial" w:eastAsia="Calibri" w:hAnsi="Arial" w:cs="Arial"/>
          <w:color w:val="000000" w:themeColor="text1"/>
          <w:sz w:val="22"/>
          <w:szCs w:val="22"/>
          <w:lang w:val="es-ES_tradnl"/>
        </w:rPr>
        <w:t xml:space="preserve"> que </w:t>
      </w:r>
      <w:r w:rsidRPr="007B4401">
        <w:rPr>
          <w:rFonts w:ascii="Arial" w:eastAsia="Calibri" w:hAnsi="Arial" w:cs="Arial"/>
          <w:i/>
          <w:iCs/>
          <w:color w:val="000000" w:themeColor="text1"/>
          <w:sz w:val="22"/>
          <w:szCs w:val="22"/>
          <w:lang w:val="es-ES_tradnl"/>
        </w:rPr>
        <w:t>las diligencias o etapas que se hubieren iniciado</w:t>
      </w:r>
      <w:r w:rsidRPr="007B4401">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 A este fenómeno se le denomina aplicación </w:t>
      </w:r>
      <w:proofErr w:type="spellStart"/>
      <w:r w:rsidRPr="007B4401">
        <w:rPr>
          <w:rFonts w:ascii="Arial" w:eastAsia="Calibri" w:hAnsi="Arial" w:cs="Arial"/>
          <w:color w:val="000000" w:themeColor="text1"/>
          <w:sz w:val="22"/>
          <w:szCs w:val="22"/>
          <w:lang w:val="es-ES_tradnl"/>
        </w:rPr>
        <w:t>ultra</w:t>
      </w:r>
      <w:r w:rsidR="00BF79E3" w:rsidRPr="007B4401">
        <w:rPr>
          <w:rFonts w:ascii="Arial" w:eastAsia="Calibri" w:hAnsi="Arial" w:cs="Arial"/>
          <w:color w:val="000000" w:themeColor="text1"/>
          <w:sz w:val="22"/>
          <w:szCs w:val="22"/>
          <w:lang w:val="es-ES_tradnl"/>
        </w:rPr>
        <w:t>a</w:t>
      </w:r>
      <w:r w:rsidRPr="007B4401">
        <w:rPr>
          <w:rFonts w:ascii="Arial" w:eastAsia="Calibri" w:hAnsi="Arial" w:cs="Arial"/>
          <w:color w:val="000000" w:themeColor="text1"/>
          <w:sz w:val="22"/>
          <w:szCs w:val="22"/>
          <w:lang w:val="es-ES_tradnl"/>
        </w:rPr>
        <w:t>ctiva</w:t>
      </w:r>
      <w:proofErr w:type="spellEnd"/>
      <w:r w:rsidRPr="007B4401">
        <w:rPr>
          <w:rFonts w:ascii="Arial" w:eastAsia="Calibri" w:hAnsi="Arial" w:cs="Arial"/>
          <w:color w:val="000000" w:themeColor="text1"/>
          <w:sz w:val="22"/>
          <w:szCs w:val="22"/>
          <w:lang w:val="es-ES_tradnl"/>
        </w:rPr>
        <w:t xml:space="preserve"> de la norma</w:t>
      </w:r>
      <w:r w:rsidRPr="007B4401">
        <w:rPr>
          <w:rStyle w:val="Refdenotaalpie"/>
          <w:rFonts w:ascii="Arial" w:hAnsi="Arial" w:cs="Arial"/>
          <w:color w:val="000000" w:themeColor="text1"/>
        </w:rPr>
        <w:footnoteReference w:id="22"/>
      </w:r>
      <w:r w:rsidRPr="007B4401">
        <w:rPr>
          <w:rFonts w:ascii="Arial" w:hAnsi="Arial" w:cs="Arial"/>
          <w:color w:val="000000" w:themeColor="text1"/>
          <w:sz w:val="22"/>
          <w:szCs w:val="22"/>
          <w:lang w:val="es-ES_tradnl"/>
        </w:rPr>
        <w:t>.</w:t>
      </w:r>
      <w:r w:rsidR="00CE22DF" w:rsidRPr="007B4401">
        <w:rPr>
          <w:rFonts w:ascii="Arial" w:hAnsi="Arial" w:cs="Arial"/>
          <w:color w:val="000000" w:themeColor="text1"/>
          <w:sz w:val="22"/>
          <w:szCs w:val="22"/>
          <w:lang w:val="es-ES_tradnl"/>
        </w:rPr>
        <w:t xml:space="preserve"> </w:t>
      </w:r>
      <w:r w:rsidR="00616F2D" w:rsidRPr="007B4401">
        <w:rPr>
          <w:rFonts w:ascii="Arial" w:hAnsi="Arial" w:cs="Arial"/>
          <w:color w:val="000000" w:themeColor="text1"/>
          <w:sz w:val="22"/>
          <w:szCs w:val="22"/>
          <w:lang w:val="es-ES_tradnl"/>
        </w:rPr>
        <w:t xml:space="preserve">En estos términos, </w:t>
      </w:r>
      <w:r w:rsidR="00E16E39" w:rsidRPr="007B4401">
        <w:rPr>
          <w:rFonts w:ascii="Arial" w:hAnsi="Arial" w:cs="Arial"/>
          <w:color w:val="000000" w:themeColor="text1"/>
          <w:sz w:val="22"/>
          <w:szCs w:val="22"/>
          <w:lang w:val="es-ES_tradnl"/>
        </w:rPr>
        <w:t xml:space="preserve">la irretroactividad es la regla general </w:t>
      </w:r>
      <w:r w:rsidR="00A83C54" w:rsidRPr="007B4401">
        <w:rPr>
          <w:rFonts w:ascii="Arial" w:hAnsi="Arial" w:cs="Arial"/>
          <w:color w:val="000000" w:themeColor="text1"/>
          <w:sz w:val="22"/>
          <w:szCs w:val="22"/>
          <w:lang w:val="es-ES_tradnl"/>
        </w:rPr>
        <w:t xml:space="preserve">en la aplicación </w:t>
      </w:r>
      <w:r w:rsidR="00E16E39" w:rsidRPr="007B4401">
        <w:rPr>
          <w:rFonts w:ascii="Arial" w:hAnsi="Arial" w:cs="Arial"/>
          <w:color w:val="000000" w:themeColor="text1"/>
          <w:sz w:val="22"/>
          <w:szCs w:val="22"/>
          <w:lang w:val="es-ES_tradnl"/>
        </w:rPr>
        <w:t>de las normas, salvo casos especiales, por lo que la doctrina expresa:</w:t>
      </w:r>
    </w:p>
    <w:p w14:paraId="310B9258" w14:textId="77777777" w:rsidR="001609E5" w:rsidRPr="007B4401" w:rsidRDefault="001609E5" w:rsidP="004B3B91">
      <w:pPr>
        <w:spacing w:line="276" w:lineRule="auto"/>
        <w:ind w:firstLine="709"/>
        <w:jc w:val="both"/>
        <w:rPr>
          <w:rFonts w:ascii="Arial" w:hAnsi="Arial" w:cs="Arial"/>
          <w:color w:val="000000" w:themeColor="text1"/>
          <w:sz w:val="22"/>
          <w:szCs w:val="22"/>
          <w:lang w:val="es-ES_tradnl"/>
        </w:rPr>
      </w:pPr>
    </w:p>
    <w:p w14:paraId="1A3EDE76" w14:textId="72DD525E" w:rsidR="00E16E39" w:rsidRPr="007B4401" w:rsidRDefault="00E16E39" w:rsidP="003D34C7">
      <w:pPr>
        <w:ind w:left="709" w:right="709"/>
        <w:jc w:val="both"/>
        <w:rPr>
          <w:rFonts w:ascii="Arial" w:hAnsi="Arial" w:cs="Arial"/>
          <w:color w:val="000000" w:themeColor="text1"/>
          <w:sz w:val="21"/>
          <w:szCs w:val="21"/>
          <w:lang w:val="es-ES_tradnl"/>
        </w:rPr>
      </w:pPr>
      <w:r w:rsidRPr="007B4401">
        <w:rPr>
          <w:rFonts w:ascii="Arial" w:hAnsi="Arial" w:cs="Arial"/>
          <w:color w:val="000000" w:themeColor="text1"/>
          <w:sz w:val="21"/>
          <w:szCs w:val="21"/>
          <w:lang w:val="es-ES_tradnl"/>
        </w:rPr>
        <w:t xml:space="preserve">Como es bien sabido, de la regla general sobre la operatividad en el tiempo de las normas se derivan dos excepciones: la retroactividad y la </w:t>
      </w:r>
      <w:proofErr w:type="spellStart"/>
      <w:r w:rsidRPr="007B4401">
        <w:rPr>
          <w:rFonts w:ascii="Arial" w:hAnsi="Arial" w:cs="Arial"/>
          <w:color w:val="000000" w:themeColor="text1"/>
          <w:sz w:val="21"/>
          <w:szCs w:val="21"/>
          <w:lang w:val="es-ES_tradnl"/>
        </w:rPr>
        <w:t>ultraactividad</w:t>
      </w:r>
      <w:proofErr w:type="spellEnd"/>
      <w:r w:rsidRPr="007B4401">
        <w:rPr>
          <w:rFonts w:ascii="Arial" w:hAnsi="Arial" w:cs="Arial"/>
          <w:color w:val="000000" w:themeColor="text1"/>
          <w:sz w:val="21"/>
          <w:szCs w:val="21"/>
          <w:lang w:val="es-ES_tradnl"/>
        </w:rPr>
        <w:t xml:space="preserve">. A la </w:t>
      </w:r>
      <w:r w:rsidRPr="007B4401">
        <w:rPr>
          <w:rFonts w:ascii="Arial" w:hAnsi="Arial" w:cs="Arial"/>
          <w:color w:val="000000" w:themeColor="text1"/>
          <w:sz w:val="21"/>
          <w:szCs w:val="21"/>
          <w:lang w:val="es-ES_tradnl"/>
        </w:rPr>
        <w:lastRenderedPageBreak/>
        <w:t>primera se le conoce más bien por el principio general de derecho que establece que las normas jurídicas no deben aplicarse retroactivamente en perjuicio de persona alguna. Este principio constitucional constituye una limitación al legislador, más no un impedimento para la aplicación retroactiva de las normas. La segunda excepción ha sido menos controvertida, a pesar de que implica la aplicación de normas derogadas, ya que tiene por función la preservación de derechos específicamente determinados</w:t>
      </w:r>
      <w:r w:rsidR="007575F9" w:rsidRPr="007B4401">
        <w:rPr>
          <w:rStyle w:val="Refdenotaalpie"/>
          <w:rFonts w:ascii="Arial" w:hAnsi="Arial" w:cs="Arial"/>
          <w:color w:val="000000" w:themeColor="text1"/>
          <w:sz w:val="21"/>
          <w:szCs w:val="21"/>
          <w:lang w:val="es-ES_tradnl"/>
        </w:rPr>
        <w:footnoteReference w:id="23"/>
      </w:r>
      <w:r w:rsidRPr="007B4401">
        <w:rPr>
          <w:rFonts w:ascii="Arial" w:hAnsi="Arial" w:cs="Arial"/>
          <w:color w:val="000000" w:themeColor="text1"/>
          <w:sz w:val="21"/>
          <w:szCs w:val="21"/>
          <w:lang w:val="es-ES_tradnl"/>
        </w:rPr>
        <w:t xml:space="preserve">. </w:t>
      </w:r>
    </w:p>
    <w:p w14:paraId="6183669E" w14:textId="3B5A90E2" w:rsidR="00E16E39" w:rsidRPr="007B4401" w:rsidRDefault="00E16E39" w:rsidP="003D34C7">
      <w:pPr>
        <w:spacing w:line="276" w:lineRule="auto"/>
        <w:jc w:val="both"/>
        <w:rPr>
          <w:rFonts w:ascii="Arial" w:hAnsi="Arial" w:cs="Arial"/>
          <w:color w:val="000000" w:themeColor="text1"/>
          <w:sz w:val="22"/>
          <w:szCs w:val="22"/>
          <w:lang w:val="es-ES_tradnl"/>
        </w:rPr>
      </w:pPr>
    </w:p>
    <w:p w14:paraId="3311E709" w14:textId="6D2C3639" w:rsidR="004B3B91" w:rsidRPr="007B4401" w:rsidRDefault="004B3B91" w:rsidP="004B3B91">
      <w:pPr>
        <w:spacing w:before="120" w:line="276" w:lineRule="auto"/>
        <w:ind w:firstLine="709"/>
        <w:jc w:val="both"/>
        <w:rPr>
          <w:rFonts w:ascii="Arial" w:hAnsi="Arial" w:cs="Arial"/>
          <w:color w:val="000000" w:themeColor="text1"/>
          <w:sz w:val="22"/>
          <w:szCs w:val="22"/>
          <w:lang w:val="es-ES_tradnl"/>
        </w:rPr>
      </w:pPr>
      <w:r w:rsidRPr="007B4401">
        <w:rPr>
          <w:rFonts w:ascii="Arial" w:hAnsi="Arial" w:cs="Arial"/>
          <w:color w:val="000000" w:themeColor="text1"/>
          <w:sz w:val="22"/>
          <w:szCs w:val="22"/>
          <w:lang w:val="es-ES_tradnl"/>
        </w:rPr>
        <w:t>A la luz de los comentarios anteriores, se observa que el artículo 58 de la Ley 2195 de 2022 no establece un condicionamiento temporal para su entrada en vigencia, y que el artículo 69 del mismo cuerpo normativo di</w:t>
      </w:r>
      <w:r w:rsidR="00023992" w:rsidRPr="007B4401">
        <w:rPr>
          <w:rFonts w:ascii="Arial" w:hAnsi="Arial" w:cs="Arial"/>
          <w:color w:val="000000" w:themeColor="text1"/>
          <w:sz w:val="22"/>
          <w:szCs w:val="22"/>
          <w:lang w:val="es-ES_tradnl"/>
        </w:rPr>
        <w:t>spone</w:t>
      </w:r>
      <w:r w:rsidRPr="007B4401">
        <w:rPr>
          <w:rFonts w:ascii="Arial" w:hAnsi="Arial" w:cs="Arial"/>
          <w:color w:val="000000" w:themeColor="text1"/>
          <w:sz w:val="22"/>
          <w:szCs w:val="22"/>
          <w:lang w:val="es-ES_tradnl"/>
        </w:rPr>
        <w:t xml:space="preserv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7B4401">
        <w:rPr>
          <w:rFonts w:ascii="Arial" w:hAnsi="Arial" w:cs="Arial"/>
          <w:i/>
          <w:iCs/>
          <w:color w:val="000000" w:themeColor="text1"/>
          <w:sz w:val="22"/>
          <w:szCs w:val="22"/>
          <w:lang w:val="es-ES_tradnl"/>
        </w:rPr>
        <w:t>causarán</w:t>
      </w:r>
      <w:r w:rsidRPr="007B4401">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p w14:paraId="50D90B87" w14:textId="37468541" w:rsidR="004B3B91" w:rsidRPr="007B4401" w:rsidRDefault="004B3B91" w:rsidP="009F4A13">
      <w:pPr>
        <w:spacing w:before="120" w:after="120" w:line="276" w:lineRule="auto"/>
        <w:ind w:firstLine="709"/>
        <w:jc w:val="both"/>
        <w:rPr>
          <w:rFonts w:ascii="Arial" w:hAnsi="Arial" w:cs="Arial"/>
          <w:color w:val="000000" w:themeColor="text1"/>
          <w:sz w:val="22"/>
          <w:szCs w:val="22"/>
          <w:lang w:val="es-ES_tradnl"/>
        </w:rPr>
      </w:pPr>
      <w:r w:rsidRPr="007B4401">
        <w:rPr>
          <w:rFonts w:ascii="Arial" w:hAnsi="Arial" w:cs="Arial"/>
          <w:color w:val="000000" w:themeColor="text1"/>
          <w:sz w:val="22"/>
          <w:szCs w:val="22"/>
          <w:lang w:val="es-ES_tradnl"/>
        </w:rPr>
        <w:t xml:space="preserve">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w:t>
      </w:r>
      <w:r w:rsidR="00A2633B" w:rsidRPr="007B4401">
        <w:rPr>
          <w:rFonts w:ascii="Arial" w:hAnsi="Arial" w:cs="Arial"/>
          <w:color w:val="000000" w:themeColor="text1"/>
          <w:sz w:val="22"/>
          <w:szCs w:val="22"/>
          <w:lang w:val="es-ES_tradnl"/>
        </w:rPr>
        <w:t xml:space="preserve">rigiera </w:t>
      </w:r>
      <w:r w:rsidRPr="007B4401">
        <w:rPr>
          <w:rFonts w:ascii="Arial" w:hAnsi="Arial" w:cs="Arial"/>
          <w:color w:val="000000" w:themeColor="text1"/>
          <w:sz w:val="22"/>
          <w:szCs w:val="22"/>
          <w:lang w:val="es-ES_tradnl"/>
        </w:rPr>
        <w:t>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w:t>
      </w:r>
      <w:r w:rsidR="00616F2D" w:rsidRPr="007B4401">
        <w:rPr>
          <w:rFonts w:ascii="Arial" w:hAnsi="Arial" w:cs="Arial"/>
          <w:color w:val="000000" w:themeColor="text1"/>
          <w:sz w:val="22"/>
          <w:szCs w:val="22"/>
          <w:lang w:val="es-ES_tradnl"/>
        </w:rPr>
        <w:t>, toda vez que vulneraría el debido proceso administrativo</w:t>
      </w:r>
      <w:r w:rsidRPr="007B4401">
        <w:rPr>
          <w:rFonts w:ascii="Arial" w:hAnsi="Arial" w:cs="Arial"/>
          <w:color w:val="000000" w:themeColor="text1"/>
          <w:sz w:val="22"/>
          <w:szCs w:val="22"/>
          <w:lang w:val="es-ES_tradnl"/>
        </w:rPr>
        <w:t xml:space="preserve">. Caso distinto es aquel en el que a un contratista se le aplica una multa, verbigracia, el 25 de </w:t>
      </w:r>
      <w:r w:rsidR="00F75680" w:rsidRPr="007B4401">
        <w:rPr>
          <w:rFonts w:ascii="Arial" w:hAnsi="Arial" w:cs="Arial"/>
          <w:color w:val="000000" w:themeColor="text1"/>
          <w:sz w:val="22"/>
          <w:szCs w:val="22"/>
          <w:lang w:val="es-ES_tradnl"/>
        </w:rPr>
        <w:t xml:space="preserve">febrero </w:t>
      </w:r>
      <w:r w:rsidRPr="007B4401">
        <w:rPr>
          <w:rFonts w:ascii="Arial" w:hAnsi="Arial" w:cs="Arial"/>
          <w:color w:val="000000" w:themeColor="text1"/>
          <w:sz w:val="22"/>
          <w:szCs w:val="22"/>
          <w:lang w:val="es-ES_tradnl"/>
        </w:rPr>
        <w:t xml:space="preserve">de 2022 y se presenta a una licitación pública el 18 de </w:t>
      </w:r>
      <w:r w:rsidR="00F75680" w:rsidRPr="007B4401">
        <w:rPr>
          <w:rFonts w:ascii="Arial" w:hAnsi="Arial" w:cs="Arial"/>
          <w:color w:val="000000" w:themeColor="text1"/>
          <w:sz w:val="22"/>
          <w:szCs w:val="22"/>
          <w:lang w:val="es-ES_tradnl"/>
        </w:rPr>
        <w:t xml:space="preserve">marzo </w:t>
      </w:r>
      <w:r w:rsidRPr="007B4401">
        <w:rPr>
          <w:rFonts w:ascii="Arial" w:hAnsi="Arial" w:cs="Arial"/>
          <w:color w:val="000000" w:themeColor="text1"/>
          <w:sz w:val="22"/>
          <w:szCs w:val="22"/>
          <w:lang w:val="es-ES_tradnl"/>
        </w:rPr>
        <w:t>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bookmarkEnd w:id="8"/>
    <w:p w14:paraId="08770D75" w14:textId="2D156E51" w:rsidR="000A1835" w:rsidRPr="007B4401" w:rsidRDefault="000A1835" w:rsidP="000A1835">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lastRenderedPageBreak/>
        <w:t xml:space="preserve">Habiendo precisado ciertos aspectos de la aplicación del artículo 58 de la Ley 2195 de 2022, conviene retomar lo señalado en relación con el artículo 40 de la Ley 153 de 1887 –modificado por el artículo 624 de la Ley 1564 de 2012–, atendiendo a las preguntas del peticionario, con la finalidad de determinar la aplicación del artículo 58 en los procesos contractuales, de manera que se exprese con mayor precisión la interpretación de esta Agencia en relación con los procedimientos de selección en los cuales rige dicha disposición. </w:t>
      </w:r>
    </w:p>
    <w:p w14:paraId="5A4BFEA5" w14:textId="77777777" w:rsidR="000A1835" w:rsidRPr="007B4401" w:rsidRDefault="000A1835" w:rsidP="000A1835">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 xml:space="preserve">De esta manera, </w:t>
      </w:r>
      <w:r w:rsidRPr="007B4401">
        <w:rPr>
          <w:rFonts w:ascii="Arial" w:eastAsia="Calibri" w:hAnsi="Arial" w:cs="Arial"/>
          <w:color w:val="000000" w:themeColor="text1"/>
          <w:sz w:val="22"/>
          <w:szCs w:val="22"/>
          <w:lang w:val="es-ES_tradnl"/>
        </w:rPr>
        <w:t xml:space="preserve">en relación con las normas procesales, el artículo 40 de la Ley 153 de 1887 es claro en el sentido de indicar que </w:t>
      </w:r>
      <w:r w:rsidRPr="007B4401">
        <w:rPr>
          <w:rFonts w:ascii="Arial" w:eastAsia="Calibri" w:hAnsi="Arial" w:cs="Arial"/>
          <w:i/>
          <w:iCs/>
          <w:color w:val="000000" w:themeColor="text1"/>
          <w:sz w:val="22"/>
          <w:szCs w:val="22"/>
          <w:lang w:val="es-ES_tradnl"/>
        </w:rPr>
        <w:t>las diligencias o etapas que se hubieren iniciado</w:t>
      </w:r>
      <w:r w:rsidRPr="007B4401">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 de contratistas. </w:t>
      </w:r>
      <w:r w:rsidRPr="007B4401">
        <w:rPr>
          <w:rFonts w:ascii="Arial" w:eastAsia="Calibri" w:hAnsi="Arial" w:cs="Arial"/>
          <w:color w:val="000000" w:themeColor="text1"/>
          <w:sz w:val="22"/>
          <w:lang w:val="es-ES_tradnl"/>
        </w:rPr>
        <w:t xml:space="preserve">En tal sentido, el artículo 58 de la Ley 2195 de 2022 es una norma procedimental, porque regula una etapa asociada a los procedimientos de selección de contratistas del Estado: el relacionado con la forma de evaluar las ofertas. Por lo tanto, en virtud de la remisión efectuada por el artículo 77 de la Ley 80 de 1993 a las normas del ordenamiento procesal general, ante la falta de una disposición expresa en la Ley 2195 de 2020 que regule la vigencia del artículo 58 en el tiempo, debe aplicarse lo establecido en el artículo 40 de la Ley 153 de 1887, para concluir que si el proceso de selección había iniciado formalmente –es decir, ya se había publicado el acto administrativo de apertura–, debía continuarse rigiendo por las reglas vigentes al momento de la iniciación del procedimiento.  </w:t>
      </w:r>
    </w:p>
    <w:p w14:paraId="3074E22C" w14:textId="77777777" w:rsidR="000A1835" w:rsidRPr="007B4401" w:rsidRDefault="000A1835" w:rsidP="000A1835">
      <w:pPr>
        <w:spacing w:before="120" w:line="276" w:lineRule="auto"/>
        <w:ind w:firstLine="709"/>
        <w:jc w:val="both"/>
        <w:rPr>
          <w:rFonts w:ascii="Arial" w:eastAsia="Calibri" w:hAnsi="Arial" w:cs="Arial"/>
          <w:color w:val="000000" w:themeColor="text1"/>
          <w:sz w:val="22"/>
          <w:lang w:val="es-ES_tradnl"/>
        </w:rPr>
      </w:pPr>
      <w:r w:rsidRPr="007B4401">
        <w:rPr>
          <w:rFonts w:ascii="Arial" w:eastAsia="Calibri" w:hAnsi="Arial" w:cs="Arial"/>
          <w:color w:val="000000" w:themeColor="text1"/>
          <w:sz w:val="22"/>
          <w:lang w:val="es-ES_tradnl"/>
        </w:rPr>
        <w:t xml:space="preserve">Como lo precisó la Agencia en el concepto C-464 del 6 de agosto de 2020, </w:t>
      </w:r>
      <w:r w:rsidRPr="007B4401">
        <w:rPr>
          <w:rFonts w:ascii="Arial" w:eastAsia="Arial" w:hAnsi="Arial" w:cs="Arial"/>
          <w:color w:val="000000" w:themeColor="text1"/>
          <w:sz w:val="22"/>
          <w:szCs w:val="22"/>
          <w:lang w:val="es-ES_tradnl"/>
        </w:rPr>
        <w:t xml:space="preserve">la apertura del proceso de selección se realiza mediante un acto administrativo, necesario para </w:t>
      </w:r>
      <w:r w:rsidRPr="007B4401">
        <w:rPr>
          <w:rFonts w:ascii="Arial" w:eastAsia="Arial" w:hAnsi="Arial" w:cs="Arial"/>
          <w:i/>
          <w:iCs/>
          <w:color w:val="000000" w:themeColor="text1"/>
          <w:sz w:val="22"/>
          <w:szCs w:val="22"/>
          <w:lang w:val="es-ES_tradnl"/>
        </w:rPr>
        <w:t>iniciar</w:t>
      </w:r>
      <w:r w:rsidRPr="007B4401">
        <w:rPr>
          <w:rFonts w:ascii="Arial" w:eastAsia="Arial" w:hAnsi="Arial" w:cs="Arial"/>
          <w:color w:val="000000" w:themeColor="text1"/>
          <w:sz w:val="22"/>
          <w:szCs w:val="22"/>
          <w:lang w:val="es-ES_tradnl"/>
        </w:rPr>
        <w:t xml:space="preserve"> los procesos de selección que adelante una entidad estatal, excepto en las modalidades de selección de mínima cuantía y contratación</w:t>
      </w:r>
      <w:r w:rsidRPr="007B4401">
        <w:rPr>
          <w:rFonts w:ascii="Arial" w:eastAsia="Arial" w:hAnsi="Arial" w:cs="Arial"/>
          <w:color w:val="000000" w:themeColor="text1"/>
          <w:spacing w:val="-7"/>
          <w:sz w:val="22"/>
          <w:szCs w:val="22"/>
          <w:lang w:val="es-ES_tradnl"/>
        </w:rPr>
        <w:t xml:space="preserve"> </w:t>
      </w:r>
      <w:r w:rsidRPr="007B4401">
        <w:rPr>
          <w:rFonts w:ascii="Arial" w:eastAsia="Arial" w:hAnsi="Arial" w:cs="Arial"/>
          <w:color w:val="000000" w:themeColor="text1"/>
          <w:sz w:val="22"/>
          <w:szCs w:val="22"/>
          <w:lang w:val="es-ES_tradnl"/>
        </w:rPr>
        <w:t>directa. En efecto, el artículo 2.2.1.1.2.1.5. del Decreto 1082 de 2015 prescribe:</w:t>
      </w:r>
    </w:p>
    <w:p w14:paraId="0F1590D9"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496286A9"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63D4D337"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76B7CC4E"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El acto administrativo de que trata el presente artículo debe señalar:</w:t>
      </w:r>
    </w:p>
    <w:p w14:paraId="0425B8B0"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362ADE3A"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1. El objeto de la contratación a realizar.</w:t>
      </w:r>
    </w:p>
    <w:p w14:paraId="259C29F1"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7301D857"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2. La modalidad de selección que corresponda a la contratación.</w:t>
      </w:r>
    </w:p>
    <w:p w14:paraId="28D580FC"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21C2154C"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3. El Cronograma.</w:t>
      </w:r>
    </w:p>
    <w:p w14:paraId="2DB7BE9B"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7D180A69"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4. El lugar físico o electrónico en que se puede consultar y retirar los pliegos de condi­ciones y los estudios y documentos previos.</w:t>
      </w:r>
    </w:p>
    <w:p w14:paraId="1E5450A3"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23A645AC"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lastRenderedPageBreak/>
        <w:t>5. La convocatoria para las veedurías ciudadanas.</w:t>
      </w:r>
    </w:p>
    <w:p w14:paraId="3CCBA3C3"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6B56463B"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6. El certificado de disponibilidad presupuestal, en concordancia con las normas orgánicas correspondientes.</w:t>
      </w:r>
    </w:p>
    <w:p w14:paraId="67D12FD4" w14:textId="77777777" w:rsidR="000A1835" w:rsidRPr="007B4401" w:rsidRDefault="000A1835" w:rsidP="000A1835">
      <w:pPr>
        <w:widowControl w:val="0"/>
        <w:autoSpaceDE w:val="0"/>
        <w:autoSpaceDN w:val="0"/>
        <w:ind w:left="709" w:right="893"/>
        <w:jc w:val="both"/>
        <w:rPr>
          <w:rFonts w:ascii="Arial" w:eastAsia="Arial" w:hAnsi="Arial" w:cs="Arial"/>
          <w:color w:val="000000" w:themeColor="text1"/>
          <w:sz w:val="21"/>
          <w:szCs w:val="21"/>
          <w:lang w:val="es-ES_tradnl"/>
        </w:rPr>
      </w:pPr>
    </w:p>
    <w:p w14:paraId="5F24D585" w14:textId="77777777" w:rsidR="000A1835" w:rsidRPr="007B4401" w:rsidRDefault="000A1835" w:rsidP="000A1835">
      <w:pPr>
        <w:widowControl w:val="0"/>
        <w:autoSpaceDE w:val="0"/>
        <w:autoSpaceDN w:val="0"/>
        <w:ind w:left="709" w:right="890"/>
        <w:jc w:val="both"/>
        <w:rPr>
          <w:rFonts w:ascii="Arial" w:eastAsia="Arial" w:hAnsi="Arial" w:cs="Arial"/>
          <w:color w:val="000000" w:themeColor="text1"/>
          <w:sz w:val="21"/>
          <w:szCs w:val="21"/>
          <w:lang w:val="es-ES_tradnl"/>
        </w:rPr>
      </w:pPr>
      <w:r w:rsidRPr="007B4401">
        <w:rPr>
          <w:rFonts w:ascii="Arial" w:eastAsia="Arial" w:hAnsi="Arial" w:cs="Arial"/>
          <w:color w:val="000000" w:themeColor="text1"/>
          <w:sz w:val="21"/>
          <w:szCs w:val="21"/>
          <w:lang w:val="es-ES_tradnl"/>
        </w:rPr>
        <w:t>7. Los demás asuntos que se consideren pertinentes de acuerdo con cada una de las modalidades de selección.</w:t>
      </w:r>
    </w:p>
    <w:p w14:paraId="232032AC" w14:textId="77777777" w:rsidR="000A1835" w:rsidRPr="007B4401" w:rsidRDefault="000A1835" w:rsidP="000A1835">
      <w:pPr>
        <w:widowControl w:val="0"/>
        <w:autoSpaceDE w:val="0"/>
        <w:autoSpaceDN w:val="0"/>
        <w:ind w:left="709" w:right="890"/>
        <w:jc w:val="both"/>
        <w:rPr>
          <w:rFonts w:ascii="Arial" w:eastAsia="Arial" w:hAnsi="Arial" w:cs="Arial"/>
          <w:color w:val="000000" w:themeColor="text1"/>
          <w:sz w:val="21"/>
          <w:szCs w:val="21"/>
          <w:lang w:val="es-ES_tradnl"/>
        </w:rPr>
      </w:pPr>
    </w:p>
    <w:p w14:paraId="2544C4C8" w14:textId="77777777" w:rsidR="000A1835" w:rsidRPr="007B4401" w:rsidRDefault="000A1835" w:rsidP="000A1835">
      <w:pPr>
        <w:widowControl w:val="0"/>
        <w:autoSpaceDE w:val="0"/>
        <w:autoSpaceDN w:val="0"/>
        <w:spacing w:after="120" w:line="276" w:lineRule="auto"/>
        <w:ind w:firstLine="709"/>
        <w:jc w:val="both"/>
        <w:rPr>
          <w:rFonts w:ascii="Arial" w:eastAsia="Arial" w:hAnsi="Arial" w:cs="Arial"/>
          <w:color w:val="000000" w:themeColor="text1"/>
          <w:sz w:val="22"/>
          <w:szCs w:val="22"/>
          <w:lang w:val="es-ES_tradnl"/>
        </w:rPr>
      </w:pPr>
      <w:r w:rsidRPr="007B4401">
        <w:rPr>
          <w:rFonts w:ascii="Arial" w:eastAsia="Arial" w:hAnsi="Arial" w:cs="Arial"/>
          <w:color w:val="000000" w:themeColor="text1"/>
          <w:sz w:val="22"/>
          <w:szCs w:val="22"/>
          <w:lang w:val="es-ES_tradnl"/>
        </w:rPr>
        <w:t xml:space="preserve">De la disposición citada es posible afirmar que el proceso de selección </w:t>
      </w:r>
      <w:r w:rsidRPr="007B4401">
        <w:rPr>
          <w:rFonts w:ascii="Arial" w:eastAsia="Arial" w:hAnsi="Arial" w:cs="Arial"/>
          <w:i/>
          <w:iCs/>
          <w:color w:val="000000" w:themeColor="text1"/>
          <w:sz w:val="22"/>
          <w:szCs w:val="22"/>
          <w:lang w:val="es-ES_tradnl"/>
        </w:rPr>
        <w:t>inicia formalmente</w:t>
      </w:r>
      <w:r w:rsidRPr="007B4401">
        <w:rPr>
          <w:rFonts w:ascii="Arial" w:eastAsia="Arial" w:hAnsi="Arial" w:cs="Arial"/>
          <w:color w:val="000000" w:themeColor="text1"/>
          <w:sz w:val="22"/>
          <w:szCs w:val="22"/>
          <w:lang w:val="es-ES_tradnl"/>
        </w:rPr>
        <w:t xml:space="preserve"> con el acto administrativo de apertura. Esto además es coherente, particularmente, con lo establecido respecto al procedimiento de licitación pública, en tanto el artículo 30, numeral 1 de la Ley 80 de 1993 establece que: «La licitación se efectuará conforme a las siguientes reglas: 1o. El jefe o representante de la entidad estatal ordenará su apertura por medio de acto administrativo motivado». En este sentido, el Consejo de Estado ha reconocido expresamente que «el acto de apertura no sólo </w:t>
      </w:r>
      <w:r w:rsidRPr="007B4401">
        <w:rPr>
          <w:rFonts w:ascii="Arial" w:eastAsia="Arial" w:hAnsi="Arial" w:cs="Arial"/>
          <w:i/>
          <w:iCs/>
          <w:color w:val="000000" w:themeColor="text1"/>
          <w:sz w:val="22"/>
          <w:szCs w:val="22"/>
          <w:lang w:val="es-ES_tradnl"/>
        </w:rPr>
        <w:t>da inicio al proceso de selección</w:t>
      </w:r>
      <w:r w:rsidRPr="007B4401">
        <w:rPr>
          <w:rFonts w:ascii="Arial" w:eastAsia="Arial" w:hAnsi="Arial" w:cs="Arial"/>
          <w:color w:val="000000" w:themeColor="text1"/>
          <w:sz w:val="22"/>
          <w:szCs w:val="22"/>
          <w:lang w:val="es-ES_tradnl"/>
        </w:rPr>
        <w:t>, su principal y más importante característica es que constituye una especie de policitación que realiza la administración pública, para que los interesados, que reúnan ciertas condiciones, formulen sus ofrecimientos en los plazos y con el lleno de los requisitos previstos en los pliegos de condiciones»</w:t>
      </w:r>
      <w:r w:rsidRPr="007B4401">
        <w:rPr>
          <w:rStyle w:val="Refdenotaalpie"/>
          <w:rFonts w:ascii="Arial" w:eastAsia="Arial" w:hAnsi="Arial" w:cs="Arial"/>
          <w:color w:val="000000" w:themeColor="text1"/>
          <w:sz w:val="22"/>
          <w:szCs w:val="22"/>
          <w:lang w:val="es-ES_tradnl"/>
        </w:rPr>
        <w:footnoteReference w:id="24"/>
      </w:r>
      <w:r w:rsidRPr="007B4401">
        <w:rPr>
          <w:rFonts w:ascii="Arial" w:eastAsia="Arial" w:hAnsi="Arial" w:cs="Arial"/>
          <w:color w:val="000000" w:themeColor="text1"/>
          <w:sz w:val="22"/>
          <w:szCs w:val="22"/>
          <w:lang w:val="es-ES_tradnl"/>
        </w:rPr>
        <w:t xml:space="preserve"> (Cursiva fuera del original).</w:t>
      </w:r>
    </w:p>
    <w:p w14:paraId="5A3DED65" w14:textId="77777777" w:rsidR="000A1835" w:rsidRPr="007B4401" w:rsidRDefault="000A1835" w:rsidP="000A1835">
      <w:pPr>
        <w:spacing w:before="120" w:line="276" w:lineRule="auto"/>
        <w:ind w:firstLine="709"/>
        <w:jc w:val="both"/>
        <w:rPr>
          <w:rFonts w:ascii="Arial" w:eastAsia="Arial" w:hAnsi="Arial" w:cs="Arial"/>
          <w:color w:val="000000" w:themeColor="text1"/>
          <w:sz w:val="22"/>
          <w:lang w:val="es-ES_tradnl"/>
        </w:rPr>
      </w:pPr>
      <w:r w:rsidRPr="007B4401">
        <w:rPr>
          <w:rFonts w:ascii="Arial" w:eastAsia="Calibri" w:hAnsi="Arial" w:cs="Arial"/>
          <w:color w:val="000000" w:themeColor="text1"/>
          <w:sz w:val="22"/>
          <w:lang w:val="es-ES_tradnl"/>
        </w:rPr>
        <w:t>En conclusión, esta Agencia considera que la reducción del puntaje en la evaluación de las ofertas establecida en el artículo 58 de la Ley 2195 de 2022, sin perjuicio de las precisiones realizadas con anterioridad respecto a su aplicación, es</w:t>
      </w:r>
      <w:r w:rsidRPr="007B4401">
        <w:rPr>
          <w:rFonts w:ascii="Arial" w:eastAsia="Arial" w:hAnsi="Arial" w:cs="Arial"/>
          <w:color w:val="000000" w:themeColor="text1"/>
          <w:sz w:val="22"/>
          <w:lang w:val="es-ES_tradnl"/>
        </w:rPr>
        <w:t xml:space="preserve"> obligatoria para los procedimientos de selección iniciados con posterioridad a su entrada en vigencia, esto es, para aquellos cuya </w:t>
      </w:r>
      <w:r w:rsidRPr="007B4401">
        <w:rPr>
          <w:rFonts w:ascii="Arial" w:eastAsia="Arial" w:hAnsi="Arial" w:cs="Arial"/>
          <w:i/>
          <w:iCs/>
          <w:color w:val="000000" w:themeColor="text1"/>
          <w:sz w:val="22"/>
          <w:lang w:val="es-ES_tradnl"/>
        </w:rPr>
        <w:t xml:space="preserve">apertura </w:t>
      </w:r>
      <w:r w:rsidRPr="007B4401">
        <w:rPr>
          <w:rFonts w:ascii="Arial" w:eastAsia="Arial" w:hAnsi="Arial" w:cs="Arial"/>
          <w:color w:val="000000" w:themeColor="text1"/>
          <w:sz w:val="22"/>
          <w:lang w:val="es-ES_tradnl"/>
        </w:rPr>
        <w:t>se haya realizado a partir del 18 de enero de 2022; no para los anteriores. El artículo 69 de la referida Ley dispone que «[…] rige a partir de su promulgación», pero este precepto debe interpretarse con el matiz previsto en el artículo 40 de la Ley 153 de 1887. En otras palabras, si bien, por regla general, las normas que regulan la sustanciación de los procedimientos comienzan a regir desde el momento en el 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 en perjuicio de la seguridad jurídica.</w:t>
      </w:r>
    </w:p>
    <w:p w14:paraId="14C91323" w14:textId="77777777" w:rsidR="000A1835" w:rsidRPr="007B4401" w:rsidRDefault="000A1835" w:rsidP="009F4A13">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 xml:space="preserve">Es decir, si al 18 de enero de 2020 no se había publicado el acto administrativo de apertura, puede afirmarse que el procedimiento de selección no había </w:t>
      </w:r>
      <w:r w:rsidRPr="007B4401">
        <w:rPr>
          <w:rFonts w:ascii="Arial" w:eastAsia="Calibri" w:hAnsi="Arial" w:cs="Arial"/>
          <w:i/>
          <w:iCs/>
          <w:color w:val="000000" w:themeColor="text1"/>
          <w:sz w:val="22"/>
          <w:szCs w:val="22"/>
          <w:lang w:val="es-ES_tradnl"/>
        </w:rPr>
        <w:t>iniciado</w:t>
      </w:r>
      <w:r w:rsidRPr="007B4401">
        <w:rPr>
          <w:rFonts w:ascii="Arial" w:eastAsia="Calibri" w:hAnsi="Arial" w:cs="Arial"/>
          <w:color w:val="000000" w:themeColor="text1"/>
          <w:sz w:val="22"/>
          <w:szCs w:val="22"/>
          <w:lang w:val="es-ES_tradnl"/>
        </w:rPr>
        <w:t xml:space="preserve"> formalmente. Esto significa que la diligencia o trámite procesal no había comenzado. Por ende, en tal caso, de conformidad con el primer inciso del artículo 40 de la Ley 153 de 1887, las entidades estatales debían adecuar los documentos del proceso, teniendo en cuenta los </w:t>
      </w:r>
      <w:r w:rsidRPr="007B4401">
        <w:rPr>
          <w:rFonts w:ascii="Arial" w:eastAsia="Calibri" w:hAnsi="Arial" w:cs="Arial"/>
          <w:color w:val="000000" w:themeColor="text1"/>
          <w:sz w:val="22"/>
          <w:szCs w:val="22"/>
          <w:lang w:val="es-ES_tradnl"/>
        </w:rPr>
        <w:lastRenderedPageBreak/>
        <w:t xml:space="preserve">establecido en el artículo 58 de la Ley 2195 de 2022, antes de publicar el acto administrativo de apertura, si para la fecha de publicación de este –se insiste– ya había entrado a regir la Ley mencionada. Lo anterior, claro está, sin perjuicio de la posibilidad de que se expidan adendas para ajustar el pliego de condiciones a las normas vigentes. Sin embargo, si el acto que inicia formalmente el procedimiento de selección de contratistas se había publicado antes del 18 de enero de 2022, las entidades estatales no estaban obligadas a aplicar lo prescrito en el artículo 58 de la Ley 2195 de 2022, porque la diligencia o trámite procesal ya había comenzado. Es decir, en este evento se habría cumplido la condición para la aplicación </w:t>
      </w:r>
      <w:proofErr w:type="spellStart"/>
      <w:r w:rsidRPr="007B4401">
        <w:rPr>
          <w:rFonts w:ascii="Arial" w:eastAsia="Calibri" w:hAnsi="Arial" w:cs="Arial"/>
          <w:color w:val="000000" w:themeColor="text1"/>
          <w:sz w:val="22"/>
          <w:szCs w:val="22"/>
          <w:lang w:val="es-ES_tradnl"/>
        </w:rPr>
        <w:t>ultractiva</w:t>
      </w:r>
      <w:proofErr w:type="spellEnd"/>
      <w:r w:rsidRPr="007B4401">
        <w:rPr>
          <w:rFonts w:ascii="Arial" w:eastAsia="Calibri" w:hAnsi="Arial" w:cs="Arial"/>
          <w:color w:val="000000" w:themeColor="text1"/>
          <w:sz w:val="22"/>
          <w:szCs w:val="22"/>
          <w:lang w:val="es-ES_tradnl"/>
        </w:rPr>
        <w:t xml:space="preserve"> de la norma procesal prevista en el segundo inciso del artículo 40 de </w:t>
      </w:r>
      <w:r w:rsidRPr="007B4401">
        <w:rPr>
          <w:rFonts w:ascii="Arial" w:eastAsia="Calibri" w:hAnsi="Arial" w:cs="Arial"/>
          <w:color w:val="000000" w:themeColor="text1"/>
          <w:sz w:val="22"/>
          <w:lang w:val="es-ES_tradnl"/>
        </w:rPr>
        <w:t>la Ley 153 de 1887</w:t>
      </w:r>
      <w:r w:rsidRPr="007B4401">
        <w:rPr>
          <w:rStyle w:val="Refdenotaalpie"/>
          <w:rFonts w:ascii="Arial" w:hAnsi="Arial" w:cs="Arial"/>
          <w:color w:val="000000" w:themeColor="text1"/>
          <w:sz w:val="22"/>
          <w:szCs w:val="22"/>
          <w:lang w:val="es-ES_tradnl"/>
        </w:rPr>
        <w:footnoteReference w:id="25"/>
      </w:r>
      <w:r w:rsidRPr="007B4401">
        <w:rPr>
          <w:rFonts w:ascii="Arial" w:hAnsi="Arial" w:cs="Arial"/>
          <w:color w:val="000000" w:themeColor="text1"/>
          <w:sz w:val="22"/>
          <w:szCs w:val="22"/>
          <w:lang w:val="es-ES_tradnl"/>
        </w:rPr>
        <w:t>. </w:t>
      </w:r>
    </w:p>
    <w:p w14:paraId="278D5ED4" w14:textId="39962967" w:rsidR="00D05F2B" w:rsidRPr="007B4401" w:rsidRDefault="00D05F2B" w:rsidP="009F4A13">
      <w:pPr>
        <w:tabs>
          <w:tab w:val="left" w:pos="0"/>
        </w:tabs>
        <w:spacing w:line="276" w:lineRule="auto"/>
        <w:jc w:val="both"/>
        <w:rPr>
          <w:rFonts w:ascii="Arial" w:eastAsia="Calibri" w:hAnsi="Arial" w:cs="Arial"/>
          <w:b/>
          <w:color w:val="000000" w:themeColor="text1"/>
          <w:sz w:val="22"/>
          <w:lang w:val="es-ES_tradnl"/>
        </w:rPr>
      </w:pPr>
    </w:p>
    <w:p w14:paraId="10BFA49B" w14:textId="6CFDACE3" w:rsidR="00B84542" w:rsidRPr="007B4401" w:rsidRDefault="00B84542" w:rsidP="00B84542">
      <w:pPr>
        <w:tabs>
          <w:tab w:val="left" w:pos="0"/>
        </w:tabs>
        <w:spacing w:line="276" w:lineRule="auto"/>
        <w:jc w:val="both"/>
        <w:rPr>
          <w:rFonts w:ascii="Arial" w:eastAsia="Calibri" w:hAnsi="Arial" w:cs="Arial"/>
          <w:bCs/>
          <w:color w:val="000000" w:themeColor="text1"/>
          <w:sz w:val="22"/>
        </w:rPr>
      </w:pPr>
      <w:r w:rsidRPr="007B4401">
        <w:rPr>
          <w:rFonts w:ascii="Arial" w:hAnsi="Arial" w:cs="Arial"/>
          <w:b/>
          <w:bCs/>
          <w:iCs/>
          <w:color w:val="000000" w:themeColor="text1"/>
          <w:sz w:val="22"/>
          <w:lang w:val="es-ES_tradnl"/>
        </w:rPr>
        <w:t xml:space="preserve">2.5. </w:t>
      </w:r>
      <w:r w:rsidRPr="007B4401">
        <w:rPr>
          <w:rFonts w:ascii="Arial" w:eastAsia="Calibri" w:hAnsi="Arial" w:cs="Arial"/>
          <w:b/>
          <w:color w:val="000000" w:themeColor="text1"/>
          <w:sz w:val="22"/>
          <w:lang w:val="es-ES_tradnl" w:eastAsia="en-GB"/>
        </w:rPr>
        <w:t xml:space="preserve">Excepción a la reducción del puntaje conforme con el </w:t>
      </w:r>
      <w:r w:rsidRPr="007B4401">
        <w:rPr>
          <w:rFonts w:ascii="Arial" w:hAnsi="Arial" w:cs="Arial"/>
          <w:b/>
          <w:iCs/>
          <w:color w:val="000000" w:themeColor="text1"/>
          <w:sz w:val="22"/>
          <w:lang w:val="es-ES_tradnl"/>
        </w:rPr>
        <w:t>parágrafo primero del artículo 58 de la Ley 2195 de 2022</w:t>
      </w:r>
    </w:p>
    <w:p w14:paraId="231A91BF" w14:textId="77777777" w:rsidR="00B84542" w:rsidRPr="007B4401" w:rsidRDefault="00B84542" w:rsidP="00B84542">
      <w:pPr>
        <w:tabs>
          <w:tab w:val="left" w:pos="0"/>
        </w:tabs>
        <w:spacing w:line="276" w:lineRule="auto"/>
        <w:jc w:val="both"/>
        <w:rPr>
          <w:rFonts w:ascii="Arial" w:hAnsi="Arial" w:cs="Arial"/>
          <w:b/>
          <w:bCs/>
          <w:iCs/>
          <w:color w:val="000000" w:themeColor="text1"/>
          <w:sz w:val="22"/>
          <w:lang w:val="es-ES_tradnl"/>
        </w:rPr>
      </w:pPr>
    </w:p>
    <w:p w14:paraId="4D561225" w14:textId="43C5819A" w:rsidR="00B84542" w:rsidRPr="007B4401" w:rsidRDefault="00E25B61" w:rsidP="00B84542">
      <w:pPr>
        <w:spacing w:line="276" w:lineRule="auto"/>
        <w:jc w:val="both"/>
        <w:rPr>
          <w:rFonts w:ascii="Arial" w:eastAsia="Calibri" w:hAnsi="Arial" w:cs="Arial"/>
          <w:color w:val="000000" w:themeColor="text1"/>
          <w:sz w:val="22"/>
          <w:szCs w:val="22"/>
          <w:lang w:val="es-ES_tradnl"/>
        </w:rPr>
      </w:pPr>
      <w:bookmarkStart w:id="9" w:name="_Hlk97102875"/>
      <w:r w:rsidRPr="007B4401">
        <w:rPr>
          <w:rFonts w:ascii="Arial" w:eastAsia="Calibri" w:hAnsi="Arial" w:cs="Arial"/>
          <w:bCs/>
          <w:color w:val="000000" w:themeColor="text1"/>
          <w:sz w:val="22"/>
          <w:szCs w:val="22"/>
          <w:lang w:val="es-ES_tradnl"/>
        </w:rPr>
        <w:t>E</w:t>
      </w:r>
      <w:r w:rsidR="00B84542" w:rsidRPr="007B4401">
        <w:rPr>
          <w:rFonts w:ascii="Arial" w:eastAsia="Calibri" w:hAnsi="Arial" w:cs="Arial"/>
          <w:bCs/>
          <w:color w:val="000000" w:themeColor="text1"/>
          <w:sz w:val="22"/>
          <w:szCs w:val="22"/>
          <w:lang w:val="es-ES_tradnl"/>
        </w:rPr>
        <w:t xml:space="preserve">l parágrafo primero del artículo 58 de la Ley 2195 de 2022 establece una excepción a la reducción del puntaje por incumplimiento indicando que </w:t>
      </w:r>
      <w:r w:rsidR="00B84542" w:rsidRPr="007B4401">
        <w:rPr>
          <w:rFonts w:ascii="Arial" w:eastAsia="Calibri" w:hAnsi="Arial" w:cs="Arial"/>
          <w:color w:val="000000" w:themeColor="text1"/>
          <w:sz w:val="22"/>
          <w:szCs w:val="22"/>
          <w:lang w:val="es-ES_tradnl"/>
        </w:rPr>
        <w:t>«</w:t>
      </w:r>
      <w:r w:rsidR="00B84542" w:rsidRPr="007B4401">
        <w:rPr>
          <w:rFonts w:ascii="Arial" w:eastAsia="Calibri" w:hAnsi="Arial" w:cs="Arial"/>
          <w:bCs/>
          <w:color w:val="000000" w:themeColor="text1"/>
          <w:sz w:val="22"/>
          <w:szCs w:val="22"/>
          <w:lang w:val="es-ES_tradnl"/>
        </w:rPr>
        <w:t>no se aplicará en caso de que los actos administrativos que hayan impuesto las multas sean objeto de medios de control jurisdiccional a través de las acciones previstas en la Ley 1437 de 2011 o las normas que la modifiquen, adicionen o sustituyan</w:t>
      </w:r>
      <w:r w:rsidR="00B84542" w:rsidRPr="007B4401">
        <w:rPr>
          <w:rFonts w:ascii="Arial" w:eastAsia="Calibri" w:hAnsi="Arial" w:cs="Arial"/>
          <w:color w:val="000000" w:themeColor="text1"/>
          <w:sz w:val="22"/>
          <w:szCs w:val="22"/>
          <w:lang w:val="es-ES_tradnl"/>
        </w:rPr>
        <w:t xml:space="preserve">». Para entender el alcance de esta norma es importante realizar algunas precisiones. </w:t>
      </w:r>
    </w:p>
    <w:p w14:paraId="7A02F366" w14:textId="28E87F3E" w:rsidR="00B84542" w:rsidRPr="007B4401" w:rsidRDefault="00B84542" w:rsidP="00B84542">
      <w:pPr>
        <w:spacing w:before="120" w:line="276" w:lineRule="auto"/>
        <w:ind w:firstLine="709"/>
        <w:jc w:val="both"/>
        <w:rPr>
          <w:rFonts w:ascii="Arial" w:eastAsia="Calibri" w:hAnsi="Arial" w:cs="Arial"/>
          <w:bCs/>
          <w:color w:val="000000" w:themeColor="text1"/>
          <w:sz w:val="22"/>
          <w:szCs w:val="22"/>
          <w:lang w:val="es-ES_tradnl"/>
        </w:rPr>
      </w:pPr>
      <w:r w:rsidRPr="007B4401">
        <w:rPr>
          <w:rFonts w:ascii="Arial" w:eastAsia="Calibri" w:hAnsi="Arial" w:cs="Arial"/>
          <w:i/>
          <w:iCs/>
          <w:color w:val="000000" w:themeColor="text1"/>
          <w:sz w:val="22"/>
          <w:szCs w:val="22"/>
          <w:lang w:val="es-ES_tradnl"/>
        </w:rPr>
        <w:t>En primer lugar</w:t>
      </w:r>
      <w:r w:rsidRPr="007B4401">
        <w:rPr>
          <w:rFonts w:ascii="Arial" w:eastAsia="Calibri" w:hAnsi="Arial" w:cs="Arial"/>
          <w:color w:val="000000" w:themeColor="text1"/>
          <w:sz w:val="22"/>
          <w:szCs w:val="22"/>
          <w:lang w:val="es-ES_tradnl"/>
        </w:rPr>
        <w:t>, se reitera que esta excepción solo aplica para los actos administrativos que haya</w:t>
      </w:r>
      <w:r w:rsidR="005062B7" w:rsidRPr="007B4401">
        <w:rPr>
          <w:rFonts w:ascii="Arial" w:eastAsia="Calibri" w:hAnsi="Arial" w:cs="Arial"/>
          <w:color w:val="000000" w:themeColor="text1"/>
          <w:sz w:val="22"/>
          <w:szCs w:val="22"/>
          <w:lang w:val="es-ES_tradnl"/>
        </w:rPr>
        <w:t>n declarado incumplimientos y como consecuencia</w:t>
      </w:r>
      <w:r w:rsidRPr="007B4401">
        <w:rPr>
          <w:rFonts w:ascii="Arial" w:eastAsia="Calibri" w:hAnsi="Arial" w:cs="Arial"/>
          <w:color w:val="000000" w:themeColor="text1"/>
          <w:sz w:val="22"/>
          <w:szCs w:val="22"/>
          <w:lang w:val="es-ES_tradnl"/>
        </w:rPr>
        <w:t xml:space="preserve"> impuesto multas, lo que excluye a los actos administrativos que </w:t>
      </w:r>
      <w:r w:rsidR="00E25B61" w:rsidRPr="007B4401">
        <w:rPr>
          <w:rFonts w:ascii="Arial" w:eastAsia="Calibri" w:hAnsi="Arial" w:cs="Arial"/>
          <w:color w:val="000000" w:themeColor="text1"/>
          <w:sz w:val="22"/>
          <w:szCs w:val="22"/>
          <w:lang w:val="es-ES_tradnl"/>
        </w:rPr>
        <w:t xml:space="preserve">impusieron </w:t>
      </w:r>
      <w:r w:rsidRPr="007B4401">
        <w:rPr>
          <w:rFonts w:ascii="Arial" w:eastAsia="Calibri" w:hAnsi="Arial" w:cs="Arial"/>
          <w:color w:val="000000" w:themeColor="text1"/>
          <w:sz w:val="22"/>
          <w:szCs w:val="22"/>
          <w:lang w:val="es-ES_tradnl"/>
        </w:rPr>
        <w:t xml:space="preserve">una cláusula penal pecuniaria. Por tanto, para que opere la excepción planteada, la entidad estatal deberá </w:t>
      </w:r>
      <w:r w:rsidRPr="007B4401">
        <w:rPr>
          <w:rFonts w:ascii="Arial" w:eastAsia="Calibri" w:hAnsi="Arial" w:cs="Arial"/>
          <w:color w:val="000000" w:themeColor="text1"/>
          <w:sz w:val="22"/>
          <w:szCs w:val="22"/>
          <w:lang w:val="es-ES_tradnl"/>
        </w:rPr>
        <w:lastRenderedPageBreak/>
        <w:t xml:space="preserve">verificar, en primer término, que el acto administrativo corresponda a la imposición de una multa. </w:t>
      </w:r>
      <w:r w:rsidRPr="007B4401">
        <w:rPr>
          <w:rFonts w:ascii="Arial" w:eastAsia="Calibri" w:hAnsi="Arial" w:cs="Arial"/>
          <w:i/>
          <w:iCs/>
          <w:color w:val="000000" w:themeColor="text1"/>
          <w:sz w:val="22"/>
          <w:szCs w:val="22"/>
          <w:lang w:val="es-ES_tradnl"/>
        </w:rPr>
        <w:t>En segundo lugar,</w:t>
      </w:r>
      <w:r w:rsidRPr="007B4401">
        <w:rPr>
          <w:rFonts w:ascii="Arial" w:eastAsia="Calibri" w:hAnsi="Arial" w:cs="Arial"/>
          <w:color w:val="000000" w:themeColor="text1"/>
          <w:sz w:val="22"/>
          <w:szCs w:val="22"/>
          <w:lang w:val="es-ES_tradnl"/>
        </w:rPr>
        <w:t xml:space="preserve"> los actos administrativos que hayan impuesto multas deben ser objeto de </w:t>
      </w:r>
      <w:r w:rsidRPr="007B4401">
        <w:rPr>
          <w:rFonts w:ascii="Arial" w:eastAsia="Calibri" w:hAnsi="Arial" w:cs="Arial"/>
          <w:bCs/>
          <w:color w:val="000000" w:themeColor="text1"/>
          <w:sz w:val="22"/>
          <w:szCs w:val="22"/>
          <w:lang w:val="es-ES_tradnl"/>
        </w:rPr>
        <w:t xml:space="preserve">medios de control jurisdiccional </w:t>
      </w:r>
      <w:r w:rsidR="00E25B61" w:rsidRPr="007B4401">
        <w:rPr>
          <w:rFonts w:ascii="Arial" w:eastAsia="Calibri" w:hAnsi="Arial" w:cs="Arial"/>
          <w:bCs/>
          <w:color w:val="000000" w:themeColor="text1"/>
          <w:sz w:val="22"/>
          <w:szCs w:val="22"/>
          <w:lang w:val="es-ES_tradnl"/>
        </w:rPr>
        <w:t xml:space="preserve">mediante </w:t>
      </w:r>
      <w:r w:rsidRPr="007B4401">
        <w:rPr>
          <w:rFonts w:ascii="Arial" w:eastAsia="Calibri" w:hAnsi="Arial" w:cs="Arial"/>
          <w:bCs/>
          <w:color w:val="000000" w:themeColor="text1"/>
          <w:sz w:val="22"/>
          <w:szCs w:val="22"/>
          <w:lang w:val="es-ES_tradnl"/>
        </w:rPr>
        <w:t xml:space="preserve">las acciones previstas en la Ley 1437 de 2011. Esto significa que, para efectos de la aplicación de la excepción, únicamente se tendrán en cuenta los medios de control jurisdiccionales establecidos en la Ley 1437 de 2011, verbigracia nulidad, nulidad y restablecimiento del derecho, controversias contractuales, </w:t>
      </w:r>
      <w:r w:rsidR="00E25B61" w:rsidRPr="007B4401">
        <w:rPr>
          <w:rFonts w:ascii="Arial" w:eastAsia="Calibri" w:hAnsi="Arial" w:cs="Arial"/>
          <w:bCs/>
          <w:color w:val="000000" w:themeColor="text1"/>
          <w:sz w:val="22"/>
          <w:szCs w:val="22"/>
          <w:lang w:val="es-ES_tradnl"/>
        </w:rPr>
        <w:t>entre otros</w:t>
      </w:r>
      <w:r w:rsidRPr="007B4401">
        <w:rPr>
          <w:rFonts w:ascii="Arial" w:eastAsia="Calibri" w:hAnsi="Arial" w:cs="Arial"/>
          <w:bCs/>
          <w:color w:val="000000" w:themeColor="text1"/>
          <w:sz w:val="22"/>
          <w:szCs w:val="22"/>
          <w:lang w:val="es-ES_tradnl"/>
        </w:rPr>
        <w:t xml:space="preserve">, lo que descartaría otra acción judicial diferente a estas, </w:t>
      </w:r>
      <w:proofErr w:type="gramStart"/>
      <w:r w:rsidRPr="007B4401">
        <w:rPr>
          <w:rFonts w:ascii="Arial" w:eastAsia="Calibri" w:hAnsi="Arial" w:cs="Arial"/>
          <w:bCs/>
          <w:color w:val="000000" w:themeColor="text1"/>
          <w:sz w:val="22"/>
          <w:szCs w:val="22"/>
          <w:lang w:val="es-ES_tradnl"/>
        </w:rPr>
        <w:t>como</w:t>
      </w:r>
      <w:proofErr w:type="gramEnd"/>
      <w:r w:rsidRPr="007B4401">
        <w:rPr>
          <w:rFonts w:ascii="Arial" w:eastAsia="Calibri" w:hAnsi="Arial" w:cs="Arial"/>
          <w:bCs/>
          <w:color w:val="000000" w:themeColor="text1"/>
          <w:sz w:val="22"/>
          <w:szCs w:val="22"/>
          <w:lang w:val="es-ES_tradnl"/>
        </w:rPr>
        <w:t xml:space="preserve"> por ejemplo, la acción de tutela. Lo anterior, sin perjuicio de las decisiones particulares que adopte un juez en procesos diferentes a los regulados por la Ley 1437 de 2011 y que pudieran tener incidencia frente a los actos administrativos que impusieron multas, en el desarrollo de tales procesos judiciales. En todo caso, se reitera que la regla especial del parágrafo solo aplica cuando «los actos administrativos que hayan impuesto las multas sean objeto de medios de control jurisdiccional </w:t>
      </w:r>
      <w:r w:rsidRPr="007B4401">
        <w:rPr>
          <w:rFonts w:ascii="Arial" w:eastAsia="Calibri" w:hAnsi="Arial" w:cs="Arial"/>
          <w:bCs/>
          <w:i/>
          <w:iCs/>
          <w:color w:val="000000" w:themeColor="text1"/>
          <w:sz w:val="22"/>
          <w:szCs w:val="22"/>
          <w:lang w:val="es-ES_tradnl"/>
        </w:rPr>
        <w:t>a través de las acciones previstas en la Ley 1437 de 2011</w:t>
      </w:r>
      <w:r w:rsidRPr="007B4401">
        <w:rPr>
          <w:rFonts w:ascii="Arial" w:eastAsia="Calibri" w:hAnsi="Arial" w:cs="Arial"/>
          <w:bCs/>
          <w:color w:val="000000" w:themeColor="text1"/>
          <w:sz w:val="22"/>
          <w:szCs w:val="22"/>
          <w:lang w:val="es-ES_tradnl"/>
        </w:rPr>
        <w:t xml:space="preserve"> o las normas que la modifiquen, adicionen o sustituyan».</w:t>
      </w:r>
    </w:p>
    <w:p w14:paraId="5E4087B7" w14:textId="77777777" w:rsidR="00B84542" w:rsidRPr="007B4401" w:rsidRDefault="00B84542" w:rsidP="00B84542">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En este contexto, surge la siguiente pregunta: ¿cómo debe entenderse la expresión que «sean objeto de medios de control jurisdiccional» incluida en el parágrafo del artículo 58 de la Ley 2195 de 2022? Esta Agencia considera que esta expresión alude a que el acto administrativo que impuso la multa sea materia de discusión mediante cualquiera de los medios de control jurisdiccional determinados en la Ley 1437 de 2011, es decir,</w:t>
      </w:r>
      <w:r w:rsidRPr="007B4401">
        <w:rPr>
          <w:rFonts w:ascii="Arial" w:eastAsia="Calibri" w:hAnsi="Arial" w:cs="Arial"/>
          <w:bCs/>
          <w:color w:val="000000" w:themeColor="text1"/>
          <w:sz w:val="22"/>
          <w:szCs w:val="22"/>
          <w:lang w:val="es-ES_tradnl"/>
        </w:rPr>
        <w:t xml:space="preserve"> que contra este se haya presentado una demanda y se encuentre en trámite el proceso judicial respectivo. </w:t>
      </w:r>
      <w:r w:rsidRPr="007B4401">
        <w:rPr>
          <w:rFonts w:ascii="Arial" w:eastAsia="Calibri" w:hAnsi="Arial" w:cs="Arial"/>
          <w:color w:val="000000" w:themeColor="text1"/>
          <w:sz w:val="22"/>
          <w:szCs w:val="22"/>
          <w:lang w:val="es-ES_tradnl"/>
        </w:rPr>
        <w:t xml:space="preserve">Esto debe interpretarse en consonancia con lo dispuesto en el artículo 179 del CPACA, referente a las etapas del proceso contencioso administrativo, el cual prescribe lo siguiente: </w:t>
      </w:r>
    </w:p>
    <w:p w14:paraId="6CA35477" w14:textId="77777777" w:rsidR="00B84542" w:rsidRPr="007B4401" w:rsidRDefault="00B84542" w:rsidP="00B84542">
      <w:pPr>
        <w:spacing w:line="276" w:lineRule="auto"/>
        <w:ind w:firstLine="709"/>
        <w:jc w:val="both"/>
        <w:rPr>
          <w:rFonts w:ascii="Arial" w:eastAsia="Calibri" w:hAnsi="Arial" w:cs="Arial"/>
          <w:color w:val="000000" w:themeColor="text1"/>
          <w:sz w:val="22"/>
          <w:szCs w:val="22"/>
          <w:lang w:val="es-ES_tradnl"/>
        </w:rPr>
      </w:pPr>
    </w:p>
    <w:p w14:paraId="50EC4307" w14:textId="77777777" w:rsidR="00B84542" w:rsidRPr="007B4401" w:rsidRDefault="00B84542" w:rsidP="00B84542">
      <w:pPr>
        <w:tabs>
          <w:tab w:val="left" w:pos="0"/>
        </w:tabs>
        <w:ind w:left="709" w:right="709"/>
        <w:jc w:val="both"/>
        <w:rPr>
          <w:rFonts w:ascii="Arial" w:hAnsi="Arial" w:cs="Arial"/>
          <w:color w:val="000000" w:themeColor="text1"/>
          <w:sz w:val="21"/>
          <w:szCs w:val="21"/>
        </w:rPr>
      </w:pPr>
      <w:bookmarkStart w:id="10" w:name="179"/>
      <w:r w:rsidRPr="007B4401">
        <w:rPr>
          <w:rFonts w:ascii="Arial" w:hAnsi="Arial" w:cs="Arial"/>
          <w:color w:val="000000" w:themeColor="text1"/>
          <w:sz w:val="21"/>
          <w:szCs w:val="21"/>
        </w:rPr>
        <w:t>Artículo 179. ETAPAS.</w:t>
      </w:r>
      <w:bookmarkEnd w:id="10"/>
      <w:r w:rsidRPr="007B4401">
        <w:rPr>
          <w:rFonts w:ascii="Arial" w:hAnsi="Arial" w:cs="Arial"/>
          <w:color w:val="000000" w:themeColor="text1"/>
          <w:sz w:val="21"/>
          <w:szCs w:val="21"/>
        </w:rPr>
        <w:t xml:space="preserve"> El proceso para adelantar y decidir todos los litigios respecto de los cuales este código u otras leyes no señalen un trámite o procedimiento especial, en primera y en única instancia, se desarrollará en las siguientes etapas:</w:t>
      </w:r>
    </w:p>
    <w:p w14:paraId="12D44FAB" w14:textId="77777777" w:rsidR="00B84542" w:rsidRPr="007B4401" w:rsidRDefault="00B84542" w:rsidP="00B84542">
      <w:pPr>
        <w:tabs>
          <w:tab w:val="left" w:pos="0"/>
        </w:tabs>
        <w:ind w:left="709" w:right="709"/>
        <w:jc w:val="both"/>
        <w:rPr>
          <w:rFonts w:ascii="Arial" w:hAnsi="Arial" w:cs="Arial"/>
          <w:color w:val="000000" w:themeColor="text1"/>
          <w:sz w:val="21"/>
          <w:szCs w:val="21"/>
        </w:rPr>
      </w:pPr>
    </w:p>
    <w:p w14:paraId="76010AB7" w14:textId="77777777" w:rsidR="00B84542" w:rsidRPr="007B4401" w:rsidRDefault="00B84542" w:rsidP="00B84542">
      <w:pPr>
        <w:tabs>
          <w:tab w:val="left" w:pos="0"/>
        </w:tabs>
        <w:ind w:left="709" w:right="709"/>
        <w:jc w:val="both"/>
        <w:rPr>
          <w:rFonts w:ascii="Arial" w:hAnsi="Arial" w:cs="Arial"/>
          <w:color w:val="000000" w:themeColor="text1"/>
          <w:sz w:val="21"/>
          <w:szCs w:val="21"/>
        </w:rPr>
      </w:pPr>
      <w:r w:rsidRPr="007B4401">
        <w:rPr>
          <w:rFonts w:ascii="Arial" w:hAnsi="Arial" w:cs="Arial"/>
          <w:color w:val="000000" w:themeColor="text1"/>
          <w:sz w:val="21"/>
          <w:szCs w:val="21"/>
        </w:rPr>
        <w:t>1. La primera, desde la presentación de la demanda hasta la audiencia inicial.</w:t>
      </w:r>
    </w:p>
    <w:p w14:paraId="21050625" w14:textId="77777777" w:rsidR="00B84542" w:rsidRPr="007B4401" w:rsidRDefault="00B84542" w:rsidP="00B84542">
      <w:pPr>
        <w:tabs>
          <w:tab w:val="left" w:pos="0"/>
        </w:tabs>
        <w:ind w:left="709" w:right="709"/>
        <w:jc w:val="both"/>
        <w:rPr>
          <w:rFonts w:ascii="Arial" w:hAnsi="Arial" w:cs="Arial"/>
          <w:color w:val="000000" w:themeColor="text1"/>
          <w:sz w:val="21"/>
          <w:szCs w:val="21"/>
        </w:rPr>
      </w:pPr>
    </w:p>
    <w:p w14:paraId="58C97010" w14:textId="77777777" w:rsidR="00B84542" w:rsidRPr="007B4401" w:rsidRDefault="00B84542" w:rsidP="00B84542">
      <w:pPr>
        <w:tabs>
          <w:tab w:val="left" w:pos="0"/>
        </w:tabs>
        <w:ind w:left="709" w:right="709"/>
        <w:jc w:val="both"/>
        <w:rPr>
          <w:rFonts w:ascii="Arial" w:hAnsi="Arial" w:cs="Arial"/>
          <w:color w:val="000000" w:themeColor="text1"/>
          <w:sz w:val="21"/>
          <w:szCs w:val="21"/>
        </w:rPr>
      </w:pPr>
      <w:r w:rsidRPr="007B4401">
        <w:rPr>
          <w:rFonts w:ascii="Arial" w:hAnsi="Arial" w:cs="Arial"/>
          <w:color w:val="000000" w:themeColor="text1"/>
          <w:sz w:val="21"/>
          <w:szCs w:val="21"/>
        </w:rPr>
        <w:t>2. La segunda, desde la finalización de la anterior hasta la culminación de la audiencia de pruebas, y</w:t>
      </w:r>
    </w:p>
    <w:p w14:paraId="42DCFF9D" w14:textId="77777777" w:rsidR="00B84542" w:rsidRPr="007B4401" w:rsidRDefault="00B84542" w:rsidP="00B84542">
      <w:pPr>
        <w:tabs>
          <w:tab w:val="left" w:pos="0"/>
        </w:tabs>
        <w:ind w:left="709" w:right="709"/>
        <w:jc w:val="both"/>
        <w:rPr>
          <w:rFonts w:ascii="Arial" w:hAnsi="Arial" w:cs="Arial"/>
          <w:color w:val="000000" w:themeColor="text1"/>
          <w:sz w:val="21"/>
          <w:szCs w:val="21"/>
        </w:rPr>
      </w:pPr>
    </w:p>
    <w:p w14:paraId="3346EFCB" w14:textId="77777777" w:rsidR="00B84542" w:rsidRPr="007B4401" w:rsidRDefault="00B84542" w:rsidP="00B84542">
      <w:pPr>
        <w:tabs>
          <w:tab w:val="left" w:pos="0"/>
        </w:tabs>
        <w:ind w:left="709" w:right="709"/>
        <w:jc w:val="both"/>
        <w:rPr>
          <w:rFonts w:ascii="Arial" w:hAnsi="Arial" w:cs="Arial"/>
          <w:color w:val="000000" w:themeColor="text1"/>
          <w:sz w:val="21"/>
          <w:szCs w:val="21"/>
        </w:rPr>
      </w:pPr>
      <w:r w:rsidRPr="007B4401">
        <w:rPr>
          <w:rFonts w:ascii="Arial" w:hAnsi="Arial" w:cs="Arial"/>
          <w:color w:val="000000" w:themeColor="text1"/>
          <w:sz w:val="21"/>
          <w:szCs w:val="21"/>
        </w:rPr>
        <w:t>3. La tercera, desde la terminación de la anterior, hasta la notificación de la sentencia. Esta etapa comprende la audiencia de alegaciones y juzgamiento.</w:t>
      </w:r>
    </w:p>
    <w:p w14:paraId="436A1CB5" w14:textId="77777777" w:rsidR="00B84542" w:rsidRPr="007B4401" w:rsidRDefault="00B84542" w:rsidP="00B84542">
      <w:pPr>
        <w:tabs>
          <w:tab w:val="left" w:pos="0"/>
        </w:tabs>
        <w:ind w:left="709" w:right="709"/>
        <w:jc w:val="both"/>
        <w:rPr>
          <w:rFonts w:ascii="Arial" w:hAnsi="Arial" w:cs="Arial"/>
          <w:color w:val="000000" w:themeColor="text1"/>
          <w:sz w:val="21"/>
          <w:szCs w:val="21"/>
        </w:rPr>
      </w:pPr>
      <w:r w:rsidRPr="007B4401">
        <w:rPr>
          <w:rFonts w:ascii="Arial" w:hAnsi="Arial" w:cs="Arial"/>
          <w:color w:val="000000" w:themeColor="text1"/>
          <w:sz w:val="21"/>
          <w:szCs w:val="21"/>
        </w:rPr>
        <w:t>Cuando se trate de asuntos de puro derecho o no fuere necesario practicar pruebas, el juez prescindirá de la audiencia de pruebas y podrá dictar la sentencia oral dentro de la audiencia inicial, dando previamente a las partes la posibilidad de presentar alegatos de conclusión.</w:t>
      </w:r>
    </w:p>
    <w:p w14:paraId="58DC1D0D" w14:textId="77777777" w:rsidR="00B84542" w:rsidRPr="007B4401" w:rsidRDefault="00B84542" w:rsidP="00B84542">
      <w:pPr>
        <w:tabs>
          <w:tab w:val="left" w:pos="0"/>
        </w:tabs>
        <w:ind w:left="709" w:right="709"/>
        <w:jc w:val="both"/>
        <w:rPr>
          <w:rFonts w:ascii="Arial" w:hAnsi="Arial" w:cs="Arial"/>
          <w:color w:val="000000" w:themeColor="text1"/>
          <w:sz w:val="21"/>
          <w:szCs w:val="21"/>
        </w:rPr>
      </w:pPr>
    </w:p>
    <w:p w14:paraId="0F5358A3" w14:textId="77777777" w:rsidR="00B84542" w:rsidRPr="007B4401" w:rsidRDefault="00B84542" w:rsidP="00B84542">
      <w:pPr>
        <w:tabs>
          <w:tab w:val="left" w:pos="0"/>
        </w:tabs>
        <w:ind w:left="709" w:right="709"/>
        <w:jc w:val="both"/>
        <w:rPr>
          <w:rFonts w:ascii="Arial" w:hAnsi="Arial" w:cs="Arial"/>
          <w:color w:val="000000" w:themeColor="text1"/>
          <w:sz w:val="21"/>
          <w:szCs w:val="21"/>
        </w:rPr>
      </w:pPr>
      <w:r w:rsidRPr="007B4401">
        <w:rPr>
          <w:rFonts w:ascii="Arial" w:hAnsi="Arial" w:cs="Arial"/>
          <w:color w:val="000000" w:themeColor="text1"/>
          <w:sz w:val="21"/>
          <w:szCs w:val="21"/>
        </w:rPr>
        <w:t>También podrá dictar sentencia oral, en los casos señalados, en las demás audiencias, previa alegación de las partes.</w:t>
      </w:r>
    </w:p>
    <w:p w14:paraId="0B7C21AF" w14:textId="77777777" w:rsidR="00B84542" w:rsidRPr="007B4401" w:rsidRDefault="00B84542" w:rsidP="00B84542">
      <w:pPr>
        <w:tabs>
          <w:tab w:val="left" w:pos="0"/>
        </w:tabs>
        <w:ind w:left="709" w:right="709"/>
        <w:jc w:val="both"/>
        <w:rPr>
          <w:rFonts w:ascii="Arial" w:hAnsi="Arial" w:cs="Arial"/>
          <w:color w:val="000000" w:themeColor="text1"/>
          <w:sz w:val="21"/>
          <w:szCs w:val="21"/>
        </w:rPr>
      </w:pPr>
    </w:p>
    <w:p w14:paraId="34250074" w14:textId="77777777" w:rsidR="00B84542" w:rsidRPr="007B4401" w:rsidRDefault="00B84542" w:rsidP="00B84542">
      <w:pPr>
        <w:tabs>
          <w:tab w:val="left" w:pos="0"/>
        </w:tabs>
        <w:ind w:left="709" w:right="709"/>
        <w:jc w:val="both"/>
        <w:rPr>
          <w:rFonts w:ascii="Arial" w:hAnsi="Arial" w:cs="Arial"/>
          <w:color w:val="000000" w:themeColor="text1"/>
          <w:sz w:val="21"/>
          <w:szCs w:val="21"/>
        </w:rPr>
      </w:pPr>
      <w:r w:rsidRPr="007B4401">
        <w:rPr>
          <w:rFonts w:ascii="Arial" w:hAnsi="Arial" w:cs="Arial"/>
          <w:color w:val="000000" w:themeColor="text1"/>
          <w:sz w:val="21"/>
          <w:szCs w:val="21"/>
        </w:rPr>
        <w:t>Lo anterior, sin perjuicio de lo indicado en el artículo </w:t>
      </w:r>
      <w:hyperlink r:id="rId12" w:anchor="182A" w:history="1">
        <w:r w:rsidRPr="007B4401">
          <w:rPr>
            <w:rFonts w:ascii="Arial" w:hAnsi="Arial" w:cs="Arial"/>
            <w:color w:val="000000" w:themeColor="text1"/>
            <w:sz w:val="21"/>
            <w:szCs w:val="21"/>
          </w:rPr>
          <w:t>182A</w:t>
        </w:r>
      </w:hyperlink>
      <w:r w:rsidRPr="007B4401">
        <w:rPr>
          <w:rFonts w:ascii="Arial" w:hAnsi="Arial" w:cs="Arial"/>
          <w:color w:val="000000" w:themeColor="text1"/>
          <w:sz w:val="21"/>
          <w:szCs w:val="21"/>
        </w:rPr>
        <w:t> sobre sentencia anticipada. Cuando se profiera sentencia oral, en la respectiva acta se consignará su parte resolutiva.</w:t>
      </w:r>
    </w:p>
    <w:p w14:paraId="0A8F3FBB" w14:textId="77777777" w:rsidR="00B84542" w:rsidRPr="007B4401" w:rsidRDefault="00B84542" w:rsidP="00B84542">
      <w:pPr>
        <w:tabs>
          <w:tab w:val="left" w:pos="0"/>
        </w:tabs>
        <w:ind w:left="709" w:right="709"/>
        <w:jc w:val="both"/>
        <w:rPr>
          <w:rFonts w:ascii="Arial" w:hAnsi="Arial" w:cs="Arial"/>
          <w:color w:val="000000" w:themeColor="text1"/>
          <w:sz w:val="21"/>
          <w:szCs w:val="21"/>
        </w:rPr>
      </w:pPr>
    </w:p>
    <w:p w14:paraId="348C9764" w14:textId="77777777" w:rsidR="00B84542" w:rsidRPr="007B4401" w:rsidRDefault="00B84542" w:rsidP="00B84542">
      <w:pPr>
        <w:spacing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De la lectura de este artículo es claro que la primera etapa de los procesos que se adelantan para decidir todos los litigios determinados en la Ley 1437 de 2011 que no cuentan con un trámite especial, inicia con la presentación de la demanda. En este sentido, la Ley 1437 de 2011 reconoce como punto de partida del proceso contencioso administrativo la presentación de la demanda, la cual pone en marcha el aparato jurisdiccional. Como lo expresa la doctrina, la demanda «es el acto procesal mediante el cual se formula la pretensión; en otras palabras: la demanda es el vehículo que utiliza el demandante para introducir sus pretensiones y poner en marcha el aparato jurisdiccional en ejercicio del derecho de acción</w:t>
      </w:r>
      <w:bookmarkStart w:id="11" w:name="_Hlk97299193"/>
      <w:r w:rsidRPr="007B4401">
        <w:rPr>
          <w:rFonts w:ascii="Arial" w:eastAsia="Calibri" w:hAnsi="Arial" w:cs="Arial"/>
          <w:color w:val="000000" w:themeColor="text1"/>
          <w:sz w:val="22"/>
          <w:szCs w:val="22"/>
          <w:lang w:val="es-ES_tradnl"/>
        </w:rPr>
        <w:t>»</w:t>
      </w:r>
      <w:bookmarkEnd w:id="11"/>
      <w:r w:rsidRPr="007B4401">
        <w:rPr>
          <w:rStyle w:val="Refdenotaalpie"/>
          <w:rFonts w:ascii="Arial" w:eastAsia="Calibri" w:hAnsi="Arial" w:cs="Arial"/>
          <w:color w:val="000000" w:themeColor="text1"/>
          <w:sz w:val="22"/>
          <w:szCs w:val="22"/>
          <w:lang w:val="es-ES_tradnl"/>
        </w:rPr>
        <w:footnoteReference w:id="26"/>
      </w:r>
      <w:r w:rsidRPr="007B4401">
        <w:rPr>
          <w:rFonts w:ascii="Arial" w:eastAsia="Calibri" w:hAnsi="Arial" w:cs="Arial"/>
          <w:color w:val="000000" w:themeColor="text1"/>
          <w:sz w:val="22"/>
          <w:szCs w:val="22"/>
          <w:lang w:val="es-ES_tradnl"/>
        </w:rPr>
        <w:t xml:space="preserve">. </w:t>
      </w:r>
    </w:p>
    <w:p w14:paraId="1098A27C" w14:textId="4ED80BE5" w:rsidR="00B84542" w:rsidRPr="007B4401" w:rsidRDefault="00B84542" w:rsidP="00B84542">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 xml:space="preserve">Por consiguiente, debe entenderse que para que aplique la excepción del artículo 58 de la Ley 2195 de 2022 el acto administrativo que impuso la multa debe haber sido objeto de demanda ante la jurisdicción contenciosa administrativa, pues desde este momento se </w:t>
      </w:r>
      <w:r w:rsidR="001A38E4" w:rsidRPr="007B4401">
        <w:rPr>
          <w:rFonts w:ascii="Arial" w:eastAsia="Calibri" w:hAnsi="Arial" w:cs="Arial"/>
          <w:color w:val="000000" w:themeColor="text1"/>
          <w:sz w:val="22"/>
          <w:szCs w:val="22"/>
          <w:lang w:val="es-ES_tradnl"/>
        </w:rPr>
        <w:t>inicia e</w:t>
      </w:r>
      <w:r w:rsidRPr="007B4401">
        <w:rPr>
          <w:rFonts w:ascii="Arial" w:eastAsia="Calibri" w:hAnsi="Arial" w:cs="Arial"/>
          <w:color w:val="000000" w:themeColor="text1"/>
          <w:sz w:val="22"/>
          <w:szCs w:val="22"/>
          <w:lang w:val="es-ES_tradnl"/>
        </w:rPr>
        <w:t xml:space="preserve">l proceso contencioso administrativo, en los términos del artículo 179 del CPACA y se ha puesto en marcha el aparato jurisdiccional. En tal sentido, para efectos del parágrafo del artículo 58 de la Ley 2195 de 2022, es viable </w:t>
      </w:r>
      <w:r w:rsidR="001A38E4" w:rsidRPr="007B4401">
        <w:rPr>
          <w:rFonts w:ascii="Arial" w:eastAsia="Calibri" w:hAnsi="Arial" w:cs="Arial"/>
          <w:color w:val="000000" w:themeColor="text1"/>
          <w:sz w:val="22"/>
          <w:szCs w:val="22"/>
          <w:lang w:val="es-ES_tradnl"/>
        </w:rPr>
        <w:t>inferir</w:t>
      </w:r>
      <w:r w:rsidRPr="007B4401">
        <w:rPr>
          <w:rFonts w:ascii="Arial" w:eastAsia="Calibri" w:hAnsi="Arial" w:cs="Arial"/>
          <w:color w:val="000000" w:themeColor="text1"/>
          <w:sz w:val="22"/>
          <w:szCs w:val="22"/>
          <w:lang w:val="es-ES_tradnl"/>
        </w:rPr>
        <w:t xml:space="preserve"> que desde la presentación de la demanda el acto administrativo es objeto del medio de control jurisdiccional respectivo. </w:t>
      </w:r>
    </w:p>
    <w:p w14:paraId="4A9E29A4" w14:textId="77777777" w:rsidR="00B84542" w:rsidRPr="007B4401" w:rsidRDefault="00B84542" w:rsidP="00B84542">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w:t>
      </w:r>
      <w:r w:rsidRPr="007B4401">
        <w:rPr>
          <w:rFonts w:ascii="Arial" w:hAnsi="Arial" w:cs="Arial"/>
          <w:color w:val="000000" w:themeColor="text1"/>
          <w:sz w:val="22"/>
        </w:rPr>
        <w:t xml:space="preserve">debe privilegiarse aquella que represente menor restricción para </w:t>
      </w:r>
      <w:r w:rsidRPr="007B4401">
        <w:rPr>
          <w:rFonts w:ascii="Arial" w:eastAsia="Calibri" w:hAnsi="Arial" w:cs="Arial"/>
          <w:color w:val="000000" w:themeColor="text1"/>
          <w:sz w:val="22"/>
          <w:szCs w:val="22"/>
          <w:lang w:val="es-ES_tradnl"/>
        </w:rPr>
        <w:t>el derecho de las personas</w:t>
      </w:r>
      <w:r w:rsidRPr="007B4401">
        <w:rPr>
          <w:rStyle w:val="Refdenotaalpie"/>
          <w:rFonts w:ascii="Arial" w:eastAsia="Calibri" w:hAnsi="Arial" w:cs="Arial"/>
          <w:color w:val="000000" w:themeColor="text1"/>
          <w:sz w:val="22"/>
          <w:szCs w:val="22"/>
          <w:lang w:val="es-ES_tradnl"/>
        </w:rPr>
        <w:footnoteReference w:id="27"/>
      </w:r>
      <w:r w:rsidRPr="007B4401">
        <w:rPr>
          <w:rFonts w:ascii="Arial" w:eastAsia="Calibri" w:hAnsi="Arial" w:cs="Arial"/>
          <w:color w:val="000000" w:themeColor="text1"/>
          <w:sz w:val="22"/>
          <w:szCs w:val="22"/>
          <w:lang w:val="es-ES_tradnl"/>
        </w:rPr>
        <w:t xml:space="preserve">. </w:t>
      </w:r>
    </w:p>
    <w:p w14:paraId="30B05411" w14:textId="77777777" w:rsidR="00B84542" w:rsidRPr="007B4401" w:rsidRDefault="00B84542" w:rsidP="00B84542">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color w:val="000000" w:themeColor="text1"/>
          <w:sz w:val="22"/>
          <w:szCs w:val="22"/>
          <w:lang w:val="es-ES_tradnl"/>
        </w:rPr>
        <w:t xml:space="preserve">Aunado a lo anterior, debe mencionarse que la intención del legislador es excluir del ámbito de aplicación de la reducción del puntaje por incumplimiento a aquellos actos administrativos que hayan impuesto una o más multas que sean objeto de los medios de </w:t>
      </w:r>
      <w:r w:rsidRPr="007B4401">
        <w:rPr>
          <w:rFonts w:ascii="Arial" w:eastAsia="Calibri" w:hAnsi="Arial" w:cs="Arial"/>
          <w:color w:val="000000" w:themeColor="text1"/>
          <w:sz w:val="22"/>
          <w:szCs w:val="22"/>
          <w:lang w:val="es-ES_tradnl"/>
        </w:rPr>
        <w:lastRenderedPageBreak/>
        <w:t xml:space="preserve">control jurisdiccional, pues precisamente lo que se debate en la instancia judicial es el contenido de dichos actos administrativos. De esta forma, debe tenerse en cuenta la existencia de una demanda que controvierte estos actos administrativos para efectos de la aplicación de la excepción que trata el parágrafo del artículo 58 de la Ley 2195 de 2022, toda vez que con ella se someten estos actos ante la jurisdicción contenciosa para que esta, previo agotamiento del proceso, emita un juicio en relación con las pretensiones del demandante. Desde este momento, entonces, se debate el contenido de estos actos administrativos. </w:t>
      </w:r>
      <w:bookmarkEnd w:id="9"/>
    </w:p>
    <w:p w14:paraId="7795E1B2" w14:textId="19942E14" w:rsidR="00B84542" w:rsidRPr="007B4401" w:rsidRDefault="00957C2E" w:rsidP="00B84542">
      <w:pPr>
        <w:spacing w:before="120" w:line="276" w:lineRule="auto"/>
        <w:ind w:firstLine="709"/>
        <w:jc w:val="both"/>
        <w:rPr>
          <w:rFonts w:ascii="Arial" w:eastAsia="Calibri" w:hAnsi="Arial" w:cs="Arial"/>
          <w:bCs/>
          <w:color w:val="000000" w:themeColor="text1"/>
          <w:sz w:val="22"/>
          <w:szCs w:val="22"/>
        </w:rPr>
      </w:pPr>
      <w:r w:rsidRPr="007B4401">
        <w:rPr>
          <w:rFonts w:ascii="Arial" w:eastAsia="Calibri" w:hAnsi="Arial" w:cs="Arial"/>
          <w:color w:val="000000" w:themeColor="text1"/>
          <w:sz w:val="22"/>
          <w:lang w:val="es-ES_tradnl"/>
        </w:rPr>
        <w:t>E</w:t>
      </w:r>
      <w:r w:rsidR="00B84542" w:rsidRPr="007B4401">
        <w:rPr>
          <w:rFonts w:ascii="Arial" w:eastAsia="Calibri" w:hAnsi="Arial" w:cs="Arial"/>
          <w:color w:val="000000" w:themeColor="text1"/>
          <w:sz w:val="22"/>
          <w:lang w:val="es-ES_tradnl"/>
        </w:rPr>
        <w:t xml:space="preserve">sta Agencia considera que </w:t>
      </w:r>
      <w:r w:rsidR="00B84542" w:rsidRPr="007B4401">
        <w:rPr>
          <w:rFonts w:ascii="Arial" w:eastAsia="Calibri" w:hAnsi="Arial" w:cs="Arial"/>
          <w:color w:val="000000" w:themeColor="text1"/>
          <w:sz w:val="22"/>
          <w:szCs w:val="22"/>
          <w:lang w:val="es-ES_tradnl"/>
        </w:rPr>
        <w:t xml:space="preserve">la presentación de la demanda </w:t>
      </w:r>
      <w:r w:rsidR="00B84542" w:rsidRPr="007B4401">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00B84542" w:rsidRPr="007B4401">
        <w:rPr>
          <w:rFonts w:ascii="Arial" w:eastAsia="Calibri" w:hAnsi="Arial" w:cs="Arial"/>
          <w:color w:val="000000" w:themeColor="text1"/>
          <w:sz w:val="22"/>
          <w:szCs w:val="22"/>
          <w:lang w:val="es-ES_tradnl"/>
        </w:rPr>
        <w:t xml:space="preserve">mediante cualquiera de los medios de control establecidos en el </w:t>
      </w:r>
      <w:r w:rsidR="00B84542" w:rsidRPr="007B4401">
        <w:rPr>
          <w:rFonts w:ascii="Arial" w:eastAsia="Calibri" w:hAnsi="Arial" w:cs="Arial"/>
          <w:bCs/>
          <w:color w:val="000000" w:themeColor="text1"/>
          <w:sz w:val="22"/>
          <w:szCs w:val="22"/>
        </w:rPr>
        <w:t xml:space="preserve">Título III de la parte segunda de la Ley 1437 de 2011. 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w:t>
      </w:r>
      <w:r w:rsidR="00EE37EC" w:rsidRPr="007B4401">
        <w:rPr>
          <w:rFonts w:ascii="Arial" w:eastAsia="Calibri" w:hAnsi="Arial" w:cs="Arial"/>
          <w:bCs/>
          <w:color w:val="000000" w:themeColor="text1"/>
          <w:sz w:val="22"/>
          <w:szCs w:val="22"/>
        </w:rPr>
        <w:t>interpuso</w:t>
      </w:r>
      <w:r w:rsidR="00B84542" w:rsidRPr="007B4401">
        <w:rPr>
          <w:rFonts w:ascii="Arial" w:eastAsia="Calibri" w:hAnsi="Arial" w:cs="Arial"/>
          <w:bCs/>
          <w:color w:val="000000" w:themeColor="text1"/>
          <w:sz w:val="22"/>
          <w:szCs w:val="22"/>
        </w:rPr>
        <w:t xml:space="preserve"> mediante los medios de control establecidos en la Ley 1437 de 2011. </w:t>
      </w:r>
    </w:p>
    <w:p w14:paraId="4C005B7B" w14:textId="77777777" w:rsidR="00B84542" w:rsidRPr="007B4401" w:rsidRDefault="00B84542" w:rsidP="00B84542">
      <w:pPr>
        <w:spacing w:before="120" w:line="276" w:lineRule="auto"/>
        <w:ind w:firstLine="709"/>
        <w:jc w:val="both"/>
        <w:rPr>
          <w:rFonts w:ascii="Arial" w:eastAsia="Calibri" w:hAnsi="Arial" w:cs="Arial"/>
          <w:color w:val="000000" w:themeColor="text1"/>
          <w:sz w:val="22"/>
          <w:szCs w:val="22"/>
          <w:lang w:val="es-ES_tradnl"/>
        </w:rPr>
      </w:pPr>
      <w:r w:rsidRPr="007B4401">
        <w:rPr>
          <w:rFonts w:ascii="Arial" w:eastAsia="Calibri" w:hAnsi="Arial" w:cs="Arial"/>
          <w:bCs/>
          <w:color w:val="000000" w:themeColor="text1"/>
          <w:sz w:val="22"/>
          <w:szCs w:val="22"/>
        </w:rPr>
        <w:t>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decida reglamentar la materia.</w:t>
      </w:r>
    </w:p>
    <w:p w14:paraId="50BF30E1" w14:textId="35240002" w:rsidR="00B84542" w:rsidRPr="007B4401" w:rsidRDefault="00B84542" w:rsidP="003D34C7">
      <w:pPr>
        <w:tabs>
          <w:tab w:val="left" w:pos="0"/>
        </w:tabs>
        <w:spacing w:after="120" w:line="276" w:lineRule="auto"/>
        <w:jc w:val="both"/>
        <w:rPr>
          <w:rFonts w:ascii="Arial" w:eastAsia="Calibri" w:hAnsi="Arial" w:cs="Arial"/>
          <w:b/>
          <w:color w:val="000000" w:themeColor="text1"/>
          <w:sz w:val="22"/>
          <w:lang w:val="es-ES_tradnl"/>
        </w:rPr>
      </w:pPr>
    </w:p>
    <w:p w14:paraId="481D55F0" w14:textId="2B2489C2" w:rsidR="00AA1D8C" w:rsidRPr="007B4401" w:rsidRDefault="007C56F2" w:rsidP="00AA1D8C">
      <w:pPr>
        <w:spacing w:line="276" w:lineRule="auto"/>
        <w:jc w:val="both"/>
        <w:rPr>
          <w:rFonts w:ascii="Arial" w:eastAsia="Arial" w:hAnsi="Arial" w:cs="Arial"/>
          <w:b/>
          <w:bCs/>
          <w:color w:val="000000" w:themeColor="text1"/>
          <w:sz w:val="22"/>
          <w:lang w:val="es-ES_tradnl"/>
        </w:rPr>
      </w:pPr>
      <w:r w:rsidRPr="007B4401">
        <w:rPr>
          <w:rFonts w:ascii="Arial" w:eastAsia="Arial" w:hAnsi="Arial" w:cs="Arial"/>
          <w:b/>
          <w:bCs/>
          <w:color w:val="000000" w:themeColor="text1"/>
          <w:sz w:val="22"/>
          <w:lang w:val="es-ES_tradnl"/>
        </w:rPr>
        <w:t>2.6</w:t>
      </w:r>
      <w:r w:rsidR="00AA1D8C" w:rsidRPr="007B4401">
        <w:rPr>
          <w:rFonts w:ascii="Arial" w:eastAsia="Arial" w:hAnsi="Arial" w:cs="Arial"/>
          <w:b/>
          <w:bCs/>
          <w:color w:val="000000" w:themeColor="text1"/>
          <w:sz w:val="22"/>
          <w:lang w:val="es-ES_tradnl"/>
        </w:rPr>
        <w:t>. Documentos tipo: fundamento normativo y documentos adoptados hasta la actualidad</w:t>
      </w:r>
    </w:p>
    <w:p w14:paraId="2876B5B3" w14:textId="77777777" w:rsidR="00AA1D8C" w:rsidRPr="007B4401" w:rsidRDefault="00AA1D8C" w:rsidP="00AA1D8C">
      <w:pPr>
        <w:spacing w:line="276" w:lineRule="auto"/>
        <w:jc w:val="both"/>
        <w:rPr>
          <w:rFonts w:ascii="Arial" w:eastAsia="Arial" w:hAnsi="Arial" w:cs="Arial"/>
          <w:b/>
          <w:bCs/>
          <w:color w:val="000000" w:themeColor="text1"/>
          <w:sz w:val="22"/>
          <w:lang w:val="es-ES_tradnl"/>
        </w:rPr>
      </w:pPr>
    </w:p>
    <w:p w14:paraId="6D2561E0" w14:textId="77777777" w:rsidR="00AA1D8C" w:rsidRPr="007B4401" w:rsidRDefault="00AA1D8C" w:rsidP="00AA1D8C">
      <w:pPr>
        <w:spacing w:after="120" w:line="276" w:lineRule="auto"/>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lang w:val="es-ES"/>
        </w:rPr>
        <w:t xml:space="preserve">La adopción de los documentos tipo obligatorios en el ordenamiento jurídico colombiano se </w:t>
      </w:r>
      <w:r w:rsidRPr="007B4401">
        <w:rPr>
          <w:rFonts w:ascii="Arial" w:eastAsia="Calibri" w:hAnsi="Arial" w:cs="Arial"/>
          <w:color w:val="000000" w:themeColor="text1"/>
          <w:sz w:val="22"/>
          <w:szCs w:val="22"/>
          <w:lang w:val="es-ES"/>
        </w:rPr>
        <w:t>incluyó por primera vez en el parágrafo 3 del artículo 2 de la Ley 1150 de 2007</w:t>
      </w:r>
      <w:r w:rsidRPr="007B4401">
        <w:rPr>
          <w:rFonts w:ascii="Arial" w:eastAsia="Calibri" w:hAnsi="Arial" w:cs="Arial"/>
          <w:color w:val="000000" w:themeColor="text1"/>
          <w:sz w:val="22"/>
          <w:szCs w:val="22"/>
          <w:vertAlign w:val="superscript"/>
          <w:lang w:val="es-ES"/>
        </w:rPr>
        <w:footnoteReference w:id="28"/>
      </w:r>
      <w:r w:rsidRPr="007B4401">
        <w:rPr>
          <w:rFonts w:ascii="Arial" w:eastAsia="Calibri" w:hAnsi="Arial" w:cs="Arial"/>
          <w:color w:val="000000" w:themeColor="text1"/>
          <w:sz w:val="22"/>
          <w:szCs w:val="22"/>
          <w:lang w:val="es-ES"/>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4E28C403" w14:textId="77777777" w:rsidR="00AA1D8C" w:rsidRPr="007B4401" w:rsidRDefault="00AA1D8C" w:rsidP="00AA1D8C">
      <w:pPr>
        <w:spacing w:line="276" w:lineRule="auto"/>
        <w:ind w:firstLine="708"/>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rPr>
        <w:lastRenderedPageBreak/>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0CF487D3" w14:textId="77777777" w:rsidR="00AA1D8C" w:rsidRPr="007B4401" w:rsidRDefault="00AA1D8C" w:rsidP="00AA1D8C">
      <w:pPr>
        <w:spacing w:before="120" w:after="120" w:line="276" w:lineRule="auto"/>
        <w:ind w:firstLine="708"/>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7B4401">
        <w:rPr>
          <w:rFonts w:ascii="Arial" w:eastAsia="Calibri" w:hAnsi="Arial" w:cs="Arial"/>
          <w:color w:val="000000" w:themeColor="text1"/>
          <w:sz w:val="22"/>
          <w:szCs w:val="22"/>
          <w:vertAlign w:val="superscript"/>
          <w:lang w:val="es-ES"/>
        </w:rPr>
        <w:footnoteReference w:id="29"/>
      </w:r>
      <w:r w:rsidRPr="007B4401">
        <w:rPr>
          <w:rFonts w:ascii="Arial" w:eastAsia="Calibri" w:hAnsi="Arial" w:cs="Arial"/>
          <w:color w:val="000000" w:themeColor="text1"/>
          <w:sz w:val="22"/>
          <w:szCs w:val="22"/>
          <w:lang w:val="es-ES"/>
        </w:rPr>
        <w:t>.</w:t>
      </w:r>
    </w:p>
    <w:p w14:paraId="1C0B703D" w14:textId="77777777" w:rsidR="00AA1D8C" w:rsidRPr="007B4401" w:rsidRDefault="00AA1D8C" w:rsidP="00AA1D8C">
      <w:pPr>
        <w:spacing w:before="120" w:after="120" w:line="276" w:lineRule="auto"/>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DDD8BAE" w14:textId="77777777" w:rsidR="00AA1D8C" w:rsidRPr="007B4401" w:rsidRDefault="00AA1D8C" w:rsidP="00AA1D8C">
      <w:pPr>
        <w:spacing w:before="120" w:after="120" w:line="276" w:lineRule="auto"/>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w:t>
      </w:r>
      <w:r w:rsidRPr="007B4401">
        <w:rPr>
          <w:rFonts w:ascii="Arial" w:eastAsia="Calibri" w:hAnsi="Arial" w:cs="Arial"/>
          <w:color w:val="000000" w:themeColor="text1"/>
          <w:sz w:val="22"/>
          <w:szCs w:val="22"/>
          <w:lang w:val="es-ES"/>
        </w:rPr>
        <w:lastRenderedPageBreak/>
        <w:t xml:space="preserve">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74482E7" w14:textId="77777777" w:rsidR="00AA1D8C" w:rsidRPr="007B4401" w:rsidRDefault="00AA1D8C" w:rsidP="00AA1D8C">
      <w:pPr>
        <w:spacing w:before="120" w:after="120" w:line="276" w:lineRule="auto"/>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7B4401">
        <w:rPr>
          <w:rFonts w:ascii="Arial" w:eastAsia="Calibri" w:hAnsi="Arial" w:cs="Arial"/>
          <w:color w:val="000000" w:themeColor="text1"/>
          <w:sz w:val="22"/>
          <w:szCs w:val="22"/>
          <w:vertAlign w:val="superscript"/>
          <w:lang w:val="es-ES"/>
        </w:rPr>
        <w:footnoteReference w:id="30"/>
      </w:r>
      <w:r w:rsidRPr="007B4401">
        <w:rPr>
          <w:rFonts w:ascii="Arial" w:eastAsia="Calibri" w:hAnsi="Arial" w:cs="Arial"/>
          <w:color w:val="000000" w:themeColor="text1"/>
          <w:sz w:val="22"/>
          <w:szCs w:val="22"/>
          <w:lang w:val="es-ES"/>
        </w:rPr>
        <w:t>.</w:t>
      </w:r>
    </w:p>
    <w:p w14:paraId="5A5EB8F3" w14:textId="77777777" w:rsidR="00AA1D8C" w:rsidRPr="007B4401" w:rsidRDefault="00AA1D8C" w:rsidP="00AA1D8C">
      <w:pPr>
        <w:spacing w:before="120" w:after="120" w:line="276" w:lineRule="auto"/>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7EEA24BB" w14:textId="77777777" w:rsidR="00AA1D8C" w:rsidRPr="007B4401" w:rsidRDefault="00AA1D8C" w:rsidP="00AA1D8C">
      <w:pPr>
        <w:spacing w:before="120" w:after="120" w:line="276" w:lineRule="auto"/>
        <w:jc w:val="both"/>
        <w:rPr>
          <w:rFonts w:ascii="Arial" w:eastAsia="Calibri" w:hAnsi="Arial" w:cs="Arial"/>
          <w:color w:val="000000" w:themeColor="text1"/>
          <w:sz w:val="22"/>
          <w:szCs w:val="22"/>
          <w:lang w:val="es-ES" w:eastAsia="en-US"/>
        </w:rPr>
      </w:pPr>
      <w:r w:rsidRPr="007B4401">
        <w:rPr>
          <w:rFonts w:ascii="Arial" w:eastAsia="Calibri" w:hAnsi="Arial" w:cs="Arial"/>
          <w:color w:val="000000" w:themeColor="text1"/>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7B4401">
        <w:rPr>
          <w:rFonts w:ascii="Arial" w:eastAsia="Calibri" w:hAnsi="Arial" w:cs="Arial"/>
          <w:color w:val="000000" w:themeColor="text1"/>
          <w:sz w:val="22"/>
          <w:szCs w:val="22"/>
          <w:lang w:val="es-ES" w:eastAsia="en-US"/>
        </w:rPr>
        <w:t xml:space="preserve">Dada la relevancia económica y el impacto que tienen en el nivel territorial los proyectos de obra en el sector transporte, el gobierno nacional, en vigencia del artículo 4 de la Ley 1882 de 2018, por el cual se adicionó el </w:t>
      </w:r>
      <w:r w:rsidRPr="007B4401">
        <w:rPr>
          <w:rFonts w:ascii="Arial" w:eastAsia="Calibri" w:hAnsi="Arial" w:cs="Arial"/>
          <w:color w:val="000000" w:themeColor="text1"/>
          <w:sz w:val="22"/>
          <w:szCs w:val="22"/>
          <w:lang w:val="es-ES" w:eastAsia="en-US"/>
        </w:rPr>
        <w:lastRenderedPageBreak/>
        <w:t xml:space="preserve">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7900DB2" w14:textId="77777777" w:rsidR="00AA1D8C" w:rsidRPr="007B4401" w:rsidRDefault="00AA1D8C" w:rsidP="00AA1D8C">
      <w:pPr>
        <w:spacing w:before="120" w:after="120" w:line="276" w:lineRule="auto"/>
        <w:jc w:val="both"/>
        <w:rPr>
          <w:rFonts w:ascii="Arial" w:eastAsia="Calibri" w:hAnsi="Arial" w:cs="Arial"/>
          <w:color w:val="000000" w:themeColor="text1"/>
          <w:sz w:val="22"/>
          <w:szCs w:val="22"/>
          <w:lang w:val="es-ES"/>
        </w:rPr>
      </w:pPr>
      <w:r w:rsidRPr="007B4401">
        <w:rPr>
          <w:rFonts w:ascii="Arial" w:eastAsia="Calibri" w:hAnsi="Arial" w:cs="Arial"/>
          <w:color w:val="000000" w:themeColor="text1"/>
          <w:sz w:val="22"/>
          <w:szCs w:val="22"/>
          <w:lang w:val="es-ES" w:eastAsia="en-U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7B4401" w:rsidDel="00A434AB">
        <w:rPr>
          <w:rFonts w:ascii="Arial" w:eastAsia="Calibri" w:hAnsi="Arial" w:cs="Arial"/>
          <w:color w:val="000000" w:themeColor="text1"/>
          <w:sz w:val="22"/>
          <w:szCs w:val="22"/>
          <w:lang w:val="es-ES" w:eastAsia="en-US"/>
        </w:rPr>
        <w:t xml:space="preserve"> </w:t>
      </w:r>
      <w:r w:rsidRPr="007B4401">
        <w:rPr>
          <w:rFonts w:ascii="Arial" w:eastAsia="Calibri" w:hAnsi="Arial" w:cs="Arial"/>
          <w:color w:val="000000" w:themeColor="text1"/>
          <w:sz w:val="22"/>
          <w:szCs w:val="22"/>
          <w:lang w:val="es-ES" w:eastAsia="en-U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6C6A57ED"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Por otra parte</w:t>
      </w:r>
      <w:r w:rsidRPr="007B4401">
        <w:rPr>
          <w:rFonts w:ascii="Arial" w:eastAsia="Calibri" w:hAnsi="Arial" w:cs="Arial"/>
          <w:i/>
          <w:iCs/>
          <w:color w:val="000000" w:themeColor="text1"/>
          <w:sz w:val="22"/>
          <w:szCs w:val="22"/>
          <w:lang w:val="es-ES" w:eastAsia="es-ES"/>
        </w:rPr>
        <w:t>,</w:t>
      </w:r>
      <w:r w:rsidRPr="007B4401">
        <w:rPr>
          <w:rFonts w:ascii="Arial" w:eastAsia="Calibri" w:hAnsi="Arial" w:cs="Arial"/>
          <w:color w:val="000000" w:themeColor="text1"/>
          <w:sz w:val="22"/>
          <w:szCs w:val="22"/>
          <w:lang w:val="es-ES" w:eastAsia="es-ES"/>
        </w:rPr>
        <w:t xml:space="preserve"> debe tenerse en cuenta que 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7B4401">
        <w:rPr>
          <w:rFonts w:ascii="Arial" w:eastAsia="Calibri" w:hAnsi="Arial" w:cs="Arial"/>
          <w:color w:val="000000" w:themeColor="text1"/>
          <w:sz w:val="22"/>
          <w:szCs w:val="22"/>
          <w:vertAlign w:val="superscript"/>
          <w:lang w:val="es-ES" w:eastAsia="es-ES"/>
        </w:rPr>
        <w:footnoteReference w:id="31"/>
      </w:r>
      <w:r w:rsidRPr="007B4401">
        <w:rPr>
          <w:rFonts w:ascii="Arial" w:eastAsia="Calibri" w:hAnsi="Arial" w:cs="Arial"/>
          <w:color w:val="000000" w:themeColor="text1"/>
          <w:sz w:val="22"/>
          <w:szCs w:val="22"/>
          <w:lang w:val="es-ES" w:eastAsia="es-ES"/>
        </w:rPr>
        <w:t xml:space="preserve">. En este sentido, con la finalidad de realizar un desarrollo armónico y ajustado a la ley que otorga esta competencia, la Agencia Nacional de Contratación Pública expidió la Resolución 160 </w:t>
      </w:r>
      <w:r w:rsidRPr="007B4401">
        <w:rPr>
          <w:rFonts w:ascii="Arial" w:eastAsia="Calibri" w:hAnsi="Arial" w:cs="Arial"/>
          <w:color w:val="000000" w:themeColor="text1"/>
          <w:sz w:val="22"/>
          <w:szCs w:val="22"/>
          <w:lang w:val="es-ES" w:eastAsia="es-ES"/>
        </w:rPr>
        <w:lastRenderedPageBreak/>
        <w:t xml:space="preserve">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46BC1F73"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3A0F5E76" w14:textId="77777777" w:rsidR="00AA1D8C" w:rsidRPr="007B4401" w:rsidRDefault="00AA1D8C" w:rsidP="00AA1D8C">
      <w:pPr>
        <w:spacing w:before="120" w:after="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7B4401">
        <w:rPr>
          <w:rFonts w:ascii="Arial" w:eastAsiaTheme="minorHAnsi" w:hAnsi="Arial" w:cs="Arial"/>
          <w:bCs/>
          <w:iCs/>
          <w:color w:val="000000" w:themeColor="text1"/>
          <w:sz w:val="22"/>
          <w:szCs w:val="22"/>
          <w:shd w:val="clear" w:color="auto" w:fill="FFFFFF"/>
          <w:lang w:val="es-MX" w:eastAsia="en-US"/>
        </w:rPr>
        <w:t>Por la cual se adoptan los documentos tipo complementarios para los procesos de licitación de obra pública de infraestructura social relacionados con el sector salud</w:t>
      </w:r>
      <w:r w:rsidRPr="007B4401">
        <w:rPr>
          <w:rFonts w:ascii="Arial" w:eastAsia="Calibri" w:hAnsi="Arial" w:cs="Arial"/>
          <w:color w:val="000000" w:themeColor="text1"/>
          <w:sz w:val="22"/>
          <w:szCs w:val="22"/>
          <w:lang w:val="es-ES" w:eastAsia="es-ES"/>
        </w:rPr>
        <w:t>». Luego, se expidió la Resolución 454 del 16 de diciembre de 2021 «</w:t>
      </w:r>
      <w:r w:rsidRPr="007B4401">
        <w:rPr>
          <w:rFonts w:ascii="Arial" w:eastAsiaTheme="minorHAnsi" w:hAnsi="Arial" w:cs="Arial"/>
          <w:color w:val="000000" w:themeColor="text1"/>
          <w:sz w:val="22"/>
          <w:szCs w:val="22"/>
          <w:lang w:val="es-MX" w:eastAsia="en-US"/>
        </w:rPr>
        <w:t>Por la cual se adoptan los documentos tipo complementarios para los procesos de licitación de obra pública de infraestructura social relacionados con el sector cultura, recreación y deporte</w:t>
      </w:r>
      <w:r w:rsidRPr="007B4401">
        <w:rPr>
          <w:rFonts w:ascii="Arial" w:eastAsia="Calibri" w:hAnsi="Arial" w:cs="Arial"/>
          <w:color w:val="000000" w:themeColor="text1"/>
          <w:sz w:val="22"/>
          <w:szCs w:val="22"/>
          <w:lang w:val="es-ES" w:eastAsia="es-ES"/>
        </w:rPr>
        <w:t>»</w:t>
      </w:r>
      <w:r w:rsidRPr="007B4401">
        <w:rPr>
          <w:rFonts w:ascii="Arial" w:eastAsiaTheme="minorHAnsi" w:hAnsi="Arial" w:cs="Arial"/>
          <w:color w:val="000000" w:themeColor="text1"/>
          <w:sz w:val="22"/>
          <w:szCs w:val="22"/>
          <w:lang w:val="es-MX" w:eastAsia="en-US"/>
        </w:rPr>
        <w:t>.</w:t>
      </w:r>
    </w:p>
    <w:p w14:paraId="7AA7ACFB" w14:textId="77777777" w:rsidR="00AA1D8C" w:rsidRPr="007B4401" w:rsidRDefault="00AA1D8C" w:rsidP="00AA1D8C">
      <w:pPr>
        <w:spacing w:before="120" w:after="120" w:line="276" w:lineRule="auto"/>
        <w:ind w:firstLine="709"/>
        <w:jc w:val="both"/>
        <w:rPr>
          <w:rFonts w:ascii="Arial" w:hAnsi="Arial" w:cs="Arial"/>
          <w:color w:val="000000" w:themeColor="text1"/>
          <w:sz w:val="22"/>
          <w:szCs w:val="22"/>
          <w:bdr w:val="none" w:sz="0" w:space="0" w:color="auto" w:frame="1"/>
          <w:lang w:val="es-ES_tradnl" w:eastAsia="es-CO"/>
        </w:rPr>
      </w:pPr>
      <w:r w:rsidRPr="007B4401">
        <w:rPr>
          <w:rFonts w:ascii="Arial" w:hAnsi="Arial" w:cs="Arial"/>
          <w:color w:val="000000" w:themeColor="text1"/>
          <w:sz w:val="22"/>
          <w:szCs w:val="22"/>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166D402" w14:textId="7133BB82" w:rsidR="00CA0C2B" w:rsidRPr="007B4401" w:rsidRDefault="00AA1D8C" w:rsidP="00CA0C2B">
      <w:pPr>
        <w:spacing w:after="120" w:line="276" w:lineRule="auto"/>
        <w:ind w:firstLine="708"/>
        <w:jc w:val="both"/>
        <w:rPr>
          <w:rFonts w:ascii="Arial" w:eastAsiaTheme="minorHAnsi" w:hAnsi="Arial" w:cs="Arial"/>
          <w:color w:val="000000" w:themeColor="text1"/>
          <w:spacing w:val="2"/>
          <w:sz w:val="22"/>
          <w:szCs w:val="22"/>
          <w:lang w:eastAsia="es-CO"/>
        </w:rPr>
      </w:pPr>
      <w:r w:rsidRPr="007B4401">
        <w:rPr>
          <w:rFonts w:ascii="Arial" w:hAnsi="Arial" w:cs="Arial"/>
          <w:color w:val="000000" w:themeColor="text1"/>
          <w:spacing w:val="2"/>
          <w:sz w:val="22"/>
          <w:szCs w:val="22"/>
          <w:lang w:eastAsia="es-CO"/>
        </w:rPr>
        <w:lastRenderedPageBreak/>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este sentido, el parágrafo 2 del artículo 3 del Decreto 680 del 22 de junio de 2021 otorgó un plazo de tres (3) meses contados a partir de su expedición, para que la Agencia Nacional de Contratación Pública – Colombia Compra Eficiente adecúe los Documentos Tipo a las disposiciones previstas en dicho decreto. </w:t>
      </w:r>
      <w:r w:rsidRPr="007B4401">
        <w:rPr>
          <w:rFonts w:ascii="Arial" w:eastAsiaTheme="minorHAnsi" w:hAnsi="Arial" w:cs="Arial"/>
          <w:color w:val="000000" w:themeColor="text1"/>
          <w:spacing w:val="2"/>
          <w:sz w:val="22"/>
          <w:szCs w:val="22"/>
          <w:lang w:eastAsia="es-CO"/>
        </w:rPr>
        <w:t>Ante este cambio normativo, se expidió la Resolución 304 del 13 de octubre de 2021, la cual ajusta los documentos tipo a las nuevas reglas de origen aplicables a los servicios nacionales.</w:t>
      </w:r>
      <w:r w:rsidR="00CA0C2B" w:rsidRPr="007B4401">
        <w:rPr>
          <w:rFonts w:ascii="Arial" w:eastAsiaTheme="minorHAnsi" w:hAnsi="Arial" w:cs="Arial"/>
          <w:color w:val="000000" w:themeColor="text1"/>
          <w:spacing w:val="2"/>
          <w:sz w:val="22"/>
          <w:szCs w:val="22"/>
          <w:lang w:eastAsia="es-CO"/>
        </w:rPr>
        <w:t xml:space="preserve"> Posteriormente, con el Decreto 1860 de 2021, que reglamenta los artículos 30 a 35 de la Ley 2069 de 2020, se hizo necesario expedir la Resolución 146 del 25 de marzo de 2022, </w:t>
      </w:r>
      <w:r w:rsidR="00CA0C2B" w:rsidRPr="007B4401">
        <w:rPr>
          <w:rFonts w:ascii="Arial" w:eastAsia="Calibri" w:hAnsi="Arial" w:cs="Arial"/>
          <w:color w:val="000000" w:themeColor="text1"/>
          <w:sz w:val="22"/>
          <w:szCs w:val="22"/>
          <w:lang w:val="es-ES" w:eastAsia="es-ES"/>
        </w:rPr>
        <w:t>«</w:t>
      </w:r>
      <w:r w:rsidR="00CA0C2B" w:rsidRPr="007B4401">
        <w:rPr>
          <w:rFonts w:ascii="Arial" w:hAnsi="Arial" w:cs="Arial"/>
          <w:color w:val="000000" w:themeColor="text1"/>
          <w:sz w:val="22"/>
          <w:szCs w:val="22"/>
        </w:rPr>
        <w:t>Por la cual se modifican los documentos tipo para los procesos de obra pública de infraestructura de transporte adelantados bajo la modalidad de mínima cuantía</w:t>
      </w:r>
      <w:r w:rsidR="00CA0C2B" w:rsidRPr="007B4401">
        <w:rPr>
          <w:rFonts w:ascii="Arial" w:hAnsi="Arial" w:cs="Arial"/>
          <w:color w:val="000000" w:themeColor="text1"/>
          <w:sz w:val="22"/>
          <w:szCs w:val="22"/>
          <w:bdr w:val="none" w:sz="0" w:space="0" w:color="auto" w:frame="1"/>
          <w:lang w:val="es-ES_tradnl" w:eastAsia="es-CO"/>
        </w:rPr>
        <w:t xml:space="preserve">». </w:t>
      </w:r>
    </w:p>
    <w:p w14:paraId="692FD693"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6B47B857"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3977D3DF"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ii) Documentos tipo para licitación de obra pública de infraestructura de transporte –versión 2–, obligatorios para los procesos cuyo aviso de convocatoria se haya publicado desde el 10 de marzo de 2020.</w:t>
      </w:r>
    </w:p>
    <w:p w14:paraId="4507EC00"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iii) Documentos tipo para licitación de obra pública de infraestructura de transporte –versión 3–, obligatorios para los procesos cuyo aviso de convocatoria se haya publicado desde el 1 de enero de 2021.</w:t>
      </w:r>
    </w:p>
    <w:p w14:paraId="5BF59B9B"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785F80D1"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2DDC744"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vi) Documentos tipo para procesos de mínima cuantía de infraestructura de transporte, obligatorios para los procesos cuya invitación pública se haya publicado a partir del 10 de junio de 2020.</w:t>
      </w:r>
    </w:p>
    <w:p w14:paraId="11324091"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lastRenderedPageBreak/>
        <w:t>vii) Documentos tipo para procesos de concurso de méritos para contratar la interventoría de obras públicas de infraestructura de transporte, obligatorios para los procesos cuyo aviso de convocatoria se haya publicado desde el 1 de enero de 2021.</w:t>
      </w:r>
    </w:p>
    <w:p w14:paraId="4FE3AB62"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6C329BA0"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C893ED6"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x) Documentos tipo para procesos de gestión catastral con enfoque multipropósito que se celebren a través de contratos interadministrativos, a partir del 1 de febrero de 2021.</w:t>
      </w:r>
    </w:p>
    <w:p w14:paraId="683C7F5E"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73EF1B14" w14:textId="77777777" w:rsidR="00AA1D8C" w:rsidRPr="007B4401" w:rsidRDefault="00AA1D8C" w:rsidP="00AA1D8C">
      <w:pPr>
        <w:spacing w:before="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 xml:space="preserve">xi) Documentos tipo para procesos de licitación de obra pública de infraestructura social, para los procesos cuyo aviso de convocatoria se publique desde 30 de agosto de 2021. </w:t>
      </w:r>
    </w:p>
    <w:p w14:paraId="36EEB79E" w14:textId="77777777" w:rsidR="00AA1D8C" w:rsidRPr="007B4401" w:rsidRDefault="00AA1D8C" w:rsidP="00AA1D8C">
      <w:pPr>
        <w:spacing w:after="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xii) Documentos tipo complementarios para los procesos de licitación de obra pública de infraestructura social relacionados con el sector educativo, para los procesos cuyo aviso de convocatoria se publique desde 30 de agosto de 2021.</w:t>
      </w:r>
    </w:p>
    <w:p w14:paraId="7F06EADB" w14:textId="77777777" w:rsidR="00AA1D8C" w:rsidRPr="007B4401" w:rsidRDefault="00AA1D8C" w:rsidP="00AA1D8C">
      <w:pPr>
        <w:spacing w:after="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 xml:space="preserve">xiii) Documentos tipo complementarios para los procesos de licitación de obra pública de infraestructura social relacionados con el sector salud </w:t>
      </w:r>
      <w:r w:rsidRPr="007B4401">
        <w:rPr>
          <w:rFonts w:ascii="Arial" w:eastAsiaTheme="minorHAnsi" w:hAnsi="Arial" w:cs="Arial"/>
          <w:color w:val="000000" w:themeColor="text1"/>
          <w:sz w:val="22"/>
          <w:szCs w:val="22"/>
          <w:shd w:val="clear" w:color="auto" w:fill="FFFFFF"/>
          <w:lang w:val="es-MX" w:eastAsia="en-US"/>
        </w:rPr>
        <w:t>en los procedimientos de selección cuyo aviso de convocatoria sea publicado a partir del 3 de enero de 2022.</w:t>
      </w:r>
    </w:p>
    <w:p w14:paraId="476CD82E" w14:textId="7E0A27B6" w:rsidR="00AA1D8C" w:rsidRPr="007B4401" w:rsidRDefault="00AA1D8C" w:rsidP="00AA1D8C">
      <w:pPr>
        <w:spacing w:after="120" w:line="276" w:lineRule="auto"/>
        <w:ind w:firstLine="709"/>
        <w:jc w:val="both"/>
        <w:rPr>
          <w:rFonts w:ascii="Arial" w:eastAsia="Calibri" w:hAnsi="Arial" w:cs="Arial"/>
          <w:color w:val="000000" w:themeColor="text1"/>
          <w:sz w:val="22"/>
          <w:szCs w:val="22"/>
          <w:lang w:val="es-ES" w:eastAsia="es-ES"/>
        </w:rPr>
      </w:pPr>
      <w:r w:rsidRPr="007B4401">
        <w:rPr>
          <w:rFonts w:ascii="Arial" w:eastAsia="Calibri" w:hAnsi="Arial" w:cs="Arial"/>
          <w:color w:val="000000" w:themeColor="text1"/>
          <w:sz w:val="22"/>
          <w:szCs w:val="22"/>
          <w:lang w:val="es-ES" w:eastAsia="es-ES"/>
        </w:rPr>
        <w:t xml:space="preserve">xiv) Documentos tipo </w:t>
      </w:r>
      <w:r w:rsidR="001F4E32" w:rsidRPr="007B4401">
        <w:rPr>
          <w:rFonts w:ascii="Arial" w:eastAsia="Calibri" w:hAnsi="Arial" w:cs="Arial"/>
          <w:color w:val="000000" w:themeColor="text1"/>
          <w:sz w:val="22"/>
          <w:szCs w:val="22"/>
          <w:lang w:val="es-ES" w:eastAsia="es-ES"/>
        </w:rPr>
        <w:t>complementarios para los procesos de licitación de obra pública de infraestructura social relacionados con el sector cultura, recreación y deporte</w:t>
      </w:r>
      <w:r w:rsidRPr="007B4401">
        <w:rPr>
          <w:rFonts w:ascii="Arial" w:eastAsia="Calibri" w:hAnsi="Arial" w:cs="Arial"/>
          <w:color w:val="000000" w:themeColor="text1"/>
          <w:sz w:val="22"/>
          <w:szCs w:val="22"/>
          <w:lang w:val="es-ES" w:eastAsia="es-ES"/>
        </w:rPr>
        <w:t xml:space="preserve">, para los procesos cuyo aviso de convocatoria se publique a partir del 22 de mayo de 2022. </w:t>
      </w:r>
    </w:p>
    <w:p w14:paraId="35AE4A08" w14:textId="77777777" w:rsidR="00AA1D8C" w:rsidRPr="007B4401" w:rsidRDefault="00AA1D8C" w:rsidP="009F4A13">
      <w:pPr>
        <w:spacing w:line="276" w:lineRule="auto"/>
        <w:ind w:firstLine="708"/>
        <w:jc w:val="both"/>
        <w:rPr>
          <w:rFonts w:ascii="Arial" w:eastAsia="Calibri" w:hAnsi="Arial" w:cs="Arial"/>
          <w:color w:val="000000" w:themeColor="text1"/>
          <w:sz w:val="22"/>
          <w:szCs w:val="22"/>
          <w:bdr w:val="none" w:sz="0" w:space="0" w:color="auto" w:frame="1"/>
          <w:lang w:val="es-MX" w:eastAsia="en-US"/>
        </w:rPr>
      </w:pPr>
      <w:r w:rsidRPr="007B4401">
        <w:rPr>
          <w:rFonts w:ascii="Arial" w:eastAsia="Calibri" w:hAnsi="Arial" w:cs="Arial"/>
          <w:color w:val="000000" w:themeColor="text1"/>
          <w:sz w:val="22"/>
          <w:szCs w:val="22"/>
          <w:lang w:val="es-MX" w:eastAsia="en-US"/>
        </w:rPr>
        <w:t xml:space="preserve">De acuerdo con lo expuesto, </w:t>
      </w:r>
      <w:r w:rsidRPr="007B4401">
        <w:rPr>
          <w:rFonts w:ascii="Arial" w:eastAsia="Calibri" w:hAnsi="Arial" w:cs="Arial"/>
          <w:color w:val="000000" w:themeColor="text1"/>
          <w:sz w:val="22"/>
          <w:szCs w:val="22"/>
          <w:bdr w:val="none" w:sz="0" w:space="0" w:color="auto" w:frame="1"/>
          <w:lang w:val="es-MX" w:eastAsia="en-US"/>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p>
    <w:p w14:paraId="4121151C" w14:textId="77777777" w:rsidR="00AA1D8C" w:rsidRPr="007B4401" w:rsidRDefault="00AA1D8C" w:rsidP="009F4A13">
      <w:pPr>
        <w:tabs>
          <w:tab w:val="left" w:pos="0"/>
        </w:tabs>
        <w:spacing w:line="276" w:lineRule="auto"/>
        <w:jc w:val="both"/>
        <w:rPr>
          <w:rFonts w:ascii="Arial" w:eastAsia="Calibri" w:hAnsi="Arial" w:cs="Arial"/>
          <w:b/>
          <w:color w:val="000000" w:themeColor="text1"/>
          <w:sz w:val="22"/>
          <w:lang w:val="es-MX"/>
        </w:rPr>
      </w:pPr>
    </w:p>
    <w:p w14:paraId="74EA2D16" w14:textId="2072230E" w:rsidR="002E2C6A" w:rsidRPr="009F4A13" w:rsidRDefault="002E2C6A" w:rsidP="002E2C6A">
      <w:pPr>
        <w:spacing w:line="276" w:lineRule="auto"/>
        <w:jc w:val="both"/>
        <w:rPr>
          <w:rFonts w:ascii="Arial" w:eastAsiaTheme="minorHAnsi" w:hAnsi="Arial" w:cs="Arial"/>
          <w:b/>
          <w:color w:val="000000" w:themeColor="text1"/>
          <w:sz w:val="22"/>
          <w:szCs w:val="22"/>
          <w:shd w:val="clear" w:color="auto" w:fill="FFFFFF"/>
          <w:lang w:val="es-MX" w:eastAsia="en-US"/>
        </w:rPr>
      </w:pPr>
      <w:r w:rsidRPr="009F4A13">
        <w:rPr>
          <w:rFonts w:ascii="Arial" w:eastAsiaTheme="minorHAnsi" w:hAnsi="Arial" w:cs="Arial"/>
          <w:b/>
          <w:color w:val="000000" w:themeColor="text1"/>
          <w:sz w:val="22"/>
          <w:szCs w:val="22"/>
          <w:shd w:val="clear" w:color="auto" w:fill="FFFFFF"/>
          <w:lang w:val="es-MX" w:eastAsia="en-US"/>
        </w:rPr>
        <w:t>2.</w:t>
      </w:r>
      <w:r w:rsidR="007C56F2" w:rsidRPr="009F4A13">
        <w:rPr>
          <w:rFonts w:ascii="Arial" w:eastAsiaTheme="minorHAnsi" w:hAnsi="Arial" w:cs="Arial"/>
          <w:b/>
          <w:color w:val="000000" w:themeColor="text1"/>
          <w:sz w:val="22"/>
          <w:szCs w:val="22"/>
          <w:shd w:val="clear" w:color="auto" w:fill="FFFFFF"/>
          <w:lang w:val="es-MX" w:eastAsia="en-US"/>
        </w:rPr>
        <w:t>7</w:t>
      </w:r>
      <w:r w:rsidRPr="009F4A13">
        <w:rPr>
          <w:rFonts w:ascii="Arial" w:eastAsiaTheme="minorHAnsi" w:hAnsi="Arial" w:cs="Arial"/>
          <w:b/>
          <w:color w:val="000000" w:themeColor="text1"/>
          <w:sz w:val="22"/>
          <w:szCs w:val="22"/>
          <w:shd w:val="clear" w:color="auto" w:fill="FFFFFF"/>
          <w:lang w:val="es-MX" w:eastAsia="en-US"/>
        </w:rPr>
        <w:t xml:space="preserve">. </w:t>
      </w:r>
      <w:r w:rsidR="001F4E32" w:rsidRPr="009F4A13">
        <w:rPr>
          <w:rFonts w:ascii="Arial" w:eastAsiaTheme="minorHAnsi" w:hAnsi="Arial" w:cs="Arial"/>
          <w:b/>
          <w:color w:val="000000" w:themeColor="text1"/>
          <w:sz w:val="22"/>
          <w:szCs w:val="22"/>
          <w:shd w:val="clear" w:color="auto" w:fill="FFFFFF"/>
          <w:lang w:val="es-MX" w:eastAsia="en-US"/>
        </w:rPr>
        <w:t>Acreditación de la experiencia en procesos regidos por</w:t>
      </w:r>
      <w:r w:rsidRPr="009F4A13">
        <w:rPr>
          <w:rFonts w:ascii="Arial" w:eastAsiaTheme="minorHAnsi" w:hAnsi="Arial" w:cs="Arial"/>
          <w:b/>
          <w:color w:val="000000" w:themeColor="text1"/>
          <w:sz w:val="22"/>
          <w:szCs w:val="22"/>
          <w:shd w:val="clear" w:color="auto" w:fill="FFFFFF"/>
          <w:lang w:val="es-MX" w:eastAsia="en-US"/>
        </w:rPr>
        <w:t xml:space="preserve"> documentos tipo de infraestructura de transporte</w:t>
      </w:r>
      <w:r w:rsidR="00A1612F" w:rsidRPr="009F4A13">
        <w:rPr>
          <w:rFonts w:ascii="Arial" w:eastAsiaTheme="minorHAnsi" w:hAnsi="Arial" w:cs="Arial"/>
          <w:b/>
          <w:color w:val="000000" w:themeColor="text1"/>
          <w:sz w:val="22"/>
          <w:szCs w:val="22"/>
          <w:shd w:val="clear" w:color="auto" w:fill="FFFFFF"/>
          <w:lang w:val="es-MX" w:eastAsia="en-US"/>
        </w:rPr>
        <w:t xml:space="preserve"> y de agua potable y saneamiento básico</w:t>
      </w:r>
      <w:r w:rsidR="001F4E32" w:rsidRPr="009F4A13">
        <w:rPr>
          <w:rFonts w:ascii="Arial" w:eastAsiaTheme="minorHAnsi" w:hAnsi="Arial" w:cs="Arial"/>
          <w:b/>
          <w:color w:val="000000" w:themeColor="text1"/>
          <w:sz w:val="22"/>
          <w:szCs w:val="22"/>
          <w:shd w:val="clear" w:color="auto" w:fill="FFFFFF"/>
          <w:lang w:val="es-MX" w:eastAsia="en-US"/>
        </w:rPr>
        <w:t>,</w:t>
      </w:r>
      <w:r w:rsidRPr="009F4A13">
        <w:rPr>
          <w:rFonts w:ascii="Arial" w:eastAsiaTheme="minorHAnsi" w:hAnsi="Arial" w:cs="Arial"/>
          <w:b/>
          <w:color w:val="000000" w:themeColor="text1"/>
          <w:sz w:val="22"/>
          <w:szCs w:val="22"/>
          <w:shd w:val="clear" w:color="auto" w:fill="FFFFFF"/>
          <w:lang w:val="es-MX" w:eastAsia="en-US"/>
        </w:rPr>
        <w:t xml:space="preserve"> cuando </w:t>
      </w:r>
      <w:r w:rsidR="001F4E32" w:rsidRPr="009F4A13">
        <w:rPr>
          <w:rFonts w:ascii="Arial" w:eastAsiaTheme="minorHAnsi" w:hAnsi="Arial" w:cs="Arial"/>
          <w:b/>
          <w:color w:val="000000" w:themeColor="text1"/>
          <w:sz w:val="22"/>
          <w:szCs w:val="22"/>
          <w:shd w:val="clear" w:color="auto" w:fill="FFFFFF"/>
          <w:lang w:val="es-MX" w:eastAsia="en-US"/>
        </w:rPr>
        <w:t xml:space="preserve">se acredita con contratos con </w:t>
      </w:r>
      <w:r w:rsidRPr="009F4A13">
        <w:rPr>
          <w:rFonts w:ascii="Arial" w:eastAsiaTheme="minorHAnsi" w:hAnsi="Arial" w:cs="Arial"/>
          <w:b/>
          <w:color w:val="000000" w:themeColor="text1"/>
          <w:sz w:val="22"/>
          <w:szCs w:val="22"/>
          <w:shd w:val="clear" w:color="auto" w:fill="FFFFFF"/>
          <w:lang w:val="es-MX" w:eastAsia="en-US"/>
        </w:rPr>
        <w:t>pluralidad de actividades</w:t>
      </w:r>
    </w:p>
    <w:p w14:paraId="56D09A2E" w14:textId="77777777" w:rsidR="002E2C6A" w:rsidRPr="009F4A13" w:rsidRDefault="002E2C6A" w:rsidP="002E2C6A">
      <w:pPr>
        <w:spacing w:line="276" w:lineRule="auto"/>
        <w:jc w:val="both"/>
        <w:rPr>
          <w:rFonts w:ascii="Arial" w:eastAsiaTheme="minorHAnsi" w:hAnsi="Arial" w:cs="Arial"/>
          <w:b/>
          <w:color w:val="000000" w:themeColor="text1"/>
          <w:sz w:val="22"/>
          <w:szCs w:val="22"/>
          <w:shd w:val="clear" w:color="auto" w:fill="FFFFFF"/>
          <w:lang w:val="es-MX" w:eastAsia="en-US"/>
        </w:rPr>
      </w:pPr>
    </w:p>
    <w:p w14:paraId="1BB7B3D9" w14:textId="01694180" w:rsidR="002E2C6A" w:rsidRPr="009F4A13" w:rsidRDefault="002E2C6A" w:rsidP="002E2C6A">
      <w:pPr>
        <w:spacing w:after="120" w:line="276" w:lineRule="auto"/>
        <w:jc w:val="both"/>
        <w:rPr>
          <w:rFonts w:ascii="Arial" w:eastAsiaTheme="minorHAnsi" w:hAnsi="Arial" w:cs="Arial"/>
          <w:color w:val="000000" w:themeColor="text1"/>
          <w:sz w:val="22"/>
          <w:szCs w:val="22"/>
          <w:lang w:val="es-MX" w:eastAsia="en-US"/>
        </w:rPr>
      </w:pPr>
      <w:r w:rsidRPr="009F4A13">
        <w:rPr>
          <w:rFonts w:ascii="Arial" w:eastAsiaTheme="minorHAnsi" w:hAnsi="Arial" w:cs="Arial"/>
          <w:color w:val="000000" w:themeColor="text1"/>
          <w:sz w:val="22"/>
          <w:szCs w:val="22"/>
          <w:lang w:val="es-MX" w:eastAsia="en-US"/>
        </w:rPr>
        <w:lastRenderedPageBreak/>
        <w:t xml:space="preserve">Para responder la consulta es de especial importancia precisar qué tratamiento debe darse en la evaluación a los supuestos en los que un contratista pretende cumplir el requisito de experiencia con contratos que involucraron la ejecución de pluralidad de actividades. En ese sentido, se debe determinar si la totalidad de las actividades ejecutadas son susceptibles de ser tenidas en cuenta para cumplir el requisito de experiencia establecido en la Matriz 1. Esto comoquiera que puede que existan actividades que, sin perjuicio de que hayan sido efectivamente ejecutadas por el proponente, no correspondan materialmente con las actividades a las que se refieren los requisitos de experiencia exigibles en aplicación de la Matriz 1. </w:t>
      </w:r>
    </w:p>
    <w:p w14:paraId="717B5D34" w14:textId="50D271A1" w:rsidR="002E2C6A" w:rsidRPr="009F4A13" w:rsidRDefault="000B3A65" w:rsidP="002E2C6A">
      <w:pPr>
        <w:spacing w:before="120" w:line="276" w:lineRule="auto"/>
        <w:ind w:firstLine="708"/>
        <w:jc w:val="both"/>
        <w:rPr>
          <w:rFonts w:ascii="Arial" w:eastAsiaTheme="minorHAnsi" w:hAnsi="Arial" w:cs="Arial"/>
          <w:color w:val="000000" w:themeColor="text1"/>
          <w:sz w:val="22"/>
          <w:szCs w:val="22"/>
          <w:shd w:val="clear" w:color="auto" w:fill="FFFFFF"/>
          <w:lang w:val="es-MX" w:eastAsia="en-US"/>
        </w:rPr>
      </w:pPr>
      <w:r w:rsidRPr="009F4A13">
        <w:rPr>
          <w:rFonts w:ascii="Arial" w:eastAsiaTheme="minorHAnsi" w:hAnsi="Arial" w:cs="Arial"/>
          <w:color w:val="000000" w:themeColor="text1"/>
          <w:sz w:val="22"/>
          <w:szCs w:val="22"/>
          <w:lang w:val="es-MX" w:eastAsia="en-US"/>
        </w:rPr>
        <w:t>Anteriormente</w:t>
      </w:r>
      <w:r w:rsidR="002E2C6A" w:rsidRPr="009F4A13">
        <w:rPr>
          <w:rFonts w:ascii="Arial" w:eastAsiaTheme="minorHAnsi" w:hAnsi="Arial" w:cs="Arial"/>
          <w:color w:val="000000" w:themeColor="text1"/>
          <w:sz w:val="22"/>
          <w:szCs w:val="22"/>
          <w:lang w:val="es-MX" w:eastAsia="en-US"/>
        </w:rPr>
        <w:t xml:space="preserve">, de conformidad con el literal A del numeral 3.5.1, </w:t>
      </w:r>
      <w:r w:rsidRPr="009F4A13">
        <w:rPr>
          <w:rFonts w:ascii="Arial" w:eastAsiaTheme="minorHAnsi" w:hAnsi="Arial" w:cs="Arial"/>
          <w:color w:val="000000" w:themeColor="text1"/>
          <w:sz w:val="22"/>
          <w:szCs w:val="22"/>
          <w:lang w:val="es-MX" w:eastAsia="en-US"/>
        </w:rPr>
        <w:t xml:space="preserve">esta Agencia señaló que </w:t>
      </w:r>
      <w:r w:rsidR="002E2C6A" w:rsidRPr="009F4A13">
        <w:rPr>
          <w:rFonts w:ascii="Arial" w:eastAsiaTheme="minorHAnsi" w:hAnsi="Arial" w:cs="Arial"/>
          <w:color w:val="000000" w:themeColor="text1"/>
          <w:sz w:val="22"/>
          <w:szCs w:val="22"/>
          <w:lang w:val="es-MX" w:eastAsia="en-US"/>
        </w:rPr>
        <w:t xml:space="preserve">los contratos que sean aportados por un proponente deben dar cuenta de la ejecución de las actividades establecidas como requisitos de experiencia general y específica. Sin embargo, conforme a lo dicho en el párrafo precedente, cuando el contrato aportado para cumplir el requisito </w:t>
      </w:r>
      <w:r w:rsidRPr="009F4A13">
        <w:rPr>
          <w:rFonts w:ascii="Arial" w:eastAsiaTheme="minorHAnsi" w:hAnsi="Arial" w:cs="Arial"/>
          <w:color w:val="000000" w:themeColor="text1"/>
          <w:sz w:val="22"/>
          <w:szCs w:val="22"/>
          <w:lang w:val="es-MX" w:eastAsia="en-US"/>
        </w:rPr>
        <w:t xml:space="preserve">contenía </w:t>
      </w:r>
      <w:r w:rsidR="002E2C6A" w:rsidRPr="009F4A13">
        <w:rPr>
          <w:rFonts w:ascii="Arial" w:eastAsiaTheme="minorHAnsi" w:hAnsi="Arial" w:cs="Arial"/>
          <w:color w:val="000000" w:themeColor="text1"/>
          <w:sz w:val="22"/>
          <w:szCs w:val="22"/>
          <w:lang w:val="es-MX" w:eastAsia="en-US"/>
        </w:rPr>
        <w:t>actividades relacionadas con la experiencia exigida, y otras que no, la entidad deb</w:t>
      </w:r>
      <w:r w:rsidR="00394D45" w:rsidRPr="009F4A13">
        <w:rPr>
          <w:rFonts w:ascii="Arial" w:eastAsiaTheme="minorHAnsi" w:hAnsi="Arial" w:cs="Arial"/>
          <w:color w:val="000000" w:themeColor="text1"/>
          <w:sz w:val="22"/>
          <w:szCs w:val="22"/>
          <w:lang w:val="es-MX" w:eastAsia="en-US"/>
        </w:rPr>
        <w:t>ía</w:t>
      </w:r>
      <w:r w:rsidR="002E2C6A" w:rsidRPr="009F4A13">
        <w:rPr>
          <w:rFonts w:ascii="Arial" w:eastAsiaTheme="minorHAnsi" w:hAnsi="Arial" w:cs="Arial"/>
          <w:color w:val="000000" w:themeColor="text1"/>
          <w:sz w:val="22"/>
          <w:szCs w:val="22"/>
          <w:lang w:val="es-MX" w:eastAsia="en-US"/>
        </w:rPr>
        <w:t xml:space="preserve"> fraccionar la evaluación de la experiencia a efectos de solo tener en cuenta </w:t>
      </w:r>
      <w:r w:rsidR="00263510" w:rsidRPr="009F4A13">
        <w:rPr>
          <w:rFonts w:ascii="Arial" w:eastAsiaTheme="minorHAnsi" w:hAnsi="Arial" w:cs="Arial"/>
          <w:color w:val="000000" w:themeColor="text1"/>
          <w:sz w:val="22"/>
          <w:szCs w:val="22"/>
          <w:lang w:val="es-MX" w:eastAsia="en-US"/>
        </w:rPr>
        <w:t xml:space="preserve">únicamente </w:t>
      </w:r>
      <w:r w:rsidR="002E2C6A" w:rsidRPr="009F4A13">
        <w:rPr>
          <w:rFonts w:ascii="Arial" w:eastAsiaTheme="minorHAnsi" w:hAnsi="Arial" w:cs="Arial"/>
          <w:color w:val="000000" w:themeColor="text1"/>
          <w:sz w:val="22"/>
          <w:szCs w:val="22"/>
          <w:lang w:val="es-MX" w:eastAsia="en-US"/>
        </w:rPr>
        <w:t xml:space="preserve">lo atinente a la parte del objeto contractual que </w:t>
      </w:r>
      <w:r w:rsidR="00263510" w:rsidRPr="009F4A13">
        <w:rPr>
          <w:rFonts w:ascii="Arial" w:eastAsiaTheme="minorHAnsi" w:hAnsi="Arial" w:cs="Arial"/>
          <w:color w:val="000000" w:themeColor="text1"/>
          <w:sz w:val="22"/>
          <w:szCs w:val="22"/>
          <w:lang w:val="es-MX" w:eastAsia="en-US"/>
        </w:rPr>
        <w:t xml:space="preserve">cumplía </w:t>
      </w:r>
      <w:r w:rsidR="002E2C6A" w:rsidRPr="009F4A13">
        <w:rPr>
          <w:rFonts w:ascii="Arial" w:eastAsiaTheme="minorHAnsi" w:hAnsi="Arial" w:cs="Arial"/>
          <w:color w:val="000000" w:themeColor="text1"/>
          <w:sz w:val="22"/>
          <w:szCs w:val="22"/>
          <w:lang w:val="es-MX" w:eastAsia="en-US"/>
        </w:rPr>
        <w:t xml:space="preserve">con </w:t>
      </w:r>
      <w:r w:rsidR="00263510" w:rsidRPr="009F4A13">
        <w:rPr>
          <w:rFonts w:ascii="Arial" w:eastAsiaTheme="minorHAnsi" w:hAnsi="Arial" w:cs="Arial"/>
          <w:color w:val="000000" w:themeColor="text1"/>
          <w:sz w:val="22"/>
          <w:szCs w:val="22"/>
          <w:lang w:val="es-MX" w:eastAsia="en-US"/>
        </w:rPr>
        <w:t xml:space="preserve">lo señalado en la matriz de experiencia, </w:t>
      </w:r>
      <w:r w:rsidR="002E2C6A" w:rsidRPr="009F4A13">
        <w:rPr>
          <w:rFonts w:ascii="Arial" w:eastAsiaTheme="minorHAnsi" w:hAnsi="Arial" w:cs="Arial"/>
          <w:color w:val="000000" w:themeColor="text1"/>
          <w:sz w:val="22"/>
          <w:szCs w:val="22"/>
          <w:lang w:val="es-MX" w:eastAsia="en-US"/>
        </w:rPr>
        <w:t xml:space="preserve">empleando para tal fin los documentos soporte allegados por el proponente. Esta tesis fue expuesta por la Agencia en el Concepto </w:t>
      </w:r>
      <w:r w:rsidR="002E2C6A" w:rsidRPr="009F4A13">
        <w:rPr>
          <w:rFonts w:ascii="Arial" w:eastAsiaTheme="minorHAnsi" w:hAnsi="Arial" w:cs="Arial"/>
          <w:color w:val="000000" w:themeColor="text1"/>
          <w:sz w:val="22"/>
          <w:szCs w:val="22"/>
          <w:shd w:val="clear" w:color="auto" w:fill="FFFFFF"/>
          <w:lang w:val="es-MX" w:eastAsia="en-US"/>
        </w:rPr>
        <w:t xml:space="preserve">No. 2201913000007824 del 21 de octubre de 2019, al cual se le dio alcance mediante el concepto C-531 del 21 de agosto de 2020, expedido en relación con los documentos tipo de licitación de obra pública de infraestructura de transporte – versión 2, en relación con el fraccionamiento de la valoración de la experiencia acreditada con contratos con pluralidad de actividades. Al respecto, se expuso: </w:t>
      </w:r>
    </w:p>
    <w:p w14:paraId="24B377C6" w14:textId="77777777" w:rsidR="002E2C6A" w:rsidRPr="009F4A13" w:rsidRDefault="002E2C6A" w:rsidP="002E2C6A">
      <w:pPr>
        <w:spacing w:line="276" w:lineRule="auto"/>
        <w:ind w:firstLine="708"/>
        <w:jc w:val="both"/>
        <w:rPr>
          <w:rFonts w:ascii="Arial" w:eastAsiaTheme="minorHAnsi" w:hAnsi="Arial" w:cs="Arial"/>
          <w:color w:val="000000" w:themeColor="text1"/>
          <w:sz w:val="22"/>
          <w:szCs w:val="22"/>
          <w:shd w:val="clear" w:color="auto" w:fill="FFFFFF"/>
          <w:lang w:val="es-MX" w:eastAsia="en-US"/>
        </w:rPr>
      </w:pPr>
    </w:p>
    <w:p w14:paraId="14069F5B" w14:textId="77777777" w:rsidR="002E2C6A" w:rsidRPr="009F4A13" w:rsidRDefault="002E2C6A" w:rsidP="002E2C6A">
      <w:pPr>
        <w:spacing w:after="120"/>
        <w:ind w:left="709" w:right="709"/>
        <w:jc w:val="both"/>
        <w:rPr>
          <w:rFonts w:ascii="Arial" w:eastAsiaTheme="minorHAnsi" w:hAnsi="Arial" w:cs="Arial"/>
          <w:color w:val="000000" w:themeColor="text1"/>
          <w:sz w:val="21"/>
          <w:szCs w:val="21"/>
          <w:lang w:val="es-MX" w:eastAsia="en-US"/>
        </w:rPr>
      </w:pPr>
      <w:r w:rsidRPr="009F4A13">
        <w:rPr>
          <w:rFonts w:ascii="Arial" w:eastAsiaTheme="minorHAnsi" w:hAnsi="Arial" w:cs="Arial"/>
          <w:color w:val="000000" w:themeColor="text1"/>
          <w:sz w:val="21"/>
          <w:szCs w:val="21"/>
          <w:lang w:val="es-MX" w:eastAsia="en-US"/>
        </w:rPr>
        <w:t xml:space="preserve">De conformidad con el literal A del numeral 3.5.1 del documento base y con la experiencia señalada en la Matriz 1, el proponente debe acreditar –y la entidad evaluar– la experiencia que corresponda con las actividades señaladas para acreditar la experiencia en la matriz indicada, por tanto, no pueden acreditarse y evaluarse actividades que no correspondan con las señaladas allí. En este sentido, en el caso hipotético de que un proponente acredite un contrato que contenga varias actividades ejecutadas y solo una corresponda con la exigida para acreditar la experiencia, de acuerdo a lo establecido en la Matriz 1, el proponente debe presentar o la entidad debe solicitar que se presente cada actividad con su respectivo valor, para lo cual se pueden utilizar los documentos señalados en el numeral 3.5.5., los cuales proceden cuando el proponente no está obligado a tener RUP o para detallar información que no consta en dicho registro, cuando la entidad requiera información adicional, por ejemplo, para discriminar las actividades ejecutadas en el contrato. </w:t>
      </w:r>
    </w:p>
    <w:p w14:paraId="5D1C10EB" w14:textId="77777777" w:rsidR="002E2C6A" w:rsidRPr="009F4A13" w:rsidRDefault="002E2C6A" w:rsidP="002E2C6A">
      <w:pPr>
        <w:ind w:left="709" w:right="709"/>
        <w:jc w:val="both"/>
        <w:rPr>
          <w:rFonts w:ascii="Arial" w:eastAsiaTheme="minorHAnsi" w:hAnsi="Arial" w:cs="Arial"/>
          <w:color w:val="000000" w:themeColor="text1"/>
          <w:sz w:val="21"/>
          <w:szCs w:val="21"/>
          <w:lang w:val="es-MX" w:eastAsia="en-US"/>
        </w:rPr>
      </w:pPr>
      <w:r w:rsidRPr="009F4A13">
        <w:rPr>
          <w:rFonts w:ascii="Arial" w:eastAsiaTheme="minorHAnsi" w:hAnsi="Arial" w:cs="Arial"/>
          <w:color w:val="000000" w:themeColor="text1"/>
          <w:sz w:val="21"/>
          <w:szCs w:val="21"/>
          <w:lang w:val="es-MX" w:eastAsia="en-US"/>
        </w:rPr>
        <w:t xml:space="preserve">Con fundamento en lo anterior, la entidad podrá verificar la experiencia que se adquirió en un contrato en el que se ejecutaron varias actividades, para evaluar únicamente la que cumpla realmente con la experiencia exigida, discriminado su </w:t>
      </w:r>
      <w:r w:rsidRPr="009F4A13">
        <w:rPr>
          <w:rFonts w:ascii="Arial" w:eastAsiaTheme="minorHAnsi" w:hAnsi="Arial" w:cs="Arial"/>
          <w:color w:val="000000" w:themeColor="text1"/>
          <w:sz w:val="21"/>
          <w:szCs w:val="21"/>
          <w:lang w:val="es-MX" w:eastAsia="en-US"/>
        </w:rPr>
        <w:lastRenderedPageBreak/>
        <w:t>valor, descontando el valor de las actividades diferentes, que no se enmarcan en la experiencia definida en la Matriz 1</w:t>
      </w:r>
      <w:r w:rsidRPr="009F4A13">
        <w:rPr>
          <w:rFonts w:ascii="Arial" w:eastAsiaTheme="minorHAnsi" w:hAnsi="Arial" w:cs="Arial"/>
          <w:color w:val="000000" w:themeColor="text1"/>
          <w:sz w:val="21"/>
          <w:szCs w:val="21"/>
          <w:vertAlign w:val="superscript"/>
          <w:lang w:val="es-MX" w:eastAsia="en-US"/>
        </w:rPr>
        <w:footnoteReference w:id="32"/>
      </w:r>
      <w:r w:rsidRPr="009F4A13">
        <w:rPr>
          <w:rFonts w:ascii="Arial" w:eastAsiaTheme="minorHAnsi" w:hAnsi="Arial" w:cs="Arial"/>
          <w:color w:val="000000" w:themeColor="text1"/>
          <w:sz w:val="21"/>
          <w:szCs w:val="21"/>
          <w:lang w:val="es-MX" w:eastAsia="en-US"/>
        </w:rPr>
        <w:t>.</w:t>
      </w:r>
    </w:p>
    <w:p w14:paraId="18C1DD51" w14:textId="77777777" w:rsidR="002E2C6A" w:rsidRPr="009F4A13" w:rsidRDefault="002E2C6A" w:rsidP="002E2C6A">
      <w:pPr>
        <w:spacing w:line="276" w:lineRule="auto"/>
        <w:ind w:firstLine="708"/>
        <w:jc w:val="both"/>
        <w:rPr>
          <w:rFonts w:ascii="Arial" w:eastAsiaTheme="minorHAnsi" w:hAnsi="Arial" w:cs="Arial"/>
          <w:color w:val="000000" w:themeColor="text1"/>
          <w:sz w:val="22"/>
          <w:szCs w:val="22"/>
          <w:lang w:val="es-MX" w:eastAsia="en-US"/>
        </w:rPr>
      </w:pPr>
    </w:p>
    <w:p w14:paraId="60542D03" w14:textId="345E0FDF" w:rsidR="002E2C6A" w:rsidRPr="009F4A13" w:rsidRDefault="00632923" w:rsidP="002E2C6A">
      <w:pPr>
        <w:spacing w:after="120" w:line="276" w:lineRule="auto"/>
        <w:ind w:firstLine="709"/>
        <w:jc w:val="both"/>
        <w:rPr>
          <w:rFonts w:ascii="Arial" w:eastAsiaTheme="minorHAnsi" w:hAnsi="Arial" w:cs="Arial"/>
          <w:color w:val="000000" w:themeColor="text1"/>
          <w:sz w:val="22"/>
          <w:szCs w:val="22"/>
          <w:lang w:val="es-MX" w:eastAsia="en-US"/>
        </w:rPr>
      </w:pPr>
      <w:r w:rsidRPr="009F4A13">
        <w:rPr>
          <w:rFonts w:ascii="Arial" w:eastAsiaTheme="minorHAnsi" w:hAnsi="Arial" w:cs="Arial"/>
          <w:color w:val="000000" w:themeColor="text1"/>
          <w:sz w:val="22"/>
          <w:szCs w:val="22"/>
          <w:lang w:val="es-MX" w:eastAsia="en-US"/>
        </w:rPr>
        <w:t xml:space="preserve">De acuerdo </w:t>
      </w:r>
      <w:r w:rsidR="00263510" w:rsidRPr="009F4A13">
        <w:rPr>
          <w:rFonts w:ascii="Arial" w:eastAsiaTheme="minorHAnsi" w:hAnsi="Arial" w:cs="Arial"/>
          <w:color w:val="000000" w:themeColor="text1"/>
          <w:sz w:val="22"/>
          <w:szCs w:val="22"/>
          <w:lang w:val="es-MX" w:eastAsia="en-US"/>
        </w:rPr>
        <w:t>lo expresado</w:t>
      </w:r>
      <w:r w:rsidRPr="009F4A13">
        <w:rPr>
          <w:rFonts w:ascii="Arial" w:eastAsiaTheme="minorHAnsi" w:hAnsi="Arial" w:cs="Arial"/>
          <w:color w:val="000000" w:themeColor="text1"/>
          <w:sz w:val="22"/>
          <w:szCs w:val="22"/>
          <w:lang w:val="es-MX" w:eastAsia="en-US"/>
        </w:rPr>
        <w:t xml:space="preserve">, </w:t>
      </w:r>
      <w:r w:rsidR="002E2C6A" w:rsidRPr="009F4A13">
        <w:rPr>
          <w:rFonts w:ascii="Arial" w:eastAsiaTheme="minorHAnsi" w:hAnsi="Arial" w:cs="Arial"/>
          <w:color w:val="000000" w:themeColor="text1"/>
          <w:sz w:val="22"/>
          <w:szCs w:val="22"/>
          <w:lang w:val="es-MX" w:eastAsia="en-US"/>
        </w:rPr>
        <w:t xml:space="preserve">la evaluación del requisito de experiencia, en los casos en los que se acredita con contratos que contienen pluralidad de actividades de las cuales solo algunas cumplen con el requisito de experiencia, debe hacerse únicamente respecto de las actividades que se ajustan al requisito de experiencia exigible según la Matriz 1 y el literal A del numeral 3.5.2 del Documento Base. Lo anterior, de conformidad con la tesis expuesta en el concepto citado, supone que solo se tengan en cuenta los valores de las actividades que efectivamente cumplen con el requisito de experiencia, descartando los valores de las actividades no relacionadas. </w:t>
      </w:r>
    </w:p>
    <w:p w14:paraId="184FBBF6" w14:textId="43F4B75B" w:rsidR="002E2C6A" w:rsidRPr="009F4A13" w:rsidRDefault="002E2C6A" w:rsidP="002E2C6A">
      <w:pPr>
        <w:spacing w:line="276" w:lineRule="auto"/>
        <w:ind w:firstLine="709"/>
        <w:jc w:val="both"/>
        <w:rPr>
          <w:rFonts w:ascii="Arial" w:eastAsiaTheme="minorHAnsi" w:hAnsi="Arial" w:cs="Arial"/>
          <w:color w:val="000000" w:themeColor="text1"/>
          <w:sz w:val="22"/>
          <w:szCs w:val="22"/>
          <w:shd w:val="clear" w:color="auto" w:fill="FFFFFF"/>
          <w:lang w:val="es-MX" w:eastAsia="en-US"/>
        </w:rPr>
      </w:pPr>
      <w:r w:rsidRPr="009F4A13">
        <w:rPr>
          <w:rFonts w:ascii="Arial" w:eastAsiaTheme="minorHAnsi" w:hAnsi="Arial" w:cs="Arial"/>
          <w:color w:val="000000" w:themeColor="text1"/>
          <w:sz w:val="22"/>
          <w:szCs w:val="22"/>
          <w:lang w:val="es-MX" w:eastAsia="en-US"/>
        </w:rPr>
        <w:t xml:space="preserve">De otra parte, esta Agencia considera que el mismo razonamiento, según el cual la evaluación de la experiencia acreditada mediante un contrato con variadas actividades debe ser fraccionada en función de las actividades que sí se ajustan a las características de la experiencia exigida, es aplicable en lo relacionado a los requisitos de experiencia en términos de dimensionamiento. En otras palabras, en la evaluación de la experiencia con tales tipos de contratos, al igual que deben descartarse los valores correspondientes a las actividades no relacionadas con el requisito de experiencia, también deben ser descontadas las magnitudes físicas, longitudes o áreas sobre las que se ejecutaron obras que no se relacionan con la experiencia exigida. </w:t>
      </w:r>
      <w:r w:rsidR="00263510" w:rsidRPr="009F4A13">
        <w:rPr>
          <w:rFonts w:ascii="Arial" w:eastAsiaTheme="minorHAnsi" w:hAnsi="Arial" w:cs="Arial"/>
          <w:color w:val="000000" w:themeColor="text1"/>
          <w:spacing w:val="2"/>
          <w:sz w:val="22"/>
          <w:szCs w:val="22"/>
          <w:lang w:val="es-MX" w:eastAsia="en-US"/>
        </w:rPr>
        <w:t xml:space="preserve">No </w:t>
      </w:r>
      <w:proofErr w:type="gramStart"/>
      <w:r w:rsidR="00263510" w:rsidRPr="009F4A13">
        <w:rPr>
          <w:rFonts w:ascii="Arial" w:eastAsiaTheme="minorHAnsi" w:hAnsi="Arial" w:cs="Arial"/>
          <w:color w:val="000000" w:themeColor="text1"/>
          <w:spacing w:val="2"/>
          <w:sz w:val="22"/>
          <w:szCs w:val="22"/>
          <w:lang w:val="es-MX" w:eastAsia="en-US"/>
        </w:rPr>
        <w:t>obstante</w:t>
      </w:r>
      <w:proofErr w:type="gramEnd"/>
      <w:r w:rsidR="00263510" w:rsidRPr="009F4A13">
        <w:rPr>
          <w:rFonts w:ascii="Arial" w:eastAsiaTheme="minorHAnsi" w:hAnsi="Arial" w:cs="Arial"/>
          <w:color w:val="000000" w:themeColor="text1"/>
          <w:spacing w:val="2"/>
          <w:sz w:val="22"/>
          <w:szCs w:val="22"/>
          <w:lang w:val="es-MX" w:eastAsia="en-US"/>
        </w:rPr>
        <w:t xml:space="preserve"> lo anterior</w:t>
      </w:r>
      <w:r w:rsidRPr="009F4A13">
        <w:rPr>
          <w:rFonts w:ascii="Arial" w:eastAsiaTheme="minorHAnsi" w:hAnsi="Arial" w:cs="Arial"/>
          <w:color w:val="000000" w:themeColor="text1"/>
          <w:spacing w:val="2"/>
          <w:sz w:val="22"/>
          <w:szCs w:val="22"/>
          <w:lang w:val="es-MX" w:eastAsia="en-US"/>
        </w:rPr>
        <w:t xml:space="preserve">, </w:t>
      </w:r>
      <w:r w:rsidRPr="009F4A13">
        <w:rPr>
          <w:rFonts w:ascii="Arial" w:hAnsi="Arial" w:cs="Arial"/>
          <w:color w:val="000000" w:themeColor="text1"/>
          <w:sz w:val="22"/>
          <w:szCs w:val="22"/>
        </w:rPr>
        <w:t xml:space="preserve">la Agencia Nacional de Contratación Pública – Colombia Compra Eficiente </w:t>
      </w:r>
      <w:r w:rsidR="00263510" w:rsidRPr="009F4A13">
        <w:rPr>
          <w:rFonts w:ascii="Arial" w:hAnsi="Arial" w:cs="Arial"/>
          <w:color w:val="000000" w:themeColor="text1"/>
          <w:sz w:val="22"/>
          <w:szCs w:val="22"/>
        </w:rPr>
        <w:t>en relación con</w:t>
      </w:r>
      <w:r w:rsidRPr="009F4A13">
        <w:rPr>
          <w:rFonts w:ascii="Arial" w:hAnsi="Arial" w:cs="Arial"/>
          <w:color w:val="000000" w:themeColor="text1"/>
          <w:sz w:val="22"/>
          <w:szCs w:val="22"/>
        </w:rPr>
        <w:t xml:space="preserve"> la forma en que se la acredita la experiencia cuando se ejecutan varias actividades y algunas de ellas no se relacionan con lo previsto en la «Matriz 1 - Experiencia</w:t>
      </w:r>
      <w:r w:rsidRPr="009F4A13">
        <w:rPr>
          <w:rFonts w:ascii="Arial" w:eastAsia="Calibri" w:hAnsi="Arial" w:cs="Arial"/>
          <w:color w:val="000000" w:themeColor="text1"/>
          <w:sz w:val="22"/>
          <w:szCs w:val="22"/>
          <w:lang w:eastAsia="en-US"/>
        </w:rPr>
        <w:t>»,</w:t>
      </w:r>
      <w:r w:rsidRPr="009F4A13">
        <w:rPr>
          <w:rFonts w:ascii="Arial" w:hAnsi="Arial" w:cs="Arial"/>
          <w:color w:val="000000" w:themeColor="text1"/>
          <w:sz w:val="22"/>
          <w:szCs w:val="22"/>
        </w:rPr>
        <w:t xml:space="preserve"> consideró necesario y oportuno concretar esta regla expresamente en el pliego de condiciones. Esto para determinar la conducta de las entidades ante estas circunstancias, y, por tanto, evitar confusiones o dobles interpretaciones en la aplicación del documento base. </w:t>
      </w:r>
    </w:p>
    <w:p w14:paraId="45EA871C" w14:textId="3CD7910F" w:rsidR="002E2C6A" w:rsidRPr="009F4A13" w:rsidRDefault="001A36B6" w:rsidP="002E2C6A">
      <w:pPr>
        <w:spacing w:before="120" w:line="276" w:lineRule="auto"/>
        <w:ind w:firstLine="708"/>
        <w:jc w:val="both"/>
        <w:rPr>
          <w:rFonts w:ascii="Arial" w:hAnsi="Arial" w:cs="Arial"/>
          <w:bCs/>
          <w:color w:val="000000" w:themeColor="text1"/>
          <w:sz w:val="22"/>
          <w:szCs w:val="22"/>
        </w:rPr>
      </w:pPr>
      <w:r w:rsidRPr="009F4A13">
        <w:rPr>
          <w:rFonts w:ascii="Arial" w:hAnsi="Arial" w:cs="Arial"/>
          <w:color w:val="000000" w:themeColor="text1"/>
          <w:sz w:val="22"/>
          <w:szCs w:val="22"/>
        </w:rPr>
        <w:t xml:space="preserve">En este sentido, </w:t>
      </w:r>
      <w:r w:rsidRPr="009F4A13">
        <w:rPr>
          <w:rFonts w:ascii="Arial" w:hAnsi="Arial" w:cs="Arial"/>
          <w:bCs/>
          <w:color w:val="000000" w:themeColor="text1"/>
          <w:sz w:val="22"/>
          <w:szCs w:val="22"/>
        </w:rPr>
        <w:t xml:space="preserve">esta Agencia </w:t>
      </w:r>
      <w:r w:rsidR="002E2C6A" w:rsidRPr="009F4A13">
        <w:rPr>
          <w:rFonts w:ascii="Arial" w:hAnsi="Arial" w:cs="Arial"/>
          <w:color w:val="000000" w:themeColor="text1"/>
          <w:sz w:val="22"/>
          <w:szCs w:val="22"/>
          <w:lang w:val="es-MX"/>
        </w:rPr>
        <w:t>expidió la</w:t>
      </w:r>
      <w:r w:rsidR="002E2C6A" w:rsidRPr="009F4A13">
        <w:rPr>
          <w:rFonts w:ascii="Arial" w:hAnsi="Arial" w:cs="Arial"/>
          <w:bCs/>
          <w:color w:val="000000" w:themeColor="text1"/>
          <w:sz w:val="22"/>
          <w:szCs w:val="22"/>
          <w:lang w:val="es-MX"/>
        </w:rPr>
        <w:t xml:space="preserve"> Resolución 161 del 17 de junio de 2021, por la cual</w:t>
      </w:r>
      <w:r w:rsidR="002E2C6A" w:rsidRPr="009F4A13">
        <w:rPr>
          <w:rFonts w:ascii="Arial" w:hAnsi="Arial" w:cs="Arial"/>
          <w:color w:val="000000" w:themeColor="text1"/>
          <w:sz w:val="22"/>
          <w:szCs w:val="22"/>
        </w:rPr>
        <w:t xml:space="preserve"> </w:t>
      </w:r>
      <w:r w:rsidR="002E2C6A" w:rsidRPr="009F4A13">
        <w:rPr>
          <w:rFonts w:ascii="Arial" w:hAnsi="Arial" w:cs="Arial"/>
          <w:bCs/>
          <w:color w:val="000000" w:themeColor="text1"/>
          <w:sz w:val="22"/>
          <w:szCs w:val="22"/>
        </w:rPr>
        <w:t xml:space="preserve">se modifican los documentos tipo adoptados por la Agencia Nacional de Contratación Pública –Colombia Compra Eficiente. Con base en esta Resolución se </w:t>
      </w:r>
      <w:r w:rsidR="002E2C6A" w:rsidRPr="009F4A13">
        <w:rPr>
          <w:rFonts w:ascii="Arial" w:hAnsi="Arial" w:cs="Arial"/>
          <w:bCs/>
          <w:color w:val="000000" w:themeColor="text1"/>
          <w:sz w:val="22"/>
          <w:szCs w:val="22"/>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 Particularmente, frente a la acreditación de la experiencia se</w:t>
      </w:r>
      <w:r w:rsidR="002E2C6A" w:rsidRPr="009F4A13">
        <w:rPr>
          <w:rFonts w:ascii="Arial" w:hAnsi="Arial" w:cs="Arial"/>
          <w:bCs/>
          <w:color w:val="000000" w:themeColor="text1"/>
          <w:sz w:val="22"/>
          <w:szCs w:val="22"/>
        </w:rPr>
        <w:t xml:space="preserve"> aclaró la forma en la cual se acredita esta cuando en un contrato se ejecutan varias actividades, de las cuales solo algunas se ajustan a lo exigido por la «Matriz 1 - Experiencia». </w:t>
      </w:r>
    </w:p>
    <w:p w14:paraId="514E2698" w14:textId="6BF803E2" w:rsidR="002E2C6A" w:rsidRPr="009F4A13" w:rsidRDefault="002E2C6A">
      <w:pPr>
        <w:spacing w:before="120" w:line="276" w:lineRule="auto"/>
        <w:ind w:firstLine="708"/>
        <w:jc w:val="both"/>
        <w:rPr>
          <w:rFonts w:ascii="Arial" w:hAnsi="Arial" w:cs="Arial"/>
          <w:color w:val="000000" w:themeColor="text1"/>
          <w:spacing w:val="2"/>
          <w:sz w:val="22"/>
          <w:szCs w:val="22"/>
          <w:lang w:eastAsia="es-CO"/>
        </w:rPr>
      </w:pPr>
      <w:r w:rsidRPr="009F4A13">
        <w:rPr>
          <w:rFonts w:ascii="Arial" w:hAnsi="Arial" w:cs="Arial"/>
          <w:bCs/>
          <w:color w:val="000000" w:themeColor="text1"/>
          <w:sz w:val="22"/>
          <w:szCs w:val="22"/>
        </w:rPr>
        <w:lastRenderedPageBreak/>
        <w:t xml:space="preserve">Por ello, </w:t>
      </w:r>
      <w:bookmarkStart w:id="12" w:name="_Hlk81483932"/>
      <w:r w:rsidRPr="009F4A13">
        <w:rPr>
          <w:rFonts w:ascii="Arial" w:hAnsi="Arial" w:cs="Arial"/>
          <w:bCs/>
          <w:color w:val="000000" w:themeColor="text1"/>
          <w:sz w:val="22"/>
          <w:szCs w:val="22"/>
        </w:rPr>
        <w:t>el artículo 2</w:t>
      </w:r>
      <w:r w:rsidR="00FB1B8A" w:rsidRPr="009F4A13">
        <w:rPr>
          <w:rFonts w:ascii="Arial" w:hAnsi="Arial" w:cs="Arial"/>
          <w:bCs/>
          <w:color w:val="000000" w:themeColor="text1"/>
          <w:sz w:val="22"/>
          <w:szCs w:val="22"/>
        </w:rPr>
        <w:t>1</w:t>
      </w:r>
      <w:r w:rsidRPr="009F4A13">
        <w:rPr>
          <w:rFonts w:ascii="Arial" w:hAnsi="Arial" w:cs="Arial"/>
          <w:bCs/>
          <w:color w:val="000000" w:themeColor="text1"/>
          <w:sz w:val="22"/>
          <w:szCs w:val="22"/>
        </w:rPr>
        <w:t xml:space="preserve"> de dicha resolución adicionó el literal </w:t>
      </w:r>
      <w:r w:rsidR="00601AA8" w:rsidRPr="009F4A13">
        <w:rPr>
          <w:rFonts w:ascii="Arial" w:hAnsi="Arial" w:cs="Arial"/>
          <w:bCs/>
          <w:color w:val="000000" w:themeColor="text1"/>
          <w:sz w:val="22"/>
          <w:szCs w:val="22"/>
        </w:rPr>
        <w:t>j</w:t>
      </w:r>
      <w:r w:rsidRPr="009F4A13">
        <w:rPr>
          <w:rFonts w:ascii="Arial" w:hAnsi="Arial" w:cs="Arial"/>
          <w:bCs/>
          <w:color w:val="000000" w:themeColor="text1"/>
          <w:sz w:val="22"/>
          <w:szCs w:val="22"/>
        </w:rPr>
        <w:t>) al numeral 3.5.</w:t>
      </w:r>
      <w:r w:rsidR="00DA625D" w:rsidRPr="009F4A13">
        <w:rPr>
          <w:rFonts w:ascii="Arial" w:hAnsi="Arial" w:cs="Arial"/>
          <w:bCs/>
          <w:color w:val="000000" w:themeColor="text1"/>
          <w:sz w:val="22"/>
          <w:szCs w:val="22"/>
        </w:rPr>
        <w:t>3</w:t>
      </w:r>
      <w:r w:rsidRPr="009F4A13">
        <w:rPr>
          <w:rFonts w:ascii="Arial" w:hAnsi="Arial" w:cs="Arial"/>
          <w:bCs/>
          <w:color w:val="000000" w:themeColor="text1"/>
          <w:sz w:val="22"/>
          <w:szCs w:val="22"/>
        </w:rPr>
        <w:t xml:space="preserve"> de los documentos </w:t>
      </w:r>
      <w:r w:rsidR="00A464CE">
        <w:rPr>
          <w:rFonts w:ascii="Arial" w:hAnsi="Arial" w:cs="Arial"/>
          <w:bCs/>
          <w:color w:val="000000" w:themeColor="text1"/>
          <w:sz w:val="22"/>
          <w:szCs w:val="22"/>
        </w:rPr>
        <w:t xml:space="preserve">base de los documentos </w:t>
      </w:r>
      <w:r w:rsidRPr="009F4A13">
        <w:rPr>
          <w:rFonts w:ascii="Arial" w:hAnsi="Arial" w:cs="Arial"/>
          <w:bCs/>
          <w:color w:val="000000" w:themeColor="text1"/>
          <w:sz w:val="22"/>
          <w:szCs w:val="22"/>
        </w:rPr>
        <w:t>tipo de infraestructura de transporte así: «</w:t>
      </w:r>
      <w:r w:rsidRPr="009F4A13">
        <w:rPr>
          <w:rFonts w:ascii="Arial" w:hAnsi="Arial" w:cs="Arial"/>
          <w:color w:val="000000" w:themeColor="text1"/>
          <w:spacing w:val="2"/>
          <w:sz w:val="22"/>
          <w:szCs w:val="22"/>
          <w:lang w:eastAsia="es-CO"/>
        </w:rPr>
        <w:t xml:space="preserve"> </w:t>
      </w:r>
      <w:r w:rsidR="00FB1B8A" w:rsidRPr="009F4A13">
        <w:rPr>
          <w:rFonts w:ascii="Arial" w:hAnsi="Arial" w:cs="Arial"/>
          <w:color w:val="000000" w:themeColor="text1"/>
          <w:sz w:val="22"/>
          <w:szCs w:val="22"/>
        </w:rPr>
        <w:t xml:space="preserve">J. Cuando el contrato que se pretende acreditar como experiencia contenga varias actividades, de las cuales solo alguna de ellas se ajustan a lo exigido por la «Matriz 1 -Experiencia», asociadas con actividades de obra pública de infraestructura de transporte, </w:t>
      </w:r>
      <w:proofErr w:type="spellStart"/>
      <w:r w:rsidR="00FB1B8A" w:rsidRPr="009F4A13">
        <w:rPr>
          <w:rFonts w:ascii="Arial" w:hAnsi="Arial" w:cs="Arial"/>
          <w:color w:val="000000" w:themeColor="text1"/>
          <w:sz w:val="22"/>
          <w:szCs w:val="22"/>
        </w:rPr>
        <w:t>Ia</w:t>
      </w:r>
      <w:proofErr w:type="spellEnd"/>
      <w:r w:rsidR="00FB1B8A" w:rsidRPr="009F4A13">
        <w:rPr>
          <w:rFonts w:ascii="Arial" w:hAnsi="Arial" w:cs="Arial"/>
          <w:color w:val="000000" w:themeColor="text1"/>
          <w:sz w:val="22"/>
          <w:szCs w:val="22"/>
        </w:rPr>
        <w:t xml:space="preserve"> Entidad Estatal deberá descontar los valores del contrato, magnitudes y áreas construidas relacionadas con las actividades que se encuentran por fuera del requisito de experiencia</w:t>
      </w:r>
      <w:r w:rsidRPr="009F4A13">
        <w:rPr>
          <w:rFonts w:ascii="Arial" w:hAnsi="Arial" w:cs="Arial"/>
          <w:bCs/>
          <w:color w:val="000000" w:themeColor="text1"/>
          <w:sz w:val="22"/>
          <w:szCs w:val="22"/>
        </w:rPr>
        <w:t>».</w:t>
      </w:r>
      <w:r w:rsidR="00FB1B8A" w:rsidRPr="009F4A13">
        <w:rPr>
          <w:rFonts w:ascii="Arial" w:hAnsi="Arial" w:cs="Arial"/>
          <w:bCs/>
          <w:color w:val="000000" w:themeColor="text1"/>
          <w:sz w:val="22"/>
          <w:szCs w:val="22"/>
        </w:rPr>
        <w:t xml:space="preserve"> En esta misma línea, el artículo 23 de la precitada resolución adicionó el literal i) al numeral 3.5.3. de los documentos tipo de infraestructura de agua potable y saneamiento básico así: «</w:t>
      </w:r>
      <w:r w:rsidR="00FB1B8A" w:rsidRPr="009F4A13">
        <w:rPr>
          <w:rFonts w:ascii="Arial" w:hAnsi="Arial" w:cs="Arial"/>
          <w:color w:val="000000" w:themeColor="text1"/>
          <w:sz w:val="22"/>
          <w:szCs w:val="22"/>
        </w:rPr>
        <w:t xml:space="preserve">1. Cuando el contrato que se pretende acreditar como experiencia contenga varias actividades, de las cuales solo alguna de ellas se ajuste a lo exigido por la «Matriz 1 - Experiencia», asociadas con actividades de obra pública de infraestructura de agua potable y saneamiento básico, </w:t>
      </w:r>
      <w:proofErr w:type="spellStart"/>
      <w:r w:rsidR="00FB1B8A" w:rsidRPr="009F4A13">
        <w:rPr>
          <w:rFonts w:ascii="Arial" w:hAnsi="Arial" w:cs="Arial"/>
          <w:color w:val="000000" w:themeColor="text1"/>
          <w:sz w:val="22"/>
          <w:szCs w:val="22"/>
        </w:rPr>
        <w:t>Ia</w:t>
      </w:r>
      <w:proofErr w:type="spellEnd"/>
      <w:r w:rsidR="00FB1B8A" w:rsidRPr="009F4A13">
        <w:rPr>
          <w:rFonts w:ascii="Arial" w:hAnsi="Arial" w:cs="Arial"/>
          <w:color w:val="000000" w:themeColor="text1"/>
          <w:sz w:val="22"/>
          <w:szCs w:val="22"/>
        </w:rPr>
        <w:t xml:space="preserve"> Entidad Estatal deberá descontar los valores del contrato, magnitudes y áreas construidas relacionadas con las actividades que se encuentran por fuera del requisito de experiencia</w:t>
      </w:r>
      <w:r w:rsidR="00FB1B8A" w:rsidRPr="009F4A13">
        <w:rPr>
          <w:rFonts w:ascii="Arial" w:hAnsi="Arial" w:cs="Arial"/>
          <w:bCs/>
          <w:color w:val="000000" w:themeColor="text1"/>
          <w:sz w:val="22"/>
          <w:szCs w:val="22"/>
        </w:rPr>
        <w:t>»</w:t>
      </w:r>
      <w:r w:rsidR="00FB1B8A" w:rsidRPr="009F4A13">
        <w:rPr>
          <w:rFonts w:ascii="Arial" w:hAnsi="Arial" w:cs="Arial"/>
          <w:color w:val="000000" w:themeColor="text1"/>
          <w:sz w:val="22"/>
          <w:szCs w:val="22"/>
        </w:rPr>
        <w:t>.</w:t>
      </w:r>
    </w:p>
    <w:p w14:paraId="777E4594" w14:textId="670DAE6C" w:rsidR="00FB2355" w:rsidRPr="009F4A13" w:rsidRDefault="002E2C6A" w:rsidP="001A36B6">
      <w:pPr>
        <w:tabs>
          <w:tab w:val="left" w:pos="1276"/>
        </w:tabs>
        <w:spacing w:before="120" w:line="276" w:lineRule="auto"/>
        <w:ind w:firstLine="709"/>
        <w:jc w:val="both"/>
        <w:rPr>
          <w:rFonts w:ascii="Arial" w:hAnsi="Arial" w:cs="Arial"/>
          <w:color w:val="000000" w:themeColor="text1"/>
          <w:sz w:val="22"/>
          <w:szCs w:val="22"/>
        </w:rPr>
      </w:pPr>
      <w:r w:rsidRPr="009F4A13">
        <w:rPr>
          <w:rFonts w:ascii="Arial" w:hAnsi="Arial" w:cs="Arial"/>
          <w:color w:val="000000" w:themeColor="text1"/>
          <w:sz w:val="22"/>
          <w:szCs w:val="22"/>
        </w:rPr>
        <w:t xml:space="preserve">Conforme con lo señalado, cuando el contrato aportado para cumplir el requisito contiene actividades relacionadas con la experiencia exigida, y otras que no, la entidad debe fraccionar la evaluación de la experiencia a efectos de solo tener en cuenta lo atinente a la parte del objeto contractual que sí cumple con el requisito habilitante, empleando para tal fin los documentos soporte allegados por el proponente. </w:t>
      </w:r>
      <w:r w:rsidR="00DA625D" w:rsidRPr="009F4A13">
        <w:rPr>
          <w:rFonts w:ascii="Arial" w:hAnsi="Arial" w:cs="Arial"/>
          <w:color w:val="000000" w:themeColor="text1"/>
          <w:sz w:val="22"/>
          <w:szCs w:val="22"/>
        </w:rPr>
        <w:t xml:space="preserve">No obstante, </w:t>
      </w:r>
      <w:r w:rsidR="001A36B6" w:rsidRPr="009F4A13">
        <w:rPr>
          <w:rFonts w:ascii="Arial" w:hAnsi="Arial" w:cs="Arial"/>
          <w:color w:val="000000" w:themeColor="text1"/>
          <w:sz w:val="22"/>
          <w:szCs w:val="22"/>
        </w:rPr>
        <w:t xml:space="preserve">posteriormente </w:t>
      </w:r>
      <w:r w:rsidR="00DA625D" w:rsidRPr="009F4A13">
        <w:rPr>
          <w:rFonts w:ascii="Arial" w:hAnsi="Arial" w:cs="Arial"/>
          <w:color w:val="000000" w:themeColor="text1"/>
          <w:sz w:val="22"/>
          <w:szCs w:val="22"/>
        </w:rPr>
        <w:t xml:space="preserve">en la Resolución 304 del 13 de octubre de 2021 </w:t>
      </w:r>
      <w:r w:rsidR="001A36B6" w:rsidRPr="009F4A13">
        <w:rPr>
          <w:rFonts w:ascii="Arial" w:hAnsi="Arial" w:cs="Arial"/>
          <w:color w:val="000000" w:themeColor="text1"/>
          <w:sz w:val="22"/>
          <w:szCs w:val="22"/>
        </w:rPr>
        <w:t xml:space="preserve">se </w:t>
      </w:r>
      <w:r w:rsidR="00632923" w:rsidRPr="009F4A13">
        <w:rPr>
          <w:rFonts w:ascii="Arial" w:hAnsi="Arial" w:cs="Arial"/>
          <w:color w:val="000000" w:themeColor="text1"/>
          <w:sz w:val="22"/>
          <w:szCs w:val="22"/>
        </w:rPr>
        <w:t xml:space="preserve">estableció </w:t>
      </w:r>
      <w:r w:rsidR="00962347" w:rsidRPr="009F4A13">
        <w:rPr>
          <w:rFonts w:ascii="Arial" w:hAnsi="Arial" w:cs="Arial"/>
          <w:color w:val="000000" w:themeColor="text1"/>
          <w:sz w:val="22"/>
          <w:szCs w:val="22"/>
        </w:rPr>
        <w:t xml:space="preserve">en el artículo 11 </w:t>
      </w:r>
      <w:r w:rsidR="00FB2355" w:rsidRPr="009F4A13">
        <w:rPr>
          <w:rFonts w:ascii="Arial" w:hAnsi="Arial" w:cs="Arial"/>
          <w:color w:val="000000" w:themeColor="text1"/>
          <w:sz w:val="22"/>
          <w:szCs w:val="22"/>
        </w:rPr>
        <w:t>una modificación</w:t>
      </w:r>
      <w:r w:rsidR="00254891" w:rsidRPr="009F4A13">
        <w:rPr>
          <w:rFonts w:ascii="Arial" w:hAnsi="Arial" w:cs="Arial"/>
          <w:color w:val="000000" w:themeColor="text1"/>
          <w:sz w:val="22"/>
          <w:szCs w:val="22"/>
        </w:rPr>
        <w:t xml:space="preserve"> al</w:t>
      </w:r>
      <w:r w:rsidR="00FB2355" w:rsidRPr="009F4A13">
        <w:rPr>
          <w:rFonts w:ascii="Arial" w:hAnsi="Arial" w:cs="Arial"/>
          <w:color w:val="000000" w:themeColor="text1"/>
          <w:sz w:val="22"/>
          <w:szCs w:val="22"/>
        </w:rPr>
        <w:t xml:space="preserve"> </w:t>
      </w:r>
      <w:r w:rsidR="00962347" w:rsidRPr="009F4A13">
        <w:rPr>
          <w:rFonts w:ascii="Arial" w:hAnsi="Arial" w:cs="Arial"/>
          <w:color w:val="000000" w:themeColor="text1"/>
          <w:sz w:val="22"/>
          <w:szCs w:val="22"/>
        </w:rPr>
        <w:t>literal J del numeral 3.5.3. de los Documentos Tipo de licitación de obra pública y selección abreviada de menor cuantía de infraestructura de transporte. Específicamente, este artículo ajusta la regla del documento base que se usa para descontar las actividades que no están relacionadas con el tipo de infraestructura de transporte</w:t>
      </w:r>
      <w:r w:rsidR="0032210B" w:rsidRPr="009F4A13">
        <w:rPr>
          <w:rStyle w:val="Refdenotaalpie"/>
          <w:rFonts w:ascii="Arial" w:hAnsi="Arial" w:cs="Arial"/>
          <w:color w:val="000000" w:themeColor="text1"/>
          <w:sz w:val="22"/>
          <w:szCs w:val="22"/>
        </w:rPr>
        <w:footnoteReference w:id="33"/>
      </w:r>
      <w:r w:rsidR="00962347" w:rsidRPr="009F4A13">
        <w:rPr>
          <w:rFonts w:ascii="Arial" w:hAnsi="Arial" w:cs="Arial"/>
          <w:color w:val="000000" w:themeColor="text1"/>
          <w:sz w:val="22"/>
          <w:szCs w:val="22"/>
        </w:rPr>
        <w:t>.</w:t>
      </w:r>
      <w:r w:rsidR="00FB2355" w:rsidRPr="009F4A13">
        <w:rPr>
          <w:rFonts w:ascii="Arial" w:hAnsi="Arial" w:cs="Arial"/>
          <w:color w:val="000000" w:themeColor="text1"/>
          <w:sz w:val="22"/>
          <w:szCs w:val="22"/>
        </w:rPr>
        <w:t xml:space="preserve"> Al respecto, este artículo </w:t>
      </w:r>
      <w:r w:rsidR="00A450D4" w:rsidRPr="009F4A13">
        <w:rPr>
          <w:rFonts w:ascii="Arial" w:hAnsi="Arial" w:cs="Arial"/>
          <w:color w:val="000000" w:themeColor="text1"/>
          <w:sz w:val="22"/>
          <w:szCs w:val="22"/>
        </w:rPr>
        <w:t xml:space="preserve">–que es la regla vigente– </w:t>
      </w:r>
      <w:r w:rsidR="00FB2355" w:rsidRPr="009F4A13">
        <w:rPr>
          <w:rFonts w:ascii="Arial" w:hAnsi="Arial" w:cs="Arial"/>
          <w:color w:val="000000" w:themeColor="text1"/>
          <w:sz w:val="22"/>
          <w:szCs w:val="22"/>
        </w:rPr>
        <w:t>dispone:</w:t>
      </w:r>
    </w:p>
    <w:p w14:paraId="19BD3EC3" w14:textId="77777777" w:rsidR="00A450D4" w:rsidRPr="009F4A13" w:rsidRDefault="00A450D4" w:rsidP="009F4A13">
      <w:pPr>
        <w:tabs>
          <w:tab w:val="left" w:pos="1276"/>
        </w:tabs>
        <w:spacing w:before="120" w:line="276" w:lineRule="auto"/>
        <w:ind w:firstLine="709"/>
        <w:jc w:val="both"/>
        <w:rPr>
          <w:rFonts w:ascii="Arial" w:hAnsi="Arial" w:cs="Arial"/>
          <w:color w:val="000000" w:themeColor="text1"/>
          <w:sz w:val="22"/>
          <w:szCs w:val="22"/>
        </w:rPr>
      </w:pPr>
    </w:p>
    <w:p w14:paraId="49502413" w14:textId="44F17513" w:rsidR="00FB2355" w:rsidRPr="009F4A13" w:rsidRDefault="00101775" w:rsidP="009F4A13">
      <w:pPr>
        <w:pStyle w:val="Prrafodelista"/>
        <w:spacing w:after="120"/>
        <w:ind w:left="709" w:right="709"/>
        <w:contextualSpacing w:val="0"/>
        <w:jc w:val="both"/>
        <w:rPr>
          <w:rFonts w:ascii="Arial" w:eastAsia="Calibri" w:hAnsi="Arial" w:cs="Arial"/>
          <w:color w:val="000000" w:themeColor="text1"/>
          <w:sz w:val="21"/>
          <w:szCs w:val="21"/>
        </w:rPr>
      </w:pPr>
      <w:r w:rsidRPr="009F4A13">
        <w:rPr>
          <w:rFonts w:ascii="Arial" w:eastAsia="Calibri" w:hAnsi="Arial" w:cs="Arial"/>
          <w:color w:val="000000" w:themeColor="text1"/>
          <w:sz w:val="21"/>
          <w:szCs w:val="21"/>
        </w:rPr>
        <w:lastRenderedPageBreak/>
        <w:t>Artículo 11 – MODIFÍQUESE EL LITERAL J DEL NUMERAL 3.5.3 DE LOS DOCUMENTOS TIPO DE OBRA DE INFRAESTRUCTURA DE TRANSPORTE ADELANTADOS BAJO LA MODALIDAD DE LICITACIÓN PÚBLICA Y SELECCIÓN ABREVIADA DE MENOR CUANTÍA. Modifíquese el literal J) del numeral 3.5.3 de los Documentos Tipo de obra pública de infraestructura de transporte adelantados bajo la modalidad de licitación pública –Versión 3, adoptados mediante la Resolución 240 de 2020 y de los Documentos Tipo de obra pública de infraestructura de transporte adelantados bajo la modalidad de selección abreviada de menor cuantía –Versión 2–, expedidos mediante la Resolución 241 de 2020, en los siguientes términos:</w:t>
      </w:r>
    </w:p>
    <w:p w14:paraId="60912904" w14:textId="78852DBD" w:rsidR="00FB2355" w:rsidRPr="009F4A13" w:rsidRDefault="00A450D4" w:rsidP="009F4A13">
      <w:pPr>
        <w:pStyle w:val="Prrafodelista"/>
        <w:spacing w:after="120"/>
        <w:ind w:left="709" w:right="709"/>
        <w:contextualSpacing w:val="0"/>
        <w:jc w:val="both"/>
        <w:rPr>
          <w:rFonts w:ascii="Arial" w:eastAsia="Calibri" w:hAnsi="Arial" w:cs="Arial"/>
          <w:color w:val="000000" w:themeColor="text1"/>
          <w:sz w:val="21"/>
          <w:szCs w:val="21"/>
        </w:rPr>
      </w:pPr>
      <w:r w:rsidRPr="009F4A13">
        <w:rPr>
          <w:rFonts w:ascii="Arial" w:eastAsia="Calibri" w:hAnsi="Arial" w:cs="Arial"/>
          <w:color w:val="000000" w:themeColor="text1"/>
          <w:sz w:val="21"/>
          <w:szCs w:val="21"/>
        </w:rPr>
        <w:t xml:space="preserve">J. </w:t>
      </w:r>
      <w:r w:rsidR="00FB2355" w:rsidRPr="009F4A13">
        <w:rPr>
          <w:rFonts w:ascii="Arial" w:eastAsia="Calibri" w:hAnsi="Arial" w:cs="Arial"/>
          <w:color w:val="000000" w:themeColor="text1"/>
          <w:sz w:val="21"/>
          <w:szCs w:val="21"/>
        </w:rPr>
        <w:t>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infraestructura de transporte, la Entidad Estatal solo tendrá en cuenta los valores y magnitudes ejecutadas relacionadas con este tipo de infraestructura.</w:t>
      </w:r>
    </w:p>
    <w:p w14:paraId="04984C69" w14:textId="131E9F16" w:rsidR="00FB2355" w:rsidRPr="009F4A13" w:rsidRDefault="00FB2355" w:rsidP="009F4A13">
      <w:pPr>
        <w:ind w:left="709" w:right="709"/>
        <w:contextualSpacing/>
        <w:jc w:val="both"/>
        <w:rPr>
          <w:rFonts w:ascii="Arial" w:eastAsia="Calibri" w:hAnsi="Arial" w:cs="Arial"/>
          <w:color w:val="000000" w:themeColor="text1"/>
          <w:sz w:val="21"/>
          <w:szCs w:val="21"/>
          <w:lang w:val="es-MX" w:eastAsia="en-US"/>
        </w:rPr>
      </w:pPr>
      <w:r w:rsidRPr="009F4A13">
        <w:rPr>
          <w:rFonts w:ascii="Arial" w:eastAsia="Calibri" w:hAnsi="Arial" w:cs="Arial"/>
          <w:color w:val="000000" w:themeColor="text1"/>
          <w:sz w:val="21"/>
          <w:szCs w:val="21"/>
          <w:lang w:val="es-MX" w:eastAsia="en-US"/>
        </w:rPr>
        <w:t>Para estos efectos, el oferente deberá acreditar los valores y magnitudes intervenidas dentro del respectivo contrato, empleando alguno de los documentos válidos establecidos en el numeral 3.5.6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p>
    <w:p w14:paraId="18C9CDDC" w14:textId="77777777" w:rsidR="00A450D4" w:rsidRPr="009F4A13" w:rsidRDefault="00A450D4" w:rsidP="0032210B">
      <w:pPr>
        <w:spacing w:line="259" w:lineRule="auto"/>
        <w:ind w:left="709" w:right="709"/>
        <w:contextualSpacing/>
        <w:jc w:val="both"/>
        <w:rPr>
          <w:rFonts w:ascii="Arial" w:eastAsia="Calibri" w:hAnsi="Arial" w:cs="Arial"/>
          <w:color w:val="000000" w:themeColor="text1"/>
          <w:sz w:val="21"/>
          <w:szCs w:val="21"/>
          <w:lang w:val="es-MX" w:eastAsia="en-US"/>
        </w:rPr>
      </w:pPr>
    </w:p>
    <w:p w14:paraId="28D80A96" w14:textId="7912F81B" w:rsidR="00601AA8" w:rsidRPr="009F4A13" w:rsidRDefault="00FB2355" w:rsidP="009F4A13">
      <w:pPr>
        <w:spacing w:after="120" w:line="276" w:lineRule="auto"/>
        <w:jc w:val="both"/>
        <w:rPr>
          <w:rFonts w:ascii="Arial" w:hAnsi="Arial" w:cs="Arial"/>
          <w:color w:val="000000" w:themeColor="text1"/>
          <w:sz w:val="22"/>
          <w:szCs w:val="22"/>
          <w:lang w:val="es-MX"/>
        </w:rPr>
      </w:pPr>
      <w:r w:rsidRPr="009F4A13">
        <w:rPr>
          <w:rFonts w:ascii="Arial" w:hAnsi="Arial" w:cs="Arial"/>
          <w:color w:val="000000" w:themeColor="text1"/>
          <w:sz w:val="22"/>
          <w:szCs w:val="22"/>
          <w:lang w:val="es-MX"/>
        </w:rPr>
        <w:tab/>
      </w:r>
      <w:r w:rsidR="00101775" w:rsidRPr="009F4A13">
        <w:rPr>
          <w:rFonts w:ascii="Arial" w:hAnsi="Arial" w:cs="Arial"/>
          <w:color w:val="000000" w:themeColor="text1"/>
          <w:sz w:val="22"/>
          <w:szCs w:val="22"/>
          <w:lang w:val="es-MX"/>
        </w:rPr>
        <w:t xml:space="preserve">Esta misma regla fue </w:t>
      </w:r>
      <w:r w:rsidR="00394D45" w:rsidRPr="009F4A13">
        <w:rPr>
          <w:rFonts w:ascii="Arial" w:hAnsi="Arial" w:cs="Arial"/>
          <w:color w:val="000000" w:themeColor="text1"/>
          <w:sz w:val="22"/>
          <w:szCs w:val="22"/>
          <w:lang w:val="es-MX"/>
        </w:rPr>
        <w:t xml:space="preserve">establecida </w:t>
      </w:r>
      <w:r w:rsidR="00101775" w:rsidRPr="009F4A13">
        <w:rPr>
          <w:rFonts w:ascii="Arial" w:hAnsi="Arial" w:cs="Arial"/>
          <w:color w:val="000000" w:themeColor="text1"/>
          <w:sz w:val="22"/>
          <w:szCs w:val="22"/>
          <w:lang w:val="es-MX"/>
        </w:rPr>
        <w:t xml:space="preserve">en el artículo 38 de la Resolución 304 del 13 de octubre de 2021 con respecto al literal i) del numeral 3.5.3. de los Documentos Tipo para procesos de </w:t>
      </w:r>
      <w:r w:rsidR="00274F29" w:rsidRPr="009F4A13">
        <w:rPr>
          <w:rFonts w:ascii="Arial" w:hAnsi="Arial" w:cs="Arial"/>
          <w:color w:val="000000" w:themeColor="text1"/>
          <w:sz w:val="22"/>
          <w:szCs w:val="22"/>
          <w:lang w:val="es-MX"/>
        </w:rPr>
        <w:t>l</w:t>
      </w:r>
      <w:r w:rsidR="00101775" w:rsidRPr="009F4A13">
        <w:rPr>
          <w:rFonts w:ascii="Arial" w:hAnsi="Arial" w:cs="Arial"/>
          <w:color w:val="000000" w:themeColor="text1"/>
          <w:sz w:val="22"/>
          <w:szCs w:val="22"/>
          <w:lang w:val="es-MX"/>
        </w:rPr>
        <w:t xml:space="preserve">icitación </w:t>
      </w:r>
      <w:r w:rsidR="00274F29" w:rsidRPr="009F4A13">
        <w:rPr>
          <w:rFonts w:ascii="Arial" w:hAnsi="Arial" w:cs="Arial"/>
          <w:color w:val="000000" w:themeColor="text1"/>
          <w:sz w:val="22"/>
          <w:szCs w:val="22"/>
          <w:lang w:val="es-MX"/>
        </w:rPr>
        <w:t>p</w:t>
      </w:r>
      <w:r w:rsidR="00101775" w:rsidRPr="009F4A13">
        <w:rPr>
          <w:rFonts w:ascii="Arial" w:hAnsi="Arial" w:cs="Arial"/>
          <w:color w:val="000000" w:themeColor="text1"/>
          <w:sz w:val="22"/>
          <w:szCs w:val="22"/>
          <w:lang w:val="es-MX"/>
        </w:rPr>
        <w:t>ública para obras de infraestructura de agua potable y saneamiento básico y los de la modalidad de llave en mano</w:t>
      </w:r>
      <w:r w:rsidR="00394D45" w:rsidRPr="009F4A13">
        <w:rPr>
          <w:rFonts w:ascii="Arial" w:hAnsi="Arial" w:cs="Arial"/>
          <w:color w:val="000000" w:themeColor="text1"/>
          <w:sz w:val="22"/>
          <w:szCs w:val="22"/>
          <w:lang w:val="es-MX"/>
        </w:rPr>
        <w:t xml:space="preserve"> –que es la regla vigente–</w:t>
      </w:r>
      <w:r w:rsidR="00101775" w:rsidRPr="009F4A13">
        <w:rPr>
          <w:rStyle w:val="Refdenotaalpie"/>
          <w:rFonts w:ascii="Arial" w:hAnsi="Arial" w:cs="Arial"/>
          <w:color w:val="000000" w:themeColor="text1"/>
          <w:sz w:val="22"/>
          <w:szCs w:val="22"/>
          <w:lang w:val="es-MX"/>
        </w:rPr>
        <w:footnoteReference w:id="34"/>
      </w:r>
      <w:r w:rsidR="00101775" w:rsidRPr="009F4A13">
        <w:rPr>
          <w:rFonts w:ascii="Arial" w:hAnsi="Arial" w:cs="Arial"/>
          <w:color w:val="000000" w:themeColor="text1"/>
          <w:sz w:val="22"/>
          <w:szCs w:val="22"/>
          <w:lang w:val="es-MX"/>
        </w:rPr>
        <w:t xml:space="preserve">. </w:t>
      </w:r>
      <w:r w:rsidRPr="009F4A13">
        <w:rPr>
          <w:rFonts w:ascii="Arial" w:hAnsi="Arial" w:cs="Arial"/>
          <w:color w:val="000000" w:themeColor="text1"/>
          <w:sz w:val="22"/>
          <w:szCs w:val="22"/>
          <w:lang w:val="es-MX"/>
        </w:rPr>
        <w:t xml:space="preserve">A partir de la </w:t>
      </w:r>
      <w:r w:rsidRPr="009F4A13">
        <w:rPr>
          <w:rFonts w:ascii="Arial" w:hAnsi="Arial" w:cs="Arial"/>
          <w:color w:val="000000" w:themeColor="text1"/>
          <w:sz w:val="22"/>
          <w:szCs w:val="22"/>
          <w:lang w:val="es-MX"/>
        </w:rPr>
        <w:lastRenderedPageBreak/>
        <w:t>regla modificada sobre la validez de la experiencia requerida en cuanto a la desagregaci</w:t>
      </w:r>
      <w:r w:rsidR="00254891" w:rsidRPr="009F4A13">
        <w:rPr>
          <w:rFonts w:ascii="Arial" w:hAnsi="Arial" w:cs="Arial"/>
          <w:color w:val="000000" w:themeColor="text1"/>
          <w:sz w:val="22"/>
          <w:szCs w:val="22"/>
          <w:lang w:val="es-MX"/>
        </w:rPr>
        <w:t>ón de actividades, se señala que est</w:t>
      </w:r>
      <w:r w:rsidR="00274F29" w:rsidRPr="009F4A13">
        <w:rPr>
          <w:rFonts w:ascii="Arial" w:hAnsi="Arial" w:cs="Arial"/>
          <w:color w:val="000000" w:themeColor="text1"/>
          <w:sz w:val="22"/>
          <w:szCs w:val="22"/>
          <w:lang w:val="es-MX"/>
        </w:rPr>
        <w:t>a</w:t>
      </w:r>
      <w:r w:rsidR="00254891" w:rsidRPr="009F4A13">
        <w:rPr>
          <w:rFonts w:ascii="Arial" w:hAnsi="Arial" w:cs="Arial"/>
          <w:color w:val="000000" w:themeColor="text1"/>
          <w:sz w:val="22"/>
          <w:szCs w:val="22"/>
          <w:lang w:val="es-MX"/>
        </w:rPr>
        <w:t xml:space="preserve"> no es absoluta, pues dependerá </w:t>
      </w:r>
      <w:r w:rsidR="00A36CB9" w:rsidRPr="009F4A13">
        <w:rPr>
          <w:rFonts w:ascii="Arial" w:hAnsi="Arial" w:cs="Arial"/>
          <w:color w:val="000000" w:themeColor="text1"/>
          <w:sz w:val="22"/>
          <w:szCs w:val="22"/>
          <w:lang w:val="es-MX"/>
        </w:rPr>
        <w:t xml:space="preserve">de </w:t>
      </w:r>
      <w:r w:rsidR="00254891" w:rsidRPr="009F4A13">
        <w:rPr>
          <w:rFonts w:ascii="Arial" w:hAnsi="Arial" w:cs="Arial"/>
          <w:color w:val="000000" w:themeColor="text1"/>
          <w:sz w:val="22"/>
          <w:szCs w:val="22"/>
          <w:lang w:val="es-MX"/>
        </w:rPr>
        <w:t>cada contexto, en el entendido que la entidad tendrá en cuenta los valores y magnitudes ejecutadas que se relacionan con</w:t>
      </w:r>
      <w:r w:rsidR="00115782" w:rsidRPr="009F4A13">
        <w:rPr>
          <w:rFonts w:ascii="Arial" w:hAnsi="Arial" w:cs="Arial"/>
          <w:color w:val="000000" w:themeColor="text1"/>
          <w:sz w:val="22"/>
          <w:szCs w:val="22"/>
          <w:lang w:val="es-MX"/>
        </w:rPr>
        <w:t xml:space="preserve"> la obra</w:t>
      </w:r>
      <w:r w:rsidR="00A36CB9" w:rsidRPr="009F4A13">
        <w:rPr>
          <w:rFonts w:ascii="Arial" w:hAnsi="Arial" w:cs="Arial"/>
          <w:color w:val="000000" w:themeColor="text1"/>
          <w:sz w:val="22"/>
          <w:szCs w:val="22"/>
          <w:lang w:val="es-MX"/>
        </w:rPr>
        <w:t xml:space="preserve"> ejecutada</w:t>
      </w:r>
      <w:r w:rsidR="00101775" w:rsidRPr="009F4A13">
        <w:rPr>
          <w:rFonts w:ascii="Arial" w:hAnsi="Arial" w:cs="Arial"/>
          <w:color w:val="000000" w:themeColor="text1"/>
          <w:sz w:val="22"/>
          <w:szCs w:val="22"/>
          <w:lang w:val="es-MX"/>
        </w:rPr>
        <w:t xml:space="preserve">, ya sea de </w:t>
      </w:r>
      <w:r w:rsidR="00115782" w:rsidRPr="009F4A13">
        <w:rPr>
          <w:rFonts w:ascii="Arial" w:hAnsi="Arial" w:cs="Arial"/>
          <w:color w:val="000000" w:themeColor="text1"/>
          <w:sz w:val="22"/>
          <w:szCs w:val="22"/>
          <w:lang w:val="es-MX"/>
        </w:rPr>
        <w:t xml:space="preserve">infraestructura de </w:t>
      </w:r>
      <w:r w:rsidR="00101775" w:rsidRPr="009F4A13">
        <w:rPr>
          <w:rFonts w:ascii="Arial" w:hAnsi="Arial" w:cs="Arial"/>
          <w:color w:val="000000" w:themeColor="text1"/>
          <w:sz w:val="22"/>
          <w:szCs w:val="22"/>
          <w:lang w:val="es-MX"/>
        </w:rPr>
        <w:t>transporte o de agua potable o saneamiento básico</w:t>
      </w:r>
      <w:r w:rsidR="00254891" w:rsidRPr="009F4A13">
        <w:rPr>
          <w:rFonts w:ascii="Arial" w:hAnsi="Arial" w:cs="Arial"/>
          <w:color w:val="000000" w:themeColor="text1"/>
          <w:sz w:val="22"/>
          <w:szCs w:val="22"/>
          <w:lang w:val="es-MX"/>
        </w:rPr>
        <w:t xml:space="preserve">. Es decir, </w:t>
      </w:r>
      <w:r w:rsidR="00252A0D" w:rsidRPr="009F4A13">
        <w:rPr>
          <w:rFonts w:ascii="Arial" w:hAnsi="Arial" w:cs="Arial"/>
          <w:color w:val="000000" w:themeColor="text1"/>
          <w:sz w:val="22"/>
          <w:szCs w:val="22"/>
          <w:lang w:val="es-MX"/>
        </w:rPr>
        <w:t>es válida la experiencia que se relaciona con el tipo de infraestr</w:t>
      </w:r>
      <w:r w:rsidR="00CA110A" w:rsidRPr="009F4A13">
        <w:rPr>
          <w:rFonts w:ascii="Arial" w:hAnsi="Arial" w:cs="Arial"/>
          <w:color w:val="000000" w:themeColor="text1"/>
          <w:sz w:val="22"/>
          <w:szCs w:val="22"/>
          <w:lang w:val="es-MX"/>
        </w:rPr>
        <w:t>uctura que pretenda desarrollar. Por ejemplo, si el proponente dentro de los certificados que entrega a la entidad está la construcción de una vía se tendrá</w:t>
      </w:r>
      <w:r w:rsidR="00B02B0E" w:rsidRPr="009F4A13">
        <w:rPr>
          <w:rFonts w:ascii="Arial" w:hAnsi="Arial" w:cs="Arial"/>
          <w:color w:val="000000" w:themeColor="text1"/>
          <w:sz w:val="22"/>
          <w:szCs w:val="22"/>
          <w:lang w:val="es-MX"/>
        </w:rPr>
        <w:t>n</w:t>
      </w:r>
      <w:r w:rsidR="00CA110A" w:rsidRPr="009F4A13">
        <w:rPr>
          <w:rFonts w:ascii="Arial" w:hAnsi="Arial" w:cs="Arial"/>
          <w:color w:val="000000" w:themeColor="text1"/>
          <w:sz w:val="22"/>
          <w:szCs w:val="22"/>
          <w:lang w:val="es-MX"/>
        </w:rPr>
        <w:t xml:space="preserve"> en cuenta</w:t>
      </w:r>
      <w:r w:rsidR="00B02B0E" w:rsidRPr="009F4A13">
        <w:rPr>
          <w:rFonts w:ascii="Arial" w:hAnsi="Arial" w:cs="Arial"/>
          <w:color w:val="000000" w:themeColor="text1"/>
          <w:sz w:val="22"/>
          <w:szCs w:val="22"/>
          <w:lang w:val="es-MX"/>
        </w:rPr>
        <w:t xml:space="preserve"> </w:t>
      </w:r>
      <w:r w:rsidR="00CA110A" w:rsidRPr="009F4A13">
        <w:rPr>
          <w:rFonts w:ascii="Arial" w:hAnsi="Arial" w:cs="Arial"/>
          <w:color w:val="000000" w:themeColor="text1"/>
          <w:sz w:val="22"/>
          <w:szCs w:val="22"/>
          <w:lang w:val="es-MX"/>
        </w:rPr>
        <w:t xml:space="preserve">si las actividades que en ella se </w:t>
      </w:r>
      <w:r w:rsidR="00B02B0E" w:rsidRPr="009F4A13">
        <w:rPr>
          <w:rFonts w:ascii="Arial" w:hAnsi="Arial" w:cs="Arial"/>
          <w:color w:val="000000" w:themeColor="text1"/>
          <w:sz w:val="22"/>
          <w:szCs w:val="22"/>
          <w:lang w:val="es-MX"/>
        </w:rPr>
        <w:t xml:space="preserve">realizaron </w:t>
      </w:r>
      <w:r w:rsidR="00CA110A" w:rsidRPr="009F4A13">
        <w:rPr>
          <w:rFonts w:ascii="Arial" w:hAnsi="Arial" w:cs="Arial"/>
          <w:color w:val="000000" w:themeColor="text1"/>
          <w:sz w:val="22"/>
          <w:szCs w:val="22"/>
          <w:lang w:val="es-MX"/>
        </w:rPr>
        <w:t xml:space="preserve">están relacionadas con la infraestructura de transporte. </w:t>
      </w:r>
      <w:bookmarkEnd w:id="12"/>
    </w:p>
    <w:p w14:paraId="50F517C0" w14:textId="0614569F" w:rsidR="00252A0D" w:rsidRPr="009F4A13" w:rsidRDefault="00252A0D" w:rsidP="009F4A13">
      <w:pPr>
        <w:spacing w:line="276" w:lineRule="auto"/>
        <w:ind w:firstLine="709"/>
        <w:jc w:val="both"/>
        <w:rPr>
          <w:rFonts w:ascii="Arial" w:eastAsia="Calibri" w:hAnsi="Arial" w:cs="Arial"/>
          <w:color w:val="000000" w:themeColor="text1"/>
          <w:sz w:val="22"/>
          <w:lang w:val="es-ES_tradnl" w:eastAsia="es-ES"/>
        </w:rPr>
      </w:pPr>
      <w:r w:rsidRPr="009F4A13">
        <w:rPr>
          <w:rFonts w:ascii="Arial" w:eastAsia="Calibri" w:hAnsi="Arial" w:cs="Arial"/>
          <w:color w:val="000000" w:themeColor="text1"/>
          <w:sz w:val="22"/>
          <w:lang w:val="es-ES_tradnl" w:eastAsia="es-ES"/>
        </w:rPr>
        <w:t>En todo caso, debe destacarse que, sin perjuicio de la competencia de esta Agencia para la expedición de documentos tipos otorgada por la Ley 2022 de 2020, son las entidades estatales encargadas de aplicarlos quienes deben analizar el objeto que pretenden contratar, para determinar si el mismo es subsumible dentro de alguna actividad cobijada por un documento tipo, y si los certificados de experiencia allegados con las actividades ejecutadas por un proponente cumplen con lo establecido en la «Matriz 1 – Experiencia»</w:t>
      </w:r>
      <w:r w:rsidR="00046D02" w:rsidRPr="009F4A13">
        <w:rPr>
          <w:rFonts w:ascii="Arial" w:eastAsia="Calibri" w:hAnsi="Arial" w:cs="Arial"/>
          <w:color w:val="000000" w:themeColor="text1"/>
          <w:sz w:val="22"/>
          <w:lang w:val="es-ES_tradnl" w:eastAsia="es-ES"/>
        </w:rPr>
        <w:t xml:space="preserve"> y el respectivo proyecto de infraestructura que se pretende materializar</w:t>
      </w:r>
      <w:r w:rsidRPr="009F4A13">
        <w:rPr>
          <w:rFonts w:ascii="Arial" w:eastAsia="Calibri" w:hAnsi="Arial" w:cs="Arial"/>
          <w:color w:val="000000" w:themeColor="text1"/>
          <w:sz w:val="22"/>
          <w:lang w:val="es-ES_tradnl" w:eastAsia="es-ES"/>
        </w:rPr>
        <w:t xml:space="preserve">, ya sea de forma parcial o total. Al respecto, las especificaciones y particularidades del objeto a contratar, así como su relación de correspondencia con lo señalado en la «Matriz 1 – Experiencia», indicarán si el certificado de experiencia cumple con lo </w:t>
      </w:r>
      <w:r w:rsidR="00FB1B8A" w:rsidRPr="009F4A13">
        <w:rPr>
          <w:rFonts w:ascii="Arial" w:eastAsia="Calibri" w:hAnsi="Arial" w:cs="Arial"/>
          <w:color w:val="000000" w:themeColor="text1"/>
          <w:sz w:val="22"/>
          <w:lang w:val="es-ES_tradnl" w:eastAsia="es-ES"/>
        </w:rPr>
        <w:t>establecido</w:t>
      </w:r>
      <w:r w:rsidR="00B91376" w:rsidRPr="009F4A13">
        <w:rPr>
          <w:rFonts w:ascii="Arial" w:eastAsia="Calibri" w:hAnsi="Arial" w:cs="Arial"/>
          <w:color w:val="000000" w:themeColor="text1"/>
          <w:sz w:val="22"/>
          <w:lang w:val="es-ES_tradnl" w:eastAsia="es-ES"/>
        </w:rPr>
        <w:t xml:space="preserve">, de acuerdo </w:t>
      </w:r>
      <w:r w:rsidR="00B02B0E" w:rsidRPr="009F4A13">
        <w:rPr>
          <w:rFonts w:ascii="Arial" w:eastAsia="Calibri" w:hAnsi="Arial" w:cs="Arial"/>
          <w:color w:val="000000" w:themeColor="text1"/>
          <w:sz w:val="22"/>
          <w:lang w:val="es-ES_tradnl" w:eastAsia="es-ES"/>
        </w:rPr>
        <w:t>con</w:t>
      </w:r>
      <w:r w:rsidR="00B91376" w:rsidRPr="009F4A13">
        <w:rPr>
          <w:rFonts w:ascii="Arial" w:eastAsia="Calibri" w:hAnsi="Arial" w:cs="Arial"/>
          <w:color w:val="000000" w:themeColor="text1"/>
          <w:sz w:val="22"/>
          <w:lang w:val="es-ES_tradnl" w:eastAsia="es-ES"/>
        </w:rPr>
        <w:t xml:space="preserve"> lo que se pretenda contratar</w:t>
      </w:r>
      <w:r w:rsidR="00292321" w:rsidRPr="009F4A13">
        <w:rPr>
          <w:rFonts w:ascii="Arial" w:eastAsia="Calibri" w:hAnsi="Arial" w:cs="Arial"/>
          <w:color w:val="000000" w:themeColor="text1"/>
          <w:sz w:val="22"/>
          <w:lang w:val="es-ES_tradnl" w:eastAsia="es-ES"/>
        </w:rPr>
        <w:t>, aplicando en cada caso concreto la regla establecida en el literal j.</w:t>
      </w:r>
    </w:p>
    <w:p w14:paraId="2B5D8234" w14:textId="3E172163" w:rsidR="002E2C6A" w:rsidRPr="009F4A13" w:rsidRDefault="002E2C6A" w:rsidP="009F4A13">
      <w:pPr>
        <w:tabs>
          <w:tab w:val="left" w:pos="0"/>
        </w:tabs>
        <w:spacing w:line="276" w:lineRule="auto"/>
        <w:jc w:val="both"/>
        <w:rPr>
          <w:rFonts w:ascii="Arial" w:eastAsia="Calibri" w:hAnsi="Arial" w:cs="Arial"/>
          <w:b/>
          <w:color w:val="000000" w:themeColor="text1"/>
          <w:sz w:val="22"/>
          <w:lang w:val="es-ES_tradnl"/>
        </w:rPr>
      </w:pPr>
    </w:p>
    <w:p w14:paraId="15478778" w14:textId="7801109C" w:rsidR="001413FA" w:rsidRPr="009F4A13" w:rsidRDefault="001413FA" w:rsidP="001413FA">
      <w:pPr>
        <w:spacing w:line="276" w:lineRule="auto"/>
        <w:jc w:val="both"/>
        <w:rPr>
          <w:rFonts w:ascii="Arial" w:eastAsia="Calibri" w:hAnsi="Arial" w:cs="Arial"/>
          <w:b/>
          <w:color w:val="000000" w:themeColor="text1"/>
          <w:sz w:val="22"/>
          <w:szCs w:val="22"/>
        </w:rPr>
      </w:pPr>
      <w:r w:rsidRPr="009F4A13">
        <w:rPr>
          <w:rFonts w:ascii="Arial" w:eastAsia="Calibri" w:hAnsi="Arial" w:cs="Arial"/>
          <w:b/>
          <w:color w:val="000000" w:themeColor="text1"/>
          <w:sz w:val="22"/>
          <w:szCs w:val="22"/>
          <w:lang w:eastAsia="en-US"/>
        </w:rPr>
        <w:t>2.</w:t>
      </w:r>
      <w:r w:rsidR="002D6AB8" w:rsidRPr="009F4A13">
        <w:rPr>
          <w:rFonts w:ascii="Arial" w:eastAsia="Calibri" w:hAnsi="Arial" w:cs="Arial"/>
          <w:b/>
          <w:color w:val="000000" w:themeColor="text1"/>
          <w:sz w:val="22"/>
          <w:szCs w:val="22"/>
          <w:lang w:eastAsia="en-US"/>
        </w:rPr>
        <w:t>8</w:t>
      </w:r>
      <w:r w:rsidRPr="009F4A13">
        <w:rPr>
          <w:rFonts w:ascii="Arial" w:eastAsia="Calibri" w:hAnsi="Arial" w:cs="Arial"/>
          <w:b/>
          <w:color w:val="000000" w:themeColor="text1"/>
          <w:sz w:val="22"/>
          <w:szCs w:val="22"/>
          <w:lang w:eastAsia="en-US"/>
        </w:rPr>
        <w:t>.</w:t>
      </w:r>
      <w:r w:rsidRPr="009F4A13">
        <w:rPr>
          <w:rFonts w:ascii="Arial" w:eastAsia="Calibri" w:hAnsi="Arial" w:cs="Arial"/>
          <w:bCs/>
          <w:color w:val="000000" w:themeColor="text1"/>
          <w:sz w:val="22"/>
          <w:szCs w:val="22"/>
          <w:lang w:eastAsia="en-US"/>
        </w:rPr>
        <w:t xml:space="preserve"> </w:t>
      </w:r>
      <w:r w:rsidRPr="009F4A13">
        <w:rPr>
          <w:rFonts w:ascii="Arial" w:eastAsia="Calibri" w:hAnsi="Arial" w:cs="Arial"/>
          <w:b/>
          <w:color w:val="000000" w:themeColor="text1"/>
          <w:sz w:val="22"/>
          <w:szCs w:val="22"/>
        </w:rPr>
        <w:t>Actividad 6.1</w:t>
      </w:r>
      <w:r w:rsidR="00274F29" w:rsidRPr="009F4A13">
        <w:rPr>
          <w:rFonts w:ascii="Arial" w:eastAsia="Calibri" w:hAnsi="Arial" w:cs="Arial"/>
          <w:b/>
          <w:color w:val="000000" w:themeColor="text1"/>
          <w:sz w:val="22"/>
          <w:szCs w:val="22"/>
        </w:rPr>
        <w:t xml:space="preserve"> de la Matriz de Experiencia de los documentos tipo de licitación de obra pública de infraestructura de agua potable y saneamiento básico. P</w:t>
      </w:r>
      <w:r w:rsidRPr="009F4A13">
        <w:rPr>
          <w:rFonts w:ascii="Arial" w:eastAsia="Calibri" w:hAnsi="Arial" w:cs="Arial"/>
          <w:b/>
          <w:color w:val="000000" w:themeColor="text1"/>
          <w:sz w:val="22"/>
          <w:szCs w:val="22"/>
        </w:rPr>
        <w:t>royectos de construcción de unidades sanitarias para vivienda rural dispersa</w:t>
      </w:r>
    </w:p>
    <w:p w14:paraId="7424CF7F" w14:textId="77777777" w:rsidR="001413FA" w:rsidRPr="009F4A13" w:rsidRDefault="001413FA" w:rsidP="001413FA">
      <w:pPr>
        <w:spacing w:line="276" w:lineRule="auto"/>
        <w:jc w:val="both"/>
        <w:rPr>
          <w:rFonts w:ascii="Arial" w:eastAsia="Calibri" w:hAnsi="Arial" w:cs="Arial"/>
          <w:b/>
          <w:color w:val="000000" w:themeColor="text1"/>
          <w:sz w:val="22"/>
          <w:szCs w:val="22"/>
        </w:rPr>
      </w:pPr>
    </w:p>
    <w:p w14:paraId="29151F11" w14:textId="77777777" w:rsidR="006D107A" w:rsidRPr="009F4A13" w:rsidRDefault="00274F29" w:rsidP="009F4A13">
      <w:pPr>
        <w:spacing w:after="120" w:line="276" w:lineRule="auto"/>
        <w:jc w:val="both"/>
        <w:rPr>
          <w:rFonts w:ascii="Arial" w:eastAsia="Calibri" w:hAnsi="Arial" w:cs="Arial"/>
          <w:color w:val="000000" w:themeColor="text1"/>
          <w:sz w:val="22"/>
          <w:lang w:val="es-MX"/>
        </w:rPr>
      </w:pPr>
      <w:r w:rsidRPr="009F4A13">
        <w:rPr>
          <w:rFonts w:ascii="Arial" w:eastAsia="Calibri" w:hAnsi="Arial" w:cs="Arial"/>
          <w:color w:val="000000" w:themeColor="text1"/>
          <w:sz w:val="22"/>
          <w:lang w:val="es-MX"/>
        </w:rPr>
        <w:t>Teniendo en cuenta la tercera pregunta del peticionario, corresponde analizar la actividad 6.1 de la Matriz de Experiencia de los documentos tipo de licitación de obra pública de infraestructura de agua potable y saneamiento básico</w:t>
      </w:r>
      <w:r w:rsidR="006D107A" w:rsidRPr="009F4A13">
        <w:rPr>
          <w:rFonts w:ascii="Arial" w:eastAsia="Calibri" w:hAnsi="Arial" w:cs="Arial"/>
          <w:color w:val="000000" w:themeColor="text1"/>
          <w:sz w:val="22"/>
          <w:lang w:val="es-MX"/>
        </w:rPr>
        <w:t>, relacionada con los p</w:t>
      </w:r>
      <w:r w:rsidRPr="009F4A13">
        <w:rPr>
          <w:rFonts w:ascii="Arial" w:eastAsia="Calibri" w:hAnsi="Arial" w:cs="Arial"/>
          <w:color w:val="000000" w:themeColor="text1"/>
          <w:sz w:val="22"/>
          <w:lang w:val="es-MX"/>
        </w:rPr>
        <w:t>royectos de construcción de unidades sanitarias para vivienda rural dispersa</w:t>
      </w:r>
      <w:r w:rsidR="006D107A" w:rsidRPr="009F4A13">
        <w:rPr>
          <w:rFonts w:ascii="Arial" w:eastAsia="Calibri" w:hAnsi="Arial" w:cs="Arial"/>
          <w:color w:val="000000" w:themeColor="text1"/>
          <w:sz w:val="22"/>
          <w:lang w:val="es-MX"/>
        </w:rPr>
        <w:t xml:space="preserve">. </w:t>
      </w:r>
    </w:p>
    <w:p w14:paraId="43393139" w14:textId="5BE73B10" w:rsidR="001413FA" w:rsidRPr="009F4A13" w:rsidRDefault="006D107A" w:rsidP="009F4A13">
      <w:pPr>
        <w:spacing w:line="276" w:lineRule="auto"/>
        <w:ind w:firstLine="709"/>
        <w:jc w:val="both"/>
        <w:rPr>
          <w:rFonts w:ascii="Arial" w:eastAsia="Calibri" w:hAnsi="Arial" w:cs="Arial"/>
          <w:color w:val="000000" w:themeColor="text1"/>
          <w:sz w:val="22"/>
          <w:szCs w:val="22"/>
          <w:lang w:val="es-ES_tradnl" w:eastAsia="en-US"/>
        </w:rPr>
      </w:pPr>
      <w:r w:rsidRPr="009F4A13">
        <w:rPr>
          <w:rFonts w:ascii="Arial" w:eastAsia="Calibri" w:hAnsi="Arial" w:cs="Arial"/>
          <w:color w:val="000000" w:themeColor="text1"/>
          <w:sz w:val="22"/>
          <w:lang w:val="es-MX"/>
        </w:rPr>
        <w:t>En este sentido, e</w:t>
      </w:r>
      <w:r w:rsidR="001413FA" w:rsidRPr="009F4A13">
        <w:rPr>
          <w:rFonts w:ascii="Arial" w:eastAsia="Calibri" w:hAnsi="Arial" w:cs="Arial"/>
          <w:color w:val="000000" w:themeColor="text1"/>
          <w:sz w:val="22"/>
          <w:lang w:val="es-MX"/>
        </w:rPr>
        <w:t xml:space="preserve">l numeral 6 de la «Matriz 1 – Experiencia», contempla las obras de infraestructura de </w:t>
      </w:r>
      <w:r w:rsidR="001413FA" w:rsidRPr="009F4A13">
        <w:rPr>
          <w:rFonts w:ascii="Arial" w:eastAsia="Calibri" w:hAnsi="Arial" w:cs="Arial"/>
          <w:color w:val="000000" w:themeColor="text1"/>
          <w:sz w:val="22"/>
          <w:szCs w:val="22"/>
          <w:lang w:val="es-ES_tradnl" w:eastAsia="en-US"/>
        </w:rPr>
        <w:t>«Unidades Sanitarias para Vivienda Rural Dispersa». La unidad sanitaria está conformada de manera general por «un sanitario, una ducha, un lavamanos y un lavadero. Esta unidad contará con sus respectivas cajas de inspección, un filtro anaerobio de flujo ascendente FAFA y un campo de infiltración»</w:t>
      </w:r>
      <w:r w:rsidR="001413FA" w:rsidRPr="009F4A13">
        <w:rPr>
          <w:rStyle w:val="Refdenotaalpie"/>
          <w:rFonts w:ascii="Arial" w:eastAsia="Calibri" w:hAnsi="Arial" w:cs="Arial"/>
          <w:color w:val="000000" w:themeColor="text1"/>
          <w:sz w:val="22"/>
          <w:szCs w:val="22"/>
          <w:lang w:val="es-ES_tradnl" w:eastAsia="en-US"/>
        </w:rPr>
        <w:footnoteReference w:id="35"/>
      </w:r>
      <w:r w:rsidR="001413FA" w:rsidRPr="009F4A13">
        <w:rPr>
          <w:rFonts w:ascii="Arial" w:eastAsia="Calibri" w:hAnsi="Arial" w:cs="Arial"/>
          <w:color w:val="000000" w:themeColor="text1"/>
          <w:sz w:val="22"/>
          <w:szCs w:val="22"/>
          <w:lang w:val="es-ES_tradnl" w:eastAsia="en-US"/>
        </w:rPr>
        <w:t xml:space="preserve">. Esto significa que la </w:t>
      </w:r>
      <w:r w:rsidR="001413FA" w:rsidRPr="009F4A13">
        <w:rPr>
          <w:rFonts w:ascii="Arial" w:eastAsia="Calibri" w:hAnsi="Arial" w:cs="Arial"/>
          <w:color w:val="000000" w:themeColor="text1"/>
          <w:sz w:val="22"/>
          <w:szCs w:val="22"/>
          <w:lang w:val="es-ES_tradnl" w:eastAsia="en-US"/>
        </w:rPr>
        <w:lastRenderedPageBreak/>
        <w:t>unidad sanitaria es un conjunto de elementos sanitarios que serán destinados a viviendas rurales. En este sentido, esta actividad es aplicable cuando se requieran proyectos que incluyan, en su conjunto, unidades sanitarias para vivienda rural dispersa, sea para su construcción o para su optimización y/o mejoramiento y/o adecuación y/o ampliación y/o reforzamiento y/o rehabilitación y/o mantenimiento.</w:t>
      </w:r>
    </w:p>
    <w:p w14:paraId="04223BBE" w14:textId="77777777" w:rsidR="001413FA" w:rsidRPr="009F4A13" w:rsidRDefault="001413FA" w:rsidP="001413FA">
      <w:pPr>
        <w:spacing w:before="120" w:line="276" w:lineRule="auto"/>
        <w:ind w:firstLine="709"/>
        <w:jc w:val="both"/>
        <w:rPr>
          <w:rFonts w:ascii="Arial" w:hAnsi="Arial" w:cs="Arial"/>
          <w:color w:val="000000" w:themeColor="text1"/>
          <w:sz w:val="22"/>
          <w:szCs w:val="22"/>
          <w:lang w:val="es-ES_tradnl" w:eastAsia="es-ES"/>
        </w:rPr>
      </w:pPr>
      <w:r w:rsidRPr="009F4A13">
        <w:rPr>
          <w:rFonts w:ascii="Arial" w:hAnsi="Arial" w:cs="Arial"/>
          <w:color w:val="000000" w:themeColor="text1"/>
          <w:sz w:val="22"/>
        </w:rPr>
        <w:t xml:space="preserve">Particularmente, el numeral 6.1 de la «Matriz 1 – Experiencia» contempla los proyectos </w:t>
      </w:r>
      <w:r w:rsidRPr="009F4A13">
        <w:rPr>
          <w:rFonts w:ascii="Arial" w:hAnsi="Arial" w:cs="Arial"/>
          <w:color w:val="000000" w:themeColor="text1"/>
          <w:sz w:val="22"/>
          <w:szCs w:val="22"/>
          <w:lang w:val="es-ES" w:eastAsia="es-ES"/>
        </w:rPr>
        <w:t>de construcción de unidades sanitarias para vivienda rural dispersa.</w:t>
      </w:r>
      <w:r w:rsidRPr="009F4A13">
        <w:rPr>
          <w:rFonts w:ascii="Arial" w:eastAsia="Calibri" w:hAnsi="Arial" w:cs="Arial"/>
          <w:color w:val="000000" w:themeColor="text1"/>
          <w:sz w:val="22"/>
        </w:rPr>
        <w:t xml:space="preserve"> Esta actividad es aplicable cuando la entidad pública requiera ejecutar proyectos cuyo objeto sea la construcción –obra nueva– de unidades sanitarias destinadas exclusivamente a vivienda rural dispersa.</w:t>
      </w:r>
      <w:r w:rsidRPr="009F4A13">
        <w:rPr>
          <w:rFonts w:ascii="Arial" w:hAnsi="Arial" w:cs="Arial"/>
          <w:color w:val="000000" w:themeColor="text1"/>
          <w:sz w:val="22"/>
          <w:szCs w:val="22"/>
          <w:lang w:val="es-ES_tradnl" w:eastAsia="es-ES"/>
        </w:rPr>
        <w:t xml:space="preserve"> Como experiencia general para esta actividad se solicita </w:t>
      </w:r>
      <w:r w:rsidRPr="009F4A13">
        <w:rPr>
          <w:rFonts w:ascii="Arial" w:eastAsia="Calibri" w:hAnsi="Arial" w:cs="Arial"/>
          <w:color w:val="000000" w:themeColor="text1"/>
          <w:sz w:val="22"/>
          <w:szCs w:val="22"/>
          <w:lang w:val="es-MX" w:eastAsia="en-US"/>
        </w:rPr>
        <w:t>«</w:t>
      </w:r>
      <w:r w:rsidRPr="009F4A13">
        <w:rPr>
          <w:rFonts w:ascii="Arial" w:hAnsi="Arial" w:cs="Arial"/>
          <w:color w:val="000000" w:themeColor="text1"/>
          <w:sz w:val="22"/>
          <w:szCs w:val="22"/>
          <w:lang w:val="es-ES_tradnl" w:eastAsia="es-ES"/>
        </w:rPr>
        <w:t>proyectos que hayan contemplado actividades de: construcción y/o instalación de redes hidrosanitarias o baterías sanitarias o unidades sanitarias</w:t>
      </w:r>
      <w:r w:rsidRPr="009F4A13">
        <w:rPr>
          <w:rFonts w:ascii="Arial" w:eastAsiaTheme="minorHAnsi" w:hAnsi="Arial" w:cs="Arial"/>
          <w:color w:val="000000" w:themeColor="text1"/>
          <w:sz w:val="22"/>
          <w:szCs w:val="22"/>
          <w:lang w:val="es-MX" w:eastAsia="en-US"/>
        </w:rPr>
        <w:t>».</w:t>
      </w:r>
    </w:p>
    <w:p w14:paraId="305A87F2" w14:textId="77777777" w:rsidR="001413FA" w:rsidRPr="009F4A13" w:rsidRDefault="001413FA" w:rsidP="001413FA">
      <w:pPr>
        <w:spacing w:before="120" w:line="276" w:lineRule="auto"/>
        <w:ind w:firstLine="709"/>
        <w:jc w:val="both"/>
        <w:rPr>
          <w:rFonts w:ascii="Arial" w:hAnsi="Arial" w:cs="Arial"/>
          <w:color w:val="000000" w:themeColor="text1"/>
          <w:sz w:val="22"/>
          <w:szCs w:val="22"/>
          <w:lang w:eastAsia="es-ES"/>
        </w:rPr>
      </w:pPr>
      <w:r w:rsidRPr="009F4A13">
        <w:rPr>
          <w:rFonts w:ascii="Arial" w:hAnsi="Arial" w:cs="Arial"/>
          <w:color w:val="000000" w:themeColor="text1"/>
          <w:sz w:val="22"/>
          <w:szCs w:val="22"/>
          <w:lang w:val="es-ES_tradnl" w:eastAsia="es-ES"/>
        </w:rPr>
        <w:t xml:space="preserve">Sobre este punto, </w:t>
      </w:r>
      <w:r w:rsidRPr="009F4A13">
        <w:rPr>
          <w:rFonts w:ascii="Arial" w:hAnsi="Arial" w:cs="Arial"/>
          <w:color w:val="000000" w:themeColor="text1"/>
          <w:sz w:val="22"/>
          <w:szCs w:val="22"/>
          <w:lang w:val="es-MX" w:eastAsia="es-ES"/>
        </w:rPr>
        <w:t xml:space="preserve">es importante señalar que, conforme se establece en el «Anexo 3 – Glosario» de los documentos tipo de agua potable y saneamiento básico, la palabra </w:t>
      </w:r>
      <w:r w:rsidRPr="009F4A13">
        <w:rPr>
          <w:rFonts w:ascii="Arial" w:hAnsi="Arial" w:cs="Arial"/>
          <w:i/>
          <w:iCs/>
          <w:color w:val="000000" w:themeColor="text1"/>
          <w:sz w:val="22"/>
          <w:szCs w:val="22"/>
          <w:lang w:val="es-MX" w:eastAsia="es-ES"/>
        </w:rPr>
        <w:t xml:space="preserve">proyecto </w:t>
      </w:r>
      <w:r w:rsidRPr="009F4A13">
        <w:rPr>
          <w:rFonts w:ascii="Arial" w:hAnsi="Arial" w:cs="Arial"/>
          <w:color w:val="000000" w:themeColor="text1"/>
          <w:sz w:val="22"/>
          <w:szCs w:val="22"/>
          <w:lang w:val="es-MX" w:eastAsia="es-ES"/>
        </w:rPr>
        <w:t>es definida como «</w:t>
      </w:r>
      <w:r w:rsidRPr="009F4A13">
        <w:rPr>
          <w:rFonts w:ascii="Arial" w:hAnsi="Arial" w:cs="Arial"/>
          <w:color w:val="000000" w:themeColor="text1"/>
          <w:sz w:val="22"/>
          <w:szCs w:val="22"/>
          <w:lang w:eastAsia="es-ES"/>
        </w:rPr>
        <w:t>toda obra o conjunto de obras que hayan permitido la ejecución de al menos uno de los componentes que integran el sistema acueducto o un sistema de alcantarillado y que cumplan con las condiciones señaladas en los documentos de la convocatoria</w:t>
      </w:r>
      <w:r w:rsidRPr="009F4A13">
        <w:rPr>
          <w:rFonts w:ascii="Arial" w:hAnsi="Arial" w:cs="Arial"/>
          <w:color w:val="000000" w:themeColor="text1"/>
          <w:sz w:val="22"/>
          <w:szCs w:val="22"/>
          <w:lang w:val="es-MX" w:eastAsia="es-ES"/>
        </w:rPr>
        <w:t>»</w:t>
      </w:r>
      <w:r w:rsidRPr="009F4A13">
        <w:rPr>
          <w:rFonts w:ascii="Arial" w:hAnsi="Arial" w:cs="Arial"/>
          <w:color w:val="000000" w:themeColor="text1"/>
          <w:sz w:val="22"/>
          <w:szCs w:val="22"/>
          <w:lang w:eastAsia="es-ES"/>
        </w:rPr>
        <w:t>. De este modo, la experiencia general solicitada en el numeral 6.1 se refiere a proyectos de obra cuya ejecución haya contemplado cualquiera de los componentes mencionados: i) construcción de redes hidrosanitarias o de baterías sanitarias o de unidades sanitarias, y/o ii) instalación de redes hidrosanitarias o de baterías sanitarias o de unidades sanitarias, más no que su alcance se limite exclusivamente a uno de estos.</w:t>
      </w:r>
    </w:p>
    <w:p w14:paraId="1C1E10EE" w14:textId="77777777" w:rsidR="001413FA" w:rsidRPr="009F4A13" w:rsidRDefault="001413FA" w:rsidP="001413FA">
      <w:pPr>
        <w:spacing w:before="120" w:line="276" w:lineRule="auto"/>
        <w:ind w:firstLine="709"/>
        <w:jc w:val="both"/>
        <w:rPr>
          <w:rFonts w:ascii="Arial" w:eastAsia="Calibri" w:hAnsi="Arial" w:cs="Arial"/>
          <w:color w:val="000000" w:themeColor="text1"/>
          <w:sz w:val="22"/>
          <w:szCs w:val="22"/>
          <w:lang w:eastAsia="en-US"/>
        </w:rPr>
      </w:pPr>
      <w:r w:rsidRPr="009F4A13">
        <w:rPr>
          <w:rFonts w:ascii="Arial" w:hAnsi="Arial" w:cs="Arial"/>
          <w:bCs/>
          <w:color w:val="000000" w:themeColor="text1"/>
          <w:sz w:val="22"/>
          <w:szCs w:val="22"/>
          <w:lang w:val="es-ES_tradnl" w:eastAsia="es-ES"/>
        </w:rPr>
        <w:t xml:space="preserve">Así, para acreditar la experiencia general establecida en el numeral 6.1 de la </w:t>
      </w:r>
      <w:r w:rsidRPr="009F4A13">
        <w:rPr>
          <w:rFonts w:ascii="Arial" w:hAnsi="Arial" w:cs="Arial"/>
          <w:color w:val="000000" w:themeColor="text1"/>
          <w:sz w:val="22"/>
          <w:szCs w:val="22"/>
          <w:lang w:val="es-MX" w:eastAsia="es-ES"/>
        </w:rPr>
        <w:t>«</w:t>
      </w:r>
      <w:r w:rsidRPr="009F4A13">
        <w:rPr>
          <w:rFonts w:ascii="Arial" w:hAnsi="Arial" w:cs="Arial"/>
          <w:bCs/>
          <w:color w:val="000000" w:themeColor="text1"/>
          <w:sz w:val="22"/>
          <w:szCs w:val="22"/>
          <w:lang w:val="es-ES_tradnl" w:eastAsia="es-ES"/>
        </w:rPr>
        <w:t>Matriz 1 – Experiencia</w:t>
      </w:r>
      <w:r w:rsidRPr="009F4A13">
        <w:rPr>
          <w:rFonts w:ascii="Arial" w:hAnsi="Arial" w:cs="Arial"/>
          <w:color w:val="000000" w:themeColor="text1"/>
          <w:sz w:val="22"/>
          <w:szCs w:val="22"/>
          <w:lang w:val="es-MX" w:eastAsia="es-ES"/>
        </w:rPr>
        <w:t>»</w:t>
      </w:r>
      <w:r w:rsidRPr="009F4A13">
        <w:rPr>
          <w:rFonts w:ascii="Arial" w:hAnsi="Arial" w:cs="Arial"/>
          <w:bCs/>
          <w:color w:val="000000" w:themeColor="text1"/>
          <w:sz w:val="22"/>
          <w:szCs w:val="22"/>
          <w:lang w:val="es-ES_tradnl" w:eastAsia="es-ES"/>
        </w:rPr>
        <w:t xml:space="preserve">, el proponente podrá presentar contratos que comprendan actividades de obra relacionadas con la construcción y/o instalación de redes hidrosanitarias, baterías sanitarias o unidades sanitarias, sea que el contrato contemple dicho objeto o que, siendo un contrato de objeto múltiple, cualquiera de estas sea una actividad incluida en la ejecución del mismo. Por tanto, </w:t>
      </w:r>
      <w:r w:rsidRPr="009F4A13">
        <w:rPr>
          <w:rFonts w:ascii="Arial" w:hAnsi="Arial" w:cs="Arial"/>
          <w:bCs/>
          <w:color w:val="000000" w:themeColor="text1"/>
          <w:sz w:val="22"/>
          <w:szCs w:val="22"/>
          <w:lang w:val="es-MX" w:eastAsia="es-ES"/>
        </w:rPr>
        <w:t xml:space="preserve">debe demostrar que ha ejecutado, al menos, alguna de las actividades enlistadas, sin que sea necesario acreditar todas las actividades establecidas. Esta experiencia, conforme se expuso, debe ser acreditada en mínimo 1 y máximo 6 contratos, teniendo en cuenta que </w:t>
      </w:r>
      <w:r w:rsidRPr="009F4A13">
        <w:rPr>
          <w:rFonts w:ascii="Arial" w:eastAsia="Calibri" w:hAnsi="Arial" w:cs="Arial"/>
          <w:color w:val="000000" w:themeColor="text1"/>
          <w:sz w:val="22"/>
          <w:szCs w:val="22"/>
          <w:lang w:eastAsia="en-US"/>
        </w:rPr>
        <w:t xml:space="preserve">la cantidad de contratos que aporte para acreditar dicha experiencia determinará el porcentaje del valor del presupuesto oficial que la sumatoria de dichos contratos debe alcanzar para poder cumplir con el requisito habilitante. Además, el proponente deberá tener en cuenta las condiciones de acreditación de experiencia establecidas en el numeral 3.5. del documento base. </w:t>
      </w:r>
    </w:p>
    <w:p w14:paraId="487C2EE9" w14:textId="77777777" w:rsidR="001413FA" w:rsidRPr="009F4A13" w:rsidRDefault="001413FA" w:rsidP="001413FA">
      <w:pPr>
        <w:spacing w:before="120" w:line="276" w:lineRule="auto"/>
        <w:ind w:firstLine="709"/>
        <w:jc w:val="both"/>
        <w:rPr>
          <w:rFonts w:ascii="Arial" w:hAnsi="Arial" w:cs="Arial"/>
          <w:color w:val="000000" w:themeColor="text1"/>
          <w:sz w:val="22"/>
          <w:szCs w:val="22"/>
          <w:lang w:val="es-ES" w:eastAsia="es-ES"/>
        </w:rPr>
      </w:pPr>
      <w:r w:rsidRPr="009F4A13">
        <w:rPr>
          <w:rFonts w:ascii="Arial" w:hAnsi="Arial" w:cs="Arial"/>
          <w:bCs/>
          <w:color w:val="000000" w:themeColor="text1"/>
          <w:sz w:val="22"/>
          <w:szCs w:val="22"/>
          <w:lang w:val="es-ES_tradnl" w:eastAsia="es-ES"/>
        </w:rPr>
        <w:lastRenderedPageBreak/>
        <w:t>De otro lado, en cuanto a la experiencia específica, el numeral 6.1</w:t>
      </w:r>
      <w:r w:rsidRPr="009F4A13">
        <w:rPr>
          <w:rFonts w:ascii="Arial" w:hAnsi="Arial" w:cs="Arial"/>
          <w:color w:val="000000" w:themeColor="text1"/>
          <w:sz w:val="22"/>
          <w:szCs w:val="22"/>
          <w:lang w:val="es-ES_tradnl" w:eastAsia="es-ES"/>
        </w:rPr>
        <w:t xml:space="preserve"> </w:t>
      </w:r>
      <w:r w:rsidRPr="009F4A13">
        <w:rPr>
          <w:rFonts w:ascii="Arial" w:hAnsi="Arial" w:cs="Arial"/>
          <w:color w:val="000000" w:themeColor="text1"/>
          <w:sz w:val="22"/>
        </w:rPr>
        <w:t xml:space="preserve">de la «Matriz 1 – Experiencia» </w:t>
      </w:r>
      <w:r w:rsidRPr="009F4A13">
        <w:rPr>
          <w:rFonts w:ascii="Arial" w:hAnsi="Arial" w:cs="Arial"/>
          <w:color w:val="000000" w:themeColor="text1"/>
          <w:sz w:val="22"/>
          <w:szCs w:val="22"/>
          <w:lang w:val="es-ES_tradnl" w:eastAsia="es-ES"/>
        </w:rPr>
        <w:t xml:space="preserve">establece lo siguiente: </w:t>
      </w:r>
    </w:p>
    <w:p w14:paraId="5F20802D" w14:textId="77777777" w:rsidR="001413FA" w:rsidRPr="009F4A13" w:rsidRDefault="001413FA" w:rsidP="001413FA">
      <w:pPr>
        <w:spacing w:line="276" w:lineRule="auto"/>
        <w:ind w:firstLine="709"/>
        <w:jc w:val="both"/>
        <w:rPr>
          <w:rFonts w:ascii="Arial" w:hAnsi="Arial" w:cs="Arial"/>
          <w:color w:val="000000" w:themeColor="text1"/>
          <w:sz w:val="22"/>
          <w:szCs w:val="22"/>
          <w:lang w:val="es-ES_tradnl" w:eastAsia="es-ES"/>
        </w:rPr>
      </w:pPr>
    </w:p>
    <w:p w14:paraId="7CE22EE3" w14:textId="77777777" w:rsidR="001413FA" w:rsidRPr="009F4A13" w:rsidRDefault="001413FA" w:rsidP="001413FA">
      <w:pPr>
        <w:ind w:left="709" w:right="476"/>
        <w:jc w:val="both"/>
        <w:rPr>
          <w:rFonts w:ascii="Arial" w:hAnsi="Arial" w:cs="Arial"/>
          <w:color w:val="000000" w:themeColor="text1"/>
          <w:sz w:val="21"/>
          <w:szCs w:val="21"/>
          <w:lang w:val="es-ES_tradnl" w:eastAsia="es-ES"/>
        </w:rPr>
      </w:pPr>
      <w:r w:rsidRPr="009F4A13">
        <w:rPr>
          <w:rFonts w:ascii="Arial" w:hAnsi="Arial" w:cs="Arial"/>
          <w:color w:val="000000" w:themeColor="text1"/>
          <w:sz w:val="21"/>
          <w:szCs w:val="21"/>
          <w:lang w:val="es-ES_tradnl" w:eastAsia="es-ES"/>
        </w:rPr>
        <w:t>Por lo menos uno (1) de los contratos válidos aportados como experiencia general debe acreditar experiencia en CONSTRUCCIÓN DE SISTEMAS DE TRATAMIENTOS EN EL SITIO DE ORIGEN (TANQUES O POZOS SÉPTICOS)</w:t>
      </w:r>
    </w:p>
    <w:p w14:paraId="0C2DB3ED" w14:textId="77777777" w:rsidR="001413FA" w:rsidRPr="009F4A13" w:rsidRDefault="001413FA" w:rsidP="001413FA">
      <w:pPr>
        <w:ind w:left="709" w:right="476"/>
        <w:jc w:val="both"/>
        <w:rPr>
          <w:rFonts w:ascii="Arial" w:hAnsi="Arial" w:cs="Arial"/>
          <w:color w:val="000000" w:themeColor="text1"/>
          <w:sz w:val="21"/>
          <w:szCs w:val="21"/>
        </w:rPr>
      </w:pPr>
    </w:p>
    <w:p w14:paraId="505C4F82" w14:textId="77777777" w:rsidR="001413FA" w:rsidRPr="009F4A13" w:rsidRDefault="001413FA" w:rsidP="001413FA">
      <w:pPr>
        <w:ind w:left="709" w:right="474"/>
        <w:jc w:val="both"/>
        <w:rPr>
          <w:rFonts w:ascii="Arial" w:hAnsi="Arial" w:cs="Arial"/>
          <w:color w:val="000000" w:themeColor="text1"/>
          <w:sz w:val="21"/>
          <w:szCs w:val="21"/>
          <w:lang w:val="es-ES_tradnl" w:eastAsia="es-ES"/>
        </w:rPr>
      </w:pPr>
      <w:r w:rsidRPr="009F4A13">
        <w:rPr>
          <w:rFonts w:ascii="Arial" w:hAnsi="Arial" w:cs="Arial"/>
          <w:color w:val="000000" w:themeColor="text1"/>
          <w:sz w:val="21"/>
          <w:szCs w:val="21"/>
          <w:lang w:val="es-ES_tradnl" w:eastAsia="es-ES"/>
        </w:rPr>
        <w:t xml:space="preserve"> Y </w:t>
      </w:r>
    </w:p>
    <w:p w14:paraId="006301DA" w14:textId="77777777" w:rsidR="001413FA" w:rsidRPr="009F4A13" w:rsidRDefault="001413FA" w:rsidP="001413FA">
      <w:pPr>
        <w:ind w:left="709" w:right="474"/>
        <w:jc w:val="both"/>
        <w:rPr>
          <w:rFonts w:ascii="Arial" w:hAnsi="Arial" w:cs="Arial"/>
          <w:color w:val="000000" w:themeColor="text1"/>
          <w:sz w:val="21"/>
          <w:szCs w:val="21"/>
          <w:lang w:val="es-ES_tradnl" w:eastAsia="es-ES"/>
        </w:rPr>
      </w:pPr>
    </w:p>
    <w:p w14:paraId="714AB094" w14:textId="77777777" w:rsidR="001413FA" w:rsidRPr="009F4A13" w:rsidRDefault="001413FA" w:rsidP="001413FA">
      <w:pPr>
        <w:ind w:left="709" w:right="476"/>
        <w:jc w:val="both"/>
        <w:rPr>
          <w:rFonts w:ascii="Arial" w:hAnsi="Arial" w:cs="Arial"/>
          <w:color w:val="000000" w:themeColor="text1"/>
          <w:sz w:val="21"/>
          <w:szCs w:val="21"/>
          <w:lang w:val="es-ES_tradnl" w:eastAsia="es-ES"/>
        </w:rPr>
      </w:pPr>
      <w:r w:rsidRPr="009F4A13">
        <w:rPr>
          <w:rFonts w:ascii="Arial" w:hAnsi="Arial" w:cs="Arial"/>
          <w:color w:val="000000" w:themeColor="text1"/>
          <w:sz w:val="21"/>
          <w:szCs w:val="21"/>
          <w:lang w:val="es-ES_tradnl" w:eastAsia="es-ES"/>
        </w:rPr>
        <w:t>Por lo menos uno (1) de los contratos válidos aportados deberá corresponder a la CONSTRUCCIÓN DE UNA CANTIDAD CORRESPONDIENTE AL (F%) DE LAS UNIDADES SANITARIAS a contratar por el presente proceso de selección. Para este aspecto, las unidades a construir corresponden a [la entidad debe indicar la cantidad de unidades sanitarias a construir].</w:t>
      </w:r>
    </w:p>
    <w:p w14:paraId="59651A4C" w14:textId="77777777" w:rsidR="001413FA" w:rsidRPr="009F4A13" w:rsidRDefault="001413FA" w:rsidP="001413FA">
      <w:pPr>
        <w:spacing w:line="276" w:lineRule="auto"/>
        <w:ind w:left="709" w:right="476"/>
        <w:jc w:val="both"/>
        <w:rPr>
          <w:rFonts w:ascii="Arial" w:hAnsi="Arial" w:cs="Arial"/>
          <w:color w:val="000000" w:themeColor="text1"/>
          <w:sz w:val="21"/>
          <w:szCs w:val="21"/>
          <w:lang w:val="es-ES_tradnl" w:eastAsia="es-ES"/>
        </w:rPr>
      </w:pPr>
    </w:p>
    <w:p w14:paraId="16AEB97E" w14:textId="77777777" w:rsidR="001413FA" w:rsidRPr="009F4A13" w:rsidRDefault="001413FA" w:rsidP="001413FA">
      <w:pPr>
        <w:spacing w:line="276" w:lineRule="auto"/>
        <w:ind w:firstLine="709"/>
        <w:jc w:val="both"/>
        <w:rPr>
          <w:rFonts w:ascii="Arial" w:hAnsi="Arial" w:cs="Arial"/>
          <w:color w:val="000000" w:themeColor="text1"/>
          <w:sz w:val="22"/>
          <w:szCs w:val="22"/>
          <w:lang w:val="es-ES_tradnl" w:eastAsia="es-ES"/>
        </w:rPr>
      </w:pPr>
      <w:r w:rsidRPr="009F4A13">
        <w:rPr>
          <w:rFonts w:ascii="Arial" w:hAnsi="Arial" w:cs="Arial"/>
          <w:color w:val="000000" w:themeColor="text1"/>
          <w:sz w:val="22"/>
        </w:rPr>
        <w:t xml:space="preserve">Lo anterior significa que el proponente, además de acreditar la experiencia general en contratos cuyas actividades contemplen la </w:t>
      </w:r>
      <w:r w:rsidRPr="009F4A13">
        <w:rPr>
          <w:rFonts w:ascii="Arial" w:hAnsi="Arial" w:cs="Arial"/>
          <w:color w:val="000000" w:themeColor="text1"/>
          <w:sz w:val="22"/>
          <w:szCs w:val="22"/>
          <w:lang w:val="es-ES_tradnl" w:eastAsia="es-ES"/>
        </w:rPr>
        <w:t>construcción y/o instalación de redes hidrosanitarias o baterías sanitarias o unidades sanitarias</w:t>
      </w:r>
      <w:r w:rsidRPr="009F4A13">
        <w:rPr>
          <w:rFonts w:ascii="Arial" w:hAnsi="Arial" w:cs="Arial"/>
          <w:color w:val="000000" w:themeColor="text1"/>
          <w:sz w:val="22"/>
        </w:rPr>
        <w:t xml:space="preserve">, deberá acreditar la experiencia específica en dos aspectos: i) la construcción de sistemas de tratamiento en el sitio de origen (tanques o pozos sépticos) y ii) la </w:t>
      </w:r>
      <w:r w:rsidRPr="009F4A13">
        <w:rPr>
          <w:rFonts w:ascii="Arial" w:hAnsi="Arial" w:cs="Arial"/>
          <w:color w:val="000000" w:themeColor="text1"/>
          <w:sz w:val="22"/>
          <w:szCs w:val="22"/>
          <w:lang w:val="es-ES_tradnl" w:eastAsia="es-ES"/>
        </w:rPr>
        <w:t>construcción de una cantidad correspondiente a un porcentaje determinado de las unidades sanitarias a contratar. Este porcentaje se establece con base en la cuantía del proceso de contratación y deberá ser redondeado a un valor entero de acuerdo con las nociones de la matemática aplicables en la materia</w:t>
      </w:r>
      <w:r w:rsidRPr="009F4A13">
        <w:rPr>
          <w:rStyle w:val="Refdenotaalpie"/>
          <w:rFonts w:ascii="Arial" w:hAnsi="Arial" w:cs="Arial"/>
          <w:color w:val="000000" w:themeColor="text1"/>
          <w:sz w:val="22"/>
          <w:szCs w:val="22"/>
          <w:lang w:val="es-ES_tradnl" w:eastAsia="es-ES"/>
        </w:rPr>
        <w:footnoteReference w:id="36"/>
      </w:r>
      <w:r w:rsidRPr="009F4A13">
        <w:rPr>
          <w:rFonts w:ascii="Arial" w:hAnsi="Arial" w:cs="Arial"/>
          <w:color w:val="000000" w:themeColor="text1"/>
          <w:sz w:val="22"/>
          <w:szCs w:val="22"/>
          <w:lang w:val="es-ES_tradnl" w:eastAsia="es-ES"/>
        </w:rPr>
        <w:t xml:space="preserve">. </w:t>
      </w:r>
    </w:p>
    <w:p w14:paraId="480ECF1F" w14:textId="77777777" w:rsidR="001413FA" w:rsidRPr="009F4A13" w:rsidRDefault="001413FA" w:rsidP="001413FA">
      <w:pPr>
        <w:spacing w:before="120" w:line="276" w:lineRule="auto"/>
        <w:ind w:firstLine="703"/>
        <w:jc w:val="both"/>
        <w:textAlignment w:val="baseline"/>
        <w:rPr>
          <w:rFonts w:ascii="Arial" w:hAnsi="Arial" w:cs="Arial"/>
          <w:color w:val="000000" w:themeColor="text1"/>
          <w:sz w:val="22"/>
          <w:szCs w:val="22"/>
          <w:lang w:val="es-ES_tradnl" w:eastAsia="es-ES"/>
        </w:rPr>
      </w:pPr>
      <w:r w:rsidRPr="009F4A13">
        <w:rPr>
          <w:rFonts w:ascii="Arial" w:hAnsi="Arial" w:cs="Arial"/>
          <w:bCs/>
          <w:color w:val="000000" w:themeColor="text1"/>
          <w:sz w:val="22"/>
          <w:szCs w:val="22"/>
          <w:lang w:val="es-ES_tradnl" w:eastAsia="es-ES"/>
        </w:rPr>
        <w:t xml:space="preserve">En relación con el </w:t>
      </w:r>
      <w:r w:rsidRPr="009F4A13">
        <w:rPr>
          <w:rFonts w:ascii="Arial" w:hAnsi="Arial" w:cs="Arial"/>
          <w:bCs/>
          <w:i/>
          <w:iCs/>
          <w:color w:val="000000" w:themeColor="text1"/>
          <w:sz w:val="22"/>
          <w:szCs w:val="22"/>
          <w:lang w:val="es-ES_tradnl" w:eastAsia="es-ES"/>
        </w:rPr>
        <w:t>primer aspecto</w:t>
      </w:r>
      <w:r w:rsidRPr="009F4A13">
        <w:rPr>
          <w:rFonts w:ascii="Arial" w:hAnsi="Arial" w:cs="Arial"/>
          <w:bCs/>
          <w:color w:val="000000" w:themeColor="text1"/>
          <w:sz w:val="22"/>
          <w:szCs w:val="22"/>
          <w:lang w:val="es-ES_tradnl" w:eastAsia="es-ES"/>
        </w:rPr>
        <w:t xml:space="preserve">, </w:t>
      </w:r>
      <w:r w:rsidRPr="009F4A13">
        <w:rPr>
          <w:rFonts w:ascii="Arial" w:hAnsi="Arial" w:cs="Arial"/>
          <w:color w:val="000000" w:themeColor="text1"/>
          <w:sz w:val="22"/>
          <w:szCs w:val="22"/>
          <w:lang w:val="es-ES" w:eastAsia="es-ES"/>
        </w:rPr>
        <w:t xml:space="preserve">es preciso traer a colación la </w:t>
      </w:r>
      <w:r w:rsidRPr="009F4A13">
        <w:rPr>
          <w:rFonts w:ascii="Arial" w:hAnsi="Arial" w:cs="Arial"/>
          <w:color w:val="000000" w:themeColor="text1"/>
          <w:sz w:val="22"/>
          <w:szCs w:val="22"/>
          <w:lang w:val="es-ES_tradnl" w:eastAsia="es-ES"/>
        </w:rPr>
        <w:t xml:space="preserve">Resolución No. 330 del 8 de junio de 2017 expedida por el Ministerio de Vivienda Ciudad y Territorio, </w:t>
      </w:r>
      <w:r w:rsidRPr="009F4A13">
        <w:rPr>
          <w:rFonts w:ascii="Arial" w:hAnsi="Arial" w:cs="Arial"/>
          <w:color w:val="000000" w:themeColor="text1"/>
          <w:sz w:val="22"/>
          <w:szCs w:val="22"/>
          <w:lang w:eastAsia="es-ES"/>
        </w:rPr>
        <w:t>«Por</w:t>
      </w:r>
      <w:r w:rsidRPr="009F4A13">
        <w:rPr>
          <w:rFonts w:ascii="Arial" w:hAnsi="Arial" w:cs="Arial"/>
          <w:color w:val="000000" w:themeColor="text1"/>
          <w:sz w:val="22"/>
          <w:szCs w:val="22"/>
          <w:lang w:val="es-ES_tradnl" w:eastAsia="es-ES"/>
        </w:rPr>
        <w:t xml:space="preserve"> la cual se adopta el Reglamento Técnico Para el Sector de Agua Potable y Saneamiento Básico (RAS)</w:t>
      </w:r>
      <w:r w:rsidRPr="009F4A13">
        <w:rPr>
          <w:rFonts w:ascii="Arial" w:hAnsi="Arial" w:cs="Arial"/>
          <w:color w:val="000000" w:themeColor="text1"/>
          <w:sz w:val="22"/>
          <w:szCs w:val="22"/>
          <w:lang w:eastAsia="es-ES"/>
        </w:rPr>
        <w:t xml:space="preserve">». </w:t>
      </w:r>
      <w:r w:rsidRPr="009F4A13">
        <w:rPr>
          <w:rFonts w:ascii="Arial" w:hAnsi="Arial" w:cs="Arial"/>
          <w:color w:val="000000" w:themeColor="text1"/>
          <w:sz w:val="22"/>
          <w:szCs w:val="22"/>
          <w:lang w:val="es-ES_tradnl" w:eastAsia="es-ES"/>
        </w:rPr>
        <w:t xml:space="preserve">El artículo 256 de dicha Resolución define, entre otros conceptos, el tratamiento en el sitio de origen. Para tales efectos, indica que los sistemas de tratamiento en el sitio «son aquellos que se utilizan en lugares aislados, donde no existen redes de alcantarillado o no es posible construir un sistema integrado de alcantarillado, o donde se requiere remover la cantidad de sólidos suspendidos antes de verter el agua residual al sistema de alcantarillado». </w:t>
      </w:r>
    </w:p>
    <w:p w14:paraId="7B2CA283" w14:textId="77777777" w:rsidR="001413FA" w:rsidRPr="009F4A13" w:rsidRDefault="001413FA" w:rsidP="001413FA">
      <w:pPr>
        <w:spacing w:before="120" w:line="276" w:lineRule="auto"/>
        <w:ind w:firstLine="703"/>
        <w:jc w:val="both"/>
        <w:textAlignment w:val="baseline"/>
        <w:rPr>
          <w:rFonts w:ascii="Arial" w:hAnsi="Arial" w:cs="Arial"/>
          <w:color w:val="000000" w:themeColor="text1"/>
          <w:sz w:val="22"/>
          <w:szCs w:val="22"/>
          <w:lang w:val="es-ES_tradnl" w:eastAsia="es-ES"/>
        </w:rPr>
      </w:pPr>
      <w:r w:rsidRPr="009F4A13">
        <w:rPr>
          <w:rFonts w:ascii="Arial" w:hAnsi="Arial" w:cs="Arial"/>
          <w:color w:val="000000" w:themeColor="text1"/>
          <w:sz w:val="22"/>
          <w:szCs w:val="22"/>
          <w:lang w:val="es-ES_tradnl" w:eastAsia="es-ES"/>
        </w:rPr>
        <w:t xml:space="preserve">Con base en lo anterior, se aclara que cuando la </w:t>
      </w:r>
      <w:r w:rsidRPr="009F4A13">
        <w:rPr>
          <w:rFonts w:ascii="Arial" w:eastAsia="Calibri" w:hAnsi="Arial" w:cs="Arial"/>
          <w:color w:val="000000" w:themeColor="text1"/>
          <w:sz w:val="22"/>
          <w:szCs w:val="22"/>
          <w:lang w:val="es-MX" w:eastAsia="en-US"/>
        </w:rPr>
        <w:t>«</w:t>
      </w:r>
      <w:r w:rsidRPr="009F4A13">
        <w:rPr>
          <w:rFonts w:ascii="Arial" w:eastAsiaTheme="minorHAnsi" w:hAnsi="Arial" w:cs="Arial"/>
          <w:color w:val="000000" w:themeColor="text1"/>
          <w:sz w:val="22"/>
          <w:szCs w:val="22"/>
          <w:lang w:val="es-MX" w:eastAsia="en-US"/>
        </w:rPr>
        <w:t xml:space="preserve">Matriz 1 – Experiencia» </w:t>
      </w:r>
      <w:r w:rsidRPr="009F4A13">
        <w:rPr>
          <w:rFonts w:ascii="Arial" w:hAnsi="Arial" w:cs="Arial"/>
          <w:color w:val="000000" w:themeColor="text1"/>
          <w:sz w:val="22"/>
          <w:szCs w:val="22"/>
          <w:lang w:val="es-ES_tradnl" w:eastAsia="es-ES"/>
        </w:rPr>
        <w:t xml:space="preserve">establece que por lo menos uno (1) de los contratos válidos aportados como experiencia general debe acreditar experiencia específica en construcción de sistemas de tratamientos en el «sitio de origen», se refiere a que el proponente debe acreditar la experiencia en la construcción de </w:t>
      </w:r>
      <w:r w:rsidRPr="009F4A13">
        <w:rPr>
          <w:rFonts w:ascii="Arial" w:hAnsi="Arial" w:cs="Arial"/>
          <w:color w:val="000000" w:themeColor="text1"/>
          <w:sz w:val="22"/>
          <w:szCs w:val="22"/>
          <w:lang w:val="es-ES_tradnl" w:eastAsia="es-ES"/>
        </w:rPr>
        <w:lastRenderedPageBreak/>
        <w:t>sistemas de tratamiento, como tanques o pozos sépticos, que se construyen en lugares aislados como sistemas de tratamiento primario de las aguas residuales originadas en el sitio de generación, esto es, donde no existen redes de alcantarillado o no es posible construir redes de alcantarillado, como es el caso de la vivienda rural dispersa</w:t>
      </w:r>
      <w:r w:rsidRPr="009F4A13">
        <w:rPr>
          <w:rFonts w:ascii="Arial" w:hAnsi="Arial" w:cs="Arial"/>
          <w:bCs/>
          <w:color w:val="000000" w:themeColor="text1"/>
          <w:sz w:val="22"/>
          <w:szCs w:val="22"/>
          <w:lang w:val="es-ES_tradnl" w:eastAsia="es-ES"/>
        </w:rPr>
        <w:t xml:space="preserve">. Además, según se evidencia, </w:t>
      </w:r>
      <w:r w:rsidRPr="009F4A13">
        <w:rPr>
          <w:rFonts w:ascii="Arial" w:hAnsi="Arial" w:cs="Arial"/>
          <w:color w:val="000000" w:themeColor="text1"/>
          <w:sz w:val="22"/>
          <w:szCs w:val="22"/>
          <w:lang w:eastAsia="es-ES"/>
        </w:rPr>
        <w:t>para esta experiencia específica no se exige un número determinado de construcción de sistemas de tratamiento o el material del mismo, sino únicamente que el proponente acredite, en por lo menos 1 de los contratos válidos aportados, que cuenta con la experiencia allí contemplada.</w:t>
      </w:r>
    </w:p>
    <w:p w14:paraId="7A637C04" w14:textId="77777777" w:rsidR="001413FA" w:rsidRPr="009F4A13" w:rsidRDefault="001413FA" w:rsidP="001413FA">
      <w:pPr>
        <w:spacing w:before="120" w:line="276" w:lineRule="auto"/>
        <w:ind w:firstLine="709"/>
        <w:jc w:val="both"/>
        <w:rPr>
          <w:rFonts w:ascii="Arial" w:hAnsi="Arial" w:cs="Arial"/>
          <w:bCs/>
          <w:color w:val="000000" w:themeColor="text1"/>
          <w:sz w:val="22"/>
          <w:szCs w:val="22"/>
          <w:lang w:val="es-ES_tradnl" w:eastAsia="es-ES"/>
        </w:rPr>
      </w:pPr>
      <w:r w:rsidRPr="009F4A13">
        <w:rPr>
          <w:rFonts w:ascii="Arial" w:hAnsi="Arial" w:cs="Arial"/>
          <w:bCs/>
          <w:color w:val="000000" w:themeColor="text1"/>
          <w:sz w:val="22"/>
          <w:szCs w:val="22"/>
          <w:lang w:val="es-ES_tradnl" w:eastAsia="es-ES"/>
        </w:rPr>
        <w:t xml:space="preserve">Nótese que la experiencia específica solicitada se refiere concretamente a la </w:t>
      </w:r>
      <w:bookmarkStart w:id="13" w:name="_Hlk90299343"/>
      <w:r w:rsidRPr="009F4A13">
        <w:rPr>
          <w:rFonts w:ascii="Arial" w:hAnsi="Arial" w:cs="Arial"/>
          <w:bCs/>
          <w:color w:val="000000" w:themeColor="text1"/>
          <w:sz w:val="22"/>
          <w:szCs w:val="22"/>
          <w:lang w:val="es-ES_tradnl" w:eastAsia="es-ES"/>
        </w:rPr>
        <w:t>«</w:t>
      </w:r>
      <w:bookmarkEnd w:id="13"/>
      <w:r w:rsidRPr="009F4A13">
        <w:rPr>
          <w:rFonts w:ascii="Arial" w:hAnsi="Arial" w:cs="Arial"/>
          <w:bCs/>
          <w:color w:val="000000" w:themeColor="text1"/>
          <w:sz w:val="22"/>
          <w:szCs w:val="22"/>
          <w:lang w:val="es-ES_tradnl" w:eastAsia="es-ES"/>
        </w:rPr>
        <w:t>construcción</w:t>
      </w:r>
      <w:bookmarkStart w:id="14" w:name="_Hlk90299348"/>
      <w:r w:rsidRPr="009F4A13">
        <w:rPr>
          <w:rFonts w:ascii="Arial" w:hAnsi="Arial" w:cs="Arial"/>
          <w:bCs/>
          <w:color w:val="000000" w:themeColor="text1"/>
          <w:sz w:val="22"/>
          <w:szCs w:val="22"/>
          <w:lang w:val="es-ES_tradnl" w:eastAsia="es-ES"/>
        </w:rPr>
        <w:t>»</w:t>
      </w:r>
      <w:bookmarkEnd w:id="14"/>
      <w:r w:rsidRPr="009F4A13">
        <w:rPr>
          <w:rFonts w:ascii="Arial" w:hAnsi="Arial" w:cs="Arial"/>
          <w:bCs/>
          <w:color w:val="000000" w:themeColor="text1"/>
          <w:sz w:val="22"/>
          <w:szCs w:val="22"/>
          <w:lang w:val="es-ES_tradnl" w:eastAsia="es-ES"/>
        </w:rPr>
        <w:t xml:space="preserve">. </w:t>
      </w:r>
      <w:r w:rsidRPr="009F4A13">
        <w:rPr>
          <w:rFonts w:ascii="Arial" w:hAnsi="Arial" w:cs="Arial"/>
          <w:color w:val="000000" w:themeColor="text1"/>
          <w:sz w:val="22"/>
        </w:rPr>
        <w:t xml:space="preserve">Según su significado literal, </w:t>
      </w:r>
      <w:r w:rsidRPr="009F4A13">
        <w:rPr>
          <w:rFonts w:ascii="Arial" w:hAnsi="Arial" w:cs="Arial"/>
          <w:bCs/>
          <w:color w:val="000000" w:themeColor="text1"/>
          <w:sz w:val="22"/>
          <w:szCs w:val="22"/>
          <w:lang w:val="es-ES_tradnl" w:eastAsia="es-ES"/>
        </w:rPr>
        <w:t>construcción es «la acción y efecto de construir»</w:t>
      </w:r>
      <w:r w:rsidRPr="009F4A13">
        <w:rPr>
          <w:rStyle w:val="Refdenotaalpie"/>
          <w:rFonts w:ascii="Arial" w:hAnsi="Arial" w:cs="Arial"/>
          <w:bCs/>
          <w:color w:val="000000" w:themeColor="text1"/>
          <w:sz w:val="22"/>
          <w:szCs w:val="22"/>
          <w:lang w:val="es-ES_tradnl" w:eastAsia="es-ES"/>
        </w:rPr>
        <w:footnoteReference w:id="37"/>
      </w:r>
      <w:r w:rsidRPr="009F4A13">
        <w:rPr>
          <w:rFonts w:ascii="Arial" w:hAnsi="Arial" w:cs="Arial"/>
          <w:bCs/>
          <w:color w:val="000000" w:themeColor="text1"/>
          <w:sz w:val="22"/>
          <w:szCs w:val="22"/>
          <w:lang w:val="es-ES_tradnl" w:eastAsia="es-ES"/>
        </w:rPr>
        <w:t xml:space="preserve"> y este es definido como «Hacer de nueva planta una obra de arquitectura o ingeniería, un monumento o en general cualquier obra pública»</w:t>
      </w:r>
      <w:r w:rsidRPr="009F4A13">
        <w:rPr>
          <w:rStyle w:val="Refdenotaalpie"/>
          <w:rFonts w:ascii="Arial" w:hAnsi="Arial" w:cs="Arial"/>
          <w:bCs/>
          <w:color w:val="000000" w:themeColor="text1"/>
          <w:sz w:val="22"/>
          <w:szCs w:val="22"/>
          <w:lang w:val="es-ES_tradnl" w:eastAsia="es-ES"/>
        </w:rPr>
        <w:footnoteReference w:id="38"/>
      </w:r>
      <w:r w:rsidRPr="009F4A13">
        <w:rPr>
          <w:rFonts w:ascii="Arial" w:hAnsi="Arial" w:cs="Arial"/>
          <w:bCs/>
          <w:color w:val="000000" w:themeColor="text1"/>
          <w:sz w:val="22"/>
          <w:szCs w:val="22"/>
          <w:lang w:val="es-ES_tradnl" w:eastAsia="es-ES"/>
        </w:rPr>
        <w:t xml:space="preserve">. En este contexto, la construcción de sistema de tratamiento del que trata el numeral 6.1 de la </w:t>
      </w:r>
      <w:r w:rsidRPr="009F4A13">
        <w:rPr>
          <w:rFonts w:ascii="Arial" w:hAnsi="Arial" w:cs="Arial"/>
          <w:color w:val="000000" w:themeColor="text1"/>
          <w:sz w:val="22"/>
          <w:szCs w:val="22"/>
          <w:lang w:eastAsia="es-ES"/>
        </w:rPr>
        <w:t>«Matriz 1 Experiencia»</w:t>
      </w:r>
      <w:r w:rsidRPr="009F4A13">
        <w:rPr>
          <w:rFonts w:ascii="Arial" w:hAnsi="Arial" w:cs="Arial"/>
          <w:bCs/>
          <w:color w:val="000000" w:themeColor="text1"/>
          <w:sz w:val="22"/>
          <w:szCs w:val="22"/>
          <w:lang w:val="es-ES_tradnl" w:eastAsia="es-ES"/>
        </w:rPr>
        <w:t xml:space="preserve">, aplica a toda obra de ingeniería nueva, que para el caso que nos ocupa corresponde a sistemas de tratamiento en el sitio de origen. Por ello, la experiencia a acreditar por parte del proponente debe dar cuenta de la actividad de construcción de dichos sistemas de tratamiento, indistintamente del material en el cual hayan sido construidos. </w:t>
      </w:r>
    </w:p>
    <w:p w14:paraId="55998C2E" w14:textId="77777777" w:rsidR="001413FA" w:rsidRPr="009F4A13" w:rsidRDefault="001413FA" w:rsidP="001413FA">
      <w:pPr>
        <w:spacing w:before="120" w:line="276" w:lineRule="auto"/>
        <w:ind w:firstLine="709"/>
        <w:jc w:val="both"/>
        <w:rPr>
          <w:rFonts w:ascii="Arial" w:hAnsi="Arial" w:cs="Arial"/>
          <w:bCs/>
          <w:color w:val="000000" w:themeColor="text1"/>
          <w:sz w:val="22"/>
          <w:szCs w:val="22"/>
          <w:lang w:val="es-ES_tradnl" w:eastAsia="es-ES"/>
        </w:rPr>
      </w:pPr>
      <w:r w:rsidRPr="009F4A13">
        <w:rPr>
          <w:rFonts w:ascii="Arial" w:hAnsi="Arial" w:cs="Arial"/>
          <w:color w:val="000000" w:themeColor="text1"/>
          <w:sz w:val="22"/>
          <w:szCs w:val="22"/>
          <w:lang w:val="es-ES_tradnl" w:eastAsia="es-ES"/>
        </w:rPr>
        <w:t xml:space="preserve">Sobre este punto,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w:t>
      </w:r>
      <w:proofErr w:type="spellStart"/>
      <w:r w:rsidRPr="009F4A13">
        <w:rPr>
          <w:rFonts w:ascii="Arial" w:hAnsi="Arial" w:cs="Arial"/>
          <w:i/>
          <w:iCs/>
          <w:color w:val="000000" w:themeColor="text1"/>
          <w:sz w:val="22"/>
          <w:szCs w:val="22"/>
          <w:lang w:val="es-ES_tradnl" w:eastAsia="es-ES"/>
        </w:rPr>
        <w:t>ibidem</w:t>
      </w:r>
      <w:proofErr w:type="spellEnd"/>
      <w:r w:rsidRPr="009F4A13">
        <w:rPr>
          <w:rFonts w:ascii="Arial" w:hAnsi="Arial" w:cs="Arial"/>
          <w:i/>
          <w:iCs/>
          <w:color w:val="000000" w:themeColor="text1"/>
          <w:sz w:val="22"/>
          <w:szCs w:val="22"/>
          <w:lang w:val="es-ES_tradnl" w:eastAsia="es-ES"/>
        </w:rPr>
        <w:t xml:space="preserve">, </w:t>
      </w:r>
      <w:r w:rsidRPr="009F4A13">
        <w:rPr>
          <w:rFonts w:ascii="Arial" w:hAnsi="Arial" w:cs="Arial"/>
          <w:color w:val="000000" w:themeColor="text1"/>
          <w:sz w:val="22"/>
          <w:szCs w:val="22"/>
          <w:lang w:val="es-ES_tradnl" w:eastAsia="es-ES"/>
        </w:rPr>
        <w:t xml:space="preserve">también prescribe que «Las palabras técnicas de toda ciencia o arte se tomarán en el sentido que les den los que profesan la misma ciencia o arte; a menos que aparezca claramente que se han formado en sentido diverso». Conforme a lo anterior, para analizar la experiencia específica señalada en el numeral 6.1 de la </w:t>
      </w:r>
      <w:r w:rsidRPr="009F4A13">
        <w:rPr>
          <w:rFonts w:ascii="Arial" w:hAnsi="Arial" w:cs="Arial"/>
          <w:color w:val="000000" w:themeColor="text1"/>
          <w:sz w:val="22"/>
          <w:szCs w:val="22"/>
          <w:lang w:eastAsia="es-ES"/>
        </w:rPr>
        <w:t>«Matriz 1 Experiencia»</w:t>
      </w:r>
      <w:r w:rsidRPr="009F4A13">
        <w:rPr>
          <w:rFonts w:ascii="Arial" w:hAnsi="Arial" w:cs="Arial"/>
          <w:color w:val="000000" w:themeColor="text1"/>
          <w:sz w:val="22"/>
          <w:szCs w:val="22"/>
          <w:lang w:val="es-ES_tradnl" w:eastAsia="es-ES"/>
        </w:rPr>
        <w:t xml:space="preserve"> deberán aplicarse estas pautas hermenéuticas, de manera que las palabras allí contenidas se entenderán en su sentido natural y obvio, y las palabras técnicas se tomarán en el sentido que les de la ciencia que la utiliza.  </w:t>
      </w:r>
    </w:p>
    <w:p w14:paraId="7EA39BBF" w14:textId="77777777" w:rsidR="001413FA" w:rsidRPr="009F4A13" w:rsidRDefault="001413FA" w:rsidP="001413FA">
      <w:pPr>
        <w:spacing w:before="120" w:line="276" w:lineRule="auto"/>
        <w:ind w:firstLine="709"/>
        <w:jc w:val="both"/>
        <w:rPr>
          <w:rFonts w:ascii="Arial" w:hAnsi="Arial" w:cs="Arial"/>
          <w:color w:val="000000" w:themeColor="text1"/>
          <w:sz w:val="22"/>
          <w:szCs w:val="22"/>
          <w:lang w:val="es-ES" w:eastAsia="es-ES"/>
        </w:rPr>
      </w:pPr>
      <w:r w:rsidRPr="009F4A13">
        <w:rPr>
          <w:rFonts w:ascii="Arial" w:hAnsi="Arial" w:cs="Arial"/>
          <w:color w:val="000000" w:themeColor="text1"/>
          <w:sz w:val="22"/>
          <w:szCs w:val="22"/>
          <w:lang w:val="es-ES_tradnl" w:eastAsia="es-ES"/>
        </w:rPr>
        <w:t xml:space="preserve">Así las cosas, es deber de la entidad verificar que las actividades ejecutadas por el proponente se enmarquen en los proyectos de obra referidos en el numeral 6.1 de la </w:t>
      </w:r>
      <w:r w:rsidRPr="009F4A13">
        <w:rPr>
          <w:rFonts w:ascii="Arial" w:hAnsi="Arial" w:cs="Arial"/>
          <w:color w:val="000000" w:themeColor="text1"/>
          <w:sz w:val="22"/>
          <w:szCs w:val="22"/>
          <w:lang w:val="es-MX" w:eastAsia="es-ES"/>
        </w:rPr>
        <w:t>«</w:t>
      </w:r>
      <w:r w:rsidRPr="009F4A13">
        <w:rPr>
          <w:rFonts w:ascii="Arial" w:hAnsi="Arial" w:cs="Arial"/>
          <w:color w:val="000000" w:themeColor="text1"/>
          <w:sz w:val="22"/>
          <w:szCs w:val="22"/>
          <w:lang w:val="es-ES_tradnl" w:eastAsia="es-ES"/>
        </w:rPr>
        <w:t>Matriz 1 - Experiencia</w:t>
      </w:r>
      <w:r w:rsidRPr="009F4A13">
        <w:rPr>
          <w:rFonts w:ascii="Arial" w:hAnsi="Arial" w:cs="Arial"/>
          <w:color w:val="000000" w:themeColor="text1"/>
          <w:sz w:val="22"/>
          <w:szCs w:val="22"/>
          <w:lang w:val="es-MX" w:eastAsia="es-ES"/>
        </w:rPr>
        <w:t>»</w:t>
      </w:r>
      <w:r w:rsidRPr="009F4A13">
        <w:rPr>
          <w:rFonts w:ascii="Arial" w:hAnsi="Arial" w:cs="Arial"/>
          <w:color w:val="000000" w:themeColor="text1"/>
          <w:sz w:val="22"/>
          <w:szCs w:val="22"/>
          <w:lang w:val="es-ES_tradnl" w:eastAsia="es-ES"/>
        </w:rPr>
        <w:t xml:space="preserve">, teniendo en cuenta los conceptos técnicos de ingeniería en materia de infraestructura de agua potable y saneamiento básico. </w:t>
      </w:r>
      <w:r w:rsidRPr="009F4A13">
        <w:rPr>
          <w:rFonts w:ascii="Arial" w:hAnsi="Arial" w:cs="Arial"/>
          <w:color w:val="000000" w:themeColor="text1"/>
          <w:sz w:val="22"/>
          <w:szCs w:val="22"/>
          <w:lang w:val="es-ES" w:eastAsia="es-ES"/>
        </w:rPr>
        <w:t xml:space="preserve">Por esta razón, es la entidad contratante, haciendo uso de la información técnica con la que cuenta, y de acuerdo con las valoraciones concretas, la que debe determinar si las actividades acreditadas se ubican en la noción de infraestructura de agua potable y saneamiento básico y los conceptos técnicos de la ingeniería aplicables. </w:t>
      </w:r>
    </w:p>
    <w:p w14:paraId="659AE2D3" w14:textId="77777777" w:rsidR="001413FA" w:rsidRPr="009F4A13" w:rsidRDefault="001413FA" w:rsidP="001413FA">
      <w:pPr>
        <w:spacing w:before="120" w:line="276" w:lineRule="auto"/>
        <w:ind w:firstLine="703"/>
        <w:jc w:val="both"/>
        <w:textAlignment w:val="baseline"/>
        <w:rPr>
          <w:rFonts w:ascii="Arial" w:hAnsi="Arial" w:cs="Arial"/>
          <w:color w:val="000000" w:themeColor="text1"/>
          <w:sz w:val="22"/>
          <w:szCs w:val="22"/>
          <w:lang w:eastAsia="es-ES"/>
        </w:rPr>
      </w:pPr>
      <w:r w:rsidRPr="009F4A13">
        <w:rPr>
          <w:rFonts w:ascii="Arial" w:hAnsi="Arial" w:cs="Arial"/>
          <w:color w:val="000000" w:themeColor="text1"/>
          <w:sz w:val="22"/>
          <w:szCs w:val="22"/>
          <w:lang w:val="es-ES_tradnl" w:eastAsia="es-ES"/>
        </w:rPr>
        <w:lastRenderedPageBreak/>
        <w:t>En relación con el</w:t>
      </w:r>
      <w:r w:rsidRPr="009F4A13">
        <w:rPr>
          <w:rFonts w:ascii="Arial" w:hAnsi="Arial" w:cs="Arial"/>
          <w:color w:val="000000" w:themeColor="text1"/>
          <w:sz w:val="22"/>
          <w:szCs w:val="22"/>
          <w:lang w:eastAsia="es-ES"/>
        </w:rPr>
        <w:t xml:space="preserve"> </w:t>
      </w:r>
      <w:r w:rsidRPr="009F4A13">
        <w:rPr>
          <w:rFonts w:ascii="Arial" w:hAnsi="Arial" w:cs="Arial"/>
          <w:i/>
          <w:iCs/>
          <w:color w:val="000000" w:themeColor="text1"/>
          <w:sz w:val="22"/>
          <w:szCs w:val="22"/>
          <w:lang w:eastAsia="es-ES"/>
        </w:rPr>
        <w:t>segundo aspecto</w:t>
      </w:r>
      <w:r w:rsidRPr="009F4A13">
        <w:rPr>
          <w:rFonts w:ascii="Arial" w:hAnsi="Arial" w:cs="Arial"/>
          <w:color w:val="000000" w:themeColor="text1"/>
          <w:sz w:val="22"/>
          <w:szCs w:val="22"/>
          <w:lang w:eastAsia="es-ES"/>
        </w:rPr>
        <w:t xml:space="preserve"> de la experiencia específica, resulta pertinente </w:t>
      </w:r>
      <w:bookmarkStart w:id="15" w:name="_GoBack"/>
      <w:bookmarkEnd w:id="15"/>
      <w:r w:rsidRPr="009F4A13">
        <w:rPr>
          <w:rFonts w:ascii="Arial" w:hAnsi="Arial" w:cs="Arial"/>
          <w:color w:val="000000" w:themeColor="text1"/>
          <w:sz w:val="22"/>
          <w:szCs w:val="22"/>
          <w:lang w:eastAsia="es-ES"/>
        </w:rPr>
        <w:t xml:space="preserve">señalar que la entidad deberá diligenciar dos aspectos teniendo en cuenta el proceso de contratación que se llevará a cabo. En primer lugar, deberá establecer el porcentaje de dimensionamiento, el cual se determina de acuerdo con la cuantía del proceso de contratación y, en segundo lugar, deberá indicar la cantidad de unidades sanitarias que se construirán, de acuerdo con el estudio de planeación realizado. </w:t>
      </w:r>
    </w:p>
    <w:p w14:paraId="01FC9CFC" w14:textId="77777777" w:rsidR="001413FA" w:rsidRPr="009F4A13" w:rsidRDefault="001413FA" w:rsidP="001413FA">
      <w:pPr>
        <w:spacing w:before="120" w:line="276" w:lineRule="auto"/>
        <w:ind w:firstLine="703"/>
        <w:jc w:val="both"/>
        <w:textAlignment w:val="baseline"/>
        <w:rPr>
          <w:rFonts w:ascii="Arial" w:hAnsi="Arial" w:cs="Arial"/>
          <w:color w:val="000000" w:themeColor="text1"/>
          <w:sz w:val="22"/>
          <w:szCs w:val="22"/>
          <w:lang w:eastAsia="es-ES"/>
        </w:rPr>
      </w:pPr>
      <w:r w:rsidRPr="009F4A13">
        <w:rPr>
          <w:rFonts w:ascii="Arial" w:hAnsi="Arial" w:cs="Arial"/>
          <w:color w:val="000000" w:themeColor="text1"/>
          <w:sz w:val="22"/>
          <w:szCs w:val="22"/>
          <w:lang w:eastAsia="es-ES"/>
        </w:rPr>
        <w:t xml:space="preserve">Bajo este contexto, la entidad deberá establecer el porcentaje de dimensionamiento acorde con la cuantía del proceso de contratación determinada en la </w:t>
      </w:r>
      <w:r w:rsidRPr="009F4A13">
        <w:rPr>
          <w:rFonts w:ascii="Arial" w:eastAsia="Calibri" w:hAnsi="Arial" w:cs="Arial"/>
          <w:color w:val="000000" w:themeColor="text1"/>
          <w:sz w:val="22"/>
          <w:szCs w:val="22"/>
          <w:lang w:val="es-MX" w:eastAsia="en-US"/>
        </w:rPr>
        <w:t>«</w:t>
      </w:r>
      <w:r w:rsidRPr="009F4A13">
        <w:rPr>
          <w:rFonts w:ascii="Arial" w:eastAsiaTheme="minorHAnsi" w:hAnsi="Arial" w:cs="Arial"/>
          <w:color w:val="000000" w:themeColor="text1"/>
          <w:sz w:val="22"/>
          <w:szCs w:val="22"/>
          <w:lang w:val="es-MX" w:eastAsia="en-US"/>
        </w:rPr>
        <w:t>Matriz 1 – Experiencia»</w:t>
      </w:r>
      <w:r w:rsidRPr="009F4A13">
        <w:rPr>
          <w:rFonts w:ascii="Arial" w:hAnsi="Arial" w:cs="Arial"/>
          <w:color w:val="000000" w:themeColor="text1"/>
          <w:sz w:val="22"/>
          <w:szCs w:val="22"/>
          <w:lang w:eastAsia="es-ES"/>
        </w:rPr>
        <w:t>. Por ejemplo, si el valor del presupuesto oficial se encuentra entre 100 y 1000 SMMLV y la cantidad de unidades a construir corresponda a 20, el porcentaje de dimensionamiento sería del 35%. Esto significa que el proponente deberá acreditar, en uno de los contratos válidos aportados, que cuenta con experiencia en la construcción del 35% de las unidades sanitarias a construir (20), esto es, experiencia específica en la construcción de, por lo menos, 7 unidades sanitarias.</w:t>
      </w:r>
    </w:p>
    <w:p w14:paraId="531F2B57" w14:textId="77777777" w:rsidR="001413FA" w:rsidRPr="009F4A13" w:rsidRDefault="001413FA" w:rsidP="001413FA">
      <w:pPr>
        <w:spacing w:before="120" w:line="276" w:lineRule="auto"/>
        <w:ind w:firstLine="709"/>
        <w:jc w:val="both"/>
        <w:rPr>
          <w:rFonts w:ascii="Arial" w:hAnsi="Arial" w:cs="Arial"/>
          <w:bCs/>
          <w:color w:val="000000" w:themeColor="text1"/>
          <w:sz w:val="22"/>
          <w:szCs w:val="22"/>
          <w:lang w:val="es-ES_tradnl" w:eastAsia="es-ES"/>
        </w:rPr>
      </w:pPr>
      <w:r w:rsidRPr="009F4A13">
        <w:rPr>
          <w:rFonts w:ascii="Arial" w:hAnsi="Arial" w:cs="Arial"/>
          <w:bCs/>
          <w:color w:val="000000" w:themeColor="text1"/>
          <w:sz w:val="22"/>
          <w:szCs w:val="22"/>
          <w:lang w:eastAsia="es-ES"/>
        </w:rPr>
        <w:t>Así las cosas, para efectos del numeral 6.1 de</w:t>
      </w:r>
      <w:r w:rsidRPr="009F4A13">
        <w:rPr>
          <w:rFonts w:ascii="Arial" w:hAnsi="Arial" w:cs="Arial"/>
          <w:color w:val="000000" w:themeColor="text1"/>
          <w:sz w:val="22"/>
          <w:szCs w:val="22"/>
          <w:lang w:eastAsia="es-ES"/>
        </w:rPr>
        <w:t xml:space="preserve"> la </w:t>
      </w:r>
      <w:r w:rsidRPr="009F4A13">
        <w:rPr>
          <w:rFonts w:ascii="Arial" w:eastAsia="Calibri" w:hAnsi="Arial" w:cs="Arial"/>
          <w:color w:val="000000" w:themeColor="text1"/>
          <w:sz w:val="22"/>
          <w:szCs w:val="22"/>
          <w:lang w:val="es-MX" w:eastAsia="en-US"/>
        </w:rPr>
        <w:t>«</w:t>
      </w:r>
      <w:r w:rsidRPr="009F4A13">
        <w:rPr>
          <w:rFonts w:ascii="Arial" w:eastAsiaTheme="minorHAnsi" w:hAnsi="Arial" w:cs="Arial"/>
          <w:color w:val="000000" w:themeColor="text1"/>
          <w:sz w:val="22"/>
          <w:szCs w:val="22"/>
          <w:lang w:val="es-MX" w:eastAsia="en-US"/>
        </w:rPr>
        <w:t>Matriz 1 – Experiencia»</w:t>
      </w:r>
      <w:r w:rsidRPr="009F4A13">
        <w:rPr>
          <w:rFonts w:ascii="Arial" w:hAnsi="Arial" w:cs="Arial"/>
          <w:color w:val="000000" w:themeColor="text1"/>
          <w:sz w:val="22"/>
          <w:szCs w:val="22"/>
          <w:lang w:eastAsia="es-ES"/>
        </w:rPr>
        <w:t xml:space="preserve">, </w:t>
      </w:r>
      <w:r w:rsidRPr="009F4A13">
        <w:rPr>
          <w:rFonts w:ascii="Arial" w:hAnsi="Arial" w:cs="Arial"/>
          <w:bCs/>
          <w:color w:val="000000" w:themeColor="text1"/>
          <w:sz w:val="22"/>
          <w:szCs w:val="22"/>
          <w:lang w:eastAsia="es-ES"/>
        </w:rPr>
        <w:t xml:space="preserve">el proponente deberá acreditar la experiencia general requerida, además de la experiencia específica en relación con la construcción de </w:t>
      </w:r>
      <w:r w:rsidRPr="009F4A13">
        <w:rPr>
          <w:rFonts w:ascii="Arial" w:hAnsi="Arial" w:cs="Arial"/>
          <w:color w:val="000000" w:themeColor="text1"/>
          <w:sz w:val="22"/>
          <w:szCs w:val="22"/>
          <w:lang w:eastAsia="es-ES"/>
        </w:rPr>
        <w:t xml:space="preserve">sistemas de tratamiento en sitio de origen, así como en </w:t>
      </w:r>
      <w:r w:rsidRPr="009F4A13">
        <w:rPr>
          <w:rFonts w:ascii="Arial" w:hAnsi="Arial" w:cs="Arial"/>
          <w:bCs/>
          <w:color w:val="000000" w:themeColor="text1"/>
          <w:sz w:val="22"/>
          <w:szCs w:val="22"/>
          <w:lang w:val="es-ES_tradnl" w:eastAsia="es-ES"/>
        </w:rPr>
        <w:t>la construcción de una cantidad correspondiente a un porcentaje determinado de las unidades sanitarias a contratar, indistintamente del material en el cual se acredite.</w:t>
      </w:r>
    </w:p>
    <w:p w14:paraId="18689BB9" w14:textId="77777777" w:rsidR="001413FA" w:rsidRPr="009F4A13" w:rsidRDefault="001413FA" w:rsidP="003D34C7">
      <w:pPr>
        <w:tabs>
          <w:tab w:val="left" w:pos="0"/>
        </w:tabs>
        <w:spacing w:after="120" w:line="276" w:lineRule="auto"/>
        <w:jc w:val="both"/>
        <w:rPr>
          <w:rFonts w:ascii="Arial" w:eastAsia="Calibri" w:hAnsi="Arial" w:cs="Arial"/>
          <w:b/>
          <w:color w:val="000000" w:themeColor="text1"/>
          <w:sz w:val="22"/>
          <w:lang w:val="es-ES_tradnl"/>
        </w:rPr>
      </w:pPr>
    </w:p>
    <w:p w14:paraId="37CA9805" w14:textId="7B3C1B57" w:rsidR="00DD5B04" w:rsidRPr="009F4A13" w:rsidRDefault="004177A6" w:rsidP="00F75680">
      <w:pPr>
        <w:tabs>
          <w:tab w:val="left" w:pos="0"/>
        </w:tabs>
        <w:jc w:val="both"/>
        <w:rPr>
          <w:rFonts w:ascii="Arial" w:eastAsia="Calibri" w:hAnsi="Arial" w:cs="Arial"/>
          <w:b/>
          <w:color w:val="000000" w:themeColor="text1"/>
          <w:sz w:val="22"/>
          <w:lang w:val="es-ES_tradnl"/>
        </w:rPr>
      </w:pPr>
      <w:r w:rsidRPr="009F4A13">
        <w:rPr>
          <w:rFonts w:ascii="Arial" w:eastAsia="Calibri" w:hAnsi="Arial" w:cs="Arial"/>
          <w:b/>
          <w:color w:val="000000" w:themeColor="text1"/>
          <w:sz w:val="22"/>
          <w:lang w:val="es-ES_tradnl"/>
        </w:rPr>
        <w:t>3</w:t>
      </w:r>
      <w:r w:rsidR="00B011A9" w:rsidRPr="009F4A13">
        <w:rPr>
          <w:rFonts w:ascii="Arial" w:eastAsia="Calibri" w:hAnsi="Arial" w:cs="Arial"/>
          <w:b/>
          <w:color w:val="000000" w:themeColor="text1"/>
          <w:sz w:val="22"/>
          <w:lang w:val="es-ES_tradnl"/>
        </w:rPr>
        <w:t xml:space="preserve">. </w:t>
      </w:r>
      <w:r w:rsidR="00DD5B04" w:rsidRPr="009F4A13">
        <w:rPr>
          <w:rFonts w:ascii="Arial" w:eastAsia="Calibri" w:hAnsi="Arial" w:cs="Arial"/>
          <w:b/>
          <w:color w:val="000000" w:themeColor="text1"/>
          <w:sz w:val="22"/>
          <w:lang w:val="es-ES_tradnl"/>
        </w:rPr>
        <w:t>Respuesta</w:t>
      </w:r>
    </w:p>
    <w:p w14:paraId="371ABA94" w14:textId="77777777" w:rsidR="00B84542" w:rsidRPr="009F4A13" w:rsidRDefault="00B84542" w:rsidP="009A617B">
      <w:pPr>
        <w:spacing w:line="276" w:lineRule="auto"/>
        <w:ind w:left="709" w:right="709"/>
        <w:jc w:val="both"/>
        <w:rPr>
          <w:rFonts w:ascii="Arial" w:eastAsia="Calibri" w:hAnsi="Arial" w:cs="Arial"/>
          <w:color w:val="000000" w:themeColor="text1"/>
          <w:sz w:val="21"/>
          <w:szCs w:val="21"/>
          <w:lang w:eastAsia="en-US"/>
        </w:rPr>
      </w:pPr>
    </w:p>
    <w:p w14:paraId="580DCC8E" w14:textId="7D76EF44" w:rsidR="00E16A55" w:rsidRPr="009F4A13" w:rsidRDefault="00E16A55">
      <w:pPr>
        <w:ind w:left="709" w:right="709" w:hanging="360"/>
        <w:contextualSpacing/>
        <w:jc w:val="both"/>
        <w:rPr>
          <w:rFonts w:ascii="Arial" w:eastAsia="Calibri" w:hAnsi="Arial" w:cs="Arial"/>
          <w:i/>
          <w:iCs/>
          <w:color w:val="000000" w:themeColor="text1"/>
          <w:sz w:val="21"/>
          <w:szCs w:val="21"/>
          <w:lang w:eastAsia="en-US"/>
        </w:rPr>
      </w:pPr>
      <w:r w:rsidRPr="009F4A13">
        <w:rPr>
          <w:rFonts w:ascii="Arial" w:eastAsia="Calibri" w:hAnsi="Arial" w:cs="Arial"/>
          <w:color w:val="000000" w:themeColor="text1"/>
          <w:sz w:val="21"/>
          <w:szCs w:val="21"/>
          <w:lang w:eastAsia="en-US"/>
        </w:rPr>
        <w:t>«</w:t>
      </w:r>
      <w:r w:rsidRPr="009F4A13">
        <w:rPr>
          <w:rFonts w:ascii="Arial" w:eastAsia="Calibri" w:hAnsi="Arial" w:cs="Arial"/>
          <w:i/>
          <w:iCs/>
          <w:color w:val="000000" w:themeColor="text1"/>
          <w:sz w:val="21"/>
          <w:szCs w:val="21"/>
          <w:lang w:val="es-ES" w:eastAsia="en-US"/>
        </w:rPr>
        <w:t xml:space="preserve">1. El parágrafo 1, del </w:t>
      </w:r>
      <w:proofErr w:type="spellStart"/>
      <w:r w:rsidRPr="009F4A13">
        <w:rPr>
          <w:rFonts w:ascii="Arial" w:eastAsia="Calibri" w:hAnsi="Arial" w:cs="Arial"/>
          <w:i/>
          <w:iCs/>
          <w:color w:val="000000" w:themeColor="text1"/>
          <w:sz w:val="21"/>
          <w:szCs w:val="21"/>
          <w:lang w:val="es-ES" w:eastAsia="en-US"/>
        </w:rPr>
        <w:t>aritculo</w:t>
      </w:r>
      <w:proofErr w:type="spellEnd"/>
      <w:r w:rsidRPr="009F4A13">
        <w:rPr>
          <w:rFonts w:ascii="Arial" w:eastAsia="Calibri" w:hAnsi="Arial" w:cs="Arial"/>
          <w:i/>
          <w:iCs/>
          <w:color w:val="000000" w:themeColor="text1"/>
          <w:sz w:val="21"/>
          <w:szCs w:val="21"/>
          <w:lang w:val="es-ES" w:eastAsia="en-US"/>
        </w:rPr>
        <w:t xml:space="preserve"> (sic) de 58 de la ley 2195 de 2022, como se debe entender y aplicar por parte de las entidades al momento de realizar el análisis y evaluación de las ofertas.</w:t>
      </w:r>
    </w:p>
    <w:p w14:paraId="246D3795" w14:textId="77777777" w:rsidR="00E16A55" w:rsidRPr="009F4A13" w:rsidRDefault="00E16A55">
      <w:pPr>
        <w:ind w:left="709" w:right="709" w:hanging="360"/>
        <w:contextualSpacing/>
        <w:jc w:val="both"/>
        <w:rPr>
          <w:rFonts w:ascii="Arial" w:eastAsia="Calibri" w:hAnsi="Arial" w:cs="Arial"/>
          <w:i/>
          <w:iCs/>
          <w:color w:val="000000" w:themeColor="text1"/>
          <w:sz w:val="21"/>
          <w:szCs w:val="21"/>
          <w:lang w:eastAsia="en-US"/>
        </w:rPr>
      </w:pPr>
      <w:r w:rsidRPr="009F4A13">
        <w:rPr>
          <w:rFonts w:ascii="Arial" w:eastAsia="Calibri" w:hAnsi="Arial" w:cs="Arial"/>
          <w:i/>
          <w:iCs/>
          <w:color w:val="000000" w:themeColor="text1"/>
          <w:sz w:val="21"/>
          <w:szCs w:val="21"/>
          <w:lang w:val="es-ES" w:eastAsia="en-US"/>
        </w:rPr>
        <w:t>a. Si el proponente sancionado, tiene una demanda radicada pero no admitida, en contra de la sanción impuesta, se debe o no descontar el puntaje?</w:t>
      </w:r>
    </w:p>
    <w:p w14:paraId="0CFA1A5C" w14:textId="77777777" w:rsidR="00E16A55" w:rsidRPr="009F4A13" w:rsidRDefault="00E16A55">
      <w:pPr>
        <w:ind w:left="709" w:right="709" w:hanging="360"/>
        <w:contextualSpacing/>
        <w:jc w:val="both"/>
        <w:rPr>
          <w:rFonts w:ascii="Arial" w:eastAsia="Calibri" w:hAnsi="Arial" w:cs="Arial"/>
          <w:i/>
          <w:iCs/>
          <w:color w:val="000000" w:themeColor="text1"/>
          <w:sz w:val="21"/>
          <w:szCs w:val="21"/>
          <w:lang w:eastAsia="en-US"/>
        </w:rPr>
      </w:pPr>
      <w:r w:rsidRPr="009F4A13">
        <w:rPr>
          <w:rFonts w:ascii="Arial" w:eastAsia="Calibri" w:hAnsi="Arial" w:cs="Arial"/>
          <w:i/>
          <w:iCs/>
          <w:color w:val="000000" w:themeColor="text1"/>
          <w:sz w:val="21"/>
          <w:szCs w:val="21"/>
          <w:lang w:val="es-ES" w:eastAsia="en-US"/>
        </w:rPr>
        <w:t xml:space="preserve">b. Si la demanda ya fue admitida, pero </w:t>
      </w:r>
      <w:proofErr w:type="spellStart"/>
      <w:r w:rsidRPr="009F4A13">
        <w:rPr>
          <w:rFonts w:ascii="Arial" w:eastAsia="Calibri" w:hAnsi="Arial" w:cs="Arial"/>
          <w:i/>
          <w:iCs/>
          <w:color w:val="000000" w:themeColor="text1"/>
          <w:sz w:val="21"/>
          <w:szCs w:val="21"/>
          <w:lang w:val="es-ES" w:eastAsia="en-US"/>
        </w:rPr>
        <w:t>aun</w:t>
      </w:r>
      <w:proofErr w:type="spellEnd"/>
      <w:r w:rsidRPr="009F4A13">
        <w:rPr>
          <w:rFonts w:ascii="Arial" w:eastAsia="Calibri" w:hAnsi="Arial" w:cs="Arial"/>
          <w:i/>
          <w:iCs/>
          <w:color w:val="000000" w:themeColor="text1"/>
          <w:sz w:val="21"/>
          <w:szCs w:val="21"/>
          <w:lang w:val="es-ES" w:eastAsia="en-US"/>
        </w:rPr>
        <w:t xml:space="preserve"> no ha sido fallada, se debe o no descontar el puntaje?</w:t>
      </w:r>
    </w:p>
    <w:p w14:paraId="71D1FCFB" w14:textId="77777777" w:rsidR="00E16A55" w:rsidRPr="009F4A13" w:rsidRDefault="00E16A55">
      <w:pPr>
        <w:ind w:left="709" w:right="709" w:hanging="360"/>
        <w:contextualSpacing/>
        <w:jc w:val="both"/>
        <w:rPr>
          <w:rFonts w:ascii="Arial" w:eastAsia="Calibri" w:hAnsi="Arial" w:cs="Arial"/>
          <w:i/>
          <w:iCs/>
          <w:color w:val="000000" w:themeColor="text1"/>
          <w:sz w:val="21"/>
          <w:szCs w:val="21"/>
          <w:lang w:eastAsia="en-US"/>
        </w:rPr>
      </w:pPr>
      <w:r w:rsidRPr="009F4A13">
        <w:rPr>
          <w:rFonts w:ascii="Arial" w:eastAsia="Calibri" w:hAnsi="Arial" w:cs="Arial"/>
          <w:i/>
          <w:iCs/>
          <w:color w:val="000000" w:themeColor="text1"/>
          <w:sz w:val="21"/>
          <w:szCs w:val="21"/>
          <w:lang w:val="es-ES" w:eastAsia="en-US"/>
        </w:rPr>
        <w:t xml:space="preserve">c.  </w:t>
      </w:r>
      <w:proofErr w:type="gramStart"/>
      <w:r w:rsidRPr="009F4A13">
        <w:rPr>
          <w:rFonts w:ascii="Arial" w:eastAsia="Calibri" w:hAnsi="Arial" w:cs="Arial"/>
          <w:i/>
          <w:iCs/>
          <w:color w:val="000000" w:themeColor="text1"/>
          <w:sz w:val="21"/>
          <w:szCs w:val="21"/>
          <w:lang w:val="es-ES" w:eastAsia="en-US"/>
        </w:rPr>
        <w:t>Si la demanda fue radicada con posterioridad al cierre, se debe o no descontar el puntaje?</w:t>
      </w:r>
      <w:proofErr w:type="gramEnd"/>
    </w:p>
    <w:p w14:paraId="1FE326EA" w14:textId="40BDCDA2" w:rsidR="00E16A55" w:rsidRPr="009F4A13" w:rsidRDefault="00E16A55">
      <w:pPr>
        <w:ind w:left="709" w:right="709" w:hanging="360"/>
        <w:contextualSpacing/>
        <w:jc w:val="both"/>
        <w:rPr>
          <w:rFonts w:ascii="Arial" w:eastAsia="Calibri" w:hAnsi="Arial" w:cs="Arial"/>
          <w:i/>
          <w:iCs/>
          <w:color w:val="000000" w:themeColor="text1"/>
          <w:sz w:val="21"/>
          <w:szCs w:val="21"/>
          <w:lang w:val="es-ES" w:eastAsia="en-US"/>
        </w:rPr>
      </w:pPr>
      <w:r w:rsidRPr="009F4A13">
        <w:rPr>
          <w:rFonts w:ascii="Arial" w:eastAsia="Calibri" w:hAnsi="Arial" w:cs="Arial"/>
          <w:i/>
          <w:iCs/>
          <w:color w:val="000000" w:themeColor="text1"/>
          <w:sz w:val="21"/>
          <w:szCs w:val="21"/>
          <w:lang w:val="es-ES" w:eastAsia="en-US"/>
        </w:rPr>
        <w:t>d. Si la demanda fue admitida con posterioridad al cierre, se debe o no descontar el puntaje?</w:t>
      </w:r>
    </w:p>
    <w:p w14:paraId="4C869FD6" w14:textId="771F5974" w:rsidR="00082DD6" w:rsidRPr="009F4A13" w:rsidRDefault="00082DD6" w:rsidP="009A617B">
      <w:pPr>
        <w:ind w:right="709"/>
        <w:contextualSpacing/>
        <w:jc w:val="both"/>
        <w:rPr>
          <w:rFonts w:ascii="Arial" w:eastAsia="Calibri" w:hAnsi="Arial" w:cs="Arial"/>
          <w:color w:val="000000" w:themeColor="text1"/>
          <w:sz w:val="21"/>
          <w:szCs w:val="21"/>
          <w:lang w:val="es-ES" w:eastAsia="en-US"/>
        </w:rPr>
      </w:pPr>
    </w:p>
    <w:p w14:paraId="5A0F1283" w14:textId="11D89C89" w:rsidR="00082DD6" w:rsidRPr="009F4A13" w:rsidRDefault="00082DD6" w:rsidP="009A617B">
      <w:pPr>
        <w:spacing w:after="120" w:line="276" w:lineRule="auto"/>
        <w:ind w:firstLine="709"/>
        <w:jc w:val="both"/>
        <w:rPr>
          <w:rFonts w:ascii="Arial" w:eastAsia="Calibri" w:hAnsi="Arial" w:cs="Arial"/>
          <w:color w:val="000000" w:themeColor="text1"/>
          <w:sz w:val="22"/>
          <w:szCs w:val="22"/>
          <w:lang w:val="es-ES_tradnl"/>
        </w:rPr>
      </w:pPr>
      <w:r w:rsidRPr="009F4A13">
        <w:rPr>
          <w:rFonts w:ascii="Arial" w:eastAsia="Calibri" w:hAnsi="Arial" w:cs="Arial"/>
          <w:color w:val="000000" w:themeColor="text1"/>
          <w:sz w:val="22"/>
          <w:szCs w:val="22"/>
          <w:lang w:val="es-ES_tradnl"/>
        </w:rPr>
        <w:t xml:space="preserve">De acuerdo a las preguntas motivo de consulta debe entenderse que para que aplique la excepción del artículo 58 de la Ley 2195 de 2022 el acto administrativo que impuso la multa debe haber sido objeto de demanda ante la jurisdicción contenciosa administrativa, pues desde este momento se inicia el proceso contencioso administrativo, en los términos del artículo 179 del CPACA y se ha puesto en marcha el aparato jurisdiccional. En tal sentido, para efectos del parágrafo del artículo 58 de la Ley 2195 de </w:t>
      </w:r>
      <w:r w:rsidRPr="009F4A13">
        <w:rPr>
          <w:rFonts w:ascii="Arial" w:eastAsia="Calibri" w:hAnsi="Arial" w:cs="Arial"/>
          <w:color w:val="000000" w:themeColor="text1"/>
          <w:sz w:val="22"/>
          <w:szCs w:val="22"/>
          <w:lang w:val="es-ES_tradnl"/>
        </w:rPr>
        <w:lastRenderedPageBreak/>
        <w:t xml:space="preserve">2022, es viable inferir que desde la presentación de la demanda el acto administrativo es objeto del medio de control jurisdiccional respectivo. </w:t>
      </w:r>
    </w:p>
    <w:p w14:paraId="0F46140B" w14:textId="77777777" w:rsidR="00082DD6" w:rsidRPr="009F4A13" w:rsidRDefault="00082DD6" w:rsidP="009A617B">
      <w:pPr>
        <w:spacing w:after="120" w:line="276" w:lineRule="auto"/>
        <w:ind w:firstLine="709"/>
        <w:jc w:val="both"/>
        <w:rPr>
          <w:rFonts w:ascii="Arial" w:eastAsia="Calibri" w:hAnsi="Arial" w:cs="Arial"/>
          <w:color w:val="000000" w:themeColor="text1"/>
          <w:sz w:val="22"/>
          <w:szCs w:val="22"/>
          <w:lang w:val="es-ES_tradnl"/>
        </w:rPr>
      </w:pPr>
      <w:r w:rsidRPr="009F4A13">
        <w:rPr>
          <w:rFonts w:ascii="Arial" w:eastAsia="Calibri" w:hAnsi="Arial" w:cs="Arial"/>
          <w:color w:val="000000" w:themeColor="text1"/>
          <w:sz w:val="22"/>
          <w:szCs w:val="22"/>
          <w:lang w:val="es-ES_tradnl"/>
        </w:rPr>
        <w:t xml:space="preserve">Además de lo expuesto, esta postura resulta menos restrictiva para el proponente, en la medida en que la excepción del parágrafo primero del artículo 58 de la Ley 2195 de 2022 aplicaría desde la instancia inicial del proceso contencioso administrativo y no en etapas posteriores como la admisión de la demanda, el fallo de primera instancia o el de segunda instancia, que suponen estar sujetos a la reducción del puntaje por un plazo mayor. A este respecto, es importante destacar que la medida del artículo 58 es una limitación en relación con la evaluación de la oferta del proponente como consecuencia de una circunstancia particular, por lo que ante varias interpretaciones </w:t>
      </w:r>
      <w:r w:rsidRPr="009F4A13">
        <w:rPr>
          <w:rFonts w:ascii="Arial" w:hAnsi="Arial" w:cs="Arial"/>
          <w:color w:val="000000" w:themeColor="text1"/>
          <w:sz w:val="22"/>
        </w:rPr>
        <w:t xml:space="preserve">debe privilegiarse aquella que represente menor restricción para </w:t>
      </w:r>
      <w:r w:rsidRPr="009F4A13">
        <w:rPr>
          <w:rFonts w:ascii="Arial" w:eastAsia="Calibri" w:hAnsi="Arial" w:cs="Arial"/>
          <w:color w:val="000000" w:themeColor="text1"/>
          <w:sz w:val="22"/>
          <w:szCs w:val="22"/>
          <w:lang w:val="es-ES_tradnl"/>
        </w:rPr>
        <w:t>el derecho de las personas</w:t>
      </w:r>
      <w:r w:rsidRPr="009F4A13">
        <w:rPr>
          <w:rStyle w:val="Refdenotaalpie"/>
          <w:rFonts w:ascii="Arial" w:eastAsia="Calibri" w:hAnsi="Arial" w:cs="Arial"/>
          <w:color w:val="000000" w:themeColor="text1"/>
          <w:sz w:val="22"/>
          <w:szCs w:val="22"/>
          <w:lang w:val="es-ES_tradnl"/>
        </w:rPr>
        <w:footnoteReference w:id="39"/>
      </w:r>
      <w:r w:rsidRPr="009F4A13">
        <w:rPr>
          <w:rFonts w:ascii="Arial" w:eastAsia="Calibri" w:hAnsi="Arial" w:cs="Arial"/>
          <w:color w:val="000000" w:themeColor="text1"/>
          <w:sz w:val="22"/>
          <w:szCs w:val="22"/>
          <w:lang w:val="es-ES_tradnl"/>
        </w:rPr>
        <w:t xml:space="preserve">. </w:t>
      </w:r>
    </w:p>
    <w:p w14:paraId="0E7BA56B" w14:textId="77777777" w:rsidR="00082DD6" w:rsidRPr="009F4A13" w:rsidRDefault="00082DD6" w:rsidP="009A617B">
      <w:pPr>
        <w:spacing w:after="120" w:line="276" w:lineRule="auto"/>
        <w:ind w:firstLine="709"/>
        <w:jc w:val="both"/>
        <w:rPr>
          <w:rFonts w:ascii="Arial" w:eastAsia="Calibri" w:hAnsi="Arial" w:cs="Arial"/>
          <w:color w:val="000000" w:themeColor="text1"/>
          <w:sz w:val="22"/>
          <w:szCs w:val="22"/>
          <w:lang w:val="es-ES_tradnl"/>
        </w:rPr>
      </w:pPr>
      <w:r w:rsidRPr="009F4A13">
        <w:rPr>
          <w:rFonts w:ascii="Arial" w:eastAsia="Calibri" w:hAnsi="Arial" w:cs="Arial"/>
          <w:color w:val="000000" w:themeColor="text1"/>
          <w:sz w:val="22"/>
          <w:szCs w:val="22"/>
          <w:lang w:val="es-ES_tradnl"/>
        </w:rPr>
        <w:t xml:space="preserve">Aunado a lo anterior, debe mencionarse que la intención del legislador es excluir del ámbito de aplicación de la reducción del puntaje por incumplimiento a aquellos actos administrativos que hayan impuesto una o más multas que sean objeto de los medios de control jurisdiccional, pues precisamente lo que se debate en la instancia judicial es el contenido de dichos actos administrativos. De esta forma, debe tenerse en cuenta la existencia de una demanda que controvierte estos actos administrativos para efectos de la aplicación de la excepción que trata el parágrafo del artículo 58 de la Ley 2195 de 2022, toda vez que con ella se someten estos actos ante la jurisdicción contenciosa para que esta, previo agotamiento del proceso, emita un juicio en relación con las pretensiones del demandante. Desde este momento, entonces, se debate el contenido de estos actos administrativos. </w:t>
      </w:r>
    </w:p>
    <w:p w14:paraId="3885AEEC" w14:textId="77777777" w:rsidR="00082DD6" w:rsidRPr="009F4A13" w:rsidRDefault="00082DD6" w:rsidP="009A617B">
      <w:pPr>
        <w:spacing w:after="120" w:line="276" w:lineRule="auto"/>
        <w:ind w:firstLine="709"/>
        <w:jc w:val="both"/>
        <w:rPr>
          <w:rFonts w:ascii="Arial" w:eastAsia="Calibri" w:hAnsi="Arial" w:cs="Arial"/>
          <w:bCs/>
          <w:color w:val="000000" w:themeColor="text1"/>
          <w:sz w:val="22"/>
          <w:szCs w:val="22"/>
        </w:rPr>
      </w:pPr>
      <w:r w:rsidRPr="009F4A13">
        <w:rPr>
          <w:rFonts w:ascii="Arial" w:eastAsia="Calibri" w:hAnsi="Arial" w:cs="Arial"/>
          <w:color w:val="000000" w:themeColor="text1"/>
          <w:sz w:val="22"/>
          <w:lang w:val="es-ES_tradnl"/>
        </w:rPr>
        <w:t xml:space="preserve">En conclusión, esta Agencia considera que </w:t>
      </w:r>
      <w:r w:rsidRPr="009F4A13">
        <w:rPr>
          <w:rFonts w:ascii="Arial" w:eastAsia="Calibri" w:hAnsi="Arial" w:cs="Arial"/>
          <w:color w:val="000000" w:themeColor="text1"/>
          <w:sz w:val="22"/>
          <w:szCs w:val="22"/>
          <w:lang w:val="es-ES_tradnl"/>
        </w:rPr>
        <w:t xml:space="preserve">la presentación de la demanda </w:t>
      </w:r>
      <w:r w:rsidRPr="009F4A13">
        <w:rPr>
          <w:rFonts w:ascii="Arial" w:eastAsia="Calibri" w:hAnsi="Arial" w:cs="Arial"/>
          <w:bCs/>
          <w:color w:val="000000" w:themeColor="text1"/>
          <w:sz w:val="22"/>
          <w:szCs w:val="22"/>
        </w:rPr>
        <w:t xml:space="preserve">se constituye en el criterio interpretativo del parágrafo del artículo 58 de la Ley 2195 de 2022, de manera que la reducción del puntaje no se aplicará cuando el acto administrativo que impuso la multa haya sido demandado </w:t>
      </w:r>
      <w:r w:rsidRPr="009F4A13">
        <w:rPr>
          <w:rFonts w:ascii="Arial" w:eastAsia="Calibri" w:hAnsi="Arial" w:cs="Arial"/>
          <w:color w:val="000000" w:themeColor="text1"/>
          <w:sz w:val="22"/>
          <w:szCs w:val="22"/>
          <w:lang w:val="es-ES_tradnl"/>
        </w:rPr>
        <w:t xml:space="preserve">mediante cualquiera de los medios de control establecidos en el </w:t>
      </w:r>
      <w:r w:rsidRPr="009F4A13">
        <w:rPr>
          <w:rFonts w:ascii="Arial" w:eastAsia="Calibri" w:hAnsi="Arial" w:cs="Arial"/>
          <w:bCs/>
          <w:color w:val="000000" w:themeColor="text1"/>
          <w:sz w:val="22"/>
          <w:szCs w:val="22"/>
        </w:rPr>
        <w:t xml:space="preserve">Título III de la parte segunda de la Ley 1437 de 2011. Para estos efectos, al proponente que se le haya impuesto una o más multas mediante acto administrativo y pretenda que se aplique la excepción del parágrafo primero del artículo en comento, deberá presentar el documento respectivo que acredite la radicación de la demanda ante la jurisdicción contenciosa administrativa de conformidad con las normas que rigen la materia. Vale reiterar que únicamente procederá la excepción planteada si la demanda versa sobre el acto administrativo que impuso la multa y se interpuso mediante los medios de control establecidos en la Ley 1437 de 2011. </w:t>
      </w:r>
    </w:p>
    <w:p w14:paraId="08B7B732" w14:textId="11A92476" w:rsidR="00082DD6" w:rsidRPr="009F4A13" w:rsidRDefault="00082DD6" w:rsidP="009F4A13">
      <w:pPr>
        <w:spacing w:after="120" w:line="276" w:lineRule="auto"/>
        <w:ind w:firstLine="709"/>
        <w:jc w:val="both"/>
        <w:rPr>
          <w:rFonts w:ascii="Arial" w:eastAsia="Calibri" w:hAnsi="Arial" w:cs="Arial"/>
          <w:color w:val="000000" w:themeColor="text1"/>
          <w:sz w:val="22"/>
          <w:szCs w:val="22"/>
          <w:lang w:val="es-ES_tradnl"/>
        </w:rPr>
      </w:pPr>
      <w:r w:rsidRPr="009F4A13">
        <w:rPr>
          <w:rFonts w:ascii="Arial" w:eastAsia="Calibri" w:hAnsi="Arial" w:cs="Arial"/>
          <w:color w:val="000000" w:themeColor="text1"/>
          <w:sz w:val="22"/>
          <w:szCs w:val="22"/>
          <w:lang w:val="es-ES_tradnl"/>
        </w:rPr>
        <w:lastRenderedPageBreak/>
        <w:t xml:space="preserve">Ahora bien, debe precisarse que la excepción dispuesta en el parágrafo aplica en el evento que se haya presentado la demanda antes del cierre del proceso, teniendo en cuenta que el artículo 58 de la Ley 2195 de 2022 dispone que debe examinarse la imposición de las multas o cláusulas penales el último año, que se cuenta a partir de la fecha prevista para la presentación de las ofertas. </w:t>
      </w:r>
      <w:r w:rsidRPr="009F4A13">
        <w:rPr>
          <w:rFonts w:ascii="Arial" w:eastAsia="Calibri" w:hAnsi="Arial" w:cs="Arial"/>
          <w:bCs/>
          <w:color w:val="000000" w:themeColor="text1"/>
          <w:sz w:val="22"/>
          <w:szCs w:val="22"/>
          <w:lang w:val="es-ES_tradnl"/>
        </w:rPr>
        <w:t xml:space="preserve">Es decir, </w:t>
      </w:r>
      <w:r w:rsidRPr="009F4A13">
        <w:rPr>
          <w:rFonts w:ascii="Arial" w:eastAsia="Calibri" w:hAnsi="Arial" w:cs="Arial"/>
          <w:color w:val="000000" w:themeColor="text1"/>
          <w:sz w:val="22"/>
          <w:szCs w:val="22"/>
          <w:lang w:val="es-ES_tradnl"/>
        </w:rPr>
        <w:t>la entidad estatal contratante –que está adelantando el procedimiento de selección–, debe verificar si en el último año anterior al cierre del proceso –fecha prevista para la presentación de las ofertas–, el proponente fue sancionado con multa o cláusula penal pecuniaria y si es del caso este debe presentarse la radicación o presentación de la demanda para exceptuar lo prescrito en el artículo 58.</w:t>
      </w:r>
    </w:p>
    <w:p w14:paraId="20E8718D" w14:textId="1058E7EC" w:rsidR="00F54A54" w:rsidRPr="009F4A13" w:rsidRDefault="00F54A54" w:rsidP="009A617B">
      <w:pPr>
        <w:spacing w:after="120" w:line="276" w:lineRule="auto"/>
        <w:ind w:firstLine="709"/>
        <w:contextualSpacing/>
        <w:jc w:val="both"/>
        <w:rPr>
          <w:rFonts w:ascii="Arial" w:eastAsia="Calibri" w:hAnsi="Arial" w:cs="Arial"/>
          <w:color w:val="000000" w:themeColor="text1"/>
          <w:sz w:val="22"/>
          <w:szCs w:val="22"/>
          <w:lang w:val="es-ES_tradnl"/>
        </w:rPr>
      </w:pPr>
      <w:r w:rsidRPr="009F4A13">
        <w:rPr>
          <w:rFonts w:ascii="Arial" w:eastAsia="Calibri" w:hAnsi="Arial" w:cs="Arial"/>
          <w:bCs/>
          <w:color w:val="000000" w:themeColor="text1"/>
          <w:sz w:val="22"/>
          <w:szCs w:val="22"/>
        </w:rPr>
        <w:t>Finalmente, es importante precisar que la interpretación realizada por la Agencia se deriva de lo establecido en el artículo 58 de la Ley 2195 de 2022, sin perjuicio de que el Gobierno Nacional en desarrollo de la potestad reglamentaria establecida en el artículo 189, numeral 11, de la Constitución decida reglamentar la materia.</w:t>
      </w:r>
    </w:p>
    <w:p w14:paraId="1AD50459" w14:textId="77777777" w:rsidR="00082DD6" w:rsidRPr="009F4A13" w:rsidRDefault="00082DD6" w:rsidP="009A617B">
      <w:pPr>
        <w:spacing w:after="120" w:line="276" w:lineRule="auto"/>
        <w:ind w:firstLine="709"/>
        <w:contextualSpacing/>
        <w:jc w:val="both"/>
        <w:rPr>
          <w:rFonts w:ascii="Arial" w:eastAsia="Calibri" w:hAnsi="Arial" w:cs="Arial"/>
          <w:color w:val="000000" w:themeColor="text1"/>
          <w:sz w:val="21"/>
          <w:szCs w:val="21"/>
          <w:lang w:eastAsia="en-US"/>
        </w:rPr>
      </w:pPr>
    </w:p>
    <w:p w14:paraId="6858B10D" w14:textId="77777777" w:rsidR="00E16A55" w:rsidRPr="009F4A13" w:rsidRDefault="00E16A55" w:rsidP="00E16A55">
      <w:pPr>
        <w:ind w:left="709" w:right="709" w:hanging="360"/>
        <w:contextualSpacing/>
        <w:jc w:val="both"/>
        <w:rPr>
          <w:rFonts w:ascii="Arial" w:eastAsia="Calibri" w:hAnsi="Arial" w:cs="Arial"/>
          <w:i/>
          <w:iCs/>
          <w:color w:val="000000" w:themeColor="text1"/>
          <w:sz w:val="21"/>
          <w:szCs w:val="21"/>
          <w:lang w:eastAsia="en-US"/>
        </w:rPr>
      </w:pPr>
      <w:r w:rsidRPr="009F4A13">
        <w:rPr>
          <w:rFonts w:ascii="Arial" w:eastAsia="Calibri" w:hAnsi="Arial" w:cs="Arial"/>
          <w:color w:val="000000" w:themeColor="text1"/>
          <w:sz w:val="21"/>
          <w:szCs w:val="21"/>
          <w:lang w:val="es-ES" w:eastAsia="en-US"/>
        </w:rPr>
        <w:t xml:space="preserve">e. </w:t>
      </w:r>
      <w:r w:rsidRPr="009F4A13">
        <w:rPr>
          <w:rFonts w:ascii="Arial" w:eastAsia="Calibri" w:hAnsi="Arial" w:cs="Arial"/>
          <w:i/>
          <w:iCs/>
          <w:color w:val="000000" w:themeColor="text1"/>
          <w:sz w:val="21"/>
          <w:szCs w:val="21"/>
          <w:lang w:val="es-ES" w:eastAsia="en-US"/>
        </w:rPr>
        <w:t>Para procesos cuyo cierre haya sido antes de la entrada en vigencia de esta ley, igual les aplica el descuento de este puntaje?</w:t>
      </w:r>
    </w:p>
    <w:p w14:paraId="2D8D3BF5" w14:textId="77777777" w:rsidR="00E16A55" w:rsidRPr="009F4A13" w:rsidRDefault="00E16A55" w:rsidP="00E16A55">
      <w:pPr>
        <w:ind w:left="709" w:right="709" w:hanging="360"/>
        <w:contextualSpacing/>
        <w:jc w:val="both"/>
        <w:rPr>
          <w:rFonts w:ascii="Arial" w:eastAsia="Calibri" w:hAnsi="Arial" w:cs="Arial"/>
          <w:i/>
          <w:iCs/>
          <w:color w:val="000000" w:themeColor="text1"/>
          <w:sz w:val="21"/>
          <w:szCs w:val="21"/>
          <w:lang w:val="es-ES" w:eastAsia="en-US"/>
        </w:rPr>
      </w:pPr>
      <w:r w:rsidRPr="009F4A13">
        <w:rPr>
          <w:rFonts w:ascii="Arial" w:eastAsia="Calibri" w:hAnsi="Arial" w:cs="Arial"/>
          <w:i/>
          <w:iCs/>
          <w:color w:val="000000" w:themeColor="text1"/>
          <w:sz w:val="21"/>
          <w:szCs w:val="21"/>
          <w:lang w:val="es-ES" w:eastAsia="en-US"/>
        </w:rPr>
        <w:t>f. Para procesos cuyo aviso de convocatoria haya sido antes de la entrada en vigencia de esta ley, igual les aplica el descuento de este puntaje?</w:t>
      </w:r>
    </w:p>
    <w:p w14:paraId="1E41DFA0" w14:textId="78C5854A" w:rsidR="00E16A55" w:rsidRPr="009F4A13" w:rsidRDefault="00E16A55" w:rsidP="009A617B">
      <w:pPr>
        <w:ind w:right="709"/>
        <w:contextualSpacing/>
        <w:jc w:val="both"/>
        <w:rPr>
          <w:rFonts w:ascii="Arial" w:eastAsia="Calibri" w:hAnsi="Arial" w:cs="Arial"/>
          <w:color w:val="000000" w:themeColor="text1"/>
          <w:sz w:val="21"/>
          <w:szCs w:val="21"/>
          <w:lang w:eastAsia="en-US"/>
        </w:rPr>
      </w:pPr>
    </w:p>
    <w:p w14:paraId="59516EAD" w14:textId="162D8314" w:rsidR="00082DD6" w:rsidRPr="009F4A13" w:rsidRDefault="00082DD6" w:rsidP="00082DD6">
      <w:pPr>
        <w:spacing w:before="120" w:line="276" w:lineRule="auto"/>
        <w:ind w:firstLine="709"/>
        <w:jc w:val="both"/>
        <w:rPr>
          <w:rFonts w:ascii="Arial" w:hAnsi="Arial" w:cs="Arial"/>
          <w:color w:val="000000" w:themeColor="text1"/>
          <w:sz w:val="22"/>
          <w:szCs w:val="22"/>
          <w:lang w:val="es-ES_tradnl"/>
        </w:rPr>
      </w:pPr>
      <w:r w:rsidRPr="009F4A13">
        <w:rPr>
          <w:rFonts w:ascii="Arial" w:hAnsi="Arial" w:cs="Arial"/>
          <w:color w:val="000000" w:themeColor="text1"/>
          <w:sz w:val="22"/>
          <w:szCs w:val="22"/>
        </w:rPr>
        <w:t>En torno a las preguntas, s</w:t>
      </w:r>
      <w:proofErr w:type="spellStart"/>
      <w:r w:rsidRPr="009F4A13">
        <w:rPr>
          <w:rFonts w:ascii="Arial" w:hAnsi="Arial" w:cs="Arial"/>
          <w:color w:val="000000" w:themeColor="text1"/>
          <w:sz w:val="22"/>
          <w:szCs w:val="22"/>
          <w:lang w:val="es-ES_tradnl"/>
        </w:rPr>
        <w:t>e</w:t>
      </w:r>
      <w:proofErr w:type="spellEnd"/>
      <w:r w:rsidRPr="009F4A13">
        <w:rPr>
          <w:rFonts w:ascii="Arial" w:hAnsi="Arial" w:cs="Arial"/>
          <w:color w:val="000000" w:themeColor="text1"/>
          <w:sz w:val="22"/>
          <w:szCs w:val="22"/>
          <w:lang w:val="es-ES_tradnl"/>
        </w:rPr>
        <w:t xml:space="preserve"> observa que el artículo 58 de la Ley 2195 de 2022 no establece un condicionamiento temporal para su entrada en vigencia, y que el artículo 69 del mismo cuerpo normativo dispone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9F4A13">
        <w:rPr>
          <w:rFonts w:ascii="Arial" w:hAnsi="Arial" w:cs="Arial"/>
          <w:i/>
          <w:iCs/>
          <w:color w:val="000000" w:themeColor="text1"/>
          <w:sz w:val="22"/>
          <w:szCs w:val="22"/>
          <w:lang w:val="es-ES_tradnl"/>
        </w:rPr>
        <w:t>causarán</w:t>
      </w:r>
      <w:r w:rsidRPr="009F4A13">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p w14:paraId="240FD138" w14:textId="1D200DE1" w:rsidR="00082DD6" w:rsidRPr="009F4A13" w:rsidRDefault="00082DD6" w:rsidP="00082DD6">
      <w:pPr>
        <w:spacing w:before="120" w:line="276" w:lineRule="auto"/>
        <w:ind w:firstLine="709"/>
        <w:jc w:val="both"/>
        <w:rPr>
          <w:rFonts w:ascii="Arial" w:hAnsi="Arial" w:cs="Arial"/>
          <w:color w:val="000000" w:themeColor="text1"/>
          <w:sz w:val="22"/>
          <w:szCs w:val="22"/>
          <w:lang w:val="es-ES_tradnl"/>
        </w:rPr>
      </w:pPr>
      <w:r w:rsidRPr="009F4A13">
        <w:rPr>
          <w:rFonts w:ascii="Arial" w:hAnsi="Arial" w:cs="Arial"/>
          <w:color w:val="000000" w:themeColor="text1"/>
          <w:sz w:val="22"/>
          <w:szCs w:val="22"/>
          <w:lang w:val="es-ES_tradnl"/>
        </w:rPr>
        <w:t xml:space="preserve">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rigiera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toda vez que vulneraría el debido proceso administrativo. Caso distinto es aquel en el que a un contratista </w:t>
      </w:r>
      <w:r w:rsidRPr="009F4A13">
        <w:rPr>
          <w:rFonts w:ascii="Arial" w:hAnsi="Arial" w:cs="Arial"/>
          <w:color w:val="000000" w:themeColor="text1"/>
          <w:sz w:val="22"/>
          <w:szCs w:val="22"/>
          <w:lang w:val="es-ES_tradnl"/>
        </w:rPr>
        <w:lastRenderedPageBreak/>
        <w:t>se le aplica una multa, verbigracia, el 25 de febrero de 2022 y se presenta a una licitación pública el 18 de marzo 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p w14:paraId="192148F5" w14:textId="10DD220D" w:rsidR="00120AC9" w:rsidRPr="009F4A13" w:rsidRDefault="00120AC9" w:rsidP="00120AC9">
      <w:pPr>
        <w:spacing w:before="120" w:line="276" w:lineRule="auto"/>
        <w:ind w:firstLine="709"/>
        <w:jc w:val="both"/>
        <w:rPr>
          <w:rFonts w:ascii="Arial" w:eastAsia="Arial" w:hAnsi="Arial" w:cs="Arial"/>
          <w:color w:val="000000" w:themeColor="text1"/>
          <w:sz w:val="22"/>
          <w:lang w:val="es-ES_tradnl"/>
        </w:rPr>
      </w:pPr>
      <w:r w:rsidRPr="009F4A13">
        <w:rPr>
          <w:rFonts w:ascii="Arial" w:eastAsia="Calibri" w:hAnsi="Arial" w:cs="Arial"/>
          <w:color w:val="000000" w:themeColor="text1"/>
          <w:sz w:val="22"/>
          <w:lang w:val="es-ES_tradnl"/>
        </w:rPr>
        <w:t>Precisado lo anterior, y teniendo en cuenta las preguntas del peticionario, al igual que las consideraciones realizadas en el concepto, esta Agencia considera que la reducción del puntaje en la evaluación de las ofertas establecida en el artículo 58 de la Ley 2195 de 2022, sin perjuicio de las precisiones realizadas con anterioridad respecto a su aplicación, es</w:t>
      </w:r>
      <w:r w:rsidRPr="009F4A13">
        <w:rPr>
          <w:rFonts w:ascii="Arial" w:eastAsia="Arial" w:hAnsi="Arial" w:cs="Arial"/>
          <w:color w:val="000000" w:themeColor="text1"/>
          <w:sz w:val="22"/>
          <w:lang w:val="es-ES_tradnl"/>
        </w:rPr>
        <w:t xml:space="preserve"> obligatoria para los procedimientos de selección iniciados con posterioridad a su entrada en vigencia, esto es, para aquellos cuya </w:t>
      </w:r>
      <w:r w:rsidRPr="009F4A13">
        <w:rPr>
          <w:rFonts w:ascii="Arial" w:eastAsia="Arial" w:hAnsi="Arial" w:cs="Arial"/>
          <w:i/>
          <w:iCs/>
          <w:color w:val="000000" w:themeColor="text1"/>
          <w:sz w:val="22"/>
          <w:lang w:val="es-ES_tradnl"/>
        </w:rPr>
        <w:t xml:space="preserve">apertura </w:t>
      </w:r>
      <w:r w:rsidRPr="009F4A13">
        <w:rPr>
          <w:rFonts w:ascii="Arial" w:eastAsia="Arial" w:hAnsi="Arial" w:cs="Arial"/>
          <w:color w:val="000000" w:themeColor="text1"/>
          <w:sz w:val="22"/>
          <w:lang w:val="es-ES_tradnl"/>
        </w:rPr>
        <w:t>se haya realizado a partir del 18 de enero de 2022; no para los anteriores. El artículo 69 de la referida Ley dispone que «[…] rige a partir de su promulgación», pero este precepto debe interpretarse con el matiz previsto en el artículo 40 de la Ley 153 de 1887, explicado en las consideraciones. En otras palabras, si bien, por regla general, las normas que regulan la sustanciación de los procedimientos comienzan a regir desde el momento en el que se cumple con la formalidad de la publicación de las mismas, también lo es que el mencionado artículo establece que las diligencias o términos que hubieran empezado al amparo de otras normas siguen rigiéndose por estas en lo que a la etapa que no ha culminado se refiere, pues es una forma de evitar variaciones abruptas en el ordenamiento procesal, en perjuicio de la seguridad jurídica.</w:t>
      </w:r>
    </w:p>
    <w:p w14:paraId="71C12124" w14:textId="031078F7" w:rsidR="00120AC9" w:rsidRPr="009F4A13" w:rsidRDefault="00120AC9" w:rsidP="00120AC9">
      <w:pPr>
        <w:spacing w:before="120" w:line="276" w:lineRule="auto"/>
        <w:ind w:firstLine="709"/>
        <w:jc w:val="both"/>
        <w:rPr>
          <w:rFonts w:ascii="Arial" w:hAnsi="Arial" w:cs="Arial"/>
          <w:color w:val="000000" w:themeColor="text1"/>
          <w:sz w:val="22"/>
          <w:szCs w:val="22"/>
          <w:lang w:val="es-ES_tradnl"/>
        </w:rPr>
      </w:pPr>
      <w:r w:rsidRPr="009F4A13">
        <w:rPr>
          <w:rFonts w:ascii="Arial" w:eastAsia="Calibri" w:hAnsi="Arial" w:cs="Arial"/>
          <w:color w:val="000000" w:themeColor="text1"/>
          <w:sz w:val="22"/>
          <w:szCs w:val="22"/>
          <w:lang w:val="es-ES_tradnl"/>
        </w:rPr>
        <w:t xml:space="preserve">Es decir, si al 18 de enero de 2020 no se había publicado el acto administrativo de apertura, puede afirmarse que el procedimiento de selección no había </w:t>
      </w:r>
      <w:r w:rsidRPr="009F4A13">
        <w:rPr>
          <w:rFonts w:ascii="Arial" w:eastAsia="Calibri" w:hAnsi="Arial" w:cs="Arial"/>
          <w:i/>
          <w:iCs/>
          <w:color w:val="000000" w:themeColor="text1"/>
          <w:sz w:val="22"/>
          <w:szCs w:val="22"/>
          <w:lang w:val="es-ES_tradnl"/>
        </w:rPr>
        <w:t>iniciado</w:t>
      </w:r>
      <w:r w:rsidRPr="009F4A13">
        <w:rPr>
          <w:rFonts w:ascii="Arial" w:eastAsia="Calibri" w:hAnsi="Arial" w:cs="Arial"/>
          <w:color w:val="000000" w:themeColor="text1"/>
          <w:sz w:val="22"/>
          <w:szCs w:val="22"/>
          <w:lang w:val="es-ES_tradnl"/>
        </w:rPr>
        <w:t xml:space="preserve"> formalmente. Esto significa que la diligencia o trámite procesal no había comenzado. Por ende, en tal caso, de conformidad con el primer inciso del artículo 40 de la Ley 153 de 1887, las entidades estatales debían adecuar los documentos del proceso, teniendo en cuenta los establecido en el artículo 58 de la Ley 2195 de 2022, antes de publicar el acto administrativo de apertura, si para la fecha de publicación de este –se insiste– ya había entrado a regir la Ley mencionada. Lo anterior, claro está, sin perjuicio de la posibilidad de que se expidan adendas para ajustar el pliego de condiciones a las normas vigentes. Sin embargo, si el acto que inicia formalmente el procedimiento de selección de contratistas se había publicado antes del 18 de enero de 2022, las entidades estatales no estaban obligadas a aplicar lo prescrito en el artículo 58 de la Ley 2195 de 2022, porque la diligencia o trámite procesal ya había comenzado. Es decir, en este evento se habría cumplido la condición para la aplicación </w:t>
      </w:r>
      <w:proofErr w:type="spellStart"/>
      <w:r w:rsidRPr="009F4A13">
        <w:rPr>
          <w:rFonts w:ascii="Arial" w:eastAsia="Calibri" w:hAnsi="Arial" w:cs="Arial"/>
          <w:color w:val="000000" w:themeColor="text1"/>
          <w:sz w:val="22"/>
          <w:szCs w:val="22"/>
          <w:lang w:val="es-ES_tradnl"/>
        </w:rPr>
        <w:t>ultractiva</w:t>
      </w:r>
      <w:proofErr w:type="spellEnd"/>
      <w:r w:rsidRPr="009F4A13">
        <w:rPr>
          <w:rFonts w:ascii="Arial" w:eastAsia="Calibri" w:hAnsi="Arial" w:cs="Arial"/>
          <w:color w:val="000000" w:themeColor="text1"/>
          <w:sz w:val="22"/>
          <w:szCs w:val="22"/>
          <w:lang w:val="es-ES_tradnl"/>
        </w:rPr>
        <w:t xml:space="preserve"> de la norma procesal prevista en el segundo inciso del artículo 40 de </w:t>
      </w:r>
      <w:r w:rsidRPr="009F4A13">
        <w:rPr>
          <w:rFonts w:ascii="Arial" w:eastAsia="Calibri" w:hAnsi="Arial" w:cs="Arial"/>
          <w:color w:val="000000" w:themeColor="text1"/>
          <w:sz w:val="22"/>
          <w:lang w:val="es-ES_tradnl"/>
        </w:rPr>
        <w:t>la Ley 153 de 1887</w:t>
      </w:r>
      <w:r w:rsidRPr="009F4A13">
        <w:rPr>
          <w:rFonts w:ascii="Arial" w:hAnsi="Arial" w:cs="Arial"/>
          <w:color w:val="000000" w:themeColor="text1"/>
          <w:sz w:val="22"/>
          <w:szCs w:val="22"/>
          <w:lang w:val="es-ES_tradnl"/>
        </w:rPr>
        <w:t>. </w:t>
      </w:r>
    </w:p>
    <w:p w14:paraId="4C97707A" w14:textId="77777777" w:rsidR="00082DD6" w:rsidRPr="009F4A13" w:rsidRDefault="00082DD6" w:rsidP="009A617B">
      <w:pPr>
        <w:ind w:right="709"/>
        <w:contextualSpacing/>
        <w:jc w:val="both"/>
        <w:rPr>
          <w:rFonts w:ascii="Arial" w:eastAsia="Calibri" w:hAnsi="Arial" w:cs="Arial"/>
          <w:color w:val="000000" w:themeColor="text1"/>
          <w:sz w:val="21"/>
          <w:szCs w:val="21"/>
          <w:lang w:val="es-ES_tradnl" w:eastAsia="en-US"/>
        </w:rPr>
      </w:pPr>
    </w:p>
    <w:p w14:paraId="602CCAC0" w14:textId="7F562A20" w:rsidR="00E16A55" w:rsidRPr="009F4A13" w:rsidRDefault="00E16A55" w:rsidP="00E16A55">
      <w:pPr>
        <w:ind w:left="709" w:right="709" w:hanging="360"/>
        <w:contextualSpacing/>
        <w:jc w:val="both"/>
        <w:rPr>
          <w:rFonts w:ascii="Arial" w:eastAsia="Calibri" w:hAnsi="Arial" w:cs="Arial"/>
          <w:i/>
          <w:iCs/>
          <w:color w:val="000000" w:themeColor="text1"/>
          <w:sz w:val="21"/>
          <w:szCs w:val="21"/>
          <w:lang w:eastAsia="en-US"/>
        </w:rPr>
      </w:pPr>
      <w:r w:rsidRPr="009F4A13">
        <w:rPr>
          <w:rFonts w:ascii="Arial" w:eastAsiaTheme="minorHAnsi" w:hAnsi="Arial" w:cs="Arial"/>
          <w:i/>
          <w:iCs/>
          <w:color w:val="000000" w:themeColor="text1"/>
          <w:sz w:val="21"/>
          <w:szCs w:val="21"/>
          <w:lang w:val="es-ES" w:eastAsia="en-US"/>
        </w:rPr>
        <w:t>»</w:t>
      </w:r>
      <w:r w:rsidRPr="009F4A13">
        <w:rPr>
          <w:rFonts w:ascii="Arial" w:eastAsia="Calibri" w:hAnsi="Arial" w:cs="Arial"/>
          <w:i/>
          <w:iCs/>
          <w:color w:val="000000" w:themeColor="text1"/>
          <w:sz w:val="21"/>
          <w:szCs w:val="21"/>
          <w:lang w:val="es-ES" w:eastAsia="en-US"/>
        </w:rPr>
        <w:t xml:space="preserve">2. En la </w:t>
      </w:r>
      <w:proofErr w:type="spellStart"/>
      <w:r w:rsidRPr="009F4A13">
        <w:rPr>
          <w:rFonts w:ascii="Arial" w:eastAsia="Calibri" w:hAnsi="Arial" w:cs="Arial"/>
          <w:i/>
          <w:iCs/>
          <w:color w:val="000000" w:themeColor="text1"/>
          <w:sz w:val="21"/>
          <w:szCs w:val="21"/>
          <w:lang w:val="es-ES" w:eastAsia="en-US"/>
        </w:rPr>
        <w:t>ultima</w:t>
      </w:r>
      <w:proofErr w:type="spellEnd"/>
      <w:r w:rsidR="00957C2E" w:rsidRPr="009F4A13">
        <w:rPr>
          <w:rFonts w:ascii="Arial" w:eastAsia="Calibri" w:hAnsi="Arial" w:cs="Arial"/>
          <w:i/>
          <w:iCs/>
          <w:color w:val="000000" w:themeColor="text1"/>
          <w:sz w:val="21"/>
          <w:szCs w:val="21"/>
          <w:lang w:val="es-ES" w:eastAsia="en-US"/>
        </w:rPr>
        <w:t xml:space="preserve"> (sic)</w:t>
      </w:r>
      <w:r w:rsidRPr="009F4A13">
        <w:rPr>
          <w:rFonts w:ascii="Arial" w:eastAsia="Calibri" w:hAnsi="Arial" w:cs="Arial"/>
          <w:i/>
          <w:iCs/>
          <w:color w:val="000000" w:themeColor="text1"/>
          <w:sz w:val="21"/>
          <w:szCs w:val="21"/>
          <w:lang w:val="es-ES" w:eastAsia="en-US"/>
        </w:rPr>
        <w:t xml:space="preserve"> versión de los documentos tipo, tanto de infraestructura de transporte y saneamiento básico, se </w:t>
      </w:r>
      <w:proofErr w:type="spellStart"/>
      <w:r w:rsidRPr="009F4A13">
        <w:rPr>
          <w:rFonts w:ascii="Arial" w:eastAsia="Calibri" w:hAnsi="Arial" w:cs="Arial"/>
          <w:i/>
          <w:iCs/>
          <w:color w:val="000000" w:themeColor="text1"/>
          <w:sz w:val="21"/>
          <w:szCs w:val="21"/>
          <w:lang w:val="es-ES" w:eastAsia="en-US"/>
        </w:rPr>
        <w:t>incorporo</w:t>
      </w:r>
      <w:proofErr w:type="spellEnd"/>
      <w:r w:rsidR="00957C2E" w:rsidRPr="009F4A13">
        <w:rPr>
          <w:rFonts w:ascii="Arial" w:eastAsia="Calibri" w:hAnsi="Arial" w:cs="Arial"/>
          <w:i/>
          <w:iCs/>
          <w:color w:val="000000" w:themeColor="text1"/>
          <w:sz w:val="21"/>
          <w:szCs w:val="21"/>
          <w:lang w:val="es-ES" w:eastAsia="en-US"/>
        </w:rPr>
        <w:t xml:space="preserve"> (sic)</w:t>
      </w:r>
      <w:r w:rsidRPr="009F4A13">
        <w:rPr>
          <w:rFonts w:ascii="Arial" w:eastAsia="Calibri" w:hAnsi="Arial" w:cs="Arial"/>
          <w:i/>
          <w:iCs/>
          <w:color w:val="000000" w:themeColor="text1"/>
          <w:sz w:val="21"/>
          <w:szCs w:val="21"/>
          <w:lang w:val="es-ES" w:eastAsia="en-US"/>
        </w:rPr>
        <w:t xml:space="preserve"> para la evaluación de la experiencia lo siguiente:</w:t>
      </w:r>
    </w:p>
    <w:p w14:paraId="316B087C" w14:textId="77777777" w:rsidR="00E16A55" w:rsidRPr="009F4A13" w:rsidRDefault="00E16A55" w:rsidP="00E16A55">
      <w:pPr>
        <w:ind w:left="709" w:right="709"/>
        <w:contextualSpacing/>
        <w:jc w:val="both"/>
        <w:rPr>
          <w:rFonts w:ascii="Arial" w:eastAsia="Calibri" w:hAnsi="Arial" w:cs="Arial"/>
          <w:i/>
          <w:iCs/>
          <w:color w:val="000000" w:themeColor="text1"/>
          <w:sz w:val="21"/>
          <w:szCs w:val="21"/>
          <w:lang w:eastAsia="en-US"/>
        </w:rPr>
      </w:pPr>
      <w:r w:rsidRPr="009F4A13">
        <w:rPr>
          <w:rFonts w:ascii="Arial" w:eastAsia="Calibri" w:hAnsi="Arial" w:cs="Arial"/>
          <w:i/>
          <w:iCs/>
          <w:color w:val="000000" w:themeColor="text1"/>
          <w:sz w:val="21"/>
          <w:szCs w:val="21"/>
          <w:lang w:val="es-ES" w:eastAsia="en-US"/>
        </w:rPr>
        <w:t> </w:t>
      </w:r>
    </w:p>
    <w:p w14:paraId="723143A0" w14:textId="77777777" w:rsidR="00E16A55" w:rsidRPr="009F4A13" w:rsidRDefault="00E16A55" w:rsidP="00E16A55">
      <w:pPr>
        <w:ind w:left="709" w:right="709"/>
        <w:contextualSpacing/>
        <w:jc w:val="both"/>
        <w:rPr>
          <w:rFonts w:ascii="Arial" w:eastAsia="Calibri" w:hAnsi="Arial" w:cs="Arial"/>
          <w:i/>
          <w:iCs/>
          <w:color w:val="000000" w:themeColor="text1"/>
          <w:sz w:val="21"/>
          <w:szCs w:val="21"/>
          <w:lang w:eastAsia="en-US"/>
        </w:rPr>
      </w:pPr>
      <w:r w:rsidRPr="009F4A13">
        <w:rPr>
          <w:rFonts w:ascii="Arial" w:eastAsia="Calibri" w:hAnsi="Arial" w:cs="Arial"/>
          <w:bCs/>
          <w:i/>
          <w:iCs/>
          <w:color w:val="000000" w:themeColor="text1"/>
          <w:sz w:val="21"/>
          <w:szCs w:val="21"/>
          <w:lang w:val="es-ES" w:eastAsia="en-US"/>
        </w:rPr>
        <w:t>3.5.3. CONSIDERACIONES PARA LA VALIDEZ DE LA EXPERIENCIA REQUERIDA</w:t>
      </w:r>
    </w:p>
    <w:p w14:paraId="66FC555F" w14:textId="77777777" w:rsidR="00E16A55" w:rsidRPr="009F4A13" w:rsidRDefault="00E16A55" w:rsidP="00E16A55">
      <w:pPr>
        <w:ind w:left="709" w:right="709"/>
        <w:contextualSpacing/>
        <w:jc w:val="both"/>
        <w:rPr>
          <w:rFonts w:ascii="Arial" w:eastAsia="Calibri" w:hAnsi="Arial" w:cs="Arial"/>
          <w:i/>
          <w:iCs/>
          <w:color w:val="000000" w:themeColor="text1"/>
          <w:sz w:val="21"/>
          <w:szCs w:val="21"/>
          <w:lang w:eastAsia="en-US"/>
        </w:rPr>
      </w:pPr>
      <w:r w:rsidRPr="009F4A13">
        <w:rPr>
          <w:rFonts w:ascii="Arial" w:eastAsia="Calibri" w:hAnsi="Arial" w:cs="Arial"/>
          <w:i/>
          <w:iCs/>
          <w:color w:val="000000" w:themeColor="text1"/>
          <w:sz w:val="21"/>
          <w:szCs w:val="21"/>
          <w:lang w:val="es-ES" w:eastAsia="en-US"/>
        </w:rPr>
        <w:t> </w:t>
      </w:r>
    </w:p>
    <w:p w14:paraId="79640E47" w14:textId="77777777" w:rsidR="00E16A55" w:rsidRPr="009F4A13" w:rsidRDefault="00E16A55" w:rsidP="00E16A55">
      <w:pPr>
        <w:ind w:left="709" w:right="709"/>
        <w:contextualSpacing/>
        <w:jc w:val="both"/>
        <w:rPr>
          <w:rFonts w:ascii="Arial" w:eastAsia="Calibri" w:hAnsi="Arial" w:cs="Arial"/>
          <w:i/>
          <w:iCs/>
          <w:color w:val="000000" w:themeColor="text1"/>
          <w:sz w:val="21"/>
          <w:szCs w:val="21"/>
          <w:lang w:eastAsia="en-US"/>
        </w:rPr>
      </w:pPr>
      <w:r w:rsidRPr="009F4A13">
        <w:rPr>
          <w:rFonts w:ascii="Arial" w:eastAsia="Calibri" w:hAnsi="Arial" w:cs="Arial"/>
          <w:i/>
          <w:iCs/>
          <w:color w:val="000000" w:themeColor="text1"/>
          <w:sz w:val="21"/>
          <w:szCs w:val="21"/>
          <w:lang w:val="es-ES" w:eastAsia="en-US"/>
        </w:rPr>
        <w:t xml:space="preserve">J. El cumplimiento de los requisitos de experiencia que impliquen la </w:t>
      </w:r>
      <w:proofErr w:type="spellStart"/>
      <w:r w:rsidRPr="009F4A13">
        <w:rPr>
          <w:rFonts w:ascii="Arial" w:eastAsia="Calibri" w:hAnsi="Arial" w:cs="Arial"/>
          <w:i/>
          <w:iCs/>
          <w:color w:val="000000" w:themeColor="text1"/>
          <w:sz w:val="21"/>
          <w:szCs w:val="21"/>
          <w:lang w:val="es-ES" w:eastAsia="en-US"/>
        </w:rPr>
        <w:t>acreditación</w:t>
      </w:r>
      <w:proofErr w:type="spellEnd"/>
      <w:r w:rsidRPr="009F4A13">
        <w:rPr>
          <w:rFonts w:ascii="Arial" w:eastAsia="Calibri" w:hAnsi="Arial" w:cs="Arial"/>
          <w:i/>
          <w:iCs/>
          <w:color w:val="000000" w:themeColor="text1"/>
          <w:sz w:val="21"/>
          <w:szCs w:val="21"/>
          <w:lang w:val="es-ES" w:eastAsia="en-US"/>
        </w:rPr>
        <w:t xml:space="preserve"> de valores y magnitudes intervenidas </w:t>
      </w:r>
      <w:proofErr w:type="spellStart"/>
      <w:r w:rsidRPr="009F4A13">
        <w:rPr>
          <w:rFonts w:ascii="Arial" w:eastAsia="Calibri" w:hAnsi="Arial" w:cs="Arial"/>
          <w:i/>
          <w:iCs/>
          <w:color w:val="000000" w:themeColor="text1"/>
          <w:sz w:val="21"/>
          <w:szCs w:val="21"/>
          <w:lang w:val="es-ES" w:eastAsia="en-US"/>
        </w:rPr>
        <w:t>debera</w:t>
      </w:r>
      <w:proofErr w:type="spellEnd"/>
      <w:r w:rsidRPr="009F4A13">
        <w:rPr>
          <w:rFonts w:ascii="Arial" w:eastAsia="Calibri" w:hAnsi="Arial" w:cs="Arial"/>
          <w:i/>
          <w:iCs/>
          <w:color w:val="000000" w:themeColor="text1"/>
          <w:sz w:val="21"/>
          <w:szCs w:val="21"/>
          <w:lang w:val="es-ES" w:eastAsia="en-US"/>
        </w:rPr>
        <w:t xml:space="preserve">́ evaluarse de acuerdo con lo </w:t>
      </w:r>
      <w:proofErr w:type="spellStart"/>
      <w:r w:rsidRPr="009F4A13">
        <w:rPr>
          <w:rFonts w:ascii="Arial" w:eastAsia="Calibri" w:hAnsi="Arial" w:cs="Arial"/>
          <w:i/>
          <w:iCs/>
          <w:color w:val="000000" w:themeColor="text1"/>
          <w:sz w:val="21"/>
          <w:szCs w:val="21"/>
          <w:lang w:val="es-ES" w:eastAsia="en-US"/>
        </w:rPr>
        <w:t>señalado</w:t>
      </w:r>
      <w:proofErr w:type="spellEnd"/>
      <w:r w:rsidRPr="009F4A13">
        <w:rPr>
          <w:rFonts w:ascii="Arial" w:eastAsia="Calibri" w:hAnsi="Arial" w:cs="Arial"/>
          <w:i/>
          <w:iCs/>
          <w:color w:val="000000" w:themeColor="text1"/>
          <w:sz w:val="21"/>
          <w:szCs w:val="21"/>
          <w:lang w:val="es-ES" w:eastAsia="en-US"/>
        </w:rPr>
        <w:t xml:space="preserve"> en la Matriz 1 – Experiencia para la respectiva actividad a contratar. En los contratos aportados como experiencia que contengan actividades ejecutadas ajenas a la obra de infraestructura de transporte </w:t>
      </w:r>
      <w:r w:rsidRPr="009F4A13">
        <w:rPr>
          <w:rFonts w:ascii="Arial" w:eastAsia="Calibri" w:hAnsi="Arial" w:cs="Arial"/>
          <w:bCs/>
          <w:i/>
          <w:iCs/>
          <w:color w:val="000000" w:themeColor="text1"/>
          <w:sz w:val="21"/>
          <w:szCs w:val="21"/>
          <w:lang w:val="es-ES" w:eastAsia="en-US"/>
        </w:rPr>
        <w:t>“(o saneamiento básico dependiendo del tipo de proceso)”</w:t>
      </w:r>
      <w:r w:rsidRPr="009F4A13">
        <w:rPr>
          <w:rFonts w:ascii="Arial" w:eastAsia="Calibri" w:hAnsi="Arial" w:cs="Arial"/>
          <w:i/>
          <w:iCs/>
          <w:color w:val="000000" w:themeColor="text1"/>
          <w:sz w:val="21"/>
          <w:szCs w:val="21"/>
          <w:lang w:val="es-ES" w:eastAsia="en-US"/>
        </w:rPr>
        <w:t xml:space="preserve">, la Entidad Estatal solo </w:t>
      </w:r>
      <w:proofErr w:type="spellStart"/>
      <w:r w:rsidRPr="009F4A13">
        <w:rPr>
          <w:rFonts w:ascii="Arial" w:eastAsia="Calibri" w:hAnsi="Arial" w:cs="Arial"/>
          <w:i/>
          <w:iCs/>
          <w:color w:val="000000" w:themeColor="text1"/>
          <w:sz w:val="21"/>
          <w:szCs w:val="21"/>
          <w:lang w:val="es-ES" w:eastAsia="en-US"/>
        </w:rPr>
        <w:t>tendra</w:t>
      </w:r>
      <w:proofErr w:type="spellEnd"/>
      <w:r w:rsidRPr="009F4A13">
        <w:rPr>
          <w:rFonts w:ascii="Arial" w:eastAsia="Calibri" w:hAnsi="Arial" w:cs="Arial"/>
          <w:i/>
          <w:iCs/>
          <w:color w:val="000000" w:themeColor="text1"/>
          <w:sz w:val="21"/>
          <w:szCs w:val="21"/>
          <w:lang w:val="es-ES" w:eastAsia="en-US"/>
        </w:rPr>
        <w:t>́ en cuenta los valores y magnitudes ejecutadas relacionadas con este tipo de infraestructura.</w:t>
      </w:r>
      <w:r w:rsidRPr="009F4A13">
        <w:rPr>
          <w:rFonts w:ascii="Arial" w:eastAsia="Calibri" w:hAnsi="Arial" w:cs="Arial"/>
          <w:i/>
          <w:iCs/>
          <w:color w:val="000000" w:themeColor="text1"/>
          <w:sz w:val="21"/>
          <w:szCs w:val="21"/>
          <w:lang w:eastAsia="en-US"/>
        </w:rPr>
        <w:t xml:space="preserve"> </w:t>
      </w:r>
      <w:r w:rsidRPr="009F4A13">
        <w:rPr>
          <w:rFonts w:ascii="Arial" w:eastAsia="Calibri" w:hAnsi="Arial" w:cs="Arial"/>
          <w:i/>
          <w:iCs/>
          <w:color w:val="000000" w:themeColor="text1"/>
          <w:sz w:val="21"/>
          <w:szCs w:val="21"/>
          <w:lang w:val="es-ES" w:eastAsia="en-US"/>
        </w:rPr>
        <w:t xml:space="preserve">Para estos efectos, el oferente </w:t>
      </w:r>
      <w:proofErr w:type="spellStart"/>
      <w:r w:rsidRPr="009F4A13">
        <w:rPr>
          <w:rFonts w:ascii="Arial" w:eastAsia="Calibri" w:hAnsi="Arial" w:cs="Arial"/>
          <w:i/>
          <w:iCs/>
          <w:color w:val="000000" w:themeColor="text1"/>
          <w:sz w:val="21"/>
          <w:szCs w:val="21"/>
          <w:lang w:val="es-ES" w:eastAsia="en-US"/>
        </w:rPr>
        <w:t>debera</w:t>
      </w:r>
      <w:proofErr w:type="spellEnd"/>
      <w:r w:rsidRPr="009F4A13">
        <w:rPr>
          <w:rFonts w:ascii="Arial" w:eastAsia="Calibri" w:hAnsi="Arial" w:cs="Arial"/>
          <w:i/>
          <w:iCs/>
          <w:color w:val="000000" w:themeColor="text1"/>
          <w:sz w:val="21"/>
          <w:szCs w:val="21"/>
          <w:lang w:val="es-ES" w:eastAsia="en-US"/>
        </w:rPr>
        <w:t xml:space="preserve">́ acreditar los valores y magnitudes intervenidas dentro del respectivo contrato, empleando alguno de los documentos </w:t>
      </w:r>
      <w:proofErr w:type="spellStart"/>
      <w:r w:rsidRPr="009F4A13">
        <w:rPr>
          <w:rFonts w:ascii="Arial" w:eastAsia="Calibri" w:hAnsi="Arial" w:cs="Arial"/>
          <w:i/>
          <w:iCs/>
          <w:color w:val="000000" w:themeColor="text1"/>
          <w:sz w:val="21"/>
          <w:szCs w:val="21"/>
          <w:lang w:val="es-ES" w:eastAsia="en-US"/>
        </w:rPr>
        <w:t>válidos</w:t>
      </w:r>
      <w:proofErr w:type="spellEnd"/>
      <w:r w:rsidRPr="009F4A13">
        <w:rPr>
          <w:rFonts w:ascii="Arial" w:eastAsia="Calibri" w:hAnsi="Arial" w:cs="Arial"/>
          <w:i/>
          <w:iCs/>
          <w:color w:val="000000" w:themeColor="text1"/>
          <w:sz w:val="21"/>
          <w:szCs w:val="21"/>
          <w:lang w:val="es-ES" w:eastAsia="en-US"/>
        </w:rPr>
        <w:t xml:space="preserve"> establecidos en el numeral 3.5.6 del Pliego de Condiciones. En todo caso, la Entidad Estatal </w:t>
      </w:r>
      <w:proofErr w:type="spellStart"/>
      <w:r w:rsidRPr="009F4A13">
        <w:rPr>
          <w:rFonts w:ascii="Arial" w:eastAsia="Calibri" w:hAnsi="Arial" w:cs="Arial"/>
          <w:i/>
          <w:iCs/>
          <w:color w:val="000000" w:themeColor="text1"/>
          <w:sz w:val="21"/>
          <w:szCs w:val="21"/>
          <w:lang w:val="es-ES" w:eastAsia="en-US"/>
        </w:rPr>
        <w:t>permitira</w:t>
      </w:r>
      <w:proofErr w:type="spellEnd"/>
      <w:r w:rsidRPr="009F4A13">
        <w:rPr>
          <w:rFonts w:ascii="Arial" w:eastAsia="Calibri" w:hAnsi="Arial" w:cs="Arial"/>
          <w:i/>
          <w:iCs/>
          <w:color w:val="000000" w:themeColor="text1"/>
          <w:sz w:val="21"/>
          <w:szCs w:val="21"/>
          <w:lang w:val="es-ES" w:eastAsia="en-US"/>
        </w:rPr>
        <w:t xml:space="preserve">́ la </w:t>
      </w:r>
      <w:proofErr w:type="spellStart"/>
      <w:r w:rsidRPr="009F4A13">
        <w:rPr>
          <w:rFonts w:ascii="Arial" w:eastAsia="Calibri" w:hAnsi="Arial" w:cs="Arial"/>
          <w:i/>
          <w:iCs/>
          <w:color w:val="000000" w:themeColor="text1"/>
          <w:sz w:val="21"/>
          <w:szCs w:val="21"/>
          <w:lang w:val="es-ES" w:eastAsia="en-US"/>
        </w:rPr>
        <w:t>subsanación</w:t>
      </w:r>
      <w:proofErr w:type="spellEnd"/>
      <w:r w:rsidRPr="009F4A13">
        <w:rPr>
          <w:rFonts w:ascii="Arial" w:eastAsia="Calibri" w:hAnsi="Arial" w:cs="Arial"/>
          <w:i/>
          <w:iCs/>
          <w:color w:val="000000" w:themeColor="text1"/>
          <w:sz w:val="21"/>
          <w:szCs w:val="21"/>
          <w:lang w:val="es-ES" w:eastAsia="en-US"/>
        </w:rPr>
        <w:t xml:space="preserve">, en los </w:t>
      </w:r>
      <w:proofErr w:type="spellStart"/>
      <w:r w:rsidRPr="009F4A13">
        <w:rPr>
          <w:rFonts w:ascii="Arial" w:eastAsia="Calibri" w:hAnsi="Arial" w:cs="Arial"/>
          <w:i/>
          <w:iCs/>
          <w:color w:val="000000" w:themeColor="text1"/>
          <w:sz w:val="21"/>
          <w:szCs w:val="21"/>
          <w:lang w:val="es-ES" w:eastAsia="en-US"/>
        </w:rPr>
        <w:t>términos</w:t>
      </w:r>
      <w:proofErr w:type="spellEnd"/>
      <w:r w:rsidRPr="009F4A13">
        <w:rPr>
          <w:rFonts w:ascii="Arial" w:eastAsia="Calibri" w:hAnsi="Arial" w:cs="Arial"/>
          <w:i/>
          <w:iCs/>
          <w:color w:val="000000" w:themeColor="text1"/>
          <w:sz w:val="21"/>
          <w:szCs w:val="21"/>
          <w:lang w:val="es-ES" w:eastAsia="en-US"/>
        </w:rPr>
        <w:t xml:space="preserve"> del numeral 1.6 del Pliego de Condiciones, requiriendo al Proponente para que acredite los valores ejecutados y magnitudes intervenidas. De no lograrse la </w:t>
      </w:r>
      <w:proofErr w:type="spellStart"/>
      <w:r w:rsidRPr="009F4A13">
        <w:rPr>
          <w:rFonts w:ascii="Arial" w:eastAsia="Calibri" w:hAnsi="Arial" w:cs="Arial"/>
          <w:i/>
          <w:iCs/>
          <w:color w:val="000000" w:themeColor="text1"/>
          <w:sz w:val="21"/>
          <w:szCs w:val="21"/>
          <w:lang w:val="es-ES" w:eastAsia="en-US"/>
        </w:rPr>
        <w:t>discriminación</w:t>
      </w:r>
      <w:proofErr w:type="spellEnd"/>
      <w:r w:rsidRPr="009F4A13">
        <w:rPr>
          <w:rFonts w:ascii="Arial" w:eastAsia="Calibri" w:hAnsi="Arial" w:cs="Arial"/>
          <w:i/>
          <w:iCs/>
          <w:color w:val="000000" w:themeColor="text1"/>
          <w:sz w:val="21"/>
          <w:szCs w:val="21"/>
          <w:lang w:val="es-ES" w:eastAsia="en-US"/>
        </w:rPr>
        <w:t xml:space="preserve"> de los valores y magnitudes ejecutadas en el marco del respectivo contrato, la Entidad Estatal no lo </w:t>
      </w:r>
      <w:proofErr w:type="spellStart"/>
      <w:r w:rsidRPr="009F4A13">
        <w:rPr>
          <w:rFonts w:ascii="Arial" w:eastAsia="Calibri" w:hAnsi="Arial" w:cs="Arial"/>
          <w:i/>
          <w:iCs/>
          <w:color w:val="000000" w:themeColor="text1"/>
          <w:sz w:val="21"/>
          <w:szCs w:val="21"/>
          <w:lang w:val="es-ES" w:eastAsia="en-US"/>
        </w:rPr>
        <w:t>tendra</w:t>
      </w:r>
      <w:proofErr w:type="spellEnd"/>
      <w:r w:rsidRPr="009F4A13">
        <w:rPr>
          <w:rFonts w:ascii="Arial" w:eastAsia="Calibri" w:hAnsi="Arial" w:cs="Arial"/>
          <w:i/>
          <w:iCs/>
          <w:color w:val="000000" w:themeColor="text1"/>
          <w:sz w:val="21"/>
          <w:szCs w:val="21"/>
          <w:lang w:val="es-ES" w:eastAsia="en-US"/>
        </w:rPr>
        <w:t xml:space="preserve">́ en cuenta para la </w:t>
      </w:r>
      <w:proofErr w:type="spellStart"/>
      <w:r w:rsidRPr="009F4A13">
        <w:rPr>
          <w:rFonts w:ascii="Arial" w:eastAsia="Calibri" w:hAnsi="Arial" w:cs="Arial"/>
          <w:i/>
          <w:iCs/>
          <w:color w:val="000000" w:themeColor="text1"/>
          <w:sz w:val="21"/>
          <w:szCs w:val="21"/>
          <w:lang w:val="es-ES" w:eastAsia="en-US"/>
        </w:rPr>
        <w:t>evaluación</w:t>
      </w:r>
      <w:proofErr w:type="spellEnd"/>
      <w:r w:rsidRPr="009F4A13">
        <w:rPr>
          <w:rFonts w:ascii="Arial" w:eastAsia="Calibri" w:hAnsi="Arial" w:cs="Arial"/>
          <w:i/>
          <w:iCs/>
          <w:color w:val="000000" w:themeColor="text1"/>
          <w:sz w:val="21"/>
          <w:szCs w:val="21"/>
          <w:lang w:val="es-ES" w:eastAsia="en-US"/>
        </w:rPr>
        <w:t>.</w:t>
      </w:r>
    </w:p>
    <w:p w14:paraId="0E84A1CC" w14:textId="77777777" w:rsidR="00E16A55" w:rsidRPr="009F4A13" w:rsidRDefault="00E16A55" w:rsidP="00E16A55">
      <w:pPr>
        <w:ind w:left="709" w:right="709"/>
        <w:jc w:val="both"/>
        <w:rPr>
          <w:rFonts w:ascii="Arial" w:eastAsia="Calibri" w:hAnsi="Arial" w:cs="Arial"/>
          <w:i/>
          <w:iCs/>
          <w:color w:val="000000" w:themeColor="text1"/>
          <w:sz w:val="21"/>
          <w:szCs w:val="21"/>
          <w:lang w:val="es-ES" w:eastAsia="en-US"/>
        </w:rPr>
      </w:pPr>
    </w:p>
    <w:p w14:paraId="113FC716" w14:textId="77777777" w:rsidR="00E16A55" w:rsidRPr="009F4A13" w:rsidRDefault="00E16A55" w:rsidP="00E16A55">
      <w:pPr>
        <w:ind w:left="709" w:right="709"/>
        <w:jc w:val="both"/>
        <w:rPr>
          <w:rFonts w:ascii="Arial" w:eastAsia="Calibri" w:hAnsi="Arial" w:cs="Arial"/>
          <w:i/>
          <w:iCs/>
          <w:color w:val="000000" w:themeColor="text1"/>
          <w:sz w:val="21"/>
          <w:szCs w:val="21"/>
          <w:lang w:val="es-ES" w:eastAsia="en-US"/>
        </w:rPr>
      </w:pPr>
      <w:r w:rsidRPr="009F4A13">
        <w:rPr>
          <w:rFonts w:ascii="Arial" w:eastAsia="Calibri" w:hAnsi="Arial" w:cs="Arial"/>
          <w:i/>
          <w:iCs/>
          <w:color w:val="000000" w:themeColor="text1"/>
          <w:sz w:val="21"/>
          <w:szCs w:val="21"/>
          <w:lang w:val="es-ES" w:eastAsia="en-US"/>
        </w:rPr>
        <w:t xml:space="preserve">Sobre el numeral anterior, tenemos las siguientes dudas respecto a su aplicación: </w:t>
      </w:r>
      <w:r w:rsidRPr="009F4A13">
        <w:rPr>
          <w:rFonts w:ascii="Arial" w:eastAsia="Calibri" w:hAnsi="Arial" w:cs="Arial"/>
          <w:bCs/>
          <w:i/>
          <w:iCs/>
          <w:color w:val="000000" w:themeColor="text1"/>
          <w:sz w:val="21"/>
          <w:szCs w:val="21"/>
          <w:lang w:val="es-ES" w:eastAsia="en-US"/>
        </w:rPr>
        <w:t xml:space="preserve">Supuesto 1: </w:t>
      </w:r>
      <w:r w:rsidRPr="009F4A13">
        <w:rPr>
          <w:rFonts w:ascii="Arial" w:eastAsia="Calibri" w:hAnsi="Arial" w:cs="Arial"/>
          <w:i/>
          <w:iCs/>
          <w:color w:val="000000" w:themeColor="text1"/>
          <w:sz w:val="21"/>
          <w:szCs w:val="21"/>
          <w:lang w:val="es-ES" w:eastAsia="en-US"/>
        </w:rPr>
        <w:t xml:space="preserve">El objeto de la convocatoria es la construcción de una </w:t>
      </w:r>
      <w:proofErr w:type="spellStart"/>
      <w:r w:rsidRPr="009F4A13">
        <w:rPr>
          <w:rFonts w:ascii="Arial" w:eastAsia="Calibri" w:hAnsi="Arial" w:cs="Arial"/>
          <w:i/>
          <w:iCs/>
          <w:color w:val="000000" w:themeColor="text1"/>
          <w:sz w:val="21"/>
          <w:szCs w:val="21"/>
          <w:lang w:val="es-ES" w:eastAsia="en-US"/>
        </w:rPr>
        <w:t>via</w:t>
      </w:r>
      <w:proofErr w:type="spellEnd"/>
      <w:r w:rsidRPr="009F4A13">
        <w:rPr>
          <w:rFonts w:ascii="Arial" w:eastAsia="Calibri" w:hAnsi="Arial" w:cs="Arial"/>
          <w:i/>
          <w:iCs/>
          <w:color w:val="000000" w:themeColor="text1"/>
          <w:sz w:val="21"/>
          <w:szCs w:val="21"/>
          <w:lang w:val="es-ES" w:eastAsia="en-US"/>
        </w:rPr>
        <w:t xml:space="preserve"> urbana, y dentro del presupuesto se evidencian actividades ajenas a la infraestructura de transporte, </w:t>
      </w:r>
      <w:proofErr w:type="gramStart"/>
      <w:r w:rsidRPr="009F4A13">
        <w:rPr>
          <w:rFonts w:ascii="Arial" w:eastAsia="Calibri" w:hAnsi="Arial" w:cs="Arial"/>
          <w:i/>
          <w:iCs/>
          <w:color w:val="000000" w:themeColor="text1"/>
          <w:sz w:val="21"/>
          <w:szCs w:val="21"/>
          <w:lang w:val="es-ES" w:eastAsia="en-US"/>
        </w:rPr>
        <w:t>como</w:t>
      </w:r>
      <w:proofErr w:type="gramEnd"/>
      <w:r w:rsidRPr="009F4A13">
        <w:rPr>
          <w:rFonts w:ascii="Arial" w:eastAsia="Calibri" w:hAnsi="Arial" w:cs="Arial"/>
          <w:i/>
          <w:iCs/>
          <w:color w:val="000000" w:themeColor="text1"/>
          <w:sz w:val="21"/>
          <w:szCs w:val="21"/>
          <w:lang w:val="es-ES" w:eastAsia="en-US"/>
        </w:rPr>
        <w:t xml:space="preserve"> por ejemplo: redes de servicios públicos. El proponente al presentar su oferta allega un contrato cuyo objeto es la construcción de una </w:t>
      </w:r>
      <w:proofErr w:type="spellStart"/>
      <w:r w:rsidRPr="009F4A13">
        <w:rPr>
          <w:rFonts w:ascii="Arial" w:eastAsia="Calibri" w:hAnsi="Arial" w:cs="Arial"/>
          <w:i/>
          <w:iCs/>
          <w:color w:val="000000" w:themeColor="text1"/>
          <w:sz w:val="21"/>
          <w:szCs w:val="21"/>
          <w:lang w:val="es-ES" w:eastAsia="en-US"/>
        </w:rPr>
        <w:t>via</w:t>
      </w:r>
      <w:proofErr w:type="spellEnd"/>
      <w:r w:rsidRPr="009F4A13">
        <w:rPr>
          <w:rFonts w:ascii="Arial" w:eastAsia="Calibri" w:hAnsi="Arial" w:cs="Arial"/>
          <w:i/>
          <w:iCs/>
          <w:color w:val="000000" w:themeColor="text1"/>
          <w:sz w:val="21"/>
          <w:szCs w:val="21"/>
          <w:lang w:val="es-ES" w:eastAsia="en-US"/>
        </w:rPr>
        <w:t xml:space="preserve"> urbana, pero en sus actividades tiene algunas ajenas a la infraestructura de transporte, como son las redes de servicios públicos. 1. </w:t>
      </w:r>
      <w:proofErr w:type="gramStart"/>
      <w:r w:rsidRPr="009F4A13">
        <w:rPr>
          <w:rFonts w:ascii="Arial" w:eastAsia="Calibri" w:hAnsi="Arial" w:cs="Arial"/>
          <w:i/>
          <w:iCs/>
          <w:color w:val="000000" w:themeColor="text1"/>
          <w:sz w:val="21"/>
          <w:szCs w:val="21"/>
          <w:lang w:val="es-ES" w:eastAsia="en-US"/>
        </w:rPr>
        <w:t>Debe la entidad desagregar el valor y descontar estas actividades, a pesar que en el mismo proyecto a contratar se contemplan actividades similares?</w:t>
      </w:r>
      <w:proofErr w:type="gramEnd"/>
      <w:r w:rsidRPr="009F4A13">
        <w:rPr>
          <w:rFonts w:ascii="Arial" w:eastAsia="Calibri" w:hAnsi="Arial" w:cs="Arial"/>
          <w:i/>
          <w:iCs/>
          <w:color w:val="000000" w:themeColor="text1"/>
          <w:sz w:val="21"/>
          <w:szCs w:val="21"/>
          <w:lang w:val="es-ES" w:eastAsia="en-US"/>
        </w:rPr>
        <w:t xml:space="preserve"> </w:t>
      </w:r>
      <w:r w:rsidRPr="009F4A13">
        <w:rPr>
          <w:rFonts w:ascii="Arial" w:eastAsia="Calibri" w:hAnsi="Arial" w:cs="Arial"/>
          <w:bCs/>
          <w:i/>
          <w:iCs/>
          <w:color w:val="000000" w:themeColor="text1"/>
          <w:sz w:val="21"/>
          <w:szCs w:val="21"/>
          <w:lang w:val="es-ES" w:eastAsia="en-US"/>
        </w:rPr>
        <w:t>Supuesto 2:</w:t>
      </w:r>
      <w:r w:rsidRPr="009F4A13">
        <w:rPr>
          <w:rFonts w:ascii="Arial" w:eastAsia="Calibri" w:hAnsi="Arial" w:cs="Arial"/>
          <w:i/>
          <w:iCs/>
          <w:color w:val="000000" w:themeColor="text1"/>
          <w:sz w:val="21"/>
          <w:szCs w:val="21"/>
          <w:lang w:val="es-ES" w:eastAsia="en-US"/>
        </w:rPr>
        <w:t xml:space="preserve"> Otro proponente aporta un contrato cuyo objeto es la reposición de redes de servicios públicos, pero en su alcance se especifica la construcción de una vía urbana. 1. </w:t>
      </w:r>
      <w:proofErr w:type="gramStart"/>
      <w:r w:rsidRPr="009F4A13">
        <w:rPr>
          <w:rFonts w:ascii="Arial" w:eastAsia="Calibri" w:hAnsi="Arial" w:cs="Arial"/>
          <w:i/>
          <w:iCs/>
          <w:color w:val="000000" w:themeColor="text1"/>
          <w:sz w:val="21"/>
          <w:szCs w:val="21"/>
          <w:lang w:val="es-ES" w:eastAsia="en-US"/>
        </w:rPr>
        <w:t>Debe la entidad desagregar el valor y descontar estas actividades, a pesar que en el mismo proyecto a contratar se contemplan actividades similares?</w:t>
      </w:r>
      <w:proofErr w:type="gramEnd"/>
      <w:r w:rsidRPr="009F4A13">
        <w:rPr>
          <w:rFonts w:ascii="Arial" w:eastAsia="Calibri" w:hAnsi="Arial" w:cs="Arial"/>
          <w:i/>
          <w:iCs/>
          <w:color w:val="000000" w:themeColor="text1"/>
          <w:sz w:val="21"/>
          <w:szCs w:val="21"/>
          <w:lang w:val="es-ES" w:eastAsia="en-US"/>
        </w:rPr>
        <w:t xml:space="preserve"> </w:t>
      </w:r>
      <w:r w:rsidRPr="009F4A13">
        <w:rPr>
          <w:rFonts w:ascii="Arial" w:eastAsia="Calibri" w:hAnsi="Arial" w:cs="Arial"/>
          <w:bCs/>
          <w:i/>
          <w:iCs/>
          <w:color w:val="000000" w:themeColor="text1"/>
          <w:sz w:val="21"/>
          <w:szCs w:val="21"/>
          <w:lang w:val="es-ES" w:eastAsia="en-US"/>
        </w:rPr>
        <w:t>Supuesto 3:</w:t>
      </w:r>
      <w:r w:rsidRPr="009F4A13">
        <w:rPr>
          <w:rFonts w:ascii="Arial" w:eastAsia="Calibri" w:hAnsi="Arial" w:cs="Arial"/>
          <w:i/>
          <w:iCs/>
          <w:color w:val="000000" w:themeColor="text1"/>
          <w:sz w:val="21"/>
          <w:szCs w:val="21"/>
          <w:lang w:val="es-ES" w:eastAsia="en-US"/>
        </w:rPr>
        <w:t xml:space="preserve"> El objeto de la convocatoria es la construcción de el plan maestro de alcantarillado del municipio X. El proponente al presentar su oferta allega un contrato cuyo objeto es la construcción del plan maestro de acueducto y alcantarillado del municipio Y. </w:t>
      </w:r>
      <w:r w:rsidRPr="009F4A13">
        <w:rPr>
          <w:rFonts w:ascii="Arial" w:eastAsia="Calibri" w:hAnsi="Arial" w:cs="Arial"/>
          <w:bCs/>
          <w:i/>
          <w:iCs/>
          <w:color w:val="000000" w:themeColor="text1"/>
          <w:sz w:val="21"/>
          <w:szCs w:val="21"/>
          <w:lang w:val="es-ES" w:eastAsia="en-US"/>
        </w:rPr>
        <w:t>1.</w:t>
      </w:r>
      <w:r w:rsidRPr="009F4A13">
        <w:rPr>
          <w:rFonts w:ascii="Arial" w:eastAsia="Calibri" w:hAnsi="Arial" w:cs="Arial"/>
          <w:i/>
          <w:iCs/>
          <w:color w:val="000000" w:themeColor="text1"/>
          <w:sz w:val="21"/>
          <w:szCs w:val="21"/>
          <w:lang w:val="es-ES" w:eastAsia="en-US"/>
        </w:rPr>
        <w:t xml:space="preserve"> Debe la entidad desagregar el valor de obras de acueducto y alcantarillado, a pesar que en el objeto total del proyecto aportado se enmarca en obras de saneamiento básico. </w:t>
      </w:r>
      <w:r w:rsidRPr="009F4A13">
        <w:rPr>
          <w:rFonts w:ascii="Arial" w:eastAsia="Calibri" w:hAnsi="Arial" w:cs="Arial"/>
          <w:bCs/>
          <w:i/>
          <w:iCs/>
          <w:color w:val="000000" w:themeColor="text1"/>
          <w:sz w:val="21"/>
          <w:szCs w:val="21"/>
          <w:lang w:val="es-ES" w:eastAsia="en-US"/>
        </w:rPr>
        <w:t>2.</w:t>
      </w:r>
      <w:r w:rsidRPr="009F4A13">
        <w:rPr>
          <w:rFonts w:ascii="Arial" w:eastAsia="Calibri" w:hAnsi="Arial" w:cs="Arial"/>
          <w:i/>
          <w:iCs/>
          <w:color w:val="000000" w:themeColor="text1"/>
          <w:sz w:val="21"/>
          <w:szCs w:val="21"/>
          <w:lang w:val="es-ES" w:eastAsia="en-US"/>
        </w:rPr>
        <w:t xml:space="preserve">Si en el contrato aportado, en sus actividades se ejecutaron obras de pavimentación asociadas a la infraestructura de transporte. Debe la entidad desagregar este valor, así el objeto contractual del proyecto sea saneamiento básico. </w:t>
      </w:r>
      <w:r w:rsidRPr="009F4A13">
        <w:rPr>
          <w:rFonts w:ascii="Arial" w:eastAsia="Calibri" w:hAnsi="Arial" w:cs="Arial"/>
          <w:bCs/>
          <w:i/>
          <w:iCs/>
          <w:color w:val="000000" w:themeColor="text1"/>
          <w:sz w:val="21"/>
          <w:szCs w:val="21"/>
          <w:lang w:val="es-ES" w:eastAsia="en-US"/>
        </w:rPr>
        <w:t>3.</w:t>
      </w:r>
      <w:r w:rsidRPr="009F4A13">
        <w:rPr>
          <w:rFonts w:ascii="Arial" w:eastAsia="Calibri" w:hAnsi="Arial" w:cs="Arial"/>
          <w:i/>
          <w:iCs/>
          <w:color w:val="000000" w:themeColor="text1"/>
          <w:sz w:val="21"/>
          <w:szCs w:val="21"/>
          <w:lang w:val="es-ES" w:eastAsia="en-US"/>
        </w:rPr>
        <w:t xml:space="preserve">Si en el contrato aportado, en sus actividades se ejecutaron obras de pavimentación asociadas a </w:t>
      </w:r>
      <w:r w:rsidRPr="009F4A13">
        <w:rPr>
          <w:rFonts w:ascii="Arial" w:eastAsia="Calibri" w:hAnsi="Arial" w:cs="Arial"/>
          <w:i/>
          <w:iCs/>
          <w:color w:val="000000" w:themeColor="text1"/>
          <w:sz w:val="21"/>
          <w:szCs w:val="21"/>
          <w:lang w:val="es-ES" w:eastAsia="en-US"/>
        </w:rPr>
        <w:lastRenderedPageBreak/>
        <w:t xml:space="preserve">la infraestructura de transporte. </w:t>
      </w:r>
      <w:proofErr w:type="gramStart"/>
      <w:r w:rsidRPr="009F4A13">
        <w:rPr>
          <w:rFonts w:ascii="Arial" w:eastAsia="Calibri" w:hAnsi="Arial" w:cs="Arial"/>
          <w:i/>
          <w:iCs/>
          <w:color w:val="000000" w:themeColor="text1"/>
          <w:sz w:val="21"/>
          <w:szCs w:val="21"/>
          <w:lang w:val="es-ES" w:eastAsia="en-US"/>
        </w:rPr>
        <w:t>Debe la entidad desagregar este valor, así en el proceso a contratar se encuentren contempladas actividades similares?</w:t>
      </w:r>
      <w:proofErr w:type="gramEnd"/>
      <w:r w:rsidRPr="009F4A13">
        <w:rPr>
          <w:rFonts w:ascii="Arial" w:eastAsia="Calibri" w:hAnsi="Arial" w:cs="Arial"/>
          <w:i/>
          <w:iCs/>
          <w:color w:val="000000" w:themeColor="text1"/>
          <w:sz w:val="21"/>
          <w:szCs w:val="21"/>
          <w:lang w:val="es-ES" w:eastAsia="en-US"/>
        </w:rPr>
        <w:t xml:space="preserve"> </w:t>
      </w:r>
      <w:r w:rsidRPr="009F4A13">
        <w:rPr>
          <w:rFonts w:ascii="Arial" w:eastAsia="Calibri" w:hAnsi="Arial" w:cs="Arial"/>
          <w:bCs/>
          <w:i/>
          <w:iCs/>
          <w:color w:val="000000" w:themeColor="text1"/>
          <w:sz w:val="21"/>
          <w:szCs w:val="21"/>
          <w:lang w:val="es-ES" w:eastAsia="en-US"/>
        </w:rPr>
        <w:t>Supuesto 4:</w:t>
      </w:r>
      <w:r w:rsidRPr="009F4A13">
        <w:rPr>
          <w:rFonts w:ascii="Arial" w:eastAsia="Calibri" w:hAnsi="Arial" w:cs="Arial"/>
          <w:i/>
          <w:iCs/>
          <w:color w:val="000000" w:themeColor="text1"/>
          <w:sz w:val="21"/>
          <w:szCs w:val="21"/>
          <w:lang w:val="es-ES" w:eastAsia="en-US"/>
        </w:rPr>
        <w:t xml:space="preserve"> El objeto de la convocatoria es la construcción de un puente. El proponente al presentar su oferta allega un contrato cuyo objeto es la construcción de una vía y en su alcance se contempla la construcción de un puente. </w:t>
      </w:r>
      <w:r w:rsidRPr="009F4A13">
        <w:rPr>
          <w:rFonts w:ascii="Arial" w:eastAsia="Calibri" w:hAnsi="Arial" w:cs="Arial"/>
          <w:bCs/>
          <w:i/>
          <w:iCs/>
          <w:color w:val="000000" w:themeColor="text1"/>
          <w:sz w:val="21"/>
          <w:szCs w:val="21"/>
          <w:lang w:val="es-ES" w:eastAsia="en-US"/>
        </w:rPr>
        <w:t>1.</w:t>
      </w:r>
      <w:r w:rsidRPr="009F4A13">
        <w:rPr>
          <w:rFonts w:ascii="Arial" w:eastAsia="Calibri" w:hAnsi="Arial" w:cs="Arial"/>
          <w:i/>
          <w:iCs/>
          <w:color w:val="000000" w:themeColor="text1"/>
          <w:sz w:val="21"/>
          <w:szCs w:val="21"/>
          <w:lang w:val="es-ES" w:eastAsia="en-US"/>
        </w:rPr>
        <w:t xml:space="preserve"> Debe la entidad desagregar el valor de obras, a pesar que en el objeto total del proyecto aportado se enmarca en obras de infraestructura de transporte. </w:t>
      </w:r>
      <w:r w:rsidRPr="009F4A13">
        <w:rPr>
          <w:rFonts w:ascii="Arial" w:eastAsia="Calibri" w:hAnsi="Arial" w:cs="Arial"/>
          <w:bCs/>
          <w:i/>
          <w:iCs/>
          <w:color w:val="000000" w:themeColor="text1"/>
          <w:sz w:val="21"/>
          <w:szCs w:val="21"/>
          <w:lang w:val="es-ES" w:eastAsia="en-US"/>
        </w:rPr>
        <w:t>2.</w:t>
      </w:r>
      <w:r w:rsidRPr="009F4A13">
        <w:rPr>
          <w:rFonts w:ascii="Arial" w:eastAsia="Calibri" w:hAnsi="Arial" w:cs="Arial"/>
          <w:i/>
          <w:iCs/>
          <w:color w:val="000000" w:themeColor="text1"/>
          <w:sz w:val="21"/>
          <w:szCs w:val="21"/>
          <w:lang w:val="es-ES" w:eastAsia="en-US"/>
        </w:rPr>
        <w:t xml:space="preserve"> Si en el contrato aportado, en sus actividades se ejecutaron obras de pavimentación asociadas a la infraestructura de transporte. </w:t>
      </w:r>
      <w:proofErr w:type="gramStart"/>
      <w:r w:rsidRPr="009F4A13">
        <w:rPr>
          <w:rFonts w:ascii="Arial" w:eastAsia="Calibri" w:hAnsi="Arial" w:cs="Arial"/>
          <w:i/>
          <w:iCs/>
          <w:color w:val="000000" w:themeColor="text1"/>
          <w:sz w:val="21"/>
          <w:szCs w:val="21"/>
          <w:lang w:val="es-ES" w:eastAsia="en-US"/>
        </w:rPr>
        <w:t>Debe la entidad desagregar este valor, así en el proceso a contratar se encuentren contempladas actividades similares?</w:t>
      </w:r>
      <w:proofErr w:type="gramEnd"/>
      <w:r w:rsidRPr="009F4A13">
        <w:rPr>
          <w:rFonts w:ascii="Arial" w:eastAsia="Calibri" w:hAnsi="Arial" w:cs="Arial"/>
          <w:i/>
          <w:iCs/>
          <w:color w:val="000000" w:themeColor="text1"/>
          <w:sz w:val="21"/>
          <w:szCs w:val="21"/>
          <w:lang w:val="es-ES" w:eastAsia="en-US"/>
        </w:rPr>
        <w:t xml:space="preserve"> </w:t>
      </w:r>
      <w:r w:rsidRPr="009F4A13">
        <w:rPr>
          <w:rFonts w:ascii="Arial" w:eastAsia="Calibri" w:hAnsi="Arial" w:cs="Arial"/>
          <w:bCs/>
          <w:i/>
          <w:iCs/>
          <w:color w:val="000000" w:themeColor="text1"/>
          <w:sz w:val="21"/>
          <w:szCs w:val="21"/>
          <w:lang w:val="es-ES" w:eastAsia="en-US"/>
        </w:rPr>
        <w:t>Observaciones generales:</w:t>
      </w:r>
      <w:r w:rsidRPr="009F4A13">
        <w:rPr>
          <w:rFonts w:ascii="Arial" w:eastAsia="Symbol" w:hAnsi="Arial" w:cs="Arial"/>
          <w:i/>
          <w:iCs/>
          <w:color w:val="000000" w:themeColor="text1"/>
          <w:sz w:val="21"/>
          <w:szCs w:val="21"/>
          <w:lang w:val="es-ES" w:eastAsia="en-US"/>
        </w:rPr>
        <w:t xml:space="preserve"> </w:t>
      </w:r>
      <w:proofErr w:type="gramStart"/>
      <w:r w:rsidRPr="009F4A13">
        <w:rPr>
          <w:rFonts w:ascii="Arial" w:eastAsia="Calibri" w:hAnsi="Arial" w:cs="Arial"/>
          <w:i/>
          <w:iCs/>
          <w:color w:val="000000" w:themeColor="text1"/>
          <w:sz w:val="21"/>
          <w:szCs w:val="21"/>
          <w:lang w:val="es-ES" w:eastAsia="en-US"/>
        </w:rPr>
        <w:t>Un contrato cuyo objeto se enmarque en su totalidad de infraestructura de transporte, y sea utilizado para un proyecto tipo de infraestructura de transporte, puede ser desagregado por la entidad?</w:t>
      </w:r>
      <w:proofErr w:type="gramEnd"/>
      <w:r w:rsidRPr="009F4A13">
        <w:rPr>
          <w:rFonts w:ascii="Arial" w:eastAsia="Symbol" w:hAnsi="Arial" w:cs="Arial"/>
          <w:i/>
          <w:iCs/>
          <w:color w:val="000000" w:themeColor="text1"/>
          <w:sz w:val="21"/>
          <w:szCs w:val="21"/>
          <w:lang w:val="es-ES" w:eastAsia="en-US"/>
        </w:rPr>
        <w:t xml:space="preserve"> </w:t>
      </w:r>
      <w:r w:rsidRPr="009F4A13">
        <w:rPr>
          <w:rFonts w:ascii="Arial" w:eastAsia="Calibri" w:hAnsi="Arial" w:cs="Arial"/>
          <w:i/>
          <w:iCs/>
          <w:color w:val="000000" w:themeColor="text1"/>
          <w:sz w:val="21"/>
          <w:szCs w:val="21"/>
          <w:lang w:val="es-ES" w:eastAsia="en-US"/>
        </w:rPr>
        <w:t xml:space="preserve">Si el objeto principal del proceso de selección es de infraestructura de transporte, pero en su alcance se evidencian actividades de otro tipo de actividades (espacio público, redes de servicios públicos) como se debería evaluar la experiencia aporta y desagregar el valor aportado. </w:t>
      </w:r>
    </w:p>
    <w:p w14:paraId="56C53E67" w14:textId="77A80142" w:rsidR="00E16A55" w:rsidRPr="009F4A13" w:rsidRDefault="00E16A55" w:rsidP="009A617B">
      <w:pPr>
        <w:ind w:right="709"/>
        <w:jc w:val="both"/>
        <w:rPr>
          <w:rFonts w:ascii="Arial" w:eastAsia="Calibri" w:hAnsi="Arial" w:cs="Arial"/>
          <w:color w:val="000000" w:themeColor="text1"/>
          <w:sz w:val="21"/>
          <w:szCs w:val="21"/>
          <w:lang w:val="es-ES" w:eastAsia="en-US"/>
        </w:rPr>
      </w:pPr>
    </w:p>
    <w:p w14:paraId="19010E91" w14:textId="417C0FF6" w:rsidR="007F442A" w:rsidRPr="009F4A13" w:rsidRDefault="007F442A" w:rsidP="007F442A">
      <w:pPr>
        <w:spacing w:before="120" w:line="276" w:lineRule="auto"/>
        <w:ind w:firstLine="709"/>
        <w:jc w:val="both"/>
        <w:rPr>
          <w:rFonts w:ascii="Arial" w:hAnsi="Arial" w:cs="Arial"/>
          <w:color w:val="000000" w:themeColor="text1"/>
          <w:sz w:val="22"/>
          <w:szCs w:val="22"/>
        </w:rPr>
      </w:pPr>
      <w:r w:rsidRPr="009F4A13">
        <w:rPr>
          <w:rFonts w:ascii="Arial" w:hAnsi="Arial" w:cs="Arial"/>
          <w:color w:val="000000" w:themeColor="text1"/>
          <w:sz w:val="22"/>
          <w:szCs w:val="22"/>
        </w:rPr>
        <w:t xml:space="preserve">Conforme con lo señalado en </w:t>
      </w:r>
      <w:r w:rsidR="00B75175" w:rsidRPr="009F4A13">
        <w:rPr>
          <w:rFonts w:ascii="Arial" w:hAnsi="Arial" w:cs="Arial"/>
          <w:color w:val="000000" w:themeColor="text1"/>
          <w:sz w:val="22"/>
          <w:szCs w:val="22"/>
        </w:rPr>
        <w:t>el numeral 2.7 de este concepto,</w:t>
      </w:r>
      <w:r w:rsidR="00F35C14" w:rsidRPr="009F4A13">
        <w:rPr>
          <w:rFonts w:ascii="Arial" w:hAnsi="Arial" w:cs="Arial"/>
          <w:color w:val="000000" w:themeColor="text1"/>
          <w:sz w:val="22"/>
          <w:szCs w:val="22"/>
        </w:rPr>
        <w:t xml:space="preserve"> y teniendo en cuenta el ámbito de competencias de esta Agencia,</w:t>
      </w:r>
      <w:r w:rsidRPr="009F4A13">
        <w:rPr>
          <w:rFonts w:ascii="Arial" w:hAnsi="Arial" w:cs="Arial"/>
          <w:color w:val="000000" w:themeColor="text1"/>
          <w:sz w:val="22"/>
          <w:szCs w:val="22"/>
        </w:rPr>
        <w:t xml:space="preserve"> la Resolución 304 del 13 de octubre de 2021 estableció en el artículo 11 una modificación al literal J del numeral 3.5.3. de los Documentos Tipo de licitación de obra pública y selección abreviada de menor cuantía de infraestructura de transporte. Específicamente, este artículo ajusta la regla del documento base que se usa para descontar las actividades que no están relacionadas con el tipo de infraestructura de transporte. Al respecto, este artículo dispone:</w:t>
      </w:r>
    </w:p>
    <w:p w14:paraId="589887BF" w14:textId="77777777" w:rsidR="007F442A" w:rsidRPr="009F4A13" w:rsidRDefault="007F442A" w:rsidP="007F442A">
      <w:pPr>
        <w:spacing w:before="120" w:line="276" w:lineRule="auto"/>
        <w:jc w:val="both"/>
        <w:rPr>
          <w:rFonts w:ascii="Arial" w:hAnsi="Arial" w:cs="Arial"/>
          <w:color w:val="000000" w:themeColor="text1"/>
          <w:sz w:val="22"/>
          <w:szCs w:val="22"/>
        </w:rPr>
      </w:pPr>
      <w:r w:rsidRPr="009F4A13">
        <w:rPr>
          <w:rFonts w:ascii="Arial" w:hAnsi="Arial" w:cs="Arial"/>
          <w:color w:val="000000" w:themeColor="text1"/>
          <w:sz w:val="22"/>
          <w:szCs w:val="22"/>
        </w:rPr>
        <w:t xml:space="preserve"> </w:t>
      </w:r>
    </w:p>
    <w:p w14:paraId="6E9C97A1" w14:textId="77777777" w:rsidR="007F442A" w:rsidRPr="009F4A13" w:rsidRDefault="007F442A" w:rsidP="007F442A">
      <w:pPr>
        <w:keepNext/>
        <w:keepLines/>
        <w:numPr>
          <w:ilvl w:val="2"/>
          <w:numId w:val="0"/>
        </w:numPr>
        <w:spacing w:line="259" w:lineRule="auto"/>
        <w:ind w:left="709" w:right="709"/>
        <w:jc w:val="both"/>
        <w:outlineLvl w:val="2"/>
        <w:rPr>
          <w:rFonts w:ascii="Arial" w:eastAsia="Calibri" w:hAnsi="Arial" w:cs="Arial"/>
          <w:color w:val="000000" w:themeColor="text1"/>
          <w:sz w:val="21"/>
          <w:szCs w:val="21"/>
          <w:lang w:val="es-MX" w:eastAsia="en-US"/>
        </w:rPr>
      </w:pPr>
      <w:r w:rsidRPr="009F4A13">
        <w:rPr>
          <w:rFonts w:ascii="Arial" w:eastAsia="Calibri" w:hAnsi="Arial" w:cs="Arial"/>
          <w:color w:val="000000" w:themeColor="text1"/>
          <w:sz w:val="21"/>
          <w:szCs w:val="21"/>
          <w:lang w:val="es-MX" w:eastAsia="en-US"/>
        </w:rPr>
        <w:t xml:space="preserve"> </w:t>
      </w:r>
      <w:r w:rsidRPr="009F4A13">
        <w:rPr>
          <w:rFonts w:ascii="Arial" w:hAnsi="Arial" w:cs="Arial"/>
          <w:color w:val="000000" w:themeColor="text1"/>
          <w:sz w:val="21"/>
          <w:szCs w:val="21"/>
        </w:rPr>
        <w:t>Artículo 11 – MODIFÍQUESE EL LITERAL J DEL NUMERAL 3.5.3 DE LOS DOCUMENTOS TIPO DE OBRA DE INFRAESTRUCTURA DE TRANSPORTE ADELANTADOS BAJO LA MODALIDAD DE LICITACIÓN PÚBLICA Y SELECCIÓN ABREVIADA DE MENOR CUANTÍA. Modifíquese el literal J) del numeral 3.5.3 de los Documentos Tipo de obra pública de infraestructura de transporte adelantados bajo la modalidad de licitación pública –Versión 3, adoptados mediante la Resolución 240 de 2020 y de los Documentos Tipo de obra pública de infraestructura de transporte adelantados bajo la modalidad de selección abreviada de menor cuantía –Versión 2–, expedidos mediante la Resolución 241 de 2020, en los siguientes términos:</w:t>
      </w:r>
    </w:p>
    <w:p w14:paraId="0871F540" w14:textId="77777777" w:rsidR="007F442A" w:rsidRPr="009F4A13" w:rsidRDefault="007F442A" w:rsidP="007F442A">
      <w:pPr>
        <w:ind w:right="709"/>
        <w:jc w:val="both"/>
        <w:rPr>
          <w:rFonts w:ascii="Arial" w:hAnsi="Arial" w:cs="Arial"/>
          <w:color w:val="000000" w:themeColor="text1"/>
          <w:sz w:val="21"/>
          <w:szCs w:val="21"/>
          <w:lang w:val="es-MX"/>
        </w:rPr>
      </w:pPr>
    </w:p>
    <w:p w14:paraId="16DA522C" w14:textId="4574E8E3" w:rsidR="007F442A" w:rsidRPr="009F4A13" w:rsidRDefault="00F634CA" w:rsidP="009F4A13">
      <w:pPr>
        <w:pStyle w:val="Prrafodelista"/>
        <w:spacing w:line="259" w:lineRule="auto"/>
        <w:ind w:right="709"/>
        <w:jc w:val="both"/>
        <w:rPr>
          <w:rFonts w:ascii="Arial" w:eastAsia="Calibri" w:hAnsi="Arial" w:cs="Arial"/>
          <w:color w:val="000000" w:themeColor="text1"/>
          <w:sz w:val="21"/>
          <w:szCs w:val="21"/>
        </w:rPr>
      </w:pPr>
      <w:r w:rsidRPr="009F4A13">
        <w:rPr>
          <w:rFonts w:ascii="Arial" w:eastAsia="Calibri" w:hAnsi="Arial" w:cs="Arial"/>
          <w:color w:val="000000" w:themeColor="text1"/>
          <w:sz w:val="21"/>
          <w:szCs w:val="21"/>
        </w:rPr>
        <w:t xml:space="preserve">j. </w:t>
      </w:r>
      <w:r w:rsidR="007F442A" w:rsidRPr="009F4A13">
        <w:rPr>
          <w:rFonts w:ascii="Arial" w:eastAsia="Calibri" w:hAnsi="Arial" w:cs="Arial"/>
          <w:color w:val="000000" w:themeColor="text1"/>
          <w:sz w:val="21"/>
          <w:szCs w:val="21"/>
        </w:rPr>
        <w:t>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infraestructura de transporte, la Entidad Estatal solo tendrá en cuenta los valores y magnitudes ejecutadas relacionadas con este tipo de infraestructura.</w:t>
      </w:r>
    </w:p>
    <w:p w14:paraId="508F251F" w14:textId="77777777" w:rsidR="007F442A" w:rsidRPr="009F4A13" w:rsidRDefault="007F442A" w:rsidP="007F442A">
      <w:pPr>
        <w:spacing w:line="259" w:lineRule="auto"/>
        <w:ind w:left="709" w:right="709"/>
        <w:contextualSpacing/>
        <w:jc w:val="both"/>
        <w:rPr>
          <w:rFonts w:ascii="Arial" w:eastAsia="Calibri" w:hAnsi="Arial" w:cs="Arial"/>
          <w:color w:val="000000" w:themeColor="text1"/>
          <w:sz w:val="21"/>
          <w:szCs w:val="21"/>
          <w:lang w:val="es-MX" w:eastAsia="en-US"/>
        </w:rPr>
      </w:pPr>
    </w:p>
    <w:p w14:paraId="1E8FE683" w14:textId="77777777" w:rsidR="007F442A" w:rsidRPr="009F4A13" w:rsidRDefault="007F442A" w:rsidP="007F442A">
      <w:pPr>
        <w:spacing w:line="259" w:lineRule="auto"/>
        <w:ind w:left="709" w:right="709"/>
        <w:contextualSpacing/>
        <w:jc w:val="both"/>
        <w:rPr>
          <w:rFonts w:ascii="Arial" w:eastAsia="Calibri" w:hAnsi="Arial" w:cs="Arial"/>
          <w:color w:val="000000" w:themeColor="text1"/>
          <w:sz w:val="21"/>
          <w:szCs w:val="21"/>
          <w:lang w:val="es-MX" w:eastAsia="en-US"/>
        </w:rPr>
      </w:pPr>
      <w:r w:rsidRPr="009F4A13">
        <w:rPr>
          <w:rFonts w:ascii="Arial" w:eastAsia="Calibri" w:hAnsi="Arial" w:cs="Arial"/>
          <w:color w:val="000000" w:themeColor="text1"/>
          <w:sz w:val="21"/>
          <w:szCs w:val="21"/>
          <w:lang w:val="es-MX" w:eastAsia="en-US"/>
        </w:rPr>
        <w:t>Para estos efectos, el oferente deberá acreditar los valores y magnitudes intervenidas dentro del respectivo contrato, empleando alguno de los documentos válidos establecidos en el numeral 3.5.6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p>
    <w:p w14:paraId="118AF7AD" w14:textId="77777777" w:rsidR="007F442A" w:rsidRPr="009F4A13" w:rsidRDefault="007F442A" w:rsidP="007F442A">
      <w:pPr>
        <w:spacing w:before="120" w:line="276" w:lineRule="auto"/>
        <w:ind w:right="709"/>
        <w:jc w:val="both"/>
        <w:rPr>
          <w:rFonts w:ascii="Arial" w:hAnsi="Arial" w:cs="Arial"/>
          <w:color w:val="000000" w:themeColor="text1"/>
          <w:sz w:val="21"/>
          <w:szCs w:val="21"/>
          <w:lang w:val="es-MX"/>
        </w:rPr>
      </w:pPr>
    </w:p>
    <w:p w14:paraId="1B4C5149" w14:textId="19C7B882" w:rsidR="007F442A" w:rsidRPr="009F4A13" w:rsidRDefault="007F442A" w:rsidP="007F442A">
      <w:pPr>
        <w:spacing w:before="120" w:after="120" w:line="276" w:lineRule="auto"/>
        <w:jc w:val="both"/>
        <w:rPr>
          <w:rFonts w:ascii="Arial" w:hAnsi="Arial" w:cs="Arial"/>
          <w:color w:val="000000" w:themeColor="text1"/>
          <w:sz w:val="22"/>
          <w:szCs w:val="22"/>
          <w:lang w:val="es-MX"/>
        </w:rPr>
      </w:pPr>
      <w:r w:rsidRPr="009F4A13">
        <w:rPr>
          <w:rFonts w:ascii="Arial" w:hAnsi="Arial" w:cs="Arial"/>
          <w:color w:val="000000" w:themeColor="text1"/>
          <w:sz w:val="22"/>
          <w:szCs w:val="22"/>
          <w:lang w:val="es-MX"/>
        </w:rPr>
        <w:tab/>
        <w:t xml:space="preserve">Esta misma regla fue </w:t>
      </w:r>
      <w:r w:rsidR="00A36CB9" w:rsidRPr="009F4A13">
        <w:rPr>
          <w:rFonts w:ascii="Arial" w:hAnsi="Arial" w:cs="Arial"/>
          <w:color w:val="000000" w:themeColor="text1"/>
          <w:sz w:val="22"/>
          <w:szCs w:val="22"/>
          <w:lang w:val="es-MX"/>
        </w:rPr>
        <w:t xml:space="preserve">establecida </w:t>
      </w:r>
      <w:r w:rsidRPr="009F4A13">
        <w:rPr>
          <w:rFonts w:ascii="Arial" w:hAnsi="Arial" w:cs="Arial"/>
          <w:color w:val="000000" w:themeColor="text1"/>
          <w:sz w:val="22"/>
          <w:szCs w:val="22"/>
          <w:lang w:val="es-MX"/>
        </w:rPr>
        <w:t>en el artículo 38 de la Resolución 304 del 13 de octubre de 2021 con respecto al literal i) del numeral 3.5.3. de los Documentos Tipo para procesos de Licitación Pública para obras de infraestructura de agua potable y saneamiento básico y los de la modalidad de llave en mano</w:t>
      </w:r>
      <w:r w:rsidRPr="009F4A13">
        <w:rPr>
          <w:rStyle w:val="Refdenotaalpie"/>
          <w:rFonts w:ascii="Arial" w:hAnsi="Arial" w:cs="Arial"/>
          <w:color w:val="000000" w:themeColor="text1"/>
          <w:sz w:val="22"/>
          <w:szCs w:val="22"/>
          <w:lang w:val="es-MX"/>
        </w:rPr>
        <w:footnoteReference w:id="40"/>
      </w:r>
      <w:r w:rsidRPr="009F4A13">
        <w:rPr>
          <w:rFonts w:ascii="Arial" w:hAnsi="Arial" w:cs="Arial"/>
          <w:color w:val="000000" w:themeColor="text1"/>
          <w:sz w:val="22"/>
          <w:szCs w:val="22"/>
          <w:lang w:val="es-MX"/>
        </w:rPr>
        <w:t>. A partir de la regla modificada sobre la validez de la experiencia requerida en cuanto a la desagregación de actividades, se señala que est</w:t>
      </w:r>
      <w:r w:rsidR="00A36CB9" w:rsidRPr="009F4A13">
        <w:rPr>
          <w:rFonts w:ascii="Arial" w:hAnsi="Arial" w:cs="Arial"/>
          <w:color w:val="000000" w:themeColor="text1"/>
          <w:sz w:val="22"/>
          <w:szCs w:val="22"/>
          <w:lang w:val="es-MX"/>
        </w:rPr>
        <w:t>a</w:t>
      </w:r>
      <w:r w:rsidRPr="009F4A13">
        <w:rPr>
          <w:rFonts w:ascii="Arial" w:hAnsi="Arial" w:cs="Arial"/>
          <w:color w:val="000000" w:themeColor="text1"/>
          <w:sz w:val="22"/>
          <w:szCs w:val="22"/>
          <w:lang w:val="es-MX"/>
        </w:rPr>
        <w:t xml:space="preserve"> no es absoluta, pues dependerá </w:t>
      </w:r>
      <w:r w:rsidR="00A36CB9" w:rsidRPr="009F4A13">
        <w:rPr>
          <w:rFonts w:ascii="Arial" w:hAnsi="Arial" w:cs="Arial"/>
          <w:color w:val="000000" w:themeColor="text1"/>
          <w:sz w:val="22"/>
          <w:szCs w:val="22"/>
          <w:lang w:val="es-MX"/>
        </w:rPr>
        <w:t xml:space="preserve">de </w:t>
      </w:r>
      <w:r w:rsidRPr="009F4A13">
        <w:rPr>
          <w:rFonts w:ascii="Arial" w:hAnsi="Arial" w:cs="Arial"/>
          <w:color w:val="000000" w:themeColor="text1"/>
          <w:sz w:val="22"/>
          <w:szCs w:val="22"/>
          <w:lang w:val="es-MX"/>
        </w:rPr>
        <w:t xml:space="preserve">cada contexto, en el entendido que la entidad tendrá en cuenta los valores y magnitudes ejecutadas que se relacionan con </w:t>
      </w:r>
      <w:r w:rsidR="00A36CB9" w:rsidRPr="009F4A13">
        <w:rPr>
          <w:rFonts w:ascii="Arial" w:hAnsi="Arial" w:cs="Arial"/>
          <w:color w:val="000000" w:themeColor="text1"/>
          <w:sz w:val="22"/>
          <w:szCs w:val="22"/>
          <w:lang w:val="es-MX"/>
        </w:rPr>
        <w:t>la obra ejecutada</w:t>
      </w:r>
      <w:r w:rsidRPr="009F4A13">
        <w:rPr>
          <w:rFonts w:ascii="Arial" w:hAnsi="Arial" w:cs="Arial"/>
          <w:color w:val="000000" w:themeColor="text1"/>
          <w:sz w:val="22"/>
          <w:szCs w:val="22"/>
          <w:lang w:val="es-MX"/>
        </w:rPr>
        <w:t xml:space="preserve">, ya sea de </w:t>
      </w:r>
      <w:r w:rsidR="00A36CB9" w:rsidRPr="009F4A13">
        <w:rPr>
          <w:rFonts w:ascii="Arial" w:hAnsi="Arial" w:cs="Arial"/>
          <w:color w:val="000000" w:themeColor="text1"/>
          <w:sz w:val="22"/>
          <w:szCs w:val="22"/>
          <w:lang w:val="es-MX"/>
        </w:rPr>
        <w:t xml:space="preserve">infraestructura de </w:t>
      </w:r>
      <w:r w:rsidRPr="009F4A13">
        <w:rPr>
          <w:rFonts w:ascii="Arial" w:hAnsi="Arial" w:cs="Arial"/>
          <w:color w:val="000000" w:themeColor="text1"/>
          <w:sz w:val="22"/>
          <w:szCs w:val="22"/>
          <w:lang w:val="es-MX"/>
        </w:rPr>
        <w:t>transporte o de agua potable o saneamiento básico. Es decir, es válida la experiencia que se relaciona con el tipo de infraestructura que pretenda desarrollar. Por ejemplo, si el proponente dentro de los certificados que entrega a la entidad está la construcción de una vía se tendrá</w:t>
      </w:r>
      <w:r w:rsidR="00FA428F" w:rsidRPr="009F4A13">
        <w:rPr>
          <w:rFonts w:ascii="Arial" w:hAnsi="Arial" w:cs="Arial"/>
          <w:color w:val="000000" w:themeColor="text1"/>
          <w:sz w:val="22"/>
          <w:szCs w:val="22"/>
          <w:lang w:val="es-MX"/>
        </w:rPr>
        <w:t>n</w:t>
      </w:r>
      <w:r w:rsidRPr="009F4A13">
        <w:rPr>
          <w:rFonts w:ascii="Arial" w:hAnsi="Arial" w:cs="Arial"/>
          <w:color w:val="000000" w:themeColor="text1"/>
          <w:sz w:val="22"/>
          <w:szCs w:val="22"/>
          <w:lang w:val="es-MX"/>
        </w:rPr>
        <w:t xml:space="preserve"> en cuenta si las actividades que en ella se contemplan están relacionadas con la infraestructura de transporte. </w:t>
      </w:r>
    </w:p>
    <w:p w14:paraId="59D72227" w14:textId="36200FE2" w:rsidR="007F442A" w:rsidRPr="009F4A13" w:rsidRDefault="007F442A" w:rsidP="007F442A">
      <w:pPr>
        <w:spacing w:after="120" w:line="276" w:lineRule="auto"/>
        <w:ind w:firstLine="709"/>
        <w:jc w:val="both"/>
        <w:rPr>
          <w:rFonts w:ascii="Arial" w:eastAsia="Calibri" w:hAnsi="Arial" w:cs="Arial"/>
          <w:color w:val="000000" w:themeColor="text1"/>
          <w:sz w:val="22"/>
          <w:lang w:val="es-ES_tradnl" w:eastAsia="es-ES"/>
        </w:rPr>
      </w:pPr>
      <w:r w:rsidRPr="009F4A13">
        <w:rPr>
          <w:rFonts w:ascii="Arial" w:eastAsia="Calibri" w:hAnsi="Arial" w:cs="Arial"/>
          <w:color w:val="000000" w:themeColor="text1"/>
          <w:sz w:val="22"/>
          <w:lang w:val="es-ES_tradnl" w:eastAsia="es-ES"/>
        </w:rPr>
        <w:t xml:space="preserve">En todo caso, debe destacarse que, sin perjuicio de la competencia de esta Agencia para la expedición de documentos tipos otorgada por la Ley 2022 de 2020, son las entidades estatales encargadas de aplicarlos quienes deben analizar el objeto que pretenden contratar, para determinar si el mismo es subsumible dentro de alguna actividad </w:t>
      </w:r>
      <w:r w:rsidRPr="009F4A13">
        <w:rPr>
          <w:rFonts w:ascii="Arial" w:eastAsia="Calibri" w:hAnsi="Arial" w:cs="Arial"/>
          <w:color w:val="000000" w:themeColor="text1"/>
          <w:sz w:val="22"/>
          <w:lang w:val="es-ES_tradnl" w:eastAsia="es-ES"/>
        </w:rPr>
        <w:lastRenderedPageBreak/>
        <w:t>cobijada por un documento tipo, y si los certificados de experiencia allegados con las actividades ejecutadas por un proponente cumplen con lo establecido en la «Matriz 1 – Experiencia»</w:t>
      </w:r>
      <w:r w:rsidR="00FA428F" w:rsidRPr="009F4A13">
        <w:rPr>
          <w:rFonts w:ascii="Arial" w:eastAsia="Calibri" w:hAnsi="Arial" w:cs="Arial"/>
          <w:color w:val="000000" w:themeColor="text1"/>
          <w:sz w:val="22"/>
          <w:lang w:val="es-ES_tradnl" w:eastAsia="es-ES"/>
        </w:rPr>
        <w:t xml:space="preserve"> y el respectivo proyecto de infraestructura que se pretende materializar</w:t>
      </w:r>
      <w:r w:rsidRPr="009F4A13">
        <w:rPr>
          <w:rFonts w:ascii="Arial" w:eastAsia="Calibri" w:hAnsi="Arial" w:cs="Arial"/>
          <w:color w:val="000000" w:themeColor="text1"/>
          <w:sz w:val="22"/>
          <w:lang w:val="es-ES_tradnl" w:eastAsia="es-ES"/>
        </w:rPr>
        <w:t xml:space="preserve">, ya sea de forma parcial o total. Al respecto, las especificaciones y particularidades del objeto a contratar, así como su relación de correspondencia con lo señalado en la «Matriz 1 – Experiencia», indicarán si el certificado de experiencia cumple con lo establecido, de acuerdo </w:t>
      </w:r>
      <w:r w:rsidR="00FA428F" w:rsidRPr="009F4A13">
        <w:rPr>
          <w:rFonts w:ascii="Arial" w:eastAsia="Calibri" w:hAnsi="Arial" w:cs="Arial"/>
          <w:color w:val="000000" w:themeColor="text1"/>
          <w:sz w:val="22"/>
          <w:lang w:val="es-ES_tradnl" w:eastAsia="es-ES"/>
        </w:rPr>
        <w:t>con</w:t>
      </w:r>
      <w:r w:rsidRPr="009F4A13">
        <w:rPr>
          <w:rFonts w:ascii="Arial" w:eastAsia="Calibri" w:hAnsi="Arial" w:cs="Arial"/>
          <w:color w:val="000000" w:themeColor="text1"/>
          <w:sz w:val="22"/>
          <w:lang w:val="es-ES_tradnl" w:eastAsia="es-ES"/>
        </w:rPr>
        <w:t xml:space="preserve"> lo que se pretenda contratar</w:t>
      </w:r>
      <w:r w:rsidR="00292321" w:rsidRPr="009F4A13">
        <w:rPr>
          <w:rFonts w:ascii="Arial" w:eastAsia="Calibri" w:hAnsi="Arial" w:cs="Arial"/>
          <w:color w:val="000000" w:themeColor="text1"/>
          <w:sz w:val="22"/>
          <w:lang w:val="es-ES_tradnl" w:eastAsia="es-ES"/>
        </w:rPr>
        <w:t>, aplicando en cada caso concreto la regla establecida en el literal j.</w:t>
      </w:r>
    </w:p>
    <w:p w14:paraId="0345338C" w14:textId="77777777" w:rsidR="007F442A" w:rsidRPr="009F4A13" w:rsidRDefault="007F442A" w:rsidP="009A617B">
      <w:pPr>
        <w:ind w:right="709"/>
        <w:jc w:val="both"/>
        <w:rPr>
          <w:rFonts w:ascii="Arial" w:eastAsia="Calibri" w:hAnsi="Arial" w:cs="Arial"/>
          <w:color w:val="000000" w:themeColor="text1"/>
          <w:sz w:val="21"/>
          <w:szCs w:val="21"/>
          <w:lang w:val="es-ES_tradnl" w:eastAsia="en-US"/>
        </w:rPr>
      </w:pPr>
    </w:p>
    <w:p w14:paraId="67F7E416" w14:textId="77777777" w:rsidR="00E16A55" w:rsidRPr="009F4A13" w:rsidRDefault="00E16A55" w:rsidP="00E16A55">
      <w:pPr>
        <w:ind w:left="709" w:right="709"/>
        <w:jc w:val="both"/>
        <w:rPr>
          <w:rFonts w:eastAsia="Calibri"/>
          <w:color w:val="000000" w:themeColor="text1"/>
          <w:lang w:val="es-ES" w:eastAsia="en-US"/>
        </w:rPr>
      </w:pPr>
      <w:r w:rsidRPr="009F4A13">
        <w:rPr>
          <w:rFonts w:ascii="Arial" w:eastAsia="Calibri" w:hAnsi="Arial" w:cs="Arial"/>
          <w:color w:val="000000" w:themeColor="text1"/>
          <w:sz w:val="21"/>
          <w:szCs w:val="21"/>
          <w:lang w:val="es-ES" w:eastAsia="en-US"/>
        </w:rPr>
        <w:t xml:space="preserve">3. Para procesos de saneamiento básico, cuyo objeto a contratar sea la construcción de unidades sanitarias, solicitamos aclarar </w:t>
      </w:r>
      <w:proofErr w:type="spellStart"/>
      <w:r w:rsidRPr="009F4A13">
        <w:rPr>
          <w:rFonts w:ascii="Arial" w:eastAsia="Calibri" w:hAnsi="Arial" w:cs="Arial"/>
          <w:color w:val="000000" w:themeColor="text1"/>
          <w:sz w:val="21"/>
          <w:szCs w:val="21"/>
          <w:lang w:val="es-ES" w:eastAsia="en-US"/>
        </w:rPr>
        <w:t>que</w:t>
      </w:r>
      <w:proofErr w:type="spellEnd"/>
      <w:r w:rsidRPr="009F4A13">
        <w:rPr>
          <w:rFonts w:ascii="Arial" w:eastAsia="Calibri" w:hAnsi="Arial" w:cs="Arial"/>
          <w:color w:val="000000" w:themeColor="text1"/>
          <w:sz w:val="21"/>
          <w:szCs w:val="21"/>
          <w:lang w:val="es-ES" w:eastAsia="en-US"/>
        </w:rPr>
        <w:t xml:space="preserve"> tipo de obras se enmarcan en PROYECTOS QUE HAYAN CONTEMPLADO ACTIVIDADES DE: CONSTRUCCIÓN Y/O INSTALACIÓN DE REDES HIDROSANITARIAS</w:t>
      </w:r>
      <w:r w:rsidRPr="009F4A13">
        <w:rPr>
          <w:rFonts w:ascii="Arial" w:eastAsiaTheme="minorHAnsi" w:hAnsi="Arial" w:cs="Arial"/>
          <w:color w:val="000000" w:themeColor="text1"/>
          <w:sz w:val="21"/>
          <w:szCs w:val="21"/>
          <w:lang w:val="es-ES" w:eastAsia="en-US"/>
        </w:rPr>
        <w:t>»</w:t>
      </w:r>
      <w:r w:rsidRPr="009F4A13">
        <w:rPr>
          <w:rFonts w:eastAsia="Calibri"/>
          <w:color w:val="000000" w:themeColor="text1"/>
          <w:lang w:val="es-ES" w:eastAsia="en-US"/>
        </w:rPr>
        <w:t>.</w:t>
      </w:r>
    </w:p>
    <w:p w14:paraId="02820CB3" w14:textId="77777777" w:rsidR="00B84542" w:rsidRPr="009F4A13" w:rsidRDefault="00B84542" w:rsidP="00DF76A2">
      <w:pPr>
        <w:spacing w:line="276" w:lineRule="auto"/>
        <w:jc w:val="both"/>
        <w:rPr>
          <w:rFonts w:ascii="Arial" w:eastAsia="Calibri" w:hAnsi="Arial" w:cs="Arial"/>
          <w:color w:val="000000" w:themeColor="text1"/>
          <w:sz w:val="21"/>
          <w:szCs w:val="21"/>
          <w:lang w:val="es-ES" w:eastAsia="en-US"/>
        </w:rPr>
      </w:pPr>
    </w:p>
    <w:p w14:paraId="5C902AD5" w14:textId="1E846E7C" w:rsidR="006B3219" w:rsidRPr="009F4A13" w:rsidRDefault="006B3219" w:rsidP="009F4A13">
      <w:pPr>
        <w:spacing w:before="120" w:line="276" w:lineRule="auto"/>
        <w:jc w:val="both"/>
        <w:rPr>
          <w:rFonts w:ascii="Arial" w:hAnsi="Arial" w:cs="Arial"/>
          <w:color w:val="000000" w:themeColor="text1"/>
          <w:sz w:val="22"/>
          <w:szCs w:val="22"/>
          <w:lang w:val="es-ES_tradnl" w:eastAsia="es-ES"/>
        </w:rPr>
      </w:pPr>
      <w:r w:rsidRPr="009F4A13">
        <w:rPr>
          <w:rFonts w:ascii="Arial" w:hAnsi="Arial" w:cs="Arial"/>
          <w:color w:val="000000" w:themeColor="text1"/>
          <w:sz w:val="22"/>
        </w:rPr>
        <w:t xml:space="preserve">Con respecto a la pregunta se señala que particularmente, el numeral 6.1 de la «Matriz 1 – Experiencia» contempla los proyectos </w:t>
      </w:r>
      <w:r w:rsidRPr="009F4A13">
        <w:rPr>
          <w:rFonts w:ascii="Arial" w:hAnsi="Arial" w:cs="Arial"/>
          <w:color w:val="000000" w:themeColor="text1"/>
          <w:sz w:val="22"/>
          <w:szCs w:val="22"/>
          <w:lang w:val="es-ES" w:eastAsia="es-ES"/>
        </w:rPr>
        <w:t>de construcción de unidades sanitarias para vivienda rural dispersa.</w:t>
      </w:r>
      <w:r w:rsidRPr="009F4A13">
        <w:rPr>
          <w:rFonts w:ascii="Arial" w:eastAsia="Calibri" w:hAnsi="Arial" w:cs="Arial"/>
          <w:color w:val="000000" w:themeColor="text1"/>
          <w:sz w:val="22"/>
        </w:rPr>
        <w:t xml:space="preserve"> Esta actividad es aplicable cuando la entidad pública requiera ejecutar proyectos cuyo objeto sea la construcción –obra nueva– de unidades sanitarias destinadas exclusivamente a vivienda rural dispersa.</w:t>
      </w:r>
      <w:r w:rsidRPr="009F4A13">
        <w:rPr>
          <w:rFonts w:ascii="Arial" w:hAnsi="Arial" w:cs="Arial"/>
          <w:color w:val="000000" w:themeColor="text1"/>
          <w:sz w:val="22"/>
          <w:szCs w:val="22"/>
          <w:lang w:val="es-ES_tradnl" w:eastAsia="es-ES"/>
        </w:rPr>
        <w:t xml:space="preserve"> Como experiencia general para esta actividad se solicita </w:t>
      </w:r>
      <w:r w:rsidRPr="009F4A13">
        <w:rPr>
          <w:rFonts w:ascii="Arial" w:eastAsia="Calibri" w:hAnsi="Arial" w:cs="Arial"/>
          <w:color w:val="000000" w:themeColor="text1"/>
          <w:sz w:val="22"/>
          <w:szCs w:val="22"/>
          <w:lang w:val="es-MX" w:eastAsia="en-US"/>
        </w:rPr>
        <w:t>«</w:t>
      </w:r>
      <w:r w:rsidRPr="009F4A13">
        <w:rPr>
          <w:rFonts w:ascii="Arial" w:hAnsi="Arial" w:cs="Arial"/>
          <w:color w:val="000000" w:themeColor="text1"/>
          <w:sz w:val="22"/>
          <w:szCs w:val="22"/>
          <w:lang w:val="es-ES_tradnl" w:eastAsia="es-ES"/>
        </w:rPr>
        <w:t>proyectos que hayan contemplado actividades de: construcción y/o instalación de redes hidrosanitarias o baterías sanitarias o unidades sanitarias</w:t>
      </w:r>
      <w:r w:rsidRPr="009F4A13">
        <w:rPr>
          <w:rFonts w:ascii="Arial" w:eastAsiaTheme="minorHAnsi" w:hAnsi="Arial" w:cs="Arial"/>
          <w:color w:val="000000" w:themeColor="text1"/>
          <w:sz w:val="22"/>
          <w:szCs w:val="22"/>
          <w:lang w:val="es-MX" w:eastAsia="en-US"/>
        </w:rPr>
        <w:t>».</w:t>
      </w:r>
    </w:p>
    <w:p w14:paraId="21C8068C" w14:textId="77777777" w:rsidR="006B3219" w:rsidRPr="009F4A13" w:rsidRDefault="006B3219" w:rsidP="006B3219">
      <w:pPr>
        <w:spacing w:before="120" w:line="276" w:lineRule="auto"/>
        <w:ind w:firstLine="709"/>
        <w:jc w:val="both"/>
        <w:rPr>
          <w:rFonts w:ascii="Arial" w:hAnsi="Arial" w:cs="Arial"/>
          <w:color w:val="000000" w:themeColor="text1"/>
          <w:sz w:val="22"/>
          <w:szCs w:val="22"/>
          <w:lang w:eastAsia="es-ES"/>
        </w:rPr>
      </w:pPr>
      <w:r w:rsidRPr="009F4A13">
        <w:rPr>
          <w:rFonts w:ascii="Arial" w:hAnsi="Arial" w:cs="Arial"/>
          <w:color w:val="000000" w:themeColor="text1"/>
          <w:sz w:val="22"/>
          <w:szCs w:val="22"/>
          <w:lang w:val="es-ES_tradnl" w:eastAsia="es-ES"/>
        </w:rPr>
        <w:t xml:space="preserve">Sobre este punto, </w:t>
      </w:r>
      <w:r w:rsidRPr="009F4A13">
        <w:rPr>
          <w:rFonts w:ascii="Arial" w:hAnsi="Arial" w:cs="Arial"/>
          <w:color w:val="000000" w:themeColor="text1"/>
          <w:sz w:val="22"/>
          <w:szCs w:val="22"/>
          <w:lang w:val="es-MX" w:eastAsia="es-ES"/>
        </w:rPr>
        <w:t xml:space="preserve">es importante señalar que, conforme se establece en el «Anexo 3 – Glosario» de los documentos tipo de agua potable y saneamiento básico, la palabra </w:t>
      </w:r>
      <w:r w:rsidRPr="009F4A13">
        <w:rPr>
          <w:rFonts w:ascii="Arial" w:hAnsi="Arial" w:cs="Arial"/>
          <w:i/>
          <w:iCs/>
          <w:color w:val="000000" w:themeColor="text1"/>
          <w:sz w:val="22"/>
          <w:szCs w:val="22"/>
          <w:lang w:val="es-MX" w:eastAsia="es-ES"/>
        </w:rPr>
        <w:t xml:space="preserve">proyecto </w:t>
      </w:r>
      <w:r w:rsidRPr="009F4A13">
        <w:rPr>
          <w:rFonts w:ascii="Arial" w:hAnsi="Arial" w:cs="Arial"/>
          <w:color w:val="000000" w:themeColor="text1"/>
          <w:sz w:val="22"/>
          <w:szCs w:val="22"/>
          <w:lang w:val="es-MX" w:eastAsia="es-ES"/>
        </w:rPr>
        <w:t>es definida como «</w:t>
      </w:r>
      <w:r w:rsidRPr="009F4A13">
        <w:rPr>
          <w:rFonts w:ascii="Arial" w:hAnsi="Arial" w:cs="Arial"/>
          <w:color w:val="000000" w:themeColor="text1"/>
          <w:sz w:val="22"/>
          <w:szCs w:val="22"/>
          <w:lang w:eastAsia="es-ES"/>
        </w:rPr>
        <w:t>toda obra o conjunto de obras que hayan permitido la ejecución de al menos uno de los componentes que integran el sistema acueducto o un sistema de alcantarillado y que cumplan con las condiciones señaladas en los documentos de la convocatoria</w:t>
      </w:r>
      <w:r w:rsidRPr="009F4A13">
        <w:rPr>
          <w:rFonts w:ascii="Arial" w:hAnsi="Arial" w:cs="Arial"/>
          <w:color w:val="000000" w:themeColor="text1"/>
          <w:sz w:val="22"/>
          <w:szCs w:val="22"/>
          <w:lang w:val="es-MX" w:eastAsia="es-ES"/>
        </w:rPr>
        <w:t>»</w:t>
      </w:r>
      <w:r w:rsidRPr="009F4A13">
        <w:rPr>
          <w:rFonts w:ascii="Arial" w:hAnsi="Arial" w:cs="Arial"/>
          <w:color w:val="000000" w:themeColor="text1"/>
          <w:sz w:val="22"/>
          <w:szCs w:val="22"/>
          <w:lang w:eastAsia="es-ES"/>
        </w:rPr>
        <w:t>. De este modo, la experiencia general solicitada en el numeral 6.1 se refiere a proyectos de obra cuya ejecución haya contemplado cualquiera de los componentes mencionados: i) construcción de redes hidrosanitarias o de baterías sanitarias o de unidades sanitarias, y/o ii) instalación de redes hidrosanitarias o de baterías sanitarias o de unidades sanitarias, más no que su alcance se limite exclusivamente a uno de estos.</w:t>
      </w:r>
    </w:p>
    <w:p w14:paraId="11AFE22F" w14:textId="4FA8C0EC" w:rsidR="006B3219" w:rsidRPr="007B4401" w:rsidRDefault="006B3219" w:rsidP="006B3219">
      <w:pPr>
        <w:spacing w:before="120" w:line="276" w:lineRule="auto"/>
        <w:ind w:firstLine="709"/>
        <w:jc w:val="both"/>
        <w:rPr>
          <w:rFonts w:ascii="Arial" w:eastAsia="Calibri" w:hAnsi="Arial" w:cs="Arial"/>
          <w:color w:val="000000" w:themeColor="text1"/>
          <w:sz w:val="22"/>
          <w:szCs w:val="22"/>
          <w:lang w:eastAsia="en-US"/>
        </w:rPr>
      </w:pPr>
      <w:r w:rsidRPr="009F4A13">
        <w:rPr>
          <w:rFonts w:ascii="Arial" w:hAnsi="Arial" w:cs="Arial"/>
          <w:bCs/>
          <w:color w:val="000000" w:themeColor="text1"/>
          <w:sz w:val="22"/>
          <w:szCs w:val="22"/>
          <w:lang w:val="es-ES_tradnl" w:eastAsia="es-ES"/>
        </w:rPr>
        <w:t xml:space="preserve">Así, para acreditar la experiencia general establecida en el numeral 6.1 de la </w:t>
      </w:r>
      <w:r w:rsidRPr="009F4A13">
        <w:rPr>
          <w:rFonts w:ascii="Arial" w:hAnsi="Arial" w:cs="Arial"/>
          <w:color w:val="000000" w:themeColor="text1"/>
          <w:sz w:val="22"/>
          <w:szCs w:val="22"/>
          <w:lang w:val="es-MX" w:eastAsia="es-ES"/>
        </w:rPr>
        <w:t>«</w:t>
      </w:r>
      <w:r w:rsidRPr="009F4A13">
        <w:rPr>
          <w:rFonts w:ascii="Arial" w:hAnsi="Arial" w:cs="Arial"/>
          <w:bCs/>
          <w:color w:val="000000" w:themeColor="text1"/>
          <w:sz w:val="22"/>
          <w:szCs w:val="22"/>
          <w:lang w:val="es-ES_tradnl" w:eastAsia="es-ES"/>
        </w:rPr>
        <w:t>Matriz 1 – Experiencia</w:t>
      </w:r>
      <w:r w:rsidRPr="009F4A13">
        <w:rPr>
          <w:rFonts w:ascii="Arial" w:hAnsi="Arial" w:cs="Arial"/>
          <w:color w:val="000000" w:themeColor="text1"/>
          <w:sz w:val="22"/>
          <w:szCs w:val="22"/>
          <w:lang w:val="es-MX" w:eastAsia="es-ES"/>
        </w:rPr>
        <w:t>»</w:t>
      </w:r>
      <w:r w:rsidRPr="009F4A13">
        <w:rPr>
          <w:rFonts w:ascii="Arial" w:hAnsi="Arial" w:cs="Arial"/>
          <w:bCs/>
          <w:color w:val="000000" w:themeColor="text1"/>
          <w:sz w:val="22"/>
          <w:szCs w:val="22"/>
          <w:lang w:val="es-ES_tradnl" w:eastAsia="es-ES"/>
        </w:rPr>
        <w:t xml:space="preserve">, el proponente podrá presentar contratos que comprendan actividades de obra relacionadas con la construcción y/o instalación de redes hidrosanitarias, baterías sanitarias o unidades sanitarias, sea que el contrato contemple dicho objeto o que, siendo un contrato de objeto múltiple, cualquiera de estas sea una actividad incluida en la ejecución del mismo. Por tanto, </w:t>
      </w:r>
      <w:r w:rsidRPr="009F4A13">
        <w:rPr>
          <w:rFonts w:ascii="Arial" w:hAnsi="Arial" w:cs="Arial"/>
          <w:bCs/>
          <w:color w:val="000000" w:themeColor="text1"/>
          <w:sz w:val="22"/>
          <w:szCs w:val="22"/>
          <w:lang w:val="es-MX" w:eastAsia="es-ES"/>
        </w:rPr>
        <w:t xml:space="preserve">debe demostrar que ha ejecutado, al menos, alguna de las actividades enlistadas, sin que sea necesario acreditar todas las actividades establecidas. Esta experiencia, conforme se expuso, debe ser acreditada en mínimo 1 y máximo 6 contratos, </w:t>
      </w:r>
      <w:r w:rsidRPr="009F4A13">
        <w:rPr>
          <w:rFonts w:ascii="Arial" w:hAnsi="Arial" w:cs="Arial"/>
          <w:bCs/>
          <w:color w:val="000000" w:themeColor="text1"/>
          <w:sz w:val="22"/>
          <w:szCs w:val="22"/>
          <w:lang w:val="es-MX" w:eastAsia="es-ES"/>
        </w:rPr>
        <w:lastRenderedPageBreak/>
        <w:t xml:space="preserve">teniendo en cuenta que </w:t>
      </w:r>
      <w:r w:rsidRPr="009F4A13">
        <w:rPr>
          <w:rFonts w:ascii="Arial" w:eastAsia="Calibri" w:hAnsi="Arial" w:cs="Arial"/>
          <w:color w:val="000000" w:themeColor="text1"/>
          <w:sz w:val="22"/>
          <w:szCs w:val="22"/>
          <w:lang w:eastAsia="en-US"/>
        </w:rPr>
        <w:t>la cantidad de contratos que aporte para acreditar dicha experiencia determinará el porcentaje del valor del presupuesto oficial que la sumatoria de dichos contratos debe alcanzar para poder cumplir con el requisito habilitante. Además, el proponente deberá tener en cuenta las condiciones de acreditación de experiencia establecidas en el numeral 3.5. del documento base.</w:t>
      </w:r>
      <w:r w:rsidRPr="007B4401">
        <w:rPr>
          <w:rFonts w:ascii="Arial" w:eastAsia="Calibri" w:hAnsi="Arial" w:cs="Arial"/>
          <w:color w:val="000000" w:themeColor="text1"/>
          <w:sz w:val="22"/>
          <w:szCs w:val="22"/>
          <w:lang w:eastAsia="en-US"/>
        </w:rPr>
        <w:t xml:space="preserve"> </w:t>
      </w:r>
    </w:p>
    <w:p w14:paraId="17FDFADF" w14:textId="77777777" w:rsidR="006B3219" w:rsidRPr="007B4401" w:rsidRDefault="006B3219" w:rsidP="006B3219">
      <w:pPr>
        <w:spacing w:before="120" w:line="276" w:lineRule="auto"/>
        <w:ind w:firstLine="709"/>
        <w:jc w:val="both"/>
        <w:rPr>
          <w:rFonts w:ascii="Arial" w:eastAsia="Calibri" w:hAnsi="Arial" w:cs="Arial"/>
          <w:color w:val="000000" w:themeColor="text1"/>
          <w:sz w:val="22"/>
          <w:szCs w:val="22"/>
          <w:lang w:eastAsia="en-US"/>
        </w:rPr>
      </w:pPr>
    </w:p>
    <w:p w14:paraId="7B2C921D" w14:textId="401BB881" w:rsidR="00DD5B04" w:rsidRPr="007B4401" w:rsidRDefault="00DD5B04" w:rsidP="00DF76A2">
      <w:pPr>
        <w:spacing w:line="276" w:lineRule="auto"/>
        <w:jc w:val="both"/>
        <w:rPr>
          <w:rFonts w:ascii="Arial" w:hAnsi="Arial" w:cs="Arial"/>
          <w:color w:val="000000" w:themeColor="text1"/>
          <w:sz w:val="22"/>
          <w:lang w:val="es-ES_tradnl"/>
        </w:rPr>
      </w:pPr>
      <w:r w:rsidRPr="007B440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B440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059D3FE" w14:textId="60A74C0B" w:rsidR="00FD6145" w:rsidRPr="007B4401" w:rsidRDefault="00DD5B04" w:rsidP="009A617B">
      <w:pPr>
        <w:pStyle w:val="NormalWeb"/>
        <w:spacing w:before="0" w:beforeAutospacing="0" w:after="0" w:afterAutospacing="0" w:line="276" w:lineRule="auto"/>
        <w:jc w:val="both"/>
        <w:rPr>
          <w:noProof/>
          <w:color w:val="000000" w:themeColor="text1"/>
          <w:lang w:val="en-US"/>
        </w:rPr>
      </w:pPr>
      <w:r w:rsidRPr="007B4401">
        <w:rPr>
          <w:rFonts w:ascii="Arial" w:hAnsi="Arial" w:cs="Arial"/>
          <w:color w:val="000000" w:themeColor="text1"/>
          <w:sz w:val="22"/>
          <w:szCs w:val="22"/>
          <w:lang w:val="es-ES_tradnl"/>
        </w:rPr>
        <w:t>Atentamente,</w:t>
      </w:r>
    </w:p>
    <w:p w14:paraId="364AED59" w14:textId="5ABACF21" w:rsidR="00223CD7" w:rsidRPr="007B4401" w:rsidRDefault="00223CD7" w:rsidP="00223CD7">
      <w:pPr>
        <w:jc w:val="center"/>
        <w:rPr>
          <w:rFonts w:ascii="Arial" w:hAnsi="Arial" w:cs="Arial"/>
          <w:color w:val="000000" w:themeColor="text1"/>
          <w:sz w:val="18"/>
          <w:szCs w:val="20"/>
          <w:lang w:val="es-ES_tradnl" w:eastAsia="es-CO"/>
        </w:rPr>
      </w:pPr>
    </w:p>
    <w:p w14:paraId="738050A9" w14:textId="0ABDD5CB" w:rsidR="00223CD7" w:rsidRPr="007B4401" w:rsidRDefault="00A965A6" w:rsidP="00223CD7">
      <w:pPr>
        <w:jc w:val="center"/>
        <w:rPr>
          <w:rFonts w:ascii="Arial" w:hAnsi="Arial" w:cs="Arial"/>
          <w:color w:val="000000" w:themeColor="text1"/>
          <w:sz w:val="18"/>
          <w:szCs w:val="20"/>
          <w:lang w:val="es-ES_tradnl" w:eastAsia="es-CO"/>
        </w:rPr>
      </w:pPr>
      <w:r w:rsidRPr="007B4401">
        <w:rPr>
          <w:rFonts w:ascii="Calibri" w:eastAsia="DengXian" w:hAnsi="Calibri" w:cs="Arial"/>
          <w:noProof/>
          <w:color w:val="000000" w:themeColor="text1"/>
          <w:lang w:val="en-US" w:eastAsia="en-US"/>
        </w:rPr>
        <w:drawing>
          <wp:inline distT="0" distB="0" distL="0" distR="0" wp14:anchorId="2FBF7356" wp14:editId="5EB8729F">
            <wp:extent cx="2600325" cy="1172401"/>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27482" cy="118464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B4401" w:rsidRPr="007B4401" w14:paraId="5861B44D" w14:textId="77777777" w:rsidTr="00254891">
        <w:trPr>
          <w:trHeight w:val="315"/>
        </w:trPr>
        <w:tc>
          <w:tcPr>
            <w:tcW w:w="812" w:type="dxa"/>
            <w:vAlign w:val="center"/>
            <w:hideMark/>
          </w:tcPr>
          <w:p w14:paraId="1CA361BA" w14:textId="77777777" w:rsidR="00223CD7" w:rsidRPr="007B4401" w:rsidRDefault="00223CD7"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E8D9A3" w14:textId="77777777" w:rsidR="00223CD7" w:rsidRPr="007B4401" w:rsidRDefault="00223CD7"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José Luis Sánchez Cardona</w:t>
            </w:r>
          </w:p>
          <w:p w14:paraId="79F21D79" w14:textId="77777777" w:rsidR="00223CD7" w:rsidRPr="007B4401" w:rsidRDefault="00223CD7"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Contratista de la Subdirección de Gestión Contractual</w:t>
            </w:r>
          </w:p>
        </w:tc>
      </w:tr>
      <w:tr w:rsidR="007B4401" w:rsidRPr="007B4401" w14:paraId="11817D65" w14:textId="77777777" w:rsidTr="00254891">
        <w:trPr>
          <w:trHeight w:val="330"/>
        </w:trPr>
        <w:tc>
          <w:tcPr>
            <w:tcW w:w="812" w:type="dxa"/>
            <w:vAlign w:val="center"/>
            <w:hideMark/>
          </w:tcPr>
          <w:p w14:paraId="374EC5DD" w14:textId="77777777" w:rsidR="00223CD7" w:rsidRPr="007B4401" w:rsidRDefault="00223CD7"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E6FDD6" w14:textId="77777777" w:rsidR="00E86263" w:rsidRPr="007B4401" w:rsidRDefault="00E86263"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Sebastián Ramírez Grisales</w:t>
            </w:r>
          </w:p>
          <w:p w14:paraId="59C9DF11" w14:textId="77777777" w:rsidR="00223CD7" w:rsidRPr="007B4401" w:rsidRDefault="00E86263"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Contratista</w:t>
            </w:r>
            <w:r w:rsidR="00223CD7" w:rsidRPr="007B4401">
              <w:rPr>
                <w:rFonts w:ascii="Arial" w:hAnsi="Arial" w:cs="Arial"/>
                <w:color w:val="000000" w:themeColor="text1"/>
                <w:sz w:val="16"/>
                <w:szCs w:val="16"/>
                <w:lang w:val="es-ES_tradnl" w:eastAsia="es-ES"/>
              </w:rPr>
              <w:t xml:space="preserve"> de la Subdirección de Gestión Contractual</w:t>
            </w:r>
          </w:p>
          <w:p w14:paraId="202C1C3B" w14:textId="77777777" w:rsidR="00957C2E" w:rsidRPr="007B4401" w:rsidRDefault="00957C2E" w:rsidP="00957C2E">
            <w:pPr>
              <w:rPr>
                <w:rFonts w:ascii="Arial" w:hAnsi="Arial" w:cs="Arial"/>
                <w:color w:val="000000" w:themeColor="text1"/>
                <w:sz w:val="16"/>
                <w:szCs w:val="16"/>
                <w:lang w:eastAsia="es-ES"/>
              </w:rPr>
            </w:pPr>
            <w:proofErr w:type="spellStart"/>
            <w:r w:rsidRPr="007B4401">
              <w:rPr>
                <w:rFonts w:ascii="Arial" w:hAnsi="Arial" w:cs="Arial"/>
                <w:color w:val="000000" w:themeColor="text1"/>
                <w:sz w:val="16"/>
                <w:szCs w:val="16"/>
                <w:lang w:eastAsia="es-ES"/>
              </w:rPr>
              <w:t>Karlo</w:t>
            </w:r>
            <w:proofErr w:type="spellEnd"/>
            <w:r w:rsidRPr="007B4401">
              <w:rPr>
                <w:rFonts w:ascii="Arial" w:hAnsi="Arial" w:cs="Arial"/>
                <w:color w:val="000000" w:themeColor="text1"/>
                <w:sz w:val="16"/>
                <w:szCs w:val="16"/>
                <w:lang w:eastAsia="es-ES"/>
              </w:rPr>
              <w:t xml:space="preserve"> Fernández Cala</w:t>
            </w:r>
          </w:p>
          <w:p w14:paraId="5D3D3E07" w14:textId="5743C1B3" w:rsidR="00957C2E" w:rsidRPr="007B4401" w:rsidRDefault="00957C2E" w:rsidP="00957C2E">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eastAsia="es-ES"/>
              </w:rPr>
              <w:t>Gestor T1-15 de la Dirección General</w:t>
            </w:r>
          </w:p>
        </w:tc>
      </w:tr>
      <w:tr w:rsidR="00223CD7" w:rsidRPr="007B4401" w14:paraId="4B783178" w14:textId="77777777" w:rsidTr="00254891">
        <w:trPr>
          <w:trHeight w:val="300"/>
        </w:trPr>
        <w:tc>
          <w:tcPr>
            <w:tcW w:w="812" w:type="dxa"/>
            <w:vAlign w:val="center"/>
            <w:hideMark/>
          </w:tcPr>
          <w:p w14:paraId="2FB43FEB" w14:textId="77777777" w:rsidR="00223CD7" w:rsidRPr="007B4401" w:rsidRDefault="00223CD7"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04E500" w14:textId="7B3F8F44" w:rsidR="00223CD7" w:rsidRPr="007B4401" w:rsidRDefault="00A965A6" w:rsidP="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Andrés Ricardo Mancipe González</w:t>
            </w:r>
          </w:p>
          <w:p w14:paraId="23D2078B" w14:textId="234960D5" w:rsidR="00223CD7" w:rsidRPr="007B4401" w:rsidRDefault="00223CD7">
            <w:pPr>
              <w:rPr>
                <w:rFonts w:ascii="Arial" w:hAnsi="Arial" w:cs="Arial"/>
                <w:color w:val="000000" w:themeColor="text1"/>
                <w:sz w:val="16"/>
                <w:szCs w:val="16"/>
                <w:lang w:val="es-ES_tradnl" w:eastAsia="es-ES"/>
              </w:rPr>
            </w:pPr>
            <w:r w:rsidRPr="007B4401">
              <w:rPr>
                <w:rFonts w:ascii="Arial" w:hAnsi="Arial" w:cs="Arial"/>
                <w:color w:val="000000" w:themeColor="text1"/>
                <w:sz w:val="16"/>
                <w:szCs w:val="16"/>
                <w:lang w:val="es-ES_tradnl" w:eastAsia="es-ES"/>
              </w:rPr>
              <w:t>Subdirector de Gestión Contractual</w:t>
            </w:r>
            <w:r w:rsidR="00A965A6" w:rsidRPr="007B4401">
              <w:rPr>
                <w:rFonts w:ascii="Arial" w:hAnsi="Arial" w:cs="Arial"/>
                <w:color w:val="000000" w:themeColor="text1"/>
                <w:sz w:val="16"/>
                <w:szCs w:val="16"/>
                <w:lang w:val="es-ES_tradnl" w:eastAsia="es-ES"/>
              </w:rPr>
              <w:t xml:space="preserve"> (E) </w:t>
            </w:r>
          </w:p>
        </w:tc>
      </w:tr>
      <w:bookmarkEnd w:id="2"/>
    </w:tbl>
    <w:p w14:paraId="065991ED" w14:textId="6F338CF1" w:rsidR="003E7456" w:rsidRPr="007B4401" w:rsidRDefault="003E7456" w:rsidP="00FC3E8F">
      <w:pPr>
        <w:tabs>
          <w:tab w:val="left" w:pos="1672"/>
        </w:tabs>
        <w:rPr>
          <w:rFonts w:ascii="Arial" w:hAnsi="Arial" w:cs="Arial"/>
          <w:color w:val="000000" w:themeColor="text1"/>
          <w:lang w:val="es-ES_tradnl"/>
        </w:rPr>
      </w:pPr>
    </w:p>
    <w:sectPr w:rsidR="003E7456" w:rsidRPr="007B4401"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ED402" w16cex:dateUtc="2022-04-11T21: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A482CF" w16cid:durableId="25FED40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9805A" w14:textId="77777777" w:rsidR="009F4A13" w:rsidRDefault="009F4A13">
      <w:r>
        <w:separator/>
      </w:r>
    </w:p>
  </w:endnote>
  <w:endnote w:type="continuationSeparator" w:id="0">
    <w:p w14:paraId="502E04B4" w14:textId="77777777" w:rsidR="009F4A13" w:rsidRDefault="009F4A13">
      <w:r>
        <w:continuationSeparator/>
      </w:r>
    </w:p>
  </w:endnote>
  <w:endnote w:type="continuationNotice" w:id="1">
    <w:p w14:paraId="4E52CD4F" w14:textId="77777777" w:rsidR="009F4A13" w:rsidRDefault="009F4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9F4A13" w:rsidRDefault="009F4A13" w:rsidP="00322937">
    <w:pPr>
      <w:pStyle w:val="Sinespaciado"/>
      <w:jc w:val="right"/>
      <w:rPr>
        <w:rFonts w:ascii="Arial" w:hAnsi="Arial" w:cs="Arial"/>
        <w:sz w:val="18"/>
        <w:szCs w:val="18"/>
      </w:rPr>
    </w:pPr>
  </w:p>
  <w:p w14:paraId="7A3785F3" w14:textId="4B89637E" w:rsidR="009F4A13" w:rsidRPr="008217B7" w:rsidRDefault="009F4A1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464CE">
      <w:rPr>
        <w:rFonts w:ascii="Arial" w:hAnsi="Arial" w:cs="Arial"/>
        <w:b/>
        <w:bCs/>
        <w:noProof/>
        <w:color w:val="7F7F7F" w:themeColor="text1" w:themeTint="80"/>
        <w:sz w:val="16"/>
        <w:szCs w:val="16"/>
      </w:rPr>
      <w:t>49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464CE">
      <w:rPr>
        <w:rFonts w:ascii="Arial" w:hAnsi="Arial" w:cs="Arial"/>
        <w:b/>
        <w:bCs/>
        <w:noProof/>
        <w:color w:val="7F7F7F" w:themeColor="text1" w:themeTint="80"/>
        <w:sz w:val="16"/>
        <w:szCs w:val="16"/>
      </w:rPr>
      <w:t>55</w:t>
    </w:r>
    <w:r w:rsidRPr="00084B97">
      <w:rPr>
        <w:rFonts w:ascii="Arial" w:hAnsi="Arial" w:cs="Arial"/>
        <w:b/>
        <w:bCs/>
        <w:color w:val="7F7F7F" w:themeColor="text1" w:themeTint="80"/>
        <w:sz w:val="16"/>
        <w:szCs w:val="16"/>
      </w:rPr>
      <w:fldChar w:fldCharType="end"/>
    </w:r>
  </w:p>
  <w:p w14:paraId="48FC6A04" w14:textId="5FD1A7C9" w:rsidR="009F4A13" w:rsidRDefault="009F4A13" w:rsidP="00322937">
    <w:pPr>
      <w:pStyle w:val="Piedepgina"/>
      <w:jc w:val="center"/>
      <w:rPr>
        <w:lang w:val="es-ES"/>
      </w:rPr>
    </w:pPr>
    <w:r>
      <w:rPr>
        <w:noProof/>
        <w:lang w:val="en-US"/>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4A13" w:rsidRDefault="009F4A13" w:rsidP="007B0854">
    <w:pPr>
      <w:pStyle w:val="Piedepgina"/>
      <w:jc w:val="center"/>
      <w:rPr>
        <w:lang w:val="es-ES"/>
      </w:rPr>
    </w:pPr>
  </w:p>
  <w:p w14:paraId="6C0EFC49" w14:textId="77777777" w:rsidR="009F4A13" w:rsidRPr="007B0854" w:rsidRDefault="009F4A1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5287C" w14:textId="77777777" w:rsidR="009F4A13" w:rsidRDefault="009F4A13">
      <w:r>
        <w:separator/>
      </w:r>
    </w:p>
  </w:footnote>
  <w:footnote w:type="continuationSeparator" w:id="0">
    <w:p w14:paraId="1BB5C64D" w14:textId="77777777" w:rsidR="009F4A13" w:rsidRDefault="009F4A13">
      <w:r>
        <w:continuationSeparator/>
      </w:r>
    </w:p>
  </w:footnote>
  <w:footnote w:type="continuationNotice" w:id="1">
    <w:p w14:paraId="3DBACB9A" w14:textId="77777777" w:rsidR="009F4A13" w:rsidRDefault="009F4A13"/>
  </w:footnote>
  <w:footnote w:id="2">
    <w:p w14:paraId="6CD08151" w14:textId="77777777" w:rsidR="009F4A13" w:rsidRPr="007B4401" w:rsidRDefault="009F4A13" w:rsidP="0032210B">
      <w:pPr>
        <w:pStyle w:val="Textonotapie"/>
        <w:ind w:firstLine="708"/>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7B4401">
        <w:rPr>
          <w:rFonts w:ascii="Arial" w:hAnsi="Arial" w:cs="Arial"/>
          <w:i/>
          <w:iCs/>
          <w:color w:val="000000" w:themeColor="text1"/>
          <w:sz w:val="19"/>
          <w:szCs w:val="19"/>
        </w:rPr>
        <w:t>ibidem</w:t>
      </w:r>
      <w:proofErr w:type="spellEnd"/>
      <w:r w:rsidRPr="007B4401">
        <w:rPr>
          <w:rFonts w:ascii="Arial" w:hAnsi="Arial" w:cs="Arial"/>
          <w:i/>
          <w:iCs/>
          <w:color w:val="000000" w:themeColor="text1"/>
          <w:sz w:val="19"/>
          <w:szCs w:val="19"/>
        </w:rPr>
        <w:t xml:space="preserve"> </w:t>
      </w:r>
      <w:r w:rsidRPr="007B4401">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7B4401">
        <w:rPr>
          <w:rFonts w:ascii="Arial" w:hAnsi="Arial" w:cs="Arial"/>
          <w:color w:val="000000" w:themeColor="text1"/>
          <w:sz w:val="19"/>
          <w:szCs w:val="19"/>
        </w:rPr>
        <w:t>bsolver</w:t>
      </w:r>
      <w:proofErr w:type="spellEnd"/>
      <w:r w:rsidRPr="007B4401">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w:t>
      </w:r>
      <w:proofErr w:type="spellStart"/>
      <w:r w:rsidRPr="007B4401">
        <w:rPr>
          <w:rFonts w:ascii="Arial" w:hAnsi="Arial" w:cs="Arial"/>
          <w:color w:val="000000" w:themeColor="text1"/>
          <w:sz w:val="19"/>
          <w:szCs w:val="19"/>
        </w:rPr>
        <w:t>ibidem</w:t>
      </w:r>
      <w:proofErr w:type="spellEnd"/>
      <w:r w:rsidRPr="007B4401">
        <w:rPr>
          <w:rFonts w:ascii="Arial" w:hAnsi="Arial" w:cs="Arial"/>
          <w:color w:val="000000" w:themeColor="text1"/>
          <w:sz w:val="19"/>
          <w:szCs w:val="19"/>
        </w:rPr>
        <w:t xml:space="preserve"> señala que es función de la Subdirección de Gestión Contractual: «[a]</w:t>
      </w:r>
      <w:proofErr w:type="spellStart"/>
      <w:r w:rsidRPr="007B4401">
        <w:rPr>
          <w:rFonts w:ascii="Arial" w:hAnsi="Arial" w:cs="Arial"/>
          <w:color w:val="000000" w:themeColor="text1"/>
          <w:sz w:val="19"/>
          <w:szCs w:val="19"/>
        </w:rPr>
        <w:t>bsolver</w:t>
      </w:r>
      <w:proofErr w:type="spellEnd"/>
      <w:r w:rsidRPr="007B4401">
        <w:rPr>
          <w:rFonts w:ascii="Arial" w:hAnsi="Arial" w:cs="Arial"/>
          <w:color w:val="000000" w:themeColor="text1"/>
          <w:sz w:val="19"/>
          <w:szCs w:val="19"/>
        </w:rPr>
        <w:t xml:space="preserve"> consultas sobre la aplicación de normas de carácter general».</w:t>
      </w:r>
    </w:p>
  </w:footnote>
  <w:footnote w:id="3">
    <w:p w14:paraId="365A6640" w14:textId="77777777" w:rsidR="009F4A13" w:rsidRPr="007B4401" w:rsidRDefault="009F4A13" w:rsidP="0032210B">
      <w:pPr>
        <w:pStyle w:val="Textonotapie"/>
        <w:ind w:firstLine="709"/>
        <w:jc w:val="both"/>
        <w:rPr>
          <w:rFonts w:ascii="Arial" w:hAnsi="Arial" w:cs="Arial"/>
          <w:iCs/>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iCs/>
          <w:color w:val="000000" w:themeColor="text1"/>
          <w:sz w:val="19"/>
          <w:szCs w:val="19"/>
        </w:rPr>
        <w:t xml:space="preserve"> CONSEJO DE ESTADO. Sección Tercera. Sentencia del 12 de julio de 2012. Danilo Rojas </w:t>
      </w:r>
      <w:proofErr w:type="spellStart"/>
      <w:r w:rsidRPr="007B4401">
        <w:rPr>
          <w:rFonts w:ascii="Arial" w:hAnsi="Arial" w:cs="Arial"/>
          <w:iCs/>
          <w:color w:val="000000" w:themeColor="text1"/>
          <w:sz w:val="19"/>
          <w:szCs w:val="19"/>
        </w:rPr>
        <w:t>Betancourth</w:t>
      </w:r>
      <w:proofErr w:type="spellEnd"/>
      <w:r w:rsidRPr="007B4401">
        <w:rPr>
          <w:rFonts w:ascii="Arial" w:hAnsi="Arial" w:cs="Arial"/>
          <w:iCs/>
          <w:color w:val="000000" w:themeColor="text1"/>
          <w:sz w:val="19"/>
          <w:szCs w:val="19"/>
        </w:rPr>
        <w:t xml:space="preserve">. </w:t>
      </w:r>
      <w:proofErr w:type="spellStart"/>
      <w:r w:rsidRPr="007B4401">
        <w:rPr>
          <w:rFonts w:ascii="Arial" w:hAnsi="Arial" w:cs="Arial"/>
          <w:iCs/>
          <w:color w:val="000000" w:themeColor="text1"/>
          <w:sz w:val="19"/>
          <w:szCs w:val="19"/>
        </w:rPr>
        <w:t>Exp</w:t>
      </w:r>
      <w:proofErr w:type="spellEnd"/>
      <w:r w:rsidRPr="007B4401">
        <w:rPr>
          <w:rFonts w:ascii="Arial" w:hAnsi="Arial" w:cs="Arial"/>
          <w:iCs/>
          <w:color w:val="000000" w:themeColor="text1"/>
          <w:sz w:val="19"/>
          <w:szCs w:val="19"/>
        </w:rPr>
        <w:t xml:space="preserve">. 15.024. C.P. </w:t>
      </w:r>
    </w:p>
    <w:p w14:paraId="45116FF4" w14:textId="77777777" w:rsidR="009F4A13" w:rsidRPr="007B4401" w:rsidRDefault="009F4A13" w:rsidP="0032210B">
      <w:pPr>
        <w:pStyle w:val="Textonotapie"/>
        <w:ind w:firstLine="709"/>
        <w:jc w:val="both"/>
        <w:rPr>
          <w:rFonts w:ascii="Arial" w:hAnsi="Arial" w:cs="Arial"/>
          <w:color w:val="000000" w:themeColor="text1"/>
          <w:sz w:val="19"/>
          <w:szCs w:val="19"/>
        </w:rPr>
      </w:pPr>
    </w:p>
  </w:footnote>
  <w:footnote w:id="4">
    <w:p w14:paraId="4900C127" w14:textId="77777777" w:rsidR="009F4A13" w:rsidRPr="007B4401" w:rsidRDefault="009F4A13" w:rsidP="0032210B">
      <w:pPr>
        <w:pStyle w:val="Textonotapie"/>
        <w:ind w:firstLine="709"/>
        <w:jc w:val="both"/>
        <w:rPr>
          <w:rFonts w:ascii="Arial" w:hAnsi="Arial" w:cs="Arial"/>
          <w:iCs/>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3CFEC305" w14:textId="77777777" w:rsidR="009F4A13" w:rsidRPr="007B4401" w:rsidRDefault="009F4A13" w:rsidP="0032210B">
      <w:pPr>
        <w:pStyle w:val="Textonotapie"/>
        <w:ind w:firstLine="709"/>
        <w:jc w:val="both"/>
        <w:rPr>
          <w:rFonts w:ascii="Arial" w:hAnsi="Arial" w:cs="Arial"/>
          <w:color w:val="000000" w:themeColor="text1"/>
          <w:sz w:val="19"/>
          <w:szCs w:val="19"/>
        </w:rPr>
      </w:pPr>
    </w:p>
  </w:footnote>
  <w:footnote w:id="5">
    <w:p w14:paraId="148C6618"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CONSEJO DE ESTADO. Sección Tercera. Sentencia del 15 de noviembre de 2011. Consejera Ponente: Olga </w:t>
      </w:r>
      <w:proofErr w:type="spellStart"/>
      <w:r w:rsidRPr="007B4401">
        <w:rPr>
          <w:rFonts w:ascii="Arial" w:hAnsi="Arial" w:cs="Arial"/>
          <w:color w:val="000000" w:themeColor="text1"/>
          <w:sz w:val="19"/>
          <w:szCs w:val="19"/>
        </w:rPr>
        <w:t>Mélida</w:t>
      </w:r>
      <w:proofErr w:type="spellEnd"/>
      <w:r w:rsidRPr="007B4401">
        <w:rPr>
          <w:rFonts w:ascii="Arial" w:hAnsi="Arial" w:cs="Arial"/>
          <w:color w:val="000000" w:themeColor="text1"/>
          <w:sz w:val="19"/>
          <w:szCs w:val="19"/>
        </w:rPr>
        <w:t xml:space="preserve"> Valle de </w:t>
      </w:r>
      <w:proofErr w:type="spellStart"/>
      <w:r w:rsidRPr="007B4401">
        <w:rPr>
          <w:rFonts w:ascii="Arial" w:hAnsi="Arial" w:cs="Arial"/>
          <w:color w:val="000000" w:themeColor="text1"/>
          <w:sz w:val="19"/>
          <w:szCs w:val="19"/>
        </w:rPr>
        <w:t>De</w:t>
      </w:r>
      <w:proofErr w:type="spellEnd"/>
      <w:r w:rsidRPr="007B4401">
        <w:rPr>
          <w:rFonts w:ascii="Arial" w:hAnsi="Arial" w:cs="Arial"/>
          <w:color w:val="000000" w:themeColor="text1"/>
          <w:sz w:val="19"/>
          <w:szCs w:val="19"/>
        </w:rPr>
        <w:t xml:space="preserve"> La Hoz. Expediente: 20.916.</w:t>
      </w:r>
    </w:p>
    <w:p w14:paraId="693560F0" w14:textId="77777777" w:rsidR="009F4A13" w:rsidRPr="007B4401" w:rsidRDefault="009F4A13" w:rsidP="0032210B">
      <w:pPr>
        <w:pStyle w:val="Textonotapie"/>
        <w:ind w:firstLine="709"/>
        <w:jc w:val="both"/>
        <w:rPr>
          <w:rFonts w:ascii="Arial" w:hAnsi="Arial" w:cs="Arial"/>
          <w:color w:val="000000" w:themeColor="text1"/>
          <w:sz w:val="19"/>
          <w:szCs w:val="19"/>
          <w:lang w:val="es-ES"/>
        </w:rPr>
      </w:pPr>
    </w:p>
  </w:footnote>
  <w:footnote w:id="6">
    <w:p w14:paraId="3FD4B632"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7B4401">
        <w:rPr>
          <w:rFonts w:ascii="Arial" w:hAnsi="Arial" w:cs="Arial"/>
          <w:color w:val="000000" w:themeColor="text1"/>
          <w:sz w:val="19"/>
          <w:szCs w:val="19"/>
        </w:rPr>
        <w:t xml:space="preserve">CONSEJO DE ESTADO. Sección Tercera. Sentencia del 13 de noviembre de 2008. Consejero Ponente: Enrique Gil </w:t>
      </w:r>
      <w:proofErr w:type="spellStart"/>
      <w:r w:rsidRPr="007B4401">
        <w:rPr>
          <w:rFonts w:ascii="Arial" w:hAnsi="Arial" w:cs="Arial"/>
          <w:color w:val="000000" w:themeColor="text1"/>
          <w:sz w:val="19"/>
          <w:szCs w:val="19"/>
        </w:rPr>
        <w:t>Botero.Expediente</w:t>
      </w:r>
      <w:proofErr w:type="spellEnd"/>
      <w:r w:rsidRPr="007B4401">
        <w:rPr>
          <w:rFonts w:ascii="Arial" w:hAnsi="Arial" w:cs="Arial"/>
          <w:color w:val="000000" w:themeColor="text1"/>
          <w:sz w:val="19"/>
          <w:szCs w:val="19"/>
        </w:rPr>
        <w:t>: 17.009.</w:t>
      </w:r>
    </w:p>
    <w:p w14:paraId="5E5E824A" w14:textId="77777777" w:rsidR="009F4A13" w:rsidRPr="007B4401" w:rsidRDefault="009F4A13" w:rsidP="0032210B">
      <w:pPr>
        <w:pStyle w:val="Textonotapie"/>
        <w:ind w:firstLine="709"/>
        <w:jc w:val="both"/>
        <w:rPr>
          <w:rFonts w:ascii="Arial" w:hAnsi="Arial" w:cs="Arial"/>
          <w:iCs/>
          <w:color w:val="000000" w:themeColor="text1"/>
          <w:sz w:val="19"/>
          <w:szCs w:val="19"/>
          <w:lang w:val="es-ES_tradnl"/>
        </w:rPr>
      </w:pPr>
    </w:p>
  </w:footnote>
  <w:footnote w:id="7">
    <w:p w14:paraId="6AB940D3"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CORTE CONSTITUCIONAL. Sentencia C-827 de 2001. M.P. Álvaro Tafur Galvis.</w:t>
      </w:r>
    </w:p>
    <w:p w14:paraId="5FF8C6BA" w14:textId="77777777" w:rsidR="009F4A13" w:rsidRPr="007B4401" w:rsidRDefault="009F4A13" w:rsidP="0032210B">
      <w:pPr>
        <w:pStyle w:val="Textonotapie"/>
        <w:ind w:firstLine="709"/>
        <w:jc w:val="both"/>
        <w:rPr>
          <w:rFonts w:ascii="Arial" w:hAnsi="Arial" w:cs="Arial"/>
          <w:color w:val="000000" w:themeColor="text1"/>
          <w:sz w:val="19"/>
          <w:szCs w:val="19"/>
        </w:rPr>
      </w:pPr>
    </w:p>
  </w:footnote>
  <w:footnote w:id="8">
    <w:p w14:paraId="65ECB2DF"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vertAlign w:val="superscript"/>
        </w:rPr>
        <w:t xml:space="preserve"> </w:t>
      </w:r>
      <w:r w:rsidRPr="007B4401">
        <w:rPr>
          <w:rFonts w:ascii="Arial" w:hAnsi="Arial" w:cs="Arial"/>
          <w:color w:val="000000" w:themeColor="text1"/>
          <w:sz w:val="19"/>
          <w:szCs w:val="19"/>
        </w:rPr>
        <w:t xml:space="preserve">CONSEJO DE ESTADO. Sección Tercera. Sentencia del 13 de noviembre de 2008. </w:t>
      </w:r>
      <w:proofErr w:type="spellStart"/>
      <w:r w:rsidRPr="007B4401">
        <w:rPr>
          <w:rFonts w:ascii="Arial" w:hAnsi="Arial" w:cs="Arial"/>
          <w:color w:val="000000" w:themeColor="text1"/>
          <w:sz w:val="19"/>
          <w:szCs w:val="19"/>
        </w:rPr>
        <w:t>Exp</w:t>
      </w:r>
      <w:proofErr w:type="spellEnd"/>
      <w:r w:rsidRPr="007B4401">
        <w:rPr>
          <w:rFonts w:ascii="Arial" w:hAnsi="Arial" w:cs="Arial"/>
          <w:color w:val="000000" w:themeColor="text1"/>
          <w:sz w:val="19"/>
          <w:szCs w:val="19"/>
        </w:rPr>
        <w:t>. 17.009. C.P. Enrique Gil Botero.</w:t>
      </w:r>
    </w:p>
    <w:p w14:paraId="44970508" w14:textId="77777777" w:rsidR="009F4A13" w:rsidRPr="007B4401" w:rsidRDefault="009F4A13" w:rsidP="0032210B">
      <w:pPr>
        <w:pStyle w:val="Textonotapie"/>
        <w:ind w:firstLine="709"/>
        <w:jc w:val="both"/>
        <w:rPr>
          <w:rFonts w:ascii="Arial" w:hAnsi="Arial" w:cs="Arial"/>
          <w:color w:val="000000" w:themeColor="text1"/>
          <w:sz w:val="19"/>
          <w:szCs w:val="19"/>
        </w:rPr>
      </w:pPr>
    </w:p>
  </w:footnote>
  <w:footnote w:id="9">
    <w:p w14:paraId="70A8CC96"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Ibídem.</w:t>
      </w:r>
    </w:p>
  </w:footnote>
  <w:footnote w:id="10">
    <w:p w14:paraId="16BD77AD"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Corte Constitucional. Sentencia C-317 de 2012. M.P. María Victoria Calle Correa. </w:t>
      </w:r>
    </w:p>
    <w:p w14:paraId="7DA4F1F3" w14:textId="77777777" w:rsidR="009F4A13" w:rsidRPr="007B4401" w:rsidRDefault="009F4A13" w:rsidP="0032210B">
      <w:pPr>
        <w:pStyle w:val="Textonotapie"/>
        <w:ind w:firstLine="709"/>
        <w:jc w:val="both"/>
        <w:rPr>
          <w:rFonts w:ascii="Arial" w:hAnsi="Arial" w:cs="Arial"/>
          <w:color w:val="000000" w:themeColor="text1"/>
          <w:sz w:val="19"/>
          <w:szCs w:val="19"/>
        </w:rPr>
      </w:pPr>
    </w:p>
  </w:footnote>
  <w:footnote w:id="11">
    <w:p w14:paraId="3BE2E9C5"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0B2EF307" w14:textId="77777777" w:rsidR="009F4A13" w:rsidRPr="007B4401" w:rsidRDefault="009F4A13" w:rsidP="0032210B">
      <w:pPr>
        <w:pStyle w:val="Textonotapie"/>
        <w:ind w:firstLine="709"/>
        <w:jc w:val="both"/>
        <w:rPr>
          <w:rFonts w:ascii="Arial" w:hAnsi="Arial" w:cs="Arial"/>
          <w:color w:val="000000" w:themeColor="text1"/>
          <w:sz w:val="19"/>
          <w:szCs w:val="19"/>
        </w:rPr>
      </w:pPr>
    </w:p>
  </w:footnote>
  <w:footnote w:id="12">
    <w:p w14:paraId="232DF975"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Se entiende por entidades de </w:t>
      </w:r>
      <w:r w:rsidRPr="007B4401">
        <w:rPr>
          <w:rFonts w:ascii="Arial" w:hAnsi="Arial" w:cs="Arial"/>
          <w:i/>
          <w:iCs/>
          <w:color w:val="000000" w:themeColor="text1"/>
          <w:sz w:val="19"/>
          <w:szCs w:val="19"/>
        </w:rPr>
        <w:t xml:space="preserve">régimen especial </w:t>
      </w:r>
      <w:r w:rsidRPr="007B4401">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35C7D3E6" w14:textId="77777777" w:rsidR="009F4A13" w:rsidRPr="007B4401" w:rsidRDefault="009F4A13" w:rsidP="0032210B">
      <w:pPr>
        <w:pStyle w:val="Textonotapie"/>
        <w:ind w:firstLine="709"/>
        <w:jc w:val="both"/>
        <w:rPr>
          <w:rFonts w:ascii="Arial" w:hAnsi="Arial" w:cs="Arial"/>
          <w:color w:val="000000" w:themeColor="text1"/>
          <w:sz w:val="19"/>
          <w:szCs w:val="19"/>
          <w:lang w:val="es-CO"/>
        </w:rPr>
      </w:pPr>
    </w:p>
  </w:footnote>
  <w:footnote w:id="13">
    <w:p w14:paraId="4E18E297" w14:textId="77777777" w:rsidR="009F4A13" w:rsidRPr="007B4401" w:rsidRDefault="009F4A13" w:rsidP="0032210B">
      <w:pPr>
        <w:pStyle w:val="Textonotapie"/>
        <w:ind w:firstLine="709"/>
        <w:jc w:val="both"/>
        <w:rPr>
          <w:rFonts w:ascii="Arial" w:hAnsi="Arial" w:cs="Arial"/>
          <w:color w:val="000000" w:themeColor="text1"/>
          <w:sz w:val="19"/>
          <w:szCs w:val="19"/>
          <w:lang w:val="es-CO"/>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Esto se ha señalado en distintos conceptos de esta Subdirección, como el C-219 del 29 de abril de 2020, el C-280 del 6 de julio de 2020 y el C–434 del 29 de julio de 2020.</w:t>
      </w:r>
    </w:p>
  </w:footnote>
  <w:footnote w:id="14">
    <w:p w14:paraId="2BB99200"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0922C6FF" w14:textId="77777777" w:rsidR="009F4A13" w:rsidRPr="007B4401" w:rsidRDefault="009F4A13" w:rsidP="0032210B">
      <w:pPr>
        <w:pStyle w:val="Textonotapie"/>
        <w:ind w:firstLine="709"/>
        <w:jc w:val="both"/>
        <w:rPr>
          <w:rFonts w:ascii="Arial" w:hAnsi="Arial" w:cs="Arial"/>
          <w:color w:val="000000" w:themeColor="text1"/>
          <w:sz w:val="19"/>
          <w:szCs w:val="19"/>
        </w:rPr>
      </w:pPr>
      <w:proofErr w:type="gramStart"/>
      <w:r w:rsidRPr="007B4401">
        <w:rPr>
          <w:rFonts w:ascii="Arial" w:hAnsi="Arial" w:cs="Arial"/>
          <w:color w:val="000000" w:themeColor="text1"/>
          <w:sz w:val="19"/>
          <w:szCs w:val="19"/>
        </w:rPr>
        <w:t>»Procedimientos</w:t>
      </w:r>
      <w:proofErr w:type="gramEnd"/>
      <w:r w:rsidRPr="007B4401">
        <w:rPr>
          <w:rFonts w:ascii="Arial" w:hAnsi="Arial" w:cs="Arial"/>
          <w:color w:val="000000" w:themeColor="text1"/>
          <w:sz w:val="19"/>
          <w:szCs w:val="19"/>
        </w:rPr>
        <w:t xml:space="preserve">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1638D292" w14:textId="77777777" w:rsidR="009F4A13" w:rsidRPr="007B4401" w:rsidRDefault="009F4A13" w:rsidP="0032210B">
      <w:pPr>
        <w:pStyle w:val="Textonotapie"/>
        <w:ind w:firstLine="709"/>
        <w:jc w:val="both"/>
        <w:rPr>
          <w:rFonts w:ascii="Arial" w:hAnsi="Arial" w:cs="Arial"/>
          <w:color w:val="000000" w:themeColor="text1"/>
          <w:sz w:val="19"/>
          <w:szCs w:val="19"/>
        </w:rPr>
      </w:pPr>
      <w:proofErr w:type="gramStart"/>
      <w:r w:rsidRPr="007B4401">
        <w:rPr>
          <w:rFonts w:ascii="Arial" w:hAnsi="Arial" w:cs="Arial"/>
          <w:color w:val="000000" w:themeColor="text1"/>
          <w:sz w:val="19"/>
          <w:szCs w:val="19"/>
        </w:rPr>
        <w:t>»La</w:t>
      </w:r>
      <w:proofErr w:type="gramEnd"/>
      <w:r w:rsidRPr="007B4401">
        <w:rPr>
          <w:rFonts w:ascii="Arial" w:hAnsi="Arial" w:cs="Arial"/>
          <w:color w:val="000000" w:themeColor="text1"/>
          <w:sz w:val="19"/>
          <w:szCs w:val="19"/>
        </w:rPr>
        <w:t xml:space="preserve"> entidad estatal debe elegir y garantizar los medios electrónicos y de comunicación que utilizará, así como los mecanismos para el registro de la Información generada.</w:t>
      </w:r>
    </w:p>
    <w:p w14:paraId="1CF2EBC8" w14:textId="77777777" w:rsidR="009F4A13" w:rsidRPr="007B4401" w:rsidRDefault="009F4A13" w:rsidP="0032210B">
      <w:pPr>
        <w:pStyle w:val="Textonotapie"/>
        <w:ind w:firstLine="709"/>
        <w:jc w:val="both"/>
        <w:rPr>
          <w:rFonts w:ascii="Arial" w:hAnsi="Arial" w:cs="Arial"/>
          <w:color w:val="000000" w:themeColor="text1"/>
          <w:sz w:val="19"/>
          <w:szCs w:val="19"/>
        </w:rPr>
      </w:pPr>
      <w:proofErr w:type="gramStart"/>
      <w:r w:rsidRPr="007B4401">
        <w:rPr>
          <w:rFonts w:ascii="Arial" w:hAnsi="Arial" w:cs="Arial"/>
          <w:color w:val="000000" w:themeColor="text1"/>
          <w:sz w:val="19"/>
          <w:szCs w:val="19"/>
        </w:rPr>
        <w:t>»Sin</w:t>
      </w:r>
      <w:proofErr w:type="gramEnd"/>
      <w:r w:rsidRPr="007B4401">
        <w:rPr>
          <w:rFonts w:ascii="Arial" w:hAnsi="Arial" w:cs="Arial"/>
          <w:color w:val="000000" w:themeColor="text1"/>
          <w:sz w:val="19"/>
          <w:szCs w:val="19"/>
        </w:rPr>
        <w:t xml:space="preserve"> perjuicio de lo anterior, el ordenador del gasto o funcionario competente podrá decretar la suspensión de términos, inclusive los iniciados con anterioridad a la vigencia de este Decreto».</w:t>
      </w:r>
    </w:p>
    <w:p w14:paraId="2E4C08BC" w14:textId="77777777" w:rsidR="009F4A13" w:rsidRPr="007B4401" w:rsidRDefault="009F4A13" w:rsidP="0032210B">
      <w:pPr>
        <w:pStyle w:val="Textonotapie"/>
        <w:ind w:firstLine="709"/>
        <w:jc w:val="both"/>
        <w:rPr>
          <w:rFonts w:ascii="Arial" w:hAnsi="Arial" w:cs="Arial"/>
          <w:color w:val="000000" w:themeColor="text1"/>
          <w:sz w:val="19"/>
          <w:szCs w:val="19"/>
          <w:lang w:val="es-CO"/>
        </w:rPr>
      </w:pPr>
      <w:r w:rsidRPr="007B4401">
        <w:rPr>
          <w:rFonts w:ascii="Arial" w:hAnsi="Arial" w:cs="Arial"/>
          <w:color w:val="000000" w:themeColor="text1"/>
          <w:sz w:val="19"/>
          <w:szCs w:val="19"/>
        </w:rPr>
        <w:t xml:space="preserve"> </w:t>
      </w:r>
    </w:p>
  </w:footnote>
  <w:footnote w:id="15">
    <w:p w14:paraId="35F7ED2A" w14:textId="77777777" w:rsidR="009F4A13" w:rsidRPr="007B4401" w:rsidRDefault="009F4A13" w:rsidP="0032210B">
      <w:pPr>
        <w:pStyle w:val="Textonotapie"/>
        <w:ind w:firstLine="709"/>
        <w:jc w:val="both"/>
        <w:rPr>
          <w:rFonts w:ascii="Arial" w:hAnsi="Arial" w:cs="Arial"/>
          <w:color w:val="000000" w:themeColor="text1"/>
          <w:sz w:val="19"/>
          <w:szCs w:val="19"/>
          <w:lang w:val="es-CO"/>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6">
    <w:p w14:paraId="1947D247" w14:textId="6B525FFA" w:rsidR="009F4A13" w:rsidRPr="007B4401" w:rsidRDefault="009F4A13" w:rsidP="009F4A13">
      <w:pPr>
        <w:pStyle w:val="Default"/>
        <w:ind w:firstLine="708"/>
        <w:jc w:val="both"/>
        <w:rPr>
          <w:color w:val="000000" w:themeColor="text1"/>
          <w:sz w:val="19"/>
          <w:szCs w:val="19"/>
          <w:lang w:val="es-ES"/>
        </w:rPr>
      </w:pPr>
      <w:r w:rsidRPr="007B4401">
        <w:rPr>
          <w:rStyle w:val="Refdenotaalpie"/>
          <w:color w:val="000000" w:themeColor="text1"/>
          <w:sz w:val="19"/>
          <w:szCs w:val="19"/>
        </w:rPr>
        <w:footnoteRef/>
      </w:r>
      <w:r w:rsidRPr="007B4401">
        <w:rPr>
          <w:color w:val="000000" w:themeColor="text1"/>
          <w:sz w:val="19"/>
          <w:szCs w:val="19"/>
          <w:lang w:val="es-ES"/>
        </w:rPr>
        <w:t xml:space="preserve"> SENADO DE LA REPÚBLICA. GACETA DEL CONGRESO. AÑO XXIX - Nº 1249. Exposición de motivos del proyecto de Ley 341 de 2020. </w:t>
      </w:r>
    </w:p>
  </w:footnote>
  <w:footnote w:id="17">
    <w:p w14:paraId="01D7FCC8" w14:textId="63A24A6B" w:rsidR="009F4A13" w:rsidRPr="007B4401" w:rsidRDefault="009F4A13" w:rsidP="0032210B">
      <w:pPr>
        <w:pStyle w:val="Textonotapie"/>
        <w:ind w:firstLine="709"/>
        <w:jc w:val="both"/>
        <w:rPr>
          <w:rFonts w:ascii="Arial" w:hAnsi="Arial" w:cs="Arial"/>
          <w:color w:val="000000" w:themeColor="text1"/>
          <w:sz w:val="19"/>
          <w:szCs w:val="19"/>
          <w:lang w:val="es-CO"/>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footnote>
  <w:footnote w:id="18">
    <w:p w14:paraId="560927A6" w14:textId="77777777" w:rsidR="009F4A13" w:rsidRPr="007B4401" w:rsidRDefault="009F4A13" w:rsidP="0032210B">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3842F579" w14:textId="77777777" w:rsidR="009F4A13" w:rsidRPr="007B4401" w:rsidRDefault="009F4A13" w:rsidP="0032210B">
      <w:pPr>
        <w:pStyle w:val="Textonotapie"/>
        <w:ind w:firstLine="709"/>
        <w:jc w:val="both"/>
        <w:rPr>
          <w:rFonts w:ascii="Arial" w:hAnsi="Arial" w:cs="Arial"/>
          <w:color w:val="000000" w:themeColor="text1"/>
          <w:sz w:val="19"/>
          <w:szCs w:val="19"/>
        </w:rPr>
      </w:pPr>
      <w:proofErr w:type="gramStart"/>
      <w:r w:rsidRPr="007B4401">
        <w:rPr>
          <w:rFonts w:ascii="Arial" w:hAnsi="Arial" w:cs="Arial"/>
          <w:color w:val="000000" w:themeColor="text1"/>
          <w:sz w:val="19"/>
          <w:szCs w:val="19"/>
        </w:rPr>
        <w:t>»Durante</w:t>
      </w:r>
      <w:proofErr w:type="gramEnd"/>
      <w:r w:rsidRPr="007B4401">
        <w:rPr>
          <w:rFonts w:ascii="Arial" w:hAnsi="Arial" w:cs="Arial"/>
          <w:color w:val="000000" w:themeColor="text1"/>
          <w:sz w:val="19"/>
          <w:szCs w:val="19"/>
        </w:rPr>
        <w:t xml:space="preserv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7BD003E9" w14:textId="77777777" w:rsidR="009F4A13" w:rsidRPr="007B4401" w:rsidRDefault="009F4A13" w:rsidP="0032210B">
      <w:pPr>
        <w:pStyle w:val="Textonotapie"/>
        <w:ind w:firstLine="709"/>
        <w:jc w:val="both"/>
        <w:rPr>
          <w:rFonts w:ascii="Arial" w:hAnsi="Arial" w:cs="Arial"/>
          <w:color w:val="000000" w:themeColor="text1"/>
          <w:sz w:val="19"/>
          <w:szCs w:val="19"/>
          <w:lang w:val="es-CO"/>
        </w:rPr>
      </w:pPr>
      <w:proofErr w:type="gramStart"/>
      <w:r w:rsidRPr="007B4401">
        <w:rPr>
          <w:rFonts w:ascii="Arial" w:hAnsi="Arial" w:cs="Arial"/>
          <w:color w:val="000000" w:themeColor="text1"/>
          <w:sz w:val="19"/>
          <w:szCs w:val="19"/>
        </w:rPr>
        <w:t>»Cualquier</w:t>
      </w:r>
      <w:proofErr w:type="gramEnd"/>
      <w:r w:rsidRPr="007B4401">
        <w:rPr>
          <w:rFonts w:ascii="Arial" w:hAnsi="Arial" w:cs="Arial"/>
          <w:color w:val="000000" w:themeColor="text1"/>
          <w:sz w:val="19"/>
          <w:szCs w:val="19"/>
        </w:rPr>
        <w:t xml:space="preserve"> controversia o solicitud que surja en relación con los reportes eje información que suministre la entidad contratante, serán resueltos por esta, atendiendo los principios y disposiciones establecidos en la normatividad vigente».</w:t>
      </w:r>
    </w:p>
  </w:footnote>
  <w:footnote w:id="19">
    <w:p w14:paraId="7633037E" w14:textId="77777777" w:rsidR="009F4A13" w:rsidRPr="007B4401" w:rsidRDefault="009F4A13">
      <w:pPr>
        <w:pStyle w:val="Textonotapie"/>
        <w:ind w:firstLine="709"/>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w:t>
      </w:r>
      <w:proofErr w:type="spellStart"/>
      <w:r w:rsidRPr="007B4401">
        <w:rPr>
          <w:rFonts w:ascii="Arial" w:hAnsi="Arial" w:cs="Arial"/>
          <w:color w:val="000000" w:themeColor="text1"/>
          <w:sz w:val="19"/>
          <w:szCs w:val="19"/>
          <w:lang w:val="es-ES"/>
        </w:rPr>
        <w:t>oponibilidad</w:t>
      </w:r>
      <w:proofErr w:type="spellEnd"/>
      <w:r w:rsidRPr="007B4401">
        <w:rPr>
          <w:rFonts w:ascii="Arial" w:hAnsi="Arial" w:cs="Arial"/>
          <w:color w:val="000000" w:themeColor="text1"/>
          <w:sz w:val="19"/>
          <w:szCs w:val="19"/>
          <w:lang w:val="es-ES"/>
        </w:rPr>
        <w:t>) de las leyes, las cuales solo tienen vigencia si se han promulgado y publicado en el Diario Oficial (Sentencia C-932 de 2006. Magistrado Ponente: Humberto Antonio Sierra Porto).</w:t>
      </w:r>
    </w:p>
  </w:footnote>
  <w:footnote w:id="20">
    <w:p w14:paraId="1E19F0BC" w14:textId="77777777" w:rsidR="009F4A13" w:rsidRPr="007B4401" w:rsidRDefault="009F4A13">
      <w:pPr>
        <w:pStyle w:val="Textonotapie"/>
        <w:ind w:firstLine="709"/>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color w:val="000000" w:themeColor="text1"/>
          <w:sz w:val="19"/>
          <w:szCs w:val="19"/>
          <w:lang w:val="es-ES"/>
        </w:rPr>
        <w:t xml:space="preserve">Tales </w:t>
      </w:r>
      <w:proofErr w:type="spellStart"/>
      <w:r w:rsidRPr="007B4401">
        <w:rPr>
          <w:rFonts w:ascii="Arial" w:hAnsi="Arial" w:cs="Arial"/>
          <w:color w:val="000000" w:themeColor="text1"/>
          <w:sz w:val="19"/>
          <w:szCs w:val="19"/>
          <w:lang w:val="es-ES"/>
        </w:rPr>
        <w:t>subreglas</w:t>
      </w:r>
      <w:proofErr w:type="spellEnd"/>
      <w:r w:rsidRPr="007B4401">
        <w:rPr>
          <w:rFonts w:ascii="Arial" w:hAnsi="Arial" w:cs="Arial"/>
          <w:color w:val="000000" w:themeColor="text1"/>
          <w:sz w:val="19"/>
          <w:szCs w:val="19"/>
          <w:lang w:val="es-ES"/>
        </w:rPr>
        <w:t xml:space="preserve"> son coherentes con la forma como la doctrina del Derecho administrativo comparado ha entendido de tiempo atrás la vigencia de las leyes. Al respecto, basta leer las palabras de </w:t>
      </w:r>
      <w:proofErr w:type="spellStart"/>
      <w:r w:rsidRPr="007B4401">
        <w:rPr>
          <w:rFonts w:ascii="Arial" w:hAnsi="Arial" w:cs="Arial"/>
          <w:color w:val="000000" w:themeColor="text1"/>
          <w:sz w:val="19"/>
          <w:szCs w:val="19"/>
          <w:lang w:val="es-ES"/>
        </w:rPr>
        <w:t>Marienhoff</w:t>
      </w:r>
      <w:proofErr w:type="spellEnd"/>
      <w:r w:rsidRPr="007B4401">
        <w:rPr>
          <w:rFonts w:ascii="Arial" w:hAnsi="Arial" w:cs="Arial"/>
          <w:color w:val="000000" w:themeColor="text1"/>
          <w:sz w:val="19"/>
          <w:szCs w:val="19"/>
          <w:lang w:val="es-ES"/>
        </w:rPr>
        <w:t xml:space="preserve">, cuando se pregunta «¿Y cuál es la vigencia de la ley con relación al tiempo?», respondiendo a renglón seguido: «El principio general consiste en que las leyes rigen </w:t>
      </w:r>
      <w:r w:rsidRPr="007B4401">
        <w:rPr>
          <w:rFonts w:ascii="Arial" w:hAnsi="Arial" w:cs="Arial"/>
          <w:i/>
          <w:iCs/>
          <w:color w:val="000000" w:themeColor="text1"/>
          <w:sz w:val="19"/>
          <w:szCs w:val="19"/>
          <w:lang w:val="es-ES"/>
        </w:rPr>
        <w:t>“ex nunc”</w:t>
      </w:r>
      <w:r w:rsidRPr="007B4401">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7B4401">
        <w:rPr>
          <w:rFonts w:ascii="Arial" w:hAnsi="Arial" w:cs="Arial"/>
          <w:i/>
          <w:iCs/>
          <w:color w:val="000000" w:themeColor="text1"/>
          <w:sz w:val="19"/>
          <w:szCs w:val="19"/>
          <w:lang w:val="es-ES"/>
        </w:rPr>
        <w:t>“excepcional”</w:t>
      </w:r>
      <w:r w:rsidRPr="007B4401">
        <w:rPr>
          <w:rFonts w:ascii="Arial" w:hAnsi="Arial" w:cs="Arial"/>
          <w:color w:val="000000" w:themeColor="text1"/>
          <w:sz w:val="19"/>
          <w:szCs w:val="19"/>
          <w:lang w:val="es-ES"/>
        </w:rPr>
        <w:t xml:space="preserve">, la ley puede regir para el pasado, es decir, puede tener efecto retroactivo, </w:t>
      </w:r>
      <w:r w:rsidRPr="007B4401">
        <w:rPr>
          <w:rFonts w:ascii="Arial" w:hAnsi="Arial" w:cs="Arial"/>
          <w:i/>
          <w:iCs/>
          <w:color w:val="000000" w:themeColor="text1"/>
          <w:sz w:val="19"/>
          <w:szCs w:val="19"/>
          <w:lang w:val="es-ES"/>
        </w:rPr>
        <w:t xml:space="preserve">“ex </w:t>
      </w:r>
      <w:proofErr w:type="spellStart"/>
      <w:r w:rsidRPr="007B4401">
        <w:rPr>
          <w:rFonts w:ascii="Arial" w:hAnsi="Arial" w:cs="Arial"/>
          <w:i/>
          <w:iCs/>
          <w:color w:val="000000" w:themeColor="text1"/>
          <w:sz w:val="19"/>
          <w:szCs w:val="19"/>
          <w:lang w:val="es-ES"/>
        </w:rPr>
        <w:t>tunc</w:t>
      </w:r>
      <w:proofErr w:type="spellEnd"/>
      <w:r w:rsidRPr="007B4401">
        <w:rPr>
          <w:rFonts w:ascii="Arial" w:hAnsi="Arial" w:cs="Arial"/>
          <w:i/>
          <w:iCs/>
          <w:color w:val="000000" w:themeColor="text1"/>
          <w:sz w:val="19"/>
          <w:szCs w:val="19"/>
          <w:lang w:val="es-ES"/>
        </w:rPr>
        <w:t>”</w:t>
      </w:r>
      <w:r w:rsidRPr="007B4401">
        <w:rPr>
          <w:rFonts w:ascii="Arial" w:hAnsi="Arial" w:cs="Arial"/>
          <w:color w:val="000000" w:themeColor="text1"/>
          <w:sz w:val="19"/>
          <w:szCs w:val="19"/>
          <w:lang w:val="es-ES"/>
        </w:rPr>
        <w:t xml:space="preserve">; pero la intención del legislador de dar efecto retroactivo a una ley debe resultar de una declaración </w:t>
      </w:r>
      <w:r w:rsidRPr="007B4401">
        <w:rPr>
          <w:rFonts w:ascii="Arial" w:hAnsi="Arial" w:cs="Arial"/>
          <w:i/>
          <w:iCs/>
          <w:color w:val="000000" w:themeColor="text1"/>
          <w:sz w:val="19"/>
          <w:szCs w:val="19"/>
          <w:lang w:val="es-ES"/>
        </w:rPr>
        <w:t>expresa</w:t>
      </w:r>
      <w:r w:rsidRPr="007B4401">
        <w:rPr>
          <w:rFonts w:ascii="Arial" w:hAnsi="Arial" w:cs="Arial"/>
          <w:color w:val="000000" w:themeColor="text1"/>
          <w:sz w:val="19"/>
          <w:szCs w:val="19"/>
          <w:lang w:val="es-ES"/>
        </w:rPr>
        <w:t xml:space="preserve"> o bien de otra forma </w:t>
      </w:r>
      <w:r w:rsidRPr="007B4401">
        <w:rPr>
          <w:rFonts w:ascii="Arial" w:hAnsi="Arial" w:cs="Arial"/>
          <w:i/>
          <w:iCs/>
          <w:color w:val="000000" w:themeColor="text1"/>
          <w:sz w:val="19"/>
          <w:szCs w:val="19"/>
          <w:lang w:val="es-ES"/>
        </w:rPr>
        <w:t>inequívoca</w:t>
      </w:r>
      <w:r w:rsidRPr="007B4401">
        <w:rPr>
          <w:rFonts w:ascii="Arial" w:hAnsi="Arial" w:cs="Arial"/>
          <w:color w:val="000000" w:themeColor="text1"/>
          <w:sz w:val="19"/>
          <w:szCs w:val="19"/>
          <w:lang w:val="es-ES"/>
        </w:rPr>
        <w:t xml:space="preserve">: la regla es la irretroactividad, principio que también rige para el derecho administrativo» (MARIENHOFF, Miguel S. Tratado de Derecho administrativo. Tomo I, Teoría General. 5ª ed. Buenos Aires: </w:t>
      </w:r>
      <w:proofErr w:type="spellStart"/>
      <w:r w:rsidRPr="007B4401">
        <w:rPr>
          <w:rFonts w:ascii="Arial" w:hAnsi="Arial" w:cs="Arial"/>
          <w:color w:val="000000" w:themeColor="text1"/>
          <w:sz w:val="19"/>
          <w:szCs w:val="19"/>
          <w:lang w:val="es-ES"/>
        </w:rPr>
        <w:t>Abeledo-Perrot</w:t>
      </w:r>
      <w:proofErr w:type="spellEnd"/>
      <w:r w:rsidRPr="007B4401">
        <w:rPr>
          <w:rFonts w:ascii="Arial" w:hAnsi="Arial" w:cs="Arial"/>
          <w:color w:val="000000" w:themeColor="text1"/>
          <w:sz w:val="19"/>
          <w:szCs w:val="19"/>
          <w:lang w:val="es-ES"/>
        </w:rPr>
        <w:t>, 2000. pp. 228-229).</w:t>
      </w:r>
    </w:p>
  </w:footnote>
  <w:footnote w:id="21">
    <w:p w14:paraId="64352ECB" w14:textId="77777777" w:rsidR="009F4A13" w:rsidRPr="007B4401" w:rsidRDefault="009F4A13">
      <w:pPr>
        <w:ind w:firstLine="709"/>
        <w:jc w:val="both"/>
        <w:rPr>
          <w:rFonts w:ascii="Arial" w:hAnsi="Arial" w:cs="Arial"/>
          <w:color w:val="000000" w:themeColor="text1"/>
          <w:sz w:val="19"/>
          <w:szCs w:val="19"/>
        </w:rPr>
      </w:pPr>
    </w:p>
    <w:p w14:paraId="6750FB0F" w14:textId="77777777" w:rsidR="009F4A13" w:rsidRPr="007B4401" w:rsidRDefault="009F4A13">
      <w:pPr>
        <w:ind w:firstLine="709"/>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28BC5C12" w14:textId="77777777" w:rsidR="009F4A13" w:rsidRPr="007B4401" w:rsidRDefault="009F4A13">
      <w:pPr>
        <w:pStyle w:val="Textonotapie"/>
        <w:ind w:firstLine="709"/>
        <w:jc w:val="both"/>
        <w:rPr>
          <w:rFonts w:ascii="Arial" w:hAnsi="Arial" w:cs="Arial"/>
          <w:color w:val="000000" w:themeColor="text1"/>
          <w:sz w:val="19"/>
          <w:szCs w:val="19"/>
          <w:lang w:val="es-CO"/>
        </w:rPr>
      </w:pPr>
    </w:p>
  </w:footnote>
  <w:footnote w:id="22">
    <w:p w14:paraId="62B24541" w14:textId="640DCA2E" w:rsidR="009F4A13" w:rsidRPr="007B4401" w:rsidRDefault="009F4A13">
      <w:pPr>
        <w:pStyle w:val="Textonotapie"/>
        <w:ind w:firstLine="709"/>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color w:val="000000" w:themeColor="text1"/>
          <w:sz w:val="19"/>
          <w:szCs w:val="19"/>
          <w:lang w:val="es-ES"/>
        </w:rPr>
        <w:t xml:space="preserve">La Corte Constitucional explica el fenómeno de la </w:t>
      </w:r>
      <w:proofErr w:type="spellStart"/>
      <w:r w:rsidRPr="007B4401">
        <w:rPr>
          <w:rFonts w:ascii="Arial" w:hAnsi="Arial" w:cs="Arial"/>
          <w:color w:val="000000" w:themeColor="text1"/>
          <w:sz w:val="19"/>
          <w:szCs w:val="19"/>
          <w:lang w:val="es-ES"/>
        </w:rPr>
        <w:t>ultraactividad</w:t>
      </w:r>
      <w:proofErr w:type="spellEnd"/>
      <w:r w:rsidRPr="007B4401">
        <w:rPr>
          <w:rFonts w:ascii="Arial" w:hAnsi="Arial" w:cs="Arial"/>
          <w:color w:val="000000" w:themeColor="text1"/>
          <w:sz w:val="19"/>
          <w:szCs w:val="19"/>
          <w:lang w:val="es-ES"/>
        </w:rPr>
        <w:t xml:space="preserve"> de la ley en los siguientes términos: «La </w:t>
      </w:r>
      <w:proofErr w:type="spellStart"/>
      <w:r w:rsidRPr="007B4401">
        <w:rPr>
          <w:rFonts w:ascii="Arial" w:hAnsi="Arial" w:cs="Arial"/>
          <w:color w:val="000000" w:themeColor="text1"/>
          <w:sz w:val="19"/>
          <w:szCs w:val="19"/>
          <w:lang w:val="es-ES"/>
        </w:rPr>
        <w:t>ultraactividad</w:t>
      </w:r>
      <w:proofErr w:type="spellEnd"/>
      <w:r w:rsidRPr="007B4401">
        <w:rPr>
          <w:rFonts w:ascii="Arial" w:hAnsi="Arial" w:cs="Arial"/>
          <w:color w:val="000000" w:themeColor="text1"/>
          <w:sz w:val="19"/>
          <w:szCs w:val="19"/>
          <w:lang w:val="es-ES"/>
        </w:rPr>
        <w:t xml:space="preserve"> de la ley es un problema de aplicación de la ley en el tiempo y </w:t>
      </w:r>
      <w:proofErr w:type="spellStart"/>
      <w:r w:rsidRPr="007B4401">
        <w:rPr>
          <w:rFonts w:ascii="Arial" w:hAnsi="Arial" w:cs="Arial"/>
          <w:color w:val="000000" w:themeColor="text1"/>
          <w:sz w:val="19"/>
          <w:szCs w:val="19"/>
          <w:lang w:val="es-ES"/>
        </w:rPr>
        <w:t>esta</w:t>
      </w:r>
      <w:proofErr w:type="spellEnd"/>
      <w:r w:rsidRPr="007B4401">
        <w:rPr>
          <w:rFonts w:ascii="Arial" w:hAnsi="Arial" w:cs="Arial"/>
          <w:color w:val="000000" w:themeColor="text1"/>
          <w:sz w:val="19"/>
          <w:szCs w:val="19"/>
          <w:lang w:val="es-ES"/>
        </w:rPr>
        <w:t xml:space="preserve"> íntimamente ligada al principio de que todo hecho, acto o negocio jurídico se rige por la ley vigente al momento de su ocurrencia, realización o celebración.  Dentro de la Teoría General del Derecho, es clara la aplicación del principio "Tempus </w:t>
      </w:r>
      <w:proofErr w:type="spellStart"/>
      <w:r w:rsidRPr="007B4401">
        <w:rPr>
          <w:rFonts w:ascii="Arial" w:hAnsi="Arial" w:cs="Arial"/>
          <w:color w:val="000000" w:themeColor="text1"/>
          <w:sz w:val="19"/>
          <w:szCs w:val="19"/>
          <w:lang w:val="es-ES"/>
        </w:rPr>
        <w:t>regit</w:t>
      </w:r>
      <w:proofErr w:type="spellEnd"/>
      <w:r w:rsidRPr="007B4401">
        <w:rPr>
          <w:rFonts w:ascii="Arial" w:hAnsi="Arial" w:cs="Arial"/>
          <w:color w:val="000000" w:themeColor="text1"/>
          <w:sz w:val="19"/>
          <w:szCs w:val="19"/>
          <w:lang w:val="es-ES"/>
        </w:rPr>
        <w:t xml:space="preserve"> </w:t>
      </w:r>
      <w:proofErr w:type="spellStart"/>
      <w:r w:rsidRPr="007B4401">
        <w:rPr>
          <w:rFonts w:ascii="Arial" w:hAnsi="Arial" w:cs="Arial"/>
          <w:color w:val="000000" w:themeColor="text1"/>
          <w:sz w:val="19"/>
          <w:szCs w:val="19"/>
          <w:lang w:val="es-ES"/>
        </w:rPr>
        <w:t>actus</w:t>
      </w:r>
      <w:proofErr w:type="spellEnd"/>
      <w:r w:rsidRPr="007B4401">
        <w:rPr>
          <w:rFonts w:ascii="Arial" w:hAnsi="Arial" w:cs="Arial"/>
          <w:color w:val="000000" w:themeColor="text1"/>
          <w:sz w:val="19"/>
          <w:szCs w:val="19"/>
          <w:lang w:val="es-ES"/>
        </w:rPr>
        <w:t xml:space="preserve">", que se traduce en que la norma vigente al momento de sucederse los hechos por ella prevista, es la que se aplica a esos hechos, aunque la norma haya sido derogada después. Esto es lo que explica la Teoría del Derecho, la denominada </w:t>
      </w:r>
      <w:proofErr w:type="spellStart"/>
      <w:r w:rsidRPr="007B4401">
        <w:rPr>
          <w:rFonts w:ascii="Arial" w:hAnsi="Arial" w:cs="Arial"/>
          <w:color w:val="000000" w:themeColor="text1"/>
          <w:sz w:val="19"/>
          <w:szCs w:val="19"/>
          <w:lang w:val="es-ES"/>
        </w:rPr>
        <w:t>ultractividad</w:t>
      </w:r>
      <w:proofErr w:type="spellEnd"/>
      <w:r w:rsidRPr="007B4401">
        <w:rPr>
          <w:rFonts w:ascii="Arial" w:hAnsi="Arial" w:cs="Arial"/>
          <w:color w:val="000000" w:themeColor="text1"/>
          <w:sz w:val="19"/>
          <w:szCs w:val="19"/>
          <w:lang w:val="es-ES"/>
        </w:rPr>
        <w:t xml:space="preserve"> de las normas, que son normas derogadas, que se siguen aplicando a los hechos ocurridos durante su vigencia.  Este fenómeno se presenta en relación con todas las normas jurídicas, cualquiera que sea su naturaleza: civil, comercial, penal, etc.</w:t>
      </w:r>
    </w:p>
    <w:p w14:paraId="6515D2D8" w14:textId="41A5C3D2" w:rsidR="009F4A13" w:rsidRPr="007B4401" w:rsidRDefault="009F4A13">
      <w:pPr>
        <w:pStyle w:val="Textonotapie"/>
        <w:ind w:firstLine="709"/>
        <w:jc w:val="both"/>
        <w:rPr>
          <w:rFonts w:ascii="Arial" w:hAnsi="Arial" w:cs="Arial"/>
          <w:color w:val="000000" w:themeColor="text1"/>
          <w:sz w:val="19"/>
          <w:szCs w:val="19"/>
          <w:lang w:val="es-CO"/>
        </w:rPr>
      </w:pPr>
      <w:proofErr w:type="gramStart"/>
      <w:r w:rsidRPr="007B4401">
        <w:rPr>
          <w:rFonts w:ascii="Arial" w:hAnsi="Arial" w:cs="Arial"/>
          <w:color w:val="000000" w:themeColor="text1"/>
          <w:sz w:val="19"/>
          <w:szCs w:val="19"/>
          <w:lang w:val="es-ES"/>
        </w:rPr>
        <w:t>»Y</w:t>
      </w:r>
      <w:proofErr w:type="gramEnd"/>
      <w:r w:rsidRPr="007B4401">
        <w:rPr>
          <w:rFonts w:ascii="Arial" w:hAnsi="Arial" w:cs="Arial"/>
          <w:color w:val="000000" w:themeColor="text1"/>
          <w:sz w:val="19"/>
          <w:szCs w:val="19"/>
          <w:lang w:val="es-ES"/>
        </w:rPr>
        <w:t xml:space="preserve">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w:t>
      </w:r>
      <w:proofErr w:type="spellStart"/>
      <w:r w:rsidRPr="007B4401">
        <w:rPr>
          <w:rFonts w:ascii="Arial" w:hAnsi="Arial" w:cs="Arial"/>
          <w:color w:val="000000" w:themeColor="text1"/>
          <w:sz w:val="19"/>
          <w:szCs w:val="19"/>
          <w:lang w:val="es-ES"/>
        </w:rPr>
        <w:t>ultraactividad</w:t>
      </w:r>
      <w:proofErr w:type="spellEnd"/>
      <w:r w:rsidRPr="007B4401">
        <w:rPr>
          <w:rFonts w:ascii="Arial" w:hAnsi="Arial" w:cs="Arial"/>
          <w:color w:val="000000" w:themeColor="text1"/>
          <w:sz w:val="19"/>
          <w:szCs w:val="19"/>
          <w:lang w:val="es-ES"/>
        </w:rPr>
        <w:t xml:space="preserve">, que es, ni más ni menos, que la </w:t>
      </w:r>
      <w:proofErr w:type="spellStart"/>
      <w:r w:rsidRPr="007B4401">
        <w:rPr>
          <w:rFonts w:ascii="Arial" w:hAnsi="Arial" w:cs="Arial"/>
          <w:color w:val="000000" w:themeColor="text1"/>
          <w:sz w:val="19"/>
          <w:szCs w:val="19"/>
          <w:lang w:val="es-ES"/>
        </w:rPr>
        <w:t>metaexistencia</w:t>
      </w:r>
      <w:proofErr w:type="spellEnd"/>
      <w:r w:rsidRPr="007B4401">
        <w:rPr>
          <w:rFonts w:ascii="Arial" w:hAnsi="Arial" w:cs="Arial"/>
          <w:color w:val="000000" w:themeColor="text1"/>
          <w:sz w:val="19"/>
          <w:szCs w:val="19"/>
          <w:lang w:val="es-ES"/>
        </w:rPr>
        <w:t xml:space="preserve"> jurídica de una norma derogada, por expresa voluntad del legislador.  La cláusula general de competencia del Congreso de la República así lo avala, en tanto lo irradia de facultades para crear, mantener, modificar o derogar la legislación que estime oportuna y </w:t>
      </w:r>
      <w:proofErr w:type="gramStart"/>
      <w:r w:rsidRPr="007B4401">
        <w:rPr>
          <w:rFonts w:ascii="Arial" w:hAnsi="Arial" w:cs="Arial"/>
          <w:color w:val="000000" w:themeColor="text1"/>
          <w:sz w:val="19"/>
          <w:szCs w:val="19"/>
          <w:lang w:val="es-ES"/>
        </w:rPr>
        <w:t>conveniente;  siempre</w:t>
      </w:r>
      <w:proofErr w:type="gramEnd"/>
      <w:r w:rsidRPr="007B4401">
        <w:rPr>
          <w:rFonts w:ascii="Arial" w:hAnsi="Arial" w:cs="Arial"/>
          <w:color w:val="000000" w:themeColor="text1"/>
          <w:sz w:val="19"/>
          <w:szCs w:val="19"/>
          <w:lang w:val="es-ES"/>
        </w:rPr>
        <w:t xml:space="preserve"> y cuando lo haga en consonancia con los parámetros constitucionales vistos, dentro de los cuales militan el debido proceso y el derecho a la igualdad». (Sentencia C-763 de 2002, M.P. Jaime Araujo Rentería).    </w:t>
      </w:r>
    </w:p>
  </w:footnote>
  <w:footnote w:id="23">
    <w:p w14:paraId="2FADDD6E" w14:textId="40B108F4" w:rsidR="009F4A13" w:rsidRPr="009F4A13" w:rsidRDefault="009F4A13">
      <w:pPr>
        <w:pStyle w:val="Textonotapie"/>
        <w:ind w:firstLine="709"/>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HUERTA OCHOA, Carla. Teoría del derecho. Cuestiones relevantes. México: Universidad Nacional Autónoma de México, 2008. pp. 110-111. </w:t>
      </w:r>
    </w:p>
  </w:footnote>
  <w:footnote w:id="24">
    <w:p w14:paraId="0C7AE0C6" w14:textId="77777777" w:rsidR="009F4A13" w:rsidRPr="007B4401" w:rsidRDefault="009F4A13" w:rsidP="000A1835">
      <w:pPr>
        <w:pStyle w:val="Textonotapie"/>
        <w:ind w:firstLine="709"/>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Consejo de Estado. Sección Tercera. Subsección A. Sentencia de 26 de noviembre de 2014. </w:t>
      </w:r>
      <w:proofErr w:type="spellStart"/>
      <w:r w:rsidRPr="007B4401">
        <w:rPr>
          <w:rFonts w:ascii="Arial" w:hAnsi="Arial" w:cs="Arial"/>
          <w:color w:val="000000" w:themeColor="text1"/>
          <w:sz w:val="19"/>
          <w:szCs w:val="19"/>
        </w:rPr>
        <w:t>Exp</w:t>
      </w:r>
      <w:proofErr w:type="spellEnd"/>
      <w:r w:rsidRPr="007B4401">
        <w:rPr>
          <w:rFonts w:ascii="Arial" w:hAnsi="Arial" w:cs="Arial"/>
          <w:color w:val="000000" w:themeColor="text1"/>
          <w:sz w:val="19"/>
          <w:szCs w:val="19"/>
        </w:rPr>
        <w:t xml:space="preserve">. 31.297. C.P. Carlos Alberto Zambrano Barrera.   </w:t>
      </w:r>
    </w:p>
  </w:footnote>
  <w:footnote w:id="25">
    <w:p w14:paraId="610DBA6C" w14:textId="77777777" w:rsidR="009F4A13" w:rsidRPr="007B4401" w:rsidRDefault="009F4A13" w:rsidP="000A1835">
      <w:pPr>
        <w:pStyle w:val="Textonotapie"/>
        <w:ind w:firstLine="709"/>
        <w:jc w:val="both"/>
        <w:rPr>
          <w:rFonts w:ascii="Arial" w:hAnsi="Arial" w:cs="Arial"/>
          <w:color w:val="000000" w:themeColor="text1"/>
          <w:sz w:val="19"/>
          <w:szCs w:val="19"/>
          <w:lang w:val="es-ES"/>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color w:val="000000" w:themeColor="text1"/>
          <w:sz w:val="19"/>
          <w:szCs w:val="19"/>
          <w:lang w:val="es-ES"/>
        </w:rPr>
        <w:t xml:space="preserve">La Corte Constitucional explica el fenómeno de la </w:t>
      </w:r>
      <w:proofErr w:type="spellStart"/>
      <w:r w:rsidRPr="007B4401">
        <w:rPr>
          <w:rFonts w:ascii="Arial" w:hAnsi="Arial" w:cs="Arial"/>
          <w:color w:val="000000" w:themeColor="text1"/>
          <w:sz w:val="19"/>
          <w:szCs w:val="19"/>
          <w:lang w:val="es-ES"/>
        </w:rPr>
        <w:t>ultractividad</w:t>
      </w:r>
      <w:proofErr w:type="spellEnd"/>
      <w:r w:rsidRPr="007B4401">
        <w:rPr>
          <w:rFonts w:ascii="Arial" w:hAnsi="Arial" w:cs="Arial"/>
          <w:color w:val="000000" w:themeColor="text1"/>
          <w:sz w:val="19"/>
          <w:szCs w:val="19"/>
          <w:lang w:val="es-ES"/>
        </w:rPr>
        <w:t xml:space="preserve"> de la ley en los siguientes términos: «La </w:t>
      </w:r>
      <w:proofErr w:type="spellStart"/>
      <w:r w:rsidRPr="007B4401">
        <w:rPr>
          <w:rFonts w:ascii="Arial" w:hAnsi="Arial" w:cs="Arial"/>
          <w:color w:val="000000" w:themeColor="text1"/>
          <w:sz w:val="19"/>
          <w:szCs w:val="19"/>
          <w:lang w:val="es-ES"/>
        </w:rPr>
        <w:t>ultractividad</w:t>
      </w:r>
      <w:proofErr w:type="spellEnd"/>
      <w:r w:rsidRPr="007B4401">
        <w:rPr>
          <w:rFonts w:ascii="Arial" w:hAnsi="Arial" w:cs="Arial"/>
          <w:color w:val="000000" w:themeColor="text1"/>
          <w:sz w:val="19"/>
          <w:szCs w:val="19"/>
          <w:lang w:val="es-ES"/>
        </w:rPr>
        <w:t xml:space="preserve"> de la ley es un problema de aplicación de la ley en el tiempo y </w:t>
      </w:r>
      <w:proofErr w:type="spellStart"/>
      <w:r w:rsidRPr="007B4401">
        <w:rPr>
          <w:rFonts w:ascii="Arial" w:hAnsi="Arial" w:cs="Arial"/>
          <w:color w:val="000000" w:themeColor="text1"/>
          <w:sz w:val="19"/>
          <w:szCs w:val="19"/>
          <w:lang w:val="es-ES"/>
        </w:rPr>
        <w:t>esta</w:t>
      </w:r>
      <w:proofErr w:type="spellEnd"/>
      <w:r w:rsidRPr="007B4401">
        <w:rPr>
          <w:rFonts w:ascii="Arial" w:hAnsi="Arial" w:cs="Arial"/>
          <w:color w:val="000000" w:themeColor="text1"/>
          <w:sz w:val="19"/>
          <w:szCs w:val="19"/>
          <w:lang w:val="es-ES"/>
        </w:rPr>
        <w:t xml:space="preserve"> íntimamente ligada al principio de que todo hecho, acto o negocio jurídico se rige por la ley vigente al momento de su ocurrencia, realización o celebración.  Dentro de la Teoría General del Derecho, es clara la aplicación del principio "Tempus </w:t>
      </w:r>
      <w:proofErr w:type="spellStart"/>
      <w:r w:rsidRPr="007B4401">
        <w:rPr>
          <w:rFonts w:ascii="Arial" w:hAnsi="Arial" w:cs="Arial"/>
          <w:color w:val="000000" w:themeColor="text1"/>
          <w:sz w:val="19"/>
          <w:szCs w:val="19"/>
          <w:lang w:val="es-ES"/>
        </w:rPr>
        <w:t>regit</w:t>
      </w:r>
      <w:proofErr w:type="spellEnd"/>
      <w:r w:rsidRPr="007B4401">
        <w:rPr>
          <w:rFonts w:ascii="Arial" w:hAnsi="Arial" w:cs="Arial"/>
          <w:color w:val="000000" w:themeColor="text1"/>
          <w:sz w:val="19"/>
          <w:szCs w:val="19"/>
          <w:lang w:val="es-ES"/>
        </w:rPr>
        <w:t xml:space="preserve"> </w:t>
      </w:r>
      <w:proofErr w:type="spellStart"/>
      <w:r w:rsidRPr="007B4401">
        <w:rPr>
          <w:rFonts w:ascii="Arial" w:hAnsi="Arial" w:cs="Arial"/>
          <w:color w:val="000000" w:themeColor="text1"/>
          <w:sz w:val="19"/>
          <w:szCs w:val="19"/>
          <w:lang w:val="es-ES"/>
        </w:rPr>
        <w:t>actus</w:t>
      </w:r>
      <w:proofErr w:type="spellEnd"/>
      <w:r w:rsidRPr="007B4401">
        <w:rPr>
          <w:rFonts w:ascii="Arial" w:hAnsi="Arial" w:cs="Arial"/>
          <w:color w:val="000000" w:themeColor="text1"/>
          <w:sz w:val="19"/>
          <w:szCs w:val="19"/>
          <w:lang w:val="es-ES"/>
        </w:rPr>
        <w:t xml:space="preserve">", que se traduce en que la norma vigente al momento de sucederse los hechos por ella prevista, es la que se aplica a esos hechos, aunque la norma haya sido derogada después. Esto es lo que explica la Teoría del Derecho, la denominada </w:t>
      </w:r>
      <w:proofErr w:type="spellStart"/>
      <w:r w:rsidRPr="007B4401">
        <w:rPr>
          <w:rFonts w:ascii="Arial" w:hAnsi="Arial" w:cs="Arial"/>
          <w:color w:val="000000" w:themeColor="text1"/>
          <w:sz w:val="19"/>
          <w:szCs w:val="19"/>
          <w:lang w:val="es-ES"/>
        </w:rPr>
        <w:t>ultractividad</w:t>
      </w:r>
      <w:proofErr w:type="spellEnd"/>
      <w:r w:rsidRPr="007B4401">
        <w:rPr>
          <w:rFonts w:ascii="Arial" w:hAnsi="Arial" w:cs="Arial"/>
          <w:color w:val="000000" w:themeColor="text1"/>
          <w:sz w:val="19"/>
          <w:szCs w:val="19"/>
          <w:lang w:val="es-ES"/>
        </w:rPr>
        <w:t xml:space="preserve"> de las normas, que son normas derogadas, que se siguen aplicando a los hechos ocurridos durante su vigencia. Este fenómeno se presenta en relación con todas las normas jurídicas, cualquiera que sea su naturaleza: civil, comercial, penal, etc. </w:t>
      </w:r>
    </w:p>
    <w:p w14:paraId="66B5A30D" w14:textId="77777777" w:rsidR="009F4A13" w:rsidRPr="007B4401" w:rsidRDefault="009F4A13" w:rsidP="000A1835">
      <w:pPr>
        <w:pStyle w:val="Textonotapie"/>
        <w:ind w:firstLine="709"/>
        <w:jc w:val="both"/>
        <w:rPr>
          <w:rFonts w:ascii="Arial" w:hAnsi="Arial" w:cs="Arial"/>
          <w:color w:val="000000" w:themeColor="text1"/>
          <w:sz w:val="19"/>
          <w:szCs w:val="19"/>
          <w:lang w:val="es-CO"/>
        </w:rPr>
      </w:pPr>
      <w:proofErr w:type="gramStart"/>
      <w:r w:rsidRPr="007B4401">
        <w:rPr>
          <w:rFonts w:ascii="Arial" w:hAnsi="Arial" w:cs="Arial"/>
          <w:color w:val="000000" w:themeColor="text1"/>
          <w:sz w:val="19"/>
          <w:szCs w:val="19"/>
          <w:lang w:val="es-ES"/>
        </w:rPr>
        <w:t>»Y</w:t>
      </w:r>
      <w:proofErr w:type="gramEnd"/>
      <w:r w:rsidRPr="007B4401">
        <w:rPr>
          <w:rFonts w:ascii="Arial" w:hAnsi="Arial" w:cs="Arial"/>
          <w:color w:val="000000" w:themeColor="text1"/>
          <w:sz w:val="19"/>
          <w:szCs w:val="19"/>
          <w:lang w:val="es-ES"/>
        </w:rPr>
        <w:t xml:space="preserve">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w:t>
      </w:r>
      <w:proofErr w:type="spellStart"/>
      <w:r w:rsidRPr="007B4401">
        <w:rPr>
          <w:rFonts w:ascii="Arial" w:hAnsi="Arial" w:cs="Arial"/>
          <w:color w:val="000000" w:themeColor="text1"/>
          <w:sz w:val="19"/>
          <w:szCs w:val="19"/>
          <w:lang w:val="es-ES"/>
        </w:rPr>
        <w:t>ultractividad</w:t>
      </w:r>
      <w:proofErr w:type="spellEnd"/>
      <w:r w:rsidRPr="007B4401">
        <w:rPr>
          <w:rFonts w:ascii="Arial" w:hAnsi="Arial" w:cs="Arial"/>
          <w:color w:val="000000" w:themeColor="text1"/>
          <w:sz w:val="19"/>
          <w:szCs w:val="19"/>
          <w:lang w:val="es-ES"/>
        </w:rPr>
        <w:t xml:space="preserve">, que es, ni más ni menos, que la </w:t>
      </w:r>
      <w:proofErr w:type="spellStart"/>
      <w:r w:rsidRPr="007B4401">
        <w:rPr>
          <w:rFonts w:ascii="Arial" w:hAnsi="Arial" w:cs="Arial"/>
          <w:color w:val="000000" w:themeColor="text1"/>
          <w:sz w:val="19"/>
          <w:szCs w:val="19"/>
          <w:lang w:val="es-ES"/>
        </w:rPr>
        <w:t>metaexistencia</w:t>
      </w:r>
      <w:proofErr w:type="spellEnd"/>
      <w:r w:rsidRPr="007B4401">
        <w:rPr>
          <w:rFonts w:ascii="Arial" w:hAnsi="Arial" w:cs="Arial"/>
          <w:color w:val="000000" w:themeColor="text1"/>
          <w:sz w:val="19"/>
          <w:szCs w:val="19"/>
          <w:lang w:val="es-ES"/>
        </w:rPr>
        <w:t xml:space="preserve"> jurídica de una norma derogada, por expresa voluntad del legislador.  La cláusula general de competencia del Congreso de la República así lo avala, en tanto lo irradia de facultades para crear, mantener, modificar o derogar la legislación que estime oportuna y conveniente; siempre y cuando lo haga en consonancia con los parámetros constitucionales vistos, dentro de los cuales militan el debido proceso y el derecho a la igualdad» (Sentencia C-763 de 2002, M.P. Jaime Araujo Rentería).    </w:t>
      </w:r>
    </w:p>
  </w:footnote>
  <w:footnote w:id="26">
    <w:p w14:paraId="44C2543A" w14:textId="77777777" w:rsidR="009F4A13" w:rsidRPr="009F4A13" w:rsidRDefault="009F4A13" w:rsidP="00F35C14">
      <w:pPr>
        <w:pStyle w:val="Textonotapie"/>
        <w:ind w:firstLine="709"/>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SANABRÍA SANTOS, Henry. Derecho Procesal Civil General. Universidad Externado de Colombia. Primera edición. Junio de 2021. Pág. 439</w:t>
      </w:r>
    </w:p>
    <w:p w14:paraId="6E26070A" w14:textId="77777777" w:rsidR="009F4A13" w:rsidRPr="009F4A13" w:rsidRDefault="009F4A13" w:rsidP="00F35C14">
      <w:pPr>
        <w:pStyle w:val="Textonotapie"/>
        <w:ind w:firstLine="709"/>
        <w:jc w:val="both"/>
        <w:rPr>
          <w:rFonts w:ascii="Arial" w:hAnsi="Arial" w:cs="Arial"/>
          <w:color w:val="000000" w:themeColor="text1"/>
          <w:sz w:val="19"/>
          <w:szCs w:val="19"/>
          <w:lang w:val="es-CO"/>
        </w:rPr>
      </w:pPr>
    </w:p>
  </w:footnote>
  <w:footnote w:id="27">
    <w:p w14:paraId="43E8FFE5" w14:textId="77777777" w:rsidR="009F4A13" w:rsidRPr="009F4A13" w:rsidRDefault="009F4A13" w:rsidP="00F35C14">
      <w:pPr>
        <w:pStyle w:val="Textonotapie"/>
        <w:ind w:firstLine="709"/>
        <w:jc w:val="both"/>
        <w:rPr>
          <w:rFonts w:ascii="Arial" w:hAnsi="Arial" w:cs="Arial"/>
          <w:color w:val="000000" w:themeColor="text1"/>
          <w:sz w:val="19"/>
          <w:szCs w:val="19"/>
          <w:lang w:val="es-CO"/>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w:t>
      </w:r>
      <w:r w:rsidRPr="007B4401">
        <w:rPr>
          <w:rFonts w:ascii="Arial" w:hAnsi="Arial" w:cs="Arial"/>
          <w:color w:val="000000" w:themeColor="text1"/>
          <w:sz w:val="19"/>
          <w:szCs w:val="19"/>
          <w:lang w:val="es-CO"/>
        </w:rPr>
        <w:t xml:space="preserve">En efecto, de conformidad con el principio </w:t>
      </w:r>
      <w:r w:rsidRPr="007B4401">
        <w:rPr>
          <w:rFonts w:ascii="Arial" w:hAnsi="Arial" w:cs="Arial"/>
          <w:i/>
          <w:iCs/>
          <w:color w:val="000000" w:themeColor="text1"/>
          <w:sz w:val="19"/>
          <w:szCs w:val="19"/>
          <w:lang w:val="es-CO"/>
        </w:rPr>
        <w:t xml:space="preserve">pro </w:t>
      </w:r>
      <w:proofErr w:type="spellStart"/>
      <w:r w:rsidRPr="007B4401">
        <w:rPr>
          <w:rFonts w:ascii="Arial" w:hAnsi="Arial" w:cs="Arial"/>
          <w:i/>
          <w:iCs/>
          <w:color w:val="000000" w:themeColor="text1"/>
          <w:sz w:val="19"/>
          <w:szCs w:val="19"/>
          <w:lang w:val="es-CO"/>
        </w:rPr>
        <w:t>libertate</w:t>
      </w:r>
      <w:proofErr w:type="spellEnd"/>
      <w:r w:rsidRPr="007B4401">
        <w:rPr>
          <w:rFonts w:ascii="Arial" w:hAnsi="Arial" w:cs="Arial"/>
          <w:color w:val="000000" w:themeColor="text1"/>
          <w:sz w:val="19"/>
          <w:szCs w:val="19"/>
          <w:lang w:val="es-CO"/>
        </w:rPr>
        <w:t xml:space="preserve"> </w:t>
      </w:r>
      <w:r w:rsidRPr="009F4A13">
        <w:rPr>
          <w:rFonts w:ascii="Arial" w:eastAsia="Calibri" w:hAnsi="Arial" w:cs="Arial"/>
          <w:color w:val="000000" w:themeColor="text1"/>
          <w:sz w:val="19"/>
          <w:szCs w:val="19"/>
          <w:lang w:val="es-ES_tradnl"/>
        </w:rPr>
        <w:t>«</w:t>
      </w:r>
      <w:r w:rsidRPr="007B4401">
        <w:rPr>
          <w:rFonts w:ascii="Arial" w:hAnsi="Arial" w:cs="Arial"/>
          <w:color w:val="000000" w:themeColor="text1"/>
          <w:sz w:val="19"/>
          <w:szCs w:val="19"/>
          <w:lang w:val="es-CO"/>
        </w:rPr>
        <w:t>entre dos interpretaciones, una de las cuales reduce las posibilidades del derecho mientras que la otra contribuye a potenciarlo, ha de preferirse la que permite el goce y el ejercicio cabal del derecho sobre aquella que lo anula o lo restringe</w:t>
      </w:r>
      <w:r w:rsidRPr="009F4A13">
        <w:rPr>
          <w:rFonts w:ascii="Arial" w:eastAsia="Calibri" w:hAnsi="Arial" w:cs="Arial"/>
          <w:color w:val="000000" w:themeColor="text1"/>
          <w:sz w:val="19"/>
          <w:szCs w:val="19"/>
          <w:lang w:val="es-ES_tradnl"/>
        </w:rPr>
        <w:t>»</w:t>
      </w:r>
      <w:r w:rsidRPr="007B4401">
        <w:rPr>
          <w:rFonts w:ascii="Arial" w:hAnsi="Arial" w:cs="Arial"/>
          <w:color w:val="000000" w:themeColor="text1"/>
          <w:sz w:val="19"/>
          <w:szCs w:val="19"/>
          <w:lang w:val="es-CO"/>
        </w:rPr>
        <w:t>. Corte Constitucional. C-445 de 1998. MP. Fabio Morón Díaz.</w:t>
      </w:r>
    </w:p>
  </w:footnote>
  <w:footnote w:id="28">
    <w:p w14:paraId="7A5AEF44" w14:textId="77777777" w:rsidR="009F4A13" w:rsidRPr="009F4A13" w:rsidRDefault="009F4A13" w:rsidP="00F35C14">
      <w:pPr>
        <w:pStyle w:val="Textonotapie"/>
        <w:ind w:firstLine="709"/>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D9A0628" w14:textId="77777777" w:rsidR="009F4A13" w:rsidRPr="009F4A13" w:rsidRDefault="009F4A13" w:rsidP="00A36CB9">
      <w:pPr>
        <w:pStyle w:val="Textonotapie"/>
        <w:ind w:firstLine="709"/>
        <w:jc w:val="both"/>
        <w:rPr>
          <w:rFonts w:ascii="Arial" w:hAnsi="Arial" w:cs="Arial"/>
          <w:color w:val="000000" w:themeColor="text1"/>
          <w:sz w:val="19"/>
          <w:szCs w:val="19"/>
          <w:lang w:val="es-CO"/>
        </w:rPr>
      </w:pPr>
    </w:p>
  </w:footnote>
  <w:footnote w:id="29">
    <w:p w14:paraId="68EAE925" w14:textId="77777777" w:rsidR="009F4A13" w:rsidRPr="009F4A13" w:rsidRDefault="009F4A13" w:rsidP="00A36CB9">
      <w:pPr>
        <w:pStyle w:val="Textonotapie"/>
        <w:ind w:firstLine="709"/>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w:t>
      </w:r>
      <w:r w:rsidRPr="009F4A13">
        <w:rPr>
          <w:rFonts w:ascii="Arial" w:hAnsi="Arial" w:cs="Arial"/>
          <w:color w:val="000000" w:themeColor="text1"/>
          <w:sz w:val="19"/>
          <w:szCs w:val="19"/>
          <w:lang w:val="es-CO"/>
        </w:rPr>
        <w:t xml:space="preserve">Ley 1882 de 2018: «Artículo 4. </w:t>
      </w:r>
      <w:r w:rsidRPr="009F4A13">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6FF2EA0" w14:textId="77777777" w:rsidR="009F4A13" w:rsidRPr="009F4A13" w:rsidRDefault="009F4A13">
      <w:pPr>
        <w:pStyle w:val="Textonotapie"/>
        <w:ind w:firstLine="709"/>
        <w:jc w:val="both"/>
        <w:rPr>
          <w:rFonts w:ascii="Arial" w:hAnsi="Arial" w:cs="Arial"/>
          <w:color w:val="000000" w:themeColor="text1"/>
          <w:sz w:val="19"/>
          <w:szCs w:val="19"/>
          <w:lang w:val="es-CO"/>
        </w:rPr>
      </w:pPr>
      <w:proofErr w:type="gramStart"/>
      <w:r w:rsidRPr="009F4A13">
        <w:rPr>
          <w:rFonts w:ascii="Arial" w:hAnsi="Arial" w:cs="Arial"/>
          <w:color w:val="000000" w:themeColor="text1"/>
          <w:sz w:val="19"/>
          <w:szCs w:val="19"/>
          <w:lang w:val="es-CO"/>
        </w:rPr>
        <w:t>»La</w:t>
      </w:r>
      <w:proofErr w:type="gramEnd"/>
      <w:r w:rsidRPr="009F4A13">
        <w:rPr>
          <w:rFonts w:ascii="Arial" w:hAnsi="Arial" w:cs="Arial"/>
          <w:color w:val="000000" w:themeColor="text1"/>
          <w:sz w:val="19"/>
          <w:szCs w:val="19"/>
          <w:lang w:val="es-CO"/>
        </w:rPr>
        <w:t xml:space="preserve"> facultad de adoptar documentos tipo la tendrá el Gobierno nacional, cuando lo considere necesario, en relación con otros contratos o procesos de selección.</w:t>
      </w:r>
    </w:p>
    <w:p w14:paraId="56AC5F1B" w14:textId="77777777" w:rsidR="009F4A13" w:rsidRPr="009F4A13" w:rsidRDefault="009F4A13">
      <w:pPr>
        <w:pStyle w:val="Textonotapie"/>
        <w:ind w:firstLine="709"/>
        <w:jc w:val="both"/>
        <w:rPr>
          <w:rFonts w:ascii="Arial" w:hAnsi="Arial" w:cs="Arial"/>
          <w:color w:val="000000" w:themeColor="text1"/>
          <w:sz w:val="19"/>
          <w:szCs w:val="19"/>
          <w:lang w:val="es-CO"/>
        </w:rPr>
      </w:pPr>
      <w:proofErr w:type="gramStart"/>
      <w:r w:rsidRPr="009F4A13">
        <w:rPr>
          <w:rFonts w:ascii="Arial" w:hAnsi="Arial" w:cs="Arial"/>
          <w:color w:val="000000" w:themeColor="text1"/>
          <w:sz w:val="19"/>
          <w:szCs w:val="19"/>
          <w:lang w:val="es-CO"/>
        </w:rPr>
        <w:t>»Los</w:t>
      </w:r>
      <w:proofErr w:type="gramEnd"/>
      <w:r w:rsidRPr="009F4A13">
        <w:rPr>
          <w:rFonts w:ascii="Arial" w:hAnsi="Arial" w:cs="Arial"/>
          <w:color w:val="000000" w:themeColor="text1"/>
          <w:sz w:val="19"/>
          <w:szCs w:val="19"/>
          <w:lang w:val="es-CO"/>
        </w:rPr>
        <w:t xml:space="preserve"> pliegos tipo se adoptarán por categorías de acuerdo con la cuantía de la contratación, según la reglamentación que expida el Gobierno nacional».</w:t>
      </w:r>
    </w:p>
    <w:p w14:paraId="2DC96461" w14:textId="77777777" w:rsidR="009F4A13" w:rsidRPr="009F4A13" w:rsidRDefault="009F4A13">
      <w:pPr>
        <w:pStyle w:val="Textonotapie"/>
        <w:ind w:firstLine="709"/>
        <w:jc w:val="both"/>
        <w:rPr>
          <w:rFonts w:ascii="Arial" w:hAnsi="Arial" w:cs="Arial"/>
          <w:color w:val="000000" w:themeColor="text1"/>
          <w:sz w:val="19"/>
          <w:szCs w:val="19"/>
          <w:lang w:val="es-CO"/>
        </w:rPr>
      </w:pPr>
    </w:p>
  </w:footnote>
  <w:footnote w:id="30">
    <w:p w14:paraId="221CA15A" w14:textId="77777777" w:rsidR="009F4A13" w:rsidRPr="009F4A13" w:rsidRDefault="009F4A13">
      <w:pPr>
        <w:pStyle w:val="Textonotapie"/>
        <w:ind w:firstLine="709"/>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F66B171" w14:textId="77777777" w:rsidR="009F4A13" w:rsidRPr="009F4A13" w:rsidRDefault="009F4A13">
      <w:pPr>
        <w:pStyle w:val="Textonotapie"/>
        <w:ind w:firstLine="709"/>
        <w:jc w:val="both"/>
        <w:rPr>
          <w:rFonts w:ascii="Arial" w:hAnsi="Arial" w:cs="Arial"/>
          <w:color w:val="000000" w:themeColor="text1"/>
          <w:sz w:val="19"/>
          <w:szCs w:val="19"/>
        </w:rPr>
      </w:pPr>
    </w:p>
  </w:footnote>
  <w:footnote w:id="31">
    <w:p w14:paraId="61B21B48" w14:textId="77777777" w:rsidR="009F4A13" w:rsidRPr="009F4A13" w:rsidRDefault="009F4A13">
      <w:pPr>
        <w:pStyle w:val="Textonotapie"/>
        <w:ind w:firstLine="708"/>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«ARTÍCULO 1o. Modifíquese el artículo 4o de la Ley 1882 de 2018, el cual quedará así:</w:t>
      </w:r>
    </w:p>
    <w:p w14:paraId="08CD9431" w14:textId="77777777" w:rsidR="009F4A13" w:rsidRPr="009F4A13" w:rsidRDefault="009F4A13">
      <w:pPr>
        <w:pStyle w:val="Textonotapie"/>
        <w:ind w:firstLine="708"/>
        <w:jc w:val="both"/>
        <w:rPr>
          <w:rFonts w:ascii="Arial" w:hAnsi="Arial" w:cs="Arial"/>
          <w:color w:val="000000" w:themeColor="text1"/>
          <w:sz w:val="19"/>
          <w:szCs w:val="19"/>
        </w:rPr>
      </w:pPr>
      <w:proofErr w:type="gramStart"/>
      <w:r w:rsidRPr="009F4A13">
        <w:rPr>
          <w:rFonts w:ascii="Arial" w:hAnsi="Arial" w:cs="Arial"/>
          <w:color w:val="000000" w:themeColor="text1"/>
          <w:sz w:val="19"/>
          <w:szCs w:val="19"/>
        </w:rPr>
        <w:t>»Artículo</w:t>
      </w:r>
      <w:proofErr w:type="gramEnd"/>
      <w:r w:rsidRPr="009F4A13">
        <w:rPr>
          <w:rFonts w:ascii="Arial" w:hAnsi="Arial" w:cs="Arial"/>
          <w:color w:val="000000" w:themeColor="text1"/>
          <w:sz w:val="19"/>
          <w:szCs w:val="19"/>
        </w:rPr>
        <w:t xml:space="preserve"> 4o. Adiciónese el siguiente parágrafo al artículo 2o de la Ley 1150 de 2007.</w:t>
      </w:r>
    </w:p>
    <w:p w14:paraId="51BAD904" w14:textId="77777777" w:rsidR="009F4A13" w:rsidRPr="009F4A13" w:rsidRDefault="009F4A13">
      <w:pPr>
        <w:pStyle w:val="Textonotapie"/>
        <w:ind w:firstLine="708"/>
        <w:jc w:val="both"/>
        <w:rPr>
          <w:rFonts w:ascii="Arial" w:hAnsi="Arial" w:cs="Arial"/>
          <w:color w:val="000000" w:themeColor="text1"/>
          <w:sz w:val="19"/>
          <w:szCs w:val="19"/>
        </w:rPr>
      </w:pPr>
      <w:proofErr w:type="gramStart"/>
      <w:r w:rsidRPr="009F4A13">
        <w:rPr>
          <w:rFonts w:ascii="Arial" w:hAnsi="Arial" w:cs="Arial"/>
          <w:color w:val="000000" w:themeColor="text1"/>
          <w:sz w:val="19"/>
          <w:szCs w:val="19"/>
        </w:rPr>
        <w:t>»PARÁGRAFO</w:t>
      </w:r>
      <w:proofErr w:type="gramEnd"/>
      <w:r w:rsidRPr="009F4A13">
        <w:rPr>
          <w:rFonts w:ascii="Arial" w:hAnsi="Arial" w:cs="Arial"/>
          <w:color w:val="000000" w:themeColor="text1"/>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82457A8" w14:textId="77777777" w:rsidR="009F4A13" w:rsidRPr="009F4A13" w:rsidRDefault="009F4A13">
      <w:pPr>
        <w:pStyle w:val="Textonotapie"/>
        <w:ind w:firstLine="708"/>
        <w:jc w:val="both"/>
        <w:rPr>
          <w:rFonts w:ascii="Arial" w:hAnsi="Arial" w:cs="Arial"/>
          <w:color w:val="000000" w:themeColor="text1"/>
          <w:sz w:val="19"/>
          <w:szCs w:val="19"/>
        </w:rPr>
      </w:pPr>
      <w:proofErr w:type="gramStart"/>
      <w:r w:rsidRPr="009F4A13">
        <w:rPr>
          <w:rFonts w:ascii="Arial" w:hAnsi="Arial" w:cs="Arial"/>
          <w:color w:val="000000" w:themeColor="text1"/>
          <w:sz w:val="19"/>
          <w:szCs w:val="19"/>
        </w:rPr>
        <w:t>»Dentro</w:t>
      </w:r>
      <w:proofErr w:type="gramEnd"/>
      <w:r w:rsidRPr="009F4A13">
        <w:rPr>
          <w:rFonts w:ascii="Arial" w:hAnsi="Arial" w:cs="Arial"/>
          <w:color w:val="000000" w:themeColor="text1"/>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5437C67" w14:textId="77777777" w:rsidR="009F4A13" w:rsidRPr="009F4A13" w:rsidRDefault="009F4A13">
      <w:pPr>
        <w:pStyle w:val="Textonotapie"/>
        <w:ind w:firstLine="708"/>
        <w:jc w:val="both"/>
        <w:rPr>
          <w:rFonts w:ascii="Arial" w:hAnsi="Arial" w:cs="Arial"/>
          <w:color w:val="000000" w:themeColor="text1"/>
          <w:sz w:val="19"/>
          <w:szCs w:val="19"/>
        </w:rPr>
      </w:pPr>
      <w:proofErr w:type="gramStart"/>
      <w:r w:rsidRPr="009F4A13">
        <w:rPr>
          <w:rFonts w:ascii="Arial" w:hAnsi="Arial" w:cs="Arial"/>
          <w:color w:val="000000" w:themeColor="text1"/>
          <w:sz w:val="19"/>
          <w:szCs w:val="19"/>
        </w:rPr>
        <w:t>»Con</w:t>
      </w:r>
      <w:proofErr w:type="gramEnd"/>
      <w:r w:rsidRPr="009F4A13">
        <w:rPr>
          <w:rFonts w:ascii="Arial" w:hAnsi="Arial" w:cs="Arial"/>
          <w:color w:val="000000" w:themeColor="text1"/>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9087A59" w14:textId="77777777" w:rsidR="009F4A13" w:rsidRPr="009F4A13" w:rsidRDefault="009F4A13">
      <w:pPr>
        <w:pStyle w:val="Textonotapie"/>
        <w:ind w:firstLine="708"/>
        <w:jc w:val="both"/>
        <w:rPr>
          <w:rFonts w:ascii="Arial" w:hAnsi="Arial" w:cs="Arial"/>
          <w:color w:val="000000" w:themeColor="text1"/>
          <w:sz w:val="19"/>
          <w:szCs w:val="19"/>
        </w:rPr>
      </w:pPr>
      <w:r w:rsidRPr="009F4A13">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154A76C9" w14:textId="77777777" w:rsidR="009F4A13" w:rsidRPr="009F4A13" w:rsidRDefault="009F4A13">
      <w:pPr>
        <w:pStyle w:val="Textonotapie"/>
        <w:ind w:firstLine="708"/>
        <w:jc w:val="both"/>
        <w:rPr>
          <w:rFonts w:ascii="Arial" w:hAnsi="Arial" w:cs="Arial"/>
          <w:color w:val="000000" w:themeColor="text1"/>
          <w:sz w:val="19"/>
          <w:szCs w:val="19"/>
          <w:lang w:val="es-CO"/>
        </w:rPr>
      </w:pPr>
      <w:proofErr w:type="gramStart"/>
      <w:r w:rsidRPr="009F4A13">
        <w:rPr>
          <w:rFonts w:ascii="Arial" w:hAnsi="Arial" w:cs="Arial"/>
          <w:color w:val="000000" w:themeColor="text1"/>
          <w:sz w:val="19"/>
          <w:szCs w:val="19"/>
        </w:rPr>
        <w:t>»En</w:t>
      </w:r>
      <w:proofErr w:type="gramEnd"/>
      <w:r w:rsidRPr="009F4A13">
        <w:rPr>
          <w:rFonts w:ascii="Arial" w:hAnsi="Arial" w:cs="Arial"/>
          <w:color w:val="000000" w:themeColor="text1"/>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2">
    <w:p w14:paraId="2694DE7D" w14:textId="77777777" w:rsidR="009F4A13" w:rsidRPr="007B4401" w:rsidRDefault="009F4A13">
      <w:pPr>
        <w:pStyle w:val="Textonotapie"/>
        <w:ind w:firstLine="708"/>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Agencia Nacional de Contratación Pública – Colombia Compra Eficiente. Concepto C-531 del 21 de agosto de 2020. Radicado de entrada No. 4202013000006510. Radicado de salida No. 2202013000007770.</w:t>
      </w:r>
    </w:p>
  </w:footnote>
  <w:footnote w:id="33">
    <w:p w14:paraId="12E94A04" w14:textId="11F21551" w:rsidR="009F4A13" w:rsidRPr="009F4A13" w:rsidRDefault="009F4A13" w:rsidP="009F4A13">
      <w:pPr>
        <w:pStyle w:val="Textonotapie"/>
        <w:ind w:firstLine="708"/>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En relación con este aspecto, en las consideraciones de la Resolución 304 del 13 de octubre de 2021 se señaló lo siguiente, como fundamento de la modificación: «Que se requiere aclarar la regla prevista en el literal J) del numeral «3.5.3 Consideraciones para la validez de la</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experiencia requerida» en los Documentos Tipo de obra de infraestructura de transporte adelantados bajo la</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modalidad de licitación pública y de selección abreviada de menor cuantía –regla que se replica en el literal I) del</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numeral «3.5.3 Consideraciones para la validez de la experiencia requerida» para los Documentos Tipo de obra</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pública para proyectos de agua potable y saneamiento básico adelantados bajo la modalidad de licitación pública y</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los de la modalidad llave en mano– con el fin de precisar que en los contratos aportados como experiencia que</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contengan actividades ejecutadas ajenas a la obra de infraestructura de transporte, la Entidad Estatal solo tendrá en</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cuenta los valores y magnitudes ejecutadas en este tipo de infraestructura. Para estos efectos, el proponente deberá</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acreditar los valores y magnitudes dentro del respectivo contrato, empleando alguno de los documentos válidos</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 xml:space="preserve">establecidos en el numeral 3.5.6 del pliego de condiciones. Además, se precisa </w:t>
      </w:r>
      <w:proofErr w:type="gramStart"/>
      <w:r w:rsidRPr="009F4A13">
        <w:rPr>
          <w:rFonts w:ascii="Arial" w:hAnsi="Arial" w:cs="Arial"/>
          <w:color w:val="000000" w:themeColor="text1"/>
          <w:sz w:val="19"/>
          <w:szCs w:val="19"/>
        </w:rPr>
        <w:t>que</w:t>
      </w:r>
      <w:proofErr w:type="gramEnd"/>
      <w:r w:rsidRPr="009F4A13">
        <w:rPr>
          <w:rFonts w:ascii="Arial" w:hAnsi="Arial" w:cs="Arial"/>
          <w:color w:val="000000" w:themeColor="text1"/>
          <w:sz w:val="19"/>
          <w:szCs w:val="19"/>
        </w:rPr>
        <w:t xml:space="preserve"> de no lograrse la discriminación</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de los valores y magnitudes ejecutadas en el marco del respectivo contrato, la Entidad Estatal no lo tendrá en cuenta</w:t>
      </w:r>
      <w:r w:rsidRPr="007B4401">
        <w:rPr>
          <w:rFonts w:ascii="Arial" w:hAnsi="Arial" w:cs="Arial"/>
          <w:color w:val="000000" w:themeColor="text1"/>
          <w:sz w:val="19"/>
          <w:szCs w:val="19"/>
        </w:rPr>
        <w:t xml:space="preserve"> </w:t>
      </w:r>
      <w:r w:rsidRPr="009F4A13">
        <w:rPr>
          <w:rFonts w:ascii="Arial" w:hAnsi="Arial" w:cs="Arial"/>
          <w:color w:val="000000" w:themeColor="text1"/>
          <w:sz w:val="19"/>
          <w:szCs w:val="19"/>
        </w:rPr>
        <w:t>para la evaluación</w:t>
      </w:r>
      <w:r w:rsidRPr="007B4401">
        <w:rPr>
          <w:rFonts w:ascii="Arial" w:hAnsi="Arial" w:cs="Arial"/>
          <w:color w:val="000000" w:themeColor="text1"/>
          <w:sz w:val="19"/>
          <w:szCs w:val="19"/>
        </w:rPr>
        <w:t>»</w:t>
      </w:r>
      <w:r w:rsidRPr="009F4A13">
        <w:rPr>
          <w:rFonts w:ascii="Arial" w:hAnsi="Arial" w:cs="Arial"/>
          <w:color w:val="000000" w:themeColor="text1"/>
          <w:sz w:val="19"/>
          <w:szCs w:val="19"/>
        </w:rPr>
        <w:t>.</w:t>
      </w:r>
    </w:p>
  </w:footnote>
  <w:footnote w:id="34">
    <w:p w14:paraId="08C75739" w14:textId="20092E37" w:rsidR="009F4A13" w:rsidRPr="007B4401" w:rsidRDefault="009F4A13" w:rsidP="0032210B">
      <w:pPr>
        <w:pStyle w:val="Textonotapie"/>
        <w:ind w:firstLine="708"/>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hAnsi="Arial" w:cs="Arial"/>
          <w:bCs/>
          <w:color w:val="000000" w:themeColor="text1"/>
          <w:sz w:val="19"/>
          <w:szCs w:val="19"/>
        </w:rPr>
        <w:t>«</w:t>
      </w:r>
      <w:r w:rsidRPr="007B4401">
        <w:rPr>
          <w:rFonts w:ascii="Arial" w:hAnsi="Arial" w:cs="Arial"/>
          <w:color w:val="000000" w:themeColor="text1"/>
          <w:sz w:val="19"/>
          <w:szCs w:val="19"/>
        </w:rPr>
        <w:t>Artículo 38 – MODIFÍQUESE EL LITERAL I DEL NUMERAL 3.5.3 DE LOS DOCUMENTOS TIPO PARA PROCESOS DE LICITACIÓN PÚBLICA PARA OBRAS DE INFRAESTRUCTURA DE AGUA POTABLE Y SANEAMIENTO BÁSICO Y LOS DE LA MODALIDAD LLAVE EN MANO. Modifíquese el literal I) numeral 3.5.3 de los Documentos Tipo para procesos de licitación pública para obras de infraestructura de agua potable y saneamiento básico, adoptado mediante la Resolución 248 de 2020 y el de la modalidad llave en mano, expedidos mediante la Resolución 249 de 2020, en los siguientes términos:</w:t>
      </w:r>
    </w:p>
    <w:p w14:paraId="7D983E6F" w14:textId="1E4F61D3" w:rsidR="009F4A13" w:rsidRPr="009F4A13" w:rsidRDefault="009F4A13" w:rsidP="00F35C14">
      <w:pPr>
        <w:pStyle w:val="Textonotapie"/>
        <w:ind w:firstLine="708"/>
        <w:jc w:val="both"/>
        <w:rPr>
          <w:rFonts w:ascii="Arial" w:hAnsi="Arial" w:cs="Arial"/>
          <w:color w:val="000000" w:themeColor="text1"/>
          <w:sz w:val="19"/>
          <w:szCs w:val="19"/>
        </w:rPr>
      </w:pPr>
      <w:r w:rsidRPr="007B4401">
        <w:rPr>
          <w:rFonts w:ascii="Arial" w:hAnsi="Arial" w:cs="Arial"/>
          <w:color w:val="000000" w:themeColor="text1"/>
          <w:sz w:val="19"/>
          <w:szCs w:val="19"/>
        </w:rPr>
        <w:t>»</w:t>
      </w:r>
      <w:r w:rsidRPr="007B4401" w:rsidDel="00957C2E">
        <w:rPr>
          <w:rFonts w:ascii="Arial" w:hAnsi="Arial" w:cs="Arial"/>
          <w:color w:val="000000" w:themeColor="text1"/>
          <w:sz w:val="19"/>
          <w:szCs w:val="19"/>
        </w:rPr>
        <w:t xml:space="preserve"> </w:t>
      </w:r>
      <w:r w:rsidRPr="007B4401">
        <w:rPr>
          <w:rFonts w:ascii="Arial" w:hAnsi="Arial" w:cs="Arial"/>
          <w:color w:val="000000" w:themeColor="text1"/>
          <w:sz w:val="19"/>
          <w:szCs w:val="19"/>
        </w:rPr>
        <w:t>I. 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w:t>
      </w:r>
      <w:r w:rsidRPr="009F4A13">
        <w:rPr>
          <w:rFonts w:ascii="Arial" w:hAnsi="Arial" w:cs="Arial"/>
          <w:color w:val="000000" w:themeColor="text1"/>
          <w:sz w:val="19"/>
          <w:szCs w:val="19"/>
        </w:rPr>
        <w:t>an actividades ejecutadas ajenas a la obra de agua potable y saneamiento básico, la Entidad Estatal solo tendrá en cuenta los valores y magnitudes ejecutadas relacionadas con este tipo de infraestructura. Para estos efectos, el oferente deberá acreditar los valores y magnitudes intervenidas dentro del respectivo contrato, empleando alguno de los documentos válidos establecidos en el numeral 3.5.6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p>
  </w:footnote>
  <w:footnote w:id="35">
    <w:p w14:paraId="6DCE807F" w14:textId="77777777" w:rsidR="009F4A13" w:rsidRPr="007B4401" w:rsidRDefault="009F4A13" w:rsidP="00F35C14">
      <w:pPr>
        <w:pStyle w:val="Textonotapie"/>
        <w:ind w:firstLine="709"/>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w:t>
      </w:r>
      <w:r w:rsidRPr="007B4401">
        <w:rPr>
          <w:rFonts w:ascii="Arial" w:hAnsi="Arial" w:cs="Arial"/>
          <w:color w:val="000000" w:themeColor="text1"/>
          <w:sz w:val="19"/>
          <w:szCs w:val="19"/>
        </w:rPr>
        <w:t xml:space="preserve">Ministerio de vivienda, Ciudad y Territorio y Departamento Nacional de Planeación. Proyectos Tipo. Construcción de Unidades Sanitarias para Vivienda Rural Dispersa. Versión 3.0. Año 2020. Disponible en: </w:t>
      </w:r>
      <w:hyperlink r:id="rId1" w:history="1">
        <w:r w:rsidRPr="007B4401">
          <w:rPr>
            <w:rFonts w:ascii="Arial" w:hAnsi="Arial" w:cs="Arial"/>
            <w:color w:val="000000" w:themeColor="text1"/>
            <w:sz w:val="19"/>
            <w:szCs w:val="19"/>
            <w:u w:val="single"/>
          </w:rPr>
          <w:t>https://proyectostipo.dnp.gov.co/images/pdf/unidadesanitarias/PT-Unidades-Sanitarias-V3---22072020.pdf</w:t>
        </w:r>
      </w:hyperlink>
      <w:r w:rsidRPr="007B4401">
        <w:rPr>
          <w:rFonts w:ascii="Arial" w:hAnsi="Arial" w:cs="Arial"/>
          <w:color w:val="000000" w:themeColor="text1"/>
          <w:sz w:val="19"/>
          <w:szCs w:val="19"/>
        </w:rPr>
        <w:t xml:space="preserve"> </w:t>
      </w:r>
    </w:p>
    <w:p w14:paraId="26247B74" w14:textId="77777777" w:rsidR="009F4A13" w:rsidRPr="009F4A13" w:rsidRDefault="009F4A13" w:rsidP="009F4A13">
      <w:pPr>
        <w:pStyle w:val="Textonotapie"/>
        <w:jc w:val="both"/>
        <w:rPr>
          <w:rFonts w:ascii="Arial" w:hAnsi="Arial" w:cs="Arial"/>
          <w:color w:val="000000" w:themeColor="text1"/>
          <w:sz w:val="19"/>
          <w:szCs w:val="19"/>
        </w:rPr>
      </w:pPr>
    </w:p>
  </w:footnote>
  <w:footnote w:id="36">
    <w:p w14:paraId="60A0D998" w14:textId="77777777" w:rsidR="009F4A13" w:rsidRPr="007B4401" w:rsidRDefault="009F4A13" w:rsidP="0032210B">
      <w:pPr>
        <w:pStyle w:val="Textonotapie"/>
        <w:ind w:firstLine="708"/>
        <w:jc w:val="both"/>
        <w:rPr>
          <w:rFonts w:ascii="Arial" w:hAnsi="Arial" w:cs="Arial"/>
          <w:color w:val="000000" w:themeColor="text1"/>
          <w:sz w:val="19"/>
          <w:szCs w:val="19"/>
          <w:lang w:val="es-CO"/>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De conformidad con el numeral 4 del acápite de características de la Matriz 1 – Experiencia </w:t>
      </w:r>
      <w:r w:rsidRPr="009F4A13">
        <w:rPr>
          <w:rFonts w:ascii="Arial" w:hAnsi="Arial" w:cs="Arial"/>
          <w:color w:val="000000" w:themeColor="text1"/>
          <w:sz w:val="19"/>
          <w:szCs w:val="19"/>
          <w:lang w:eastAsia="es-ES"/>
        </w:rPr>
        <w:t>«</w:t>
      </w:r>
      <w:r w:rsidRPr="007B4401">
        <w:rPr>
          <w:rFonts w:ascii="Arial" w:hAnsi="Arial" w:cs="Arial"/>
          <w:color w:val="000000" w:themeColor="text1"/>
          <w:sz w:val="19"/>
          <w:szCs w:val="19"/>
        </w:rPr>
        <w:t>La entidad en el establecimiento de los requisitos de experiencia, y % de dimensionamiento tendrá en cuenta las reglas matemáticas de aproximación. Si la parte decimal es menor a 0,5 se aproximará por defecto al valor entero inmediatamente anterior (p.ej. 8,3 se aproxima a 8); si la parte decimal es igual o superior a 0,5 se aproxima por exceso al número entero inmediatamente siguiente (p.ej. 8,6 a 9)</w:t>
      </w:r>
      <w:r w:rsidRPr="009F4A13">
        <w:rPr>
          <w:rFonts w:ascii="Arial" w:hAnsi="Arial" w:cs="Arial"/>
          <w:color w:val="000000" w:themeColor="text1"/>
          <w:sz w:val="19"/>
          <w:szCs w:val="19"/>
          <w:lang w:eastAsia="es-ES"/>
        </w:rPr>
        <w:t>»</w:t>
      </w:r>
      <w:r w:rsidRPr="007B4401">
        <w:rPr>
          <w:rFonts w:ascii="Arial" w:hAnsi="Arial" w:cs="Arial"/>
          <w:color w:val="000000" w:themeColor="text1"/>
          <w:sz w:val="19"/>
          <w:szCs w:val="19"/>
        </w:rPr>
        <w:t>.</w:t>
      </w:r>
    </w:p>
  </w:footnote>
  <w:footnote w:id="37">
    <w:p w14:paraId="15C88EDD" w14:textId="77777777" w:rsidR="009F4A13" w:rsidRPr="009F4A13" w:rsidRDefault="009F4A13" w:rsidP="009F4A13">
      <w:pPr>
        <w:pStyle w:val="Textonotapie"/>
        <w:ind w:firstLine="709"/>
        <w:jc w:val="both"/>
        <w:rPr>
          <w:rFonts w:ascii="Arial" w:hAnsi="Arial" w:cs="Arial"/>
          <w:color w:val="000000" w:themeColor="text1"/>
          <w:sz w:val="19"/>
          <w:szCs w:val="19"/>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w:t>
      </w:r>
      <w:r w:rsidRPr="007B4401">
        <w:rPr>
          <w:rFonts w:ascii="Arial" w:hAnsi="Arial" w:cs="Arial"/>
          <w:color w:val="000000" w:themeColor="text1"/>
          <w:sz w:val="19"/>
          <w:szCs w:val="19"/>
        </w:rPr>
        <w:t>Definición Rae.</w:t>
      </w:r>
      <w:r w:rsidRPr="009F4A13">
        <w:rPr>
          <w:rFonts w:ascii="Arial" w:hAnsi="Arial" w:cs="Arial"/>
          <w:color w:val="000000" w:themeColor="text1"/>
          <w:sz w:val="19"/>
          <w:szCs w:val="19"/>
        </w:rPr>
        <w:t xml:space="preserve"> </w:t>
      </w:r>
      <w:hyperlink r:id="rId2" w:history="1">
        <w:r w:rsidRPr="009F4A13">
          <w:rPr>
            <w:rStyle w:val="Hipervnculo"/>
            <w:rFonts w:ascii="Arial" w:hAnsi="Arial" w:cs="Arial"/>
            <w:color w:val="000000" w:themeColor="text1"/>
            <w:sz w:val="19"/>
            <w:szCs w:val="19"/>
            <w:u w:val="none"/>
          </w:rPr>
          <w:t>https://dle.rae.es/construcci%C3%B3n</w:t>
        </w:r>
      </w:hyperlink>
      <w:r w:rsidRPr="009F4A13">
        <w:rPr>
          <w:rFonts w:ascii="Arial" w:hAnsi="Arial" w:cs="Arial"/>
          <w:color w:val="000000" w:themeColor="text1"/>
          <w:sz w:val="19"/>
          <w:szCs w:val="19"/>
        </w:rPr>
        <w:t xml:space="preserve"> </w:t>
      </w:r>
    </w:p>
    <w:p w14:paraId="4A1D6450" w14:textId="77777777" w:rsidR="009F4A13" w:rsidRPr="009F4A13" w:rsidRDefault="009F4A13" w:rsidP="009F4A13">
      <w:pPr>
        <w:pStyle w:val="Textonotapie"/>
        <w:ind w:firstLine="709"/>
        <w:jc w:val="both"/>
        <w:rPr>
          <w:rFonts w:ascii="Arial" w:hAnsi="Arial" w:cs="Arial"/>
          <w:color w:val="000000" w:themeColor="text1"/>
          <w:sz w:val="19"/>
          <w:szCs w:val="19"/>
          <w:lang w:val="es-CO"/>
        </w:rPr>
      </w:pPr>
    </w:p>
  </w:footnote>
  <w:footnote w:id="38">
    <w:p w14:paraId="649E3B75" w14:textId="77777777" w:rsidR="009F4A13" w:rsidRPr="009F4A13" w:rsidRDefault="009F4A13" w:rsidP="009F4A13">
      <w:pPr>
        <w:pStyle w:val="Textonotapie"/>
        <w:ind w:firstLine="709"/>
        <w:jc w:val="both"/>
        <w:rPr>
          <w:rFonts w:ascii="Arial" w:hAnsi="Arial" w:cs="Arial"/>
          <w:color w:val="000000" w:themeColor="text1"/>
          <w:sz w:val="19"/>
          <w:szCs w:val="19"/>
          <w:lang w:val="es-CO"/>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w:t>
      </w:r>
      <w:r w:rsidRPr="007B4401">
        <w:rPr>
          <w:rFonts w:ascii="Arial" w:hAnsi="Arial" w:cs="Arial"/>
          <w:color w:val="000000" w:themeColor="text1"/>
          <w:sz w:val="19"/>
          <w:szCs w:val="19"/>
        </w:rPr>
        <w:t xml:space="preserve">Definición Rae. </w:t>
      </w:r>
      <w:hyperlink r:id="rId3" w:history="1">
        <w:r w:rsidRPr="009F4A13">
          <w:rPr>
            <w:rStyle w:val="Hipervnculo"/>
            <w:rFonts w:ascii="Arial" w:hAnsi="Arial" w:cs="Arial"/>
            <w:color w:val="000000" w:themeColor="text1"/>
            <w:sz w:val="19"/>
            <w:szCs w:val="19"/>
            <w:u w:val="none"/>
          </w:rPr>
          <w:t>https://dle.rae.es/construir</w:t>
        </w:r>
      </w:hyperlink>
      <w:r w:rsidRPr="007B4401">
        <w:rPr>
          <w:rFonts w:ascii="Arial" w:hAnsi="Arial" w:cs="Arial"/>
          <w:color w:val="000000" w:themeColor="text1"/>
          <w:sz w:val="19"/>
          <w:szCs w:val="19"/>
        </w:rPr>
        <w:t xml:space="preserve"> </w:t>
      </w:r>
    </w:p>
  </w:footnote>
  <w:footnote w:id="39">
    <w:p w14:paraId="05F20C76" w14:textId="77777777" w:rsidR="009F4A13" w:rsidRPr="009F4A13" w:rsidRDefault="009F4A13" w:rsidP="0032210B">
      <w:pPr>
        <w:pStyle w:val="Textonotapie"/>
        <w:ind w:firstLine="709"/>
        <w:jc w:val="both"/>
        <w:rPr>
          <w:rFonts w:ascii="Arial" w:hAnsi="Arial" w:cs="Arial"/>
          <w:color w:val="000000" w:themeColor="text1"/>
          <w:sz w:val="19"/>
          <w:szCs w:val="19"/>
          <w:lang w:val="es-CO"/>
        </w:rPr>
      </w:pPr>
      <w:r w:rsidRPr="009F4A13">
        <w:rPr>
          <w:rStyle w:val="Refdenotaalpie"/>
          <w:rFonts w:ascii="Arial" w:hAnsi="Arial" w:cs="Arial"/>
          <w:color w:val="000000" w:themeColor="text1"/>
          <w:sz w:val="19"/>
          <w:szCs w:val="19"/>
        </w:rPr>
        <w:footnoteRef/>
      </w:r>
      <w:r w:rsidRPr="009F4A13">
        <w:rPr>
          <w:rFonts w:ascii="Arial" w:hAnsi="Arial" w:cs="Arial"/>
          <w:color w:val="000000" w:themeColor="text1"/>
          <w:sz w:val="19"/>
          <w:szCs w:val="19"/>
        </w:rPr>
        <w:t xml:space="preserve"> </w:t>
      </w:r>
      <w:r w:rsidRPr="007B4401">
        <w:rPr>
          <w:rFonts w:ascii="Arial" w:hAnsi="Arial" w:cs="Arial"/>
          <w:color w:val="000000" w:themeColor="text1"/>
          <w:sz w:val="19"/>
          <w:szCs w:val="19"/>
          <w:lang w:val="es-CO"/>
        </w:rPr>
        <w:t xml:space="preserve">En efecto, de conformidad con el principio </w:t>
      </w:r>
      <w:r w:rsidRPr="007B4401">
        <w:rPr>
          <w:rFonts w:ascii="Arial" w:hAnsi="Arial" w:cs="Arial"/>
          <w:i/>
          <w:iCs/>
          <w:color w:val="000000" w:themeColor="text1"/>
          <w:sz w:val="19"/>
          <w:szCs w:val="19"/>
          <w:lang w:val="es-CO"/>
        </w:rPr>
        <w:t xml:space="preserve">pro </w:t>
      </w:r>
      <w:proofErr w:type="spellStart"/>
      <w:r w:rsidRPr="007B4401">
        <w:rPr>
          <w:rFonts w:ascii="Arial" w:hAnsi="Arial" w:cs="Arial"/>
          <w:i/>
          <w:iCs/>
          <w:color w:val="000000" w:themeColor="text1"/>
          <w:sz w:val="19"/>
          <w:szCs w:val="19"/>
          <w:lang w:val="es-CO"/>
        </w:rPr>
        <w:t>libertate</w:t>
      </w:r>
      <w:proofErr w:type="spellEnd"/>
      <w:r w:rsidRPr="007B4401">
        <w:rPr>
          <w:rFonts w:ascii="Arial" w:hAnsi="Arial" w:cs="Arial"/>
          <w:color w:val="000000" w:themeColor="text1"/>
          <w:sz w:val="19"/>
          <w:szCs w:val="19"/>
          <w:lang w:val="es-CO"/>
        </w:rPr>
        <w:t xml:space="preserve"> </w:t>
      </w:r>
      <w:r w:rsidRPr="009F4A13">
        <w:rPr>
          <w:rFonts w:ascii="Arial" w:eastAsia="Calibri" w:hAnsi="Arial" w:cs="Arial"/>
          <w:color w:val="000000" w:themeColor="text1"/>
          <w:sz w:val="19"/>
          <w:szCs w:val="19"/>
          <w:lang w:val="es-ES_tradnl"/>
        </w:rPr>
        <w:t>«</w:t>
      </w:r>
      <w:r w:rsidRPr="007B4401">
        <w:rPr>
          <w:rFonts w:ascii="Arial" w:hAnsi="Arial" w:cs="Arial"/>
          <w:color w:val="000000" w:themeColor="text1"/>
          <w:sz w:val="19"/>
          <w:szCs w:val="19"/>
          <w:lang w:val="es-CO"/>
        </w:rPr>
        <w:t>entre dos interpretaciones, una de las cuales reduce las posibilidades del derecho mientras que la otra contribuye a potenciarlo, ha de preferirse la que permite el goce y el ejercicio cabal del derecho sobre aquella que lo anula o lo restringe</w:t>
      </w:r>
      <w:r w:rsidRPr="009F4A13">
        <w:rPr>
          <w:rFonts w:ascii="Arial" w:eastAsia="Calibri" w:hAnsi="Arial" w:cs="Arial"/>
          <w:color w:val="000000" w:themeColor="text1"/>
          <w:sz w:val="19"/>
          <w:szCs w:val="19"/>
          <w:lang w:val="es-ES_tradnl"/>
        </w:rPr>
        <w:t>»</w:t>
      </w:r>
      <w:r w:rsidRPr="007B4401">
        <w:rPr>
          <w:rFonts w:ascii="Arial" w:hAnsi="Arial" w:cs="Arial"/>
          <w:color w:val="000000" w:themeColor="text1"/>
          <w:sz w:val="19"/>
          <w:szCs w:val="19"/>
          <w:lang w:val="es-CO"/>
        </w:rPr>
        <w:t>. Corte Constitucional. C-445 de 1998. MP. Fabio Morón Díaz.</w:t>
      </w:r>
    </w:p>
  </w:footnote>
  <w:footnote w:id="40">
    <w:p w14:paraId="2D461AB2" w14:textId="16756C97" w:rsidR="009F4A13" w:rsidRPr="009F4A13" w:rsidRDefault="009F4A13" w:rsidP="0032210B">
      <w:pPr>
        <w:pStyle w:val="Textonotapie"/>
        <w:ind w:firstLine="708"/>
        <w:jc w:val="both"/>
        <w:rPr>
          <w:rFonts w:ascii="Arial" w:hAnsi="Arial" w:cs="Arial"/>
          <w:color w:val="000000" w:themeColor="text1"/>
          <w:sz w:val="19"/>
          <w:szCs w:val="19"/>
        </w:rPr>
      </w:pPr>
      <w:r w:rsidRPr="007B4401">
        <w:rPr>
          <w:rStyle w:val="Refdenotaalpie"/>
          <w:rFonts w:ascii="Arial" w:hAnsi="Arial" w:cs="Arial"/>
          <w:color w:val="000000" w:themeColor="text1"/>
          <w:sz w:val="19"/>
          <w:szCs w:val="19"/>
        </w:rPr>
        <w:footnoteRef/>
      </w:r>
      <w:r w:rsidRPr="007B4401">
        <w:rPr>
          <w:rFonts w:ascii="Arial" w:hAnsi="Arial" w:cs="Arial"/>
          <w:color w:val="000000" w:themeColor="text1"/>
          <w:sz w:val="19"/>
          <w:szCs w:val="19"/>
        </w:rPr>
        <w:t xml:space="preserve"> </w:t>
      </w:r>
      <w:r w:rsidRPr="007B4401">
        <w:rPr>
          <w:rFonts w:ascii="Arial" w:eastAsia="Calibri" w:hAnsi="Arial" w:cs="Arial"/>
          <w:color w:val="000000" w:themeColor="text1"/>
          <w:sz w:val="19"/>
          <w:szCs w:val="19"/>
          <w:lang w:val="es-ES_tradnl" w:eastAsia="es-ES"/>
        </w:rPr>
        <w:t>«</w:t>
      </w:r>
      <w:r w:rsidRPr="007B4401">
        <w:rPr>
          <w:rFonts w:ascii="Arial" w:hAnsi="Arial" w:cs="Arial"/>
          <w:color w:val="000000" w:themeColor="text1"/>
          <w:sz w:val="19"/>
          <w:szCs w:val="19"/>
        </w:rPr>
        <w:t>Artículo 38 – MODIFÍQUESE EL LITERAL I DEL NUMERAL 3.5.3 DE LOS DOCUMENTOS TIPO PARA PROCESOS DE LICITACIÓN PÚBLICA PARA OBRAS DE INFRAESTRUCTURA DE AGUA POTABLE Y SANEAMIENTO BÁSICO Y LOS DE LA MODALIDAD LLAVE EN MANO. Modifíquese el literal I) numeral 3.5.3 de los Documentos Tipo para procesos de licitación pública para obras de infraestructura de agua potable y saneamiento básico, adoptado mediante la Resolución 248 de 2020 y el de la modalidad llave en mano, expedidos mediante la Resolución 249 de 2020, en los siguientes términos:</w:t>
      </w:r>
    </w:p>
    <w:p w14:paraId="757AE10C" w14:textId="66689977" w:rsidR="009F4A13" w:rsidRPr="009F4A13" w:rsidRDefault="009F4A13" w:rsidP="0032210B">
      <w:pPr>
        <w:pStyle w:val="Textonotapie"/>
        <w:ind w:firstLine="708"/>
        <w:jc w:val="both"/>
        <w:rPr>
          <w:rFonts w:ascii="Arial" w:hAnsi="Arial" w:cs="Arial"/>
          <w:color w:val="000000" w:themeColor="text1"/>
          <w:sz w:val="19"/>
          <w:szCs w:val="19"/>
        </w:rPr>
      </w:pPr>
      <w:proofErr w:type="gramStart"/>
      <w:r w:rsidRPr="009F4A13">
        <w:rPr>
          <w:rFonts w:ascii="Arial" w:hAnsi="Arial" w:cs="Arial"/>
          <w:color w:val="000000" w:themeColor="text1"/>
          <w:sz w:val="19"/>
          <w:szCs w:val="19"/>
        </w:rPr>
        <w:t>»I.</w:t>
      </w:r>
      <w:proofErr w:type="gramEnd"/>
      <w:r w:rsidRPr="009F4A13">
        <w:rPr>
          <w:rFonts w:ascii="Arial" w:hAnsi="Arial" w:cs="Arial"/>
          <w:color w:val="000000" w:themeColor="text1"/>
          <w:sz w:val="19"/>
          <w:szCs w:val="19"/>
        </w:rPr>
        <w:t xml:space="preserve"> 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agua potable y saneamiento básico, la Entidad Estatal solo tendrá en cuenta los valores y magnitudes ejecutadas relacionadas con este tipo de infraestructura. Para estos efectos, el oferente deberá acreditar los valores y magnitudes intervenidas dentro del respectivo contrato, empleando alguno de los documentos válidos establecidos en el numeral 3.5.6 del Pliego de 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F4A13" w:rsidRDefault="009F4A1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1353"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A2DA2"/>
    <w:multiLevelType w:val="hybridMultilevel"/>
    <w:tmpl w:val="0C30EB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22B6E"/>
    <w:multiLevelType w:val="hybridMultilevel"/>
    <w:tmpl w:val="C32E451C"/>
    <w:lvl w:ilvl="0" w:tplc="04090019">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3"/>
  </w:num>
  <w:num w:numId="2">
    <w:abstractNumId w:val="11"/>
  </w:num>
  <w:num w:numId="3">
    <w:abstractNumId w:val="16"/>
  </w:num>
  <w:num w:numId="4">
    <w:abstractNumId w:val="20"/>
  </w:num>
  <w:num w:numId="5">
    <w:abstractNumId w:val="2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0"/>
  </w:num>
  <w:num w:numId="9">
    <w:abstractNumId w:val="5"/>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5"/>
  </w:num>
  <w:num w:numId="14">
    <w:abstractNumId w:val="9"/>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17"/>
  </w:num>
  <w:num w:numId="19">
    <w:abstractNumId w:val="4"/>
  </w:num>
  <w:num w:numId="20">
    <w:abstractNumId w:val="28"/>
  </w:num>
  <w:num w:numId="21">
    <w:abstractNumId w:val="18"/>
  </w:num>
  <w:num w:numId="22">
    <w:abstractNumId w:val="8"/>
  </w:num>
  <w:num w:numId="23">
    <w:abstractNumId w:val="6"/>
  </w:num>
  <w:num w:numId="24">
    <w:abstractNumId w:val="26"/>
  </w:num>
  <w:num w:numId="25">
    <w:abstractNumId w:val="21"/>
  </w:num>
  <w:num w:numId="26">
    <w:abstractNumId w:val="24"/>
  </w:num>
  <w:num w:numId="27">
    <w:abstractNumId w:val="7"/>
  </w:num>
  <w:num w:numId="28">
    <w:abstractNumId w:val="19"/>
  </w:num>
  <w:num w:numId="29">
    <w:abstractNumId w:val="3"/>
  </w:num>
  <w:num w:numId="30">
    <w:abstractNumId w:val="1"/>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E5"/>
    <w:rsid w:val="00000559"/>
    <w:rsid w:val="000012B9"/>
    <w:rsid w:val="0000162E"/>
    <w:rsid w:val="000017DD"/>
    <w:rsid w:val="00001A1C"/>
    <w:rsid w:val="00001FFD"/>
    <w:rsid w:val="00002027"/>
    <w:rsid w:val="000020FE"/>
    <w:rsid w:val="00002173"/>
    <w:rsid w:val="000031A8"/>
    <w:rsid w:val="00003AC5"/>
    <w:rsid w:val="00003C5C"/>
    <w:rsid w:val="00003D39"/>
    <w:rsid w:val="00003EBA"/>
    <w:rsid w:val="000040D7"/>
    <w:rsid w:val="00004556"/>
    <w:rsid w:val="000046FE"/>
    <w:rsid w:val="000047A2"/>
    <w:rsid w:val="00004C66"/>
    <w:rsid w:val="000051AF"/>
    <w:rsid w:val="000059D3"/>
    <w:rsid w:val="00005B6D"/>
    <w:rsid w:val="0000600A"/>
    <w:rsid w:val="00006081"/>
    <w:rsid w:val="0000619E"/>
    <w:rsid w:val="00007750"/>
    <w:rsid w:val="000077FD"/>
    <w:rsid w:val="00007E37"/>
    <w:rsid w:val="00007E98"/>
    <w:rsid w:val="00010C40"/>
    <w:rsid w:val="000111C2"/>
    <w:rsid w:val="000112B4"/>
    <w:rsid w:val="000119E5"/>
    <w:rsid w:val="00011DCC"/>
    <w:rsid w:val="00012532"/>
    <w:rsid w:val="00012B45"/>
    <w:rsid w:val="00012B9E"/>
    <w:rsid w:val="00012F37"/>
    <w:rsid w:val="00012FBA"/>
    <w:rsid w:val="00013ACD"/>
    <w:rsid w:val="00013C6B"/>
    <w:rsid w:val="0001406B"/>
    <w:rsid w:val="000143F8"/>
    <w:rsid w:val="00014624"/>
    <w:rsid w:val="00014C49"/>
    <w:rsid w:val="00015B44"/>
    <w:rsid w:val="00016081"/>
    <w:rsid w:val="000165AC"/>
    <w:rsid w:val="00016651"/>
    <w:rsid w:val="000171A2"/>
    <w:rsid w:val="00017A97"/>
    <w:rsid w:val="00017B65"/>
    <w:rsid w:val="00017FC9"/>
    <w:rsid w:val="00017FDA"/>
    <w:rsid w:val="00020158"/>
    <w:rsid w:val="000207E0"/>
    <w:rsid w:val="000209E2"/>
    <w:rsid w:val="00020F8F"/>
    <w:rsid w:val="00021A95"/>
    <w:rsid w:val="0002256F"/>
    <w:rsid w:val="00023992"/>
    <w:rsid w:val="00023BA5"/>
    <w:rsid w:val="00023DAE"/>
    <w:rsid w:val="00024896"/>
    <w:rsid w:val="00025528"/>
    <w:rsid w:val="000255FA"/>
    <w:rsid w:val="000256F7"/>
    <w:rsid w:val="00025D0A"/>
    <w:rsid w:val="000263F0"/>
    <w:rsid w:val="00026407"/>
    <w:rsid w:val="00026608"/>
    <w:rsid w:val="00027787"/>
    <w:rsid w:val="000278D2"/>
    <w:rsid w:val="000308B3"/>
    <w:rsid w:val="00030DFB"/>
    <w:rsid w:val="00031262"/>
    <w:rsid w:val="00031364"/>
    <w:rsid w:val="000315E1"/>
    <w:rsid w:val="0003236E"/>
    <w:rsid w:val="000326DD"/>
    <w:rsid w:val="0003339A"/>
    <w:rsid w:val="000334EC"/>
    <w:rsid w:val="00033AB9"/>
    <w:rsid w:val="000341F2"/>
    <w:rsid w:val="000342F9"/>
    <w:rsid w:val="00035046"/>
    <w:rsid w:val="000351F2"/>
    <w:rsid w:val="000357B5"/>
    <w:rsid w:val="000363FF"/>
    <w:rsid w:val="00036618"/>
    <w:rsid w:val="00036E03"/>
    <w:rsid w:val="000370DC"/>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8DB"/>
    <w:rsid w:val="00043D3B"/>
    <w:rsid w:val="0004418C"/>
    <w:rsid w:val="00044204"/>
    <w:rsid w:val="0004477A"/>
    <w:rsid w:val="000449D4"/>
    <w:rsid w:val="0004600D"/>
    <w:rsid w:val="000463B5"/>
    <w:rsid w:val="00046717"/>
    <w:rsid w:val="00046A63"/>
    <w:rsid w:val="00046C09"/>
    <w:rsid w:val="00046D02"/>
    <w:rsid w:val="0004716A"/>
    <w:rsid w:val="00047385"/>
    <w:rsid w:val="000473E8"/>
    <w:rsid w:val="00047F3F"/>
    <w:rsid w:val="000504DE"/>
    <w:rsid w:val="00051074"/>
    <w:rsid w:val="00051ACF"/>
    <w:rsid w:val="0005268A"/>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663BC"/>
    <w:rsid w:val="00067D49"/>
    <w:rsid w:val="00070AF1"/>
    <w:rsid w:val="00070FFF"/>
    <w:rsid w:val="000714DE"/>
    <w:rsid w:val="0007254F"/>
    <w:rsid w:val="00072C93"/>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9AC"/>
    <w:rsid w:val="00081D62"/>
    <w:rsid w:val="00082090"/>
    <w:rsid w:val="000820BF"/>
    <w:rsid w:val="00082B74"/>
    <w:rsid w:val="00082DD6"/>
    <w:rsid w:val="00083099"/>
    <w:rsid w:val="00083B44"/>
    <w:rsid w:val="00083EDC"/>
    <w:rsid w:val="00084B97"/>
    <w:rsid w:val="00084F03"/>
    <w:rsid w:val="0008510E"/>
    <w:rsid w:val="000856DE"/>
    <w:rsid w:val="00085F17"/>
    <w:rsid w:val="00085FB0"/>
    <w:rsid w:val="00085FB3"/>
    <w:rsid w:val="0008686B"/>
    <w:rsid w:val="00086B2A"/>
    <w:rsid w:val="00086ED2"/>
    <w:rsid w:val="00087A64"/>
    <w:rsid w:val="000907CA"/>
    <w:rsid w:val="000914D6"/>
    <w:rsid w:val="000914FE"/>
    <w:rsid w:val="00091569"/>
    <w:rsid w:val="00092023"/>
    <w:rsid w:val="00092B71"/>
    <w:rsid w:val="00092CDB"/>
    <w:rsid w:val="00092DCA"/>
    <w:rsid w:val="000931E7"/>
    <w:rsid w:val="000940D0"/>
    <w:rsid w:val="000942EB"/>
    <w:rsid w:val="00094D03"/>
    <w:rsid w:val="00094F22"/>
    <w:rsid w:val="00095B70"/>
    <w:rsid w:val="0009617E"/>
    <w:rsid w:val="0009628D"/>
    <w:rsid w:val="0009670F"/>
    <w:rsid w:val="00096DBA"/>
    <w:rsid w:val="000972FA"/>
    <w:rsid w:val="000973A9"/>
    <w:rsid w:val="000979CF"/>
    <w:rsid w:val="00097F3E"/>
    <w:rsid w:val="000A03C8"/>
    <w:rsid w:val="000A05F2"/>
    <w:rsid w:val="000A06C4"/>
    <w:rsid w:val="000A0861"/>
    <w:rsid w:val="000A0EC4"/>
    <w:rsid w:val="000A0ED1"/>
    <w:rsid w:val="000A110E"/>
    <w:rsid w:val="000A12DB"/>
    <w:rsid w:val="000A167D"/>
    <w:rsid w:val="000A17C8"/>
    <w:rsid w:val="000A1835"/>
    <w:rsid w:val="000A1B74"/>
    <w:rsid w:val="000A1EB8"/>
    <w:rsid w:val="000A1FF9"/>
    <w:rsid w:val="000A20D7"/>
    <w:rsid w:val="000A2128"/>
    <w:rsid w:val="000A362F"/>
    <w:rsid w:val="000A37B9"/>
    <w:rsid w:val="000A38F9"/>
    <w:rsid w:val="000A3B49"/>
    <w:rsid w:val="000A46FE"/>
    <w:rsid w:val="000A47E6"/>
    <w:rsid w:val="000A505D"/>
    <w:rsid w:val="000A52C0"/>
    <w:rsid w:val="000A5AAF"/>
    <w:rsid w:val="000A5F97"/>
    <w:rsid w:val="000A648E"/>
    <w:rsid w:val="000A7268"/>
    <w:rsid w:val="000A73A8"/>
    <w:rsid w:val="000A73BB"/>
    <w:rsid w:val="000A73E8"/>
    <w:rsid w:val="000A7D7A"/>
    <w:rsid w:val="000A7EF4"/>
    <w:rsid w:val="000B0A15"/>
    <w:rsid w:val="000B103F"/>
    <w:rsid w:val="000B1437"/>
    <w:rsid w:val="000B1470"/>
    <w:rsid w:val="000B1C1E"/>
    <w:rsid w:val="000B244D"/>
    <w:rsid w:val="000B2B86"/>
    <w:rsid w:val="000B3051"/>
    <w:rsid w:val="000B3A65"/>
    <w:rsid w:val="000B404C"/>
    <w:rsid w:val="000B419B"/>
    <w:rsid w:val="000B5781"/>
    <w:rsid w:val="000B57F5"/>
    <w:rsid w:val="000B5CB1"/>
    <w:rsid w:val="000B7377"/>
    <w:rsid w:val="000B75F4"/>
    <w:rsid w:val="000B7D1E"/>
    <w:rsid w:val="000C0185"/>
    <w:rsid w:val="000C05C3"/>
    <w:rsid w:val="000C08F0"/>
    <w:rsid w:val="000C0D2D"/>
    <w:rsid w:val="000C0F81"/>
    <w:rsid w:val="000C128D"/>
    <w:rsid w:val="000C17A3"/>
    <w:rsid w:val="000C1D4B"/>
    <w:rsid w:val="000C2DC4"/>
    <w:rsid w:val="000C3216"/>
    <w:rsid w:val="000C3260"/>
    <w:rsid w:val="000C3B77"/>
    <w:rsid w:val="000C3F6D"/>
    <w:rsid w:val="000C47F0"/>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4B1"/>
    <w:rsid w:val="000D2563"/>
    <w:rsid w:val="000D25BF"/>
    <w:rsid w:val="000D2FE4"/>
    <w:rsid w:val="000D384D"/>
    <w:rsid w:val="000D3FDC"/>
    <w:rsid w:val="000D490B"/>
    <w:rsid w:val="000D4E38"/>
    <w:rsid w:val="000D50DB"/>
    <w:rsid w:val="000D52B2"/>
    <w:rsid w:val="000D588F"/>
    <w:rsid w:val="000D5C88"/>
    <w:rsid w:val="000D6288"/>
    <w:rsid w:val="000D7002"/>
    <w:rsid w:val="000D728B"/>
    <w:rsid w:val="000D7541"/>
    <w:rsid w:val="000D75E1"/>
    <w:rsid w:val="000D7A5C"/>
    <w:rsid w:val="000D7D52"/>
    <w:rsid w:val="000E1714"/>
    <w:rsid w:val="000E22CF"/>
    <w:rsid w:val="000E2977"/>
    <w:rsid w:val="000E2CC0"/>
    <w:rsid w:val="000E2F9B"/>
    <w:rsid w:val="000E30AC"/>
    <w:rsid w:val="000E38DB"/>
    <w:rsid w:val="000E3B46"/>
    <w:rsid w:val="000E3E11"/>
    <w:rsid w:val="000E4596"/>
    <w:rsid w:val="000E48FD"/>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3C89"/>
    <w:rsid w:val="000F4403"/>
    <w:rsid w:val="000F480B"/>
    <w:rsid w:val="000F4E17"/>
    <w:rsid w:val="000F5209"/>
    <w:rsid w:val="000F5615"/>
    <w:rsid w:val="000F62BE"/>
    <w:rsid w:val="000F6578"/>
    <w:rsid w:val="000F6F92"/>
    <w:rsid w:val="000F7CDB"/>
    <w:rsid w:val="000F7E8F"/>
    <w:rsid w:val="000F7FBB"/>
    <w:rsid w:val="001000FB"/>
    <w:rsid w:val="00100858"/>
    <w:rsid w:val="00100944"/>
    <w:rsid w:val="00100A9E"/>
    <w:rsid w:val="00100F6A"/>
    <w:rsid w:val="001012D5"/>
    <w:rsid w:val="00101775"/>
    <w:rsid w:val="001025A2"/>
    <w:rsid w:val="00102605"/>
    <w:rsid w:val="00102686"/>
    <w:rsid w:val="00102745"/>
    <w:rsid w:val="00102DB9"/>
    <w:rsid w:val="00103345"/>
    <w:rsid w:val="00103795"/>
    <w:rsid w:val="00103915"/>
    <w:rsid w:val="001039AA"/>
    <w:rsid w:val="00103EA0"/>
    <w:rsid w:val="00104149"/>
    <w:rsid w:val="00104B64"/>
    <w:rsid w:val="00104F1C"/>
    <w:rsid w:val="001051E5"/>
    <w:rsid w:val="00105A74"/>
    <w:rsid w:val="00105ACB"/>
    <w:rsid w:val="00105AEF"/>
    <w:rsid w:val="00105E5E"/>
    <w:rsid w:val="00106259"/>
    <w:rsid w:val="001068EB"/>
    <w:rsid w:val="00106CD1"/>
    <w:rsid w:val="00106F65"/>
    <w:rsid w:val="001078CE"/>
    <w:rsid w:val="001103BC"/>
    <w:rsid w:val="00110881"/>
    <w:rsid w:val="00110F61"/>
    <w:rsid w:val="001111BD"/>
    <w:rsid w:val="00111426"/>
    <w:rsid w:val="0011165A"/>
    <w:rsid w:val="00111B2B"/>
    <w:rsid w:val="00111E74"/>
    <w:rsid w:val="00112774"/>
    <w:rsid w:val="00112B2E"/>
    <w:rsid w:val="00113003"/>
    <w:rsid w:val="00113062"/>
    <w:rsid w:val="001131FF"/>
    <w:rsid w:val="00113705"/>
    <w:rsid w:val="00113975"/>
    <w:rsid w:val="00113CFC"/>
    <w:rsid w:val="00113F6C"/>
    <w:rsid w:val="00113FEA"/>
    <w:rsid w:val="00114A22"/>
    <w:rsid w:val="00114E9D"/>
    <w:rsid w:val="0011507B"/>
    <w:rsid w:val="00115782"/>
    <w:rsid w:val="00116328"/>
    <w:rsid w:val="001163CF"/>
    <w:rsid w:val="001166C5"/>
    <w:rsid w:val="001174C9"/>
    <w:rsid w:val="0011769E"/>
    <w:rsid w:val="00117CF9"/>
    <w:rsid w:val="00117E69"/>
    <w:rsid w:val="00120AC9"/>
    <w:rsid w:val="00120CCE"/>
    <w:rsid w:val="00121103"/>
    <w:rsid w:val="001216D4"/>
    <w:rsid w:val="00121BAB"/>
    <w:rsid w:val="00121E3C"/>
    <w:rsid w:val="00122B23"/>
    <w:rsid w:val="00122B7E"/>
    <w:rsid w:val="00123814"/>
    <w:rsid w:val="00123E27"/>
    <w:rsid w:val="00123E9B"/>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BCD"/>
    <w:rsid w:val="00134E09"/>
    <w:rsid w:val="001350AB"/>
    <w:rsid w:val="001353E2"/>
    <w:rsid w:val="00135DB9"/>
    <w:rsid w:val="00135E5D"/>
    <w:rsid w:val="0013695C"/>
    <w:rsid w:val="00136BF7"/>
    <w:rsid w:val="00136C5E"/>
    <w:rsid w:val="00136C78"/>
    <w:rsid w:val="001378B9"/>
    <w:rsid w:val="00137FFA"/>
    <w:rsid w:val="00140109"/>
    <w:rsid w:val="0014029B"/>
    <w:rsid w:val="00140464"/>
    <w:rsid w:val="00140A4F"/>
    <w:rsid w:val="001413AB"/>
    <w:rsid w:val="001413FA"/>
    <w:rsid w:val="00141AE6"/>
    <w:rsid w:val="00141BF7"/>
    <w:rsid w:val="00141DBF"/>
    <w:rsid w:val="00142237"/>
    <w:rsid w:val="00142355"/>
    <w:rsid w:val="00142EFD"/>
    <w:rsid w:val="00143330"/>
    <w:rsid w:val="00144335"/>
    <w:rsid w:val="0014502F"/>
    <w:rsid w:val="00145282"/>
    <w:rsid w:val="001453B0"/>
    <w:rsid w:val="001454D9"/>
    <w:rsid w:val="00145D8E"/>
    <w:rsid w:val="00146083"/>
    <w:rsid w:val="001462F7"/>
    <w:rsid w:val="001471AB"/>
    <w:rsid w:val="00147F35"/>
    <w:rsid w:val="00150005"/>
    <w:rsid w:val="00150078"/>
    <w:rsid w:val="0015162F"/>
    <w:rsid w:val="00151AEB"/>
    <w:rsid w:val="00151B99"/>
    <w:rsid w:val="00151DF3"/>
    <w:rsid w:val="00151E79"/>
    <w:rsid w:val="001521B2"/>
    <w:rsid w:val="00152C5D"/>
    <w:rsid w:val="00152EDD"/>
    <w:rsid w:val="00153491"/>
    <w:rsid w:val="0015361C"/>
    <w:rsid w:val="0015372F"/>
    <w:rsid w:val="00153BFB"/>
    <w:rsid w:val="0015407E"/>
    <w:rsid w:val="0015415A"/>
    <w:rsid w:val="0015430A"/>
    <w:rsid w:val="00154489"/>
    <w:rsid w:val="0015448E"/>
    <w:rsid w:val="00154A6F"/>
    <w:rsid w:val="00155D08"/>
    <w:rsid w:val="00155F48"/>
    <w:rsid w:val="001561F3"/>
    <w:rsid w:val="0015623B"/>
    <w:rsid w:val="001564F5"/>
    <w:rsid w:val="00156BE5"/>
    <w:rsid w:val="00157232"/>
    <w:rsid w:val="001573F4"/>
    <w:rsid w:val="00157D9A"/>
    <w:rsid w:val="00160401"/>
    <w:rsid w:val="001609E5"/>
    <w:rsid w:val="00160D4E"/>
    <w:rsid w:val="00161303"/>
    <w:rsid w:val="00161DDA"/>
    <w:rsid w:val="00161E62"/>
    <w:rsid w:val="00161F1C"/>
    <w:rsid w:val="0016200B"/>
    <w:rsid w:val="0016204B"/>
    <w:rsid w:val="00162AFD"/>
    <w:rsid w:val="00162CF2"/>
    <w:rsid w:val="00163C81"/>
    <w:rsid w:val="00163D7A"/>
    <w:rsid w:val="00164281"/>
    <w:rsid w:val="00165703"/>
    <w:rsid w:val="00165DEE"/>
    <w:rsid w:val="00166204"/>
    <w:rsid w:val="00166726"/>
    <w:rsid w:val="0016685F"/>
    <w:rsid w:val="00167078"/>
    <w:rsid w:val="0016712F"/>
    <w:rsid w:val="00167503"/>
    <w:rsid w:val="001676A9"/>
    <w:rsid w:val="00167A15"/>
    <w:rsid w:val="00167A50"/>
    <w:rsid w:val="00167D1A"/>
    <w:rsid w:val="00167D69"/>
    <w:rsid w:val="00167DF5"/>
    <w:rsid w:val="00167F6D"/>
    <w:rsid w:val="00170001"/>
    <w:rsid w:val="00170741"/>
    <w:rsid w:val="00170DA3"/>
    <w:rsid w:val="00172001"/>
    <w:rsid w:val="00172198"/>
    <w:rsid w:val="00172612"/>
    <w:rsid w:val="00172817"/>
    <w:rsid w:val="001734E3"/>
    <w:rsid w:val="001736A7"/>
    <w:rsid w:val="00173EC6"/>
    <w:rsid w:val="001742BF"/>
    <w:rsid w:val="001742E1"/>
    <w:rsid w:val="001744CA"/>
    <w:rsid w:val="00175E49"/>
    <w:rsid w:val="0017649F"/>
    <w:rsid w:val="0017655B"/>
    <w:rsid w:val="00177D52"/>
    <w:rsid w:val="001805C1"/>
    <w:rsid w:val="00180826"/>
    <w:rsid w:val="00180A2E"/>
    <w:rsid w:val="001813AF"/>
    <w:rsid w:val="001823F5"/>
    <w:rsid w:val="001825FC"/>
    <w:rsid w:val="001829CD"/>
    <w:rsid w:val="00182A1D"/>
    <w:rsid w:val="00182DE9"/>
    <w:rsid w:val="00182F01"/>
    <w:rsid w:val="00183874"/>
    <w:rsid w:val="00184219"/>
    <w:rsid w:val="00184372"/>
    <w:rsid w:val="00184F27"/>
    <w:rsid w:val="0018519B"/>
    <w:rsid w:val="00185966"/>
    <w:rsid w:val="00185A2D"/>
    <w:rsid w:val="00185AFE"/>
    <w:rsid w:val="00185E78"/>
    <w:rsid w:val="00186522"/>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7C5"/>
    <w:rsid w:val="001A0915"/>
    <w:rsid w:val="001A0AF8"/>
    <w:rsid w:val="001A1490"/>
    <w:rsid w:val="001A18D5"/>
    <w:rsid w:val="001A1A38"/>
    <w:rsid w:val="001A1BE0"/>
    <w:rsid w:val="001A1D4A"/>
    <w:rsid w:val="001A1EB7"/>
    <w:rsid w:val="001A2993"/>
    <w:rsid w:val="001A3011"/>
    <w:rsid w:val="001A33F1"/>
    <w:rsid w:val="001A36B6"/>
    <w:rsid w:val="001A38E4"/>
    <w:rsid w:val="001A3FC8"/>
    <w:rsid w:val="001A4A9B"/>
    <w:rsid w:val="001A4DAF"/>
    <w:rsid w:val="001A4EBB"/>
    <w:rsid w:val="001A53AC"/>
    <w:rsid w:val="001A54CD"/>
    <w:rsid w:val="001A5D74"/>
    <w:rsid w:val="001A66DF"/>
    <w:rsid w:val="001A67D0"/>
    <w:rsid w:val="001A6863"/>
    <w:rsid w:val="001A7591"/>
    <w:rsid w:val="001A75B1"/>
    <w:rsid w:val="001A76FF"/>
    <w:rsid w:val="001A7B06"/>
    <w:rsid w:val="001B01CC"/>
    <w:rsid w:val="001B0366"/>
    <w:rsid w:val="001B0444"/>
    <w:rsid w:val="001B096B"/>
    <w:rsid w:val="001B0F9F"/>
    <w:rsid w:val="001B123C"/>
    <w:rsid w:val="001B1599"/>
    <w:rsid w:val="001B1A0D"/>
    <w:rsid w:val="001B1BF1"/>
    <w:rsid w:val="001B1E12"/>
    <w:rsid w:val="001B2083"/>
    <w:rsid w:val="001B2456"/>
    <w:rsid w:val="001B2C14"/>
    <w:rsid w:val="001B2D7F"/>
    <w:rsid w:val="001B376C"/>
    <w:rsid w:val="001B3CC4"/>
    <w:rsid w:val="001B449C"/>
    <w:rsid w:val="001B4AA2"/>
    <w:rsid w:val="001B4ADE"/>
    <w:rsid w:val="001B549E"/>
    <w:rsid w:val="001B5530"/>
    <w:rsid w:val="001B5EF8"/>
    <w:rsid w:val="001B629D"/>
    <w:rsid w:val="001B6C54"/>
    <w:rsid w:val="001B71E8"/>
    <w:rsid w:val="001B787E"/>
    <w:rsid w:val="001C0613"/>
    <w:rsid w:val="001C07C6"/>
    <w:rsid w:val="001C120D"/>
    <w:rsid w:val="001C19CD"/>
    <w:rsid w:val="001C1E50"/>
    <w:rsid w:val="001C22D5"/>
    <w:rsid w:val="001C24EA"/>
    <w:rsid w:val="001C2515"/>
    <w:rsid w:val="001C26FB"/>
    <w:rsid w:val="001C33C1"/>
    <w:rsid w:val="001C3604"/>
    <w:rsid w:val="001C3E30"/>
    <w:rsid w:val="001C3E5C"/>
    <w:rsid w:val="001C476C"/>
    <w:rsid w:val="001C4975"/>
    <w:rsid w:val="001C5072"/>
    <w:rsid w:val="001C5B2A"/>
    <w:rsid w:val="001C5C79"/>
    <w:rsid w:val="001C600B"/>
    <w:rsid w:val="001C64F9"/>
    <w:rsid w:val="001C6898"/>
    <w:rsid w:val="001C6AFD"/>
    <w:rsid w:val="001C6DD8"/>
    <w:rsid w:val="001C76FA"/>
    <w:rsid w:val="001C78CE"/>
    <w:rsid w:val="001C78F9"/>
    <w:rsid w:val="001C795F"/>
    <w:rsid w:val="001C79A4"/>
    <w:rsid w:val="001C7C7B"/>
    <w:rsid w:val="001D03BB"/>
    <w:rsid w:val="001D068D"/>
    <w:rsid w:val="001D0BED"/>
    <w:rsid w:val="001D1194"/>
    <w:rsid w:val="001D12D1"/>
    <w:rsid w:val="001D15DF"/>
    <w:rsid w:val="001D19E2"/>
    <w:rsid w:val="001D1BFB"/>
    <w:rsid w:val="001D23D4"/>
    <w:rsid w:val="001D2EEE"/>
    <w:rsid w:val="001D30F3"/>
    <w:rsid w:val="001D31A0"/>
    <w:rsid w:val="001D338E"/>
    <w:rsid w:val="001D4CEB"/>
    <w:rsid w:val="001D51DD"/>
    <w:rsid w:val="001D56E9"/>
    <w:rsid w:val="001D5DCA"/>
    <w:rsid w:val="001D5E55"/>
    <w:rsid w:val="001D639C"/>
    <w:rsid w:val="001D7616"/>
    <w:rsid w:val="001D776A"/>
    <w:rsid w:val="001D796A"/>
    <w:rsid w:val="001D7A84"/>
    <w:rsid w:val="001D7BF1"/>
    <w:rsid w:val="001D7C79"/>
    <w:rsid w:val="001E003B"/>
    <w:rsid w:val="001E0877"/>
    <w:rsid w:val="001E1362"/>
    <w:rsid w:val="001E192A"/>
    <w:rsid w:val="001E1A88"/>
    <w:rsid w:val="001E1CC4"/>
    <w:rsid w:val="001E1D38"/>
    <w:rsid w:val="001E2747"/>
    <w:rsid w:val="001E28A0"/>
    <w:rsid w:val="001E2A95"/>
    <w:rsid w:val="001E2D23"/>
    <w:rsid w:val="001E2D65"/>
    <w:rsid w:val="001E34D1"/>
    <w:rsid w:val="001E3AEE"/>
    <w:rsid w:val="001E3E26"/>
    <w:rsid w:val="001E3FFE"/>
    <w:rsid w:val="001E4258"/>
    <w:rsid w:val="001E5140"/>
    <w:rsid w:val="001E51C2"/>
    <w:rsid w:val="001E5D6A"/>
    <w:rsid w:val="001E6A94"/>
    <w:rsid w:val="001E6DD8"/>
    <w:rsid w:val="001E70FB"/>
    <w:rsid w:val="001E7163"/>
    <w:rsid w:val="001E72BA"/>
    <w:rsid w:val="001E780A"/>
    <w:rsid w:val="001E79AE"/>
    <w:rsid w:val="001F0D15"/>
    <w:rsid w:val="001F0DE8"/>
    <w:rsid w:val="001F0FA0"/>
    <w:rsid w:val="001F1194"/>
    <w:rsid w:val="001F1349"/>
    <w:rsid w:val="001F1863"/>
    <w:rsid w:val="001F1A89"/>
    <w:rsid w:val="001F2356"/>
    <w:rsid w:val="001F2A68"/>
    <w:rsid w:val="001F3157"/>
    <w:rsid w:val="001F3308"/>
    <w:rsid w:val="001F3A05"/>
    <w:rsid w:val="001F40EC"/>
    <w:rsid w:val="001F436C"/>
    <w:rsid w:val="001F4773"/>
    <w:rsid w:val="001F4E32"/>
    <w:rsid w:val="001F4E4D"/>
    <w:rsid w:val="001F5008"/>
    <w:rsid w:val="001F56AA"/>
    <w:rsid w:val="001F58AA"/>
    <w:rsid w:val="001F58ED"/>
    <w:rsid w:val="001F5A4E"/>
    <w:rsid w:val="001F5CBC"/>
    <w:rsid w:val="001F5EF6"/>
    <w:rsid w:val="001F5FE9"/>
    <w:rsid w:val="001F657F"/>
    <w:rsid w:val="001F6FB6"/>
    <w:rsid w:val="001F72BB"/>
    <w:rsid w:val="001F7978"/>
    <w:rsid w:val="001F7A0E"/>
    <w:rsid w:val="001F7A4B"/>
    <w:rsid w:val="0020022E"/>
    <w:rsid w:val="0020054E"/>
    <w:rsid w:val="0020091A"/>
    <w:rsid w:val="00201508"/>
    <w:rsid w:val="00201AC4"/>
    <w:rsid w:val="00201BD7"/>
    <w:rsid w:val="00201F1E"/>
    <w:rsid w:val="00202761"/>
    <w:rsid w:val="0020299B"/>
    <w:rsid w:val="00202E44"/>
    <w:rsid w:val="002037AA"/>
    <w:rsid w:val="00203FE3"/>
    <w:rsid w:val="002042D8"/>
    <w:rsid w:val="00204379"/>
    <w:rsid w:val="00204515"/>
    <w:rsid w:val="00204BF5"/>
    <w:rsid w:val="00204CD7"/>
    <w:rsid w:val="00204E6B"/>
    <w:rsid w:val="002053EF"/>
    <w:rsid w:val="002058D4"/>
    <w:rsid w:val="00205EF5"/>
    <w:rsid w:val="00205F30"/>
    <w:rsid w:val="00206172"/>
    <w:rsid w:val="0020632A"/>
    <w:rsid w:val="00206335"/>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29E"/>
    <w:rsid w:val="002176B6"/>
    <w:rsid w:val="0021792D"/>
    <w:rsid w:val="00217B78"/>
    <w:rsid w:val="00217D17"/>
    <w:rsid w:val="00217DB8"/>
    <w:rsid w:val="002202CE"/>
    <w:rsid w:val="0022032A"/>
    <w:rsid w:val="00220E51"/>
    <w:rsid w:val="00221390"/>
    <w:rsid w:val="002216FE"/>
    <w:rsid w:val="0022194E"/>
    <w:rsid w:val="00221CEF"/>
    <w:rsid w:val="002220B1"/>
    <w:rsid w:val="002221CE"/>
    <w:rsid w:val="00222BE8"/>
    <w:rsid w:val="00222DC1"/>
    <w:rsid w:val="00222DFB"/>
    <w:rsid w:val="00223102"/>
    <w:rsid w:val="002232CB"/>
    <w:rsid w:val="002234CA"/>
    <w:rsid w:val="00223CD7"/>
    <w:rsid w:val="00224022"/>
    <w:rsid w:val="00224A07"/>
    <w:rsid w:val="00226055"/>
    <w:rsid w:val="0022609C"/>
    <w:rsid w:val="0022613F"/>
    <w:rsid w:val="0022614F"/>
    <w:rsid w:val="00226236"/>
    <w:rsid w:val="002270B4"/>
    <w:rsid w:val="002270C9"/>
    <w:rsid w:val="00227236"/>
    <w:rsid w:val="00227A8B"/>
    <w:rsid w:val="0023074D"/>
    <w:rsid w:val="0023143E"/>
    <w:rsid w:val="0023146B"/>
    <w:rsid w:val="002315A0"/>
    <w:rsid w:val="00231748"/>
    <w:rsid w:val="00231EC7"/>
    <w:rsid w:val="00232209"/>
    <w:rsid w:val="00232D12"/>
    <w:rsid w:val="00232E15"/>
    <w:rsid w:val="00233079"/>
    <w:rsid w:val="00233718"/>
    <w:rsid w:val="0023382C"/>
    <w:rsid w:val="00233977"/>
    <w:rsid w:val="00233C58"/>
    <w:rsid w:val="00233C71"/>
    <w:rsid w:val="002345B6"/>
    <w:rsid w:val="002347A6"/>
    <w:rsid w:val="00234B84"/>
    <w:rsid w:val="002355B1"/>
    <w:rsid w:val="00236016"/>
    <w:rsid w:val="00236963"/>
    <w:rsid w:val="002369C0"/>
    <w:rsid w:val="00237065"/>
    <w:rsid w:val="00237589"/>
    <w:rsid w:val="0023758D"/>
    <w:rsid w:val="002375A7"/>
    <w:rsid w:val="00237EFF"/>
    <w:rsid w:val="00240171"/>
    <w:rsid w:val="0024019A"/>
    <w:rsid w:val="00240E6F"/>
    <w:rsid w:val="00240EC1"/>
    <w:rsid w:val="0024120F"/>
    <w:rsid w:val="0024125D"/>
    <w:rsid w:val="002412BC"/>
    <w:rsid w:val="0024131D"/>
    <w:rsid w:val="00241575"/>
    <w:rsid w:val="002415B8"/>
    <w:rsid w:val="00242D5F"/>
    <w:rsid w:val="00242D62"/>
    <w:rsid w:val="002430D0"/>
    <w:rsid w:val="002431D7"/>
    <w:rsid w:val="002434D8"/>
    <w:rsid w:val="00244058"/>
    <w:rsid w:val="0024457C"/>
    <w:rsid w:val="00244861"/>
    <w:rsid w:val="002453E7"/>
    <w:rsid w:val="00245718"/>
    <w:rsid w:val="00245E07"/>
    <w:rsid w:val="002467F2"/>
    <w:rsid w:val="00246CEC"/>
    <w:rsid w:val="00247712"/>
    <w:rsid w:val="00247DCD"/>
    <w:rsid w:val="00250A9E"/>
    <w:rsid w:val="00250EC6"/>
    <w:rsid w:val="002515C7"/>
    <w:rsid w:val="00251866"/>
    <w:rsid w:val="00251A9F"/>
    <w:rsid w:val="00252441"/>
    <w:rsid w:val="00252492"/>
    <w:rsid w:val="00252A0D"/>
    <w:rsid w:val="00252B35"/>
    <w:rsid w:val="00253070"/>
    <w:rsid w:val="0025316D"/>
    <w:rsid w:val="00253A02"/>
    <w:rsid w:val="00253B81"/>
    <w:rsid w:val="00253CBB"/>
    <w:rsid w:val="002541AE"/>
    <w:rsid w:val="00254891"/>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510"/>
    <w:rsid w:val="00263A37"/>
    <w:rsid w:val="00264266"/>
    <w:rsid w:val="002642E0"/>
    <w:rsid w:val="0026471F"/>
    <w:rsid w:val="0026480D"/>
    <w:rsid w:val="002653A6"/>
    <w:rsid w:val="0026596A"/>
    <w:rsid w:val="00265BEF"/>
    <w:rsid w:val="00265C13"/>
    <w:rsid w:val="00265F47"/>
    <w:rsid w:val="00266049"/>
    <w:rsid w:val="002661F1"/>
    <w:rsid w:val="00266695"/>
    <w:rsid w:val="00266811"/>
    <w:rsid w:val="00266DB6"/>
    <w:rsid w:val="00267C66"/>
    <w:rsid w:val="0027006F"/>
    <w:rsid w:val="00271168"/>
    <w:rsid w:val="002711A4"/>
    <w:rsid w:val="00271230"/>
    <w:rsid w:val="00271F13"/>
    <w:rsid w:val="00272945"/>
    <w:rsid w:val="00273768"/>
    <w:rsid w:val="00273E11"/>
    <w:rsid w:val="0027482E"/>
    <w:rsid w:val="00274DB5"/>
    <w:rsid w:val="00274F29"/>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3EAC"/>
    <w:rsid w:val="0028428F"/>
    <w:rsid w:val="00284A32"/>
    <w:rsid w:val="00284CFC"/>
    <w:rsid w:val="00285832"/>
    <w:rsid w:val="00285969"/>
    <w:rsid w:val="00285AE1"/>
    <w:rsid w:val="00285D8E"/>
    <w:rsid w:val="00285E14"/>
    <w:rsid w:val="002860EB"/>
    <w:rsid w:val="0028663B"/>
    <w:rsid w:val="00286CEC"/>
    <w:rsid w:val="002870F9"/>
    <w:rsid w:val="002871A9"/>
    <w:rsid w:val="00287505"/>
    <w:rsid w:val="00287BDB"/>
    <w:rsid w:val="00290781"/>
    <w:rsid w:val="00291784"/>
    <w:rsid w:val="00291D4A"/>
    <w:rsid w:val="00291F69"/>
    <w:rsid w:val="002920DF"/>
    <w:rsid w:val="00292321"/>
    <w:rsid w:val="002925F5"/>
    <w:rsid w:val="0029286C"/>
    <w:rsid w:val="002928A3"/>
    <w:rsid w:val="002929BB"/>
    <w:rsid w:val="002932CA"/>
    <w:rsid w:val="00293DA0"/>
    <w:rsid w:val="00294368"/>
    <w:rsid w:val="00294B78"/>
    <w:rsid w:val="0029501B"/>
    <w:rsid w:val="00295416"/>
    <w:rsid w:val="00295949"/>
    <w:rsid w:val="00295D7C"/>
    <w:rsid w:val="00296155"/>
    <w:rsid w:val="0029624A"/>
    <w:rsid w:val="0029692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6FB"/>
    <w:rsid w:val="002A4736"/>
    <w:rsid w:val="002A4B1C"/>
    <w:rsid w:val="002A55FE"/>
    <w:rsid w:val="002A577A"/>
    <w:rsid w:val="002A5A76"/>
    <w:rsid w:val="002A675C"/>
    <w:rsid w:val="002A6AFB"/>
    <w:rsid w:val="002A733D"/>
    <w:rsid w:val="002A774A"/>
    <w:rsid w:val="002A78F3"/>
    <w:rsid w:val="002A7D84"/>
    <w:rsid w:val="002A7E5C"/>
    <w:rsid w:val="002A7EC2"/>
    <w:rsid w:val="002A7F6D"/>
    <w:rsid w:val="002B0D83"/>
    <w:rsid w:val="002B107B"/>
    <w:rsid w:val="002B1342"/>
    <w:rsid w:val="002B1F83"/>
    <w:rsid w:val="002B256B"/>
    <w:rsid w:val="002B2651"/>
    <w:rsid w:val="002B27C8"/>
    <w:rsid w:val="002B2A2A"/>
    <w:rsid w:val="002B2A7F"/>
    <w:rsid w:val="002B330B"/>
    <w:rsid w:val="002B39BE"/>
    <w:rsid w:val="002B3CCA"/>
    <w:rsid w:val="002B438C"/>
    <w:rsid w:val="002B47C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1A7A"/>
    <w:rsid w:val="002C2292"/>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C7FB6"/>
    <w:rsid w:val="002D0034"/>
    <w:rsid w:val="002D0845"/>
    <w:rsid w:val="002D0933"/>
    <w:rsid w:val="002D0F45"/>
    <w:rsid w:val="002D1555"/>
    <w:rsid w:val="002D19BB"/>
    <w:rsid w:val="002D1A9B"/>
    <w:rsid w:val="002D1D79"/>
    <w:rsid w:val="002D204A"/>
    <w:rsid w:val="002D20F8"/>
    <w:rsid w:val="002D22BD"/>
    <w:rsid w:val="002D22C5"/>
    <w:rsid w:val="002D2CA7"/>
    <w:rsid w:val="002D302A"/>
    <w:rsid w:val="002D36C6"/>
    <w:rsid w:val="002D3783"/>
    <w:rsid w:val="002D37C1"/>
    <w:rsid w:val="002D416A"/>
    <w:rsid w:val="002D444B"/>
    <w:rsid w:val="002D46B4"/>
    <w:rsid w:val="002D49C2"/>
    <w:rsid w:val="002D4A45"/>
    <w:rsid w:val="002D4B42"/>
    <w:rsid w:val="002D4B43"/>
    <w:rsid w:val="002D5A1B"/>
    <w:rsid w:val="002D6558"/>
    <w:rsid w:val="002D65BC"/>
    <w:rsid w:val="002D6A88"/>
    <w:rsid w:val="002D6AB8"/>
    <w:rsid w:val="002D6C30"/>
    <w:rsid w:val="002D7FEE"/>
    <w:rsid w:val="002E055C"/>
    <w:rsid w:val="002E1050"/>
    <w:rsid w:val="002E107E"/>
    <w:rsid w:val="002E1321"/>
    <w:rsid w:val="002E18E5"/>
    <w:rsid w:val="002E1953"/>
    <w:rsid w:val="002E1C30"/>
    <w:rsid w:val="002E1E37"/>
    <w:rsid w:val="002E2C3F"/>
    <w:rsid w:val="002E2C6A"/>
    <w:rsid w:val="002E2CB5"/>
    <w:rsid w:val="002E2CDE"/>
    <w:rsid w:val="002E2D7D"/>
    <w:rsid w:val="002E32D0"/>
    <w:rsid w:val="002E3580"/>
    <w:rsid w:val="002E3913"/>
    <w:rsid w:val="002E3D76"/>
    <w:rsid w:val="002E40A1"/>
    <w:rsid w:val="002E48EC"/>
    <w:rsid w:val="002E4B44"/>
    <w:rsid w:val="002E4ECB"/>
    <w:rsid w:val="002E4F23"/>
    <w:rsid w:val="002E52E9"/>
    <w:rsid w:val="002E52EF"/>
    <w:rsid w:val="002E635A"/>
    <w:rsid w:val="002E69F1"/>
    <w:rsid w:val="002E6D68"/>
    <w:rsid w:val="002E6E2B"/>
    <w:rsid w:val="002E7340"/>
    <w:rsid w:val="002E7847"/>
    <w:rsid w:val="002E79FB"/>
    <w:rsid w:val="002E7D44"/>
    <w:rsid w:val="002E7F7D"/>
    <w:rsid w:val="002F0073"/>
    <w:rsid w:val="002F1C67"/>
    <w:rsid w:val="002F1CA3"/>
    <w:rsid w:val="002F240B"/>
    <w:rsid w:val="002F2EA9"/>
    <w:rsid w:val="002F2F50"/>
    <w:rsid w:val="002F33EC"/>
    <w:rsid w:val="002F34E3"/>
    <w:rsid w:val="002F3601"/>
    <w:rsid w:val="002F40E2"/>
    <w:rsid w:val="002F45F6"/>
    <w:rsid w:val="002F5A6F"/>
    <w:rsid w:val="002F63EC"/>
    <w:rsid w:val="002F692F"/>
    <w:rsid w:val="002F7031"/>
    <w:rsid w:val="002F7961"/>
    <w:rsid w:val="002F7B66"/>
    <w:rsid w:val="003007B6"/>
    <w:rsid w:val="00300A52"/>
    <w:rsid w:val="00300CB4"/>
    <w:rsid w:val="00300E24"/>
    <w:rsid w:val="00300E67"/>
    <w:rsid w:val="003011D1"/>
    <w:rsid w:val="003018D3"/>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88E"/>
    <w:rsid w:val="00310D01"/>
    <w:rsid w:val="00311376"/>
    <w:rsid w:val="00311A1F"/>
    <w:rsid w:val="00311B47"/>
    <w:rsid w:val="00311D52"/>
    <w:rsid w:val="00312190"/>
    <w:rsid w:val="003125E0"/>
    <w:rsid w:val="0031271D"/>
    <w:rsid w:val="00312828"/>
    <w:rsid w:val="00312B50"/>
    <w:rsid w:val="00312BC7"/>
    <w:rsid w:val="003132BB"/>
    <w:rsid w:val="00313337"/>
    <w:rsid w:val="0031340F"/>
    <w:rsid w:val="00313447"/>
    <w:rsid w:val="00313748"/>
    <w:rsid w:val="00313E4B"/>
    <w:rsid w:val="00313E56"/>
    <w:rsid w:val="00313EA3"/>
    <w:rsid w:val="003151FE"/>
    <w:rsid w:val="00315365"/>
    <w:rsid w:val="00315457"/>
    <w:rsid w:val="003160DB"/>
    <w:rsid w:val="003161A4"/>
    <w:rsid w:val="00316955"/>
    <w:rsid w:val="0031713F"/>
    <w:rsid w:val="0031720A"/>
    <w:rsid w:val="0031749B"/>
    <w:rsid w:val="003174E5"/>
    <w:rsid w:val="00317C9D"/>
    <w:rsid w:val="00317CD2"/>
    <w:rsid w:val="00317D99"/>
    <w:rsid w:val="0032078D"/>
    <w:rsid w:val="00320ADF"/>
    <w:rsid w:val="0032137B"/>
    <w:rsid w:val="00321A01"/>
    <w:rsid w:val="00321A70"/>
    <w:rsid w:val="00321BD6"/>
    <w:rsid w:val="00321CAB"/>
    <w:rsid w:val="00321D25"/>
    <w:rsid w:val="00321FA3"/>
    <w:rsid w:val="0032210B"/>
    <w:rsid w:val="003227D3"/>
    <w:rsid w:val="00322937"/>
    <w:rsid w:val="00322B4C"/>
    <w:rsid w:val="00322CE5"/>
    <w:rsid w:val="00323881"/>
    <w:rsid w:val="00324885"/>
    <w:rsid w:val="00324EAD"/>
    <w:rsid w:val="003251A8"/>
    <w:rsid w:val="003254B1"/>
    <w:rsid w:val="00325AD9"/>
    <w:rsid w:val="00325BDF"/>
    <w:rsid w:val="00325D98"/>
    <w:rsid w:val="0032615B"/>
    <w:rsid w:val="0032682A"/>
    <w:rsid w:val="00326A83"/>
    <w:rsid w:val="00327A5C"/>
    <w:rsid w:val="0033033C"/>
    <w:rsid w:val="00330846"/>
    <w:rsid w:val="0033092C"/>
    <w:rsid w:val="00330EEF"/>
    <w:rsid w:val="0033122A"/>
    <w:rsid w:val="003315AC"/>
    <w:rsid w:val="00331932"/>
    <w:rsid w:val="00331F74"/>
    <w:rsid w:val="00332382"/>
    <w:rsid w:val="00332453"/>
    <w:rsid w:val="0033251B"/>
    <w:rsid w:val="00333A88"/>
    <w:rsid w:val="00334426"/>
    <w:rsid w:val="00335B15"/>
    <w:rsid w:val="00335B21"/>
    <w:rsid w:val="00335D3F"/>
    <w:rsid w:val="00336104"/>
    <w:rsid w:val="003364E6"/>
    <w:rsid w:val="00336729"/>
    <w:rsid w:val="00336CD9"/>
    <w:rsid w:val="0033726D"/>
    <w:rsid w:val="00337C88"/>
    <w:rsid w:val="00337CA8"/>
    <w:rsid w:val="00340978"/>
    <w:rsid w:val="00340D3F"/>
    <w:rsid w:val="0034165B"/>
    <w:rsid w:val="0034174B"/>
    <w:rsid w:val="0034177C"/>
    <w:rsid w:val="003420E9"/>
    <w:rsid w:val="003420F1"/>
    <w:rsid w:val="00342345"/>
    <w:rsid w:val="00342828"/>
    <w:rsid w:val="00342C27"/>
    <w:rsid w:val="003430C8"/>
    <w:rsid w:val="003432C8"/>
    <w:rsid w:val="003434B3"/>
    <w:rsid w:val="00343536"/>
    <w:rsid w:val="00343EFB"/>
    <w:rsid w:val="00344760"/>
    <w:rsid w:val="003454E8"/>
    <w:rsid w:val="00345574"/>
    <w:rsid w:val="003461AC"/>
    <w:rsid w:val="0034680A"/>
    <w:rsid w:val="003468E3"/>
    <w:rsid w:val="00346C62"/>
    <w:rsid w:val="00347202"/>
    <w:rsid w:val="0034778E"/>
    <w:rsid w:val="00347A5A"/>
    <w:rsid w:val="003501E2"/>
    <w:rsid w:val="00351591"/>
    <w:rsid w:val="00351E01"/>
    <w:rsid w:val="00351E10"/>
    <w:rsid w:val="00352583"/>
    <w:rsid w:val="003533F4"/>
    <w:rsid w:val="003536F6"/>
    <w:rsid w:val="003538C2"/>
    <w:rsid w:val="00353C59"/>
    <w:rsid w:val="00353DA6"/>
    <w:rsid w:val="00353DD5"/>
    <w:rsid w:val="00353E8A"/>
    <w:rsid w:val="00354455"/>
    <w:rsid w:val="003550E6"/>
    <w:rsid w:val="00355131"/>
    <w:rsid w:val="003555F9"/>
    <w:rsid w:val="00355F74"/>
    <w:rsid w:val="003560DB"/>
    <w:rsid w:val="003564DB"/>
    <w:rsid w:val="00356F87"/>
    <w:rsid w:val="00357E83"/>
    <w:rsid w:val="00357F95"/>
    <w:rsid w:val="00360A78"/>
    <w:rsid w:val="00360CF3"/>
    <w:rsid w:val="0036148E"/>
    <w:rsid w:val="003616AB"/>
    <w:rsid w:val="0036194D"/>
    <w:rsid w:val="00361A59"/>
    <w:rsid w:val="0036281C"/>
    <w:rsid w:val="00362F5F"/>
    <w:rsid w:val="00363259"/>
    <w:rsid w:val="00363348"/>
    <w:rsid w:val="003633EE"/>
    <w:rsid w:val="00363857"/>
    <w:rsid w:val="00363D59"/>
    <w:rsid w:val="00364062"/>
    <w:rsid w:val="003640F7"/>
    <w:rsid w:val="003647C4"/>
    <w:rsid w:val="00364D82"/>
    <w:rsid w:val="00365026"/>
    <w:rsid w:val="0036594A"/>
    <w:rsid w:val="00365D3A"/>
    <w:rsid w:val="003664FF"/>
    <w:rsid w:val="00366BD2"/>
    <w:rsid w:val="003670B8"/>
    <w:rsid w:val="00367BFE"/>
    <w:rsid w:val="00370084"/>
    <w:rsid w:val="003704A3"/>
    <w:rsid w:val="003706F2"/>
    <w:rsid w:val="0037091B"/>
    <w:rsid w:val="0037124F"/>
    <w:rsid w:val="00371939"/>
    <w:rsid w:val="003722F0"/>
    <w:rsid w:val="00372AED"/>
    <w:rsid w:val="00373827"/>
    <w:rsid w:val="00373BBE"/>
    <w:rsid w:val="00373C7B"/>
    <w:rsid w:val="0037401C"/>
    <w:rsid w:val="0037507B"/>
    <w:rsid w:val="003753FE"/>
    <w:rsid w:val="00375575"/>
    <w:rsid w:val="00375A41"/>
    <w:rsid w:val="00375C7C"/>
    <w:rsid w:val="00377027"/>
    <w:rsid w:val="00377135"/>
    <w:rsid w:val="0037744C"/>
    <w:rsid w:val="00380272"/>
    <w:rsid w:val="003805DB"/>
    <w:rsid w:val="0038152A"/>
    <w:rsid w:val="00382BAD"/>
    <w:rsid w:val="00383579"/>
    <w:rsid w:val="003835FD"/>
    <w:rsid w:val="0038478C"/>
    <w:rsid w:val="00384DF1"/>
    <w:rsid w:val="00384FF3"/>
    <w:rsid w:val="00385FD2"/>
    <w:rsid w:val="00386456"/>
    <w:rsid w:val="003865A9"/>
    <w:rsid w:val="00387440"/>
    <w:rsid w:val="00387621"/>
    <w:rsid w:val="0038775B"/>
    <w:rsid w:val="0039092B"/>
    <w:rsid w:val="00390BD9"/>
    <w:rsid w:val="00390F32"/>
    <w:rsid w:val="00391285"/>
    <w:rsid w:val="0039135E"/>
    <w:rsid w:val="00391C68"/>
    <w:rsid w:val="003924A4"/>
    <w:rsid w:val="0039285D"/>
    <w:rsid w:val="00392B35"/>
    <w:rsid w:val="0039319C"/>
    <w:rsid w:val="00393577"/>
    <w:rsid w:val="00393CAE"/>
    <w:rsid w:val="003945F4"/>
    <w:rsid w:val="00394D45"/>
    <w:rsid w:val="00394EB5"/>
    <w:rsid w:val="003953B4"/>
    <w:rsid w:val="003956DD"/>
    <w:rsid w:val="00395E08"/>
    <w:rsid w:val="00396064"/>
    <w:rsid w:val="0039615F"/>
    <w:rsid w:val="003963B0"/>
    <w:rsid w:val="003966A0"/>
    <w:rsid w:val="00396A29"/>
    <w:rsid w:val="00397FF0"/>
    <w:rsid w:val="003A02BB"/>
    <w:rsid w:val="003A0878"/>
    <w:rsid w:val="003A1561"/>
    <w:rsid w:val="003A162C"/>
    <w:rsid w:val="003A1D25"/>
    <w:rsid w:val="003A2137"/>
    <w:rsid w:val="003A22A2"/>
    <w:rsid w:val="003A2447"/>
    <w:rsid w:val="003A2AA1"/>
    <w:rsid w:val="003A31A5"/>
    <w:rsid w:val="003A329A"/>
    <w:rsid w:val="003A3603"/>
    <w:rsid w:val="003A3696"/>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0441"/>
    <w:rsid w:val="003B07AC"/>
    <w:rsid w:val="003B10A7"/>
    <w:rsid w:val="003B10C7"/>
    <w:rsid w:val="003B1961"/>
    <w:rsid w:val="003B1E57"/>
    <w:rsid w:val="003B2EF3"/>
    <w:rsid w:val="003B319F"/>
    <w:rsid w:val="003B46F3"/>
    <w:rsid w:val="003B487A"/>
    <w:rsid w:val="003B4C61"/>
    <w:rsid w:val="003B534F"/>
    <w:rsid w:val="003B5391"/>
    <w:rsid w:val="003B570B"/>
    <w:rsid w:val="003B58CE"/>
    <w:rsid w:val="003B65D7"/>
    <w:rsid w:val="003B65E0"/>
    <w:rsid w:val="003B6BD4"/>
    <w:rsid w:val="003B6F4D"/>
    <w:rsid w:val="003B6FE7"/>
    <w:rsid w:val="003C0491"/>
    <w:rsid w:val="003C0848"/>
    <w:rsid w:val="003C0B4A"/>
    <w:rsid w:val="003C0C0F"/>
    <w:rsid w:val="003C0D1F"/>
    <w:rsid w:val="003C116A"/>
    <w:rsid w:val="003C19E7"/>
    <w:rsid w:val="003C1AF4"/>
    <w:rsid w:val="003C1CB8"/>
    <w:rsid w:val="003C22DA"/>
    <w:rsid w:val="003C2550"/>
    <w:rsid w:val="003C287F"/>
    <w:rsid w:val="003C3339"/>
    <w:rsid w:val="003C375A"/>
    <w:rsid w:val="003C3857"/>
    <w:rsid w:val="003C397C"/>
    <w:rsid w:val="003C4317"/>
    <w:rsid w:val="003C4D9F"/>
    <w:rsid w:val="003C50A2"/>
    <w:rsid w:val="003C5247"/>
    <w:rsid w:val="003C5417"/>
    <w:rsid w:val="003C5E8A"/>
    <w:rsid w:val="003C622C"/>
    <w:rsid w:val="003C6505"/>
    <w:rsid w:val="003C72A8"/>
    <w:rsid w:val="003C73C7"/>
    <w:rsid w:val="003C7CFB"/>
    <w:rsid w:val="003D020F"/>
    <w:rsid w:val="003D050B"/>
    <w:rsid w:val="003D0B98"/>
    <w:rsid w:val="003D0C3C"/>
    <w:rsid w:val="003D0DE5"/>
    <w:rsid w:val="003D1351"/>
    <w:rsid w:val="003D1795"/>
    <w:rsid w:val="003D1A57"/>
    <w:rsid w:val="003D21C1"/>
    <w:rsid w:val="003D23FE"/>
    <w:rsid w:val="003D31BB"/>
    <w:rsid w:val="003D321B"/>
    <w:rsid w:val="003D34C7"/>
    <w:rsid w:val="003D3B15"/>
    <w:rsid w:val="003D3B2E"/>
    <w:rsid w:val="003D4101"/>
    <w:rsid w:val="003D484D"/>
    <w:rsid w:val="003D49CB"/>
    <w:rsid w:val="003D4A3E"/>
    <w:rsid w:val="003D4CEF"/>
    <w:rsid w:val="003D6B8F"/>
    <w:rsid w:val="003D7566"/>
    <w:rsid w:val="003E0224"/>
    <w:rsid w:val="003E09BB"/>
    <w:rsid w:val="003E159D"/>
    <w:rsid w:val="003E1FB6"/>
    <w:rsid w:val="003E20EA"/>
    <w:rsid w:val="003E210C"/>
    <w:rsid w:val="003E2F55"/>
    <w:rsid w:val="003E34DB"/>
    <w:rsid w:val="003E3833"/>
    <w:rsid w:val="003E3958"/>
    <w:rsid w:val="003E3A92"/>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456"/>
    <w:rsid w:val="003E78DA"/>
    <w:rsid w:val="003E7A8B"/>
    <w:rsid w:val="003F060E"/>
    <w:rsid w:val="003F0B76"/>
    <w:rsid w:val="003F0CB0"/>
    <w:rsid w:val="003F0F7F"/>
    <w:rsid w:val="003F115C"/>
    <w:rsid w:val="003F153A"/>
    <w:rsid w:val="003F20E9"/>
    <w:rsid w:val="003F252F"/>
    <w:rsid w:val="003F300D"/>
    <w:rsid w:val="003F391F"/>
    <w:rsid w:val="003F3D8A"/>
    <w:rsid w:val="003F3F1B"/>
    <w:rsid w:val="003F4599"/>
    <w:rsid w:val="003F45E1"/>
    <w:rsid w:val="003F4F6C"/>
    <w:rsid w:val="003F559E"/>
    <w:rsid w:val="003F6181"/>
    <w:rsid w:val="003F6BFC"/>
    <w:rsid w:val="003F6EAE"/>
    <w:rsid w:val="003F7343"/>
    <w:rsid w:val="003F7400"/>
    <w:rsid w:val="003F7B0F"/>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39"/>
    <w:rsid w:val="00405E87"/>
    <w:rsid w:val="00406000"/>
    <w:rsid w:val="0040602B"/>
    <w:rsid w:val="0040606C"/>
    <w:rsid w:val="004060DC"/>
    <w:rsid w:val="00406DF5"/>
    <w:rsid w:val="00406F35"/>
    <w:rsid w:val="004077D0"/>
    <w:rsid w:val="0040791F"/>
    <w:rsid w:val="00407A7A"/>
    <w:rsid w:val="00407ABC"/>
    <w:rsid w:val="00407F1E"/>
    <w:rsid w:val="00407FD3"/>
    <w:rsid w:val="00410A88"/>
    <w:rsid w:val="00410CC8"/>
    <w:rsid w:val="00411317"/>
    <w:rsid w:val="00411692"/>
    <w:rsid w:val="00411A9E"/>
    <w:rsid w:val="0041259F"/>
    <w:rsid w:val="00412B1B"/>
    <w:rsid w:val="00412B4D"/>
    <w:rsid w:val="00412C51"/>
    <w:rsid w:val="00412E19"/>
    <w:rsid w:val="00413262"/>
    <w:rsid w:val="0041329C"/>
    <w:rsid w:val="0041357C"/>
    <w:rsid w:val="004139F4"/>
    <w:rsid w:val="00413FFA"/>
    <w:rsid w:val="00414246"/>
    <w:rsid w:val="00414452"/>
    <w:rsid w:val="004146FF"/>
    <w:rsid w:val="00414D9A"/>
    <w:rsid w:val="0041507D"/>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476"/>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37E4F"/>
    <w:rsid w:val="00440096"/>
    <w:rsid w:val="004403DD"/>
    <w:rsid w:val="00440AA9"/>
    <w:rsid w:val="00440CF3"/>
    <w:rsid w:val="00440DB0"/>
    <w:rsid w:val="00440DDC"/>
    <w:rsid w:val="00440FAD"/>
    <w:rsid w:val="00440FEF"/>
    <w:rsid w:val="00441291"/>
    <w:rsid w:val="0044176A"/>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622"/>
    <w:rsid w:val="00450846"/>
    <w:rsid w:val="004508A4"/>
    <w:rsid w:val="00450A6B"/>
    <w:rsid w:val="00451A52"/>
    <w:rsid w:val="0045271D"/>
    <w:rsid w:val="00452755"/>
    <w:rsid w:val="00452803"/>
    <w:rsid w:val="004529C6"/>
    <w:rsid w:val="00452EAD"/>
    <w:rsid w:val="004533D1"/>
    <w:rsid w:val="004534D1"/>
    <w:rsid w:val="004535C3"/>
    <w:rsid w:val="00453F88"/>
    <w:rsid w:val="004541BB"/>
    <w:rsid w:val="00454548"/>
    <w:rsid w:val="00454717"/>
    <w:rsid w:val="00454DF8"/>
    <w:rsid w:val="00455004"/>
    <w:rsid w:val="00455047"/>
    <w:rsid w:val="00455354"/>
    <w:rsid w:val="0045558D"/>
    <w:rsid w:val="00455BD3"/>
    <w:rsid w:val="004561EE"/>
    <w:rsid w:val="004563A7"/>
    <w:rsid w:val="004567DA"/>
    <w:rsid w:val="00456970"/>
    <w:rsid w:val="00456BB1"/>
    <w:rsid w:val="00456CD4"/>
    <w:rsid w:val="00456DDB"/>
    <w:rsid w:val="00456E61"/>
    <w:rsid w:val="00456EF0"/>
    <w:rsid w:val="00457031"/>
    <w:rsid w:val="004571B5"/>
    <w:rsid w:val="004578AF"/>
    <w:rsid w:val="0046002B"/>
    <w:rsid w:val="004602C9"/>
    <w:rsid w:val="00460915"/>
    <w:rsid w:val="00460946"/>
    <w:rsid w:val="004614A9"/>
    <w:rsid w:val="00461841"/>
    <w:rsid w:val="00461D5F"/>
    <w:rsid w:val="00461E97"/>
    <w:rsid w:val="0046215C"/>
    <w:rsid w:val="004625DB"/>
    <w:rsid w:val="0046268F"/>
    <w:rsid w:val="0046284F"/>
    <w:rsid w:val="00462B10"/>
    <w:rsid w:val="00462C04"/>
    <w:rsid w:val="0046320A"/>
    <w:rsid w:val="0046324C"/>
    <w:rsid w:val="004633BF"/>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56C"/>
    <w:rsid w:val="004734CF"/>
    <w:rsid w:val="0047586C"/>
    <w:rsid w:val="00475C5A"/>
    <w:rsid w:val="00475C9C"/>
    <w:rsid w:val="00475F0B"/>
    <w:rsid w:val="00476481"/>
    <w:rsid w:val="0047676B"/>
    <w:rsid w:val="0047773C"/>
    <w:rsid w:val="00477B0B"/>
    <w:rsid w:val="00477C5F"/>
    <w:rsid w:val="00480050"/>
    <w:rsid w:val="0048011C"/>
    <w:rsid w:val="004808DE"/>
    <w:rsid w:val="00481AC4"/>
    <w:rsid w:val="00481DC1"/>
    <w:rsid w:val="004823A3"/>
    <w:rsid w:val="00482507"/>
    <w:rsid w:val="0048268A"/>
    <w:rsid w:val="004835CA"/>
    <w:rsid w:val="004835DB"/>
    <w:rsid w:val="004836F8"/>
    <w:rsid w:val="004836FE"/>
    <w:rsid w:val="00483702"/>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6EEB"/>
    <w:rsid w:val="00497463"/>
    <w:rsid w:val="0049764A"/>
    <w:rsid w:val="004A054C"/>
    <w:rsid w:val="004A08D1"/>
    <w:rsid w:val="004A156E"/>
    <w:rsid w:val="004A16C1"/>
    <w:rsid w:val="004A1BA5"/>
    <w:rsid w:val="004A1CE2"/>
    <w:rsid w:val="004A24E3"/>
    <w:rsid w:val="004A34D2"/>
    <w:rsid w:val="004A3F07"/>
    <w:rsid w:val="004A4301"/>
    <w:rsid w:val="004A45E6"/>
    <w:rsid w:val="004A4D93"/>
    <w:rsid w:val="004A4EE1"/>
    <w:rsid w:val="004A52C5"/>
    <w:rsid w:val="004A58EE"/>
    <w:rsid w:val="004A59B7"/>
    <w:rsid w:val="004A6051"/>
    <w:rsid w:val="004A623B"/>
    <w:rsid w:val="004A6A04"/>
    <w:rsid w:val="004A6A52"/>
    <w:rsid w:val="004A70C4"/>
    <w:rsid w:val="004B0049"/>
    <w:rsid w:val="004B0A44"/>
    <w:rsid w:val="004B0F0B"/>
    <w:rsid w:val="004B2197"/>
    <w:rsid w:val="004B298A"/>
    <w:rsid w:val="004B2BB8"/>
    <w:rsid w:val="004B3996"/>
    <w:rsid w:val="004B3B91"/>
    <w:rsid w:val="004B4402"/>
    <w:rsid w:val="004B4C8E"/>
    <w:rsid w:val="004B4E37"/>
    <w:rsid w:val="004B50CB"/>
    <w:rsid w:val="004B578D"/>
    <w:rsid w:val="004B5BE7"/>
    <w:rsid w:val="004B5E2D"/>
    <w:rsid w:val="004B65BE"/>
    <w:rsid w:val="004B6655"/>
    <w:rsid w:val="004B666E"/>
    <w:rsid w:val="004B6C07"/>
    <w:rsid w:val="004B74D3"/>
    <w:rsid w:val="004B755E"/>
    <w:rsid w:val="004B7827"/>
    <w:rsid w:val="004B788E"/>
    <w:rsid w:val="004B7CBA"/>
    <w:rsid w:val="004B7E5D"/>
    <w:rsid w:val="004C0E8C"/>
    <w:rsid w:val="004C16F7"/>
    <w:rsid w:val="004C22F7"/>
    <w:rsid w:val="004C2B27"/>
    <w:rsid w:val="004C3798"/>
    <w:rsid w:val="004C37DC"/>
    <w:rsid w:val="004C3929"/>
    <w:rsid w:val="004C5212"/>
    <w:rsid w:val="004C5CF2"/>
    <w:rsid w:val="004C5EF0"/>
    <w:rsid w:val="004C64C9"/>
    <w:rsid w:val="004C7226"/>
    <w:rsid w:val="004C74C9"/>
    <w:rsid w:val="004C76A0"/>
    <w:rsid w:val="004C7915"/>
    <w:rsid w:val="004C7D70"/>
    <w:rsid w:val="004D02F9"/>
    <w:rsid w:val="004D03FE"/>
    <w:rsid w:val="004D0446"/>
    <w:rsid w:val="004D06A3"/>
    <w:rsid w:val="004D0B20"/>
    <w:rsid w:val="004D0F95"/>
    <w:rsid w:val="004D106A"/>
    <w:rsid w:val="004D1C7E"/>
    <w:rsid w:val="004D245A"/>
    <w:rsid w:val="004D261E"/>
    <w:rsid w:val="004D26A1"/>
    <w:rsid w:val="004D29A3"/>
    <w:rsid w:val="004D2CFF"/>
    <w:rsid w:val="004D31EE"/>
    <w:rsid w:val="004D36AF"/>
    <w:rsid w:val="004D378F"/>
    <w:rsid w:val="004D3BD1"/>
    <w:rsid w:val="004D434D"/>
    <w:rsid w:val="004D4BA1"/>
    <w:rsid w:val="004D584D"/>
    <w:rsid w:val="004D59E8"/>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A66"/>
    <w:rsid w:val="004E2C8B"/>
    <w:rsid w:val="004E2CCF"/>
    <w:rsid w:val="004E34CF"/>
    <w:rsid w:val="004E3B71"/>
    <w:rsid w:val="004E3BD6"/>
    <w:rsid w:val="004E3CDC"/>
    <w:rsid w:val="004E40CE"/>
    <w:rsid w:val="004E4832"/>
    <w:rsid w:val="004E4F11"/>
    <w:rsid w:val="004E5736"/>
    <w:rsid w:val="004E5A3C"/>
    <w:rsid w:val="004E5B36"/>
    <w:rsid w:val="004E5D5D"/>
    <w:rsid w:val="004E6045"/>
    <w:rsid w:val="004E6F43"/>
    <w:rsid w:val="004E7200"/>
    <w:rsid w:val="004E7564"/>
    <w:rsid w:val="004E75BD"/>
    <w:rsid w:val="004E787E"/>
    <w:rsid w:val="004E7AA1"/>
    <w:rsid w:val="004E7D7C"/>
    <w:rsid w:val="004F0805"/>
    <w:rsid w:val="004F0960"/>
    <w:rsid w:val="004F0A5C"/>
    <w:rsid w:val="004F1596"/>
    <w:rsid w:val="004F163F"/>
    <w:rsid w:val="004F18A0"/>
    <w:rsid w:val="004F1A08"/>
    <w:rsid w:val="004F276E"/>
    <w:rsid w:val="004F2B64"/>
    <w:rsid w:val="004F31B8"/>
    <w:rsid w:val="004F35CE"/>
    <w:rsid w:val="004F375E"/>
    <w:rsid w:val="004F3764"/>
    <w:rsid w:val="004F3C06"/>
    <w:rsid w:val="004F3EEF"/>
    <w:rsid w:val="004F4361"/>
    <w:rsid w:val="004F5180"/>
    <w:rsid w:val="004F57C9"/>
    <w:rsid w:val="004F5930"/>
    <w:rsid w:val="004F5970"/>
    <w:rsid w:val="004F5BF8"/>
    <w:rsid w:val="004F5F0C"/>
    <w:rsid w:val="004F6121"/>
    <w:rsid w:val="004F6161"/>
    <w:rsid w:val="004F66BC"/>
    <w:rsid w:val="004F6C26"/>
    <w:rsid w:val="004F7AC9"/>
    <w:rsid w:val="004F7EAB"/>
    <w:rsid w:val="0050062F"/>
    <w:rsid w:val="00500D93"/>
    <w:rsid w:val="00500E74"/>
    <w:rsid w:val="0050160F"/>
    <w:rsid w:val="00502666"/>
    <w:rsid w:val="0050284E"/>
    <w:rsid w:val="0050306F"/>
    <w:rsid w:val="00503EA9"/>
    <w:rsid w:val="00503FC1"/>
    <w:rsid w:val="00504BF2"/>
    <w:rsid w:val="005052B0"/>
    <w:rsid w:val="00505DCB"/>
    <w:rsid w:val="005062B7"/>
    <w:rsid w:val="00506800"/>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6F68"/>
    <w:rsid w:val="00517612"/>
    <w:rsid w:val="00517CFB"/>
    <w:rsid w:val="00517F42"/>
    <w:rsid w:val="00517F85"/>
    <w:rsid w:val="00520235"/>
    <w:rsid w:val="005202BF"/>
    <w:rsid w:val="00520899"/>
    <w:rsid w:val="00520922"/>
    <w:rsid w:val="005209FC"/>
    <w:rsid w:val="00520C09"/>
    <w:rsid w:val="00521A30"/>
    <w:rsid w:val="00521D7C"/>
    <w:rsid w:val="00521F5F"/>
    <w:rsid w:val="005224E5"/>
    <w:rsid w:val="005226EE"/>
    <w:rsid w:val="005238B1"/>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980"/>
    <w:rsid w:val="00530CBA"/>
    <w:rsid w:val="00530F38"/>
    <w:rsid w:val="00531F26"/>
    <w:rsid w:val="0053277C"/>
    <w:rsid w:val="005327C0"/>
    <w:rsid w:val="0053289E"/>
    <w:rsid w:val="005330A4"/>
    <w:rsid w:val="00533101"/>
    <w:rsid w:val="00533CA9"/>
    <w:rsid w:val="005346AD"/>
    <w:rsid w:val="00534CC0"/>
    <w:rsid w:val="00534EFB"/>
    <w:rsid w:val="00534F60"/>
    <w:rsid w:val="00535440"/>
    <w:rsid w:val="005357F1"/>
    <w:rsid w:val="00535D15"/>
    <w:rsid w:val="00535F65"/>
    <w:rsid w:val="00536053"/>
    <w:rsid w:val="005369E6"/>
    <w:rsid w:val="005371AC"/>
    <w:rsid w:val="00537672"/>
    <w:rsid w:val="005376B5"/>
    <w:rsid w:val="0053772F"/>
    <w:rsid w:val="00537A70"/>
    <w:rsid w:val="00537B64"/>
    <w:rsid w:val="00537B77"/>
    <w:rsid w:val="0054033D"/>
    <w:rsid w:val="00540C4C"/>
    <w:rsid w:val="00540DE0"/>
    <w:rsid w:val="00541469"/>
    <w:rsid w:val="00541571"/>
    <w:rsid w:val="0054182C"/>
    <w:rsid w:val="00541B1F"/>
    <w:rsid w:val="00541C9B"/>
    <w:rsid w:val="0054275A"/>
    <w:rsid w:val="005428B8"/>
    <w:rsid w:val="005428BE"/>
    <w:rsid w:val="00542BD7"/>
    <w:rsid w:val="00542C47"/>
    <w:rsid w:val="00543084"/>
    <w:rsid w:val="00543584"/>
    <w:rsid w:val="0054394A"/>
    <w:rsid w:val="00543A9E"/>
    <w:rsid w:val="00543EA0"/>
    <w:rsid w:val="0054413A"/>
    <w:rsid w:val="00544288"/>
    <w:rsid w:val="005446BB"/>
    <w:rsid w:val="00544D65"/>
    <w:rsid w:val="00544DA5"/>
    <w:rsid w:val="00544F43"/>
    <w:rsid w:val="0054511F"/>
    <w:rsid w:val="0054520E"/>
    <w:rsid w:val="00545E30"/>
    <w:rsid w:val="00545EA3"/>
    <w:rsid w:val="00546C9B"/>
    <w:rsid w:val="00547BF6"/>
    <w:rsid w:val="00547FB3"/>
    <w:rsid w:val="00550955"/>
    <w:rsid w:val="005509D1"/>
    <w:rsid w:val="005509F0"/>
    <w:rsid w:val="00550F9A"/>
    <w:rsid w:val="00551098"/>
    <w:rsid w:val="00551598"/>
    <w:rsid w:val="0055162B"/>
    <w:rsid w:val="00551A56"/>
    <w:rsid w:val="00551BFF"/>
    <w:rsid w:val="00551D68"/>
    <w:rsid w:val="00551DFF"/>
    <w:rsid w:val="005525C9"/>
    <w:rsid w:val="005529A4"/>
    <w:rsid w:val="00552B3E"/>
    <w:rsid w:val="00552B61"/>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8D4"/>
    <w:rsid w:val="00560C87"/>
    <w:rsid w:val="00560F51"/>
    <w:rsid w:val="00561249"/>
    <w:rsid w:val="0056143D"/>
    <w:rsid w:val="0056182B"/>
    <w:rsid w:val="00561A25"/>
    <w:rsid w:val="00561A88"/>
    <w:rsid w:val="00561AF3"/>
    <w:rsid w:val="00561E0B"/>
    <w:rsid w:val="00562141"/>
    <w:rsid w:val="00562A13"/>
    <w:rsid w:val="00562D86"/>
    <w:rsid w:val="005640CA"/>
    <w:rsid w:val="00564704"/>
    <w:rsid w:val="00564712"/>
    <w:rsid w:val="00564FC1"/>
    <w:rsid w:val="005650F0"/>
    <w:rsid w:val="005657A8"/>
    <w:rsid w:val="00565952"/>
    <w:rsid w:val="00566334"/>
    <w:rsid w:val="00566866"/>
    <w:rsid w:val="00566ABD"/>
    <w:rsid w:val="00566CDE"/>
    <w:rsid w:val="005670A5"/>
    <w:rsid w:val="005670E1"/>
    <w:rsid w:val="00567285"/>
    <w:rsid w:val="00567723"/>
    <w:rsid w:val="0056772D"/>
    <w:rsid w:val="005678F5"/>
    <w:rsid w:val="00567AB8"/>
    <w:rsid w:val="005701C9"/>
    <w:rsid w:val="00570A26"/>
    <w:rsid w:val="00570CFD"/>
    <w:rsid w:val="00571872"/>
    <w:rsid w:val="00571877"/>
    <w:rsid w:val="00571B87"/>
    <w:rsid w:val="00571E92"/>
    <w:rsid w:val="0057221F"/>
    <w:rsid w:val="00572421"/>
    <w:rsid w:val="00572539"/>
    <w:rsid w:val="00573355"/>
    <w:rsid w:val="0057337D"/>
    <w:rsid w:val="00573504"/>
    <w:rsid w:val="00573BA3"/>
    <w:rsid w:val="00574708"/>
    <w:rsid w:val="00574D81"/>
    <w:rsid w:val="005756AA"/>
    <w:rsid w:val="00575ACE"/>
    <w:rsid w:val="00576409"/>
    <w:rsid w:val="0057696F"/>
    <w:rsid w:val="00576B9A"/>
    <w:rsid w:val="005774FE"/>
    <w:rsid w:val="0058040C"/>
    <w:rsid w:val="00580D6D"/>
    <w:rsid w:val="00580E34"/>
    <w:rsid w:val="00580FD8"/>
    <w:rsid w:val="005813DE"/>
    <w:rsid w:val="00581612"/>
    <w:rsid w:val="00581796"/>
    <w:rsid w:val="00581B45"/>
    <w:rsid w:val="00582480"/>
    <w:rsid w:val="00582805"/>
    <w:rsid w:val="0058290E"/>
    <w:rsid w:val="00582C72"/>
    <w:rsid w:val="00582CAB"/>
    <w:rsid w:val="00582FA6"/>
    <w:rsid w:val="00583243"/>
    <w:rsid w:val="005836D5"/>
    <w:rsid w:val="0058375E"/>
    <w:rsid w:val="00583A43"/>
    <w:rsid w:val="00583D22"/>
    <w:rsid w:val="00584133"/>
    <w:rsid w:val="00584233"/>
    <w:rsid w:val="00584282"/>
    <w:rsid w:val="005842D0"/>
    <w:rsid w:val="005845FB"/>
    <w:rsid w:val="00584F50"/>
    <w:rsid w:val="00585344"/>
    <w:rsid w:val="005855AE"/>
    <w:rsid w:val="00585829"/>
    <w:rsid w:val="00585CA8"/>
    <w:rsid w:val="00585DC0"/>
    <w:rsid w:val="00586412"/>
    <w:rsid w:val="005864B9"/>
    <w:rsid w:val="005866C4"/>
    <w:rsid w:val="00586B65"/>
    <w:rsid w:val="00587D17"/>
    <w:rsid w:val="00590A17"/>
    <w:rsid w:val="00590F1A"/>
    <w:rsid w:val="00590FCE"/>
    <w:rsid w:val="00591070"/>
    <w:rsid w:val="00591C03"/>
    <w:rsid w:val="00591E2A"/>
    <w:rsid w:val="005923C4"/>
    <w:rsid w:val="00592B6F"/>
    <w:rsid w:val="005937BC"/>
    <w:rsid w:val="00593EA2"/>
    <w:rsid w:val="00593F75"/>
    <w:rsid w:val="005940A0"/>
    <w:rsid w:val="005940BC"/>
    <w:rsid w:val="0059429A"/>
    <w:rsid w:val="0059455B"/>
    <w:rsid w:val="00594CBE"/>
    <w:rsid w:val="0059508E"/>
    <w:rsid w:val="00595B12"/>
    <w:rsid w:val="00596AF7"/>
    <w:rsid w:val="00596CCE"/>
    <w:rsid w:val="00596E37"/>
    <w:rsid w:val="0059737C"/>
    <w:rsid w:val="005A094C"/>
    <w:rsid w:val="005A1626"/>
    <w:rsid w:val="005A1976"/>
    <w:rsid w:val="005A2120"/>
    <w:rsid w:val="005A2501"/>
    <w:rsid w:val="005A2C80"/>
    <w:rsid w:val="005A3066"/>
    <w:rsid w:val="005A38E2"/>
    <w:rsid w:val="005A3B35"/>
    <w:rsid w:val="005A3C4B"/>
    <w:rsid w:val="005A3E5A"/>
    <w:rsid w:val="005A3EB3"/>
    <w:rsid w:val="005A3ED9"/>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B20"/>
    <w:rsid w:val="005C0EE9"/>
    <w:rsid w:val="005C1265"/>
    <w:rsid w:val="005C16A8"/>
    <w:rsid w:val="005C1716"/>
    <w:rsid w:val="005C1954"/>
    <w:rsid w:val="005C1C0B"/>
    <w:rsid w:val="005C2011"/>
    <w:rsid w:val="005C27D5"/>
    <w:rsid w:val="005C345A"/>
    <w:rsid w:val="005C3EA3"/>
    <w:rsid w:val="005C44DE"/>
    <w:rsid w:val="005C4E0D"/>
    <w:rsid w:val="005C5011"/>
    <w:rsid w:val="005C5241"/>
    <w:rsid w:val="005C529E"/>
    <w:rsid w:val="005C57BA"/>
    <w:rsid w:val="005C59EC"/>
    <w:rsid w:val="005C5C52"/>
    <w:rsid w:val="005C5D3D"/>
    <w:rsid w:val="005C5E86"/>
    <w:rsid w:val="005C5F05"/>
    <w:rsid w:val="005C5FFF"/>
    <w:rsid w:val="005C6186"/>
    <w:rsid w:val="005C6F7D"/>
    <w:rsid w:val="005C73C1"/>
    <w:rsid w:val="005C74DF"/>
    <w:rsid w:val="005C7E45"/>
    <w:rsid w:val="005C7F3E"/>
    <w:rsid w:val="005D06D3"/>
    <w:rsid w:val="005D082C"/>
    <w:rsid w:val="005D0A72"/>
    <w:rsid w:val="005D0C3B"/>
    <w:rsid w:val="005D1051"/>
    <w:rsid w:val="005D1606"/>
    <w:rsid w:val="005D1754"/>
    <w:rsid w:val="005D2044"/>
    <w:rsid w:val="005D209E"/>
    <w:rsid w:val="005D2748"/>
    <w:rsid w:val="005D2917"/>
    <w:rsid w:val="005D2EB2"/>
    <w:rsid w:val="005D2F48"/>
    <w:rsid w:val="005D35FC"/>
    <w:rsid w:val="005D3B32"/>
    <w:rsid w:val="005D41CD"/>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3B2"/>
    <w:rsid w:val="005E363B"/>
    <w:rsid w:val="005E3736"/>
    <w:rsid w:val="005E3B29"/>
    <w:rsid w:val="005E3C19"/>
    <w:rsid w:val="005E4B72"/>
    <w:rsid w:val="005E52C9"/>
    <w:rsid w:val="005E58A7"/>
    <w:rsid w:val="005E6398"/>
    <w:rsid w:val="005E6680"/>
    <w:rsid w:val="005E681E"/>
    <w:rsid w:val="005E7332"/>
    <w:rsid w:val="005E7BAB"/>
    <w:rsid w:val="005F0997"/>
    <w:rsid w:val="005F2154"/>
    <w:rsid w:val="005F2D8B"/>
    <w:rsid w:val="005F305B"/>
    <w:rsid w:val="005F3361"/>
    <w:rsid w:val="005F3B47"/>
    <w:rsid w:val="005F3C4B"/>
    <w:rsid w:val="005F4481"/>
    <w:rsid w:val="005F47AC"/>
    <w:rsid w:val="005F49AF"/>
    <w:rsid w:val="005F4A50"/>
    <w:rsid w:val="005F4A58"/>
    <w:rsid w:val="005F54DF"/>
    <w:rsid w:val="005F5888"/>
    <w:rsid w:val="005F5984"/>
    <w:rsid w:val="005F5BB6"/>
    <w:rsid w:val="005F5EAB"/>
    <w:rsid w:val="005F65F9"/>
    <w:rsid w:val="005F670E"/>
    <w:rsid w:val="005F6CE2"/>
    <w:rsid w:val="005F6EC8"/>
    <w:rsid w:val="005F6F24"/>
    <w:rsid w:val="005F72E9"/>
    <w:rsid w:val="005F76A9"/>
    <w:rsid w:val="005F780B"/>
    <w:rsid w:val="00600473"/>
    <w:rsid w:val="00601162"/>
    <w:rsid w:val="0060139A"/>
    <w:rsid w:val="006013C9"/>
    <w:rsid w:val="00601AA8"/>
    <w:rsid w:val="00601B03"/>
    <w:rsid w:val="00602931"/>
    <w:rsid w:val="00602B45"/>
    <w:rsid w:val="006030B7"/>
    <w:rsid w:val="00603499"/>
    <w:rsid w:val="006035F5"/>
    <w:rsid w:val="0060384D"/>
    <w:rsid w:val="00603CC2"/>
    <w:rsid w:val="006046FA"/>
    <w:rsid w:val="006047D1"/>
    <w:rsid w:val="006048A4"/>
    <w:rsid w:val="00604906"/>
    <w:rsid w:val="00604A55"/>
    <w:rsid w:val="00604D4E"/>
    <w:rsid w:val="00604E3E"/>
    <w:rsid w:val="00605511"/>
    <w:rsid w:val="00605AC3"/>
    <w:rsid w:val="00606908"/>
    <w:rsid w:val="00606E08"/>
    <w:rsid w:val="006075FF"/>
    <w:rsid w:val="00607996"/>
    <w:rsid w:val="00607A37"/>
    <w:rsid w:val="00607E9F"/>
    <w:rsid w:val="0061085E"/>
    <w:rsid w:val="00611398"/>
    <w:rsid w:val="006113B4"/>
    <w:rsid w:val="0061186D"/>
    <w:rsid w:val="0061207E"/>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1B"/>
    <w:rsid w:val="00616D7F"/>
    <w:rsid w:val="00616F2D"/>
    <w:rsid w:val="006172ED"/>
    <w:rsid w:val="006178D1"/>
    <w:rsid w:val="00620719"/>
    <w:rsid w:val="006212C9"/>
    <w:rsid w:val="00621D0C"/>
    <w:rsid w:val="00621E89"/>
    <w:rsid w:val="00622229"/>
    <w:rsid w:val="00622401"/>
    <w:rsid w:val="00622470"/>
    <w:rsid w:val="00622725"/>
    <w:rsid w:val="00622B63"/>
    <w:rsid w:val="00622E4B"/>
    <w:rsid w:val="006231AA"/>
    <w:rsid w:val="00623482"/>
    <w:rsid w:val="00623AC2"/>
    <w:rsid w:val="00623EBC"/>
    <w:rsid w:val="006247A6"/>
    <w:rsid w:val="00624A8E"/>
    <w:rsid w:val="00625642"/>
    <w:rsid w:val="00625DF2"/>
    <w:rsid w:val="00626182"/>
    <w:rsid w:val="006266D7"/>
    <w:rsid w:val="0062691F"/>
    <w:rsid w:val="00626D42"/>
    <w:rsid w:val="00626EE3"/>
    <w:rsid w:val="006274AD"/>
    <w:rsid w:val="00627519"/>
    <w:rsid w:val="00627532"/>
    <w:rsid w:val="006302AA"/>
    <w:rsid w:val="006310C3"/>
    <w:rsid w:val="0063148B"/>
    <w:rsid w:val="0063161E"/>
    <w:rsid w:val="00631BB5"/>
    <w:rsid w:val="00631DCA"/>
    <w:rsid w:val="00631DD0"/>
    <w:rsid w:val="00632923"/>
    <w:rsid w:val="00632A52"/>
    <w:rsid w:val="00632CBF"/>
    <w:rsid w:val="00633170"/>
    <w:rsid w:val="006333B8"/>
    <w:rsid w:val="00633B54"/>
    <w:rsid w:val="00633DBF"/>
    <w:rsid w:val="00634122"/>
    <w:rsid w:val="0063444B"/>
    <w:rsid w:val="00634537"/>
    <w:rsid w:val="00635B99"/>
    <w:rsid w:val="00635E32"/>
    <w:rsid w:val="006360FC"/>
    <w:rsid w:val="006361C9"/>
    <w:rsid w:val="006365DE"/>
    <w:rsid w:val="00636BE4"/>
    <w:rsid w:val="00636E4D"/>
    <w:rsid w:val="00636F88"/>
    <w:rsid w:val="00636FFF"/>
    <w:rsid w:val="0063732C"/>
    <w:rsid w:val="00637802"/>
    <w:rsid w:val="00637836"/>
    <w:rsid w:val="0063798D"/>
    <w:rsid w:val="00637C26"/>
    <w:rsid w:val="00637F44"/>
    <w:rsid w:val="00640A06"/>
    <w:rsid w:val="00640E20"/>
    <w:rsid w:val="00640E88"/>
    <w:rsid w:val="00641078"/>
    <w:rsid w:val="00641242"/>
    <w:rsid w:val="00641778"/>
    <w:rsid w:val="00642126"/>
    <w:rsid w:val="006421B6"/>
    <w:rsid w:val="00642A32"/>
    <w:rsid w:val="00642F7C"/>
    <w:rsid w:val="006433D5"/>
    <w:rsid w:val="00643412"/>
    <w:rsid w:val="00643D85"/>
    <w:rsid w:val="00643ECC"/>
    <w:rsid w:val="00645B84"/>
    <w:rsid w:val="00645CEB"/>
    <w:rsid w:val="00645E63"/>
    <w:rsid w:val="00646027"/>
    <w:rsid w:val="00646A4B"/>
    <w:rsid w:val="00646B20"/>
    <w:rsid w:val="00646B27"/>
    <w:rsid w:val="00646D0F"/>
    <w:rsid w:val="0064772E"/>
    <w:rsid w:val="00647821"/>
    <w:rsid w:val="00647A36"/>
    <w:rsid w:val="00647DCC"/>
    <w:rsid w:val="00647EFA"/>
    <w:rsid w:val="00647F14"/>
    <w:rsid w:val="00650027"/>
    <w:rsid w:val="00650E89"/>
    <w:rsid w:val="0065163D"/>
    <w:rsid w:val="00651B9C"/>
    <w:rsid w:val="00651C47"/>
    <w:rsid w:val="00652E70"/>
    <w:rsid w:val="0065339A"/>
    <w:rsid w:val="00653469"/>
    <w:rsid w:val="00653D1B"/>
    <w:rsid w:val="0065443A"/>
    <w:rsid w:val="00654A38"/>
    <w:rsid w:val="00655301"/>
    <w:rsid w:val="00655371"/>
    <w:rsid w:val="00655507"/>
    <w:rsid w:val="00656354"/>
    <w:rsid w:val="006564A5"/>
    <w:rsid w:val="00656C4B"/>
    <w:rsid w:val="006572A7"/>
    <w:rsid w:val="006573EA"/>
    <w:rsid w:val="006577C9"/>
    <w:rsid w:val="00657AC6"/>
    <w:rsid w:val="00660510"/>
    <w:rsid w:val="006606A4"/>
    <w:rsid w:val="00661029"/>
    <w:rsid w:val="006610C3"/>
    <w:rsid w:val="00661118"/>
    <w:rsid w:val="0066135A"/>
    <w:rsid w:val="00661A38"/>
    <w:rsid w:val="0066272D"/>
    <w:rsid w:val="0066276E"/>
    <w:rsid w:val="00662E58"/>
    <w:rsid w:val="00662F39"/>
    <w:rsid w:val="006630F1"/>
    <w:rsid w:val="006634B2"/>
    <w:rsid w:val="006635A0"/>
    <w:rsid w:val="00663855"/>
    <w:rsid w:val="00663D26"/>
    <w:rsid w:val="00664351"/>
    <w:rsid w:val="0066453F"/>
    <w:rsid w:val="00664C22"/>
    <w:rsid w:val="00664D0E"/>
    <w:rsid w:val="00665968"/>
    <w:rsid w:val="00665BF7"/>
    <w:rsid w:val="0066609C"/>
    <w:rsid w:val="006660F0"/>
    <w:rsid w:val="00666178"/>
    <w:rsid w:val="0066639E"/>
    <w:rsid w:val="00666473"/>
    <w:rsid w:val="006666B4"/>
    <w:rsid w:val="00666B49"/>
    <w:rsid w:val="00666C72"/>
    <w:rsid w:val="00666E6C"/>
    <w:rsid w:val="00666F3D"/>
    <w:rsid w:val="0066707F"/>
    <w:rsid w:val="00667E62"/>
    <w:rsid w:val="00667ED8"/>
    <w:rsid w:val="0067064C"/>
    <w:rsid w:val="00670B0F"/>
    <w:rsid w:val="00670B20"/>
    <w:rsid w:val="00670E12"/>
    <w:rsid w:val="00670F27"/>
    <w:rsid w:val="00671C52"/>
    <w:rsid w:val="00672957"/>
    <w:rsid w:val="00672E80"/>
    <w:rsid w:val="00673047"/>
    <w:rsid w:val="0067333F"/>
    <w:rsid w:val="006739E4"/>
    <w:rsid w:val="00673ECF"/>
    <w:rsid w:val="0067413D"/>
    <w:rsid w:val="0067426B"/>
    <w:rsid w:val="00674A1B"/>
    <w:rsid w:val="00674D08"/>
    <w:rsid w:val="00674F1C"/>
    <w:rsid w:val="006754F8"/>
    <w:rsid w:val="00675B0D"/>
    <w:rsid w:val="00676127"/>
    <w:rsid w:val="00676134"/>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462"/>
    <w:rsid w:val="0068497A"/>
    <w:rsid w:val="006849A8"/>
    <w:rsid w:val="00684C0D"/>
    <w:rsid w:val="00684C8A"/>
    <w:rsid w:val="00684CF5"/>
    <w:rsid w:val="0068541F"/>
    <w:rsid w:val="0068553E"/>
    <w:rsid w:val="00685A9D"/>
    <w:rsid w:val="00685D37"/>
    <w:rsid w:val="00685E7B"/>
    <w:rsid w:val="00686551"/>
    <w:rsid w:val="00686CAB"/>
    <w:rsid w:val="0068717F"/>
    <w:rsid w:val="006871CC"/>
    <w:rsid w:val="0068730C"/>
    <w:rsid w:val="00687504"/>
    <w:rsid w:val="00687A14"/>
    <w:rsid w:val="00687A8C"/>
    <w:rsid w:val="006905C0"/>
    <w:rsid w:val="00690839"/>
    <w:rsid w:val="006908DB"/>
    <w:rsid w:val="00690DE9"/>
    <w:rsid w:val="00691563"/>
    <w:rsid w:val="00691DE9"/>
    <w:rsid w:val="00691EAA"/>
    <w:rsid w:val="00692245"/>
    <w:rsid w:val="00692745"/>
    <w:rsid w:val="00692C4D"/>
    <w:rsid w:val="00692FFA"/>
    <w:rsid w:val="006933BD"/>
    <w:rsid w:val="00693772"/>
    <w:rsid w:val="00693984"/>
    <w:rsid w:val="00693B77"/>
    <w:rsid w:val="00694160"/>
    <w:rsid w:val="00694BC8"/>
    <w:rsid w:val="00694E8B"/>
    <w:rsid w:val="006959A5"/>
    <w:rsid w:val="00695C0C"/>
    <w:rsid w:val="00696736"/>
    <w:rsid w:val="00696A05"/>
    <w:rsid w:val="006971C0"/>
    <w:rsid w:val="00697665"/>
    <w:rsid w:val="00697C9A"/>
    <w:rsid w:val="00697E68"/>
    <w:rsid w:val="00697FC1"/>
    <w:rsid w:val="006A0274"/>
    <w:rsid w:val="006A0BCE"/>
    <w:rsid w:val="006A0D57"/>
    <w:rsid w:val="006A1F43"/>
    <w:rsid w:val="006A27BC"/>
    <w:rsid w:val="006A2A43"/>
    <w:rsid w:val="006A2BF1"/>
    <w:rsid w:val="006A2EDF"/>
    <w:rsid w:val="006A2F9A"/>
    <w:rsid w:val="006A34E4"/>
    <w:rsid w:val="006A3A5A"/>
    <w:rsid w:val="006A44CF"/>
    <w:rsid w:val="006A457D"/>
    <w:rsid w:val="006A4C06"/>
    <w:rsid w:val="006A5037"/>
    <w:rsid w:val="006A55EE"/>
    <w:rsid w:val="006A575B"/>
    <w:rsid w:val="006A59DE"/>
    <w:rsid w:val="006A64C6"/>
    <w:rsid w:val="006A6655"/>
    <w:rsid w:val="006A6BF9"/>
    <w:rsid w:val="006A7AB8"/>
    <w:rsid w:val="006A7B43"/>
    <w:rsid w:val="006A7CB5"/>
    <w:rsid w:val="006A7FD0"/>
    <w:rsid w:val="006B025C"/>
    <w:rsid w:val="006B08ED"/>
    <w:rsid w:val="006B0B66"/>
    <w:rsid w:val="006B143B"/>
    <w:rsid w:val="006B2170"/>
    <w:rsid w:val="006B21A7"/>
    <w:rsid w:val="006B2534"/>
    <w:rsid w:val="006B2CB2"/>
    <w:rsid w:val="006B3219"/>
    <w:rsid w:val="006B347D"/>
    <w:rsid w:val="006B3505"/>
    <w:rsid w:val="006B3E19"/>
    <w:rsid w:val="006B4488"/>
    <w:rsid w:val="006B4D5D"/>
    <w:rsid w:val="006B4F56"/>
    <w:rsid w:val="006B50C4"/>
    <w:rsid w:val="006B53AE"/>
    <w:rsid w:val="006B58B4"/>
    <w:rsid w:val="006B5D09"/>
    <w:rsid w:val="006B65A0"/>
    <w:rsid w:val="006B67AC"/>
    <w:rsid w:val="006B6FD5"/>
    <w:rsid w:val="006B786A"/>
    <w:rsid w:val="006B7E4E"/>
    <w:rsid w:val="006C003A"/>
    <w:rsid w:val="006C0D2C"/>
    <w:rsid w:val="006C1008"/>
    <w:rsid w:val="006C107C"/>
    <w:rsid w:val="006C108F"/>
    <w:rsid w:val="006C189C"/>
    <w:rsid w:val="006C1B85"/>
    <w:rsid w:val="006C2454"/>
    <w:rsid w:val="006C2551"/>
    <w:rsid w:val="006C35E5"/>
    <w:rsid w:val="006C37CA"/>
    <w:rsid w:val="006C3BEC"/>
    <w:rsid w:val="006C40D2"/>
    <w:rsid w:val="006C452E"/>
    <w:rsid w:val="006C4B85"/>
    <w:rsid w:val="006C4BBD"/>
    <w:rsid w:val="006C5334"/>
    <w:rsid w:val="006C551E"/>
    <w:rsid w:val="006C58C1"/>
    <w:rsid w:val="006C5B15"/>
    <w:rsid w:val="006C5D32"/>
    <w:rsid w:val="006C5DCB"/>
    <w:rsid w:val="006C6475"/>
    <w:rsid w:val="006C663B"/>
    <w:rsid w:val="006C70C4"/>
    <w:rsid w:val="006C741F"/>
    <w:rsid w:val="006D04DA"/>
    <w:rsid w:val="006D107A"/>
    <w:rsid w:val="006D10F6"/>
    <w:rsid w:val="006D1338"/>
    <w:rsid w:val="006D1544"/>
    <w:rsid w:val="006D1688"/>
    <w:rsid w:val="006D1A43"/>
    <w:rsid w:val="006D1BE1"/>
    <w:rsid w:val="006D1DD3"/>
    <w:rsid w:val="006D1FF3"/>
    <w:rsid w:val="006D22F8"/>
    <w:rsid w:val="006D2C65"/>
    <w:rsid w:val="006D32C6"/>
    <w:rsid w:val="006D360E"/>
    <w:rsid w:val="006D3697"/>
    <w:rsid w:val="006D39D2"/>
    <w:rsid w:val="006D3A94"/>
    <w:rsid w:val="006D3F2A"/>
    <w:rsid w:val="006D4370"/>
    <w:rsid w:val="006D46A3"/>
    <w:rsid w:val="006D4BF0"/>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E4C"/>
    <w:rsid w:val="006E359B"/>
    <w:rsid w:val="006E39D1"/>
    <w:rsid w:val="006E3A8B"/>
    <w:rsid w:val="006E3B05"/>
    <w:rsid w:val="006E426C"/>
    <w:rsid w:val="006E437F"/>
    <w:rsid w:val="006E4D5B"/>
    <w:rsid w:val="006E597D"/>
    <w:rsid w:val="006E602F"/>
    <w:rsid w:val="006E6642"/>
    <w:rsid w:val="006E6720"/>
    <w:rsid w:val="006E70A7"/>
    <w:rsid w:val="006E7275"/>
    <w:rsid w:val="006E74E9"/>
    <w:rsid w:val="006E77B8"/>
    <w:rsid w:val="006E7AAF"/>
    <w:rsid w:val="006F06B8"/>
    <w:rsid w:val="006F0F74"/>
    <w:rsid w:val="006F13BA"/>
    <w:rsid w:val="006F15CC"/>
    <w:rsid w:val="006F15F6"/>
    <w:rsid w:val="006F1F5E"/>
    <w:rsid w:val="006F2183"/>
    <w:rsid w:val="006F36EA"/>
    <w:rsid w:val="006F4147"/>
    <w:rsid w:val="006F4315"/>
    <w:rsid w:val="006F4CB0"/>
    <w:rsid w:val="006F4F78"/>
    <w:rsid w:val="006F50E0"/>
    <w:rsid w:val="006F547E"/>
    <w:rsid w:val="006F5CCF"/>
    <w:rsid w:val="006F6F04"/>
    <w:rsid w:val="006F71F5"/>
    <w:rsid w:val="006F789D"/>
    <w:rsid w:val="007000A6"/>
    <w:rsid w:val="00700610"/>
    <w:rsid w:val="0070138A"/>
    <w:rsid w:val="0070157E"/>
    <w:rsid w:val="0070167A"/>
    <w:rsid w:val="00701D0B"/>
    <w:rsid w:val="00702F88"/>
    <w:rsid w:val="007030D4"/>
    <w:rsid w:val="0070323F"/>
    <w:rsid w:val="00703279"/>
    <w:rsid w:val="00703281"/>
    <w:rsid w:val="00703B61"/>
    <w:rsid w:val="00703E11"/>
    <w:rsid w:val="00704102"/>
    <w:rsid w:val="0070437C"/>
    <w:rsid w:val="0070461C"/>
    <w:rsid w:val="00704B4E"/>
    <w:rsid w:val="00704E16"/>
    <w:rsid w:val="00705631"/>
    <w:rsid w:val="007057B4"/>
    <w:rsid w:val="00705818"/>
    <w:rsid w:val="00705D53"/>
    <w:rsid w:val="00705F62"/>
    <w:rsid w:val="00706BC6"/>
    <w:rsid w:val="007075EC"/>
    <w:rsid w:val="0070773F"/>
    <w:rsid w:val="00707A2E"/>
    <w:rsid w:val="00707C5A"/>
    <w:rsid w:val="00707CA0"/>
    <w:rsid w:val="00707DF7"/>
    <w:rsid w:val="00707ED3"/>
    <w:rsid w:val="007101B7"/>
    <w:rsid w:val="00710668"/>
    <w:rsid w:val="00711019"/>
    <w:rsid w:val="007110F4"/>
    <w:rsid w:val="007112B1"/>
    <w:rsid w:val="0071130F"/>
    <w:rsid w:val="00711C25"/>
    <w:rsid w:val="00712714"/>
    <w:rsid w:val="007129AB"/>
    <w:rsid w:val="00712B63"/>
    <w:rsid w:val="00713526"/>
    <w:rsid w:val="00713FC5"/>
    <w:rsid w:val="00714BF3"/>
    <w:rsid w:val="00714DCA"/>
    <w:rsid w:val="007152C3"/>
    <w:rsid w:val="0071571C"/>
    <w:rsid w:val="0071587F"/>
    <w:rsid w:val="00715BBF"/>
    <w:rsid w:val="00715C29"/>
    <w:rsid w:val="00715CBD"/>
    <w:rsid w:val="00715EAA"/>
    <w:rsid w:val="00716119"/>
    <w:rsid w:val="007161B9"/>
    <w:rsid w:val="007162E1"/>
    <w:rsid w:val="00716497"/>
    <w:rsid w:val="00716630"/>
    <w:rsid w:val="0071685D"/>
    <w:rsid w:val="007169ED"/>
    <w:rsid w:val="00716CAD"/>
    <w:rsid w:val="00716E08"/>
    <w:rsid w:val="00716F18"/>
    <w:rsid w:val="00717363"/>
    <w:rsid w:val="00717390"/>
    <w:rsid w:val="007176A4"/>
    <w:rsid w:val="00717786"/>
    <w:rsid w:val="00717ACB"/>
    <w:rsid w:val="00717BBC"/>
    <w:rsid w:val="007206FC"/>
    <w:rsid w:val="00720DAF"/>
    <w:rsid w:val="0072138B"/>
    <w:rsid w:val="00721BFF"/>
    <w:rsid w:val="0072220F"/>
    <w:rsid w:val="0072251D"/>
    <w:rsid w:val="00722C77"/>
    <w:rsid w:val="00723475"/>
    <w:rsid w:val="007236C4"/>
    <w:rsid w:val="00723905"/>
    <w:rsid w:val="00724635"/>
    <w:rsid w:val="00724D42"/>
    <w:rsid w:val="00724F21"/>
    <w:rsid w:val="00724FBB"/>
    <w:rsid w:val="00725134"/>
    <w:rsid w:val="0072554B"/>
    <w:rsid w:val="0072571F"/>
    <w:rsid w:val="007257F3"/>
    <w:rsid w:val="00725AFD"/>
    <w:rsid w:val="00725D0B"/>
    <w:rsid w:val="00726603"/>
    <w:rsid w:val="007266AC"/>
    <w:rsid w:val="00726B12"/>
    <w:rsid w:val="00727936"/>
    <w:rsid w:val="00727B1D"/>
    <w:rsid w:val="00727DDC"/>
    <w:rsid w:val="007304C4"/>
    <w:rsid w:val="00730CD6"/>
    <w:rsid w:val="00730F74"/>
    <w:rsid w:val="0073114B"/>
    <w:rsid w:val="007319F8"/>
    <w:rsid w:val="00731D98"/>
    <w:rsid w:val="00732151"/>
    <w:rsid w:val="00732686"/>
    <w:rsid w:val="00732EBC"/>
    <w:rsid w:val="0073311E"/>
    <w:rsid w:val="00734952"/>
    <w:rsid w:val="00734990"/>
    <w:rsid w:val="00734FF5"/>
    <w:rsid w:val="00735287"/>
    <w:rsid w:val="00735B78"/>
    <w:rsid w:val="00735DA7"/>
    <w:rsid w:val="00736700"/>
    <w:rsid w:val="007368B4"/>
    <w:rsid w:val="007374E1"/>
    <w:rsid w:val="007378E0"/>
    <w:rsid w:val="0074040E"/>
    <w:rsid w:val="00740529"/>
    <w:rsid w:val="00740876"/>
    <w:rsid w:val="00741358"/>
    <w:rsid w:val="00741626"/>
    <w:rsid w:val="00742332"/>
    <w:rsid w:val="00742886"/>
    <w:rsid w:val="00742DD2"/>
    <w:rsid w:val="007437C6"/>
    <w:rsid w:val="00743854"/>
    <w:rsid w:val="00743CFF"/>
    <w:rsid w:val="007441A2"/>
    <w:rsid w:val="00744AA7"/>
    <w:rsid w:val="00744E80"/>
    <w:rsid w:val="00745035"/>
    <w:rsid w:val="0074531C"/>
    <w:rsid w:val="00745547"/>
    <w:rsid w:val="007459D0"/>
    <w:rsid w:val="0074623A"/>
    <w:rsid w:val="00746420"/>
    <w:rsid w:val="0074664F"/>
    <w:rsid w:val="00746A60"/>
    <w:rsid w:val="00746E04"/>
    <w:rsid w:val="00746E08"/>
    <w:rsid w:val="00746E3D"/>
    <w:rsid w:val="00746F32"/>
    <w:rsid w:val="007473B9"/>
    <w:rsid w:val="00747570"/>
    <w:rsid w:val="00747C96"/>
    <w:rsid w:val="00747EC7"/>
    <w:rsid w:val="00750075"/>
    <w:rsid w:val="007502EC"/>
    <w:rsid w:val="00750382"/>
    <w:rsid w:val="0075094E"/>
    <w:rsid w:val="00750BDD"/>
    <w:rsid w:val="00750FA8"/>
    <w:rsid w:val="00750FB5"/>
    <w:rsid w:val="00751571"/>
    <w:rsid w:val="007518B9"/>
    <w:rsid w:val="00751AE6"/>
    <w:rsid w:val="00751F1A"/>
    <w:rsid w:val="007520F0"/>
    <w:rsid w:val="007522E8"/>
    <w:rsid w:val="007529DB"/>
    <w:rsid w:val="00752C1F"/>
    <w:rsid w:val="00753210"/>
    <w:rsid w:val="007534AD"/>
    <w:rsid w:val="007534C3"/>
    <w:rsid w:val="007535E9"/>
    <w:rsid w:val="00753A21"/>
    <w:rsid w:val="00753BAC"/>
    <w:rsid w:val="0075463B"/>
    <w:rsid w:val="00754A0B"/>
    <w:rsid w:val="00754D46"/>
    <w:rsid w:val="00754E6B"/>
    <w:rsid w:val="00755229"/>
    <w:rsid w:val="007552DB"/>
    <w:rsid w:val="0075549F"/>
    <w:rsid w:val="00755B08"/>
    <w:rsid w:val="00755D5D"/>
    <w:rsid w:val="00755DD0"/>
    <w:rsid w:val="0075647A"/>
    <w:rsid w:val="00756A2F"/>
    <w:rsid w:val="007573E1"/>
    <w:rsid w:val="0075749E"/>
    <w:rsid w:val="007575F9"/>
    <w:rsid w:val="00757722"/>
    <w:rsid w:val="0075792B"/>
    <w:rsid w:val="00757B29"/>
    <w:rsid w:val="00757B2D"/>
    <w:rsid w:val="00757BAD"/>
    <w:rsid w:val="00757D62"/>
    <w:rsid w:val="00760021"/>
    <w:rsid w:val="00760561"/>
    <w:rsid w:val="00760867"/>
    <w:rsid w:val="00760EB6"/>
    <w:rsid w:val="007616DB"/>
    <w:rsid w:val="00761AB7"/>
    <w:rsid w:val="00761CE6"/>
    <w:rsid w:val="00761E08"/>
    <w:rsid w:val="0076228A"/>
    <w:rsid w:val="00762440"/>
    <w:rsid w:val="00762499"/>
    <w:rsid w:val="0076275B"/>
    <w:rsid w:val="0076298E"/>
    <w:rsid w:val="007629B7"/>
    <w:rsid w:val="00762E60"/>
    <w:rsid w:val="007634AD"/>
    <w:rsid w:val="00763850"/>
    <w:rsid w:val="0076445F"/>
    <w:rsid w:val="00764EC5"/>
    <w:rsid w:val="007651EF"/>
    <w:rsid w:val="00766BCB"/>
    <w:rsid w:val="00766D49"/>
    <w:rsid w:val="00766ECC"/>
    <w:rsid w:val="007672F3"/>
    <w:rsid w:val="0076735A"/>
    <w:rsid w:val="007677B5"/>
    <w:rsid w:val="007678B1"/>
    <w:rsid w:val="00770566"/>
    <w:rsid w:val="007708A8"/>
    <w:rsid w:val="00770A83"/>
    <w:rsid w:val="00770F8B"/>
    <w:rsid w:val="00771358"/>
    <w:rsid w:val="00772054"/>
    <w:rsid w:val="00772100"/>
    <w:rsid w:val="00772275"/>
    <w:rsid w:val="00772D59"/>
    <w:rsid w:val="007734E4"/>
    <w:rsid w:val="0077380D"/>
    <w:rsid w:val="00773BC8"/>
    <w:rsid w:val="00774549"/>
    <w:rsid w:val="0077466F"/>
    <w:rsid w:val="007752B7"/>
    <w:rsid w:val="007759A8"/>
    <w:rsid w:val="00775C27"/>
    <w:rsid w:val="00775D98"/>
    <w:rsid w:val="00776A53"/>
    <w:rsid w:val="00776B93"/>
    <w:rsid w:val="00776FE5"/>
    <w:rsid w:val="00777101"/>
    <w:rsid w:val="007774E7"/>
    <w:rsid w:val="0077768C"/>
    <w:rsid w:val="00777696"/>
    <w:rsid w:val="00777EDF"/>
    <w:rsid w:val="00777FF4"/>
    <w:rsid w:val="00780251"/>
    <w:rsid w:val="007804FE"/>
    <w:rsid w:val="00780BA7"/>
    <w:rsid w:val="00780F32"/>
    <w:rsid w:val="0078122E"/>
    <w:rsid w:val="00781939"/>
    <w:rsid w:val="00781D29"/>
    <w:rsid w:val="007825EF"/>
    <w:rsid w:val="0078286B"/>
    <w:rsid w:val="007828A0"/>
    <w:rsid w:val="00782D2C"/>
    <w:rsid w:val="00782EBC"/>
    <w:rsid w:val="00782FC2"/>
    <w:rsid w:val="007832D1"/>
    <w:rsid w:val="0078347A"/>
    <w:rsid w:val="00783A42"/>
    <w:rsid w:val="00784938"/>
    <w:rsid w:val="00784FC4"/>
    <w:rsid w:val="0078532E"/>
    <w:rsid w:val="0078589A"/>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26BD"/>
    <w:rsid w:val="007930D3"/>
    <w:rsid w:val="007932C8"/>
    <w:rsid w:val="00793418"/>
    <w:rsid w:val="00793750"/>
    <w:rsid w:val="0079381F"/>
    <w:rsid w:val="00793A57"/>
    <w:rsid w:val="00793B2E"/>
    <w:rsid w:val="007948F5"/>
    <w:rsid w:val="00794AFB"/>
    <w:rsid w:val="00794DD2"/>
    <w:rsid w:val="00795647"/>
    <w:rsid w:val="00795E92"/>
    <w:rsid w:val="007963F6"/>
    <w:rsid w:val="00796A5C"/>
    <w:rsid w:val="00796DC8"/>
    <w:rsid w:val="00796E80"/>
    <w:rsid w:val="0079744F"/>
    <w:rsid w:val="0079776F"/>
    <w:rsid w:val="007979AD"/>
    <w:rsid w:val="00797A9C"/>
    <w:rsid w:val="007A0EAB"/>
    <w:rsid w:val="007A11A0"/>
    <w:rsid w:val="007A2341"/>
    <w:rsid w:val="007A238D"/>
    <w:rsid w:val="007A2754"/>
    <w:rsid w:val="007A38A1"/>
    <w:rsid w:val="007A3BBE"/>
    <w:rsid w:val="007A4766"/>
    <w:rsid w:val="007A4E33"/>
    <w:rsid w:val="007A5300"/>
    <w:rsid w:val="007A5947"/>
    <w:rsid w:val="007A717B"/>
    <w:rsid w:val="007A7714"/>
    <w:rsid w:val="007B013C"/>
    <w:rsid w:val="007B02AF"/>
    <w:rsid w:val="007B0313"/>
    <w:rsid w:val="007B06BD"/>
    <w:rsid w:val="007B0854"/>
    <w:rsid w:val="007B0D18"/>
    <w:rsid w:val="007B0E48"/>
    <w:rsid w:val="007B1878"/>
    <w:rsid w:val="007B1D1B"/>
    <w:rsid w:val="007B1DCD"/>
    <w:rsid w:val="007B21AA"/>
    <w:rsid w:val="007B2504"/>
    <w:rsid w:val="007B2549"/>
    <w:rsid w:val="007B303E"/>
    <w:rsid w:val="007B32C0"/>
    <w:rsid w:val="007B32F7"/>
    <w:rsid w:val="007B35F2"/>
    <w:rsid w:val="007B35F4"/>
    <w:rsid w:val="007B3659"/>
    <w:rsid w:val="007B38B5"/>
    <w:rsid w:val="007B39AB"/>
    <w:rsid w:val="007B3BF3"/>
    <w:rsid w:val="007B431B"/>
    <w:rsid w:val="007B4401"/>
    <w:rsid w:val="007B4558"/>
    <w:rsid w:val="007B4632"/>
    <w:rsid w:val="007B46A2"/>
    <w:rsid w:val="007B4828"/>
    <w:rsid w:val="007B4B2D"/>
    <w:rsid w:val="007B4D4A"/>
    <w:rsid w:val="007B4F7D"/>
    <w:rsid w:val="007B5428"/>
    <w:rsid w:val="007B59B7"/>
    <w:rsid w:val="007B5B64"/>
    <w:rsid w:val="007B6975"/>
    <w:rsid w:val="007B6C64"/>
    <w:rsid w:val="007B6EC8"/>
    <w:rsid w:val="007B6F81"/>
    <w:rsid w:val="007B7D01"/>
    <w:rsid w:val="007B7EA2"/>
    <w:rsid w:val="007C0339"/>
    <w:rsid w:val="007C0434"/>
    <w:rsid w:val="007C097D"/>
    <w:rsid w:val="007C0AF2"/>
    <w:rsid w:val="007C105F"/>
    <w:rsid w:val="007C1360"/>
    <w:rsid w:val="007C1672"/>
    <w:rsid w:val="007C17AE"/>
    <w:rsid w:val="007C29B0"/>
    <w:rsid w:val="007C2FFA"/>
    <w:rsid w:val="007C312A"/>
    <w:rsid w:val="007C3538"/>
    <w:rsid w:val="007C3570"/>
    <w:rsid w:val="007C38B1"/>
    <w:rsid w:val="007C3E18"/>
    <w:rsid w:val="007C3F3B"/>
    <w:rsid w:val="007C4241"/>
    <w:rsid w:val="007C425E"/>
    <w:rsid w:val="007C55FF"/>
    <w:rsid w:val="007C56F2"/>
    <w:rsid w:val="007C6339"/>
    <w:rsid w:val="007C753F"/>
    <w:rsid w:val="007C75F7"/>
    <w:rsid w:val="007C7B4F"/>
    <w:rsid w:val="007C7C43"/>
    <w:rsid w:val="007C7CF0"/>
    <w:rsid w:val="007C7E15"/>
    <w:rsid w:val="007C7F0D"/>
    <w:rsid w:val="007D06E3"/>
    <w:rsid w:val="007D09E4"/>
    <w:rsid w:val="007D0E9F"/>
    <w:rsid w:val="007D1134"/>
    <w:rsid w:val="007D215F"/>
    <w:rsid w:val="007D231B"/>
    <w:rsid w:val="007D23F7"/>
    <w:rsid w:val="007D2566"/>
    <w:rsid w:val="007D2C18"/>
    <w:rsid w:val="007D2D74"/>
    <w:rsid w:val="007D3693"/>
    <w:rsid w:val="007D38E5"/>
    <w:rsid w:val="007D3C6D"/>
    <w:rsid w:val="007D431B"/>
    <w:rsid w:val="007D481A"/>
    <w:rsid w:val="007D4B96"/>
    <w:rsid w:val="007D4ED0"/>
    <w:rsid w:val="007D5648"/>
    <w:rsid w:val="007D58C5"/>
    <w:rsid w:val="007D5DE8"/>
    <w:rsid w:val="007D7867"/>
    <w:rsid w:val="007D7CFC"/>
    <w:rsid w:val="007E0812"/>
    <w:rsid w:val="007E0825"/>
    <w:rsid w:val="007E1858"/>
    <w:rsid w:val="007E18DF"/>
    <w:rsid w:val="007E214A"/>
    <w:rsid w:val="007E238D"/>
    <w:rsid w:val="007E2C36"/>
    <w:rsid w:val="007E350D"/>
    <w:rsid w:val="007E365E"/>
    <w:rsid w:val="007E368B"/>
    <w:rsid w:val="007E3856"/>
    <w:rsid w:val="007E3ACA"/>
    <w:rsid w:val="007E3F4A"/>
    <w:rsid w:val="007E564D"/>
    <w:rsid w:val="007E5C4A"/>
    <w:rsid w:val="007E5FBE"/>
    <w:rsid w:val="007E64D4"/>
    <w:rsid w:val="007E66E9"/>
    <w:rsid w:val="007E69F2"/>
    <w:rsid w:val="007E6A2A"/>
    <w:rsid w:val="007E6B55"/>
    <w:rsid w:val="007E7432"/>
    <w:rsid w:val="007E74BF"/>
    <w:rsid w:val="007E7657"/>
    <w:rsid w:val="007E7D2E"/>
    <w:rsid w:val="007E7D4B"/>
    <w:rsid w:val="007F14D3"/>
    <w:rsid w:val="007F1D9D"/>
    <w:rsid w:val="007F1E28"/>
    <w:rsid w:val="007F1F63"/>
    <w:rsid w:val="007F22A0"/>
    <w:rsid w:val="007F2902"/>
    <w:rsid w:val="007F2903"/>
    <w:rsid w:val="007F2F90"/>
    <w:rsid w:val="007F320F"/>
    <w:rsid w:val="007F3320"/>
    <w:rsid w:val="007F36D4"/>
    <w:rsid w:val="007F3AC1"/>
    <w:rsid w:val="007F4147"/>
    <w:rsid w:val="007F428F"/>
    <w:rsid w:val="007F442A"/>
    <w:rsid w:val="007F4976"/>
    <w:rsid w:val="007F4B40"/>
    <w:rsid w:val="007F5A56"/>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9A"/>
    <w:rsid w:val="008014D9"/>
    <w:rsid w:val="0080150F"/>
    <w:rsid w:val="0080153A"/>
    <w:rsid w:val="00801A2A"/>
    <w:rsid w:val="00802041"/>
    <w:rsid w:val="008022C9"/>
    <w:rsid w:val="00802605"/>
    <w:rsid w:val="0080296D"/>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0A"/>
    <w:rsid w:val="0081022B"/>
    <w:rsid w:val="0081100A"/>
    <w:rsid w:val="00811898"/>
    <w:rsid w:val="00811CDC"/>
    <w:rsid w:val="008124D8"/>
    <w:rsid w:val="008134E0"/>
    <w:rsid w:val="00813A76"/>
    <w:rsid w:val="00813A7B"/>
    <w:rsid w:val="00813F04"/>
    <w:rsid w:val="0081513E"/>
    <w:rsid w:val="0081548B"/>
    <w:rsid w:val="00815855"/>
    <w:rsid w:val="00815CCF"/>
    <w:rsid w:val="00815DA5"/>
    <w:rsid w:val="00816221"/>
    <w:rsid w:val="0081715E"/>
    <w:rsid w:val="0081766B"/>
    <w:rsid w:val="0082042F"/>
    <w:rsid w:val="008205AC"/>
    <w:rsid w:val="00820705"/>
    <w:rsid w:val="00820CBF"/>
    <w:rsid w:val="00820CF5"/>
    <w:rsid w:val="00820FA8"/>
    <w:rsid w:val="008212FD"/>
    <w:rsid w:val="00821489"/>
    <w:rsid w:val="008217B7"/>
    <w:rsid w:val="0082239B"/>
    <w:rsid w:val="0082292E"/>
    <w:rsid w:val="00822D06"/>
    <w:rsid w:val="00822EB7"/>
    <w:rsid w:val="00822EC4"/>
    <w:rsid w:val="0082348D"/>
    <w:rsid w:val="008236BE"/>
    <w:rsid w:val="008241CE"/>
    <w:rsid w:val="00825240"/>
    <w:rsid w:val="00825B43"/>
    <w:rsid w:val="0082640A"/>
    <w:rsid w:val="00826F71"/>
    <w:rsid w:val="0082710B"/>
    <w:rsid w:val="008278EF"/>
    <w:rsid w:val="00827CC0"/>
    <w:rsid w:val="00827CD3"/>
    <w:rsid w:val="008306AB"/>
    <w:rsid w:val="00830DB8"/>
    <w:rsid w:val="00831026"/>
    <w:rsid w:val="0083107E"/>
    <w:rsid w:val="0083119B"/>
    <w:rsid w:val="00831BAE"/>
    <w:rsid w:val="00832216"/>
    <w:rsid w:val="00832513"/>
    <w:rsid w:val="00832590"/>
    <w:rsid w:val="00832AD3"/>
    <w:rsid w:val="00832CA9"/>
    <w:rsid w:val="00832CD0"/>
    <w:rsid w:val="00833430"/>
    <w:rsid w:val="00833ADA"/>
    <w:rsid w:val="00833F02"/>
    <w:rsid w:val="00834128"/>
    <w:rsid w:val="0083417F"/>
    <w:rsid w:val="00835143"/>
    <w:rsid w:val="0083569B"/>
    <w:rsid w:val="00835741"/>
    <w:rsid w:val="00836E74"/>
    <w:rsid w:val="00836EAB"/>
    <w:rsid w:val="008372DC"/>
    <w:rsid w:val="00837673"/>
    <w:rsid w:val="008377D7"/>
    <w:rsid w:val="00837937"/>
    <w:rsid w:val="00837D82"/>
    <w:rsid w:val="00840893"/>
    <w:rsid w:val="00840E88"/>
    <w:rsid w:val="0084102C"/>
    <w:rsid w:val="008410B1"/>
    <w:rsid w:val="00841308"/>
    <w:rsid w:val="008423EC"/>
    <w:rsid w:val="008429A6"/>
    <w:rsid w:val="00843615"/>
    <w:rsid w:val="00843698"/>
    <w:rsid w:val="00843902"/>
    <w:rsid w:val="00843A4B"/>
    <w:rsid w:val="00843B57"/>
    <w:rsid w:val="00843B60"/>
    <w:rsid w:val="00843BFE"/>
    <w:rsid w:val="00843D33"/>
    <w:rsid w:val="008444F0"/>
    <w:rsid w:val="00844D4F"/>
    <w:rsid w:val="00844F38"/>
    <w:rsid w:val="00845AE3"/>
    <w:rsid w:val="008466A0"/>
    <w:rsid w:val="00846FE3"/>
    <w:rsid w:val="00847535"/>
    <w:rsid w:val="00847B6D"/>
    <w:rsid w:val="0085092D"/>
    <w:rsid w:val="008509A5"/>
    <w:rsid w:val="00850C79"/>
    <w:rsid w:val="00850D82"/>
    <w:rsid w:val="00850F79"/>
    <w:rsid w:val="0085100B"/>
    <w:rsid w:val="0085125B"/>
    <w:rsid w:val="00851A2B"/>
    <w:rsid w:val="0085304C"/>
    <w:rsid w:val="008533E7"/>
    <w:rsid w:val="0085367F"/>
    <w:rsid w:val="008536BB"/>
    <w:rsid w:val="00853A3C"/>
    <w:rsid w:val="00853EE0"/>
    <w:rsid w:val="0085433A"/>
    <w:rsid w:val="008548CA"/>
    <w:rsid w:val="008556C0"/>
    <w:rsid w:val="00855D62"/>
    <w:rsid w:val="008563B0"/>
    <w:rsid w:val="008568FE"/>
    <w:rsid w:val="00856C06"/>
    <w:rsid w:val="0085790B"/>
    <w:rsid w:val="008579B9"/>
    <w:rsid w:val="00857C95"/>
    <w:rsid w:val="00857E78"/>
    <w:rsid w:val="00860A1B"/>
    <w:rsid w:val="00860AEF"/>
    <w:rsid w:val="00860B18"/>
    <w:rsid w:val="00860D5E"/>
    <w:rsid w:val="0086122C"/>
    <w:rsid w:val="00861310"/>
    <w:rsid w:val="00861CF1"/>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0FB1"/>
    <w:rsid w:val="00871540"/>
    <w:rsid w:val="008715ED"/>
    <w:rsid w:val="008717D8"/>
    <w:rsid w:val="00871E3C"/>
    <w:rsid w:val="0087237A"/>
    <w:rsid w:val="00872AC6"/>
    <w:rsid w:val="00872F97"/>
    <w:rsid w:val="00873B0B"/>
    <w:rsid w:val="00874607"/>
    <w:rsid w:val="008747E9"/>
    <w:rsid w:val="00874915"/>
    <w:rsid w:val="00874949"/>
    <w:rsid w:val="00874B89"/>
    <w:rsid w:val="00875403"/>
    <w:rsid w:val="00875434"/>
    <w:rsid w:val="00875C1F"/>
    <w:rsid w:val="00876215"/>
    <w:rsid w:val="0087646C"/>
    <w:rsid w:val="00876815"/>
    <w:rsid w:val="00877932"/>
    <w:rsid w:val="00880043"/>
    <w:rsid w:val="008808C7"/>
    <w:rsid w:val="00880AF3"/>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A15"/>
    <w:rsid w:val="00892C44"/>
    <w:rsid w:val="00892E5D"/>
    <w:rsid w:val="0089338A"/>
    <w:rsid w:val="008935CF"/>
    <w:rsid w:val="00893D84"/>
    <w:rsid w:val="00893E30"/>
    <w:rsid w:val="0089436B"/>
    <w:rsid w:val="00894436"/>
    <w:rsid w:val="00894BB1"/>
    <w:rsid w:val="008951D0"/>
    <w:rsid w:val="00895442"/>
    <w:rsid w:val="0089558B"/>
    <w:rsid w:val="0089582D"/>
    <w:rsid w:val="008959C6"/>
    <w:rsid w:val="0089606D"/>
    <w:rsid w:val="00896129"/>
    <w:rsid w:val="00896316"/>
    <w:rsid w:val="00896F0D"/>
    <w:rsid w:val="0089774F"/>
    <w:rsid w:val="00897772"/>
    <w:rsid w:val="00897875"/>
    <w:rsid w:val="008979F4"/>
    <w:rsid w:val="00897B8F"/>
    <w:rsid w:val="008A00D9"/>
    <w:rsid w:val="008A0333"/>
    <w:rsid w:val="008A07D5"/>
    <w:rsid w:val="008A1FB7"/>
    <w:rsid w:val="008A229A"/>
    <w:rsid w:val="008A271D"/>
    <w:rsid w:val="008A2A23"/>
    <w:rsid w:val="008A2AF5"/>
    <w:rsid w:val="008A2B5A"/>
    <w:rsid w:val="008A3739"/>
    <w:rsid w:val="008A3F9D"/>
    <w:rsid w:val="008A43B0"/>
    <w:rsid w:val="008A5474"/>
    <w:rsid w:val="008A5833"/>
    <w:rsid w:val="008A5C9A"/>
    <w:rsid w:val="008A6005"/>
    <w:rsid w:val="008A614F"/>
    <w:rsid w:val="008A64D3"/>
    <w:rsid w:val="008A6A55"/>
    <w:rsid w:val="008A6DF0"/>
    <w:rsid w:val="008A6F6E"/>
    <w:rsid w:val="008A7888"/>
    <w:rsid w:val="008A78A6"/>
    <w:rsid w:val="008A796E"/>
    <w:rsid w:val="008B0862"/>
    <w:rsid w:val="008B088C"/>
    <w:rsid w:val="008B1733"/>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60"/>
    <w:rsid w:val="008C2CAC"/>
    <w:rsid w:val="008C3AD1"/>
    <w:rsid w:val="008C3C57"/>
    <w:rsid w:val="008C3E2A"/>
    <w:rsid w:val="008C3EC6"/>
    <w:rsid w:val="008C45BD"/>
    <w:rsid w:val="008C49D1"/>
    <w:rsid w:val="008C4B19"/>
    <w:rsid w:val="008C5A83"/>
    <w:rsid w:val="008C5DF9"/>
    <w:rsid w:val="008C62D4"/>
    <w:rsid w:val="008C68C7"/>
    <w:rsid w:val="008C6B89"/>
    <w:rsid w:val="008C6B97"/>
    <w:rsid w:val="008C6D53"/>
    <w:rsid w:val="008C7EF7"/>
    <w:rsid w:val="008D0615"/>
    <w:rsid w:val="008D18AA"/>
    <w:rsid w:val="008D1A2A"/>
    <w:rsid w:val="008D1ADE"/>
    <w:rsid w:val="008D2002"/>
    <w:rsid w:val="008D3113"/>
    <w:rsid w:val="008D35A8"/>
    <w:rsid w:val="008D35D9"/>
    <w:rsid w:val="008D3B36"/>
    <w:rsid w:val="008D3B85"/>
    <w:rsid w:val="008D3D3D"/>
    <w:rsid w:val="008D44BD"/>
    <w:rsid w:val="008D462D"/>
    <w:rsid w:val="008D6084"/>
    <w:rsid w:val="008D62C8"/>
    <w:rsid w:val="008D64AC"/>
    <w:rsid w:val="008D64FB"/>
    <w:rsid w:val="008D66CA"/>
    <w:rsid w:val="008D69B1"/>
    <w:rsid w:val="008D6E13"/>
    <w:rsid w:val="008D7338"/>
    <w:rsid w:val="008D785E"/>
    <w:rsid w:val="008D7D66"/>
    <w:rsid w:val="008E0012"/>
    <w:rsid w:val="008E04B4"/>
    <w:rsid w:val="008E08C2"/>
    <w:rsid w:val="008E0DF7"/>
    <w:rsid w:val="008E0FAD"/>
    <w:rsid w:val="008E11E4"/>
    <w:rsid w:val="008E1252"/>
    <w:rsid w:val="008E12A2"/>
    <w:rsid w:val="008E1347"/>
    <w:rsid w:val="008E16E0"/>
    <w:rsid w:val="008E1C15"/>
    <w:rsid w:val="008E1C9A"/>
    <w:rsid w:val="008E1DF5"/>
    <w:rsid w:val="008E28BD"/>
    <w:rsid w:val="008E2BE6"/>
    <w:rsid w:val="008E30C4"/>
    <w:rsid w:val="008E38B4"/>
    <w:rsid w:val="008E3BA4"/>
    <w:rsid w:val="008E3DD6"/>
    <w:rsid w:val="008E44AB"/>
    <w:rsid w:val="008E4CAE"/>
    <w:rsid w:val="008E5179"/>
    <w:rsid w:val="008E573A"/>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0BC3"/>
    <w:rsid w:val="00900CD7"/>
    <w:rsid w:val="00901F1D"/>
    <w:rsid w:val="009028E8"/>
    <w:rsid w:val="00902E5C"/>
    <w:rsid w:val="0090363E"/>
    <w:rsid w:val="0090450D"/>
    <w:rsid w:val="009046E5"/>
    <w:rsid w:val="00904790"/>
    <w:rsid w:val="009047C5"/>
    <w:rsid w:val="00906FE7"/>
    <w:rsid w:val="00910683"/>
    <w:rsid w:val="00910A25"/>
    <w:rsid w:val="00910BF9"/>
    <w:rsid w:val="00910C7B"/>
    <w:rsid w:val="00910E00"/>
    <w:rsid w:val="00910E04"/>
    <w:rsid w:val="009114B8"/>
    <w:rsid w:val="009116CE"/>
    <w:rsid w:val="00911714"/>
    <w:rsid w:val="00911D04"/>
    <w:rsid w:val="00911EFF"/>
    <w:rsid w:val="0091310F"/>
    <w:rsid w:val="009136D4"/>
    <w:rsid w:val="009149AA"/>
    <w:rsid w:val="00914B9A"/>
    <w:rsid w:val="00914C3F"/>
    <w:rsid w:val="00914C93"/>
    <w:rsid w:val="00914F33"/>
    <w:rsid w:val="00915256"/>
    <w:rsid w:val="00915EFE"/>
    <w:rsid w:val="00915FCE"/>
    <w:rsid w:val="00916AFE"/>
    <w:rsid w:val="00916FC8"/>
    <w:rsid w:val="009170D3"/>
    <w:rsid w:val="0091759C"/>
    <w:rsid w:val="0091777F"/>
    <w:rsid w:val="00920026"/>
    <w:rsid w:val="009203E2"/>
    <w:rsid w:val="00920B4E"/>
    <w:rsid w:val="00920BF5"/>
    <w:rsid w:val="00920F61"/>
    <w:rsid w:val="00921304"/>
    <w:rsid w:val="00921395"/>
    <w:rsid w:val="00921805"/>
    <w:rsid w:val="00921AA0"/>
    <w:rsid w:val="00921E63"/>
    <w:rsid w:val="00922481"/>
    <w:rsid w:val="00923016"/>
    <w:rsid w:val="0092306A"/>
    <w:rsid w:val="00923396"/>
    <w:rsid w:val="00923F56"/>
    <w:rsid w:val="00924770"/>
    <w:rsid w:val="00925229"/>
    <w:rsid w:val="00925346"/>
    <w:rsid w:val="00925743"/>
    <w:rsid w:val="0092579F"/>
    <w:rsid w:val="00925D65"/>
    <w:rsid w:val="009272FA"/>
    <w:rsid w:val="00927E8D"/>
    <w:rsid w:val="00927F23"/>
    <w:rsid w:val="00930411"/>
    <w:rsid w:val="009307CD"/>
    <w:rsid w:val="00931213"/>
    <w:rsid w:val="0093128E"/>
    <w:rsid w:val="00931364"/>
    <w:rsid w:val="00931365"/>
    <w:rsid w:val="00931451"/>
    <w:rsid w:val="009314FA"/>
    <w:rsid w:val="0093194F"/>
    <w:rsid w:val="00931B15"/>
    <w:rsid w:val="00931BF3"/>
    <w:rsid w:val="00931C55"/>
    <w:rsid w:val="00931F26"/>
    <w:rsid w:val="009330DF"/>
    <w:rsid w:val="00933333"/>
    <w:rsid w:val="0093349A"/>
    <w:rsid w:val="0093360C"/>
    <w:rsid w:val="009338BA"/>
    <w:rsid w:val="00933915"/>
    <w:rsid w:val="00933EF7"/>
    <w:rsid w:val="00933FCB"/>
    <w:rsid w:val="009346C8"/>
    <w:rsid w:val="00934A7E"/>
    <w:rsid w:val="00934CEC"/>
    <w:rsid w:val="00934E2F"/>
    <w:rsid w:val="00934E69"/>
    <w:rsid w:val="00935919"/>
    <w:rsid w:val="00935E70"/>
    <w:rsid w:val="0093609A"/>
    <w:rsid w:val="009366CE"/>
    <w:rsid w:val="00937401"/>
    <w:rsid w:val="009376FB"/>
    <w:rsid w:val="00937D6B"/>
    <w:rsid w:val="00940477"/>
    <w:rsid w:val="00940876"/>
    <w:rsid w:val="00940A53"/>
    <w:rsid w:val="00940F3C"/>
    <w:rsid w:val="009410E0"/>
    <w:rsid w:val="00941FA9"/>
    <w:rsid w:val="00942B09"/>
    <w:rsid w:val="009436D8"/>
    <w:rsid w:val="009439B6"/>
    <w:rsid w:val="009444B4"/>
    <w:rsid w:val="00944644"/>
    <w:rsid w:val="00944968"/>
    <w:rsid w:val="00945168"/>
    <w:rsid w:val="00946A24"/>
    <w:rsid w:val="009470D4"/>
    <w:rsid w:val="00947337"/>
    <w:rsid w:val="00947E6E"/>
    <w:rsid w:val="009500A6"/>
    <w:rsid w:val="00950C90"/>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5F47"/>
    <w:rsid w:val="009560DA"/>
    <w:rsid w:val="00956F96"/>
    <w:rsid w:val="0095780A"/>
    <w:rsid w:val="009578C3"/>
    <w:rsid w:val="009579E4"/>
    <w:rsid w:val="00957AA4"/>
    <w:rsid w:val="00957ACB"/>
    <w:rsid w:val="00957C2E"/>
    <w:rsid w:val="00957F27"/>
    <w:rsid w:val="0096079A"/>
    <w:rsid w:val="00960BDB"/>
    <w:rsid w:val="0096105C"/>
    <w:rsid w:val="0096147D"/>
    <w:rsid w:val="00961501"/>
    <w:rsid w:val="0096160D"/>
    <w:rsid w:val="00961D53"/>
    <w:rsid w:val="00961E5F"/>
    <w:rsid w:val="00961EF3"/>
    <w:rsid w:val="00962347"/>
    <w:rsid w:val="009625C6"/>
    <w:rsid w:val="009629B5"/>
    <w:rsid w:val="00962A50"/>
    <w:rsid w:val="00963550"/>
    <w:rsid w:val="00963C19"/>
    <w:rsid w:val="00964138"/>
    <w:rsid w:val="009648D6"/>
    <w:rsid w:val="00964B3F"/>
    <w:rsid w:val="00964C98"/>
    <w:rsid w:val="009663FC"/>
    <w:rsid w:val="0096697B"/>
    <w:rsid w:val="00966B9B"/>
    <w:rsid w:val="00966E41"/>
    <w:rsid w:val="0096709D"/>
    <w:rsid w:val="00967F2B"/>
    <w:rsid w:val="0097077C"/>
    <w:rsid w:val="00971441"/>
    <w:rsid w:val="00971555"/>
    <w:rsid w:val="0097158D"/>
    <w:rsid w:val="009715D4"/>
    <w:rsid w:val="0097179A"/>
    <w:rsid w:val="00971B0A"/>
    <w:rsid w:val="00972AAF"/>
    <w:rsid w:val="00972AC5"/>
    <w:rsid w:val="009731F4"/>
    <w:rsid w:val="009732A4"/>
    <w:rsid w:val="00973C05"/>
    <w:rsid w:val="00973DC6"/>
    <w:rsid w:val="009744FF"/>
    <w:rsid w:val="0097494E"/>
    <w:rsid w:val="00974999"/>
    <w:rsid w:val="00974B58"/>
    <w:rsid w:val="00974CBD"/>
    <w:rsid w:val="009753C3"/>
    <w:rsid w:val="00975445"/>
    <w:rsid w:val="00975460"/>
    <w:rsid w:val="00975E20"/>
    <w:rsid w:val="009761ED"/>
    <w:rsid w:val="00976464"/>
    <w:rsid w:val="009776D4"/>
    <w:rsid w:val="0098022F"/>
    <w:rsid w:val="00980B2A"/>
    <w:rsid w:val="0098104B"/>
    <w:rsid w:val="009810DE"/>
    <w:rsid w:val="00981B91"/>
    <w:rsid w:val="009822D7"/>
    <w:rsid w:val="009827E6"/>
    <w:rsid w:val="00982F84"/>
    <w:rsid w:val="009831C3"/>
    <w:rsid w:val="0098377F"/>
    <w:rsid w:val="0098427D"/>
    <w:rsid w:val="00984567"/>
    <w:rsid w:val="00985102"/>
    <w:rsid w:val="009854BC"/>
    <w:rsid w:val="00985A66"/>
    <w:rsid w:val="0098606C"/>
    <w:rsid w:val="009865D5"/>
    <w:rsid w:val="00986ED1"/>
    <w:rsid w:val="009876F2"/>
    <w:rsid w:val="00987C77"/>
    <w:rsid w:val="00987EA3"/>
    <w:rsid w:val="00987FED"/>
    <w:rsid w:val="00990345"/>
    <w:rsid w:val="00990701"/>
    <w:rsid w:val="0099119C"/>
    <w:rsid w:val="0099137A"/>
    <w:rsid w:val="0099211C"/>
    <w:rsid w:val="009927C6"/>
    <w:rsid w:val="00993013"/>
    <w:rsid w:val="00993B78"/>
    <w:rsid w:val="0099409B"/>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97852"/>
    <w:rsid w:val="009A01E4"/>
    <w:rsid w:val="009A020C"/>
    <w:rsid w:val="009A035C"/>
    <w:rsid w:val="009A0917"/>
    <w:rsid w:val="009A0A33"/>
    <w:rsid w:val="009A1351"/>
    <w:rsid w:val="009A1723"/>
    <w:rsid w:val="009A194F"/>
    <w:rsid w:val="009A1E6C"/>
    <w:rsid w:val="009A2041"/>
    <w:rsid w:val="009A2435"/>
    <w:rsid w:val="009A2555"/>
    <w:rsid w:val="009A2E8D"/>
    <w:rsid w:val="009A2F28"/>
    <w:rsid w:val="009A35DC"/>
    <w:rsid w:val="009A38AB"/>
    <w:rsid w:val="009A39EE"/>
    <w:rsid w:val="009A3D47"/>
    <w:rsid w:val="009A4D63"/>
    <w:rsid w:val="009A526F"/>
    <w:rsid w:val="009A5356"/>
    <w:rsid w:val="009A5468"/>
    <w:rsid w:val="009A5D99"/>
    <w:rsid w:val="009A608C"/>
    <w:rsid w:val="009A617B"/>
    <w:rsid w:val="009A6419"/>
    <w:rsid w:val="009A653C"/>
    <w:rsid w:val="009A6FDF"/>
    <w:rsid w:val="009A715F"/>
    <w:rsid w:val="009A76D6"/>
    <w:rsid w:val="009B2374"/>
    <w:rsid w:val="009B2E29"/>
    <w:rsid w:val="009B3140"/>
    <w:rsid w:val="009B3163"/>
    <w:rsid w:val="009B422F"/>
    <w:rsid w:val="009B4620"/>
    <w:rsid w:val="009B46BC"/>
    <w:rsid w:val="009B4AC8"/>
    <w:rsid w:val="009B4D1A"/>
    <w:rsid w:val="009B519D"/>
    <w:rsid w:val="009B543A"/>
    <w:rsid w:val="009B558B"/>
    <w:rsid w:val="009B6276"/>
    <w:rsid w:val="009B6BCF"/>
    <w:rsid w:val="009B6D21"/>
    <w:rsid w:val="009B6E85"/>
    <w:rsid w:val="009B78ED"/>
    <w:rsid w:val="009C0E1B"/>
    <w:rsid w:val="009C12AB"/>
    <w:rsid w:val="009C1311"/>
    <w:rsid w:val="009C181C"/>
    <w:rsid w:val="009C1A44"/>
    <w:rsid w:val="009C1C7F"/>
    <w:rsid w:val="009C1D29"/>
    <w:rsid w:val="009C1D4C"/>
    <w:rsid w:val="009C1EC7"/>
    <w:rsid w:val="009C218D"/>
    <w:rsid w:val="009C2210"/>
    <w:rsid w:val="009C28A2"/>
    <w:rsid w:val="009C2BAE"/>
    <w:rsid w:val="009C2D36"/>
    <w:rsid w:val="009C3239"/>
    <w:rsid w:val="009C3815"/>
    <w:rsid w:val="009C3828"/>
    <w:rsid w:val="009C3AD3"/>
    <w:rsid w:val="009C3AF4"/>
    <w:rsid w:val="009C3D2C"/>
    <w:rsid w:val="009C42A2"/>
    <w:rsid w:val="009C4832"/>
    <w:rsid w:val="009C4987"/>
    <w:rsid w:val="009C4FDE"/>
    <w:rsid w:val="009C523F"/>
    <w:rsid w:val="009C52E2"/>
    <w:rsid w:val="009C5874"/>
    <w:rsid w:val="009C5905"/>
    <w:rsid w:val="009C59BF"/>
    <w:rsid w:val="009C5E4F"/>
    <w:rsid w:val="009C5F64"/>
    <w:rsid w:val="009C5F82"/>
    <w:rsid w:val="009C60EA"/>
    <w:rsid w:val="009C6716"/>
    <w:rsid w:val="009C6BFC"/>
    <w:rsid w:val="009C70F8"/>
    <w:rsid w:val="009C78A3"/>
    <w:rsid w:val="009C7E68"/>
    <w:rsid w:val="009D00D7"/>
    <w:rsid w:val="009D0156"/>
    <w:rsid w:val="009D05DA"/>
    <w:rsid w:val="009D11F6"/>
    <w:rsid w:val="009D1A14"/>
    <w:rsid w:val="009D1B3D"/>
    <w:rsid w:val="009D1E2A"/>
    <w:rsid w:val="009D1FA0"/>
    <w:rsid w:val="009D248A"/>
    <w:rsid w:val="009D2BDF"/>
    <w:rsid w:val="009D3736"/>
    <w:rsid w:val="009D4529"/>
    <w:rsid w:val="009D460F"/>
    <w:rsid w:val="009D56A6"/>
    <w:rsid w:val="009D604F"/>
    <w:rsid w:val="009D61BB"/>
    <w:rsid w:val="009D6410"/>
    <w:rsid w:val="009D68BB"/>
    <w:rsid w:val="009D6909"/>
    <w:rsid w:val="009D700F"/>
    <w:rsid w:val="009D70C2"/>
    <w:rsid w:val="009D7244"/>
    <w:rsid w:val="009D72BD"/>
    <w:rsid w:val="009D7357"/>
    <w:rsid w:val="009D7ADB"/>
    <w:rsid w:val="009D7B33"/>
    <w:rsid w:val="009D7BF4"/>
    <w:rsid w:val="009E06C3"/>
    <w:rsid w:val="009E0703"/>
    <w:rsid w:val="009E0F52"/>
    <w:rsid w:val="009E1035"/>
    <w:rsid w:val="009E16DA"/>
    <w:rsid w:val="009E1AC6"/>
    <w:rsid w:val="009E1CD4"/>
    <w:rsid w:val="009E2391"/>
    <w:rsid w:val="009E3704"/>
    <w:rsid w:val="009E4685"/>
    <w:rsid w:val="009E46B1"/>
    <w:rsid w:val="009E476A"/>
    <w:rsid w:val="009E4E05"/>
    <w:rsid w:val="009E5000"/>
    <w:rsid w:val="009E550B"/>
    <w:rsid w:val="009E5680"/>
    <w:rsid w:val="009E56FF"/>
    <w:rsid w:val="009E5CB1"/>
    <w:rsid w:val="009E5E56"/>
    <w:rsid w:val="009E61EA"/>
    <w:rsid w:val="009E6463"/>
    <w:rsid w:val="009E6743"/>
    <w:rsid w:val="009E6990"/>
    <w:rsid w:val="009E6FEE"/>
    <w:rsid w:val="009F002C"/>
    <w:rsid w:val="009F00B9"/>
    <w:rsid w:val="009F060F"/>
    <w:rsid w:val="009F0781"/>
    <w:rsid w:val="009F0850"/>
    <w:rsid w:val="009F09FB"/>
    <w:rsid w:val="009F170C"/>
    <w:rsid w:val="009F1BDF"/>
    <w:rsid w:val="009F1C4F"/>
    <w:rsid w:val="009F1EAE"/>
    <w:rsid w:val="009F2495"/>
    <w:rsid w:val="009F2848"/>
    <w:rsid w:val="009F2A9D"/>
    <w:rsid w:val="009F2B4A"/>
    <w:rsid w:val="009F2F0E"/>
    <w:rsid w:val="009F369D"/>
    <w:rsid w:val="009F36FE"/>
    <w:rsid w:val="009F399F"/>
    <w:rsid w:val="009F4990"/>
    <w:rsid w:val="009F4A13"/>
    <w:rsid w:val="009F4C1E"/>
    <w:rsid w:val="009F4F25"/>
    <w:rsid w:val="009F50EA"/>
    <w:rsid w:val="009F56B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3D2"/>
    <w:rsid w:val="00A066C3"/>
    <w:rsid w:val="00A06754"/>
    <w:rsid w:val="00A0678B"/>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4F6F"/>
    <w:rsid w:val="00A1500F"/>
    <w:rsid w:val="00A15194"/>
    <w:rsid w:val="00A15621"/>
    <w:rsid w:val="00A15670"/>
    <w:rsid w:val="00A157A0"/>
    <w:rsid w:val="00A1585B"/>
    <w:rsid w:val="00A15C19"/>
    <w:rsid w:val="00A15FE9"/>
    <w:rsid w:val="00A1612F"/>
    <w:rsid w:val="00A16809"/>
    <w:rsid w:val="00A17232"/>
    <w:rsid w:val="00A17584"/>
    <w:rsid w:val="00A176BA"/>
    <w:rsid w:val="00A17769"/>
    <w:rsid w:val="00A177A5"/>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5D99"/>
    <w:rsid w:val="00A2633B"/>
    <w:rsid w:val="00A266A1"/>
    <w:rsid w:val="00A26A4D"/>
    <w:rsid w:val="00A275AC"/>
    <w:rsid w:val="00A2778A"/>
    <w:rsid w:val="00A27FB6"/>
    <w:rsid w:val="00A30121"/>
    <w:rsid w:val="00A30368"/>
    <w:rsid w:val="00A3043A"/>
    <w:rsid w:val="00A30968"/>
    <w:rsid w:val="00A30E02"/>
    <w:rsid w:val="00A30E49"/>
    <w:rsid w:val="00A30F6A"/>
    <w:rsid w:val="00A31C3E"/>
    <w:rsid w:val="00A32472"/>
    <w:rsid w:val="00A333FF"/>
    <w:rsid w:val="00A34538"/>
    <w:rsid w:val="00A34677"/>
    <w:rsid w:val="00A3540F"/>
    <w:rsid w:val="00A355FA"/>
    <w:rsid w:val="00A35630"/>
    <w:rsid w:val="00A35914"/>
    <w:rsid w:val="00A36189"/>
    <w:rsid w:val="00A36CB9"/>
    <w:rsid w:val="00A37348"/>
    <w:rsid w:val="00A375A2"/>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0D4"/>
    <w:rsid w:val="00A4566E"/>
    <w:rsid w:val="00A45F9B"/>
    <w:rsid w:val="00A464CE"/>
    <w:rsid w:val="00A46574"/>
    <w:rsid w:val="00A47849"/>
    <w:rsid w:val="00A500B1"/>
    <w:rsid w:val="00A506E0"/>
    <w:rsid w:val="00A528CC"/>
    <w:rsid w:val="00A52A53"/>
    <w:rsid w:val="00A52EE5"/>
    <w:rsid w:val="00A53037"/>
    <w:rsid w:val="00A532B9"/>
    <w:rsid w:val="00A5351D"/>
    <w:rsid w:val="00A53E79"/>
    <w:rsid w:val="00A54031"/>
    <w:rsid w:val="00A5426D"/>
    <w:rsid w:val="00A548F3"/>
    <w:rsid w:val="00A54FC2"/>
    <w:rsid w:val="00A55122"/>
    <w:rsid w:val="00A55CEA"/>
    <w:rsid w:val="00A5601C"/>
    <w:rsid w:val="00A56DE7"/>
    <w:rsid w:val="00A571A3"/>
    <w:rsid w:val="00A57208"/>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65A"/>
    <w:rsid w:val="00A668BA"/>
    <w:rsid w:val="00A66FA7"/>
    <w:rsid w:val="00A67E16"/>
    <w:rsid w:val="00A67EB1"/>
    <w:rsid w:val="00A703CC"/>
    <w:rsid w:val="00A70C5C"/>
    <w:rsid w:val="00A710A2"/>
    <w:rsid w:val="00A71BE1"/>
    <w:rsid w:val="00A71EA7"/>
    <w:rsid w:val="00A72653"/>
    <w:rsid w:val="00A730AD"/>
    <w:rsid w:val="00A735D7"/>
    <w:rsid w:val="00A73855"/>
    <w:rsid w:val="00A73D64"/>
    <w:rsid w:val="00A74216"/>
    <w:rsid w:val="00A74360"/>
    <w:rsid w:val="00A744B4"/>
    <w:rsid w:val="00A751E3"/>
    <w:rsid w:val="00A7536B"/>
    <w:rsid w:val="00A753B9"/>
    <w:rsid w:val="00A75451"/>
    <w:rsid w:val="00A7549A"/>
    <w:rsid w:val="00A75504"/>
    <w:rsid w:val="00A75FD7"/>
    <w:rsid w:val="00A765B4"/>
    <w:rsid w:val="00A7677B"/>
    <w:rsid w:val="00A77168"/>
    <w:rsid w:val="00A7723B"/>
    <w:rsid w:val="00A773C3"/>
    <w:rsid w:val="00A77528"/>
    <w:rsid w:val="00A7756B"/>
    <w:rsid w:val="00A776D0"/>
    <w:rsid w:val="00A7793C"/>
    <w:rsid w:val="00A77D21"/>
    <w:rsid w:val="00A77FAF"/>
    <w:rsid w:val="00A80085"/>
    <w:rsid w:val="00A8043B"/>
    <w:rsid w:val="00A80DA0"/>
    <w:rsid w:val="00A81323"/>
    <w:rsid w:val="00A820CB"/>
    <w:rsid w:val="00A82342"/>
    <w:rsid w:val="00A8236F"/>
    <w:rsid w:val="00A83BEF"/>
    <w:rsid w:val="00A83C54"/>
    <w:rsid w:val="00A83DE5"/>
    <w:rsid w:val="00A84443"/>
    <w:rsid w:val="00A8487F"/>
    <w:rsid w:val="00A849A3"/>
    <w:rsid w:val="00A84A0E"/>
    <w:rsid w:val="00A84CD0"/>
    <w:rsid w:val="00A85171"/>
    <w:rsid w:val="00A8575D"/>
    <w:rsid w:val="00A861F4"/>
    <w:rsid w:val="00A86ADE"/>
    <w:rsid w:val="00A86E0B"/>
    <w:rsid w:val="00A87894"/>
    <w:rsid w:val="00A90557"/>
    <w:rsid w:val="00A90F12"/>
    <w:rsid w:val="00A91253"/>
    <w:rsid w:val="00A91DAA"/>
    <w:rsid w:val="00A92884"/>
    <w:rsid w:val="00A93101"/>
    <w:rsid w:val="00A93239"/>
    <w:rsid w:val="00A93DC4"/>
    <w:rsid w:val="00A9413E"/>
    <w:rsid w:val="00A94293"/>
    <w:rsid w:val="00A9496E"/>
    <w:rsid w:val="00A949F0"/>
    <w:rsid w:val="00A94BDE"/>
    <w:rsid w:val="00A94FCA"/>
    <w:rsid w:val="00A956C6"/>
    <w:rsid w:val="00A95E4C"/>
    <w:rsid w:val="00A965A6"/>
    <w:rsid w:val="00A96C60"/>
    <w:rsid w:val="00A9740B"/>
    <w:rsid w:val="00A9766C"/>
    <w:rsid w:val="00A977F8"/>
    <w:rsid w:val="00A979DB"/>
    <w:rsid w:val="00A97C93"/>
    <w:rsid w:val="00AA0592"/>
    <w:rsid w:val="00AA06C6"/>
    <w:rsid w:val="00AA07CE"/>
    <w:rsid w:val="00AA08E7"/>
    <w:rsid w:val="00AA0A06"/>
    <w:rsid w:val="00AA0AE4"/>
    <w:rsid w:val="00AA1351"/>
    <w:rsid w:val="00AA184C"/>
    <w:rsid w:val="00AA1AF4"/>
    <w:rsid w:val="00AA1C84"/>
    <w:rsid w:val="00AA1D8C"/>
    <w:rsid w:val="00AA1E54"/>
    <w:rsid w:val="00AA3938"/>
    <w:rsid w:val="00AA3D7B"/>
    <w:rsid w:val="00AA4124"/>
    <w:rsid w:val="00AA42A0"/>
    <w:rsid w:val="00AA442B"/>
    <w:rsid w:val="00AA46A4"/>
    <w:rsid w:val="00AA5338"/>
    <w:rsid w:val="00AA5779"/>
    <w:rsid w:val="00AA58A1"/>
    <w:rsid w:val="00AA5F40"/>
    <w:rsid w:val="00AA61C7"/>
    <w:rsid w:val="00AA6628"/>
    <w:rsid w:val="00AA669D"/>
    <w:rsid w:val="00AA66ED"/>
    <w:rsid w:val="00AA6B59"/>
    <w:rsid w:val="00AA6BE1"/>
    <w:rsid w:val="00AA7416"/>
    <w:rsid w:val="00AA7A60"/>
    <w:rsid w:val="00AA7B42"/>
    <w:rsid w:val="00AB01B7"/>
    <w:rsid w:val="00AB041C"/>
    <w:rsid w:val="00AB14E8"/>
    <w:rsid w:val="00AB1B1D"/>
    <w:rsid w:val="00AB1CD8"/>
    <w:rsid w:val="00AB21D1"/>
    <w:rsid w:val="00AB2216"/>
    <w:rsid w:val="00AB358D"/>
    <w:rsid w:val="00AB37A1"/>
    <w:rsid w:val="00AB3BAD"/>
    <w:rsid w:val="00AB3CFD"/>
    <w:rsid w:val="00AB40F1"/>
    <w:rsid w:val="00AB4289"/>
    <w:rsid w:val="00AB49BC"/>
    <w:rsid w:val="00AB4DEE"/>
    <w:rsid w:val="00AB4E32"/>
    <w:rsid w:val="00AB57D5"/>
    <w:rsid w:val="00AB5AC6"/>
    <w:rsid w:val="00AB5AEF"/>
    <w:rsid w:val="00AB5C19"/>
    <w:rsid w:val="00AB6406"/>
    <w:rsid w:val="00AB724B"/>
    <w:rsid w:val="00AB726C"/>
    <w:rsid w:val="00AB72B4"/>
    <w:rsid w:val="00AB7A7A"/>
    <w:rsid w:val="00AC00DD"/>
    <w:rsid w:val="00AC02AA"/>
    <w:rsid w:val="00AC0537"/>
    <w:rsid w:val="00AC0A84"/>
    <w:rsid w:val="00AC1508"/>
    <w:rsid w:val="00AC20DF"/>
    <w:rsid w:val="00AC2A0B"/>
    <w:rsid w:val="00AC2BEE"/>
    <w:rsid w:val="00AC2CA8"/>
    <w:rsid w:val="00AC2E53"/>
    <w:rsid w:val="00AC3160"/>
    <w:rsid w:val="00AC4462"/>
    <w:rsid w:val="00AC484F"/>
    <w:rsid w:val="00AC4B20"/>
    <w:rsid w:val="00AC55C7"/>
    <w:rsid w:val="00AC56F2"/>
    <w:rsid w:val="00AC5D9D"/>
    <w:rsid w:val="00AC5DA2"/>
    <w:rsid w:val="00AC5DB1"/>
    <w:rsid w:val="00AC5F26"/>
    <w:rsid w:val="00AC71C3"/>
    <w:rsid w:val="00AD082E"/>
    <w:rsid w:val="00AD09F7"/>
    <w:rsid w:val="00AD1B3B"/>
    <w:rsid w:val="00AD1EFA"/>
    <w:rsid w:val="00AD2072"/>
    <w:rsid w:val="00AD23B5"/>
    <w:rsid w:val="00AD2439"/>
    <w:rsid w:val="00AD2729"/>
    <w:rsid w:val="00AD2DBD"/>
    <w:rsid w:val="00AD2FBF"/>
    <w:rsid w:val="00AD340E"/>
    <w:rsid w:val="00AD455D"/>
    <w:rsid w:val="00AD463C"/>
    <w:rsid w:val="00AD4F60"/>
    <w:rsid w:val="00AD5044"/>
    <w:rsid w:val="00AD5114"/>
    <w:rsid w:val="00AD54D4"/>
    <w:rsid w:val="00AD5E51"/>
    <w:rsid w:val="00AD6236"/>
    <w:rsid w:val="00AD69D5"/>
    <w:rsid w:val="00AD74EE"/>
    <w:rsid w:val="00AD7619"/>
    <w:rsid w:val="00AD7770"/>
    <w:rsid w:val="00AE05F2"/>
    <w:rsid w:val="00AE1772"/>
    <w:rsid w:val="00AE1814"/>
    <w:rsid w:val="00AE1990"/>
    <w:rsid w:val="00AE25E8"/>
    <w:rsid w:val="00AE2951"/>
    <w:rsid w:val="00AE2AD4"/>
    <w:rsid w:val="00AE2CA7"/>
    <w:rsid w:val="00AE2E20"/>
    <w:rsid w:val="00AE2E5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055"/>
    <w:rsid w:val="00AF644B"/>
    <w:rsid w:val="00AF66DD"/>
    <w:rsid w:val="00AF67EE"/>
    <w:rsid w:val="00AF69EB"/>
    <w:rsid w:val="00AF6CA6"/>
    <w:rsid w:val="00AF6EB6"/>
    <w:rsid w:val="00AF7796"/>
    <w:rsid w:val="00B00639"/>
    <w:rsid w:val="00B00A86"/>
    <w:rsid w:val="00B011A9"/>
    <w:rsid w:val="00B01BAF"/>
    <w:rsid w:val="00B024ED"/>
    <w:rsid w:val="00B026B8"/>
    <w:rsid w:val="00B02B0E"/>
    <w:rsid w:val="00B02EB3"/>
    <w:rsid w:val="00B02FCB"/>
    <w:rsid w:val="00B033F8"/>
    <w:rsid w:val="00B03C1E"/>
    <w:rsid w:val="00B04400"/>
    <w:rsid w:val="00B046C2"/>
    <w:rsid w:val="00B04835"/>
    <w:rsid w:val="00B04B71"/>
    <w:rsid w:val="00B05A55"/>
    <w:rsid w:val="00B05BEA"/>
    <w:rsid w:val="00B05C74"/>
    <w:rsid w:val="00B05DE1"/>
    <w:rsid w:val="00B06595"/>
    <w:rsid w:val="00B06862"/>
    <w:rsid w:val="00B06BD1"/>
    <w:rsid w:val="00B06FD5"/>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7DA"/>
    <w:rsid w:val="00B14D32"/>
    <w:rsid w:val="00B1507C"/>
    <w:rsid w:val="00B150D0"/>
    <w:rsid w:val="00B1557C"/>
    <w:rsid w:val="00B155DC"/>
    <w:rsid w:val="00B155E3"/>
    <w:rsid w:val="00B15766"/>
    <w:rsid w:val="00B159AB"/>
    <w:rsid w:val="00B15E4A"/>
    <w:rsid w:val="00B1666A"/>
    <w:rsid w:val="00B167C8"/>
    <w:rsid w:val="00B1686D"/>
    <w:rsid w:val="00B16BF7"/>
    <w:rsid w:val="00B16DB3"/>
    <w:rsid w:val="00B17129"/>
    <w:rsid w:val="00B17168"/>
    <w:rsid w:val="00B1741D"/>
    <w:rsid w:val="00B17447"/>
    <w:rsid w:val="00B1771D"/>
    <w:rsid w:val="00B17845"/>
    <w:rsid w:val="00B17B91"/>
    <w:rsid w:val="00B20209"/>
    <w:rsid w:val="00B203C9"/>
    <w:rsid w:val="00B2088D"/>
    <w:rsid w:val="00B208FF"/>
    <w:rsid w:val="00B21271"/>
    <w:rsid w:val="00B22B5A"/>
    <w:rsid w:val="00B22BD5"/>
    <w:rsid w:val="00B22E22"/>
    <w:rsid w:val="00B22F5F"/>
    <w:rsid w:val="00B23353"/>
    <w:rsid w:val="00B234CE"/>
    <w:rsid w:val="00B23535"/>
    <w:rsid w:val="00B23813"/>
    <w:rsid w:val="00B23FD9"/>
    <w:rsid w:val="00B24591"/>
    <w:rsid w:val="00B245D5"/>
    <w:rsid w:val="00B245EF"/>
    <w:rsid w:val="00B24C36"/>
    <w:rsid w:val="00B24D9F"/>
    <w:rsid w:val="00B24F94"/>
    <w:rsid w:val="00B25126"/>
    <w:rsid w:val="00B25703"/>
    <w:rsid w:val="00B25A52"/>
    <w:rsid w:val="00B25B81"/>
    <w:rsid w:val="00B25FC3"/>
    <w:rsid w:val="00B2627D"/>
    <w:rsid w:val="00B2692F"/>
    <w:rsid w:val="00B270F8"/>
    <w:rsid w:val="00B27875"/>
    <w:rsid w:val="00B3008D"/>
    <w:rsid w:val="00B302E3"/>
    <w:rsid w:val="00B303F7"/>
    <w:rsid w:val="00B30884"/>
    <w:rsid w:val="00B30CF5"/>
    <w:rsid w:val="00B30E11"/>
    <w:rsid w:val="00B30EAE"/>
    <w:rsid w:val="00B30EEB"/>
    <w:rsid w:val="00B311E4"/>
    <w:rsid w:val="00B31423"/>
    <w:rsid w:val="00B317AE"/>
    <w:rsid w:val="00B32373"/>
    <w:rsid w:val="00B323E0"/>
    <w:rsid w:val="00B3283F"/>
    <w:rsid w:val="00B32D31"/>
    <w:rsid w:val="00B32DC0"/>
    <w:rsid w:val="00B3346C"/>
    <w:rsid w:val="00B33477"/>
    <w:rsid w:val="00B334D9"/>
    <w:rsid w:val="00B335E4"/>
    <w:rsid w:val="00B33C23"/>
    <w:rsid w:val="00B33F25"/>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A36"/>
    <w:rsid w:val="00B40CA6"/>
    <w:rsid w:val="00B41BCA"/>
    <w:rsid w:val="00B41D39"/>
    <w:rsid w:val="00B422C0"/>
    <w:rsid w:val="00B426CA"/>
    <w:rsid w:val="00B426E1"/>
    <w:rsid w:val="00B42F56"/>
    <w:rsid w:val="00B42FBA"/>
    <w:rsid w:val="00B43078"/>
    <w:rsid w:val="00B430DF"/>
    <w:rsid w:val="00B4387A"/>
    <w:rsid w:val="00B43CFB"/>
    <w:rsid w:val="00B44746"/>
    <w:rsid w:val="00B44854"/>
    <w:rsid w:val="00B44BA5"/>
    <w:rsid w:val="00B458D0"/>
    <w:rsid w:val="00B46093"/>
    <w:rsid w:val="00B46A4C"/>
    <w:rsid w:val="00B47304"/>
    <w:rsid w:val="00B4792C"/>
    <w:rsid w:val="00B50CAE"/>
    <w:rsid w:val="00B512AD"/>
    <w:rsid w:val="00B5196C"/>
    <w:rsid w:val="00B5258E"/>
    <w:rsid w:val="00B525CB"/>
    <w:rsid w:val="00B52697"/>
    <w:rsid w:val="00B53573"/>
    <w:rsid w:val="00B53955"/>
    <w:rsid w:val="00B54215"/>
    <w:rsid w:val="00B547AD"/>
    <w:rsid w:val="00B54D8F"/>
    <w:rsid w:val="00B55751"/>
    <w:rsid w:val="00B55857"/>
    <w:rsid w:val="00B5587C"/>
    <w:rsid w:val="00B55C69"/>
    <w:rsid w:val="00B5664E"/>
    <w:rsid w:val="00B56851"/>
    <w:rsid w:val="00B56D6E"/>
    <w:rsid w:val="00B572F7"/>
    <w:rsid w:val="00B574C3"/>
    <w:rsid w:val="00B5786F"/>
    <w:rsid w:val="00B57B9D"/>
    <w:rsid w:val="00B57DAF"/>
    <w:rsid w:val="00B60094"/>
    <w:rsid w:val="00B6022C"/>
    <w:rsid w:val="00B603C7"/>
    <w:rsid w:val="00B6040C"/>
    <w:rsid w:val="00B614F8"/>
    <w:rsid w:val="00B618BD"/>
    <w:rsid w:val="00B61994"/>
    <w:rsid w:val="00B61B18"/>
    <w:rsid w:val="00B61FD4"/>
    <w:rsid w:val="00B6235B"/>
    <w:rsid w:val="00B627C3"/>
    <w:rsid w:val="00B62880"/>
    <w:rsid w:val="00B63872"/>
    <w:rsid w:val="00B63CB2"/>
    <w:rsid w:val="00B64246"/>
    <w:rsid w:val="00B64BE9"/>
    <w:rsid w:val="00B64EDB"/>
    <w:rsid w:val="00B656D1"/>
    <w:rsid w:val="00B65938"/>
    <w:rsid w:val="00B65C8A"/>
    <w:rsid w:val="00B65CE2"/>
    <w:rsid w:val="00B660AD"/>
    <w:rsid w:val="00B66109"/>
    <w:rsid w:val="00B66349"/>
    <w:rsid w:val="00B6695D"/>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175"/>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2F7D"/>
    <w:rsid w:val="00B83182"/>
    <w:rsid w:val="00B839F0"/>
    <w:rsid w:val="00B83EDC"/>
    <w:rsid w:val="00B84542"/>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376"/>
    <w:rsid w:val="00B91B8E"/>
    <w:rsid w:val="00B91D96"/>
    <w:rsid w:val="00B92531"/>
    <w:rsid w:val="00B92618"/>
    <w:rsid w:val="00B92751"/>
    <w:rsid w:val="00B92B69"/>
    <w:rsid w:val="00B92CC6"/>
    <w:rsid w:val="00B9319A"/>
    <w:rsid w:val="00B935C9"/>
    <w:rsid w:val="00B93D52"/>
    <w:rsid w:val="00B93E3D"/>
    <w:rsid w:val="00B9525F"/>
    <w:rsid w:val="00B95464"/>
    <w:rsid w:val="00B9576E"/>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101"/>
    <w:rsid w:val="00BA55A1"/>
    <w:rsid w:val="00BA665B"/>
    <w:rsid w:val="00BA6C48"/>
    <w:rsid w:val="00BA6FE8"/>
    <w:rsid w:val="00BA732D"/>
    <w:rsid w:val="00BA7370"/>
    <w:rsid w:val="00BA778B"/>
    <w:rsid w:val="00BA7BBE"/>
    <w:rsid w:val="00BB0888"/>
    <w:rsid w:val="00BB0DF1"/>
    <w:rsid w:val="00BB0E9B"/>
    <w:rsid w:val="00BB1A75"/>
    <w:rsid w:val="00BB2841"/>
    <w:rsid w:val="00BB2BAD"/>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3F6"/>
    <w:rsid w:val="00BC0EAB"/>
    <w:rsid w:val="00BC0F33"/>
    <w:rsid w:val="00BC14A7"/>
    <w:rsid w:val="00BC17CC"/>
    <w:rsid w:val="00BC209F"/>
    <w:rsid w:val="00BC2647"/>
    <w:rsid w:val="00BC2898"/>
    <w:rsid w:val="00BC2928"/>
    <w:rsid w:val="00BC29BD"/>
    <w:rsid w:val="00BC2A75"/>
    <w:rsid w:val="00BC2BB1"/>
    <w:rsid w:val="00BC34A3"/>
    <w:rsid w:val="00BC3540"/>
    <w:rsid w:val="00BC3FF9"/>
    <w:rsid w:val="00BC4834"/>
    <w:rsid w:val="00BC4A33"/>
    <w:rsid w:val="00BC4A97"/>
    <w:rsid w:val="00BC4BBC"/>
    <w:rsid w:val="00BC5A25"/>
    <w:rsid w:val="00BC5FDD"/>
    <w:rsid w:val="00BC6508"/>
    <w:rsid w:val="00BC68B4"/>
    <w:rsid w:val="00BC7277"/>
    <w:rsid w:val="00BC762F"/>
    <w:rsid w:val="00BC7DC0"/>
    <w:rsid w:val="00BD0140"/>
    <w:rsid w:val="00BD02CC"/>
    <w:rsid w:val="00BD088E"/>
    <w:rsid w:val="00BD0F18"/>
    <w:rsid w:val="00BD12A8"/>
    <w:rsid w:val="00BD1612"/>
    <w:rsid w:val="00BD182E"/>
    <w:rsid w:val="00BD1D08"/>
    <w:rsid w:val="00BD2063"/>
    <w:rsid w:val="00BD2950"/>
    <w:rsid w:val="00BD337A"/>
    <w:rsid w:val="00BD33D9"/>
    <w:rsid w:val="00BD3680"/>
    <w:rsid w:val="00BD38C5"/>
    <w:rsid w:val="00BD3A6D"/>
    <w:rsid w:val="00BD3AF1"/>
    <w:rsid w:val="00BD3DEA"/>
    <w:rsid w:val="00BD3E97"/>
    <w:rsid w:val="00BD40E4"/>
    <w:rsid w:val="00BD52FE"/>
    <w:rsid w:val="00BD5D52"/>
    <w:rsid w:val="00BD62CF"/>
    <w:rsid w:val="00BD67B2"/>
    <w:rsid w:val="00BD68E2"/>
    <w:rsid w:val="00BD6D41"/>
    <w:rsid w:val="00BD7563"/>
    <w:rsid w:val="00BD76E5"/>
    <w:rsid w:val="00BD78FE"/>
    <w:rsid w:val="00BD7E31"/>
    <w:rsid w:val="00BE0149"/>
    <w:rsid w:val="00BE0767"/>
    <w:rsid w:val="00BE07A6"/>
    <w:rsid w:val="00BE09B1"/>
    <w:rsid w:val="00BE0CDF"/>
    <w:rsid w:val="00BE0E73"/>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8EA"/>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07C"/>
    <w:rsid w:val="00BF436F"/>
    <w:rsid w:val="00BF4862"/>
    <w:rsid w:val="00BF5698"/>
    <w:rsid w:val="00BF5899"/>
    <w:rsid w:val="00BF5C05"/>
    <w:rsid w:val="00BF61E3"/>
    <w:rsid w:val="00BF62AB"/>
    <w:rsid w:val="00BF6817"/>
    <w:rsid w:val="00BF6C08"/>
    <w:rsid w:val="00BF6FC6"/>
    <w:rsid w:val="00BF73ED"/>
    <w:rsid w:val="00BF75D2"/>
    <w:rsid w:val="00BF79E3"/>
    <w:rsid w:val="00BF7C52"/>
    <w:rsid w:val="00BF7F99"/>
    <w:rsid w:val="00C00713"/>
    <w:rsid w:val="00C009A0"/>
    <w:rsid w:val="00C01C59"/>
    <w:rsid w:val="00C01F74"/>
    <w:rsid w:val="00C02558"/>
    <w:rsid w:val="00C0285F"/>
    <w:rsid w:val="00C028F5"/>
    <w:rsid w:val="00C02DDA"/>
    <w:rsid w:val="00C02F35"/>
    <w:rsid w:val="00C03305"/>
    <w:rsid w:val="00C03515"/>
    <w:rsid w:val="00C03738"/>
    <w:rsid w:val="00C037A6"/>
    <w:rsid w:val="00C03F2F"/>
    <w:rsid w:val="00C04221"/>
    <w:rsid w:val="00C043F5"/>
    <w:rsid w:val="00C044E3"/>
    <w:rsid w:val="00C04607"/>
    <w:rsid w:val="00C04BDB"/>
    <w:rsid w:val="00C04D40"/>
    <w:rsid w:val="00C04E66"/>
    <w:rsid w:val="00C052C6"/>
    <w:rsid w:val="00C05A61"/>
    <w:rsid w:val="00C05F04"/>
    <w:rsid w:val="00C05FBA"/>
    <w:rsid w:val="00C05FEE"/>
    <w:rsid w:val="00C060CE"/>
    <w:rsid w:val="00C06541"/>
    <w:rsid w:val="00C06CCF"/>
    <w:rsid w:val="00C06F9D"/>
    <w:rsid w:val="00C07376"/>
    <w:rsid w:val="00C0794D"/>
    <w:rsid w:val="00C1082C"/>
    <w:rsid w:val="00C10E78"/>
    <w:rsid w:val="00C10EC9"/>
    <w:rsid w:val="00C11113"/>
    <w:rsid w:val="00C1159D"/>
    <w:rsid w:val="00C118EE"/>
    <w:rsid w:val="00C1212A"/>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4C78"/>
    <w:rsid w:val="00C25813"/>
    <w:rsid w:val="00C2644E"/>
    <w:rsid w:val="00C26C71"/>
    <w:rsid w:val="00C27143"/>
    <w:rsid w:val="00C27490"/>
    <w:rsid w:val="00C27D37"/>
    <w:rsid w:val="00C309E8"/>
    <w:rsid w:val="00C32017"/>
    <w:rsid w:val="00C32571"/>
    <w:rsid w:val="00C325CD"/>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7FA"/>
    <w:rsid w:val="00C37A7B"/>
    <w:rsid w:val="00C37DC1"/>
    <w:rsid w:val="00C37FFE"/>
    <w:rsid w:val="00C40B50"/>
    <w:rsid w:val="00C41176"/>
    <w:rsid w:val="00C419E3"/>
    <w:rsid w:val="00C419F4"/>
    <w:rsid w:val="00C41C50"/>
    <w:rsid w:val="00C41E6A"/>
    <w:rsid w:val="00C42247"/>
    <w:rsid w:val="00C422EA"/>
    <w:rsid w:val="00C42605"/>
    <w:rsid w:val="00C428E7"/>
    <w:rsid w:val="00C42F66"/>
    <w:rsid w:val="00C438A2"/>
    <w:rsid w:val="00C439BE"/>
    <w:rsid w:val="00C4443B"/>
    <w:rsid w:val="00C4539B"/>
    <w:rsid w:val="00C45466"/>
    <w:rsid w:val="00C45490"/>
    <w:rsid w:val="00C455C1"/>
    <w:rsid w:val="00C4581D"/>
    <w:rsid w:val="00C46294"/>
    <w:rsid w:val="00C46599"/>
    <w:rsid w:val="00C47356"/>
    <w:rsid w:val="00C47472"/>
    <w:rsid w:val="00C500F0"/>
    <w:rsid w:val="00C504A7"/>
    <w:rsid w:val="00C50639"/>
    <w:rsid w:val="00C506C9"/>
    <w:rsid w:val="00C50A16"/>
    <w:rsid w:val="00C51222"/>
    <w:rsid w:val="00C51C9A"/>
    <w:rsid w:val="00C51DE0"/>
    <w:rsid w:val="00C52177"/>
    <w:rsid w:val="00C52998"/>
    <w:rsid w:val="00C52B23"/>
    <w:rsid w:val="00C52C68"/>
    <w:rsid w:val="00C52D98"/>
    <w:rsid w:val="00C52DA1"/>
    <w:rsid w:val="00C53007"/>
    <w:rsid w:val="00C53626"/>
    <w:rsid w:val="00C53D24"/>
    <w:rsid w:val="00C53FD3"/>
    <w:rsid w:val="00C54640"/>
    <w:rsid w:val="00C547A6"/>
    <w:rsid w:val="00C54A3A"/>
    <w:rsid w:val="00C54E9F"/>
    <w:rsid w:val="00C55C32"/>
    <w:rsid w:val="00C55C53"/>
    <w:rsid w:val="00C56A67"/>
    <w:rsid w:val="00C56CC2"/>
    <w:rsid w:val="00C56D8D"/>
    <w:rsid w:val="00C57498"/>
    <w:rsid w:val="00C5763C"/>
    <w:rsid w:val="00C5780C"/>
    <w:rsid w:val="00C5796B"/>
    <w:rsid w:val="00C57C64"/>
    <w:rsid w:val="00C57E2E"/>
    <w:rsid w:val="00C57EA0"/>
    <w:rsid w:val="00C610C1"/>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3F"/>
    <w:rsid w:val="00C672A3"/>
    <w:rsid w:val="00C672F1"/>
    <w:rsid w:val="00C673D0"/>
    <w:rsid w:val="00C6742E"/>
    <w:rsid w:val="00C67B0B"/>
    <w:rsid w:val="00C67C0E"/>
    <w:rsid w:val="00C67C37"/>
    <w:rsid w:val="00C67F7A"/>
    <w:rsid w:val="00C70012"/>
    <w:rsid w:val="00C70622"/>
    <w:rsid w:val="00C70BF6"/>
    <w:rsid w:val="00C7183F"/>
    <w:rsid w:val="00C71E2A"/>
    <w:rsid w:val="00C71F2C"/>
    <w:rsid w:val="00C72115"/>
    <w:rsid w:val="00C733BA"/>
    <w:rsid w:val="00C73649"/>
    <w:rsid w:val="00C73832"/>
    <w:rsid w:val="00C7389D"/>
    <w:rsid w:val="00C74541"/>
    <w:rsid w:val="00C7475F"/>
    <w:rsid w:val="00C760DC"/>
    <w:rsid w:val="00C76D48"/>
    <w:rsid w:val="00C770C5"/>
    <w:rsid w:val="00C771F8"/>
    <w:rsid w:val="00C8001D"/>
    <w:rsid w:val="00C8082B"/>
    <w:rsid w:val="00C816ED"/>
    <w:rsid w:val="00C81A88"/>
    <w:rsid w:val="00C81D46"/>
    <w:rsid w:val="00C82298"/>
    <w:rsid w:val="00C827FF"/>
    <w:rsid w:val="00C82DC7"/>
    <w:rsid w:val="00C8331F"/>
    <w:rsid w:val="00C833B4"/>
    <w:rsid w:val="00C84284"/>
    <w:rsid w:val="00C84954"/>
    <w:rsid w:val="00C84B8C"/>
    <w:rsid w:val="00C84E33"/>
    <w:rsid w:val="00C85682"/>
    <w:rsid w:val="00C85FFC"/>
    <w:rsid w:val="00C861FC"/>
    <w:rsid w:val="00C86B9F"/>
    <w:rsid w:val="00C86C87"/>
    <w:rsid w:val="00C86D27"/>
    <w:rsid w:val="00C87AE7"/>
    <w:rsid w:val="00C9005E"/>
    <w:rsid w:val="00C90111"/>
    <w:rsid w:val="00C9038E"/>
    <w:rsid w:val="00C9077B"/>
    <w:rsid w:val="00C90CA9"/>
    <w:rsid w:val="00C90F88"/>
    <w:rsid w:val="00C915F2"/>
    <w:rsid w:val="00C917B1"/>
    <w:rsid w:val="00C917C0"/>
    <w:rsid w:val="00C9193C"/>
    <w:rsid w:val="00C91B77"/>
    <w:rsid w:val="00C91B8E"/>
    <w:rsid w:val="00C920E2"/>
    <w:rsid w:val="00C936BA"/>
    <w:rsid w:val="00C9370F"/>
    <w:rsid w:val="00C93765"/>
    <w:rsid w:val="00C93877"/>
    <w:rsid w:val="00C93D8C"/>
    <w:rsid w:val="00C93E07"/>
    <w:rsid w:val="00C946CC"/>
    <w:rsid w:val="00C95297"/>
    <w:rsid w:val="00C955DB"/>
    <w:rsid w:val="00C959BD"/>
    <w:rsid w:val="00C95DFE"/>
    <w:rsid w:val="00C95F44"/>
    <w:rsid w:val="00C96389"/>
    <w:rsid w:val="00C96D1B"/>
    <w:rsid w:val="00C97106"/>
    <w:rsid w:val="00C978D4"/>
    <w:rsid w:val="00CA0031"/>
    <w:rsid w:val="00CA0413"/>
    <w:rsid w:val="00CA043A"/>
    <w:rsid w:val="00CA085D"/>
    <w:rsid w:val="00CA0C2B"/>
    <w:rsid w:val="00CA0E51"/>
    <w:rsid w:val="00CA110A"/>
    <w:rsid w:val="00CA128F"/>
    <w:rsid w:val="00CA15E0"/>
    <w:rsid w:val="00CA1691"/>
    <w:rsid w:val="00CA2653"/>
    <w:rsid w:val="00CA2778"/>
    <w:rsid w:val="00CA291F"/>
    <w:rsid w:val="00CA41E7"/>
    <w:rsid w:val="00CA4A99"/>
    <w:rsid w:val="00CA54CE"/>
    <w:rsid w:val="00CA5520"/>
    <w:rsid w:val="00CA5812"/>
    <w:rsid w:val="00CA5BD4"/>
    <w:rsid w:val="00CA5C14"/>
    <w:rsid w:val="00CA6410"/>
    <w:rsid w:val="00CA7019"/>
    <w:rsid w:val="00CA70DF"/>
    <w:rsid w:val="00CA76FC"/>
    <w:rsid w:val="00CA7924"/>
    <w:rsid w:val="00CA7E7B"/>
    <w:rsid w:val="00CB0236"/>
    <w:rsid w:val="00CB0CB1"/>
    <w:rsid w:val="00CB1881"/>
    <w:rsid w:val="00CB1969"/>
    <w:rsid w:val="00CB19E3"/>
    <w:rsid w:val="00CB1B1C"/>
    <w:rsid w:val="00CB2221"/>
    <w:rsid w:val="00CB2C3A"/>
    <w:rsid w:val="00CB2D38"/>
    <w:rsid w:val="00CB2F5E"/>
    <w:rsid w:val="00CB3347"/>
    <w:rsid w:val="00CB3C9D"/>
    <w:rsid w:val="00CB4137"/>
    <w:rsid w:val="00CB50D0"/>
    <w:rsid w:val="00CB52D0"/>
    <w:rsid w:val="00CB5578"/>
    <w:rsid w:val="00CB5671"/>
    <w:rsid w:val="00CB591C"/>
    <w:rsid w:val="00CB5943"/>
    <w:rsid w:val="00CB61B3"/>
    <w:rsid w:val="00CB6801"/>
    <w:rsid w:val="00CB6F83"/>
    <w:rsid w:val="00CB72AE"/>
    <w:rsid w:val="00CB73F1"/>
    <w:rsid w:val="00CC00CD"/>
    <w:rsid w:val="00CC0579"/>
    <w:rsid w:val="00CC0AF3"/>
    <w:rsid w:val="00CC0BC6"/>
    <w:rsid w:val="00CC0E68"/>
    <w:rsid w:val="00CC1780"/>
    <w:rsid w:val="00CC194E"/>
    <w:rsid w:val="00CC2174"/>
    <w:rsid w:val="00CC21AC"/>
    <w:rsid w:val="00CC232E"/>
    <w:rsid w:val="00CC2514"/>
    <w:rsid w:val="00CC2C8B"/>
    <w:rsid w:val="00CC2D34"/>
    <w:rsid w:val="00CC2F69"/>
    <w:rsid w:val="00CC315F"/>
    <w:rsid w:val="00CC35F1"/>
    <w:rsid w:val="00CC3B17"/>
    <w:rsid w:val="00CC3C22"/>
    <w:rsid w:val="00CC3D38"/>
    <w:rsid w:val="00CC40C3"/>
    <w:rsid w:val="00CC414A"/>
    <w:rsid w:val="00CC4CB4"/>
    <w:rsid w:val="00CC4E5D"/>
    <w:rsid w:val="00CC50AE"/>
    <w:rsid w:val="00CC5FFE"/>
    <w:rsid w:val="00CC61B7"/>
    <w:rsid w:val="00CC61CA"/>
    <w:rsid w:val="00CC69EC"/>
    <w:rsid w:val="00CC71D3"/>
    <w:rsid w:val="00CC72C7"/>
    <w:rsid w:val="00CC743D"/>
    <w:rsid w:val="00CC74E7"/>
    <w:rsid w:val="00CC7752"/>
    <w:rsid w:val="00CD02ED"/>
    <w:rsid w:val="00CD050A"/>
    <w:rsid w:val="00CD066D"/>
    <w:rsid w:val="00CD0AE0"/>
    <w:rsid w:val="00CD0F92"/>
    <w:rsid w:val="00CD1017"/>
    <w:rsid w:val="00CD205D"/>
    <w:rsid w:val="00CD2851"/>
    <w:rsid w:val="00CD2A22"/>
    <w:rsid w:val="00CD2B50"/>
    <w:rsid w:val="00CD3172"/>
    <w:rsid w:val="00CD3272"/>
    <w:rsid w:val="00CD3AEA"/>
    <w:rsid w:val="00CD4399"/>
    <w:rsid w:val="00CD4506"/>
    <w:rsid w:val="00CD4F1F"/>
    <w:rsid w:val="00CD50E3"/>
    <w:rsid w:val="00CD520B"/>
    <w:rsid w:val="00CD53D4"/>
    <w:rsid w:val="00CD592E"/>
    <w:rsid w:val="00CD5982"/>
    <w:rsid w:val="00CD5A1A"/>
    <w:rsid w:val="00CD5E1E"/>
    <w:rsid w:val="00CD6C6B"/>
    <w:rsid w:val="00CD7EFA"/>
    <w:rsid w:val="00CE020E"/>
    <w:rsid w:val="00CE0566"/>
    <w:rsid w:val="00CE1CD4"/>
    <w:rsid w:val="00CE22D7"/>
    <w:rsid w:val="00CE22DF"/>
    <w:rsid w:val="00CE253A"/>
    <w:rsid w:val="00CE2761"/>
    <w:rsid w:val="00CE28FC"/>
    <w:rsid w:val="00CE314E"/>
    <w:rsid w:val="00CE343E"/>
    <w:rsid w:val="00CE3A85"/>
    <w:rsid w:val="00CE3D5C"/>
    <w:rsid w:val="00CE3E09"/>
    <w:rsid w:val="00CE3E14"/>
    <w:rsid w:val="00CE44C7"/>
    <w:rsid w:val="00CE4B4A"/>
    <w:rsid w:val="00CE5230"/>
    <w:rsid w:val="00CE53CC"/>
    <w:rsid w:val="00CE5F60"/>
    <w:rsid w:val="00CE65A7"/>
    <w:rsid w:val="00CE67CC"/>
    <w:rsid w:val="00CE68FE"/>
    <w:rsid w:val="00CE69CC"/>
    <w:rsid w:val="00CE6EC4"/>
    <w:rsid w:val="00CE7F26"/>
    <w:rsid w:val="00CF089F"/>
    <w:rsid w:val="00CF093F"/>
    <w:rsid w:val="00CF1226"/>
    <w:rsid w:val="00CF1245"/>
    <w:rsid w:val="00CF1ABB"/>
    <w:rsid w:val="00CF1E1D"/>
    <w:rsid w:val="00CF24FE"/>
    <w:rsid w:val="00CF287F"/>
    <w:rsid w:val="00CF357D"/>
    <w:rsid w:val="00CF35D0"/>
    <w:rsid w:val="00CF392D"/>
    <w:rsid w:val="00CF3B57"/>
    <w:rsid w:val="00CF3DD5"/>
    <w:rsid w:val="00CF4243"/>
    <w:rsid w:val="00CF444E"/>
    <w:rsid w:val="00CF4AF7"/>
    <w:rsid w:val="00CF4D20"/>
    <w:rsid w:val="00CF6219"/>
    <w:rsid w:val="00CF6473"/>
    <w:rsid w:val="00CF6F2E"/>
    <w:rsid w:val="00CF73F8"/>
    <w:rsid w:val="00CF7928"/>
    <w:rsid w:val="00CF7CA2"/>
    <w:rsid w:val="00D00801"/>
    <w:rsid w:val="00D00911"/>
    <w:rsid w:val="00D00A8E"/>
    <w:rsid w:val="00D00DE0"/>
    <w:rsid w:val="00D00F79"/>
    <w:rsid w:val="00D010FF"/>
    <w:rsid w:val="00D012BF"/>
    <w:rsid w:val="00D01760"/>
    <w:rsid w:val="00D01ADA"/>
    <w:rsid w:val="00D02D64"/>
    <w:rsid w:val="00D0368E"/>
    <w:rsid w:val="00D03ABB"/>
    <w:rsid w:val="00D03AC3"/>
    <w:rsid w:val="00D03D2D"/>
    <w:rsid w:val="00D03E7B"/>
    <w:rsid w:val="00D0401A"/>
    <w:rsid w:val="00D043AA"/>
    <w:rsid w:val="00D047E0"/>
    <w:rsid w:val="00D04B9F"/>
    <w:rsid w:val="00D04D43"/>
    <w:rsid w:val="00D04FFB"/>
    <w:rsid w:val="00D0525F"/>
    <w:rsid w:val="00D055FE"/>
    <w:rsid w:val="00D058E9"/>
    <w:rsid w:val="00D05F2B"/>
    <w:rsid w:val="00D0612A"/>
    <w:rsid w:val="00D06C3E"/>
    <w:rsid w:val="00D0721F"/>
    <w:rsid w:val="00D07DE9"/>
    <w:rsid w:val="00D1060D"/>
    <w:rsid w:val="00D10D14"/>
    <w:rsid w:val="00D10E7C"/>
    <w:rsid w:val="00D11182"/>
    <w:rsid w:val="00D1137B"/>
    <w:rsid w:val="00D11418"/>
    <w:rsid w:val="00D11508"/>
    <w:rsid w:val="00D11807"/>
    <w:rsid w:val="00D11863"/>
    <w:rsid w:val="00D11DB3"/>
    <w:rsid w:val="00D12664"/>
    <w:rsid w:val="00D12D82"/>
    <w:rsid w:val="00D12F77"/>
    <w:rsid w:val="00D1306E"/>
    <w:rsid w:val="00D130B7"/>
    <w:rsid w:val="00D134CD"/>
    <w:rsid w:val="00D14B5F"/>
    <w:rsid w:val="00D14E13"/>
    <w:rsid w:val="00D14F23"/>
    <w:rsid w:val="00D1555C"/>
    <w:rsid w:val="00D160F6"/>
    <w:rsid w:val="00D16195"/>
    <w:rsid w:val="00D16740"/>
    <w:rsid w:val="00D16953"/>
    <w:rsid w:val="00D16A8B"/>
    <w:rsid w:val="00D16D08"/>
    <w:rsid w:val="00D16E39"/>
    <w:rsid w:val="00D171DE"/>
    <w:rsid w:val="00D172A4"/>
    <w:rsid w:val="00D17951"/>
    <w:rsid w:val="00D17A49"/>
    <w:rsid w:val="00D17AD8"/>
    <w:rsid w:val="00D2104A"/>
    <w:rsid w:val="00D21A58"/>
    <w:rsid w:val="00D21BB5"/>
    <w:rsid w:val="00D21FFC"/>
    <w:rsid w:val="00D222FD"/>
    <w:rsid w:val="00D223B6"/>
    <w:rsid w:val="00D223E8"/>
    <w:rsid w:val="00D224E1"/>
    <w:rsid w:val="00D22BFE"/>
    <w:rsid w:val="00D22DC8"/>
    <w:rsid w:val="00D23882"/>
    <w:rsid w:val="00D23F1B"/>
    <w:rsid w:val="00D23FAF"/>
    <w:rsid w:val="00D2477B"/>
    <w:rsid w:val="00D251B2"/>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D5D"/>
    <w:rsid w:val="00D33FA4"/>
    <w:rsid w:val="00D341CE"/>
    <w:rsid w:val="00D349E3"/>
    <w:rsid w:val="00D34B25"/>
    <w:rsid w:val="00D34C7F"/>
    <w:rsid w:val="00D34F4E"/>
    <w:rsid w:val="00D357F3"/>
    <w:rsid w:val="00D35C0E"/>
    <w:rsid w:val="00D36FBF"/>
    <w:rsid w:val="00D373A8"/>
    <w:rsid w:val="00D373AC"/>
    <w:rsid w:val="00D3749A"/>
    <w:rsid w:val="00D379A5"/>
    <w:rsid w:val="00D37BB3"/>
    <w:rsid w:val="00D401BE"/>
    <w:rsid w:val="00D4043A"/>
    <w:rsid w:val="00D40B0C"/>
    <w:rsid w:val="00D40DB0"/>
    <w:rsid w:val="00D41093"/>
    <w:rsid w:val="00D41858"/>
    <w:rsid w:val="00D422DB"/>
    <w:rsid w:val="00D42AC2"/>
    <w:rsid w:val="00D43C06"/>
    <w:rsid w:val="00D43E7A"/>
    <w:rsid w:val="00D4498E"/>
    <w:rsid w:val="00D4515F"/>
    <w:rsid w:val="00D451E8"/>
    <w:rsid w:val="00D45A45"/>
    <w:rsid w:val="00D466C9"/>
    <w:rsid w:val="00D46AF9"/>
    <w:rsid w:val="00D47275"/>
    <w:rsid w:val="00D47DE7"/>
    <w:rsid w:val="00D50310"/>
    <w:rsid w:val="00D50396"/>
    <w:rsid w:val="00D517F6"/>
    <w:rsid w:val="00D51AB7"/>
    <w:rsid w:val="00D51E15"/>
    <w:rsid w:val="00D52B7E"/>
    <w:rsid w:val="00D52E2F"/>
    <w:rsid w:val="00D52F59"/>
    <w:rsid w:val="00D53445"/>
    <w:rsid w:val="00D53A2E"/>
    <w:rsid w:val="00D53E3E"/>
    <w:rsid w:val="00D54620"/>
    <w:rsid w:val="00D54710"/>
    <w:rsid w:val="00D54868"/>
    <w:rsid w:val="00D5564C"/>
    <w:rsid w:val="00D55893"/>
    <w:rsid w:val="00D55904"/>
    <w:rsid w:val="00D55C52"/>
    <w:rsid w:val="00D5614E"/>
    <w:rsid w:val="00D5616F"/>
    <w:rsid w:val="00D564B8"/>
    <w:rsid w:val="00D564CC"/>
    <w:rsid w:val="00D57199"/>
    <w:rsid w:val="00D57940"/>
    <w:rsid w:val="00D60327"/>
    <w:rsid w:val="00D607E2"/>
    <w:rsid w:val="00D60D6D"/>
    <w:rsid w:val="00D61384"/>
    <w:rsid w:val="00D61526"/>
    <w:rsid w:val="00D61C39"/>
    <w:rsid w:val="00D61F81"/>
    <w:rsid w:val="00D620A6"/>
    <w:rsid w:val="00D620D5"/>
    <w:rsid w:val="00D623C0"/>
    <w:rsid w:val="00D62BE6"/>
    <w:rsid w:val="00D63359"/>
    <w:rsid w:val="00D63766"/>
    <w:rsid w:val="00D63912"/>
    <w:rsid w:val="00D63923"/>
    <w:rsid w:val="00D6451B"/>
    <w:rsid w:val="00D64B57"/>
    <w:rsid w:val="00D651A1"/>
    <w:rsid w:val="00D651F2"/>
    <w:rsid w:val="00D656F7"/>
    <w:rsid w:val="00D65DEA"/>
    <w:rsid w:val="00D66051"/>
    <w:rsid w:val="00D6650F"/>
    <w:rsid w:val="00D66579"/>
    <w:rsid w:val="00D66C35"/>
    <w:rsid w:val="00D67454"/>
    <w:rsid w:val="00D676D3"/>
    <w:rsid w:val="00D67B06"/>
    <w:rsid w:val="00D67BC7"/>
    <w:rsid w:val="00D7001B"/>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17"/>
    <w:rsid w:val="00D80565"/>
    <w:rsid w:val="00D805D6"/>
    <w:rsid w:val="00D8075E"/>
    <w:rsid w:val="00D80860"/>
    <w:rsid w:val="00D80B75"/>
    <w:rsid w:val="00D80D4C"/>
    <w:rsid w:val="00D80E5E"/>
    <w:rsid w:val="00D80ED1"/>
    <w:rsid w:val="00D81782"/>
    <w:rsid w:val="00D8184D"/>
    <w:rsid w:val="00D81A7B"/>
    <w:rsid w:val="00D820E2"/>
    <w:rsid w:val="00D8223C"/>
    <w:rsid w:val="00D82B57"/>
    <w:rsid w:val="00D82CE5"/>
    <w:rsid w:val="00D831E3"/>
    <w:rsid w:val="00D8342C"/>
    <w:rsid w:val="00D83F9F"/>
    <w:rsid w:val="00D84983"/>
    <w:rsid w:val="00D84C00"/>
    <w:rsid w:val="00D85494"/>
    <w:rsid w:val="00D8582C"/>
    <w:rsid w:val="00D85CE9"/>
    <w:rsid w:val="00D85D61"/>
    <w:rsid w:val="00D8616D"/>
    <w:rsid w:val="00D869BF"/>
    <w:rsid w:val="00D8711B"/>
    <w:rsid w:val="00D87384"/>
    <w:rsid w:val="00D87EC5"/>
    <w:rsid w:val="00D9021B"/>
    <w:rsid w:val="00D90683"/>
    <w:rsid w:val="00D90B2A"/>
    <w:rsid w:val="00D913F5"/>
    <w:rsid w:val="00D91483"/>
    <w:rsid w:val="00D914E1"/>
    <w:rsid w:val="00D915C8"/>
    <w:rsid w:val="00D91695"/>
    <w:rsid w:val="00D92676"/>
    <w:rsid w:val="00D9310B"/>
    <w:rsid w:val="00D931F3"/>
    <w:rsid w:val="00D93726"/>
    <w:rsid w:val="00D93DFD"/>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158F"/>
    <w:rsid w:val="00DA16BE"/>
    <w:rsid w:val="00DA286D"/>
    <w:rsid w:val="00DA2969"/>
    <w:rsid w:val="00DA29B7"/>
    <w:rsid w:val="00DA2A44"/>
    <w:rsid w:val="00DA2E5F"/>
    <w:rsid w:val="00DA2F9C"/>
    <w:rsid w:val="00DA337C"/>
    <w:rsid w:val="00DA4842"/>
    <w:rsid w:val="00DA4C97"/>
    <w:rsid w:val="00DA52BB"/>
    <w:rsid w:val="00DA54BF"/>
    <w:rsid w:val="00DA5540"/>
    <w:rsid w:val="00DA5989"/>
    <w:rsid w:val="00DA5AB1"/>
    <w:rsid w:val="00DA5AE5"/>
    <w:rsid w:val="00DA5F9D"/>
    <w:rsid w:val="00DA625D"/>
    <w:rsid w:val="00DA64AD"/>
    <w:rsid w:val="00DA69B2"/>
    <w:rsid w:val="00DA7462"/>
    <w:rsid w:val="00DA79C4"/>
    <w:rsid w:val="00DA7AD0"/>
    <w:rsid w:val="00DB02D7"/>
    <w:rsid w:val="00DB03CC"/>
    <w:rsid w:val="00DB03DE"/>
    <w:rsid w:val="00DB071D"/>
    <w:rsid w:val="00DB093D"/>
    <w:rsid w:val="00DB12D4"/>
    <w:rsid w:val="00DB1445"/>
    <w:rsid w:val="00DB14F0"/>
    <w:rsid w:val="00DB1745"/>
    <w:rsid w:val="00DB19BB"/>
    <w:rsid w:val="00DB1AFF"/>
    <w:rsid w:val="00DB1B36"/>
    <w:rsid w:val="00DB219A"/>
    <w:rsid w:val="00DB229C"/>
    <w:rsid w:val="00DB248A"/>
    <w:rsid w:val="00DB24D7"/>
    <w:rsid w:val="00DB27D9"/>
    <w:rsid w:val="00DB3165"/>
    <w:rsid w:val="00DB420F"/>
    <w:rsid w:val="00DB4292"/>
    <w:rsid w:val="00DB4316"/>
    <w:rsid w:val="00DB4BDD"/>
    <w:rsid w:val="00DB4DB7"/>
    <w:rsid w:val="00DB5023"/>
    <w:rsid w:val="00DB50C4"/>
    <w:rsid w:val="00DB5767"/>
    <w:rsid w:val="00DB6E46"/>
    <w:rsid w:val="00DB7117"/>
    <w:rsid w:val="00DB7370"/>
    <w:rsid w:val="00DB7760"/>
    <w:rsid w:val="00DB7B1F"/>
    <w:rsid w:val="00DB7DD4"/>
    <w:rsid w:val="00DC00B4"/>
    <w:rsid w:val="00DC0195"/>
    <w:rsid w:val="00DC0759"/>
    <w:rsid w:val="00DC0954"/>
    <w:rsid w:val="00DC0CAB"/>
    <w:rsid w:val="00DC0DF8"/>
    <w:rsid w:val="00DC158A"/>
    <w:rsid w:val="00DC15BA"/>
    <w:rsid w:val="00DC18CD"/>
    <w:rsid w:val="00DC1A68"/>
    <w:rsid w:val="00DC2461"/>
    <w:rsid w:val="00DC246C"/>
    <w:rsid w:val="00DC2536"/>
    <w:rsid w:val="00DC30B8"/>
    <w:rsid w:val="00DC478F"/>
    <w:rsid w:val="00DC5F7B"/>
    <w:rsid w:val="00DC61AC"/>
    <w:rsid w:val="00DC62E5"/>
    <w:rsid w:val="00DC6D70"/>
    <w:rsid w:val="00DC6E9C"/>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63F8"/>
    <w:rsid w:val="00DE6EB8"/>
    <w:rsid w:val="00DE7108"/>
    <w:rsid w:val="00DE74AC"/>
    <w:rsid w:val="00DE78D1"/>
    <w:rsid w:val="00DE78FF"/>
    <w:rsid w:val="00DF0263"/>
    <w:rsid w:val="00DF0588"/>
    <w:rsid w:val="00DF0EB4"/>
    <w:rsid w:val="00DF158B"/>
    <w:rsid w:val="00DF1733"/>
    <w:rsid w:val="00DF193C"/>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AB9"/>
    <w:rsid w:val="00E00B7A"/>
    <w:rsid w:val="00E01519"/>
    <w:rsid w:val="00E0174D"/>
    <w:rsid w:val="00E02186"/>
    <w:rsid w:val="00E025C2"/>
    <w:rsid w:val="00E026BB"/>
    <w:rsid w:val="00E027C5"/>
    <w:rsid w:val="00E03124"/>
    <w:rsid w:val="00E031C3"/>
    <w:rsid w:val="00E03951"/>
    <w:rsid w:val="00E03DB8"/>
    <w:rsid w:val="00E03F17"/>
    <w:rsid w:val="00E0420C"/>
    <w:rsid w:val="00E04EDD"/>
    <w:rsid w:val="00E05A0E"/>
    <w:rsid w:val="00E05B0B"/>
    <w:rsid w:val="00E05E70"/>
    <w:rsid w:val="00E064BC"/>
    <w:rsid w:val="00E07225"/>
    <w:rsid w:val="00E076B4"/>
    <w:rsid w:val="00E07B55"/>
    <w:rsid w:val="00E07C9F"/>
    <w:rsid w:val="00E10338"/>
    <w:rsid w:val="00E10579"/>
    <w:rsid w:val="00E109DD"/>
    <w:rsid w:val="00E10C2D"/>
    <w:rsid w:val="00E11229"/>
    <w:rsid w:val="00E114CA"/>
    <w:rsid w:val="00E11B08"/>
    <w:rsid w:val="00E127D1"/>
    <w:rsid w:val="00E130ED"/>
    <w:rsid w:val="00E13867"/>
    <w:rsid w:val="00E138ED"/>
    <w:rsid w:val="00E1397F"/>
    <w:rsid w:val="00E13AB8"/>
    <w:rsid w:val="00E1469F"/>
    <w:rsid w:val="00E1482E"/>
    <w:rsid w:val="00E152AF"/>
    <w:rsid w:val="00E16370"/>
    <w:rsid w:val="00E16382"/>
    <w:rsid w:val="00E1699C"/>
    <w:rsid w:val="00E16A55"/>
    <w:rsid w:val="00E16E39"/>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4A1C"/>
    <w:rsid w:val="00E254C3"/>
    <w:rsid w:val="00E257C3"/>
    <w:rsid w:val="00E259C8"/>
    <w:rsid w:val="00E25B61"/>
    <w:rsid w:val="00E25CB3"/>
    <w:rsid w:val="00E25DA4"/>
    <w:rsid w:val="00E25EF4"/>
    <w:rsid w:val="00E26237"/>
    <w:rsid w:val="00E26A4A"/>
    <w:rsid w:val="00E26BE1"/>
    <w:rsid w:val="00E26CB8"/>
    <w:rsid w:val="00E26D16"/>
    <w:rsid w:val="00E26FCF"/>
    <w:rsid w:val="00E27165"/>
    <w:rsid w:val="00E275D9"/>
    <w:rsid w:val="00E2795B"/>
    <w:rsid w:val="00E3044A"/>
    <w:rsid w:val="00E308B3"/>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456"/>
    <w:rsid w:val="00E36BE0"/>
    <w:rsid w:val="00E36C86"/>
    <w:rsid w:val="00E36CEB"/>
    <w:rsid w:val="00E37A28"/>
    <w:rsid w:val="00E37E6F"/>
    <w:rsid w:val="00E400C7"/>
    <w:rsid w:val="00E402CB"/>
    <w:rsid w:val="00E40430"/>
    <w:rsid w:val="00E40690"/>
    <w:rsid w:val="00E40AEB"/>
    <w:rsid w:val="00E40E82"/>
    <w:rsid w:val="00E41141"/>
    <w:rsid w:val="00E4143A"/>
    <w:rsid w:val="00E41468"/>
    <w:rsid w:val="00E424C8"/>
    <w:rsid w:val="00E4251D"/>
    <w:rsid w:val="00E435BA"/>
    <w:rsid w:val="00E43D00"/>
    <w:rsid w:val="00E4410E"/>
    <w:rsid w:val="00E443B4"/>
    <w:rsid w:val="00E445E4"/>
    <w:rsid w:val="00E44EDE"/>
    <w:rsid w:val="00E45768"/>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0E6"/>
    <w:rsid w:val="00E521AE"/>
    <w:rsid w:val="00E529A3"/>
    <w:rsid w:val="00E52C48"/>
    <w:rsid w:val="00E52C56"/>
    <w:rsid w:val="00E52E36"/>
    <w:rsid w:val="00E52EB3"/>
    <w:rsid w:val="00E53A21"/>
    <w:rsid w:val="00E53BCA"/>
    <w:rsid w:val="00E53DE2"/>
    <w:rsid w:val="00E53F02"/>
    <w:rsid w:val="00E5428D"/>
    <w:rsid w:val="00E54534"/>
    <w:rsid w:val="00E548A0"/>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5"/>
    <w:rsid w:val="00E61ABB"/>
    <w:rsid w:val="00E61FD7"/>
    <w:rsid w:val="00E623E6"/>
    <w:rsid w:val="00E62C76"/>
    <w:rsid w:val="00E630A2"/>
    <w:rsid w:val="00E630C0"/>
    <w:rsid w:val="00E63107"/>
    <w:rsid w:val="00E6312C"/>
    <w:rsid w:val="00E634C2"/>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39A"/>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77B55"/>
    <w:rsid w:val="00E8067B"/>
    <w:rsid w:val="00E81559"/>
    <w:rsid w:val="00E820F4"/>
    <w:rsid w:val="00E8223F"/>
    <w:rsid w:val="00E82263"/>
    <w:rsid w:val="00E823F9"/>
    <w:rsid w:val="00E8276A"/>
    <w:rsid w:val="00E82C1F"/>
    <w:rsid w:val="00E83671"/>
    <w:rsid w:val="00E83BF9"/>
    <w:rsid w:val="00E840EE"/>
    <w:rsid w:val="00E84314"/>
    <w:rsid w:val="00E84352"/>
    <w:rsid w:val="00E84925"/>
    <w:rsid w:val="00E849CA"/>
    <w:rsid w:val="00E84A71"/>
    <w:rsid w:val="00E85503"/>
    <w:rsid w:val="00E8556F"/>
    <w:rsid w:val="00E858D2"/>
    <w:rsid w:val="00E86263"/>
    <w:rsid w:val="00E86556"/>
    <w:rsid w:val="00E86567"/>
    <w:rsid w:val="00E86D35"/>
    <w:rsid w:val="00E86DC2"/>
    <w:rsid w:val="00E86E32"/>
    <w:rsid w:val="00E86F2E"/>
    <w:rsid w:val="00E8732E"/>
    <w:rsid w:val="00E87A0B"/>
    <w:rsid w:val="00E9011F"/>
    <w:rsid w:val="00E902E8"/>
    <w:rsid w:val="00E903FC"/>
    <w:rsid w:val="00E90472"/>
    <w:rsid w:val="00E906EB"/>
    <w:rsid w:val="00E90784"/>
    <w:rsid w:val="00E90C0F"/>
    <w:rsid w:val="00E9168A"/>
    <w:rsid w:val="00E9170E"/>
    <w:rsid w:val="00E919FB"/>
    <w:rsid w:val="00E9226B"/>
    <w:rsid w:val="00E9241E"/>
    <w:rsid w:val="00E92460"/>
    <w:rsid w:val="00E92466"/>
    <w:rsid w:val="00E92E62"/>
    <w:rsid w:val="00E93804"/>
    <w:rsid w:val="00E9429D"/>
    <w:rsid w:val="00E95434"/>
    <w:rsid w:val="00E957A0"/>
    <w:rsid w:val="00E96467"/>
    <w:rsid w:val="00E96621"/>
    <w:rsid w:val="00E96695"/>
    <w:rsid w:val="00E966DA"/>
    <w:rsid w:val="00E96796"/>
    <w:rsid w:val="00E96895"/>
    <w:rsid w:val="00E968C1"/>
    <w:rsid w:val="00E96948"/>
    <w:rsid w:val="00E96AB0"/>
    <w:rsid w:val="00E97262"/>
    <w:rsid w:val="00E9737B"/>
    <w:rsid w:val="00E97A3F"/>
    <w:rsid w:val="00E97F0A"/>
    <w:rsid w:val="00EA0100"/>
    <w:rsid w:val="00EA041B"/>
    <w:rsid w:val="00EA0BCE"/>
    <w:rsid w:val="00EA136A"/>
    <w:rsid w:val="00EA150C"/>
    <w:rsid w:val="00EA17BC"/>
    <w:rsid w:val="00EA2729"/>
    <w:rsid w:val="00EA2744"/>
    <w:rsid w:val="00EA2A2A"/>
    <w:rsid w:val="00EA2D50"/>
    <w:rsid w:val="00EA2E67"/>
    <w:rsid w:val="00EA37B9"/>
    <w:rsid w:val="00EA37BE"/>
    <w:rsid w:val="00EA39F7"/>
    <w:rsid w:val="00EA3DC2"/>
    <w:rsid w:val="00EA434E"/>
    <w:rsid w:val="00EA4757"/>
    <w:rsid w:val="00EA4CBA"/>
    <w:rsid w:val="00EA55BA"/>
    <w:rsid w:val="00EA560B"/>
    <w:rsid w:val="00EA5669"/>
    <w:rsid w:val="00EA5CC6"/>
    <w:rsid w:val="00EA63EF"/>
    <w:rsid w:val="00EA6719"/>
    <w:rsid w:val="00EA793F"/>
    <w:rsid w:val="00EA7B3D"/>
    <w:rsid w:val="00EA7CBF"/>
    <w:rsid w:val="00EB0A89"/>
    <w:rsid w:val="00EB1573"/>
    <w:rsid w:val="00EB1910"/>
    <w:rsid w:val="00EB2311"/>
    <w:rsid w:val="00EB2564"/>
    <w:rsid w:val="00EB2815"/>
    <w:rsid w:val="00EB2D83"/>
    <w:rsid w:val="00EB2E97"/>
    <w:rsid w:val="00EB2EC2"/>
    <w:rsid w:val="00EB3416"/>
    <w:rsid w:val="00EB4AE1"/>
    <w:rsid w:val="00EB52F4"/>
    <w:rsid w:val="00EB5694"/>
    <w:rsid w:val="00EB5779"/>
    <w:rsid w:val="00EB5A01"/>
    <w:rsid w:val="00EB5D2F"/>
    <w:rsid w:val="00EB5E73"/>
    <w:rsid w:val="00EB5EB7"/>
    <w:rsid w:val="00EB67F1"/>
    <w:rsid w:val="00EB6ADA"/>
    <w:rsid w:val="00EB6E62"/>
    <w:rsid w:val="00EB72CD"/>
    <w:rsid w:val="00EB749A"/>
    <w:rsid w:val="00EB76B6"/>
    <w:rsid w:val="00EB7A45"/>
    <w:rsid w:val="00EB7D8A"/>
    <w:rsid w:val="00EC020C"/>
    <w:rsid w:val="00EC02AA"/>
    <w:rsid w:val="00EC04F7"/>
    <w:rsid w:val="00EC05E2"/>
    <w:rsid w:val="00EC0E84"/>
    <w:rsid w:val="00EC0F17"/>
    <w:rsid w:val="00EC16E2"/>
    <w:rsid w:val="00EC1CE7"/>
    <w:rsid w:val="00EC1DAE"/>
    <w:rsid w:val="00EC22F0"/>
    <w:rsid w:val="00EC26F1"/>
    <w:rsid w:val="00EC3498"/>
    <w:rsid w:val="00EC3C94"/>
    <w:rsid w:val="00EC44DF"/>
    <w:rsid w:val="00EC4525"/>
    <w:rsid w:val="00EC4FB9"/>
    <w:rsid w:val="00EC527C"/>
    <w:rsid w:val="00EC5393"/>
    <w:rsid w:val="00EC5741"/>
    <w:rsid w:val="00EC5DA3"/>
    <w:rsid w:val="00EC6014"/>
    <w:rsid w:val="00EC63EC"/>
    <w:rsid w:val="00EC6525"/>
    <w:rsid w:val="00EC6565"/>
    <w:rsid w:val="00EC6B3E"/>
    <w:rsid w:val="00EC73DE"/>
    <w:rsid w:val="00EC7637"/>
    <w:rsid w:val="00EC7C07"/>
    <w:rsid w:val="00EC7CF2"/>
    <w:rsid w:val="00ED0357"/>
    <w:rsid w:val="00ED046C"/>
    <w:rsid w:val="00ED053A"/>
    <w:rsid w:val="00ED0AF0"/>
    <w:rsid w:val="00ED1F03"/>
    <w:rsid w:val="00ED249D"/>
    <w:rsid w:val="00ED2D27"/>
    <w:rsid w:val="00ED3347"/>
    <w:rsid w:val="00ED3441"/>
    <w:rsid w:val="00ED37B3"/>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9FA"/>
    <w:rsid w:val="00ED7FBC"/>
    <w:rsid w:val="00EE0253"/>
    <w:rsid w:val="00EE0297"/>
    <w:rsid w:val="00EE1258"/>
    <w:rsid w:val="00EE13DA"/>
    <w:rsid w:val="00EE1668"/>
    <w:rsid w:val="00EE1C10"/>
    <w:rsid w:val="00EE1EDB"/>
    <w:rsid w:val="00EE24E2"/>
    <w:rsid w:val="00EE2D51"/>
    <w:rsid w:val="00EE366D"/>
    <w:rsid w:val="00EE37EC"/>
    <w:rsid w:val="00EE459F"/>
    <w:rsid w:val="00EE5454"/>
    <w:rsid w:val="00EE556B"/>
    <w:rsid w:val="00EE59B5"/>
    <w:rsid w:val="00EE5FA9"/>
    <w:rsid w:val="00EE5FB7"/>
    <w:rsid w:val="00EE6783"/>
    <w:rsid w:val="00EE678B"/>
    <w:rsid w:val="00EE780C"/>
    <w:rsid w:val="00EE7B54"/>
    <w:rsid w:val="00EE7C47"/>
    <w:rsid w:val="00EE7C88"/>
    <w:rsid w:val="00EE7C8B"/>
    <w:rsid w:val="00EE7D33"/>
    <w:rsid w:val="00EE7FF4"/>
    <w:rsid w:val="00EF0209"/>
    <w:rsid w:val="00EF05F5"/>
    <w:rsid w:val="00EF0A58"/>
    <w:rsid w:val="00EF0EA4"/>
    <w:rsid w:val="00EF1E97"/>
    <w:rsid w:val="00EF2436"/>
    <w:rsid w:val="00EF2547"/>
    <w:rsid w:val="00EF2B2B"/>
    <w:rsid w:val="00EF2E1C"/>
    <w:rsid w:val="00EF2FD6"/>
    <w:rsid w:val="00EF326A"/>
    <w:rsid w:val="00EF3288"/>
    <w:rsid w:val="00EF338A"/>
    <w:rsid w:val="00EF397D"/>
    <w:rsid w:val="00EF3A16"/>
    <w:rsid w:val="00EF3AE4"/>
    <w:rsid w:val="00EF427A"/>
    <w:rsid w:val="00EF45DF"/>
    <w:rsid w:val="00EF4944"/>
    <w:rsid w:val="00EF4952"/>
    <w:rsid w:val="00EF498F"/>
    <w:rsid w:val="00EF4A42"/>
    <w:rsid w:val="00EF510C"/>
    <w:rsid w:val="00EF55C4"/>
    <w:rsid w:val="00EF57BC"/>
    <w:rsid w:val="00EF5B1E"/>
    <w:rsid w:val="00EF5CA8"/>
    <w:rsid w:val="00EF63C3"/>
    <w:rsid w:val="00EF6784"/>
    <w:rsid w:val="00EF688A"/>
    <w:rsid w:val="00EF6A03"/>
    <w:rsid w:val="00EF6DC2"/>
    <w:rsid w:val="00EF7506"/>
    <w:rsid w:val="00EF760B"/>
    <w:rsid w:val="00EF7BBE"/>
    <w:rsid w:val="00EF7BF4"/>
    <w:rsid w:val="00F0030F"/>
    <w:rsid w:val="00F00373"/>
    <w:rsid w:val="00F00674"/>
    <w:rsid w:val="00F00720"/>
    <w:rsid w:val="00F0145A"/>
    <w:rsid w:val="00F01657"/>
    <w:rsid w:val="00F017F1"/>
    <w:rsid w:val="00F01D3A"/>
    <w:rsid w:val="00F01E67"/>
    <w:rsid w:val="00F02744"/>
    <w:rsid w:val="00F02BD9"/>
    <w:rsid w:val="00F02BFD"/>
    <w:rsid w:val="00F02CC2"/>
    <w:rsid w:val="00F02D25"/>
    <w:rsid w:val="00F03C3D"/>
    <w:rsid w:val="00F03E3E"/>
    <w:rsid w:val="00F0435D"/>
    <w:rsid w:val="00F04580"/>
    <w:rsid w:val="00F04ECA"/>
    <w:rsid w:val="00F04F8B"/>
    <w:rsid w:val="00F0502E"/>
    <w:rsid w:val="00F05E59"/>
    <w:rsid w:val="00F06E19"/>
    <w:rsid w:val="00F06F84"/>
    <w:rsid w:val="00F074DE"/>
    <w:rsid w:val="00F076E7"/>
    <w:rsid w:val="00F07A86"/>
    <w:rsid w:val="00F07AA1"/>
    <w:rsid w:val="00F07D80"/>
    <w:rsid w:val="00F105AE"/>
    <w:rsid w:val="00F10618"/>
    <w:rsid w:val="00F1108B"/>
    <w:rsid w:val="00F114FA"/>
    <w:rsid w:val="00F11768"/>
    <w:rsid w:val="00F11951"/>
    <w:rsid w:val="00F11E84"/>
    <w:rsid w:val="00F12262"/>
    <w:rsid w:val="00F12564"/>
    <w:rsid w:val="00F12AF8"/>
    <w:rsid w:val="00F12C52"/>
    <w:rsid w:val="00F13381"/>
    <w:rsid w:val="00F1357A"/>
    <w:rsid w:val="00F13828"/>
    <w:rsid w:val="00F13E10"/>
    <w:rsid w:val="00F13E62"/>
    <w:rsid w:val="00F13F51"/>
    <w:rsid w:val="00F148B7"/>
    <w:rsid w:val="00F14EA9"/>
    <w:rsid w:val="00F15242"/>
    <w:rsid w:val="00F15505"/>
    <w:rsid w:val="00F1566E"/>
    <w:rsid w:val="00F1570E"/>
    <w:rsid w:val="00F15BFF"/>
    <w:rsid w:val="00F16D18"/>
    <w:rsid w:val="00F16DDE"/>
    <w:rsid w:val="00F16E4F"/>
    <w:rsid w:val="00F17244"/>
    <w:rsid w:val="00F17388"/>
    <w:rsid w:val="00F20742"/>
    <w:rsid w:val="00F20931"/>
    <w:rsid w:val="00F20ECE"/>
    <w:rsid w:val="00F213A0"/>
    <w:rsid w:val="00F21B4B"/>
    <w:rsid w:val="00F21BE1"/>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804"/>
    <w:rsid w:val="00F30FFD"/>
    <w:rsid w:val="00F31289"/>
    <w:rsid w:val="00F31EAB"/>
    <w:rsid w:val="00F32672"/>
    <w:rsid w:val="00F332E0"/>
    <w:rsid w:val="00F3399B"/>
    <w:rsid w:val="00F33F4B"/>
    <w:rsid w:val="00F346ED"/>
    <w:rsid w:val="00F34913"/>
    <w:rsid w:val="00F34945"/>
    <w:rsid w:val="00F34E1E"/>
    <w:rsid w:val="00F3570C"/>
    <w:rsid w:val="00F35C14"/>
    <w:rsid w:val="00F363A4"/>
    <w:rsid w:val="00F36765"/>
    <w:rsid w:val="00F368FF"/>
    <w:rsid w:val="00F37068"/>
    <w:rsid w:val="00F371AF"/>
    <w:rsid w:val="00F371EE"/>
    <w:rsid w:val="00F3721B"/>
    <w:rsid w:val="00F37BEC"/>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7D9"/>
    <w:rsid w:val="00F46E5D"/>
    <w:rsid w:val="00F476FD"/>
    <w:rsid w:val="00F50183"/>
    <w:rsid w:val="00F50D92"/>
    <w:rsid w:val="00F51585"/>
    <w:rsid w:val="00F51765"/>
    <w:rsid w:val="00F51A51"/>
    <w:rsid w:val="00F51BC6"/>
    <w:rsid w:val="00F51BF5"/>
    <w:rsid w:val="00F51CB4"/>
    <w:rsid w:val="00F52324"/>
    <w:rsid w:val="00F52950"/>
    <w:rsid w:val="00F52C9D"/>
    <w:rsid w:val="00F533F1"/>
    <w:rsid w:val="00F53ED8"/>
    <w:rsid w:val="00F54A54"/>
    <w:rsid w:val="00F55185"/>
    <w:rsid w:val="00F554B1"/>
    <w:rsid w:val="00F55679"/>
    <w:rsid w:val="00F55867"/>
    <w:rsid w:val="00F560D5"/>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441"/>
    <w:rsid w:val="00F634CA"/>
    <w:rsid w:val="00F64F40"/>
    <w:rsid w:val="00F65507"/>
    <w:rsid w:val="00F65A3C"/>
    <w:rsid w:val="00F66009"/>
    <w:rsid w:val="00F66282"/>
    <w:rsid w:val="00F6639E"/>
    <w:rsid w:val="00F670E9"/>
    <w:rsid w:val="00F67AF1"/>
    <w:rsid w:val="00F67D8B"/>
    <w:rsid w:val="00F700AE"/>
    <w:rsid w:val="00F70106"/>
    <w:rsid w:val="00F701C5"/>
    <w:rsid w:val="00F7084F"/>
    <w:rsid w:val="00F70961"/>
    <w:rsid w:val="00F70A8F"/>
    <w:rsid w:val="00F70E45"/>
    <w:rsid w:val="00F71263"/>
    <w:rsid w:val="00F71397"/>
    <w:rsid w:val="00F7172F"/>
    <w:rsid w:val="00F7237C"/>
    <w:rsid w:val="00F72389"/>
    <w:rsid w:val="00F72516"/>
    <w:rsid w:val="00F72FB4"/>
    <w:rsid w:val="00F735E5"/>
    <w:rsid w:val="00F736AF"/>
    <w:rsid w:val="00F73B82"/>
    <w:rsid w:val="00F73E80"/>
    <w:rsid w:val="00F7469C"/>
    <w:rsid w:val="00F7492E"/>
    <w:rsid w:val="00F74945"/>
    <w:rsid w:val="00F749A3"/>
    <w:rsid w:val="00F74AE8"/>
    <w:rsid w:val="00F7533A"/>
    <w:rsid w:val="00F75680"/>
    <w:rsid w:val="00F76C11"/>
    <w:rsid w:val="00F77021"/>
    <w:rsid w:val="00F770AB"/>
    <w:rsid w:val="00F77E61"/>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970"/>
    <w:rsid w:val="00F86B5D"/>
    <w:rsid w:val="00F86F01"/>
    <w:rsid w:val="00F87144"/>
    <w:rsid w:val="00F87634"/>
    <w:rsid w:val="00F87C13"/>
    <w:rsid w:val="00F87C5A"/>
    <w:rsid w:val="00F87E29"/>
    <w:rsid w:val="00F87F18"/>
    <w:rsid w:val="00F87F4E"/>
    <w:rsid w:val="00F87F68"/>
    <w:rsid w:val="00F90C4D"/>
    <w:rsid w:val="00F90C56"/>
    <w:rsid w:val="00F90C86"/>
    <w:rsid w:val="00F9167D"/>
    <w:rsid w:val="00F91CB2"/>
    <w:rsid w:val="00F91D2E"/>
    <w:rsid w:val="00F927E8"/>
    <w:rsid w:val="00F9289C"/>
    <w:rsid w:val="00F92DC8"/>
    <w:rsid w:val="00F92FC1"/>
    <w:rsid w:val="00F932D1"/>
    <w:rsid w:val="00F932E2"/>
    <w:rsid w:val="00F93DBC"/>
    <w:rsid w:val="00F93E41"/>
    <w:rsid w:val="00F93F1B"/>
    <w:rsid w:val="00F94644"/>
    <w:rsid w:val="00F952E4"/>
    <w:rsid w:val="00F9537B"/>
    <w:rsid w:val="00F95C97"/>
    <w:rsid w:val="00F96079"/>
    <w:rsid w:val="00F96156"/>
    <w:rsid w:val="00F963FC"/>
    <w:rsid w:val="00F9641A"/>
    <w:rsid w:val="00F9752C"/>
    <w:rsid w:val="00F978FE"/>
    <w:rsid w:val="00F97CF1"/>
    <w:rsid w:val="00FA015F"/>
    <w:rsid w:val="00FA0FAC"/>
    <w:rsid w:val="00FA10F7"/>
    <w:rsid w:val="00FA140C"/>
    <w:rsid w:val="00FA1C14"/>
    <w:rsid w:val="00FA1DA2"/>
    <w:rsid w:val="00FA2282"/>
    <w:rsid w:val="00FA2357"/>
    <w:rsid w:val="00FA289A"/>
    <w:rsid w:val="00FA3414"/>
    <w:rsid w:val="00FA347A"/>
    <w:rsid w:val="00FA3B2F"/>
    <w:rsid w:val="00FA3CDE"/>
    <w:rsid w:val="00FA428F"/>
    <w:rsid w:val="00FA43BD"/>
    <w:rsid w:val="00FA49B7"/>
    <w:rsid w:val="00FA5043"/>
    <w:rsid w:val="00FA5203"/>
    <w:rsid w:val="00FA60C1"/>
    <w:rsid w:val="00FA65A3"/>
    <w:rsid w:val="00FA6A43"/>
    <w:rsid w:val="00FA6F8B"/>
    <w:rsid w:val="00FA727C"/>
    <w:rsid w:val="00FA72F1"/>
    <w:rsid w:val="00FA7A30"/>
    <w:rsid w:val="00FA7C74"/>
    <w:rsid w:val="00FB033F"/>
    <w:rsid w:val="00FB0880"/>
    <w:rsid w:val="00FB12E3"/>
    <w:rsid w:val="00FB1570"/>
    <w:rsid w:val="00FB193B"/>
    <w:rsid w:val="00FB1B51"/>
    <w:rsid w:val="00FB1B8A"/>
    <w:rsid w:val="00FB1FBC"/>
    <w:rsid w:val="00FB2355"/>
    <w:rsid w:val="00FB27B7"/>
    <w:rsid w:val="00FB282A"/>
    <w:rsid w:val="00FB30CB"/>
    <w:rsid w:val="00FB3295"/>
    <w:rsid w:val="00FB35E3"/>
    <w:rsid w:val="00FB45B3"/>
    <w:rsid w:val="00FB47FB"/>
    <w:rsid w:val="00FB4C98"/>
    <w:rsid w:val="00FB4CE3"/>
    <w:rsid w:val="00FB4F46"/>
    <w:rsid w:val="00FB583C"/>
    <w:rsid w:val="00FB5D0E"/>
    <w:rsid w:val="00FB630E"/>
    <w:rsid w:val="00FB6738"/>
    <w:rsid w:val="00FB691B"/>
    <w:rsid w:val="00FB6BE6"/>
    <w:rsid w:val="00FB6E96"/>
    <w:rsid w:val="00FB703C"/>
    <w:rsid w:val="00FB72C3"/>
    <w:rsid w:val="00FB731C"/>
    <w:rsid w:val="00FB7628"/>
    <w:rsid w:val="00FC05A0"/>
    <w:rsid w:val="00FC0811"/>
    <w:rsid w:val="00FC09B3"/>
    <w:rsid w:val="00FC1196"/>
    <w:rsid w:val="00FC157D"/>
    <w:rsid w:val="00FC15EB"/>
    <w:rsid w:val="00FC162C"/>
    <w:rsid w:val="00FC18DC"/>
    <w:rsid w:val="00FC2477"/>
    <w:rsid w:val="00FC2A36"/>
    <w:rsid w:val="00FC2AC4"/>
    <w:rsid w:val="00FC2F73"/>
    <w:rsid w:val="00FC325F"/>
    <w:rsid w:val="00FC3A9B"/>
    <w:rsid w:val="00FC3AE1"/>
    <w:rsid w:val="00FC3C9E"/>
    <w:rsid w:val="00FC3DFC"/>
    <w:rsid w:val="00FC3E8F"/>
    <w:rsid w:val="00FC3EF4"/>
    <w:rsid w:val="00FC431B"/>
    <w:rsid w:val="00FC434C"/>
    <w:rsid w:val="00FC472C"/>
    <w:rsid w:val="00FC4D77"/>
    <w:rsid w:val="00FC4FDF"/>
    <w:rsid w:val="00FC5CF4"/>
    <w:rsid w:val="00FC5D64"/>
    <w:rsid w:val="00FC6A39"/>
    <w:rsid w:val="00FC6DB9"/>
    <w:rsid w:val="00FC6EDA"/>
    <w:rsid w:val="00FC6EF0"/>
    <w:rsid w:val="00FC76A9"/>
    <w:rsid w:val="00FC7842"/>
    <w:rsid w:val="00FC79AB"/>
    <w:rsid w:val="00FC7BE7"/>
    <w:rsid w:val="00FC7DAC"/>
    <w:rsid w:val="00FD005D"/>
    <w:rsid w:val="00FD03A8"/>
    <w:rsid w:val="00FD04AE"/>
    <w:rsid w:val="00FD0DFA"/>
    <w:rsid w:val="00FD1890"/>
    <w:rsid w:val="00FD1994"/>
    <w:rsid w:val="00FD2B6D"/>
    <w:rsid w:val="00FD307E"/>
    <w:rsid w:val="00FD3508"/>
    <w:rsid w:val="00FD393C"/>
    <w:rsid w:val="00FD3AFF"/>
    <w:rsid w:val="00FD3C57"/>
    <w:rsid w:val="00FD43BB"/>
    <w:rsid w:val="00FD4989"/>
    <w:rsid w:val="00FD4AF3"/>
    <w:rsid w:val="00FD4B74"/>
    <w:rsid w:val="00FD4E9D"/>
    <w:rsid w:val="00FD56EF"/>
    <w:rsid w:val="00FD6145"/>
    <w:rsid w:val="00FD6DC5"/>
    <w:rsid w:val="00FD6E47"/>
    <w:rsid w:val="00FD72B1"/>
    <w:rsid w:val="00FD798D"/>
    <w:rsid w:val="00FE141E"/>
    <w:rsid w:val="00FE144E"/>
    <w:rsid w:val="00FE1768"/>
    <w:rsid w:val="00FE1D25"/>
    <w:rsid w:val="00FE1DD5"/>
    <w:rsid w:val="00FE21A6"/>
    <w:rsid w:val="00FE24F4"/>
    <w:rsid w:val="00FE2560"/>
    <w:rsid w:val="00FE26AA"/>
    <w:rsid w:val="00FE2E21"/>
    <w:rsid w:val="00FE35D0"/>
    <w:rsid w:val="00FE42ED"/>
    <w:rsid w:val="00FE43AD"/>
    <w:rsid w:val="00FE4A42"/>
    <w:rsid w:val="00FE4E06"/>
    <w:rsid w:val="00FE50F8"/>
    <w:rsid w:val="00FE5238"/>
    <w:rsid w:val="00FE55A7"/>
    <w:rsid w:val="00FE5C5A"/>
    <w:rsid w:val="00FE6432"/>
    <w:rsid w:val="00FE72A0"/>
    <w:rsid w:val="00FE76EB"/>
    <w:rsid w:val="00FE7CC9"/>
    <w:rsid w:val="00FF0050"/>
    <w:rsid w:val="00FF045F"/>
    <w:rsid w:val="00FF1367"/>
    <w:rsid w:val="00FF13D4"/>
    <w:rsid w:val="00FF1481"/>
    <w:rsid w:val="00FF1B8F"/>
    <w:rsid w:val="00FF1EF7"/>
    <w:rsid w:val="00FF2053"/>
    <w:rsid w:val="00FF3B37"/>
    <w:rsid w:val="00FF3CC7"/>
    <w:rsid w:val="00FF3D5F"/>
    <w:rsid w:val="00FF3D6F"/>
    <w:rsid w:val="00FF44CF"/>
    <w:rsid w:val="00FF4BD8"/>
    <w:rsid w:val="00FF4D11"/>
    <w:rsid w:val="00FF5214"/>
    <w:rsid w:val="00FF596E"/>
    <w:rsid w:val="00FF5A91"/>
    <w:rsid w:val="00FF5B59"/>
    <w:rsid w:val="00FF5BFD"/>
    <w:rsid w:val="00FF6095"/>
    <w:rsid w:val="00FF62FE"/>
    <w:rsid w:val="00FF654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FB235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1D19E2"/>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B430DF"/>
    <w:rPr>
      <w:vertAlign w:val="superscript"/>
    </w:rPr>
  </w:style>
  <w:style w:type="character" w:customStyle="1" w:styleId="Ttulo3Car">
    <w:name w:val="Título 3 Car"/>
    <w:basedOn w:val="Fuentedeprrafopredeter"/>
    <w:link w:val="Ttulo3"/>
    <w:uiPriority w:val="9"/>
    <w:semiHidden/>
    <w:rsid w:val="00FB2355"/>
    <w:rPr>
      <w:rFonts w:asciiTheme="majorHAnsi" w:eastAsiaTheme="majorEastAsia" w:hAnsiTheme="majorHAnsi" w:cstheme="majorBidi"/>
      <w:color w:val="243F60" w:themeColor="accent1" w:themeShade="7F"/>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6416120">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7910034">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687526">
      <w:bodyDiv w:val="1"/>
      <w:marLeft w:val="0"/>
      <w:marRight w:val="0"/>
      <w:marTop w:val="0"/>
      <w:marBottom w:val="0"/>
      <w:divBdr>
        <w:top w:val="none" w:sz="0" w:space="0" w:color="auto"/>
        <w:left w:val="none" w:sz="0" w:space="0" w:color="auto"/>
        <w:bottom w:val="none" w:sz="0" w:space="0" w:color="auto"/>
        <w:right w:val="none" w:sz="0" w:space="0" w:color="auto"/>
      </w:divBdr>
      <w:divsChild>
        <w:div w:id="830410267">
          <w:marLeft w:val="0"/>
          <w:marRight w:val="0"/>
          <w:marTop w:val="0"/>
          <w:marBottom w:val="0"/>
          <w:divBdr>
            <w:top w:val="none" w:sz="0" w:space="0" w:color="auto"/>
            <w:left w:val="none" w:sz="0" w:space="0" w:color="auto"/>
            <w:bottom w:val="none" w:sz="0" w:space="0" w:color="auto"/>
            <w:right w:val="none" w:sz="0" w:space="0" w:color="auto"/>
          </w:divBdr>
        </w:div>
        <w:div w:id="683937895">
          <w:marLeft w:val="0"/>
          <w:marRight w:val="0"/>
          <w:marTop w:val="0"/>
          <w:marBottom w:val="0"/>
          <w:divBdr>
            <w:top w:val="none" w:sz="0" w:space="0" w:color="auto"/>
            <w:left w:val="none" w:sz="0" w:space="0" w:color="auto"/>
            <w:bottom w:val="none" w:sz="0" w:space="0" w:color="auto"/>
            <w:right w:val="none" w:sz="0" w:space="0" w:color="auto"/>
          </w:divBdr>
        </w:div>
        <w:div w:id="1113134907">
          <w:marLeft w:val="0"/>
          <w:marRight w:val="0"/>
          <w:marTop w:val="0"/>
          <w:marBottom w:val="0"/>
          <w:divBdr>
            <w:top w:val="none" w:sz="0" w:space="0" w:color="auto"/>
            <w:left w:val="none" w:sz="0" w:space="0" w:color="auto"/>
            <w:bottom w:val="none" w:sz="0" w:space="0" w:color="auto"/>
            <w:right w:val="none" w:sz="0" w:space="0" w:color="auto"/>
          </w:divBdr>
        </w:div>
        <w:div w:id="840588355">
          <w:marLeft w:val="0"/>
          <w:marRight w:val="0"/>
          <w:marTop w:val="0"/>
          <w:marBottom w:val="0"/>
          <w:divBdr>
            <w:top w:val="none" w:sz="0" w:space="0" w:color="auto"/>
            <w:left w:val="none" w:sz="0" w:space="0" w:color="auto"/>
            <w:bottom w:val="none" w:sz="0" w:space="0" w:color="auto"/>
            <w:right w:val="none" w:sz="0" w:space="0" w:color="auto"/>
          </w:divBdr>
        </w:div>
        <w:div w:id="276302850">
          <w:marLeft w:val="0"/>
          <w:marRight w:val="0"/>
          <w:marTop w:val="0"/>
          <w:marBottom w:val="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73906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47468440">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8715706">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437_2011.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dle.rae.es/construir" TargetMode="External"/><Relationship Id="rId2" Type="http://schemas.openxmlformats.org/officeDocument/2006/relationships/hyperlink" Target="https://dle.rae.es/construcci%C3%B3n" TargetMode="External"/><Relationship Id="rId1" Type="http://schemas.openxmlformats.org/officeDocument/2006/relationships/hyperlink" Target="https://proyectostipo.dnp.gov.co/images/pdf/unidadesanitarias/PT-Unidades-Sanitarias-V3---2207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purl.org/dc/elements/1.1/"/>
    <ds:schemaRef ds:uri="http://schemas.openxmlformats.org/package/2006/metadata/core-properties"/>
    <ds:schemaRef ds:uri="http://schemas.microsoft.com/office/infopath/2007/PartnerControls"/>
    <ds:schemaRef ds:uri="9d85dbaf-23eb-4e57-a637-93dcacc8b1a1"/>
    <ds:schemaRef ds:uri="http://schemas.microsoft.com/office/2006/documentManagement/types"/>
    <ds:schemaRef ds:uri="http://purl.org/dc/dcmitype/"/>
    <ds:schemaRef ds:uri="http://purl.org/dc/terms/"/>
    <ds:schemaRef ds:uri="a6cb9e4b-f1d1-4245-83ec-6cad768d538a"/>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854B214-A296-4F23-93A5-F6169EC85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27</TotalTime>
  <Pages>55</Pages>
  <Words>22404</Words>
  <Characters>127703</Characters>
  <Application>Microsoft Office Word</Application>
  <DocSecurity>0</DocSecurity>
  <Lines>1064</Lines>
  <Paragraphs>299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José Luis</cp:lastModifiedBy>
  <cp:revision>5</cp:revision>
  <cp:lastPrinted>2021-01-20T13:01:00Z</cp:lastPrinted>
  <dcterms:created xsi:type="dcterms:W3CDTF">2022-04-13T00:17:00Z</dcterms:created>
  <dcterms:modified xsi:type="dcterms:W3CDTF">2022-04-13T01:12:00Z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