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D0D7E" w:rsidR="007D0D7E" w:rsidP="007D0D7E" w:rsidRDefault="007D0D7E" w14:paraId="0C6C463D" w14:textId="62605C7C">
      <w:pPr>
        <w:spacing w:after="0"/>
        <w:jc w:val="both"/>
        <w:rPr>
          <w:rFonts w:ascii="Verdana" w:hAnsi="Verdana"/>
        </w:rPr>
      </w:pPr>
      <w:bookmarkStart w:name="_Hlk143780582" w:id="0"/>
      <w:r w:rsidRPr="007D0D7E">
        <w:rPr>
          <w:rFonts w:ascii="Verdana" w:hAnsi="Verdana" w:eastAsia="Aptos" w:cs="Arial"/>
          <w:b/>
          <w:bCs/>
          <w:kern w:val="2"/>
          <w:lang w:val="es-MX"/>
          <w14:ligatures w14:val="standardContextual"/>
        </w:rPr>
        <w:t>DOCUMENTOS TIPO – Generalidades – Ley 2022 de 2020</w:t>
      </w:r>
    </w:p>
    <w:p w:rsidRPr="007D0D7E" w:rsidR="007D0D7E" w:rsidP="007D0D7E" w:rsidRDefault="007D0D7E" w14:paraId="30CF50F4" w14:textId="77777777">
      <w:pPr>
        <w:spacing w:after="0" w:line="276" w:lineRule="auto"/>
        <w:jc w:val="both"/>
        <w:rPr>
          <w:rFonts w:ascii="Verdana" w:hAnsi="Verdana" w:eastAsia="Aptos" w:cs="Arial"/>
          <w:b/>
          <w:bCs/>
          <w:kern w:val="2"/>
          <w:lang w:val="es-MX"/>
          <w14:ligatures w14:val="standardContextual"/>
        </w:rPr>
      </w:pPr>
    </w:p>
    <w:p w:rsidRPr="007D0D7E" w:rsidR="007D0D7E" w:rsidP="007D0D7E" w:rsidRDefault="00C7780F" w14:paraId="1C615C5C" w14:textId="751DBDC1">
      <w:pPr>
        <w:spacing w:after="0" w:line="240" w:lineRule="auto"/>
        <w:jc w:val="both"/>
        <w:rPr>
          <w:rFonts w:ascii="Verdana" w:hAnsi="Verdana" w:eastAsia="Aptos" w:cs="Times New Roman"/>
          <w:kern w:val="2"/>
          <w:sz w:val="20"/>
          <w:szCs w:val="20"/>
          <w:lang w:val="es-ES"/>
          <w14:ligatures w14:val="standardContextual"/>
        </w:rPr>
      </w:pPr>
      <w:r w:rsidRPr="00C7780F">
        <w:rPr>
          <w:rFonts w:ascii="Verdana" w:hAnsi="Verdana" w:eastAsia="Aptos" w:cs="Times New Roman"/>
          <w:kern w:val="2"/>
          <w:sz w:val="20"/>
          <w:szCs w:val="20"/>
          <w:lang w:val="es-ES"/>
          <w14:ligatures w14:val="standardContextual"/>
        </w:rPr>
        <w:t>El artículo 1 de la Ley 2022 de 2020 otorgó a la Agencia Nacional de Contratación Pública – Colombia Compra Eficiente la competencia para adoptar los documentos tipo. Asimismo, reiteró la obligatoriedad de su uso por parte de todas las entidades estatales sometidas al Estatuto General de Contratación de la Administración Pública ‒EGCAP‒. Esto implica que las autoridades deben implementar los documentos tipo que tengan por objeto las actividades contempladas en la “Matriz 1 ‒ Experiencia”. Además, estos documentos son inalterables, lo cual significa que no pueden ser modificados, salvo aquellos aspectos entre corchetes y resaltados en gris o cuya modificación sea permitida por los mismos documentos tipo, de acuerdo con las indicaciones que allí mismo se establezcan.</w:t>
      </w:r>
    </w:p>
    <w:p w:rsidRPr="007D0D7E" w:rsidR="007D0D7E" w:rsidP="007D0D7E" w:rsidRDefault="007D0D7E" w14:paraId="5E210658" w14:textId="77777777">
      <w:pPr>
        <w:spacing w:after="0" w:line="276" w:lineRule="auto"/>
        <w:jc w:val="both"/>
        <w:rPr>
          <w:rFonts w:ascii="Verdana" w:hAnsi="Verdana" w:eastAsia="Aptos" w:cs="Arial"/>
          <w:b/>
          <w:bCs/>
          <w:kern w:val="2"/>
          <w:lang w:val="es-MX"/>
          <w14:ligatures w14:val="standardContextual"/>
        </w:rPr>
      </w:pPr>
    </w:p>
    <w:p w:rsidRPr="007D0D7E" w:rsidR="007D0D7E" w:rsidP="007D0D7E" w:rsidRDefault="007D0D7E" w14:paraId="33FD3E67" w14:textId="77777777">
      <w:pPr>
        <w:spacing w:after="0" w:line="276" w:lineRule="auto"/>
        <w:jc w:val="both"/>
        <w:rPr>
          <w:rFonts w:ascii="Verdana" w:hAnsi="Verdana" w:eastAsia="Aptos" w:cs="Arial"/>
          <w:b/>
          <w:bCs/>
          <w:kern w:val="2"/>
          <w:lang w:val="es-MX"/>
          <w14:ligatures w14:val="standardContextual"/>
        </w:rPr>
      </w:pPr>
      <w:r w:rsidRPr="007D0D7E">
        <w:rPr>
          <w:rFonts w:ascii="Verdana" w:hAnsi="Verdana" w:eastAsia="Aptos" w:cs="Arial"/>
          <w:b/>
          <w:bCs/>
          <w:kern w:val="2"/>
          <w:lang w:val="es-MX"/>
          <w14:ligatures w14:val="standardContextual"/>
        </w:rPr>
        <w:t>DOCUMENTOS TIPO – Agua potable y saneamiento básico – Matriz 1 – Exeriencia – Acreditación de la experiencia – Actividad 4.3 – Consorcios</w:t>
      </w:r>
    </w:p>
    <w:p w:rsidRPr="007D0D7E" w:rsidR="007D0D7E" w:rsidP="007D0D7E" w:rsidRDefault="007D0D7E" w14:paraId="154FC67E" w14:textId="77777777">
      <w:pPr>
        <w:spacing w:after="0" w:line="276" w:lineRule="auto"/>
        <w:jc w:val="both"/>
        <w:rPr>
          <w:rFonts w:ascii="Verdana" w:hAnsi="Verdana" w:eastAsia="Geomanist Light" w:cs="Arial"/>
          <w:lang w:val="es-MX"/>
        </w:rPr>
      </w:pPr>
    </w:p>
    <w:p w:rsidRPr="00C7780F" w:rsidR="00C7780F" w:rsidP="06F28A15" w:rsidRDefault="00C7780F" w14:paraId="4398687E" w14:textId="77777777">
      <w:pPr>
        <w:spacing w:after="0" w:line="240" w:lineRule="auto"/>
        <w:contextualSpacing/>
        <w:jc w:val="both"/>
        <w:rPr>
          <w:rFonts w:ascii="Verdana" w:hAnsi="Verdana" w:eastAsia="Aptos" w:cs="Times New Roman"/>
          <w:kern w:val="2"/>
          <w:sz w:val="21"/>
          <w:szCs w:val="21"/>
          <w:lang w:val="es-ES"/>
          <w14:ligatures w14:val="standardContextual"/>
        </w:rPr>
      </w:pPr>
      <w:r w:rsidRPr="06F28A15" w:rsidR="00C7780F">
        <w:rPr>
          <w:rFonts w:ascii="Verdana" w:hAnsi="Verdana" w:eastAsia="Aptos" w:cs="Times New Roman"/>
          <w:kern w:val="2"/>
          <w:sz w:val="21"/>
          <w:szCs w:val="21"/>
          <w:lang w:val="es-ES"/>
          <w14:ligatures w14:val="standardContextual"/>
        </w:rPr>
        <w:t xml:space="preserve">Concretamente, la actividad a contratar 4.3 que hace parte integral de la “Matriz 1 – Experiencia” del sector de agua potable y saneamiento básico, contempla los </w:t>
      </w:r>
      <w:r w:rsidRPr="06F28A15" w:rsidR="00C7780F">
        <w:rPr>
          <w:rFonts w:ascii="Verdana" w:hAnsi="Verdana" w:eastAsia="Aptos" w:cs="Times New Roman"/>
          <w:i w:val="1"/>
          <w:iCs w:val="1"/>
          <w:kern w:val="2"/>
          <w:sz w:val="21"/>
          <w:szCs w:val="21"/>
          <w:lang w:val="es-ES"/>
          <w14:ligatures w14:val="standardContextual"/>
        </w:rPr>
        <w:t>proyectos de optimización y/o mejoramiento y/o adecuación y/o reforzamiento y/o rehabilitación y/o mantenimiento de PTAP y/u obras complementarias.</w:t>
      </w:r>
      <w:r w:rsidRPr="06F28A15" w:rsidR="00C7780F">
        <w:rPr>
          <w:rFonts w:ascii="Verdana" w:hAnsi="Verdana" w:eastAsia="Aptos" w:cs="Times New Roman"/>
          <w:kern w:val="2"/>
          <w:sz w:val="21"/>
          <w:szCs w:val="21"/>
          <w:lang w:val="es-ES"/>
          <w14:ligatures w14:val="standardContextual"/>
        </w:rPr>
        <w:t xml:space="preserve"> Para esta actividad se determina como </w:t>
      </w:r>
      <w:r w:rsidRPr="06F28A15" w:rsidR="00C7780F">
        <w:rPr>
          <w:rFonts w:ascii="Verdana" w:hAnsi="Verdana" w:eastAsia="Aptos" w:cs="Times New Roman"/>
          <w:i w:val="1"/>
          <w:iCs w:val="1"/>
          <w:kern w:val="2"/>
          <w:sz w:val="21"/>
          <w:szCs w:val="21"/>
          <w:lang w:val="es-ES"/>
          <w14:ligatures w14:val="standardContextual"/>
        </w:rPr>
        <w:t>experiencia general</w:t>
      </w:r>
      <w:r w:rsidRPr="06F28A15" w:rsidR="00C7780F">
        <w:rPr>
          <w:rFonts w:ascii="Verdana" w:hAnsi="Verdana" w:eastAsia="Aptos" w:cs="Times New Roman"/>
          <w:kern w:val="2"/>
          <w:sz w:val="21"/>
          <w:szCs w:val="21"/>
          <w:lang w:val="es-ES"/>
          <w14:ligatures w14:val="standardContextual"/>
        </w:rPr>
        <w:t xml:space="preserve"> acreditar proyectos que correspondan o hayan contenido actividades de: </w:t>
      </w:r>
      <w:r w:rsidRPr="06F28A15" w:rsidR="00C7780F">
        <w:rPr>
          <w:rFonts w:ascii="Verdana" w:hAnsi="Verdana" w:eastAsia="Aptos" w:cs="Times New Roman"/>
          <w:i w:val="1"/>
          <w:iCs w:val="1"/>
          <w:kern w:val="2"/>
          <w:sz w:val="21"/>
          <w:szCs w:val="21"/>
          <w:lang w:val="es-ES"/>
          <w14:ligatures w14:val="standardContextual"/>
        </w:rPr>
        <w:t>construcción y/o mejoramiento y/o reforzamiento y/o ampliación y/o adecuación y/o rehabilitación y/o mantenimiento de: sistemas de acueductos y/o PTAP y/o sistemas de tratamiento de agua;</w:t>
      </w:r>
      <w:r w:rsidRPr="06F28A15" w:rsidR="00C7780F">
        <w:rPr>
          <w:rFonts w:ascii="Verdana" w:hAnsi="Verdana" w:eastAsia="Aptos" w:cs="Times New Roman"/>
          <w:kern w:val="2"/>
          <w:sz w:val="21"/>
          <w:szCs w:val="21"/>
          <w:lang w:val="es-ES"/>
          <w14:ligatures w14:val="standardContextual"/>
        </w:rPr>
        <w:t xml:space="preserve"> y para la </w:t>
      </w:r>
      <w:r w:rsidRPr="06F28A15" w:rsidR="00C7780F">
        <w:rPr>
          <w:rFonts w:ascii="Verdana" w:hAnsi="Verdana" w:eastAsia="Aptos" w:cs="Times New Roman"/>
          <w:i w:val="1"/>
          <w:iCs w:val="1"/>
          <w:kern w:val="2"/>
          <w:sz w:val="21"/>
          <w:szCs w:val="21"/>
          <w:lang w:val="es-ES"/>
          <w14:ligatures w14:val="standardContextual"/>
        </w:rPr>
        <w:t>experiencia específica</w:t>
      </w:r>
      <w:r w:rsidRPr="06F28A15" w:rsidR="00C7780F">
        <w:rPr>
          <w:rFonts w:ascii="Verdana" w:hAnsi="Verdana" w:eastAsia="Aptos" w:cs="Times New Roman"/>
          <w:kern w:val="2"/>
          <w:sz w:val="21"/>
          <w:szCs w:val="21"/>
          <w:lang w:val="es-ES"/>
          <w14:ligatures w14:val="standardContextual"/>
        </w:rPr>
        <w:t xml:space="preserve"> obligatoria se establece que por lo menos uno (1) de los contratos válidos aportados como experiencia general debe contener la: </w:t>
      </w:r>
      <w:r w:rsidRPr="06F28A15" w:rsidR="00C7780F">
        <w:rPr>
          <w:rFonts w:ascii="Verdana" w:hAnsi="Verdana" w:eastAsia="Aptos" w:cs="Times New Roman"/>
          <w:i w:val="1"/>
          <w:iCs w:val="1"/>
          <w:kern w:val="2"/>
          <w:sz w:val="21"/>
          <w:szCs w:val="21"/>
          <w:lang w:val="es-ES"/>
          <w14:ligatures w14:val="standardContextual"/>
        </w:rPr>
        <w:t xml:space="preserve">optimización y/o mejoramiento y/o rehabilitación y/o mantenimiento y/o adecuación y/o reforzamiento de una PTAP con capacidad igual o superior al (F%) de los litros por segundo (</w:t>
      </w:r>
      <w:r w:rsidRPr="06F28A15" w:rsidR="00C7780F">
        <w:rPr>
          <w:rFonts w:ascii="Verdana" w:hAnsi="Verdana" w:eastAsia="Aptos" w:cs="Times New Roman"/>
          <w:i w:val="1"/>
          <w:iCs w:val="1"/>
          <w:kern w:val="2"/>
          <w:sz w:val="21"/>
          <w:szCs w:val="21"/>
          <w:lang w:val="es-ES"/>
          <w14:ligatures w14:val="standardContextual"/>
        </w:rPr>
        <w:t xml:space="preserve">lps</w:t>
      </w:r>
      <w:r w:rsidRPr="06F28A15" w:rsidR="00C7780F">
        <w:rPr>
          <w:rFonts w:ascii="Verdana" w:hAnsi="Verdana" w:eastAsia="Aptos" w:cs="Times New Roman"/>
          <w:i w:val="1"/>
          <w:iCs w:val="1"/>
          <w:kern w:val="2"/>
          <w:sz w:val="21"/>
          <w:szCs w:val="21"/>
          <w:lang w:val="es-ES"/>
          <w14:ligatures w14:val="standardContextual"/>
        </w:rPr>
        <w:t xml:space="preserve">) establecidos en la presente convocatoria, los cuales se encuentran estimados en </w:t>
      </w:r>
      <w:r w:rsidRPr="06F28A15" w:rsidR="00C7780F">
        <w:rPr>
          <w:rFonts w:ascii="Verdana" w:hAnsi="Verdana" w:eastAsia="Aptos" w:cs="Times New Roman"/>
          <w:i w:val="1"/>
          <w:iCs w:val="1"/>
          <w:kern w:val="2"/>
          <w:sz w:val="21"/>
          <w:szCs w:val="21"/>
          <w:highlight w:val="lightGray"/>
          <w:lang w:val="es-ES"/>
          <w14:ligatures w14:val="standardContextual"/>
        </w:rPr>
        <w:t>[la Entidad establecerá la capacidad expresada en litros por segundo estimada para el proceso de selección</w:t>
      </w:r>
      <w:r w:rsidRPr="06F28A15" w:rsidR="00C7780F">
        <w:rPr>
          <w:rFonts w:ascii="Verdana" w:hAnsi="Verdana" w:eastAsia="Aptos" w:cs="Times New Roman"/>
          <w:i w:val="1"/>
          <w:iCs w:val="1"/>
          <w:kern w:val="2"/>
          <w:sz w:val="21"/>
          <w:szCs w:val="21"/>
          <w:lang w:val="es-ES"/>
          <w14:ligatures w14:val="standardContextual"/>
        </w:rPr>
        <w:t>].</w:t>
      </w:r>
    </w:p>
    <w:p w:rsidRPr="007D0D7E" w:rsidR="007D0D7E" w:rsidP="007D0D7E" w:rsidRDefault="007D0D7E" w14:paraId="03919C7E" w14:textId="77777777">
      <w:pPr>
        <w:spacing w:after="0" w:line="240" w:lineRule="auto"/>
        <w:rPr>
          <w:rFonts w:ascii="Verdana" w:hAnsi="Verdana" w:eastAsia="Geomanist Light" w:cs="Arial"/>
          <w:lang w:val="es-MX"/>
        </w:rPr>
      </w:pPr>
    </w:p>
    <w:p w:rsidRPr="007D0D7E" w:rsidR="007D0D7E" w:rsidP="007D0D7E" w:rsidRDefault="007D0D7E" w14:paraId="042D302B" w14:textId="77777777">
      <w:pPr>
        <w:spacing w:after="0" w:line="240" w:lineRule="auto"/>
        <w:jc w:val="both"/>
        <w:rPr>
          <w:rFonts w:ascii="Verdana" w:hAnsi="Verdana" w:eastAsia="Geomanist Light" w:cs="Arial"/>
          <w:lang w:val="es-MX"/>
        </w:rPr>
      </w:pPr>
    </w:p>
    <w:p w:rsidRPr="007D0D7E" w:rsidR="007D0D7E" w:rsidP="007D0D7E" w:rsidRDefault="007D0D7E" w14:paraId="549DA368" w14:textId="77777777">
      <w:pPr>
        <w:spacing w:after="0" w:line="240" w:lineRule="auto"/>
        <w:jc w:val="both"/>
        <w:rPr>
          <w:rFonts w:ascii="Verdana" w:hAnsi="Verdana" w:eastAsia="Calibri" w:cs="Times New Roman"/>
        </w:rPr>
      </w:pPr>
    </w:p>
    <w:p w:rsidRPr="007D0D7E" w:rsidR="007D0D7E" w:rsidP="007D0D7E" w:rsidRDefault="007D0D7E" w14:paraId="3E92B90E" w14:textId="77777777">
      <w:pPr>
        <w:spacing w:after="0" w:line="240" w:lineRule="auto"/>
        <w:jc w:val="both"/>
        <w:rPr>
          <w:rFonts w:ascii="Verdana" w:hAnsi="Verdana" w:eastAsia="Calibri" w:cs="Times New Roman"/>
        </w:rPr>
      </w:pPr>
    </w:p>
    <w:p w:rsidRPr="007D0D7E" w:rsidR="007D0D7E" w:rsidP="007D0D7E" w:rsidRDefault="007D0D7E" w14:paraId="1DD2139F" w14:textId="77777777">
      <w:pPr>
        <w:spacing w:after="0" w:line="240" w:lineRule="auto"/>
        <w:jc w:val="both"/>
        <w:rPr>
          <w:rFonts w:ascii="Verdana" w:hAnsi="Verdana" w:eastAsia="Calibri" w:cs="Times New Roman"/>
        </w:rPr>
      </w:pPr>
    </w:p>
    <w:p w:rsidRPr="007D0D7E" w:rsidR="007D0D7E" w:rsidP="007D0D7E" w:rsidRDefault="007D0D7E" w14:paraId="1F4783D2" w14:textId="77777777">
      <w:pPr>
        <w:spacing w:after="0" w:line="240" w:lineRule="auto"/>
        <w:jc w:val="both"/>
        <w:rPr>
          <w:rFonts w:ascii="Verdana" w:hAnsi="Verdana" w:eastAsia="Calibri" w:cs="Times New Roman"/>
        </w:rPr>
      </w:pPr>
    </w:p>
    <w:p w:rsidRPr="007D0D7E" w:rsidR="007D0D7E" w:rsidP="007D0D7E" w:rsidRDefault="007D0D7E" w14:paraId="1598C697" w14:textId="77777777">
      <w:pPr>
        <w:spacing w:after="0" w:line="240" w:lineRule="auto"/>
        <w:jc w:val="both"/>
        <w:rPr>
          <w:rFonts w:ascii="Verdana" w:hAnsi="Verdana" w:eastAsia="Calibri" w:cs="Times New Roman"/>
        </w:rPr>
      </w:pPr>
    </w:p>
    <w:p w:rsidRPr="007D0D7E" w:rsidR="007D0D7E" w:rsidP="007D0D7E" w:rsidRDefault="007D0D7E" w14:paraId="21074448" w14:textId="77777777">
      <w:pPr>
        <w:spacing w:after="0" w:line="240" w:lineRule="auto"/>
        <w:jc w:val="both"/>
        <w:rPr>
          <w:rFonts w:ascii="Verdana" w:hAnsi="Verdana" w:eastAsia="Calibri" w:cs="Times New Roman"/>
        </w:rPr>
      </w:pPr>
    </w:p>
    <w:p w:rsidRPr="007D0D7E" w:rsidR="007D0D7E" w:rsidP="007D0D7E" w:rsidRDefault="007D0D7E" w14:paraId="2ED34531" w14:textId="77777777">
      <w:pPr>
        <w:spacing w:after="0" w:line="240" w:lineRule="auto"/>
        <w:jc w:val="both"/>
        <w:rPr>
          <w:rFonts w:ascii="Verdana" w:hAnsi="Verdana" w:eastAsia="Calibri" w:cs="Times New Roman"/>
        </w:rPr>
      </w:pPr>
    </w:p>
    <w:p w:rsidRPr="007D0D7E" w:rsidR="007D0D7E" w:rsidP="007D0D7E" w:rsidRDefault="007D0D7E" w14:paraId="7A1223C4" w14:textId="77777777">
      <w:pPr>
        <w:spacing w:after="0" w:line="240" w:lineRule="auto"/>
        <w:jc w:val="both"/>
        <w:rPr>
          <w:rFonts w:ascii="Verdana" w:hAnsi="Verdana" w:eastAsia="Calibri" w:cs="Times New Roman"/>
        </w:rPr>
      </w:pPr>
    </w:p>
    <w:p w:rsidRPr="007D0D7E" w:rsidR="007D0D7E" w:rsidP="007D0D7E" w:rsidRDefault="007D0D7E" w14:paraId="24F31489" w14:textId="77777777">
      <w:pPr>
        <w:spacing w:after="0" w:line="240" w:lineRule="auto"/>
        <w:jc w:val="both"/>
        <w:rPr>
          <w:rFonts w:ascii="Verdana" w:hAnsi="Verdana" w:eastAsia="Calibri" w:cs="Times New Roman"/>
        </w:rPr>
      </w:pPr>
    </w:p>
    <w:p w:rsidRPr="007D0D7E" w:rsidR="007D0D7E" w:rsidP="007D0D7E" w:rsidRDefault="007D0D7E" w14:paraId="1C6788D7" w14:textId="77777777">
      <w:pPr>
        <w:spacing w:after="0" w:line="240" w:lineRule="auto"/>
        <w:jc w:val="both"/>
        <w:rPr>
          <w:rFonts w:ascii="Verdana" w:hAnsi="Verdana" w:eastAsia="Calibri" w:cs="Times New Roman"/>
        </w:rPr>
      </w:pPr>
    </w:p>
    <w:p w:rsidRPr="007D0D7E" w:rsidR="007D0D7E" w:rsidP="007D0D7E" w:rsidRDefault="007D0D7E" w14:paraId="4AF95501" w14:textId="77777777">
      <w:pPr>
        <w:spacing w:after="0" w:line="240" w:lineRule="auto"/>
        <w:jc w:val="both"/>
        <w:rPr>
          <w:rFonts w:ascii="Verdana" w:hAnsi="Verdana" w:eastAsia="Calibri" w:cs="Times New Roman"/>
        </w:rPr>
      </w:pPr>
    </w:p>
    <w:p w:rsidRPr="007D0D7E" w:rsidR="007D0D7E" w:rsidP="007D0D7E" w:rsidRDefault="007D0D7E" w14:paraId="34D1395D" w14:textId="77777777">
      <w:pPr>
        <w:spacing w:after="0" w:line="240" w:lineRule="auto"/>
        <w:jc w:val="both"/>
        <w:rPr>
          <w:rFonts w:ascii="Verdana" w:hAnsi="Verdana" w:eastAsia="Calibri" w:cs="Times New Roman"/>
        </w:rPr>
      </w:pPr>
    </w:p>
    <w:p w:rsidRPr="007D0D7E" w:rsidR="007D0D7E" w:rsidP="007D0D7E" w:rsidRDefault="007D0D7E" w14:paraId="636CB92B" w14:textId="1EE03C3B">
      <w:pPr>
        <w:spacing w:after="0" w:line="240" w:lineRule="auto"/>
        <w:jc w:val="both"/>
        <w:rPr>
          <w:rFonts w:ascii="Verdana" w:hAnsi="Verdana" w:eastAsia="Calibri" w:cs="Arial"/>
          <w:lang w:val="es-ES"/>
        </w:rPr>
      </w:pPr>
      <w:r w:rsidRPr="0044528D">
        <w:rPr>
          <w:rFonts w:ascii="Verdana" w:hAnsi="Verdana"/>
        </w:rPr>
        <w:lastRenderedPageBreak/>
        <w:t>Bogotá D.C.</w:t>
      </w:r>
    </w:p>
    <w:p w:rsidR="007D0D7E" w:rsidP="007D0D7E" w:rsidRDefault="007D0D7E" w14:paraId="5D0884BB" w14:textId="77777777">
      <w:pPr>
        <w:spacing w:after="0" w:line="240" w:lineRule="auto"/>
        <w:jc w:val="both"/>
        <w:rPr>
          <w:rFonts w:ascii="Verdana" w:hAnsi="Verdana" w:eastAsia="Calibri" w:cs="Arial"/>
          <w:lang w:val="es-ES"/>
        </w:rPr>
      </w:pPr>
    </w:p>
    <w:p w:rsidRPr="007D0D7E" w:rsidR="007D0D7E" w:rsidP="00B65013" w:rsidRDefault="00B65013" w14:paraId="0DE8FB27" w14:textId="4CEBD55D">
      <w:pPr>
        <w:spacing w:after="0" w:line="240" w:lineRule="auto"/>
        <w:jc w:val="right"/>
        <w:rPr>
          <w:rFonts w:ascii="Verdana" w:hAnsi="Verdana" w:eastAsia="Calibri" w:cs="Arial"/>
          <w:lang w:val="es-ES"/>
        </w:rPr>
      </w:pPr>
      <w:r>
        <w:rPr>
          <w:rFonts w:ascii="Verdana" w:hAnsi="Verdana" w:eastAsia="Calibri" w:cs="Arial"/>
          <w:noProof/>
          <w:lang w:val="es-ES"/>
        </w:rPr>
        <w:drawing>
          <wp:inline distT="0" distB="0" distL="0" distR="0" wp14:anchorId="0E652CCD" wp14:editId="36D08D3B">
            <wp:extent cx="3965223" cy="1189567"/>
            <wp:effectExtent l="0" t="0" r="0" b="4445"/>
            <wp:docPr id="10886432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43244" name="Imagen 1088643244"/>
                    <pic:cNvPicPr/>
                  </pic:nvPicPr>
                  <pic:blipFill>
                    <a:blip r:embed="rId11">
                      <a:extLst>
                        <a:ext uri="{28A0092B-C50C-407E-A947-70E740481C1C}">
                          <a14:useLocalDpi xmlns:a14="http://schemas.microsoft.com/office/drawing/2010/main" val="0"/>
                        </a:ext>
                      </a:extLst>
                    </a:blip>
                    <a:stretch>
                      <a:fillRect/>
                    </a:stretch>
                  </pic:blipFill>
                  <pic:spPr>
                    <a:xfrm>
                      <a:off x="0" y="0"/>
                      <a:ext cx="3989811" cy="1196943"/>
                    </a:xfrm>
                    <a:prstGeom prst="rect">
                      <a:avLst/>
                    </a:prstGeom>
                  </pic:spPr>
                </pic:pic>
              </a:graphicData>
            </a:graphic>
          </wp:inline>
        </w:drawing>
      </w:r>
    </w:p>
    <w:p w:rsidRPr="007D0D7E" w:rsidR="007D0D7E" w:rsidP="007D0D7E" w:rsidRDefault="007D0D7E" w14:paraId="2AD8D92B" w14:textId="77777777">
      <w:pPr>
        <w:spacing w:after="0" w:line="240" w:lineRule="auto"/>
        <w:jc w:val="both"/>
        <w:rPr>
          <w:rFonts w:ascii="Verdana" w:hAnsi="Verdana" w:eastAsia="Calibri" w:cs="Arial"/>
          <w:lang w:val="es-ES" w:eastAsia="es-ES"/>
        </w:rPr>
      </w:pPr>
      <w:r w:rsidRPr="007D0D7E">
        <w:rPr>
          <w:rFonts w:ascii="Verdana" w:hAnsi="Verdana" w:eastAsia="Calibri" w:cs="Arial"/>
          <w:lang w:val="es-ES" w:eastAsia="es-ES"/>
        </w:rPr>
        <w:t>Señor</w:t>
      </w:r>
    </w:p>
    <w:p w:rsidRPr="007D0D7E" w:rsidR="007D0D7E" w:rsidP="007D0D7E" w:rsidRDefault="007D0D7E" w14:paraId="5C101B4A" w14:textId="77777777">
      <w:pPr>
        <w:spacing w:after="0" w:line="240" w:lineRule="auto"/>
        <w:rPr>
          <w:rFonts w:ascii="Verdana" w:hAnsi="Verdana" w:eastAsia="Calibri" w:cs="Arial"/>
          <w:b/>
          <w:lang w:val="es-ES" w:eastAsia="es-ES"/>
        </w:rPr>
      </w:pPr>
      <w:r w:rsidRPr="168779A3">
        <w:rPr>
          <w:rFonts w:ascii="Verdana" w:hAnsi="Verdana" w:eastAsia="Calibri" w:cs="Arial"/>
          <w:b/>
          <w:lang w:val="es-ES" w:eastAsia="es-ES"/>
        </w:rPr>
        <w:t>Hernan Guerra Vaquero</w:t>
      </w:r>
    </w:p>
    <w:p w:rsidRPr="007D0D7E" w:rsidR="007D0D7E" w:rsidP="007D0D7E" w:rsidRDefault="007D0D7E" w14:paraId="70F3C976" w14:textId="77777777">
      <w:pPr>
        <w:spacing w:after="0" w:line="240" w:lineRule="auto"/>
        <w:rPr>
          <w:rFonts w:ascii="Verdana" w:hAnsi="Verdana" w:eastAsia="Calibri" w:cs="Arial"/>
          <w:bCs/>
          <w:lang w:val="es-ES_tradnl" w:eastAsia="es-ES_tradnl"/>
        </w:rPr>
      </w:pPr>
      <w:r w:rsidRPr="007D0D7E">
        <w:rPr>
          <w:rFonts w:ascii="Verdana" w:hAnsi="Verdana" w:eastAsia="Calibri" w:cs="Arial"/>
          <w:bCs/>
          <w:lang w:val="es-ES_tradnl" w:eastAsia="es-ES_tradnl"/>
        </w:rPr>
        <w:t>Representante legal – Consorcio H&amp;L</w:t>
      </w:r>
    </w:p>
    <w:p w:rsidRPr="007D0D7E" w:rsidR="007D0D7E" w:rsidP="007D0D7E" w:rsidRDefault="007D0D7E" w14:paraId="53849D11" w14:textId="77777777">
      <w:pPr>
        <w:spacing w:after="0" w:line="240" w:lineRule="auto"/>
        <w:rPr>
          <w:rFonts w:ascii="Verdana" w:hAnsi="Verdana" w:eastAsia="Calibri" w:cs="Arial"/>
          <w:b/>
          <w:bCs/>
          <w:lang w:val="es-ES_tradnl" w:eastAsia="es-ES_tradnl"/>
        </w:rPr>
      </w:pPr>
      <w:r w:rsidRPr="007D0D7E">
        <w:rPr>
          <w:rFonts w:ascii="Verdana" w:hAnsi="Verdana" w:eastAsia="Calibri" w:cs="Arial"/>
          <w:lang w:val="es-ES" w:eastAsia="es-ES"/>
        </w:rPr>
        <w:t>Manaure, La Guajira</w:t>
      </w:r>
    </w:p>
    <w:p w:rsidRPr="007D0D7E" w:rsidR="007D0D7E" w:rsidP="007D0D7E" w:rsidRDefault="007D0D7E" w14:paraId="218A6FEB" w14:textId="77777777">
      <w:pPr>
        <w:spacing w:after="0" w:line="240" w:lineRule="auto"/>
        <w:rPr>
          <w:rFonts w:ascii="Verdana" w:hAnsi="Verdana" w:eastAsia="Calibri" w:cs="Arial"/>
          <w:b/>
          <w:bCs/>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7D0D7E" w:rsidR="007D0D7E" w:rsidTr="00F66055" w14:paraId="7C7C491C" w14:textId="77777777">
        <w:trPr>
          <w:trHeight w:val="884"/>
        </w:trPr>
        <w:tc>
          <w:tcPr>
            <w:tcW w:w="2689" w:type="dxa"/>
          </w:tcPr>
          <w:p w:rsidRPr="007D0D7E" w:rsidR="007D0D7E" w:rsidP="007D0D7E" w:rsidRDefault="007D0D7E" w14:paraId="56F43C92" w14:textId="77777777">
            <w:pPr>
              <w:jc w:val="both"/>
              <w:rPr>
                <w:rFonts w:ascii="Verdana" w:hAnsi="Verdana" w:eastAsia="Calibri" w:cs="Arial"/>
                <w:b/>
                <w:bCs/>
                <w:lang w:val="es-ES_tradnl" w:eastAsia="es-ES_tradnl"/>
              </w:rPr>
            </w:pPr>
          </w:p>
        </w:tc>
        <w:tc>
          <w:tcPr>
            <w:tcW w:w="6100" w:type="dxa"/>
          </w:tcPr>
          <w:p w:rsidRPr="007D0D7E" w:rsidR="007D0D7E" w:rsidP="007D0D7E" w:rsidRDefault="007D0D7E" w14:paraId="72C4A1B3" w14:textId="77777777">
            <w:pPr>
              <w:jc w:val="both"/>
              <w:rPr>
                <w:rFonts w:ascii="Verdana" w:hAnsi="Verdana" w:eastAsia="Calibri" w:cs="Arial"/>
                <w:b/>
                <w:bCs/>
                <w:lang w:val="es-ES" w:eastAsia="es-ES"/>
              </w:rPr>
            </w:pPr>
            <w:r w:rsidRPr="007D0D7E">
              <w:rPr>
                <w:rFonts w:ascii="Verdana" w:hAnsi="Verdana" w:eastAsia="Calibri" w:cs="Arial"/>
                <w:b/>
                <w:bCs/>
                <w:lang w:val="es-ES" w:eastAsia="es-ES"/>
              </w:rPr>
              <w:t>Concepto C – 195 de 2024</w:t>
            </w:r>
          </w:p>
        </w:tc>
      </w:tr>
      <w:tr w:rsidRPr="007D0D7E" w:rsidR="007D0D7E" w:rsidTr="00F66055" w14:paraId="6B9009D9" w14:textId="77777777">
        <w:trPr>
          <w:trHeight w:val="884"/>
        </w:trPr>
        <w:tc>
          <w:tcPr>
            <w:tcW w:w="2689" w:type="dxa"/>
          </w:tcPr>
          <w:p w:rsidRPr="007D0D7E" w:rsidR="007D0D7E" w:rsidP="007D0D7E" w:rsidRDefault="007D0D7E" w14:paraId="470DA564" w14:textId="77777777">
            <w:pPr>
              <w:jc w:val="both"/>
              <w:rPr>
                <w:rFonts w:ascii="Verdana" w:hAnsi="Verdana" w:eastAsia="Calibri" w:cs="Arial"/>
                <w:lang w:val="es-ES_tradnl" w:eastAsia="es-ES_tradnl"/>
              </w:rPr>
            </w:pPr>
            <w:r w:rsidRPr="007D0D7E">
              <w:rPr>
                <w:rFonts w:ascii="Verdana" w:hAnsi="Verdana" w:eastAsia="Calibri" w:cs="Arial"/>
                <w:b/>
                <w:lang w:val="es-ES_tradnl" w:eastAsia="es-ES_tradnl"/>
              </w:rPr>
              <w:t>Temas:</w:t>
            </w:r>
            <w:r w:rsidRPr="007D0D7E">
              <w:rPr>
                <w:rFonts w:ascii="Verdana" w:hAnsi="Verdana" w:eastAsia="Calibri" w:cs="Arial"/>
                <w:lang w:val="es-ES_tradnl" w:eastAsia="es-ES_tradnl"/>
              </w:rPr>
              <w:t xml:space="preserve">                   </w:t>
            </w:r>
          </w:p>
        </w:tc>
        <w:tc>
          <w:tcPr>
            <w:tcW w:w="6100" w:type="dxa"/>
          </w:tcPr>
          <w:p w:rsidRPr="007D0D7E" w:rsidR="007D0D7E" w:rsidP="007D0D7E" w:rsidRDefault="007D0D7E" w14:paraId="718ECEA8" w14:textId="77777777">
            <w:pPr>
              <w:spacing w:line="276" w:lineRule="auto"/>
              <w:jc w:val="both"/>
              <w:rPr>
                <w:rFonts w:ascii="Verdana" w:hAnsi="Verdana" w:eastAsia="Aptos" w:cs="Arial"/>
                <w:lang w:val="es-MX"/>
              </w:rPr>
            </w:pPr>
            <w:r w:rsidRPr="007D0D7E">
              <w:rPr>
                <w:rFonts w:ascii="Verdana" w:hAnsi="Verdana" w:eastAsia="Aptos" w:cs="Arial"/>
                <w:lang w:val="es-MX"/>
              </w:rPr>
              <w:t>DOCUMENTOS TIPO – Generalidades – Ley 2022 de 2020 / DOCUMENTOS TIPO – Agua potable y saneamiento básico – Matriz 1 – Exeriencia – Acreditación de la experiencia – Actividad 4.3 – Consorcios</w:t>
            </w:r>
          </w:p>
          <w:p w:rsidRPr="007D0D7E" w:rsidR="007D0D7E" w:rsidP="007D0D7E" w:rsidRDefault="007D0D7E" w14:paraId="0E9B015D" w14:textId="77777777">
            <w:pPr>
              <w:tabs>
                <w:tab w:val="left" w:pos="0"/>
              </w:tabs>
              <w:spacing w:line="276" w:lineRule="auto"/>
              <w:jc w:val="both"/>
              <w:rPr>
                <w:rFonts w:ascii="Verdana" w:hAnsi="Verdana" w:eastAsia="Calibri" w:cs="Arial"/>
                <w:lang w:val="es-ES" w:eastAsia="es-ES"/>
              </w:rPr>
            </w:pPr>
          </w:p>
        </w:tc>
      </w:tr>
      <w:tr w:rsidRPr="007D0D7E" w:rsidR="007D0D7E" w:rsidTr="00F66055" w14:paraId="71986E9A" w14:textId="77777777">
        <w:tc>
          <w:tcPr>
            <w:tcW w:w="2689" w:type="dxa"/>
          </w:tcPr>
          <w:p w:rsidRPr="007D0D7E" w:rsidR="007D0D7E" w:rsidP="007D0D7E" w:rsidRDefault="007D0D7E" w14:paraId="0FD6CB76" w14:textId="77777777">
            <w:pPr>
              <w:jc w:val="both"/>
              <w:rPr>
                <w:rFonts w:ascii="Verdana" w:hAnsi="Verdana" w:eastAsia="Calibri" w:cs="Arial"/>
                <w:b/>
                <w:lang w:val="es-ES_tradnl" w:eastAsia="es-ES_tradnl"/>
              </w:rPr>
            </w:pPr>
            <w:r w:rsidRPr="007D0D7E">
              <w:rPr>
                <w:rFonts w:ascii="Verdana" w:hAnsi="Verdana" w:eastAsia="Calibri" w:cs="Arial"/>
                <w:b/>
                <w:lang w:val="es-ES_tradnl" w:eastAsia="es-ES_tradnl"/>
              </w:rPr>
              <w:t>Radicación:</w:t>
            </w:r>
            <w:r w:rsidRPr="007D0D7E">
              <w:rPr>
                <w:rFonts w:ascii="Verdana" w:hAnsi="Verdana" w:eastAsia="Calibri" w:cs="Arial"/>
                <w:lang w:val="es-ES_tradnl" w:eastAsia="es-ES_tradnl"/>
              </w:rPr>
              <w:t xml:space="preserve">               </w:t>
            </w:r>
          </w:p>
        </w:tc>
        <w:tc>
          <w:tcPr>
            <w:tcW w:w="6100" w:type="dxa"/>
          </w:tcPr>
          <w:p w:rsidRPr="007D0D7E" w:rsidR="007D0D7E" w:rsidP="007D0D7E" w:rsidRDefault="007D0D7E" w14:paraId="3E482AA2" w14:textId="77777777">
            <w:pPr>
              <w:jc w:val="both"/>
              <w:rPr>
                <w:rFonts w:ascii="Verdana" w:hAnsi="Verdana" w:eastAsia="Calibri" w:cs="Arial"/>
                <w:lang w:val="es-ES_tradnl" w:eastAsia="es-ES_tradnl"/>
              </w:rPr>
            </w:pPr>
            <w:r w:rsidRPr="007D0D7E">
              <w:rPr>
                <w:rFonts w:ascii="Verdana" w:hAnsi="Verdana" w:eastAsia="Calibri" w:cs="Arial"/>
                <w:lang w:val="es-ES_tradnl" w:eastAsia="es-ES_tradnl"/>
              </w:rPr>
              <w:t>Respuesta a consulta con radicado No. P20240619006266</w:t>
            </w:r>
          </w:p>
        </w:tc>
      </w:tr>
    </w:tbl>
    <w:p w:rsidRPr="007D0D7E" w:rsidR="007D0D7E" w:rsidP="007D0D7E" w:rsidRDefault="007D0D7E" w14:paraId="7FD7FD68" w14:textId="77777777">
      <w:pPr>
        <w:spacing w:after="0" w:line="240" w:lineRule="auto"/>
        <w:jc w:val="both"/>
        <w:rPr>
          <w:rFonts w:ascii="Verdana" w:hAnsi="Verdana" w:eastAsia="Calibri" w:cs="Arial"/>
          <w:lang w:val="es-ES_tradnl" w:eastAsia="es-ES_tradnl"/>
        </w:rPr>
      </w:pPr>
    </w:p>
    <w:p w:rsidRPr="007D0D7E" w:rsidR="007D0D7E" w:rsidP="007D0D7E" w:rsidRDefault="007D0D7E" w14:paraId="1C217B8A" w14:textId="77777777">
      <w:pPr>
        <w:spacing w:after="0" w:line="240" w:lineRule="auto"/>
        <w:jc w:val="both"/>
        <w:rPr>
          <w:rFonts w:ascii="Verdana" w:hAnsi="Verdana" w:eastAsia="Calibri" w:cs="Arial"/>
          <w:lang w:val="es-ES_tradnl" w:eastAsia="es-ES_tradnl"/>
        </w:rPr>
      </w:pPr>
    </w:p>
    <w:p w:rsidRPr="007D0D7E" w:rsidR="007D0D7E" w:rsidP="007D0D7E" w:rsidRDefault="007D0D7E" w14:paraId="4B8D213E" w14:textId="77777777">
      <w:pPr>
        <w:spacing w:after="0" w:line="276" w:lineRule="auto"/>
        <w:jc w:val="both"/>
        <w:rPr>
          <w:rFonts w:ascii="Verdana" w:hAnsi="Verdana" w:eastAsia="Calibri" w:cs="Arial"/>
          <w:lang w:val="es-ES" w:eastAsia="es-ES"/>
        </w:rPr>
      </w:pPr>
      <w:r w:rsidRPr="007D0D7E">
        <w:rPr>
          <w:rFonts w:ascii="Verdana" w:hAnsi="Verdana" w:eastAsia="Calibri" w:cs="Arial"/>
          <w:lang w:val="es-ES" w:eastAsia="es-ES"/>
        </w:rPr>
        <w:t xml:space="preserve">Estimado señor Guerra Vaquero: </w:t>
      </w:r>
    </w:p>
    <w:p w:rsidRPr="007D0D7E" w:rsidR="007D0D7E" w:rsidP="007D0D7E" w:rsidRDefault="007D0D7E" w14:paraId="004125A3" w14:textId="77777777">
      <w:pPr>
        <w:tabs>
          <w:tab w:val="left" w:pos="3768"/>
        </w:tabs>
        <w:spacing w:after="0" w:line="276" w:lineRule="auto"/>
        <w:jc w:val="both"/>
        <w:rPr>
          <w:rFonts w:ascii="Verdana" w:hAnsi="Verdana" w:eastAsia="Calibri" w:cs="Arial"/>
          <w:lang w:val="es-ES" w:eastAsia="es-ES"/>
        </w:rPr>
      </w:pPr>
      <w:r w:rsidRPr="007D0D7E">
        <w:rPr>
          <w:rFonts w:ascii="Verdana" w:hAnsi="Verdana" w:eastAsia="Calibri" w:cs="Arial"/>
          <w:lang w:val="es-ES" w:eastAsia="es-ES"/>
        </w:rPr>
        <w:tab/>
      </w:r>
    </w:p>
    <w:p w:rsidRPr="007D0D7E" w:rsidR="007D0D7E" w:rsidP="007D0D7E" w:rsidRDefault="007D0D7E" w14:paraId="5E4D9715" w14:textId="77777777">
      <w:pPr>
        <w:spacing w:after="0" w:line="276" w:lineRule="auto"/>
        <w:jc w:val="both"/>
        <w:rPr>
          <w:rFonts w:ascii="Verdana" w:hAnsi="Verdana" w:eastAsia="Calibri" w:cs="Arial"/>
          <w:lang w:val="es-ES" w:eastAsia="es-ES"/>
        </w:rPr>
      </w:pPr>
      <w:r w:rsidRPr="007D0D7E">
        <w:rPr>
          <w:rFonts w:ascii="Verdana" w:hAnsi="Verdana" w:eastAsia="Calibri" w:cs="Arial"/>
          <w:lang w:val="es-ES" w:eastAsia="es-ES"/>
        </w:rPr>
        <w:t>En ejercicio de la competencia otorgada por los artículos 3, numeral 5º, y 11, numeral 8º, del Decreto Ley 4170 de 2011,</w:t>
      </w:r>
      <w:r w:rsidRPr="007D0D7E">
        <w:rPr>
          <w:rFonts w:ascii="Verdana" w:hAnsi="Verdana" w:eastAsia="Arial MT" w:cs="Arial MT"/>
          <w:lang w:val="es-ES" w:eastAsia="es-ES"/>
        </w:rPr>
        <w:t xml:space="preserve"> </w:t>
      </w:r>
      <w:r w:rsidRPr="007D0D7E">
        <w:rPr>
          <w:rFonts w:ascii="Verdana" w:hAnsi="Verdana" w:eastAsia="Calibri" w:cs="Arial"/>
        </w:rPr>
        <w:t xml:space="preserve">así como lo establecido en el artículo 4 de la Resolución 1707 de 2018 expedida por esta Entidad, </w:t>
      </w:r>
      <w:r w:rsidRPr="007D0D7E">
        <w:rPr>
          <w:rFonts w:ascii="Verdana" w:hAnsi="Verdana" w:eastAsia="Calibri" w:cs="Arial"/>
          <w:lang w:val="es-ES" w:eastAsia="es-ES"/>
        </w:rPr>
        <w:t>la Agencia Nacional de Contratación Pública – Colombia Compra Eficiente– responde su solicitud de consulta de fecha 19 de junio de 2024, en la que manifiesta lo siguiente:</w:t>
      </w:r>
    </w:p>
    <w:p w:rsidRPr="007D0D7E" w:rsidR="007D0D7E" w:rsidP="007D0D7E" w:rsidRDefault="007D0D7E" w14:paraId="61A9FBA9" w14:textId="77777777">
      <w:pPr>
        <w:tabs>
          <w:tab w:val="left" w:pos="142"/>
          <w:tab w:val="left" w:pos="284"/>
        </w:tabs>
        <w:spacing w:line="276" w:lineRule="auto"/>
        <w:contextualSpacing/>
        <w:jc w:val="both"/>
        <w:rPr>
          <w:rFonts w:ascii="Verdana" w:hAnsi="Verdana" w:eastAsia="Century Gothic" w:cs="Century Gothic"/>
          <w:b/>
          <w:bCs/>
          <w:lang w:val="es-ES"/>
        </w:rPr>
      </w:pPr>
    </w:p>
    <w:p w:rsidRPr="007D0D7E" w:rsidR="007D0D7E" w:rsidP="007D0D7E" w:rsidRDefault="007D0D7E" w14:paraId="5128745C" w14:textId="77777777">
      <w:pPr>
        <w:spacing w:after="0" w:line="240" w:lineRule="auto"/>
        <w:ind w:left="709" w:right="709"/>
        <w:jc w:val="both"/>
        <w:rPr>
          <w:rFonts w:ascii="Verdana" w:hAnsi="Verdana" w:eastAsia="Century Gothic" w:cs="Century Gothic"/>
          <w:sz w:val="20"/>
          <w:szCs w:val="20"/>
          <w:lang w:val="es-ES"/>
        </w:rPr>
      </w:pPr>
      <w:r w:rsidRPr="007D0D7E">
        <w:rPr>
          <w:rFonts w:ascii="Verdana" w:hAnsi="Verdana" w:eastAsia="Century Gothic" w:cs="Century Gothic"/>
          <w:sz w:val="20"/>
          <w:szCs w:val="20"/>
          <w:lang w:val="es-ES"/>
        </w:rPr>
        <w:t>“1.</w:t>
      </w:r>
      <w:r w:rsidRPr="007D0D7E">
        <w:rPr>
          <w:rFonts w:ascii="Aptos" w:hAnsi="Aptos" w:eastAsia="Aptos" w:cs="Times New Roman"/>
          <w:kern w:val="2"/>
          <w:sz w:val="24"/>
          <w:szCs w:val="24"/>
          <w:lang w:val="es-ES_tradnl"/>
          <w14:ligatures w14:val="standardContextual"/>
        </w:rPr>
        <w:t xml:space="preserve"> </w:t>
      </w:r>
      <w:r w:rsidRPr="007D0D7E">
        <w:rPr>
          <w:rFonts w:ascii="Verdana" w:hAnsi="Verdana" w:eastAsia="Century Gothic" w:cs="Century Gothic"/>
          <w:sz w:val="20"/>
          <w:szCs w:val="20"/>
          <w:lang w:val="es-ES"/>
        </w:rPr>
        <w:t xml:space="preserve">Primeramente podemos notar que en el inciso 4.3 de la matriz de experiencia de los documentos de procesos de agua y saneamiento básico, nos indica el porcentaje de dimensionamiento F% para una planta de tratamiento de agua potable (PTAP) está indicado en litros por segundo (LPS) lo que se entiende si la planta de tratamiento que se este contratando es de 10 lps esto se establecerá por el % es entonces donde nos nace la pregunta del cumplimiento de esta experiencia si tenemos que </w:t>
      </w:r>
      <w:r w:rsidRPr="007D0D7E">
        <w:rPr>
          <w:rFonts w:ascii="Verdana" w:hAnsi="Verdana" w:eastAsia="Century Gothic" w:cs="Century Gothic"/>
          <w:sz w:val="20"/>
          <w:szCs w:val="20"/>
          <w:lang w:val="es-ES"/>
        </w:rPr>
        <w:lastRenderedPageBreak/>
        <w:t xml:space="preserve">hemos ejecutado anteriormente un contrato que la capacidad de la ptap es de 10lps y es un contrato ejecutado en consorcio en el cual nuestra participación es del 50% ¿se debe tomar el total de los lps construido o se debe afectar por el porcentaje de participación?” </w:t>
      </w:r>
    </w:p>
    <w:p w:rsidRPr="007D0D7E" w:rsidR="007D0D7E" w:rsidP="007D0D7E" w:rsidRDefault="007D0D7E" w14:paraId="1804D1D4" w14:textId="77777777">
      <w:pPr>
        <w:spacing w:after="0" w:line="240" w:lineRule="auto"/>
        <w:ind w:right="709"/>
        <w:jc w:val="both"/>
        <w:rPr>
          <w:rFonts w:ascii="Verdana" w:hAnsi="Verdana" w:eastAsia="Century Gothic" w:cs="Century Gothic"/>
          <w:lang w:val="es-ES"/>
        </w:rPr>
      </w:pPr>
    </w:p>
    <w:p w:rsidRPr="007D0D7E" w:rsidR="007D0D7E" w:rsidP="007D0D7E" w:rsidRDefault="007D0D7E" w14:paraId="0BF274C8" w14:textId="77777777">
      <w:pPr>
        <w:spacing w:after="120" w:line="276" w:lineRule="auto"/>
        <w:ind w:firstLine="709"/>
        <w:jc w:val="both"/>
        <w:rPr>
          <w:rFonts w:ascii="Verdana" w:hAnsi="Verdana" w:eastAsia="Calibri" w:cs="Arial"/>
          <w:szCs w:val="24"/>
          <w:lang w:val="es-ES_tradnl" w:eastAsia="es-ES_tradnl"/>
        </w:rPr>
      </w:pPr>
      <w:r w:rsidRPr="007D0D7E">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D0D7E">
        <w:rPr>
          <w:rFonts w:ascii="Verdana" w:hAnsi="Verdana" w:eastAsia="Calibri" w:cs="Arial"/>
          <w:szCs w:val="24"/>
          <w:lang w:val="es-ES_tradnl" w:eastAsia="es-ES_tradnl"/>
        </w:rPr>
        <w:tab/>
      </w:r>
    </w:p>
    <w:p w:rsidRPr="007D0D7E" w:rsidR="007D0D7E" w:rsidP="007D0D7E" w:rsidRDefault="007D0D7E" w14:paraId="6F76CA0F" w14:textId="77777777">
      <w:pPr>
        <w:spacing w:after="0" w:line="276" w:lineRule="auto"/>
        <w:ind w:firstLine="709"/>
        <w:jc w:val="both"/>
        <w:rPr>
          <w:rFonts w:ascii="Verdana" w:hAnsi="Verdana" w:eastAsia="Calibri" w:cs="Arial"/>
          <w:lang w:val="es-ES" w:eastAsia="es-ES"/>
        </w:rPr>
      </w:pPr>
      <w:r w:rsidRPr="007D0D7E">
        <w:rPr>
          <w:rFonts w:ascii="Verdana" w:hAnsi="Verdana" w:eastAsia="Calibri"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7D0D7E" w:rsidR="007D0D7E" w:rsidP="007D0D7E" w:rsidRDefault="007D0D7E" w14:paraId="3B32A480" w14:textId="77777777">
      <w:pPr>
        <w:spacing w:after="0" w:line="276" w:lineRule="auto"/>
        <w:ind w:firstLine="709"/>
        <w:jc w:val="both"/>
        <w:rPr>
          <w:rFonts w:ascii="Verdana" w:hAnsi="Verdana" w:eastAsia="Calibri" w:cs="Arial"/>
          <w:lang w:val="es-ES" w:eastAsia="es-ES"/>
        </w:rPr>
      </w:pPr>
    </w:p>
    <w:p w:rsidRPr="007D0D7E" w:rsidR="007D0D7E" w:rsidP="007D0D7E" w:rsidRDefault="007D0D7E" w14:paraId="20DD9081" w14:textId="77777777">
      <w:pPr>
        <w:numPr>
          <w:ilvl w:val="0"/>
          <w:numId w:val="16"/>
        </w:numPr>
        <w:tabs>
          <w:tab w:val="left" w:pos="142"/>
          <w:tab w:val="left" w:pos="284"/>
        </w:tabs>
        <w:spacing w:after="0" w:line="276" w:lineRule="auto"/>
        <w:ind w:left="357" w:hanging="357"/>
        <w:contextualSpacing/>
        <w:jc w:val="both"/>
        <w:rPr>
          <w:rFonts w:ascii="Verdana" w:hAnsi="Verdana" w:eastAsia="Century Gothic" w:cs="Century Gothic"/>
          <w:b/>
          <w:bCs/>
          <w:lang w:val="es-ES"/>
        </w:rPr>
      </w:pPr>
      <w:r w:rsidRPr="007D0D7E">
        <w:rPr>
          <w:rFonts w:ascii="Verdana" w:hAnsi="Verdana" w:eastAsia="Century Gothic" w:cs="Century Gothic"/>
          <w:b/>
          <w:bCs/>
          <w:lang w:val="es-ES"/>
        </w:rPr>
        <w:t>Problema planteado:</w:t>
      </w:r>
    </w:p>
    <w:p w:rsidRPr="007D0D7E" w:rsidR="007D0D7E" w:rsidP="007D0D7E" w:rsidRDefault="007D0D7E" w14:paraId="6EFD5BB5" w14:textId="77777777">
      <w:pPr>
        <w:tabs>
          <w:tab w:val="left" w:pos="426"/>
        </w:tabs>
        <w:spacing w:after="0" w:line="276" w:lineRule="auto"/>
        <w:jc w:val="both"/>
        <w:rPr>
          <w:rFonts w:ascii="Verdana" w:hAnsi="Verdana" w:eastAsia="Century Gothic" w:cs="Century Gothic"/>
          <w:lang w:val="es-ES"/>
        </w:rPr>
      </w:pPr>
    </w:p>
    <w:p w:rsidRPr="007D0D7E" w:rsidR="007D0D7E" w:rsidP="007D0D7E" w:rsidRDefault="007D0D7E" w14:paraId="08B42D76" w14:textId="77777777">
      <w:pPr>
        <w:snapToGrid w:val="0"/>
        <w:spacing w:after="0" w:line="276" w:lineRule="auto"/>
        <w:jc w:val="both"/>
        <w:rPr>
          <w:rFonts w:ascii="Verdana" w:hAnsi="Verdana" w:eastAsia="Century Gothic" w:cs="Century Gothic"/>
        </w:rPr>
      </w:pPr>
      <w:r w:rsidRPr="007D0D7E">
        <w:rPr>
          <w:rFonts w:ascii="Verdana" w:hAnsi="Verdana" w:eastAsia="Century Gothic" w:cs="Century Gothic"/>
        </w:rPr>
        <w:t>De acuerdo con el contenido de su solicitud, esta Agencia resolverá el siguiente problema jurídico: tarándose de proyectos relacionados con Plantas de Tratamiento de Agua Potable –PTAP–, ¿cómo se acreditan los litros por segundo –lps– en el caso de proyectos ejecutados previamente por consorcios, en lo que respecta a la actividad 4.3 de la “Matriz 1 – Experiencia” de los documentos tipo de infraestructura de agua potable y saneamiento básico?</w:t>
      </w:r>
    </w:p>
    <w:p w:rsidRPr="007D0D7E" w:rsidR="007D0D7E" w:rsidP="007D0D7E" w:rsidRDefault="007D0D7E" w14:paraId="0340C157" w14:textId="77777777">
      <w:pPr>
        <w:snapToGrid w:val="0"/>
        <w:spacing w:after="0" w:line="276" w:lineRule="auto"/>
        <w:jc w:val="both"/>
        <w:rPr>
          <w:rFonts w:ascii="Verdana" w:hAnsi="Verdana" w:eastAsia="Calibri" w:cs="Arial"/>
          <w:lang w:val="es-ES"/>
        </w:rPr>
      </w:pPr>
    </w:p>
    <w:p w:rsidRPr="007D0D7E" w:rsidR="007D0D7E" w:rsidP="007D0D7E" w:rsidRDefault="007D0D7E" w14:paraId="6645E64B"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rPr>
      </w:pPr>
      <w:r w:rsidRPr="007D0D7E">
        <w:rPr>
          <w:rFonts w:ascii="Verdana" w:hAnsi="Verdana" w:eastAsia="Century Gothic" w:cs="Century Gothic"/>
          <w:b/>
          <w:bCs/>
          <w:lang w:val="es-ES"/>
        </w:rPr>
        <w:t>Respuesta:</w:t>
      </w:r>
    </w:p>
    <w:p w:rsidRPr="007D0D7E" w:rsidR="007D0D7E" w:rsidP="007D0D7E" w:rsidRDefault="007D0D7E" w14:paraId="22A0B43A" w14:textId="77777777">
      <w:pPr>
        <w:tabs>
          <w:tab w:val="left" w:pos="142"/>
          <w:tab w:val="left" w:pos="284"/>
        </w:tabs>
        <w:snapToGrid w:val="0"/>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7D0D7E" w:rsidR="007D0D7E" w:rsidTr="00F66055" w14:paraId="75150E71" w14:textId="77777777">
        <w:tc>
          <w:tcPr>
            <w:tcW w:w="8828" w:type="dxa"/>
            <w:shd w:val="clear" w:color="auto" w:fill="auto"/>
          </w:tcPr>
          <w:p w:rsidRPr="007D0D7E" w:rsidR="007D0D7E" w:rsidP="007D0D7E" w:rsidRDefault="007D0D7E" w14:paraId="0A2ECB8C" w14:textId="77777777">
            <w:pPr>
              <w:spacing w:line="276" w:lineRule="auto"/>
              <w:jc w:val="both"/>
              <w:rPr>
                <w:rFonts w:ascii="Verdana" w:hAnsi="Verdana" w:eastAsia="Aptos" w:cs="Times New Roman"/>
                <w:lang w:val="es-ES_tradnl"/>
              </w:rPr>
            </w:pPr>
            <w:r w:rsidRPr="007D0D7E">
              <w:rPr>
                <w:rFonts w:ascii="Verdana" w:hAnsi="Verdana" w:eastAsia="Aptos" w:cs="Times New Roman"/>
                <w:lang w:val="es-ES_tradnl"/>
              </w:rPr>
              <w:t xml:space="preserve">De conformidad con lo establecido en el literal “G” del numeral “3.5.3. CONSIDERACIONES PARA LA VALIDEZ DE LA EXPERIENCIA REQUERIDA” del documento base de los documentos tipo de infraestructura de agua potable y saneamiento básico, cuando el contrato que se pretende acreditar como </w:t>
            </w:r>
            <w:r w:rsidRPr="007D0D7E">
              <w:rPr>
                <w:rFonts w:ascii="Verdana" w:hAnsi="Verdana" w:eastAsia="Aptos" w:cs="Times New Roman"/>
                <w:lang w:val="es-ES_tradnl"/>
              </w:rPr>
              <w:lastRenderedPageBreak/>
              <w:t>experiencia haya sido ejecutado en consorcio, el “% de dimensionamiento (según la longitud o magnitud requerida en el proceso de contratación)” exigido en la Matriz 1 – Experiencia se afectará por el porcentaje de participación que tuvo el integrante o los integrantes. También, se establece que el “dimensionamiento” de este literal aplica a cualquier dimensión o magnitud requerida en el proceso de selección para acreditar la experiencia.</w:t>
            </w:r>
          </w:p>
          <w:p w:rsidRPr="007D0D7E" w:rsidR="007D0D7E" w:rsidP="007D0D7E" w:rsidRDefault="007D0D7E" w14:paraId="40436F5C" w14:textId="77777777">
            <w:pPr>
              <w:spacing w:line="276" w:lineRule="auto"/>
              <w:jc w:val="both"/>
              <w:rPr>
                <w:rFonts w:ascii="Verdana" w:hAnsi="Verdana" w:eastAsia="Aptos" w:cs="Times New Roman"/>
                <w:lang w:val="es-ES_tradnl"/>
              </w:rPr>
            </w:pPr>
            <w:r w:rsidRPr="007D0D7E">
              <w:rPr>
                <w:rFonts w:ascii="Verdana" w:hAnsi="Verdana" w:eastAsia="Aptos" w:cs="Times New Roman"/>
                <w:lang w:val="es-ES_tradnl"/>
              </w:rPr>
              <w:t xml:space="preserve">  </w:t>
            </w:r>
          </w:p>
          <w:p w:rsidRPr="007D0D7E" w:rsidR="007D0D7E" w:rsidP="007D0D7E" w:rsidRDefault="007D0D7E" w14:paraId="7613EA6B" w14:textId="77777777">
            <w:pPr>
              <w:spacing w:line="276" w:lineRule="auto"/>
              <w:jc w:val="both"/>
              <w:rPr>
                <w:rFonts w:ascii="Verdana" w:hAnsi="Verdana" w:eastAsia="Aptos" w:cs="Times New Roman"/>
                <w:lang w:val="es-ES_tradnl"/>
              </w:rPr>
            </w:pPr>
            <w:r w:rsidRPr="007D0D7E">
              <w:rPr>
                <w:rFonts w:ascii="Verdana" w:hAnsi="Verdana" w:eastAsia="Aptos" w:cs="Times New Roman"/>
                <w:lang w:val="es-ES_tradnl"/>
              </w:rPr>
              <w:t>Así, al aportarse experiencia que haya sido ejecutada en consorcio con una participación del 50%, esta será afectada por el porcentaje de participación que tuvo el o los integrantes, en el caso de consorcios.</w:t>
            </w:r>
          </w:p>
        </w:tc>
      </w:tr>
    </w:tbl>
    <w:p w:rsidRPr="007D0D7E" w:rsidR="007D0D7E" w:rsidP="007D0D7E" w:rsidRDefault="007D0D7E" w14:paraId="43D803C1" w14:textId="77777777">
      <w:pPr>
        <w:tabs>
          <w:tab w:val="left" w:pos="142"/>
          <w:tab w:val="left" w:pos="284"/>
        </w:tabs>
        <w:snapToGrid w:val="0"/>
        <w:spacing w:after="0" w:line="276" w:lineRule="auto"/>
        <w:jc w:val="both"/>
        <w:rPr>
          <w:rFonts w:ascii="Verdana" w:hAnsi="Verdana" w:eastAsia="Century Gothic" w:cs="Century Gothic"/>
          <w:b/>
          <w:bCs/>
          <w:lang w:val="es-ES"/>
        </w:rPr>
      </w:pPr>
    </w:p>
    <w:p w:rsidRPr="007D0D7E" w:rsidR="007D0D7E" w:rsidP="007D0D7E" w:rsidRDefault="007D0D7E" w14:paraId="5114E2F2"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rPr>
      </w:pPr>
      <w:r w:rsidRPr="007D0D7E">
        <w:rPr>
          <w:rFonts w:ascii="Verdana" w:hAnsi="Verdana" w:eastAsia="Century Gothic" w:cs="Century Gothic"/>
          <w:b/>
          <w:bCs/>
          <w:lang w:val="es-ES"/>
        </w:rPr>
        <w:t>Razones de la respuesta:</w:t>
      </w:r>
    </w:p>
    <w:p w:rsidRPr="007D0D7E" w:rsidR="007D0D7E" w:rsidP="007D0D7E" w:rsidRDefault="007D0D7E" w14:paraId="295343F8" w14:textId="77777777">
      <w:pPr>
        <w:tabs>
          <w:tab w:val="left" w:pos="142"/>
          <w:tab w:val="left" w:pos="284"/>
        </w:tabs>
        <w:snapToGrid w:val="0"/>
        <w:spacing w:after="0" w:line="276" w:lineRule="auto"/>
        <w:ind w:left="357"/>
        <w:jc w:val="both"/>
        <w:rPr>
          <w:rFonts w:ascii="Verdana" w:hAnsi="Verdana" w:eastAsia="Century Gothic" w:cs="Century Gothic"/>
          <w:b/>
          <w:bCs/>
          <w:lang w:val="es-ES"/>
        </w:rPr>
      </w:pPr>
    </w:p>
    <w:p w:rsidRPr="007D0D7E" w:rsidR="007D0D7E" w:rsidP="007D0D7E" w:rsidRDefault="007D0D7E" w14:paraId="7A6343B4" w14:textId="77777777">
      <w:pPr>
        <w:snapToGrid w:val="0"/>
        <w:spacing w:after="0" w:line="276" w:lineRule="auto"/>
        <w:jc w:val="both"/>
        <w:rPr>
          <w:rFonts w:ascii="Verdana" w:hAnsi="Verdana" w:eastAsia="Calibri" w:cs="Arial"/>
          <w:lang w:val="es-ES"/>
        </w:rPr>
      </w:pPr>
      <w:r w:rsidRPr="007D0D7E">
        <w:rPr>
          <w:rFonts w:ascii="Verdana" w:hAnsi="Verdana" w:eastAsia="Calibri" w:cs="Arial"/>
          <w:lang w:val="es-ES"/>
        </w:rPr>
        <w:t>Lo anterior se sustenta en las siguientes consideraciones:</w:t>
      </w:r>
    </w:p>
    <w:p w:rsidRPr="007D0D7E" w:rsidR="007D0D7E" w:rsidP="007D0D7E" w:rsidRDefault="007D0D7E" w14:paraId="4D293C96" w14:textId="77777777">
      <w:pPr>
        <w:snapToGrid w:val="0"/>
        <w:spacing w:after="0" w:line="276" w:lineRule="auto"/>
        <w:jc w:val="both"/>
        <w:rPr>
          <w:rFonts w:ascii="Verdana" w:hAnsi="Verdana" w:eastAsia="Calibri" w:cs="Arial"/>
          <w:lang w:val="es-ES"/>
        </w:rPr>
      </w:pPr>
      <w:r w:rsidRPr="007D0D7E">
        <w:rPr>
          <w:rFonts w:ascii="Verdana" w:hAnsi="Verdana" w:eastAsia="Calibri" w:cs="Arial"/>
          <w:lang w:val="es-ES"/>
        </w:rPr>
        <w:t xml:space="preserve"> </w:t>
      </w:r>
    </w:p>
    <w:p w:rsidRPr="007D0D7E" w:rsidR="007D0D7E" w:rsidP="06F28A15" w:rsidRDefault="007D0D7E" w14:paraId="42062B6C" w14:textId="77777777">
      <w:pPr>
        <w:numPr>
          <w:ilvl w:val="0"/>
          <w:numId w:val="18"/>
        </w:numPr>
        <w:spacing w:after="0" w:line="276" w:lineRule="auto"/>
        <w:contextualSpacing/>
        <w:jc w:val="both"/>
        <w:rPr>
          <w:rFonts w:ascii="Verdana" w:hAnsi="Verdana" w:eastAsia="Aptos" w:cs="Times New Roman"/>
          <w:kern w:val="2"/>
          <w:lang w:val="es-ES"/>
          <w14:ligatures w14:val="standardContextual"/>
        </w:rPr>
      </w:pPr>
      <w:r w:rsidRPr="06F28A15" w:rsidR="007D0D7E">
        <w:rPr>
          <w:rFonts w:ascii="Verdana" w:hAnsi="Verdana" w:eastAsia="Aptos" w:cs="Times New Roman"/>
          <w:kern w:val="2"/>
          <w:lang w:val="es-ES"/>
          <w14:ligatures w14:val="standardContextual"/>
        </w:rPr>
        <w:t>El artículo 1 de la Ley 2022 de 2020 otorgó a la Agencia Nacional de Contratación Pública – Colombia Compra Eficiente la competencia para adoptar los documentos tipo. Asimismo, reiteró la obligatoriedad de su uso por parte de todas las entidades estatales sometidas al Estatuto General de Contratación de la Administración Pública ‒EGCAP‒. Esto implica que las autoridades deben implementar los documentos tipo que tengan por objeto las actividades contempladas en la “Matriz 1 ‒ Experiencia”. Además, estos documentos son inalterables, lo cual significa que no pueden ser modificados, salvo aquellos aspectos entre corchetes y resaltados en gris o cuya modificación sea permitida por los mismos documentos tipo, de acuerdo con las indicaciones que allí mismo se establezcan.</w:t>
      </w:r>
    </w:p>
    <w:p w:rsidRPr="007D0D7E" w:rsidR="007D0D7E" w:rsidP="007D0D7E" w:rsidRDefault="007D0D7E" w14:paraId="01BC9B6A" w14:textId="77777777">
      <w:pPr>
        <w:spacing w:after="0" w:line="276" w:lineRule="auto"/>
        <w:ind w:left="720"/>
        <w:contextualSpacing/>
        <w:jc w:val="both"/>
        <w:rPr>
          <w:rFonts w:ascii="Verdana" w:hAnsi="Verdana" w:eastAsia="Aptos" w:cs="Times New Roman"/>
          <w:kern w:val="2"/>
          <w:lang w:val="es-ES_tradnl"/>
          <w14:ligatures w14:val="standardContextual"/>
        </w:rPr>
      </w:pPr>
    </w:p>
    <w:p w:rsidRPr="007D0D7E" w:rsidR="007D0D7E" w:rsidP="007D0D7E" w:rsidRDefault="007D0D7E" w14:paraId="3BA2E86E" w14:textId="77777777">
      <w:pPr>
        <w:numPr>
          <w:ilvl w:val="0"/>
          <w:numId w:val="18"/>
        </w:numPr>
        <w:spacing w:after="0" w:line="276" w:lineRule="auto"/>
        <w:contextualSpacing/>
        <w:jc w:val="both"/>
        <w:rPr>
          <w:rFonts w:ascii="Verdana" w:hAnsi="Verdana" w:eastAsia="Aptos" w:cs="Times New Roman"/>
          <w:kern w:val="2"/>
          <w:lang w:val="es-ES_tradnl"/>
          <w14:ligatures w14:val="standardContextual"/>
        </w:rPr>
      </w:pPr>
      <w:r w:rsidRPr="007D0D7E">
        <w:rPr>
          <w:rFonts w:ascii="Verdana" w:hAnsi="Verdana" w:eastAsia="Aptos" w:cs="Times New Roman"/>
          <w:kern w:val="2"/>
          <w:lang w:val="es-ES_tradnl"/>
          <w14:ligatures w14:val="standardContextual"/>
        </w:rPr>
        <w:t>En desarrollo del artículo 1 de la Ley 2022 de 2020, esta Agencia expidió las Resoluciones 248 y 249 del 1 de diciembre de 2020, modificadas por las Resoluciones 161 del 17 de junio de 2021, 173 del 30 de junio de 2021, 304 del 13 de octubre de 2021 y 275 del 24 de junio de 2022.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w:t>
      </w:r>
    </w:p>
    <w:p w:rsidRPr="007D0D7E" w:rsidR="007D0D7E" w:rsidP="007D0D7E" w:rsidRDefault="007D0D7E" w14:paraId="73BBA345" w14:textId="77777777">
      <w:pPr>
        <w:spacing w:after="0" w:line="276" w:lineRule="auto"/>
        <w:jc w:val="both"/>
        <w:rPr>
          <w:rFonts w:ascii="Verdana" w:hAnsi="Verdana" w:eastAsia="Aptos" w:cs="Times New Roman"/>
          <w:kern w:val="2"/>
          <w:lang w:val="es-ES_tradnl"/>
          <w14:ligatures w14:val="standardContextual"/>
        </w:rPr>
      </w:pPr>
    </w:p>
    <w:p w:rsidRPr="007D0D7E" w:rsidR="007D0D7E" w:rsidP="007D0D7E" w:rsidRDefault="007D0D7E" w14:paraId="007380B6" w14:textId="77777777">
      <w:pPr>
        <w:numPr>
          <w:ilvl w:val="0"/>
          <w:numId w:val="18"/>
        </w:numPr>
        <w:spacing w:after="0" w:line="276" w:lineRule="auto"/>
        <w:contextualSpacing/>
        <w:jc w:val="both"/>
        <w:rPr>
          <w:rFonts w:ascii="Verdana" w:hAnsi="Verdana" w:eastAsia="Aptos" w:cs="Times New Roman"/>
          <w:kern w:val="2"/>
          <w:lang w:val="es-ES_tradnl"/>
          <w14:ligatures w14:val="standardContextual"/>
        </w:rPr>
      </w:pPr>
      <w:r w:rsidRPr="007D0D7E">
        <w:rPr>
          <w:rFonts w:ascii="Verdana" w:hAnsi="Verdana" w:eastAsia="Aptos" w:cs="Times New Roman"/>
          <w:kern w:val="2"/>
          <w:lang w:val="es-ES_tradnl"/>
          <w14:ligatures w14:val="standardContextual"/>
        </w:rPr>
        <w:lastRenderedPageBreak/>
        <w:t xml:space="preserve">Para la determinación de los requisitos mínimos de experiencia según la “Matriz 1 – Experiencia”, el numeral 3.5.1 del documento base de las resoluciones citadas prescribe que la entidad debe indicar la forma de análisis y establecimiento de las condiciones de experiencia, tanto general como específica. Además, deberá indicar el número de la actividad a contratar, y transcribir textualmente lo señalado en la “Matriz 1 – Experiencia”. </w:t>
      </w:r>
    </w:p>
    <w:p w:rsidRPr="007D0D7E" w:rsidR="007D0D7E" w:rsidP="007D0D7E" w:rsidRDefault="007D0D7E" w14:paraId="6A1D764B" w14:textId="77777777">
      <w:pPr>
        <w:spacing w:after="0" w:line="276" w:lineRule="auto"/>
        <w:ind w:left="720"/>
        <w:contextualSpacing/>
        <w:jc w:val="both"/>
        <w:rPr>
          <w:rFonts w:ascii="Verdana" w:hAnsi="Verdana" w:eastAsia="Aptos" w:cs="Times New Roman"/>
          <w:kern w:val="2"/>
          <w:lang w:val="es-ES_tradnl"/>
          <w14:ligatures w14:val="standardContextual"/>
        </w:rPr>
      </w:pPr>
    </w:p>
    <w:p w:rsidRPr="007D0D7E" w:rsidR="007D0D7E" w:rsidP="06F28A15" w:rsidRDefault="007D0D7E" w14:paraId="07501396" w14:textId="77777777">
      <w:pPr>
        <w:numPr>
          <w:ilvl w:val="0"/>
          <w:numId w:val="18"/>
        </w:numPr>
        <w:spacing w:after="0" w:line="276" w:lineRule="auto"/>
        <w:contextualSpacing/>
        <w:jc w:val="both"/>
        <w:rPr>
          <w:rFonts w:ascii="Verdana" w:hAnsi="Verdana" w:eastAsia="Aptos" w:cs="Times New Roman"/>
          <w:kern w:val="2"/>
          <w:lang w:val="es-ES"/>
          <w14:ligatures w14:val="standardContextual"/>
        </w:rPr>
      </w:pPr>
      <w:r w:rsidRPr="06F28A15" w:rsidR="007D0D7E">
        <w:rPr>
          <w:rFonts w:ascii="Verdana" w:hAnsi="Verdana" w:eastAsia="Aptos" w:cs="Times New Roman"/>
          <w:kern w:val="2"/>
          <w:lang w:val="es-ES"/>
          <w14:ligatures w14:val="standardContextual"/>
        </w:rPr>
        <w:t>Esta experiencia, conforme al numeral 3.5 del documento base, se acredita a través de: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w:t>
      </w:r>
    </w:p>
    <w:p w:rsidRPr="007D0D7E" w:rsidR="007D0D7E" w:rsidP="007D0D7E" w:rsidRDefault="007D0D7E" w14:paraId="260C157F" w14:textId="77777777">
      <w:pPr>
        <w:spacing w:after="0" w:line="276" w:lineRule="auto"/>
        <w:jc w:val="both"/>
        <w:rPr>
          <w:rFonts w:ascii="Verdana" w:hAnsi="Verdana" w:eastAsia="Aptos" w:cs="Times New Roman"/>
          <w:kern w:val="2"/>
          <w:lang w:val="es-ES_tradnl"/>
          <w14:ligatures w14:val="standardContextual"/>
        </w:rPr>
      </w:pPr>
    </w:p>
    <w:p w:rsidRPr="007D0D7E" w:rsidR="007D0D7E" w:rsidP="007D0D7E" w:rsidRDefault="007D0D7E" w14:paraId="38A15EDC" w14:textId="77777777">
      <w:pPr>
        <w:numPr>
          <w:ilvl w:val="0"/>
          <w:numId w:val="18"/>
        </w:numPr>
        <w:spacing w:after="0" w:line="276" w:lineRule="auto"/>
        <w:contextualSpacing/>
        <w:jc w:val="both"/>
        <w:rPr>
          <w:rFonts w:ascii="Verdana" w:hAnsi="Verdana" w:eastAsia="Aptos" w:cs="Times New Roman"/>
          <w:kern w:val="2"/>
          <w:lang w:val="es-ES_tradnl"/>
          <w14:ligatures w14:val="standardContextual"/>
        </w:rPr>
      </w:pPr>
      <w:r w:rsidRPr="007D0D7E">
        <w:rPr>
          <w:rFonts w:ascii="Verdana" w:hAnsi="Verdana" w:eastAsia="Aptos" w:cs="Times New Roman"/>
          <w:kern w:val="2"/>
          <w:lang w:val="es-ES_tradnl"/>
          <w14:ligatures w14:val="standardContextual"/>
        </w:rPr>
        <w:t xml:space="preserve">De acuerdo con las condiciones fijadas en los documentos base, la acreditación del requisito habilitante de experiencia se aborda desde distintos criterios. </w:t>
      </w:r>
      <w:r w:rsidRPr="007D0D7E">
        <w:rPr>
          <w:rFonts w:ascii="Verdana" w:hAnsi="Verdana" w:eastAsia="Aptos" w:cs="Times New Roman"/>
          <w:i/>
          <w:iCs/>
          <w:kern w:val="2"/>
          <w:lang w:val="es-ES_tradnl"/>
          <w14:ligatures w14:val="standardContextual"/>
        </w:rPr>
        <w:t>En primer lugar,</w:t>
      </w:r>
      <w:r w:rsidRPr="007D0D7E">
        <w:rPr>
          <w:rFonts w:ascii="Verdana" w:hAnsi="Verdana" w:eastAsia="Aptos" w:cs="Times New Roman"/>
          <w:kern w:val="2"/>
          <w:lang w:val="es-ES_tradnl"/>
          <w14:ligatures w14:val="standardContextual"/>
        </w:rPr>
        <w:t xml:space="preserve">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w:t>
      </w:r>
    </w:p>
    <w:p w:rsidRPr="007D0D7E" w:rsidR="007D0D7E" w:rsidP="007D0D7E" w:rsidRDefault="007D0D7E" w14:paraId="21C100D4" w14:textId="77777777">
      <w:pPr>
        <w:spacing w:after="0" w:line="276" w:lineRule="auto"/>
        <w:jc w:val="both"/>
        <w:rPr>
          <w:rFonts w:ascii="Verdana" w:hAnsi="Verdana" w:eastAsia="Aptos" w:cs="Times New Roman"/>
          <w:kern w:val="2"/>
          <w:lang w:val="es-ES_tradnl"/>
          <w14:ligatures w14:val="standardContextual"/>
        </w:rPr>
      </w:pPr>
    </w:p>
    <w:p w:rsidRPr="007D0D7E" w:rsidR="007D0D7E" w:rsidP="06F28A15" w:rsidRDefault="007D0D7E" w14:paraId="044995DE" w14:textId="77777777">
      <w:pPr>
        <w:numPr>
          <w:ilvl w:val="0"/>
          <w:numId w:val="18"/>
        </w:numPr>
        <w:spacing w:after="0" w:line="276" w:lineRule="auto"/>
        <w:contextualSpacing/>
        <w:jc w:val="both"/>
        <w:rPr>
          <w:rFonts w:ascii="Verdana" w:hAnsi="Verdana" w:eastAsia="Aptos" w:cs="Times New Roman"/>
          <w:kern w:val="2"/>
          <w:lang w:val="es-ES"/>
          <w14:ligatures w14:val="standardContextual"/>
        </w:rPr>
      </w:pPr>
      <w:r w:rsidRPr="06F28A15" w:rsidR="007D0D7E">
        <w:rPr>
          <w:rFonts w:ascii="Verdana" w:hAnsi="Verdana" w:eastAsia="Aptos" w:cs="Times New Roman"/>
          <w:i w:val="1"/>
          <w:iCs w:val="1"/>
          <w:kern w:val="2"/>
          <w:lang w:val="es-ES"/>
          <w14:ligatures w14:val="standardContextual"/>
        </w:rPr>
        <w:t>En segundo lugar,</w:t>
      </w:r>
      <w:r w:rsidRPr="06F28A15" w:rsidR="007D0D7E">
        <w:rPr>
          <w:rFonts w:ascii="Verdana" w:hAnsi="Verdana" w:eastAsia="Aptos" w:cs="Times New Roman"/>
          <w:kern w:val="2"/>
          <w:lang w:val="es-ES"/>
          <w14:ligatures w14:val="standardContextual"/>
        </w:rPr>
        <w:t xml:space="preserve"> sin perjuicio de las modificaciones realizadas por la Resolución 275 del 24 de junio de 2022 sobre los incentivos para </w:t>
      </w:r>
      <w:r w:rsidRPr="06F28A15" w:rsidR="007D0D7E">
        <w:rPr>
          <w:rFonts w:ascii="Verdana" w:hAnsi="Verdana" w:eastAsia="Aptos" w:cs="Times New Roman"/>
          <w:kern w:val="2"/>
          <w:lang w:val="es-ES"/>
          <w14:ligatures w14:val="standardContextual"/>
        </w:rPr>
        <w:t xml:space="preserve">Mipymes</w:t>
      </w:r>
      <w:r w:rsidRPr="06F28A15" w:rsidR="007D0D7E">
        <w:rPr>
          <w:rFonts w:ascii="Verdana" w:hAnsi="Verdana" w:eastAsia="Aptos" w:cs="Times New Roman"/>
          <w:kern w:val="2"/>
          <w:lang w:val="es-ES"/>
          <w14:ligatures w14:val="standardContextual"/>
        </w:rPr>
        <w:t xml:space="preserve"> y empresas y emprendimientos de mujeres, los proponentes deben acreditar el cumplimiento de las condiciones fijadas con mínimo uno (1) y máximo cinco (5) contratos, que debieron terminar antes de la fecha de cierre del proceso de contratación. </w:t>
      </w:r>
    </w:p>
    <w:p w:rsidRPr="007D0D7E" w:rsidR="007D0D7E" w:rsidP="007D0D7E" w:rsidRDefault="007D0D7E" w14:paraId="160718C1" w14:textId="77777777">
      <w:pPr>
        <w:spacing w:after="0" w:line="276" w:lineRule="auto"/>
        <w:jc w:val="both"/>
        <w:rPr>
          <w:rFonts w:ascii="Verdana" w:hAnsi="Verdana" w:eastAsia="Aptos" w:cs="Times New Roman"/>
          <w:kern w:val="2"/>
          <w:lang w:val="es-ES_tradnl"/>
          <w14:ligatures w14:val="standardContextual"/>
        </w:rPr>
      </w:pPr>
    </w:p>
    <w:p w:rsidRPr="007D0D7E" w:rsidR="007D0D7E" w:rsidP="007D0D7E" w:rsidRDefault="007D0D7E" w14:paraId="294D52F2" w14:textId="77777777">
      <w:pPr>
        <w:numPr>
          <w:ilvl w:val="0"/>
          <w:numId w:val="18"/>
        </w:numPr>
        <w:spacing w:after="0" w:line="276" w:lineRule="auto"/>
        <w:contextualSpacing/>
        <w:jc w:val="both"/>
        <w:rPr>
          <w:rFonts w:ascii="Verdana" w:hAnsi="Verdana" w:eastAsia="Aptos" w:cs="Times New Roman"/>
          <w:kern w:val="2"/>
          <w:lang w:val="es-ES_tradnl"/>
          <w14:ligatures w14:val="standardContextual"/>
        </w:rPr>
      </w:pPr>
      <w:r w:rsidRPr="007D0D7E">
        <w:rPr>
          <w:rFonts w:ascii="Verdana" w:hAnsi="Verdana" w:eastAsia="Aptos" w:cs="Times New Roman"/>
          <w:i/>
          <w:iCs/>
          <w:kern w:val="2"/>
          <w:lang w:val="es-ES_tradnl"/>
          <w14:ligatures w14:val="standardContextual"/>
        </w:rPr>
        <w:t>Por último,</w:t>
      </w:r>
      <w:r w:rsidRPr="007D0D7E">
        <w:rPr>
          <w:rFonts w:ascii="Verdana" w:hAnsi="Verdana" w:eastAsia="Aptos" w:cs="Times New Roman"/>
          <w:kern w:val="2"/>
          <w:lang w:val="es-ES_tradnl"/>
          <w14:ligatures w14:val="standardContextual"/>
        </w:rPr>
        <w:t xml:space="preserve">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p>
    <w:p w:rsidRPr="007D0D7E" w:rsidR="007D0D7E" w:rsidP="007D0D7E" w:rsidRDefault="007D0D7E" w14:paraId="1673D58C" w14:textId="77777777">
      <w:pPr>
        <w:spacing w:after="0" w:line="276" w:lineRule="auto"/>
        <w:jc w:val="both"/>
        <w:rPr>
          <w:rFonts w:ascii="Verdana" w:hAnsi="Verdana" w:eastAsia="Aptos" w:cs="Times New Roman"/>
          <w:kern w:val="2"/>
          <w:lang w:val="es-ES_tradnl"/>
          <w14:ligatures w14:val="standardContextual"/>
        </w:rPr>
      </w:pPr>
    </w:p>
    <w:p w:rsidRPr="007D0D7E" w:rsidR="007D0D7E" w:rsidP="06F28A15" w:rsidRDefault="007D0D7E" w14:paraId="74D42835" w14:textId="77777777">
      <w:pPr>
        <w:numPr>
          <w:ilvl w:val="0"/>
          <w:numId w:val="18"/>
        </w:numPr>
        <w:spacing w:after="0" w:line="276" w:lineRule="auto"/>
        <w:contextualSpacing/>
        <w:jc w:val="both"/>
        <w:rPr>
          <w:rFonts w:ascii="Verdana" w:hAnsi="Verdana" w:eastAsia="Aptos" w:cs="Times New Roman"/>
          <w:kern w:val="2"/>
          <w:lang w:val="es-ES"/>
          <w14:ligatures w14:val="standardContextual"/>
        </w:rPr>
      </w:pPr>
      <w:r w:rsidRPr="06F28A15" w:rsidR="007D0D7E">
        <w:rPr>
          <w:rFonts w:ascii="Verdana" w:hAnsi="Verdana" w:eastAsia="Aptos" w:cs="Times New Roman"/>
          <w:kern w:val="2"/>
          <w:lang w:val="es-ES"/>
          <w14:ligatures w14:val="standardContextual"/>
        </w:rPr>
        <w:t xml:space="preserve">Para fijar las condiciones que deben cumplir los contratos aportados, en términos de actividades ejecutadas, las entidades deben emplear la “Matriz 1 – Experiencia”. Este documento estandariza las condiciones de experiencia general y/o específica que deben requerir las entidades estatales a los proponentes para acreditar el requisito habilitante de experiencia, de acuerdo con: i) el tipo de obra de infraestructura de agua potable y saneamiento básico; </w:t>
      </w:r>
      <w:r w:rsidRPr="06F28A15" w:rsidR="007D0D7E">
        <w:rPr>
          <w:rFonts w:ascii="Verdana" w:hAnsi="Verdana" w:eastAsia="Aptos" w:cs="Times New Roman"/>
          <w:kern w:val="2"/>
          <w:lang w:val="es-ES"/>
          <w14:ligatures w14:val="standardContextual"/>
        </w:rPr>
        <w:t>ii</w:t>
      </w:r>
      <w:r w:rsidRPr="06F28A15" w:rsidR="007D0D7E">
        <w:rPr>
          <w:rFonts w:ascii="Verdana" w:hAnsi="Verdana" w:eastAsia="Aptos" w:cs="Times New Roman"/>
          <w:kern w:val="2"/>
          <w:lang w:val="es-ES"/>
          <w14:ligatures w14:val="standardContextual"/>
        </w:rPr>
        <w:t xml:space="preserve">) la actividad a contratar, y </w:t>
      </w:r>
      <w:r w:rsidRPr="06F28A15" w:rsidR="007D0D7E">
        <w:rPr>
          <w:rFonts w:ascii="Verdana" w:hAnsi="Verdana" w:eastAsia="Aptos" w:cs="Times New Roman"/>
          <w:kern w:val="2"/>
          <w:lang w:val="es-ES"/>
          <w14:ligatures w14:val="standardContextual"/>
        </w:rPr>
        <w:t>iii</w:t>
      </w:r>
      <w:r w:rsidRPr="06F28A15" w:rsidR="007D0D7E">
        <w:rPr>
          <w:rFonts w:ascii="Verdana" w:hAnsi="Verdana" w:eastAsia="Aptos" w:cs="Times New Roman"/>
          <w:kern w:val="2"/>
          <w:lang w:val="es-ES"/>
          <w14:ligatures w14:val="standardContextual"/>
        </w:rPr>
        <w:lastRenderedPageBreak/>
        <w:t>) la cuantía del proceso de contratación.</w:t>
      </w:r>
    </w:p>
    <w:p w:rsidRPr="007D0D7E" w:rsidR="007D0D7E" w:rsidP="007D0D7E" w:rsidRDefault="007D0D7E" w14:paraId="0A177CFB" w14:textId="77777777">
      <w:pPr>
        <w:spacing w:after="0" w:line="276" w:lineRule="auto"/>
        <w:jc w:val="both"/>
        <w:rPr>
          <w:rFonts w:ascii="Verdana" w:hAnsi="Verdana" w:eastAsia="Aptos" w:cs="Times New Roman"/>
          <w:kern w:val="2"/>
          <w:lang w:val="es-ES_tradnl"/>
          <w14:ligatures w14:val="standardContextual"/>
        </w:rPr>
      </w:pPr>
    </w:p>
    <w:p w:rsidRPr="007D0D7E" w:rsidR="007D0D7E" w:rsidP="06F28A15" w:rsidRDefault="007D0D7E" w14:paraId="4222693F" w14:textId="77777777">
      <w:pPr>
        <w:numPr>
          <w:ilvl w:val="0"/>
          <w:numId w:val="18"/>
        </w:numPr>
        <w:spacing w:after="0" w:line="276" w:lineRule="auto"/>
        <w:contextualSpacing/>
        <w:jc w:val="both"/>
        <w:rPr>
          <w:rFonts w:ascii="Verdana" w:hAnsi="Verdana" w:eastAsia="Aptos" w:cs="Times New Roman"/>
          <w:kern w:val="2"/>
          <w:lang w:val="es-ES"/>
          <w14:ligatures w14:val="standardContextual"/>
        </w:rPr>
      </w:pPr>
      <w:r w:rsidRPr="06F28A15" w:rsidR="007D0D7E">
        <w:rPr>
          <w:rFonts w:ascii="Verdana" w:hAnsi="Verdana" w:eastAsia="Aptos" w:cs="Times New Roman"/>
          <w:kern w:val="2"/>
          <w:lang w:val="es-ES"/>
          <w14:ligatures w14:val="standardContextual"/>
        </w:rPr>
        <w:t xml:space="preserve">Concretamente, la actividad a contratar 4.3 que hace parte integral de la “Matriz 1 – Experiencia” del sector de agua potable y saneamiento básico, contempla los </w:t>
      </w:r>
      <w:r w:rsidRPr="06F28A15" w:rsidR="007D0D7E">
        <w:rPr>
          <w:rFonts w:ascii="Verdana" w:hAnsi="Verdana" w:eastAsia="Aptos" w:cs="Times New Roman"/>
          <w:i w:val="1"/>
          <w:iCs w:val="1"/>
          <w:kern w:val="2"/>
          <w:lang w:val="es-ES"/>
          <w14:ligatures w14:val="standardContextual"/>
        </w:rPr>
        <w:t>proyectos de optimización y/o mejoramiento y/o adecuación y/o reforzamiento y/o rehabilitación y/o mantenimiento de PTAP y/u obras complementarias.</w:t>
      </w:r>
      <w:r w:rsidRPr="06F28A15" w:rsidR="007D0D7E">
        <w:rPr>
          <w:rFonts w:ascii="Verdana" w:hAnsi="Verdana" w:eastAsia="Aptos" w:cs="Times New Roman"/>
          <w:kern w:val="2"/>
          <w:lang w:val="es-ES"/>
          <w14:ligatures w14:val="standardContextual"/>
        </w:rPr>
        <w:t xml:space="preserve"> Para esta actividad se determina como </w:t>
      </w:r>
      <w:r w:rsidRPr="06F28A15" w:rsidR="007D0D7E">
        <w:rPr>
          <w:rFonts w:ascii="Verdana" w:hAnsi="Verdana" w:eastAsia="Aptos" w:cs="Times New Roman"/>
          <w:i w:val="1"/>
          <w:iCs w:val="1"/>
          <w:kern w:val="2"/>
          <w:lang w:val="es-ES"/>
          <w14:ligatures w14:val="standardContextual"/>
        </w:rPr>
        <w:t>experiencia general</w:t>
      </w:r>
      <w:r w:rsidRPr="06F28A15" w:rsidR="007D0D7E">
        <w:rPr>
          <w:rFonts w:ascii="Verdana" w:hAnsi="Verdana" w:eastAsia="Aptos" w:cs="Times New Roman"/>
          <w:kern w:val="2"/>
          <w:lang w:val="es-ES"/>
          <w14:ligatures w14:val="standardContextual"/>
        </w:rPr>
        <w:t xml:space="preserve"> acreditar proyectos que correspondan o hayan contenido actividades de: </w:t>
      </w:r>
      <w:r w:rsidRPr="06F28A15" w:rsidR="007D0D7E">
        <w:rPr>
          <w:rFonts w:ascii="Verdana" w:hAnsi="Verdana" w:eastAsia="Aptos" w:cs="Times New Roman"/>
          <w:i w:val="1"/>
          <w:iCs w:val="1"/>
          <w:kern w:val="2"/>
          <w:lang w:val="es-ES"/>
          <w14:ligatures w14:val="standardContextual"/>
        </w:rPr>
        <w:t>construcción y/o mejoramiento y/o reforzamiento y/o ampliación y/o adecuación y/o rehabilitación y/o mantenimiento de: sistemas de acueductos y/o PTAP y/o sistemas de tratamiento de agua;</w:t>
      </w:r>
      <w:r w:rsidRPr="06F28A15" w:rsidR="007D0D7E">
        <w:rPr>
          <w:rFonts w:ascii="Verdana" w:hAnsi="Verdana" w:eastAsia="Aptos" w:cs="Times New Roman"/>
          <w:kern w:val="2"/>
          <w:lang w:val="es-ES"/>
          <w14:ligatures w14:val="standardContextual"/>
        </w:rPr>
        <w:t xml:space="preserve"> y para la </w:t>
      </w:r>
      <w:r w:rsidRPr="06F28A15" w:rsidR="007D0D7E">
        <w:rPr>
          <w:rFonts w:ascii="Verdana" w:hAnsi="Verdana" w:eastAsia="Aptos" w:cs="Times New Roman"/>
          <w:i w:val="1"/>
          <w:iCs w:val="1"/>
          <w:kern w:val="2"/>
          <w:lang w:val="es-ES"/>
          <w14:ligatures w14:val="standardContextual"/>
        </w:rPr>
        <w:t>experiencia específica</w:t>
      </w:r>
      <w:r w:rsidRPr="06F28A15" w:rsidR="007D0D7E">
        <w:rPr>
          <w:rFonts w:ascii="Verdana" w:hAnsi="Verdana" w:eastAsia="Aptos" w:cs="Times New Roman"/>
          <w:kern w:val="2"/>
          <w:lang w:val="es-ES"/>
          <w14:ligatures w14:val="standardContextual"/>
        </w:rPr>
        <w:t xml:space="preserve"> obligatoria se establece que por lo menos uno (1) de los contratos válidos aportados como experiencia general debe contener la: </w:t>
      </w:r>
      <w:r w:rsidRPr="06F28A15" w:rsidR="007D0D7E">
        <w:rPr>
          <w:rFonts w:ascii="Verdana" w:hAnsi="Verdana" w:eastAsia="Aptos" w:cs="Times New Roman"/>
          <w:i w:val="1"/>
          <w:iCs w:val="1"/>
          <w:kern w:val="2"/>
          <w:lang w:val="es-ES"/>
          <w14:ligatures w14:val="standardContextual"/>
        </w:rPr>
        <w:t xml:space="preserve">optimización y/o mejoramiento y/o rehabilitación y/o mantenimiento y/o adecuación y/o reforzamiento de una PTAP con capacidad igual o superior al (F%) de los litros por segundo (</w:t>
      </w:r>
      <w:r w:rsidRPr="06F28A15" w:rsidR="007D0D7E">
        <w:rPr>
          <w:rFonts w:ascii="Verdana" w:hAnsi="Verdana" w:eastAsia="Aptos" w:cs="Times New Roman"/>
          <w:i w:val="1"/>
          <w:iCs w:val="1"/>
          <w:kern w:val="2"/>
          <w:lang w:val="es-ES"/>
          <w14:ligatures w14:val="standardContextual"/>
        </w:rPr>
        <w:t xml:space="preserve">lps</w:t>
      </w:r>
      <w:r w:rsidRPr="06F28A15" w:rsidR="007D0D7E">
        <w:rPr>
          <w:rFonts w:ascii="Verdana" w:hAnsi="Verdana" w:eastAsia="Aptos" w:cs="Times New Roman"/>
          <w:i w:val="1"/>
          <w:iCs w:val="1"/>
          <w:kern w:val="2"/>
          <w:lang w:val="es-ES"/>
          <w14:ligatures w14:val="standardContextual"/>
        </w:rPr>
        <w:t xml:space="preserve">) establecidos en la presente convocatoria, los cuales se encuentran estimados en </w:t>
      </w:r>
      <w:r w:rsidRPr="06F28A15" w:rsidR="007D0D7E">
        <w:rPr>
          <w:rFonts w:ascii="Verdana" w:hAnsi="Verdana" w:eastAsia="Aptos" w:cs="Times New Roman"/>
          <w:i w:val="1"/>
          <w:iCs w:val="1"/>
          <w:kern w:val="2"/>
          <w:highlight w:val="lightGray"/>
          <w:lang w:val="es-ES"/>
          <w14:ligatures w14:val="standardContextual"/>
        </w:rPr>
        <w:t>[la Entidad establecerá la capacidad expresada en litros por segundo estimada para el proceso de selección</w:t>
      </w:r>
      <w:r w:rsidRPr="06F28A15" w:rsidR="007D0D7E">
        <w:rPr>
          <w:rFonts w:ascii="Verdana" w:hAnsi="Verdana" w:eastAsia="Aptos" w:cs="Times New Roman"/>
          <w:i w:val="1"/>
          <w:iCs w:val="1"/>
          <w:kern w:val="2"/>
          <w:lang w:val="es-ES"/>
          <w14:ligatures w14:val="standardContextual"/>
        </w:rPr>
        <w:t>].</w:t>
      </w:r>
    </w:p>
    <w:p w:rsidRPr="007D0D7E" w:rsidR="007D0D7E" w:rsidP="007D0D7E" w:rsidRDefault="007D0D7E" w14:paraId="3D2C7B57" w14:textId="77777777">
      <w:pPr>
        <w:spacing w:after="0" w:line="276" w:lineRule="auto"/>
        <w:ind w:left="720"/>
        <w:contextualSpacing/>
        <w:jc w:val="both"/>
        <w:rPr>
          <w:rFonts w:ascii="Verdana" w:hAnsi="Verdana" w:eastAsia="Aptos" w:cs="Times New Roman"/>
          <w:kern w:val="2"/>
          <w:lang w:val="es-ES_tradnl"/>
          <w14:ligatures w14:val="standardContextual"/>
        </w:rPr>
      </w:pPr>
    </w:p>
    <w:p w:rsidRPr="007D0D7E" w:rsidR="007D0D7E" w:rsidP="007D0D7E" w:rsidRDefault="007D0D7E" w14:paraId="6E849032" w14:textId="77777777">
      <w:pPr>
        <w:numPr>
          <w:ilvl w:val="0"/>
          <w:numId w:val="18"/>
        </w:numPr>
        <w:spacing w:after="0" w:line="276" w:lineRule="auto"/>
        <w:contextualSpacing/>
        <w:jc w:val="both"/>
        <w:rPr>
          <w:rFonts w:ascii="Verdana" w:hAnsi="Verdana" w:eastAsia="Aptos" w:cs="Times New Roman"/>
          <w:kern w:val="2"/>
          <w:lang w:val="es-ES_tradnl"/>
          <w14:ligatures w14:val="standardContextual"/>
        </w:rPr>
      </w:pPr>
      <w:r w:rsidRPr="007D0D7E">
        <w:rPr>
          <w:rFonts w:ascii="Verdana" w:hAnsi="Verdana" w:eastAsia="Aptos" w:cs="Times New Roman"/>
          <w:kern w:val="2"/>
          <w:lang w:val="es-ES_tradnl"/>
          <w14:ligatures w14:val="standardContextual"/>
        </w:rPr>
        <w:t xml:space="preserve">A su vez, el literal “G” del numeral “3.5.3. CONSIDERACIONES PARA LA VALIDEZ DE LA EXPERIENCIA REQUERIDA” del documento base de los documentos tipo de infraestructura de agua potable y saneamiento básico, determina lo siguiente: </w:t>
      </w:r>
    </w:p>
    <w:p w:rsidRPr="007D0D7E" w:rsidR="007D0D7E" w:rsidP="007D0D7E" w:rsidRDefault="007D0D7E" w14:paraId="6E9CB4F7" w14:textId="77777777">
      <w:pPr>
        <w:spacing w:after="0" w:line="276" w:lineRule="auto"/>
        <w:ind w:firstLine="708"/>
        <w:jc w:val="both"/>
        <w:rPr>
          <w:rFonts w:ascii="Verdana" w:hAnsi="Verdana" w:eastAsia="Aptos" w:cs="Times New Roman"/>
          <w:kern w:val="2"/>
          <w:lang w:val="es-ES_tradnl"/>
          <w14:ligatures w14:val="standardContextual"/>
        </w:rPr>
      </w:pPr>
    </w:p>
    <w:p w:rsidRPr="007D0D7E" w:rsidR="007D0D7E" w:rsidP="007D0D7E" w:rsidRDefault="007D0D7E" w14:paraId="0CD749AA" w14:textId="77777777">
      <w:pPr>
        <w:spacing w:after="0" w:line="240" w:lineRule="auto"/>
        <w:ind w:left="709" w:right="709"/>
        <w:jc w:val="both"/>
        <w:rPr>
          <w:rFonts w:ascii="Verdana" w:hAnsi="Verdana" w:eastAsia="Aptos" w:cs="Times New Roman"/>
          <w:i/>
          <w:iCs/>
          <w:kern w:val="2"/>
          <w:sz w:val="21"/>
          <w:szCs w:val="21"/>
          <w:lang w:val="es-ES_tradnl"/>
          <w14:ligatures w14:val="standardContextual"/>
        </w:rPr>
      </w:pPr>
      <w:r w:rsidRPr="007D0D7E">
        <w:rPr>
          <w:rFonts w:ascii="Verdana" w:hAnsi="Verdana" w:eastAsia="Aptos" w:cs="Times New Roman"/>
          <w:kern w:val="2"/>
          <w:sz w:val="21"/>
          <w:szCs w:val="21"/>
          <w:lang w:val="es-ES_tradnl"/>
          <w14:ligatures w14:val="standardContextual"/>
        </w:rPr>
        <w:t xml:space="preserve">“G. </w:t>
      </w:r>
      <w:r w:rsidRPr="007D0D7E">
        <w:rPr>
          <w:rFonts w:ascii="Verdana" w:hAnsi="Verdana" w:eastAsia="Aptos" w:cs="Times New Roman"/>
          <w:b/>
          <w:bCs/>
          <w:i/>
          <w:iCs/>
          <w:kern w:val="2"/>
          <w:sz w:val="21"/>
          <w:szCs w:val="21"/>
          <w:u w:val="single"/>
          <w:lang w:val="es-ES_tradnl"/>
          <w14:ligatures w14:val="standardContextual"/>
        </w:rPr>
        <w:t>Cuando el contrato que se pretende acreditar como experiencia haya sido ejecutado en consorcio, el “% de dimensionamiento (según la longitud o magnitud requerida en el proceso de contratación)” exigido en la Matriz 1 – Experiencia se afectará por el porcentaje de participación que tuvo el integrante o los integrantes</w:t>
      </w:r>
      <w:r w:rsidRPr="007D0D7E">
        <w:rPr>
          <w:rFonts w:ascii="Verdana" w:hAnsi="Verdana" w:eastAsia="Aptos" w:cs="Times New Roman"/>
          <w:i/>
          <w:iCs/>
          <w:kern w:val="2"/>
          <w:sz w:val="21"/>
          <w:szCs w:val="21"/>
          <w:lang w:val="es-ES_tradnl"/>
          <w14:ligatures w14:val="standardContextual"/>
        </w:rPr>
        <w:t>.</w:t>
      </w:r>
      <w:r w:rsidRPr="007D0D7E">
        <w:rPr>
          <w:rFonts w:ascii="Verdana" w:hAnsi="Verdana" w:eastAsia="Aptos" w:cs="Times New Roman"/>
          <w:kern w:val="2"/>
          <w:sz w:val="21"/>
          <w:szCs w:val="21"/>
          <w:lang w:val="es-ES_tradnl"/>
          <w14:ligatures w14:val="standardContextual"/>
        </w:rPr>
        <w:t xml:space="preserve"> </w:t>
      </w:r>
    </w:p>
    <w:p w:rsidRPr="007D0D7E" w:rsidR="007D0D7E" w:rsidP="007D0D7E" w:rsidRDefault="007D0D7E" w14:paraId="3A31C1D2" w14:textId="77777777">
      <w:pPr>
        <w:spacing w:after="0" w:line="240" w:lineRule="auto"/>
        <w:ind w:left="709" w:right="709"/>
        <w:jc w:val="both"/>
        <w:rPr>
          <w:rFonts w:ascii="Verdana" w:hAnsi="Verdana" w:eastAsia="Aptos" w:cs="Times New Roman"/>
          <w:i/>
          <w:iCs/>
          <w:kern w:val="2"/>
          <w:sz w:val="21"/>
          <w:szCs w:val="21"/>
          <w:lang w:val="es-419"/>
          <w14:ligatures w14:val="standardContextual"/>
        </w:rPr>
      </w:pPr>
      <w:r w:rsidRPr="007D0D7E">
        <w:rPr>
          <w:rFonts w:ascii="Verdana" w:hAnsi="Verdana" w:eastAsia="Aptos" w:cs="Times New Roman"/>
          <w:i/>
          <w:iCs/>
          <w:kern w:val="2"/>
          <w:sz w:val="21"/>
          <w:szCs w:val="21"/>
          <w:lang w:val="es-419"/>
          <w14:ligatures w14:val="standardContextual"/>
        </w:rPr>
        <w:t> </w:t>
      </w:r>
    </w:p>
    <w:p w:rsidRPr="007D0D7E" w:rsidR="007D0D7E" w:rsidP="06F28A15" w:rsidRDefault="007D0D7E" w14:paraId="21E55E92" w14:textId="77777777">
      <w:pPr>
        <w:spacing w:after="0" w:line="240" w:lineRule="auto"/>
        <w:ind w:left="709" w:right="709"/>
        <w:jc w:val="both"/>
        <w:rPr>
          <w:rFonts w:ascii="Verdana" w:hAnsi="Verdana" w:eastAsia="Aptos" w:cs="Times New Roman"/>
          <w:kern w:val="2"/>
          <w:sz w:val="21"/>
          <w:szCs w:val="21"/>
          <w:lang w:val="es-ES"/>
          <w14:ligatures w14:val="standardContextual"/>
        </w:rPr>
      </w:pPr>
      <w:r w:rsidRPr="06F28A15" w:rsidR="007D0D7E">
        <w:rPr>
          <w:rFonts w:ascii="Verdana" w:hAnsi="Verdana" w:eastAsia="Aptos" w:cs="Times New Roman"/>
          <w:kern w:val="2"/>
          <w:sz w:val="21"/>
          <w:szCs w:val="21"/>
          <w:lang w:val="es-ES"/>
          <w14:ligatures w14:val="standardContextual"/>
        </w:rPr>
        <w:t xml:space="preserve">Por su parte, si el contrato fue ejecutado como unión temporal la acreditación del “% de dimensionamiento” se afectará de acuerdo con la distribución de actividades y lo materialmente ejecutado, para lo cual se deberá allegar el documento de conformación de proponente plural que discrimine las actividades a cargo de cada uno de los integrantes o que de los documentos aportados para acreditar la experiencia se pueda determinar qué actividades ejecutó cada uno de los integrantes.  </w:t>
      </w:r>
      <w:r w:rsidRPr="06F28A15" w:rsidR="007D0D7E">
        <w:rPr>
          <w:rFonts w:ascii="Verdana" w:hAnsi="Verdana" w:eastAsia="Aptos" w:cs="Times New Roman"/>
          <w:kern w:val="2"/>
          <w:sz w:val="21"/>
          <w:szCs w:val="21"/>
          <w:lang w:val="es-ES"/>
          <w14:ligatures w14:val="standardContextual"/>
        </w:rPr>
        <w:lastRenderedPageBreak/>
        <w:t>En caso de que lo anterior no se logre determinar, la evaluación se realizará de conformidad con lo señalado en el párrafo precedente, respecto a los consorcios.</w:t>
      </w:r>
    </w:p>
    <w:p w:rsidRPr="007D0D7E" w:rsidR="007D0D7E" w:rsidP="007D0D7E" w:rsidRDefault="007D0D7E" w14:paraId="7769D33D" w14:textId="77777777">
      <w:pPr>
        <w:spacing w:after="0" w:line="240" w:lineRule="auto"/>
        <w:ind w:left="709" w:right="709"/>
        <w:jc w:val="both"/>
        <w:rPr>
          <w:rFonts w:ascii="Verdana" w:hAnsi="Verdana" w:eastAsia="Aptos" w:cs="Times New Roman"/>
          <w:b/>
          <w:bCs/>
          <w:i/>
          <w:iCs/>
          <w:kern w:val="2"/>
          <w:sz w:val="21"/>
          <w:szCs w:val="21"/>
          <w:lang w:val="es-419"/>
          <w14:ligatures w14:val="standardContextual"/>
        </w:rPr>
      </w:pPr>
    </w:p>
    <w:p w:rsidRPr="007D0D7E" w:rsidR="007D0D7E" w:rsidP="007D0D7E" w:rsidRDefault="007D0D7E" w14:paraId="31D9C0F3" w14:textId="77777777">
      <w:pPr>
        <w:spacing w:after="0" w:line="240" w:lineRule="auto"/>
        <w:ind w:left="709" w:right="709"/>
        <w:jc w:val="both"/>
        <w:rPr>
          <w:rFonts w:ascii="Verdana" w:hAnsi="Verdana" w:eastAsia="Aptos" w:cs="Times New Roman"/>
          <w:kern w:val="2"/>
          <w:sz w:val="21"/>
          <w:szCs w:val="21"/>
          <w:lang w:val="es-419"/>
          <w14:ligatures w14:val="standardContextual"/>
        </w:rPr>
      </w:pPr>
      <w:r w:rsidRPr="007D0D7E">
        <w:rPr>
          <w:rFonts w:ascii="Verdana" w:hAnsi="Verdana" w:eastAsia="Aptos" w:cs="Times New Roman"/>
          <w:b/>
          <w:bCs/>
          <w:kern w:val="2"/>
          <w:sz w:val="21"/>
          <w:szCs w:val="21"/>
          <w:lang w:val="es-419"/>
          <w14:ligatures w14:val="standardContextual"/>
        </w:rPr>
        <w:t>Nota:</w:t>
      </w:r>
      <w:r w:rsidRPr="007D0D7E">
        <w:rPr>
          <w:rFonts w:ascii="Verdana" w:hAnsi="Verdana" w:eastAsia="Aptos" w:cs="Times New Roman"/>
          <w:kern w:val="2"/>
          <w:sz w:val="21"/>
          <w:szCs w:val="21"/>
          <w:lang w:val="es-419"/>
          <w14:ligatures w14:val="standardContextual"/>
        </w:rPr>
        <w:t xml:space="preserve"> El “dimensionamiento” de este literal aplica a cualquier dimensión o magnitud requerida en el proceso de selección para acreditar la experiencia.”</w:t>
      </w:r>
      <w:r w:rsidRPr="007D0D7E">
        <w:rPr>
          <w:rFonts w:ascii="Verdana" w:hAnsi="Verdana" w:eastAsia="Aptos" w:cs="Times New Roman"/>
          <w:kern w:val="2"/>
          <w:sz w:val="21"/>
          <w:szCs w:val="21"/>
          <w:lang w:val="es-ES_tradnl"/>
          <w14:ligatures w14:val="standardContextual"/>
        </w:rPr>
        <w:t xml:space="preserve"> (Énfasis fuera del texto original).</w:t>
      </w:r>
    </w:p>
    <w:p w:rsidRPr="007D0D7E" w:rsidR="007D0D7E" w:rsidP="007D0D7E" w:rsidRDefault="007D0D7E" w14:paraId="09CBF270" w14:textId="77777777">
      <w:pPr>
        <w:spacing w:after="0" w:line="276" w:lineRule="auto"/>
        <w:ind w:firstLine="708"/>
        <w:jc w:val="both"/>
        <w:rPr>
          <w:rFonts w:ascii="Verdana" w:hAnsi="Verdana" w:eastAsia="Aptos" w:cs="Times New Roman"/>
          <w:kern w:val="2"/>
          <w:lang w:val="es-419"/>
          <w14:ligatures w14:val="standardContextual"/>
        </w:rPr>
      </w:pPr>
    </w:p>
    <w:p w:rsidRPr="007D0D7E" w:rsidR="007D0D7E" w:rsidP="007D0D7E" w:rsidRDefault="007D0D7E" w14:paraId="70206317" w14:textId="77777777">
      <w:pPr>
        <w:numPr>
          <w:ilvl w:val="0"/>
          <w:numId w:val="19"/>
        </w:numPr>
        <w:spacing w:after="0" w:line="276" w:lineRule="auto"/>
        <w:contextualSpacing/>
        <w:jc w:val="both"/>
        <w:rPr>
          <w:rFonts w:ascii="Verdana" w:hAnsi="Verdana" w:eastAsia="Aptos" w:cs="Times New Roman"/>
          <w:kern w:val="2"/>
          <w:lang w:val="es-ES_tradnl"/>
          <w14:ligatures w14:val="standardContextual"/>
        </w:rPr>
      </w:pPr>
      <w:r w:rsidRPr="007D0D7E">
        <w:rPr>
          <w:rFonts w:ascii="Verdana" w:hAnsi="Verdana" w:eastAsia="Aptos" w:cs="Times New Roman"/>
          <w:kern w:val="2"/>
          <w:lang w:val="es-ES_tradnl"/>
          <w14:ligatures w14:val="standardContextual"/>
        </w:rPr>
        <w:t xml:space="preserve">En todo caso, es importante resaltar el principio de inalterabilidad, que es la regla general frente la aplicación de los documentos tipo. En virtud de esto, no se podrán incluir o modificar en los documentos del proceso las condiciones habilitantes, los factores técnicos y económicos de escogencia y los sistemas de ponderación de una manera distinta a la señalada en los documentos tipo. </w:t>
      </w:r>
    </w:p>
    <w:p w:rsidRPr="007D0D7E" w:rsidR="007D0D7E" w:rsidP="007D0D7E" w:rsidRDefault="007D0D7E" w14:paraId="2586503C" w14:textId="77777777">
      <w:pPr>
        <w:spacing w:after="0" w:line="276" w:lineRule="auto"/>
        <w:ind w:left="720"/>
        <w:contextualSpacing/>
        <w:jc w:val="both"/>
        <w:rPr>
          <w:rFonts w:ascii="Verdana" w:hAnsi="Verdana" w:eastAsia="Calibri" w:cs="Arial"/>
          <w:b/>
          <w:kern w:val="2"/>
          <w:lang w:val="es-ES_tradnl" w:eastAsia="es-CO"/>
          <w14:ligatures w14:val="standardContextual"/>
        </w:rPr>
      </w:pPr>
    </w:p>
    <w:p w:rsidRPr="007D0D7E" w:rsidR="007D0D7E" w:rsidP="007D0D7E" w:rsidRDefault="007D0D7E" w14:paraId="2CC0D069" w14:textId="77777777">
      <w:pPr>
        <w:numPr>
          <w:ilvl w:val="0"/>
          <w:numId w:val="16"/>
        </w:numPr>
        <w:tabs>
          <w:tab w:val="left" w:pos="142"/>
          <w:tab w:val="left" w:pos="284"/>
        </w:tabs>
        <w:spacing w:after="0" w:line="276" w:lineRule="auto"/>
        <w:ind w:left="357" w:hanging="357"/>
        <w:jc w:val="both"/>
        <w:rPr>
          <w:rFonts w:ascii="Verdana" w:hAnsi="Verdana" w:eastAsia="Century Gothic" w:cs="Century Gothic"/>
          <w:b/>
          <w:bCs/>
          <w:lang w:val="es-ES"/>
        </w:rPr>
      </w:pPr>
      <w:r w:rsidRPr="007D0D7E">
        <w:rPr>
          <w:rFonts w:ascii="Verdana" w:hAnsi="Verdana" w:eastAsia="Century Gothic" w:cs="Century Gothic"/>
          <w:b/>
          <w:bCs/>
          <w:lang w:val="es-ES"/>
        </w:rPr>
        <w:t>Referencias normativas, jurisprudenciales y otras fuentes:</w:t>
      </w:r>
    </w:p>
    <w:p w:rsidRPr="007D0D7E" w:rsidR="007D0D7E" w:rsidP="007D0D7E" w:rsidRDefault="007D0D7E" w14:paraId="7C0811F9" w14:textId="77777777">
      <w:pPr>
        <w:widowControl w:val="0"/>
        <w:autoSpaceDE w:val="0"/>
        <w:autoSpaceDN w:val="0"/>
        <w:spacing w:after="0" w:line="276" w:lineRule="auto"/>
        <w:jc w:val="both"/>
        <w:rPr>
          <w:rFonts w:ascii="Verdana" w:hAnsi="Verdana" w:eastAsia="Calibri"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none" w:color="auto" w:sz="0" w:space="0"/>
          <w:insideV w:val="none" w:color="auto" w:sz="0" w:space="0"/>
        </w:tblBorders>
        <w:tblLayout w:type="fixed"/>
        <w:tblLook w:val="04A0" w:firstRow="1" w:lastRow="0" w:firstColumn="1" w:lastColumn="0" w:noHBand="0" w:noVBand="1"/>
      </w:tblPr>
      <w:tblGrid>
        <w:gridCol w:w="8647"/>
      </w:tblGrid>
      <w:tr w:rsidRPr="007D0D7E" w:rsidR="007D0D7E" w:rsidTr="00F66055" w14:paraId="4E221341" w14:textId="77777777">
        <w:trPr>
          <w:trHeight w:val="870"/>
        </w:trPr>
        <w:tc>
          <w:tcPr>
            <w:tcW w:w="8647" w:type="dxa"/>
          </w:tcPr>
          <w:p w:rsidRPr="007D0D7E" w:rsidR="007D0D7E" w:rsidP="007D0D7E" w:rsidRDefault="007D0D7E" w14:paraId="5CA688BF" w14:textId="77777777">
            <w:pPr>
              <w:widowControl w:val="0"/>
              <w:numPr>
                <w:ilvl w:val="0"/>
                <w:numId w:val="17"/>
              </w:numPr>
              <w:autoSpaceDE w:val="0"/>
              <w:autoSpaceDN w:val="0"/>
              <w:spacing w:after="120" w:line="276" w:lineRule="auto"/>
              <w:jc w:val="both"/>
              <w:rPr>
                <w:rFonts w:ascii="Verdana" w:hAnsi="Verdana" w:eastAsia="Calibri" w:cs="Arial"/>
              </w:rPr>
            </w:pPr>
            <w:r w:rsidRPr="007D0D7E">
              <w:rPr>
                <w:rFonts w:ascii="Verdana" w:hAnsi="Verdana" w:eastAsia="Calibri" w:cs="Arial"/>
              </w:rPr>
              <w:t>Ley 2022 de 2020, artículo 1.</w:t>
            </w:r>
          </w:p>
          <w:p w:rsidRPr="007D0D7E" w:rsidR="007D0D7E" w:rsidP="007D0D7E" w:rsidRDefault="007D0D7E" w14:paraId="7BD8FAFF" w14:textId="77777777">
            <w:pPr>
              <w:widowControl w:val="0"/>
              <w:numPr>
                <w:ilvl w:val="0"/>
                <w:numId w:val="17"/>
              </w:numPr>
              <w:autoSpaceDE w:val="0"/>
              <w:autoSpaceDN w:val="0"/>
              <w:spacing w:after="120" w:line="276" w:lineRule="auto"/>
              <w:jc w:val="both"/>
              <w:rPr>
                <w:rFonts w:ascii="Verdana" w:hAnsi="Verdana" w:eastAsia="Calibri" w:cs="Arial"/>
              </w:rPr>
            </w:pPr>
            <w:r w:rsidRPr="007D0D7E">
              <w:rPr>
                <w:rFonts w:ascii="Verdana" w:hAnsi="Verdana" w:eastAsia="Calibri" w:cs="Arial"/>
              </w:rPr>
              <w:t>Documentos tipo de obra pública de infraestructura de agua potable y saneamiento básico. Documento base y matriz de experiencia. Disponibles en:</w:t>
            </w:r>
            <w:r w:rsidRPr="007D0D7E">
              <w:rPr>
                <w:rFonts w:ascii="Verdana" w:hAnsi="Verdana" w:eastAsia="Aptos" w:cs="Times New Roman"/>
                <w:lang w:val="es-ES_tradnl"/>
              </w:rPr>
              <w:t xml:space="preserve"> </w:t>
            </w:r>
            <w:hyperlink w:history="1" r:id="rId12">
              <w:r w:rsidRPr="007D0D7E">
                <w:rPr>
                  <w:rFonts w:ascii="Verdana" w:hAnsi="Verdana" w:eastAsia="Aptos" w:cs="Times New Roman"/>
                  <w:color w:val="0000FF"/>
                  <w:u w:val="single"/>
                  <w:lang w:val="es-ES_tradnl"/>
                </w:rPr>
                <w:t>https://www.colombiacompra.gov.co/content/documentos-tipo-infraestructura-de-agua-potable-y-saneamiento-basico</w:t>
              </w:r>
            </w:hyperlink>
            <w:r w:rsidRPr="007D0D7E">
              <w:rPr>
                <w:rFonts w:ascii="Verdana" w:hAnsi="Verdana" w:eastAsia="Aptos" w:cs="Times New Roman"/>
                <w:lang w:val="es-ES_tradnl"/>
              </w:rPr>
              <w:t xml:space="preserve"> </w:t>
            </w:r>
          </w:p>
        </w:tc>
      </w:tr>
    </w:tbl>
    <w:p w:rsidRPr="007D0D7E" w:rsidR="007D0D7E" w:rsidP="007D0D7E" w:rsidRDefault="007D0D7E" w14:paraId="0C497FF4" w14:textId="77777777">
      <w:pPr>
        <w:widowControl w:val="0"/>
        <w:autoSpaceDE w:val="0"/>
        <w:autoSpaceDN w:val="0"/>
        <w:spacing w:after="0" w:line="276" w:lineRule="auto"/>
        <w:jc w:val="both"/>
        <w:rPr>
          <w:rFonts w:ascii="Verdana" w:hAnsi="Verdana" w:eastAsia="Calibri" w:cs="Arial"/>
        </w:rPr>
      </w:pPr>
    </w:p>
    <w:p w:rsidRPr="007D0D7E" w:rsidR="007D0D7E" w:rsidP="007D0D7E" w:rsidRDefault="007D0D7E" w14:paraId="7ABE7739" w14:textId="77777777">
      <w:pPr>
        <w:numPr>
          <w:ilvl w:val="0"/>
          <w:numId w:val="16"/>
        </w:numPr>
        <w:tabs>
          <w:tab w:val="left" w:pos="142"/>
          <w:tab w:val="left" w:pos="284"/>
        </w:tabs>
        <w:spacing w:after="0" w:line="276" w:lineRule="auto"/>
        <w:ind w:left="357" w:hanging="357"/>
        <w:jc w:val="both"/>
        <w:rPr>
          <w:rFonts w:ascii="Verdana" w:hAnsi="Verdana" w:eastAsia="Century Gothic" w:cs="Century Gothic"/>
          <w:b/>
          <w:bCs/>
          <w:lang w:val="es-ES"/>
        </w:rPr>
      </w:pPr>
      <w:r w:rsidRPr="007D0D7E">
        <w:rPr>
          <w:rFonts w:ascii="Verdana" w:hAnsi="Verdana" w:eastAsia="Century Gothic" w:cs="Century Gothic"/>
          <w:b/>
          <w:bCs/>
          <w:lang w:val="es-ES"/>
        </w:rPr>
        <w:t>Doctrina de la Agencia Nacional de Contratación Pública:</w:t>
      </w:r>
    </w:p>
    <w:p w:rsidRPr="007D0D7E" w:rsidR="007D0D7E" w:rsidP="007D0D7E" w:rsidRDefault="007D0D7E" w14:paraId="77F0BFC3" w14:textId="77777777">
      <w:pPr>
        <w:widowControl w:val="0"/>
        <w:autoSpaceDE w:val="0"/>
        <w:autoSpaceDN w:val="0"/>
        <w:spacing w:after="0" w:line="276" w:lineRule="auto"/>
        <w:jc w:val="both"/>
        <w:rPr>
          <w:rFonts w:ascii="Verdana" w:hAnsi="Verdana" w:eastAsia="Calibri" w:cs="Arial"/>
        </w:rPr>
      </w:pPr>
    </w:p>
    <w:p w:rsidRPr="007D0D7E" w:rsidR="007D0D7E" w:rsidP="007D0D7E" w:rsidRDefault="007D0D7E" w14:paraId="69F997FE" w14:textId="77777777">
      <w:pPr>
        <w:widowControl w:val="0"/>
        <w:autoSpaceDE w:val="0"/>
        <w:autoSpaceDN w:val="0"/>
        <w:spacing w:after="0" w:line="276" w:lineRule="auto"/>
        <w:jc w:val="both"/>
        <w:rPr>
          <w:rFonts w:ascii="Verdana" w:hAnsi="Verdana" w:eastAsia="Calibri" w:cs="Arial"/>
          <w:shd w:val="clear" w:color="auto" w:fill="FFFFFF"/>
          <w:lang w:val="es-ES"/>
        </w:rPr>
      </w:pPr>
      <w:r w:rsidRPr="007D0D7E">
        <w:rPr>
          <w:rFonts w:ascii="Verdana" w:hAnsi="Verdana" w:eastAsia="Calibri" w:cs="Arial"/>
          <w:shd w:val="clear" w:color="auto" w:fill="FFFFFF"/>
          <w:lang w:val="es-ES"/>
        </w:rPr>
        <w:t>La Agencia Nacional de Contratación Pública − Colombia Compra Eficiente se pronunció</w:t>
      </w:r>
      <w:r w:rsidRPr="007D0D7E">
        <w:rPr>
          <w:rFonts w:ascii="Aptos" w:hAnsi="Aptos" w:eastAsia="Aptos" w:cs="Times New Roman"/>
          <w:kern w:val="2"/>
          <w:sz w:val="24"/>
          <w:szCs w:val="24"/>
          <w:lang w:val="es-ES_tradnl"/>
          <w14:ligatures w14:val="standardContextual"/>
        </w:rPr>
        <w:t xml:space="preserve"> </w:t>
      </w:r>
      <w:r w:rsidRPr="007D0D7E">
        <w:rPr>
          <w:rFonts w:ascii="Verdana" w:hAnsi="Verdana" w:eastAsia="Calibri" w:cs="Arial"/>
          <w:shd w:val="clear" w:color="auto" w:fill="FFFFFF"/>
          <w:lang w:val="es-ES"/>
        </w:rPr>
        <w:t>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w:t>
      </w:r>
      <w:r w:rsidRPr="007D0D7E">
        <w:rPr>
          <w:rFonts w:ascii="Verdana" w:hAnsi="Verdana" w:eastAsia="Calibri" w:cs="Arial"/>
          <w:shd w:val="clear" w:color="auto" w:fill="FFFFFF"/>
          <w:lang w:val="es-ES"/>
        </w:rPr>
        <w:lastRenderedPageBreak/>
        <w:t>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entre otros. Es</w:t>
      </w:r>
      <w:r w:rsidRPr="007D0D7E">
        <w:rPr>
          <w:rFonts w:ascii="Verdana" w:hAnsi="Verdana" w:eastAsia="Calibri" w:cs="Times New Roman"/>
        </w:rPr>
        <w:t>tos y otros conceptos se encuentran disponibles para consulta en el sistema de relatoría de la Agencia, al cual se puede acceder a través del siguiente enlace:</w:t>
      </w:r>
      <w:r w:rsidRPr="007D0D7E">
        <w:rPr>
          <w:rFonts w:ascii="Verdana" w:hAnsi="Verdana" w:eastAsia="Calibri" w:cs="Arial"/>
          <w:shd w:val="clear" w:color="auto" w:fill="FFFFFF"/>
          <w:lang w:val="es-ES"/>
        </w:rPr>
        <w:t xml:space="preserve"> </w:t>
      </w:r>
      <w:hyperlink w:history="1" r:id="rId13">
        <w:r w:rsidRPr="007D0D7E">
          <w:rPr>
            <w:rFonts w:ascii="Verdana" w:hAnsi="Verdana" w:eastAsia="Calibri" w:cs="Arial"/>
            <w:u w:val="single"/>
            <w:shd w:val="clear" w:color="auto" w:fill="FFFFFF"/>
            <w:lang w:val="es-ES"/>
          </w:rPr>
          <w:t>https://relatoria.colombiacompra.gov.co/busqueda/conceptos</w:t>
        </w:r>
      </w:hyperlink>
      <w:r w:rsidRPr="007D0D7E">
        <w:rPr>
          <w:rFonts w:ascii="Verdana" w:hAnsi="Verdana" w:eastAsia="Calibri" w:cs="Arial"/>
          <w:shd w:val="clear" w:color="auto" w:fill="FFFFFF"/>
          <w:lang w:val="es-ES"/>
        </w:rPr>
        <w:t xml:space="preserve">. </w:t>
      </w:r>
    </w:p>
    <w:p w:rsidRPr="007D0D7E" w:rsidR="007D0D7E" w:rsidP="007D0D7E" w:rsidRDefault="007D0D7E" w14:paraId="2748EABA" w14:textId="77777777">
      <w:pPr>
        <w:widowControl w:val="0"/>
        <w:autoSpaceDE w:val="0"/>
        <w:autoSpaceDN w:val="0"/>
        <w:spacing w:after="0" w:line="276" w:lineRule="auto"/>
        <w:jc w:val="both"/>
        <w:rPr>
          <w:rFonts w:ascii="Verdana" w:hAnsi="Verdana" w:eastAsia="Calibri" w:cs="Arial"/>
          <w:shd w:val="clear" w:color="auto" w:fill="FFFFFF"/>
          <w:lang w:val="es-ES"/>
        </w:rPr>
      </w:pPr>
    </w:p>
    <w:p w:rsidRPr="007D0D7E" w:rsidR="007D0D7E" w:rsidP="007D0D7E" w:rsidRDefault="007D0D7E" w14:paraId="3361BA49" w14:textId="77777777">
      <w:pPr>
        <w:widowControl w:val="0"/>
        <w:autoSpaceDE w:val="0"/>
        <w:autoSpaceDN w:val="0"/>
        <w:spacing w:after="0" w:line="276" w:lineRule="auto"/>
        <w:jc w:val="both"/>
        <w:rPr>
          <w:rFonts w:ascii="Verdana" w:hAnsi="Verdana" w:eastAsia="Calibri" w:cs="Arial"/>
          <w:shd w:val="clear" w:color="auto" w:fill="FFFFFF"/>
          <w:lang w:val="es-ES"/>
        </w:rPr>
      </w:pPr>
      <w:r w:rsidRPr="007D0D7E">
        <w:rPr>
          <w:rFonts w:ascii="Verdana" w:hAnsi="Verdana" w:eastAsia="Calibri"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w:history="1" r:id="rId14">
        <w:r w:rsidRPr="007D0D7E">
          <w:rPr>
            <w:rFonts w:ascii="Verdana" w:hAnsi="Verdana" w:eastAsia="Calibri" w:cs="Arial"/>
            <w:u w:val="single"/>
            <w:shd w:val="clear" w:color="auto" w:fill="FFFFFF"/>
            <w:lang w:val="es-ES"/>
          </w:rPr>
          <w:t>https://www.colombiacompra.gov.co/sala-de-prensa/boletin-digital</w:t>
        </w:r>
      </w:hyperlink>
      <w:r w:rsidRPr="007D0D7E">
        <w:rPr>
          <w:rFonts w:ascii="Verdana" w:hAnsi="Verdana" w:eastAsia="Calibri" w:cs="Arial"/>
          <w:shd w:val="clear" w:color="auto" w:fill="FFFFFF"/>
          <w:lang w:val="es-ES"/>
        </w:rPr>
        <w:t xml:space="preserve">   </w:t>
      </w:r>
    </w:p>
    <w:p w:rsidRPr="007D0D7E" w:rsidR="007D0D7E" w:rsidP="007D0D7E" w:rsidRDefault="007D0D7E" w14:paraId="47345EC2" w14:textId="77777777">
      <w:pPr>
        <w:widowControl w:val="0"/>
        <w:autoSpaceDE w:val="0"/>
        <w:autoSpaceDN w:val="0"/>
        <w:spacing w:after="0" w:line="276" w:lineRule="auto"/>
        <w:jc w:val="both"/>
        <w:rPr>
          <w:rFonts w:ascii="Verdana" w:hAnsi="Verdana" w:eastAsia="Calibri" w:cs="Arial"/>
          <w:shd w:val="clear" w:color="auto" w:fill="FFFFFF"/>
          <w:lang w:val="es-ES"/>
        </w:rPr>
      </w:pPr>
    </w:p>
    <w:p w:rsidRPr="007D0D7E" w:rsidR="007D0D7E" w:rsidP="007D0D7E" w:rsidRDefault="007D0D7E" w14:paraId="3F2402F5" w14:textId="77777777">
      <w:pPr>
        <w:spacing w:after="0" w:line="240" w:lineRule="auto"/>
        <w:jc w:val="both"/>
        <w:rPr>
          <w:rFonts w:ascii="Verdana" w:hAnsi="Verdana" w:eastAsia="Calibri" w:cs="Times New Roman"/>
        </w:rPr>
      </w:pPr>
      <w:r w:rsidRPr="007D0D7E">
        <w:rPr>
          <w:rFonts w:ascii="Verdana" w:hAnsi="Verdana" w:eastAsia="Calibri" w:cs="Times New Roman"/>
        </w:rPr>
        <w:t xml:space="preserve">Por último, los invitamos a seguirnos en las redes sociales, en las cuales se difunde información institucional: </w:t>
      </w:r>
    </w:p>
    <w:p w:rsidRPr="007D0D7E" w:rsidR="007D0D7E" w:rsidP="007D0D7E" w:rsidRDefault="007D0D7E" w14:paraId="6392399C" w14:textId="77777777">
      <w:pPr>
        <w:spacing w:after="0" w:line="240" w:lineRule="auto"/>
        <w:jc w:val="both"/>
        <w:rPr>
          <w:rFonts w:ascii="Verdana" w:hAnsi="Verdana" w:eastAsia="Calibri" w:cs="Times New Roman"/>
        </w:rPr>
      </w:pPr>
    </w:p>
    <w:p w:rsidRPr="007D0D7E" w:rsidR="007D0D7E" w:rsidP="007D0D7E" w:rsidRDefault="007D0D7E" w14:paraId="7BB8EFE2" w14:textId="77777777">
      <w:pPr>
        <w:spacing w:after="0" w:line="240" w:lineRule="auto"/>
        <w:jc w:val="both"/>
        <w:rPr>
          <w:rFonts w:ascii="Verdana" w:hAnsi="Verdana" w:eastAsia="Calibri" w:cs="Times New Roman"/>
        </w:rPr>
      </w:pPr>
      <w:r w:rsidRPr="007D0D7E">
        <w:rPr>
          <w:rFonts w:ascii="Verdana" w:hAnsi="Verdana" w:eastAsia="Calibri" w:cs="Times New Roman"/>
        </w:rPr>
        <w:t xml:space="preserve">Twitter: </w:t>
      </w:r>
      <w:r w:rsidRPr="007D0D7E">
        <w:rPr>
          <w:rFonts w:ascii="Verdana" w:hAnsi="Verdana" w:eastAsia="Calibri" w:cs="Times New Roman"/>
          <w:u w:val="single"/>
        </w:rPr>
        <w:t>@colombiacompra</w:t>
      </w:r>
      <w:r w:rsidRPr="007D0D7E">
        <w:rPr>
          <w:rFonts w:ascii="Verdana" w:hAnsi="Verdana" w:eastAsia="Calibri" w:cs="Times New Roman"/>
        </w:rPr>
        <w:t xml:space="preserve"> </w:t>
      </w:r>
    </w:p>
    <w:p w:rsidRPr="007D0D7E" w:rsidR="007D0D7E" w:rsidP="007D0D7E" w:rsidRDefault="007D0D7E" w14:paraId="00D7A59F" w14:textId="77777777">
      <w:pPr>
        <w:spacing w:after="0" w:line="240" w:lineRule="auto"/>
        <w:jc w:val="both"/>
        <w:rPr>
          <w:rFonts w:ascii="Verdana" w:hAnsi="Verdana" w:eastAsia="Calibri" w:cs="Times New Roman"/>
        </w:rPr>
      </w:pPr>
      <w:r w:rsidRPr="007D0D7E">
        <w:rPr>
          <w:rFonts w:ascii="Verdana" w:hAnsi="Verdana" w:eastAsia="Calibri" w:cs="Times New Roman"/>
        </w:rPr>
        <w:t xml:space="preserve">Facebook: </w:t>
      </w:r>
      <w:r w:rsidRPr="007D0D7E">
        <w:rPr>
          <w:rFonts w:ascii="Verdana" w:hAnsi="Verdana" w:eastAsia="Calibri" w:cs="Times New Roman"/>
          <w:u w:val="single"/>
        </w:rPr>
        <w:t>ColombiaCompraEficiente</w:t>
      </w:r>
    </w:p>
    <w:p w:rsidRPr="007D0D7E" w:rsidR="007D0D7E" w:rsidP="007D0D7E" w:rsidRDefault="007D0D7E" w14:paraId="6BF96341" w14:textId="77777777">
      <w:pPr>
        <w:spacing w:after="0" w:line="240" w:lineRule="auto"/>
        <w:jc w:val="both"/>
        <w:rPr>
          <w:rFonts w:ascii="Verdana" w:hAnsi="Verdana" w:eastAsia="Calibri" w:cs="Times New Roman"/>
        </w:rPr>
      </w:pPr>
      <w:r w:rsidRPr="007D0D7E">
        <w:rPr>
          <w:rFonts w:ascii="Verdana" w:hAnsi="Verdana" w:eastAsia="Calibri" w:cs="Times New Roman"/>
        </w:rPr>
        <w:t xml:space="preserve">LinkedIn: </w:t>
      </w:r>
      <w:r w:rsidRPr="007D0D7E">
        <w:rPr>
          <w:rFonts w:ascii="Verdana" w:hAnsi="Verdana" w:eastAsia="Calibri" w:cs="Times New Roman"/>
          <w:u w:val="single"/>
        </w:rPr>
        <w:t>Agencia Nacional de Contratación Pública - Colombia Compra Eficiente</w:t>
      </w:r>
      <w:r w:rsidRPr="007D0D7E">
        <w:rPr>
          <w:rFonts w:ascii="Verdana" w:hAnsi="Verdana" w:eastAsia="Calibri" w:cs="Times New Roman"/>
        </w:rPr>
        <w:t xml:space="preserve"> Instagram: </w:t>
      </w:r>
      <w:r w:rsidRPr="007D0D7E">
        <w:rPr>
          <w:rFonts w:ascii="Verdana" w:hAnsi="Verdana" w:eastAsia="Calibri" w:cs="Times New Roman"/>
          <w:u w:val="single"/>
        </w:rPr>
        <w:t>@colombiacompraeficiente_cce</w:t>
      </w:r>
    </w:p>
    <w:p w:rsidRPr="007D0D7E" w:rsidR="007D0D7E" w:rsidP="007D0D7E" w:rsidRDefault="007D0D7E" w14:paraId="5961B20B" w14:textId="77777777">
      <w:pPr>
        <w:widowControl w:val="0"/>
        <w:autoSpaceDE w:val="0"/>
        <w:autoSpaceDN w:val="0"/>
        <w:spacing w:after="0" w:line="276" w:lineRule="auto"/>
        <w:jc w:val="both"/>
        <w:rPr>
          <w:rFonts w:ascii="Verdana" w:hAnsi="Verdana" w:eastAsia="Calibri" w:cs="Arial"/>
        </w:rPr>
      </w:pPr>
    </w:p>
    <w:p w:rsidRPr="007D0D7E" w:rsidR="007D0D7E" w:rsidP="007D0D7E" w:rsidRDefault="007D0D7E" w14:paraId="13F837ED" w14:textId="77777777">
      <w:pPr>
        <w:widowControl w:val="0"/>
        <w:autoSpaceDE w:val="0"/>
        <w:autoSpaceDN w:val="0"/>
        <w:spacing w:after="0" w:line="276" w:lineRule="auto"/>
        <w:jc w:val="both"/>
        <w:rPr>
          <w:rFonts w:ascii="Verdana" w:hAnsi="Verdana" w:eastAsia="Calibri" w:cs="Arial"/>
          <w:lang w:val="es-ES_tradnl"/>
        </w:rPr>
      </w:pPr>
      <w:r w:rsidRPr="007D0D7E">
        <w:rPr>
          <w:rFonts w:ascii="Verdana" w:hAnsi="Verdana" w:eastAsia="Calibri" w:cs="Arial"/>
        </w:rPr>
        <w:t xml:space="preserve">Este concepto tiene el alcance previsto en el artículo 28 del Código de Procedimiento Administrativo y de lo Contencioso Administrativo </w:t>
      </w:r>
      <w:r w:rsidRPr="007D0D7E">
        <w:rPr>
          <w:rFonts w:ascii="Verdana" w:hAnsi="Verdana" w:eastAsia="Calibri" w:cs="Arial"/>
          <w:lang w:val="es-ES_tradnl"/>
        </w:rPr>
        <w:t>y las expresiones aquí utilizadas con mayúscula inicial deben ser entendidas con el significado que les otorga el artículo 2.2.1.1.1.3.1. del Decreto 1082 de 2015.</w:t>
      </w:r>
    </w:p>
    <w:p w:rsidRPr="007D0D7E" w:rsidR="007D0D7E" w:rsidP="007D0D7E" w:rsidRDefault="007D0D7E" w14:paraId="3486301A" w14:textId="77777777">
      <w:pPr>
        <w:widowControl w:val="0"/>
        <w:autoSpaceDE w:val="0"/>
        <w:autoSpaceDN w:val="0"/>
        <w:spacing w:after="0" w:line="276" w:lineRule="auto"/>
        <w:jc w:val="both"/>
        <w:rPr>
          <w:rFonts w:ascii="Verdana" w:hAnsi="Verdana" w:eastAsia="Calibri" w:cs="Arial"/>
        </w:rPr>
      </w:pPr>
    </w:p>
    <w:p w:rsidRPr="007D0D7E" w:rsidR="007D0D7E" w:rsidP="007D0D7E" w:rsidRDefault="007D0D7E" w14:paraId="1AF02758" w14:textId="77777777">
      <w:pPr>
        <w:spacing w:after="0" w:line="240" w:lineRule="auto"/>
        <w:rPr>
          <w:rFonts w:ascii="Verdana" w:hAnsi="Verdana" w:eastAsia="Calibri" w:cs="Arial"/>
          <w:lang w:eastAsia="es-CO"/>
        </w:rPr>
      </w:pPr>
      <w:r w:rsidRPr="007D0D7E">
        <w:rPr>
          <w:rFonts w:ascii="Verdana" w:hAnsi="Verdana" w:eastAsia="Times New Roman" w:cs="Arial"/>
          <w:lang w:eastAsia="es-CO"/>
        </w:rPr>
        <w:t>Atentamente,</w:t>
      </w:r>
      <w:r w:rsidRPr="007D0D7E">
        <w:rPr>
          <w:rFonts w:ascii="Verdana" w:hAnsi="Verdana" w:eastAsia="Calibri" w:cs="Arial"/>
          <w:lang w:eastAsia="es-CO"/>
        </w:rPr>
        <w:t xml:space="preserve"> </w:t>
      </w:r>
    </w:p>
    <w:p w:rsidRPr="007D0D7E" w:rsidR="007D0D7E" w:rsidP="007D0D7E" w:rsidRDefault="0026547D" w14:paraId="0A2222E7" w14:textId="1C7050BD">
      <w:pPr>
        <w:spacing w:line="276" w:lineRule="auto"/>
        <w:jc w:val="center"/>
        <w:rPr>
          <w:rFonts w:ascii="Verdana" w:hAnsi="Verdana" w:eastAsia="Calibri" w:cs="Arial"/>
          <w:lang w:val="es-ES_tradnl" w:eastAsia="es-CO"/>
        </w:rPr>
      </w:pPr>
      <w:r w:rsidRPr="002C3AD6">
        <w:rPr>
          <w:rFonts w:ascii="Century Gothic" w:hAnsi="Century Gothic"/>
          <w:noProof/>
        </w:rPr>
        <w:lastRenderedPageBreak/>
        <w:drawing>
          <wp:inline distT="0" distB="0" distL="0" distR="0" wp14:anchorId="1BD630F6" wp14:editId="0321201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7D0D7E" w:rsidR="007D0D7E" w:rsidTr="00F66055" w14:paraId="58591900" w14:textId="77777777">
        <w:trPr>
          <w:trHeight w:val="315"/>
        </w:trPr>
        <w:tc>
          <w:tcPr>
            <w:tcW w:w="893" w:type="dxa"/>
            <w:vAlign w:val="center"/>
            <w:hideMark/>
          </w:tcPr>
          <w:p w:rsidRPr="007D0D7E" w:rsidR="007D0D7E" w:rsidP="007D0D7E" w:rsidRDefault="007D0D7E" w14:paraId="5AA1B9C7" w14:textId="77777777">
            <w:pPr>
              <w:rPr>
                <w:rFonts w:ascii="Verdana" w:hAnsi="Verdana" w:eastAsia="Calibri" w:cs="Arial"/>
                <w:sz w:val="16"/>
                <w:szCs w:val="16"/>
                <w:lang w:val="es-ES" w:eastAsia="es-ES"/>
              </w:rPr>
            </w:pPr>
            <w:r w:rsidRPr="007D0D7E">
              <w:rPr>
                <w:rFonts w:ascii="Verdana" w:hAnsi="Verdana" w:eastAsia="Calibri" w:cs="Arial"/>
                <w:sz w:val="16"/>
                <w:szCs w:val="16"/>
                <w:lang w:val="es-ES" w:eastAsia="es-ES"/>
              </w:rPr>
              <w:t>Elaboró:</w:t>
            </w:r>
          </w:p>
        </w:tc>
        <w:tc>
          <w:tcPr>
            <w:tcW w:w="5628" w:type="dxa"/>
            <w:tcBorders>
              <w:top w:val="nil"/>
              <w:left w:val="nil"/>
              <w:bottom w:val="dotted" w:color="7F7F7F" w:sz="4" w:space="0"/>
              <w:right w:val="nil"/>
            </w:tcBorders>
            <w:vAlign w:val="center"/>
            <w:hideMark/>
          </w:tcPr>
          <w:p w:rsidRPr="007D0D7E" w:rsidR="007D0D7E" w:rsidP="007D0D7E" w:rsidRDefault="007D0D7E" w14:paraId="0960FA89" w14:textId="77777777">
            <w:pPr>
              <w:rPr>
                <w:rFonts w:ascii="Verdana" w:hAnsi="Verdana" w:eastAsia="Arial" w:cs="Arial"/>
                <w:sz w:val="16"/>
                <w:szCs w:val="16"/>
              </w:rPr>
            </w:pPr>
            <w:r w:rsidRPr="007D0D7E">
              <w:rPr>
                <w:rFonts w:ascii="Verdana" w:hAnsi="Verdana" w:eastAsia="Arial" w:cs="Arial"/>
                <w:sz w:val="16"/>
                <w:szCs w:val="16"/>
              </w:rPr>
              <w:t>Kevin Arlid Herrera Santa</w:t>
            </w:r>
          </w:p>
          <w:p w:rsidRPr="007D0D7E" w:rsidR="007D0D7E" w:rsidP="007D0D7E" w:rsidRDefault="007D0D7E" w14:paraId="68781B2E" w14:textId="77777777">
            <w:pPr>
              <w:rPr>
                <w:rFonts w:ascii="Verdana" w:hAnsi="Verdana" w:eastAsia="Arial" w:cs="Arial"/>
                <w:sz w:val="16"/>
                <w:szCs w:val="16"/>
              </w:rPr>
            </w:pPr>
            <w:r w:rsidRPr="007D0D7E">
              <w:rPr>
                <w:rFonts w:ascii="Verdana" w:hAnsi="Verdana" w:eastAsia="Arial" w:cs="Arial"/>
                <w:sz w:val="16"/>
                <w:szCs w:val="16"/>
              </w:rPr>
              <w:t>Contratista de la Subdirección de Gestión Contractual</w:t>
            </w:r>
          </w:p>
          <w:p w:rsidRPr="007D0D7E" w:rsidR="007D0D7E" w:rsidP="007D0D7E" w:rsidRDefault="007D0D7E" w14:paraId="62B7A381" w14:textId="77777777">
            <w:pPr>
              <w:rPr>
                <w:rFonts w:ascii="Verdana" w:hAnsi="Verdana" w:eastAsia="Arial" w:cs="Arial"/>
                <w:sz w:val="16"/>
                <w:szCs w:val="16"/>
              </w:rPr>
            </w:pPr>
            <w:r w:rsidRPr="007D0D7E">
              <w:rPr>
                <w:rFonts w:ascii="Verdana" w:hAnsi="Verdana" w:eastAsia="Arial" w:cs="Arial"/>
                <w:sz w:val="16"/>
                <w:szCs w:val="16"/>
              </w:rPr>
              <w:t>Alexandra Rodríguez Motta</w:t>
            </w:r>
          </w:p>
          <w:p w:rsidRPr="007D0D7E" w:rsidR="007D0D7E" w:rsidP="007D0D7E" w:rsidRDefault="007D0D7E" w14:paraId="3A086601" w14:textId="77777777">
            <w:pPr>
              <w:rPr>
                <w:rFonts w:ascii="Verdana" w:hAnsi="Verdana" w:eastAsia="Arial" w:cs="Arial"/>
                <w:sz w:val="16"/>
                <w:szCs w:val="16"/>
              </w:rPr>
            </w:pPr>
            <w:r w:rsidRPr="007D0D7E">
              <w:rPr>
                <w:rFonts w:ascii="Verdana" w:hAnsi="Verdana" w:eastAsia="Arial" w:cs="Arial"/>
                <w:sz w:val="16"/>
                <w:szCs w:val="16"/>
              </w:rPr>
              <w:t>Contratista de la Subdirección de Gestión Contractual</w:t>
            </w:r>
          </w:p>
          <w:p w:rsidRPr="007D0D7E" w:rsidR="007D0D7E" w:rsidP="007D0D7E" w:rsidRDefault="007D0D7E" w14:paraId="6F3DFB8B" w14:textId="77777777">
            <w:pPr>
              <w:rPr>
                <w:rFonts w:ascii="Verdana" w:hAnsi="Verdana" w:eastAsia="Arial" w:cs="Arial"/>
                <w:sz w:val="16"/>
                <w:szCs w:val="16"/>
              </w:rPr>
            </w:pPr>
            <w:r w:rsidRPr="007D0D7E">
              <w:rPr>
                <w:rFonts w:ascii="Verdana" w:hAnsi="Verdana" w:eastAsia="Arial" w:cs="Arial"/>
                <w:sz w:val="16"/>
                <w:szCs w:val="16"/>
              </w:rPr>
              <w:t>Cesar Augusto Henao Trujillo</w:t>
            </w:r>
          </w:p>
          <w:p w:rsidRPr="007D0D7E" w:rsidR="007D0D7E" w:rsidP="007D0D7E" w:rsidRDefault="007D0D7E" w14:paraId="37E7F2C4" w14:textId="77777777">
            <w:pPr>
              <w:rPr>
                <w:rFonts w:ascii="Verdana" w:hAnsi="Verdana" w:eastAsia="Arial" w:cs="Arial"/>
                <w:sz w:val="16"/>
                <w:szCs w:val="16"/>
              </w:rPr>
            </w:pPr>
            <w:r w:rsidRPr="007D0D7E">
              <w:rPr>
                <w:rFonts w:ascii="Verdana" w:hAnsi="Verdana" w:eastAsia="Arial" w:cs="Arial"/>
                <w:sz w:val="16"/>
                <w:szCs w:val="16"/>
              </w:rPr>
              <w:t>Contratista de la Subdirección de Gestión Contractual</w:t>
            </w:r>
          </w:p>
        </w:tc>
      </w:tr>
      <w:tr w:rsidRPr="007D0D7E" w:rsidR="007D0D7E" w:rsidTr="00F66055" w14:paraId="14E57C1B" w14:textId="77777777">
        <w:trPr>
          <w:trHeight w:val="330"/>
        </w:trPr>
        <w:tc>
          <w:tcPr>
            <w:tcW w:w="893" w:type="dxa"/>
            <w:vAlign w:val="center"/>
            <w:hideMark/>
          </w:tcPr>
          <w:p w:rsidRPr="007D0D7E" w:rsidR="007D0D7E" w:rsidP="007D0D7E" w:rsidRDefault="007D0D7E" w14:paraId="6D20FFFF" w14:textId="77777777">
            <w:pPr>
              <w:rPr>
                <w:rFonts w:ascii="Verdana" w:hAnsi="Verdana" w:eastAsia="Calibri" w:cs="Arial"/>
                <w:sz w:val="16"/>
                <w:szCs w:val="16"/>
                <w:lang w:val="es-ES" w:eastAsia="es-ES"/>
              </w:rPr>
            </w:pPr>
            <w:r w:rsidRPr="007D0D7E">
              <w:rPr>
                <w:rFonts w:ascii="Verdana" w:hAnsi="Verdana" w:eastAsia="Calibri" w:cs="Arial"/>
                <w:sz w:val="16"/>
                <w:szCs w:val="16"/>
                <w:lang w:val="es-ES" w:eastAsia="es-ES"/>
              </w:rPr>
              <w:t>Revisó:</w:t>
            </w:r>
          </w:p>
        </w:tc>
        <w:tc>
          <w:tcPr>
            <w:tcW w:w="5628" w:type="dxa"/>
            <w:tcBorders>
              <w:top w:val="dotted" w:color="7F7F7F" w:sz="4" w:space="0"/>
              <w:left w:val="nil"/>
              <w:bottom w:val="dotted" w:color="7F7F7F" w:sz="4" w:space="0"/>
              <w:right w:val="nil"/>
            </w:tcBorders>
            <w:vAlign w:val="center"/>
            <w:hideMark/>
          </w:tcPr>
          <w:p w:rsidRPr="007D0D7E" w:rsidR="007D0D7E" w:rsidP="007D0D7E" w:rsidRDefault="007D0D7E" w14:paraId="2609C22A" w14:textId="77777777">
            <w:pPr>
              <w:textAlignment w:val="baseline"/>
              <w:rPr>
                <w:rFonts w:ascii="Verdana" w:hAnsi="Verdana" w:eastAsia="Times New Roman" w:cs="Arial"/>
                <w:sz w:val="16"/>
                <w:szCs w:val="16"/>
                <w:lang w:val="es-ES" w:eastAsia="es-ES_tradnl"/>
              </w:rPr>
            </w:pPr>
            <w:r w:rsidRPr="007D0D7E">
              <w:rPr>
                <w:rFonts w:ascii="Verdana" w:hAnsi="Verdana" w:eastAsia="Times New Roman" w:cs="Arial"/>
                <w:sz w:val="16"/>
                <w:szCs w:val="16"/>
                <w:lang w:val="es-ES" w:eastAsia="es-ES_tradnl"/>
              </w:rPr>
              <w:t>Juan David Cárdenas Cabeza</w:t>
            </w:r>
          </w:p>
          <w:p w:rsidRPr="007D0D7E" w:rsidR="007D0D7E" w:rsidP="007D0D7E" w:rsidRDefault="007D0D7E" w14:paraId="5F6A87B8" w14:textId="77777777">
            <w:pPr>
              <w:textAlignment w:val="baseline"/>
              <w:rPr>
                <w:rFonts w:ascii="Verdana" w:hAnsi="Verdana" w:eastAsia="Times New Roman" w:cs="Segoe UI"/>
                <w:sz w:val="16"/>
                <w:szCs w:val="16"/>
                <w:lang w:eastAsia="es-ES_tradnl"/>
              </w:rPr>
            </w:pPr>
            <w:r w:rsidRPr="007D0D7E">
              <w:rPr>
                <w:rFonts w:ascii="Verdana" w:hAnsi="Verdana" w:eastAsia="Times New Roman" w:cs="Arial"/>
                <w:sz w:val="16"/>
                <w:szCs w:val="16"/>
                <w:lang w:val="es-ES" w:eastAsia="es-ES_tradnl"/>
              </w:rPr>
              <w:t>Contratista de la Subdirección de Gestión Contractual</w:t>
            </w:r>
            <w:r w:rsidRPr="007D0D7E">
              <w:rPr>
                <w:rFonts w:ascii="Verdana" w:hAnsi="Verdana" w:eastAsia="Times New Roman" w:cs="Arial"/>
                <w:sz w:val="16"/>
                <w:szCs w:val="16"/>
                <w:lang w:eastAsia="es-ES_tradnl"/>
              </w:rPr>
              <w:t> </w:t>
            </w:r>
          </w:p>
        </w:tc>
      </w:tr>
      <w:tr w:rsidRPr="007D0D7E" w:rsidR="007D0D7E" w:rsidTr="00F66055" w14:paraId="3F441057" w14:textId="77777777">
        <w:trPr>
          <w:trHeight w:val="300"/>
        </w:trPr>
        <w:tc>
          <w:tcPr>
            <w:tcW w:w="893" w:type="dxa"/>
            <w:vAlign w:val="center"/>
          </w:tcPr>
          <w:p w:rsidRPr="007D0D7E" w:rsidR="007D0D7E" w:rsidP="007D0D7E" w:rsidRDefault="007D0D7E" w14:paraId="42D6DE9E" w14:textId="77777777">
            <w:pPr>
              <w:rPr>
                <w:rFonts w:ascii="Verdana" w:hAnsi="Verdana" w:eastAsia="Calibri" w:cs="Arial"/>
                <w:sz w:val="16"/>
                <w:szCs w:val="16"/>
                <w:lang w:val="es-ES" w:eastAsia="es-ES"/>
              </w:rPr>
            </w:pPr>
            <w:r w:rsidRPr="007D0D7E">
              <w:rPr>
                <w:rFonts w:ascii="Verdana" w:hAnsi="Verdana" w:eastAsia="Calibri" w:cs="Arial"/>
                <w:sz w:val="16"/>
                <w:szCs w:val="16"/>
                <w:lang w:val="es-ES" w:eastAsia="es-ES"/>
              </w:rPr>
              <w:t>Aprobó:</w:t>
            </w:r>
          </w:p>
        </w:tc>
        <w:tc>
          <w:tcPr>
            <w:tcW w:w="5628" w:type="dxa"/>
            <w:tcBorders>
              <w:top w:val="dotted" w:color="7F7F7F" w:sz="4" w:space="0"/>
              <w:left w:val="nil"/>
              <w:bottom w:val="dotted" w:color="7F7F7F" w:sz="4" w:space="0"/>
              <w:right w:val="nil"/>
            </w:tcBorders>
            <w:vAlign w:val="center"/>
          </w:tcPr>
          <w:p w:rsidRPr="007D0D7E" w:rsidR="007D0D7E" w:rsidP="007D0D7E" w:rsidRDefault="007D0D7E" w14:paraId="48271FD3" w14:textId="77777777">
            <w:pPr>
              <w:rPr>
                <w:rFonts w:ascii="Verdana" w:hAnsi="Verdana" w:eastAsia="Calibri" w:cs="Arial"/>
                <w:sz w:val="16"/>
                <w:szCs w:val="16"/>
                <w:lang w:val="pt-BR" w:eastAsia="es-ES"/>
              </w:rPr>
            </w:pPr>
            <w:r w:rsidRPr="007D0D7E">
              <w:rPr>
                <w:rFonts w:ascii="Verdana" w:hAnsi="Verdana" w:eastAsia="Calibri" w:cs="Arial"/>
                <w:sz w:val="16"/>
                <w:szCs w:val="16"/>
                <w:lang w:val="pt-BR" w:eastAsia="es-ES"/>
              </w:rPr>
              <w:t>Carolina Quintero Gacharná</w:t>
            </w:r>
          </w:p>
          <w:p w:rsidRPr="007D0D7E" w:rsidR="007D0D7E" w:rsidP="007D0D7E" w:rsidRDefault="007D0D7E" w14:paraId="1FFCC5FC" w14:textId="77777777">
            <w:pPr>
              <w:rPr>
                <w:rFonts w:ascii="Verdana" w:hAnsi="Verdana" w:eastAsia="Calibri" w:cs="Arial"/>
                <w:sz w:val="16"/>
                <w:szCs w:val="16"/>
                <w:lang w:val="pt-BR" w:eastAsia="es-ES"/>
              </w:rPr>
            </w:pPr>
            <w:r w:rsidRPr="007D0D7E">
              <w:rPr>
                <w:rFonts w:ascii="Verdana" w:hAnsi="Verdana" w:eastAsia="Calibri" w:cs="Arial"/>
                <w:sz w:val="16"/>
                <w:szCs w:val="16"/>
                <w:lang w:eastAsia="es-ES"/>
              </w:rPr>
              <w:t>Subdirectora</w:t>
            </w:r>
            <w:r w:rsidRPr="007D0D7E">
              <w:rPr>
                <w:rFonts w:ascii="Verdana" w:hAnsi="Verdana" w:eastAsia="Calibri" w:cs="Arial"/>
                <w:sz w:val="16"/>
                <w:szCs w:val="16"/>
                <w:lang w:val="pt-BR" w:eastAsia="es-ES"/>
              </w:rPr>
              <w:t xml:space="preserve"> de Gestión Contratual ANCP – CCE</w:t>
            </w:r>
          </w:p>
        </w:tc>
      </w:tr>
    </w:tbl>
    <w:p w:rsidRPr="007D0D7E" w:rsidR="007D0D7E" w:rsidP="007D0D7E" w:rsidRDefault="007D0D7E" w14:paraId="3133B17F" w14:textId="77777777">
      <w:pPr>
        <w:spacing w:after="0" w:line="240" w:lineRule="auto"/>
        <w:rPr>
          <w:rFonts w:ascii="Aptos" w:hAnsi="Aptos" w:eastAsia="Aptos" w:cs="Times New Roman"/>
          <w:kern w:val="2"/>
          <w:sz w:val="24"/>
          <w:szCs w:val="24"/>
          <w:lang w:val="es-ES_tradnl"/>
          <w14:ligatures w14:val="standardContextual"/>
        </w:rPr>
      </w:pPr>
    </w:p>
    <w:p w:rsidRPr="007D0D7E" w:rsidR="007D0D7E" w:rsidP="007D0D7E" w:rsidRDefault="007D0D7E" w14:paraId="272D3173" w14:textId="77777777">
      <w:pPr>
        <w:spacing w:after="0" w:line="240" w:lineRule="auto"/>
        <w:rPr>
          <w:rFonts w:ascii="Aptos" w:hAnsi="Aptos" w:eastAsia="Aptos" w:cs="Times New Roman"/>
          <w:kern w:val="2"/>
          <w:sz w:val="24"/>
          <w:szCs w:val="24"/>
          <w:lang w:val="es-ES_tradnl"/>
          <w14:ligatures w14:val="standardContextual"/>
        </w:rPr>
      </w:pPr>
    </w:p>
    <w:bookmarkEnd w:id="0"/>
    <w:p w:rsidRPr="0044528D" w:rsidR="00E245AB" w:rsidP="00E245AB" w:rsidRDefault="00E245AB" w14:paraId="0465BA6D" w14:textId="77777777">
      <w:pPr>
        <w:spacing w:after="0"/>
        <w:rPr>
          <w:rFonts w:ascii="Verdana" w:hAnsi="Verdana"/>
        </w:rPr>
      </w:pPr>
    </w:p>
    <w:sectPr w:rsidRPr="0044528D" w:rsidR="00E245AB" w:rsidSect="007C0C0F">
      <w:headerReference w:type="default" r:id="rId16"/>
      <w:footerReference w:type="default" r:id="rId17"/>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04439" w:rsidP="004A1847" w:rsidRDefault="00504439" w14:paraId="5459DDED" w14:textId="77777777">
      <w:pPr>
        <w:spacing w:after="0" w:line="240" w:lineRule="auto"/>
      </w:pPr>
      <w:r>
        <w:separator/>
      </w:r>
    </w:p>
  </w:endnote>
  <w:endnote w:type="continuationSeparator" w:id="0">
    <w:p w:rsidR="00504439" w:rsidP="004A1847" w:rsidRDefault="00504439" w14:paraId="21E8B899" w14:textId="77777777">
      <w:pPr>
        <w:spacing w:after="0" w:line="240" w:lineRule="auto"/>
      </w:pPr>
      <w:r>
        <w:continuationSeparator/>
      </w:r>
    </w:p>
  </w:endnote>
  <w:endnote w:type="continuationNotice" w:id="1">
    <w:p w:rsidR="00504439" w:rsidRDefault="00504439" w14:paraId="7D5C4DB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04439" w:rsidP="004A1847" w:rsidRDefault="00504439" w14:paraId="0A9B38E7" w14:textId="77777777">
      <w:pPr>
        <w:spacing w:after="0" w:line="240" w:lineRule="auto"/>
      </w:pPr>
      <w:r>
        <w:separator/>
      </w:r>
    </w:p>
  </w:footnote>
  <w:footnote w:type="continuationSeparator" w:id="0">
    <w:p w:rsidR="00504439" w:rsidP="004A1847" w:rsidRDefault="00504439" w14:paraId="3563FB0C" w14:textId="77777777">
      <w:pPr>
        <w:spacing w:after="0" w:line="240" w:lineRule="auto"/>
      </w:pPr>
      <w:r>
        <w:continuationSeparator/>
      </w:r>
    </w:p>
  </w:footnote>
  <w:footnote w:type="continuationNotice" w:id="1">
    <w:p w:rsidR="00504439" w:rsidRDefault="00504439" w14:paraId="19533FC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42" style="width:11.55pt;height:11.55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E8323B"/>
    <w:multiLevelType w:val="hybridMultilevel"/>
    <w:tmpl w:val="89E6B282"/>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6" w15:restartNumberingAfterBreak="0">
    <w:nsid w:val="7B397DD0"/>
    <w:multiLevelType w:val="hybridMultilevel"/>
    <w:tmpl w:val="DA709AB4"/>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 w:numId="18" w16cid:durableId="23948561">
    <w:abstractNumId w:val="15"/>
  </w:num>
  <w:num w:numId="19" w16cid:durableId="10103735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02B8"/>
    <w:rsid w:val="000A683E"/>
    <w:rsid w:val="000B19B9"/>
    <w:rsid w:val="000D0334"/>
    <w:rsid w:val="000E4784"/>
    <w:rsid w:val="000F6486"/>
    <w:rsid w:val="00125105"/>
    <w:rsid w:val="00127233"/>
    <w:rsid w:val="001E4177"/>
    <w:rsid w:val="001F7DC6"/>
    <w:rsid w:val="002421BB"/>
    <w:rsid w:val="0025796E"/>
    <w:rsid w:val="0026547D"/>
    <w:rsid w:val="002707A2"/>
    <w:rsid w:val="002951A0"/>
    <w:rsid w:val="002962BC"/>
    <w:rsid w:val="002A093D"/>
    <w:rsid w:val="002A0DD0"/>
    <w:rsid w:val="002A49AC"/>
    <w:rsid w:val="002A64FD"/>
    <w:rsid w:val="002C7A84"/>
    <w:rsid w:val="002E4FD9"/>
    <w:rsid w:val="00322A85"/>
    <w:rsid w:val="00324168"/>
    <w:rsid w:val="003448F4"/>
    <w:rsid w:val="00345C7A"/>
    <w:rsid w:val="003706B5"/>
    <w:rsid w:val="00374F5E"/>
    <w:rsid w:val="00377E3E"/>
    <w:rsid w:val="00397181"/>
    <w:rsid w:val="003A26D1"/>
    <w:rsid w:val="003A779E"/>
    <w:rsid w:val="003C44EE"/>
    <w:rsid w:val="003D0F4D"/>
    <w:rsid w:val="003D2E21"/>
    <w:rsid w:val="003D5B0D"/>
    <w:rsid w:val="003E0499"/>
    <w:rsid w:val="003F0E2E"/>
    <w:rsid w:val="003F3941"/>
    <w:rsid w:val="00406575"/>
    <w:rsid w:val="0042722E"/>
    <w:rsid w:val="0044528D"/>
    <w:rsid w:val="004A1847"/>
    <w:rsid w:val="004A305D"/>
    <w:rsid w:val="004F21C4"/>
    <w:rsid w:val="004F685F"/>
    <w:rsid w:val="00504439"/>
    <w:rsid w:val="005566E8"/>
    <w:rsid w:val="00574867"/>
    <w:rsid w:val="00591460"/>
    <w:rsid w:val="00592628"/>
    <w:rsid w:val="005C3777"/>
    <w:rsid w:val="005C5CDC"/>
    <w:rsid w:val="005D476C"/>
    <w:rsid w:val="00610812"/>
    <w:rsid w:val="006219F8"/>
    <w:rsid w:val="00650FF7"/>
    <w:rsid w:val="00654E2F"/>
    <w:rsid w:val="00665D70"/>
    <w:rsid w:val="00671DAC"/>
    <w:rsid w:val="006818CD"/>
    <w:rsid w:val="006900D9"/>
    <w:rsid w:val="006D12F8"/>
    <w:rsid w:val="00706C16"/>
    <w:rsid w:val="00756841"/>
    <w:rsid w:val="007649AB"/>
    <w:rsid w:val="00771D0C"/>
    <w:rsid w:val="00773081"/>
    <w:rsid w:val="007833AC"/>
    <w:rsid w:val="007B268C"/>
    <w:rsid w:val="007B7171"/>
    <w:rsid w:val="007C0C0F"/>
    <w:rsid w:val="007C3DC2"/>
    <w:rsid w:val="007D0D7E"/>
    <w:rsid w:val="007E5497"/>
    <w:rsid w:val="00806F5F"/>
    <w:rsid w:val="00814890"/>
    <w:rsid w:val="00820278"/>
    <w:rsid w:val="008843B6"/>
    <w:rsid w:val="00891928"/>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F0F07"/>
    <w:rsid w:val="009F3A13"/>
    <w:rsid w:val="00A122D3"/>
    <w:rsid w:val="00A17F13"/>
    <w:rsid w:val="00A20739"/>
    <w:rsid w:val="00A31B3B"/>
    <w:rsid w:val="00A33C78"/>
    <w:rsid w:val="00AB0ADB"/>
    <w:rsid w:val="00B01B1A"/>
    <w:rsid w:val="00B1092D"/>
    <w:rsid w:val="00B65013"/>
    <w:rsid w:val="00B72CD3"/>
    <w:rsid w:val="00B72FFF"/>
    <w:rsid w:val="00BC3D36"/>
    <w:rsid w:val="00BD7F72"/>
    <w:rsid w:val="00C04FB3"/>
    <w:rsid w:val="00C330EB"/>
    <w:rsid w:val="00C4079A"/>
    <w:rsid w:val="00C754BE"/>
    <w:rsid w:val="00C76B1C"/>
    <w:rsid w:val="00C7780F"/>
    <w:rsid w:val="00CA0BCD"/>
    <w:rsid w:val="00CB6357"/>
    <w:rsid w:val="00CB754D"/>
    <w:rsid w:val="00CC1B26"/>
    <w:rsid w:val="00D423A2"/>
    <w:rsid w:val="00D520D8"/>
    <w:rsid w:val="00D63AC2"/>
    <w:rsid w:val="00D7383B"/>
    <w:rsid w:val="00DA231B"/>
    <w:rsid w:val="00DA23A0"/>
    <w:rsid w:val="00DC39FC"/>
    <w:rsid w:val="00DF03C6"/>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06F28A15"/>
    <w:rsid w:val="168779A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relatoria.colombiacompra.gov.co/busqueda/conceptos"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colombiacompra.gov.co/content/documentos-tipo-infraestructura-de-agua-potable-y-saneamiento-basico"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image" Target="media/image3.png"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olombiacompra.gov.co/sala-de-prensa/boletin-digital"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CBED005-3BE7-8445-9A4B-01825F359D68}">
  <ds:schemaRefs>
    <ds:schemaRef ds:uri="http://schemas.openxmlformats.org/officeDocument/2006/bibliography"/>
  </ds:schemaRefs>
</ds:datastoreItem>
</file>

<file path=customXml/itemProps4.xml><?xml version="1.0" encoding="utf-8"?>
<ds:datastoreItem xmlns:ds="http://schemas.openxmlformats.org/officeDocument/2006/customXml" ds:itemID="{99A04E8F-5DD0-4D22-986C-8FB72845DC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Gloria Ximena Moreno Guio</lastModifiedBy>
  <revision>7</revision>
  <lastPrinted>2023-01-10T21:18:00.0000000Z</lastPrinted>
  <dcterms:created xsi:type="dcterms:W3CDTF">2024-08-09T21:14:00.0000000Z</dcterms:created>
  <dcterms:modified xsi:type="dcterms:W3CDTF">2024-08-23T22:17:35.8267763Z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