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A988" w14:textId="77777777" w:rsidR="008B1644" w:rsidRPr="00C4224D" w:rsidRDefault="008B1644" w:rsidP="008B1644">
      <w:pPr>
        <w:spacing w:after="0" w:line="240" w:lineRule="auto"/>
        <w:contextualSpacing/>
        <w:jc w:val="both"/>
        <w:rPr>
          <w:rFonts w:ascii="Verdana" w:eastAsia="Calibri" w:hAnsi="Verdana" w:cs="Arial"/>
          <w:b/>
          <w:lang w:val="es-MX"/>
        </w:rPr>
      </w:pPr>
      <w:bookmarkStart w:id="0" w:name="_Hlk143780582"/>
      <w:r w:rsidRPr="00C4224D">
        <w:rPr>
          <w:rFonts w:ascii="Verdana" w:eastAsia="Calibri" w:hAnsi="Verdana" w:cs="Arial"/>
          <w:b/>
          <w:lang w:val="es-MX"/>
        </w:rPr>
        <w:t>PLIEGOS DE CONDICIONES – Naturaleza</w:t>
      </w:r>
    </w:p>
    <w:p w14:paraId="30069E73" w14:textId="77777777" w:rsidR="008B1644" w:rsidRPr="00C4224D" w:rsidRDefault="008B1644" w:rsidP="008B1644">
      <w:pPr>
        <w:spacing w:after="0" w:line="240" w:lineRule="auto"/>
        <w:contextualSpacing/>
        <w:jc w:val="both"/>
        <w:rPr>
          <w:rFonts w:ascii="Verdana" w:eastAsia="Calibri" w:hAnsi="Verdana" w:cs="Arial"/>
          <w:bCs/>
          <w:sz w:val="20"/>
          <w:szCs w:val="20"/>
          <w:lang w:val="es-MX"/>
        </w:rPr>
      </w:pPr>
    </w:p>
    <w:p w14:paraId="08F965AB" w14:textId="77777777" w:rsidR="008B1644" w:rsidRPr="00C4224D" w:rsidRDefault="008B1644" w:rsidP="008B1644">
      <w:pPr>
        <w:spacing w:after="0" w:line="240" w:lineRule="auto"/>
        <w:contextualSpacing/>
        <w:jc w:val="both"/>
        <w:rPr>
          <w:rFonts w:ascii="Verdana" w:eastAsia="Calibri" w:hAnsi="Verdana" w:cs="Arial"/>
          <w:color w:val="000000" w:themeColor="text1"/>
          <w:sz w:val="20"/>
          <w:szCs w:val="20"/>
        </w:rPr>
      </w:pPr>
      <w:r w:rsidRPr="00C4224D">
        <w:rPr>
          <w:rFonts w:ascii="Verdana" w:eastAsia="Calibri" w:hAnsi="Verdana" w:cs="Arial"/>
          <w:bCs/>
          <w:sz w:val="20"/>
          <w:szCs w:val="20"/>
          <w:lang w:val="es-MX"/>
        </w:rPr>
        <w:t xml:space="preserve">[…] </w:t>
      </w:r>
      <w:r w:rsidRPr="00C4224D">
        <w:rPr>
          <w:rFonts w:ascii="Verdana" w:eastAsia="Calibri" w:hAnsi="Verdana" w:cs="Arial"/>
          <w:color w:val="000000" w:themeColor="text1"/>
          <w:sz w:val="20"/>
          <w:szCs w:val="20"/>
        </w:rPr>
        <w:t xml:space="preserve">el Consejo de Estado ha determinado que el pliego de condiciones es ley para las partes, y en él se debe establecer la regulación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C4224D">
        <w:rPr>
          <w:rFonts w:ascii="Verdana" w:eastAsia="Calibri" w:hAnsi="Verdana" w:cs="Arial"/>
          <w:color w:val="000000" w:themeColor="text1"/>
          <w:sz w:val="20"/>
          <w:szCs w:val="20"/>
        </w:rPr>
        <w:t>ii</w:t>
      </w:r>
      <w:proofErr w:type="spellEnd"/>
      <w:r w:rsidRPr="00C4224D">
        <w:rPr>
          <w:rFonts w:ascii="Verdana" w:eastAsia="Calibri" w:hAnsi="Verdana" w:cs="Arial"/>
          <w:color w:val="000000" w:themeColor="text1"/>
          <w:sz w:val="20"/>
          <w:szCs w:val="20"/>
        </w:rPr>
        <w:t xml:space="preserve">) modalidad y criterios de selección, </w:t>
      </w:r>
      <w:proofErr w:type="spellStart"/>
      <w:r w:rsidRPr="00C4224D">
        <w:rPr>
          <w:rFonts w:ascii="Verdana" w:eastAsia="Calibri" w:hAnsi="Verdana" w:cs="Arial"/>
          <w:color w:val="000000" w:themeColor="text1"/>
          <w:sz w:val="20"/>
          <w:szCs w:val="20"/>
        </w:rPr>
        <w:t>iii</w:t>
      </w:r>
      <w:proofErr w:type="spellEnd"/>
      <w:r w:rsidRPr="00C4224D">
        <w:rPr>
          <w:rFonts w:ascii="Verdana" w:eastAsia="Calibri" w:hAnsi="Verdana" w:cs="Arial"/>
          <w:color w:val="000000" w:themeColor="text1"/>
          <w:sz w:val="20"/>
          <w:szCs w:val="20"/>
        </w:rPr>
        <w:t xml:space="preserve">) valoración económica del bien, obra o servicio, </w:t>
      </w:r>
      <w:proofErr w:type="spellStart"/>
      <w:r w:rsidRPr="00C4224D">
        <w:rPr>
          <w:rFonts w:ascii="Verdana" w:eastAsia="Calibri" w:hAnsi="Verdana" w:cs="Arial"/>
          <w:color w:val="000000" w:themeColor="text1"/>
          <w:sz w:val="20"/>
          <w:szCs w:val="20"/>
        </w:rPr>
        <w:t>iv</w:t>
      </w:r>
      <w:proofErr w:type="spellEnd"/>
      <w:r w:rsidRPr="00C4224D">
        <w:rPr>
          <w:rFonts w:ascii="Verdana" w:eastAsia="Calibri" w:hAnsi="Verdana" w:cs="Arial"/>
          <w:color w:val="000000" w:themeColor="text1"/>
          <w:sz w:val="20"/>
          <w:szCs w:val="20"/>
        </w:rPr>
        <w:t>) reglas de la presentación y manejo de las ofertas, v) riesgos y garantías, entre otros aspectos del contrato.</w:t>
      </w:r>
    </w:p>
    <w:p w14:paraId="62BDF3F6" w14:textId="77777777" w:rsidR="008B1644" w:rsidRPr="00C4224D" w:rsidRDefault="008B1644" w:rsidP="008B1644">
      <w:pPr>
        <w:spacing w:after="0" w:line="240" w:lineRule="auto"/>
        <w:contextualSpacing/>
        <w:jc w:val="both"/>
        <w:rPr>
          <w:rFonts w:ascii="Verdana" w:eastAsia="Calibri" w:hAnsi="Verdana" w:cs="Arial"/>
          <w:bCs/>
          <w:sz w:val="20"/>
          <w:szCs w:val="20"/>
        </w:rPr>
      </w:pPr>
    </w:p>
    <w:p w14:paraId="2C450FF7" w14:textId="77777777" w:rsidR="008B1644" w:rsidRPr="00C4224D" w:rsidRDefault="008B1644" w:rsidP="008B1644">
      <w:pPr>
        <w:spacing w:after="0" w:line="240" w:lineRule="auto"/>
        <w:contextualSpacing/>
        <w:jc w:val="both"/>
        <w:rPr>
          <w:rFonts w:ascii="Verdana" w:eastAsia="Calibri" w:hAnsi="Verdana" w:cs="Arial"/>
          <w:bCs/>
          <w:sz w:val="20"/>
          <w:szCs w:val="20"/>
          <w:lang w:val="es-MX"/>
        </w:rPr>
      </w:pPr>
      <w:r w:rsidRPr="00C4224D">
        <w:rPr>
          <w:rFonts w:ascii="Verdana" w:eastAsia="Calibri" w:hAnsi="Verdana" w:cs="Arial"/>
          <w:bCs/>
          <w:sz w:val="20"/>
          <w:szCs w:val="20"/>
          <w:lang w:val="es-MX"/>
        </w:rPr>
        <w:t>[…]</w:t>
      </w:r>
    </w:p>
    <w:p w14:paraId="70824A46" w14:textId="77777777" w:rsidR="008B1644" w:rsidRPr="00C4224D" w:rsidRDefault="008B1644" w:rsidP="008B1644">
      <w:pPr>
        <w:spacing w:after="0" w:line="240" w:lineRule="auto"/>
        <w:contextualSpacing/>
        <w:jc w:val="both"/>
        <w:rPr>
          <w:rFonts w:ascii="Verdana" w:eastAsia="Calibri" w:hAnsi="Verdana" w:cs="Arial"/>
          <w:bCs/>
          <w:sz w:val="20"/>
          <w:szCs w:val="20"/>
          <w:lang w:val="es-MX"/>
        </w:rPr>
      </w:pPr>
    </w:p>
    <w:p w14:paraId="51684D93" w14:textId="77777777" w:rsidR="008B1644" w:rsidRPr="00C4224D" w:rsidRDefault="008B1644" w:rsidP="008B1644">
      <w:pPr>
        <w:spacing w:after="0" w:line="240" w:lineRule="auto"/>
        <w:contextualSpacing/>
        <w:jc w:val="both"/>
        <w:rPr>
          <w:rFonts w:ascii="Verdana" w:eastAsia="Calibri" w:hAnsi="Verdana" w:cs="Arial"/>
          <w:sz w:val="20"/>
          <w:szCs w:val="20"/>
          <w:lang w:val="es-ES"/>
        </w:rPr>
      </w:pPr>
      <w:r w:rsidRPr="00C4224D">
        <w:rPr>
          <w:rFonts w:ascii="Verdana" w:eastAsia="Calibri" w:hAnsi="Verdana" w:cs="Arial"/>
          <w:sz w:val="20"/>
          <w:szCs w:val="20"/>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sz w:val="20"/>
          <w:szCs w:val="20"/>
          <w:lang w:val="es-ES"/>
        </w:rPr>
        <w:t>.</w:t>
      </w:r>
    </w:p>
    <w:p w14:paraId="2974DAD8" w14:textId="77777777" w:rsidR="008B1644" w:rsidRPr="00C4224D" w:rsidRDefault="008B1644" w:rsidP="008B1644">
      <w:pPr>
        <w:spacing w:after="0" w:line="240" w:lineRule="auto"/>
        <w:contextualSpacing/>
        <w:jc w:val="both"/>
        <w:rPr>
          <w:rFonts w:ascii="Verdana" w:eastAsia="Calibri" w:hAnsi="Verdana" w:cs="Arial"/>
          <w:bCs/>
          <w:sz w:val="20"/>
          <w:szCs w:val="20"/>
          <w:lang w:val="es-MX"/>
        </w:rPr>
      </w:pPr>
    </w:p>
    <w:p w14:paraId="02FC4D2A" w14:textId="77777777" w:rsidR="008B1644" w:rsidRPr="00C4224D" w:rsidRDefault="008B1644" w:rsidP="008B1644">
      <w:pPr>
        <w:spacing w:after="0" w:line="240" w:lineRule="auto"/>
        <w:contextualSpacing/>
        <w:jc w:val="both"/>
        <w:rPr>
          <w:rFonts w:ascii="Verdana" w:eastAsia="Calibri" w:hAnsi="Verdana" w:cs="Arial"/>
          <w:b/>
        </w:rPr>
      </w:pPr>
      <w:r w:rsidRPr="00C4224D">
        <w:rPr>
          <w:rFonts w:ascii="Verdana" w:eastAsia="Calibri" w:hAnsi="Verdana" w:cs="Arial"/>
          <w:b/>
          <w:lang w:val="es-MX"/>
        </w:rPr>
        <w:t>PLIEGOS DE CONDICIONES – Otros documentos – Contradicción información</w:t>
      </w:r>
    </w:p>
    <w:p w14:paraId="2428FCAE" w14:textId="77777777" w:rsidR="008B1644" w:rsidRPr="00C4224D" w:rsidRDefault="008B1644" w:rsidP="008B1644">
      <w:pPr>
        <w:spacing w:after="0" w:line="240" w:lineRule="auto"/>
        <w:contextualSpacing/>
        <w:jc w:val="both"/>
        <w:rPr>
          <w:rFonts w:ascii="Verdana" w:eastAsia="Batang" w:hAnsi="Verdana" w:cs="Arial"/>
          <w:sz w:val="20"/>
          <w:szCs w:val="20"/>
          <w:lang w:val="es-MX"/>
        </w:rPr>
      </w:pPr>
    </w:p>
    <w:p w14:paraId="5372706F" w14:textId="77777777" w:rsidR="008B1644" w:rsidRDefault="008B1644" w:rsidP="008B1644">
      <w:pPr>
        <w:spacing w:after="0" w:line="240" w:lineRule="auto"/>
        <w:contextualSpacing/>
        <w:jc w:val="both"/>
        <w:rPr>
          <w:rFonts w:ascii="Verdana" w:eastAsia="Batang" w:hAnsi="Verdana" w:cs="Arial"/>
          <w:i/>
          <w:iCs/>
          <w:sz w:val="20"/>
          <w:szCs w:val="20"/>
          <w:lang w:val="es-MX"/>
        </w:rPr>
      </w:pPr>
      <w:r w:rsidRPr="00C4224D">
        <w:rPr>
          <w:rFonts w:ascii="Verdana" w:eastAsia="Batang" w:hAnsi="Verdana" w:cs="Arial"/>
          <w:sz w:val="20"/>
          <w:szCs w:val="20"/>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C4224D">
        <w:rPr>
          <w:rFonts w:ascii="Verdana" w:eastAsia="Batang" w:hAnsi="Verdana" w:cs="Arial"/>
          <w:i/>
          <w:iCs/>
          <w:sz w:val="20"/>
          <w:szCs w:val="20"/>
          <w:lang w:val="es-MX"/>
        </w:rPr>
        <w:t xml:space="preserve">“con sujeción a los principios generales </w:t>
      </w:r>
      <w:proofErr w:type="gramStart"/>
      <w:r w:rsidRPr="00C4224D">
        <w:rPr>
          <w:rFonts w:ascii="Verdana" w:eastAsia="Batang" w:hAnsi="Verdana" w:cs="Arial"/>
          <w:i/>
          <w:iCs/>
          <w:sz w:val="20"/>
          <w:szCs w:val="20"/>
          <w:lang w:val="es-MX"/>
        </w:rPr>
        <w:t>del derechos</w:t>
      </w:r>
      <w:proofErr w:type="gramEnd"/>
      <w:r w:rsidRPr="00C4224D">
        <w:rPr>
          <w:rFonts w:ascii="Verdana" w:eastAsia="Batang" w:hAnsi="Verdana" w:cs="Arial"/>
          <w:i/>
          <w:iCs/>
          <w:sz w:val="20"/>
          <w:szCs w:val="20"/>
          <w:lang w:val="es-MX"/>
        </w:rPr>
        <w:t>, a los de la función administrativa, a la finalidad del pliego y a la protección del interés general, de conformidad con lo previsto en el artículo 23 de la Ley 80 de 1993”.</w:t>
      </w:r>
    </w:p>
    <w:p w14:paraId="68503F45" w14:textId="77777777" w:rsidR="008B1644" w:rsidRPr="00C4224D" w:rsidRDefault="008B1644" w:rsidP="008B1644">
      <w:pPr>
        <w:spacing w:after="0" w:line="240" w:lineRule="auto"/>
        <w:contextualSpacing/>
        <w:jc w:val="both"/>
        <w:rPr>
          <w:rFonts w:ascii="Verdana" w:eastAsia="Batang" w:hAnsi="Verdana" w:cs="Arial"/>
          <w:sz w:val="20"/>
          <w:szCs w:val="20"/>
          <w:lang w:val="es-MX"/>
        </w:rPr>
      </w:pPr>
    </w:p>
    <w:p w14:paraId="699817F3" w14:textId="77777777" w:rsidR="008B1644" w:rsidRPr="00C4224D" w:rsidRDefault="008B1644" w:rsidP="008B1644">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lang w:val="es-MX"/>
        </w:rPr>
        <w:t xml:space="preserve">De acuerdo con lo anterior, en atención al problema jurídico planteado, es posible establecer, por ejemplo, que </w:t>
      </w:r>
      <w:r w:rsidRPr="00C4224D">
        <w:rPr>
          <w:rFonts w:ascii="Verdana" w:eastAsia="Batang" w:hAnsi="Verdana" w:cs="Arial"/>
          <w:sz w:val="20"/>
          <w:szCs w:val="20"/>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0ADBB5F9" w14:textId="77777777" w:rsidR="008B1644" w:rsidRPr="00C4224D" w:rsidRDefault="008B1644" w:rsidP="008B1644">
      <w:pPr>
        <w:spacing w:after="0" w:line="240" w:lineRule="auto"/>
        <w:contextualSpacing/>
        <w:jc w:val="both"/>
        <w:rPr>
          <w:rFonts w:ascii="Verdana" w:eastAsia="Calibri" w:hAnsi="Verdana" w:cs="Arial"/>
          <w:sz w:val="20"/>
          <w:szCs w:val="20"/>
        </w:rPr>
      </w:pPr>
    </w:p>
    <w:p w14:paraId="29E0CC21" w14:textId="77777777" w:rsidR="008B1644" w:rsidRPr="00C4224D" w:rsidRDefault="008B1644" w:rsidP="008B1644">
      <w:pPr>
        <w:spacing w:after="0" w:line="240" w:lineRule="auto"/>
        <w:contextualSpacing/>
        <w:jc w:val="both"/>
        <w:rPr>
          <w:rFonts w:ascii="Verdana" w:eastAsia="Calibri" w:hAnsi="Verdana" w:cs="Arial"/>
          <w:b/>
          <w:bCs/>
          <w:lang w:val="es-ES" w:eastAsia="es-ES"/>
        </w:rPr>
      </w:pPr>
      <w:r w:rsidRPr="00C4224D">
        <w:rPr>
          <w:rFonts w:ascii="Verdana" w:eastAsia="Calibri" w:hAnsi="Verdana" w:cs="Arial"/>
          <w:b/>
          <w:bCs/>
        </w:rPr>
        <w:t>INTERPRETACIÓN – Reglas</w:t>
      </w:r>
      <w:r w:rsidRPr="00C4224D">
        <w:rPr>
          <w:rFonts w:ascii="Verdana" w:eastAsia="Calibri" w:hAnsi="Verdana" w:cs="Arial"/>
          <w:b/>
          <w:bCs/>
          <w:lang w:val="es-ES" w:eastAsia="es-ES"/>
        </w:rPr>
        <w:t xml:space="preserve"> de interpretación </w:t>
      </w:r>
    </w:p>
    <w:p w14:paraId="3003CA15" w14:textId="77777777" w:rsidR="008B1644" w:rsidRPr="00C4224D" w:rsidRDefault="008B1644" w:rsidP="008B1644">
      <w:pPr>
        <w:spacing w:after="0" w:line="240" w:lineRule="auto"/>
        <w:contextualSpacing/>
        <w:rPr>
          <w:rFonts w:ascii="Verdana" w:hAnsi="Verdana"/>
          <w:sz w:val="20"/>
          <w:szCs w:val="20"/>
          <w:lang w:val="es-ES"/>
        </w:rPr>
      </w:pPr>
    </w:p>
    <w:p w14:paraId="1C6C5508" w14:textId="77777777" w:rsidR="008B1644" w:rsidRDefault="008B1644" w:rsidP="008B1644">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Sin perjuicio de lo anterior, la entidad, proponentes o contratista podrán acudir, en lo pertinente, a las reglas de interpretación </w:t>
      </w:r>
      <w:r w:rsidRPr="00C4224D">
        <w:rPr>
          <w:rFonts w:ascii="Verdana" w:eastAsia="Batang" w:hAnsi="Verdana" w:cs="Arial"/>
          <w:sz w:val="20"/>
          <w:szCs w:val="20"/>
          <w:lang w:val="es-MX"/>
        </w:rPr>
        <w:t xml:space="preserve">objetivas y subjetivas conforme a los artículos 1618 a 1624 del Código Civil. Por una parte, las </w:t>
      </w:r>
      <w:r w:rsidRPr="00C4224D">
        <w:rPr>
          <w:rFonts w:ascii="Verdana" w:eastAsia="Batang" w:hAnsi="Verdana" w:cs="Arial"/>
          <w:i/>
          <w:iCs/>
          <w:sz w:val="20"/>
          <w:szCs w:val="20"/>
          <w:lang w:val="es-MX"/>
        </w:rPr>
        <w:t>objetivas</w:t>
      </w:r>
      <w:r w:rsidRPr="00C4224D">
        <w:rPr>
          <w:rFonts w:ascii="Verdana" w:eastAsia="Batang" w:hAnsi="Verdana" w:cs="Arial"/>
          <w:sz w:val="20"/>
          <w:szCs w:val="20"/>
          <w:lang w:val="es-MX"/>
        </w:rPr>
        <w:t xml:space="preserve"> son las siguientes: i) una vez conocida la intención de los contratantes ha de estarse más a ella que a lo literal de las </w:t>
      </w:r>
      <w:r w:rsidRPr="00C4224D">
        <w:rPr>
          <w:rFonts w:ascii="Verdana" w:eastAsia="Batang" w:hAnsi="Verdana" w:cs="Arial"/>
          <w:sz w:val="20"/>
          <w:szCs w:val="20"/>
          <w:lang w:val="es-MX"/>
        </w:rPr>
        <w:lastRenderedPageBreak/>
        <w:t xml:space="preserve">palabras (artículo 1618 del Código Civil); </w:t>
      </w:r>
      <w:proofErr w:type="spellStart"/>
      <w:r w:rsidRPr="00C4224D">
        <w:rPr>
          <w:rFonts w:ascii="Verdana" w:eastAsia="Batang" w:hAnsi="Verdana" w:cs="Arial"/>
          <w:sz w:val="20"/>
          <w:szCs w:val="20"/>
          <w:lang w:val="es-MX"/>
        </w:rPr>
        <w:t>ii</w:t>
      </w:r>
      <w:proofErr w:type="spellEnd"/>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iii</w:t>
      </w:r>
      <w:proofErr w:type="spellEnd"/>
      <w:r w:rsidRPr="00C4224D">
        <w:rPr>
          <w:rFonts w:ascii="Verdana" w:eastAsia="Batang" w:hAnsi="Verdana" w:cs="Arial"/>
          <w:sz w:val="20"/>
          <w:szCs w:val="20"/>
        </w:rPr>
        <w:t xml:space="preserve">) las cláusulas deben interpretarse unas por otras, dándole a cada una el sentido que más convenga al contrato en su totalidad (artículo 1622, inciso 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iv</w:t>
      </w:r>
      <w:proofErr w:type="spellEnd"/>
      <w:r w:rsidRPr="00C4224D">
        <w:rPr>
          <w:rFonts w:ascii="Verdana" w:eastAsia="Batang" w:hAnsi="Verdana" w:cs="Arial"/>
          <w:sz w:val="20"/>
          <w:szCs w:val="20"/>
        </w:rPr>
        <w:t xml:space="preserve">) si en un contrato se expresa un caso para explicar la obligación se entiende que esa mención no es restrictiva sino ejemplificativa (artículo 1623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p>
    <w:p w14:paraId="0306DFBD" w14:textId="77777777" w:rsidR="008B1644" w:rsidRDefault="008B1644" w:rsidP="008B1644">
      <w:pPr>
        <w:spacing w:after="0" w:line="240" w:lineRule="auto"/>
        <w:contextualSpacing/>
        <w:jc w:val="both"/>
        <w:rPr>
          <w:rFonts w:ascii="Verdana" w:eastAsia="Batang" w:hAnsi="Verdana" w:cs="Arial"/>
          <w:sz w:val="20"/>
          <w:szCs w:val="20"/>
        </w:rPr>
      </w:pPr>
    </w:p>
    <w:p w14:paraId="39C2023E" w14:textId="77777777" w:rsidR="008B1644" w:rsidRPr="00C4224D" w:rsidRDefault="008B1644" w:rsidP="008B1644">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Por su parte, las reglas </w:t>
      </w:r>
      <w:r w:rsidRPr="00C4224D">
        <w:rPr>
          <w:rFonts w:ascii="Verdana" w:eastAsia="Batang" w:hAnsi="Verdana" w:cs="Arial"/>
          <w:i/>
          <w:iCs/>
          <w:sz w:val="20"/>
          <w:szCs w:val="20"/>
        </w:rPr>
        <w:t>subjetivas</w:t>
      </w:r>
      <w:r w:rsidRPr="00C4224D">
        <w:rPr>
          <w:rFonts w:ascii="Verdana" w:eastAsia="Batang" w:hAnsi="Verdana" w:cs="Arial"/>
          <w:sz w:val="20"/>
          <w:szCs w:val="20"/>
        </w:rPr>
        <w:t xml:space="preserve"> de interpretación se refieren a las siguientes: vi) </w:t>
      </w:r>
      <w:r w:rsidRPr="00C4224D">
        <w:rPr>
          <w:rFonts w:ascii="Verdana" w:eastAsia="Batang" w:hAnsi="Verdana" w:cs="Arial"/>
          <w:sz w:val="20"/>
          <w:szCs w:val="20"/>
          <w:lang w:val="es-MX"/>
        </w:rPr>
        <w:t xml:space="preserve">el sentido en que una cláusula pueda producir algún efecto deberá preferirse a aquel en que no produzca efecto alguno </w:t>
      </w:r>
      <w:r w:rsidRPr="00C4224D">
        <w:rPr>
          <w:rFonts w:ascii="Verdana" w:eastAsia="Batang" w:hAnsi="Verdana" w:cs="Arial"/>
          <w:sz w:val="20"/>
          <w:szCs w:val="20"/>
        </w:rPr>
        <w:t xml:space="preserve">(artículo 1620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 xml:space="preserve">); </w:t>
      </w:r>
      <w:proofErr w:type="spellStart"/>
      <w:r w:rsidRPr="00C4224D">
        <w:rPr>
          <w:rFonts w:ascii="Verdana" w:eastAsia="Batang" w:hAnsi="Verdana" w:cs="Arial"/>
          <w:sz w:val="20"/>
          <w:szCs w:val="20"/>
        </w:rPr>
        <w:t>vii</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deberá estarse a la interpretación que mejor cuadre con la naturaleza del contrato </w:t>
      </w:r>
      <w:r w:rsidRPr="00C4224D">
        <w:rPr>
          <w:rFonts w:ascii="Verdana" w:eastAsia="Batang" w:hAnsi="Verdana" w:cs="Arial"/>
          <w:sz w:val="20"/>
          <w:szCs w:val="20"/>
        </w:rPr>
        <w:t xml:space="preserve">(artículo 1621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roofErr w:type="spellStart"/>
      <w:r w:rsidRPr="00C4224D">
        <w:rPr>
          <w:rFonts w:ascii="Verdana" w:eastAsia="Batang" w:hAnsi="Verdana" w:cs="Arial"/>
          <w:sz w:val="20"/>
          <w:szCs w:val="20"/>
          <w:lang w:val="es-MX"/>
        </w:rPr>
        <w:t>viii</w:t>
      </w:r>
      <w:proofErr w:type="spellEnd"/>
      <w:r w:rsidRPr="00C4224D">
        <w:rPr>
          <w:rFonts w:ascii="Verdana" w:eastAsia="Batang" w:hAnsi="Verdana" w:cs="Arial"/>
          <w:sz w:val="20"/>
          <w:szCs w:val="20"/>
          <w:lang w:val="es-MX"/>
        </w:rPr>
        <w:t xml:space="preserve">) las cláusulas ambiguas se interpretan a favor del deudor </w:t>
      </w:r>
      <w:r w:rsidRPr="00C4224D">
        <w:rPr>
          <w:rFonts w:ascii="Verdana" w:eastAsia="Batang" w:hAnsi="Verdana" w:cs="Arial"/>
          <w:sz w:val="20"/>
          <w:szCs w:val="20"/>
        </w:rPr>
        <w:t xml:space="preserve">(artículo 1624, inciso 1 </w:t>
      </w:r>
      <w:proofErr w:type="spellStart"/>
      <w:r w:rsidRPr="00C4224D">
        <w:rPr>
          <w:rFonts w:ascii="Verdana" w:eastAsia="Batang" w:hAnsi="Verdana" w:cs="Arial"/>
          <w:sz w:val="20"/>
          <w:szCs w:val="20"/>
        </w:rPr>
        <w:t>ibídem</w:t>
      </w:r>
      <w:proofErr w:type="spellEnd"/>
      <w:r w:rsidRPr="00C4224D">
        <w:rPr>
          <w:rFonts w:ascii="Verdana" w:eastAsia="Batang" w:hAnsi="Verdana" w:cs="Arial"/>
          <w:sz w:val="20"/>
          <w:szCs w:val="20"/>
        </w:rPr>
        <w:t xml:space="preserve">); y </w:t>
      </w:r>
      <w:proofErr w:type="spellStart"/>
      <w:r w:rsidRPr="00C4224D">
        <w:rPr>
          <w:rFonts w:ascii="Verdana" w:eastAsia="Batang" w:hAnsi="Verdana" w:cs="Arial"/>
          <w:sz w:val="20"/>
          <w:szCs w:val="20"/>
        </w:rPr>
        <w:t>ix</w:t>
      </w:r>
      <w:proofErr w:type="spellEnd"/>
      <w:r w:rsidRPr="00C4224D">
        <w:rPr>
          <w:rFonts w:ascii="Verdana" w:eastAsia="Batang" w:hAnsi="Verdana" w:cs="Arial"/>
          <w:i/>
          <w:iCs/>
          <w:sz w:val="20"/>
          <w:szCs w:val="20"/>
        </w:rPr>
        <w:t>)</w:t>
      </w:r>
      <w:r w:rsidRPr="00C4224D">
        <w:rPr>
          <w:rFonts w:ascii="Verdana" w:eastAsia="Batang" w:hAnsi="Verdana" w:cs="Arial"/>
          <w:i/>
          <w:iCs/>
          <w:sz w:val="20"/>
          <w:szCs w:val="20"/>
          <w:lang w:val="es-MX"/>
        </w:rPr>
        <w:t xml:space="preserve"> las cláusulas oscuras que hayan sido extendidas o dictadas por una parte se interpretarán contra ella si la ambigüedad proviene de una explicación que ésta ha debido dar</w:t>
      </w:r>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(artículo 1624, inciso 2 </w:t>
      </w:r>
      <w:proofErr w:type="spellStart"/>
      <w:r w:rsidRPr="00C4224D">
        <w:rPr>
          <w:rFonts w:ascii="Verdana" w:eastAsia="Batang" w:hAnsi="Verdana" w:cs="Arial"/>
          <w:i/>
          <w:iCs/>
          <w:sz w:val="20"/>
          <w:szCs w:val="20"/>
        </w:rPr>
        <w:t>ibídem</w:t>
      </w:r>
      <w:proofErr w:type="spellEnd"/>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
    <w:p w14:paraId="62DCE149" w14:textId="77777777" w:rsidR="008B1644" w:rsidRDefault="008B1644" w:rsidP="008B1644">
      <w:pPr>
        <w:spacing w:after="0" w:line="240" w:lineRule="auto"/>
        <w:rPr>
          <w:rFonts w:ascii="Verdana" w:eastAsia="Geomanist Light" w:hAnsi="Verdana" w:cs="Arial"/>
          <w:color w:val="000000" w:themeColor="text1"/>
          <w:lang w:val="es-MX"/>
        </w:rPr>
      </w:pPr>
    </w:p>
    <w:p w14:paraId="67936D10" w14:textId="77777777" w:rsidR="00EE6713" w:rsidRDefault="008B1644" w:rsidP="008B1644">
      <w:pPr>
        <w:rPr>
          <w:rFonts w:ascii="Verdana" w:eastAsia="Calibri" w:hAnsi="Verdana" w:cs="Arial"/>
          <w:b/>
          <w:bCs/>
          <w:lang w:val="es-ES_tradnl"/>
        </w:rPr>
      </w:pPr>
      <w:r w:rsidRPr="008B1644">
        <w:rPr>
          <w:rFonts w:ascii="Verdana" w:eastAsia="Calibri" w:hAnsi="Verdana" w:cs="Arial"/>
          <w:b/>
          <w:bCs/>
          <w:lang w:val="es-ES_tradnl"/>
        </w:rPr>
        <w:t xml:space="preserve">PREVALENCIA DEL DERECHO SUSTANCIAL – Principio constitucional </w:t>
      </w:r>
    </w:p>
    <w:p w14:paraId="1DCBF547" w14:textId="4A9F96DC" w:rsidR="00EE6713" w:rsidRPr="00EE6713" w:rsidRDefault="00EE6713" w:rsidP="00EE6713">
      <w:pPr>
        <w:spacing w:after="0" w:line="240" w:lineRule="auto"/>
        <w:ind w:firstLine="708"/>
        <w:jc w:val="both"/>
        <w:rPr>
          <w:rFonts w:ascii="Verdana" w:hAnsi="Verdana" w:cs="Arial"/>
          <w:sz w:val="20"/>
          <w:szCs w:val="20"/>
        </w:rPr>
      </w:pPr>
      <w:r w:rsidRPr="00EE6713">
        <w:rPr>
          <w:rFonts w:ascii="Verdana" w:hAnsi="Verdana" w:cs="Arial"/>
          <w:sz w:val="20"/>
          <w:szCs w:val="20"/>
        </w:rPr>
        <w:t>[…]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EE6713">
        <w:rPr>
          <w:rStyle w:val="Refdenotaalpie"/>
          <w:rFonts w:ascii="Verdana" w:hAnsi="Verdana" w:cs="Arial"/>
          <w:sz w:val="20"/>
          <w:szCs w:val="20"/>
        </w:rPr>
        <w:footnoteReference w:id="2"/>
      </w:r>
      <w:r w:rsidRPr="00EE6713">
        <w:rPr>
          <w:rFonts w:ascii="Verdana" w:hAnsi="Verdana" w:cs="Arial"/>
          <w:sz w:val="20"/>
          <w:szCs w:val="20"/>
        </w:rPr>
        <w:t>.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4EBB996A" w14:textId="3B6D34E8" w:rsidR="008B1644" w:rsidRPr="00EE6713" w:rsidRDefault="008B1644" w:rsidP="00EE6713">
      <w:pPr>
        <w:spacing w:line="240" w:lineRule="auto"/>
        <w:rPr>
          <w:rFonts w:ascii="Verdana" w:eastAsia="Geomanist Light" w:hAnsi="Verdana" w:cs="Arial"/>
          <w:b/>
          <w:bCs/>
          <w:color w:val="000000" w:themeColor="text1"/>
          <w:sz w:val="20"/>
          <w:szCs w:val="20"/>
          <w:lang w:val="es-MX"/>
        </w:rPr>
      </w:pPr>
      <w:r w:rsidRPr="00EE6713">
        <w:rPr>
          <w:rFonts w:ascii="Verdana" w:eastAsia="Geomanist Light" w:hAnsi="Verdana" w:cs="Arial"/>
          <w:b/>
          <w:bCs/>
          <w:color w:val="000000" w:themeColor="text1"/>
          <w:sz w:val="20"/>
          <w:szCs w:val="20"/>
          <w:lang w:val="es-MX"/>
        </w:rPr>
        <w:br w:type="page"/>
      </w:r>
    </w:p>
    <w:p w14:paraId="3FE2184B" w14:textId="6C922B92" w:rsidR="00E245AB" w:rsidRPr="0044528D" w:rsidRDefault="00E245AB" w:rsidP="00AA438A">
      <w:pPr>
        <w:spacing w:after="0" w:line="240" w:lineRule="auto"/>
        <w:rPr>
          <w:rFonts w:ascii="Verdana" w:hAnsi="Verdana"/>
        </w:rPr>
      </w:pPr>
      <w:r w:rsidRPr="0044528D">
        <w:rPr>
          <w:rFonts w:ascii="Verdana" w:hAnsi="Verdana"/>
        </w:rPr>
        <w:lastRenderedPageBreak/>
        <w:t xml:space="preserve">Bogotá D.C., </w:t>
      </w:r>
      <w:r w:rsidR="00D5165D">
        <w:rPr>
          <w:rFonts w:ascii="Verdana" w:hAnsi="Verdana"/>
        </w:rPr>
        <w:t>2</w:t>
      </w:r>
      <w:r w:rsidR="00121D3D">
        <w:rPr>
          <w:rFonts w:ascii="Verdana" w:hAnsi="Verdana"/>
        </w:rPr>
        <w:t xml:space="preserve">1 </w:t>
      </w:r>
      <w:proofErr w:type="gramStart"/>
      <w:r w:rsidR="00121D3D">
        <w:rPr>
          <w:rFonts w:ascii="Verdana" w:hAnsi="Verdana"/>
        </w:rPr>
        <w:t>Marzo</w:t>
      </w:r>
      <w:proofErr w:type="gramEnd"/>
      <w:r w:rsidR="00121D3D">
        <w:rPr>
          <w:rFonts w:ascii="Verdana" w:hAnsi="Verdana"/>
        </w:rPr>
        <w:t xml:space="preserve"> 2025</w:t>
      </w:r>
      <w:r w:rsidR="00891928" w:rsidRPr="0044528D">
        <w:rPr>
          <w:rFonts w:ascii="Verdana" w:hAnsi="Verdana"/>
        </w:rPr>
        <w:tab/>
      </w:r>
    </w:p>
    <w:p w14:paraId="5FCADBF9" w14:textId="3559E2E8" w:rsidR="00E245AB" w:rsidRPr="0044528D" w:rsidRDefault="00E245AB" w:rsidP="00AA438A">
      <w:pPr>
        <w:spacing w:after="0" w:line="240" w:lineRule="auto"/>
        <w:rPr>
          <w:rFonts w:ascii="Verdana" w:hAnsi="Verdana"/>
        </w:rPr>
      </w:pPr>
    </w:p>
    <w:p w14:paraId="0ED2302A" w14:textId="5462B87E" w:rsidR="00E925BC" w:rsidRDefault="00952FB6" w:rsidP="00E925BC">
      <w:pPr>
        <w:spacing w:after="0" w:line="240" w:lineRule="auto"/>
        <w:jc w:val="both"/>
        <w:rPr>
          <w:rFonts w:ascii="Verdana" w:eastAsia="Calibri" w:hAnsi="Verdana" w:cs="Arial"/>
          <w:lang w:val="es-ES" w:eastAsia="es-ES"/>
        </w:rPr>
      </w:pPr>
      <w:r w:rsidRPr="00D5165D">
        <w:rPr>
          <w:rFonts w:ascii="Verdana" w:hAnsi="Verdana"/>
          <w:noProof/>
        </w:rPr>
        <w:drawing>
          <wp:anchor distT="0" distB="0" distL="114300" distR="114300" simplePos="0" relativeHeight="251659264" behindDoc="0" locked="0" layoutInCell="1" allowOverlap="1" wp14:anchorId="3F86E656" wp14:editId="55A9FDCD">
            <wp:simplePos x="0" y="0"/>
            <wp:positionH relativeFrom="margin">
              <wp:posOffset>2651760</wp:posOffset>
            </wp:positionH>
            <wp:positionV relativeFrom="paragraph">
              <wp:posOffset>80645</wp:posOffset>
            </wp:positionV>
            <wp:extent cx="2799715" cy="993140"/>
            <wp:effectExtent l="0" t="0" r="635" b="0"/>
            <wp:wrapSquare wrapText="bothSides"/>
            <wp:docPr id="82190674"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0674"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99715" cy="993140"/>
                    </a:xfrm>
                    <a:prstGeom prst="rect">
                      <a:avLst/>
                    </a:prstGeom>
                  </pic:spPr>
                </pic:pic>
              </a:graphicData>
            </a:graphic>
            <wp14:sizeRelH relativeFrom="margin">
              <wp14:pctWidth>0</wp14:pctWidth>
            </wp14:sizeRelH>
            <wp14:sizeRelV relativeFrom="margin">
              <wp14:pctHeight>0</wp14:pctHeight>
            </wp14:sizeRelV>
          </wp:anchor>
        </w:drawing>
      </w:r>
    </w:p>
    <w:p w14:paraId="308E6A3D" w14:textId="77777777" w:rsidR="00E925BC" w:rsidRPr="00B96799" w:rsidRDefault="00E925BC" w:rsidP="00E925BC">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28E7BBA" w14:textId="6DDD0296" w:rsidR="00E925BC" w:rsidRPr="00AC43C1" w:rsidRDefault="00CF6D53" w:rsidP="00E925BC">
      <w:pPr>
        <w:spacing w:after="0" w:line="240" w:lineRule="auto"/>
        <w:rPr>
          <w:rFonts w:ascii="Verdana" w:eastAsia="Calibri" w:hAnsi="Verdana" w:cs="Arial"/>
          <w:b/>
          <w:lang w:val="es-ES" w:eastAsia="es-ES"/>
        </w:rPr>
      </w:pPr>
      <w:r w:rsidRPr="40CC0933">
        <w:rPr>
          <w:rFonts w:ascii="Verdana" w:eastAsia="Calibri" w:hAnsi="Verdana" w:cs="Arial"/>
          <w:b/>
          <w:bCs/>
          <w:lang w:val="es-ES" w:eastAsia="es-ES"/>
        </w:rPr>
        <w:t xml:space="preserve">Miguel Arturo Bautista </w:t>
      </w:r>
      <w:proofErr w:type="spellStart"/>
      <w:r w:rsidRPr="40CC0933">
        <w:rPr>
          <w:rFonts w:ascii="Verdana" w:eastAsia="Calibri" w:hAnsi="Verdana" w:cs="Arial"/>
          <w:b/>
          <w:bCs/>
          <w:lang w:val="es-ES" w:eastAsia="es-ES"/>
        </w:rPr>
        <w:t>Fernandez</w:t>
      </w:r>
      <w:proofErr w:type="spellEnd"/>
    </w:p>
    <w:p w14:paraId="0F2D790C" w14:textId="77777777" w:rsidR="00E925BC" w:rsidRPr="00AC43C1" w:rsidRDefault="00E925BC" w:rsidP="00E925BC">
      <w:pPr>
        <w:spacing w:after="0" w:line="240" w:lineRule="auto"/>
        <w:rPr>
          <w:rStyle w:val="Hipervnculo"/>
          <w:color w:val="4472C4" w:themeColor="accent1"/>
          <w:lang w:val="es-ES" w:eastAsia="es-ES"/>
        </w:rPr>
      </w:pPr>
      <w:r w:rsidRPr="00AC43C1">
        <w:rPr>
          <w:rStyle w:val="Hipervnculo"/>
          <w:rFonts w:ascii="Verdana" w:eastAsia="Calibri" w:hAnsi="Verdana" w:cs="Arial"/>
          <w:color w:val="4472C4" w:themeColor="accent1"/>
          <w:lang w:val="es-ES" w:eastAsia="es-ES"/>
        </w:rPr>
        <w:t>miguelbautistaabogado@gmail.com</w:t>
      </w:r>
    </w:p>
    <w:p w14:paraId="5E89791B" w14:textId="77777777" w:rsidR="00E925BC" w:rsidRPr="00B96799" w:rsidRDefault="00E925BC" w:rsidP="00E925BC">
      <w:pPr>
        <w:spacing w:after="0" w:line="240" w:lineRule="auto"/>
        <w:rPr>
          <w:rFonts w:ascii="Verdana" w:eastAsia="Calibri" w:hAnsi="Verdana" w:cs="Arial"/>
          <w:b/>
          <w:bCs/>
          <w:lang w:val="es-ES" w:eastAsia="es-ES"/>
        </w:rPr>
      </w:pPr>
      <w:r>
        <w:rPr>
          <w:rFonts w:ascii="Verdana" w:eastAsia="Calibri" w:hAnsi="Verdana" w:cs="Arial"/>
          <w:lang w:val="es-ES" w:eastAsia="es-ES"/>
        </w:rPr>
        <w:t>Floridablanca, Santander</w:t>
      </w:r>
    </w:p>
    <w:p w14:paraId="5AF7E00B" w14:textId="77777777" w:rsidR="00E925BC" w:rsidRPr="00593A5F" w:rsidRDefault="00E925BC" w:rsidP="00E925BC">
      <w:pPr>
        <w:spacing w:after="0" w:line="240" w:lineRule="auto"/>
        <w:rPr>
          <w:rFonts w:ascii="Verdana" w:eastAsia="Calibri" w:hAnsi="Verdana" w:cs="Arial"/>
          <w:b/>
          <w:bCs/>
          <w:color w:val="000000"/>
          <w:lang w:val="es-ES_tradnl" w:eastAsia="es-ES_tradnl"/>
        </w:rPr>
      </w:pPr>
    </w:p>
    <w:p w14:paraId="725ADAAA" w14:textId="77777777" w:rsidR="00E925BC" w:rsidRPr="00593A5F" w:rsidRDefault="00E925BC" w:rsidP="00E925B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925BC" w:rsidRPr="00593A5F" w14:paraId="32A60CA9" w14:textId="77777777" w:rsidTr="0065379A">
        <w:trPr>
          <w:trHeight w:val="884"/>
        </w:trPr>
        <w:tc>
          <w:tcPr>
            <w:tcW w:w="2689" w:type="dxa"/>
          </w:tcPr>
          <w:p w14:paraId="22838F57" w14:textId="77777777" w:rsidR="00E925BC" w:rsidRPr="00C00976" w:rsidRDefault="00E925BC" w:rsidP="0065379A">
            <w:pPr>
              <w:jc w:val="both"/>
              <w:rPr>
                <w:rFonts w:ascii="Verdana" w:eastAsia="Calibri" w:hAnsi="Verdana" w:cs="Arial"/>
                <w:b/>
                <w:bCs/>
                <w:color w:val="7030A0"/>
                <w:lang w:val="es-ES_tradnl" w:eastAsia="es-ES_tradnl"/>
              </w:rPr>
            </w:pPr>
          </w:p>
        </w:tc>
        <w:tc>
          <w:tcPr>
            <w:tcW w:w="6100" w:type="dxa"/>
          </w:tcPr>
          <w:p w14:paraId="2C1EBF85" w14:textId="77777777" w:rsidR="00E925BC" w:rsidRPr="003519EF" w:rsidRDefault="00E925BC" w:rsidP="0065379A">
            <w:pPr>
              <w:jc w:val="both"/>
              <w:rPr>
                <w:rFonts w:ascii="Verdana" w:eastAsia="Calibri" w:hAnsi="Verdana" w:cs="Arial"/>
                <w:b/>
                <w:bCs/>
                <w:lang w:val="es-ES" w:eastAsia="es-ES"/>
              </w:rPr>
            </w:pPr>
            <w:r w:rsidRPr="003519EF">
              <w:rPr>
                <w:rFonts w:ascii="Verdana" w:eastAsia="Calibri" w:hAnsi="Verdana" w:cs="Arial"/>
                <w:b/>
                <w:bCs/>
                <w:lang w:val="es-ES" w:eastAsia="es-ES"/>
              </w:rPr>
              <w:t>Concepto C-</w:t>
            </w:r>
            <w:r>
              <w:rPr>
                <w:rFonts w:ascii="Verdana" w:eastAsia="Calibri" w:hAnsi="Verdana" w:cs="Arial"/>
                <w:b/>
                <w:bCs/>
                <w:lang w:val="es-ES" w:eastAsia="es-ES"/>
              </w:rPr>
              <w:t>195</w:t>
            </w:r>
            <w:r w:rsidRPr="003519EF">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E925BC" w:rsidRPr="00593A5F" w14:paraId="04A43B40" w14:textId="77777777" w:rsidTr="0065379A">
        <w:trPr>
          <w:trHeight w:val="884"/>
        </w:trPr>
        <w:tc>
          <w:tcPr>
            <w:tcW w:w="2689" w:type="dxa"/>
          </w:tcPr>
          <w:p w14:paraId="274083D7" w14:textId="77777777" w:rsidR="00E925BC" w:rsidRPr="00593A5F" w:rsidRDefault="00E925BC" w:rsidP="0065379A">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10E9DC7" w14:textId="2847A53B" w:rsidR="00E925BC" w:rsidRPr="00CF4909" w:rsidRDefault="00E925BC" w:rsidP="00AA438A">
            <w:pPr>
              <w:jc w:val="both"/>
              <w:rPr>
                <w:rFonts w:ascii="Verdana" w:eastAsia="Calibri" w:hAnsi="Verdana" w:cs="Arial"/>
                <w:lang w:val="es-ES" w:eastAsia="es-ES"/>
              </w:rPr>
            </w:pPr>
            <w:r w:rsidRPr="00CF4909">
              <w:rPr>
                <w:rFonts w:ascii="Verdana" w:eastAsia="Calibri" w:hAnsi="Verdana" w:cs="Arial"/>
                <w:lang w:val="es-ES" w:eastAsia="es-ES"/>
              </w:rPr>
              <w:t xml:space="preserve">PLIEGOS DE CONDICIONES – Naturaleza / PLIEGOS DE CONDICIONES – Otros documentos – Contradicción información / INTERPRETACIÓN – Reglas de interpretación </w:t>
            </w:r>
            <w:r w:rsidR="00EC68E4">
              <w:rPr>
                <w:rFonts w:ascii="Verdana" w:eastAsia="Calibri" w:hAnsi="Verdana" w:cs="Arial"/>
                <w:lang w:val="es-ES" w:eastAsia="es-ES"/>
              </w:rPr>
              <w:t xml:space="preserve">/ </w:t>
            </w:r>
            <w:r w:rsidR="00F125F2">
              <w:rPr>
                <w:rFonts w:ascii="Verdana" w:eastAsia="Calibri" w:hAnsi="Verdana" w:cs="Arial"/>
                <w:lang w:val="es-ES_tradnl"/>
              </w:rPr>
              <w:t xml:space="preserve">PREVALENCIA DEL DERECHO SUSTANCIAL – Principio constitucional </w:t>
            </w:r>
          </w:p>
          <w:p w14:paraId="58C7D0DB" w14:textId="77777777" w:rsidR="00E925BC" w:rsidRPr="00593A5F" w:rsidRDefault="00E925BC" w:rsidP="00AA438A">
            <w:pPr>
              <w:jc w:val="both"/>
              <w:rPr>
                <w:rFonts w:ascii="Verdana" w:eastAsia="Calibri" w:hAnsi="Verdana" w:cs="Arial"/>
                <w:lang w:val="es-ES" w:eastAsia="es-ES"/>
              </w:rPr>
            </w:pPr>
          </w:p>
        </w:tc>
      </w:tr>
      <w:tr w:rsidR="00E925BC" w:rsidRPr="003519EF" w14:paraId="7243742F" w14:textId="77777777" w:rsidTr="0065379A">
        <w:tc>
          <w:tcPr>
            <w:tcW w:w="2689" w:type="dxa"/>
          </w:tcPr>
          <w:p w14:paraId="2B81C9FD" w14:textId="77777777" w:rsidR="00E925BC" w:rsidRPr="003519EF" w:rsidRDefault="00E925BC" w:rsidP="0065379A">
            <w:pPr>
              <w:jc w:val="both"/>
              <w:rPr>
                <w:rFonts w:ascii="Verdana" w:eastAsia="Calibri" w:hAnsi="Verdana" w:cs="Arial"/>
                <w:b/>
                <w:lang w:val="es-ES_tradnl" w:eastAsia="es-ES_tradnl"/>
              </w:rPr>
            </w:pPr>
            <w:r w:rsidRPr="003519EF">
              <w:rPr>
                <w:rFonts w:ascii="Verdana" w:eastAsia="Calibri" w:hAnsi="Verdana" w:cs="Arial"/>
                <w:b/>
                <w:lang w:val="es-ES_tradnl" w:eastAsia="es-ES_tradnl"/>
              </w:rPr>
              <w:t>Radicación:</w:t>
            </w:r>
            <w:r w:rsidRPr="003519EF">
              <w:rPr>
                <w:rFonts w:ascii="Verdana" w:eastAsia="Calibri" w:hAnsi="Verdana" w:cs="Arial"/>
                <w:lang w:val="es-ES_tradnl" w:eastAsia="es-ES_tradnl"/>
              </w:rPr>
              <w:t xml:space="preserve">               </w:t>
            </w:r>
          </w:p>
        </w:tc>
        <w:tc>
          <w:tcPr>
            <w:tcW w:w="6100" w:type="dxa"/>
          </w:tcPr>
          <w:p w14:paraId="2D2EAA2E" w14:textId="77777777" w:rsidR="00E925BC" w:rsidRPr="003519EF" w:rsidRDefault="00E925BC" w:rsidP="0065379A">
            <w:pPr>
              <w:jc w:val="both"/>
              <w:rPr>
                <w:rFonts w:ascii="Verdana" w:eastAsia="Calibri" w:hAnsi="Verdana" w:cs="Arial"/>
                <w:lang w:val="es-ES_tradnl" w:eastAsia="es-ES_tradnl"/>
              </w:rPr>
            </w:pPr>
            <w:r w:rsidRPr="003519EF">
              <w:rPr>
                <w:rFonts w:ascii="Verdana" w:eastAsia="Calibri" w:hAnsi="Verdana" w:cs="Arial"/>
                <w:lang w:val="es-ES_tradnl" w:eastAsia="es-ES_tradnl"/>
              </w:rPr>
              <w:t xml:space="preserve">Respuesta a consulta con radicado No. </w:t>
            </w:r>
            <w:r w:rsidRPr="001F5E4E">
              <w:rPr>
                <w:rFonts w:ascii="Verdana" w:eastAsia="Calibri" w:hAnsi="Verdana" w:cs="Arial"/>
                <w:lang w:val="es-ES_tradnl" w:eastAsia="es-ES_tradnl"/>
              </w:rPr>
              <w:t>P20250215001495</w:t>
            </w:r>
          </w:p>
        </w:tc>
      </w:tr>
    </w:tbl>
    <w:p w14:paraId="20CD283C" w14:textId="77777777" w:rsidR="00E925BC" w:rsidRPr="003519EF" w:rsidRDefault="00E925BC" w:rsidP="00E925BC">
      <w:pPr>
        <w:spacing w:after="0" w:line="240" w:lineRule="auto"/>
        <w:jc w:val="both"/>
        <w:rPr>
          <w:rFonts w:ascii="Verdana" w:eastAsia="Calibri" w:hAnsi="Verdana" w:cs="Arial"/>
          <w:lang w:val="es-ES_tradnl" w:eastAsia="es-ES_tradnl"/>
        </w:rPr>
      </w:pPr>
    </w:p>
    <w:p w14:paraId="798D54B1" w14:textId="77777777" w:rsidR="00E925BC" w:rsidRPr="003519EF" w:rsidRDefault="00E925BC" w:rsidP="00E925BC">
      <w:pPr>
        <w:spacing w:after="0" w:line="240" w:lineRule="auto"/>
        <w:jc w:val="both"/>
        <w:rPr>
          <w:rFonts w:ascii="Verdana" w:eastAsia="Calibri" w:hAnsi="Verdana" w:cs="Arial"/>
          <w:lang w:val="es-ES_tradnl" w:eastAsia="es-ES_tradnl"/>
        </w:rPr>
      </w:pPr>
    </w:p>
    <w:p w14:paraId="3DF714C5" w14:textId="77777777" w:rsidR="00E925BC" w:rsidRPr="003519EF" w:rsidRDefault="00E925BC" w:rsidP="00E925BC">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Estimado señor M</w:t>
      </w:r>
      <w:r>
        <w:rPr>
          <w:rFonts w:ascii="Verdana" w:eastAsia="Calibri" w:hAnsi="Verdana" w:cs="Arial"/>
          <w:lang w:val="es-ES" w:eastAsia="es-ES"/>
        </w:rPr>
        <w:t>iguel Arturo</w:t>
      </w:r>
      <w:r w:rsidRPr="003519EF">
        <w:rPr>
          <w:rFonts w:ascii="Verdana" w:eastAsia="Calibri" w:hAnsi="Verdana" w:cs="Arial"/>
          <w:lang w:val="es-ES" w:eastAsia="es-ES"/>
        </w:rPr>
        <w:t xml:space="preserve">: </w:t>
      </w:r>
    </w:p>
    <w:p w14:paraId="4AE496D1" w14:textId="77777777" w:rsidR="00E925BC" w:rsidRPr="003519EF" w:rsidRDefault="00E925BC" w:rsidP="00E925BC">
      <w:pPr>
        <w:tabs>
          <w:tab w:val="left" w:pos="3768"/>
        </w:tabs>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ab/>
      </w:r>
    </w:p>
    <w:p w14:paraId="3E7AB42E" w14:textId="77777777" w:rsidR="00E925BC" w:rsidRPr="003519EF" w:rsidRDefault="00E925BC" w:rsidP="00E925BC">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En ejercicio de la competencia otorgada por los artículos 3, numeral 5º, y 11, numeral 8º, del Decreto Ley 4170 de 2011,</w:t>
      </w:r>
      <w:r w:rsidRPr="003519EF">
        <w:rPr>
          <w:rFonts w:ascii="Verdana" w:eastAsia="Arial MT" w:hAnsi="Verdana" w:cs="Arial MT"/>
          <w:lang w:val="es-ES" w:eastAsia="es-ES"/>
        </w:rPr>
        <w:t xml:space="preserve"> </w:t>
      </w:r>
      <w:r w:rsidRPr="003519EF">
        <w:rPr>
          <w:rFonts w:ascii="Verdana" w:hAnsi="Verdana" w:cs="Arial"/>
        </w:rPr>
        <w:t xml:space="preserve">así como lo establecido en el artículo 4 de la Resolución 1707 de 2018 expedida por esta Entidad, </w:t>
      </w:r>
      <w:r w:rsidRPr="003519EF">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15 de febrero de 2025</w:t>
      </w:r>
      <w:r w:rsidRPr="003519EF">
        <w:rPr>
          <w:rFonts w:ascii="Verdana" w:eastAsia="Calibri" w:hAnsi="Verdana" w:cs="Arial"/>
          <w:lang w:val="es-ES" w:eastAsia="es-ES"/>
        </w:rPr>
        <w:t xml:space="preserve">, en la cual manifiesta lo siguiente: </w:t>
      </w:r>
    </w:p>
    <w:p w14:paraId="045F23E7" w14:textId="77777777" w:rsidR="00E925BC" w:rsidRPr="003979D7" w:rsidRDefault="00E925BC" w:rsidP="00AA438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F10A91" w14:textId="77777777" w:rsidR="00E925BC" w:rsidRPr="0022749D" w:rsidRDefault="00E925BC" w:rsidP="00E925BC">
      <w:pPr>
        <w:spacing w:after="0" w:line="240" w:lineRule="auto"/>
        <w:ind w:left="709" w:right="709"/>
        <w:jc w:val="both"/>
        <w:rPr>
          <w:rFonts w:ascii="Verdana" w:eastAsia="Century Gothic" w:hAnsi="Verdana" w:cs="Century Gothic"/>
          <w:sz w:val="20"/>
          <w:szCs w:val="20"/>
          <w:lang w:val="es-ES"/>
        </w:rPr>
      </w:pPr>
      <w:bookmarkStart w:id="1" w:name="_Hlk95313578"/>
      <w:r w:rsidRPr="003979D7">
        <w:rPr>
          <w:rFonts w:ascii="Verdana" w:eastAsia="Century Gothic" w:hAnsi="Verdana" w:cs="Century Gothic"/>
          <w:sz w:val="20"/>
          <w:szCs w:val="20"/>
          <w:lang w:val="es-ES"/>
        </w:rPr>
        <w:t>“</w:t>
      </w:r>
      <w:r w:rsidRPr="0022749D">
        <w:rPr>
          <w:rFonts w:ascii="Verdana" w:eastAsia="Century Gothic" w:hAnsi="Verdana" w:cs="Century Gothic"/>
          <w:sz w:val="20"/>
          <w:szCs w:val="20"/>
          <w:lang w:val="es-ES"/>
        </w:rPr>
        <w:t>1. ¿en las modalidades de selección incluidas en el ESTATUTO DE</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CONTRATACIÓN PÚBLICA, </w:t>
      </w:r>
      <w:proofErr w:type="spellStart"/>
      <w:r w:rsidRPr="0022749D">
        <w:rPr>
          <w:rFonts w:ascii="Verdana" w:eastAsia="Century Gothic" w:hAnsi="Verdana" w:cs="Century Gothic"/>
          <w:sz w:val="20"/>
          <w:szCs w:val="20"/>
          <w:lang w:val="es-ES"/>
        </w:rPr>
        <w:t>cuales</w:t>
      </w:r>
      <w:proofErr w:type="spellEnd"/>
      <w:r w:rsidRPr="0022749D">
        <w:rPr>
          <w:rFonts w:ascii="Verdana" w:eastAsia="Century Gothic" w:hAnsi="Verdana" w:cs="Century Gothic"/>
          <w:sz w:val="20"/>
          <w:szCs w:val="20"/>
          <w:lang w:val="es-ES"/>
        </w:rPr>
        <w:t xml:space="preserve"> son las consecuencias de la elaboración</w:t>
      </w:r>
    </w:p>
    <w:p w14:paraId="4A2F389D" w14:textId="77777777" w:rsidR="00E925BC" w:rsidRPr="0022749D" w:rsidRDefault="00E925BC" w:rsidP="00E925BC">
      <w:pPr>
        <w:spacing w:after="0" w:line="240" w:lineRule="auto"/>
        <w:ind w:left="709" w:right="709"/>
        <w:jc w:val="both"/>
        <w:rPr>
          <w:rFonts w:ascii="Verdana" w:eastAsia="Century Gothic" w:hAnsi="Verdana" w:cs="Century Gothic"/>
          <w:sz w:val="20"/>
          <w:szCs w:val="20"/>
          <w:lang w:val="es-ES"/>
        </w:rPr>
      </w:pPr>
      <w:r w:rsidRPr="0022749D">
        <w:rPr>
          <w:rFonts w:ascii="Verdana" w:eastAsia="Century Gothic" w:hAnsi="Verdana" w:cs="Century Gothic"/>
          <w:sz w:val="20"/>
          <w:szCs w:val="20"/>
          <w:lang w:val="es-ES"/>
        </w:rPr>
        <w:t xml:space="preserve">incorrecta por parte de las entidades </w:t>
      </w:r>
      <w:proofErr w:type="spellStart"/>
      <w:r w:rsidRPr="0022749D">
        <w:rPr>
          <w:rFonts w:ascii="Verdana" w:eastAsia="Century Gothic" w:hAnsi="Verdana" w:cs="Century Gothic"/>
          <w:sz w:val="20"/>
          <w:szCs w:val="20"/>
          <w:lang w:val="es-ES"/>
        </w:rPr>
        <w:t>publicas</w:t>
      </w:r>
      <w:proofErr w:type="spellEnd"/>
      <w:r w:rsidRPr="0022749D">
        <w:rPr>
          <w:rFonts w:ascii="Verdana" w:eastAsia="Century Gothic" w:hAnsi="Verdana" w:cs="Century Gothic"/>
          <w:sz w:val="20"/>
          <w:szCs w:val="20"/>
          <w:lang w:val="es-ES"/>
        </w:rPr>
        <w:t xml:space="preserve"> de los formatos y/o anexos a cargo</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de estas?</w:t>
      </w:r>
    </w:p>
    <w:p w14:paraId="109BB402" w14:textId="77777777" w:rsidR="00E925BC" w:rsidRPr="0022749D" w:rsidRDefault="00E925BC" w:rsidP="00E925BC">
      <w:pPr>
        <w:spacing w:after="0" w:line="240" w:lineRule="auto"/>
        <w:ind w:left="709" w:right="709"/>
        <w:jc w:val="both"/>
        <w:rPr>
          <w:rFonts w:ascii="Verdana" w:eastAsia="Century Gothic" w:hAnsi="Verdana" w:cs="Century Gothic"/>
          <w:sz w:val="20"/>
          <w:szCs w:val="20"/>
          <w:lang w:val="es-ES"/>
        </w:rPr>
      </w:pPr>
      <w:r w:rsidRPr="0022749D">
        <w:rPr>
          <w:rFonts w:ascii="Verdana" w:eastAsia="Century Gothic" w:hAnsi="Verdana" w:cs="Century Gothic"/>
          <w:sz w:val="20"/>
          <w:szCs w:val="20"/>
          <w:lang w:val="es-ES"/>
        </w:rPr>
        <w:t>2. ¿pueden los proveedores interesados realizar sus propuestas en base a los</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formatos y anexos entregados por la entidad, </w:t>
      </w:r>
      <w:proofErr w:type="spellStart"/>
      <w:r w:rsidRPr="0022749D">
        <w:rPr>
          <w:rFonts w:ascii="Verdana" w:eastAsia="Century Gothic" w:hAnsi="Verdana" w:cs="Century Gothic"/>
          <w:sz w:val="20"/>
          <w:szCs w:val="20"/>
          <w:lang w:val="es-ES"/>
        </w:rPr>
        <w:t>ajustandolos</w:t>
      </w:r>
      <w:proofErr w:type="spellEnd"/>
      <w:r w:rsidRPr="0022749D">
        <w:rPr>
          <w:rFonts w:ascii="Verdana" w:eastAsia="Century Gothic" w:hAnsi="Verdana" w:cs="Century Gothic"/>
          <w:sz w:val="20"/>
          <w:szCs w:val="20"/>
          <w:lang w:val="es-ES"/>
        </w:rPr>
        <w:t xml:space="preserve"> de conformidad con los</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pliegos de condiciones, estudios previos y </w:t>
      </w:r>
      <w:proofErr w:type="spellStart"/>
      <w:r w:rsidRPr="0022749D">
        <w:rPr>
          <w:rFonts w:ascii="Verdana" w:eastAsia="Century Gothic" w:hAnsi="Verdana" w:cs="Century Gothic"/>
          <w:sz w:val="20"/>
          <w:szCs w:val="20"/>
          <w:lang w:val="es-ES"/>
        </w:rPr>
        <w:t>demas</w:t>
      </w:r>
      <w:proofErr w:type="spellEnd"/>
      <w:r w:rsidRPr="0022749D">
        <w:rPr>
          <w:rFonts w:ascii="Verdana" w:eastAsia="Century Gothic" w:hAnsi="Verdana" w:cs="Century Gothic"/>
          <w:sz w:val="20"/>
          <w:szCs w:val="20"/>
          <w:lang w:val="es-ES"/>
        </w:rPr>
        <w:t xml:space="preserve"> que hagan parte integral del</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proceso de </w:t>
      </w:r>
      <w:proofErr w:type="spellStart"/>
      <w:r w:rsidRPr="0022749D">
        <w:rPr>
          <w:rFonts w:ascii="Verdana" w:eastAsia="Century Gothic" w:hAnsi="Verdana" w:cs="Century Gothic"/>
          <w:sz w:val="20"/>
          <w:szCs w:val="20"/>
          <w:lang w:val="es-ES"/>
        </w:rPr>
        <w:t>seleccion</w:t>
      </w:r>
      <w:proofErr w:type="spellEnd"/>
      <w:r w:rsidRPr="0022749D">
        <w:rPr>
          <w:rFonts w:ascii="Verdana" w:eastAsia="Century Gothic" w:hAnsi="Verdana" w:cs="Century Gothic"/>
          <w:sz w:val="20"/>
          <w:szCs w:val="20"/>
          <w:lang w:val="es-ES"/>
        </w:rPr>
        <w:t>?</w:t>
      </w:r>
    </w:p>
    <w:p w14:paraId="40556374" w14:textId="63617C1A" w:rsidR="00E925BC" w:rsidRDefault="00E925BC" w:rsidP="00E925BC">
      <w:pPr>
        <w:spacing w:after="0" w:line="240" w:lineRule="auto"/>
        <w:ind w:left="709" w:right="709"/>
        <w:jc w:val="both"/>
        <w:rPr>
          <w:rFonts w:ascii="Verdana" w:eastAsia="Century Gothic" w:hAnsi="Verdana" w:cs="Century Gothic"/>
          <w:sz w:val="20"/>
          <w:szCs w:val="20"/>
          <w:lang w:val="es-ES"/>
        </w:rPr>
      </w:pPr>
      <w:r w:rsidRPr="0022749D">
        <w:rPr>
          <w:rFonts w:ascii="Verdana" w:eastAsia="Century Gothic" w:hAnsi="Verdana" w:cs="Century Gothic"/>
          <w:sz w:val="20"/>
          <w:szCs w:val="20"/>
          <w:lang w:val="es-ES"/>
        </w:rPr>
        <w:t xml:space="preserve">3. </w:t>
      </w:r>
      <w:proofErr w:type="gramStart"/>
      <w:r w:rsidRPr="0022749D">
        <w:rPr>
          <w:rFonts w:ascii="Verdana" w:eastAsia="Century Gothic" w:hAnsi="Verdana" w:cs="Century Gothic"/>
          <w:sz w:val="20"/>
          <w:szCs w:val="20"/>
          <w:lang w:val="es-ES"/>
        </w:rPr>
        <w:t>La entidad debe rechazar todas las propuestas con alteraciones o modificaciones</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que se hagan a los formatos y anexos entregados, inclusive en los casos de que</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estos formatos tengan errores </w:t>
      </w:r>
      <w:proofErr w:type="spellStart"/>
      <w:r w:rsidRPr="0022749D">
        <w:rPr>
          <w:rFonts w:ascii="Verdana" w:eastAsia="Century Gothic" w:hAnsi="Verdana" w:cs="Century Gothic"/>
          <w:sz w:val="20"/>
          <w:szCs w:val="20"/>
          <w:lang w:val="es-ES"/>
        </w:rPr>
        <w:t>repsecto</w:t>
      </w:r>
      <w:proofErr w:type="spellEnd"/>
      <w:r w:rsidRPr="0022749D">
        <w:rPr>
          <w:rFonts w:ascii="Verdana" w:eastAsia="Century Gothic" w:hAnsi="Verdana" w:cs="Century Gothic"/>
          <w:sz w:val="20"/>
          <w:szCs w:val="20"/>
          <w:lang w:val="es-ES"/>
        </w:rPr>
        <w:t xml:space="preserve"> a las </w:t>
      </w:r>
      <w:r w:rsidRPr="0022749D">
        <w:rPr>
          <w:rFonts w:ascii="Verdana" w:eastAsia="Century Gothic" w:hAnsi="Verdana" w:cs="Century Gothic"/>
          <w:sz w:val="20"/>
          <w:szCs w:val="20"/>
          <w:lang w:val="es-ES"/>
        </w:rPr>
        <w:lastRenderedPageBreak/>
        <w:t xml:space="preserve">condiciones, </w:t>
      </w:r>
      <w:proofErr w:type="spellStart"/>
      <w:r w:rsidRPr="0022749D">
        <w:rPr>
          <w:rFonts w:ascii="Verdana" w:eastAsia="Century Gothic" w:hAnsi="Verdana" w:cs="Century Gothic"/>
          <w:sz w:val="20"/>
          <w:szCs w:val="20"/>
          <w:lang w:val="es-ES"/>
        </w:rPr>
        <w:t>caracteristicas</w:t>
      </w:r>
      <w:proofErr w:type="spellEnd"/>
      <w:r w:rsidRPr="0022749D">
        <w:rPr>
          <w:rFonts w:ascii="Verdana" w:eastAsia="Century Gothic" w:hAnsi="Verdana" w:cs="Century Gothic"/>
          <w:sz w:val="20"/>
          <w:szCs w:val="20"/>
          <w:lang w:val="es-ES"/>
        </w:rPr>
        <w:t xml:space="preserve"> y </w:t>
      </w:r>
      <w:r>
        <w:rPr>
          <w:rFonts w:ascii="Verdana" w:eastAsia="Century Gothic" w:hAnsi="Verdana" w:cs="Century Gothic"/>
          <w:sz w:val="20"/>
          <w:szCs w:val="20"/>
          <w:lang w:val="es-ES"/>
        </w:rPr>
        <w:t xml:space="preserve">demás </w:t>
      </w:r>
      <w:r w:rsidRPr="0022749D">
        <w:rPr>
          <w:rFonts w:ascii="Verdana" w:eastAsia="Century Gothic" w:hAnsi="Verdana" w:cs="Century Gothic"/>
          <w:sz w:val="20"/>
          <w:szCs w:val="20"/>
          <w:lang w:val="es-ES"/>
        </w:rPr>
        <w:t xml:space="preserve">contenidos en los </w:t>
      </w:r>
      <w:proofErr w:type="spellStart"/>
      <w:r w:rsidRPr="0022749D">
        <w:rPr>
          <w:rFonts w:ascii="Verdana" w:eastAsia="Century Gothic" w:hAnsi="Verdana" w:cs="Century Gothic"/>
          <w:sz w:val="20"/>
          <w:szCs w:val="20"/>
          <w:lang w:val="es-ES"/>
        </w:rPr>
        <w:t>plliegos</w:t>
      </w:r>
      <w:proofErr w:type="spellEnd"/>
      <w:r w:rsidRPr="0022749D">
        <w:rPr>
          <w:rFonts w:ascii="Verdana" w:eastAsia="Century Gothic" w:hAnsi="Verdana" w:cs="Century Gothic"/>
          <w:sz w:val="20"/>
          <w:szCs w:val="20"/>
          <w:lang w:val="es-ES"/>
        </w:rPr>
        <w:t xml:space="preserve"> de condiciones, estudios previos y </w:t>
      </w:r>
      <w:proofErr w:type="spellStart"/>
      <w:r w:rsidRPr="0022749D">
        <w:rPr>
          <w:rFonts w:ascii="Verdana" w:eastAsia="Century Gothic" w:hAnsi="Verdana" w:cs="Century Gothic"/>
          <w:sz w:val="20"/>
          <w:szCs w:val="20"/>
          <w:lang w:val="es-ES"/>
        </w:rPr>
        <w:t>demas</w:t>
      </w:r>
      <w:proofErr w:type="spellEnd"/>
      <w:r w:rsidRPr="0022749D">
        <w:rPr>
          <w:rFonts w:ascii="Verdana" w:eastAsia="Century Gothic" w:hAnsi="Verdana" w:cs="Century Gothic"/>
          <w:sz w:val="20"/>
          <w:szCs w:val="20"/>
          <w:lang w:val="es-ES"/>
        </w:rPr>
        <w:t xml:space="preserve"> que hagan</w:t>
      </w:r>
      <w:r>
        <w:rPr>
          <w:rFonts w:ascii="Verdana" w:eastAsia="Century Gothic" w:hAnsi="Verdana" w:cs="Century Gothic"/>
          <w:sz w:val="20"/>
          <w:szCs w:val="20"/>
          <w:lang w:val="es-ES"/>
        </w:rPr>
        <w:t xml:space="preserve"> </w:t>
      </w:r>
      <w:r w:rsidRPr="0022749D">
        <w:rPr>
          <w:rFonts w:ascii="Verdana" w:eastAsia="Century Gothic" w:hAnsi="Verdana" w:cs="Century Gothic"/>
          <w:sz w:val="20"/>
          <w:szCs w:val="20"/>
          <w:lang w:val="es-ES"/>
        </w:rPr>
        <w:t xml:space="preserve">parte integral del proceso de </w:t>
      </w:r>
      <w:proofErr w:type="spellStart"/>
      <w:r w:rsidRPr="0022749D">
        <w:rPr>
          <w:rFonts w:ascii="Verdana" w:eastAsia="Century Gothic" w:hAnsi="Verdana" w:cs="Century Gothic"/>
          <w:sz w:val="20"/>
          <w:szCs w:val="20"/>
          <w:lang w:val="es-ES"/>
        </w:rPr>
        <w:t>seleccion</w:t>
      </w:r>
      <w:proofErr w:type="spellEnd"/>
      <w:r w:rsidRPr="0022749D">
        <w:rPr>
          <w:rFonts w:ascii="Verdana" w:eastAsia="Century Gothic" w:hAnsi="Verdana" w:cs="Century Gothic"/>
          <w:sz w:val="20"/>
          <w:szCs w:val="20"/>
          <w:lang w:val="es-ES"/>
        </w:rPr>
        <w:t>?</w:t>
      </w:r>
      <w:proofErr w:type="gramEnd"/>
      <w:r w:rsidR="008F6FAB">
        <w:rPr>
          <w:rFonts w:ascii="Verdana" w:eastAsia="Century Gothic" w:hAnsi="Verdana" w:cs="Century Gothic"/>
          <w:sz w:val="20"/>
          <w:szCs w:val="20"/>
          <w:lang w:val="es-ES"/>
        </w:rPr>
        <w:t>”</w:t>
      </w:r>
    </w:p>
    <w:p w14:paraId="26D531DC" w14:textId="77777777" w:rsidR="00E925BC" w:rsidRPr="00AA438A" w:rsidRDefault="00E925BC" w:rsidP="00AA438A">
      <w:pPr>
        <w:spacing w:after="0" w:line="276" w:lineRule="auto"/>
        <w:ind w:left="709" w:right="709"/>
        <w:jc w:val="both"/>
        <w:rPr>
          <w:rFonts w:ascii="Verdana" w:eastAsia="Century Gothic" w:hAnsi="Verdana" w:cs="Century Gothic"/>
          <w:lang w:val="es-ES"/>
        </w:rPr>
      </w:pPr>
    </w:p>
    <w:bookmarkEnd w:id="1"/>
    <w:p w14:paraId="5BE67ACB" w14:textId="77777777" w:rsidR="00E925BC" w:rsidRDefault="00E925BC" w:rsidP="00E925B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401AE97" w14:textId="77777777" w:rsidR="00E925BC" w:rsidRDefault="00E925BC" w:rsidP="00E925B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F939F76" w14:textId="77777777" w:rsidR="00E925BC" w:rsidRPr="00593A5F" w:rsidRDefault="00E925BC" w:rsidP="00E925BC">
      <w:pPr>
        <w:spacing w:after="0" w:line="276" w:lineRule="auto"/>
        <w:ind w:firstLine="709"/>
        <w:jc w:val="both"/>
        <w:rPr>
          <w:rFonts w:ascii="Verdana" w:eastAsia="Calibri" w:hAnsi="Verdana" w:cs="Arial"/>
          <w:color w:val="000000"/>
          <w:lang w:val="es-ES" w:eastAsia="es-ES"/>
        </w:rPr>
      </w:pPr>
    </w:p>
    <w:p w14:paraId="1D594C15" w14:textId="77777777" w:rsidR="00E925BC" w:rsidRPr="00593A5F" w:rsidRDefault="00E925BC" w:rsidP="00E925B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5C88FC8" w14:textId="77777777" w:rsidR="00E925BC" w:rsidRPr="00593A5F" w:rsidRDefault="00E925BC" w:rsidP="00E925BC">
      <w:pPr>
        <w:tabs>
          <w:tab w:val="left" w:pos="426"/>
        </w:tabs>
        <w:spacing w:after="0" w:line="276" w:lineRule="auto"/>
        <w:jc w:val="both"/>
        <w:rPr>
          <w:rFonts w:ascii="Verdana" w:eastAsia="Century Gothic" w:hAnsi="Verdana" w:cs="Century Gothic"/>
          <w:lang w:val="es-ES"/>
        </w:rPr>
      </w:pPr>
    </w:p>
    <w:p w14:paraId="7A40B070" w14:textId="77777777" w:rsidR="00E925BC" w:rsidRPr="00593A5F" w:rsidRDefault="00E925BC" w:rsidP="00E925BC">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w:t>
      </w:r>
      <w:r>
        <w:rPr>
          <w:rFonts w:ascii="Verdana" w:eastAsia="Century Gothic" w:hAnsi="Verdana" w:cs="Century Gothic"/>
        </w:rPr>
        <w:t xml:space="preserve"> </w:t>
      </w:r>
      <w:r w:rsidRPr="00593A5F">
        <w:rPr>
          <w:rFonts w:ascii="Verdana" w:eastAsia="Century Gothic" w:hAnsi="Verdana" w:cs="Century Gothic"/>
        </w:rPr>
        <w:t xml:space="preserve">jurídico: </w:t>
      </w:r>
      <w:r w:rsidRPr="003519EF">
        <w:rPr>
          <w:rFonts w:ascii="Verdana" w:eastAsia="Century Gothic" w:hAnsi="Verdana" w:cs="Century Gothic"/>
        </w:rPr>
        <w:t xml:space="preserve">¿Cuáles son las reglas de interpretación que deben aplicarse cuando existen contradicciones entre el pliego de condiciones y </w:t>
      </w:r>
      <w:r>
        <w:rPr>
          <w:rFonts w:ascii="Verdana" w:eastAsia="Century Gothic" w:hAnsi="Verdana" w:cs="Century Gothic"/>
        </w:rPr>
        <w:t>un</w:t>
      </w:r>
      <w:r w:rsidRPr="003519EF">
        <w:rPr>
          <w:rFonts w:ascii="Verdana" w:eastAsia="Century Gothic" w:hAnsi="Verdana" w:cs="Century Gothic"/>
        </w:rPr>
        <w:t xml:space="preserve"> formato que</w:t>
      </w:r>
      <w:r>
        <w:rPr>
          <w:rFonts w:ascii="Verdana" w:eastAsia="Century Gothic" w:hAnsi="Verdana" w:cs="Century Gothic"/>
        </w:rPr>
        <w:t xml:space="preserve"> la entidad establece como requisito en </w:t>
      </w:r>
      <w:r w:rsidRPr="003519EF">
        <w:rPr>
          <w:rFonts w:ascii="Verdana" w:eastAsia="Century Gothic" w:hAnsi="Verdana" w:cs="Century Gothic"/>
        </w:rPr>
        <w:t xml:space="preserve">el proceso de contratación? </w:t>
      </w:r>
    </w:p>
    <w:p w14:paraId="1EBDAF27" w14:textId="77777777" w:rsidR="00E925BC" w:rsidRPr="00593A5F" w:rsidRDefault="00E925BC" w:rsidP="00E925BC">
      <w:pPr>
        <w:spacing w:after="0" w:line="276" w:lineRule="auto"/>
        <w:jc w:val="both"/>
        <w:rPr>
          <w:rFonts w:ascii="Verdana" w:eastAsia="Calibri" w:hAnsi="Verdana" w:cs="Arial"/>
          <w:color w:val="7030A0"/>
          <w:lang w:val="es-ES"/>
        </w:rPr>
      </w:pPr>
    </w:p>
    <w:p w14:paraId="6DF52563" w14:textId="77777777" w:rsidR="00E925BC" w:rsidRPr="00593A5F" w:rsidRDefault="00E925BC" w:rsidP="00E925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0A825F9" w14:textId="77777777" w:rsidR="00E925BC" w:rsidRPr="00593A5F" w:rsidRDefault="00E925BC" w:rsidP="00E925B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925BC" w:rsidRPr="00593A5F" w14:paraId="30764E56" w14:textId="77777777" w:rsidTr="0065379A">
        <w:tc>
          <w:tcPr>
            <w:tcW w:w="8828" w:type="dxa"/>
            <w:shd w:val="clear" w:color="auto" w:fill="auto"/>
          </w:tcPr>
          <w:p w14:paraId="08E10CC5" w14:textId="7FBABA44" w:rsidR="00BA0B90" w:rsidRPr="002379AA" w:rsidRDefault="00E925BC" w:rsidP="00BA1B0A">
            <w:pPr>
              <w:spacing w:after="120" w:line="276" w:lineRule="auto"/>
              <w:jc w:val="both"/>
              <w:rPr>
                <w:rFonts w:ascii="Verdana" w:eastAsia="Batang" w:hAnsi="Verdana" w:cs="Arial"/>
                <w:lang w:val="es-MX"/>
              </w:rPr>
            </w:pPr>
            <w:r>
              <w:rPr>
                <w:rFonts w:ascii="Verdana" w:eastAsia="Calibri" w:hAnsi="Verdana" w:cs="Arial"/>
                <w:lang w:val="es-MX"/>
              </w:rPr>
              <w:t xml:space="preserve">En relación con el problema jurídico, debe señalarse que, </w:t>
            </w:r>
            <w:r w:rsidRPr="002379AA">
              <w:rPr>
                <w:rFonts w:ascii="Verdana" w:eastAsia="Batang" w:hAnsi="Verdana" w:cs="Arial"/>
                <w:lang w:val="es-MX"/>
              </w:rPr>
              <w:t xml:space="preserve">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w:t>
            </w:r>
            <w:r w:rsidRPr="002379AA">
              <w:rPr>
                <w:rFonts w:ascii="Verdana" w:eastAsia="Batang" w:hAnsi="Verdana" w:cs="Arial"/>
                <w:lang w:val="es-MX"/>
              </w:rPr>
              <w:lastRenderedPageBreak/>
              <w:t xml:space="preserve">interpretarse </w:t>
            </w:r>
            <w:r w:rsidRPr="002379AA">
              <w:rPr>
                <w:rFonts w:ascii="Verdana" w:eastAsia="Batang" w:hAnsi="Verdana" w:cs="Arial"/>
                <w:i/>
                <w:iCs/>
                <w:lang w:val="es-MX"/>
              </w:rPr>
              <w:t>“con sujeción a los principios generales del derecho, a los de la función administrativa, a la finalidad del pliego y a la protección del interés general, de conformidad con lo previsto en el artículo 23 de la Ley 80 de 1993”.</w:t>
            </w:r>
          </w:p>
          <w:p w14:paraId="22BAEF26" w14:textId="3988C2C2" w:rsidR="00E925BC" w:rsidRPr="002379AA" w:rsidRDefault="003928B9" w:rsidP="00AA438A">
            <w:pPr>
              <w:spacing w:after="120" w:line="276" w:lineRule="auto"/>
              <w:ind w:firstLine="709"/>
              <w:jc w:val="both"/>
              <w:rPr>
                <w:rFonts w:ascii="Verdana" w:eastAsia="Batang" w:hAnsi="Verdana" w:cs="Arial"/>
              </w:rPr>
            </w:pPr>
            <w:r>
              <w:rPr>
                <w:rFonts w:ascii="Verdana" w:eastAsia="Batang" w:hAnsi="Verdana" w:cs="Arial"/>
                <w:lang w:val="es-MX"/>
              </w:rPr>
              <w:t>Conforme a lo expuesto</w:t>
            </w:r>
            <w:r w:rsidR="00E925BC" w:rsidRPr="002379AA">
              <w:rPr>
                <w:rFonts w:ascii="Verdana" w:eastAsia="Batang" w:hAnsi="Verdana" w:cs="Arial"/>
                <w:lang w:val="es-MX"/>
              </w:rPr>
              <w:t xml:space="preserve">, es posible establecer, por ejemplo, </w:t>
            </w:r>
            <w:proofErr w:type="gramStart"/>
            <w:r w:rsidR="00E925BC" w:rsidRPr="002379AA">
              <w:rPr>
                <w:rFonts w:ascii="Verdana" w:eastAsia="Batang" w:hAnsi="Verdana" w:cs="Arial"/>
                <w:lang w:val="es-MX"/>
              </w:rPr>
              <w:t>que</w:t>
            </w:r>
            <w:proofErr w:type="gramEnd"/>
            <w:r w:rsidR="00E925BC" w:rsidRPr="002379AA">
              <w:rPr>
                <w:rFonts w:ascii="Verdana" w:eastAsia="Batang" w:hAnsi="Verdana" w:cs="Arial"/>
                <w:lang w:val="es-MX"/>
              </w:rPr>
              <w:t xml:space="preserve"> </w:t>
            </w:r>
            <w:r w:rsidR="00E925BC" w:rsidRPr="002379AA">
              <w:rPr>
                <w:rFonts w:ascii="Verdana" w:eastAsia="Batang" w:hAnsi="Verdana" w:cs="Arial"/>
              </w:rPr>
              <w:t>en caso de contradicción entre el contenido establecido en el pliego de condiciones y el</w:t>
            </w:r>
            <w:r w:rsidR="00E925BC">
              <w:rPr>
                <w:rFonts w:ascii="Verdana" w:eastAsia="Batang" w:hAnsi="Verdana" w:cs="Arial"/>
              </w:rPr>
              <w:t xml:space="preserve"> formato</w:t>
            </w:r>
            <w:r w:rsidR="00E925BC" w:rsidRPr="002379AA">
              <w:rPr>
                <w:rFonts w:ascii="Verdana" w:eastAsia="Batang" w:hAnsi="Verdana" w:cs="Arial"/>
              </w:rPr>
              <w:t xml:space="preserve"> incluido por la entidad, proponentes o contratista en los demás documentos del proceso de contratación, </w:t>
            </w:r>
            <w:r w:rsidR="00E925BC" w:rsidRPr="00AA438A">
              <w:rPr>
                <w:rFonts w:ascii="Verdana" w:eastAsia="Batang" w:hAnsi="Verdana" w:cs="Arial"/>
              </w:rPr>
              <w:t>primará lo señalado en el pliego de condiciones</w:t>
            </w:r>
            <w:r w:rsidR="00E925BC" w:rsidRPr="002379AA">
              <w:rPr>
                <w:rFonts w:ascii="Verdana" w:eastAsia="Batang" w:hAnsi="Verdana" w:cs="Arial"/>
              </w:rPr>
              <w:t xml:space="preserve">. </w:t>
            </w:r>
          </w:p>
          <w:p w14:paraId="78754D8F" w14:textId="77777777" w:rsidR="00E925BC" w:rsidRPr="002379AA" w:rsidRDefault="00E925BC" w:rsidP="0065379A">
            <w:pPr>
              <w:spacing w:after="120" w:line="276" w:lineRule="auto"/>
              <w:ind w:firstLine="708"/>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 xml:space="preserve">objetivas y subjetivas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472D4F19" w14:textId="77777777" w:rsidR="00E925BC" w:rsidRDefault="00E925BC" w:rsidP="0065379A">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
          <w:p w14:paraId="57079372" w14:textId="4EA45049" w:rsidR="00CF6D53" w:rsidRDefault="00E925BC" w:rsidP="00CF6D53">
            <w:pPr>
              <w:spacing w:after="120" w:line="276" w:lineRule="auto"/>
              <w:ind w:firstLine="708"/>
              <w:jc w:val="both"/>
              <w:rPr>
                <w:rFonts w:ascii="Verdana" w:eastAsia="Batang" w:hAnsi="Verdana" w:cs="Arial"/>
              </w:rPr>
            </w:pPr>
            <w:r w:rsidRPr="002379AA">
              <w:rPr>
                <w:rFonts w:ascii="Verdana" w:eastAsia="Batang" w:hAnsi="Verdana" w:cs="Arial"/>
              </w:rPr>
              <w:t xml:space="preserve">Sin embargo, la aplicación de estos criterios siempre deberá tener en cuenta las circunstancias concretas de cada caso en particular, de manera que la entidad pueda optar por la interpretación que más se adecúe a la finalidad </w:t>
            </w:r>
            <w:r w:rsidRPr="002379AA">
              <w:rPr>
                <w:rFonts w:ascii="Verdana" w:eastAsia="Batang" w:hAnsi="Verdana" w:cs="Arial"/>
              </w:rPr>
              <w:lastRenderedPageBreak/>
              <w:t xml:space="preserve">que persigue con el </w:t>
            </w:r>
            <w:r w:rsidR="00BA1B0A">
              <w:rPr>
                <w:rFonts w:ascii="Verdana" w:eastAsia="Batang" w:hAnsi="Verdana" w:cs="Arial"/>
              </w:rPr>
              <w:t>pliego de condiciones</w:t>
            </w:r>
            <w:r w:rsidR="00BA1B0A" w:rsidRPr="002379AA">
              <w:rPr>
                <w:rFonts w:ascii="Verdana" w:eastAsia="Batang" w:hAnsi="Verdana" w:cs="Arial"/>
              </w:rPr>
              <w:t xml:space="preserve"> </w:t>
            </w:r>
            <w:r w:rsidRPr="002379AA">
              <w:rPr>
                <w:rFonts w:ascii="Verdana" w:eastAsia="Batang" w:hAnsi="Verdana" w:cs="Arial"/>
              </w:rPr>
              <w:t xml:space="preserve">y sus anexos. </w:t>
            </w:r>
            <w:r w:rsidR="00CF6D53">
              <w:rPr>
                <w:rFonts w:ascii="Verdana" w:eastAsia="Batang" w:hAnsi="Verdana" w:cs="Arial"/>
              </w:rPr>
              <w:t>R</w:t>
            </w:r>
            <w:proofErr w:type="spellStart"/>
            <w:r w:rsidR="00CF6D53" w:rsidRPr="002379AA">
              <w:rPr>
                <w:rFonts w:ascii="Verdana" w:eastAsia="Calibri" w:hAnsi="Verdana" w:cs="Arial"/>
                <w:lang w:val="es-MX"/>
              </w:rPr>
              <w:t>esaltando</w:t>
            </w:r>
            <w:proofErr w:type="spellEnd"/>
            <w:r w:rsidR="00CF6D53" w:rsidRPr="002379AA">
              <w:rPr>
                <w:rFonts w:ascii="Verdana" w:eastAsia="Calibri" w:hAnsi="Verdana" w:cs="Arial"/>
                <w:lang w:val="es-MX"/>
              </w:rPr>
              <w:t xml:space="preserve"> que aquellas disposiciones o situaciones </w:t>
            </w:r>
            <w:r w:rsidR="00CF6D53"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p w14:paraId="30405E81" w14:textId="34C90AE3" w:rsidR="00E925BC" w:rsidRPr="00593A5F" w:rsidRDefault="00E925BC" w:rsidP="0065379A">
            <w:pPr>
              <w:spacing w:after="120" w:line="276" w:lineRule="auto"/>
              <w:ind w:firstLine="708"/>
              <w:jc w:val="both"/>
              <w:rPr>
                <w:rFonts w:ascii="Verdana" w:eastAsia="Calibri" w:hAnsi="Verdana" w:cs="Arial"/>
                <w:color w:val="7030A0"/>
                <w:lang w:val="es-ES"/>
              </w:rPr>
            </w:pP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estos deben valorarse integralmente, de acuerdo con las reglas anteriormente expuestas </w:t>
            </w:r>
            <w:r w:rsidRPr="002379AA">
              <w:rPr>
                <w:rFonts w:ascii="Verdana" w:eastAsia="Calibri" w:hAnsi="Verdana" w:cs="Arial"/>
                <w:lang w:val="es-MX"/>
              </w:rPr>
              <w:t>y atendiendo a las circunstancias adicionales de cada proceso</w:t>
            </w:r>
            <w:r>
              <w:rPr>
                <w:rFonts w:ascii="Verdana" w:eastAsia="Calibri" w:hAnsi="Verdana" w:cs="Arial"/>
                <w:lang w:val="es-MX"/>
              </w:rPr>
              <w:t>.</w:t>
            </w:r>
          </w:p>
        </w:tc>
      </w:tr>
    </w:tbl>
    <w:p w14:paraId="45A7FA0E" w14:textId="77777777" w:rsidR="00E925BC" w:rsidRPr="00593A5F" w:rsidRDefault="00E925BC" w:rsidP="00E925BC">
      <w:pPr>
        <w:tabs>
          <w:tab w:val="left" w:pos="142"/>
          <w:tab w:val="left" w:pos="284"/>
        </w:tabs>
        <w:spacing w:after="0" w:line="276" w:lineRule="auto"/>
        <w:jc w:val="both"/>
        <w:rPr>
          <w:rFonts w:ascii="Verdana" w:eastAsia="Century Gothic" w:hAnsi="Verdana" w:cs="Century Gothic"/>
          <w:b/>
          <w:bCs/>
          <w:lang w:val="es-ES"/>
        </w:rPr>
      </w:pPr>
    </w:p>
    <w:p w14:paraId="5830C97F" w14:textId="77777777" w:rsidR="00E925BC" w:rsidRPr="00593A5F" w:rsidRDefault="00E925BC" w:rsidP="00E925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2AEE1E1" w14:textId="77777777" w:rsidR="00E925BC" w:rsidRPr="00593A5F" w:rsidRDefault="00E925BC" w:rsidP="00E925BC">
      <w:pPr>
        <w:spacing w:after="0" w:line="276" w:lineRule="auto"/>
        <w:jc w:val="both"/>
        <w:rPr>
          <w:rFonts w:ascii="Verdana" w:eastAsia="Calibri" w:hAnsi="Verdana" w:cs="Arial"/>
          <w:color w:val="7030A0"/>
          <w:lang w:val="es-ES"/>
        </w:rPr>
      </w:pPr>
    </w:p>
    <w:p w14:paraId="6A1C5F49" w14:textId="77777777" w:rsidR="00E925BC" w:rsidRPr="00B96799" w:rsidRDefault="00E925BC" w:rsidP="00E925BC">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D805899" w14:textId="77777777" w:rsidR="00E925BC" w:rsidRDefault="00E925BC" w:rsidP="00E925BC">
      <w:pPr>
        <w:spacing w:after="0" w:line="276" w:lineRule="auto"/>
        <w:jc w:val="both"/>
        <w:rPr>
          <w:rFonts w:ascii="Verdana" w:eastAsia="Calibri" w:hAnsi="Verdana" w:cs="Arial"/>
          <w:color w:val="7030A0"/>
          <w:lang w:val="es-ES"/>
        </w:rPr>
      </w:pPr>
    </w:p>
    <w:p w14:paraId="1FD3C0B2" w14:textId="77777777" w:rsidR="00E925BC" w:rsidRPr="002379AA" w:rsidRDefault="00E925BC" w:rsidP="00E925BC">
      <w:pPr>
        <w:spacing w:after="0" w:line="276" w:lineRule="auto"/>
        <w:jc w:val="both"/>
        <w:rPr>
          <w:rFonts w:ascii="Verdana" w:eastAsia="Calibri" w:hAnsi="Verdana" w:cs="Arial"/>
          <w:lang w:val="es-ES"/>
        </w:rPr>
      </w:pPr>
      <w:r w:rsidRPr="002379AA">
        <w:rPr>
          <w:rFonts w:ascii="Verdana" w:eastAsia="Calibri" w:hAnsi="Verdana" w:cs="Arial"/>
          <w:lang w:val="es-ES"/>
        </w:rPr>
        <w:t>L</w:t>
      </w:r>
      <w:r w:rsidRPr="002379AA">
        <w:rPr>
          <w:rFonts w:ascii="Verdana" w:eastAsia="Calibri" w:hAnsi="Verdana" w:cs="Arial"/>
          <w:color w:val="000000" w:themeColor="text1"/>
        </w:rPr>
        <w:t>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propósito de procurar un equilibrio y el cumplimiento de sus principios, entre otros objetivos.</w:t>
      </w:r>
    </w:p>
    <w:p w14:paraId="199441B6" w14:textId="3B04139E" w:rsidR="00E925BC" w:rsidRPr="002379AA" w:rsidRDefault="00E925BC" w:rsidP="00E925BC">
      <w:pPr>
        <w:spacing w:before="120" w:after="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 xml:space="preserve">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w:t>
      </w:r>
      <w:r w:rsidRPr="002379AA">
        <w:rPr>
          <w:rFonts w:ascii="Verdana" w:eastAsia="Calibri" w:hAnsi="Verdana" w:cs="Arial"/>
          <w:color w:val="000000" w:themeColor="text1"/>
        </w:rPr>
        <w:lastRenderedPageBreak/>
        <w:t>adquisición de que se trate, y que quedan definidos en el pliego de condiciones</w:t>
      </w:r>
      <w:r w:rsidRPr="002379AA">
        <w:rPr>
          <w:rFonts w:ascii="Verdana" w:eastAsia="Calibri" w:hAnsi="Verdana" w:cs="Arial"/>
          <w:color w:val="000000" w:themeColor="text1"/>
          <w:vertAlign w:val="superscript"/>
        </w:rPr>
        <w:footnoteReference w:id="3"/>
      </w:r>
      <w:r w:rsidRPr="002379AA">
        <w:rPr>
          <w:rFonts w:ascii="Verdana" w:eastAsia="Calibri" w:hAnsi="Verdana" w:cs="Arial"/>
          <w:color w:val="000000" w:themeColor="text1"/>
        </w:rPr>
        <w:t>. La Ley 80 de 1993, en el artículo 24, regula el principio de transparencia</w:t>
      </w:r>
      <w:r w:rsidR="00B9141C">
        <w:rPr>
          <w:rFonts w:ascii="Verdana" w:eastAsia="Calibri" w:hAnsi="Verdana" w:cs="Arial"/>
          <w:color w:val="000000" w:themeColor="text1"/>
        </w:rPr>
        <w:t xml:space="preserve">. Derivado de este principio </w:t>
      </w:r>
      <w:r w:rsidRPr="002379AA">
        <w:rPr>
          <w:rFonts w:ascii="Verdana" w:eastAsia="Calibri" w:hAnsi="Verdana" w:cs="Arial"/>
          <w:color w:val="000000" w:themeColor="text1"/>
        </w:rPr>
        <w:t xml:space="preserve">se indican reglas </w:t>
      </w:r>
      <w:r w:rsidR="00B9141C">
        <w:rPr>
          <w:rFonts w:ascii="Verdana" w:eastAsia="Calibri" w:hAnsi="Verdana" w:cs="Arial"/>
          <w:color w:val="000000" w:themeColor="text1"/>
        </w:rPr>
        <w:t>relacionadas con</w:t>
      </w:r>
      <w:r w:rsidR="00B9141C" w:rsidRPr="002379AA">
        <w:rPr>
          <w:rFonts w:ascii="Verdana" w:eastAsia="Calibri" w:hAnsi="Verdana" w:cs="Arial"/>
          <w:color w:val="000000" w:themeColor="text1"/>
        </w:rPr>
        <w:t xml:space="preserve"> </w:t>
      </w:r>
      <w:r w:rsidRPr="002379AA">
        <w:rPr>
          <w:rFonts w:ascii="Verdana" w:eastAsia="Calibri" w:hAnsi="Verdana" w:cs="Arial"/>
          <w:color w:val="000000" w:themeColor="text1"/>
        </w:rPr>
        <w:t>el contenido del pliego de condiciones</w:t>
      </w:r>
      <w:r w:rsidR="00B9141C">
        <w:rPr>
          <w:rFonts w:ascii="Verdana" w:eastAsia="Calibri" w:hAnsi="Verdana" w:cs="Arial"/>
          <w:color w:val="000000" w:themeColor="text1"/>
        </w:rPr>
        <w:t xml:space="preserve"> así</w:t>
      </w:r>
      <w:r w:rsidRPr="002379AA">
        <w:rPr>
          <w:rFonts w:ascii="Verdana" w:eastAsia="Calibri" w:hAnsi="Verdana" w:cs="Arial"/>
          <w:color w:val="000000" w:themeColor="text1"/>
        </w:rPr>
        <w:t>:</w:t>
      </w:r>
    </w:p>
    <w:p w14:paraId="67A99CCF" w14:textId="77777777" w:rsidR="00E925BC" w:rsidRPr="002379AA" w:rsidRDefault="00E925BC" w:rsidP="00E925BC">
      <w:pPr>
        <w:spacing w:after="0" w:line="276" w:lineRule="auto"/>
        <w:ind w:left="709" w:right="709"/>
        <w:jc w:val="both"/>
        <w:rPr>
          <w:rFonts w:ascii="Verdana" w:hAnsi="Verdana" w:cs="Arial"/>
          <w:color w:val="000000" w:themeColor="text1"/>
        </w:rPr>
      </w:pPr>
    </w:p>
    <w:p w14:paraId="70F1AC27"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02665726"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5o. En los pliegos de condiciones:</w:t>
      </w:r>
    </w:p>
    <w:p w14:paraId="2B29ED66"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p>
    <w:p w14:paraId="02853C6D"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a) Se indicarán los requisitos objetivos necesarios para participar en el correspondiente proceso de selección.</w:t>
      </w:r>
    </w:p>
    <w:p w14:paraId="4C6BC7F6"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p>
    <w:p w14:paraId="5DE30235"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b) Se definirán reglas objetivas, justas, claras y completas que permitan la confección de ofrecimientos de la misma índole, aseguren una escogencia objetiva y eviten la declaratoria de desierta de la licitación.</w:t>
      </w:r>
    </w:p>
    <w:p w14:paraId="68D893ED"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p>
    <w:p w14:paraId="57AFE1C8"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1175AB12"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p>
    <w:p w14:paraId="6A309D37"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d) No se incluirán condiciones y exigencias de imposible cumplimiento, ni exenciones de la responsabilidad derivada de los datos, informes y documentos que se suministren.</w:t>
      </w:r>
    </w:p>
    <w:p w14:paraId="660C325A" w14:textId="77777777"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p>
    <w:p w14:paraId="7CF48BB2" w14:textId="68909D1B" w:rsidR="00E925BC" w:rsidRPr="002379AA" w:rsidRDefault="00E925BC" w:rsidP="00E925BC">
      <w:pPr>
        <w:spacing w:after="0" w:line="240" w:lineRule="auto"/>
        <w:ind w:left="709" w:right="709"/>
        <w:contextualSpacing/>
        <w:jc w:val="both"/>
        <w:rPr>
          <w:rFonts w:ascii="Verdana" w:hAnsi="Verdana" w:cs="Arial"/>
          <w:color w:val="000000" w:themeColor="text1"/>
          <w:sz w:val="20"/>
          <w:szCs w:val="20"/>
        </w:rPr>
      </w:pPr>
      <w:r w:rsidRPr="00AA438A">
        <w:rPr>
          <w:rFonts w:ascii="Verdana" w:hAnsi="Verdana" w:cs="Arial"/>
          <w:i/>
          <w:color w:val="000000" w:themeColor="text1"/>
          <w:sz w:val="20"/>
          <w:szCs w:val="20"/>
        </w:rPr>
        <w:t>e) Se definirán reglas que no induzcan a error a los proponentes y contratistas y que impidan la formulación de ofrecimientos de extensión ilimitada o que dependan de la voluntad exclusiva de la entidad</w:t>
      </w:r>
      <w:r w:rsidRPr="002379AA">
        <w:rPr>
          <w:rFonts w:ascii="Verdana" w:hAnsi="Verdana" w:cs="Arial"/>
          <w:color w:val="000000" w:themeColor="text1"/>
          <w:sz w:val="20"/>
          <w:szCs w:val="20"/>
        </w:rPr>
        <w:t xml:space="preserve">. [...]”. </w:t>
      </w:r>
      <w:r w:rsidR="005B24D8">
        <w:rPr>
          <w:rFonts w:ascii="Verdana" w:hAnsi="Verdana" w:cs="Arial"/>
          <w:color w:val="000000" w:themeColor="text1"/>
          <w:sz w:val="20"/>
          <w:szCs w:val="20"/>
        </w:rPr>
        <w:t>[Énfasis fuera del texto original]</w:t>
      </w:r>
    </w:p>
    <w:p w14:paraId="4CA0262C" w14:textId="77777777" w:rsidR="00E925BC" w:rsidRPr="002379AA" w:rsidRDefault="00E925BC" w:rsidP="00E925BC">
      <w:pPr>
        <w:spacing w:after="0" w:line="276" w:lineRule="auto"/>
        <w:ind w:left="709" w:right="709"/>
        <w:jc w:val="both"/>
        <w:rPr>
          <w:rFonts w:ascii="Verdana" w:hAnsi="Verdana" w:cs="Arial"/>
          <w:color w:val="000000" w:themeColor="text1"/>
        </w:rPr>
      </w:pPr>
    </w:p>
    <w:p w14:paraId="36E53F3A" w14:textId="77777777" w:rsidR="00E925BC" w:rsidRPr="002379AA" w:rsidRDefault="00E925BC" w:rsidP="00E925BC">
      <w:pPr>
        <w:spacing w:after="120" w:line="276" w:lineRule="auto"/>
        <w:ind w:firstLine="709"/>
        <w:jc w:val="both"/>
        <w:rPr>
          <w:rFonts w:ascii="Verdana" w:hAnsi="Verdana" w:cs="Arial"/>
          <w:color w:val="000000" w:themeColor="text1"/>
        </w:rPr>
      </w:pPr>
      <w:r w:rsidRPr="002379AA">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2379AA">
        <w:rPr>
          <w:rFonts w:ascii="Verdana" w:eastAsia="Calibri" w:hAnsi="Verdana" w:cs="Arial"/>
          <w:color w:val="000000" w:themeColor="text1"/>
          <w:vertAlign w:val="superscript"/>
        </w:rPr>
        <w:footnoteReference w:id="4"/>
      </w:r>
      <w:r w:rsidRPr="002379AA">
        <w:rPr>
          <w:rFonts w:ascii="Verdana" w:eastAsia="Calibri" w:hAnsi="Verdana" w:cs="Arial"/>
          <w:color w:val="000000" w:themeColor="text1"/>
        </w:rPr>
        <w:t xml:space="preserve">. En otro pronunciamiento, el Consejo de Estado consideró </w:t>
      </w:r>
      <w:r w:rsidRPr="00AA438A">
        <w:rPr>
          <w:rFonts w:ascii="Verdana" w:eastAsia="Calibri" w:hAnsi="Verdana" w:cs="Arial"/>
          <w:color w:val="000000" w:themeColor="text1"/>
        </w:rPr>
        <w:t xml:space="preserve">que la </w:t>
      </w:r>
      <w:r w:rsidRPr="00AA438A">
        <w:rPr>
          <w:rFonts w:ascii="Verdana" w:eastAsia="Calibri" w:hAnsi="Verdana" w:cs="Arial"/>
          <w:color w:val="000000" w:themeColor="text1"/>
        </w:rPr>
        <w:lastRenderedPageBreak/>
        <w:t>autonomía que tienen las entidades frente a la configuración de los pliegos de condiciones y los criterios de selección de los procedimientos de contratación no es absoluta</w:t>
      </w:r>
      <w:r w:rsidRPr="002379AA">
        <w:rPr>
          <w:rFonts w:ascii="Verdana" w:eastAsia="Calibri" w:hAnsi="Verdana" w:cs="Arial"/>
          <w:color w:val="000000" w:themeColor="text1"/>
        </w:rPr>
        <w:t xml:space="preserve">, pues debe tener relación con los fines de la contratación estatal </w:t>
      </w:r>
      <w:r w:rsidRPr="002379AA">
        <w:rPr>
          <w:rFonts w:ascii="Verdana" w:hAnsi="Verdana" w:cs="Arial"/>
          <w:color w:val="000000" w:themeColor="text1"/>
        </w:rPr>
        <w:t>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2379AA">
        <w:rPr>
          <w:rFonts w:ascii="Verdana" w:hAnsi="Verdana" w:cs="Arial"/>
          <w:color w:val="000000" w:themeColor="text1"/>
          <w:vertAlign w:val="superscript"/>
        </w:rPr>
        <w:footnoteReference w:id="5"/>
      </w:r>
      <w:r w:rsidRPr="002379AA">
        <w:rPr>
          <w:rFonts w:ascii="Verdana" w:hAnsi="Verdana" w:cs="Arial"/>
          <w:color w:val="000000" w:themeColor="text1"/>
        </w:rPr>
        <w:t>.</w:t>
      </w:r>
    </w:p>
    <w:p w14:paraId="13B7545D" w14:textId="77777777" w:rsidR="00E925BC" w:rsidRPr="002379AA" w:rsidRDefault="00E925BC" w:rsidP="00E925BC">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 xml:space="preserve">También, el Consejo de Estado ha determinado que </w:t>
      </w:r>
      <w:r w:rsidRPr="00AA438A">
        <w:rPr>
          <w:rFonts w:ascii="Verdana" w:eastAsia="Calibri" w:hAnsi="Verdana" w:cs="Arial"/>
          <w:color w:val="000000" w:themeColor="text1"/>
        </w:rPr>
        <w:t xml:space="preserve">el </w:t>
      </w:r>
      <w:r w:rsidRPr="00AA438A">
        <w:rPr>
          <w:rFonts w:ascii="Verdana" w:eastAsia="Calibri" w:hAnsi="Verdana" w:cs="Arial"/>
          <w:i/>
          <w:color w:val="000000" w:themeColor="text1"/>
        </w:rPr>
        <w:t>pliego de condiciones es ley para las partes</w:t>
      </w:r>
      <w:r w:rsidRPr="002379AA">
        <w:rPr>
          <w:rFonts w:ascii="Verdana" w:eastAsia="Calibri" w:hAnsi="Verdana" w:cs="Arial"/>
          <w:color w:val="000000" w:themeColor="text1"/>
        </w:rPr>
        <w:t>, y en él se debe establecer la regulación del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6"/>
      </w:r>
      <w:r w:rsidRPr="002379AA">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2379AA">
        <w:rPr>
          <w:rFonts w:ascii="Verdana" w:eastAsia="Calibri" w:hAnsi="Verdana" w:cs="Arial"/>
          <w:color w:val="000000" w:themeColor="text1"/>
        </w:rPr>
        <w:t>ii</w:t>
      </w:r>
      <w:proofErr w:type="spellEnd"/>
      <w:r w:rsidRPr="002379AA">
        <w:rPr>
          <w:rFonts w:ascii="Verdana" w:eastAsia="Calibri" w:hAnsi="Verdana" w:cs="Arial"/>
          <w:color w:val="000000" w:themeColor="text1"/>
        </w:rPr>
        <w:t xml:space="preserve">) modalidad y criterios de selección, </w:t>
      </w:r>
      <w:proofErr w:type="spellStart"/>
      <w:r w:rsidRPr="002379AA">
        <w:rPr>
          <w:rFonts w:ascii="Verdana" w:eastAsia="Calibri" w:hAnsi="Verdana" w:cs="Arial"/>
          <w:color w:val="000000" w:themeColor="text1"/>
        </w:rPr>
        <w:t>iii</w:t>
      </w:r>
      <w:proofErr w:type="spellEnd"/>
      <w:r w:rsidRPr="002379AA">
        <w:rPr>
          <w:rFonts w:ascii="Verdana" w:eastAsia="Calibri" w:hAnsi="Verdana" w:cs="Arial"/>
          <w:color w:val="000000" w:themeColor="text1"/>
        </w:rPr>
        <w:t xml:space="preserve">) valoración económica del bien, obra o servicio, </w:t>
      </w:r>
      <w:proofErr w:type="spellStart"/>
      <w:r w:rsidRPr="002379AA">
        <w:rPr>
          <w:rFonts w:ascii="Verdana" w:eastAsia="Calibri" w:hAnsi="Verdana" w:cs="Arial"/>
          <w:color w:val="000000" w:themeColor="text1"/>
        </w:rPr>
        <w:t>iv</w:t>
      </w:r>
      <w:proofErr w:type="spellEnd"/>
      <w:r w:rsidRPr="002379AA">
        <w:rPr>
          <w:rFonts w:ascii="Verdana" w:eastAsia="Calibri" w:hAnsi="Verdana" w:cs="Arial"/>
          <w:color w:val="000000" w:themeColor="text1"/>
        </w:rPr>
        <w:t>) reglas de la presentación y manejo de las ofertas, v) riesgos y garantías, entre otros aspectos del contrato</w:t>
      </w:r>
      <w:r w:rsidRPr="002379AA">
        <w:rPr>
          <w:rFonts w:ascii="Verdana" w:eastAsia="Calibri" w:hAnsi="Verdana" w:cs="Arial"/>
          <w:color w:val="000000" w:themeColor="text1"/>
          <w:vertAlign w:val="superscript"/>
        </w:rPr>
        <w:footnoteReference w:id="7"/>
      </w:r>
      <w:r w:rsidRPr="002379AA">
        <w:rPr>
          <w:rFonts w:ascii="Verdana" w:eastAsia="Calibri" w:hAnsi="Verdana" w:cs="Arial"/>
          <w:color w:val="000000" w:themeColor="text1"/>
        </w:rPr>
        <w:t>.</w:t>
      </w:r>
    </w:p>
    <w:p w14:paraId="7B2C216A" w14:textId="77777777" w:rsidR="00E925BC" w:rsidRPr="002379AA" w:rsidRDefault="00E925BC" w:rsidP="00E925BC">
      <w:pPr>
        <w:spacing w:after="120" w:line="276" w:lineRule="auto"/>
        <w:ind w:firstLine="709"/>
        <w:jc w:val="both"/>
        <w:rPr>
          <w:rFonts w:ascii="Verdana" w:hAnsi="Verdana" w:cs="Arial"/>
        </w:rPr>
      </w:pPr>
      <w:r w:rsidRPr="002379AA">
        <w:rPr>
          <w:rFonts w:ascii="Verdana" w:hAnsi="Verdana" w:cs="Arial"/>
        </w:rPr>
        <w:lastRenderedPageBreak/>
        <w:t>Conforme a lo anterior,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2379AA">
        <w:rPr>
          <w:rFonts w:ascii="Verdana" w:hAnsi="Verdana" w:cs="Arial"/>
          <w:vertAlign w:val="superscript"/>
        </w:rPr>
        <w:footnoteReference w:id="8"/>
      </w:r>
      <w:r w:rsidRPr="002379AA">
        <w:rPr>
          <w:rFonts w:ascii="Verdana" w:hAnsi="Verdana" w:cs="Arial"/>
        </w:rPr>
        <w:t>.</w:t>
      </w:r>
    </w:p>
    <w:p w14:paraId="670AD119" w14:textId="77777777" w:rsidR="00E925BC" w:rsidRPr="002379AA" w:rsidRDefault="00E925BC" w:rsidP="00E925BC">
      <w:pPr>
        <w:spacing w:after="120" w:line="276" w:lineRule="auto"/>
        <w:jc w:val="both"/>
        <w:rPr>
          <w:rFonts w:ascii="Verdana" w:eastAsia="Calibri" w:hAnsi="Verdana" w:cs="Arial"/>
          <w:lang w:val="es-ES"/>
        </w:rPr>
      </w:pPr>
      <w:r w:rsidRPr="002379AA">
        <w:rPr>
          <w:rFonts w:ascii="Verdana" w:eastAsia="Calibri" w:hAnsi="Verdana" w:cs="Arial"/>
          <w:b/>
          <w:bCs/>
          <w:lang w:val="es-ES"/>
        </w:rPr>
        <w:tab/>
      </w:r>
      <w:r w:rsidRPr="002379AA">
        <w:rPr>
          <w:rFonts w:ascii="Verdana" w:eastAsia="Calibri" w:hAnsi="Verdana" w:cs="Arial"/>
          <w:lang w:val="es-ES"/>
        </w:rPr>
        <w:t>En ese orden de ideas, el Consejo de Estado</w:t>
      </w:r>
      <w:r w:rsidRPr="002379AA">
        <w:rPr>
          <w:rFonts w:ascii="Verdana" w:eastAsia="Calibri" w:hAnsi="Verdana" w:cs="Arial"/>
          <w:vertAlign w:val="superscript"/>
          <w:lang w:val="es-ES"/>
        </w:rPr>
        <w:footnoteReference w:id="9"/>
      </w:r>
      <w:r w:rsidRPr="002379A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lang w:val="es-ES"/>
        </w:rPr>
        <w:t>.</w:t>
      </w:r>
      <w:r w:rsidRPr="002379AA">
        <w:rPr>
          <w:rFonts w:ascii="Verdana" w:eastAsia="Calibri" w:hAnsi="Verdana" w:cs="Arial"/>
          <w:lang w:val="es-ES"/>
        </w:rPr>
        <w:t xml:space="preserve"> </w:t>
      </w:r>
    </w:p>
    <w:p w14:paraId="25049402" w14:textId="77777777" w:rsidR="00E925BC" w:rsidRPr="002379AA" w:rsidRDefault="00E925BC" w:rsidP="00E925BC">
      <w:pPr>
        <w:spacing w:after="120" w:line="276" w:lineRule="auto"/>
        <w:ind w:firstLine="708"/>
        <w:jc w:val="both"/>
        <w:rPr>
          <w:rFonts w:ascii="Verdana" w:eastAsia="Batang" w:hAnsi="Verdana" w:cs="Arial"/>
          <w:lang w:val="es-MX"/>
        </w:rPr>
      </w:pPr>
      <w:r w:rsidRPr="002379AA">
        <w:rPr>
          <w:rFonts w:ascii="Verdana" w:eastAsia="Batang" w:hAnsi="Verdana" w:cs="Arial"/>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w:t>
      </w:r>
      <w:r w:rsidRPr="002379AA">
        <w:rPr>
          <w:rFonts w:ascii="Verdana" w:eastAsia="Batang" w:hAnsi="Verdana" w:cs="Arial"/>
          <w:lang w:val="es-MX"/>
        </w:rPr>
        <w:lastRenderedPageBreak/>
        <w:t xml:space="preserve">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a los de la función administrativa, a la finalidad del pliego y a la protección del interés general, de conformidad con lo previsto en el artículo 23 de la Ley 80 de 1993”</w:t>
      </w:r>
      <w:r w:rsidRPr="002379AA">
        <w:rPr>
          <w:rFonts w:ascii="Verdana" w:eastAsia="Batang" w:hAnsi="Verdana" w:cs="Arial"/>
          <w:i/>
          <w:iCs/>
          <w:vertAlign w:val="superscript"/>
          <w:lang w:val="es-MX"/>
        </w:rPr>
        <w:footnoteReference w:id="10"/>
      </w:r>
      <w:r w:rsidRPr="002379AA">
        <w:rPr>
          <w:rFonts w:ascii="Verdana" w:eastAsia="Batang" w:hAnsi="Verdana" w:cs="Arial"/>
          <w:i/>
          <w:iCs/>
          <w:lang w:val="es-MX"/>
        </w:rPr>
        <w:t>.</w:t>
      </w:r>
    </w:p>
    <w:p w14:paraId="3BAEE818" w14:textId="77777777" w:rsidR="00E925BC" w:rsidRDefault="00E925BC" w:rsidP="00E925BC">
      <w:pPr>
        <w:spacing w:after="120" w:line="276" w:lineRule="auto"/>
        <w:ind w:firstLine="708"/>
        <w:jc w:val="both"/>
        <w:rPr>
          <w:rFonts w:ascii="Verdana" w:eastAsia="Batang" w:hAnsi="Verdana" w:cs="Arial"/>
        </w:rPr>
      </w:pPr>
      <w:r w:rsidRPr="002379AA">
        <w:rPr>
          <w:rFonts w:ascii="Verdana" w:eastAsia="Batang" w:hAnsi="Verdana" w:cs="Arial"/>
          <w:lang w:val="es-MX"/>
        </w:rPr>
        <w:t xml:space="preserve">De acuerdo con lo anterior, en atención al problema jurídico planteado,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400AB29E" w14:textId="77777777" w:rsidR="00E925BC" w:rsidRPr="002379AA" w:rsidRDefault="00E925BC" w:rsidP="00E925BC">
      <w:pPr>
        <w:spacing w:after="120" w:line="276" w:lineRule="auto"/>
        <w:ind w:firstLine="708"/>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objetivas y subjetivas</w:t>
      </w:r>
      <w:r w:rsidRPr="002379AA">
        <w:rPr>
          <w:rFonts w:ascii="Verdana" w:eastAsia="Batang" w:hAnsi="Verdana" w:cs="Arial"/>
          <w:vertAlign w:val="superscript"/>
          <w:lang w:val="es-MX"/>
        </w:rPr>
        <w:footnoteReference w:id="11"/>
      </w:r>
      <w:r w:rsidRPr="002379AA">
        <w:rPr>
          <w:rFonts w:ascii="Verdana" w:eastAsia="Batang" w:hAnsi="Verdana" w:cs="Arial"/>
          <w:lang w:val="es-MX"/>
        </w:rPr>
        <w:t xml:space="preserve">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2379AA">
        <w:rPr>
          <w:rFonts w:ascii="Verdana" w:eastAsia="Batang" w:hAnsi="Verdana" w:cs="Arial"/>
          <w:lang w:val="es-MX"/>
        </w:rPr>
        <w:t>ii</w:t>
      </w:r>
      <w:proofErr w:type="spellEnd"/>
      <w:r w:rsidRPr="002379AA">
        <w:rPr>
          <w:rFonts w:ascii="Verdana" w:eastAsia="Batang" w:hAnsi="Verdana" w:cs="Arial"/>
          <w:lang w:val="es-MX"/>
        </w:rPr>
        <w:t xml:space="preserve">)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2379AA">
        <w:rPr>
          <w:rFonts w:ascii="Verdana" w:eastAsia="Batang" w:hAnsi="Verdana" w:cs="Arial"/>
          <w:i/>
          <w:iCs/>
        </w:rPr>
        <w:t>ibídem</w:t>
      </w:r>
      <w:bookmarkStart w:id="2" w:name="_Hlk96265254"/>
      <w:proofErr w:type="spellEnd"/>
      <w:r w:rsidRPr="002379AA">
        <w:rPr>
          <w:rFonts w:ascii="Verdana" w:eastAsia="Batang" w:hAnsi="Verdana" w:cs="Arial"/>
        </w:rPr>
        <w:t xml:space="preserve">); </w:t>
      </w:r>
      <w:proofErr w:type="spellStart"/>
      <w:r w:rsidRPr="002379AA">
        <w:rPr>
          <w:rFonts w:ascii="Verdana" w:eastAsia="Batang" w:hAnsi="Verdana" w:cs="Arial"/>
        </w:rPr>
        <w:t>iii</w:t>
      </w:r>
      <w:proofErr w:type="spellEnd"/>
      <w:r w:rsidRPr="002379AA">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iv</w:t>
      </w:r>
      <w:proofErr w:type="spellEnd"/>
      <w:r w:rsidRPr="002379AA">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
    <w:p w14:paraId="75731F54" w14:textId="77777777" w:rsidR="00E925BC" w:rsidRDefault="00E925BC" w:rsidP="00E925BC">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proofErr w:type="spellStart"/>
      <w:r w:rsidRPr="002379AA">
        <w:rPr>
          <w:rFonts w:ascii="Verdana" w:eastAsia="Batang" w:hAnsi="Verdana" w:cs="Arial"/>
          <w:i/>
          <w:iCs/>
        </w:rPr>
        <w:t>ibídem</w:t>
      </w:r>
      <w:proofErr w:type="spellEnd"/>
      <w:r w:rsidRPr="002379AA">
        <w:rPr>
          <w:rFonts w:ascii="Verdana" w:eastAsia="Batang" w:hAnsi="Verdana" w:cs="Arial"/>
        </w:rPr>
        <w:t xml:space="preserve">); </w:t>
      </w:r>
      <w:proofErr w:type="spellStart"/>
      <w:r w:rsidRPr="002379AA">
        <w:rPr>
          <w:rFonts w:ascii="Verdana" w:eastAsia="Batang" w:hAnsi="Verdana" w:cs="Arial"/>
        </w:rPr>
        <w:t>vii</w:t>
      </w:r>
      <w:proofErr w:type="spellEnd"/>
      <w:r w:rsidRPr="002379AA">
        <w:rPr>
          <w:rFonts w:ascii="Verdana" w:eastAsia="Batang" w:hAnsi="Verdana" w:cs="Arial"/>
        </w:rPr>
        <w:t>)</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proofErr w:type="spellStart"/>
      <w:r w:rsidRPr="002379AA">
        <w:rPr>
          <w:rFonts w:ascii="Verdana" w:eastAsia="Batang" w:hAnsi="Verdana" w:cs="Arial"/>
          <w:lang w:val="es-MX"/>
        </w:rPr>
        <w:t>viii</w:t>
      </w:r>
      <w:proofErr w:type="spellEnd"/>
      <w:r w:rsidRPr="002379AA">
        <w:rPr>
          <w:rFonts w:ascii="Verdana" w:eastAsia="Batang" w:hAnsi="Verdana" w:cs="Arial"/>
          <w:lang w:val="es-MX"/>
        </w:rPr>
        <w:t xml:space="preserve">) las cláusulas ambiguas se interpretan a favor del deudor </w:t>
      </w:r>
      <w:r w:rsidRPr="002379AA">
        <w:rPr>
          <w:rFonts w:ascii="Verdana" w:eastAsia="Batang" w:hAnsi="Verdana" w:cs="Arial"/>
        </w:rPr>
        <w:t xml:space="preserve">(artículo 1624, inciso 1 </w:t>
      </w:r>
      <w:proofErr w:type="spellStart"/>
      <w:r w:rsidRPr="002379AA">
        <w:rPr>
          <w:rFonts w:ascii="Verdana" w:eastAsia="Batang" w:hAnsi="Verdana" w:cs="Arial"/>
        </w:rPr>
        <w:t>ibídem</w:t>
      </w:r>
      <w:proofErr w:type="spellEnd"/>
      <w:r w:rsidRPr="002379AA">
        <w:rPr>
          <w:rFonts w:ascii="Verdana" w:eastAsia="Batang" w:hAnsi="Verdana" w:cs="Arial"/>
        </w:rPr>
        <w:t xml:space="preserve">); y </w:t>
      </w:r>
      <w:proofErr w:type="spellStart"/>
      <w:r w:rsidRPr="002379AA">
        <w:rPr>
          <w:rFonts w:ascii="Verdana" w:eastAsia="Batang" w:hAnsi="Verdana" w:cs="Arial"/>
        </w:rPr>
        <w:t>ix</w:t>
      </w:r>
      <w:proofErr w:type="spellEnd"/>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w:t>
      </w:r>
      <w:r w:rsidRPr="002379AA">
        <w:rPr>
          <w:rFonts w:ascii="Verdana" w:eastAsia="Batang" w:hAnsi="Verdana" w:cs="Arial"/>
          <w:i/>
          <w:iCs/>
          <w:lang w:val="es-MX"/>
        </w:rPr>
        <w:lastRenderedPageBreak/>
        <w:t>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proofErr w:type="spellStart"/>
      <w:r w:rsidRPr="002379AA">
        <w:rPr>
          <w:rFonts w:ascii="Verdana" w:eastAsia="Batang" w:hAnsi="Verdana" w:cs="Arial"/>
          <w:i/>
          <w:iCs/>
        </w:rPr>
        <w:t>ibídem</w:t>
      </w:r>
      <w:proofErr w:type="spellEnd"/>
      <w:r w:rsidRPr="002379AA">
        <w:rPr>
          <w:rFonts w:ascii="Verdana" w:eastAsia="Batang" w:hAnsi="Verdana" w:cs="Arial"/>
        </w:rPr>
        <w:t>)</w:t>
      </w:r>
      <w:r w:rsidRPr="002379AA">
        <w:rPr>
          <w:rFonts w:ascii="Verdana" w:eastAsia="Batang" w:hAnsi="Verdana" w:cs="Arial"/>
          <w:lang w:val="es-MX"/>
        </w:rPr>
        <w:t xml:space="preserve">. </w:t>
      </w:r>
      <w:bookmarkEnd w:id="2"/>
    </w:p>
    <w:p w14:paraId="126662FA" w14:textId="5D4F537F" w:rsidR="00E925BC" w:rsidRDefault="00FC703A" w:rsidP="00E925BC">
      <w:pPr>
        <w:spacing w:after="120" w:line="276" w:lineRule="auto"/>
        <w:ind w:firstLine="708"/>
        <w:jc w:val="both"/>
        <w:rPr>
          <w:rFonts w:ascii="Verdana" w:eastAsia="Batang" w:hAnsi="Verdana" w:cs="Arial"/>
          <w:lang w:val="es-MX"/>
        </w:rPr>
      </w:pPr>
      <w:r>
        <w:rPr>
          <w:rFonts w:ascii="Verdana" w:eastAsia="Batang" w:hAnsi="Verdana" w:cs="Arial"/>
        </w:rPr>
        <w:t>Ahora bien</w:t>
      </w:r>
      <w:r w:rsidR="00E925BC" w:rsidRPr="002379AA">
        <w:rPr>
          <w:rFonts w:ascii="Verdana" w:eastAsia="Batang" w:hAnsi="Verdana" w:cs="Arial"/>
        </w:rPr>
        <w:t xml:space="preserve">, </w:t>
      </w:r>
      <w:bookmarkStart w:id="3" w:name="_Hlk96265891"/>
      <w:r w:rsidR="00E925BC" w:rsidRPr="002379AA">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00E925BC"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00E925BC" w:rsidRPr="002379AA">
        <w:rPr>
          <w:rFonts w:ascii="Verdana" w:eastAsia="Batang" w:hAnsi="Verdana" w:cs="Arial"/>
          <w:i/>
          <w:iCs/>
          <w:lang w:val="es-MX"/>
        </w:rPr>
        <w:t xml:space="preserve">ex ante </w:t>
      </w:r>
      <w:r w:rsidR="00E925BC" w:rsidRPr="002379AA">
        <w:rPr>
          <w:rFonts w:ascii="Verdana" w:eastAsia="Batang" w:hAnsi="Verdana" w:cs="Arial"/>
          <w:lang w:val="es-MX"/>
        </w:rPr>
        <w:t>la validez o prevalencia jurídica de los documentos contractuales, pues estos deben valorarse integralmente, de acuerdo con las reglas anteriormente expuestas</w:t>
      </w:r>
      <w:bookmarkEnd w:id="3"/>
      <w:r w:rsidR="00E925BC" w:rsidRPr="002379AA">
        <w:rPr>
          <w:rFonts w:ascii="Verdana" w:eastAsia="Batang" w:hAnsi="Verdana" w:cs="Arial"/>
          <w:lang w:val="es-MX"/>
        </w:rPr>
        <w:t xml:space="preserve"> </w:t>
      </w:r>
      <w:r w:rsidR="00E925BC" w:rsidRPr="002379AA">
        <w:rPr>
          <w:rFonts w:ascii="Verdana" w:eastAsia="Calibri" w:hAnsi="Verdana" w:cs="Arial"/>
          <w:lang w:val="es-MX"/>
        </w:rPr>
        <w:t>y atendiendo a las circunstancias adicionales de cada proceso</w:t>
      </w:r>
      <w:r w:rsidR="00E925BC" w:rsidRPr="002379AA">
        <w:rPr>
          <w:rFonts w:ascii="Verdana" w:eastAsia="Batang" w:hAnsi="Verdana" w:cs="Arial"/>
          <w:vertAlign w:val="superscript"/>
          <w:lang w:val="es-MX"/>
        </w:rPr>
        <w:footnoteReference w:id="12"/>
      </w:r>
      <w:r w:rsidR="00E925BC" w:rsidRPr="002379AA">
        <w:rPr>
          <w:rFonts w:ascii="Verdana" w:eastAsia="Batang" w:hAnsi="Verdana" w:cs="Arial"/>
          <w:lang w:val="es-MX"/>
        </w:rPr>
        <w:t>.</w:t>
      </w:r>
    </w:p>
    <w:p w14:paraId="20B48A04" w14:textId="77777777" w:rsidR="002D0D00" w:rsidRDefault="00E925BC" w:rsidP="00E925BC">
      <w:pPr>
        <w:spacing w:after="120" w:line="276" w:lineRule="auto"/>
        <w:ind w:firstLine="708"/>
        <w:jc w:val="both"/>
        <w:rPr>
          <w:rFonts w:ascii="Verdana" w:eastAsia="Batang" w:hAnsi="Verdana" w:cs="Arial"/>
        </w:rPr>
      </w:pPr>
      <w:r>
        <w:rPr>
          <w:rFonts w:ascii="Verdana" w:eastAsia="Batang" w:hAnsi="Verdana" w:cs="Arial"/>
        </w:rPr>
        <w:t>Así mismo es importante señalar lo dicho por e</w:t>
      </w:r>
      <w:r w:rsidRPr="004F03D4">
        <w:rPr>
          <w:rFonts w:ascii="Verdana" w:eastAsia="Batang" w:hAnsi="Verdana" w:cs="Arial"/>
        </w:rPr>
        <w:t>l Consejo de Estado en Sentencia de</w:t>
      </w:r>
      <w:r>
        <w:rPr>
          <w:rFonts w:ascii="Verdana" w:eastAsia="Batang" w:hAnsi="Verdana" w:cs="Arial"/>
        </w:rPr>
        <w:t>l 1 de</w:t>
      </w:r>
      <w:r w:rsidRPr="004F03D4">
        <w:rPr>
          <w:rFonts w:ascii="Verdana" w:eastAsia="Batang" w:hAnsi="Verdana" w:cs="Arial"/>
        </w:rPr>
        <w:t xml:space="preserve"> marzo de 2018, expediente</w:t>
      </w:r>
      <w:r>
        <w:rPr>
          <w:rFonts w:ascii="Verdana" w:eastAsia="Batang" w:hAnsi="Verdana" w:cs="Arial"/>
        </w:rPr>
        <w:t xml:space="preserve"> </w:t>
      </w:r>
      <w:r w:rsidRPr="004F03D4">
        <w:rPr>
          <w:rFonts w:ascii="Verdana" w:eastAsia="Batang" w:hAnsi="Verdana" w:cs="Arial"/>
        </w:rPr>
        <w:t>38711</w:t>
      </w:r>
      <w:r>
        <w:rPr>
          <w:rStyle w:val="Refdenotaalpie"/>
          <w:rFonts w:ascii="Verdana" w:eastAsia="Batang" w:hAnsi="Verdana" w:cs="Arial"/>
        </w:rPr>
        <w:footnoteReference w:id="13"/>
      </w:r>
      <w:r w:rsidRPr="004F03D4">
        <w:rPr>
          <w:rFonts w:ascii="Verdana" w:eastAsia="Batang" w:hAnsi="Verdana" w:cs="Arial"/>
        </w:rPr>
        <w:t>,</w:t>
      </w:r>
      <w:r>
        <w:rPr>
          <w:rFonts w:ascii="Verdana" w:eastAsia="Batang" w:hAnsi="Verdana" w:cs="Arial"/>
        </w:rPr>
        <w:t xml:space="preserve"> que</w:t>
      </w:r>
      <w:r w:rsidRPr="004F03D4">
        <w:rPr>
          <w:rFonts w:ascii="Verdana" w:eastAsia="Batang" w:hAnsi="Verdana" w:cs="Arial"/>
        </w:rPr>
        <w:t xml:space="preserve"> para resolver conceptúa sobre la naturaleza jurídica de los pliegos</w:t>
      </w:r>
      <w:r>
        <w:rPr>
          <w:rFonts w:ascii="Verdana" w:eastAsia="Batang" w:hAnsi="Verdana" w:cs="Arial"/>
        </w:rPr>
        <w:t xml:space="preserve"> </w:t>
      </w:r>
      <w:r w:rsidRPr="004F03D4">
        <w:rPr>
          <w:rFonts w:ascii="Verdana" w:eastAsia="Batang" w:hAnsi="Verdana" w:cs="Arial"/>
        </w:rPr>
        <w:t>de condiciones como acto administrativo general confeccionado mediante</w:t>
      </w:r>
      <w:r>
        <w:rPr>
          <w:rFonts w:ascii="Verdana" w:eastAsia="Batang" w:hAnsi="Verdana" w:cs="Arial"/>
        </w:rPr>
        <w:t xml:space="preserve"> </w:t>
      </w:r>
      <w:r w:rsidRPr="004F03D4">
        <w:rPr>
          <w:rFonts w:ascii="Verdana" w:eastAsia="Batang" w:hAnsi="Verdana" w:cs="Arial"/>
        </w:rPr>
        <w:t>competencias discrecionales que contiene no solo los derechos y obligaciones</w:t>
      </w:r>
      <w:r>
        <w:rPr>
          <w:rFonts w:ascii="Verdana" w:eastAsia="Batang" w:hAnsi="Verdana" w:cs="Arial"/>
        </w:rPr>
        <w:t xml:space="preserve"> </w:t>
      </w:r>
      <w:r w:rsidRPr="004F03D4">
        <w:rPr>
          <w:rFonts w:ascii="Verdana" w:eastAsia="Batang" w:hAnsi="Verdana" w:cs="Arial"/>
        </w:rPr>
        <w:t>de las partes, sino las reglas de participación que deben cumplir los proponentes garantizando la concurrencia, igualdad, buena fe, transparencia,</w:t>
      </w:r>
      <w:r>
        <w:rPr>
          <w:rFonts w:ascii="Verdana" w:eastAsia="Batang" w:hAnsi="Verdana" w:cs="Arial"/>
        </w:rPr>
        <w:t xml:space="preserve"> </w:t>
      </w:r>
      <w:r w:rsidRPr="004F03D4">
        <w:rPr>
          <w:rFonts w:ascii="Verdana" w:eastAsia="Batang" w:hAnsi="Verdana" w:cs="Arial"/>
        </w:rPr>
        <w:t>economía, responsabilidad, planeación, selección objetiva, moralidad, celeridad, eficacia, eficiencia, imparcialidad, publicidad y contradicción; reglas</w:t>
      </w:r>
      <w:r>
        <w:rPr>
          <w:rFonts w:ascii="Verdana" w:eastAsia="Batang" w:hAnsi="Verdana" w:cs="Arial"/>
        </w:rPr>
        <w:t xml:space="preserve"> </w:t>
      </w:r>
      <w:r w:rsidRPr="004F03D4">
        <w:rPr>
          <w:rFonts w:ascii="Verdana" w:eastAsia="Batang" w:hAnsi="Verdana" w:cs="Arial"/>
        </w:rPr>
        <w:t>que deben ser acatadas por las partes y que una vez recibidas las ofertas</w:t>
      </w:r>
      <w:r>
        <w:rPr>
          <w:rFonts w:ascii="Verdana" w:eastAsia="Batang" w:hAnsi="Verdana" w:cs="Arial"/>
        </w:rPr>
        <w:t xml:space="preserve"> </w:t>
      </w:r>
      <w:r w:rsidRPr="004F03D4">
        <w:rPr>
          <w:rFonts w:ascii="Verdana" w:eastAsia="Batang" w:hAnsi="Verdana" w:cs="Arial"/>
        </w:rPr>
        <w:t xml:space="preserve">se vuelven inalterables, reduciendo esa competencia discrecional. </w:t>
      </w:r>
    </w:p>
    <w:p w14:paraId="7CEFD933" w14:textId="003C8CCF" w:rsidR="00E925BC" w:rsidRDefault="00E925BC" w:rsidP="00E925BC">
      <w:pPr>
        <w:spacing w:after="120" w:line="276" w:lineRule="auto"/>
        <w:ind w:firstLine="708"/>
        <w:jc w:val="both"/>
        <w:rPr>
          <w:rFonts w:ascii="Verdana" w:eastAsia="Batang" w:hAnsi="Verdana" w:cs="Arial"/>
        </w:rPr>
      </w:pPr>
      <w:r w:rsidRPr="004F03D4">
        <w:rPr>
          <w:rFonts w:ascii="Verdana" w:eastAsia="Batang" w:hAnsi="Verdana" w:cs="Arial"/>
        </w:rPr>
        <w:t>En esa</w:t>
      </w:r>
      <w:r>
        <w:rPr>
          <w:rFonts w:ascii="Verdana" w:eastAsia="Batang" w:hAnsi="Verdana" w:cs="Arial"/>
        </w:rPr>
        <w:t xml:space="preserve"> </w:t>
      </w:r>
      <w:r w:rsidRPr="004F03D4">
        <w:rPr>
          <w:rFonts w:ascii="Verdana" w:eastAsia="Batang" w:hAnsi="Verdana" w:cs="Arial"/>
        </w:rPr>
        <w:t>perspectiva, en la evaluación de las ofertas la Administración se somete a</w:t>
      </w:r>
      <w:r>
        <w:rPr>
          <w:rFonts w:ascii="Verdana" w:eastAsia="Batang" w:hAnsi="Verdana" w:cs="Arial"/>
        </w:rPr>
        <w:t xml:space="preserve"> </w:t>
      </w:r>
      <w:r w:rsidRPr="004F03D4">
        <w:rPr>
          <w:rFonts w:ascii="Verdana" w:eastAsia="Batang" w:hAnsi="Verdana" w:cs="Arial"/>
        </w:rPr>
        <w:t>dichas reglas con base en las cuales selecciona objetivamente la propuesta</w:t>
      </w:r>
      <w:r>
        <w:rPr>
          <w:rFonts w:ascii="Verdana" w:eastAsia="Batang" w:hAnsi="Verdana" w:cs="Arial"/>
        </w:rPr>
        <w:t xml:space="preserve"> </w:t>
      </w:r>
      <w:r w:rsidRPr="004F03D4">
        <w:rPr>
          <w:rFonts w:ascii="Verdana" w:eastAsia="Batang" w:hAnsi="Verdana" w:cs="Arial"/>
        </w:rPr>
        <w:t>más favorable, lo que va en el mismo sentido respecto de los particulares,</w:t>
      </w:r>
      <w:r>
        <w:rPr>
          <w:rFonts w:ascii="Verdana" w:eastAsia="Batang" w:hAnsi="Verdana" w:cs="Arial"/>
        </w:rPr>
        <w:t xml:space="preserve"> </w:t>
      </w:r>
      <w:r w:rsidRPr="004F03D4">
        <w:rPr>
          <w:rFonts w:ascii="Verdana" w:eastAsia="Batang" w:hAnsi="Verdana" w:cs="Arial"/>
        </w:rPr>
        <w:t>quienes deben cumplir con todos y cada uno de los requisitos exigidos</w:t>
      </w:r>
      <w:r w:rsidR="002D0D00">
        <w:rPr>
          <w:rFonts w:ascii="Verdana" w:eastAsia="Batang" w:hAnsi="Verdana" w:cs="Arial"/>
        </w:rPr>
        <w:t>. En conse</w:t>
      </w:r>
      <w:r w:rsidR="00F25598">
        <w:rPr>
          <w:rFonts w:ascii="Verdana" w:eastAsia="Batang" w:hAnsi="Verdana" w:cs="Arial"/>
        </w:rPr>
        <w:t xml:space="preserve">cuencia, </w:t>
      </w:r>
      <w:r w:rsidRPr="004F03D4">
        <w:rPr>
          <w:rFonts w:ascii="Verdana" w:eastAsia="Batang" w:hAnsi="Verdana" w:cs="Arial"/>
        </w:rPr>
        <w:t>es necesario que los pliegos de condiciones sean claros para garantizar</w:t>
      </w:r>
      <w:r>
        <w:rPr>
          <w:rFonts w:ascii="Verdana" w:eastAsia="Batang" w:hAnsi="Verdana" w:cs="Arial"/>
        </w:rPr>
        <w:t xml:space="preserve"> </w:t>
      </w:r>
      <w:r w:rsidRPr="004F03D4">
        <w:rPr>
          <w:rFonts w:ascii="Verdana" w:eastAsia="Batang" w:hAnsi="Verdana" w:cs="Arial"/>
        </w:rPr>
        <w:t>propuestas que correspondan a la necesidad de la Administración. Cuando</w:t>
      </w:r>
      <w:r>
        <w:rPr>
          <w:rFonts w:ascii="Verdana" w:eastAsia="Batang" w:hAnsi="Verdana" w:cs="Arial"/>
        </w:rPr>
        <w:t xml:space="preserve"> </w:t>
      </w:r>
      <w:r w:rsidRPr="004F03D4">
        <w:rPr>
          <w:rFonts w:ascii="Verdana" w:eastAsia="Batang" w:hAnsi="Verdana" w:cs="Arial"/>
        </w:rPr>
        <w:t xml:space="preserve">el pliego de condiciones carece de dicha claridad, su </w:t>
      </w:r>
      <w:r w:rsidRPr="004F03D4">
        <w:rPr>
          <w:rFonts w:ascii="Verdana" w:eastAsia="Batang" w:hAnsi="Verdana" w:cs="Arial"/>
        </w:rPr>
        <w:lastRenderedPageBreak/>
        <w:t>interpretación va en</w:t>
      </w:r>
      <w:r>
        <w:rPr>
          <w:rFonts w:ascii="Verdana" w:eastAsia="Batang" w:hAnsi="Verdana" w:cs="Arial"/>
        </w:rPr>
        <w:t xml:space="preserve"> </w:t>
      </w:r>
      <w:r w:rsidRPr="004F03D4">
        <w:rPr>
          <w:rFonts w:ascii="Verdana" w:eastAsia="Batang" w:hAnsi="Verdana" w:cs="Arial"/>
        </w:rPr>
        <w:t>contra de la Administración y debe interpretarse a favor de los proponentes</w:t>
      </w:r>
      <w:r>
        <w:rPr>
          <w:rFonts w:ascii="Verdana" w:eastAsia="Batang" w:hAnsi="Verdana" w:cs="Arial"/>
        </w:rPr>
        <w:t>.</w:t>
      </w:r>
      <w:r>
        <w:rPr>
          <w:rStyle w:val="Refdenotaalpie"/>
          <w:rFonts w:ascii="Verdana" w:eastAsia="Batang" w:hAnsi="Verdana" w:cs="Arial"/>
        </w:rPr>
        <w:footnoteReference w:id="14"/>
      </w:r>
    </w:p>
    <w:p w14:paraId="7188B093" w14:textId="769BB9D5" w:rsidR="00837A70" w:rsidRDefault="00E925BC" w:rsidP="00AA438A">
      <w:pPr>
        <w:spacing w:after="120" w:line="276" w:lineRule="auto"/>
        <w:ind w:firstLine="708"/>
        <w:jc w:val="both"/>
        <w:rPr>
          <w:rFonts w:ascii="Verdana" w:eastAsia="Batang" w:hAnsi="Verdana" w:cs="Arial"/>
        </w:rPr>
      </w:pPr>
      <w:r w:rsidRPr="002379AA">
        <w:rPr>
          <w:rFonts w:ascii="Verdana" w:eastAsia="Calibri" w:hAnsi="Verdana" w:cs="Arial"/>
          <w:lang w:val="es-MX"/>
        </w:rPr>
        <w:t>Así las cosas, ante una contradicción entre la información contemplada en</w:t>
      </w:r>
      <w:r w:rsidRPr="002379AA">
        <w:rPr>
          <w:rFonts w:ascii="Verdana" w:eastAsia="Calibri" w:hAnsi="Verdana" w:cs="Arial"/>
          <w:color w:val="000000"/>
          <w:lang w:val="es-ES" w:bidi="es-ES"/>
        </w:rPr>
        <w:t xml:space="preserve"> </w:t>
      </w:r>
      <w:r w:rsidRPr="002379AA">
        <w:rPr>
          <w:rFonts w:ascii="Verdana" w:eastAsia="Calibri" w:hAnsi="Verdana" w:cs="Arial"/>
          <w:color w:val="000000"/>
          <w:lang w:val="es-MX"/>
        </w:rPr>
        <w:t xml:space="preserve">alguno de los formatos que integran los documentos del proceso </w:t>
      </w:r>
      <w:r w:rsidRPr="002379AA">
        <w:rPr>
          <w:rFonts w:ascii="Verdana" w:eastAsia="Calibri" w:hAnsi="Verdana" w:cs="Arial"/>
          <w:lang w:val="es-MX"/>
        </w:rPr>
        <w:t xml:space="preserve">y la información contenida en el respectivo pliego de condiciones, se </w:t>
      </w:r>
      <w:r w:rsidR="00F25598">
        <w:rPr>
          <w:rFonts w:ascii="Verdana" w:eastAsia="Calibri" w:hAnsi="Verdana" w:cs="Arial"/>
          <w:lang w:val="es-MX"/>
        </w:rPr>
        <w:t xml:space="preserve">deberán </w:t>
      </w:r>
      <w:r w:rsidRPr="002379AA">
        <w:rPr>
          <w:rFonts w:ascii="Verdana" w:eastAsia="Calibri" w:hAnsi="Verdana" w:cs="Arial"/>
          <w:lang w:val="es-MX"/>
        </w:rPr>
        <w:t>analizar las circunstancias en concreto de cara a los principios de la contratación estatal</w:t>
      </w:r>
      <w:r w:rsidR="00F25598">
        <w:rPr>
          <w:rFonts w:ascii="Verdana" w:eastAsia="Calibri" w:hAnsi="Verdana" w:cs="Arial"/>
          <w:lang w:val="es-MX"/>
        </w:rPr>
        <w:t xml:space="preserve"> y a las reglas de interpretación de los contratos</w:t>
      </w:r>
      <w:r w:rsidRPr="002379AA">
        <w:rPr>
          <w:rFonts w:ascii="Verdana" w:eastAsia="Calibri" w:hAnsi="Verdana" w:cs="Arial"/>
          <w:lang w:val="es-MX"/>
        </w:rPr>
        <w:t xml:space="preserve">, de manera que la entidad adoptará la decisión que más se ajuste a la finalidad del proceso de contratación, resaltando que aquellas disposiciones o situaciones </w:t>
      </w:r>
      <w:r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p w14:paraId="6D243CF1" w14:textId="368B88CB" w:rsidR="00DF6D8C" w:rsidRDefault="00CF6D53" w:rsidP="00AA438A">
      <w:pPr>
        <w:spacing w:after="0" w:line="276" w:lineRule="auto"/>
        <w:ind w:firstLine="708"/>
        <w:jc w:val="both"/>
        <w:rPr>
          <w:rFonts w:ascii="Verdana" w:hAnsi="Verdana" w:cs="Arial"/>
        </w:rPr>
      </w:pPr>
      <w:r>
        <w:rPr>
          <w:rFonts w:ascii="Verdana" w:eastAsia="Batang" w:hAnsi="Verdana" w:cs="Arial"/>
        </w:rPr>
        <w:t>Igualmente</w:t>
      </w:r>
      <w:r w:rsidR="00837A70">
        <w:rPr>
          <w:rFonts w:ascii="Verdana" w:eastAsia="Batang" w:hAnsi="Verdana" w:cs="Arial"/>
        </w:rPr>
        <w:t xml:space="preserve">, es importante traer a colación </w:t>
      </w:r>
      <w:r w:rsidR="00ED5BA3" w:rsidRPr="00AA438A">
        <w:rPr>
          <w:rFonts w:ascii="Verdana" w:hAnsi="Verdana" w:cs="Arial"/>
        </w:rPr>
        <w:t>el principio constitucional</w:t>
      </w:r>
      <w:r w:rsidR="00837A70">
        <w:rPr>
          <w:rFonts w:ascii="Verdana" w:hAnsi="Verdana" w:cs="Arial"/>
        </w:rPr>
        <w:t xml:space="preserve"> de prevalencia del derecho sustancial sobre las formas. Al respecto</w:t>
      </w:r>
      <w:r w:rsidR="00ED5BA3" w:rsidRPr="00AA438A">
        <w:rPr>
          <w:rFonts w:ascii="Verdana" w:hAnsi="Verdana" w:cs="Arial"/>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00ED5BA3" w:rsidRPr="004A52F0">
        <w:rPr>
          <w:rStyle w:val="Refdenotaalpie"/>
          <w:rFonts w:ascii="Verdana" w:hAnsi="Verdana" w:cs="Arial"/>
        </w:rPr>
        <w:footnoteReference w:id="15"/>
      </w:r>
      <w:r w:rsidR="00ED5BA3" w:rsidRPr="00AA438A">
        <w:rPr>
          <w:rFonts w:ascii="Verdana" w:hAnsi="Verdana" w:cs="Arial"/>
        </w:rPr>
        <w:t>.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7D5F7D84" w14:textId="77777777" w:rsidR="00C02CF0" w:rsidRPr="00C02CF0" w:rsidRDefault="00C02CF0" w:rsidP="00AA438A">
      <w:pPr>
        <w:spacing w:after="0" w:line="276" w:lineRule="auto"/>
        <w:ind w:firstLine="357"/>
        <w:jc w:val="both"/>
        <w:rPr>
          <w:rFonts w:ascii="Verdana" w:hAnsi="Verdana" w:cs="Arial"/>
        </w:rPr>
      </w:pPr>
    </w:p>
    <w:p w14:paraId="3DE3BA77" w14:textId="77777777" w:rsidR="00E925BC" w:rsidRPr="00593A5F" w:rsidRDefault="00E925BC" w:rsidP="00E925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6CA4DDD" w14:textId="77777777" w:rsidR="00C02CF0" w:rsidRPr="00C02CF0" w:rsidRDefault="00C02CF0" w:rsidP="00AA438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925BC" w:rsidRPr="00593A5F" w14:paraId="66DDF6BC" w14:textId="77777777" w:rsidTr="0065379A">
        <w:trPr>
          <w:trHeight w:val="870"/>
        </w:trPr>
        <w:tc>
          <w:tcPr>
            <w:tcW w:w="8647" w:type="dxa"/>
          </w:tcPr>
          <w:p w14:paraId="7014D01E" w14:textId="18802E3C" w:rsidR="0077537C" w:rsidRDefault="0077537C" w:rsidP="00C02CF0">
            <w:pPr>
              <w:pStyle w:val="Prrafodelista"/>
              <w:numPr>
                <w:ilvl w:val="0"/>
                <w:numId w:val="17"/>
              </w:numPr>
              <w:spacing w:line="276" w:lineRule="auto"/>
              <w:contextualSpacing w:val="0"/>
              <w:jc w:val="both"/>
              <w:rPr>
                <w:rFonts w:ascii="Verdana" w:hAnsi="Verdana" w:cs="Arial"/>
                <w:noProof/>
                <w:lang w:val="es-CO"/>
              </w:rPr>
            </w:pPr>
            <w:r>
              <w:rPr>
                <w:rFonts w:ascii="Verdana" w:hAnsi="Verdana" w:cs="Arial"/>
                <w:noProof/>
                <w:lang w:val="es-CO"/>
              </w:rPr>
              <w:t>Constitucion Politica de Colombia: Artículo 228.</w:t>
            </w:r>
          </w:p>
          <w:p w14:paraId="7FAA7417" w14:textId="0DC8EC10" w:rsidR="00E925BC" w:rsidRPr="00A45C48" w:rsidRDefault="00E925BC" w:rsidP="00AA438A">
            <w:pPr>
              <w:pStyle w:val="Prrafodelista"/>
              <w:numPr>
                <w:ilvl w:val="0"/>
                <w:numId w:val="17"/>
              </w:numPr>
              <w:spacing w:line="276" w:lineRule="auto"/>
              <w:contextualSpacing w:val="0"/>
              <w:jc w:val="both"/>
              <w:rPr>
                <w:rFonts w:ascii="Verdana" w:hAnsi="Verdana" w:cs="Arial"/>
                <w:noProof/>
                <w:lang w:val="es-CO"/>
              </w:rPr>
            </w:pPr>
            <w:r w:rsidRPr="00A45C48">
              <w:rPr>
                <w:rFonts w:ascii="Verdana" w:hAnsi="Verdana" w:cs="Arial"/>
                <w:noProof/>
                <w:lang w:val="es-CO"/>
              </w:rPr>
              <w:t>Ley 80 de 1993: Artícu</w:t>
            </w:r>
            <w:r>
              <w:rPr>
                <w:rFonts w:ascii="Verdana" w:hAnsi="Verdana" w:cs="Arial"/>
                <w:noProof/>
              </w:rPr>
              <w:t>l</w:t>
            </w:r>
            <w:r w:rsidRPr="00A45C48">
              <w:rPr>
                <w:rFonts w:ascii="Verdana" w:hAnsi="Verdana" w:cs="Arial"/>
                <w:noProof/>
                <w:lang w:val="es-CO"/>
              </w:rPr>
              <w:t xml:space="preserve">o 24. </w:t>
            </w:r>
          </w:p>
          <w:p w14:paraId="493489F8" w14:textId="77777777" w:rsidR="00E925BC" w:rsidRPr="00A45C48" w:rsidRDefault="00E925BC" w:rsidP="00AA438A">
            <w:pPr>
              <w:pStyle w:val="Prrafodelista"/>
              <w:numPr>
                <w:ilvl w:val="0"/>
                <w:numId w:val="17"/>
              </w:numPr>
              <w:spacing w:line="276" w:lineRule="auto"/>
              <w:contextualSpacing w:val="0"/>
              <w:jc w:val="both"/>
              <w:rPr>
                <w:rFonts w:ascii="Verdana" w:hAnsi="Verdana" w:cs="Arial"/>
                <w:noProof/>
                <w:lang w:val="es-CO"/>
              </w:rPr>
            </w:pPr>
            <w:r w:rsidRPr="00A45C48">
              <w:rPr>
                <w:rFonts w:ascii="Verdana" w:hAnsi="Verdana" w:cs="Arial"/>
                <w:noProof/>
                <w:lang w:val="es-CO"/>
              </w:rPr>
              <w:t>Código Civil: Artículos 1618 a 1624.</w:t>
            </w:r>
          </w:p>
          <w:p w14:paraId="7F9DD36B"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A45C48">
              <w:rPr>
                <w:rFonts w:ascii="Verdana" w:hAnsi="Verdana" w:cs="Arial"/>
                <w:noProof/>
                <w:lang w:val="es-CO"/>
              </w:rPr>
              <w:lastRenderedPageBreak/>
              <w:t>Decreto 1082 de 2015: Artículo 2.2.1.1.2.1.3.</w:t>
            </w:r>
          </w:p>
          <w:p w14:paraId="64C4B863"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CORTE CONSTITUCIONAL. Sentencia C-128 de 2003. M.P. Álvaro Tafur Galvis</w:t>
            </w:r>
          </w:p>
          <w:p w14:paraId="69E2AC5E"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 xml:space="preserve">CONSEJO DE ESTADO. Sección Tercera. Sentencia del 11 de noviembre de 2009. </w:t>
            </w:r>
            <w:proofErr w:type="spellStart"/>
            <w:r w:rsidRPr="00EE01B9">
              <w:rPr>
                <w:rFonts w:ascii="Verdana" w:hAnsi="Verdana" w:cs="Arial"/>
              </w:rPr>
              <w:t>Exp</w:t>
            </w:r>
            <w:proofErr w:type="spellEnd"/>
            <w:r w:rsidRPr="00EE01B9">
              <w:rPr>
                <w:rFonts w:ascii="Verdana" w:hAnsi="Verdana" w:cs="Arial"/>
              </w:rPr>
              <w:t>. 17.366. C.P. Mauricio Fajardo Gómez.</w:t>
            </w:r>
          </w:p>
          <w:p w14:paraId="37FB7C66"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 xml:space="preserve">CONSEJO DE ESTADO. Sección Tercera. Sentencia del 24 de julio de 2013. </w:t>
            </w:r>
            <w:proofErr w:type="spellStart"/>
            <w:r w:rsidRPr="00EE01B9">
              <w:rPr>
                <w:rFonts w:ascii="Verdana" w:hAnsi="Verdana" w:cs="Arial"/>
              </w:rPr>
              <w:t>Exp</w:t>
            </w:r>
            <w:proofErr w:type="spellEnd"/>
            <w:r w:rsidRPr="00EE01B9">
              <w:rPr>
                <w:rFonts w:ascii="Verdana" w:hAnsi="Verdana" w:cs="Arial"/>
              </w:rPr>
              <w:t>. 25.642. C.P. Enrique Gil Botero</w:t>
            </w:r>
          </w:p>
          <w:p w14:paraId="45E01E42"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CONSEJO DE ESTADO, Sala de lo Contencioso Administrativo, Sección Tercera, sentencias del 1 de junio de 2022, radicado 60248; 29 de julio de 2015, radicado 40660; y, del 26 de abril de 2006, radicado 16041.</w:t>
            </w:r>
          </w:p>
          <w:p w14:paraId="41F5B593" w14:textId="77777777" w:rsidR="00E925BC" w:rsidRPr="003979D7"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CONSEJO DE ESTADO, Sala de lo Contencioso Administrativo, Sección Tercera, sentencias del 1 de junio de 2022, radicado 60248 y del 2 de julio de 2021, radicado 51910.</w:t>
            </w:r>
          </w:p>
          <w:p w14:paraId="0A439BF3" w14:textId="77777777" w:rsidR="00E925BC"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GONZÁLEZ LÓPEZ, Edgar</w:t>
            </w:r>
            <w:r w:rsidRPr="00EE01B9">
              <w:rPr>
                <w:rFonts w:ascii="Verdana" w:hAnsi="Verdana" w:cs="Arial"/>
                <w:i/>
                <w:iCs/>
              </w:rPr>
              <w:t xml:space="preserve">. </w:t>
            </w:r>
            <w:r w:rsidRPr="00EE01B9">
              <w:rPr>
                <w:rFonts w:ascii="Verdana" w:hAnsi="Verdana" w:cs="Arial"/>
              </w:rPr>
              <w:t xml:space="preserve">El pliego de condiciones en la contratación. La reforma consagrada en la Ley 1150 de 2007 y sus decretos reglamentarios. Universidad Externado de Colombia. Primera edición, 2010, pp. 64.  </w:t>
            </w:r>
          </w:p>
          <w:p w14:paraId="5EC2810F" w14:textId="77777777" w:rsidR="00E925BC" w:rsidRPr="00AC742F" w:rsidRDefault="00E925BC" w:rsidP="00AA438A">
            <w:pPr>
              <w:pStyle w:val="Prrafodelista"/>
              <w:widowControl w:val="0"/>
              <w:numPr>
                <w:ilvl w:val="0"/>
                <w:numId w:val="17"/>
              </w:numPr>
              <w:autoSpaceDE w:val="0"/>
              <w:autoSpaceDN w:val="0"/>
              <w:spacing w:line="276" w:lineRule="auto"/>
              <w:contextualSpacing w:val="0"/>
              <w:jc w:val="both"/>
              <w:rPr>
                <w:rFonts w:ascii="Verdana" w:hAnsi="Verdana" w:cs="Arial"/>
              </w:rPr>
            </w:pPr>
            <w:r w:rsidRPr="00EE01B9">
              <w:rPr>
                <w:rFonts w:ascii="Verdana" w:hAnsi="Verdana" w:cs="Arial"/>
              </w:rPr>
              <w:t>SANTOFIMIO GAMBÓA, Jaime Orlando. Compendio de Derecho Administrativo. Editorial Universidad Externado de Colombia. Págs. 672-673. Bogotá, 2017.</w:t>
            </w:r>
          </w:p>
        </w:tc>
      </w:tr>
    </w:tbl>
    <w:p w14:paraId="6C4F85C7" w14:textId="77777777" w:rsidR="00E925BC" w:rsidRPr="00593A5F" w:rsidRDefault="00E925BC" w:rsidP="00E925BC">
      <w:pPr>
        <w:widowControl w:val="0"/>
        <w:autoSpaceDE w:val="0"/>
        <w:autoSpaceDN w:val="0"/>
        <w:spacing w:after="0" w:line="276" w:lineRule="auto"/>
        <w:jc w:val="both"/>
        <w:rPr>
          <w:rFonts w:ascii="Verdana" w:hAnsi="Verdana" w:cs="Arial"/>
        </w:rPr>
      </w:pPr>
    </w:p>
    <w:p w14:paraId="41CC0A52" w14:textId="77777777" w:rsidR="00E925BC" w:rsidRPr="00593A5F" w:rsidRDefault="00E925BC" w:rsidP="00E925B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BB4BC56" w14:textId="77777777" w:rsidR="00E925BC" w:rsidRPr="00593A5F" w:rsidRDefault="00E925BC" w:rsidP="00E925BC">
      <w:pPr>
        <w:widowControl w:val="0"/>
        <w:autoSpaceDE w:val="0"/>
        <w:autoSpaceDN w:val="0"/>
        <w:spacing w:after="0" w:line="276" w:lineRule="auto"/>
        <w:jc w:val="both"/>
        <w:rPr>
          <w:rFonts w:ascii="Verdana" w:hAnsi="Verdana" w:cs="Arial"/>
        </w:rPr>
      </w:pPr>
    </w:p>
    <w:p w14:paraId="6FAA1332" w14:textId="77777777" w:rsidR="00E925BC" w:rsidRDefault="00E925BC" w:rsidP="00E925B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379AA">
        <w:rPr>
          <w:rFonts w:ascii="Verdana" w:eastAsia="Calibri" w:hAnsi="Verdana" w:cs="Arial"/>
        </w:rPr>
        <w:t>La Agencia Nacional de Contratación Pública – Colombia Compra Eficiente, en los conceptos, C-030 de 25 de febrero de 2022, C-693 de 24 de octubre de 2022,</w:t>
      </w:r>
      <w:r>
        <w:rPr>
          <w:rFonts w:ascii="Verdana" w:eastAsia="Calibri" w:hAnsi="Verdana" w:cs="Arial"/>
        </w:rPr>
        <w:t xml:space="preserve"> C-869 de diciembre de 2024 y C-969 de diciembre de 2024</w:t>
      </w:r>
      <w:r w:rsidRPr="002379AA">
        <w:rPr>
          <w:rFonts w:ascii="Verdana" w:eastAsia="Calibri" w:hAnsi="Verdana" w:cs="Arial"/>
        </w:rPr>
        <w:t xml:space="preserve"> se pronunció sobre el tratamiento que debe dársele cuando existen reglas contradictoras en los Pliegos de Condiciones y demás documentos del proceso. </w:t>
      </w:r>
      <w:r w:rsidRPr="002379AA">
        <w:rPr>
          <w:rStyle w:val="normaltextrun"/>
          <w:rFonts w:ascii="Verdana" w:hAnsi="Verdana" w:cs="Arial"/>
          <w:shd w:val="clear" w:color="auto" w:fill="FFFFFF"/>
          <w:lang w:val="es-ES"/>
        </w:rPr>
        <w:t>Es</w:t>
      </w:r>
      <w:r w:rsidRPr="002379AA">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r w:rsidRPr="00A1554D">
        <w:rPr>
          <w:rStyle w:val="normaltextrun"/>
          <w:rFonts w:ascii="Verdana" w:hAnsi="Verdana" w:cs="Arial"/>
          <w:shd w:val="clear" w:color="auto" w:fill="FFFFFF"/>
          <w:lang w:val="es-ES"/>
        </w:rPr>
        <w:t xml:space="preserve"> </w:t>
      </w:r>
      <w:hyperlink r:id="rId11" w:history="1">
        <w:r w:rsidRPr="00670DD9">
          <w:rPr>
            <w:rStyle w:val="Hipervnculo"/>
            <w:rFonts w:ascii="Verdana" w:hAnsi="Verdana" w:cs="Arial"/>
            <w:color w:val="4472C4" w:themeColor="accent1"/>
            <w:shd w:val="clear" w:color="auto" w:fill="FFFFFF"/>
            <w:lang w:val="es-ES"/>
          </w:rPr>
          <w:t>https://relatoria.colombiacompra.gov.co/busqueda/conceptos</w:t>
        </w:r>
      </w:hyperlink>
      <w:r w:rsidRPr="00670DD9">
        <w:rPr>
          <w:rStyle w:val="normaltextrun"/>
          <w:rFonts w:ascii="Verdana" w:hAnsi="Verdana" w:cs="Arial"/>
          <w:color w:val="4472C4" w:themeColor="accent1"/>
          <w:shd w:val="clear" w:color="auto" w:fill="FFFFFF"/>
          <w:lang w:val="es-ES"/>
        </w:rPr>
        <w:t xml:space="preserve">. </w:t>
      </w:r>
    </w:p>
    <w:p w14:paraId="6AAF4AD7" w14:textId="77777777" w:rsidR="00E925BC" w:rsidRDefault="00E925BC" w:rsidP="00E925B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1D706AD" w14:textId="77777777" w:rsidR="00E925BC" w:rsidRPr="00B30991" w:rsidRDefault="00E925BC" w:rsidP="00AA438A">
      <w:pPr>
        <w:spacing w:after="0" w:line="276" w:lineRule="auto"/>
        <w:jc w:val="both"/>
        <w:rPr>
          <w:rFonts w:ascii="Verdana" w:eastAsia="Times New Roman" w:hAnsi="Verdana" w:cs="Times New Roman"/>
          <w:color w:val="000000"/>
          <w:bdr w:val="none" w:sz="0" w:space="0" w:color="auto" w:frame="1"/>
          <w:lang w:eastAsia="es-CO"/>
        </w:rPr>
      </w:pPr>
      <w:r w:rsidRPr="00BE3BDB">
        <w:rPr>
          <w:rFonts w:ascii="Verdana" w:hAnsi="Verdana" w:cs="Arial"/>
          <w:color w:val="000000" w:themeColor="text1"/>
          <w:shd w:val="clear" w:color="auto" w:fill="FFFFFF"/>
        </w:rPr>
        <w:br/>
      </w:r>
      <w:r w:rsidRPr="00B30991">
        <w:rPr>
          <w:rFonts w:ascii="Verdana" w:eastAsia="Times New Roman" w:hAnsi="Verdana" w:cs="Times New Roman"/>
          <w:color w:val="000000"/>
          <w:bdr w:val="none" w:sz="0" w:space="0" w:color="auto" w:frame="1"/>
          <w:lang w:eastAsia="es-CO"/>
        </w:rPr>
        <w:t>Te informamos que ya se encuentra disponible la </w:t>
      </w:r>
      <w:r w:rsidRPr="00B30991">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B30991">
        <w:rPr>
          <w:rFonts w:ascii="Verdana" w:eastAsia="Times New Roman" w:hAnsi="Verdana" w:cs="Times New Roman"/>
          <w:color w:val="000000"/>
          <w:bdr w:val="none" w:sz="0" w:space="0" w:color="auto" w:frame="1"/>
          <w:lang w:eastAsia="es-CO"/>
        </w:rPr>
        <w:t xml:space="preserve"> Esta cartilla es una apuesta de la </w:t>
      </w:r>
      <w:r w:rsidRPr="00B30991">
        <w:rPr>
          <w:rFonts w:ascii="Verdana" w:eastAsia="Times New Roman" w:hAnsi="Verdana" w:cs="Times New Roman"/>
          <w:color w:val="000000"/>
          <w:bdr w:val="none" w:sz="0" w:space="0" w:color="auto" w:frame="1"/>
          <w:lang w:eastAsia="es-CO"/>
        </w:rPr>
        <w:lastRenderedPageBreak/>
        <w:t>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Original URL: https://www.colombiacompra.gov.co/manuales-guias-y-pliegos-tipo/manuales-y-guias/cartilla-para-incentivar-y-fortalecer-el-acceso-las. Click or tap if you trust this link." w:history="1">
        <w:r w:rsidRPr="00B30991">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1127FC42" w14:textId="77777777" w:rsidR="00E925BC" w:rsidRDefault="00E925BC" w:rsidP="00E925BC">
      <w:pPr>
        <w:spacing w:after="0" w:line="276" w:lineRule="auto"/>
        <w:jc w:val="both"/>
        <w:rPr>
          <w:rFonts w:ascii="Verdana" w:eastAsia="Times New Roman" w:hAnsi="Verdana" w:cs="Times New Roman"/>
          <w:color w:val="000000"/>
          <w:bdr w:val="none" w:sz="0" w:space="0" w:color="auto" w:frame="1"/>
          <w:lang w:eastAsia="es-CO"/>
        </w:rPr>
      </w:pPr>
    </w:p>
    <w:p w14:paraId="4605288C" w14:textId="77777777" w:rsidR="00E925BC" w:rsidRPr="00B30991" w:rsidRDefault="00E925BC" w:rsidP="00E925BC">
      <w:pPr>
        <w:spacing w:after="0" w:line="276" w:lineRule="auto"/>
        <w:jc w:val="both"/>
        <w:rPr>
          <w:rFonts w:ascii="Verdana" w:eastAsia="Times New Roman" w:hAnsi="Verdana" w:cs="Times New Roman"/>
          <w:color w:val="000000"/>
          <w:bdr w:val="none" w:sz="0" w:space="0" w:color="auto" w:frame="1"/>
          <w:lang w:eastAsia="es-CO"/>
        </w:rPr>
      </w:pPr>
      <w:r w:rsidRPr="00B30991">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B30991">
        <w:rPr>
          <w:rFonts w:ascii="Verdana" w:eastAsia="Times New Roman" w:hAnsi="Verdana" w:cs="Times New Roman"/>
          <w:b/>
          <w:bCs/>
          <w:color w:val="000000"/>
          <w:bdr w:val="none" w:sz="0" w:space="0" w:color="auto" w:frame="1"/>
          <w:lang w:eastAsia="es-CO"/>
        </w:rPr>
        <w:t>modificaciones y/o actualizaciones realizadas a los Documentos Tipo</w:t>
      </w:r>
      <w:r w:rsidRPr="00B30991">
        <w:rPr>
          <w:rFonts w:ascii="Verdana" w:eastAsia="Times New Roman" w:hAnsi="Verdana" w:cs="Times New Roman"/>
          <w:color w:val="000000"/>
          <w:bdr w:val="none" w:sz="0" w:space="0" w:color="auto" w:frame="1"/>
          <w:lang w:eastAsia="es-CO"/>
        </w:rPr>
        <w:t>, hemos programado una serie de </w:t>
      </w:r>
      <w:r w:rsidRPr="00B30991">
        <w:rPr>
          <w:rFonts w:ascii="Verdana" w:eastAsia="Times New Roman" w:hAnsi="Verdana" w:cs="Times New Roman"/>
          <w:b/>
          <w:bCs/>
          <w:color w:val="000000"/>
          <w:bdr w:val="none" w:sz="0" w:space="0" w:color="auto" w:frame="1"/>
          <w:lang w:eastAsia="es-CO"/>
        </w:rPr>
        <w:t>capacitaciones </w:t>
      </w:r>
      <w:r w:rsidRPr="00B30991">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3" w:tgtFrame="_blank" w:tooltip="Original URL: https://www.colombiacompra.gov.co/ciudadanos/calendario. Click or tap if you trust this link." w:history="1">
        <w:r w:rsidRPr="00B30991">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4EF16205" w14:textId="77777777" w:rsidR="00E925BC" w:rsidRPr="00B30991" w:rsidRDefault="00E925BC" w:rsidP="00E925BC">
      <w:pPr>
        <w:spacing w:after="0" w:line="276" w:lineRule="auto"/>
        <w:jc w:val="both"/>
        <w:rPr>
          <w:rFonts w:ascii="Verdana" w:eastAsia="Times New Roman" w:hAnsi="Verdana" w:cs="Times New Roman"/>
          <w:color w:val="000000"/>
          <w:bdr w:val="none" w:sz="0" w:space="0" w:color="auto" w:frame="1"/>
          <w:lang w:eastAsia="es-CO"/>
        </w:rPr>
      </w:pPr>
    </w:p>
    <w:p w14:paraId="1D4A2785" w14:textId="77777777" w:rsidR="00E925BC" w:rsidRPr="00B30991" w:rsidRDefault="00E925BC" w:rsidP="00E925BC">
      <w:pPr>
        <w:spacing w:after="0" w:line="276" w:lineRule="auto"/>
        <w:jc w:val="both"/>
        <w:rPr>
          <w:rFonts w:ascii="Verdana" w:eastAsia="Times New Roman" w:hAnsi="Verdana" w:cs="Times New Roman"/>
          <w:color w:val="000000"/>
          <w:bdr w:val="none" w:sz="0" w:space="0" w:color="auto" w:frame="1"/>
          <w:lang w:eastAsia="es-CO"/>
        </w:rPr>
      </w:pPr>
      <w:r w:rsidRPr="00B30991">
        <w:rPr>
          <w:rFonts w:ascii="Verdana" w:eastAsia="Times New Roman" w:hAnsi="Verdana" w:cs="Times New Roman"/>
          <w:color w:val="000000"/>
          <w:bdr w:val="none" w:sz="0" w:space="0" w:color="auto" w:frame="1"/>
          <w:lang w:eastAsia="es-CO"/>
        </w:rPr>
        <w:t>También, te contamos que ya publicamos </w:t>
      </w:r>
      <w:r w:rsidRPr="00B30991">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B30991">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Original URL: https://www.colombiacompra.gov.co/manuales-guias-y-pliegos-tipo/manuales-y-guias/guia-de-contratacion-publica-sostenible-y-socialmente. Click or tap if you trust this link." w:history="1">
        <w:r w:rsidRPr="00B30991">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40DADAA7" w14:textId="77777777" w:rsidR="00E925BC" w:rsidRPr="00A61510" w:rsidRDefault="00E925BC" w:rsidP="00E925BC">
      <w:pPr>
        <w:spacing w:after="0" w:line="276" w:lineRule="auto"/>
        <w:jc w:val="both"/>
        <w:rPr>
          <w:rFonts w:ascii="Verdana" w:eastAsia="Calibri" w:hAnsi="Verdana" w:cs="Arial"/>
          <w:color w:val="FF0000"/>
          <w:shd w:val="clear" w:color="auto" w:fill="FFFFFF"/>
        </w:rPr>
      </w:pPr>
    </w:p>
    <w:p w14:paraId="2703217F" w14:textId="77777777" w:rsidR="00E925BC" w:rsidRPr="00B30991" w:rsidRDefault="00E925BC" w:rsidP="00AA438A">
      <w:pPr>
        <w:spacing w:after="0" w:line="276" w:lineRule="auto"/>
        <w:jc w:val="both"/>
        <w:rPr>
          <w:rFonts w:ascii="Verdana" w:eastAsia="Calibri" w:hAnsi="Verdana" w:cs="Times New Roman"/>
        </w:rPr>
      </w:pPr>
      <w:r w:rsidRPr="00A61510">
        <w:rPr>
          <w:rFonts w:ascii="Verdana" w:hAnsi="Verdana"/>
        </w:rPr>
        <w:t xml:space="preserve">Por último, lo invitamos a seguirnos en las redes sociales en las cuales se difunde información institucional: </w:t>
      </w:r>
    </w:p>
    <w:p w14:paraId="3E28BD09" w14:textId="77777777" w:rsidR="00E925BC" w:rsidRPr="0044528D" w:rsidRDefault="00E925BC" w:rsidP="00AA438A">
      <w:pPr>
        <w:spacing w:after="0" w:line="276" w:lineRule="auto"/>
        <w:jc w:val="both"/>
        <w:rPr>
          <w:rFonts w:ascii="Verdana" w:hAnsi="Verdana"/>
        </w:rPr>
      </w:pPr>
    </w:p>
    <w:p w14:paraId="3BE8C914" w14:textId="77777777" w:rsidR="00E925BC" w:rsidRPr="0044528D" w:rsidRDefault="00E925BC" w:rsidP="00AA438A">
      <w:pPr>
        <w:spacing w:after="0" w:line="276"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6C76D0B1" w14:textId="77777777" w:rsidR="00E925BC" w:rsidRPr="0044528D" w:rsidRDefault="00E925BC" w:rsidP="00AA438A">
      <w:pPr>
        <w:spacing w:after="0" w:line="276"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2530FAA2" w14:textId="77777777" w:rsidR="00E925BC" w:rsidRPr="0044528D" w:rsidRDefault="00E925BC" w:rsidP="00AA438A">
      <w:pPr>
        <w:spacing w:after="0" w:line="276"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630BD4B8" w14:textId="77777777" w:rsidR="00E925BC" w:rsidRPr="0044528D" w:rsidRDefault="00E925BC" w:rsidP="00E925BC">
      <w:pPr>
        <w:widowControl w:val="0"/>
        <w:autoSpaceDE w:val="0"/>
        <w:autoSpaceDN w:val="0"/>
        <w:spacing w:after="0" w:line="276" w:lineRule="auto"/>
        <w:jc w:val="both"/>
        <w:rPr>
          <w:rFonts w:ascii="Verdana" w:hAnsi="Verdana"/>
        </w:rPr>
      </w:pPr>
    </w:p>
    <w:p w14:paraId="57EC75B4" w14:textId="77777777" w:rsidR="00E925BC" w:rsidRPr="009322DA" w:rsidRDefault="00E925BC" w:rsidP="00E925BC">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bookmarkEnd w:id="0"/>
    <w:p w14:paraId="30FA30F5" w14:textId="77777777" w:rsidR="00352B59" w:rsidRPr="00593A5F" w:rsidRDefault="00352B59" w:rsidP="00352B59">
      <w:pPr>
        <w:widowControl w:val="0"/>
        <w:autoSpaceDE w:val="0"/>
        <w:autoSpaceDN w:val="0"/>
        <w:spacing w:after="0" w:line="276" w:lineRule="auto"/>
        <w:jc w:val="both"/>
        <w:rPr>
          <w:rFonts w:ascii="Verdana" w:hAnsi="Verdana" w:cs="Arial"/>
        </w:rPr>
      </w:pPr>
    </w:p>
    <w:p w14:paraId="0934E772" w14:textId="77777777" w:rsidR="00352B59" w:rsidRPr="00593A5F" w:rsidRDefault="00352B59" w:rsidP="00352B59">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D9FBBFB" w14:textId="77777777" w:rsidR="00352B59" w:rsidRPr="00593A5F" w:rsidRDefault="00352B59" w:rsidP="00352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0C3E9F74" wp14:editId="5977D1B9">
            <wp:extent cx="3358432" cy="124669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61660" cy="124788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2B59" w:rsidRPr="001827D1" w14:paraId="5B71C3B0" w14:textId="77777777" w:rsidTr="005C1E3D">
        <w:trPr>
          <w:trHeight w:val="315"/>
        </w:trPr>
        <w:tc>
          <w:tcPr>
            <w:tcW w:w="893" w:type="dxa"/>
            <w:vAlign w:val="center"/>
            <w:hideMark/>
          </w:tcPr>
          <w:p w14:paraId="03FB7589" w14:textId="77777777" w:rsidR="00352B59" w:rsidRPr="001827D1" w:rsidRDefault="00352B59" w:rsidP="005C1E3D">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60D8CB14" w14:textId="77777777" w:rsidR="00352B59" w:rsidRPr="001827D1" w:rsidRDefault="00352B59" w:rsidP="005C1E3D">
            <w:pPr>
              <w:contextualSpacing/>
              <w:rPr>
                <w:rFonts w:ascii="Verdana" w:eastAsia="Arial" w:hAnsi="Verdana" w:cs="Arial"/>
                <w:color w:val="000000"/>
                <w:sz w:val="16"/>
                <w:szCs w:val="16"/>
              </w:rPr>
            </w:pPr>
            <w:r>
              <w:rPr>
                <w:rFonts w:ascii="Verdana" w:eastAsia="Times New Roman" w:hAnsi="Verdana" w:cs="Arial"/>
                <w:color w:val="000000"/>
                <w:sz w:val="16"/>
                <w:szCs w:val="16"/>
              </w:rPr>
              <w:t>María Joshira Nieto Manzano</w:t>
            </w:r>
          </w:p>
          <w:p w14:paraId="77F3B4F3" w14:textId="77777777" w:rsidR="00352B59" w:rsidRPr="001827D1" w:rsidRDefault="00352B59" w:rsidP="005C1E3D">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352B59" w:rsidRPr="001827D1" w14:paraId="7004892E" w14:textId="77777777" w:rsidTr="005C1E3D">
        <w:trPr>
          <w:trHeight w:val="330"/>
        </w:trPr>
        <w:tc>
          <w:tcPr>
            <w:tcW w:w="893" w:type="dxa"/>
            <w:vAlign w:val="center"/>
            <w:hideMark/>
          </w:tcPr>
          <w:p w14:paraId="366D290E" w14:textId="77777777" w:rsidR="00352B59" w:rsidRPr="001827D1" w:rsidRDefault="00352B59" w:rsidP="005C1E3D">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4CCCA11" w14:textId="77777777" w:rsidR="00352B59" w:rsidRPr="00FC5545" w:rsidRDefault="00352B59" w:rsidP="005C1E3D">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Diana Lucia Saavedra Castañeda </w:t>
            </w:r>
          </w:p>
          <w:p w14:paraId="0F70A8B3" w14:textId="77777777" w:rsidR="00352B59" w:rsidRPr="00FC5545" w:rsidRDefault="00352B59" w:rsidP="005C1E3D">
            <w:pPr>
              <w:contextualSpacing/>
              <w:textAlignment w:val="baseline"/>
              <w:rPr>
                <w:rFonts w:ascii="Verdana" w:eastAsia="Times New Roman" w:hAnsi="Verdana" w:cs="Arial"/>
                <w:color w:val="000000"/>
                <w:sz w:val="16"/>
                <w:szCs w:val="16"/>
              </w:rPr>
            </w:pPr>
            <w:r w:rsidRPr="00FC5545">
              <w:rPr>
                <w:rFonts w:ascii="Verdana" w:eastAsia="Times New Roman" w:hAnsi="Verdana" w:cs="Arial"/>
                <w:color w:val="000000"/>
                <w:sz w:val="16"/>
                <w:szCs w:val="16"/>
              </w:rPr>
              <w:t>Contratista de la Subdirección de Gestión Contractual</w:t>
            </w:r>
          </w:p>
        </w:tc>
      </w:tr>
      <w:tr w:rsidR="00352B59" w:rsidRPr="001827D1" w14:paraId="29B01B94" w14:textId="77777777" w:rsidTr="005C1E3D">
        <w:trPr>
          <w:trHeight w:val="300"/>
        </w:trPr>
        <w:tc>
          <w:tcPr>
            <w:tcW w:w="893" w:type="dxa"/>
            <w:vAlign w:val="center"/>
          </w:tcPr>
          <w:p w14:paraId="790FA5B7" w14:textId="77777777" w:rsidR="00352B59" w:rsidRPr="001827D1" w:rsidRDefault="00352B59" w:rsidP="005C1E3D">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8554EFF" w14:textId="77777777" w:rsidR="00352B59" w:rsidRPr="00FC5545" w:rsidRDefault="00352B59" w:rsidP="005C1E3D">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Carolina Quintero </w:t>
            </w:r>
            <w:proofErr w:type="spellStart"/>
            <w:r w:rsidRPr="00FC5545">
              <w:rPr>
                <w:rFonts w:ascii="Verdana" w:eastAsia="Times New Roman" w:hAnsi="Verdana" w:cs="Arial"/>
                <w:color w:val="000000"/>
                <w:sz w:val="16"/>
                <w:szCs w:val="16"/>
              </w:rPr>
              <w:t>Gacharná</w:t>
            </w:r>
            <w:proofErr w:type="spellEnd"/>
          </w:p>
          <w:p w14:paraId="2BC46DAC" w14:textId="77777777" w:rsidR="00352B59" w:rsidRPr="00FC5545" w:rsidRDefault="00352B59" w:rsidP="005C1E3D">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Subdirectora de Gestión Contractual ANCP – CCE</w:t>
            </w:r>
          </w:p>
        </w:tc>
      </w:tr>
    </w:tbl>
    <w:p w14:paraId="641ECA2A" w14:textId="77777777" w:rsidR="00352B59" w:rsidRPr="0044528D" w:rsidRDefault="00352B59" w:rsidP="00352B59">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A4E5" w14:textId="77777777" w:rsidR="001E1B9C" w:rsidRDefault="001E1B9C" w:rsidP="004A1847">
      <w:pPr>
        <w:spacing w:after="0" w:line="240" w:lineRule="auto"/>
      </w:pPr>
      <w:r>
        <w:separator/>
      </w:r>
    </w:p>
  </w:endnote>
  <w:endnote w:type="continuationSeparator" w:id="0">
    <w:p w14:paraId="10D37B21" w14:textId="77777777" w:rsidR="001E1B9C" w:rsidRDefault="001E1B9C" w:rsidP="004A1847">
      <w:pPr>
        <w:spacing w:after="0" w:line="240" w:lineRule="auto"/>
      </w:pPr>
      <w:r>
        <w:continuationSeparator/>
      </w:r>
    </w:p>
  </w:endnote>
  <w:endnote w:type="continuationNotice" w:id="1">
    <w:p w14:paraId="2BC64C11" w14:textId="77777777" w:rsidR="001E1B9C" w:rsidRDefault="001E1B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214BE" w14:textId="77777777" w:rsidR="001E1B9C" w:rsidRDefault="001E1B9C" w:rsidP="004A1847">
      <w:pPr>
        <w:spacing w:after="0" w:line="240" w:lineRule="auto"/>
      </w:pPr>
      <w:r>
        <w:separator/>
      </w:r>
    </w:p>
  </w:footnote>
  <w:footnote w:type="continuationSeparator" w:id="0">
    <w:p w14:paraId="1D91A4F7" w14:textId="77777777" w:rsidR="001E1B9C" w:rsidRDefault="001E1B9C" w:rsidP="004A1847">
      <w:pPr>
        <w:spacing w:after="0" w:line="240" w:lineRule="auto"/>
      </w:pPr>
      <w:r>
        <w:continuationSeparator/>
      </w:r>
    </w:p>
  </w:footnote>
  <w:footnote w:type="continuationNotice" w:id="1">
    <w:p w14:paraId="765D2631" w14:textId="77777777" w:rsidR="001E1B9C" w:rsidRDefault="001E1B9C">
      <w:pPr>
        <w:spacing w:after="0" w:line="240" w:lineRule="auto"/>
      </w:pPr>
    </w:p>
  </w:footnote>
  <w:footnote w:id="2">
    <w:p w14:paraId="348D5EF0" w14:textId="77777777" w:rsidR="00EE6713" w:rsidRPr="00AA438A" w:rsidRDefault="00EE6713" w:rsidP="00EE6713">
      <w:pPr>
        <w:spacing w:after="0" w:line="240" w:lineRule="auto"/>
        <w:contextualSpacing/>
        <w:rPr>
          <w:rFonts w:ascii="Verdana" w:hAnsi="Verdana"/>
          <w:sz w:val="16"/>
          <w:szCs w:val="16"/>
        </w:rPr>
      </w:pPr>
    </w:p>
  </w:footnote>
  <w:footnote w:id="3">
    <w:p w14:paraId="443542EB"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Style w:val="Refdenotaalpie"/>
          <w:rFonts w:ascii="Verdana" w:hAnsi="Verdana" w:cs="Arial"/>
          <w:color w:val="000000" w:themeColor="text1"/>
          <w:sz w:val="16"/>
          <w:szCs w:val="16"/>
        </w:rPr>
        <w:footnoteRef/>
      </w:r>
      <w:r w:rsidRPr="00AA438A">
        <w:rPr>
          <w:rFonts w:ascii="Verdana" w:hAnsi="Verdana" w:cs="Arial"/>
          <w:color w:val="000000" w:themeColor="text1"/>
          <w:sz w:val="16"/>
          <w:szCs w:val="16"/>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A5507FD"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w:t>
      </w:r>
    </w:p>
    <w:p w14:paraId="3B204DDA"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1576EF9" w14:textId="77777777" w:rsidR="00E925BC" w:rsidRPr="00AA438A" w:rsidRDefault="00E925BC" w:rsidP="00E925BC">
      <w:pPr>
        <w:pStyle w:val="Textonotapie"/>
        <w:ind w:firstLine="708"/>
        <w:contextualSpacing/>
        <w:jc w:val="both"/>
        <w:rPr>
          <w:rFonts w:ascii="Verdana" w:hAnsi="Verdana" w:cs="Arial"/>
          <w:color w:val="000000" w:themeColor="text1"/>
          <w:sz w:val="16"/>
          <w:szCs w:val="16"/>
          <w:lang w:val="es-ES"/>
        </w:rPr>
      </w:pPr>
      <w:r w:rsidRPr="00AA438A">
        <w:rPr>
          <w:rFonts w:ascii="Verdana" w:hAnsi="Verdana" w:cs="Arial"/>
          <w:color w:val="000000" w:themeColor="text1"/>
          <w:sz w:val="16"/>
          <w:szCs w:val="16"/>
        </w:rPr>
        <w:t>[...]”.</w:t>
      </w:r>
    </w:p>
  </w:footnote>
  <w:footnote w:id="4">
    <w:p w14:paraId="72492AEF" w14:textId="77777777" w:rsidR="00E925BC" w:rsidRPr="00AA438A" w:rsidRDefault="00E925BC" w:rsidP="00E925BC">
      <w:pPr>
        <w:pStyle w:val="Textonotapie"/>
        <w:ind w:firstLine="708"/>
        <w:contextualSpacing/>
        <w:jc w:val="both"/>
        <w:rPr>
          <w:rFonts w:ascii="Verdana" w:hAnsi="Verdana" w:cs="Arial"/>
          <w:color w:val="000000" w:themeColor="text1"/>
          <w:sz w:val="16"/>
          <w:szCs w:val="16"/>
          <w:lang w:val="es-ES"/>
        </w:rPr>
      </w:pPr>
      <w:r w:rsidRPr="00AA438A">
        <w:rPr>
          <w:rStyle w:val="Refdenotaalpie"/>
          <w:rFonts w:ascii="Verdana" w:hAnsi="Verdana" w:cs="Arial"/>
          <w:color w:val="000000" w:themeColor="text1"/>
          <w:sz w:val="16"/>
          <w:szCs w:val="16"/>
        </w:rPr>
        <w:footnoteRef/>
      </w:r>
      <w:r w:rsidRPr="00AA438A">
        <w:rPr>
          <w:rFonts w:ascii="Verdana" w:hAnsi="Verdana" w:cs="Arial"/>
          <w:color w:val="000000" w:themeColor="text1"/>
          <w:sz w:val="16"/>
          <w:szCs w:val="16"/>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5">
    <w:p w14:paraId="7C0102EA" w14:textId="77777777" w:rsidR="00E925BC" w:rsidRPr="00AA438A" w:rsidRDefault="00E925BC" w:rsidP="00E925BC">
      <w:pPr>
        <w:pStyle w:val="Textonotapie"/>
        <w:ind w:firstLine="708"/>
        <w:contextualSpacing/>
        <w:jc w:val="both"/>
        <w:rPr>
          <w:rFonts w:ascii="Verdana" w:hAnsi="Verdana" w:cs="Arial"/>
          <w:color w:val="000000" w:themeColor="text1"/>
          <w:sz w:val="16"/>
          <w:szCs w:val="16"/>
          <w:lang w:val="es-ES"/>
        </w:rPr>
      </w:pPr>
      <w:r w:rsidRPr="00AA438A">
        <w:rPr>
          <w:rStyle w:val="Refdenotaalpie"/>
          <w:rFonts w:ascii="Verdana" w:hAnsi="Verdana" w:cs="Arial"/>
          <w:color w:val="000000" w:themeColor="text1"/>
          <w:sz w:val="16"/>
          <w:szCs w:val="16"/>
        </w:rPr>
        <w:footnoteRef/>
      </w:r>
      <w:r w:rsidRPr="00AA438A">
        <w:rPr>
          <w:rFonts w:ascii="Verdana" w:hAnsi="Verdana" w:cs="Arial"/>
          <w:color w:val="000000" w:themeColor="text1"/>
          <w:sz w:val="16"/>
          <w:szCs w:val="16"/>
        </w:rPr>
        <w:t xml:space="preserve"> CONSEJO DE ESTADO. Sección Tercera. Sentencia del 11 de noviembre de 2009. Exp. 17.366. C.P. Mauricio Fajardo Gomez.</w:t>
      </w:r>
    </w:p>
  </w:footnote>
  <w:footnote w:id="6">
    <w:p w14:paraId="4DD9C105"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Style w:val="Refdenotaalpie"/>
          <w:rFonts w:ascii="Verdana" w:hAnsi="Verdana" w:cs="Arial"/>
          <w:color w:val="000000" w:themeColor="text1"/>
          <w:sz w:val="16"/>
          <w:szCs w:val="16"/>
        </w:rPr>
        <w:footnoteRef/>
      </w:r>
      <w:r w:rsidRPr="00AA438A">
        <w:rPr>
          <w:rFonts w:ascii="Verdana" w:hAnsi="Verdana" w:cs="Arial"/>
          <w:color w:val="000000" w:themeColor="text1"/>
          <w:sz w:val="16"/>
          <w:szCs w:val="16"/>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7">
    <w:p w14:paraId="35CEB9F4"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Style w:val="Refdenotaalpie"/>
          <w:rFonts w:ascii="Verdana" w:hAnsi="Verdana" w:cs="Arial"/>
          <w:color w:val="000000" w:themeColor="text1"/>
          <w:sz w:val="16"/>
          <w:szCs w:val="16"/>
        </w:rPr>
        <w:footnoteRef/>
      </w:r>
      <w:r w:rsidRPr="00AA438A">
        <w:rPr>
          <w:rFonts w:ascii="Verdana" w:hAnsi="Verdana" w:cs="Arial"/>
          <w:color w:val="000000" w:themeColor="text1"/>
          <w:sz w:val="16"/>
          <w:szCs w:val="16"/>
        </w:rPr>
        <w:t xml:space="preserve"> DECRETO 1082 DE 2015: “Artículo 2.2.1.1.2.1.3. Pliegos de condiciones. Los pliegos de condiciones deben contener por lo menos la siguiente información:</w:t>
      </w:r>
    </w:p>
    <w:p w14:paraId="56C09703"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 La descripción técnica, detallada y completa del bien o servicio objeto del contrato, identificado con el cuarto nivel del Clasificador de Bienes y Servicios, de ser posible o de lo contrario con el tercer nivel del mismo.</w:t>
      </w:r>
    </w:p>
    <w:p w14:paraId="356E31F8"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2. La modalidad del proceso de selección y su justificación.</w:t>
      </w:r>
    </w:p>
    <w:p w14:paraId="5F7FD5CD"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3. Los criterios de selección, incluyendo los factores de desempate y los incentivos cuando a ello haya lugar.</w:t>
      </w:r>
    </w:p>
    <w:p w14:paraId="463A0A17"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4. Las condiciones de costo y/o calidad que la Entidad Estatal debe tener en cuenta para la selección objetiva, de acuerdo con la modalidad de selección del contratista.</w:t>
      </w:r>
    </w:p>
    <w:p w14:paraId="3BA1EE6B"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5. Las reglas aplicables a la presentación de las ofertas, su evaluación y a la adjudicación del contrato.</w:t>
      </w:r>
    </w:p>
    <w:p w14:paraId="4E446573"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6. Las causas que dan lugar a rechazar una oferta.</w:t>
      </w:r>
    </w:p>
    <w:p w14:paraId="30F4B9CE"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7. El valor del contrato, el plazo, el cronograma de pagos y la determinación de si debe haber lugar a la entrega de anticipo, y si hubiere, indicar su valor, el cual debe tener en cuenta los rendimientos que este pueda generar.</w:t>
      </w:r>
    </w:p>
    <w:p w14:paraId="3788E330"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8. Los Riesgos asociados al contrato, la forma de mitigarlos y la asignación del Riesgo entre las partes contratantes.</w:t>
      </w:r>
    </w:p>
    <w:p w14:paraId="198069A1"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9. Las garantías exigidas en el Proceso de Contratación y sus condiciones.</w:t>
      </w:r>
    </w:p>
    <w:p w14:paraId="6E60FA03"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10. La mención de si la Entidad Estatal y el contrato objeto de los pliegos de condiciones están cubiertos por un Acuerdo Comercial.</w:t>
      </w:r>
    </w:p>
    <w:p w14:paraId="19642B98"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11. Los términos, condiciones y minuta del contrato.</w:t>
      </w:r>
    </w:p>
    <w:p w14:paraId="32E92C47"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12. Los términos de la supervisión y/o de la interventoría del contrato.</w:t>
      </w:r>
    </w:p>
    <w:p w14:paraId="36547344"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13. El plazo dentro del cual la Entidad Estatal puede expedir Adendas.</w:t>
      </w:r>
    </w:p>
    <w:p w14:paraId="60D6B884" w14:textId="77777777" w:rsidR="00E925BC" w:rsidRPr="00AA438A" w:rsidRDefault="00E925BC" w:rsidP="00E925BC">
      <w:pPr>
        <w:pStyle w:val="Textonotapie"/>
        <w:ind w:firstLine="708"/>
        <w:contextualSpacing/>
        <w:jc w:val="both"/>
        <w:rPr>
          <w:rFonts w:ascii="Verdana" w:hAnsi="Verdana" w:cs="Arial"/>
          <w:color w:val="000000" w:themeColor="text1"/>
          <w:sz w:val="16"/>
          <w:szCs w:val="16"/>
        </w:rPr>
      </w:pPr>
      <w:r w:rsidRPr="00AA438A">
        <w:rPr>
          <w:rFonts w:ascii="Verdana" w:hAnsi="Verdana" w:cs="Arial"/>
          <w:color w:val="000000" w:themeColor="text1"/>
          <w:sz w:val="16"/>
          <w:szCs w:val="16"/>
        </w:rPr>
        <w:t>14. El Cronograma”.</w:t>
      </w:r>
    </w:p>
  </w:footnote>
  <w:footnote w:id="8">
    <w:p w14:paraId="28717E5D" w14:textId="77777777" w:rsidR="00E925BC" w:rsidRPr="00AA438A" w:rsidRDefault="00E925BC" w:rsidP="00E925BC">
      <w:pPr>
        <w:pStyle w:val="Textonotapie"/>
        <w:ind w:firstLine="708"/>
        <w:contextualSpacing/>
        <w:jc w:val="both"/>
        <w:rPr>
          <w:rFonts w:ascii="Verdana" w:hAnsi="Verdana" w:cs="Arial"/>
          <w:sz w:val="16"/>
          <w:szCs w:val="16"/>
        </w:rPr>
      </w:pPr>
      <w:r w:rsidRPr="00AA438A">
        <w:rPr>
          <w:rStyle w:val="Refdenotaalpie"/>
          <w:rFonts w:ascii="Verdana" w:hAnsi="Verdana" w:cs="Arial"/>
          <w:sz w:val="16"/>
          <w:szCs w:val="16"/>
        </w:rPr>
        <w:footnoteRef/>
      </w:r>
      <w:r w:rsidRPr="00AA438A">
        <w:rPr>
          <w:rFonts w:ascii="Verdana" w:hAnsi="Verdana" w:cs="Arial"/>
          <w:sz w:val="16"/>
          <w:szCs w:val="16"/>
        </w:rPr>
        <w:t xml:space="preserve"> GONZÁLEZ LÓPEZ, Edgar</w:t>
      </w:r>
      <w:r w:rsidRPr="00AA438A">
        <w:rPr>
          <w:rFonts w:ascii="Verdana" w:hAnsi="Verdana" w:cs="Arial"/>
          <w:i/>
          <w:sz w:val="16"/>
          <w:szCs w:val="16"/>
        </w:rPr>
        <w:t xml:space="preserve">. </w:t>
      </w:r>
      <w:r w:rsidRPr="00AA438A">
        <w:rPr>
          <w:rFonts w:ascii="Verdana" w:hAnsi="Verdana" w:cs="Arial"/>
          <w:sz w:val="16"/>
          <w:szCs w:val="16"/>
        </w:rPr>
        <w:t xml:space="preserve">El pliego de condiciones en la contratación. La reforma consagrada en la Ley 1150 de 2007 y sus decretos reglamentarios. Universidad Externado de Colombia. Primera edición, 2010, pp. 64.  </w:t>
      </w:r>
    </w:p>
  </w:footnote>
  <w:footnote w:id="9">
    <w:p w14:paraId="25098A88" w14:textId="77777777" w:rsidR="00E925BC" w:rsidRPr="00AA438A" w:rsidRDefault="00E925BC" w:rsidP="00E925BC">
      <w:pPr>
        <w:pStyle w:val="Textonotapie"/>
        <w:ind w:firstLine="708"/>
        <w:contextualSpacing/>
        <w:jc w:val="both"/>
        <w:rPr>
          <w:rFonts w:ascii="Verdana" w:hAnsi="Verdana" w:cs="Arial"/>
          <w:sz w:val="16"/>
          <w:szCs w:val="16"/>
        </w:rPr>
      </w:pPr>
      <w:r w:rsidRPr="00AA438A">
        <w:rPr>
          <w:rStyle w:val="Refdenotaalpie"/>
          <w:rFonts w:ascii="Verdana" w:hAnsi="Verdana" w:cs="Arial"/>
          <w:sz w:val="16"/>
          <w:szCs w:val="16"/>
        </w:rPr>
        <w:footnoteRef/>
      </w:r>
      <w:r w:rsidRPr="00AA438A">
        <w:rPr>
          <w:rFonts w:ascii="Verdana" w:hAnsi="Verdana" w:cs="Arial"/>
          <w:sz w:val="16"/>
          <w:szCs w:val="16"/>
        </w:rPr>
        <w:t xml:space="preserve"> CONSEJO DE ESTADO, Sala de lo Contencioso Administrativo, Sección Tercera, sentencias del 1 de junio de 2022, radicado 60248; 29 de julio de 2015, radicado 40660; y, del 26 de abril de 2006, radicado 16041.</w:t>
      </w:r>
    </w:p>
  </w:footnote>
  <w:footnote w:id="10">
    <w:p w14:paraId="7A144796" w14:textId="77777777" w:rsidR="00E925BC" w:rsidRPr="00AA438A" w:rsidRDefault="00E925BC" w:rsidP="00E925BC">
      <w:pPr>
        <w:pStyle w:val="Textonotapie"/>
        <w:ind w:firstLine="708"/>
        <w:contextualSpacing/>
        <w:jc w:val="both"/>
        <w:rPr>
          <w:rFonts w:ascii="Verdana" w:hAnsi="Verdana" w:cs="Arial"/>
          <w:sz w:val="16"/>
          <w:szCs w:val="16"/>
        </w:rPr>
      </w:pPr>
      <w:r w:rsidRPr="00AA438A">
        <w:rPr>
          <w:rStyle w:val="Refdenotaalpie"/>
          <w:rFonts w:ascii="Verdana" w:hAnsi="Verdana" w:cs="Arial"/>
          <w:sz w:val="16"/>
          <w:szCs w:val="16"/>
        </w:rPr>
        <w:footnoteRef/>
      </w:r>
      <w:r w:rsidRPr="00AA438A">
        <w:rPr>
          <w:rFonts w:ascii="Verdana" w:hAnsi="Verdana" w:cs="Arial"/>
          <w:sz w:val="16"/>
          <w:szCs w:val="16"/>
        </w:rPr>
        <w:t xml:space="preserve"> CONSEJO DE ESTADO, Sala de lo Contencioso Administrativo, Sección Tercera, sentencias del 1 de junio de 2022, radicado 60248 y del 2 de julio de 2021, radicado 51910.</w:t>
      </w:r>
    </w:p>
  </w:footnote>
  <w:footnote w:id="11">
    <w:p w14:paraId="770B50EE" w14:textId="77777777" w:rsidR="00E925BC" w:rsidRPr="00AA438A" w:rsidRDefault="00E925BC" w:rsidP="00E925BC">
      <w:pPr>
        <w:pStyle w:val="Textonotapie"/>
        <w:ind w:firstLine="708"/>
        <w:contextualSpacing/>
        <w:jc w:val="both"/>
        <w:rPr>
          <w:rFonts w:ascii="Verdana" w:hAnsi="Verdana" w:cs="Arial"/>
          <w:sz w:val="16"/>
          <w:szCs w:val="16"/>
        </w:rPr>
      </w:pPr>
      <w:r w:rsidRPr="00AA438A">
        <w:rPr>
          <w:rStyle w:val="Refdenotaalpie"/>
          <w:rFonts w:ascii="Verdana" w:hAnsi="Verdana" w:cs="Arial"/>
          <w:sz w:val="16"/>
          <w:szCs w:val="16"/>
        </w:rPr>
        <w:footnoteRef/>
      </w:r>
      <w:r w:rsidRPr="00AA438A">
        <w:rPr>
          <w:rFonts w:ascii="Verdana" w:hAnsi="Verdana" w:cs="Arial"/>
          <w:sz w:val="16"/>
          <w:szCs w:val="16"/>
        </w:rPr>
        <w:t xml:space="preserve"> SANTOFIMIO GAMBÓA, Jaime Orlando. Compendio de Derecho Administrativo. Editorial Universidad Externado de Colombia. Págs. 672-673. Bogotá, 2017.</w:t>
      </w:r>
    </w:p>
  </w:footnote>
  <w:footnote w:id="12">
    <w:p w14:paraId="082CBC04" w14:textId="77777777" w:rsidR="00E925BC" w:rsidRPr="00AA438A" w:rsidRDefault="00E925BC" w:rsidP="00E925BC">
      <w:pPr>
        <w:pStyle w:val="Textonotapie"/>
        <w:ind w:firstLine="708"/>
        <w:contextualSpacing/>
        <w:jc w:val="both"/>
        <w:rPr>
          <w:rFonts w:ascii="Verdana" w:hAnsi="Verdana" w:cs="Arial"/>
          <w:sz w:val="16"/>
          <w:szCs w:val="16"/>
        </w:rPr>
      </w:pPr>
      <w:r w:rsidRPr="00AA438A">
        <w:rPr>
          <w:rStyle w:val="Refdenotaalpie"/>
          <w:rFonts w:ascii="Verdana" w:hAnsi="Verdana" w:cs="Arial"/>
          <w:sz w:val="16"/>
          <w:szCs w:val="16"/>
        </w:rPr>
        <w:footnoteRef/>
      </w:r>
      <w:r w:rsidRPr="00AA438A">
        <w:rPr>
          <w:rFonts w:ascii="Verdana" w:hAnsi="Verdana" w:cs="Arial"/>
          <w:sz w:val="16"/>
          <w:szCs w:val="16"/>
        </w:rPr>
        <w:t xml:space="preserve"> Agencia Nacional de Contratación Pública – Colombia Compra Eficiente. Concepto </w:t>
      </w:r>
      <w:r w:rsidRPr="00AA438A">
        <w:rPr>
          <w:rFonts w:ascii="Verdana" w:hAnsi="Verdana" w:cs="Arial"/>
          <w:color w:val="000000"/>
          <w:sz w:val="16"/>
          <w:szCs w:val="16"/>
          <w:lang w:val="es-ES"/>
        </w:rPr>
        <w:t>C-030 de 2022</w:t>
      </w:r>
      <w:r w:rsidRPr="00AA438A">
        <w:rPr>
          <w:rFonts w:ascii="Verdana" w:hAnsi="Verdana" w:cs="Arial"/>
          <w:sz w:val="16"/>
          <w:szCs w:val="16"/>
        </w:rPr>
        <w:t>.</w:t>
      </w:r>
    </w:p>
  </w:footnote>
  <w:footnote w:id="13">
    <w:p w14:paraId="37359B2D" w14:textId="77777777" w:rsidR="00E925BC" w:rsidRPr="00AA438A" w:rsidRDefault="00E925BC" w:rsidP="00AA438A">
      <w:pPr>
        <w:pStyle w:val="Textonotapie"/>
        <w:ind w:firstLine="708"/>
        <w:contextualSpacing/>
        <w:jc w:val="both"/>
        <w:rPr>
          <w:rFonts w:ascii="Verdana" w:hAnsi="Verdana" w:cs="Arial"/>
          <w:sz w:val="16"/>
          <w:szCs w:val="16"/>
        </w:rPr>
      </w:pPr>
      <w:r w:rsidRPr="00AA438A">
        <w:rPr>
          <w:rStyle w:val="Refdenotaalpie"/>
          <w:rFonts w:ascii="Verdana" w:hAnsi="Verdana"/>
          <w:sz w:val="16"/>
          <w:szCs w:val="16"/>
        </w:rPr>
        <w:footnoteRef/>
      </w:r>
      <w:r w:rsidRPr="00AA438A">
        <w:rPr>
          <w:rFonts w:ascii="Verdana" w:hAnsi="Verdana"/>
          <w:sz w:val="16"/>
          <w:szCs w:val="16"/>
        </w:rPr>
        <w:t xml:space="preserve"> </w:t>
      </w:r>
      <w:r w:rsidRPr="00AA438A">
        <w:rPr>
          <w:rFonts w:ascii="Verdana" w:hAnsi="Verdana" w:cs="Arial"/>
          <w:sz w:val="16"/>
          <w:szCs w:val="16"/>
        </w:rPr>
        <w:t xml:space="preserve">Consejo de Estado. Sentencia de marzo 1.° de 2018, expediente 38.711. </w:t>
      </w:r>
    </w:p>
    <w:p w14:paraId="1E8EF041" w14:textId="77777777" w:rsidR="00E925BC" w:rsidRPr="00AA438A" w:rsidRDefault="00E925BC" w:rsidP="00AA438A">
      <w:pPr>
        <w:pStyle w:val="Textonotapie"/>
        <w:contextualSpacing/>
        <w:jc w:val="both"/>
        <w:rPr>
          <w:rFonts w:ascii="Verdana" w:hAnsi="Verdana" w:cs="Arial"/>
          <w:sz w:val="16"/>
          <w:szCs w:val="16"/>
        </w:rPr>
      </w:pPr>
      <w:r w:rsidRPr="00AA438A">
        <w:rPr>
          <w:rFonts w:ascii="Verdana" w:hAnsi="Verdana" w:cs="Arial"/>
          <w:sz w:val="16"/>
          <w:szCs w:val="16"/>
        </w:rPr>
        <w:t>En sentencia del 30 de julio de 2015, expediente 25296, la Corporación se había expresado en el mismo sentido en cuanto a que los pliegos de condiciones deben ser claros y cualquier ambigüedad debe ser interpretada en contra de la Administración. En esta sentencia aclara adicionalmente que los plazos de la licitación pública son perentorios, por lo tanto la adjudicación o la declaratoria de desierta que se expida sin respetar estos términos generan la nulidad del acto administrativo expedido.</w:t>
      </w:r>
    </w:p>
  </w:footnote>
  <w:footnote w:id="14">
    <w:p w14:paraId="6CA3BE75" w14:textId="76C5FD9E" w:rsidR="00E925BC" w:rsidRPr="00AA438A" w:rsidRDefault="00E925BC" w:rsidP="00AA438A">
      <w:pPr>
        <w:pStyle w:val="Textonotapie"/>
        <w:ind w:firstLine="708"/>
        <w:contextualSpacing/>
        <w:jc w:val="both"/>
        <w:rPr>
          <w:rFonts w:ascii="Verdana" w:hAnsi="Verdana" w:cs="Arial"/>
          <w:sz w:val="16"/>
          <w:szCs w:val="16"/>
        </w:rPr>
      </w:pPr>
      <w:r w:rsidRPr="00AA438A">
        <w:rPr>
          <w:rStyle w:val="Refdenotaalpie"/>
          <w:rFonts w:ascii="Verdana" w:hAnsi="Verdana"/>
          <w:sz w:val="16"/>
          <w:szCs w:val="16"/>
        </w:rPr>
        <w:footnoteRef/>
      </w:r>
      <w:r w:rsidRPr="00AA438A">
        <w:rPr>
          <w:rFonts w:ascii="Verdana" w:hAnsi="Verdana"/>
          <w:sz w:val="16"/>
          <w:szCs w:val="16"/>
        </w:rPr>
        <w:t xml:space="preserve"> </w:t>
      </w:r>
      <w:r w:rsidRPr="00AA438A">
        <w:rPr>
          <w:rFonts w:ascii="Verdana" w:hAnsi="Verdana" w:cs="Arial"/>
          <w:sz w:val="16"/>
          <w:szCs w:val="16"/>
        </w:rPr>
        <w:t>Ernesto Matallana Camacho</w:t>
      </w:r>
      <w:r w:rsidR="00A0307C" w:rsidRPr="00AA438A">
        <w:rPr>
          <w:rFonts w:ascii="Verdana" w:hAnsi="Verdana" w:cs="Arial"/>
          <w:sz w:val="16"/>
          <w:szCs w:val="16"/>
        </w:rPr>
        <w:t>.</w:t>
      </w:r>
      <w:r w:rsidRPr="00AA438A">
        <w:rPr>
          <w:rFonts w:ascii="Verdana" w:hAnsi="Verdana" w:cs="Arial"/>
          <w:sz w:val="16"/>
          <w:szCs w:val="16"/>
        </w:rPr>
        <w:t xml:space="preserve"> La preservación de las garantías constitucionales en la licitación en el trámite de evaluación de las propuestas y el control que ejerce el juez sobre la actividad contractual de la Administración pública.</w:t>
      </w:r>
    </w:p>
  </w:footnote>
  <w:footnote w:id="15">
    <w:p w14:paraId="24F2AAC3" w14:textId="77777777" w:rsidR="00ED5BA3" w:rsidRPr="00AA438A" w:rsidRDefault="00ED5BA3" w:rsidP="00AA438A">
      <w:pPr>
        <w:spacing w:after="0" w:line="240" w:lineRule="auto"/>
        <w:contextualSpacing/>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ED813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3253398" o:spid="_x0000_i1025" type="#_x0000_t75" style="width:11.25pt;height:11.25pt;visibility:visible;mso-wrap-style:square">
            <v:imagedata r:id="rId1" o:title=""/>
          </v:shape>
        </w:pict>
      </mc:Choice>
      <mc:Fallback>
        <w:drawing>
          <wp:inline distT="0" distB="0" distL="0" distR="0" wp14:anchorId="231DC7BF" wp14:editId="4884A68E">
            <wp:extent cx="142875" cy="142875"/>
            <wp:effectExtent l="0" t="0" r="0" b="0"/>
            <wp:docPr id="193253398" name="Imagen 19325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9C109A1"/>
    <w:multiLevelType w:val="hybridMultilevel"/>
    <w:tmpl w:val="433262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6053857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C0B"/>
    <w:rsid w:val="000A683E"/>
    <w:rsid w:val="000B19B9"/>
    <w:rsid w:val="000D0334"/>
    <w:rsid w:val="000F6486"/>
    <w:rsid w:val="00116FC3"/>
    <w:rsid w:val="00121D3D"/>
    <w:rsid w:val="00125105"/>
    <w:rsid w:val="00127233"/>
    <w:rsid w:val="001511A0"/>
    <w:rsid w:val="001E1B9C"/>
    <w:rsid w:val="001E4177"/>
    <w:rsid w:val="001F7DC6"/>
    <w:rsid w:val="002421BB"/>
    <w:rsid w:val="0025796E"/>
    <w:rsid w:val="002707A2"/>
    <w:rsid w:val="00292AF6"/>
    <w:rsid w:val="00293AB5"/>
    <w:rsid w:val="002951A0"/>
    <w:rsid w:val="002962BC"/>
    <w:rsid w:val="002A093D"/>
    <w:rsid w:val="002A0DD0"/>
    <w:rsid w:val="002A49AC"/>
    <w:rsid w:val="002A64FD"/>
    <w:rsid w:val="002C4913"/>
    <w:rsid w:val="002C7A84"/>
    <w:rsid w:val="002D0D00"/>
    <w:rsid w:val="002E16A5"/>
    <w:rsid w:val="002E4FD9"/>
    <w:rsid w:val="00322A85"/>
    <w:rsid w:val="0032399F"/>
    <w:rsid w:val="00324168"/>
    <w:rsid w:val="003448F4"/>
    <w:rsid w:val="00352B59"/>
    <w:rsid w:val="00374F5E"/>
    <w:rsid w:val="00377E3E"/>
    <w:rsid w:val="003928B9"/>
    <w:rsid w:val="003A779E"/>
    <w:rsid w:val="003D0F4D"/>
    <w:rsid w:val="003D5B0D"/>
    <w:rsid w:val="003E0499"/>
    <w:rsid w:val="003F3941"/>
    <w:rsid w:val="003F57D2"/>
    <w:rsid w:val="00406575"/>
    <w:rsid w:val="00414C74"/>
    <w:rsid w:val="0042722E"/>
    <w:rsid w:val="00444866"/>
    <w:rsid w:val="0044528D"/>
    <w:rsid w:val="004473D9"/>
    <w:rsid w:val="004A1847"/>
    <w:rsid w:val="004A305D"/>
    <w:rsid w:val="004E2DD2"/>
    <w:rsid w:val="004F21C4"/>
    <w:rsid w:val="004F3E36"/>
    <w:rsid w:val="004F685F"/>
    <w:rsid w:val="005471D0"/>
    <w:rsid w:val="005566E8"/>
    <w:rsid w:val="00574867"/>
    <w:rsid w:val="00591460"/>
    <w:rsid w:val="005B24D8"/>
    <w:rsid w:val="005B3816"/>
    <w:rsid w:val="005C3777"/>
    <w:rsid w:val="005C5CDC"/>
    <w:rsid w:val="005C76A3"/>
    <w:rsid w:val="005D476C"/>
    <w:rsid w:val="005F4417"/>
    <w:rsid w:val="006219F8"/>
    <w:rsid w:val="00665D70"/>
    <w:rsid w:val="006900D9"/>
    <w:rsid w:val="006A1C13"/>
    <w:rsid w:val="006A31C9"/>
    <w:rsid w:val="00706C16"/>
    <w:rsid w:val="00756841"/>
    <w:rsid w:val="007649AB"/>
    <w:rsid w:val="00771D0C"/>
    <w:rsid w:val="0077537C"/>
    <w:rsid w:val="007833AC"/>
    <w:rsid w:val="007B268C"/>
    <w:rsid w:val="007B7171"/>
    <w:rsid w:val="007C0C0F"/>
    <w:rsid w:val="007C3DC2"/>
    <w:rsid w:val="007E5497"/>
    <w:rsid w:val="00806F5F"/>
    <w:rsid w:val="00820278"/>
    <w:rsid w:val="00837A70"/>
    <w:rsid w:val="00867F95"/>
    <w:rsid w:val="008843B6"/>
    <w:rsid w:val="00891928"/>
    <w:rsid w:val="008A446D"/>
    <w:rsid w:val="008B1644"/>
    <w:rsid w:val="008D180B"/>
    <w:rsid w:val="008F0EA7"/>
    <w:rsid w:val="008F6FAB"/>
    <w:rsid w:val="00923EEF"/>
    <w:rsid w:val="009419F9"/>
    <w:rsid w:val="00952FB6"/>
    <w:rsid w:val="0095685E"/>
    <w:rsid w:val="00961B09"/>
    <w:rsid w:val="00965334"/>
    <w:rsid w:val="0097093E"/>
    <w:rsid w:val="00986AC5"/>
    <w:rsid w:val="009A0DFA"/>
    <w:rsid w:val="009B2D26"/>
    <w:rsid w:val="009C71FA"/>
    <w:rsid w:val="009C72E7"/>
    <w:rsid w:val="009D3058"/>
    <w:rsid w:val="009E16DF"/>
    <w:rsid w:val="009F3A13"/>
    <w:rsid w:val="00A0307C"/>
    <w:rsid w:val="00A122D3"/>
    <w:rsid w:val="00A17F13"/>
    <w:rsid w:val="00A20739"/>
    <w:rsid w:val="00A33C78"/>
    <w:rsid w:val="00AA438A"/>
    <w:rsid w:val="00AB0ADB"/>
    <w:rsid w:val="00AD265D"/>
    <w:rsid w:val="00B01B1A"/>
    <w:rsid w:val="00B66319"/>
    <w:rsid w:val="00B72CD3"/>
    <w:rsid w:val="00B72FFF"/>
    <w:rsid w:val="00B83498"/>
    <w:rsid w:val="00B9141C"/>
    <w:rsid w:val="00BA0B90"/>
    <w:rsid w:val="00BA1B0A"/>
    <w:rsid w:val="00BC3D36"/>
    <w:rsid w:val="00BD7F72"/>
    <w:rsid w:val="00C02CF0"/>
    <w:rsid w:val="00C04FB3"/>
    <w:rsid w:val="00C330EB"/>
    <w:rsid w:val="00C41061"/>
    <w:rsid w:val="00C754BE"/>
    <w:rsid w:val="00C76B1C"/>
    <w:rsid w:val="00CB6357"/>
    <w:rsid w:val="00CC1B26"/>
    <w:rsid w:val="00CE3389"/>
    <w:rsid w:val="00CF6D53"/>
    <w:rsid w:val="00D16EF2"/>
    <w:rsid w:val="00D35403"/>
    <w:rsid w:val="00D423A2"/>
    <w:rsid w:val="00D5165D"/>
    <w:rsid w:val="00D520D8"/>
    <w:rsid w:val="00D63AC2"/>
    <w:rsid w:val="00D66D5B"/>
    <w:rsid w:val="00D7383B"/>
    <w:rsid w:val="00DA231B"/>
    <w:rsid w:val="00DC39FC"/>
    <w:rsid w:val="00DF5254"/>
    <w:rsid w:val="00DF6D8C"/>
    <w:rsid w:val="00E16408"/>
    <w:rsid w:val="00E20894"/>
    <w:rsid w:val="00E245AB"/>
    <w:rsid w:val="00E2764C"/>
    <w:rsid w:val="00E27F2E"/>
    <w:rsid w:val="00E50AFE"/>
    <w:rsid w:val="00E75C92"/>
    <w:rsid w:val="00E771DC"/>
    <w:rsid w:val="00E8772A"/>
    <w:rsid w:val="00E90F6B"/>
    <w:rsid w:val="00E925BC"/>
    <w:rsid w:val="00E92C27"/>
    <w:rsid w:val="00E95FE9"/>
    <w:rsid w:val="00EA0E3D"/>
    <w:rsid w:val="00EC38A7"/>
    <w:rsid w:val="00EC68E4"/>
    <w:rsid w:val="00ED5BA3"/>
    <w:rsid w:val="00ED7384"/>
    <w:rsid w:val="00EE1AA8"/>
    <w:rsid w:val="00EE6713"/>
    <w:rsid w:val="00F125F2"/>
    <w:rsid w:val="00F25598"/>
    <w:rsid w:val="00F31EDC"/>
    <w:rsid w:val="00F462B3"/>
    <w:rsid w:val="00F5664F"/>
    <w:rsid w:val="00F666C4"/>
    <w:rsid w:val="00F76AFC"/>
    <w:rsid w:val="00F9465F"/>
    <w:rsid w:val="00FA47C0"/>
    <w:rsid w:val="00FB5DD1"/>
    <w:rsid w:val="00FC2B5D"/>
    <w:rsid w:val="00FC703A"/>
    <w:rsid w:val="00FF1449"/>
    <w:rsid w:val="40CC09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925B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25B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E55E998-0F12-4C47-BEDD-6E7A08372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4818</Words>
  <Characters>26500</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2025-03-27T18:49:00Z</dcterms:created>
  <dcterms:modified xsi:type="dcterms:W3CDTF">2025-03-28T14:09:00Z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