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CE41C" w14:textId="77777777"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MIPYMES – Decreto 1860 de 2021 – Artículo 5 – Convocatorias limitadas territorialmente – Vigencia </w:t>
      </w:r>
    </w:p>
    <w:p w14:paraId="77C3F3D2"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145536BA" w14:textId="7D5939A9"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 categoría que, como es sabido, incluye los decretos reglamentarios– dejan de ser obligatorios o decaen “Cuando desaparezcan sus fundamentos de hecho o de derecho”.</w:t>
      </w:r>
    </w:p>
    <w:p w14:paraId="2B06ECA4" w14:textId="3186CB41"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Lo anterior quedó reafirmado con la expedición del Decreto 1860 de 24 de diciembre de 2021, reglamento que modificó, entre otros aspectos, la Subsección</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5</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de la Secci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1 del Cap</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2 del 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1 de la Parte 2 del Libro 2 y los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culos 2.2.1.2.4.2.2. y 2.2.1.2.4.2.3. y siguientes del Decreto 1082 de 2015, </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nico Reglamentario del Sector Administrativo de Planeaci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Nacional, modificaci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que entrar</w:t>
      </w:r>
      <w:r w:rsidRPr="003376DC">
        <w:rPr>
          <w:rFonts w:ascii="Century Gothic" w:eastAsia="Calibri" w:hAnsi="Century Gothic" w:cs="Century Gothic"/>
          <w:color w:val="000000" w:themeColor="text1"/>
          <w:lang w:val="es-ES" w:eastAsia="es-ES"/>
        </w:rPr>
        <w:t>á</w:t>
      </w:r>
      <w:r w:rsidRPr="003376DC">
        <w:rPr>
          <w:rFonts w:ascii="Century Gothic" w:eastAsia="Calibri" w:hAnsi="Century Gothic" w:cs="Arial"/>
          <w:color w:val="000000" w:themeColor="text1"/>
          <w:lang w:val="es-ES" w:eastAsia="es-ES"/>
        </w:rPr>
        <w:t xml:space="preserve"> a regir a partir del 24 de marzo de 2022, seg</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 lo dispone el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culo 8 de la nueva norma reglamentaria de las convocatorias limitadas a las mipymes que sometió la vigencia de los cambios al transcurso del periodo de 3 meses siguientes a la expedición del decreto.</w:t>
      </w:r>
    </w:p>
    <w:p w14:paraId="1CB6E3FB"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1CD17F4" w14:textId="6DE49A7E"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CONVOCATORIAS LIMITADAS A MIPYMES NACIONALES – Limitación territorial – Relevancia del domicilio de la Mipymes</w:t>
      </w:r>
    </w:p>
    <w:p w14:paraId="426D7E23"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2D42867" w14:textId="77777777" w:rsidR="00D17400" w:rsidRPr="003376DC" w:rsidRDefault="00D17400" w:rsidP="00D17400">
      <w:pPr>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w:t>
      </w:r>
      <w:r w:rsidRPr="003376DC">
        <w:rPr>
          <w:rFonts w:ascii="Century Gothic" w:eastAsia="Calibri" w:hAnsi="Century Gothic" w:cs="Arial"/>
          <w:color w:val="000000" w:themeColor="text1"/>
          <w:lang w:val="es-ES" w:eastAsia="es-ES"/>
        </w:rPr>
        <w:lastRenderedPageBreak/>
        <w:t>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3C42A0A3" w14:textId="77777777" w:rsidR="00D17400" w:rsidRPr="003376DC" w:rsidRDefault="00D17400" w:rsidP="00D17400">
      <w:pPr>
        <w:jc w:val="both"/>
        <w:rPr>
          <w:rFonts w:ascii="Century Gothic" w:eastAsia="Calibri" w:hAnsi="Century Gothic" w:cs="Arial"/>
          <w:b/>
          <w:bCs/>
          <w:color w:val="000000" w:themeColor="text1"/>
          <w:lang w:val="es-ES" w:eastAsia="es-ES"/>
        </w:rPr>
      </w:pPr>
    </w:p>
    <w:p w14:paraId="7D0204C2" w14:textId="77777777" w:rsidR="00D17400" w:rsidRPr="003376DC" w:rsidRDefault="00D17400" w:rsidP="00D17400">
      <w:pPr>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Tiempo mínimo de constitución </w:t>
      </w:r>
    </w:p>
    <w:p w14:paraId="59B29B5D" w14:textId="77777777" w:rsidR="00D17400" w:rsidRPr="00D17400" w:rsidRDefault="00D17400" w:rsidP="00D17400">
      <w:pPr>
        <w:jc w:val="both"/>
        <w:rPr>
          <w:rFonts w:ascii="Century Gothic" w:eastAsia="Calibri" w:hAnsi="Century Gothic" w:cs="Arial"/>
          <w:color w:val="000000" w:themeColor="text1"/>
          <w:lang w:val="es-ES" w:eastAsia="es-ES"/>
        </w:rPr>
      </w:pPr>
    </w:p>
    <w:p w14:paraId="2C7914B4" w14:textId="4A6D1F6B" w:rsidR="00D17400" w:rsidRDefault="00D17400" w:rsidP="00D17400">
      <w:pPr>
        <w:jc w:val="both"/>
        <w:rPr>
          <w:rFonts w:ascii="Century Gothic" w:eastAsia="Geomanist Light" w:hAnsi="Century Gothic" w:cs="Arial"/>
          <w:color w:val="000000" w:themeColor="text1"/>
          <w:lang w:val="es-MX"/>
        </w:rPr>
      </w:pPr>
      <w:r w:rsidRPr="00D17400">
        <w:rPr>
          <w:rFonts w:ascii="Century Gothic" w:eastAsia="Calibri" w:hAnsi="Century Gothic" w:cs="Arial"/>
          <w:color w:val="000000" w:themeColor="text1"/>
          <w:lang w:val="es-ES" w:eastAsia="es-ES"/>
        </w:rPr>
        <w:t>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r>
        <w:rPr>
          <w:rFonts w:ascii="Century Gothic" w:eastAsia="Geomanist Light" w:hAnsi="Century Gothic" w:cs="Arial"/>
          <w:color w:val="000000" w:themeColor="text1"/>
          <w:lang w:val="es-MX"/>
        </w:rPr>
        <w:br w:type="page"/>
      </w:r>
    </w:p>
    <w:p w14:paraId="6700D6DA" w14:textId="1AA7A531"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34471066" w:rsidR="00871B59" w:rsidRPr="00F919E7" w:rsidRDefault="00871B59" w:rsidP="00871B59">
      <w:pPr>
        <w:spacing w:after="0" w:line="240" w:lineRule="auto"/>
        <w:jc w:val="both"/>
        <w:rPr>
          <w:rFonts w:ascii="Century Gothic" w:eastAsia="Calibri" w:hAnsi="Century Gothic" w:cs="Arial"/>
          <w:bCs/>
          <w:lang w:val="es-MX" w:eastAsia="es-ES_tradnl"/>
        </w:rPr>
      </w:pPr>
      <w:bookmarkStart w:id="0" w:name="_Hlk172884808"/>
      <w:r w:rsidRPr="00F919E7">
        <w:rPr>
          <w:rFonts w:ascii="Century Gothic" w:eastAsia="Calibri" w:hAnsi="Century Gothic" w:cs="Arial"/>
          <w:bCs/>
          <w:lang w:val="es-MX" w:eastAsia="es-ES_tradnl"/>
        </w:rPr>
        <w:t>Señor</w:t>
      </w:r>
    </w:p>
    <w:p w14:paraId="518A0890" w14:textId="7DAA0122" w:rsidR="007700D3" w:rsidRPr="007700D3" w:rsidRDefault="007700D3" w:rsidP="00871B59">
      <w:pPr>
        <w:spacing w:after="0" w:line="240" w:lineRule="auto"/>
        <w:rPr>
          <w:rFonts w:ascii="Century Gothic" w:eastAsia="Calibri" w:hAnsi="Century Gothic" w:cs="Arial"/>
          <w:b/>
          <w:lang w:eastAsia="es-ES_tradnl"/>
        </w:rPr>
      </w:pPr>
      <w:r w:rsidRPr="007700D3">
        <w:rPr>
          <w:rFonts w:ascii="Century Gothic" w:eastAsia="Calibri" w:hAnsi="Century Gothic" w:cs="Arial"/>
          <w:b/>
          <w:lang w:eastAsia="es-ES_tradnl"/>
        </w:rPr>
        <w:t>Rafael Sandoval Passos</w:t>
      </w:r>
    </w:p>
    <w:p w14:paraId="18BD7358" w14:textId="4D4E549A" w:rsidR="007700D3" w:rsidRPr="007700D3" w:rsidRDefault="00C415BF" w:rsidP="00871B59">
      <w:pPr>
        <w:spacing w:after="0" w:line="240" w:lineRule="auto"/>
        <w:rPr>
          <w:rFonts w:ascii="Century Gothic" w:eastAsia="Calibri" w:hAnsi="Century Gothic" w:cs="Arial"/>
          <w:bCs/>
          <w:u w:val="single"/>
          <w:lang w:eastAsia="es-ES_tradnl"/>
        </w:rPr>
      </w:pPr>
      <w:r>
        <w:rPr>
          <w:rFonts w:ascii="Century Gothic" w:eastAsia="Calibri" w:hAnsi="Century Gothic" w:cs="Arial"/>
          <w:bCs/>
          <w:u w:val="single"/>
          <w:lang w:eastAsia="es-ES_tradnl"/>
        </w:rPr>
        <w:t>r</w:t>
      </w:r>
      <w:r w:rsidR="007700D3">
        <w:rPr>
          <w:rFonts w:ascii="Century Gothic" w:eastAsia="Calibri" w:hAnsi="Century Gothic" w:cs="Arial"/>
          <w:bCs/>
          <w:u w:val="single"/>
          <w:lang w:eastAsia="es-ES_tradnl"/>
        </w:rPr>
        <w:t>edis2005@hotmail.com</w:t>
      </w:r>
    </w:p>
    <w:p w14:paraId="5ACFEA17" w14:textId="3AFD27D6" w:rsidR="00871B59" w:rsidRPr="00F919E7" w:rsidRDefault="007700D3"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Inírida,</w:t>
      </w:r>
      <w:r w:rsidR="005A1C97">
        <w:rPr>
          <w:rFonts w:ascii="Century Gothic" w:eastAsia="Calibri" w:hAnsi="Century Gothic" w:cs="Arial"/>
          <w:bCs/>
          <w:lang w:val="es-MX" w:eastAsia="es-ES_tradnl"/>
        </w:rPr>
        <w:t xml:space="preserve"> </w:t>
      </w:r>
      <w:r>
        <w:rPr>
          <w:rFonts w:ascii="Century Gothic" w:eastAsia="Calibri" w:hAnsi="Century Gothic" w:cs="Arial"/>
          <w:bCs/>
          <w:lang w:val="es-MX" w:eastAsia="es-ES_tradnl"/>
        </w:rPr>
        <w:t>Guainía</w:t>
      </w:r>
      <w:r w:rsidR="00916160">
        <w:rPr>
          <w:rFonts w:ascii="Century Gothic" w:eastAsia="Calibri" w:hAnsi="Century Gothic" w:cs="Arial"/>
          <w:bCs/>
          <w:lang w:val="es-MX" w:eastAsia="es-ES_tradnl"/>
        </w:rPr>
        <w:t xml:space="preserve">. </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1B904BA7" w14:textId="306A6ECA" w:rsidR="00511D95" w:rsidRPr="00F919E7" w:rsidRDefault="00511D95" w:rsidP="00511D95">
      <w:pPr>
        <w:spacing w:after="0" w:line="240" w:lineRule="auto"/>
        <w:jc w:val="right"/>
        <w:rPr>
          <w:rFonts w:ascii="Century Gothic" w:eastAsia="Calibri" w:hAnsi="Century Gothic" w:cs="Arial"/>
          <w:b/>
          <w:bCs/>
          <w:color w:val="000000"/>
          <w:lang w:val="es-ES_tradnl" w:eastAsia="es-ES_tradnl"/>
        </w:rPr>
      </w:pPr>
      <w:r w:rsidRPr="00511D95">
        <w:rPr>
          <w:rFonts w:ascii="Century Gothic" w:eastAsia="Calibri" w:hAnsi="Century Gothic" w:cs="Arial"/>
          <w:b/>
          <w:bCs/>
          <w:noProof/>
          <w:color w:val="000000"/>
          <w:lang w:val="es-ES_tradnl" w:eastAsia="es-ES_tradnl"/>
        </w:rPr>
        <w:drawing>
          <wp:inline distT="0" distB="0" distL="0" distR="0" wp14:anchorId="7E290530" wp14:editId="06B8F010">
            <wp:extent cx="3254022" cy="929721"/>
            <wp:effectExtent l="0" t="0" r="3810" b="3810"/>
            <wp:docPr id="1438968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68352" name=""/>
                    <pic:cNvPicPr/>
                  </pic:nvPicPr>
                  <pic:blipFill>
                    <a:blip r:embed="rId11"/>
                    <a:stretch>
                      <a:fillRect/>
                    </a:stretch>
                  </pic:blipFill>
                  <pic:spPr>
                    <a:xfrm>
                      <a:off x="0" y="0"/>
                      <a:ext cx="3254022" cy="929721"/>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306A20BC"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916160" w:rsidRPr="005A1C97">
              <w:rPr>
                <w:rFonts w:ascii="Century Gothic" w:eastAsia="Calibri" w:hAnsi="Century Gothic" w:cs="Arial"/>
                <w:b/>
                <w:lang w:val="es-MX" w:eastAsia="es-ES_tradnl"/>
              </w:rPr>
              <w:t>1</w:t>
            </w:r>
            <w:r w:rsidR="007700D3">
              <w:rPr>
                <w:rFonts w:ascii="Century Gothic" w:eastAsia="Calibri" w:hAnsi="Century Gothic" w:cs="Arial"/>
                <w:b/>
                <w:lang w:val="es-MX" w:eastAsia="es-ES_tradnl"/>
              </w:rPr>
              <w:t>96</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15BA8489" w14:textId="0488CD68" w:rsidR="00916160" w:rsidRDefault="008B7F31" w:rsidP="00916160">
            <w:pPr>
              <w:spacing w:line="276" w:lineRule="auto"/>
              <w:jc w:val="both"/>
              <w:rPr>
                <w:rFonts w:ascii="Century Gothic" w:eastAsia="Calibri" w:hAnsi="Century Gothic" w:cs="Arial"/>
                <w:bCs/>
                <w:lang w:val="es-MX" w:eastAsia="es-ES_tradnl"/>
              </w:rPr>
            </w:pPr>
            <w:r>
              <w:rPr>
                <w:rFonts w:ascii="Century Gothic" w:eastAsia="Calibri" w:hAnsi="Century Gothic" w:cs="Arial"/>
                <w:bCs/>
                <w:lang w:eastAsia="es-ES_tradnl"/>
              </w:rPr>
              <w:t>C</w:t>
            </w:r>
            <w:r w:rsidRPr="008B7F31">
              <w:rPr>
                <w:rFonts w:ascii="Century Gothic" w:eastAsia="Calibri" w:hAnsi="Century Gothic" w:cs="Arial"/>
                <w:bCs/>
                <w:lang w:eastAsia="es-ES_tradnl"/>
              </w:rPr>
              <w:t>ONVOCATORIAS LIMITADAS A MIPYMES NACIONALES</w:t>
            </w:r>
            <w:r>
              <w:rPr>
                <w:rFonts w:ascii="Century Gothic" w:eastAsia="Calibri" w:hAnsi="Century Gothic" w:cs="Arial"/>
                <w:bCs/>
                <w:lang w:eastAsia="es-ES_tradnl"/>
              </w:rPr>
              <w:t>- Umbrales 2024</w:t>
            </w:r>
            <w:r w:rsidR="00685FFD">
              <w:rPr>
                <w:rFonts w:ascii="Century Gothic" w:eastAsia="Calibri" w:hAnsi="Century Gothic"/>
                <w:bCs/>
                <w:lang w:val="es-MX" w:eastAsia="es-ES_tradnl"/>
              </w:rPr>
              <w:t xml:space="preserve">. </w:t>
            </w:r>
          </w:p>
          <w:p w14:paraId="7ADD1096" w14:textId="1A8FD5D6" w:rsidR="00685FFD" w:rsidRPr="00F919E7" w:rsidRDefault="00685FFD"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2B3DFFBD" w:rsidR="00916160" w:rsidRPr="00F919E7" w:rsidRDefault="00916160" w:rsidP="00916160">
            <w:pPr>
              <w:jc w:val="both"/>
              <w:rPr>
                <w:rFonts w:ascii="Century Gothic" w:eastAsia="Calibri" w:hAnsi="Century Gothic" w:cs="Arial"/>
                <w:bCs/>
                <w:lang w:val="es-MX" w:eastAsia="es-ES_tradnl"/>
              </w:rPr>
            </w:pPr>
          </w:p>
        </w:tc>
        <w:tc>
          <w:tcPr>
            <w:tcW w:w="6242" w:type="dxa"/>
          </w:tcPr>
          <w:p w14:paraId="630D2668" w14:textId="56363E20"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5A1C97" w:rsidRPr="005A1C97">
              <w:rPr>
                <w:rFonts w:ascii="Century Gothic" w:eastAsia="Calibri" w:hAnsi="Century Gothic" w:cs="Arial"/>
                <w:bCs/>
                <w:lang w:eastAsia="es-ES_tradnl"/>
              </w:rPr>
              <w:t>P</w:t>
            </w:r>
            <w:r w:rsidR="00D17400">
              <w:t xml:space="preserve"> </w:t>
            </w:r>
            <w:r w:rsidR="00D17400" w:rsidRPr="00D17400">
              <w:rPr>
                <w:rFonts w:ascii="Century Gothic" w:eastAsia="Calibri" w:hAnsi="Century Gothic" w:cs="Arial"/>
                <w:bCs/>
                <w:lang w:eastAsia="es-ES_tradnl"/>
              </w:rPr>
              <w:t>20240619006282</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0209B473"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916160">
        <w:rPr>
          <w:rFonts w:ascii="Century Gothic" w:eastAsia="Calibri" w:hAnsi="Century Gothic" w:cs="Arial"/>
          <w:bCs/>
          <w:lang w:val="es-MX" w:eastAsia="es-ES_tradnl"/>
        </w:rPr>
        <w:t xml:space="preserve">o </w:t>
      </w:r>
      <w:r w:rsidRPr="00E43EBA">
        <w:rPr>
          <w:rFonts w:ascii="Century Gothic" w:eastAsia="Calibri" w:hAnsi="Century Gothic" w:cs="Arial"/>
          <w:bCs/>
          <w:lang w:val="es-MX" w:eastAsia="es-ES_tradnl"/>
        </w:rPr>
        <w:t>señor</w:t>
      </w:r>
      <w:r w:rsidR="00D17400">
        <w:rPr>
          <w:rFonts w:ascii="Century Gothic" w:eastAsia="Calibri" w:hAnsi="Century Gothic" w:cs="Arial"/>
          <w:bCs/>
          <w:lang w:val="es-MX" w:eastAsia="es-ES_tradnl"/>
        </w:rPr>
        <w:t xml:space="preserve"> Sandoval</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0017D01E"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5A1C97">
        <w:rPr>
          <w:rFonts w:ascii="Century Gothic" w:eastAsia="Calibri" w:hAnsi="Century Gothic" w:cs="Arial"/>
          <w:lang w:val="es-ES" w:eastAsia="es-ES"/>
        </w:rPr>
        <w:t>1</w:t>
      </w:r>
      <w:r w:rsidR="00C415BF">
        <w:rPr>
          <w:rFonts w:ascii="Century Gothic" w:eastAsia="Calibri" w:hAnsi="Century Gothic" w:cs="Arial"/>
          <w:lang w:val="es-ES" w:eastAsia="es-ES"/>
        </w:rPr>
        <w:t>9</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08FEBF31" w:rsidR="00871B59" w:rsidRPr="00916160" w:rsidRDefault="00871B59" w:rsidP="007700D3">
      <w:pPr>
        <w:ind w:left="709" w:right="616"/>
        <w:jc w:val="both"/>
        <w:rPr>
          <w:rFonts w:ascii="Century Gothic" w:eastAsia="Century Gothic" w:hAnsi="Century Gothic" w:cs="Century Gothic"/>
          <w:sz w:val="20"/>
          <w:szCs w:val="20"/>
        </w:rPr>
      </w:pPr>
      <w:bookmarkStart w:id="1" w:name="_Hlk95313578"/>
      <w:r w:rsidRPr="00A83E50">
        <w:rPr>
          <w:rFonts w:ascii="Century Gothic" w:eastAsia="Century Gothic" w:hAnsi="Century Gothic" w:cs="Century Gothic"/>
          <w:sz w:val="20"/>
          <w:szCs w:val="20"/>
          <w:lang w:val="es-ES"/>
        </w:rPr>
        <w:t>“</w:t>
      </w:r>
      <w:bookmarkEnd w:id="1"/>
      <w:r w:rsidR="007700D3" w:rsidRPr="007700D3">
        <w:rPr>
          <w:rFonts w:ascii="Century Gothic" w:eastAsia="Century Gothic" w:hAnsi="Century Gothic" w:cs="Century Gothic"/>
          <w:sz w:val="20"/>
          <w:szCs w:val="20"/>
        </w:rPr>
        <w:t>Se me indique por favor, ¿Cuál es el umbral de las Mipymes para el año 2024 y en pesos colombianos a cuanto equivale conforme a lo señalado en el artículo 2.2.1.2.4.2.2.2 del Decreto 1082 de 2015</w:t>
      </w:r>
      <w:r w:rsidR="007700D3">
        <w:rPr>
          <w:rFonts w:ascii="Century Gothic" w:eastAsia="Century Gothic" w:hAnsi="Century Gothic" w:cs="Century Gothic"/>
          <w:sz w:val="20"/>
          <w:szCs w:val="20"/>
        </w:rPr>
        <w:t>”</w:t>
      </w:r>
      <w:r w:rsidR="00E051A5">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38C320BB"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7700D3">
        <w:rPr>
          <w:rFonts w:ascii="Century Gothic" w:hAnsi="Century Gothic"/>
        </w:rPr>
        <w:t>C</w:t>
      </w:r>
      <w:r w:rsidR="007700D3" w:rsidRPr="00DD17C4">
        <w:rPr>
          <w:rFonts w:ascii="Century Gothic" w:hAnsi="Century Gothic"/>
        </w:rPr>
        <w:t xml:space="preserve">uál </w:t>
      </w:r>
      <w:r w:rsidR="007700D3">
        <w:rPr>
          <w:rFonts w:ascii="Century Gothic" w:hAnsi="Century Gothic"/>
        </w:rPr>
        <w:t>es el</w:t>
      </w:r>
      <w:r w:rsidR="007700D3" w:rsidRPr="00DD17C4">
        <w:rPr>
          <w:rFonts w:ascii="Century Gothic" w:hAnsi="Century Gothic"/>
        </w:rPr>
        <w:t xml:space="preserve"> Umbral </w:t>
      </w:r>
      <w:r w:rsidR="00D17400">
        <w:rPr>
          <w:rFonts w:ascii="Century Gothic" w:hAnsi="Century Gothic"/>
        </w:rPr>
        <w:t xml:space="preserve">para limitar las convocatorias a </w:t>
      </w:r>
      <w:r w:rsidR="00D17400" w:rsidRPr="00DD17C4">
        <w:rPr>
          <w:rFonts w:ascii="Century Gothic" w:hAnsi="Century Gothic"/>
        </w:rPr>
        <w:t>MiPymes</w:t>
      </w:r>
      <w:r w:rsidR="007700D3">
        <w:rPr>
          <w:rFonts w:ascii="Century Gothic" w:hAnsi="Century Gothic"/>
        </w:rPr>
        <w:t xml:space="preserve"> </w:t>
      </w:r>
      <w:r w:rsidR="00D17400">
        <w:rPr>
          <w:rFonts w:ascii="Century Gothic" w:hAnsi="Century Gothic"/>
        </w:rPr>
        <w:t xml:space="preserve">en los Procesos de Contratación </w:t>
      </w:r>
      <w:r w:rsidR="007700D3">
        <w:rPr>
          <w:rFonts w:ascii="Century Gothic" w:hAnsi="Century Gothic"/>
        </w:rPr>
        <w:t>para 2024</w:t>
      </w:r>
      <w:r w:rsidR="00916160" w:rsidRPr="00916160">
        <w:rPr>
          <w:rFonts w:ascii="Century Gothic" w:eastAsia="Century Gothic" w:hAnsi="Century Gothic" w:cs="Century Gothic"/>
        </w:rPr>
        <w:t>?</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2C46441E" w14:textId="4D71983E" w:rsidR="007700D3" w:rsidRPr="00DD17C4" w:rsidRDefault="007700D3" w:rsidP="007700D3">
            <w:pPr>
              <w:spacing w:line="276" w:lineRule="auto"/>
              <w:contextualSpacing/>
              <w:jc w:val="both"/>
              <w:rPr>
                <w:rFonts w:ascii="Century Gothic" w:hAnsi="Century Gothic"/>
              </w:rPr>
            </w:pPr>
            <w:r>
              <w:rPr>
                <w:rFonts w:ascii="Century Gothic" w:eastAsia="Calibri" w:hAnsi="Century Gothic" w:cs="Arial"/>
                <w:color w:val="000000" w:themeColor="text1"/>
              </w:rPr>
              <w:t xml:space="preserve">Se </w:t>
            </w:r>
            <w:r w:rsidRPr="00DD17C4">
              <w:rPr>
                <w:rFonts w:ascii="Century Gothic" w:hAnsi="Century Gothic"/>
              </w:rPr>
              <w:t xml:space="preserve">le informa que el 9 de febrero de 2024 fue actualizado el documento denominado </w:t>
            </w:r>
            <w:hyperlink r:id="rId12" w:history="1">
              <w:r w:rsidRPr="00DD17C4">
                <w:rPr>
                  <w:rFonts w:ascii="Century Gothic" w:hAnsi="Century Gothic"/>
                  <w:b/>
                  <w:bCs/>
                </w:rPr>
                <w:t xml:space="preserve">"Valores a partir de los cuales son aplicables los Acuerdos </w:t>
              </w:r>
              <w:r w:rsidRPr="00DD17C4">
                <w:rPr>
                  <w:rFonts w:ascii="Century Gothic" w:hAnsi="Century Gothic"/>
                  <w:b/>
                  <w:bCs/>
                </w:rPr>
                <w:lastRenderedPageBreak/>
                <w:t>Comerciales (Umbrales)"</w:t>
              </w:r>
            </w:hyperlink>
            <w:r w:rsidRPr="00DD17C4">
              <w:rPr>
                <w:rFonts w:ascii="Century Gothic" w:hAnsi="Century Gothic"/>
              </w:rPr>
              <w:t xml:space="preserve"> en el cual se relaciona el Umbral de Mi</w:t>
            </w:r>
            <w:r>
              <w:rPr>
                <w:rFonts w:ascii="Century Gothic" w:hAnsi="Century Gothic"/>
              </w:rPr>
              <w:t>P</w:t>
            </w:r>
            <w:r w:rsidRPr="00DD17C4">
              <w:rPr>
                <w:rFonts w:ascii="Century Gothic" w:hAnsi="Century Gothic"/>
              </w:rPr>
              <w:t>ymes</w:t>
            </w:r>
            <w:r>
              <w:rPr>
                <w:rFonts w:ascii="Century Gothic" w:hAnsi="Century Gothic"/>
              </w:rPr>
              <w:t xml:space="preserve"> para 2024,</w:t>
            </w:r>
            <w:r w:rsidRPr="00DD17C4">
              <w:rPr>
                <w:rFonts w:ascii="Century Gothic" w:hAnsi="Century Gothic"/>
              </w:rPr>
              <w:t xml:space="preserve"> así:  </w:t>
            </w:r>
          </w:p>
          <w:p w14:paraId="1EB00B8A" w14:textId="77777777" w:rsidR="007700D3" w:rsidRDefault="007700D3" w:rsidP="007700D3">
            <w:pPr>
              <w:spacing w:line="276" w:lineRule="auto"/>
              <w:contextualSpacing/>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7700D3" w:rsidRPr="00CF63CD" w14:paraId="2093200D" w14:textId="77777777" w:rsidTr="00167B1D">
              <w:trPr>
                <w:jc w:val="center"/>
              </w:trPr>
              <w:tc>
                <w:tcPr>
                  <w:tcW w:w="3550" w:type="dxa"/>
                  <w:gridSpan w:val="2"/>
                  <w:shd w:val="clear" w:color="auto" w:fill="D9E2F3" w:themeFill="accent1" w:themeFillTint="33"/>
                </w:tcPr>
                <w:p w14:paraId="62B78266" w14:textId="77777777" w:rsidR="007700D3" w:rsidRPr="00762CD5" w:rsidRDefault="007700D3" w:rsidP="007700D3">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5127805" w14:textId="77777777" w:rsidR="007700D3" w:rsidRPr="00762CD5" w:rsidRDefault="007700D3" w:rsidP="007700D3">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7700D3" w:rsidRPr="00CF63CD" w14:paraId="3E42D43B" w14:textId="77777777" w:rsidTr="00167B1D">
              <w:trPr>
                <w:jc w:val="center"/>
              </w:trPr>
              <w:tc>
                <w:tcPr>
                  <w:tcW w:w="1873" w:type="dxa"/>
                </w:tcPr>
                <w:p w14:paraId="47414A18" w14:textId="77777777" w:rsidR="007700D3" w:rsidRPr="00762CD5" w:rsidRDefault="007700D3" w:rsidP="007700D3">
                  <w:pPr>
                    <w:jc w:val="both"/>
                    <w:rPr>
                      <w:rFonts w:ascii="Work Sans" w:hAnsi="Work Sans" w:cs="Arial"/>
                      <w:szCs w:val="24"/>
                    </w:rPr>
                  </w:pPr>
                  <w:r w:rsidRPr="00762CD5">
                    <w:rPr>
                      <w:rFonts w:ascii="Work Sans" w:hAnsi="Work Sans" w:cs="Arial"/>
                      <w:szCs w:val="24"/>
                    </w:rPr>
                    <w:t>US$</w:t>
                  </w:r>
                </w:p>
              </w:tc>
              <w:tc>
                <w:tcPr>
                  <w:tcW w:w="1677" w:type="dxa"/>
                </w:tcPr>
                <w:p w14:paraId="2EC45D7A" w14:textId="77777777" w:rsidR="007700D3" w:rsidRPr="00762CD5" w:rsidRDefault="007700D3" w:rsidP="007700D3">
                  <w:pPr>
                    <w:jc w:val="right"/>
                    <w:rPr>
                      <w:rFonts w:ascii="Work Sans" w:hAnsi="Work Sans" w:cs="Arial"/>
                      <w:szCs w:val="24"/>
                    </w:rPr>
                  </w:pPr>
                  <w:r w:rsidRPr="00762CD5">
                    <w:rPr>
                      <w:rFonts w:ascii="Work Sans" w:hAnsi="Work Sans" w:cs="Arial"/>
                      <w:szCs w:val="24"/>
                    </w:rPr>
                    <w:t>125.000</w:t>
                  </w:r>
                </w:p>
              </w:tc>
            </w:tr>
            <w:tr w:rsidR="007700D3" w:rsidRPr="00CF63CD" w14:paraId="22C6FD5B" w14:textId="77777777" w:rsidTr="00167B1D">
              <w:trPr>
                <w:jc w:val="center"/>
              </w:trPr>
              <w:tc>
                <w:tcPr>
                  <w:tcW w:w="1873" w:type="dxa"/>
                </w:tcPr>
                <w:p w14:paraId="24D4BD24" w14:textId="77777777" w:rsidR="007700D3" w:rsidRPr="00762CD5" w:rsidRDefault="007700D3" w:rsidP="007700D3">
                  <w:pPr>
                    <w:jc w:val="both"/>
                    <w:rPr>
                      <w:rFonts w:ascii="Work Sans" w:hAnsi="Work Sans" w:cs="Arial"/>
                      <w:szCs w:val="24"/>
                    </w:rPr>
                  </w:pPr>
                  <w:r>
                    <w:rPr>
                      <w:rFonts w:ascii="Work Sans" w:hAnsi="Work Sans" w:cs="Arial"/>
                      <w:szCs w:val="24"/>
                    </w:rPr>
                    <w:t>COL$</w:t>
                  </w:r>
                </w:p>
              </w:tc>
              <w:tc>
                <w:tcPr>
                  <w:tcW w:w="1677" w:type="dxa"/>
                </w:tcPr>
                <w:p w14:paraId="1068E287" w14:textId="77777777" w:rsidR="007700D3" w:rsidRPr="00762CD5" w:rsidRDefault="007700D3" w:rsidP="007700D3">
                  <w:pPr>
                    <w:jc w:val="right"/>
                    <w:rPr>
                      <w:rFonts w:ascii="Work Sans" w:hAnsi="Work Sans" w:cs="Arial"/>
                      <w:szCs w:val="24"/>
                    </w:rPr>
                  </w:pPr>
                  <w:r>
                    <w:rPr>
                      <w:rFonts w:ascii="Work Sans" w:hAnsi="Work Sans" w:cs="Arial"/>
                      <w:b/>
                      <w:bCs/>
                      <w:szCs w:val="24"/>
                    </w:rPr>
                    <w:t>532.338.092</w:t>
                  </w:r>
                </w:p>
              </w:tc>
            </w:tr>
          </w:tbl>
          <w:p w14:paraId="46F25B42"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AA3CC97"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58EC9FFC" w14:textId="77777777" w:rsidR="007700D3" w:rsidRDefault="007700D3" w:rsidP="007700D3">
            <w:pPr>
              <w:spacing w:line="276" w:lineRule="auto"/>
              <w:contextualSpacing/>
              <w:jc w:val="both"/>
              <w:rPr>
                <w:rFonts w:ascii="Century Gothic" w:eastAsia="Calibri" w:hAnsi="Century Gothic" w:cs="Arial"/>
                <w:color w:val="000000" w:themeColor="text1"/>
              </w:rPr>
            </w:pPr>
            <w:r>
              <w:rPr>
                <w:rFonts w:ascii="Century Gothic" w:eastAsia="Calibri" w:hAnsi="Century Gothic" w:cs="Arial"/>
                <w:color w:val="000000" w:themeColor="text1"/>
              </w:rPr>
              <w:t xml:space="preserve">De igual forma, puede encontrar el documento completo en el siguiente enlace: </w:t>
            </w:r>
          </w:p>
          <w:p w14:paraId="08C26C4E" w14:textId="77777777" w:rsidR="007700D3" w:rsidRDefault="007700D3" w:rsidP="007700D3">
            <w:pPr>
              <w:spacing w:line="276" w:lineRule="auto"/>
              <w:contextualSpacing/>
              <w:jc w:val="both"/>
              <w:rPr>
                <w:rFonts w:ascii="Century Gothic" w:eastAsia="Calibri" w:hAnsi="Century Gothic" w:cs="Arial"/>
                <w:color w:val="000000" w:themeColor="text1"/>
              </w:rPr>
            </w:pPr>
          </w:p>
          <w:p w14:paraId="47AEB666" w14:textId="75A1A1A6" w:rsidR="00916160" w:rsidRPr="001F48DA" w:rsidRDefault="00000000" w:rsidP="008B7F31">
            <w:pPr>
              <w:spacing w:line="276" w:lineRule="auto"/>
              <w:contextualSpacing/>
              <w:jc w:val="both"/>
              <w:rPr>
                <w:rFonts w:ascii="Century Gothic" w:eastAsia="Calibri" w:hAnsi="Century Gothic" w:cs="Arial"/>
                <w:lang w:val="es-ES_tradnl" w:eastAsia="es-MX"/>
              </w:rPr>
            </w:pPr>
            <w:hyperlink r:id="rId13" w:history="1">
              <w:r w:rsidR="007700D3" w:rsidRPr="00864CBD">
                <w:rPr>
                  <w:rStyle w:val="Hipervnculo"/>
                  <w:rFonts w:ascii="Century Gothic" w:eastAsia="Calibri" w:hAnsi="Century Gothic" w:cs="Arial"/>
                </w:rPr>
                <w:t>https://www.colombiacompra.gov.co/sites/cce_public/files/files_2020/acutalizacion_umbrales_cce_2024.pdf</w:t>
              </w:r>
            </w:hyperlink>
            <w:r w:rsidR="001F48DA">
              <w:rPr>
                <w:rFonts w:ascii="Arial" w:eastAsia="Calibri" w:hAnsi="Arial" w:cs="Arial"/>
                <w:color w:val="000000" w:themeColor="text1"/>
                <w:lang w:val="es-ES_tradnl" w:eastAsia="es-CO"/>
              </w:rPr>
              <w:t xml:space="preserve">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16AC7B26" w14:textId="54C5D405" w:rsidR="00685FFD"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El artículo 5 del Decreto 1860 de 2021, que modificó el artículo 2.2.1.2.4.2.2 del Decreto 1082 de 2015, reglamentó los requisitos para realizar convocatorias limitadas a Mipyme nacionales que, por lo menos, tengan un (1) año de existencia. El primer requisito fija un tope cuantitativo de los procesos contractuales que son susceptibles de limitarse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El segundo requisito exige que al menos dos (2) Mipyme colombianas presenten a la Entidad Estatal la solicitud de limitar el proceso contractual; y, el tercer requisito establece que se haga la solicitud por lo menos un día (1) hábil antes de la expedición del acto administrativo de apertura del proceso de contratación. Además, la norma señala que, tratándose de personas jurídicas, las solicitudes solo las podrán realizar </w:t>
      </w:r>
      <w:r w:rsidRPr="008B7F31">
        <w:rPr>
          <w:rFonts w:ascii="Century Gothic" w:eastAsia="Calibri" w:hAnsi="Century Gothic" w:cs="Arial"/>
        </w:rPr>
        <w:lastRenderedPageBreak/>
        <w:t>Mipymes cuyo objeto social les permita ejecutar el contrato relacionado con el Proceso Contractual.</w:t>
      </w:r>
    </w:p>
    <w:p w14:paraId="1547CEF5" w14:textId="28428626"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Ahora bien, de conformidad con el parágrafo 1 del artículo 34 de la Ley 2069 de 2020, es posible limitar convocatorias a la participación de Mipymes “[…] del ámbito municipal o departamental correspondiente al de la ejecución del contrato”. Por su parte,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de comercio.</w:t>
      </w:r>
    </w:p>
    <w:p w14:paraId="1073A638" w14:textId="35A67FC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sidRPr="008B7F31">
        <w:rPr>
          <w:rFonts w:ascii="Century Gothic" w:eastAsia="Calibri" w:hAnsi="Century Gothic" w:cs="Arial"/>
        </w:rPr>
        <w:t xml:space="preserve">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r w:rsidRPr="008B7F31">
        <w:rPr>
          <w:rFonts w:ascii="Century Gothic" w:eastAsia="Calibri" w:hAnsi="Century Gothic" w:cs="Arial"/>
          <w:i/>
          <w:iCs/>
        </w:rPr>
        <w:t>motu propio</w:t>
      </w:r>
      <w:r w:rsidRPr="008B7F31">
        <w:rPr>
          <w:rFonts w:ascii="Century Gothic" w:eastAsia="Calibri" w:hAnsi="Century Gothic" w:cs="Arial"/>
        </w:rPr>
        <w:t xml:space="preserve">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w:t>
      </w:r>
      <w:r>
        <w:rPr>
          <w:rFonts w:ascii="Century Gothic" w:eastAsia="Calibri" w:hAnsi="Century Gothic" w:cs="Arial"/>
        </w:rPr>
        <w:t>numerales.</w:t>
      </w:r>
    </w:p>
    <w:p w14:paraId="0A3B24F7" w14:textId="0E059014" w:rsidR="008B7F31" w:rsidRPr="008B7F31" w:rsidRDefault="008B7F31" w:rsidP="008B7F31">
      <w:pPr>
        <w:pStyle w:val="Prrafodelista"/>
        <w:numPr>
          <w:ilvl w:val="0"/>
          <w:numId w:val="14"/>
        </w:numPr>
        <w:spacing w:after="0" w:line="276" w:lineRule="auto"/>
        <w:jc w:val="both"/>
        <w:rPr>
          <w:rFonts w:ascii="Century Gothic" w:eastAsia="Calibri" w:hAnsi="Century Gothic" w:cs="Arial"/>
          <w:lang w:val="es-ES"/>
        </w:rPr>
      </w:pPr>
      <w:r>
        <w:rPr>
          <w:rFonts w:ascii="Century Gothic" w:eastAsia="Calibri" w:hAnsi="Century Gothic" w:cs="Arial"/>
        </w:rPr>
        <w:t>E</w:t>
      </w:r>
      <w:r w:rsidRPr="008B7F31">
        <w:rPr>
          <w:rFonts w:ascii="Century Gothic" w:eastAsia="Calibri" w:hAnsi="Century Gothic" w:cs="Arial"/>
        </w:rPr>
        <w:t xml:space="preserv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w:t>
      </w:r>
      <w:r w:rsidRPr="008B7F31">
        <w:rPr>
          <w:rFonts w:ascii="Century Gothic" w:eastAsia="Calibri" w:hAnsi="Century Gothic" w:cs="Arial"/>
        </w:rPr>
        <w:lastRenderedPageBreak/>
        <w:t>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p>
    <w:p w14:paraId="76B2D1C1" w14:textId="4AB7A76D" w:rsidR="008B7F31" w:rsidRPr="008B7F31" w:rsidRDefault="00D17400" w:rsidP="008B7F31">
      <w:pPr>
        <w:pStyle w:val="Prrafodelista"/>
        <w:numPr>
          <w:ilvl w:val="0"/>
          <w:numId w:val="14"/>
        </w:numPr>
        <w:spacing w:after="0" w:line="276" w:lineRule="auto"/>
        <w:jc w:val="both"/>
        <w:rPr>
          <w:rFonts w:ascii="Century Gothic" w:hAnsi="Century Gothic"/>
        </w:rPr>
      </w:pPr>
      <w:r>
        <w:rPr>
          <w:rFonts w:ascii="Century Gothic" w:eastAsia="Calibri" w:hAnsi="Century Gothic" w:cs="Arial"/>
          <w:color w:val="000000" w:themeColor="text1"/>
        </w:rPr>
        <w:t>En este sentido e</w:t>
      </w:r>
      <w:r w:rsidR="008B7F31">
        <w:rPr>
          <w:rFonts w:ascii="Century Gothic" w:eastAsia="Calibri" w:hAnsi="Century Gothic" w:cs="Arial"/>
          <w:color w:val="000000" w:themeColor="text1"/>
        </w:rPr>
        <w:t xml:space="preserve">l </w:t>
      </w:r>
      <w:r w:rsidR="008B7F31" w:rsidRPr="008B7F31">
        <w:rPr>
          <w:rFonts w:ascii="Century Gothic" w:hAnsi="Century Gothic"/>
        </w:rPr>
        <w:t xml:space="preserve">9 de febrero de 2024 fue actualizado el documento denominado </w:t>
      </w:r>
      <w:hyperlink r:id="rId14" w:history="1">
        <w:r w:rsidR="008B7F31" w:rsidRPr="008B7F31">
          <w:rPr>
            <w:rFonts w:ascii="Century Gothic" w:hAnsi="Century Gothic"/>
            <w:b/>
            <w:bCs/>
          </w:rPr>
          <w:t>"Valores a partir de los cuales son aplicables los Acuerdos Comerciales (Umbrales)"</w:t>
        </w:r>
      </w:hyperlink>
      <w:r w:rsidR="008B7F31" w:rsidRPr="008B7F31">
        <w:rPr>
          <w:rFonts w:ascii="Century Gothic" w:hAnsi="Century Gothic"/>
        </w:rPr>
        <w:t xml:space="preserve"> en el cual se relaciona el Umbral de MiPymes para 2024, así:  </w:t>
      </w:r>
    </w:p>
    <w:p w14:paraId="4525BEDE"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tbl>
      <w:tblPr>
        <w:tblStyle w:val="Tablaconcuadrcula"/>
        <w:tblW w:w="0" w:type="auto"/>
        <w:jc w:val="center"/>
        <w:tblLook w:val="04A0" w:firstRow="1" w:lastRow="0" w:firstColumn="1" w:lastColumn="0" w:noHBand="0" w:noVBand="1"/>
      </w:tblPr>
      <w:tblGrid>
        <w:gridCol w:w="1873"/>
        <w:gridCol w:w="1677"/>
      </w:tblGrid>
      <w:tr w:rsidR="008B7F31" w:rsidRPr="00CF63CD" w14:paraId="7BC6FE62" w14:textId="77777777" w:rsidTr="00167B1D">
        <w:trPr>
          <w:jc w:val="center"/>
        </w:trPr>
        <w:tc>
          <w:tcPr>
            <w:tcW w:w="3550" w:type="dxa"/>
            <w:gridSpan w:val="2"/>
            <w:shd w:val="clear" w:color="auto" w:fill="D9E2F3" w:themeFill="accent1" w:themeFillTint="33"/>
          </w:tcPr>
          <w:p w14:paraId="541817E6" w14:textId="77777777" w:rsidR="008B7F31" w:rsidRPr="00762CD5" w:rsidRDefault="008B7F31" w:rsidP="00167B1D">
            <w:pPr>
              <w:jc w:val="center"/>
              <w:rPr>
                <w:rFonts w:ascii="Work Sans" w:hAnsi="Work Sans" w:cs="Arial"/>
                <w:b/>
                <w:bCs/>
                <w:szCs w:val="24"/>
              </w:rPr>
            </w:pPr>
            <w:r w:rsidRPr="00762CD5">
              <w:rPr>
                <w:rFonts w:ascii="Work Sans" w:hAnsi="Work Sans" w:cs="Arial"/>
                <w:b/>
                <w:bCs/>
              </w:rPr>
              <w:t>UMBRAL</w:t>
            </w:r>
            <w:r w:rsidRPr="00762CD5">
              <w:rPr>
                <w:rFonts w:ascii="Work Sans" w:hAnsi="Work Sans" w:cs="Arial"/>
                <w:b/>
                <w:bCs/>
                <w:szCs w:val="24"/>
              </w:rPr>
              <w:t xml:space="preserve"> </w:t>
            </w:r>
            <w:r>
              <w:rPr>
                <w:rFonts w:ascii="Work Sans" w:hAnsi="Work Sans" w:cs="Arial"/>
                <w:b/>
                <w:bCs/>
                <w:szCs w:val="24"/>
              </w:rPr>
              <w:t>DE MI</w:t>
            </w:r>
            <w:r w:rsidRPr="00762CD5">
              <w:rPr>
                <w:rFonts w:ascii="Work Sans" w:hAnsi="Work Sans" w:cs="Arial"/>
                <w:b/>
                <w:bCs/>
                <w:szCs w:val="24"/>
              </w:rPr>
              <w:t xml:space="preserve">PYMES </w:t>
            </w:r>
          </w:p>
          <w:p w14:paraId="3B59B6CF" w14:textId="77777777" w:rsidR="008B7F31" w:rsidRPr="00762CD5" w:rsidRDefault="008B7F31" w:rsidP="00167B1D">
            <w:pPr>
              <w:jc w:val="center"/>
              <w:rPr>
                <w:rFonts w:ascii="Work Sans" w:hAnsi="Work Sans" w:cs="Arial"/>
                <w:b/>
                <w:bCs/>
                <w:szCs w:val="24"/>
              </w:rPr>
            </w:pPr>
            <w:r w:rsidRPr="00762CD5">
              <w:rPr>
                <w:rFonts w:ascii="Work Sans" w:hAnsi="Work Sans" w:cs="Arial"/>
                <w:b/>
                <w:bCs/>
                <w:szCs w:val="24"/>
              </w:rPr>
              <w:t>202</w:t>
            </w:r>
            <w:r>
              <w:rPr>
                <w:rFonts w:ascii="Work Sans" w:hAnsi="Work Sans" w:cs="Arial"/>
                <w:b/>
                <w:bCs/>
                <w:szCs w:val="24"/>
              </w:rPr>
              <w:t>4</w:t>
            </w:r>
          </w:p>
        </w:tc>
      </w:tr>
      <w:tr w:rsidR="008B7F31" w:rsidRPr="00CF63CD" w14:paraId="795BA071" w14:textId="77777777" w:rsidTr="00167B1D">
        <w:trPr>
          <w:jc w:val="center"/>
        </w:trPr>
        <w:tc>
          <w:tcPr>
            <w:tcW w:w="1873" w:type="dxa"/>
          </w:tcPr>
          <w:p w14:paraId="1C19F7FB" w14:textId="77777777" w:rsidR="008B7F31" w:rsidRPr="00762CD5" w:rsidRDefault="008B7F31" w:rsidP="00167B1D">
            <w:pPr>
              <w:jc w:val="both"/>
              <w:rPr>
                <w:rFonts w:ascii="Work Sans" w:hAnsi="Work Sans" w:cs="Arial"/>
                <w:szCs w:val="24"/>
              </w:rPr>
            </w:pPr>
            <w:r w:rsidRPr="00762CD5">
              <w:rPr>
                <w:rFonts w:ascii="Work Sans" w:hAnsi="Work Sans" w:cs="Arial"/>
                <w:szCs w:val="24"/>
              </w:rPr>
              <w:t>US$</w:t>
            </w:r>
          </w:p>
        </w:tc>
        <w:tc>
          <w:tcPr>
            <w:tcW w:w="1677" w:type="dxa"/>
          </w:tcPr>
          <w:p w14:paraId="2B4B0DC2" w14:textId="77777777" w:rsidR="008B7F31" w:rsidRPr="00762CD5" w:rsidRDefault="008B7F31" w:rsidP="00167B1D">
            <w:pPr>
              <w:jc w:val="right"/>
              <w:rPr>
                <w:rFonts w:ascii="Work Sans" w:hAnsi="Work Sans" w:cs="Arial"/>
                <w:szCs w:val="24"/>
              </w:rPr>
            </w:pPr>
            <w:r w:rsidRPr="00762CD5">
              <w:rPr>
                <w:rFonts w:ascii="Work Sans" w:hAnsi="Work Sans" w:cs="Arial"/>
                <w:szCs w:val="24"/>
              </w:rPr>
              <w:t>125.000</w:t>
            </w:r>
          </w:p>
        </w:tc>
      </w:tr>
      <w:tr w:rsidR="008B7F31" w:rsidRPr="00CF63CD" w14:paraId="058440E0" w14:textId="77777777" w:rsidTr="00167B1D">
        <w:trPr>
          <w:jc w:val="center"/>
        </w:trPr>
        <w:tc>
          <w:tcPr>
            <w:tcW w:w="1873" w:type="dxa"/>
          </w:tcPr>
          <w:p w14:paraId="4B270E81" w14:textId="77777777" w:rsidR="008B7F31" w:rsidRPr="00762CD5" w:rsidRDefault="008B7F31" w:rsidP="00167B1D">
            <w:pPr>
              <w:jc w:val="both"/>
              <w:rPr>
                <w:rFonts w:ascii="Work Sans" w:hAnsi="Work Sans" w:cs="Arial"/>
                <w:szCs w:val="24"/>
              </w:rPr>
            </w:pPr>
            <w:r>
              <w:rPr>
                <w:rFonts w:ascii="Work Sans" w:hAnsi="Work Sans" w:cs="Arial"/>
                <w:szCs w:val="24"/>
              </w:rPr>
              <w:t>COL$</w:t>
            </w:r>
          </w:p>
        </w:tc>
        <w:tc>
          <w:tcPr>
            <w:tcW w:w="1677" w:type="dxa"/>
          </w:tcPr>
          <w:p w14:paraId="346443A8" w14:textId="77777777" w:rsidR="008B7F31" w:rsidRPr="00762CD5" w:rsidRDefault="008B7F31" w:rsidP="00167B1D">
            <w:pPr>
              <w:jc w:val="right"/>
              <w:rPr>
                <w:rFonts w:ascii="Work Sans" w:hAnsi="Work Sans" w:cs="Arial"/>
                <w:szCs w:val="24"/>
              </w:rPr>
            </w:pPr>
            <w:r>
              <w:rPr>
                <w:rFonts w:ascii="Work Sans" w:hAnsi="Work Sans" w:cs="Arial"/>
                <w:b/>
                <w:bCs/>
                <w:szCs w:val="24"/>
              </w:rPr>
              <w:t>532.338.092</w:t>
            </w:r>
          </w:p>
        </w:tc>
      </w:tr>
    </w:tbl>
    <w:p w14:paraId="3DB997BC"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2A81E753" w14:textId="77777777" w:rsidR="008B7F31" w:rsidRPr="008B7F31" w:rsidRDefault="008B7F31" w:rsidP="008B7F31">
      <w:pPr>
        <w:pStyle w:val="Prrafodelista"/>
        <w:spacing w:after="0" w:line="276" w:lineRule="auto"/>
        <w:jc w:val="both"/>
        <w:rPr>
          <w:rFonts w:ascii="Century Gothic" w:eastAsia="Calibri" w:hAnsi="Century Gothic" w:cs="Arial"/>
          <w:color w:val="000000" w:themeColor="text1"/>
        </w:rPr>
      </w:pP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029EE920"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5"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6"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688C30E7" w14:textId="1971F652"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lastRenderedPageBreak/>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w:t>
      </w:r>
      <w:r w:rsidR="00D17400" w:rsidRPr="00D17400">
        <w:t xml:space="preserve"> </w:t>
      </w:r>
      <w:r w:rsidR="00D17400" w:rsidRPr="00D17400">
        <w:rPr>
          <w:rFonts w:ascii="Century Gothic" w:eastAsia="Calibri" w:hAnsi="Century Gothic" w:cs="Arial"/>
          <w:color w:val="000000"/>
        </w:rPr>
        <w:t>Concepto 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 C-643 del 10 de octubre de 2022 y C-662 del 13 de octubre de 2022</w:t>
      </w:r>
      <w:r w:rsidR="00685FFD" w:rsidRPr="00685FFD">
        <w:rPr>
          <w:rFonts w:ascii="Century Gothic" w:eastAsia="Calibri" w:hAnsi="Century Gothic" w:cs="Arial"/>
          <w:color w:val="000000"/>
          <w:lang w:val="es-ES"/>
        </w:rPr>
        <w:t>, entre otros</w:t>
      </w:r>
      <w:r w:rsidRPr="00E43EBA">
        <w:rPr>
          <w:rFonts w:ascii="Century Gothic" w:eastAsia="Calibri" w:hAnsi="Century Gothic" w:cs="Arial"/>
          <w:color w:val="000000"/>
          <w:lang w:val="es-ES"/>
        </w:rPr>
        <w:t>.</w:t>
      </w:r>
      <w:r w:rsidR="00685FFD">
        <w:rPr>
          <w:rFonts w:ascii="Century Gothic" w:eastAsia="Calibri" w:hAnsi="Century Gothic" w:cs="Arial"/>
          <w:color w:val="000000"/>
          <w:lang w:val="es-ES"/>
        </w:rPr>
        <w:t xml:space="preserve"> </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7"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5384012E" w14:textId="77777777" w:rsidR="0031699C"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8"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18EB3FF" w14:textId="77777777" w:rsidR="0031699C" w:rsidRDefault="0031699C" w:rsidP="00871B59">
      <w:pPr>
        <w:widowControl w:val="0"/>
        <w:autoSpaceDE w:val="0"/>
        <w:autoSpaceDN w:val="0"/>
        <w:spacing w:after="0" w:line="276" w:lineRule="auto"/>
        <w:jc w:val="both"/>
        <w:rPr>
          <w:rFonts w:ascii="Century Gothic" w:hAnsi="Century Gothic" w:cs="Arial"/>
        </w:rPr>
      </w:pPr>
    </w:p>
    <w:p w14:paraId="35836F7A" w14:textId="07B2A4CB" w:rsidR="0031699C" w:rsidRDefault="0031699C" w:rsidP="00871B59">
      <w:pPr>
        <w:widowControl w:val="0"/>
        <w:autoSpaceDE w:val="0"/>
        <w:autoSpaceDN w:val="0"/>
        <w:spacing w:after="0" w:line="276" w:lineRule="auto"/>
        <w:jc w:val="both"/>
        <w:rPr>
          <w:rFonts w:ascii="Century Gothic" w:hAnsi="Century Gothic" w:cs="Arial"/>
        </w:rPr>
      </w:pPr>
      <w:r w:rsidRPr="0031699C">
        <w:rPr>
          <w:rFonts w:ascii="Century Gothic" w:hAnsi="Century Gothic" w:cs="Arial"/>
        </w:rPr>
        <w:t>También le recomendamos consultar las versiones I y II de 2024 del Boletín de Relatoría de la Subdirección de Gestión Contractual, las cuales puede descargar en la página web de la Agencia: </w:t>
      </w:r>
      <w:hyperlink r:id="rId19" w:tgtFrame="_blank" w:tooltip="Dirección URL original: https://www.colombiacompra.gov.co/sala-de-prensa/boletin-digital. Haga clic o pulse si confía en este vínculo." w:history="1">
        <w:r w:rsidRPr="0031699C">
          <w:rPr>
            <w:rStyle w:val="Hipervnculo"/>
            <w:rFonts w:ascii="Century Gothic" w:hAnsi="Century Gothic" w:cs="Arial"/>
          </w:rPr>
          <w:t>https://www.colombiacompra.gov.co/sala-de-prensa/boletin-digital</w:t>
        </w:r>
      </w:hyperlink>
      <w:r w:rsidRPr="0031699C">
        <w:rPr>
          <w:rFonts w:ascii="Century Gothic" w:hAnsi="Century Gothic" w:cs="Arial"/>
        </w:rPr>
        <w:t xml:space="preserve">. </w:t>
      </w:r>
    </w:p>
    <w:p w14:paraId="08421D77"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6B5CAA84" w:rsidR="00871B59" w:rsidRPr="00593A5F" w:rsidRDefault="005850E7"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5D068210" wp14:editId="5DB8803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4A957BB9" w:rsidR="007A7364" w:rsidRPr="00685FFD" w:rsidRDefault="00C415BF"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15BB0A43" w:rsidR="0031699C" w:rsidRPr="00685FFD" w:rsidRDefault="00D17400"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bookmarkEnd w:id="0"/>
    <w:p w14:paraId="0083C991" w14:textId="5C765C2F" w:rsidR="5D8505AD" w:rsidRPr="00871B59" w:rsidRDefault="5D8505AD" w:rsidP="00871B59"/>
    <w:sectPr w:rsidR="5D8505AD" w:rsidRPr="00871B59"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46602" w14:textId="77777777" w:rsidR="00C05303" w:rsidRDefault="00C05303" w:rsidP="00B30448">
      <w:pPr>
        <w:spacing w:after="0" w:line="240" w:lineRule="auto"/>
      </w:pPr>
      <w:r>
        <w:separator/>
      </w:r>
    </w:p>
  </w:endnote>
  <w:endnote w:type="continuationSeparator" w:id="0">
    <w:p w14:paraId="46FF0486" w14:textId="77777777" w:rsidR="00C05303" w:rsidRDefault="00C05303" w:rsidP="00B30448">
      <w:pPr>
        <w:spacing w:after="0" w:line="240" w:lineRule="auto"/>
      </w:pPr>
      <w:r>
        <w:continuationSeparator/>
      </w:r>
    </w:p>
  </w:endnote>
  <w:endnote w:type="continuationNotice" w:id="1">
    <w:p w14:paraId="58296A8A" w14:textId="77777777" w:rsidR="00C05303" w:rsidRDefault="00C05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476F5" w14:textId="77777777" w:rsidR="00C05303" w:rsidRDefault="00C05303" w:rsidP="00B30448">
      <w:pPr>
        <w:spacing w:after="0" w:line="240" w:lineRule="auto"/>
      </w:pPr>
      <w:r>
        <w:separator/>
      </w:r>
    </w:p>
  </w:footnote>
  <w:footnote w:type="continuationSeparator" w:id="0">
    <w:p w14:paraId="2A802538" w14:textId="77777777" w:rsidR="00C05303" w:rsidRDefault="00C05303" w:rsidP="00B30448">
      <w:pPr>
        <w:spacing w:after="0" w:line="240" w:lineRule="auto"/>
      </w:pPr>
      <w:r>
        <w:continuationSeparator/>
      </w:r>
    </w:p>
  </w:footnote>
  <w:footnote w:type="continuationNotice" w:id="1">
    <w:p w14:paraId="2E496B9C" w14:textId="77777777" w:rsidR="00C05303" w:rsidRDefault="00C053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1699C"/>
    <w:rsid w:val="0032756A"/>
    <w:rsid w:val="00334EF8"/>
    <w:rsid w:val="00336408"/>
    <w:rsid w:val="003376DC"/>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1D95"/>
    <w:rsid w:val="005139E7"/>
    <w:rsid w:val="005147DA"/>
    <w:rsid w:val="00515FB5"/>
    <w:rsid w:val="0052365C"/>
    <w:rsid w:val="005271EB"/>
    <w:rsid w:val="005426DB"/>
    <w:rsid w:val="00545489"/>
    <w:rsid w:val="0055082B"/>
    <w:rsid w:val="00552503"/>
    <w:rsid w:val="00552B57"/>
    <w:rsid w:val="00557DA1"/>
    <w:rsid w:val="00562FFA"/>
    <w:rsid w:val="0056322C"/>
    <w:rsid w:val="005850E7"/>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07877"/>
    <w:rsid w:val="0061690E"/>
    <w:rsid w:val="00627361"/>
    <w:rsid w:val="0063017E"/>
    <w:rsid w:val="00631B28"/>
    <w:rsid w:val="00645B90"/>
    <w:rsid w:val="00650991"/>
    <w:rsid w:val="006511D7"/>
    <w:rsid w:val="00663D75"/>
    <w:rsid w:val="00670AEF"/>
    <w:rsid w:val="00675678"/>
    <w:rsid w:val="00677012"/>
    <w:rsid w:val="006825B4"/>
    <w:rsid w:val="00682AF2"/>
    <w:rsid w:val="00685FFD"/>
    <w:rsid w:val="006864DF"/>
    <w:rsid w:val="006A3C8A"/>
    <w:rsid w:val="006A7552"/>
    <w:rsid w:val="006B5953"/>
    <w:rsid w:val="006B7A81"/>
    <w:rsid w:val="006C4BAC"/>
    <w:rsid w:val="006C52F3"/>
    <w:rsid w:val="006E1D19"/>
    <w:rsid w:val="006E7F37"/>
    <w:rsid w:val="006F3B81"/>
    <w:rsid w:val="006F4F79"/>
    <w:rsid w:val="00705B37"/>
    <w:rsid w:val="00711FD9"/>
    <w:rsid w:val="0071249B"/>
    <w:rsid w:val="0072628E"/>
    <w:rsid w:val="00735062"/>
    <w:rsid w:val="00746BA5"/>
    <w:rsid w:val="00751D23"/>
    <w:rsid w:val="00755E50"/>
    <w:rsid w:val="007700D3"/>
    <w:rsid w:val="00770577"/>
    <w:rsid w:val="00777666"/>
    <w:rsid w:val="00780EE2"/>
    <w:rsid w:val="0078159B"/>
    <w:rsid w:val="00782E10"/>
    <w:rsid w:val="0078706B"/>
    <w:rsid w:val="00790836"/>
    <w:rsid w:val="00797131"/>
    <w:rsid w:val="007A3C1D"/>
    <w:rsid w:val="007A7364"/>
    <w:rsid w:val="007B285D"/>
    <w:rsid w:val="007C6BC6"/>
    <w:rsid w:val="007D31A6"/>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B12B4"/>
    <w:rsid w:val="008B7914"/>
    <w:rsid w:val="008B7F31"/>
    <w:rsid w:val="008C5D2A"/>
    <w:rsid w:val="008C7AF4"/>
    <w:rsid w:val="008D529F"/>
    <w:rsid w:val="008F5CC8"/>
    <w:rsid w:val="009061B8"/>
    <w:rsid w:val="0091008B"/>
    <w:rsid w:val="00911EA2"/>
    <w:rsid w:val="009135DA"/>
    <w:rsid w:val="00916160"/>
    <w:rsid w:val="00916C7D"/>
    <w:rsid w:val="0092330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35E3"/>
    <w:rsid w:val="009E4885"/>
    <w:rsid w:val="00A07DB6"/>
    <w:rsid w:val="00A10A73"/>
    <w:rsid w:val="00A170B3"/>
    <w:rsid w:val="00A223D5"/>
    <w:rsid w:val="00A37D1C"/>
    <w:rsid w:val="00A5453E"/>
    <w:rsid w:val="00A556F1"/>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168B3"/>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05303"/>
    <w:rsid w:val="00C20ACF"/>
    <w:rsid w:val="00C22307"/>
    <w:rsid w:val="00C23469"/>
    <w:rsid w:val="00C30C62"/>
    <w:rsid w:val="00C371DF"/>
    <w:rsid w:val="00C415BF"/>
    <w:rsid w:val="00C42055"/>
    <w:rsid w:val="00C44B4C"/>
    <w:rsid w:val="00C46734"/>
    <w:rsid w:val="00C47A86"/>
    <w:rsid w:val="00C53220"/>
    <w:rsid w:val="00CA3347"/>
    <w:rsid w:val="00CC299A"/>
    <w:rsid w:val="00CD03E3"/>
    <w:rsid w:val="00CE4DAB"/>
    <w:rsid w:val="00CE6BDA"/>
    <w:rsid w:val="00CE7288"/>
    <w:rsid w:val="00D03DBE"/>
    <w:rsid w:val="00D072C0"/>
    <w:rsid w:val="00D17400"/>
    <w:rsid w:val="00D20D29"/>
    <w:rsid w:val="00D34C82"/>
    <w:rsid w:val="00D3757A"/>
    <w:rsid w:val="00D504A9"/>
    <w:rsid w:val="00D5206D"/>
    <w:rsid w:val="00D67B32"/>
    <w:rsid w:val="00D7177D"/>
    <w:rsid w:val="00D81311"/>
    <w:rsid w:val="00DB201E"/>
    <w:rsid w:val="00DC0E68"/>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247FB"/>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acutalizacion_umbrales_cce_2024.pdf" TargetMode="External"/><Relationship Id="rId18" Type="http://schemas.openxmlformats.org/officeDocument/2006/relationships/hyperlink" Target="https://www.colombiacompra.gov.co/sala-de-prensa/boletin-digit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olombiacompra.gov.co/sites/cce_public/files/files_2020/acutalizacion_umbrales_cce_2024.pdf"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amp;data=05%7C02%7Cmartha.romero%40colombiacompra.gov.co%7Ca5385b6e6e634a6b840208dca5c36dc1%7C7b09041e245149d08cb179d5e3d8c1be%7C0%7C0%7C638567505997032573%7CUnknown%7CTWFpbGZsb3d8eyJWIjoiMC4wLjAwMDAiLCJQIjoiV2luMzIiLCJBTiI6Ik1haWwiLCJXVCI6Mn0%3D%7C0%7C%7C%7C&amp;sdata=j4ImOtt5uUfNvC%2F1zxNkaxTRx9T0X%2FcdFXai6dbYw3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acutalizacion_umbrales_cce_2024.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2348</Words>
  <Characters>12918</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4</cp:revision>
  <dcterms:created xsi:type="dcterms:W3CDTF">2024-07-26T16:20:00Z</dcterms:created>
  <dcterms:modified xsi:type="dcterms:W3CDTF">2024-07-30T22:52:00Z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