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697A76" w:rsidRDefault="00B55C69" w:rsidP="008536BB">
      <w:pPr>
        <w:jc w:val="right"/>
        <w:rPr>
          <w:rFonts w:ascii="Arial" w:eastAsia="Calibri" w:hAnsi="Arial" w:cs="Arial"/>
          <w:b/>
          <w:sz w:val="20"/>
          <w:szCs w:val="20"/>
          <w:lang w:val="es-ES_tradnl"/>
        </w:rPr>
      </w:pPr>
      <w:bookmarkStart w:id="0" w:name="_Hlk28946138"/>
      <w:bookmarkStart w:id="1" w:name="_Hlk29548183"/>
      <w:r w:rsidRPr="00697A76">
        <w:rPr>
          <w:rFonts w:ascii="Arial" w:hAnsi="Arial" w:cs="Arial"/>
          <w:bCs/>
          <w:sz w:val="16"/>
          <w:szCs w:val="16"/>
          <w:lang w:val="es-ES_tradnl" w:eastAsia="es-ES"/>
        </w:rPr>
        <w:t>CCE-DES-FM-17</w:t>
      </w:r>
      <w:bookmarkEnd w:id="0"/>
      <w:bookmarkEnd w:id="1"/>
    </w:p>
    <w:p w14:paraId="153DCCCC" w14:textId="77777777" w:rsidR="00DB5767" w:rsidRPr="00697A76" w:rsidRDefault="00DB5767" w:rsidP="00C978D4">
      <w:pPr>
        <w:jc w:val="both"/>
        <w:rPr>
          <w:rFonts w:ascii="Arial" w:hAnsi="Arial" w:cs="Arial"/>
          <w:noProof/>
          <w:sz w:val="22"/>
          <w:lang w:val="es-ES_tradnl"/>
        </w:rPr>
      </w:pPr>
    </w:p>
    <w:p w14:paraId="6800B5BA" w14:textId="77777777" w:rsidR="00B01966" w:rsidRPr="00697A76" w:rsidRDefault="00B01966" w:rsidP="00B01966">
      <w:pPr>
        <w:jc w:val="both"/>
        <w:rPr>
          <w:rFonts w:ascii="Arial" w:eastAsia="Calibri" w:hAnsi="Arial" w:cs="Arial"/>
          <w:b/>
          <w:sz w:val="22"/>
          <w:lang w:val="es-ES_tradnl"/>
        </w:rPr>
      </w:pPr>
      <w:r w:rsidRPr="00697A76">
        <w:rPr>
          <w:rFonts w:ascii="Arial" w:eastAsia="Calibri" w:hAnsi="Arial" w:cs="Arial"/>
          <w:b/>
          <w:sz w:val="22"/>
          <w:lang w:val="es-ES_tradnl"/>
        </w:rPr>
        <w:t>DOCUMENTOS TIPO – Fundamento normativo – Ley 2022 de 2020</w:t>
      </w:r>
    </w:p>
    <w:p w14:paraId="7E489DEC" w14:textId="77777777" w:rsidR="00B01966" w:rsidRPr="00697A76" w:rsidRDefault="00B01966" w:rsidP="00B01966">
      <w:pPr>
        <w:jc w:val="both"/>
        <w:rPr>
          <w:rFonts w:ascii="Arial" w:eastAsia="Calibri" w:hAnsi="Arial" w:cs="Arial"/>
          <w:b/>
          <w:sz w:val="22"/>
          <w:lang w:val="es-ES_tradnl"/>
        </w:rPr>
      </w:pPr>
    </w:p>
    <w:p w14:paraId="42DF6284" w14:textId="68637A12" w:rsidR="00B01966" w:rsidRPr="00697A76" w:rsidRDefault="00721B21" w:rsidP="00B01966">
      <w:pPr>
        <w:jc w:val="both"/>
        <w:rPr>
          <w:rFonts w:ascii="Arial" w:eastAsia="Calibri" w:hAnsi="Arial" w:cs="Arial"/>
          <w:sz w:val="20"/>
          <w:szCs w:val="20"/>
          <w:lang w:val="es-ES_tradnl"/>
        </w:rPr>
      </w:pPr>
      <w:r>
        <w:rPr>
          <w:rFonts w:ascii="Arial" w:eastAsia="Calibri" w:hAnsi="Arial" w:cs="Arial"/>
          <w:sz w:val="20"/>
          <w:szCs w:val="20"/>
          <w:lang w:val="es-ES_tradnl"/>
        </w:rPr>
        <w:t>C</w:t>
      </w:r>
      <w:r w:rsidRPr="00721B21">
        <w:rPr>
          <w:rFonts w:ascii="Arial" w:eastAsia="Calibri" w:hAnsi="Arial" w:cs="Arial"/>
          <w:sz w:val="20"/>
          <w:szCs w:val="20"/>
          <w:lang w:val="es-ES_tradnl"/>
        </w:rPr>
        <w:t>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a la Agencia Nacional de Contratación Pública – Colombia Compra Eficiente la competencia para su expedición. 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0ED33E7E" w14:textId="77777777" w:rsidR="00B01966" w:rsidRPr="00697A76" w:rsidRDefault="00B01966" w:rsidP="00B01966">
      <w:pPr>
        <w:jc w:val="both"/>
        <w:rPr>
          <w:rFonts w:ascii="Arial" w:eastAsia="Calibri" w:hAnsi="Arial" w:cs="Arial"/>
          <w:sz w:val="20"/>
          <w:szCs w:val="20"/>
          <w:lang w:val="es-ES_tradnl"/>
        </w:rPr>
      </w:pPr>
    </w:p>
    <w:p w14:paraId="591127C3" w14:textId="77777777" w:rsidR="00B01966" w:rsidRPr="00697A76" w:rsidRDefault="00B01966" w:rsidP="00B01966">
      <w:pPr>
        <w:jc w:val="both"/>
        <w:rPr>
          <w:rFonts w:ascii="Arial" w:eastAsia="Calibri" w:hAnsi="Arial" w:cs="Arial"/>
          <w:sz w:val="20"/>
          <w:szCs w:val="20"/>
          <w:lang w:val="es-ES_tradnl"/>
        </w:rPr>
      </w:pPr>
      <w:r w:rsidRPr="00697A76">
        <w:rPr>
          <w:rFonts w:ascii="Arial" w:eastAsia="Calibri" w:hAnsi="Arial" w:cs="Arial"/>
          <w:b/>
          <w:sz w:val="22"/>
          <w:lang w:val="es-ES_tradnl"/>
        </w:rPr>
        <w:t>DOCUMENTOS TIPO – Ámbito de aplicación</w:t>
      </w:r>
    </w:p>
    <w:p w14:paraId="022F4254" w14:textId="77777777" w:rsidR="00B01966" w:rsidRPr="00697A76" w:rsidRDefault="00B01966" w:rsidP="00B01966">
      <w:pPr>
        <w:jc w:val="both"/>
        <w:rPr>
          <w:rFonts w:ascii="Arial" w:eastAsia="Calibri" w:hAnsi="Arial" w:cs="Arial"/>
          <w:sz w:val="20"/>
          <w:szCs w:val="20"/>
          <w:lang w:val="es-ES_tradnl"/>
        </w:rPr>
      </w:pPr>
    </w:p>
    <w:p w14:paraId="6A1045DD" w14:textId="1C20EF86" w:rsidR="00B01966" w:rsidRPr="00697A76" w:rsidRDefault="00593497" w:rsidP="00B01966">
      <w:pPr>
        <w:jc w:val="both"/>
        <w:rPr>
          <w:rFonts w:ascii="Arial" w:eastAsia="Calibri" w:hAnsi="Arial" w:cs="Arial"/>
          <w:sz w:val="20"/>
          <w:szCs w:val="20"/>
          <w:lang w:val="es-ES_tradnl"/>
        </w:rPr>
      </w:pPr>
      <w:r w:rsidRPr="00593497">
        <w:rPr>
          <w:rFonts w:ascii="Arial" w:eastAsia="Calibri" w:hAnsi="Arial" w:cs="Arial"/>
          <w:sz w:val="20"/>
          <w:szCs w:val="20"/>
          <w:lang w:val="es-ES_tradnl"/>
        </w:rPr>
        <w:t>En cuanto al ámbito de aplicación de estos documentos, es preciso explicar que cada una de estas resoluciones está relacionada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0D5515B8" w14:textId="77777777" w:rsidR="00B01966" w:rsidRPr="00697A76" w:rsidRDefault="00B01966" w:rsidP="00B01966">
      <w:pPr>
        <w:jc w:val="both"/>
        <w:rPr>
          <w:rFonts w:ascii="Arial" w:eastAsia="Calibri" w:hAnsi="Arial" w:cs="Arial"/>
          <w:sz w:val="20"/>
          <w:szCs w:val="20"/>
          <w:lang w:val="es-ES_tradnl"/>
        </w:rPr>
      </w:pPr>
    </w:p>
    <w:p w14:paraId="142EE393" w14:textId="2863F27E" w:rsidR="00B01966" w:rsidRPr="00697A76" w:rsidRDefault="00B01966" w:rsidP="00B01966">
      <w:pPr>
        <w:jc w:val="both"/>
        <w:rPr>
          <w:rFonts w:ascii="Arial" w:eastAsia="Calibri" w:hAnsi="Arial" w:cs="Arial"/>
          <w:b/>
          <w:sz w:val="22"/>
          <w:lang w:val="es-ES_tradnl"/>
        </w:rPr>
      </w:pPr>
      <w:r w:rsidRPr="00697A76">
        <w:rPr>
          <w:rFonts w:ascii="Arial" w:eastAsia="Calibri" w:hAnsi="Arial" w:cs="Arial"/>
          <w:b/>
          <w:sz w:val="22"/>
          <w:lang w:val="es-ES_tradnl"/>
        </w:rPr>
        <w:t xml:space="preserve">LEY 2195 DE 2022 – Artículo 56 – </w:t>
      </w:r>
      <w:r w:rsidR="0013552F">
        <w:rPr>
          <w:rFonts w:ascii="Arial" w:eastAsia="Calibri" w:hAnsi="Arial" w:cs="Arial"/>
          <w:b/>
          <w:sz w:val="22"/>
          <w:lang w:val="es-ES_tradnl"/>
        </w:rPr>
        <w:t>Entidades estatales de régimen especial o exceptuado</w:t>
      </w:r>
      <w:r w:rsidRPr="00697A76">
        <w:rPr>
          <w:rFonts w:ascii="Arial" w:eastAsia="Calibri" w:hAnsi="Arial" w:cs="Arial"/>
          <w:b/>
          <w:sz w:val="22"/>
          <w:lang w:val="es-ES_tradnl"/>
        </w:rPr>
        <w:t xml:space="preserve"> – Documentos tipo – Estatuto General de Contratación de la Administración Pública</w:t>
      </w:r>
    </w:p>
    <w:p w14:paraId="65DD4CED" w14:textId="77777777" w:rsidR="00B01966" w:rsidRPr="00697A76" w:rsidRDefault="00B01966" w:rsidP="00B01966">
      <w:pPr>
        <w:jc w:val="both"/>
        <w:rPr>
          <w:rFonts w:ascii="Arial" w:eastAsia="Calibri" w:hAnsi="Arial" w:cs="Arial"/>
          <w:b/>
          <w:sz w:val="22"/>
          <w:lang w:val="es-ES_tradnl"/>
        </w:rPr>
      </w:pPr>
    </w:p>
    <w:p w14:paraId="75DD07B8" w14:textId="4AA1D320" w:rsidR="00B01966" w:rsidRPr="00697A76" w:rsidRDefault="0083415D" w:rsidP="00B01966">
      <w:pPr>
        <w:jc w:val="both"/>
        <w:rPr>
          <w:rFonts w:ascii="Arial" w:eastAsia="Calibri" w:hAnsi="Arial" w:cs="Arial"/>
          <w:bCs/>
          <w:sz w:val="20"/>
          <w:szCs w:val="22"/>
          <w:lang w:val="es-ES_tradnl"/>
        </w:rPr>
      </w:pPr>
      <w:r w:rsidRPr="0083415D">
        <w:rPr>
          <w:rFonts w:ascii="Arial" w:eastAsia="Calibri" w:hAnsi="Arial" w:cs="Arial"/>
          <w:bCs/>
          <w:sz w:val="20"/>
          <w:szCs w:val="22"/>
          <w:lang w:val="es-ES_tradnl"/>
        </w:rPr>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B7E2610" w14:textId="77777777" w:rsidR="00B01966" w:rsidRPr="00697A76" w:rsidRDefault="00B01966" w:rsidP="00B01966">
      <w:pPr>
        <w:spacing w:line="276" w:lineRule="auto"/>
        <w:jc w:val="both"/>
        <w:rPr>
          <w:rFonts w:ascii="Arial" w:hAnsi="Arial" w:cs="Arial"/>
          <w:noProof/>
          <w:sz w:val="22"/>
          <w:lang w:val="es-ES_tradnl"/>
        </w:rPr>
      </w:pPr>
    </w:p>
    <w:p w14:paraId="66710256" w14:textId="77777777" w:rsidR="00B01966" w:rsidRPr="00697A76" w:rsidRDefault="00B01966" w:rsidP="00B01966">
      <w:pPr>
        <w:tabs>
          <w:tab w:val="left" w:pos="0"/>
        </w:tabs>
        <w:spacing w:after="120" w:line="276" w:lineRule="auto"/>
        <w:jc w:val="both"/>
        <w:rPr>
          <w:rFonts w:ascii="Arial" w:eastAsia="Calibri" w:hAnsi="Arial" w:cs="Arial"/>
          <w:bCs/>
          <w:sz w:val="22"/>
          <w:lang w:val="es-ES_tradnl"/>
        </w:rPr>
      </w:pPr>
      <w:r w:rsidRPr="00697A76">
        <w:rPr>
          <w:rFonts w:ascii="Arial" w:eastAsia="Calibri" w:hAnsi="Arial" w:cs="Arial"/>
          <w:b/>
          <w:sz w:val="22"/>
          <w:lang w:val="es-ES_tradnl"/>
        </w:rPr>
        <w:t xml:space="preserve">LEY 2195 DE 2022 – Artículo 56 – Parágrafo – Excepciones </w:t>
      </w:r>
    </w:p>
    <w:p w14:paraId="6A817176" w14:textId="13833D8B" w:rsidR="00B20C79" w:rsidRPr="00B20C79" w:rsidRDefault="00B20C79" w:rsidP="00B20C79">
      <w:pPr>
        <w:tabs>
          <w:tab w:val="left" w:pos="0"/>
        </w:tabs>
        <w:jc w:val="both"/>
        <w:rPr>
          <w:rFonts w:ascii="Arial" w:eastAsia="Calibri" w:hAnsi="Arial" w:cs="Arial"/>
          <w:bCs/>
          <w:sz w:val="20"/>
          <w:szCs w:val="22"/>
          <w:lang w:val="es-ES_tradnl"/>
        </w:rPr>
      </w:pPr>
      <w:r>
        <w:rPr>
          <w:rFonts w:ascii="Arial" w:eastAsia="Calibri" w:hAnsi="Arial" w:cs="Arial"/>
          <w:bCs/>
          <w:sz w:val="20"/>
          <w:szCs w:val="22"/>
          <w:lang w:val="es-ES_tradnl"/>
        </w:rPr>
        <w:t>[…]</w:t>
      </w:r>
      <w:r w:rsidR="00B01966" w:rsidRPr="00697A76">
        <w:rPr>
          <w:rFonts w:ascii="Arial" w:eastAsia="Calibri" w:hAnsi="Arial" w:cs="Arial"/>
          <w:bCs/>
          <w:sz w:val="20"/>
          <w:szCs w:val="22"/>
          <w:lang w:val="es-ES_tradnl"/>
        </w:rPr>
        <w:t xml:space="preserve"> </w:t>
      </w:r>
      <w:r w:rsidRPr="00B20C79">
        <w:rPr>
          <w:rFonts w:ascii="Arial" w:eastAsia="Calibri" w:hAnsi="Arial" w:cs="Arial"/>
          <w:bCs/>
          <w:sz w:val="20"/>
          <w:szCs w:val="22"/>
          <w:lang w:val="es-ES_tradnl"/>
        </w:rPr>
        <w:t xml:space="preserve">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De acuerdo con lo señalado, en el marco del parágrafo del artículo 56, el giro ordinario es un concepto jurídico indeterminado, cuya concreción debe realizarse en cada </w:t>
      </w:r>
      <w:r w:rsidRPr="00B20C79">
        <w:rPr>
          <w:rFonts w:ascii="Arial" w:eastAsia="Calibri" w:hAnsi="Arial" w:cs="Arial"/>
          <w:bCs/>
          <w:sz w:val="20"/>
          <w:szCs w:val="22"/>
          <w:lang w:val="es-ES_tradnl"/>
        </w:rPr>
        <w:lastRenderedPageBreak/>
        <w:t>caso en particular, y que, de conformidad con la jurisprudencia contencioso-administrativa y el derecho societario, comprende todas aquellas actividades asociadas a la gestión habitual de una sociedad comercial, una empresa o una entidad pública, que guarden consonancia con su objeto social. En consecuencia, cada una de las entidades señaladas en el parágrafo del artículo 56, incluyendo las Empresas Sociales del Estado, debe verificar cuáles son aquellas actividades que hacen parte de su giro ordinario y cuáles no, con el fin de validar la aplicación de la excepción de que trata el parágrafo del artículo 56 de la Ley 2195 de 2022.</w:t>
      </w:r>
    </w:p>
    <w:p w14:paraId="3AC61C60" w14:textId="77777777" w:rsidR="006423AF" w:rsidRDefault="006423AF" w:rsidP="00B20C79">
      <w:pPr>
        <w:tabs>
          <w:tab w:val="left" w:pos="0"/>
        </w:tabs>
        <w:jc w:val="both"/>
        <w:rPr>
          <w:rFonts w:ascii="Arial" w:eastAsia="Calibri" w:hAnsi="Arial" w:cs="Arial"/>
          <w:bCs/>
          <w:sz w:val="20"/>
          <w:szCs w:val="22"/>
          <w:lang w:val="es-ES_tradnl"/>
        </w:rPr>
      </w:pPr>
    </w:p>
    <w:p w14:paraId="18738B77" w14:textId="2D6FF2E6" w:rsidR="00B01966" w:rsidRPr="00697A76" w:rsidRDefault="00B20C79" w:rsidP="00B20C79">
      <w:pPr>
        <w:tabs>
          <w:tab w:val="left" w:pos="0"/>
        </w:tabs>
        <w:jc w:val="both"/>
        <w:rPr>
          <w:rFonts w:ascii="Arial" w:eastAsia="Calibri" w:hAnsi="Arial" w:cs="Arial"/>
          <w:bCs/>
          <w:sz w:val="20"/>
          <w:szCs w:val="22"/>
          <w:lang w:val="es-ES_tradnl"/>
        </w:rPr>
      </w:pPr>
      <w:r w:rsidRPr="00B20C79">
        <w:rPr>
          <w:rFonts w:ascii="Arial" w:eastAsia="Calibri" w:hAnsi="Arial" w:cs="Arial"/>
          <w:bCs/>
          <w:sz w:val="20"/>
          <w:szCs w:val="22"/>
          <w:lang w:val="es-ES_tradnl"/>
        </w:rPr>
        <w:t xml:space="preserve">De acuerdo con esto, el artículo 56 de la Ley 2195 de 2021, se limita a hacer extensiva la aplicación del Estatuto General de Contratación de la Administración Pública y de los documentos tipo a los contratos celebrados por entidades estatales de régimen especial o exceptuado, los patrimonios autónomos, las personas naturales y jurídicas de derecho privado, con ocasión de compromisos derivados de contratos o convenios con entidades sometidas. Esto significa que la norma no modifica todo el régimen jurídico de los mencionados tipos de entidades, sino que les aplica el régimen de contratación estatal bajo las precisas circunstancias analizadas en este concepto.  </w:t>
      </w:r>
    </w:p>
    <w:p w14:paraId="23BA0F20" w14:textId="77777777" w:rsidR="00B01966" w:rsidRPr="00697A76" w:rsidRDefault="00B01966" w:rsidP="00B01966">
      <w:pPr>
        <w:spacing w:line="276" w:lineRule="auto"/>
        <w:jc w:val="both"/>
        <w:rPr>
          <w:rFonts w:ascii="Arial" w:hAnsi="Arial" w:cs="Arial"/>
          <w:noProof/>
          <w:sz w:val="22"/>
          <w:lang w:val="es-ES_tradnl"/>
        </w:rPr>
      </w:pPr>
    </w:p>
    <w:p w14:paraId="33E30FA0" w14:textId="57D90B21" w:rsidR="00B01966" w:rsidRPr="00697A76" w:rsidRDefault="00B01966" w:rsidP="00B01966">
      <w:pPr>
        <w:tabs>
          <w:tab w:val="left" w:pos="0"/>
        </w:tabs>
        <w:spacing w:line="276" w:lineRule="auto"/>
        <w:jc w:val="both"/>
        <w:rPr>
          <w:rFonts w:ascii="Arial" w:eastAsia="Calibri" w:hAnsi="Arial" w:cs="Arial"/>
          <w:bCs/>
          <w:sz w:val="22"/>
          <w:lang w:val="es-ES_tradnl"/>
        </w:rPr>
      </w:pPr>
      <w:r w:rsidRPr="00697A76">
        <w:rPr>
          <w:rFonts w:ascii="Arial" w:eastAsia="Calibri" w:hAnsi="Arial" w:cs="Arial"/>
          <w:b/>
          <w:sz w:val="22"/>
          <w:lang w:val="es-ES_tradnl"/>
        </w:rPr>
        <w:t xml:space="preserve">LEY 2195 DE 2022 – Artículo 56 – Parágrafo – Giro ordinario – </w:t>
      </w:r>
      <w:r w:rsidR="0013552F">
        <w:rPr>
          <w:rFonts w:ascii="Arial" w:eastAsia="Calibri" w:hAnsi="Arial" w:cs="Arial"/>
          <w:b/>
          <w:sz w:val="22"/>
          <w:lang w:val="es-ES_tradnl"/>
        </w:rPr>
        <w:t>Objeto social</w:t>
      </w:r>
    </w:p>
    <w:p w14:paraId="28DB2E2A" w14:textId="77777777" w:rsidR="00B01966" w:rsidRPr="00697A76" w:rsidRDefault="00B01966" w:rsidP="00B01966">
      <w:pPr>
        <w:jc w:val="both"/>
        <w:rPr>
          <w:rFonts w:ascii="Arial" w:hAnsi="Arial" w:cs="Arial"/>
          <w:noProof/>
          <w:sz w:val="22"/>
          <w:lang w:val="es-ES_tradnl"/>
        </w:rPr>
      </w:pPr>
    </w:p>
    <w:p w14:paraId="5F0FF442" w14:textId="099A9E72" w:rsidR="00FF3726" w:rsidRDefault="00FF3726" w:rsidP="00FF3726">
      <w:pPr>
        <w:jc w:val="both"/>
        <w:rPr>
          <w:rFonts w:ascii="Arial" w:hAnsi="Arial" w:cs="Arial"/>
          <w:noProof/>
          <w:sz w:val="20"/>
          <w:szCs w:val="20"/>
          <w:lang w:val="es-ES_tradnl"/>
        </w:rPr>
      </w:pPr>
      <w:r w:rsidRPr="00FF3726">
        <w:rPr>
          <w:rFonts w:ascii="Arial" w:hAnsi="Arial" w:cs="Arial"/>
          <w:noProof/>
          <w:sz w:val="20"/>
          <w:szCs w:val="20"/>
          <w:lang w:val="es-ES_tradnl"/>
        </w:rPr>
        <w:t xml:space="preserve">De acuerdo con estas consideraciones, no hay una plena equivalencia entre las actividades que hacen parte del desarrollo del objeto social y las que comprenden el giro ordinario, pues, como precisa la Superintendencia de Sociedades, entre lo que designan estas categorías existe una relación de género a especie. </w:t>
      </w:r>
    </w:p>
    <w:p w14:paraId="0BBD23CE" w14:textId="77777777" w:rsidR="00FF3726" w:rsidRPr="00FF3726" w:rsidRDefault="00FF3726" w:rsidP="00FF3726">
      <w:pPr>
        <w:jc w:val="both"/>
        <w:rPr>
          <w:rFonts w:ascii="Arial" w:hAnsi="Arial" w:cs="Arial"/>
          <w:noProof/>
          <w:sz w:val="20"/>
          <w:szCs w:val="20"/>
          <w:lang w:val="es-ES_tradnl"/>
        </w:rPr>
      </w:pPr>
    </w:p>
    <w:p w14:paraId="3FCFE375" w14:textId="721345A3" w:rsidR="00B01966" w:rsidRDefault="00FF3726" w:rsidP="00FF3726">
      <w:pPr>
        <w:jc w:val="both"/>
        <w:rPr>
          <w:rFonts w:ascii="Arial" w:hAnsi="Arial" w:cs="Arial"/>
          <w:noProof/>
          <w:sz w:val="20"/>
          <w:szCs w:val="20"/>
          <w:lang w:val="es-ES_tradnl"/>
        </w:rPr>
      </w:pPr>
      <w:r w:rsidRPr="00FF3726">
        <w:rPr>
          <w:rFonts w:ascii="Arial" w:hAnsi="Arial" w:cs="Arial"/>
          <w:noProof/>
          <w:sz w:val="20"/>
          <w:szCs w:val="20"/>
          <w:lang w:val="es-ES_tradnl"/>
        </w:rPr>
        <w:t>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giro ordinario en dicha norma se usa para designar a la contratación directamente relacionada con los asuntos de la gestión habitual u ordinaria de los tipos de entidades mencionadas en el parágrafo. No obstante, la determinación de las actividades que comprenden el giro ordinario es un asunto que debe establecerse en cada caso concreto por parte de las entidades estatales –analizando lo establecido en sus actos de creación y verificando los negocios habituales u ordinarios que desarrollan–, pues el parágrafo del artículo 56 ejusdem se limita a enunciar algunos tipos de entidades estatales, las cuales no solo difieren en su naturaleza jurídica, sino también en las actividades que realizan.</w:t>
      </w:r>
    </w:p>
    <w:p w14:paraId="41C7F13A" w14:textId="77777777" w:rsidR="00A629B1" w:rsidRPr="00ED5684" w:rsidRDefault="00A629B1" w:rsidP="00B01966">
      <w:pPr>
        <w:jc w:val="both"/>
        <w:rPr>
          <w:rFonts w:ascii="Arial" w:hAnsi="Arial" w:cs="Arial"/>
          <w:noProof/>
          <w:sz w:val="22"/>
          <w:szCs w:val="22"/>
          <w:lang w:val="es-ES_tradnl"/>
        </w:rPr>
      </w:pPr>
    </w:p>
    <w:p w14:paraId="24A7FC60" w14:textId="3A55435F" w:rsidR="002412BC" w:rsidRPr="00A629B1" w:rsidRDefault="006C2681" w:rsidP="00B95C30">
      <w:pPr>
        <w:spacing w:line="276" w:lineRule="auto"/>
        <w:jc w:val="both"/>
        <w:rPr>
          <w:rFonts w:ascii="Arial" w:hAnsi="Arial" w:cs="Arial"/>
          <w:b/>
          <w:bCs/>
          <w:noProof/>
          <w:sz w:val="22"/>
          <w:lang w:val="es-ES_tradnl"/>
        </w:rPr>
      </w:pPr>
      <w:r w:rsidRPr="00A629B1">
        <w:rPr>
          <w:rFonts w:ascii="Arial" w:hAnsi="Arial" w:cs="Arial"/>
          <w:b/>
          <w:bCs/>
          <w:noProof/>
          <w:sz w:val="22"/>
          <w:lang w:val="es-ES_tradnl"/>
        </w:rPr>
        <w:t>FUNCIÓN CONSULTIVA – Conceptos – Alcance</w:t>
      </w:r>
    </w:p>
    <w:p w14:paraId="64C5D28C" w14:textId="142B1F4D" w:rsidR="003118B7" w:rsidRDefault="003118B7" w:rsidP="00B95C30">
      <w:pPr>
        <w:spacing w:line="276" w:lineRule="auto"/>
        <w:jc w:val="both"/>
        <w:rPr>
          <w:rFonts w:ascii="Arial" w:hAnsi="Arial" w:cs="Arial"/>
          <w:b/>
          <w:bCs/>
          <w:noProof/>
          <w:sz w:val="22"/>
          <w:lang w:val="es-ES_tradnl"/>
        </w:rPr>
      </w:pPr>
    </w:p>
    <w:p w14:paraId="555C89AA" w14:textId="6AFF30DB" w:rsidR="003118B7" w:rsidRPr="003947D1" w:rsidRDefault="003118B7" w:rsidP="003947D1">
      <w:pPr>
        <w:jc w:val="both"/>
        <w:rPr>
          <w:rFonts w:ascii="Arial" w:hAnsi="Arial" w:cs="Arial"/>
          <w:noProof/>
          <w:sz w:val="20"/>
          <w:szCs w:val="22"/>
          <w:lang w:val="es-ES_tradnl"/>
        </w:rPr>
      </w:pPr>
      <w:r w:rsidRPr="003947D1">
        <w:rPr>
          <w:rFonts w:ascii="Arial" w:hAnsi="Arial" w:cs="Arial"/>
          <w:noProof/>
          <w:sz w:val="20"/>
          <w:szCs w:val="22"/>
          <w:lang w:val="es-ES_tradnl"/>
        </w:rPr>
        <w:t xml:space="preserve">[…] </w:t>
      </w:r>
      <w:r w:rsidR="00ED5684" w:rsidRPr="00ED5684">
        <w:rPr>
          <w:rFonts w:ascii="Arial" w:hAnsi="Arial" w:cs="Arial"/>
          <w:noProof/>
          <w:sz w:val="20"/>
          <w:szCs w:val="22"/>
          <w:lang w:val="es-ES_tradnl"/>
        </w:rPr>
        <w:t>es preciso advertir que las respuestas emitidas como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Ello explica que la Agencia, reiteradamente, se haya negado a absolver este tipo de consultas .</w:t>
      </w:r>
    </w:p>
    <w:p w14:paraId="5BD26903" w14:textId="71D07282" w:rsidR="003118B7" w:rsidRPr="003947D1" w:rsidRDefault="003118B7" w:rsidP="003947D1">
      <w:pPr>
        <w:jc w:val="both"/>
        <w:rPr>
          <w:rFonts w:ascii="Arial" w:hAnsi="Arial" w:cs="Arial"/>
          <w:noProof/>
          <w:sz w:val="20"/>
          <w:szCs w:val="22"/>
          <w:lang w:val="es-ES_tradnl"/>
        </w:rPr>
      </w:pPr>
      <w:r w:rsidRPr="003947D1">
        <w:rPr>
          <w:rFonts w:ascii="Arial" w:hAnsi="Arial" w:cs="Arial"/>
          <w:noProof/>
          <w:sz w:val="20"/>
          <w:szCs w:val="22"/>
          <w:lang w:val="es-ES_tradnl"/>
        </w:rPr>
        <w:t>[…]</w:t>
      </w:r>
    </w:p>
    <w:p w14:paraId="35B0ECD3" w14:textId="2BB2FA78" w:rsidR="003118B7" w:rsidRPr="003947D1" w:rsidRDefault="00ED5684" w:rsidP="003947D1">
      <w:pPr>
        <w:jc w:val="both"/>
        <w:rPr>
          <w:rFonts w:ascii="Arial" w:hAnsi="Arial" w:cs="Arial"/>
          <w:noProof/>
          <w:sz w:val="20"/>
          <w:szCs w:val="22"/>
          <w:lang w:val="es-ES_tradnl"/>
        </w:rPr>
      </w:pPr>
      <w:r w:rsidRPr="00ED5684">
        <w:rPr>
          <w:rFonts w:ascii="Arial" w:hAnsi="Arial" w:cs="Arial"/>
          <w:noProof/>
          <w:sz w:val="20"/>
          <w:szCs w:val="22"/>
          <w:lang w:val="es-ES_tradnl"/>
        </w:rPr>
        <w:t>Con base en las anteriores consideraciones, es posible afirmar que en el ordenamiento jurídico colombiano los conceptos emitidos por las autoridades ostentan las siguientes características: i) tienen como objeto la interpretación de normas de carácter general, esto es, del ordenamiento jurídico en abstracto y ii) no la resolución de controversias o la asesoría para casos concretos, iii) no son vinculantes o de obligatorio cumplimiento para el destinatario, sino que iv) expresan la posición interpretativa del ente que ha elaborado el concepto.</w:t>
      </w:r>
    </w:p>
    <w:p w14:paraId="2FCC4E95" w14:textId="77777777" w:rsidR="00A629B1" w:rsidRPr="00A629B1" w:rsidRDefault="00A629B1" w:rsidP="00B95C30">
      <w:pPr>
        <w:spacing w:line="276" w:lineRule="auto"/>
        <w:jc w:val="both"/>
        <w:rPr>
          <w:rFonts w:ascii="Arial" w:hAnsi="Arial" w:cs="Arial"/>
          <w:b/>
          <w:bCs/>
          <w:noProof/>
          <w:sz w:val="22"/>
          <w:lang w:val="es-ES_tradnl"/>
        </w:rPr>
      </w:pPr>
    </w:p>
    <w:p w14:paraId="3333E32C" w14:textId="42372737" w:rsidR="006C2681" w:rsidRPr="00A629B1" w:rsidRDefault="006C2681" w:rsidP="00B95C30">
      <w:pPr>
        <w:spacing w:line="276" w:lineRule="auto"/>
        <w:jc w:val="both"/>
        <w:rPr>
          <w:rFonts w:ascii="Arial" w:hAnsi="Arial" w:cs="Arial"/>
          <w:b/>
          <w:bCs/>
          <w:noProof/>
          <w:sz w:val="22"/>
          <w:lang w:val="es-ES_tradnl"/>
        </w:rPr>
      </w:pPr>
      <w:r w:rsidRPr="00A629B1">
        <w:rPr>
          <w:rFonts w:ascii="Arial" w:hAnsi="Arial" w:cs="Arial"/>
          <w:b/>
          <w:bCs/>
          <w:noProof/>
          <w:sz w:val="22"/>
          <w:lang w:val="es-ES_tradnl"/>
        </w:rPr>
        <w:t>EMPRESAS SOCIALES DEL ESTADO – Régimen jurídico</w:t>
      </w:r>
      <w:r w:rsidR="00C6648F" w:rsidRPr="00A629B1">
        <w:rPr>
          <w:rFonts w:ascii="Arial" w:hAnsi="Arial" w:cs="Arial"/>
          <w:b/>
          <w:bCs/>
          <w:noProof/>
          <w:sz w:val="22"/>
          <w:lang w:val="es-ES_tradnl"/>
        </w:rPr>
        <w:t xml:space="preserve"> – Aplicación del artículo 56 de la Ley 2195 de 2022</w:t>
      </w:r>
    </w:p>
    <w:p w14:paraId="58E83EC6" w14:textId="77777777" w:rsidR="00FF2FAA" w:rsidRPr="00697A76" w:rsidRDefault="00FF2FAA" w:rsidP="00B95C30">
      <w:pPr>
        <w:spacing w:line="276" w:lineRule="auto"/>
        <w:jc w:val="both"/>
        <w:rPr>
          <w:rFonts w:ascii="Arial" w:hAnsi="Arial" w:cs="Arial"/>
          <w:noProof/>
          <w:sz w:val="22"/>
          <w:lang w:val="es-ES_tradnl"/>
        </w:rPr>
      </w:pPr>
    </w:p>
    <w:p w14:paraId="3CB0851A" w14:textId="451D2B30" w:rsidR="0081715E" w:rsidRPr="003947D1" w:rsidRDefault="00ED5684" w:rsidP="003947D1">
      <w:pPr>
        <w:jc w:val="both"/>
        <w:rPr>
          <w:rFonts w:ascii="Arial" w:hAnsi="Arial" w:cs="Arial"/>
          <w:noProof/>
          <w:sz w:val="20"/>
          <w:szCs w:val="22"/>
          <w:lang w:val="es-ES_tradnl"/>
        </w:rPr>
      </w:pPr>
      <w:r w:rsidRPr="00ED5684">
        <w:rPr>
          <w:rFonts w:ascii="Arial" w:hAnsi="Arial" w:cs="Arial"/>
          <w:noProof/>
          <w:sz w:val="20"/>
          <w:szCs w:val="22"/>
          <w:lang w:val="es-ES_tradnl"/>
        </w:rPr>
        <w:t>Las Empresas Sociales del Estado – ESE son entidades públicas que, conforme al artículo 194 de la Ley 100 de 1993, son de categoría especial, descentralizada por servicios, con personería jurídica, patrimonio propio y autonomía administrativa . A través de ellas la Nación o las entidades territoriales prestan el servicio de salud de manera directa, es decir, las Empresas Sociales del Estado son, esencialmente, los hospitales públicos</w:t>
      </w:r>
      <w:r w:rsidR="000019AE" w:rsidRPr="003947D1">
        <w:rPr>
          <w:rFonts w:ascii="Arial" w:hAnsi="Arial" w:cs="Arial"/>
          <w:noProof/>
          <w:sz w:val="20"/>
          <w:szCs w:val="22"/>
          <w:lang w:val="es-ES_tradnl"/>
        </w:rPr>
        <w:t>. […]</w:t>
      </w:r>
    </w:p>
    <w:p w14:paraId="5E356A6C" w14:textId="4A33A081" w:rsidR="003947D1" w:rsidRPr="003947D1" w:rsidRDefault="003947D1" w:rsidP="003947D1">
      <w:pPr>
        <w:jc w:val="both"/>
        <w:rPr>
          <w:rFonts w:ascii="Arial" w:hAnsi="Arial" w:cs="Arial"/>
          <w:noProof/>
          <w:sz w:val="20"/>
          <w:szCs w:val="22"/>
          <w:lang w:val="es-ES_tradnl"/>
        </w:rPr>
      </w:pPr>
      <w:r w:rsidRPr="003947D1">
        <w:rPr>
          <w:rFonts w:ascii="Arial" w:hAnsi="Arial" w:cs="Arial"/>
          <w:noProof/>
          <w:sz w:val="20"/>
          <w:szCs w:val="22"/>
          <w:lang w:val="es-ES_tradnl"/>
        </w:rPr>
        <w:t>[…]</w:t>
      </w:r>
    </w:p>
    <w:p w14:paraId="39A153A6" w14:textId="68B261AB" w:rsidR="003947D1" w:rsidRPr="003947D1" w:rsidRDefault="00D53855" w:rsidP="003947D1">
      <w:pPr>
        <w:jc w:val="both"/>
        <w:rPr>
          <w:rFonts w:ascii="Arial" w:hAnsi="Arial" w:cs="Arial"/>
          <w:noProof/>
          <w:sz w:val="20"/>
          <w:szCs w:val="22"/>
          <w:lang w:val="es-ES_tradnl"/>
        </w:rPr>
      </w:pPr>
      <w:r w:rsidRPr="00D53855">
        <w:rPr>
          <w:rFonts w:ascii="Arial" w:hAnsi="Arial" w:cs="Arial"/>
          <w:noProof/>
          <w:sz w:val="20"/>
          <w:szCs w:val="22"/>
          <w:lang w:val="es-ES_tradnl"/>
        </w:rPr>
        <w:t>De lo anterior se colige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los principios de la función administrativa y de la gestión fiscal, al igual que el régimen de inhabilidades e incompatibilidades. Además, actualmente le resultará aplicable el artículo 56 de la Ley 2195 de 2022, de acuerdo con el alcance precisado en este concepto.</w:t>
      </w:r>
    </w:p>
    <w:p w14:paraId="1DC53F25" w14:textId="77777777" w:rsidR="000019AE" w:rsidRPr="00697A76" w:rsidRDefault="000019AE" w:rsidP="000019AE">
      <w:pPr>
        <w:spacing w:line="276" w:lineRule="auto"/>
        <w:jc w:val="both"/>
        <w:rPr>
          <w:rFonts w:ascii="Arial" w:hAnsi="Arial" w:cs="Arial"/>
          <w:b/>
          <w:sz w:val="22"/>
          <w:lang w:val="es-ES_tradnl"/>
        </w:rPr>
      </w:pPr>
    </w:p>
    <w:p w14:paraId="099DB719" w14:textId="77777777" w:rsidR="00EC0634" w:rsidRDefault="00EC0634">
      <w:pPr>
        <w:spacing w:after="200" w:line="276" w:lineRule="auto"/>
        <w:rPr>
          <w:rFonts w:ascii="Arial" w:eastAsia="Calibri" w:hAnsi="Arial" w:cs="Arial"/>
          <w:sz w:val="22"/>
          <w:lang w:val="es-ES_tradnl"/>
        </w:rPr>
      </w:pPr>
      <w:bookmarkStart w:id="2" w:name="_Hlk94281581"/>
      <w:r>
        <w:rPr>
          <w:rFonts w:ascii="Arial" w:eastAsia="Calibri" w:hAnsi="Arial" w:cs="Arial"/>
          <w:sz w:val="22"/>
          <w:lang w:val="es-ES_tradnl"/>
        </w:rPr>
        <w:br w:type="page"/>
      </w:r>
    </w:p>
    <w:p w14:paraId="0D3E8C13" w14:textId="77777777" w:rsidR="00D72DDD" w:rsidRDefault="00D72DDD" w:rsidP="00B95C30">
      <w:pPr>
        <w:jc w:val="both"/>
        <w:rPr>
          <w:rFonts w:ascii="Arial" w:eastAsia="Calibri" w:hAnsi="Arial" w:cs="Arial"/>
          <w:sz w:val="22"/>
          <w:lang w:val="es-ES_tradnl"/>
        </w:rPr>
      </w:pPr>
    </w:p>
    <w:p w14:paraId="49373DEC" w14:textId="28484643" w:rsidR="00D72DDD" w:rsidRDefault="00D72DDD" w:rsidP="00D72DDD">
      <w:pPr>
        <w:jc w:val="right"/>
        <w:rPr>
          <w:rFonts w:ascii="Arial" w:eastAsia="Calibri" w:hAnsi="Arial" w:cs="Arial"/>
          <w:sz w:val="22"/>
          <w:lang w:val="es-ES_tradnl"/>
        </w:rPr>
      </w:pPr>
      <w:r>
        <w:rPr>
          <w:rFonts w:ascii="Arial" w:eastAsia="Calibri" w:hAnsi="Arial" w:cs="Arial"/>
          <w:noProof/>
          <w:sz w:val="22"/>
          <w:lang w:val="es-ES_tradnl"/>
        </w:rPr>
        <w:drawing>
          <wp:inline distT="0" distB="0" distL="0" distR="0" wp14:anchorId="77BC4BCF" wp14:editId="19336BF8">
            <wp:extent cx="3018126" cy="809742"/>
            <wp:effectExtent l="0" t="0" r="0" b="0"/>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a:blip r:embed="rId11"/>
                    <a:stretch>
                      <a:fillRect/>
                    </a:stretch>
                  </pic:blipFill>
                  <pic:spPr>
                    <a:xfrm>
                      <a:off x="0" y="0"/>
                      <a:ext cx="3034807" cy="814217"/>
                    </a:xfrm>
                    <a:prstGeom prst="rect">
                      <a:avLst/>
                    </a:prstGeom>
                  </pic:spPr>
                </pic:pic>
              </a:graphicData>
            </a:graphic>
          </wp:inline>
        </w:drawing>
      </w:r>
    </w:p>
    <w:p w14:paraId="6CBFA77C" w14:textId="77777777" w:rsidR="00D72DDD" w:rsidRDefault="00D72DDD" w:rsidP="00B95C30">
      <w:pPr>
        <w:jc w:val="both"/>
        <w:rPr>
          <w:rFonts w:ascii="Arial" w:eastAsia="Calibri" w:hAnsi="Arial" w:cs="Arial"/>
          <w:sz w:val="22"/>
          <w:lang w:val="es-ES_tradnl"/>
        </w:rPr>
      </w:pPr>
    </w:p>
    <w:p w14:paraId="1BE09220" w14:textId="77777777" w:rsidR="00D72DDD" w:rsidRDefault="00D72DDD" w:rsidP="00B95C30">
      <w:pPr>
        <w:jc w:val="both"/>
        <w:rPr>
          <w:rFonts w:ascii="Arial" w:eastAsia="Calibri" w:hAnsi="Arial" w:cs="Arial"/>
          <w:sz w:val="22"/>
          <w:lang w:val="es-ES_tradnl"/>
        </w:rPr>
      </w:pPr>
    </w:p>
    <w:p w14:paraId="5F5AE9EF" w14:textId="0F89286D" w:rsidR="00B95C30" w:rsidRPr="00B27674" w:rsidRDefault="006A0D71" w:rsidP="00B95C30">
      <w:pPr>
        <w:jc w:val="both"/>
        <w:rPr>
          <w:rFonts w:ascii="Arial" w:eastAsia="Calibri" w:hAnsi="Arial" w:cs="Arial"/>
          <w:sz w:val="22"/>
          <w:lang w:val="es-ES_tradnl"/>
        </w:rPr>
      </w:pPr>
      <w:r>
        <w:rPr>
          <w:rFonts w:ascii="Arial" w:eastAsia="Calibri" w:hAnsi="Arial" w:cs="Arial"/>
          <w:sz w:val="22"/>
          <w:lang w:val="es-ES_tradnl"/>
        </w:rPr>
        <w:t>Señora</w:t>
      </w:r>
    </w:p>
    <w:p w14:paraId="176AB1A5" w14:textId="422589DB" w:rsidR="00F87948" w:rsidRPr="00B27674" w:rsidRDefault="006A0D71" w:rsidP="00B95C30">
      <w:pPr>
        <w:jc w:val="both"/>
        <w:rPr>
          <w:rFonts w:ascii="Arial" w:eastAsia="Calibri" w:hAnsi="Arial" w:cs="Arial"/>
          <w:b/>
          <w:sz w:val="22"/>
          <w:lang w:val="es-ES_tradnl"/>
        </w:rPr>
      </w:pPr>
      <w:r>
        <w:rPr>
          <w:rFonts w:ascii="Arial" w:eastAsia="Calibri" w:hAnsi="Arial" w:cs="Arial"/>
          <w:b/>
          <w:sz w:val="22"/>
          <w:lang w:val="es-ES_tradnl"/>
        </w:rPr>
        <w:t>Diana Villani Ladino</w:t>
      </w:r>
    </w:p>
    <w:p w14:paraId="46CF7CAD" w14:textId="75D55CF3" w:rsidR="00B116AD" w:rsidRPr="00B27674" w:rsidRDefault="006A0D71" w:rsidP="00B95C30">
      <w:pPr>
        <w:jc w:val="both"/>
        <w:rPr>
          <w:rFonts w:ascii="Arial" w:eastAsia="Calibri" w:hAnsi="Arial" w:cs="Arial"/>
          <w:sz w:val="22"/>
          <w:lang w:val="es-ES_tradnl"/>
        </w:rPr>
      </w:pPr>
      <w:r>
        <w:rPr>
          <w:rFonts w:ascii="Arial" w:eastAsia="Calibri" w:hAnsi="Arial" w:cs="Arial"/>
          <w:sz w:val="22"/>
          <w:lang w:val="es-ES_tradnl"/>
        </w:rPr>
        <w:t>Bogotá, D.C.</w:t>
      </w:r>
    </w:p>
    <w:p w14:paraId="3F3D1203" w14:textId="77777777" w:rsidR="00B95C30" w:rsidRPr="00B27674" w:rsidRDefault="00B95C30" w:rsidP="00B95C30">
      <w:pPr>
        <w:jc w:val="both"/>
        <w:rPr>
          <w:rFonts w:ascii="Arial" w:eastAsia="Calibri" w:hAnsi="Arial" w:cs="Arial"/>
          <w:sz w:val="22"/>
          <w:lang w:val="es-ES_tradnl"/>
        </w:rPr>
      </w:pPr>
    </w:p>
    <w:p w14:paraId="12E66182" w14:textId="249DD9FA" w:rsidR="00B95C30" w:rsidRPr="00B27674" w:rsidRDefault="00B95C30" w:rsidP="00B95C30">
      <w:pPr>
        <w:jc w:val="center"/>
        <w:rPr>
          <w:rFonts w:ascii="Arial" w:eastAsia="Calibri" w:hAnsi="Arial" w:cs="Arial"/>
          <w:b/>
          <w:bCs/>
          <w:sz w:val="22"/>
          <w:lang w:val="es-ES_tradnl"/>
        </w:rPr>
      </w:pPr>
      <w:r w:rsidRPr="00B27674">
        <w:rPr>
          <w:rFonts w:ascii="Arial" w:eastAsia="Calibri" w:hAnsi="Arial" w:cs="Arial"/>
          <w:b/>
          <w:bCs/>
          <w:sz w:val="22"/>
          <w:lang w:val="es-ES_tradnl"/>
        </w:rPr>
        <w:t>Concepto C</w:t>
      </w:r>
      <w:r w:rsidR="00645B3D">
        <w:rPr>
          <w:rFonts w:ascii="Arial" w:eastAsia="Calibri" w:hAnsi="Arial" w:cs="Arial"/>
          <w:b/>
          <w:bCs/>
          <w:sz w:val="22"/>
          <w:lang w:val="es-ES_tradnl"/>
        </w:rPr>
        <w:t xml:space="preserve"> – 198</w:t>
      </w:r>
      <w:r w:rsidRPr="00B27674">
        <w:rPr>
          <w:rFonts w:ascii="Arial" w:eastAsia="Calibri" w:hAnsi="Arial" w:cs="Arial"/>
          <w:b/>
          <w:bCs/>
          <w:sz w:val="22"/>
          <w:lang w:val="es-ES_tradnl"/>
        </w:rPr>
        <w:t xml:space="preserve"> de 202</w:t>
      </w:r>
      <w:r w:rsidR="00131DA9" w:rsidRPr="00B27674">
        <w:rPr>
          <w:rFonts w:ascii="Arial" w:eastAsia="Calibri" w:hAnsi="Arial" w:cs="Arial"/>
          <w:b/>
          <w:bCs/>
          <w:sz w:val="22"/>
          <w:lang w:val="es-ES_tradnl"/>
        </w:rPr>
        <w:t>2</w:t>
      </w:r>
    </w:p>
    <w:p w14:paraId="1BD594F9" w14:textId="77777777" w:rsidR="00B95C30" w:rsidRPr="00B27674"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97A76" w:rsidRPr="00B27674" w14:paraId="19DFC051" w14:textId="77777777" w:rsidTr="008F4163">
        <w:tc>
          <w:tcPr>
            <w:tcW w:w="2689" w:type="dxa"/>
          </w:tcPr>
          <w:p w14:paraId="6BC0D1AC" w14:textId="77777777" w:rsidR="00B95C30" w:rsidRPr="00B27674" w:rsidRDefault="00B95C30" w:rsidP="008F4163">
            <w:pPr>
              <w:jc w:val="both"/>
              <w:rPr>
                <w:rFonts w:ascii="Arial" w:eastAsia="Calibri" w:hAnsi="Arial" w:cs="Arial"/>
                <w:sz w:val="22"/>
                <w:lang w:val="es-ES_tradnl"/>
              </w:rPr>
            </w:pPr>
            <w:r w:rsidRPr="00B27674">
              <w:rPr>
                <w:rFonts w:ascii="Arial" w:eastAsia="Calibri" w:hAnsi="Arial" w:cs="Arial"/>
                <w:b/>
                <w:sz w:val="22"/>
                <w:lang w:val="es-ES_tradnl"/>
              </w:rPr>
              <w:t>Temas:</w:t>
            </w:r>
            <w:r w:rsidRPr="00B27674">
              <w:rPr>
                <w:rFonts w:ascii="Arial" w:eastAsia="Calibri" w:hAnsi="Arial" w:cs="Arial"/>
                <w:sz w:val="22"/>
                <w:lang w:val="es-ES_tradnl"/>
              </w:rPr>
              <w:t xml:space="preserve">                                      </w:t>
            </w:r>
          </w:p>
        </w:tc>
        <w:tc>
          <w:tcPr>
            <w:tcW w:w="6237" w:type="dxa"/>
          </w:tcPr>
          <w:p w14:paraId="5F389CAF" w14:textId="322C344B" w:rsidR="00B95C30" w:rsidRPr="00B27674" w:rsidRDefault="00B01966" w:rsidP="008F4163">
            <w:pPr>
              <w:jc w:val="both"/>
              <w:rPr>
                <w:rFonts w:ascii="Arial" w:eastAsia="Calibri" w:hAnsi="Arial" w:cs="Arial"/>
                <w:sz w:val="22"/>
                <w:lang w:val="es-ES_tradnl"/>
              </w:rPr>
            </w:pPr>
            <w:r w:rsidRPr="001E2EFB">
              <w:rPr>
                <w:rFonts w:ascii="Arial" w:eastAsia="Calibri" w:hAnsi="Arial" w:cs="Arial"/>
                <w:bCs/>
                <w:sz w:val="22"/>
                <w:lang w:val="es-ES_tradnl"/>
              </w:rPr>
              <w:t>DOCUMENTOS TIPO – Fundamento normativo – Ley 2022 de 2020 / DOCUMENTOS TIPO – Ámbito de aplicación / LEY 2195 DE 2022 – Artículo 56 –</w:t>
            </w:r>
            <w:r w:rsidR="00DF3653" w:rsidRPr="001E2EFB">
              <w:t xml:space="preserve"> </w:t>
            </w:r>
            <w:r w:rsidR="00DF3653" w:rsidRPr="001E2EFB">
              <w:rPr>
                <w:rFonts w:ascii="Arial" w:eastAsia="Calibri" w:hAnsi="Arial" w:cs="Arial"/>
                <w:bCs/>
                <w:sz w:val="22"/>
                <w:lang w:val="es-ES_tradnl"/>
              </w:rPr>
              <w:t xml:space="preserve">Entidades estatales de régimen especial o exceptuado </w:t>
            </w:r>
            <w:r w:rsidRPr="001E2EFB">
              <w:rPr>
                <w:rFonts w:ascii="Arial" w:eastAsia="Calibri" w:hAnsi="Arial" w:cs="Arial"/>
                <w:bCs/>
                <w:sz w:val="22"/>
                <w:lang w:val="es-ES_tradnl"/>
              </w:rPr>
              <w:t xml:space="preserve">– Documentos tipo – Estatuto General de Contratación de la Administración Pública / LEY 2195 DE 2022 – Artículo 56 – Parágrafo – Excepciones / LEY 2195 DE 2022 – Artículo 56 – Parágrafo – Giro ordinario – </w:t>
            </w:r>
            <w:r w:rsidR="00D01A10" w:rsidRPr="001E2EFB">
              <w:rPr>
                <w:rFonts w:ascii="Arial" w:eastAsia="Calibri" w:hAnsi="Arial" w:cs="Arial"/>
                <w:bCs/>
                <w:sz w:val="22"/>
                <w:lang w:val="es-ES_tradnl"/>
              </w:rPr>
              <w:t>Objeto social</w:t>
            </w:r>
            <w:r w:rsidR="00DF3653" w:rsidRPr="001E2EFB">
              <w:rPr>
                <w:rFonts w:ascii="Arial" w:eastAsia="Calibri" w:hAnsi="Arial" w:cs="Arial"/>
                <w:bCs/>
                <w:sz w:val="22"/>
                <w:lang w:val="es-ES_tradnl"/>
              </w:rPr>
              <w:t xml:space="preserve"> / </w:t>
            </w:r>
            <w:r w:rsidR="003947D1" w:rsidRPr="001E2EFB">
              <w:rPr>
                <w:rFonts w:ascii="Arial" w:eastAsia="Calibri" w:hAnsi="Arial" w:cs="Arial"/>
                <w:bCs/>
                <w:sz w:val="22"/>
                <w:lang w:val="es-ES_tradnl"/>
              </w:rPr>
              <w:t>FUNCIÓN CONSULTIVA – Conceptos – Alcance / EMPRESAS SOCIALES DEL ESTADO – Régimen jurídico – Aplicación del artículo 56 de la Ley 2195 de 2022</w:t>
            </w:r>
          </w:p>
        </w:tc>
      </w:tr>
      <w:tr w:rsidR="00697A76" w:rsidRPr="00B27674" w14:paraId="27CD52AB" w14:textId="77777777" w:rsidTr="008F4163">
        <w:tc>
          <w:tcPr>
            <w:tcW w:w="2689" w:type="dxa"/>
          </w:tcPr>
          <w:p w14:paraId="37E195A1" w14:textId="1BA218D5" w:rsidR="00B95C30" w:rsidRPr="00B27674" w:rsidRDefault="00B95C30" w:rsidP="008F4163">
            <w:pPr>
              <w:spacing w:before="120"/>
              <w:jc w:val="both"/>
              <w:rPr>
                <w:rFonts w:ascii="Arial" w:eastAsia="Calibri" w:hAnsi="Arial" w:cs="Arial"/>
                <w:b/>
                <w:sz w:val="22"/>
                <w:lang w:val="es-ES_tradnl"/>
              </w:rPr>
            </w:pPr>
            <w:r w:rsidRPr="00B27674">
              <w:rPr>
                <w:rFonts w:ascii="Arial" w:eastAsia="Calibri" w:hAnsi="Arial" w:cs="Arial"/>
                <w:b/>
                <w:sz w:val="22"/>
                <w:lang w:val="es-ES_tradnl"/>
              </w:rPr>
              <w:t>Radicación:</w:t>
            </w:r>
            <w:r w:rsidRPr="00B27674">
              <w:rPr>
                <w:rFonts w:ascii="Arial" w:eastAsia="Calibri" w:hAnsi="Arial" w:cs="Arial"/>
                <w:sz w:val="22"/>
                <w:lang w:val="es-ES_tradnl"/>
              </w:rPr>
              <w:t xml:space="preserve">                              </w:t>
            </w:r>
          </w:p>
        </w:tc>
        <w:tc>
          <w:tcPr>
            <w:tcW w:w="6237" w:type="dxa"/>
          </w:tcPr>
          <w:p w14:paraId="64360FC9" w14:textId="33B52B1F" w:rsidR="00645B3D" w:rsidRPr="00B27674" w:rsidRDefault="00B95C30" w:rsidP="00645B3D">
            <w:pPr>
              <w:spacing w:before="120"/>
              <w:jc w:val="both"/>
              <w:rPr>
                <w:rFonts w:ascii="Arial" w:eastAsia="Calibri" w:hAnsi="Arial" w:cs="Arial"/>
                <w:sz w:val="22"/>
                <w:lang w:val="es-ES_tradnl"/>
              </w:rPr>
            </w:pPr>
            <w:r w:rsidRPr="00B27674">
              <w:rPr>
                <w:rFonts w:ascii="Arial" w:eastAsia="Calibri" w:hAnsi="Arial" w:cs="Arial"/>
                <w:sz w:val="22"/>
                <w:lang w:val="es-ES_tradnl"/>
              </w:rPr>
              <w:t xml:space="preserve">Respuesta a consulta # </w:t>
            </w:r>
            <w:r w:rsidR="00645B3D" w:rsidRPr="00645B3D">
              <w:rPr>
                <w:rFonts w:ascii="Arial" w:eastAsia="Calibri" w:hAnsi="Arial" w:cs="Arial"/>
                <w:sz w:val="22"/>
                <w:lang w:val="es-ES_tradnl"/>
              </w:rPr>
              <w:t>P20220301001977</w:t>
            </w:r>
          </w:p>
          <w:p w14:paraId="09088B1B" w14:textId="56C019AB" w:rsidR="00B95C30" w:rsidRPr="00B27674" w:rsidRDefault="00B95C30" w:rsidP="008F4163">
            <w:pPr>
              <w:spacing w:before="120"/>
              <w:jc w:val="both"/>
              <w:rPr>
                <w:rFonts w:ascii="Arial" w:eastAsia="Calibri" w:hAnsi="Arial" w:cs="Arial"/>
                <w:sz w:val="22"/>
                <w:lang w:val="es-ES_tradnl"/>
              </w:rPr>
            </w:pPr>
          </w:p>
        </w:tc>
      </w:tr>
    </w:tbl>
    <w:p w14:paraId="1CF4AEA0" w14:textId="1A3F80C8" w:rsidR="003C3339" w:rsidRPr="00B27674" w:rsidRDefault="003C3339" w:rsidP="006A574E">
      <w:pPr>
        <w:jc w:val="both"/>
        <w:rPr>
          <w:rFonts w:ascii="Arial" w:eastAsia="Calibri" w:hAnsi="Arial" w:cs="Arial"/>
          <w:sz w:val="22"/>
          <w:lang w:val="es-ES_tradnl"/>
        </w:rPr>
      </w:pPr>
      <w:r w:rsidRPr="00B27674">
        <w:rPr>
          <w:rFonts w:ascii="Arial" w:eastAsia="Calibri" w:hAnsi="Arial" w:cs="Arial"/>
          <w:sz w:val="22"/>
          <w:lang w:val="es-ES_tradnl"/>
        </w:rPr>
        <w:t>Estimad</w:t>
      </w:r>
      <w:r w:rsidR="00BE4FBF" w:rsidRPr="00B27674">
        <w:rPr>
          <w:rFonts w:ascii="Arial" w:eastAsia="Calibri" w:hAnsi="Arial" w:cs="Arial"/>
          <w:sz w:val="22"/>
          <w:lang w:val="es-ES_tradnl"/>
        </w:rPr>
        <w:t>a</w:t>
      </w:r>
      <w:r w:rsidRPr="00B27674">
        <w:rPr>
          <w:rFonts w:ascii="Arial" w:eastAsia="Calibri" w:hAnsi="Arial" w:cs="Arial"/>
          <w:sz w:val="22"/>
          <w:lang w:val="es-ES_tradnl"/>
        </w:rPr>
        <w:t xml:space="preserve"> </w:t>
      </w:r>
      <w:r w:rsidR="00645B3D">
        <w:rPr>
          <w:rFonts w:ascii="Arial" w:eastAsia="Calibri" w:hAnsi="Arial" w:cs="Arial"/>
          <w:sz w:val="22"/>
          <w:lang w:val="es-ES_tradnl"/>
        </w:rPr>
        <w:t>señora Villani Ladino</w:t>
      </w:r>
      <w:r w:rsidRPr="00B27674">
        <w:rPr>
          <w:rFonts w:ascii="Arial" w:eastAsia="Calibri" w:hAnsi="Arial" w:cs="Arial"/>
          <w:sz w:val="22"/>
          <w:lang w:val="es-ES_tradnl"/>
        </w:rPr>
        <w:t>:</w:t>
      </w:r>
    </w:p>
    <w:p w14:paraId="1EAE5543" w14:textId="77777777" w:rsidR="00DD5B04" w:rsidRPr="00B27674" w:rsidRDefault="00DD5B04" w:rsidP="006A574E">
      <w:pPr>
        <w:jc w:val="both"/>
        <w:rPr>
          <w:rFonts w:ascii="Arial" w:eastAsia="Calibri" w:hAnsi="Arial" w:cs="Arial"/>
          <w:sz w:val="22"/>
          <w:lang w:val="es-ES_tradnl"/>
        </w:rPr>
      </w:pPr>
    </w:p>
    <w:p w14:paraId="2109B2D3" w14:textId="1E11F05E" w:rsidR="00DD5B04" w:rsidRPr="00B27674" w:rsidRDefault="00DD5B04" w:rsidP="006A574E">
      <w:pPr>
        <w:spacing w:line="276" w:lineRule="auto"/>
        <w:jc w:val="both"/>
        <w:rPr>
          <w:rFonts w:ascii="Arial" w:eastAsia="Calibri" w:hAnsi="Arial" w:cs="Arial"/>
          <w:sz w:val="22"/>
          <w:lang w:val="es-ES_tradnl"/>
        </w:rPr>
      </w:pPr>
      <w:r w:rsidRPr="00B27674">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27674">
        <w:rPr>
          <w:rFonts w:ascii="Arial" w:eastAsia="Calibri" w:hAnsi="Arial" w:cs="Arial"/>
          <w:sz w:val="22"/>
          <w:lang w:val="es-ES_tradnl"/>
        </w:rPr>
        <w:t xml:space="preserve"> </w:t>
      </w:r>
      <w:r w:rsidRPr="00B27674">
        <w:rPr>
          <w:rFonts w:ascii="Arial" w:eastAsia="Calibri" w:hAnsi="Arial" w:cs="Arial"/>
          <w:sz w:val="22"/>
          <w:lang w:val="es-ES_tradnl"/>
        </w:rPr>
        <w:t xml:space="preserve">responde su consulta del </w:t>
      </w:r>
      <w:r w:rsidR="00645B3D">
        <w:rPr>
          <w:rFonts w:ascii="Arial" w:eastAsia="Calibri" w:hAnsi="Arial" w:cs="Arial"/>
          <w:sz w:val="22"/>
          <w:lang w:val="es-ES_tradnl"/>
        </w:rPr>
        <w:t xml:space="preserve">28 </w:t>
      </w:r>
      <w:r w:rsidR="00FD4AF3" w:rsidRPr="00B27674">
        <w:rPr>
          <w:rFonts w:ascii="Arial" w:eastAsia="Calibri" w:hAnsi="Arial" w:cs="Arial"/>
          <w:sz w:val="22"/>
          <w:lang w:val="es-ES_tradnl"/>
        </w:rPr>
        <w:t xml:space="preserve">de </w:t>
      </w:r>
      <w:r w:rsidR="00645B3D">
        <w:rPr>
          <w:rFonts w:ascii="Arial" w:eastAsia="Calibri" w:hAnsi="Arial" w:cs="Arial"/>
          <w:sz w:val="22"/>
          <w:lang w:val="es-ES_tradnl"/>
        </w:rPr>
        <w:t>febrero</w:t>
      </w:r>
      <w:r w:rsidRPr="00B27674">
        <w:rPr>
          <w:rFonts w:ascii="Arial" w:eastAsia="Calibri" w:hAnsi="Arial" w:cs="Arial"/>
          <w:sz w:val="22"/>
          <w:lang w:val="es-ES_tradnl"/>
        </w:rPr>
        <w:t xml:space="preserve"> del</w:t>
      </w:r>
      <w:r w:rsidR="007E74BF" w:rsidRPr="00B27674">
        <w:rPr>
          <w:rFonts w:ascii="Arial" w:eastAsia="Calibri" w:hAnsi="Arial" w:cs="Arial"/>
          <w:sz w:val="22"/>
          <w:lang w:val="es-ES_tradnl"/>
        </w:rPr>
        <w:t xml:space="preserve"> </w:t>
      </w:r>
      <w:r w:rsidRPr="00B27674">
        <w:rPr>
          <w:rFonts w:ascii="Arial" w:eastAsia="Calibri" w:hAnsi="Arial" w:cs="Arial"/>
          <w:sz w:val="22"/>
          <w:lang w:val="es-ES_tradnl"/>
        </w:rPr>
        <w:t>202</w:t>
      </w:r>
      <w:r w:rsidR="005C345A" w:rsidRPr="00B27674">
        <w:rPr>
          <w:rFonts w:ascii="Arial" w:eastAsia="Calibri" w:hAnsi="Arial" w:cs="Arial"/>
          <w:sz w:val="22"/>
          <w:lang w:val="es-ES_tradnl"/>
        </w:rPr>
        <w:t>2</w:t>
      </w:r>
      <w:r w:rsidR="008C3C57" w:rsidRPr="00B27674">
        <w:rPr>
          <w:rFonts w:ascii="Arial" w:eastAsia="Calibri" w:hAnsi="Arial" w:cs="Arial"/>
          <w:sz w:val="22"/>
          <w:lang w:val="es-ES_tradnl"/>
        </w:rPr>
        <w:t>.</w:t>
      </w:r>
    </w:p>
    <w:p w14:paraId="0C1E0712" w14:textId="77777777" w:rsidR="00DD5B04" w:rsidRPr="00B27674" w:rsidRDefault="00DD5B04" w:rsidP="006A574E">
      <w:pPr>
        <w:spacing w:line="276" w:lineRule="auto"/>
        <w:jc w:val="both"/>
        <w:rPr>
          <w:rFonts w:ascii="Arial" w:eastAsia="Calibri" w:hAnsi="Arial" w:cs="Arial"/>
          <w:b/>
          <w:sz w:val="22"/>
          <w:lang w:val="es-ES_tradnl"/>
        </w:rPr>
      </w:pPr>
    </w:p>
    <w:p w14:paraId="7701FCC7" w14:textId="77777777" w:rsidR="00DD5B04" w:rsidRPr="00B27674" w:rsidRDefault="00DD5B04" w:rsidP="006A574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B27674">
        <w:rPr>
          <w:rFonts w:ascii="Arial" w:eastAsia="Calibri" w:hAnsi="Arial" w:cs="Arial"/>
          <w:b/>
          <w:sz w:val="22"/>
          <w:lang w:val="es-ES_tradnl"/>
        </w:rPr>
        <w:t xml:space="preserve">Problema planteado </w:t>
      </w:r>
    </w:p>
    <w:p w14:paraId="224B43D3" w14:textId="77777777" w:rsidR="00DD5B04" w:rsidRPr="00B27674" w:rsidRDefault="00DD5B04" w:rsidP="006A574E">
      <w:pPr>
        <w:tabs>
          <w:tab w:val="left" w:pos="426"/>
        </w:tabs>
        <w:spacing w:line="276" w:lineRule="auto"/>
        <w:jc w:val="both"/>
        <w:rPr>
          <w:rFonts w:ascii="Arial" w:eastAsia="Calibri" w:hAnsi="Arial" w:cs="Arial"/>
          <w:b/>
          <w:sz w:val="22"/>
          <w:lang w:val="es-ES_tradnl"/>
        </w:rPr>
      </w:pPr>
    </w:p>
    <w:p w14:paraId="57858E50" w14:textId="0C298EC4" w:rsidR="008C7B64" w:rsidRDefault="008C7B64" w:rsidP="006A574E">
      <w:pPr>
        <w:spacing w:line="276" w:lineRule="auto"/>
        <w:jc w:val="both"/>
        <w:rPr>
          <w:rFonts w:ascii="Arial" w:hAnsi="Arial" w:cs="Arial"/>
          <w:sz w:val="22"/>
          <w:lang w:val="es-ES_tradnl"/>
        </w:rPr>
      </w:pPr>
      <w:r>
        <w:rPr>
          <w:rFonts w:ascii="Arial" w:hAnsi="Arial" w:cs="Arial"/>
          <w:sz w:val="22"/>
          <w:lang w:val="es-ES_tradnl"/>
        </w:rPr>
        <w:t>En relación</w:t>
      </w:r>
      <w:r w:rsidR="000C0D2D" w:rsidRPr="00B27674">
        <w:rPr>
          <w:rFonts w:ascii="Arial" w:hAnsi="Arial" w:cs="Arial"/>
          <w:sz w:val="22"/>
          <w:lang w:val="es-ES_tradnl"/>
        </w:rPr>
        <w:t xml:space="preserve"> con </w:t>
      </w:r>
      <w:r w:rsidR="00966B9B" w:rsidRPr="00B27674">
        <w:rPr>
          <w:rFonts w:ascii="Arial" w:hAnsi="Arial" w:cs="Arial"/>
          <w:sz w:val="22"/>
          <w:lang w:val="es-ES_tradnl"/>
        </w:rPr>
        <w:t>el</w:t>
      </w:r>
      <w:r w:rsidR="00142237" w:rsidRPr="00B27674">
        <w:rPr>
          <w:rFonts w:ascii="Arial" w:hAnsi="Arial" w:cs="Arial"/>
          <w:sz w:val="22"/>
          <w:lang w:val="es-ES_tradnl"/>
        </w:rPr>
        <w:t xml:space="preserve"> ámbito de aplicación de los documentos tipo</w:t>
      </w:r>
      <w:r w:rsidR="00966B9B" w:rsidRPr="00B27674">
        <w:rPr>
          <w:rFonts w:ascii="Arial" w:hAnsi="Arial" w:cs="Arial"/>
          <w:sz w:val="22"/>
          <w:lang w:val="es-ES_tradnl"/>
        </w:rPr>
        <w:t xml:space="preserve"> y el</w:t>
      </w:r>
      <w:r w:rsidR="00B13399" w:rsidRPr="00B27674">
        <w:rPr>
          <w:rFonts w:ascii="Arial" w:hAnsi="Arial" w:cs="Arial"/>
          <w:sz w:val="22"/>
          <w:lang w:val="es-ES_tradnl"/>
        </w:rPr>
        <w:t xml:space="preserve"> alcance del artículo </w:t>
      </w:r>
      <w:r w:rsidR="00142237" w:rsidRPr="00B27674">
        <w:rPr>
          <w:rFonts w:ascii="Arial" w:hAnsi="Arial" w:cs="Arial"/>
          <w:sz w:val="22"/>
          <w:lang w:val="es-ES_tradnl"/>
        </w:rPr>
        <w:t>56 de la Ley 2195 de 2022</w:t>
      </w:r>
      <w:r>
        <w:rPr>
          <w:rFonts w:ascii="Arial" w:hAnsi="Arial" w:cs="Arial"/>
          <w:sz w:val="22"/>
          <w:lang w:val="es-ES_tradnl"/>
        </w:rPr>
        <w:t xml:space="preserve">, usted manifiesta lo siguiente: </w:t>
      </w:r>
    </w:p>
    <w:p w14:paraId="3156AC6D" w14:textId="6521A66A" w:rsidR="008C7B64" w:rsidRDefault="008C7B64" w:rsidP="006A574E">
      <w:pPr>
        <w:spacing w:line="276" w:lineRule="auto"/>
        <w:jc w:val="both"/>
        <w:rPr>
          <w:rFonts w:ascii="Arial" w:hAnsi="Arial" w:cs="Arial"/>
          <w:sz w:val="22"/>
          <w:lang w:val="es-ES_tradnl"/>
        </w:rPr>
      </w:pPr>
    </w:p>
    <w:p w14:paraId="56FA2206" w14:textId="5A31CBE6" w:rsidR="008C7B64" w:rsidRPr="006C4623" w:rsidRDefault="008C7B64" w:rsidP="006C4623">
      <w:pPr>
        <w:ind w:left="709" w:right="709"/>
        <w:jc w:val="both"/>
        <w:rPr>
          <w:rFonts w:ascii="Arial" w:hAnsi="Arial" w:cs="Arial"/>
          <w:sz w:val="21"/>
          <w:szCs w:val="21"/>
          <w:lang w:val="es-ES_tradnl"/>
        </w:rPr>
      </w:pPr>
      <w:r w:rsidRPr="006C4623">
        <w:rPr>
          <w:rFonts w:ascii="Arial" w:hAnsi="Arial" w:cs="Arial"/>
          <w:sz w:val="21"/>
          <w:szCs w:val="21"/>
          <w:lang w:val="es-ES_tradnl"/>
        </w:rPr>
        <w:t>«[…] si bien es cierto el parágrafo del Artículo en comento exceptúa de la aplicación del contenido del Artículo 56 a las Empresas Sociales del Estado, esto lo hace única y exclusivamente como su mismo contenido lo señala: únicamente en cuanto a la contratación de su giro ordinario, en este sentido siendo claro que la excepción únicamente se predica para los contratos que realice la ESE en aquella contratación que obedezca a su giro</w:t>
      </w:r>
      <w:r w:rsidR="006C4623" w:rsidRPr="006C4623">
        <w:rPr>
          <w:rFonts w:ascii="Arial" w:hAnsi="Arial" w:cs="Arial"/>
          <w:sz w:val="21"/>
          <w:szCs w:val="21"/>
          <w:lang w:val="es-ES_tradnl"/>
        </w:rPr>
        <w:t xml:space="preserve"> ordinario; por lo tanto y encontrando </w:t>
      </w:r>
      <w:r w:rsidR="006C4623" w:rsidRPr="006C4623">
        <w:rPr>
          <w:rFonts w:ascii="Arial" w:hAnsi="Arial" w:cs="Arial"/>
          <w:sz w:val="21"/>
          <w:szCs w:val="21"/>
          <w:lang w:val="es-ES_tradnl"/>
        </w:rPr>
        <w:lastRenderedPageBreak/>
        <w:t>o entendiendo que por ejemplo los contratos de obra no son procesos que pertenecen al giro ordinario de una Empresa Social del Estado […]».</w:t>
      </w:r>
    </w:p>
    <w:p w14:paraId="67218649" w14:textId="77777777" w:rsidR="008C7B64" w:rsidRDefault="008C7B64" w:rsidP="006A574E">
      <w:pPr>
        <w:spacing w:line="276" w:lineRule="auto"/>
        <w:jc w:val="both"/>
        <w:rPr>
          <w:rFonts w:ascii="Arial" w:hAnsi="Arial" w:cs="Arial"/>
          <w:sz w:val="22"/>
          <w:lang w:val="es-ES_tradnl"/>
        </w:rPr>
      </w:pPr>
    </w:p>
    <w:p w14:paraId="3B453246" w14:textId="39B16FF9" w:rsidR="00B13399" w:rsidRPr="00B27674" w:rsidRDefault="00966B9B" w:rsidP="006A574E">
      <w:pPr>
        <w:spacing w:line="276" w:lineRule="auto"/>
        <w:jc w:val="both"/>
        <w:rPr>
          <w:rFonts w:ascii="Arial" w:hAnsi="Arial" w:cs="Arial"/>
          <w:sz w:val="22"/>
          <w:lang w:val="es-ES_tradnl"/>
        </w:rPr>
      </w:pPr>
      <w:r w:rsidRPr="00B27674">
        <w:rPr>
          <w:rFonts w:ascii="Arial" w:hAnsi="Arial" w:cs="Arial"/>
          <w:sz w:val="22"/>
          <w:lang w:val="es-ES_tradnl"/>
        </w:rPr>
        <w:t>Al respecto</w:t>
      </w:r>
      <w:r w:rsidR="008C7B64">
        <w:rPr>
          <w:rFonts w:ascii="Arial" w:hAnsi="Arial" w:cs="Arial"/>
          <w:sz w:val="22"/>
          <w:lang w:val="es-ES_tradnl"/>
        </w:rPr>
        <w:t>,</w:t>
      </w:r>
      <w:r w:rsidRPr="00B27674">
        <w:rPr>
          <w:rFonts w:ascii="Arial" w:hAnsi="Arial" w:cs="Arial"/>
          <w:sz w:val="22"/>
          <w:lang w:val="es-ES_tradnl"/>
        </w:rPr>
        <w:t xml:space="preserve"> pregunta</w:t>
      </w:r>
      <w:r w:rsidR="008C7B64">
        <w:rPr>
          <w:rFonts w:ascii="Arial" w:hAnsi="Arial" w:cs="Arial"/>
          <w:sz w:val="22"/>
          <w:lang w:val="es-ES_tradnl"/>
        </w:rPr>
        <w:t xml:space="preserve"> lo siguiente</w:t>
      </w:r>
      <w:r w:rsidRPr="00B27674">
        <w:rPr>
          <w:rFonts w:ascii="Arial" w:hAnsi="Arial" w:cs="Arial"/>
          <w:sz w:val="22"/>
          <w:lang w:val="es-ES_tradnl"/>
        </w:rPr>
        <w:t>:</w:t>
      </w:r>
    </w:p>
    <w:p w14:paraId="0B593FD4" w14:textId="77777777" w:rsidR="00966B9B" w:rsidRPr="00B27674" w:rsidRDefault="00966B9B" w:rsidP="00966B9B">
      <w:pPr>
        <w:ind w:left="709" w:right="709"/>
        <w:jc w:val="both"/>
        <w:rPr>
          <w:rFonts w:ascii="Arial" w:hAnsi="Arial" w:cs="Arial"/>
          <w:sz w:val="21"/>
          <w:szCs w:val="21"/>
          <w:lang w:val="es-ES_tradnl"/>
        </w:rPr>
      </w:pPr>
    </w:p>
    <w:p w14:paraId="656A6CE8" w14:textId="445DF827" w:rsidR="003F22A4" w:rsidRDefault="008B3031" w:rsidP="003F22A4">
      <w:pPr>
        <w:tabs>
          <w:tab w:val="decimal" w:pos="765"/>
          <w:tab w:val="right" w:pos="7371"/>
        </w:tabs>
        <w:ind w:left="709" w:right="709"/>
        <w:jc w:val="both"/>
        <w:rPr>
          <w:rFonts w:ascii="Arial" w:hAnsi="Arial" w:cs="Arial"/>
          <w:bCs/>
          <w:sz w:val="21"/>
          <w:szCs w:val="21"/>
          <w:lang w:val="es-ES"/>
        </w:rPr>
      </w:pPr>
      <w:r w:rsidRPr="00B27674">
        <w:rPr>
          <w:rFonts w:ascii="Arial" w:hAnsi="Arial" w:cs="Arial"/>
          <w:bCs/>
          <w:sz w:val="21"/>
          <w:szCs w:val="21"/>
          <w:lang w:val="es-ES"/>
        </w:rPr>
        <w:t>«</w:t>
      </w:r>
      <w:r w:rsidR="0080072E">
        <w:rPr>
          <w:rFonts w:ascii="Arial" w:hAnsi="Arial" w:cs="Arial"/>
          <w:bCs/>
          <w:sz w:val="21"/>
          <w:szCs w:val="21"/>
          <w:lang w:val="es-ES"/>
        </w:rPr>
        <w:t>1</w:t>
      </w:r>
      <w:r w:rsidR="003F22A4">
        <w:rPr>
          <w:rFonts w:ascii="Arial" w:hAnsi="Arial" w:cs="Arial"/>
          <w:bCs/>
          <w:sz w:val="21"/>
          <w:szCs w:val="21"/>
          <w:lang w:val="es-ES"/>
        </w:rPr>
        <w:t xml:space="preserve">. </w:t>
      </w:r>
      <w:r w:rsidR="0080072E">
        <w:rPr>
          <w:rFonts w:ascii="Arial" w:hAnsi="Arial" w:cs="Arial"/>
          <w:bCs/>
          <w:sz w:val="21"/>
          <w:szCs w:val="21"/>
          <w:lang w:val="es-ES"/>
        </w:rPr>
        <w:t xml:space="preserve">¿Le son entonces aplicables los pliegos tipo </w:t>
      </w:r>
      <w:r w:rsidR="003F22A4">
        <w:rPr>
          <w:rFonts w:ascii="Arial" w:hAnsi="Arial" w:cs="Arial"/>
          <w:bCs/>
          <w:sz w:val="21"/>
          <w:szCs w:val="21"/>
          <w:lang w:val="es-ES"/>
        </w:rPr>
        <w:t>y por ende el Estatuto General de Contratación a las ESES para este tipo de contratación?</w:t>
      </w:r>
    </w:p>
    <w:p w14:paraId="46EDFAE1" w14:textId="32BE5352" w:rsidR="003F22A4" w:rsidRDefault="003F22A4" w:rsidP="003F22A4">
      <w:pPr>
        <w:tabs>
          <w:tab w:val="decimal" w:pos="765"/>
          <w:tab w:val="right" w:pos="7371"/>
        </w:tabs>
        <w:ind w:left="709" w:right="709"/>
        <w:jc w:val="both"/>
        <w:rPr>
          <w:rFonts w:ascii="Arial" w:hAnsi="Arial" w:cs="Arial"/>
          <w:bCs/>
          <w:sz w:val="21"/>
          <w:szCs w:val="21"/>
          <w:lang w:val="es-ES"/>
        </w:rPr>
      </w:pPr>
    </w:p>
    <w:p w14:paraId="4A8F3280" w14:textId="6102A3EC" w:rsidR="003F22A4" w:rsidRDefault="003F22A4" w:rsidP="003F22A4">
      <w:pPr>
        <w:tabs>
          <w:tab w:val="decimal" w:pos="765"/>
          <w:tab w:val="right" w:pos="7371"/>
        </w:tabs>
        <w:ind w:left="709" w:right="709"/>
        <w:jc w:val="both"/>
        <w:rPr>
          <w:rFonts w:ascii="Arial" w:hAnsi="Arial" w:cs="Arial"/>
          <w:bCs/>
          <w:sz w:val="21"/>
          <w:szCs w:val="21"/>
          <w:lang w:val="es-ES"/>
        </w:rPr>
      </w:pPr>
      <w:r>
        <w:rPr>
          <w:rFonts w:ascii="Arial" w:hAnsi="Arial" w:cs="Arial"/>
          <w:bCs/>
          <w:sz w:val="21"/>
          <w:szCs w:val="21"/>
          <w:lang w:val="es-ES"/>
        </w:rPr>
        <w:t xml:space="preserve">2. Cuando la norma en comento señala </w:t>
      </w:r>
      <w:r w:rsidRPr="008C7B64">
        <w:rPr>
          <w:rFonts w:ascii="Arial" w:hAnsi="Arial" w:cs="Arial"/>
          <w:b/>
          <w:sz w:val="21"/>
          <w:szCs w:val="21"/>
          <w:lang w:val="es-ES"/>
        </w:rPr>
        <w:t>únicamente en cuanto a la contratación de su giro ordinario</w:t>
      </w:r>
      <w:r>
        <w:rPr>
          <w:rFonts w:ascii="Arial" w:hAnsi="Arial" w:cs="Arial"/>
          <w:bCs/>
          <w:sz w:val="21"/>
          <w:szCs w:val="21"/>
          <w:lang w:val="es-ES"/>
        </w:rPr>
        <w:t>, ¿Que [sic] interpretación y alcance debe darse a dichas expresiones?</w:t>
      </w:r>
    </w:p>
    <w:p w14:paraId="68CE18F3" w14:textId="45A0154B" w:rsidR="003F22A4" w:rsidRDefault="003F22A4" w:rsidP="003F22A4">
      <w:pPr>
        <w:tabs>
          <w:tab w:val="decimal" w:pos="765"/>
          <w:tab w:val="right" w:pos="7371"/>
        </w:tabs>
        <w:ind w:left="709" w:right="709"/>
        <w:jc w:val="both"/>
        <w:rPr>
          <w:rFonts w:ascii="Arial" w:hAnsi="Arial" w:cs="Arial"/>
          <w:bCs/>
          <w:sz w:val="21"/>
          <w:szCs w:val="21"/>
          <w:lang w:val="es-ES"/>
        </w:rPr>
      </w:pPr>
    </w:p>
    <w:p w14:paraId="295DB11E" w14:textId="6CC08F19" w:rsidR="003F22A4" w:rsidRPr="003F22A4" w:rsidRDefault="003F22A4" w:rsidP="003F22A4">
      <w:pPr>
        <w:tabs>
          <w:tab w:val="decimal" w:pos="765"/>
          <w:tab w:val="right" w:pos="7371"/>
        </w:tabs>
        <w:ind w:left="709" w:right="709"/>
        <w:jc w:val="both"/>
        <w:rPr>
          <w:rFonts w:ascii="Arial" w:hAnsi="Arial" w:cs="Arial"/>
          <w:bCs/>
          <w:sz w:val="21"/>
          <w:szCs w:val="21"/>
          <w:lang w:val="es-ES"/>
        </w:rPr>
      </w:pPr>
      <w:r>
        <w:rPr>
          <w:rFonts w:ascii="Arial" w:hAnsi="Arial" w:cs="Arial"/>
          <w:bCs/>
          <w:sz w:val="21"/>
          <w:szCs w:val="21"/>
          <w:lang w:val="es-ES"/>
        </w:rPr>
        <w:t>3. ¿Qué fuerza vinculante podemos aplicar de los conceptos emitidos y que difieren o varían del contenido de la norma?</w:t>
      </w:r>
      <w:r w:rsidR="000C274B">
        <w:rPr>
          <w:rFonts w:ascii="Arial" w:hAnsi="Arial" w:cs="Arial"/>
          <w:bCs/>
          <w:sz w:val="21"/>
          <w:szCs w:val="21"/>
          <w:lang w:val="es-ES"/>
        </w:rPr>
        <w:t>»</w:t>
      </w:r>
    </w:p>
    <w:p w14:paraId="12E12D26" w14:textId="633B6480" w:rsidR="00AF07A5" w:rsidRPr="00B27674" w:rsidRDefault="00AF07A5" w:rsidP="008C7B64">
      <w:pPr>
        <w:ind w:right="709"/>
        <w:jc w:val="both"/>
        <w:rPr>
          <w:rFonts w:ascii="Arial" w:hAnsi="Arial" w:cs="Arial"/>
          <w:sz w:val="21"/>
          <w:szCs w:val="21"/>
          <w:lang w:val="es-ES_tradnl"/>
        </w:rPr>
      </w:pPr>
    </w:p>
    <w:p w14:paraId="124D2DCA" w14:textId="77777777" w:rsidR="00DD5B04" w:rsidRPr="00B27674"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B27674">
        <w:rPr>
          <w:rFonts w:ascii="Arial" w:eastAsia="Calibri" w:hAnsi="Arial" w:cs="Arial"/>
          <w:b/>
          <w:sz w:val="22"/>
          <w:lang w:val="es-ES_tradnl"/>
        </w:rPr>
        <w:t>Consideraciones</w:t>
      </w:r>
    </w:p>
    <w:p w14:paraId="344D2E5A" w14:textId="77777777" w:rsidR="00AA1BB6" w:rsidRPr="00B27674" w:rsidRDefault="00AA1BB6" w:rsidP="00025515">
      <w:pPr>
        <w:spacing w:line="276" w:lineRule="auto"/>
        <w:jc w:val="both"/>
        <w:rPr>
          <w:rFonts w:ascii="Arial" w:hAnsi="Arial" w:cs="Arial"/>
          <w:noProof/>
          <w:sz w:val="22"/>
          <w:lang w:val="es-ES_tradnl"/>
        </w:rPr>
      </w:pPr>
    </w:p>
    <w:p w14:paraId="45BFB279" w14:textId="77777777" w:rsidR="00133011" w:rsidRPr="006D54A1" w:rsidRDefault="00133011" w:rsidP="00133011">
      <w:pPr>
        <w:spacing w:after="120" w:line="276" w:lineRule="auto"/>
        <w:jc w:val="both"/>
        <w:rPr>
          <w:rFonts w:ascii="Arial" w:hAnsi="Arial" w:cs="Arial"/>
          <w:bCs/>
          <w:sz w:val="22"/>
          <w:lang w:val="es-ES_tradnl"/>
        </w:rPr>
      </w:pPr>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es bueno 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62EA68B" w14:textId="77777777" w:rsidR="00133011" w:rsidRPr="006D54A1" w:rsidRDefault="00133011" w:rsidP="00133011">
      <w:pPr>
        <w:spacing w:after="120" w:line="276" w:lineRule="auto"/>
        <w:ind w:firstLine="708"/>
        <w:jc w:val="both"/>
        <w:rPr>
          <w:rFonts w:ascii="Arial" w:hAnsi="Arial" w:cs="Arial"/>
          <w:sz w:val="22"/>
          <w:lang w:val="es-ES_tradnl"/>
        </w:rPr>
      </w:pPr>
      <w:bookmarkStart w:id="3" w:name="_Hlk61701014"/>
      <w:bookmarkStart w:id="4" w:name="_Hlk62136649"/>
      <w:r w:rsidRPr="006D54A1">
        <w:rPr>
          <w:rFonts w:ascii="Arial" w:hAnsi="Arial" w:cs="Arial"/>
          <w:sz w:val="22"/>
          <w:lang w:val="es-ES_tradnl"/>
        </w:rPr>
        <w:t xml:space="preserve">Es necesario tener en cuenta que </w:t>
      </w:r>
      <w:bookmarkStart w:id="5" w:name="_Hlk61026958"/>
      <w:r w:rsidRPr="006D54A1">
        <w:rPr>
          <w:rFonts w:ascii="Arial" w:hAnsi="Arial" w:cs="Arial"/>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26B8137D" w14:textId="77777777" w:rsidR="00133011" w:rsidRPr="006D54A1" w:rsidRDefault="00133011" w:rsidP="00133011">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xml:space="preserve">. Esta competencia de interpretación de normas generales, por definición, no puede extenderse a la resolución de controversias, ni a brindar asesorías sobre casos puntuales. Esto en la </w:t>
      </w:r>
      <w:r w:rsidRPr="006D54A1">
        <w:rPr>
          <w:rFonts w:ascii="Arial" w:hAnsi="Arial" w:cs="Arial"/>
          <w:sz w:val="22"/>
          <w:lang w:val="es-ES_tradnl"/>
        </w:rPr>
        <w:lastRenderedPageBreak/>
        <w:t>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3"/>
    </w:p>
    <w:bookmarkEnd w:id="4"/>
    <w:p w14:paraId="7ED078F3" w14:textId="3601536A" w:rsidR="00133011" w:rsidRPr="00ED66B7" w:rsidRDefault="00133011" w:rsidP="00133011">
      <w:pPr>
        <w:spacing w:after="120" w:line="276" w:lineRule="auto"/>
        <w:ind w:firstLine="709"/>
        <w:jc w:val="both"/>
        <w:rPr>
          <w:rFonts w:ascii="Arial" w:eastAsia="Calibri" w:hAnsi="Arial" w:cs="Arial"/>
          <w:sz w:val="22"/>
          <w:szCs w:val="22"/>
          <w:lang w:val="es-ES_tradnl" w:eastAsia="en-US"/>
        </w:rPr>
      </w:pPr>
      <w:r w:rsidRPr="006D54A1">
        <w:rPr>
          <w:rFonts w:ascii="Arial" w:eastAsia="Calibri" w:hAnsi="Arial" w:cs="Arial"/>
          <w:color w:val="000000" w:themeColor="text1"/>
          <w:sz w:val="22"/>
          <w:lang w:val="es-ES_tradnl"/>
        </w:rPr>
        <w:t xml:space="preserve">Sin perjuicio de lo anterior, la Agencia –dentro de los límites de sus atribuciones– resolverá la consulta </w:t>
      </w:r>
      <w:r w:rsidRPr="00483051">
        <w:rPr>
          <w:rFonts w:ascii="Arial" w:eastAsia="Calibri" w:hAnsi="Arial" w:cs="Arial"/>
          <w:sz w:val="22"/>
          <w:szCs w:val="22"/>
          <w:lang w:val="es-ES_tradnl" w:eastAsia="en-US"/>
        </w:rPr>
        <w:t xml:space="preserve">conforme a las normas generales en materia de contratación estatal. </w:t>
      </w:r>
      <w:r w:rsidRPr="002A0F18">
        <w:rPr>
          <w:rFonts w:ascii="Arial" w:eastAsia="Calibri" w:hAnsi="Arial" w:cs="Arial"/>
          <w:sz w:val="22"/>
          <w:szCs w:val="22"/>
          <w:lang w:val="es-ES_tradnl" w:eastAsia="en-US"/>
        </w:rPr>
        <w:t>En este sentido</w:t>
      </w:r>
      <w:r w:rsidRPr="00F42429">
        <w:rPr>
          <w:rFonts w:ascii="Arial" w:eastAsia="Calibri" w:hAnsi="Arial" w:cs="Arial"/>
          <w:sz w:val="22"/>
          <w:szCs w:val="22"/>
          <w:lang w:val="es-ES_tradnl" w:eastAsia="en-US"/>
        </w:rPr>
        <w:t xml:space="preserve">, se analizarán los siguientes temas: i) fundamento normativo y ámbito de aplicación de los documentos tipo, ii) </w:t>
      </w:r>
      <w:r w:rsidR="00F42429">
        <w:rPr>
          <w:rFonts w:ascii="Arial" w:eastAsia="Calibri" w:hAnsi="Arial" w:cs="Arial"/>
          <w:sz w:val="22"/>
          <w:szCs w:val="22"/>
          <w:lang w:val="es-ES_tradnl" w:eastAsia="en-US"/>
        </w:rPr>
        <w:t>a</w:t>
      </w:r>
      <w:r w:rsidR="00F42429" w:rsidRPr="00F42429">
        <w:rPr>
          <w:rFonts w:ascii="Arial" w:eastAsia="Calibri" w:hAnsi="Arial" w:cs="Arial"/>
          <w:sz w:val="22"/>
          <w:szCs w:val="22"/>
          <w:lang w:val="es-ES_tradnl" w:eastAsia="en-US"/>
        </w:rPr>
        <w:t>nálisis del artículo 56 de la Ley 2195 de 2022</w:t>
      </w:r>
      <w:r w:rsidRPr="002A0F18">
        <w:rPr>
          <w:rFonts w:ascii="Arial" w:eastAsia="Calibri" w:hAnsi="Arial" w:cs="Arial"/>
          <w:sz w:val="22"/>
          <w:szCs w:val="22"/>
          <w:lang w:val="es-ES_tradnl" w:eastAsia="en-US"/>
        </w:rPr>
        <w:t xml:space="preserve">, iii) </w:t>
      </w:r>
      <w:r w:rsidRPr="00F42429">
        <w:rPr>
          <w:rFonts w:ascii="Arial" w:eastAsia="Calibri" w:hAnsi="Arial" w:cs="Arial"/>
          <w:sz w:val="22"/>
          <w:szCs w:val="22"/>
          <w:lang w:val="es-ES_tradnl" w:eastAsia="en-US"/>
        </w:rPr>
        <w:t>régimen contractual de las Empresas Sociales del Estado</w:t>
      </w:r>
      <w:r w:rsidR="00F42429">
        <w:rPr>
          <w:rFonts w:ascii="Arial" w:eastAsia="Calibri" w:hAnsi="Arial" w:cs="Arial"/>
          <w:sz w:val="22"/>
          <w:szCs w:val="22"/>
          <w:lang w:val="es-ES_tradnl" w:eastAsia="en-US"/>
        </w:rPr>
        <w:t xml:space="preserve"> y iv) </w:t>
      </w:r>
      <w:r w:rsidR="00F42429" w:rsidRPr="00483051">
        <w:rPr>
          <w:rFonts w:ascii="Arial" w:eastAsia="Calibri" w:hAnsi="Arial" w:cs="Arial"/>
          <w:sz w:val="22"/>
          <w:szCs w:val="22"/>
          <w:lang w:val="es-ES_tradnl" w:eastAsia="en-US"/>
        </w:rPr>
        <w:t>función consultiva de la Agencia Nacional de Contratación Pública – Colombia Compra Eficiente</w:t>
      </w:r>
      <w:r w:rsidR="00F42429">
        <w:rPr>
          <w:rFonts w:ascii="Arial" w:eastAsia="Calibri" w:hAnsi="Arial" w:cs="Arial"/>
          <w:sz w:val="22"/>
          <w:szCs w:val="22"/>
          <w:lang w:val="es-ES_tradnl" w:eastAsia="en-US"/>
        </w:rPr>
        <w:t>.</w:t>
      </w:r>
    </w:p>
    <w:p w14:paraId="2D197EB9" w14:textId="2B0C8D38" w:rsidR="00B67CED" w:rsidRPr="002B116D" w:rsidRDefault="007B6975" w:rsidP="00483051">
      <w:pPr>
        <w:spacing w:line="276" w:lineRule="auto"/>
        <w:ind w:firstLine="708"/>
        <w:jc w:val="both"/>
        <w:rPr>
          <w:rFonts w:ascii="Arial" w:eastAsia="Arial" w:hAnsi="Arial" w:cs="Arial"/>
          <w:sz w:val="22"/>
          <w:lang w:val="es-ES_tradnl"/>
        </w:rPr>
      </w:pPr>
      <w:r w:rsidRPr="00B27674">
        <w:rPr>
          <w:rFonts w:ascii="Arial" w:hAnsi="Arial" w:cs="Arial"/>
          <w:noProof/>
          <w:sz w:val="22"/>
          <w:lang w:val="es-ES_tradnl"/>
        </w:rPr>
        <w:t xml:space="preserve">La Agencia Nacional de Contratación Pública – Colombia Compra Eficiente </w:t>
      </w:r>
      <w:r w:rsidR="00A4213F" w:rsidRPr="00B27674">
        <w:rPr>
          <w:rFonts w:ascii="Arial" w:hAnsi="Arial" w:cs="Arial"/>
          <w:noProof/>
          <w:sz w:val="22"/>
          <w:lang w:val="es-ES_tradnl"/>
        </w:rPr>
        <w:t>se</w:t>
      </w:r>
      <w:r w:rsidR="00065C70" w:rsidRPr="00B27674">
        <w:rPr>
          <w:rFonts w:ascii="Arial" w:hAnsi="Arial" w:cs="Arial"/>
          <w:noProof/>
          <w:sz w:val="22"/>
          <w:lang w:val="es-ES_tradnl"/>
        </w:rPr>
        <w:t xml:space="preserve"> ha pronunciado</w:t>
      </w:r>
      <w:r w:rsidR="00A4213F" w:rsidRPr="00B27674">
        <w:rPr>
          <w:rFonts w:ascii="Arial" w:hAnsi="Arial" w:cs="Arial"/>
          <w:noProof/>
          <w:sz w:val="22"/>
          <w:lang w:val="es-ES_tradnl"/>
        </w:rPr>
        <w:t xml:space="preserve"> sobre</w:t>
      </w:r>
      <w:r w:rsidR="00065C70" w:rsidRPr="00B27674">
        <w:rPr>
          <w:rFonts w:ascii="Arial" w:hAnsi="Arial" w:cs="Arial"/>
          <w:noProof/>
          <w:sz w:val="22"/>
          <w:lang w:val="es-ES_tradnl"/>
        </w:rPr>
        <w:t xml:space="preserve"> el ámbito de aplicación de</w:t>
      </w:r>
      <w:r w:rsidR="00A4213F" w:rsidRPr="00B27674">
        <w:rPr>
          <w:rFonts w:ascii="Arial" w:hAnsi="Arial" w:cs="Arial"/>
          <w:noProof/>
          <w:sz w:val="22"/>
          <w:lang w:val="es-ES_tradnl"/>
        </w:rPr>
        <w:t xml:space="preserve"> </w:t>
      </w:r>
      <w:r w:rsidR="00430F7D" w:rsidRPr="00B27674">
        <w:rPr>
          <w:rFonts w:ascii="Arial" w:eastAsia="Arial" w:hAnsi="Arial" w:cs="Arial"/>
          <w:sz w:val="22"/>
          <w:lang w:val="es-ES_tradnl"/>
        </w:rPr>
        <w:t>los</w:t>
      </w:r>
      <w:r w:rsidR="00B67CED" w:rsidRPr="00B27674">
        <w:rPr>
          <w:rFonts w:ascii="Arial" w:eastAsia="Arial" w:hAnsi="Arial" w:cs="Arial"/>
          <w:sz w:val="22"/>
          <w:lang w:val="es-ES_tradnl"/>
        </w:rPr>
        <w:t xml:space="preserve"> </w:t>
      </w:r>
      <w:r w:rsidR="00065C70" w:rsidRPr="00B27674">
        <w:rPr>
          <w:rFonts w:ascii="Arial" w:eastAsia="Arial" w:hAnsi="Arial" w:cs="Arial"/>
          <w:sz w:val="22"/>
          <w:lang w:val="es-ES_tradnl"/>
        </w:rPr>
        <w:t>documentos tipo</w:t>
      </w:r>
      <w:r w:rsidR="00B67CED" w:rsidRPr="00B27674">
        <w:rPr>
          <w:rFonts w:ascii="Arial" w:eastAsia="Arial" w:hAnsi="Arial" w:cs="Arial"/>
          <w:sz w:val="22"/>
          <w:lang w:val="es-ES_tradnl"/>
        </w:rPr>
        <w:t xml:space="preserve"> </w:t>
      </w:r>
      <w:r w:rsidR="00E01519" w:rsidRPr="00B27674">
        <w:rPr>
          <w:rFonts w:ascii="Arial" w:eastAsia="Arial" w:hAnsi="Arial" w:cs="Arial"/>
          <w:sz w:val="22"/>
          <w:lang w:val="es-ES_tradnl"/>
        </w:rPr>
        <w:t>en la contratación estatal</w:t>
      </w:r>
      <w:r w:rsidR="00B67CED" w:rsidRPr="00B27674">
        <w:rPr>
          <w:rFonts w:ascii="Arial" w:eastAsia="Arial" w:hAnsi="Arial" w:cs="Arial"/>
          <w:sz w:val="22"/>
          <w:lang w:val="es-ES_tradnl"/>
        </w:rPr>
        <w:t>,</w:t>
      </w:r>
      <w:r w:rsidR="00885E06" w:rsidRPr="00B27674">
        <w:rPr>
          <w:rFonts w:ascii="Arial" w:eastAsia="Arial" w:hAnsi="Arial" w:cs="Arial"/>
          <w:sz w:val="22"/>
          <w:lang w:val="es-ES_tradnl"/>
        </w:rPr>
        <w:t xml:space="preserve"> </w:t>
      </w:r>
      <w:r w:rsidR="00B67CED" w:rsidRPr="00B27674">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B27674">
        <w:rPr>
          <w:rFonts w:ascii="Arial" w:eastAsia="Arial" w:hAnsi="Arial" w:cs="Arial"/>
          <w:sz w:val="22"/>
          <w:lang w:val="es-ES_tradnl"/>
        </w:rPr>
        <w:t xml:space="preserve">, </w:t>
      </w:r>
      <w:r w:rsidR="00B67CED" w:rsidRPr="00B27674">
        <w:rPr>
          <w:rFonts w:ascii="Arial" w:eastAsia="Arial" w:hAnsi="Arial" w:cs="Arial"/>
          <w:sz w:val="22"/>
          <w:lang w:val="es-ES_tradnl"/>
        </w:rPr>
        <w:t>C-570 del 27 de agosto de 2020</w:t>
      </w:r>
      <w:r w:rsidR="00D944AC" w:rsidRPr="00B27674">
        <w:rPr>
          <w:rFonts w:ascii="Arial" w:eastAsia="Arial" w:hAnsi="Arial" w:cs="Arial"/>
          <w:sz w:val="22"/>
          <w:lang w:val="es-ES_tradnl"/>
        </w:rPr>
        <w:t>, C</w:t>
      </w:r>
      <w:r w:rsidR="00C638CD" w:rsidRPr="00B27674">
        <w:rPr>
          <w:rFonts w:ascii="Arial" w:eastAsia="Arial" w:hAnsi="Arial" w:cs="Arial"/>
          <w:sz w:val="22"/>
          <w:lang w:val="es-ES_tradnl"/>
        </w:rPr>
        <w:t>-713 del 2 de diciembre de 2020</w:t>
      </w:r>
      <w:r w:rsidR="00F53C88">
        <w:rPr>
          <w:rFonts w:ascii="Arial" w:eastAsia="Arial" w:hAnsi="Arial" w:cs="Arial"/>
          <w:sz w:val="22"/>
          <w:lang w:val="es-ES_tradnl"/>
        </w:rPr>
        <w:t xml:space="preserve">, </w:t>
      </w:r>
      <w:r w:rsidR="00C638CD" w:rsidRPr="00B27674">
        <w:rPr>
          <w:rFonts w:ascii="Arial" w:eastAsia="Arial" w:hAnsi="Arial" w:cs="Arial"/>
          <w:sz w:val="22"/>
          <w:lang w:val="es-ES_tradnl"/>
        </w:rPr>
        <w:t>C-</w:t>
      </w:r>
      <w:r w:rsidR="0059455B" w:rsidRPr="00B27674">
        <w:rPr>
          <w:rFonts w:ascii="Arial" w:eastAsia="Arial" w:hAnsi="Arial" w:cs="Arial"/>
          <w:sz w:val="22"/>
          <w:lang w:val="es-ES_tradnl"/>
        </w:rPr>
        <w:t>744 del 22 de diciembre de 2020</w:t>
      </w:r>
      <w:r w:rsidR="00F53C88">
        <w:rPr>
          <w:rFonts w:ascii="Arial" w:eastAsia="Arial" w:hAnsi="Arial" w:cs="Arial"/>
          <w:sz w:val="22"/>
          <w:lang w:val="es-ES_tradnl"/>
        </w:rPr>
        <w:t xml:space="preserve">, </w:t>
      </w:r>
      <w:r w:rsidR="00F53C88" w:rsidRPr="00F53C88">
        <w:rPr>
          <w:rFonts w:ascii="Arial" w:eastAsia="Arial" w:hAnsi="Arial" w:cs="Arial"/>
          <w:sz w:val="22"/>
          <w:lang w:val="es-ES_tradnl"/>
        </w:rPr>
        <w:t>C-778 del 18 de enero de 2021, C-021 del 22 de febrero de 2021, C-091 del 23 de marzo de 2021, C-200 del 14 de mayo de 2021, C-231 del 24 de mayo de 2021, C- 279 del 25 de mayo de 2021, C-267 de 2 de junio de 2021, C-370 del 28 de julio de</w:t>
      </w:r>
      <w:r w:rsidR="002B116D">
        <w:rPr>
          <w:rFonts w:ascii="Arial" w:eastAsia="Arial" w:hAnsi="Arial" w:cs="Arial"/>
          <w:sz w:val="22"/>
          <w:lang w:val="es-ES_tradnl"/>
        </w:rPr>
        <w:t xml:space="preserve"> </w:t>
      </w:r>
      <w:r w:rsidR="00F53C88" w:rsidRPr="00F53C88">
        <w:rPr>
          <w:rFonts w:ascii="Arial" w:eastAsia="Arial" w:hAnsi="Arial" w:cs="Arial"/>
          <w:sz w:val="22"/>
          <w:lang w:val="es-ES_tradnl"/>
        </w:rPr>
        <w:t>2021</w:t>
      </w:r>
      <w:r w:rsidR="004D4517">
        <w:rPr>
          <w:rFonts w:ascii="Arial" w:eastAsia="Arial" w:hAnsi="Arial" w:cs="Arial"/>
          <w:sz w:val="22"/>
          <w:lang w:val="es-ES_tradnl"/>
        </w:rPr>
        <w:t xml:space="preserve">, </w:t>
      </w:r>
      <w:r w:rsidR="00F53C88" w:rsidRPr="00F53C88">
        <w:rPr>
          <w:rFonts w:ascii="Arial" w:eastAsia="Arial" w:hAnsi="Arial" w:cs="Arial"/>
          <w:sz w:val="22"/>
          <w:lang w:val="es-ES_tradnl"/>
        </w:rPr>
        <w:t>C-380 del 29 de julio de 2021</w:t>
      </w:r>
      <w:r w:rsidR="002B116D">
        <w:rPr>
          <w:rFonts w:ascii="Arial" w:eastAsia="Arial" w:hAnsi="Arial" w:cs="Arial"/>
          <w:sz w:val="22"/>
          <w:lang w:val="es-ES_tradnl"/>
        </w:rPr>
        <w:t xml:space="preserve">, </w:t>
      </w:r>
      <w:r w:rsidR="00FB45F5">
        <w:rPr>
          <w:rFonts w:ascii="Arial" w:eastAsia="Arial" w:hAnsi="Arial" w:cs="Arial"/>
          <w:sz w:val="22"/>
          <w:lang w:val="es-ES_tradnl"/>
        </w:rPr>
        <w:t>C-402 del 19 de agosto de 2021,</w:t>
      </w:r>
      <w:r w:rsidR="00986C6D">
        <w:rPr>
          <w:rFonts w:ascii="Arial" w:eastAsia="Arial" w:hAnsi="Arial" w:cs="Arial"/>
          <w:sz w:val="22"/>
          <w:lang w:val="es-ES_tradnl"/>
        </w:rPr>
        <w:t xml:space="preserve"> C-569 del 12 de octubre de 20</w:t>
      </w:r>
      <w:r w:rsidR="008F7C39">
        <w:rPr>
          <w:rFonts w:ascii="Arial" w:eastAsia="Arial" w:hAnsi="Arial" w:cs="Arial"/>
          <w:sz w:val="22"/>
          <w:lang w:val="es-ES_tradnl"/>
        </w:rPr>
        <w:t xml:space="preserve">21, </w:t>
      </w:r>
      <w:r w:rsidR="002646FC">
        <w:rPr>
          <w:rFonts w:ascii="Arial" w:eastAsia="Arial" w:hAnsi="Arial" w:cs="Arial"/>
          <w:sz w:val="22"/>
          <w:lang w:val="es-ES_tradnl"/>
        </w:rPr>
        <w:t>C-643 del 17 de noviembre de 20</w:t>
      </w:r>
      <w:r w:rsidR="00C57F51">
        <w:rPr>
          <w:rFonts w:ascii="Arial" w:eastAsia="Arial" w:hAnsi="Arial" w:cs="Arial"/>
          <w:sz w:val="22"/>
          <w:lang w:val="es-ES_tradnl"/>
        </w:rPr>
        <w:t xml:space="preserve">21 y </w:t>
      </w:r>
      <w:r w:rsidR="00541748">
        <w:rPr>
          <w:rFonts w:ascii="Arial" w:eastAsia="Arial" w:hAnsi="Arial" w:cs="Arial"/>
          <w:sz w:val="22"/>
          <w:lang w:val="es-ES_tradnl"/>
        </w:rPr>
        <w:t>C-679 del 24 de enero de 2022</w:t>
      </w:r>
      <w:r w:rsidR="002B116D">
        <w:rPr>
          <w:rFonts w:ascii="Arial" w:eastAsia="Arial" w:hAnsi="Arial" w:cs="Arial"/>
          <w:sz w:val="22"/>
          <w:lang w:val="es-ES_tradnl"/>
        </w:rPr>
        <w:t>.</w:t>
      </w:r>
      <w:r w:rsidR="00AA1BB6" w:rsidRPr="00B27674">
        <w:rPr>
          <w:rFonts w:ascii="Arial" w:eastAsia="Arial" w:hAnsi="Arial" w:cs="Arial"/>
          <w:sz w:val="22"/>
          <w:lang w:val="es-ES_tradnl"/>
        </w:rPr>
        <w:t xml:space="preserve"> De otra parte, </w:t>
      </w:r>
      <w:r w:rsidR="00296D52" w:rsidRPr="00B27674">
        <w:rPr>
          <w:rFonts w:ascii="Arial" w:eastAsia="Arial" w:hAnsi="Arial" w:cs="Arial"/>
          <w:sz w:val="22"/>
          <w:lang w:val="es-ES_tradnl"/>
        </w:rPr>
        <w:t xml:space="preserve">esta Agencia se pronunció </w:t>
      </w:r>
      <w:r w:rsidR="00AA1BB6" w:rsidRPr="00B27674">
        <w:rPr>
          <w:rFonts w:ascii="Arial" w:eastAsia="Arial" w:hAnsi="Arial" w:cs="Arial"/>
          <w:sz w:val="22"/>
          <w:lang w:val="es-ES_tradnl"/>
        </w:rPr>
        <w:t>sobre el alcance del artículo 56 de la Ley 2195</w:t>
      </w:r>
      <w:r w:rsidR="00EF16B3" w:rsidRPr="00B27674">
        <w:rPr>
          <w:rFonts w:ascii="Arial" w:eastAsia="Arial" w:hAnsi="Arial" w:cs="Arial"/>
          <w:sz w:val="22"/>
          <w:lang w:val="es-ES_tradnl"/>
        </w:rPr>
        <w:t xml:space="preserve"> de 2022</w:t>
      </w:r>
      <w:r w:rsidR="00296D52" w:rsidRPr="00B27674">
        <w:rPr>
          <w:rFonts w:ascii="Arial" w:eastAsia="Arial" w:hAnsi="Arial" w:cs="Arial"/>
          <w:sz w:val="22"/>
          <w:lang w:val="es-ES_tradnl"/>
        </w:rPr>
        <w:t xml:space="preserve"> en </w:t>
      </w:r>
      <w:r w:rsidR="00272393" w:rsidRPr="00B27674">
        <w:rPr>
          <w:rFonts w:ascii="Arial" w:eastAsia="Arial" w:hAnsi="Arial" w:cs="Arial"/>
          <w:sz w:val="22"/>
          <w:lang w:val="es-ES_tradnl"/>
        </w:rPr>
        <w:t xml:space="preserve">los </w:t>
      </w:r>
      <w:r w:rsidR="00296D52" w:rsidRPr="00B27674">
        <w:rPr>
          <w:rFonts w:ascii="Arial" w:eastAsia="Arial" w:hAnsi="Arial" w:cs="Arial"/>
          <w:sz w:val="22"/>
          <w:lang w:val="es-ES_tradnl"/>
        </w:rPr>
        <w:t>concepto</w:t>
      </w:r>
      <w:r w:rsidR="00272393" w:rsidRPr="00B27674">
        <w:rPr>
          <w:rFonts w:ascii="Arial" w:eastAsia="Arial" w:hAnsi="Arial" w:cs="Arial"/>
          <w:sz w:val="22"/>
          <w:lang w:val="es-ES_tradnl"/>
        </w:rPr>
        <w:t>s</w:t>
      </w:r>
      <w:r w:rsidR="00296D52" w:rsidRPr="00B27674">
        <w:rPr>
          <w:rFonts w:ascii="Arial" w:eastAsia="Arial" w:hAnsi="Arial" w:cs="Arial"/>
          <w:sz w:val="22"/>
          <w:lang w:val="es-ES_tradnl"/>
        </w:rPr>
        <w:t xml:space="preserve"> C-066 del 28 de enero de 2022</w:t>
      </w:r>
      <w:r w:rsidR="006A574E" w:rsidRPr="00B27674">
        <w:rPr>
          <w:rFonts w:ascii="Arial" w:eastAsia="Arial" w:hAnsi="Arial" w:cs="Arial"/>
          <w:sz w:val="22"/>
          <w:lang w:val="es-ES_tradnl"/>
        </w:rPr>
        <w:t>,</w:t>
      </w:r>
      <w:r w:rsidR="00272393" w:rsidRPr="00B27674">
        <w:rPr>
          <w:rFonts w:ascii="Arial" w:eastAsia="Arial" w:hAnsi="Arial" w:cs="Arial"/>
          <w:sz w:val="22"/>
          <w:lang w:val="es-ES_tradnl"/>
        </w:rPr>
        <w:t xml:space="preserve"> C-082 del 2 de marzo de 2022</w:t>
      </w:r>
      <w:bookmarkStart w:id="6" w:name="_Hlk97626612"/>
      <w:r w:rsidR="00D26D0F">
        <w:rPr>
          <w:rFonts w:ascii="Arial" w:eastAsia="Arial" w:hAnsi="Arial" w:cs="Arial"/>
          <w:sz w:val="22"/>
          <w:lang w:val="es-ES_tradnl"/>
        </w:rPr>
        <w:t>,</w:t>
      </w:r>
      <w:r w:rsidR="00025515" w:rsidRPr="00B27674">
        <w:rPr>
          <w:rFonts w:ascii="Arial" w:eastAsia="Arial" w:hAnsi="Arial" w:cs="Arial"/>
          <w:sz w:val="22"/>
          <w:lang w:val="es-ES_tradnl"/>
        </w:rPr>
        <w:t xml:space="preserve"> C-065 del 9 de marzo de 2022</w:t>
      </w:r>
      <w:r w:rsidR="00D26D0F">
        <w:rPr>
          <w:rFonts w:ascii="Arial" w:eastAsia="Arial" w:hAnsi="Arial" w:cs="Arial"/>
          <w:sz w:val="22"/>
          <w:lang w:val="es-ES_tradnl"/>
        </w:rPr>
        <w:t xml:space="preserve"> </w:t>
      </w:r>
      <w:r w:rsidR="00A05E1C">
        <w:rPr>
          <w:rFonts w:ascii="Arial" w:eastAsia="Arial" w:hAnsi="Arial" w:cs="Arial"/>
          <w:sz w:val="22"/>
          <w:lang w:val="es-ES_tradnl"/>
        </w:rPr>
        <w:t>y C-086 del 15 de marzo de 2022</w:t>
      </w:r>
      <w:r w:rsidR="00272393" w:rsidRPr="00B27674">
        <w:rPr>
          <w:rStyle w:val="Refdenotaalpie"/>
          <w:rFonts w:ascii="Arial" w:eastAsia="Arial" w:hAnsi="Arial" w:cs="Arial"/>
          <w:sz w:val="22"/>
          <w:lang w:val="es-ES_tradnl"/>
        </w:rPr>
        <w:footnoteReference w:id="3"/>
      </w:r>
      <w:bookmarkEnd w:id="6"/>
      <w:r w:rsidR="00EF16B3" w:rsidRPr="00B27674">
        <w:rPr>
          <w:rFonts w:ascii="Arial" w:eastAsia="Arial" w:hAnsi="Arial" w:cs="Arial"/>
          <w:sz w:val="22"/>
          <w:lang w:val="es-ES_tradnl"/>
        </w:rPr>
        <w:t>.</w:t>
      </w:r>
      <w:r w:rsidR="009C5905" w:rsidRPr="00B27674">
        <w:rPr>
          <w:rFonts w:ascii="Arial" w:eastAsia="Arial" w:hAnsi="Arial" w:cs="Arial"/>
          <w:sz w:val="22"/>
          <w:lang w:val="es-ES_tradnl"/>
        </w:rPr>
        <w:t xml:space="preserve"> </w:t>
      </w:r>
      <w:r w:rsidR="00B67CED" w:rsidRPr="00B27674">
        <w:rPr>
          <w:rFonts w:ascii="Arial" w:eastAsia="Arial" w:hAnsi="Arial" w:cs="Arial"/>
          <w:sz w:val="22"/>
          <w:lang w:val="es-ES_tradnl"/>
        </w:rPr>
        <w:t>Las ideas expuestas en dichas oportunidades se reiterarán y se complementa</w:t>
      </w:r>
      <w:r w:rsidR="00D26D0F">
        <w:rPr>
          <w:rFonts w:ascii="Arial" w:eastAsia="Arial" w:hAnsi="Arial" w:cs="Arial"/>
          <w:sz w:val="22"/>
          <w:lang w:val="es-ES_tradnl"/>
        </w:rPr>
        <w:t xml:space="preserve">rán </w:t>
      </w:r>
      <w:r w:rsidR="00E70779" w:rsidRPr="00B27674">
        <w:rPr>
          <w:rFonts w:ascii="Arial" w:eastAsia="Arial" w:hAnsi="Arial" w:cs="Arial"/>
          <w:sz w:val="22"/>
          <w:lang w:val="es-ES_tradnl"/>
        </w:rPr>
        <w:t>a continuación</w:t>
      </w:r>
      <w:r w:rsidR="00296D52" w:rsidRPr="00B27674">
        <w:rPr>
          <w:rFonts w:ascii="Arial" w:eastAsia="Arial" w:hAnsi="Arial" w:cs="Arial"/>
          <w:sz w:val="22"/>
          <w:lang w:val="es-ES_tradnl"/>
        </w:rPr>
        <w:t>.</w:t>
      </w:r>
      <w:r w:rsidR="00B67CED" w:rsidRPr="00B27674">
        <w:rPr>
          <w:rFonts w:ascii="Arial" w:eastAsia="Arial" w:hAnsi="Arial" w:cs="Arial"/>
          <w:sz w:val="22"/>
          <w:lang w:val="es-ES_tradnl"/>
        </w:rPr>
        <w:t xml:space="preserve">    </w:t>
      </w:r>
    </w:p>
    <w:p w14:paraId="327A3AB8" w14:textId="77777777" w:rsidR="00025515" w:rsidRPr="00B27674" w:rsidRDefault="00025515" w:rsidP="00B67CED">
      <w:pPr>
        <w:spacing w:line="276" w:lineRule="auto"/>
        <w:jc w:val="both"/>
        <w:rPr>
          <w:rFonts w:ascii="Arial" w:eastAsia="Arial" w:hAnsi="Arial" w:cs="Arial"/>
          <w:b/>
          <w:bCs/>
          <w:sz w:val="22"/>
          <w:lang w:val="es-ES_tradnl"/>
        </w:rPr>
      </w:pPr>
    </w:p>
    <w:p w14:paraId="386098CC" w14:textId="16E7766C" w:rsidR="00B67CED" w:rsidRPr="00B27674" w:rsidRDefault="00B67CED" w:rsidP="00B67CED">
      <w:pPr>
        <w:spacing w:line="276" w:lineRule="auto"/>
        <w:jc w:val="both"/>
        <w:rPr>
          <w:rFonts w:ascii="Arial" w:eastAsia="Arial" w:hAnsi="Arial" w:cs="Arial"/>
          <w:b/>
          <w:bCs/>
          <w:sz w:val="22"/>
          <w:lang w:val="es-ES_tradnl"/>
        </w:rPr>
      </w:pPr>
      <w:r w:rsidRPr="00B27674">
        <w:rPr>
          <w:rFonts w:ascii="Arial" w:eastAsia="Arial" w:hAnsi="Arial" w:cs="Arial"/>
          <w:b/>
          <w:bCs/>
          <w:sz w:val="22"/>
          <w:lang w:val="es-ES_tradnl"/>
        </w:rPr>
        <w:t>2.</w:t>
      </w:r>
      <w:r w:rsidR="00D94E5D" w:rsidRPr="00B27674">
        <w:rPr>
          <w:rFonts w:ascii="Arial" w:eastAsia="Arial" w:hAnsi="Arial" w:cs="Arial"/>
          <w:b/>
          <w:bCs/>
          <w:sz w:val="22"/>
          <w:lang w:val="es-ES_tradnl"/>
        </w:rPr>
        <w:t>1</w:t>
      </w:r>
      <w:r w:rsidRPr="00B27674">
        <w:rPr>
          <w:rFonts w:ascii="Arial" w:eastAsia="Arial" w:hAnsi="Arial" w:cs="Arial"/>
          <w:b/>
          <w:bCs/>
          <w:sz w:val="22"/>
          <w:lang w:val="es-ES_tradnl"/>
        </w:rPr>
        <w:t xml:space="preserve">. </w:t>
      </w:r>
      <w:r w:rsidR="00B04B71" w:rsidRPr="00B27674">
        <w:rPr>
          <w:rFonts w:ascii="Arial" w:eastAsia="Arial" w:hAnsi="Arial" w:cs="Arial"/>
          <w:b/>
          <w:bCs/>
          <w:sz w:val="22"/>
          <w:lang w:val="es-ES_tradnl"/>
        </w:rPr>
        <w:t xml:space="preserve">Fundamento normativo </w:t>
      </w:r>
      <w:r w:rsidR="00E70779" w:rsidRPr="00B27674">
        <w:rPr>
          <w:rFonts w:ascii="Arial" w:eastAsia="Arial" w:hAnsi="Arial" w:cs="Arial"/>
          <w:b/>
          <w:bCs/>
          <w:sz w:val="22"/>
          <w:lang w:val="es-ES_tradnl"/>
        </w:rPr>
        <w:t xml:space="preserve">y ámbito de aplicación </w:t>
      </w:r>
      <w:r w:rsidR="00B04B71" w:rsidRPr="00B27674">
        <w:rPr>
          <w:rFonts w:ascii="Arial" w:eastAsia="Arial" w:hAnsi="Arial" w:cs="Arial"/>
          <w:b/>
          <w:bCs/>
          <w:sz w:val="22"/>
          <w:lang w:val="es-ES_tradnl"/>
        </w:rPr>
        <w:t xml:space="preserve">de los </w:t>
      </w:r>
      <w:r w:rsidR="00A409BC" w:rsidRPr="00B27674">
        <w:rPr>
          <w:rFonts w:ascii="Arial" w:eastAsia="Arial" w:hAnsi="Arial" w:cs="Arial"/>
          <w:b/>
          <w:bCs/>
          <w:sz w:val="22"/>
          <w:lang w:val="es-ES_tradnl"/>
        </w:rPr>
        <w:t>documentos tipo</w:t>
      </w:r>
      <w:r w:rsidR="00B04B71" w:rsidRPr="00B27674">
        <w:rPr>
          <w:rFonts w:ascii="Arial" w:eastAsia="Arial" w:hAnsi="Arial" w:cs="Arial"/>
          <w:b/>
          <w:bCs/>
          <w:sz w:val="22"/>
          <w:lang w:val="es-ES_tradnl"/>
        </w:rPr>
        <w:t xml:space="preserve"> </w:t>
      </w:r>
    </w:p>
    <w:p w14:paraId="56AA6DC3" w14:textId="77777777" w:rsidR="00217D17" w:rsidRPr="00B27674" w:rsidRDefault="00217D17" w:rsidP="00217D17">
      <w:pPr>
        <w:jc w:val="both"/>
        <w:rPr>
          <w:rFonts w:ascii="Arial" w:eastAsia="Arial" w:hAnsi="Arial" w:cs="Arial"/>
          <w:b/>
          <w:bCs/>
          <w:sz w:val="22"/>
          <w:lang w:val="es-ES_tradnl"/>
        </w:rPr>
      </w:pPr>
    </w:p>
    <w:p w14:paraId="6433DDA0" w14:textId="748AB0D6" w:rsidR="00B67CED" w:rsidRPr="00B27674" w:rsidRDefault="00B67CED" w:rsidP="009753C3">
      <w:pPr>
        <w:spacing w:after="120" w:line="276" w:lineRule="auto"/>
        <w:jc w:val="both"/>
        <w:rPr>
          <w:rFonts w:ascii="Arial" w:eastAsia="Calibri" w:hAnsi="Arial" w:cs="Arial"/>
          <w:sz w:val="22"/>
          <w:lang w:val="es-ES_tradnl"/>
        </w:rPr>
      </w:pPr>
      <w:r w:rsidRPr="00B27674">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B27674">
        <w:rPr>
          <w:rStyle w:val="Refdenotaalpie"/>
          <w:rFonts w:ascii="Arial" w:eastAsia="Calibri" w:hAnsi="Arial" w:cs="Arial"/>
          <w:sz w:val="22"/>
          <w:lang w:val="es-ES_tradnl"/>
        </w:rPr>
        <w:footnoteReference w:id="4"/>
      </w:r>
      <w:r w:rsidRPr="00B27674">
        <w:rPr>
          <w:rFonts w:ascii="Arial" w:eastAsia="Calibri" w:hAnsi="Arial" w:cs="Arial"/>
          <w:sz w:val="22"/>
          <w:lang w:val="es-ES_tradnl"/>
        </w:rPr>
        <w:t xml:space="preserve">, que facultó </w:t>
      </w:r>
      <w:r w:rsidRPr="00B27674">
        <w:rPr>
          <w:rFonts w:ascii="Arial" w:eastAsia="Calibri" w:hAnsi="Arial" w:cs="Arial"/>
          <w:sz w:val="22"/>
          <w:lang w:val="es-ES_tradnl"/>
        </w:rPr>
        <w:lastRenderedPageBreak/>
        <w:t xml:space="preserve">al </w:t>
      </w:r>
      <w:r w:rsidR="000256F7" w:rsidRPr="00B27674">
        <w:rPr>
          <w:rFonts w:ascii="Arial" w:eastAsia="Calibri" w:hAnsi="Arial" w:cs="Arial"/>
          <w:sz w:val="22"/>
          <w:lang w:val="es-ES_tradnl"/>
        </w:rPr>
        <w:t>g</w:t>
      </w:r>
      <w:r w:rsidRPr="00B27674">
        <w:rPr>
          <w:rFonts w:ascii="Arial" w:eastAsia="Calibri" w:hAnsi="Arial" w:cs="Arial"/>
          <w:sz w:val="22"/>
          <w:lang w:val="es-ES_tradnl"/>
        </w:rPr>
        <w:t xml:space="preserve">obierno </w:t>
      </w:r>
      <w:r w:rsidR="000256F7" w:rsidRPr="00B27674">
        <w:rPr>
          <w:rFonts w:ascii="Arial" w:eastAsia="Calibri" w:hAnsi="Arial" w:cs="Arial"/>
          <w:sz w:val="22"/>
          <w:lang w:val="es-ES_tradnl"/>
        </w:rPr>
        <w:t>n</w:t>
      </w:r>
      <w:r w:rsidRPr="00B27674">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B27674">
        <w:rPr>
          <w:rFonts w:ascii="Arial" w:eastAsia="Calibri" w:hAnsi="Arial" w:cs="Arial"/>
          <w:sz w:val="22"/>
          <w:lang w:val="es-ES_tradnl"/>
        </w:rPr>
        <w:t>.</w:t>
      </w:r>
      <w:r w:rsidRPr="00B27674">
        <w:rPr>
          <w:rFonts w:ascii="Arial" w:eastAsia="Calibri" w:hAnsi="Arial" w:cs="Arial"/>
          <w:sz w:val="22"/>
          <w:lang w:val="es-ES_tradnl"/>
        </w:rPr>
        <w:t xml:space="preserve"> </w:t>
      </w:r>
      <w:r w:rsidR="00EE1C10" w:rsidRPr="00B27674">
        <w:rPr>
          <w:rFonts w:ascii="Arial" w:eastAsia="Calibri" w:hAnsi="Arial" w:cs="Arial"/>
          <w:sz w:val="22"/>
          <w:lang w:val="es-ES_tradnl"/>
        </w:rPr>
        <w:t>S</w:t>
      </w:r>
      <w:r w:rsidRPr="00B27674">
        <w:rPr>
          <w:rFonts w:ascii="Arial" w:eastAsia="Calibri" w:hAnsi="Arial" w:cs="Arial"/>
          <w:sz w:val="22"/>
          <w:lang w:val="es-ES_tradnl"/>
        </w:rPr>
        <w:t xml:space="preserve">in embargo, esta facultad no ha sido ejercida hasta la actualidad. </w:t>
      </w:r>
    </w:p>
    <w:p w14:paraId="34CA2DC0" w14:textId="619B8CE8" w:rsidR="00B67CED" w:rsidRPr="00B27674" w:rsidRDefault="00B67CED" w:rsidP="009753C3">
      <w:pPr>
        <w:spacing w:line="276" w:lineRule="auto"/>
        <w:ind w:firstLine="708"/>
        <w:jc w:val="both"/>
        <w:rPr>
          <w:rFonts w:ascii="Arial" w:eastAsia="Calibri" w:hAnsi="Arial" w:cs="Arial"/>
          <w:sz w:val="22"/>
          <w:lang w:val="es-ES_tradnl"/>
        </w:rPr>
      </w:pPr>
      <w:r w:rsidRPr="00B27674">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B27674">
        <w:rPr>
          <w:rFonts w:ascii="Arial" w:eastAsia="Calibri" w:hAnsi="Arial" w:cs="Arial"/>
          <w:sz w:val="22"/>
          <w:lang w:val="es-ES_tradnl"/>
        </w:rPr>
        <w:t>g</w:t>
      </w:r>
      <w:r w:rsidRPr="00B27674">
        <w:rPr>
          <w:rFonts w:ascii="Arial" w:eastAsia="Calibri" w:hAnsi="Arial" w:cs="Arial"/>
          <w:sz w:val="22"/>
          <w:lang w:val="es-ES_tradnl"/>
        </w:rPr>
        <w:t xml:space="preserve">obierno nacional. </w:t>
      </w:r>
      <w:r w:rsidR="005C5FFF" w:rsidRPr="00B27674">
        <w:rPr>
          <w:rFonts w:ascii="Arial" w:eastAsia="Calibri" w:hAnsi="Arial" w:cs="Arial"/>
          <w:sz w:val="22"/>
          <w:lang w:val="es-ES_tradnl"/>
        </w:rPr>
        <w:t>Debe señalarse que</w:t>
      </w:r>
      <w:r w:rsidRPr="00B27674">
        <w:rPr>
          <w:rFonts w:ascii="Arial" w:eastAsia="Calibri" w:hAnsi="Arial" w:cs="Arial"/>
          <w:sz w:val="22"/>
          <w:lang w:val="es-ES_tradnl"/>
        </w:rPr>
        <w:t xml:space="preserve"> en virtud de la Ley 1882 de 2018 se expidieron varios documentos tipo para el sector de infraestructura de transporte y, por tanto, es importante explicar el proceso previsto en dicho cuerpo normativo. </w:t>
      </w:r>
    </w:p>
    <w:p w14:paraId="4B49E46F" w14:textId="7CDD125D" w:rsidR="00B67CED" w:rsidRPr="00B27674" w:rsidRDefault="00B67CED" w:rsidP="009753C3">
      <w:pPr>
        <w:spacing w:before="120" w:after="120" w:line="276" w:lineRule="auto"/>
        <w:ind w:firstLine="708"/>
        <w:jc w:val="both"/>
        <w:rPr>
          <w:rFonts w:ascii="Arial" w:eastAsia="Calibri" w:hAnsi="Arial" w:cs="Arial"/>
          <w:sz w:val="22"/>
          <w:lang w:val="es-ES_tradnl"/>
        </w:rPr>
      </w:pPr>
      <w:r w:rsidRPr="00B27674">
        <w:rPr>
          <w:rFonts w:ascii="Arial" w:eastAsia="Calibri" w:hAnsi="Arial" w:cs="Arial"/>
          <w:sz w:val="22"/>
          <w:lang w:val="es-ES_tradnl"/>
        </w:rPr>
        <w:t xml:space="preserve">La Ley 1882 de 2018, en el artículo 4, establecía que el </w:t>
      </w:r>
      <w:r w:rsidR="00671C52" w:rsidRPr="00B27674">
        <w:rPr>
          <w:rFonts w:ascii="Arial" w:eastAsia="Calibri" w:hAnsi="Arial" w:cs="Arial"/>
          <w:sz w:val="22"/>
          <w:lang w:val="es-ES_tradnl"/>
        </w:rPr>
        <w:t>g</w:t>
      </w:r>
      <w:r w:rsidRPr="00B27674">
        <w:rPr>
          <w:rFonts w:ascii="Arial" w:eastAsia="Calibri" w:hAnsi="Arial" w:cs="Arial"/>
          <w:sz w:val="22"/>
          <w:lang w:val="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B27674">
        <w:rPr>
          <w:rStyle w:val="Refdenotaalpie"/>
          <w:rFonts w:ascii="Arial" w:eastAsia="Calibri" w:hAnsi="Arial" w:cs="Arial"/>
          <w:sz w:val="22"/>
          <w:lang w:val="es-ES_tradnl"/>
        </w:rPr>
        <w:footnoteReference w:id="5"/>
      </w:r>
      <w:r w:rsidRPr="00B27674">
        <w:rPr>
          <w:rFonts w:ascii="Arial" w:eastAsia="Calibri" w:hAnsi="Arial" w:cs="Arial"/>
          <w:sz w:val="22"/>
          <w:lang w:val="es-ES_tradnl"/>
        </w:rPr>
        <w:t>.</w:t>
      </w:r>
    </w:p>
    <w:p w14:paraId="1B1BF1D9" w14:textId="3E621450" w:rsidR="00B67CED" w:rsidRPr="00B27674" w:rsidRDefault="00B67CED" w:rsidP="009753C3">
      <w:pPr>
        <w:spacing w:before="120" w:after="120" w:line="276" w:lineRule="auto"/>
        <w:jc w:val="both"/>
        <w:rPr>
          <w:rFonts w:ascii="Arial" w:eastAsia="Calibri" w:hAnsi="Arial" w:cs="Arial"/>
          <w:sz w:val="22"/>
          <w:lang w:val="es-ES_tradnl"/>
        </w:rPr>
      </w:pPr>
      <w:r w:rsidRPr="00B27674">
        <w:rPr>
          <w:rFonts w:ascii="Arial" w:eastAsia="Calibri" w:hAnsi="Arial" w:cs="Arial"/>
          <w:sz w:val="22"/>
          <w:lang w:val="es-ES_tradnl"/>
        </w:rPr>
        <w:tab/>
        <w:t>Asimismo, señalaba que</w:t>
      </w:r>
      <w:r w:rsidR="001B787E" w:rsidRPr="00B27674">
        <w:rPr>
          <w:rFonts w:ascii="Arial" w:eastAsia="Calibri" w:hAnsi="Arial" w:cs="Arial"/>
          <w:sz w:val="22"/>
          <w:lang w:val="es-ES_tradnl"/>
        </w:rPr>
        <w:t>,</w:t>
      </w:r>
      <w:r w:rsidRPr="00B27674">
        <w:rPr>
          <w:rFonts w:ascii="Arial" w:eastAsia="Calibri" w:hAnsi="Arial" w:cs="Arial"/>
          <w:sz w:val="22"/>
          <w:lang w:val="es-ES_tradnl"/>
        </w:rPr>
        <w:t xml:space="preserve"> dentro de los documentos tipo</w:t>
      </w:r>
      <w:r w:rsidR="005E681E" w:rsidRPr="00B27674">
        <w:rPr>
          <w:rFonts w:ascii="Arial" w:eastAsia="Calibri" w:hAnsi="Arial" w:cs="Arial"/>
          <w:sz w:val="22"/>
          <w:lang w:val="es-ES_tradnl"/>
        </w:rPr>
        <w:t>,</w:t>
      </w:r>
      <w:r w:rsidRPr="00B27674">
        <w:rPr>
          <w:rFonts w:ascii="Arial" w:eastAsia="Calibri" w:hAnsi="Arial" w:cs="Arial"/>
          <w:sz w:val="22"/>
          <w:lang w:val="es-ES_tradnl"/>
        </w:rPr>
        <w:t xml:space="preserve"> el </w:t>
      </w:r>
      <w:r w:rsidR="001B787E" w:rsidRPr="00B27674">
        <w:rPr>
          <w:rFonts w:ascii="Arial" w:eastAsia="Calibri" w:hAnsi="Arial" w:cs="Arial"/>
          <w:sz w:val="22"/>
          <w:lang w:val="es-ES_tradnl"/>
        </w:rPr>
        <w:t>g</w:t>
      </w:r>
      <w:r w:rsidRPr="00B27674">
        <w:rPr>
          <w:rFonts w:ascii="Arial" w:eastAsia="Calibri" w:hAnsi="Arial" w:cs="Arial"/>
          <w:sz w:val="22"/>
          <w:lang w:val="es-ES_tradnl"/>
        </w:rPr>
        <w:t>obierno adoptaría de manera general y con alcance obligatorio para todas las entidades</w:t>
      </w:r>
      <w:r w:rsidR="005E681E" w:rsidRPr="00B27674">
        <w:rPr>
          <w:rFonts w:ascii="Arial" w:eastAsia="Calibri" w:hAnsi="Arial" w:cs="Arial"/>
          <w:sz w:val="22"/>
          <w:lang w:val="es-ES_tradnl"/>
        </w:rPr>
        <w:t xml:space="preserve"> </w:t>
      </w:r>
      <w:r w:rsidRPr="00B27674">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B27674">
        <w:rPr>
          <w:rFonts w:ascii="Arial" w:eastAsia="Calibri" w:hAnsi="Arial" w:cs="Arial"/>
          <w:sz w:val="22"/>
          <w:lang w:val="es-ES_tradnl"/>
        </w:rPr>
        <w:t>g</w:t>
      </w:r>
      <w:r w:rsidRPr="00B27674">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B27674">
        <w:rPr>
          <w:rFonts w:ascii="Arial" w:eastAsia="Calibri" w:hAnsi="Arial" w:cs="Arial"/>
          <w:sz w:val="22"/>
          <w:lang w:val="es-ES_tradnl"/>
        </w:rPr>
        <w:lastRenderedPageBreak/>
        <w:t>g</w:t>
      </w:r>
      <w:r w:rsidRPr="00B27674">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6BB43373" w:rsidR="00B67CED" w:rsidRPr="00B27674" w:rsidRDefault="00B67CED" w:rsidP="009753C3">
      <w:pPr>
        <w:spacing w:before="120" w:after="120" w:line="276" w:lineRule="auto"/>
        <w:jc w:val="both"/>
        <w:rPr>
          <w:rFonts w:ascii="Arial" w:eastAsia="Calibri" w:hAnsi="Arial" w:cs="Arial"/>
          <w:sz w:val="22"/>
          <w:lang w:val="es-ES_tradnl"/>
        </w:rPr>
      </w:pPr>
      <w:r w:rsidRPr="00B27674">
        <w:rPr>
          <w:rFonts w:ascii="Arial" w:eastAsia="Calibri" w:hAnsi="Arial" w:cs="Arial"/>
          <w:sz w:val="22"/>
          <w:lang w:val="es-ES_tradnl"/>
        </w:rPr>
        <w:tab/>
        <w:t xml:space="preserve">De la norma descrita se concluía lo siguiente: i) la adopción de los documentos tipo estaba en cabeza del </w:t>
      </w:r>
      <w:r w:rsidR="00C46294" w:rsidRPr="00B27674">
        <w:rPr>
          <w:rFonts w:ascii="Arial" w:eastAsia="Calibri" w:hAnsi="Arial" w:cs="Arial"/>
          <w:sz w:val="22"/>
          <w:lang w:val="es-ES_tradnl"/>
        </w:rPr>
        <w:t>g</w:t>
      </w:r>
      <w:r w:rsidRPr="00B27674">
        <w:rPr>
          <w:rFonts w:ascii="Arial" w:eastAsia="Calibri" w:hAnsi="Arial" w:cs="Arial"/>
          <w:sz w:val="22"/>
          <w:lang w:val="es-ES_tradnl"/>
        </w:rPr>
        <w:t>obierno nacional</w:t>
      </w:r>
      <w:r w:rsidR="00204379" w:rsidRPr="00B27674">
        <w:rPr>
          <w:rFonts w:ascii="Arial" w:eastAsia="Calibri" w:hAnsi="Arial" w:cs="Arial"/>
          <w:sz w:val="22"/>
          <w:lang w:val="es-ES_tradnl"/>
        </w:rPr>
        <w:t>.</w:t>
      </w:r>
      <w:r w:rsidRPr="00B27674">
        <w:rPr>
          <w:rFonts w:ascii="Arial" w:eastAsia="Calibri" w:hAnsi="Arial" w:cs="Arial"/>
          <w:sz w:val="22"/>
          <w:lang w:val="es-ES_tradnl"/>
        </w:rPr>
        <w:t xml:space="preserve"> ii) </w:t>
      </w:r>
      <w:r w:rsidR="00DB229C" w:rsidRPr="00B27674">
        <w:rPr>
          <w:rFonts w:ascii="Arial" w:eastAsia="Calibri" w:hAnsi="Arial" w:cs="Arial"/>
          <w:sz w:val="22"/>
          <w:lang w:val="es-ES_tradnl"/>
        </w:rPr>
        <w:t>E</w:t>
      </w:r>
      <w:r w:rsidRPr="00B27674">
        <w:rPr>
          <w:rFonts w:ascii="Arial" w:eastAsia="Calibri" w:hAnsi="Arial" w:cs="Arial"/>
          <w:sz w:val="22"/>
          <w:lang w:val="es-ES_tradnl"/>
        </w:rPr>
        <w:t>stos debían relacionarse con procesos de obra públicas,</w:t>
      </w:r>
      <w:r w:rsidR="006778E7" w:rsidRPr="00B27674">
        <w:rPr>
          <w:rFonts w:ascii="Arial" w:eastAsia="Calibri" w:hAnsi="Arial" w:cs="Arial"/>
          <w:sz w:val="22"/>
          <w:lang w:val="es-ES_tradnl"/>
        </w:rPr>
        <w:t xml:space="preserve"> </w:t>
      </w:r>
      <w:r w:rsidRPr="00B27674">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B27674">
        <w:rPr>
          <w:rFonts w:ascii="Arial" w:eastAsia="Calibri" w:hAnsi="Arial" w:cs="Arial"/>
          <w:sz w:val="22"/>
          <w:lang w:val="es-ES_tradnl"/>
        </w:rPr>
        <w:t>.</w:t>
      </w:r>
      <w:r w:rsidRPr="00B27674">
        <w:rPr>
          <w:rFonts w:ascii="Arial" w:eastAsia="Calibri" w:hAnsi="Arial" w:cs="Arial"/>
          <w:sz w:val="22"/>
          <w:lang w:val="es-ES_tradnl"/>
        </w:rPr>
        <w:t xml:space="preserve"> iii)</w:t>
      </w:r>
      <w:r w:rsidR="002F1CA3" w:rsidRPr="00B27674">
        <w:rPr>
          <w:rFonts w:ascii="Arial" w:eastAsia="Calibri" w:hAnsi="Arial" w:cs="Arial"/>
          <w:sz w:val="22"/>
          <w:lang w:val="es-ES_tradnl"/>
        </w:rPr>
        <w:t xml:space="preserve"> </w:t>
      </w:r>
      <w:r w:rsidR="00DB229C" w:rsidRPr="00B27674">
        <w:rPr>
          <w:rFonts w:ascii="Arial" w:eastAsia="Calibri" w:hAnsi="Arial" w:cs="Arial"/>
          <w:sz w:val="22"/>
          <w:lang w:val="es-ES_tradnl"/>
        </w:rPr>
        <w:t>E</w:t>
      </w:r>
      <w:r w:rsidRPr="00B27674">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B27674">
        <w:rPr>
          <w:rFonts w:ascii="Arial" w:eastAsia="Calibri" w:hAnsi="Arial" w:cs="Arial"/>
          <w:sz w:val="22"/>
          <w:lang w:val="es-ES_tradnl"/>
        </w:rPr>
        <w:t>.</w:t>
      </w:r>
      <w:r w:rsidRPr="00B27674">
        <w:rPr>
          <w:rFonts w:ascii="Arial" w:eastAsia="Calibri" w:hAnsi="Arial" w:cs="Arial"/>
          <w:sz w:val="22"/>
          <w:lang w:val="es-ES_tradnl"/>
        </w:rPr>
        <w:t xml:space="preserve"> iv)</w:t>
      </w:r>
      <w:r w:rsidR="002F1CA3" w:rsidRPr="00B27674">
        <w:rPr>
          <w:rFonts w:ascii="Arial" w:eastAsia="Calibri" w:hAnsi="Arial" w:cs="Arial"/>
          <w:sz w:val="22"/>
          <w:lang w:val="es-ES_tradnl"/>
        </w:rPr>
        <w:t xml:space="preserve"> </w:t>
      </w:r>
      <w:r w:rsidR="00DB229C" w:rsidRPr="00B27674">
        <w:rPr>
          <w:rFonts w:ascii="Arial" w:eastAsia="Calibri" w:hAnsi="Arial" w:cs="Arial"/>
          <w:sz w:val="22"/>
          <w:lang w:val="es-ES_tradnl"/>
        </w:rPr>
        <w:t>E</w:t>
      </w:r>
      <w:r w:rsidRPr="00B27674">
        <w:rPr>
          <w:rFonts w:ascii="Arial" w:eastAsia="Calibri" w:hAnsi="Arial" w:cs="Arial"/>
          <w:sz w:val="22"/>
          <w:lang w:val="es-ES_tradnl"/>
        </w:rPr>
        <w:t xml:space="preserve">n los documentos tipo se indicarían las condiciones generales de </w:t>
      </w:r>
      <w:r w:rsidR="00F02CC2" w:rsidRPr="00B27674">
        <w:rPr>
          <w:rFonts w:ascii="Arial" w:eastAsia="Calibri" w:hAnsi="Arial" w:cs="Arial"/>
          <w:sz w:val="22"/>
          <w:lang w:val="es-ES_tradnl"/>
        </w:rPr>
        <w:t xml:space="preserve">los </w:t>
      </w:r>
      <w:r w:rsidRPr="00B27674">
        <w:rPr>
          <w:rFonts w:ascii="Arial" w:eastAsia="Calibri" w:hAnsi="Arial" w:cs="Arial"/>
          <w:sz w:val="22"/>
          <w:lang w:val="es-ES_tradnl"/>
        </w:rPr>
        <w:t xml:space="preserve">requisitos habilitantes, así como </w:t>
      </w:r>
      <w:r w:rsidR="00F02CC2" w:rsidRPr="00B27674">
        <w:rPr>
          <w:rFonts w:ascii="Arial" w:eastAsia="Calibri" w:hAnsi="Arial" w:cs="Arial"/>
          <w:sz w:val="22"/>
          <w:lang w:val="es-ES_tradnl"/>
        </w:rPr>
        <w:t xml:space="preserve">los </w:t>
      </w:r>
      <w:r w:rsidRPr="00B27674">
        <w:rPr>
          <w:rFonts w:ascii="Arial" w:eastAsia="Calibri" w:hAnsi="Arial" w:cs="Arial"/>
          <w:sz w:val="22"/>
          <w:lang w:val="es-ES_tradnl"/>
        </w:rPr>
        <w:t>factores técnicos y económicos de escogencia, según correspondiera para cada modalidad de selección</w:t>
      </w:r>
      <w:r w:rsidR="00F02CC2" w:rsidRPr="00B27674">
        <w:rPr>
          <w:rFonts w:ascii="Arial" w:eastAsia="Calibri" w:hAnsi="Arial" w:cs="Arial"/>
          <w:sz w:val="22"/>
          <w:lang w:val="es-ES_tradnl"/>
        </w:rPr>
        <w:t>.</w:t>
      </w:r>
      <w:r w:rsidRPr="00B27674">
        <w:rPr>
          <w:rFonts w:ascii="Arial" w:eastAsia="Calibri" w:hAnsi="Arial" w:cs="Arial"/>
          <w:sz w:val="22"/>
          <w:lang w:val="es-ES_tradnl"/>
        </w:rPr>
        <w:t xml:space="preserve"> v) </w:t>
      </w:r>
      <w:r w:rsidR="00DB229C" w:rsidRPr="00B27674">
        <w:rPr>
          <w:rFonts w:ascii="Arial" w:eastAsia="Calibri" w:hAnsi="Arial" w:cs="Arial"/>
          <w:sz w:val="22"/>
          <w:lang w:val="es-ES_tradnl"/>
        </w:rPr>
        <w:t>El</w:t>
      </w:r>
      <w:r w:rsidRPr="00B27674">
        <w:rPr>
          <w:rFonts w:ascii="Arial" w:eastAsia="Calibri" w:hAnsi="Arial" w:cs="Arial"/>
          <w:sz w:val="22"/>
          <w:lang w:val="es-ES_tradnl"/>
        </w:rPr>
        <w:t xml:space="preserve"> </w:t>
      </w:r>
      <w:r w:rsidR="00E84352" w:rsidRPr="00B27674">
        <w:rPr>
          <w:rFonts w:ascii="Arial" w:eastAsia="Calibri" w:hAnsi="Arial" w:cs="Arial"/>
          <w:sz w:val="22"/>
          <w:lang w:val="es-ES_tradnl"/>
        </w:rPr>
        <w:t>g</w:t>
      </w:r>
      <w:r w:rsidRPr="00B27674">
        <w:rPr>
          <w:rFonts w:ascii="Arial" w:eastAsia="Calibri" w:hAnsi="Arial" w:cs="Arial"/>
          <w:sz w:val="22"/>
          <w:lang w:val="es-ES_tradnl"/>
        </w:rPr>
        <w:t>obierno nacional tenía la facultad de adoptar documentos tipo en otros contratos o procesos de selección</w:t>
      </w:r>
      <w:r w:rsidR="00DB229C" w:rsidRPr="00B27674">
        <w:rPr>
          <w:rFonts w:ascii="Arial" w:eastAsia="Calibri" w:hAnsi="Arial" w:cs="Arial"/>
          <w:sz w:val="22"/>
          <w:lang w:val="es-ES_tradnl"/>
        </w:rPr>
        <w:t>.</w:t>
      </w:r>
      <w:r w:rsidRPr="00B27674">
        <w:rPr>
          <w:rFonts w:ascii="Arial" w:eastAsia="Calibri" w:hAnsi="Arial" w:cs="Arial"/>
          <w:sz w:val="22"/>
          <w:lang w:val="es-ES_tradnl"/>
        </w:rPr>
        <w:t xml:space="preserve"> </w:t>
      </w:r>
      <w:r w:rsidR="00DB229C" w:rsidRPr="00B27674">
        <w:rPr>
          <w:rFonts w:ascii="Arial" w:eastAsia="Calibri" w:hAnsi="Arial" w:cs="Arial"/>
          <w:sz w:val="22"/>
          <w:lang w:val="es-ES_tradnl"/>
        </w:rPr>
        <w:t>P</w:t>
      </w:r>
      <w:r w:rsidRPr="00B27674">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B27674" w:rsidRDefault="00B67CED" w:rsidP="009753C3">
      <w:pPr>
        <w:spacing w:before="120" w:after="120" w:line="276" w:lineRule="auto"/>
        <w:jc w:val="both"/>
        <w:rPr>
          <w:rFonts w:ascii="Arial" w:eastAsia="Calibri" w:hAnsi="Arial" w:cs="Arial"/>
          <w:sz w:val="22"/>
          <w:lang w:val="es-ES_tradnl"/>
        </w:rPr>
      </w:pPr>
      <w:r w:rsidRPr="00B27674">
        <w:rPr>
          <w:rFonts w:ascii="Arial" w:eastAsia="Calibri" w:hAnsi="Arial" w:cs="Arial"/>
          <w:sz w:val="22"/>
          <w:lang w:val="es-ES_tradnl"/>
        </w:rPr>
        <w:tab/>
        <w:t xml:space="preserve">Esta norma fue estudiada por la Corte Constitucional en la </w:t>
      </w:r>
      <w:r w:rsidR="001E2D23" w:rsidRPr="00B27674">
        <w:rPr>
          <w:rFonts w:ascii="Arial" w:eastAsia="Calibri" w:hAnsi="Arial" w:cs="Arial"/>
          <w:sz w:val="22"/>
          <w:lang w:val="es-ES_tradnl"/>
        </w:rPr>
        <w:t>S</w:t>
      </w:r>
      <w:r w:rsidRPr="00B27674">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7" w:name="_Hlk48665985"/>
      <w:r w:rsidRPr="00B27674">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7"/>
      <w:r w:rsidRPr="00B27674">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B27674">
        <w:rPr>
          <w:rStyle w:val="Refdenotaalpie"/>
          <w:rFonts w:ascii="Arial" w:eastAsia="Calibri" w:hAnsi="Arial" w:cs="Arial"/>
          <w:sz w:val="22"/>
          <w:lang w:val="es-ES_tradnl"/>
        </w:rPr>
        <w:footnoteReference w:id="6"/>
      </w:r>
      <w:r w:rsidRPr="00B27674">
        <w:rPr>
          <w:rFonts w:ascii="Arial" w:eastAsia="Calibri" w:hAnsi="Arial" w:cs="Arial"/>
          <w:sz w:val="22"/>
          <w:lang w:val="es-ES_tradnl"/>
        </w:rPr>
        <w:t>.</w:t>
      </w:r>
    </w:p>
    <w:p w14:paraId="1D93AEF8" w14:textId="7B26B1AB" w:rsidR="00B67CED" w:rsidRPr="00B27674" w:rsidRDefault="00B67CED" w:rsidP="009753C3">
      <w:pPr>
        <w:spacing w:before="120" w:after="120" w:line="276" w:lineRule="auto"/>
        <w:jc w:val="both"/>
        <w:rPr>
          <w:rFonts w:ascii="Arial" w:eastAsia="Calibri" w:hAnsi="Arial" w:cs="Arial"/>
          <w:sz w:val="22"/>
          <w:lang w:val="es-ES_tradnl"/>
        </w:rPr>
      </w:pPr>
      <w:r w:rsidRPr="00B27674">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B27674">
        <w:rPr>
          <w:rFonts w:ascii="Arial" w:eastAsia="Calibri" w:hAnsi="Arial" w:cs="Arial"/>
          <w:sz w:val="22"/>
          <w:lang w:val="es-ES_tradnl"/>
        </w:rPr>
        <w:t>g</w:t>
      </w:r>
      <w:r w:rsidRPr="00B27674">
        <w:rPr>
          <w:rFonts w:ascii="Arial" w:eastAsia="Calibri" w:hAnsi="Arial" w:cs="Arial"/>
          <w:sz w:val="22"/>
          <w:lang w:val="es-ES_tradnl"/>
        </w:rPr>
        <w:t xml:space="preserve">obierno nacional. Ahora, dicha autonomía se materializa cuando las entidades territoriales deciden </w:t>
      </w:r>
      <w:r w:rsidR="00DB229C" w:rsidRPr="00B27674">
        <w:rPr>
          <w:rFonts w:ascii="Arial" w:eastAsia="Calibri" w:hAnsi="Arial" w:cs="Arial"/>
          <w:sz w:val="22"/>
          <w:lang w:val="es-ES_tradnl"/>
        </w:rPr>
        <w:t xml:space="preserve">iniciar </w:t>
      </w:r>
      <w:r w:rsidRPr="00B27674">
        <w:rPr>
          <w:rFonts w:ascii="Arial" w:eastAsia="Calibri" w:hAnsi="Arial" w:cs="Arial"/>
          <w:sz w:val="22"/>
          <w:lang w:val="es-ES_tradnl"/>
        </w:rPr>
        <w:t>un proceso de convocatoria para satisfacer sus necesidades para la adquisición de un bien</w:t>
      </w:r>
      <w:r w:rsidR="00DB229C" w:rsidRPr="00B27674">
        <w:rPr>
          <w:rFonts w:ascii="Arial" w:eastAsia="Calibri" w:hAnsi="Arial" w:cs="Arial"/>
          <w:sz w:val="22"/>
          <w:lang w:val="es-ES_tradnl"/>
        </w:rPr>
        <w:t>, obra</w:t>
      </w:r>
      <w:r w:rsidRPr="00B27674">
        <w:rPr>
          <w:rFonts w:ascii="Arial" w:eastAsia="Calibri" w:hAnsi="Arial" w:cs="Arial"/>
          <w:sz w:val="22"/>
          <w:lang w:val="es-ES_tradnl"/>
        </w:rPr>
        <w:t xml:space="preserve"> o servicio</w:t>
      </w:r>
      <w:r w:rsidR="00DB229C" w:rsidRPr="00B27674">
        <w:rPr>
          <w:rFonts w:ascii="Arial" w:eastAsia="Calibri" w:hAnsi="Arial" w:cs="Arial"/>
          <w:sz w:val="22"/>
          <w:lang w:val="es-ES_tradnl"/>
        </w:rPr>
        <w:t>,</w:t>
      </w:r>
      <w:r w:rsidRPr="00B27674">
        <w:rPr>
          <w:rFonts w:ascii="Arial" w:eastAsia="Calibri" w:hAnsi="Arial" w:cs="Arial"/>
          <w:sz w:val="22"/>
          <w:lang w:val="es-ES_tradnl"/>
        </w:rPr>
        <w:t xml:space="preserve"> y además se incluyen en la minuta del contrato las condiciones particulares del negocio jurídico a celebrar.</w:t>
      </w:r>
    </w:p>
    <w:p w14:paraId="43D65EC3" w14:textId="77777777" w:rsidR="0038775B" w:rsidRPr="00B27674" w:rsidRDefault="00B67CED" w:rsidP="009753C3">
      <w:pPr>
        <w:spacing w:before="120" w:after="120" w:line="276" w:lineRule="auto"/>
        <w:jc w:val="both"/>
        <w:rPr>
          <w:rFonts w:ascii="Arial" w:eastAsia="Calibri" w:hAnsi="Arial" w:cs="Arial"/>
          <w:sz w:val="22"/>
          <w:szCs w:val="22"/>
          <w:lang w:val="es-ES_tradnl" w:eastAsia="en-US"/>
        </w:rPr>
      </w:pPr>
      <w:r w:rsidRPr="00B27674">
        <w:rPr>
          <w:rFonts w:ascii="Arial" w:eastAsia="Calibri" w:hAnsi="Arial" w:cs="Arial"/>
          <w:sz w:val="22"/>
          <w:szCs w:val="22"/>
          <w:lang w:val="es-ES_tradnl"/>
        </w:rPr>
        <w:lastRenderedPageBreak/>
        <w:tab/>
      </w:r>
      <w:r w:rsidRPr="00B27674">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B27674">
        <w:rPr>
          <w:rFonts w:ascii="Arial" w:eastAsia="Calibri" w:hAnsi="Arial" w:cs="Arial"/>
          <w:sz w:val="22"/>
          <w:szCs w:val="22"/>
          <w:lang w:val="es-ES_tradnl" w:eastAsia="en-US"/>
        </w:rPr>
        <w:t>g</w:t>
      </w:r>
      <w:r w:rsidRPr="00B27674">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w:t>
      </w:r>
      <w:r w:rsidR="003C3857" w:rsidRPr="00B27674">
        <w:rPr>
          <w:rFonts w:ascii="Arial" w:eastAsia="Calibri" w:hAnsi="Arial" w:cs="Arial"/>
          <w:sz w:val="22"/>
          <w:szCs w:val="22"/>
          <w:lang w:val="es-ES_tradnl" w:eastAsia="en-US"/>
        </w:rPr>
        <w:t xml:space="preserve"> de documentos tipo</w:t>
      </w:r>
      <w:r w:rsidRPr="00B27674">
        <w:rPr>
          <w:rFonts w:ascii="Arial" w:eastAsia="Calibri" w:hAnsi="Arial" w:cs="Arial"/>
          <w:sz w:val="22"/>
          <w:szCs w:val="22"/>
          <w:lang w:val="es-ES_tradnl" w:eastAsia="en-US"/>
        </w:rPr>
        <w:t xml:space="preserve"> mediante el Decreto 342 del 5 de marzo de 2019, relacionado con los documentos tipo para los procesos de selección de licitación de obra pública de infraestructura de transporte</w:t>
      </w:r>
      <w:r w:rsidR="002925F5" w:rsidRPr="00B27674">
        <w:rPr>
          <w:rFonts w:ascii="Arial" w:eastAsia="Calibri" w:hAnsi="Arial" w:cs="Arial"/>
          <w:sz w:val="22"/>
          <w:szCs w:val="22"/>
          <w:lang w:val="es-ES_tradnl" w:eastAsia="en-US"/>
        </w:rPr>
        <w:t>.</w:t>
      </w:r>
      <w:r w:rsidRPr="00B27674">
        <w:rPr>
          <w:rFonts w:ascii="Arial" w:eastAsia="Calibri" w:hAnsi="Arial" w:cs="Arial"/>
          <w:sz w:val="22"/>
          <w:szCs w:val="22"/>
          <w:lang w:val="es-ES_tradnl" w:eastAsia="en-US"/>
        </w:rPr>
        <w:t xml:space="preserve"> </w:t>
      </w:r>
      <w:r w:rsidR="002925F5" w:rsidRPr="00B27674">
        <w:rPr>
          <w:rFonts w:ascii="Arial" w:eastAsia="Calibri" w:hAnsi="Arial" w:cs="Arial"/>
          <w:sz w:val="22"/>
          <w:szCs w:val="22"/>
          <w:lang w:val="es-ES_tradnl" w:eastAsia="en-US"/>
        </w:rPr>
        <w:t xml:space="preserve">Luego se expidió </w:t>
      </w:r>
      <w:r w:rsidRPr="00B27674">
        <w:rPr>
          <w:rFonts w:ascii="Arial" w:eastAsia="Calibri" w:hAnsi="Arial" w:cs="Arial"/>
          <w:sz w:val="22"/>
          <w:szCs w:val="22"/>
          <w:lang w:val="es-ES_tradnl" w:eastAsia="en-US"/>
        </w:rPr>
        <w:t xml:space="preserve">el Decreto 2096 del 21 de noviembre de 2019, </w:t>
      </w:r>
      <w:r w:rsidR="00747570" w:rsidRPr="00B27674">
        <w:rPr>
          <w:rFonts w:ascii="Arial" w:eastAsia="Calibri" w:hAnsi="Arial" w:cs="Arial"/>
          <w:sz w:val="22"/>
          <w:szCs w:val="22"/>
          <w:lang w:val="es-ES_tradnl" w:eastAsia="en-US"/>
        </w:rPr>
        <w:t>que permitió el desarrollo de</w:t>
      </w:r>
      <w:r w:rsidRPr="00B27674">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B27674">
        <w:rPr>
          <w:rFonts w:ascii="Arial" w:eastAsia="Calibri" w:hAnsi="Arial" w:cs="Arial"/>
          <w:sz w:val="22"/>
          <w:szCs w:val="22"/>
          <w:lang w:val="es-ES_tradnl" w:eastAsia="en-US"/>
        </w:rPr>
        <w:t>adelantaran</w:t>
      </w:r>
      <w:r w:rsidRPr="00B27674">
        <w:rPr>
          <w:rFonts w:ascii="Arial" w:eastAsia="Calibri" w:hAnsi="Arial" w:cs="Arial"/>
          <w:sz w:val="22"/>
          <w:szCs w:val="22"/>
          <w:lang w:val="es-ES_tradnl" w:eastAsia="en-US"/>
        </w:rPr>
        <w:t xml:space="preserve"> por la modalidad de selección abreviada de menor cuantía</w:t>
      </w:r>
      <w:r w:rsidR="00747570" w:rsidRPr="00B27674">
        <w:rPr>
          <w:rFonts w:ascii="Arial" w:eastAsia="Calibri" w:hAnsi="Arial" w:cs="Arial"/>
          <w:sz w:val="22"/>
          <w:szCs w:val="22"/>
          <w:lang w:val="es-ES_tradnl" w:eastAsia="en-US"/>
        </w:rPr>
        <w:t>.</w:t>
      </w:r>
      <w:r w:rsidRPr="00B27674">
        <w:rPr>
          <w:rFonts w:ascii="Arial" w:eastAsia="Calibri" w:hAnsi="Arial" w:cs="Arial"/>
          <w:sz w:val="22"/>
          <w:szCs w:val="22"/>
          <w:lang w:val="es-ES_tradnl" w:eastAsia="en-US"/>
        </w:rPr>
        <w:t xml:space="preserve"> </w:t>
      </w:r>
    </w:p>
    <w:p w14:paraId="4D310BC6" w14:textId="487B78CE" w:rsidR="00B67CED" w:rsidRPr="00B27674" w:rsidRDefault="00747570" w:rsidP="006634B2">
      <w:pPr>
        <w:spacing w:before="120" w:after="120" w:line="276" w:lineRule="auto"/>
        <w:ind w:firstLine="708"/>
        <w:jc w:val="both"/>
        <w:rPr>
          <w:rFonts w:ascii="Arial" w:eastAsia="Calibri" w:hAnsi="Arial" w:cs="Arial"/>
          <w:sz w:val="22"/>
          <w:szCs w:val="22"/>
          <w:lang w:val="es-ES_tradnl"/>
        </w:rPr>
      </w:pPr>
      <w:r w:rsidRPr="00B27674">
        <w:rPr>
          <w:rFonts w:ascii="Arial" w:eastAsia="Calibri" w:hAnsi="Arial" w:cs="Arial"/>
          <w:sz w:val="22"/>
          <w:szCs w:val="22"/>
          <w:lang w:val="es-ES_tradnl" w:eastAsia="en-US"/>
        </w:rPr>
        <w:t>F</w:t>
      </w:r>
      <w:r w:rsidR="00B67CED" w:rsidRPr="00B27674">
        <w:rPr>
          <w:rFonts w:ascii="Arial" w:eastAsia="Calibri" w:hAnsi="Arial" w:cs="Arial"/>
          <w:sz w:val="22"/>
          <w:szCs w:val="22"/>
          <w:lang w:val="es-ES_tradnl" w:eastAsia="en-US"/>
        </w:rPr>
        <w:t xml:space="preserve">inalmente, </w:t>
      </w:r>
      <w:r w:rsidRPr="00B27674">
        <w:rPr>
          <w:rFonts w:ascii="Arial" w:eastAsia="Calibri" w:hAnsi="Arial" w:cs="Arial"/>
          <w:sz w:val="22"/>
          <w:szCs w:val="22"/>
          <w:lang w:val="es-ES_tradnl" w:eastAsia="en-US"/>
        </w:rPr>
        <w:t xml:space="preserve">se profirió </w:t>
      </w:r>
      <w:r w:rsidR="00B67CED" w:rsidRPr="00B27674">
        <w:rPr>
          <w:rFonts w:ascii="Arial" w:eastAsia="Calibri" w:hAnsi="Arial" w:cs="Arial"/>
          <w:sz w:val="22"/>
          <w:szCs w:val="22"/>
          <w:lang w:val="es-ES_tradnl" w:eastAsia="en-US"/>
        </w:rPr>
        <w:t>el Decreto 594 del 25 de abril de 2020, frente a los documentos tipo para los contratos de obra pública</w:t>
      </w:r>
      <w:r w:rsidR="00B67CED" w:rsidRPr="00B27674" w:rsidDel="00A434AB">
        <w:rPr>
          <w:rFonts w:ascii="Arial" w:eastAsia="Calibri" w:hAnsi="Arial" w:cs="Arial"/>
          <w:sz w:val="22"/>
          <w:szCs w:val="22"/>
          <w:lang w:val="es-ES_tradnl" w:eastAsia="en-US"/>
        </w:rPr>
        <w:t xml:space="preserve"> </w:t>
      </w:r>
      <w:r w:rsidR="00B67CED" w:rsidRPr="00B27674">
        <w:rPr>
          <w:rFonts w:ascii="Arial" w:eastAsia="Calibri" w:hAnsi="Arial" w:cs="Arial"/>
          <w:sz w:val="22"/>
          <w:szCs w:val="22"/>
          <w:lang w:val="es-ES_tradnl" w:eastAsia="en-US"/>
        </w:rPr>
        <w:t xml:space="preserve">de infraestructura de transporte que se </w:t>
      </w:r>
      <w:r w:rsidR="00E52EB3" w:rsidRPr="00B27674">
        <w:rPr>
          <w:rFonts w:ascii="Arial" w:eastAsia="Calibri" w:hAnsi="Arial" w:cs="Arial"/>
          <w:sz w:val="22"/>
          <w:szCs w:val="22"/>
          <w:lang w:val="es-ES_tradnl" w:eastAsia="en-US"/>
        </w:rPr>
        <w:t>surtieran</w:t>
      </w:r>
      <w:r w:rsidR="00B67CED" w:rsidRPr="00B27674">
        <w:rPr>
          <w:rFonts w:ascii="Arial" w:eastAsia="Calibri" w:hAnsi="Arial" w:cs="Arial"/>
          <w:sz w:val="22"/>
          <w:szCs w:val="22"/>
          <w:lang w:val="es-ES_tradnl" w:eastAsia="en-US"/>
        </w:rPr>
        <w:t xml:space="preserve"> por la modalidad de mínima cuantía.</w:t>
      </w:r>
      <w:r w:rsidR="00933EF7" w:rsidRPr="00B27674">
        <w:rPr>
          <w:rFonts w:ascii="Arial" w:eastAsia="Calibri" w:hAnsi="Arial" w:cs="Arial"/>
          <w:sz w:val="22"/>
          <w:szCs w:val="22"/>
          <w:lang w:val="es-ES_tradnl" w:eastAsia="en-US"/>
        </w:rPr>
        <w:t xml:space="preserve"> </w:t>
      </w:r>
      <w:r w:rsidR="00B67CED" w:rsidRPr="00B27674">
        <w:rPr>
          <w:rFonts w:ascii="Arial" w:eastAsia="Calibri" w:hAnsi="Arial" w:cs="Arial"/>
          <w:sz w:val="22"/>
          <w:szCs w:val="22"/>
          <w:lang w:val="es-ES_tradnl" w:eastAsia="en-US"/>
        </w:rPr>
        <w:t xml:space="preserve">Estos documentos fueron implementados y desarrollados por la Agencia Nacional de Contratación Pública </w:t>
      </w:r>
      <w:bookmarkStart w:id="8" w:name="_Hlk37841850"/>
      <w:r w:rsidR="00B67CED" w:rsidRPr="00B27674">
        <w:rPr>
          <w:rFonts w:ascii="Arial" w:eastAsia="Calibri" w:hAnsi="Arial" w:cs="Arial"/>
          <w:sz w:val="22"/>
          <w:szCs w:val="22"/>
          <w:lang w:val="es-ES_tradnl" w:eastAsia="en-US"/>
        </w:rPr>
        <w:t xml:space="preserve">– Colombia Compra Eficiente, </w:t>
      </w:r>
      <w:bookmarkEnd w:id="8"/>
      <w:r w:rsidR="00B67CED" w:rsidRPr="00B27674">
        <w:rPr>
          <w:rFonts w:ascii="Arial" w:eastAsia="Calibri" w:hAnsi="Arial" w:cs="Arial"/>
          <w:sz w:val="22"/>
          <w:szCs w:val="22"/>
          <w:lang w:val="es-ES_tradnl" w:eastAsia="en-US"/>
        </w:rPr>
        <w:t>por medio de la Resolución 1798 de 1 de abril de 2019</w:t>
      </w:r>
      <w:r w:rsidR="00E52EB3" w:rsidRPr="00B27674">
        <w:rPr>
          <w:rFonts w:ascii="Arial" w:eastAsia="Calibri" w:hAnsi="Arial" w:cs="Arial"/>
          <w:sz w:val="22"/>
          <w:szCs w:val="22"/>
          <w:lang w:val="es-ES_tradnl" w:eastAsia="en-US"/>
        </w:rPr>
        <w:t xml:space="preserve"> –</w:t>
      </w:r>
      <w:r w:rsidR="00B67CED" w:rsidRPr="00B27674">
        <w:rPr>
          <w:rFonts w:ascii="Arial" w:eastAsia="Calibri" w:hAnsi="Arial" w:cs="Arial"/>
          <w:sz w:val="22"/>
          <w:szCs w:val="22"/>
          <w:lang w:val="es-ES_tradnl" w:eastAsia="en-US"/>
        </w:rPr>
        <w:t>derogada por la Resolución 045 del 14 de febrero de 2020</w:t>
      </w:r>
      <w:r w:rsidR="00E52EB3" w:rsidRPr="00B27674">
        <w:rPr>
          <w:rFonts w:ascii="Arial" w:eastAsia="Calibri" w:hAnsi="Arial" w:cs="Arial"/>
          <w:sz w:val="22"/>
          <w:szCs w:val="22"/>
          <w:lang w:val="es-ES_tradnl" w:eastAsia="en-US"/>
        </w:rPr>
        <w:t xml:space="preserve">–, </w:t>
      </w:r>
      <w:r w:rsidR="00B67CED" w:rsidRPr="00B27674">
        <w:rPr>
          <w:rFonts w:ascii="Arial" w:eastAsia="Calibri" w:hAnsi="Arial" w:cs="Arial"/>
          <w:sz w:val="22"/>
          <w:szCs w:val="22"/>
          <w:lang w:val="es-ES_tradnl" w:eastAsia="en-US"/>
        </w:rPr>
        <w:t>la Resolución 044 del 14 de febrero de 2020</w:t>
      </w:r>
      <w:r w:rsidR="00E52EB3" w:rsidRPr="00B27674">
        <w:rPr>
          <w:rFonts w:ascii="Arial" w:eastAsia="Calibri" w:hAnsi="Arial" w:cs="Arial"/>
          <w:sz w:val="22"/>
          <w:szCs w:val="22"/>
          <w:lang w:val="es-ES_tradnl" w:eastAsia="en-US"/>
        </w:rPr>
        <w:t xml:space="preserve"> </w:t>
      </w:r>
      <w:r w:rsidR="00B67CED" w:rsidRPr="00B27674">
        <w:rPr>
          <w:rFonts w:ascii="Arial" w:eastAsia="Calibri" w:hAnsi="Arial" w:cs="Arial"/>
          <w:sz w:val="22"/>
          <w:szCs w:val="22"/>
          <w:lang w:val="es-ES_tradnl" w:eastAsia="en-US"/>
        </w:rPr>
        <w:t>y la Resolución 094 del 21 de mayo de 2020.</w:t>
      </w:r>
    </w:p>
    <w:p w14:paraId="78D7441B" w14:textId="7C3D32B0" w:rsidR="006E597D" w:rsidRPr="00B27674" w:rsidRDefault="003C3857" w:rsidP="009753C3">
      <w:pPr>
        <w:pStyle w:val="Normal11pt"/>
        <w:spacing w:before="120" w:line="276" w:lineRule="auto"/>
        <w:ind w:left="0" w:firstLine="709"/>
        <w:rPr>
          <w:rFonts w:eastAsia="Calibri"/>
          <w:color w:val="auto"/>
        </w:rPr>
      </w:pPr>
      <w:r w:rsidRPr="00B27674">
        <w:rPr>
          <w:rFonts w:eastAsia="Calibri"/>
          <w:color w:val="auto"/>
        </w:rPr>
        <w:t xml:space="preserve">Con posterioridad a la </w:t>
      </w:r>
      <w:r w:rsidR="00B77296" w:rsidRPr="00B27674">
        <w:rPr>
          <w:rFonts w:eastAsia="Calibri"/>
          <w:color w:val="auto"/>
        </w:rPr>
        <w:t xml:space="preserve">expedición de los anteriores documentos tipo, se expidió </w:t>
      </w:r>
      <w:r w:rsidR="00B67CED" w:rsidRPr="00B27674">
        <w:rPr>
          <w:rFonts w:eastAsia="Calibri"/>
          <w:color w:val="auto"/>
        </w:rPr>
        <w:t>la Ley 2022 de 2020</w:t>
      </w:r>
      <w:r w:rsidR="00B77296" w:rsidRPr="00B27674">
        <w:rPr>
          <w:rFonts w:eastAsia="Calibri"/>
          <w:color w:val="auto"/>
        </w:rPr>
        <w:t>, norma que modificó el contenido del parágrafo 7 del artículo 2 de la Ley 1150 de 2007, que había sido adicionado por la Ley 1882 de 2018</w:t>
      </w:r>
      <w:r w:rsidR="00A90557" w:rsidRPr="00B27674">
        <w:rPr>
          <w:rStyle w:val="Refdenotaalpie"/>
          <w:rFonts w:eastAsia="Calibri"/>
          <w:color w:val="auto"/>
        </w:rPr>
        <w:footnoteReference w:id="7"/>
      </w:r>
      <w:r w:rsidR="00C1082C" w:rsidRPr="00B27674">
        <w:rPr>
          <w:rFonts w:eastAsia="Calibri"/>
          <w:color w:val="auto"/>
        </w:rPr>
        <w:t xml:space="preserve">. </w:t>
      </w:r>
      <w:r w:rsidR="006075FF" w:rsidRPr="00B27674">
        <w:rPr>
          <w:rFonts w:eastAsia="Calibri"/>
          <w:color w:val="auto"/>
        </w:rPr>
        <w:t>Con esta modificación</w:t>
      </w:r>
      <w:r w:rsidR="002C74F4" w:rsidRPr="00B27674">
        <w:rPr>
          <w:rFonts w:eastAsia="Calibri"/>
          <w:color w:val="auto"/>
        </w:rPr>
        <w:t xml:space="preserve">, </w:t>
      </w:r>
      <w:r w:rsidR="002C74F4" w:rsidRPr="00B27674">
        <w:rPr>
          <w:rFonts w:eastAsia="Calibri"/>
          <w:color w:val="auto"/>
        </w:rPr>
        <w:lastRenderedPageBreak/>
        <w:t>si bien se mantuvo el mandato de aplicación</w:t>
      </w:r>
      <w:r w:rsidR="008C5DF9" w:rsidRPr="00B27674">
        <w:rPr>
          <w:rFonts w:eastAsia="Calibri"/>
          <w:color w:val="auto"/>
        </w:rPr>
        <w:t xml:space="preserve"> obligatoria de los documentos tipo por parte de </w:t>
      </w:r>
      <w:r w:rsidR="002C74F4" w:rsidRPr="00B27674">
        <w:rPr>
          <w:rFonts w:eastAsia="Calibri"/>
          <w:color w:val="auto"/>
        </w:rPr>
        <w:t>las entidades sometidas al Estatuto General de Contratación de la Administración Pública</w:t>
      </w:r>
      <w:r w:rsidR="008C5DF9" w:rsidRPr="00B27674">
        <w:rPr>
          <w:rFonts w:eastAsia="Calibri"/>
          <w:color w:val="auto"/>
        </w:rPr>
        <w:t xml:space="preserve">, se atribuyó </w:t>
      </w:r>
      <w:r w:rsidR="003F252F" w:rsidRPr="00B27674">
        <w:rPr>
          <w:rFonts w:eastAsia="Calibri"/>
          <w:color w:val="auto"/>
        </w:rPr>
        <w:t xml:space="preserve">a la </w:t>
      </w:r>
      <w:r w:rsidR="003F252F" w:rsidRPr="00B27674">
        <w:rPr>
          <w:rFonts w:eastAsia="Calibri"/>
          <w:color w:val="auto"/>
          <w:lang w:eastAsia="en-US"/>
        </w:rPr>
        <w:t>Agencia Nacional de Contratación Pública – Colombia Compra Eficiente la competencia para su e</w:t>
      </w:r>
      <w:r w:rsidR="00A12E5E" w:rsidRPr="00B27674">
        <w:rPr>
          <w:rFonts w:eastAsia="Calibri"/>
          <w:color w:val="auto"/>
          <w:lang w:eastAsia="en-US"/>
        </w:rPr>
        <w:t xml:space="preserve">xpedición. </w:t>
      </w:r>
      <w:r w:rsidR="00A12E5E" w:rsidRPr="00B27674">
        <w:rPr>
          <w:rFonts w:eastAsia="Calibri"/>
          <w:color w:val="auto"/>
        </w:rPr>
        <w:t>En este marco</w:t>
      </w:r>
      <w:r w:rsidR="00B67CED" w:rsidRPr="00B27674">
        <w:rPr>
          <w:rFonts w:eastAsia="Calibri"/>
          <w:color w:val="auto"/>
        </w:rPr>
        <w:t xml:space="preserve">, con la finalidad de realizar un desarrollo armónico y ajustado a la ley que otorga esta competencia, </w:t>
      </w:r>
      <w:r w:rsidR="00A12E5E" w:rsidRPr="00B27674">
        <w:rPr>
          <w:rFonts w:eastAsia="Calibri"/>
          <w:color w:val="auto"/>
        </w:rPr>
        <w:t>esta</w:t>
      </w:r>
      <w:r w:rsidR="00B67CED" w:rsidRPr="00B27674">
        <w:rPr>
          <w:rFonts w:eastAsia="Calibri"/>
          <w:color w:val="auto"/>
        </w:rPr>
        <w:t xml:space="preserve"> Agencia</w:t>
      </w:r>
      <w:r w:rsidR="00A12E5E" w:rsidRPr="00B27674">
        <w:rPr>
          <w:rFonts w:eastAsia="Calibri"/>
          <w:color w:val="auto"/>
        </w:rPr>
        <w:t xml:space="preserve"> </w:t>
      </w:r>
      <w:r w:rsidR="00B67CED" w:rsidRPr="00B27674">
        <w:rPr>
          <w:rFonts w:eastAsia="Calibri"/>
          <w:color w:val="auto"/>
        </w:rPr>
        <w:t xml:space="preserve">expidió la Resolución 160 del 15 de septiembre de 2020 «Por la cual se adopta el procedimiento para implementar los documentos tipo y se define el sistema para su revisión». </w:t>
      </w:r>
      <w:r w:rsidR="004462FD" w:rsidRPr="00B27674">
        <w:rPr>
          <w:rFonts w:eastAsia="Calibri"/>
          <w:color w:val="auto"/>
        </w:rPr>
        <w:t>Asimismo,</w:t>
      </w:r>
      <w:r w:rsidR="0072220F" w:rsidRPr="00B27674">
        <w:rPr>
          <w:rFonts w:eastAsia="Calibri"/>
          <w:color w:val="auto"/>
        </w:rPr>
        <w:t xml:space="preserve"> </w:t>
      </w:r>
      <w:r w:rsidR="00BB1A75" w:rsidRPr="00B27674">
        <w:rPr>
          <w:rFonts w:eastAsia="Calibri"/>
          <w:color w:val="auto"/>
        </w:rPr>
        <w:t>con fundamento en</w:t>
      </w:r>
      <w:r w:rsidR="0072220F" w:rsidRPr="00B27674">
        <w:rPr>
          <w:rFonts w:eastAsia="Calibri"/>
          <w:color w:val="auto"/>
        </w:rPr>
        <w:t xml:space="preserve"> dicha </w:t>
      </w:r>
      <w:r w:rsidR="004503A3" w:rsidRPr="00B27674">
        <w:rPr>
          <w:rFonts w:eastAsia="Calibri"/>
          <w:color w:val="auto"/>
        </w:rPr>
        <w:t>L</w:t>
      </w:r>
      <w:r w:rsidR="0072220F" w:rsidRPr="00B27674">
        <w:rPr>
          <w:rFonts w:eastAsia="Calibri"/>
          <w:color w:val="auto"/>
        </w:rPr>
        <w:t>ey, se</w:t>
      </w:r>
      <w:r w:rsidR="004462FD" w:rsidRPr="00B27674">
        <w:rPr>
          <w:rFonts w:eastAsia="Calibri"/>
          <w:color w:val="auto"/>
        </w:rPr>
        <w:t xml:space="preserve"> profirió la Resolución </w:t>
      </w:r>
      <w:r w:rsidR="00424602" w:rsidRPr="00B27674">
        <w:rPr>
          <w:rFonts w:eastAsia="Calibri"/>
          <w:color w:val="auto"/>
        </w:rPr>
        <w:t xml:space="preserve">240 del 27 de noviembre de 2020, </w:t>
      </w:r>
      <w:r w:rsidR="003B4C61" w:rsidRPr="00B27674">
        <w:rPr>
          <w:rFonts w:eastAsia="Calibri"/>
          <w:color w:val="auto"/>
        </w:rPr>
        <w:t>«Por la cual se actualizan los Documentos Tipo para los procesos de selección de licitación</w:t>
      </w:r>
      <w:r w:rsidR="005202BF" w:rsidRPr="00B27674">
        <w:rPr>
          <w:rFonts w:eastAsia="Calibri"/>
          <w:color w:val="auto"/>
        </w:rPr>
        <w:t xml:space="preserve"> de obra pública de infraestructura de transporte y se deroga la Resolución 0045 de 2020».</w:t>
      </w:r>
      <w:r w:rsidR="0072220F" w:rsidRPr="00B27674">
        <w:rPr>
          <w:rFonts w:eastAsia="Calibri"/>
          <w:color w:val="auto"/>
        </w:rPr>
        <w:t xml:space="preserve"> </w:t>
      </w:r>
    </w:p>
    <w:p w14:paraId="6D9D82AB" w14:textId="52CE7768" w:rsidR="00B67CED" w:rsidRPr="00B27674" w:rsidRDefault="0072220F" w:rsidP="009753C3">
      <w:pPr>
        <w:pStyle w:val="Normal11pt"/>
        <w:spacing w:before="120" w:line="276" w:lineRule="auto"/>
        <w:ind w:left="0" w:firstLine="709"/>
        <w:rPr>
          <w:rFonts w:eastAsia="Calibri"/>
          <w:color w:val="auto"/>
        </w:rPr>
      </w:pPr>
      <w:r w:rsidRPr="00B27674">
        <w:rPr>
          <w:rFonts w:eastAsia="Calibri"/>
          <w:color w:val="auto"/>
        </w:rPr>
        <w:t xml:space="preserve">De igual manera, se expidió la Resolución </w:t>
      </w:r>
      <w:r w:rsidR="00BB1A75" w:rsidRPr="00B27674">
        <w:rPr>
          <w:rFonts w:eastAsia="Calibri"/>
          <w:color w:val="auto"/>
        </w:rPr>
        <w:t>241 del 27 de noviembre de 2020, «</w:t>
      </w:r>
      <w:r w:rsidR="0068059E" w:rsidRPr="00B27674">
        <w:rPr>
          <w:rFonts w:eastAsia="Calibri"/>
          <w:color w:val="auto"/>
        </w:rPr>
        <w:t>Por la cual se actualizan los Documentos Tipo para los procesos de selección abreviada de menor cuantía</w:t>
      </w:r>
      <w:r w:rsidR="00D80B75" w:rsidRPr="00B27674">
        <w:rPr>
          <w:rFonts w:eastAsia="Calibri"/>
          <w:color w:val="auto"/>
        </w:rPr>
        <w:t xml:space="preserve"> de obra pública de infraestructura de transporte y se deroga la Resolución 0044 de 2020».</w:t>
      </w:r>
      <w:r w:rsidR="00E52C48" w:rsidRPr="00B27674">
        <w:rPr>
          <w:rFonts w:eastAsia="Calibri"/>
          <w:color w:val="auto"/>
        </w:rPr>
        <w:t xml:space="preserve"> Adicionalmente, </w:t>
      </w:r>
      <w:r w:rsidR="00285E14" w:rsidRPr="00B27674">
        <w:rPr>
          <w:rFonts w:eastAsia="Calibri"/>
          <w:color w:val="auto"/>
        </w:rPr>
        <w:t>entró en vigencia la Resolución 256 de 2020, «Por la cual se adoptan los documentos tipo</w:t>
      </w:r>
      <w:r w:rsidR="008B522C" w:rsidRPr="00B27674">
        <w:rPr>
          <w:rFonts w:eastAsia="Calibri"/>
          <w:color w:val="auto"/>
        </w:rPr>
        <w:t xml:space="preserve"> para los procesos de selección de concursos de méritos, para contratar la interventoría de obras públicas de infraestructura de transporte».</w:t>
      </w:r>
      <w:r w:rsidR="00B346D9" w:rsidRPr="00B27674">
        <w:rPr>
          <w:rFonts w:eastAsia="Calibri"/>
          <w:color w:val="auto"/>
        </w:rPr>
        <w:t xml:space="preserve"> Por otra parte, se expidió la Resolución</w:t>
      </w:r>
      <w:r w:rsidR="0082042F" w:rsidRPr="00B27674">
        <w:rPr>
          <w:rFonts w:eastAsia="Calibri"/>
          <w:color w:val="auto"/>
        </w:rPr>
        <w:t xml:space="preserve"> 248 de 2020, </w:t>
      </w:r>
      <w:r w:rsidR="00640E88" w:rsidRPr="00B27674">
        <w:rPr>
          <w:rFonts w:eastAsia="Calibri"/>
          <w:color w:val="auto"/>
        </w:rPr>
        <w:t>«Por la cual se adoptan los documentos tipo para los procesos de licitación pública para obras de infraestructura de agua potable y saneamiento básico»</w:t>
      </w:r>
      <w:r w:rsidR="00375A41" w:rsidRPr="00B27674">
        <w:rPr>
          <w:rFonts w:eastAsia="Calibri"/>
          <w:color w:val="auto"/>
        </w:rPr>
        <w:t xml:space="preserve">, la </w:t>
      </w:r>
      <w:r w:rsidR="00EA793F" w:rsidRPr="00B27674">
        <w:rPr>
          <w:rFonts w:eastAsia="Calibri"/>
          <w:color w:val="auto"/>
        </w:rPr>
        <w:t xml:space="preserve">Resolución </w:t>
      </w:r>
      <w:r w:rsidR="005E2423" w:rsidRPr="00B27674">
        <w:rPr>
          <w:rFonts w:eastAsia="Calibri"/>
          <w:color w:val="auto"/>
        </w:rPr>
        <w:t>249 de 2020</w:t>
      </w:r>
      <w:r w:rsidR="004874E6" w:rsidRPr="00B27674">
        <w:rPr>
          <w:rFonts w:eastAsia="Calibri"/>
          <w:color w:val="auto"/>
        </w:rPr>
        <w:t>, «Por la cual se adoptan los documentos tipo para los procesos de licitación pública para obras de infraestructura de agua potable</w:t>
      </w:r>
      <w:r w:rsidR="00B574C3" w:rsidRPr="00B27674">
        <w:rPr>
          <w:rFonts w:eastAsia="Calibri"/>
          <w:color w:val="auto"/>
        </w:rPr>
        <w:t xml:space="preserve"> y saneamiento básico en la modalidad llave en mano»</w:t>
      </w:r>
      <w:r w:rsidR="00A12E5E" w:rsidRPr="00B27674">
        <w:rPr>
          <w:rFonts w:eastAsia="Calibri"/>
          <w:color w:val="auto"/>
        </w:rPr>
        <w:t xml:space="preserve">, </w:t>
      </w:r>
      <w:r w:rsidR="00AD23B5" w:rsidRPr="00B27674">
        <w:rPr>
          <w:rFonts w:eastAsia="Calibri"/>
          <w:color w:val="auto"/>
        </w:rPr>
        <w:t xml:space="preserve">y </w:t>
      </w:r>
      <w:r w:rsidR="00375A41" w:rsidRPr="00B27674">
        <w:rPr>
          <w:rFonts w:eastAsia="Calibri"/>
          <w:color w:val="auto"/>
        </w:rPr>
        <w:t xml:space="preserve">la Resolución </w:t>
      </w:r>
      <w:r w:rsidR="000402D3" w:rsidRPr="00B27674">
        <w:rPr>
          <w:rFonts w:eastAsia="Calibri"/>
          <w:color w:val="auto"/>
        </w:rPr>
        <w:t>269 de 2020, «Por la cual se adopta el documento tipo</w:t>
      </w:r>
      <w:r w:rsidR="00FB47FB" w:rsidRPr="00B27674">
        <w:rPr>
          <w:rFonts w:eastAsia="Calibri"/>
          <w:color w:val="auto"/>
        </w:rPr>
        <w:t xml:space="preserve"> para los procesos de gestión catastral con enfoque multipropósito</w:t>
      </w:r>
      <w:r w:rsidR="00E60DC8" w:rsidRPr="00B27674">
        <w:rPr>
          <w:rFonts w:eastAsia="Calibri"/>
          <w:color w:val="auto"/>
        </w:rPr>
        <w:t xml:space="preserve"> que se celebren a través de contratos interadministrativos».</w:t>
      </w:r>
    </w:p>
    <w:p w14:paraId="225FECAB" w14:textId="3C7758E2" w:rsidR="00C62883" w:rsidRPr="00B27674" w:rsidRDefault="0097158D" w:rsidP="00C62883">
      <w:pPr>
        <w:pStyle w:val="Normal11pt"/>
        <w:spacing w:before="120" w:line="276" w:lineRule="auto"/>
        <w:ind w:left="0" w:firstLine="709"/>
        <w:rPr>
          <w:color w:val="auto"/>
        </w:rPr>
      </w:pPr>
      <w:r w:rsidRPr="00B27674">
        <w:rPr>
          <w:rFonts w:eastAsia="Calibri"/>
          <w:color w:val="auto"/>
        </w:rPr>
        <w:t>A l</w:t>
      </w:r>
      <w:r w:rsidR="0096160D" w:rsidRPr="00B27674">
        <w:rPr>
          <w:rFonts w:eastAsia="Calibri"/>
          <w:color w:val="auto"/>
        </w:rPr>
        <w:t>os actos administrativos mencionados</w:t>
      </w:r>
      <w:r w:rsidRPr="00B27674">
        <w:rPr>
          <w:rFonts w:eastAsia="Calibri"/>
          <w:color w:val="auto"/>
        </w:rPr>
        <w:t xml:space="preserve"> se suman</w:t>
      </w:r>
      <w:r w:rsidR="00CA7D40" w:rsidRPr="00B27674">
        <w:rPr>
          <w:rFonts w:eastAsia="Calibri"/>
          <w:color w:val="auto"/>
        </w:rPr>
        <w:t>: i)</w:t>
      </w:r>
      <w:r w:rsidR="00211F2E" w:rsidRPr="00B27674">
        <w:rPr>
          <w:rFonts w:eastAsia="Calibri"/>
          <w:color w:val="auto"/>
        </w:rPr>
        <w:t xml:space="preserve"> la Resolución 193 de </w:t>
      </w:r>
      <w:r w:rsidR="00870023" w:rsidRPr="00B27674">
        <w:rPr>
          <w:rFonts w:eastAsia="Calibri"/>
          <w:color w:val="auto"/>
        </w:rPr>
        <w:t>14 de julio de 2021</w:t>
      </w:r>
      <w:r w:rsidR="00277378" w:rsidRPr="00B27674">
        <w:rPr>
          <w:rFonts w:eastAsia="Calibri"/>
          <w:color w:val="auto"/>
        </w:rPr>
        <w:t xml:space="preserve">, </w:t>
      </w:r>
      <w:r w:rsidR="00211F2E" w:rsidRPr="00B27674">
        <w:rPr>
          <w:color w:val="auto"/>
        </w:rPr>
        <w:t>«Por la cual se adoptan los documentos tipo para los procesos de selección de concurso de méritos, para contratar la consultoría de estudios de ingeniería de infraestructura de transporte»</w:t>
      </w:r>
      <w:r w:rsidR="00870023" w:rsidRPr="00B27674">
        <w:rPr>
          <w:color w:val="auto"/>
        </w:rPr>
        <w:t>,</w:t>
      </w:r>
      <w:r w:rsidR="00CA7D40" w:rsidRPr="00B27674">
        <w:rPr>
          <w:color w:val="auto"/>
        </w:rPr>
        <w:t xml:space="preserve"> ii)</w:t>
      </w:r>
      <w:r w:rsidRPr="00B27674">
        <w:rPr>
          <w:rFonts w:eastAsia="Calibri"/>
          <w:color w:val="auto"/>
        </w:rPr>
        <w:t xml:space="preserve"> la Resolución 219 de 202</w:t>
      </w:r>
      <w:r w:rsidR="001C4040" w:rsidRPr="00B27674">
        <w:rPr>
          <w:rFonts w:eastAsia="Calibri"/>
          <w:color w:val="auto"/>
        </w:rPr>
        <w:t>1</w:t>
      </w:r>
      <w:r w:rsidR="00C72115" w:rsidRPr="00B27674">
        <w:rPr>
          <w:rFonts w:eastAsia="Calibri"/>
          <w:color w:val="auto"/>
        </w:rPr>
        <w:t>,</w:t>
      </w:r>
      <w:r w:rsidR="00C62883" w:rsidRPr="00B27674">
        <w:rPr>
          <w:color w:val="auto"/>
        </w:rPr>
        <w:t xml:space="preserve"> «Por la cual se adoptan los documentos tipo para los procesos de licitación de obra pública de infraestructura social», </w:t>
      </w:r>
      <w:r w:rsidR="00CA7D40" w:rsidRPr="00B27674">
        <w:rPr>
          <w:color w:val="auto"/>
        </w:rPr>
        <w:t xml:space="preserve">iii) </w:t>
      </w:r>
      <w:r w:rsidR="00C62883" w:rsidRPr="00B27674">
        <w:rPr>
          <w:color w:val="auto"/>
        </w:rPr>
        <w:t>la Resolución 220 del 6 de agosto de 2021</w:t>
      </w:r>
      <w:r w:rsidR="00C72115" w:rsidRPr="00B27674">
        <w:rPr>
          <w:color w:val="auto"/>
        </w:rPr>
        <w:t>,</w:t>
      </w:r>
      <w:r w:rsidR="00C62883" w:rsidRPr="00B27674">
        <w:rPr>
          <w:color w:val="auto"/>
        </w:rPr>
        <w:t xml:space="preserve"> «Por la cual se adoptan los documentos tipo complementarios para los procesos de licitación de obra pública de infraestructura social relacionados con el sector educativo», </w:t>
      </w:r>
      <w:r w:rsidR="00CA7D40" w:rsidRPr="00B27674">
        <w:rPr>
          <w:color w:val="auto"/>
        </w:rPr>
        <w:t xml:space="preserve">iv) </w:t>
      </w:r>
      <w:r w:rsidR="00C62883" w:rsidRPr="00B27674">
        <w:rPr>
          <w:color w:val="auto"/>
        </w:rPr>
        <w:t>la Resolución 392 del 18 de noviembre de 2021</w:t>
      </w:r>
      <w:r w:rsidR="00C72115" w:rsidRPr="00B27674">
        <w:rPr>
          <w:color w:val="auto"/>
        </w:rPr>
        <w:t>,</w:t>
      </w:r>
      <w:r w:rsidR="00C62883" w:rsidRPr="00B27674">
        <w:rPr>
          <w:color w:val="auto"/>
        </w:rPr>
        <w:t xml:space="preserve"> «Por la cual se adoptan los documentos tipo complementarios para los procesos de licitación de obra pública de infraestructura social relacionados con el sector salud»</w:t>
      </w:r>
      <w:r w:rsidR="00C72115" w:rsidRPr="00B27674">
        <w:rPr>
          <w:color w:val="auto"/>
        </w:rPr>
        <w:t>,</w:t>
      </w:r>
      <w:r w:rsidR="00C62883" w:rsidRPr="00B27674">
        <w:rPr>
          <w:color w:val="auto"/>
        </w:rPr>
        <w:t xml:space="preserve"> y</w:t>
      </w:r>
      <w:r w:rsidR="00CA7D40" w:rsidRPr="00B27674">
        <w:rPr>
          <w:color w:val="auto"/>
        </w:rPr>
        <w:t xml:space="preserve"> v)</w:t>
      </w:r>
      <w:r w:rsidR="00C62883" w:rsidRPr="00B27674">
        <w:rPr>
          <w:color w:val="auto"/>
        </w:rPr>
        <w:t xml:space="preserve"> la Resolución 454 del 16 de diciembre de 2021</w:t>
      </w:r>
      <w:r w:rsidR="00C72115" w:rsidRPr="00B27674">
        <w:rPr>
          <w:color w:val="auto"/>
        </w:rPr>
        <w:t>,</w:t>
      </w:r>
      <w:r w:rsidR="00C62883" w:rsidRPr="00B27674">
        <w:rPr>
          <w:color w:val="auto"/>
        </w:rPr>
        <w:t xml:space="preserve"> «Por la cual se adoptan los documentos tipo complementarios para los procesos de licitación de obra pública de infraestructura social relacionados con el sector cultura, recreación y deporte</w:t>
      </w:r>
      <w:r w:rsidR="00870023" w:rsidRPr="00B27674">
        <w:rPr>
          <w:color w:val="auto"/>
        </w:rPr>
        <w:t xml:space="preserve">». </w:t>
      </w:r>
    </w:p>
    <w:p w14:paraId="7A0346AC" w14:textId="49999DCF" w:rsidR="004E2A22" w:rsidRPr="00B27674" w:rsidRDefault="001A33F1" w:rsidP="00C62883">
      <w:pPr>
        <w:pStyle w:val="Normal11pt"/>
        <w:spacing w:before="120" w:line="276" w:lineRule="auto"/>
        <w:ind w:left="0" w:firstLine="709"/>
        <w:rPr>
          <w:color w:val="auto"/>
        </w:rPr>
      </w:pPr>
      <w:r w:rsidRPr="00B27674">
        <w:rPr>
          <w:color w:val="auto"/>
        </w:rPr>
        <w:t>En cuanto al ámbito de aplicación de estos documentos, es preciso explicar que c</w:t>
      </w:r>
      <w:r w:rsidR="00C51222" w:rsidRPr="00B27674">
        <w:rPr>
          <w:color w:val="auto"/>
        </w:rPr>
        <w:t>ada una de estas resoluciones está relacionada con un sector, un objeto contractual</w:t>
      </w:r>
      <w:r w:rsidR="00A176BA" w:rsidRPr="00B27674">
        <w:rPr>
          <w:color w:val="auto"/>
        </w:rPr>
        <w:t xml:space="preserve"> y una modalidad de selección</w:t>
      </w:r>
      <w:r w:rsidRPr="00B27674">
        <w:rPr>
          <w:color w:val="auto"/>
        </w:rPr>
        <w:t xml:space="preserve"> en específico</w:t>
      </w:r>
      <w:r w:rsidR="006D55E6" w:rsidRPr="00B27674">
        <w:rPr>
          <w:color w:val="auto"/>
        </w:rPr>
        <w:t xml:space="preserve">. Esto de tal manera que las entidades estatales </w:t>
      </w:r>
      <w:r w:rsidR="006D55E6" w:rsidRPr="00B27674">
        <w:rPr>
          <w:color w:val="auto"/>
        </w:rPr>
        <w:lastRenderedPageBreak/>
        <w:t>regidas por el Estatuto General de Contratación de la Administración Pública</w:t>
      </w:r>
      <w:r w:rsidR="0068541F" w:rsidRPr="00B27674">
        <w:rPr>
          <w:color w:val="auto"/>
        </w:rPr>
        <w:t xml:space="preserve">, al momento de </w:t>
      </w:r>
      <w:r w:rsidR="00D564B8" w:rsidRPr="00B27674">
        <w:rPr>
          <w:color w:val="auto"/>
        </w:rPr>
        <w:t xml:space="preserve">adelantar un proceso de contratación </w:t>
      </w:r>
      <w:r w:rsidR="00550955" w:rsidRPr="00B27674">
        <w:rPr>
          <w:color w:val="auto"/>
        </w:rPr>
        <w:t>asociado a uno de los sectores para los que se han implementado documentos tipo</w:t>
      </w:r>
      <w:r w:rsidR="00AE6265" w:rsidRPr="00B27674">
        <w:rPr>
          <w:color w:val="auto"/>
        </w:rPr>
        <w:t>,</w:t>
      </w:r>
      <w:r w:rsidR="00D564B8" w:rsidRPr="00B27674">
        <w:rPr>
          <w:color w:val="auto"/>
        </w:rPr>
        <w:t xml:space="preserve"> debe</w:t>
      </w:r>
      <w:r w:rsidR="00AE6265" w:rsidRPr="00B27674">
        <w:rPr>
          <w:color w:val="auto"/>
        </w:rPr>
        <w:t>n</w:t>
      </w:r>
      <w:r w:rsidR="00D564B8" w:rsidRPr="00B27674">
        <w:rPr>
          <w:color w:val="auto"/>
        </w:rPr>
        <w:t xml:space="preserve"> consultar </w:t>
      </w:r>
      <w:r w:rsidR="00BF62AB" w:rsidRPr="00B27674">
        <w:rPr>
          <w:color w:val="auto"/>
        </w:rPr>
        <w:t xml:space="preserve">el contenido de los respectivos documentos tipo, para determinar si </w:t>
      </w:r>
      <w:r w:rsidR="00AE6265" w:rsidRPr="00B27674">
        <w:rPr>
          <w:color w:val="auto"/>
        </w:rPr>
        <w:t xml:space="preserve">la modalidad de escogencia y el objeto </w:t>
      </w:r>
      <w:r w:rsidR="00590A17" w:rsidRPr="00B27674">
        <w:rPr>
          <w:color w:val="auto"/>
        </w:rPr>
        <w:t xml:space="preserve">a contratar son o no subsumibles dentro de lo dispuesto </w:t>
      </w:r>
      <w:r w:rsidR="00725D0B" w:rsidRPr="00B27674">
        <w:rPr>
          <w:color w:val="auto"/>
        </w:rPr>
        <w:t xml:space="preserve">en </w:t>
      </w:r>
      <w:r w:rsidR="00590A17" w:rsidRPr="00B27674">
        <w:rPr>
          <w:color w:val="auto"/>
        </w:rPr>
        <w:t xml:space="preserve">el documento tipo. De </w:t>
      </w:r>
      <w:r w:rsidR="004E2A22" w:rsidRPr="00B27674">
        <w:rPr>
          <w:color w:val="auto"/>
        </w:rPr>
        <w:t xml:space="preserve">ser esto así, la entidad estará obligada a adelantar el proceso de contratación </w:t>
      </w:r>
      <w:r w:rsidR="000D7002" w:rsidRPr="00B27674">
        <w:rPr>
          <w:color w:val="auto"/>
        </w:rPr>
        <w:t xml:space="preserve">aplicando los documentos tipo del caso. </w:t>
      </w:r>
    </w:p>
    <w:p w14:paraId="18814E39" w14:textId="422B703E" w:rsidR="00276E44" w:rsidRPr="00B27674" w:rsidRDefault="00D270AC" w:rsidP="00B27674">
      <w:pPr>
        <w:spacing w:before="120" w:line="276" w:lineRule="auto"/>
        <w:ind w:firstLine="709"/>
        <w:jc w:val="both"/>
        <w:rPr>
          <w:rFonts w:ascii="Arial" w:hAnsi="Arial" w:cs="Arial"/>
          <w:sz w:val="22"/>
          <w:shd w:val="clear" w:color="auto" w:fill="FFFFFF"/>
          <w:lang w:val="es-ES_tradnl"/>
        </w:rPr>
      </w:pPr>
      <w:r w:rsidRPr="00B27674">
        <w:rPr>
          <w:rFonts w:ascii="Arial" w:hAnsi="Arial" w:cs="Arial"/>
          <w:sz w:val="22"/>
          <w:shd w:val="clear" w:color="auto" w:fill="FFFFFF"/>
          <w:lang w:val="es-ES_tradnl"/>
        </w:rPr>
        <w:t>Es importante advertir que, t</w:t>
      </w:r>
      <w:r w:rsidR="00276E44" w:rsidRPr="00B27674">
        <w:rPr>
          <w:rFonts w:ascii="Arial" w:hAnsi="Arial" w:cs="Arial"/>
          <w:sz w:val="22"/>
          <w:shd w:val="clear" w:color="auto" w:fill="FFFFFF"/>
          <w:lang w:val="es-ES_tradnl"/>
        </w:rPr>
        <w:t>odas las resoluciones</w:t>
      </w:r>
      <w:r w:rsidRPr="00B27674">
        <w:rPr>
          <w:rFonts w:ascii="Arial" w:hAnsi="Arial" w:cs="Arial"/>
          <w:sz w:val="22"/>
          <w:shd w:val="clear" w:color="auto" w:fill="FFFFFF"/>
          <w:lang w:val="es-ES_tradnl"/>
        </w:rPr>
        <w:t xml:space="preserve"> </w:t>
      </w:r>
      <w:r w:rsidR="00276E44" w:rsidRPr="00B27674">
        <w:rPr>
          <w:rFonts w:ascii="Arial" w:hAnsi="Arial" w:cs="Arial"/>
          <w:sz w:val="22"/>
          <w:shd w:val="clear" w:color="auto" w:fill="FFFFFF"/>
          <w:lang w:val="es-ES_tradnl"/>
        </w:rPr>
        <w:t xml:space="preserve">mediante las </w:t>
      </w:r>
      <w:r w:rsidRPr="00B27674">
        <w:rPr>
          <w:rFonts w:ascii="Arial" w:hAnsi="Arial" w:cs="Arial"/>
          <w:sz w:val="22"/>
          <w:shd w:val="clear" w:color="auto" w:fill="FFFFFF"/>
          <w:lang w:val="es-ES_tradnl"/>
        </w:rPr>
        <w:t>que</w:t>
      </w:r>
      <w:r w:rsidR="00276E44" w:rsidRPr="00B27674">
        <w:rPr>
          <w:rFonts w:ascii="Arial" w:hAnsi="Arial" w:cs="Arial"/>
          <w:sz w:val="22"/>
          <w:shd w:val="clear" w:color="auto" w:fill="FFFFFF"/>
          <w:lang w:val="es-ES_tradnl"/>
        </w:rPr>
        <w:t xml:space="preserve"> se han adoptado documentos </w:t>
      </w:r>
      <w:r w:rsidRPr="00B27674">
        <w:rPr>
          <w:rFonts w:ascii="Arial" w:hAnsi="Arial" w:cs="Arial"/>
          <w:sz w:val="22"/>
          <w:shd w:val="clear" w:color="auto" w:fill="FFFFFF"/>
          <w:lang w:val="es-ES_tradnl"/>
        </w:rPr>
        <w:t>tipo</w:t>
      </w:r>
      <w:r w:rsidR="00276E44" w:rsidRPr="00B27674">
        <w:rPr>
          <w:rFonts w:ascii="Arial" w:hAnsi="Arial" w:cs="Arial"/>
          <w:sz w:val="22"/>
          <w:shd w:val="clear" w:color="auto" w:fill="FFFFFF"/>
          <w:lang w:val="es-ES_tradnl"/>
        </w:rPr>
        <w:t xml:space="preserve"> consagran la regla de la inalterabilidad. Esta prohibición consiste en que las entidades estatales no pueden incluir o modificar en los </w:t>
      </w:r>
      <w:r w:rsidR="00276E44" w:rsidRPr="00B27674">
        <w:rPr>
          <w:rFonts w:ascii="Arial" w:hAnsi="Arial" w:cs="Arial"/>
          <w:i/>
          <w:iCs/>
          <w:sz w:val="22"/>
          <w:shd w:val="clear" w:color="auto" w:fill="FFFFFF"/>
          <w:lang w:val="es-ES_tradnl"/>
        </w:rPr>
        <w:t>Documentos del Proceso</w:t>
      </w:r>
      <w:r w:rsidR="00276E44" w:rsidRPr="00B27674">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06B583" w14:textId="7B37A396" w:rsidR="00B67CED" w:rsidRPr="00B27674" w:rsidRDefault="00653D1B" w:rsidP="009753C3">
      <w:pPr>
        <w:pStyle w:val="Normal11pt"/>
        <w:spacing w:before="120" w:line="276" w:lineRule="auto"/>
        <w:ind w:left="0" w:firstLine="709"/>
        <w:rPr>
          <w:rFonts w:eastAsia="Calibri"/>
          <w:color w:val="auto"/>
          <w:lang w:eastAsia="en-US"/>
        </w:rPr>
      </w:pPr>
      <w:r w:rsidRPr="00B27674">
        <w:rPr>
          <w:rFonts w:eastAsia="Calibri"/>
          <w:color w:val="auto"/>
        </w:rPr>
        <w:t>Por último, c</w:t>
      </w:r>
      <w:r w:rsidR="00B67CED" w:rsidRPr="00B27674">
        <w:rPr>
          <w:rFonts w:eastAsia="Calibri"/>
          <w:color w:val="auto"/>
        </w:rPr>
        <w:t>abe aclarar que la Agencia Nacional de Contratación Pública sigue avanzando en la expedición de nuevos documentos tipo</w:t>
      </w:r>
      <w:r w:rsidR="00724FBB" w:rsidRPr="00B27674">
        <w:rPr>
          <w:rFonts w:eastAsia="Calibri"/>
          <w:color w:val="auto"/>
        </w:rPr>
        <w:t>.</w:t>
      </w:r>
      <w:r w:rsidR="00B67CED" w:rsidRPr="00B27674">
        <w:rPr>
          <w:rFonts w:eastAsia="Calibri"/>
          <w:color w:val="auto"/>
        </w:rPr>
        <w:t xml:space="preserve"> </w:t>
      </w:r>
      <w:r w:rsidR="00724FBB" w:rsidRPr="00B27674">
        <w:rPr>
          <w:rFonts w:eastAsia="Calibri"/>
          <w:color w:val="auto"/>
        </w:rPr>
        <w:t>S</w:t>
      </w:r>
      <w:r w:rsidR="00B67CED" w:rsidRPr="00B27674">
        <w:rPr>
          <w:rFonts w:eastAsia="Calibri"/>
          <w:color w:val="auto"/>
        </w:rPr>
        <w:t xml:space="preserve">in embargo, debe tenerse en cuenta que estos exigen un minucioso desarrollo en el cual se </w:t>
      </w:r>
      <w:r w:rsidR="00BA342C" w:rsidRPr="00B27674">
        <w:rPr>
          <w:rFonts w:eastAsia="Calibri"/>
          <w:color w:val="auto"/>
        </w:rPr>
        <w:t>consideran</w:t>
      </w:r>
      <w:r w:rsidR="00B67CED" w:rsidRPr="00B27674">
        <w:rPr>
          <w:rFonts w:eastAsia="Calibri"/>
          <w:color w:val="auto"/>
        </w:rPr>
        <w:t xml:space="preserve"> las observaciones de las entidades técnicas y especializadas, con la finalidad de expedir documentos tipo que contengan las mejores prácticas contractuales que procuren el adecuado desarrollo de los principios que rigen la contratación pública.</w:t>
      </w:r>
    </w:p>
    <w:p w14:paraId="77C3C996" w14:textId="77777777" w:rsidR="00B67CED" w:rsidRPr="00B27674" w:rsidRDefault="00B67CED" w:rsidP="009753C3">
      <w:pPr>
        <w:tabs>
          <w:tab w:val="left" w:pos="0"/>
        </w:tabs>
        <w:spacing w:line="276" w:lineRule="auto"/>
        <w:jc w:val="both"/>
        <w:rPr>
          <w:rFonts w:ascii="Arial" w:eastAsia="Calibri" w:hAnsi="Arial" w:cs="Arial"/>
          <w:b/>
          <w:sz w:val="22"/>
          <w:lang w:val="es-ES_tradnl"/>
        </w:rPr>
      </w:pPr>
    </w:p>
    <w:p w14:paraId="196AE84C" w14:textId="77777777" w:rsidR="009C48E6" w:rsidRPr="00B27674" w:rsidRDefault="009C48E6" w:rsidP="009C48E6">
      <w:pPr>
        <w:tabs>
          <w:tab w:val="left" w:pos="0"/>
        </w:tabs>
        <w:spacing w:line="276" w:lineRule="auto"/>
        <w:jc w:val="both"/>
        <w:rPr>
          <w:rFonts w:ascii="Arial" w:eastAsia="Calibri" w:hAnsi="Arial" w:cs="Arial"/>
          <w:b/>
          <w:sz w:val="22"/>
          <w:lang w:val="es-ES_tradnl"/>
        </w:rPr>
      </w:pPr>
      <w:r w:rsidRPr="00B27674">
        <w:rPr>
          <w:rFonts w:ascii="Arial" w:eastAsia="Calibri" w:hAnsi="Arial" w:cs="Arial"/>
          <w:b/>
          <w:sz w:val="22"/>
          <w:lang w:val="es-ES_tradnl"/>
        </w:rPr>
        <w:t xml:space="preserve">2.2. </w:t>
      </w:r>
      <w:bookmarkStart w:id="9" w:name="_Hlk95322387"/>
      <w:r w:rsidRPr="00B27674">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9"/>
    <w:p w14:paraId="355E61C9" w14:textId="77777777" w:rsidR="009C48E6" w:rsidRPr="00B27674" w:rsidRDefault="009C48E6" w:rsidP="009C48E6">
      <w:pPr>
        <w:tabs>
          <w:tab w:val="left" w:pos="0"/>
        </w:tabs>
        <w:spacing w:line="276" w:lineRule="auto"/>
        <w:jc w:val="both"/>
        <w:rPr>
          <w:rFonts w:ascii="Arial" w:eastAsia="Calibri" w:hAnsi="Arial" w:cs="Arial"/>
          <w:b/>
          <w:sz w:val="22"/>
          <w:lang w:val="es-ES_tradnl"/>
        </w:rPr>
      </w:pPr>
    </w:p>
    <w:p w14:paraId="00DA1C03" w14:textId="18FD1D41"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w:t>
      </w:r>
      <w:r w:rsidR="0089073D">
        <w:rPr>
          <w:rFonts w:ascii="Arial" w:eastAsia="Calibri" w:hAnsi="Arial" w:cs="Arial"/>
          <w:bCs/>
          <w:sz w:val="22"/>
          <w:lang w:val="es-ES_tradnl"/>
        </w:rPr>
        <w:t>,</w:t>
      </w:r>
      <w:r w:rsidRPr="00B27674">
        <w:rPr>
          <w:rFonts w:ascii="Arial" w:eastAsia="Calibri" w:hAnsi="Arial" w:cs="Arial"/>
          <w:bCs/>
          <w:sz w:val="22"/>
          <w:lang w:val="es-ES_tradnl"/>
        </w:rPr>
        <w:t xml:space="preserve"> excluían del ámbito de aplicación de los documentos tipo la contratación de entidades estatales de régimen exceptuado, por lo general, sujetas al derecho privado. </w:t>
      </w:r>
    </w:p>
    <w:p w14:paraId="4A715736"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
          <w:sz w:val="22"/>
          <w:lang w:val="es-ES_tradnl"/>
        </w:rPr>
        <w:tab/>
      </w:r>
      <w:r w:rsidRPr="00B27674">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w:t>
      </w:r>
      <w:r w:rsidRPr="00B27674">
        <w:rPr>
          <w:rFonts w:ascii="Arial" w:eastAsia="Calibri" w:hAnsi="Arial" w:cs="Arial"/>
          <w:bCs/>
          <w:sz w:val="22"/>
          <w:lang w:val="es-ES_tradnl"/>
        </w:rPr>
        <w:lastRenderedPageBreak/>
        <w:t xml:space="preserve">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92B8E54"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 El tenor literal de este precepto prescribe lo siguiente:</w:t>
      </w:r>
    </w:p>
    <w:p w14:paraId="17001E69"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p>
    <w:p w14:paraId="7A9B5937" w14:textId="77777777" w:rsidR="009C48E6" w:rsidRPr="00B27674" w:rsidRDefault="009C48E6" w:rsidP="009C48E6">
      <w:pPr>
        <w:tabs>
          <w:tab w:val="left" w:pos="0"/>
        </w:tabs>
        <w:ind w:left="709" w:right="709"/>
        <w:jc w:val="both"/>
        <w:rPr>
          <w:rFonts w:ascii="Arial" w:hAnsi="Arial" w:cs="Arial"/>
          <w:sz w:val="21"/>
          <w:szCs w:val="21"/>
          <w:lang w:val="es-ES_tradnl"/>
        </w:rPr>
      </w:pPr>
      <w:r w:rsidRPr="00B27674">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4BA803A" w14:textId="77777777" w:rsidR="009C48E6" w:rsidRPr="00B27674" w:rsidRDefault="009C48E6" w:rsidP="009C48E6">
      <w:pPr>
        <w:tabs>
          <w:tab w:val="left" w:pos="0"/>
        </w:tabs>
        <w:ind w:left="709" w:right="709"/>
        <w:jc w:val="both"/>
        <w:rPr>
          <w:rFonts w:ascii="Arial" w:hAnsi="Arial" w:cs="Arial"/>
          <w:sz w:val="21"/>
          <w:szCs w:val="21"/>
          <w:lang w:val="es-ES_tradnl"/>
        </w:rPr>
      </w:pPr>
    </w:p>
    <w:p w14:paraId="71D6049D" w14:textId="77777777" w:rsidR="009C48E6" w:rsidRPr="00B27674" w:rsidRDefault="009C48E6" w:rsidP="009C48E6">
      <w:pPr>
        <w:tabs>
          <w:tab w:val="left" w:pos="0"/>
        </w:tabs>
        <w:ind w:left="709" w:right="709"/>
        <w:jc w:val="both"/>
        <w:rPr>
          <w:rFonts w:ascii="Arial" w:hAnsi="Arial" w:cs="Arial"/>
          <w:sz w:val="21"/>
          <w:szCs w:val="21"/>
          <w:lang w:val="es-ES_tradnl"/>
        </w:rPr>
      </w:pPr>
      <w:r w:rsidRPr="00B27674">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A7BE92E" w14:textId="77777777" w:rsidR="009C48E6" w:rsidRPr="00B27674" w:rsidRDefault="009C48E6" w:rsidP="009C48E6">
      <w:pPr>
        <w:tabs>
          <w:tab w:val="left" w:pos="0"/>
        </w:tabs>
        <w:ind w:left="709" w:right="709"/>
        <w:jc w:val="both"/>
        <w:rPr>
          <w:rFonts w:ascii="Arial" w:hAnsi="Arial" w:cs="Arial"/>
          <w:sz w:val="21"/>
          <w:szCs w:val="21"/>
          <w:lang w:val="es-ES_tradnl"/>
        </w:rPr>
      </w:pPr>
    </w:p>
    <w:p w14:paraId="3EAD6426" w14:textId="2547E185" w:rsidR="009C48E6" w:rsidRPr="00B27674" w:rsidRDefault="009C48E6" w:rsidP="009C48E6">
      <w:pPr>
        <w:tabs>
          <w:tab w:val="left" w:pos="0"/>
        </w:tabs>
        <w:ind w:left="709" w:right="709"/>
        <w:jc w:val="both"/>
        <w:rPr>
          <w:rFonts w:ascii="Arial" w:eastAsia="Calibri" w:hAnsi="Arial" w:cs="Arial"/>
          <w:bCs/>
          <w:sz w:val="21"/>
          <w:szCs w:val="21"/>
          <w:lang w:val="es-ES_tradnl"/>
        </w:rPr>
      </w:pPr>
      <w:r w:rsidRPr="00B27674">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 </w:t>
      </w:r>
    </w:p>
    <w:p w14:paraId="1CE7E8DD"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p>
    <w:p w14:paraId="07DD1EB6" w14:textId="1594617A" w:rsidR="009C48E6" w:rsidRPr="00B27674" w:rsidRDefault="009C48E6" w:rsidP="009C48E6">
      <w:pPr>
        <w:tabs>
          <w:tab w:val="left" w:pos="0"/>
        </w:tabs>
        <w:spacing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Las implicaciones de lo establecido en esta norma son variadas y se presentan en múltiples ámbitos de la actividad contractual de las entidades estatales, que</w:t>
      </w:r>
      <w:r w:rsidR="00145D00" w:rsidRPr="00B27674">
        <w:rPr>
          <w:rFonts w:ascii="Arial" w:eastAsia="Calibri" w:hAnsi="Arial" w:cs="Arial"/>
          <w:bCs/>
          <w:sz w:val="22"/>
          <w:lang w:val="es-ES_tradnl"/>
        </w:rPr>
        <w:t>,</w:t>
      </w:r>
      <w:r w:rsidRPr="00B27674">
        <w:rPr>
          <w:rFonts w:ascii="Arial" w:eastAsia="Calibri" w:hAnsi="Arial" w:cs="Arial"/>
          <w:bCs/>
          <w:sz w:val="22"/>
          <w:lang w:val="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48EFD6FA" w14:textId="77777777" w:rsidR="009C48E6" w:rsidRPr="00B27674" w:rsidRDefault="009C48E6" w:rsidP="009C48E6">
      <w:pPr>
        <w:tabs>
          <w:tab w:val="left" w:pos="0"/>
        </w:tabs>
        <w:spacing w:line="276" w:lineRule="auto"/>
        <w:jc w:val="both"/>
        <w:rPr>
          <w:rFonts w:ascii="Arial" w:eastAsia="Calibri" w:hAnsi="Arial" w:cs="Arial"/>
          <w:b/>
          <w:sz w:val="22"/>
          <w:lang w:val="es-ES_tradnl"/>
        </w:rPr>
      </w:pPr>
    </w:p>
    <w:p w14:paraId="34170AC4" w14:textId="77777777" w:rsidR="009C48E6" w:rsidRPr="00B27674" w:rsidRDefault="009C48E6" w:rsidP="00520265">
      <w:pPr>
        <w:tabs>
          <w:tab w:val="left" w:pos="426"/>
        </w:tabs>
        <w:spacing w:after="120" w:line="276" w:lineRule="auto"/>
        <w:jc w:val="both"/>
        <w:rPr>
          <w:rFonts w:ascii="Arial" w:eastAsia="Calibri" w:hAnsi="Arial" w:cs="Arial"/>
          <w:b/>
          <w:i/>
          <w:iCs/>
          <w:sz w:val="22"/>
          <w:lang w:val="es-ES_tradnl"/>
        </w:rPr>
      </w:pPr>
      <w:r w:rsidRPr="00B27674">
        <w:rPr>
          <w:rFonts w:ascii="Arial" w:eastAsia="Calibri" w:hAnsi="Arial" w:cs="Arial"/>
          <w:b/>
          <w:i/>
          <w:iCs/>
          <w:sz w:val="22"/>
          <w:lang w:val="es-ES_tradnl"/>
        </w:rPr>
        <w:t xml:space="preserve">2.2.1. </w:t>
      </w:r>
      <w:r w:rsidRPr="00B27674">
        <w:rPr>
          <w:rFonts w:ascii="Arial" w:eastAsia="Calibri" w:hAnsi="Arial" w:cs="Arial"/>
          <w:b/>
          <w:sz w:val="22"/>
          <w:lang w:val="es-ES_tradnl"/>
        </w:rPr>
        <w:t>Ámbito de aplicación y finalidad de la norma</w:t>
      </w:r>
    </w:p>
    <w:p w14:paraId="7304C1CA"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w:t>
      </w:r>
      <w:r w:rsidRPr="00B27674">
        <w:rPr>
          <w:rFonts w:ascii="Arial" w:eastAsia="Calibri" w:hAnsi="Arial" w:cs="Arial"/>
          <w:bCs/>
          <w:sz w:val="22"/>
          <w:lang w:val="es-ES_tradnl"/>
        </w:rPr>
        <w:lastRenderedPageBreak/>
        <w:t xml:space="preserve">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188B5241"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3DF426F" w14:textId="572B522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Antes de la expedición del artículo 56 </w:t>
      </w:r>
      <w:r w:rsidRPr="00B27674">
        <w:rPr>
          <w:rFonts w:ascii="Arial" w:eastAsia="Calibri" w:hAnsi="Arial" w:cs="Arial"/>
          <w:bCs/>
          <w:i/>
          <w:iCs/>
          <w:sz w:val="22"/>
          <w:lang w:val="es-ES_tradnl"/>
        </w:rPr>
        <w:t>ibídem</w:t>
      </w:r>
      <w:r w:rsidR="00DF5D50" w:rsidRPr="00B27674">
        <w:rPr>
          <w:rFonts w:ascii="Arial" w:eastAsia="Calibri" w:hAnsi="Arial" w:cs="Arial"/>
          <w:bCs/>
          <w:sz w:val="22"/>
          <w:lang w:val="es-ES_tradnl"/>
        </w:rPr>
        <w:t>,</w:t>
      </w:r>
      <w:r w:rsidRPr="00B27674">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DF5D50" w:rsidRPr="00B27674">
        <w:rPr>
          <w:rFonts w:ascii="Arial" w:eastAsia="Calibri" w:hAnsi="Arial" w:cs="Arial"/>
          <w:bCs/>
          <w:sz w:val="22"/>
          <w:lang w:val="es-ES_tradnl"/>
        </w:rPr>
        <w:t>0</w:t>
      </w:r>
      <w:r w:rsidRPr="00B27674">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DF5D50" w:rsidRPr="00B27674">
        <w:rPr>
          <w:rFonts w:ascii="Arial" w:eastAsia="Calibri" w:hAnsi="Arial" w:cs="Arial"/>
          <w:bCs/>
          <w:sz w:val="22"/>
          <w:lang w:val="es-ES_tradnl"/>
        </w:rPr>
        <w:t xml:space="preserve">fuera </w:t>
      </w:r>
      <w:r w:rsidRPr="00B27674">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1704665B"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ED77638"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lastRenderedPageBreak/>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4ADF0EEC"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6A4C3FA2" w14:textId="6D8583C8"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r w:rsidRPr="00B27674">
        <w:rPr>
          <w:rFonts w:ascii="Arial" w:eastAsia="Calibri" w:hAnsi="Arial" w:cs="Arial"/>
          <w:bCs/>
          <w:i/>
          <w:iCs/>
          <w:sz w:val="22"/>
          <w:lang w:val="es-ES_tradnl"/>
        </w:rPr>
        <w:t xml:space="preserve">ejusdem, </w:t>
      </w:r>
      <w:r w:rsidRPr="00B27674">
        <w:rPr>
          <w:rFonts w:ascii="Arial" w:eastAsia="Calibri" w:hAnsi="Arial" w:cs="Arial"/>
          <w:bCs/>
          <w:sz w:val="22"/>
          <w:lang w:val="es-ES_tradnl"/>
        </w:rPr>
        <w:t>si,</w:t>
      </w:r>
      <w:r w:rsidRPr="00B27674">
        <w:rPr>
          <w:rFonts w:ascii="Arial" w:eastAsia="Calibri" w:hAnsi="Arial" w:cs="Arial"/>
          <w:bCs/>
          <w:i/>
          <w:iCs/>
          <w:sz w:val="22"/>
          <w:lang w:val="es-ES_tradnl"/>
        </w:rPr>
        <w:t xml:space="preserve"> </w:t>
      </w:r>
      <w:r w:rsidRPr="00B27674">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0A322A22" w14:textId="7777777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w:t>
      </w:r>
      <w:r w:rsidRPr="00B27674">
        <w:rPr>
          <w:rFonts w:ascii="Arial" w:eastAsia="Calibri" w:hAnsi="Arial" w:cs="Arial"/>
          <w:bCs/>
          <w:sz w:val="22"/>
          <w:lang w:val="es-ES_tradnl"/>
        </w:rPr>
        <w:lastRenderedPageBreak/>
        <w:t xml:space="preserve">de los propósitos de la Ley.  Conforme se indica en la justificación jurídica del proyecto ley, este: </w:t>
      </w:r>
    </w:p>
    <w:p w14:paraId="41870CA1" w14:textId="77777777" w:rsidR="009C48E6" w:rsidRPr="00B27674" w:rsidRDefault="009C48E6" w:rsidP="00520265">
      <w:pPr>
        <w:tabs>
          <w:tab w:val="left" w:pos="0"/>
        </w:tabs>
        <w:ind w:left="709" w:right="709"/>
        <w:jc w:val="both"/>
        <w:rPr>
          <w:rFonts w:ascii="Arial" w:eastAsia="Calibri" w:hAnsi="Arial" w:cs="Arial"/>
          <w:bCs/>
          <w:sz w:val="21"/>
          <w:szCs w:val="21"/>
          <w:lang w:val="es-ES_tradnl"/>
        </w:rPr>
      </w:pPr>
      <w:r w:rsidRPr="00B27674">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B27674">
        <w:rPr>
          <w:rStyle w:val="Refdenotaalpie"/>
          <w:rFonts w:ascii="Arial" w:eastAsia="Calibri" w:hAnsi="Arial" w:cs="Arial"/>
          <w:sz w:val="21"/>
          <w:szCs w:val="21"/>
        </w:rPr>
        <w:footnoteReference w:id="8"/>
      </w:r>
      <w:r w:rsidRPr="00B27674">
        <w:rPr>
          <w:rFonts w:ascii="Arial" w:eastAsia="Calibri" w:hAnsi="Arial" w:cs="Arial"/>
          <w:bCs/>
          <w:sz w:val="21"/>
          <w:szCs w:val="21"/>
          <w:lang w:val="es-ES_tradnl"/>
        </w:rPr>
        <w:t xml:space="preserve">. </w:t>
      </w:r>
    </w:p>
    <w:p w14:paraId="74FC51C1" w14:textId="77777777" w:rsidR="009C48E6" w:rsidRPr="00B27674" w:rsidRDefault="009C48E6" w:rsidP="00520265">
      <w:pPr>
        <w:tabs>
          <w:tab w:val="left" w:pos="0"/>
        </w:tabs>
        <w:spacing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 </w:t>
      </w:r>
    </w:p>
    <w:p w14:paraId="0ED94E14" w14:textId="361D87EB" w:rsidR="009C48E6" w:rsidRPr="00B27674" w:rsidRDefault="009C48E6" w:rsidP="00520265">
      <w:pPr>
        <w:tabs>
          <w:tab w:val="left" w:pos="0"/>
        </w:tabs>
        <w:spacing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7061EB" w:rsidRPr="00B27674">
        <w:rPr>
          <w:rFonts w:ascii="Arial" w:eastAsia="Calibri" w:hAnsi="Arial" w:cs="Arial"/>
          <w:bCs/>
          <w:sz w:val="22"/>
          <w:lang w:val="es-ES_tradnl"/>
        </w:rPr>
        <w:t xml:space="preserve">contractual </w:t>
      </w:r>
      <w:r w:rsidRPr="00B27674">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41951D92" w14:textId="77777777" w:rsidR="009C48E6" w:rsidRPr="00B27674" w:rsidRDefault="009C48E6" w:rsidP="00520265">
      <w:pPr>
        <w:tabs>
          <w:tab w:val="left" w:pos="0"/>
        </w:tabs>
        <w:spacing w:line="276" w:lineRule="auto"/>
        <w:jc w:val="both"/>
        <w:rPr>
          <w:rFonts w:ascii="Arial" w:eastAsia="Calibri" w:hAnsi="Arial" w:cs="Arial"/>
          <w:bCs/>
          <w:sz w:val="22"/>
          <w:lang w:val="es-ES_tradnl"/>
        </w:rPr>
      </w:pPr>
    </w:p>
    <w:p w14:paraId="109C4EBF" w14:textId="1E3EF412" w:rsidR="009C48E6" w:rsidRPr="00B27674" w:rsidRDefault="009C48E6" w:rsidP="00BF4DC8">
      <w:pPr>
        <w:tabs>
          <w:tab w:val="left" w:pos="0"/>
        </w:tabs>
        <w:spacing w:line="276" w:lineRule="auto"/>
        <w:jc w:val="both"/>
        <w:rPr>
          <w:rFonts w:ascii="Arial" w:eastAsia="Calibri" w:hAnsi="Arial" w:cs="Arial"/>
          <w:bCs/>
          <w:sz w:val="22"/>
          <w:lang w:val="es-ES_tradnl"/>
        </w:rPr>
      </w:pPr>
      <w:r w:rsidRPr="00B27674">
        <w:rPr>
          <w:rFonts w:ascii="Arial" w:eastAsia="Calibri" w:hAnsi="Arial" w:cs="Arial"/>
          <w:b/>
          <w:i/>
          <w:iCs/>
          <w:sz w:val="22"/>
          <w:lang w:val="es-ES_tradnl"/>
        </w:rPr>
        <w:t>2.2.2.</w:t>
      </w:r>
      <w:r w:rsidRPr="00B27674">
        <w:rPr>
          <w:rFonts w:ascii="Arial" w:eastAsia="Calibri" w:hAnsi="Arial" w:cs="Arial"/>
          <w:bCs/>
          <w:sz w:val="22"/>
          <w:lang w:val="es-ES_tradnl"/>
        </w:rPr>
        <w:t xml:space="preserve"> </w:t>
      </w:r>
      <w:r w:rsidRPr="00B27674">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5ADA8"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p>
    <w:p w14:paraId="3E63EFAE" w14:textId="3B9C0A62"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B27674">
        <w:rPr>
          <w:rStyle w:val="Refdenotaalpie"/>
          <w:rFonts w:ascii="Arial" w:eastAsia="Calibri" w:hAnsi="Arial" w:cs="Arial"/>
        </w:rPr>
        <w:footnoteReference w:id="9"/>
      </w:r>
      <w:r w:rsidRPr="00B27674">
        <w:rPr>
          <w:rFonts w:ascii="Arial" w:eastAsia="Calibri" w:hAnsi="Arial" w:cs="Arial"/>
          <w:bCs/>
          <w:sz w:val="22"/>
          <w:lang w:val="es-ES_tradnl"/>
        </w:rPr>
        <w:t xml:space="preserve">. Lo anterior por cuanto </w:t>
      </w:r>
      <w:r w:rsidRPr="00B27674">
        <w:rPr>
          <w:rFonts w:ascii="Arial" w:eastAsia="Calibri" w:hAnsi="Arial" w:cs="Arial"/>
          <w:bCs/>
          <w:sz w:val="22"/>
          <w:lang w:val="es-ES_tradnl"/>
        </w:rPr>
        <w:lastRenderedPageBreak/>
        <w:t>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w:t>
      </w:r>
      <w:r w:rsidR="00F32208">
        <w:rPr>
          <w:rFonts w:ascii="Arial" w:eastAsia="Calibri" w:hAnsi="Arial" w:cs="Arial"/>
          <w:bCs/>
          <w:sz w:val="22"/>
          <w:lang w:val="es-ES_tradnl"/>
        </w:rPr>
        <w:t>s</w:t>
      </w:r>
      <w:r w:rsidRPr="00B27674">
        <w:rPr>
          <w:rFonts w:ascii="Arial" w:eastAsia="Calibri" w:hAnsi="Arial" w:cs="Arial"/>
          <w:bCs/>
          <w:sz w:val="22"/>
          <w:lang w:val="es-ES_tradnl"/>
        </w:rPr>
        <w:t xml:space="preserve"> en los que se imponía el derecho privado. En ese sentido, </w:t>
      </w:r>
      <w:r w:rsidR="00652EA4">
        <w:rPr>
          <w:rFonts w:ascii="Arial" w:eastAsia="Calibri" w:hAnsi="Arial" w:cs="Arial"/>
          <w:bCs/>
          <w:sz w:val="22"/>
          <w:lang w:val="es-ES_tradnl"/>
        </w:rPr>
        <w:t xml:space="preserve">en </w:t>
      </w:r>
      <w:r w:rsidRPr="00B27674">
        <w:rPr>
          <w:rFonts w:ascii="Arial" w:eastAsia="Calibri" w:hAnsi="Arial" w:cs="Arial"/>
          <w:bCs/>
          <w:sz w:val="22"/>
          <w:lang w:val="es-ES_tradnl"/>
        </w:rPr>
        <w:t>este último evento el tercer inciso del literal c) del artículo 2</w:t>
      </w:r>
      <w:r w:rsidR="0080091A" w:rsidRPr="00B27674">
        <w:rPr>
          <w:rFonts w:ascii="Arial" w:eastAsia="Calibri" w:hAnsi="Arial" w:cs="Arial"/>
          <w:bCs/>
          <w:sz w:val="22"/>
          <w:lang w:val="es-ES_tradnl"/>
        </w:rPr>
        <w:t xml:space="preserve">, numeral </w:t>
      </w:r>
      <w:r w:rsidRPr="00B27674">
        <w:rPr>
          <w:rFonts w:ascii="Arial" w:eastAsia="Calibri" w:hAnsi="Arial" w:cs="Arial"/>
          <w:bCs/>
          <w:sz w:val="22"/>
          <w:lang w:val="es-ES_tradnl"/>
        </w:rPr>
        <w:t xml:space="preserve">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1AEEC466" w14:textId="0D4B975E"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w:t>
      </w:r>
      <w:r w:rsidR="00AD353C" w:rsidRPr="00B27674">
        <w:rPr>
          <w:rFonts w:ascii="Arial" w:eastAsia="Calibri" w:hAnsi="Arial" w:cs="Arial"/>
          <w:bCs/>
          <w:sz w:val="22"/>
          <w:lang w:val="es-ES_tradnl"/>
        </w:rPr>
        <w:t>,</w:t>
      </w:r>
      <w:r w:rsidRPr="00B27674">
        <w:rPr>
          <w:rFonts w:ascii="Arial" w:eastAsia="Calibri" w:hAnsi="Arial" w:cs="Arial"/>
          <w:bCs/>
          <w:sz w:val="22"/>
          <w:lang w:val="es-ES_tradnl"/>
        </w:rPr>
        <w:t xml:space="preserve"> debe ser resuelta en favor del artículo 56 de la Ley 2195 de 2022, cuya aplicación debe ser privilegiada, al ser esta la norma expedida más recientemente. </w:t>
      </w:r>
    </w:p>
    <w:p w14:paraId="54F13CE5" w14:textId="6535EE2C"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lastRenderedPageBreak/>
        <w:tab/>
        <w:t>En efecto, tratándose de disposiciones de igual jerarquía normativa</w:t>
      </w:r>
      <w:r w:rsidRPr="00B27674">
        <w:rPr>
          <w:rStyle w:val="Refdenotaalpie"/>
          <w:rFonts w:ascii="Arial" w:eastAsia="Calibri" w:hAnsi="Arial" w:cs="Arial"/>
        </w:rPr>
        <w:footnoteReference w:id="10"/>
      </w:r>
      <w:r w:rsidR="00AD353C" w:rsidRPr="00B27674">
        <w:rPr>
          <w:rFonts w:ascii="Arial" w:eastAsia="Calibri" w:hAnsi="Arial" w:cs="Arial"/>
          <w:bCs/>
          <w:sz w:val="22"/>
          <w:lang w:val="es-ES_tradnl"/>
        </w:rPr>
        <w:t xml:space="preserve"> </w:t>
      </w:r>
      <w:r w:rsidRPr="00B27674">
        <w:rPr>
          <w:rFonts w:ascii="Arial" w:eastAsia="Calibri" w:hAnsi="Arial" w:cs="Arial"/>
          <w:bCs/>
          <w:sz w:val="22"/>
          <w:lang w:val="es-ES_tradnl"/>
        </w:rPr>
        <w:t xml:space="preserve">–ambas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45B9EDBD" w14:textId="70261F4B"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08E24F9E" w14:textId="018B6867"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w:t>
      </w:r>
      <w:r w:rsidRPr="00B27674">
        <w:rPr>
          <w:rFonts w:ascii="Arial" w:eastAsia="Calibri" w:hAnsi="Arial" w:cs="Arial"/>
          <w:bCs/>
          <w:sz w:val="22"/>
          <w:lang w:val="es-ES_tradnl"/>
        </w:rPr>
        <w:lastRenderedPageBreak/>
        <w:t xml:space="preserve">relacionados con un contrato o convenio suscrito con una entidad sometida al EGCAP, siempre que exista documento tipo </w:t>
      </w:r>
      <w:r w:rsidR="004308A6" w:rsidRPr="00B27674">
        <w:rPr>
          <w:rFonts w:ascii="Arial" w:eastAsia="Calibri" w:hAnsi="Arial" w:cs="Arial"/>
          <w:bCs/>
          <w:sz w:val="22"/>
          <w:lang w:val="es-ES_tradnl"/>
        </w:rPr>
        <w:t>aplicable al objeto contractual</w:t>
      </w:r>
      <w:r w:rsidRPr="00B27674">
        <w:rPr>
          <w:rFonts w:ascii="Arial" w:eastAsia="Calibri" w:hAnsi="Arial" w:cs="Arial"/>
          <w:bCs/>
          <w:sz w:val="22"/>
          <w:lang w:val="es-ES_tradnl"/>
        </w:rPr>
        <w:t xml:space="preserve">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6D151FB6" w14:textId="4F0B344B" w:rsidR="009C48E6" w:rsidRPr="00B27674" w:rsidRDefault="009C48E6" w:rsidP="00520265">
      <w:pPr>
        <w:spacing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w:t>
      </w:r>
      <w:r w:rsidR="004308A6" w:rsidRPr="00B27674">
        <w:rPr>
          <w:rFonts w:ascii="Arial" w:eastAsia="Calibri" w:hAnsi="Arial" w:cs="Arial"/>
          <w:bCs/>
          <w:sz w:val="22"/>
          <w:lang w:val="es-ES_tradnl"/>
        </w:rPr>
        <w:t>a</w:t>
      </w:r>
      <w:r w:rsidRPr="00B27674">
        <w:rPr>
          <w:rFonts w:ascii="Arial" w:eastAsia="Calibri" w:hAnsi="Arial" w:cs="Arial"/>
          <w:bCs/>
          <w:sz w:val="22"/>
          <w:lang w:val="es-ES_tradnl"/>
        </w:rPr>
        <w:t xml:space="preserve"> </w:t>
      </w:r>
      <w:r w:rsidR="004308A6" w:rsidRPr="00B27674">
        <w:rPr>
          <w:rFonts w:ascii="Arial" w:eastAsia="Calibri" w:hAnsi="Arial" w:cs="Arial"/>
          <w:bCs/>
          <w:sz w:val="22"/>
          <w:lang w:val="es-ES_tradnl"/>
        </w:rPr>
        <w:t xml:space="preserve">entidad exceptuada </w:t>
      </w:r>
      <w:r w:rsidRPr="00B27674">
        <w:rPr>
          <w:rFonts w:ascii="Arial" w:eastAsia="Calibri" w:hAnsi="Arial" w:cs="Arial"/>
          <w:bCs/>
          <w:sz w:val="22"/>
          <w:lang w:val="es-ES_tradnl"/>
        </w:rPr>
        <w:t xml:space="preserve">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5E6E759D"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p>
    <w:p w14:paraId="4EA2E279" w14:textId="58B94701" w:rsidR="009C48E6" w:rsidRPr="00B27674" w:rsidRDefault="009C48E6" w:rsidP="009C48E6">
      <w:pPr>
        <w:tabs>
          <w:tab w:val="left" w:pos="0"/>
        </w:tabs>
        <w:spacing w:line="276" w:lineRule="auto"/>
        <w:jc w:val="both"/>
        <w:rPr>
          <w:rFonts w:ascii="Arial" w:eastAsia="Calibri" w:hAnsi="Arial" w:cs="Arial"/>
          <w:b/>
          <w:sz w:val="22"/>
          <w:lang w:val="es-ES_tradnl"/>
        </w:rPr>
      </w:pPr>
      <w:r w:rsidRPr="00B27674">
        <w:rPr>
          <w:rFonts w:ascii="Arial" w:eastAsia="Calibri" w:hAnsi="Arial" w:cs="Arial"/>
          <w:b/>
          <w:i/>
          <w:iCs/>
          <w:sz w:val="22"/>
          <w:lang w:val="es-ES_tradnl"/>
        </w:rPr>
        <w:t>2.2.3.</w:t>
      </w:r>
      <w:r w:rsidRPr="00B27674">
        <w:rPr>
          <w:rFonts w:ascii="Arial" w:eastAsia="Calibri" w:hAnsi="Arial" w:cs="Arial"/>
          <w:b/>
          <w:sz w:val="22"/>
          <w:lang w:val="es-ES_tradnl"/>
        </w:rPr>
        <w:t xml:space="preserve"> La noción de </w:t>
      </w:r>
      <w:r w:rsidRPr="00B27674">
        <w:rPr>
          <w:rFonts w:ascii="Arial" w:eastAsia="Calibri" w:hAnsi="Arial" w:cs="Arial"/>
          <w:b/>
          <w:i/>
          <w:iCs/>
          <w:sz w:val="22"/>
          <w:lang w:val="es-ES_tradnl"/>
        </w:rPr>
        <w:t xml:space="preserve">giro ordinario </w:t>
      </w:r>
      <w:r w:rsidRPr="00B27674">
        <w:rPr>
          <w:rFonts w:ascii="Arial" w:eastAsia="Calibri" w:hAnsi="Arial" w:cs="Arial"/>
          <w:b/>
          <w:sz w:val="22"/>
          <w:lang w:val="es-ES_tradnl"/>
        </w:rPr>
        <w:t>y su relevancia para la aplicación del artículo 56 de la Ley 2195 de 2022</w:t>
      </w:r>
    </w:p>
    <w:p w14:paraId="59D71F03" w14:textId="77777777" w:rsidR="009C48E6" w:rsidRPr="00B27674" w:rsidRDefault="009C48E6" w:rsidP="009C48E6">
      <w:pPr>
        <w:tabs>
          <w:tab w:val="left" w:pos="0"/>
        </w:tabs>
        <w:spacing w:line="276" w:lineRule="auto"/>
        <w:jc w:val="both"/>
        <w:rPr>
          <w:rFonts w:ascii="Arial" w:eastAsia="Calibri" w:hAnsi="Arial" w:cs="Arial"/>
          <w:b/>
          <w:sz w:val="22"/>
          <w:lang w:val="es-ES_tradnl"/>
        </w:rPr>
      </w:pPr>
    </w:p>
    <w:p w14:paraId="2CCD94E0" w14:textId="479B10D1"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Esto significa que</w:t>
      </w:r>
      <w:r w:rsidR="004452DE">
        <w:rPr>
          <w:rFonts w:ascii="Arial" w:eastAsia="Calibri" w:hAnsi="Arial" w:cs="Arial"/>
          <w:bCs/>
          <w:sz w:val="22"/>
          <w:lang w:val="es-ES_tradnl"/>
        </w:rPr>
        <w:t>,</w:t>
      </w:r>
      <w:r w:rsidRPr="00B27674">
        <w:rPr>
          <w:rFonts w:ascii="Arial" w:eastAsia="Calibri" w:hAnsi="Arial" w:cs="Arial"/>
          <w:bCs/>
          <w:sz w:val="22"/>
          <w:lang w:val="es-ES_tradnl"/>
        </w:rPr>
        <w:t xml:space="preserve"> en la contratación asociada a su </w:t>
      </w:r>
      <w:r w:rsidRPr="00B27674">
        <w:rPr>
          <w:rFonts w:ascii="Arial" w:eastAsia="Calibri" w:hAnsi="Arial" w:cs="Arial"/>
          <w:bCs/>
          <w:i/>
          <w:iCs/>
          <w:sz w:val="22"/>
          <w:lang w:val="es-ES_tradnl"/>
        </w:rPr>
        <w:t xml:space="preserve">giro ordinario, </w:t>
      </w:r>
      <w:r w:rsidRPr="00B27674">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65D52698" w14:textId="56E5E401" w:rsidR="009C48E6" w:rsidRPr="00B27674" w:rsidRDefault="009C48E6" w:rsidP="009C48E6">
      <w:pPr>
        <w:tabs>
          <w:tab w:val="left" w:pos="0"/>
        </w:tabs>
        <w:spacing w:after="120" w:line="276" w:lineRule="auto"/>
        <w:jc w:val="both"/>
        <w:rPr>
          <w:rFonts w:ascii="Arial" w:eastAsia="Arial" w:hAnsi="Arial" w:cs="Arial"/>
          <w:sz w:val="22"/>
          <w:lang w:val="es-ES_tradnl"/>
        </w:rPr>
      </w:pPr>
      <w:r w:rsidRPr="00B27674">
        <w:rPr>
          <w:rFonts w:ascii="Arial" w:eastAsia="Calibri" w:hAnsi="Arial" w:cs="Arial"/>
          <w:bCs/>
          <w:sz w:val="22"/>
          <w:lang w:val="es-ES_tradnl"/>
        </w:rPr>
        <w:lastRenderedPageBreak/>
        <w:tab/>
        <w:t xml:space="preserve">Ahora, es importante tener en cuenta que cuando la norma se refiere a la contratación del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emplea un concepto jurídico indeterminado</w:t>
      </w:r>
      <w:r w:rsidRPr="00B27674">
        <w:rPr>
          <w:rStyle w:val="Refdenotaalpie"/>
          <w:rFonts w:ascii="Arial" w:eastAsia="Calibri" w:hAnsi="Arial" w:cs="Arial"/>
        </w:rPr>
        <w:footnoteReference w:id="11"/>
      </w:r>
      <w:r w:rsidRPr="00B27674">
        <w:rPr>
          <w:rFonts w:ascii="Arial" w:eastAsia="Calibri" w:hAnsi="Arial" w:cs="Arial"/>
          <w:bCs/>
          <w:sz w:val="22"/>
          <w:lang w:val="es-ES_tradnl"/>
        </w:rPr>
        <w:t xml:space="preserve">. </w:t>
      </w:r>
      <w:r w:rsidRPr="00B27674">
        <w:rPr>
          <w:rFonts w:ascii="Arial" w:eastAsia="Arial" w:hAnsi="Arial" w:cs="Arial"/>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w:t>
      </w:r>
      <w:r w:rsidR="008D70E0" w:rsidRPr="00B27674">
        <w:rPr>
          <w:rFonts w:ascii="Arial" w:eastAsia="Arial" w:hAnsi="Arial" w:cs="Arial"/>
          <w:sz w:val="22"/>
          <w:lang w:val="es-ES_tradnl"/>
        </w:rPr>
        <w:t>margen de apreciación</w:t>
      </w:r>
      <w:r w:rsidRPr="00B27674">
        <w:rPr>
          <w:rFonts w:ascii="Arial" w:eastAsia="Arial" w:hAnsi="Arial" w:cs="Arial"/>
          <w:sz w:val="22"/>
          <w:lang w:val="es-ES_tradnl"/>
        </w:rPr>
        <w:t xml:space="preserve"> en su aplicación, pero deben respetar los límites previstos en las normas de orden público. Por ejemplo, no podrán considerar que cualquier contrato que celebren hace parte del giro ordinario de sus negocios. </w:t>
      </w:r>
    </w:p>
    <w:p w14:paraId="3D369186" w14:textId="77777777" w:rsidR="009C48E6" w:rsidRPr="00B27674" w:rsidRDefault="009C48E6" w:rsidP="009C48E6">
      <w:pPr>
        <w:tabs>
          <w:tab w:val="left" w:pos="0"/>
        </w:tabs>
        <w:spacing w:line="276" w:lineRule="auto"/>
        <w:ind w:firstLine="709"/>
        <w:jc w:val="both"/>
        <w:rPr>
          <w:rFonts w:ascii="Arial" w:eastAsia="Calibri" w:hAnsi="Arial" w:cs="Arial"/>
          <w:bCs/>
          <w:sz w:val="22"/>
          <w:lang w:val="es-ES_tradnl"/>
        </w:rPr>
      </w:pPr>
      <w:r w:rsidRPr="00B27674">
        <w:rPr>
          <w:rFonts w:ascii="Arial" w:eastAsia="Arial" w:hAnsi="Arial" w:cs="Arial"/>
          <w:sz w:val="22"/>
          <w:lang w:val="es-ES_tradnl"/>
        </w:rPr>
        <w:t>La Corte Constitucional</w:t>
      </w:r>
      <w:r w:rsidRPr="00B27674">
        <w:rPr>
          <w:rStyle w:val="Refdenotaalpie"/>
          <w:rFonts w:ascii="Arial" w:eastAsia="Arial" w:hAnsi="Arial" w:cs="Arial"/>
        </w:rPr>
        <w:footnoteReference w:id="12"/>
      </w:r>
      <w:r w:rsidRPr="00B27674">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7179A8A1" w14:textId="0060AF44" w:rsidR="009C48E6" w:rsidRPr="00B27674" w:rsidRDefault="009C48E6" w:rsidP="009C48E6">
      <w:pPr>
        <w:tabs>
          <w:tab w:val="left" w:pos="0"/>
        </w:tabs>
        <w:spacing w:before="120" w:line="276" w:lineRule="auto"/>
        <w:ind w:firstLine="709"/>
        <w:jc w:val="both"/>
        <w:rPr>
          <w:rFonts w:ascii="Arial" w:eastAsia="Calibri" w:hAnsi="Arial" w:cs="Arial"/>
          <w:bCs/>
          <w:sz w:val="22"/>
          <w:lang w:val="es-ES_tradnl"/>
        </w:rPr>
      </w:pPr>
      <w:r w:rsidRPr="00B27674">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B27674">
        <w:rPr>
          <w:rFonts w:ascii="Arial" w:eastAsia="Calibri" w:hAnsi="Arial" w:cs="Arial"/>
          <w:bCs/>
          <w:i/>
          <w:iCs/>
          <w:sz w:val="22"/>
          <w:lang w:val="es-ES_tradnl"/>
        </w:rPr>
        <w:t xml:space="preserve">giro ordinario </w:t>
      </w:r>
      <w:r w:rsidRPr="00B27674">
        <w:rPr>
          <w:rFonts w:ascii="Arial" w:eastAsia="Calibri" w:hAnsi="Arial" w:cs="Arial"/>
          <w:bCs/>
          <w:sz w:val="22"/>
          <w:lang w:val="es-ES_tradnl"/>
        </w:rPr>
        <w:t>incluida en la redacción original del parágrafo 1 del artículo 32 de la Ley 80 de 1993</w:t>
      </w:r>
      <w:r w:rsidRPr="00B27674">
        <w:rPr>
          <w:rStyle w:val="Refdenotaalpie"/>
          <w:rFonts w:ascii="Arial" w:eastAsia="Calibri" w:hAnsi="Arial" w:cs="Arial"/>
        </w:rPr>
        <w:footnoteReference w:id="13"/>
      </w:r>
      <w:r w:rsidRPr="00B27674">
        <w:rPr>
          <w:rFonts w:ascii="Arial" w:eastAsia="Calibri" w:hAnsi="Arial" w:cs="Arial"/>
          <w:bCs/>
          <w:sz w:val="22"/>
          <w:lang w:val="es-ES_tradnl"/>
        </w:rPr>
        <w:t xml:space="preserve">, la Sección Tercera manifestó lo siguiente: </w:t>
      </w:r>
    </w:p>
    <w:p w14:paraId="6347185B"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p>
    <w:p w14:paraId="397E3C3E" w14:textId="3DF46D3E" w:rsidR="009C48E6" w:rsidRPr="00B27674" w:rsidRDefault="009C48E6" w:rsidP="009C48E6">
      <w:pPr>
        <w:ind w:left="709" w:right="709"/>
        <w:jc w:val="both"/>
        <w:rPr>
          <w:rFonts w:ascii="Arial" w:hAnsi="Arial" w:cs="Arial"/>
          <w:sz w:val="21"/>
          <w:szCs w:val="21"/>
          <w:lang w:val="es-ES_tradnl" w:eastAsia="es-CO"/>
        </w:rPr>
      </w:pPr>
      <w:r w:rsidRPr="00B27674">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w:t>
      </w:r>
      <w:r w:rsidRPr="00B27674">
        <w:rPr>
          <w:rFonts w:ascii="Arial" w:hAnsi="Arial" w:cs="Arial"/>
          <w:sz w:val="21"/>
          <w:szCs w:val="21"/>
          <w:lang w:val="es-ES_tradnl"/>
        </w:rPr>
        <w:lastRenderedPageBreak/>
        <w:t>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B27674">
        <w:rPr>
          <w:rStyle w:val="Refdenotaalpie"/>
          <w:rFonts w:ascii="Arial" w:hAnsi="Arial" w:cs="Arial"/>
        </w:rPr>
        <w:footnoteReference w:id="14"/>
      </w:r>
      <w:r w:rsidR="008D70E0" w:rsidRPr="00B27674">
        <w:rPr>
          <w:rFonts w:ascii="Arial" w:hAnsi="Arial" w:cs="Arial"/>
          <w:sz w:val="21"/>
          <w:szCs w:val="21"/>
          <w:lang w:val="es-ES_tradnl"/>
        </w:rPr>
        <w:t>.</w:t>
      </w:r>
    </w:p>
    <w:p w14:paraId="3AD9E08E" w14:textId="77777777" w:rsidR="009C48E6" w:rsidRPr="00B27674" w:rsidRDefault="009C48E6" w:rsidP="009C48E6">
      <w:pPr>
        <w:tabs>
          <w:tab w:val="left" w:pos="0"/>
        </w:tabs>
        <w:spacing w:line="276" w:lineRule="auto"/>
        <w:jc w:val="both"/>
        <w:rPr>
          <w:rFonts w:ascii="Arial" w:eastAsia="Calibri" w:hAnsi="Arial" w:cs="Arial"/>
          <w:bCs/>
          <w:i/>
          <w:iCs/>
          <w:sz w:val="22"/>
          <w:lang w:val="es-ES_tradnl"/>
        </w:rPr>
      </w:pPr>
    </w:p>
    <w:p w14:paraId="53886CBE" w14:textId="77777777" w:rsidR="009C48E6" w:rsidRPr="00B27674" w:rsidRDefault="009C48E6" w:rsidP="001E3B47">
      <w:pPr>
        <w:tabs>
          <w:tab w:val="left" w:pos="0"/>
        </w:tabs>
        <w:spacing w:line="276" w:lineRule="auto"/>
        <w:jc w:val="both"/>
        <w:rPr>
          <w:rFonts w:ascii="Arial" w:eastAsia="Calibri" w:hAnsi="Arial" w:cs="Arial"/>
          <w:bCs/>
          <w:sz w:val="22"/>
          <w:szCs w:val="22"/>
          <w:lang w:val="es-ES_tradnl"/>
        </w:rPr>
      </w:pPr>
      <w:r w:rsidRPr="00B27674">
        <w:rPr>
          <w:rFonts w:ascii="Arial" w:eastAsia="Calibri" w:hAnsi="Arial" w:cs="Arial"/>
          <w:bCs/>
          <w:sz w:val="22"/>
          <w:szCs w:val="22"/>
          <w:lang w:val="es-ES_tradnl"/>
        </w:rPr>
        <w:tab/>
        <w:t xml:space="preserve">En el mismo sentido se pronunció recientemente el Alto Tribunal de lo Contencioso Administrativo, reiterando las anteriores consideraciones, al expresar que: </w:t>
      </w:r>
    </w:p>
    <w:p w14:paraId="11FC7389" w14:textId="77777777" w:rsidR="001E3B47" w:rsidRDefault="001E3B47" w:rsidP="009C48E6">
      <w:pPr>
        <w:tabs>
          <w:tab w:val="left" w:pos="0"/>
        </w:tabs>
        <w:ind w:left="709" w:right="709"/>
        <w:jc w:val="both"/>
        <w:rPr>
          <w:rFonts w:ascii="Arial" w:eastAsia="Calibri" w:hAnsi="Arial" w:cs="Arial"/>
          <w:bCs/>
          <w:sz w:val="21"/>
          <w:szCs w:val="21"/>
          <w:lang w:val="es-ES_tradnl"/>
        </w:rPr>
      </w:pPr>
    </w:p>
    <w:p w14:paraId="33C0A7F7" w14:textId="57F94C99" w:rsidR="009C48E6" w:rsidRPr="00B27674" w:rsidRDefault="009C48E6" w:rsidP="009C48E6">
      <w:pPr>
        <w:tabs>
          <w:tab w:val="left" w:pos="0"/>
        </w:tabs>
        <w:ind w:left="709" w:right="709"/>
        <w:jc w:val="both"/>
        <w:rPr>
          <w:rFonts w:ascii="Arial" w:eastAsia="Calibri" w:hAnsi="Arial" w:cs="Arial"/>
          <w:bCs/>
          <w:sz w:val="21"/>
          <w:szCs w:val="21"/>
          <w:lang w:val="es-ES_tradnl"/>
        </w:rPr>
      </w:pPr>
      <w:r w:rsidRPr="00B27674">
        <w:rPr>
          <w:rFonts w:ascii="Arial" w:eastAsia="Calibri" w:hAnsi="Arial" w:cs="Arial"/>
          <w:bCs/>
          <w:sz w:val="21"/>
          <w:szCs w:val="21"/>
          <w:lang w:val="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00F87AA3" w14:textId="77777777" w:rsidR="009C48E6" w:rsidRPr="00B27674" w:rsidRDefault="009C48E6" w:rsidP="009C48E6">
      <w:pPr>
        <w:tabs>
          <w:tab w:val="left" w:pos="0"/>
        </w:tabs>
        <w:ind w:left="709" w:right="709"/>
        <w:jc w:val="both"/>
        <w:rPr>
          <w:rFonts w:ascii="Arial" w:eastAsia="Calibri" w:hAnsi="Arial" w:cs="Arial"/>
          <w:bCs/>
          <w:sz w:val="21"/>
          <w:szCs w:val="21"/>
          <w:lang w:val="es-ES_tradnl"/>
        </w:rPr>
      </w:pPr>
    </w:p>
    <w:p w14:paraId="578572C4" w14:textId="77777777" w:rsidR="009C48E6" w:rsidRPr="00B27674" w:rsidRDefault="009C48E6" w:rsidP="009C48E6">
      <w:pPr>
        <w:tabs>
          <w:tab w:val="left" w:pos="0"/>
        </w:tabs>
        <w:ind w:left="709" w:right="709"/>
        <w:jc w:val="both"/>
        <w:rPr>
          <w:rFonts w:ascii="Arial" w:eastAsia="Calibri" w:hAnsi="Arial" w:cs="Arial"/>
          <w:bCs/>
          <w:sz w:val="21"/>
          <w:szCs w:val="21"/>
          <w:lang w:val="es-ES_tradnl"/>
        </w:rPr>
      </w:pPr>
      <w:r w:rsidRPr="00B27674">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3590A1D8" w14:textId="77777777" w:rsidR="009C48E6" w:rsidRPr="00B27674" w:rsidRDefault="009C48E6" w:rsidP="009C48E6">
      <w:pPr>
        <w:tabs>
          <w:tab w:val="left" w:pos="0"/>
        </w:tabs>
        <w:ind w:left="709" w:right="709"/>
        <w:jc w:val="both"/>
        <w:rPr>
          <w:rFonts w:ascii="Arial" w:eastAsia="Calibri" w:hAnsi="Arial" w:cs="Arial"/>
          <w:bCs/>
          <w:sz w:val="21"/>
          <w:szCs w:val="21"/>
          <w:lang w:val="es-ES_tradnl"/>
        </w:rPr>
      </w:pPr>
    </w:p>
    <w:p w14:paraId="089DBC34" w14:textId="77777777" w:rsidR="009C48E6" w:rsidRPr="00B27674" w:rsidRDefault="009C48E6" w:rsidP="009C48E6">
      <w:pPr>
        <w:tabs>
          <w:tab w:val="left" w:pos="0"/>
        </w:tabs>
        <w:ind w:left="709" w:right="709"/>
        <w:jc w:val="both"/>
        <w:rPr>
          <w:rFonts w:ascii="Arial" w:eastAsia="Calibri" w:hAnsi="Arial" w:cs="Arial"/>
          <w:bCs/>
          <w:sz w:val="21"/>
          <w:szCs w:val="21"/>
          <w:lang w:val="es-ES_tradnl"/>
        </w:rPr>
      </w:pPr>
      <w:r w:rsidRPr="00B27674">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B27674">
        <w:rPr>
          <w:rStyle w:val="Refdenotaalpie"/>
          <w:rFonts w:ascii="Arial" w:eastAsia="Calibri" w:hAnsi="Arial" w:cs="Arial"/>
        </w:rPr>
        <w:footnoteReference w:id="15"/>
      </w:r>
      <w:r w:rsidRPr="00B27674">
        <w:rPr>
          <w:rFonts w:ascii="Arial" w:eastAsia="Calibri" w:hAnsi="Arial" w:cs="Arial"/>
          <w:bCs/>
          <w:sz w:val="21"/>
          <w:szCs w:val="21"/>
          <w:lang w:val="es-ES_tradnl"/>
        </w:rPr>
        <w:t xml:space="preserve">. </w:t>
      </w:r>
    </w:p>
    <w:p w14:paraId="2649DD7A"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r>
    </w:p>
    <w:p w14:paraId="7AC248D7" w14:textId="77777777" w:rsidR="009C48E6" w:rsidRPr="00B27674" w:rsidRDefault="009C48E6" w:rsidP="009C48E6">
      <w:pPr>
        <w:tabs>
          <w:tab w:val="left" w:pos="0"/>
        </w:tabs>
        <w:spacing w:after="120" w:line="276" w:lineRule="auto"/>
        <w:jc w:val="both"/>
        <w:rPr>
          <w:rFonts w:ascii="Arial" w:eastAsia="Calibri" w:hAnsi="Arial" w:cs="Arial"/>
          <w:bCs/>
          <w:sz w:val="22"/>
          <w:szCs w:val="22"/>
          <w:lang w:val="es-ES_tradnl"/>
        </w:rPr>
      </w:pPr>
      <w:r w:rsidRPr="00B27674">
        <w:rPr>
          <w:rFonts w:ascii="Arial" w:eastAsia="Calibri" w:hAnsi="Arial" w:cs="Arial"/>
          <w:bCs/>
          <w:sz w:val="22"/>
          <w:szCs w:val="22"/>
          <w:lang w:val="es-ES_tradnl"/>
        </w:rPr>
        <w:lastRenderedPageBreak/>
        <w:tab/>
        <w:t xml:space="preserve">Conforme con lo expresado en estas providencias, el </w:t>
      </w:r>
      <w:r w:rsidRPr="00B27674">
        <w:rPr>
          <w:rFonts w:ascii="Arial" w:eastAsia="Calibri" w:hAnsi="Arial" w:cs="Arial"/>
          <w:bCs/>
          <w:i/>
          <w:iCs/>
          <w:sz w:val="22"/>
          <w:szCs w:val="22"/>
          <w:lang w:val="es-ES_tradnl"/>
        </w:rPr>
        <w:t xml:space="preserve">giro ordinario </w:t>
      </w:r>
      <w:r w:rsidRPr="00B27674">
        <w:rPr>
          <w:rFonts w:ascii="Arial" w:eastAsia="Calibri" w:hAnsi="Arial" w:cs="Arial"/>
          <w:bCs/>
          <w:sz w:val="22"/>
          <w:szCs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B27674">
        <w:rPr>
          <w:rFonts w:ascii="Arial" w:hAnsi="Arial" w:cs="Arial"/>
          <w:sz w:val="22"/>
          <w:szCs w:val="22"/>
          <w:lang w:val="es-ES_tradnl"/>
        </w:rPr>
        <w:t>S]e</w:t>
      </w:r>
      <w:r w:rsidRPr="00B27674">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B27674">
        <w:rPr>
          <w:rStyle w:val="Refdenotaalpie"/>
          <w:rFonts w:ascii="Arial" w:eastAsia="Calibri" w:hAnsi="Arial" w:cs="Arial"/>
        </w:rPr>
        <w:footnoteReference w:id="16"/>
      </w:r>
      <w:r w:rsidRPr="00B27674">
        <w:rPr>
          <w:rFonts w:ascii="Arial" w:eastAsia="Calibri" w:hAnsi="Arial" w:cs="Arial"/>
          <w:bCs/>
          <w:sz w:val="22"/>
          <w:szCs w:val="22"/>
          <w:lang w:val="es-ES_tradnl"/>
        </w:rPr>
        <w:t xml:space="preserve">. </w:t>
      </w:r>
    </w:p>
    <w:p w14:paraId="0A7150CD" w14:textId="77777777" w:rsidR="009C48E6" w:rsidRPr="00B27674" w:rsidRDefault="009C48E6" w:rsidP="009C48E6">
      <w:pPr>
        <w:tabs>
          <w:tab w:val="left" w:pos="0"/>
        </w:tabs>
        <w:spacing w:line="276" w:lineRule="auto"/>
        <w:jc w:val="both"/>
        <w:rPr>
          <w:rFonts w:ascii="Arial" w:eastAsia="Calibri" w:hAnsi="Arial" w:cs="Arial"/>
          <w:bCs/>
          <w:sz w:val="22"/>
          <w:szCs w:val="22"/>
          <w:lang w:val="es-ES_tradnl"/>
        </w:rPr>
      </w:pPr>
      <w:r w:rsidRPr="00B27674">
        <w:rPr>
          <w:rFonts w:ascii="Arial" w:eastAsia="Calibri" w:hAnsi="Arial" w:cs="Arial"/>
          <w:bCs/>
          <w:sz w:val="22"/>
          <w:szCs w:val="22"/>
          <w:lang w:val="es-ES_tradnl"/>
        </w:rPr>
        <w:tab/>
        <w:t xml:space="preserve">De otra parte, la doctrina societaria también se ha encargado de definir el </w:t>
      </w:r>
      <w:r w:rsidRPr="00B27674">
        <w:rPr>
          <w:rFonts w:ascii="Arial" w:eastAsia="Calibri" w:hAnsi="Arial" w:cs="Arial"/>
          <w:bCs/>
          <w:i/>
          <w:iCs/>
          <w:sz w:val="22"/>
          <w:szCs w:val="22"/>
          <w:lang w:val="es-ES_tradnl"/>
        </w:rPr>
        <w:t>objeto social</w:t>
      </w:r>
      <w:r w:rsidRPr="00B27674">
        <w:rPr>
          <w:rFonts w:ascii="Arial" w:eastAsia="Calibri" w:hAnsi="Arial" w:cs="Arial"/>
          <w:bCs/>
          <w:sz w:val="22"/>
          <w:szCs w:val="22"/>
          <w:lang w:val="es-ES_tradnl"/>
        </w:rPr>
        <w:t xml:space="preserve">, así como su relación con el concepto de </w:t>
      </w:r>
      <w:r w:rsidRPr="00B27674">
        <w:rPr>
          <w:rFonts w:ascii="Arial" w:eastAsia="Calibri" w:hAnsi="Arial" w:cs="Arial"/>
          <w:bCs/>
          <w:i/>
          <w:iCs/>
          <w:sz w:val="22"/>
          <w:szCs w:val="22"/>
          <w:lang w:val="es-ES_tradnl"/>
        </w:rPr>
        <w:t>giro ordinario</w:t>
      </w:r>
      <w:r w:rsidRPr="00B27674">
        <w:rPr>
          <w:rFonts w:ascii="Arial" w:eastAsia="Calibri" w:hAnsi="Arial" w:cs="Arial"/>
          <w:bCs/>
          <w:sz w:val="22"/>
          <w:szCs w:val="22"/>
          <w:lang w:val="es-ES_tradnl"/>
        </w:rPr>
        <w:t>. Al respecto, la Superintendencia de Sociedades, citando doctrina autorizada en la materia, ha señalado:</w:t>
      </w:r>
    </w:p>
    <w:p w14:paraId="38358324" w14:textId="77777777" w:rsidR="009C48E6" w:rsidRPr="00B27674" w:rsidRDefault="009C48E6" w:rsidP="009C48E6">
      <w:pPr>
        <w:tabs>
          <w:tab w:val="left" w:pos="0"/>
        </w:tabs>
        <w:spacing w:line="276" w:lineRule="auto"/>
        <w:jc w:val="both"/>
        <w:rPr>
          <w:rFonts w:ascii="Arial" w:eastAsia="Calibri" w:hAnsi="Arial" w:cs="Arial"/>
          <w:bCs/>
          <w:sz w:val="22"/>
          <w:szCs w:val="22"/>
          <w:lang w:val="es-ES_tradnl"/>
        </w:rPr>
      </w:pPr>
    </w:p>
    <w:p w14:paraId="77F4DE88" w14:textId="77777777" w:rsidR="009C48E6" w:rsidRPr="00B27674" w:rsidRDefault="009C48E6" w:rsidP="009C48E6">
      <w:pPr>
        <w:tabs>
          <w:tab w:val="left" w:pos="0"/>
        </w:tabs>
        <w:spacing w:after="120"/>
        <w:ind w:left="709" w:right="709"/>
        <w:jc w:val="both"/>
        <w:rPr>
          <w:rFonts w:ascii="Arial" w:hAnsi="Arial" w:cs="Arial"/>
          <w:sz w:val="21"/>
          <w:szCs w:val="21"/>
          <w:lang w:val="es-ES_tradnl"/>
        </w:rPr>
      </w:pPr>
      <w:r w:rsidRPr="00B27674">
        <w:rPr>
          <w:rFonts w:ascii="Arial" w:hAnsi="Arial" w:cs="Arial"/>
          <w:sz w:val="21"/>
          <w:szCs w:val="21"/>
          <w:lang w:val="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0809FB2D" w14:textId="77777777" w:rsidR="009C48E6" w:rsidRPr="00B27674" w:rsidRDefault="009C48E6" w:rsidP="009C48E6">
      <w:pPr>
        <w:tabs>
          <w:tab w:val="left" w:pos="0"/>
        </w:tabs>
        <w:ind w:left="709" w:right="709"/>
        <w:jc w:val="both"/>
        <w:rPr>
          <w:rFonts w:ascii="Arial" w:eastAsia="Calibri" w:hAnsi="Arial" w:cs="Arial"/>
          <w:bCs/>
          <w:sz w:val="21"/>
          <w:szCs w:val="21"/>
          <w:lang w:val="es-ES_tradnl"/>
        </w:rPr>
      </w:pPr>
      <w:r w:rsidRPr="00B27674">
        <w:rPr>
          <w:rFonts w:ascii="Arial" w:hAnsi="Arial" w:cs="Arial"/>
          <w:sz w:val="21"/>
          <w:szCs w:val="21"/>
          <w:lang w:val="es-ES_tradnl"/>
        </w:rPr>
        <w:t xml:space="preserve">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w:t>
      </w:r>
      <w:r w:rsidRPr="00B27674">
        <w:rPr>
          <w:rFonts w:ascii="Arial" w:hAnsi="Arial" w:cs="Arial"/>
          <w:sz w:val="21"/>
          <w:szCs w:val="21"/>
          <w:lang w:val="es-ES_tradnl"/>
        </w:rPr>
        <w:lastRenderedPageBreak/>
        <w:t>entre ambos conceptos, siendo el giro ordinario una especie que se enmarca al interior del genérico objeto social»</w:t>
      </w:r>
      <w:r w:rsidRPr="00B27674">
        <w:rPr>
          <w:rStyle w:val="Refdenotaalpie"/>
          <w:rFonts w:ascii="Arial" w:hAnsi="Arial" w:cs="Arial"/>
        </w:rPr>
        <w:footnoteReference w:id="17"/>
      </w:r>
      <w:r w:rsidRPr="00B27674">
        <w:rPr>
          <w:rFonts w:ascii="Arial" w:hAnsi="Arial" w:cs="Arial"/>
          <w:sz w:val="21"/>
          <w:szCs w:val="21"/>
          <w:lang w:val="es-ES_tradnl"/>
        </w:rPr>
        <w:t>.</w:t>
      </w:r>
    </w:p>
    <w:p w14:paraId="01F592E4" w14:textId="77777777" w:rsidR="009C48E6" w:rsidRPr="00B27674" w:rsidRDefault="009C48E6" w:rsidP="009C48E6">
      <w:pPr>
        <w:tabs>
          <w:tab w:val="left" w:pos="0"/>
        </w:tabs>
        <w:spacing w:line="276" w:lineRule="auto"/>
        <w:jc w:val="both"/>
        <w:rPr>
          <w:rFonts w:ascii="Arial" w:eastAsia="Calibri" w:hAnsi="Arial" w:cs="Arial"/>
          <w:bCs/>
          <w:sz w:val="22"/>
          <w:lang w:val="es-ES_tradnl"/>
        </w:rPr>
      </w:pPr>
    </w:p>
    <w:p w14:paraId="4510E861" w14:textId="0ACF678D"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De acuerdo con estas consideraciones, no </w:t>
      </w:r>
      <w:r w:rsidR="005E3980" w:rsidRPr="00B27674">
        <w:rPr>
          <w:rFonts w:ascii="Arial" w:eastAsia="Calibri" w:hAnsi="Arial" w:cs="Arial"/>
          <w:bCs/>
          <w:sz w:val="22"/>
          <w:lang w:val="es-ES_tradnl"/>
        </w:rPr>
        <w:t xml:space="preserve">hay </w:t>
      </w:r>
      <w:r w:rsidRPr="00B27674">
        <w:rPr>
          <w:rFonts w:ascii="Arial" w:eastAsia="Calibri" w:hAnsi="Arial" w:cs="Arial"/>
          <w:bCs/>
          <w:sz w:val="22"/>
          <w:lang w:val="es-ES_tradnl"/>
        </w:rPr>
        <w:t xml:space="preserve">una plena equivalencia entre las </w:t>
      </w:r>
      <w:bookmarkStart w:id="10" w:name="_Hlk95322109"/>
      <w:r w:rsidRPr="00B27674">
        <w:rPr>
          <w:rFonts w:ascii="Arial" w:eastAsia="Calibri" w:hAnsi="Arial" w:cs="Arial"/>
          <w:bCs/>
          <w:sz w:val="22"/>
          <w:lang w:val="es-ES_tradnl"/>
        </w:rPr>
        <w:t xml:space="preserve">actividades que hacen parte del desarrollo del </w:t>
      </w:r>
      <w:r w:rsidRPr="00B27674">
        <w:rPr>
          <w:rFonts w:ascii="Arial" w:eastAsia="Calibri" w:hAnsi="Arial" w:cs="Arial"/>
          <w:bCs/>
          <w:i/>
          <w:iCs/>
          <w:sz w:val="22"/>
          <w:lang w:val="es-ES_tradnl"/>
        </w:rPr>
        <w:t>objeto social</w:t>
      </w:r>
      <w:r w:rsidRPr="00B27674">
        <w:rPr>
          <w:rFonts w:ascii="Arial" w:eastAsia="Calibri" w:hAnsi="Arial" w:cs="Arial"/>
          <w:bCs/>
          <w:sz w:val="22"/>
          <w:lang w:val="es-ES_tradnl"/>
        </w:rPr>
        <w:t xml:space="preserve"> y las que comprende</w:t>
      </w:r>
      <w:r w:rsidR="005E1387">
        <w:rPr>
          <w:rFonts w:ascii="Arial" w:eastAsia="Calibri" w:hAnsi="Arial" w:cs="Arial"/>
          <w:bCs/>
          <w:sz w:val="22"/>
          <w:lang w:val="es-ES_tradnl"/>
        </w:rPr>
        <w:t xml:space="preserve">n </w:t>
      </w:r>
      <w:r w:rsidRPr="00B27674">
        <w:rPr>
          <w:rFonts w:ascii="Arial" w:eastAsia="Calibri" w:hAnsi="Arial" w:cs="Arial"/>
          <w:bCs/>
          <w:sz w:val="22"/>
          <w:lang w:val="es-ES_tradnl"/>
        </w:rPr>
        <w:t xml:space="preserve">el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w:t>
      </w:r>
      <w:r w:rsidR="005E3980" w:rsidRPr="00B27674">
        <w:rPr>
          <w:rFonts w:ascii="Arial" w:eastAsia="Calibri" w:hAnsi="Arial" w:cs="Arial"/>
          <w:bCs/>
          <w:sz w:val="22"/>
          <w:lang w:val="es-ES_tradnl"/>
        </w:rPr>
        <w:t>pues,</w:t>
      </w:r>
      <w:r w:rsidRPr="00B27674">
        <w:rPr>
          <w:rFonts w:ascii="Arial" w:eastAsia="Calibri" w:hAnsi="Arial" w:cs="Arial"/>
          <w:bCs/>
          <w:sz w:val="22"/>
          <w:lang w:val="es-ES_tradnl"/>
        </w:rPr>
        <w:t xml:space="preserve"> como precisa la Superintendencia de Sociedades, entre lo que designan estas categorías existe una relación de género a especie. </w:t>
      </w:r>
    </w:p>
    <w:p w14:paraId="34AFA9E2" w14:textId="7C0D0B6A"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En relación con la aplicación de lo dispuesto en el parágrafo del artículo 56 de la Ley 2195 de 2022, conviene aclarar que, a juicio de esta Agencia, a menos que el Presidente de la República</w:t>
      </w:r>
      <w:r w:rsidR="006B6D57" w:rsidRPr="00B27674">
        <w:rPr>
          <w:rFonts w:ascii="Arial" w:eastAsia="Calibri" w:hAnsi="Arial" w:cs="Arial"/>
          <w:bCs/>
          <w:sz w:val="22"/>
          <w:lang w:val="es-ES_tradnl"/>
        </w:rPr>
        <w:t>,</w:t>
      </w:r>
      <w:r w:rsidRPr="00B27674">
        <w:rPr>
          <w:rFonts w:ascii="Arial" w:eastAsia="Calibri" w:hAnsi="Arial" w:cs="Arial"/>
          <w:bCs/>
          <w:sz w:val="22"/>
          <w:lang w:val="es-ES_tradnl"/>
        </w:rPr>
        <w:t xml:space="preserve"> en ejercicio de la potestad reglamentaria atribuida por el artículo 189.11 de la Constitución Política, disponga algo diferente, la expresión </w:t>
      </w:r>
      <w:r w:rsidRPr="00B27674">
        <w:rPr>
          <w:rFonts w:ascii="Arial" w:eastAsia="Calibri" w:hAnsi="Arial" w:cs="Arial"/>
          <w:bCs/>
          <w:i/>
          <w:iCs/>
          <w:sz w:val="22"/>
          <w:lang w:val="es-ES_tradnl"/>
        </w:rPr>
        <w:t xml:space="preserve">giro ordinario </w:t>
      </w:r>
      <w:r w:rsidRPr="00B27674">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B27674">
        <w:rPr>
          <w:rFonts w:ascii="Arial" w:eastAsia="Calibri" w:hAnsi="Arial" w:cs="Arial"/>
          <w:bCs/>
          <w:i/>
          <w:iCs/>
          <w:sz w:val="22"/>
          <w:lang w:val="es-ES_tradnl"/>
        </w:rPr>
        <w:t>ejusdem</w:t>
      </w:r>
      <w:r w:rsidRPr="00B27674">
        <w:rPr>
          <w:rFonts w:ascii="Arial" w:eastAsia="Calibri" w:hAnsi="Arial" w:cs="Arial"/>
          <w:bCs/>
          <w:sz w:val="22"/>
          <w:lang w:val="es-ES_tradnl"/>
        </w:rPr>
        <w:t xml:space="preserve"> se limita a enunciar algunos tipos de entidades estatales, las cuales no solo difieren en su naturaleza jurídica, sino también en las actividades que </w:t>
      </w:r>
      <w:r w:rsidR="00833CB1" w:rsidRPr="00B27674">
        <w:rPr>
          <w:rFonts w:ascii="Arial" w:eastAsia="Calibri" w:hAnsi="Arial" w:cs="Arial"/>
          <w:bCs/>
          <w:sz w:val="22"/>
          <w:lang w:val="es-ES_tradnl"/>
        </w:rPr>
        <w:t>realizan</w:t>
      </w:r>
      <w:r w:rsidRPr="00B27674">
        <w:rPr>
          <w:rFonts w:ascii="Arial" w:eastAsia="Calibri" w:hAnsi="Arial" w:cs="Arial"/>
          <w:bCs/>
          <w:sz w:val="22"/>
          <w:lang w:val="es-ES_tradnl"/>
        </w:rPr>
        <w:t xml:space="preserve">. </w:t>
      </w:r>
    </w:p>
    <w:p w14:paraId="52150902" w14:textId="77777777" w:rsidR="009C48E6" w:rsidRPr="00B27674" w:rsidRDefault="009C48E6" w:rsidP="009C48E6">
      <w:pPr>
        <w:tabs>
          <w:tab w:val="left" w:pos="0"/>
        </w:tabs>
        <w:spacing w:after="120" w:line="276" w:lineRule="auto"/>
        <w:ind w:firstLine="709"/>
        <w:jc w:val="both"/>
        <w:rPr>
          <w:rFonts w:ascii="Arial" w:eastAsia="Calibri" w:hAnsi="Arial" w:cs="Arial"/>
          <w:bCs/>
          <w:sz w:val="22"/>
          <w:lang w:val="es-ES_tradnl"/>
        </w:rPr>
      </w:pPr>
      <w:r w:rsidRPr="00B27674">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10"/>
    <w:p w14:paraId="0C077DA0" w14:textId="027C5B95"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w:t>
      </w:r>
      <w:r w:rsidR="00342705" w:rsidRPr="00B27674">
        <w:rPr>
          <w:rFonts w:ascii="Arial" w:eastAsia="Calibri" w:hAnsi="Arial" w:cs="Arial"/>
          <w:bCs/>
          <w:sz w:val="22"/>
          <w:lang w:val="es-ES_tradnl"/>
        </w:rPr>
        <w:t xml:space="preserve">los </w:t>
      </w:r>
      <w:r w:rsidRPr="00B27674">
        <w:rPr>
          <w:rFonts w:ascii="Arial" w:eastAsia="Calibri" w:hAnsi="Arial" w:cs="Arial"/>
          <w:bCs/>
          <w:sz w:val="22"/>
          <w:lang w:val="es-ES_tradnl"/>
        </w:rPr>
        <w:t xml:space="preserve">documentos tipo únicamente para la contratación relacionada </w:t>
      </w:r>
      <w:r w:rsidRPr="00B27674">
        <w:rPr>
          <w:rFonts w:ascii="Arial" w:eastAsia="Calibri" w:hAnsi="Arial" w:cs="Arial"/>
          <w:bCs/>
          <w:sz w:val="22"/>
          <w:lang w:val="es-ES_tradnl"/>
        </w:rPr>
        <w:lastRenderedPageBreak/>
        <w:t xml:space="preserve">con el </w:t>
      </w:r>
      <w:r w:rsidRPr="00B27674">
        <w:rPr>
          <w:rFonts w:ascii="Arial" w:eastAsia="Calibri" w:hAnsi="Arial" w:cs="Arial"/>
          <w:bCs/>
          <w:i/>
          <w:iCs/>
          <w:sz w:val="22"/>
          <w:lang w:val="es-ES_tradnl"/>
        </w:rPr>
        <w:t xml:space="preserve">giro ordinario </w:t>
      </w:r>
      <w:r w:rsidRPr="00B27674">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B27674">
        <w:rPr>
          <w:rFonts w:ascii="Arial" w:eastAsia="Calibri" w:hAnsi="Arial" w:cs="Arial"/>
          <w:bCs/>
          <w:i/>
          <w:iCs/>
          <w:sz w:val="22"/>
          <w:lang w:val="es-ES_tradnl"/>
        </w:rPr>
        <w:t>su giro ordinario</w:t>
      </w:r>
      <w:r w:rsidRPr="00B27674">
        <w:rPr>
          <w:rFonts w:ascii="Arial" w:eastAsia="Calibri" w:hAnsi="Arial" w:cs="Arial"/>
          <w:bCs/>
          <w:sz w:val="22"/>
          <w:lang w:val="es-ES_tradnl"/>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166B2C2F" w14:textId="003D6293" w:rsidR="009C48E6" w:rsidRPr="00B27674" w:rsidRDefault="009C48E6" w:rsidP="009C48E6">
      <w:pPr>
        <w:tabs>
          <w:tab w:val="left" w:pos="0"/>
        </w:tabs>
        <w:spacing w:after="120" w:line="276" w:lineRule="auto"/>
        <w:jc w:val="both"/>
        <w:rPr>
          <w:rFonts w:ascii="Arial" w:eastAsia="Calibri" w:hAnsi="Arial" w:cs="Arial"/>
          <w:bCs/>
          <w:sz w:val="22"/>
          <w:lang w:val="es-ES_tradnl"/>
        </w:rPr>
      </w:pPr>
      <w:r w:rsidRPr="00B27674">
        <w:rPr>
          <w:rFonts w:ascii="Arial" w:eastAsia="Calibri" w:hAnsi="Arial" w:cs="Arial"/>
          <w:bCs/>
          <w:sz w:val="22"/>
          <w:lang w:val="es-ES_tradnl"/>
        </w:rPr>
        <w:tab/>
        <w:t xml:space="preserve">Esta interpretación, a juicio de la Agencia, </w:t>
      </w:r>
      <w:r w:rsidR="00AD64DF">
        <w:rPr>
          <w:rFonts w:ascii="Arial" w:eastAsia="Calibri" w:hAnsi="Arial" w:cs="Arial"/>
          <w:bCs/>
          <w:sz w:val="22"/>
          <w:lang w:val="es-ES_tradnl"/>
        </w:rPr>
        <w:t xml:space="preserve">no solo </w:t>
      </w:r>
      <w:r w:rsidRPr="00B27674">
        <w:rPr>
          <w:rFonts w:ascii="Arial" w:eastAsia="Calibri" w:hAnsi="Arial" w:cs="Arial"/>
          <w:bCs/>
          <w:sz w:val="22"/>
          <w:lang w:val="es-ES_tradnl"/>
        </w:rPr>
        <w:t>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B27674">
        <w:rPr>
          <w:rStyle w:val="Refdenotaalpie"/>
          <w:rFonts w:ascii="Arial" w:eastAsia="Calibri" w:hAnsi="Arial" w:cs="Arial"/>
        </w:rPr>
        <w:footnoteReference w:id="18"/>
      </w:r>
      <w:r w:rsidRPr="00B27674">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B27674">
        <w:rPr>
          <w:rStyle w:val="Refdenotaalpie"/>
          <w:rFonts w:ascii="Arial" w:eastAsia="Calibri" w:hAnsi="Arial" w:cs="Arial"/>
        </w:rPr>
        <w:footnoteReference w:id="19"/>
      </w:r>
      <w:r w:rsidRPr="00B27674">
        <w:rPr>
          <w:rFonts w:ascii="Arial" w:eastAsia="Calibri" w:hAnsi="Arial" w:cs="Arial"/>
          <w:bCs/>
          <w:sz w:val="22"/>
          <w:lang w:val="es-ES_tradnl"/>
        </w:rPr>
        <w:t xml:space="preserve">. En ese sentido, en virtud de esta potestad de configuración </w:t>
      </w:r>
      <w:r w:rsidRPr="00B27674">
        <w:rPr>
          <w:rFonts w:ascii="Arial" w:eastAsia="Calibri" w:hAnsi="Arial" w:cs="Arial"/>
          <w:bCs/>
          <w:sz w:val="22"/>
          <w:lang w:val="es-ES_tradnl"/>
        </w:rPr>
        <w:lastRenderedPageBreak/>
        <w:t xml:space="preserve">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B27674">
        <w:rPr>
          <w:rStyle w:val="Refdenotaalpie"/>
          <w:rFonts w:ascii="Arial" w:eastAsia="Calibri" w:hAnsi="Arial" w:cs="Arial"/>
        </w:rPr>
        <w:footnoteReference w:id="20"/>
      </w:r>
      <w:r w:rsidRPr="00B27674">
        <w:rPr>
          <w:rFonts w:ascii="Arial" w:eastAsia="Calibri" w:hAnsi="Arial" w:cs="Arial"/>
          <w:bCs/>
          <w:sz w:val="22"/>
          <w:lang w:val="es-ES_tradnl"/>
        </w:rPr>
        <w:t>.</w:t>
      </w:r>
    </w:p>
    <w:p w14:paraId="288ABE60" w14:textId="1C1EB81E" w:rsidR="009C48E6" w:rsidRPr="00B27674" w:rsidRDefault="009C48E6" w:rsidP="009C48E6">
      <w:pPr>
        <w:tabs>
          <w:tab w:val="left" w:pos="0"/>
        </w:tabs>
        <w:spacing w:before="120" w:after="120" w:line="276" w:lineRule="auto"/>
        <w:ind w:firstLine="709"/>
        <w:jc w:val="both"/>
        <w:rPr>
          <w:rFonts w:ascii="Arial" w:hAnsi="Arial" w:cs="Arial"/>
          <w:sz w:val="22"/>
          <w:szCs w:val="22"/>
        </w:rPr>
      </w:pPr>
      <w:r w:rsidRPr="00B27674">
        <w:rPr>
          <w:rFonts w:ascii="Arial" w:eastAsia="Calibri" w:hAnsi="Arial" w:cs="Arial"/>
          <w:bCs/>
          <w:sz w:val="22"/>
          <w:szCs w:val="22"/>
          <w:lang w:val="es-ES_tradnl"/>
        </w:rPr>
        <w:t>De acuerdo con esta interpretación restrictiva</w:t>
      </w:r>
      <w:r w:rsidRPr="00B27674">
        <w:rPr>
          <w:rStyle w:val="Refdenotaalpie"/>
          <w:rFonts w:ascii="Arial" w:eastAsia="Calibri" w:hAnsi="Arial" w:cs="Arial"/>
        </w:rPr>
        <w:footnoteReference w:id="21"/>
      </w:r>
      <w:r w:rsidR="00342705" w:rsidRPr="00B27674">
        <w:rPr>
          <w:rFonts w:ascii="Arial" w:eastAsia="Calibri" w:hAnsi="Arial" w:cs="Arial"/>
          <w:bCs/>
          <w:sz w:val="22"/>
          <w:szCs w:val="22"/>
          <w:lang w:val="es-ES_tradnl"/>
        </w:rPr>
        <w:t>,</w:t>
      </w:r>
      <w:r w:rsidRPr="00B27674">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B27674">
        <w:rPr>
          <w:rFonts w:ascii="Arial" w:eastAsia="Calibri" w:hAnsi="Arial" w:cs="Arial"/>
          <w:bCs/>
          <w:i/>
          <w:iCs/>
          <w:sz w:val="22"/>
          <w:szCs w:val="22"/>
          <w:lang w:val="es-ES_tradnl"/>
        </w:rPr>
        <w:t xml:space="preserve">giro ordinario, </w:t>
      </w:r>
      <w:r w:rsidRPr="00B27674">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B27674">
        <w:rPr>
          <w:rStyle w:val="Refdenotaalpie"/>
          <w:rFonts w:ascii="Arial" w:hAnsi="Arial" w:cs="Arial"/>
        </w:rPr>
        <w:footnoteReference w:id="22"/>
      </w:r>
      <w:r w:rsidRPr="00B27674">
        <w:rPr>
          <w:rFonts w:ascii="Arial" w:eastAsia="Calibri" w:hAnsi="Arial" w:cs="Arial"/>
          <w:bCs/>
          <w:sz w:val="22"/>
          <w:szCs w:val="22"/>
          <w:lang w:val="es-ES_tradnl"/>
        </w:rPr>
        <w:t xml:space="preserve">, </w:t>
      </w:r>
      <w:r w:rsidRPr="00B27674">
        <w:rPr>
          <w:rFonts w:ascii="Arial" w:eastAsia="Calibri" w:hAnsi="Arial" w:cs="Arial"/>
          <w:bCs/>
          <w:sz w:val="22"/>
          <w:szCs w:val="22"/>
          <w:lang w:val="es-ES_tradnl"/>
        </w:rPr>
        <w:lastRenderedPageBreak/>
        <w:t>al igual que la regla según la cual «</w:t>
      </w:r>
      <w:r w:rsidRPr="00B27674">
        <w:rPr>
          <w:rFonts w:ascii="Arial" w:hAnsi="Arial" w:cs="Arial"/>
          <w:sz w:val="22"/>
          <w:szCs w:val="22"/>
        </w:rPr>
        <w:t>Lo favorable u odioso de una disposición no se tomará en cuenta para ampliar o restringir su interpretación»</w:t>
      </w:r>
      <w:r w:rsidRPr="00B27674">
        <w:rPr>
          <w:rStyle w:val="Refdenotaalpie"/>
          <w:rFonts w:ascii="Arial" w:hAnsi="Arial" w:cs="Arial"/>
        </w:rPr>
        <w:footnoteReference w:id="23"/>
      </w:r>
      <w:r w:rsidRPr="00B27674">
        <w:rPr>
          <w:rFonts w:ascii="Arial" w:hAnsi="Arial" w:cs="Arial"/>
          <w:sz w:val="22"/>
          <w:szCs w:val="22"/>
        </w:rPr>
        <w:t xml:space="preserve">. </w:t>
      </w:r>
    </w:p>
    <w:p w14:paraId="6DB61E4C" w14:textId="15FDBCB2" w:rsidR="009C48E6" w:rsidRDefault="009C48E6" w:rsidP="008E6BBE">
      <w:pPr>
        <w:tabs>
          <w:tab w:val="left" w:pos="0"/>
        </w:tabs>
        <w:spacing w:before="120" w:line="276" w:lineRule="auto"/>
        <w:ind w:firstLine="709"/>
        <w:jc w:val="both"/>
        <w:rPr>
          <w:rFonts w:ascii="Arial" w:eastAsia="Calibri" w:hAnsi="Arial" w:cs="Arial"/>
          <w:bCs/>
          <w:sz w:val="22"/>
          <w:lang w:val="es-ES_tradnl"/>
        </w:rPr>
      </w:pPr>
      <w:r w:rsidRPr="00B27674">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B27674">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B27674">
        <w:rPr>
          <w:rFonts w:ascii="Arial" w:eastAsia="Calibri" w:hAnsi="Arial" w:cs="Arial"/>
          <w:bCs/>
          <w:i/>
          <w:iCs/>
          <w:sz w:val="22"/>
          <w:szCs w:val="22"/>
          <w:lang w:val="es-ES_tradnl"/>
        </w:rPr>
        <w:t>giro ordinario</w:t>
      </w:r>
      <w:r w:rsidRPr="00B27674">
        <w:rPr>
          <w:rFonts w:ascii="Arial" w:eastAsia="Calibri" w:hAnsi="Arial" w:cs="Arial"/>
          <w:bCs/>
          <w:sz w:val="22"/>
          <w:szCs w:val="22"/>
          <w:lang w:val="es-ES_tradnl"/>
        </w:rPr>
        <w:t xml:space="preserve">. Esto significa que tales entidades, </w:t>
      </w:r>
      <w:r w:rsidRPr="00B27674">
        <w:rPr>
          <w:rFonts w:ascii="Arial" w:eastAsia="Calibri" w:hAnsi="Arial" w:cs="Arial"/>
          <w:bCs/>
          <w:sz w:val="22"/>
          <w:lang w:val="es-ES_tradnl"/>
        </w:rPr>
        <w:t>cuando</w:t>
      </w:r>
      <w:r w:rsidR="00A35429" w:rsidRPr="00B27674">
        <w:rPr>
          <w:rFonts w:ascii="Arial" w:eastAsia="Calibri" w:hAnsi="Arial" w:cs="Arial"/>
          <w:bCs/>
          <w:sz w:val="22"/>
          <w:lang w:val="es-ES_tradnl"/>
        </w:rPr>
        <w:t>,</w:t>
      </w:r>
      <w:r w:rsidRPr="00B27674">
        <w:rPr>
          <w:rFonts w:ascii="Arial" w:eastAsia="Calibri" w:hAnsi="Arial" w:cs="Arial"/>
          <w:bCs/>
          <w:sz w:val="22"/>
          <w:lang w:val="es-ES_tradnl"/>
        </w:rPr>
        <w:t xml:space="preserve"> en desarrollo de un contrato o un convenio con una entidad sometida al EGCAP, requieran contratar un objeto cobijado por algún documento tipo, que no esté comprendido dentro de su </w:t>
      </w:r>
      <w:r w:rsidRPr="00B27674">
        <w:rPr>
          <w:rFonts w:ascii="Arial" w:eastAsia="Calibri" w:hAnsi="Arial" w:cs="Arial"/>
          <w:bCs/>
          <w:i/>
          <w:iCs/>
          <w:sz w:val="22"/>
          <w:lang w:val="es-ES_tradnl"/>
        </w:rPr>
        <w:t>giro ordinario,</w:t>
      </w:r>
      <w:r w:rsidRPr="00B27674">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0EE51659" w14:textId="77777777" w:rsidR="008E6BBE" w:rsidRDefault="008E6BBE" w:rsidP="008E6BBE">
      <w:pPr>
        <w:tabs>
          <w:tab w:val="left" w:pos="0"/>
        </w:tabs>
        <w:spacing w:line="276" w:lineRule="auto"/>
        <w:jc w:val="both"/>
        <w:rPr>
          <w:rFonts w:ascii="Arial" w:eastAsia="Calibri" w:hAnsi="Arial" w:cs="Arial"/>
          <w:bCs/>
          <w:sz w:val="22"/>
          <w:lang w:val="es-ES_tradnl"/>
        </w:rPr>
      </w:pPr>
    </w:p>
    <w:p w14:paraId="28A537D7" w14:textId="19D2EDE9" w:rsidR="00F401BF" w:rsidRDefault="00B5353B" w:rsidP="00AE63BE">
      <w:pPr>
        <w:tabs>
          <w:tab w:val="left" w:pos="709"/>
        </w:tabs>
        <w:spacing w:line="276" w:lineRule="auto"/>
        <w:jc w:val="both"/>
        <w:rPr>
          <w:rFonts w:ascii="Arial" w:eastAsia="Calibri" w:hAnsi="Arial" w:cs="Arial"/>
          <w:b/>
          <w:sz w:val="22"/>
          <w:lang w:val="es-ES_tradnl"/>
        </w:rPr>
      </w:pPr>
      <w:r>
        <w:rPr>
          <w:rFonts w:ascii="Arial" w:eastAsia="Calibri" w:hAnsi="Arial" w:cs="Arial"/>
          <w:b/>
          <w:sz w:val="22"/>
        </w:rPr>
        <w:t>2.</w:t>
      </w:r>
      <w:r w:rsidR="00F87953">
        <w:rPr>
          <w:rFonts w:ascii="Arial" w:eastAsia="Calibri" w:hAnsi="Arial" w:cs="Arial"/>
          <w:b/>
          <w:sz w:val="22"/>
        </w:rPr>
        <w:t>3</w:t>
      </w:r>
      <w:r w:rsidR="00CC7551" w:rsidRPr="001835C1">
        <w:rPr>
          <w:rFonts w:ascii="Arial" w:eastAsia="Calibri" w:hAnsi="Arial" w:cs="Arial"/>
          <w:b/>
          <w:sz w:val="22"/>
        </w:rPr>
        <w:t>.</w:t>
      </w:r>
      <w:r w:rsidR="001835C1" w:rsidRPr="001835C1">
        <w:rPr>
          <w:rFonts w:ascii="Arial" w:eastAsia="Calibri" w:hAnsi="Arial" w:cs="Arial"/>
          <w:b/>
          <w:sz w:val="22"/>
        </w:rPr>
        <w:t xml:space="preserve"> </w:t>
      </w:r>
      <w:r w:rsidR="00AE63BE" w:rsidRPr="001835C1">
        <w:rPr>
          <w:rFonts w:ascii="Arial" w:eastAsia="Calibri" w:hAnsi="Arial" w:cs="Arial"/>
          <w:b/>
          <w:sz w:val="22"/>
        </w:rPr>
        <w:t>Régimen contractual de</w:t>
      </w:r>
      <w:r w:rsidR="00CC7551" w:rsidRPr="001835C1">
        <w:rPr>
          <w:rFonts w:ascii="Arial" w:eastAsia="Calibri" w:hAnsi="Arial" w:cs="Arial"/>
          <w:b/>
          <w:sz w:val="22"/>
        </w:rPr>
        <w:t xml:space="preserve"> </w:t>
      </w:r>
      <w:r w:rsidR="00AE63BE" w:rsidRPr="001835C1">
        <w:rPr>
          <w:rFonts w:ascii="Arial" w:eastAsia="Calibri" w:hAnsi="Arial" w:cs="Arial"/>
          <w:b/>
          <w:sz w:val="22"/>
        </w:rPr>
        <w:t xml:space="preserve">las </w:t>
      </w:r>
      <w:r w:rsidR="00CC7551" w:rsidRPr="001835C1">
        <w:rPr>
          <w:rFonts w:ascii="Arial" w:eastAsia="Calibri" w:hAnsi="Arial" w:cs="Arial"/>
          <w:b/>
          <w:sz w:val="22"/>
        </w:rPr>
        <w:t>e</w:t>
      </w:r>
      <w:r w:rsidR="00AE63BE" w:rsidRPr="001835C1">
        <w:rPr>
          <w:rFonts w:ascii="Arial" w:eastAsia="Calibri" w:hAnsi="Arial" w:cs="Arial"/>
          <w:b/>
          <w:sz w:val="22"/>
        </w:rPr>
        <w:t xml:space="preserve">mpresas </w:t>
      </w:r>
      <w:r w:rsidR="00CC7551" w:rsidRPr="001835C1">
        <w:rPr>
          <w:rFonts w:ascii="Arial" w:eastAsia="Calibri" w:hAnsi="Arial" w:cs="Arial"/>
          <w:b/>
          <w:sz w:val="22"/>
        </w:rPr>
        <w:t>s</w:t>
      </w:r>
      <w:r w:rsidR="00AE63BE" w:rsidRPr="001835C1">
        <w:rPr>
          <w:rFonts w:ascii="Arial" w:eastAsia="Calibri" w:hAnsi="Arial" w:cs="Arial"/>
          <w:b/>
          <w:sz w:val="22"/>
        </w:rPr>
        <w:t>ociales del Estado</w:t>
      </w:r>
      <w:r w:rsidR="00922577" w:rsidRPr="001835C1">
        <w:rPr>
          <w:rFonts w:ascii="Arial" w:eastAsia="Calibri" w:hAnsi="Arial" w:cs="Arial"/>
          <w:b/>
          <w:sz w:val="22"/>
        </w:rPr>
        <w:t xml:space="preserve"> y aplicación del </w:t>
      </w:r>
      <w:r w:rsidR="00922577" w:rsidRPr="001835C1">
        <w:rPr>
          <w:rFonts w:ascii="Arial" w:eastAsia="Calibri" w:hAnsi="Arial" w:cs="Arial"/>
          <w:b/>
          <w:sz w:val="22"/>
          <w:lang w:val="es-ES_tradnl"/>
        </w:rPr>
        <w:t>artículo 56 de la Ley 2195 de 2022</w:t>
      </w:r>
    </w:p>
    <w:p w14:paraId="2A63B478" w14:textId="3BCE1505" w:rsidR="001835C1" w:rsidRDefault="001835C1" w:rsidP="00AE63BE">
      <w:pPr>
        <w:tabs>
          <w:tab w:val="left" w:pos="709"/>
        </w:tabs>
        <w:spacing w:line="276" w:lineRule="auto"/>
        <w:jc w:val="both"/>
        <w:rPr>
          <w:rFonts w:ascii="Arial" w:eastAsia="Calibri" w:hAnsi="Arial" w:cs="Arial"/>
          <w:b/>
          <w:sz w:val="22"/>
        </w:rPr>
      </w:pPr>
    </w:p>
    <w:p w14:paraId="3CEB17FD" w14:textId="77777777" w:rsidR="005B3F04" w:rsidRPr="005B3F04" w:rsidRDefault="005B3F04" w:rsidP="005B3F04">
      <w:pPr>
        <w:spacing w:line="276" w:lineRule="auto"/>
        <w:jc w:val="both"/>
        <w:rPr>
          <w:rFonts w:ascii="Arial" w:eastAsia="Calibri" w:hAnsi="Arial" w:cs="Arial"/>
          <w:color w:val="000000" w:themeColor="text1"/>
          <w:sz w:val="22"/>
          <w:szCs w:val="22"/>
          <w:lang w:val="es-MX" w:eastAsia="en-US"/>
        </w:rPr>
      </w:pPr>
      <w:r w:rsidRPr="005B3F04">
        <w:rPr>
          <w:rFonts w:ascii="Arial" w:eastAsiaTheme="minorHAnsi" w:hAnsi="Arial" w:cs="Arial"/>
          <w:sz w:val="22"/>
          <w:szCs w:val="22"/>
          <w:lang w:val="es-MX" w:eastAsia="en-US"/>
        </w:rPr>
        <w:t>Las Empresas Sociales del Estado – ESE son entidades públicas que, conforme al artículo 194 de la Ley 100 de 1993, son de categoría especial, descentralizada por servicios, con personería jurídica, patrimonio propio y autonomía administrativa</w:t>
      </w:r>
      <w:r w:rsidRPr="005B3F04">
        <w:rPr>
          <w:rFonts w:ascii="Arial" w:eastAsiaTheme="minorHAnsi" w:hAnsi="Arial" w:cs="Arial"/>
          <w:sz w:val="22"/>
          <w:szCs w:val="22"/>
          <w:vertAlign w:val="superscript"/>
          <w:lang w:val="es-MX" w:eastAsia="en-US"/>
        </w:rPr>
        <w:footnoteReference w:id="24"/>
      </w:r>
      <w:r w:rsidRPr="005B3F04">
        <w:rPr>
          <w:rFonts w:ascii="Arial" w:eastAsiaTheme="minorHAnsi" w:hAnsi="Arial" w:cs="Arial"/>
          <w:sz w:val="22"/>
          <w:szCs w:val="22"/>
          <w:lang w:val="es-MX" w:eastAsia="en-US"/>
        </w:rPr>
        <w:t>. A través de ellas la Nación o las entidades territoriales prestan el servicio de salud de manera directa, es decir</w:t>
      </w:r>
      <w:r w:rsidRPr="005B3F04">
        <w:rPr>
          <w:rFonts w:ascii="Arial" w:eastAsia="Calibri" w:hAnsi="Arial" w:cs="Arial"/>
          <w:color w:val="000000" w:themeColor="text1"/>
          <w:sz w:val="22"/>
          <w:szCs w:val="22"/>
          <w:lang w:val="es-MX" w:eastAsia="en-US"/>
        </w:rPr>
        <w:t xml:space="preserve">, las Empresas Sociales del Estado son, esencialmente, los hospitales públicos. El Consejo de Estado, sobre la naturaleza jurídica de estas entidades, precisó: </w:t>
      </w:r>
    </w:p>
    <w:p w14:paraId="22042425" w14:textId="77777777" w:rsidR="005B3F04" w:rsidRPr="005B3F04" w:rsidRDefault="005B3F04" w:rsidP="005B3F04">
      <w:pPr>
        <w:spacing w:line="276" w:lineRule="auto"/>
        <w:jc w:val="both"/>
        <w:rPr>
          <w:rFonts w:ascii="Arial" w:eastAsia="Calibri" w:hAnsi="Arial" w:cs="Arial"/>
          <w:color w:val="000000" w:themeColor="text1"/>
          <w:szCs w:val="22"/>
          <w:lang w:val="es-MX" w:eastAsia="en-US"/>
        </w:rPr>
      </w:pPr>
    </w:p>
    <w:p w14:paraId="13EB741D" w14:textId="77777777" w:rsidR="005B3F04" w:rsidRPr="005B3F04" w:rsidRDefault="005B3F04" w:rsidP="005B3F04">
      <w:pPr>
        <w:ind w:left="709" w:right="709"/>
        <w:jc w:val="both"/>
        <w:rPr>
          <w:rFonts w:ascii="Arial" w:eastAsia="Calibri" w:hAnsi="Arial" w:cs="Arial"/>
          <w:color w:val="000000" w:themeColor="text1"/>
          <w:sz w:val="21"/>
          <w:szCs w:val="21"/>
          <w:lang w:val="es-MX" w:eastAsia="en-US"/>
        </w:rPr>
      </w:pPr>
      <w:r w:rsidRPr="005B3F04">
        <w:rPr>
          <w:rFonts w:ascii="Arial" w:eastAsia="Calibri" w:hAnsi="Arial" w:cs="Arial"/>
          <w:color w:val="000000" w:themeColor="text1"/>
          <w:sz w:val="21"/>
          <w:szCs w:val="21"/>
          <w:lang w:val="es-MX" w:eastAsia="en-US"/>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5B3F04">
        <w:rPr>
          <w:rFonts w:ascii="Arial" w:eastAsia="Calibri" w:hAnsi="Arial" w:cs="Arial"/>
          <w:color w:val="000000" w:themeColor="text1"/>
          <w:sz w:val="21"/>
          <w:szCs w:val="21"/>
          <w:vertAlign w:val="superscript"/>
          <w:lang w:val="es-MX" w:eastAsia="en-US"/>
        </w:rPr>
        <w:footnoteReference w:id="25"/>
      </w:r>
      <w:r w:rsidRPr="005B3F04">
        <w:rPr>
          <w:rFonts w:ascii="Arial" w:eastAsia="Calibri" w:hAnsi="Arial" w:cs="Arial"/>
          <w:color w:val="000000" w:themeColor="text1"/>
          <w:sz w:val="21"/>
          <w:szCs w:val="21"/>
          <w:lang w:val="es-MX" w:eastAsia="en-US"/>
        </w:rPr>
        <w:t xml:space="preserve">. </w:t>
      </w:r>
    </w:p>
    <w:p w14:paraId="4AD239C0" w14:textId="77777777" w:rsidR="005B3F04" w:rsidRPr="005B3F04" w:rsidRDefault="005B3F04" w:rsidP="005B3F04">
      <w:pPr>
        <w:spacing w:line="276" w:lineRule="auto"/>
        <w:ind w:left="709" w:right="709"/>
        <w:jc w:val="both"/>
        <w:rPr>
          <w:rFonts w:ascii="Arial" w:eastAsia="Calibri" w:hAnsi="Arial" w:cs="Arial"/>
          <w:color w:val="000000" w:themeColor="text1"/>
          <w:szCs w:val="22"/>
          <w:lang w:val="es-MX" w:eastAsia="en-US"/>
        </w:rPr>
      </w:pPr>
    </w:p>
    <w:p w14:paraId="7DFE63F2" w14:textId="5ECBB8EA" w:rsidR="005B3F04" w:rsidRPr="005B3F04" w:rsidRDefault="005B3F04" w:rsidP="005B3F04">
      <w:pPr>
        <w:widowControl w:val="0"/>
        <w:autoSpaceDE w:val="0"/>
        <w:autoSpaceDN w:val="0"/>
        <w:spacing w:after="120" w:line="276" w:lineRule="auto"/>
        <w:ind w:right="102" w:firstLine="709"/>
        <w:jc w:val="both"/>
        <w:rPr>
          <w:rFonts w:ascii="Arial" w:eastAsia="Arial" w:hAnsi="Arial" w:cs="Arial"/>
          <w:sz w:val="22"/>
          <w:szCs w:val="22"/>
          <w:lang w:val="es-ES" w:eastAsia="es-ES" w:bidi="es-ES"/>
        </w:rPr>
      </w:pPr>
      <w:r w:rsidRPr="005B3F04">
        <w:rPr>
          <w:rFonts w:ascii="Arial" w:eastAsia="Arial" w:hAnsi="Arial" w:cs="Arial"/>
          <w:sz w:val="22"/>
          <w:szCs w:val="22"/>
          <w:lang w:val="es-ES" w:eastAsia="es-ES" w:bidi="es-ES"/>
        </w:rPr>
        <w:t xml:space="preserve">De la cita precedente se puede concluir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234D3C05" w14:textId="2A956BD8" w:rsidR="005B3F04" w:rsidRPr="005B3F04" w:rsidRDefault="005B3F04" w:rsidP="005B3F04">
      <w:pPr>
        <w:spacing w:after="120" w:line="276" w:lineRule="auto"/>
        <w:ind w:firstLine="709"/>
        <w:jc w:val="both"/>
        <w:rPr>
          <w:rFonts w:ascii="Arial" w:eastAsiaTheme="minorHAnsi" w:hAnsi="Arial" w:cs="Arial"/>
          <w:sz w:val="22"/>
          <w:szCs w:val="22"/>
          <w:lang w:val="es-MX" w:eastAsia="en-US"/>
        </w:rPr>
      </w:pPr>
      <w:r w:rsidRPr="005B3F04">
        <w:rPr>
          <w:rFonts w:ascii="Arial" w:eastAsiaTheme="minorHAnsi" w:hAnsi="Arial" w:cs="Arial"/>
          <w:sz w:val="22"/>
          <w:szCs w:val="22"/>
          <w:lang w:val="es-MX" w:eastAsia="en-US"/>
        </w:rPr>
        <w:t xml:space="preserve">Ahora, de conformidad con el numeral 6 del artículo 195 de la Ley 100 de 1993, el régimen de contratación de las Empresas Sociales del Estado – ESE es el de derecho privado, es decir, </w:t>
      </w:r>
      <w:r w:rsidR="00116208">
        <w:rPr>
          <w:rFonts w:ascii="Arial" w:eastAsiaTheme="minorHAnsi" w:hAnsi="Arial" w:cs="Arial"/>
          <w:sz w:val="22"/>
          <w:szCs w:val="22"/>
          <w:lang w:val="es-MX" w:eastAsia="en-US"/>
        </w:rPr>
        <w:t xml:space="preserve">que se rigen </w:t>
      </w:r>
      <w:r w:rsidRPr="005B3F04">
        <w:rPr>
          <w:rFonts w:ascii="Arial" w:eastAsiaTheme="minorHAnsi" w:hAnsi="Arial" w:cs="Arial"/>
          <w:sz w:val="22"/>
          <w:szCs w:val="22"/>
          <w:lang w:val="es-MX" w:eastAsia="en-US"/>
        </w:rPr>
        <w:t xml:space="preserve">por las disposiciones contenidas en el Código de Comercio y el Código Civil aplicables en lo que resulten pertinentes, salvo en las materias particularmente reguladas </w:t>
      </w:r>
      <w:r w:rsidRPr="005B3F04">
        <w:rPr>
          <w:rFonts w:ascii="Arial" w:eastAsia="Calibri" w:hAnsi="Arial" w:cs="Arial"/>
          <w:color w:val="000000" w:themeColor="text1"/>
          <w:sz w:val="22"/>
          <w:szCs w:val="22"/>
          <w:lang w:val="es-MX" w:eastAsia="en-US"/>
        </w:rPr>
        <w:t xml:space="preserve">por el derecho público. </w:t>
      </w:r>
      <w:r w:rsidRPr="005B3F04">
        <w:rPr>
          <w:rFonts w:ascii="Arial" w:eastAsiaTheme="minorHAnsi" w:hAnsi="Arial" w:cs="Arial"/>
          <w:sz w:val="22"/>
          <w:szCs w:val="22"/>
          <w:lang w:val="es-MX" w:eastAsia="en-US"/>
        </w:rPr>
        <w:t>La norma referida prescribe que «En materia contractual se regirá por el derecho privado, pero podrá discrecionalmente utilizar las cláusulas exorbitantes previstas en el estatuto general de contratación de la administración pública».</w:t>
      </w:r>
    </w:p>
    <w:p w14:paraId="65043E17" w14:textId="77777777" w:rsidR="005B3F04" w:rsidRPr="005B3F04" w:rsidRDefault="005B3F04" w:rsidP="005B3F04">
      <w:pPr>
        <w:widowControl w:val="0"/>
        <w:autoSpaceDE w:val="0"/>
        <w:autoSpaceDN w:val="0"/>
        <w:spacing w:line="276" w:lineRule="auto"/>
        <w:ind w:right="102" w:firstLine="709"/>
        <w:jc w:val="both"/>
        <w:rPr>
          <w:rFonts w:ascii="Arial" w:eastAsia="Arial" w:hAnsi="Arial" w:cs="Arial"/>
          <w:sz w:val="22"/>
          <w:szCs w:val="22"/>
          <w:lang w:val="es-ES" w:eastAsia="es-ES" w:bidi="es-ES"/>
        </w:rPr>
      </w:pPr>
      <w:r w:rsidRPr="005B3F04">
        <w:rPr>
          <w:rFonts w:ascii="Arial" w:eastAsia="Arial" w:hAnsi="Arial" w:cs="Arial"/>
          <w:sz w:val="22"/>
          <w:szCs w:val="22"/>
          <w:lang w:val="es-ES" w:eastAsia="es-ES" w:bidi="es-ES"/>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5B3F04">
        <w:rPr>
          <w:rFonts w:ascii="Arial" w:eastAsia="Arial" w:hAnsi="Arial" w:cs="Arial"/>
          <w:sz w:val="22"/>
          <w:szCs w:val="22"/>
          <w:vertAlign w:val="superscript"/>
          <w:lang w:val="es-ES" w:eastAsia="es-ES" w:bidi="es-ES"/>
        </w:rPr>
        <w:footnoteReference w:id="26"/>
      </w:r>
      <w:r w:rsidRPr="005B3F04">
        <w:rPr>
          <w:rFonts w:ascii="Arial" w:eastAsia="Arial" w:hAnsi="Arial" w:cs="Arial"/>
          <w:sz w:val="22"/>
          <w:szCs w:val="22"/>
          <w:lang w:val="es-ES" w:eastAsia="es-ES" w:bidi="es-ES"/>
        </w:rPr>
        <w:t>. En esta misma línea, el artículo 83 de la Ley 489 de 1998, dispuso lo</w:t>
      </w:r>
      <w:r w:rsidRPr="005B3F04">
        <w:rPr>
          <w:rFonts w:ascii="Arial" w:eastAsia="Arial" w:hAnsi="Arial" w:cs="Arial"/>
          <w:spacing w:val="-12"/>
          <w:sz w:val="22"/>
          <w:szCs w:val="22"/>
          <w:lang w:val="es-ES" w:eastAsia="es-ES" w:bidi="es-ES"/>
        </w:rPr>
        <w:t xml:space="preserve"> </w:t>
      </w:r>
      <w:r w:rsidRPr="005B3F04">
        <w:rPr>
          <w:rFonts w:ascii="Arial" w:eastAsia="Arial" w:hAnsi="Arial" w:cs="Arial"/>
          <w:sz w:val="22"/>
          <w:szCs w:val="22"/>
          <w:lang w:val="es-ES" w:eastAsia="es-ES" w:bidi="es-ES"/>
        </w:rPr>
        <w:t>siguiente:</w:t>
      </w:r>
    </w:p>
    <w:p w14:paraId="6ECEF3FC" w14:textId="77777777" w:rsidR="005B3F04" w:rsidRPr="005B3F04" w:rsidRDefault="005B3F04" w:rsidP="005B3F04">
      <w:pPr>
        <w:widowControl w:val="0"/>
        <w:autoSpaceDE w:val="0"/>
        <w:autoSpaceDN w:val="0"/>
        <w:spacing w:line="276" w:lineRule="auto"/>
        <w:ind w:right="102" w:firstLine="709"/>
        <w:jc w:val="both"/>
        <w:rPr>
          <w:rFonts w:ascii="Arial" w:eastAsia="Arial" w:hAnsi="Arial" w:cs="Arial"/>
          <w:sz w:val="22"/>
          <w:szCs w:val="22"/>
          <w:lang w:val="es-ES" w:eastAsia="es-ES" w:bidi="es-ES"/>
        </w:rPr>
      </w:pPr>
    </w:p>
    <w:p w14:paraId="1472FF83" w14:textId="77777777" w:rsidR="005B3F04" w:rsidRPr="005B3F04" w:rsidRDefault="005B3F04" w:rsidP="005B3F04">
      <w:pPr>
        <w:widowControl w:val="0"/>
        <w:autoSpaceDE w:val="0"/>
        <w:autoSpaceDN w:val="0"/>
        <w:ind w:left="709" w:right="709"/>
        <w:jc w:val="both"/>
        <w:rPr>
          <w:rFonts w:ascii="Arial" w:eastAsia="Arial" w:hAnsi="Arial" w:cs="Arial"/>
          <w:sz w:val="21"/>
          <w:szCs w:val="21"/>
          <w:lang w:val="es-ES" w:eastAsia="es-ES" w:bidi="es-ES"/>
        </w:rPr>
      </w:pPr>
      <w:r w:rsidRPr="005B3F04">
        <w:rPr>
          <w:rFonts w:ascii="Arial" w:eastAsia="Arial" w:hAnsi="Arial" w:cs="Arial"/>
          <w:sz w:val="21"/>
          <w:szCs w:val="21"/>
          <w:lang w:val="es-ES" w:eastAsia="es-ES" w:bidi="es-ES"/>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5B3F04">
        <w:rPr>
          <w:rFonts w:ascii="Arial" w:eastAsia="Arial" w:hAnsi="Arial" w:cs="Arial"/>
          <w:spacing w:val="-1"/>
          <w:sz w:val="21"/>
          <w:szCs w:val="21"/>
          <w:lang w:val="es-ES" w:eastAsia="es-ES" w:bidi="es-ES"/>
        </w:rPr>
        <w:t xml:space="preserve"> </w:t>
      </w:r>
      <w:r w:rsidRPr="005B3F04">
        <w:rPr>
          <w:rFonts w:ascii="Arial" w:eastAsia="Arial" w:hAnsi="Arial" w:cs="Arial"/>
          <w:sz w:val="21"/>
          <w:szCs w:val="21"/>
          <w:lang w:val="es-ES" w:eastAsia="es-ES" w:bidi="es-ES"/>
        </w:rPr>
        <w:t>adicionen.</w:t>
      </w:r>
    </w:p>
    <w:p w14:paraId="1AC10CE6" w14:textId="77777777" w:rsidR="005B3F04" w:rsidRPr="005B3F04" w:rsidRDefault="005B3F04" w:rsidP="005B3F04">
      <w:pPr>
        <w:widowControl w:val="0"/>
        <w:autoSpaceDE w:val="0"/>
        <w:autoSpaceDN w:val="0"/>
        <w:spacing w:line="276" w:lineRule="auto"/>
        <w:ind w:right="534"/>
        <w:jc w:val="both"/>
        <w:rPr>
          <w:rFonts w:ascii="Arial" w:eastAsia="Arial" w:hAnsi="Arial" w:cs="Arial"/>
          <w:sz w:val="22"/>
          <w:szCs w:val="22"/>
          <w:lang w:val="es-ES" w:eastAsia="es-ES" w:bidi="es-ES"/>
        </w:rPr>
      </w:pPr>
    </w:p>
    <w:p w14:paraId="7B1891E4" w14:textId="39A61C42" w:rsidR="005B3F04" w:rsidRPr="005B3F04" w:rsidRDefault="005B3F04" w:rsidP="005B3F04">
      <w:pPr>
        <w:widowControl w:val="0"/>
        <w:autoSpaceDE w:val="0"/>
        <w:autoSpaceDN w:val="0"/>
        <w:spacing w:line="276" w:lineRule="auto"/>
        <w:ind w:right="102" w:firstLine="709"/>
        <w:jc w:val="both"/>
        <w:rPr>
          <w:rFonts w:ascii="Arial" w:eastAsia="Arial" w:hAnsi="Arial" w:cs="Arial"/>
          <w:sz w:val="22"/>
          <w:szCs w:val="22"/>
          <w:lang w:val="es-ES" w:eastAsia="es-ES" w:bidi="es-ES"/>
        </w:rPr>
      </w:pPr>
      <w:r w:rsidRPr="005B3F04">
        <w:rPr>
          <w:rFonts w:ascii="Arial" w:eastAsia="Arial" w:hAnsi="Arial" w:cs="Arial"/>
          <w:sz w:val="22"/>
          <w:szCs w:val="22"/>
          <w:lang w:val="es-ES" w:eastAsia="es-ES" w:bidi="es-ES"/>
        </w:rPr>
        <w:t xml:space="preserve">En consecuencia, por mandato del legislador, el régimen jurídico de los contratos de las ESE es una de las excepciones legales existentes para la aplicación del Estatuto General de Contratación </w:t>
      </w:r>
      <w:r w:rsidR="00116208">
        <w:rPr>
          <w:rFonts w:ascii="Arial" w:eastAsia="Arial" w:hAnsi="Arial" w:cs="Arial"/>
          <w:sz w:val="22"/>
          <w:szCs w:val="22"/>
          <w:lang w:val="es-ES" w:eastAsia="es-ES" w:bidi="es-ES"/>
        </w:rPr>
        <w:t>de la Administración Pública</w:t>
      </w:r>
      <w:r w:rsidRPr="005B3F04">
        <w:rPr>
          <w:rFonts w:ascii="Arial" w:eastAsia="Arial" w:hAnsi="Arial" w:cs="Arial"/>
          <w:sz w:val="22"/>
          <w:szCs w:val="22"/>
          <w:lang w:val="es-ES" w:eastAsia="es-ES" w:bidi="es-ES"/>
        </w:rPr>
        <w:t>,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78A1DCD3" w14:textId="77777777" w:rsidR="005B3F04" w:rsidRPr="005B3F04" w:rsidRDefault="005B3F04" w:rsidP="005B3F04">
      <w:pPr>
        <w:widowControl w:val="0"/>
        <w:autoSpaceDE w:val="0"/>
        <w:autoSpaceDN w:val="0"/>
        <w:spacing w:line="276" w:lineRule="auto"/>
        <w:ind w:right="102" w:firstLine="709"/>
        <w:jc w:val="both"/>
        <w:rPr>
          <w:rFonts w:ascii="Arial" w:eastAsia="Arial" w:hAnsi="Arial" w:cs="Arial"/>
          <w:sz w:val="22"/>
          <w:szCs w:val="22"/>
          <w:lang w:val="es-ES" w:eastAsia="es-ES" w:bidi="es-ES"/>
        </w:rPr>
      </w:pPr>
    </w:p>
    <w:p w14:paraId="74A17460" w14:textId="77777777" w:rsidR="005B3F04" w:rsidRPr="005B3F04" w:rsidRDefault="005B3F04" w:rsidP="005B3F04">
      <w:pPr>
        <w:ind w:left="709" w:right="709"/>
        <w:jc w:val="both"/>
        <w:rPr>
          <w:rFonts w:ascii="Arial" w:eastAsia="Calibri" w:hAnsi="Arial" w:cs="Arial"/>
          <w:color w:val="000000" w:themeColor="text1"/>
          <w:sz w:val="21"/>
          <w:szCs w:val="21"/>
          <w:lang w:val="es-MX" w:eastAsia="en-US"/>
        </w:rPr>
      </w:pPr>
      <w:r w:rsidRPr="005B3F04">
        <w:rPr>
          <w:rFonts w:ascii="Arial" w:eastAsia="Calibri" w:hAnsi="Arial" w:cs="Arial"/>
          <w:color w:val="000000" w:themeColor="text1"/>
          <w:sz w:val="21"/>
          <w:szCs w:val="21"/>
          <w:lang w:val="es-MX" w:eastAsia="en-US"/>
        </w:rPr>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5B3F04">
        <w:rPr>
          <w:rFonts w:ascii="Arial" w:eastAsia="Calibri" w:hAnsi="Arial" w:cs="Arial"/>
          <w:color w:val="000000" w:themeColor="text1"/>
          <w:sz w:val="21"/>
          <w:szCs w:val="21"/>
          <w:vertAlign w:val="superscript"/>
          <w:lang w:val="es-MX" w:eastAsia="en-US"/>
        </w:rPr>
        <w:footnoteReference w:id="27"/>
      </w:r>
    </w:p>
    <w:p w14:paraId="70FA6C1A" w14:textId="77777777" w:rsidR="005B3F04" w:rsidRPr="005B3F04" w:rsidRDefault="005B3F04" w:rsidP="005B3F04">
      <w:pPr>
        <w:widowControl w:val="0"/>
        <w:autoSpaceDE w:val="0"/>
        <w:autoSpaceDN w:val="0"/>
        <w:spacing w:line="276" w:lineRule="auto"/>
        <w:ind w:firstLine="709"/>
        <w:jc w:val="both"/>
        <w:rPr>
          <w:rFonts w:ascii="Arial" w:eastAsia="Arial" w:hAnsi="Arial" w:cs="Arial"/>
          <w:sz w:val="22"/>
          <w:szCs w:val="22"/>
          <w:lang w:val="es-ES" w:eastAsia="es-ES" w:bidi="es-ES"/>
        </w:rPr>
      </w:pPr>
    </w:p>
    <w:p w14:paraId="52120A92" w14:textId="3496DA15" w:rsidR="005B3F04" w:rsidRPr="005B3F04" w:rsidRDefault="005B3F04" w:rsidP="004B1B7D">
      <w:pPr>
        <w:widowControl w:val="0"/>
        <w:autoSpaceDE w:val="0"/>
        <w:autoSpaceDN w:val="0"/>
        <w:spacing w:line="276" w:lineRule="auto"/>
        <w:ind w:right="102" w:firstLine="709"/>
        <w:jc w:val="both"/>
        <w:rPr>
          <w:rFonts w:ascii="Arial" w:eastAsia="Arial" w:hAnsi="Arial" w:cs="Arial"/>
          <w:sz w:val="22"/>
          <w:szCs w:val="22"/>
          <w:lang w:val="es-ES" w:eastAsia="es-ES" w:bidi="es-ES"/>
        </w:rPr>
      </w:pPr>
      <w:r w:rsidRPr="005B3F04">
        <w:rPr>
          <w:rFonts w:ascii="Arial" w:eastAsia="Arial" w:hAnsi="Arial" w:cs="Arial"/>
          <w:sz w:val="22"/>
          <w:szCs w:val="22"/>
          <w:lang w:val="es-ES" w:eastAsia="es-ES" w:bidi="es-ES"/>
        </w:rPr>
        <w:t xml:space="preserve">De lo anterior se colige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w:t>
      </w:r>
      <w:r w:rsidR="00116208">
        <w:rPr>
          <w:rFonts w:ascii="Arial" w:eastAsia="Arial" w:hAnsi="Arial" w:cs="Arial"/>
          <w:sz w:val="22"/>
          <w:szCs w:val="22"/>
          <w:lang w:val="es-ES" w:eastAsia="es-ES" w:bidi="es-ES"/>
        </w:rPr>
        <w:t>los principios de la función administrativa y de la gestión fiscal, al igual que el régimen de inhabilidades e incompatibilidades. Además, actualmente le resultará aplicable el artículo 56 de la Ley 2195 de 2022, de acuerdo con el alcance precisado en este concepto.</w:t>
      </w:r>
    </w:p>
    <w:p w14:paraId="01B505EE" w14:textId="71B28726" w:rsidR="008F48A5" w:rsidRDefault="008F48A5" w:rsidP="008F48A5">
      <w:pPr>
        <w:widowControl w:val="0"/>
        <w:autoSpaceDE w:val="0"/>
        <w:autoSpaceDN w:val="0"/>
        <w:spacing w:line="276" w:lineRule="auto"/>
        <w:jc w:val="both"/>
        <w:rPr>
          <w:rFonts w:ascii="Arial" w:eastAsia="Calibri" w:hAnsi="Arial" w:cs="Arial"/>
          <w:bCs/>
          <w:sz w:val="22"/>
          <w:lang w:val="es-ES_tradnl"/>
        </w:rPr>
      </w:pPr>
    </w:p>
    <w:p w14:paraId="05433760" w14:textId="5205D8E9" w:rsidR="00F87953" w:rsidRPr="002E7FBC" w:rsidRDefault="00F87953" w:rsidP="00F87953">
      <w:pPr>
        <w:tabs>
          <w:tab w:val="left" w:pos="426"/>
        </w:tabs>
        <w:spacing w:line="276" w:lineRule="auto"/>
        <w:jc w:val="both"/>
        <w:rPr>
          <w:rFonts w:ascii="Arial" w:eastAsia="Calibri" w:hAnsi="Arial" w:cs="Arial"/>
          <w:b/>
          <w:sz w:val="22"/>
          <w:lang w:val="es-ES_tradnl"/>
        </w:rPr>
      </w:pPr>
      <w:r>
        <w:rPr>
          <w:rFonts w:ascii="Arial" w:eastAsia="Calibri" w:hAnsi="Arial" w:cs="Arial"/>
          <w:b/>
          <w:sz w:val="22"/>
          <w:lang w:val="es-ES_tradnl"/>
        </w:rPr>
        <w:t>2.4</w:t>
      </w:r>
      <w:r w:rsidRPr="002E7FBC">
        <w:rPr>
          <w:rFonts w:ascii="Arial" w:eastAsia="Calibri" w:hAnsi="Arial" w:cs="Arial"/>
          <w:b/>
          <w:sz w:val="22"/>
          <w:lang w:val="es-ES_tradnl"/>
        </w:rPr>
        <w:t xml:space="preserve">. </w:t>
      </w:r>
      <w:r w:rsidR="00F42429">
        <w:rPr>
          <w:rFonts w:ascii="Arial" w:eastAsia="Calibri" w:hAnsi="Arial" w:cs="Arial"/>
          <w:b/>
          <w:sz w:val="22"/>
          <w:lang w:val="es-ES_tradnl"/>
        </w:rPr>
        <w:t>Función consultiva de la Agencia Nacional de Contratación Pública – Colombia Compra Eficiente</w:t>
      </w:r>
    </w:p>
    <w:p w14:paraId="7EB01744" w14:textId="77777777" w:rsidR="00F87953" w:rsidRPr="002E7FBC" w:rsidRDefault="00F87953" w:rsidP="00F87953">
      <w:pPr>
        <w:tabs>
          <w:tab w:val="left" w:pos="426"/>
        </w:tabs>
        <w:spacing w:line="276" w:lineRule="auto"/>
        <w:jc w:val="both"/>
        <w:rPr>
          <w:rFonts w:ascii="Arial" w:eastAsia="Calibri" w:hAnsi="Arial" w:cs="Arial"/>
          <w:b/>
          <w:sz w:val="22"/>
          <w:lang w:val="es-ES_tradnl"/>
        </w:rPr>
      </w:pPr>
    </w:p>
    <w:p w14:paraId="44799127" w14:textId="77777777" w:rsidR="00F87953" w:rsidRPr="002E7FBC" w:rsidRDefault="00F87953" w:rsidP="00F87953">
      <w:pPr>
        <w:tabs>
          <w:tab w:val="left" w:pos="426"/>
        </w:tabs>
        <w:spacing w:line="276" w:lineRule="auto"/>
        <w:jc w:val="both"/>
        <w:rPr>
          <w:rFonts w:ascii="Arial" w:eastAsia="Calibri" w:hAnsi="Arial" w:cs="Arial"/>
          <w:bCs/>
          <w:sz w:val="22"/>
        </w:rPr>
      </w:pPr>
      <w:r>
        <w:rPr>
          <w:rFonts w:ascii="Arial" w:eastAsia="Calibri" w:hAnsi="Arial" w:cs="Arial"/>
          <w:bCs/>
          <w:sz w:val="22"/>
          <w:lang w:val="es-ES"/>
        </w:rPr>
        <w:t xml:space="preserve">Teniendo en cuenta las observaciones del peticionario, vale la pena realizar las siguientes aclaraciones. </w:t>
      </w:r>
      <w:r w:rsidRPr="007169A9">
        <w:rPr>
          <w:rFonts w:ascii="Arial" w:eastAsia="Calibri" w:hAnsi="Arial" w:cs="Arial"/>
          <w:bCs/>
          <w:sz w:val="22"/>
          <w:lang w:val="es-ES"/>
        </w:rPr>
        <w:t xml:space="preserve">En </w:t>
      </w:r>
      <w:r w:rsidRPr="002E7FBC">
        <w:rPr>
          <w:rFonts w:ascii="Arial" w:eastAsia="Calibri" w:hAnsi="Arial" w:cs="Arial"/>
          <w:bCs/>
          <w:sz w:val="22"/>
          <w:lang w:val="es-ES"/>
        </w:rPr>
        <w:t xml:space="preserve">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contratación estatal y compras públicas relacionadas en los artículos antes referidos. El alcance de la competencia consultiva encuentra fundamento normativo en el artículo 28 de la Ley 1437 de 2011, sustituido por el artículo 1 de la Ley 1755 de 2015, que dispone lo siguiente: </w:t>
      </w:r>
    </w:p>
    <w:p w14:paraId="06C24BFB" w14:textId="77777777" w:rsidR="00F87953" w:rsidRPr="002E7FBC" w:rsidRDefault="00F87953" w:rsidP="00F87953">
      <w:pPr>
        <w:tabs>
          <w:tab w:val="left" w:pos="426"/>
        </w:tabs>
        <w:jc w:val="both"/>
        <w:rPr>
          <w:rFonts w:ascii="Arial" w:eastAsia="Calibri" w:hAnsi="Arial" w:cs="Arial"/>
          <w:bCs/>
          <w:sz w:val="22"/>
        </w:rPr>
      </w:pPr>
    </w:p>
    <w:p w14:paraId="66E9823F" w14:textId="77777777" w:rsidR="00F87953" w:rsidRPr="002E7FBC" w:rsidRDefault="00F87953" w:rsidP="00F87953">
      <w:pPr>
        <w:tabs>
          <w:tab w:val="left" w:pos="426"/>
        </w:tabs>
        <w:ind w:left="709" w:right="709"/>
        <w:jc w:val="both"/>
        <w:rPr>
          <w:rFonts w:ascii="Arial" w:eastAsia="Calibri" w:hAnsi="Arial" w:cs="Arial"/>
          <w:bCs/>
          <w:sz w:val="21"/>
          <w:szCs w:val="21"/>
        </w:rPr>
      </w:pPr>
      <w:r w:rsidRPr="002E7FBC">
        <w:rPr>
          <w:rFonts w:ascii="Arial" w:eastAsia="Calibri" w:hAnsi="Arial" w:cs="Arial"/>
          <w:bCs/>
          <w:sz w:val="21"/>
          <w:szCs w:val="21"/>
          <w:lang w:val="es-ES"/>
        </w:rPr>
        <w:t xml:space="preserve">Artículo 28. Alcance de los conceptos. Salvo disposición legal en contrario, los conceptos emitidos por las autoridades como respuestas a peticiones realizadas en ejercicio del derecho a formular consultas no serán de obligatorio cumplimiento o ejecución.  </w:t>
      </w:r>
    </w:p>
    <w:p w14:paraId="27368F38" w14:textId="77777777" w:rsidR="00F87953" w:rsidRPr="002E7FBC" w:rsidRDefault="00F87953" w:rsidP="00F87953">
      <w:pPr>
        <w:tabs>
          <w:tab w:val="left" w:pos="426"/>
        </w:tabs>
        <w:jc w:val="both"/>
        <w:rPr>
          <w:rFonts w:ascii="Arial" w:eastAsia="Calibri" w:hAnsi="Arial" w:cs="Arial"/>
          <w:bCs/>
          <w:sz w:val="22"/>
        </w:rPr>
      </w:pPr>
    </w:p>
    <w:p w14:paraId="73211322" w14:textId="77777777" w:rsidR="00F87953" w:rsidRPr="002E7FBC" w:rsidRDefault="00F87953" w:rsidP="00F87953">
      <w:pPr>
        <w:tabs>
          <w:tab w:val="left" w:pos="709"/>
        </w:tabs>
        <w:spacing w:after="120" w:line="276" w:lineRule="auto"/>
        <w:jc w:val="both"/>
        <w:rPr>
          <w:rFonts w:ascii="Arial" w:eastAsia="Calibri" w:hAnsi="Arial" w:cs="Arial"/>
          <w:bCs/>
          <w:sz w:val="22"/>
        </w:rPr>
      </w:pPr>
      <w:r w:rsidRPr="002E7FBC">
        <w:rPr>
          <w:rFonts w:ascii="Arial" w:eastAsia="Calibri" w:hAnsi="Arial" w:cs="Arial"/>
          <w:bCs/>
          <w:sz w:val="22"/>
          <w:lang w:val="es-ES"/>
        </w:rPr>
        <w:tab/>
        <w:t xml:space="preserve">La norma citada es clara al establecer que los conceptos emitidos por las autoridades, como respuestas a peticiones realizadas en ejercicio del derecho a formular consultas, no son de obligatorio cumplimiento o de imperativa ejecución. En otras palabras, estos conceptos no tienen efectos vinculantes. </w:t>
      </w:r>
    </w:p>
    <w:p w14:paraId="56E7FD9B" w14:textId="77777777" w:rsidR="00F87953" w:rsidRPr="002E7FBC" w:rsidRDefault="00F87953" w:rsidP="00F87953">
      <w:pPr>
        <w:tabs>
          <w:tab w:val="left" w:pos="709"/>
        </w:tabs>
        <w:spacing w:after="120" w:line="276" w:lineRule="auto"/>
        <w:jc w:val="both"/>
        <w:rPr>
          <w:rFonts w:ascii="Arial" w:eastAsia="Calibri" w:hAnsi="Arial" w:cs="Arial"/>
          <w:bCs/>
          <w:sz w:val="22"/>
        </w:rPr>
      </w:pPr>
      <w:r w:rsidRPr="002E7FBC">
        <w:rPr>
          <w:rFonts w:ascii="Arial" w:eastAsia="Calibri" w:hAnsi="Arial" w:cs="Arial"/>
          <w:bCs/>
          <w:sz w:val="22"/>
          <w:lang w:val="es-ES"/>
        </w:rPr>
        <w:tab/>
        <w:t>Sobre ello, es preciso advertir que las respuestas emitidas como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Ello explica que la Agencia, reiteradamente, se haya negado a absolver este tipo de consultas</w:t>
      </w:r>
      <w:r w:rsidRPr="007169A9">
        <w:rPr>
          <w:rStyle w:val="Refdenotaalpie"/>
          <w:rFonts w:ascii="Arial" w:eastAsia="Calibri" w:hAnsi="Arial" w:cs="Arial"/>
          <w:sz w:val="22"/>
          <w:lang w:val="es-ES"/>
        </w:rPr>
        <w:footnoteReference w:id="28"/>
      </w:r>
      <w:r w:rsidRPr="007169A9">
        <w:rPr>
          <w:rFonts w:ascii="Arial" w:eastAsia="Calibri" w:hAnsi="Arial" w:cs="Arial"/>
          <w:bCs/>
          <w:sz w:val="22"/>
          <w:lang w:val="es-ES"/>
        </w:rPr>
        <w:t>.</w:t>
      </w:r>
    </w:p>
    <w:p w14:paraId="1CF8FFB3" w14:textId="77777777" w:rsidR="00F87953" w:rsidRPr="002E7FBC" w:rsidRDefault="00F87953" w:rsidP="00F87953">
      <w:pPr>
        <w:tabs>
          <w:tab w:val="left" w:pos="709"/>
        </w:tabs>
        <w:spacing w:after="120" w:line="276" w:lineRule="auto"/>
        <w:jc w:val="both"/>
        <w:rPr>
          <w:rFonts w:ascii="Arial" w:eastAsia="Calibri" w:hAnsi="Arial" w:cs="Arial"/>
          <w:bCs/>
          <w:sz w:val="22"/>
        </w:rPr>
      </w:pPr>
      <w:r w:rsidRPr="002E7FBC">
        <w:rPr>
          <w:rFonts w:ascii="Arial" w:eastAsia="Calibri" w:hAnsi="Arial" w:cs="Arial"/>
          <w:bCs/>
          <w:sz w:val="22"/>
          <w:lang w:val="es-ES"/>
        </w:rPr>
        <w:tab/>
        <w:t>Lo dicho en relación con la naturaleza jurídica, alcance y obligatoriedad de los conceptos es compartido por otras entidades estatales. A manera de ejemplo, se pone de presente que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w:t>
      </w:r>
      <w:r w:rsidRPr="007169A9">
        <w:rPr>
          <w:rStyle w:val="Refdenotaalpie"/>
          <w:rFonts w:ascii="Arial" w:eastAsia="Calibri" w:hAnsi="Arial" w:cs="Arial"/>
          <w:sz w:val="22"/>
          <w:lang w:val="es-ES"/>
        </w:rPr>
        <w:footnoteReference w:id="29"/>
      </w:r>
      <w:r w:rsidRPr="007169A9">
        <w:rPr>
          <w:rFonts w:ascii="Arial" w:eastAsia="Calibri" w:hAnsi="Arial" w:cs="Arial"/>
          <w:bCs/>
          <w:sz w:val="22"/>
          <w:lang w:val="es-ES"/>
        </w:rPr>
        <w:t xml:space="preserve">. </w:t>
      </w:r>
    </w:p>
    <w:p w14:paraId="17762815" w14:textId="77777777" w:rsidR="00F87953" w:rsidRPr="002E7FBC" w:rsidRDefault="00F87953" w:rsidP="00F87953">
      <w:pPr>
        <w:tabs>
          <w:tab w:val="left" w:pos="709"/>
        </w:tabs>
        <w:spacing w:after="120" w:line="276" w:lineRule="auto"/>
        <w:jc w:val="both"/>
        <w:rPr>
          <w:rFonts w:ascii="Arial" w:eastAsia="Calibri" w:hAnsi="Arial" w:cs="Arial"/>
          <w:bCs/>
          <w:sz w:val="22"/>
        </w:rPr>
      </w:pPr>
      <w:r w:rsidRPr="002E7FBC">
        <w:rPr>
          <w:rFonts w:ascii="Arial" w:eastAsia="Calibri" w:hAnsi="Arial" w:cs="Arial"/>
          <w:bCs/>
          <w:sz w:val="22"/>
          <w:lang w:val="es-ES"/>
        </w:rPr>
        <w:tab/>
        <w:t>De manera similar, en concepto del año 2017</w:t>
      </w:r>
      <w:r w:rsidRPr="007169A9">
        <w:rPr>
          <w:rStyle w:val="Refdenotaalpie"/>
          <w:rFonts w:ascii="Arial" w:eastAsia="Calibri" w:hAnsi="Arial" w:cs="Arial"/>
          <w:sz w:val="22"/>
          <w:lang w:val="es-ES"/>
        </w:rPr>
        <w:footnoteReference w:id="30"/>
      </w:r>
      <w:r w:rsidRPr="007169A9">
        <w:rPr>
          <w:rFonts w:ascii="Arial" w:eastAsia="Calibri" w:hAnsi="Arial" w:cs="Arial"/>
          <w:bCs/>
          <w:sz w:val="22"/>
          <w:lang w:val="es-ES"/>
        </w:rPr>
        <w:t xml:space="preserve">, la Contraloría General de la República precisó que los «[…] conceptos emitidos por la Oficina Jurídica de la Contraloría General de la República, son orientaciones de carácter general que […] no son de obligatorio cumplimiento </w:t>
      </w:r>
      <w:r w:rsidRPr="002E7FBC">
        <w:rPr>
          <w:rFonts w:ascii="Arial" w:eastAsia="Calibri" w:hAnsi="Arial" w:cs="Arial"/>
          <w:bCs/>
          <w:sz w:val="22"/>
          <w:lang w:val="es-ES"/>
        </w:rPr>
        <w:t>o ejecución, ni tienen el carácter de fuente normativa y sólo pueden ser utilizados para facilitar la interpretación y aplicación de las normas jurídicas vigentes […]».</w:t>
      </w:r>
    </w:p>
    <w:p w14:paraId="2AEC6DFE" w14:textId="77777777" w:rsidR="00F87953" w:rsidRPr="002E7FBC" w:rsidRDefault="00F87953" w:rsidP="00F87953">
      <w:pPr>
        <w:tabs>
          <w:tab w:val="left" w:pos="709"/>
        </w:tabs>
        <w:spacing w:line="276" w:lineRule="auto"/>
        <w:jc w:val="both"/>
        <w:rPr>
          <w:rFonts w:ascii="Arial" w:eastAsia="Calibri" w:hAnsi="Arial" w:cs="Arial"/>
          <w:bCs/>
          <w:sz w:val="22"/>
        </w:rPr>
      </w:pPr>
      <w:r w:rsidRPr="002E7FBC">
        <w:rPr>
          <w:rFonts w:ascii="Arial" w:eastAsia="Calibri" w:hAnsi="Arial" w:cs="Arial"/>
          <w:bCs/>
          <w:sz w:val="22"/>
          <w:lang w:val="es-ES"/>
        </w:rPr>
        <w:tab/>
        <w:t>En similares términos, el artículo 112 de la Ley 1437 de 2011 establece, en relación con la Sala de Consulta y Servicio Civil, que «los conceptos de la Sala no serán vinculantes, salvo que la ley disponga lo contrario»</w:t>
      </w:r>
      <w:r w:rsidRPr="007169A9">
        <w:rPr>
          <w:rStyle w:val="Refdenotaalpie"/>
          <w:rFonts w:ascii="Arial" w:eastAsia="Calibri" w:hAnsi="Arial" w:cs="Arial"/>
          <w:sz w:val="22"/>
          <w:lang w:val="es-ES"/>
        </w:rPr>
        <w:footnoteReference w:id="31"/>
      </w:r>
      <w:r w:rsidRPr="007169A9">
        <w:rPr>
          <w:rFonts w:ascii="Arial" w:eastAsia="Calibri" w:hAnsi="Arial" w:cs="Arial"/>
          <w:bCs/>
          <w:sz w:val="22"/>
          <w:lang w:val="es-ES"/>
        </w:rPr>
        <w:t>. Se trata del ejercicio de una función consultiva, cuyos efectos, por ende, serán los mismos: no vinculantes, ni de oblig</w:t>
      </w:r>
      <w:r w:rsidRPr="002E7FBC">
        <w:rPr>
          <w:rFonts w:ascii="Arial" w:eastAsia="Calibri" w:hAnsi="Arial" w:cs="Arial"/>
          <w:bCs/>
          <w:sz w:val="22"/>
          <w:lang w:val="es-ES"/>
        </w:rPr>
        <w:t>atorio cumplimiento. En relación con el tema objeto de análisis, la Sala de Consulta y Servicio Civil del Consejo de Estado se pronunció en los siguientes términos:</w:t>
      </w:r>
    </w:p>
    <w:p w14:paraId="4B44843C" w14:textId="77777777" w:rsidR="00F87953" w:rsidRPr="002E7FBC" w:rsidRDefault="00F87953" w:rsidP="00F87953">
      <w:pPr>
        <w:tabs>
          <w:tab w:val="left" w:pos="426"/>
        </w:tabs>
        <w:jc w:val="both"/>
        <w:rPr>
          <w:rFonts w:ascii="Arial" w:eastAsia="Calibri" w:hAnsi="Arial" w:cs="Arial"/>
          <w:bCs/>
          <w:sz w:val="22"/>
        </w:rPr>
      </w:pPr>
    </w:p>
    <w:p w14:paraId="1E91DF45" w14:textId="77777777" w:rsidR="00F87953" w:rsidRPr="002E7FBC" w:rsidRDefault="00F87953" w:rsidP="00F87953">
      <w:pPr>
        <w:tabs>
          <w:tab w:val="left" w:pos="426"/>
        </w:tabs>
        <w:spacing w:after="120"/>
        <w:ind w:left="709" w:right="709"/>
        <w:jc w:val="both"/>
        <w:rPr>
          <w:rFonts w:ascii="Arial" w:eastAsia="Calibri" w:hAnsi="Arial" w:cs="Arial"/>
          <w:bCs/>
          <w:sz w:val="21"/>
          <w:szCs w:val="21"/>
        </w:rPr>
      </w:pPr>
      <w:r w:rsidRPr="002E7FBC">
        <w:rPr>
          <w:rFonts w:ascii="Arial" w:eastAsia="Calibri" w:hAnsi="Arial" w:cs="Arial"/>
          <w:bCs/>
          <w:sz w:val="21"/>
          <w:szCs w:val="21"/>
          <w:lang w:val="es-ES"/>
        </w:rPr>
        <w:t xml:space="preserve">De otra parte, recuerda la Sala que la función consultiva no constituye un trámite controversial de tipo judicial; se encuentra establecida como un mecanismo constitucional dirigido a asegurar que la actuación de la Administración se adecue al ordenamiento jurídico y al interés general por el que le corresponde velar en el ejercicio de sus funciones. La defensa del ordenamiento jurídico por esta vía se realiza a través de un órgano independiente y autónomo del poder judicial, que actúa por tanto con independencia de criterios, dentro de una lógica de colaboración armónica de poderes (art.113 C.P).  </w:t>
      </w:r>
    </w:p>
    <w:p w14:paraId="5D2F1C00" w14:textId="77777777" w:rsidR="00F87953" w:rsidRPr="002E7FBC" w:rsidRDefault="00F87953" w:rsidP="00F87953">
      <w:pPr>
        <w:tabs>
          <w:tab w:val="left" w:pos="426"/>
        </w:tabs>
        <w:ind w:left="709" w:right="709"/>
        <w:jc w:val="both"/>
        <w:rPr>
          <w:rFonts w:ascii="Arial" w:eastAsia="Calibri" w:hAnsi="Arial" w:cs="Arial"/>
          <w:bCs/>
          <w:sz w:val="21"/>
          <w:szCs w:val="21"/>
        </w:rPr>
      </w:pPr>
      <w:r w:rsidRPr="002E7FBC">
        <w:rPr>
          <w:rFonts w:ascii="Arial" w:eastAsia="Calibri" w:hAnsi="Arial" w:cs="Arial"/>
          <w:bCs/>
          <w:sz w:val="21"/>
          <w:szCs w:val="21"/>
          <w:lang w:val="es-ES"/>
        </w:rPr>
        <w:t>No se trata entonces de dar la razón a una u otra posición en temas controvertibles, sino de rendir un concepto jurídico que sirva a la Administración en la búsqueda del cumplimiento de las finalidades esenciales del Estado</w:t>
      </w:r>
      <w:r w:rsidRPr="007169A9">
        <w:rPr>
          <w:rStyle w:val="Refdenotaalpie"/>
          <w:rFonts w:ascii="Arial" w:eastAsia="Calibri" w:hAnsi="Arial" w:cs="Arial"/>
          <w:sz w:val="21"/>
          <w:szCs w:val="21"/>
          <w:lang w:val="es-ES"/>
        </w:rPr>
        <w:footnoteReference w:id="32"/>
      </w:r>
      <w:r w:rsidRPr="007169A9">
        <w:rPr>
          <w:rFonts w:ascii="Arial" w:eastAsia="Calibri" w:hAnsi="Arial" w:cs="Arial"/>
          <w:bCs/>
          <w:sz w:val="21"/>
          <w:szCs w:val="21"/>
          <w:lang w:val="es-ES"/>
        </w:rPr>
        <w:t>.</w:t>
      </w:r>
    </w:p>
    <w:p w14:paraId="73522635" w14:textId="77777777" w:rsidR="00F87953" w:rsidRPr="002E7FBC" w:rsidRDefault="00F87953" w:rsidP="00F87953">
      <w:pPr>
        <w:tabs>
          <w:tab w:val="left" w:pos="426"/>
        </w:tabs>
        <w:ind w:left="709" w:right="709"/>
        <w:jc w:val="both"/>
        <w:rPr>
          <w:rFonts w:ascii="Arial" w:eastAsia="Calibri" w:hAnsi="Arial" w:cs="Arial"/>
          <w:bCs/>
          <w:sz w:val="22"/>
        </w:rPr>
      </w:pPr>
    </w:p>
    <w:p w14:paraId="3190A2E9" w14:textId="77777777" w:rsidR="00F87953" w:rsidRPr="002E7FBC" w:rsidRDefault="00F87953" w:rsidP="00F87953">
      <w:pPr>
        <w:tabs>
          <w:tab w:val="left" w:pos="709"/>
        </w:tabs>
        <w:spacing w:line="276" w:lineRule="auto"/>
        <w:jc w:val="both"/>
        <w:rPr>
          <w:rFonts w:ascii="Arial" w:eastAsia="Calibri" w:hAnsi="Arial" w:cs="Arial"/>
          <w:bCs/>
          <w:sz w:val="22"/>
          <w:lang w:val="es-ES"/>
        </w:rPr>
      </w:pPr>
      <w:r w:rsidRPr="002E7FBC">
        <w:rPr>
          <w:rFonts w:ascii="Arial" w:eastAsia="Calibri" w:hAnsi="Arial" w:cs="Arial"/>
          <w:bCs/>
          <w:sz w:val="22"/>
          <w:lang w:val="es-ES"/>
        </w:rPr>
        <w:tab/>
        <w:t>De otro lado, la doctrina ha indicado sobre la función consultiva que se trata de «un mecanismo didáctico de colaboración de las autoridades para con los particulares […] mientras en los anteriores [tipos de derecho de petición] el objetivo es la formación de un acto administrativo o la obtención de una información, en el presente asunto la finalidad es la obtención de un concepto sobre la interpretación del ordenamiento jurídico»</w:t>
      </w:r>
      <w:r w:rsidRPr="007169A9">
        <w:rPr>
          <w:rStyle w:val="Refdenotaalpie"/>
          <w:rFonts w:ascii="Arial" w:eastAsia="Calibri" w:hAnsi="Arial" w:cs="Arial"/>
          <w:bCs/>
          <w:sz w:val="22"/>
          <w:lang w:val="es-ES"/>
        </w:rPr>
        <w:footnoteReference w:id="33"/>
      </w:r>
      <w:r w:rsidRPr="007169A9">
        <w:rPr>
          <w:rFonts w:ascii="Arial" w:eastAsia="Calibri" w:hAnsi="Arial" w:cs="Arial"/>
          <w:bCs/>
          <w:sz w:val="22"/>
          <w:lang w:val="es-ES"/>
        </w:rPr>
        <w:t>, y sobre el alcance de los conceptos se ha dicho</w:t>
      </w:r>
      <w:r w:rsidRPr="002E7FBC">
        <w:rPr>
          <w:rFonts w:ascii="Arial" w:eastAsia="Calibri" w:hAnsi="Arial" w:cs="Arial"/>
          <w:bCs/>
          <w:sz w:val="22"/>
          <w:lang w:val="es-ES"/>
        </w:rPr>
        <w:t xml:space="preserve"> lo siguiente:</w:t>
      </w:r>
    </w:p>
    <w:p w14:paraId="14C68E9A" w14:textId="77777777" w:rsidR="00F87953" w:rsidRPr="002E7FBC" w:rsidRDefault="00F87953" w:rsidP="00F87953">
      <w:pPr>
        <w:tabs>
          <w:tab w:val="left" w:pos="709"/>
        </w:tabs>
        <w:jc w:val="both"/>
        <w:rPr>
          <w:rFonts w:ascii="Arial" w:eastAsia="Calibri" w:hAnsi="Arial" w:cs="Arial"/>
          <w:bCs/>
          <w:sz w:val="22"/>
        </w:rPr>
      </w:pPr>
    </w:p>
    <w:p w14:paraId="20596823" w14:textId="77777777" w:rsidR="00F87953" w:rsidRPr="002E7FBC" w:rsidRDefault="00F87953" w:rsidP="00F87953">
      <w:pPr>
        <w:tabs>
          <w:tab w:val="left" w:pos="1276"/>
        </w:tabs>
        <w:ind w:left="709" w:right="709"/>
        <w:jc w:val="both"/>
        <w:rPr>
          <w:rFonts w:ascii="Arial" w:eastAsia="Calibri" w:hAnsi="Arial" w:cs="Arial"/>
          <w:bCs/>
          <w:sz w:val="21"/>
          <w:szCs w:val="21"/>
        </w:rPr>
      </w:pPr>
      <w:r w:rsidRPr="002E7FBC">
        <w:rPr>
          <w:rFonts w:ascii="Arial" w:eastAsia="Calibri" w:hAnsi="Arial" w:cs="Arial"/>
          <w:bCs/>
          <w:sz w:val="21"/>
          <w:szCs w:val="21"/>
          <w:lang w:val="es-ES"/>
        </w:rPr>
        <w:t xml:space="preserve">Los conceptos no obligan a la administración, y los particulares están en la libertad de aceptarlos o no en los términos que establece el artículo 28 de la Ley 1755 de 2015. No son actos administrativos en la medida en que no adoptan decisiones ni están llamados a producir efectos jurídicos, salvo que la administración con posterioridad los convierta en obligatorios. </w:t>
      </w:r>
      <w:r w:rsidRPr="002E7FBC">
        <w:rPr>
          <w:rFonts w:ascii="Arial" w:eastAsia="Calibri" w:hAnsi="Arial" w:cs="Arial"/>
          <w:bCs/>
          <w:i/>
          <w:iCs/>
          <w:sz w:val="21"/>
          <w:szCs w:val="21"/>
          <w:lang w:val="es-ES"/>
        </w:rPr>
        <w:t>No siendo actos administrativos, frente a ellos resulta imposible ejercitar los recursos de vía</w:t>
      </w:r>
      <w:r w:rsidRPr="002E7FBC">
        <w:rPr>
          <w:rFonts w:ascii="Arial" w:eastAsia="Calibri" w:hAnsi="Arial" w:cs="Arial"/>
          <w:bCs/>
          <w:sz w:val="21"/>
          <w:szCs w:val="21"/>
          <w:lang w:val="es-ES"/>
        </w:rPr>
        <w:t xml:space="preserve"> </w:t>
      </w:r>
      <w:r w:rsidRPr="002E7FBC">
        <w:rPr>
          <w:rFonts w:ascii="Arial" w:eastAsia="Calibri" w:hAnsi="Arial" w:cs="Arial"/>
          <w:bCs/>
          <w:i/>
          <w:iCs/>
          <w:sz w:val="21"/>
          <w:szCs w:val="21"/>
          <w:lang w:val="es-ES"/>
        </w:rPr>
        <w:t>gubernativa</w:t>
      </w:r>
      <w:r w:rsidRPr="002E7FBC">
        <w:rPr>
          <w:rFonts w:ascii="Arial" w:eastAsia="Calibri" w:hAnsi="Arial" w:cs="Arial"/>
          <w:bCs/>
          <w:sz w:val="21"/>
          <w:szCs w:val="21"/>
          <w:lang w:val="es-ES"/>
        </w:rPr>
        <w:t xml:space="preserve"> o las acciones contencioso-administrativas. </w:t>
      </w:r>
      <w:r w:rsidRPr="002E7FBC">
        <w:rPr>
          <w:rFonts w:ascii="Arial" w:eastAsia="Calibri" w:hAnsi="Arial" w:cs="Arial"/>
          <w:bCs/>
          <w:i/>
          <w:iCs/>
          <w:sz w:val="21"/>
          <w:szCs w:val="21"/>
          <w:lang w:val="es-ES"/>
        </w:rPr>
        <w:t>Sería absurdo pretender obligar a la administración a reconsiderar a través de estos mecanismos una interpretación jurídica que no produce efectos jurídicos</w:t>
      </w:r>
      <w:r w:rsidRPr="007169A9">
        <w:rPr>
          <w:rStyle w:val="Refdenotaalpie"/>
          <w:rFonts w:ascii="Arial" w:eastAsia="Calibri" w:hAnsi="Arial" w:cs="Arial"/>
          <w:bCs/>
          <w:sz w:val="21"/>
          <w:szCs w:val="21"/>
          <w:lang w:val="es-ES"/>
        </w:rPr>
        <w:footnoteReference w:id="34"/>
      </w:r>
      <w:r w:rsidRPr="007169A9">
        <w:rPr>
          <w:rFonts w:ascii="Arial" w:eastAsia="Calibri" w:hAnsi="Arial" w:cs="Arial"/>
          <w:bCs/>
          <w:sz w:val="21"/>
          <w:szCs w:val="21"/>
          <w:lang w:val="es-ES"/>
        </w:rPr>
        <w:t xml:space="preserve">.  </w:t>
      </w:r>
      <w:r w:rsidRPr="002E7FBC">
        <w:rPr>
          <w:rFonts w:ascii="Arial" w:eastAsia="Calibri" w:hAnsi="Arial" w:cs="Arial"/>
          <w:bCs/>
          <w:sz w:val="21"/>
          <w:szCs w:val="21"/>
          <w:lang w:val="es-ES"/>
        </w:rPr>
        <w:t>(cursivas fuera de texto)</w:t>
      </w:r>
    </w:p>
    <w:p w14:paraId="20FCD76A" w14:textId="77777777" w:rsidR="00F87953" w:rsidRPr="002E7FBC" w:rsidRDefault="00F87953" w:rsidP="00F87953">
      <w:pPr>
        <w:tabs>
          <w:tab w:val="left" w:pos="426"/>
        </w:tabs>
        <w:ind w:left="709" w:right="709"/>
        <w:jc w:val="both"/>
        <w:rPr>
          <w:rFonts w:ascii="Arial" w:eastAsia="Calibri" w:hAnsi="Arial" w:cs="Arial"/>
          <w:bCs/>
          <w:sz w:val="21"/>
          <w:szCs w:val="21"/>
        </w:rPr>
      </w:pPr>
    </w:p>
    <w:p w14:paraId="1EE0C90A" w14:textId="69BBA358" w:rsidR="00F87953" w:rsidRPr="002E7FBC" w:rsidRDefault="00F87953" w:rsidP="00F87953">
      <w:pPr>
        <w:tabs>
          <w:tab w:val="left" w:pos="709"/>
        </w:tabs>
        <w:spacing w:after="120" w:line="276" w:lineRule="auto"/>
        <w:jc w:val="both"/>
        <w:rPr>
          <w:rFonts w:ascii="Arial" w:eastAsia="Calibri" w:hAnsi="Arial" w:cs="Arial"/>
          <w:bCs/>
          <w:sz w:val="22"/>
        </w:rPr>
      </w:pPr>
      <w:r w:rsidRPr="002E7FBC">
        <w:rPr>
          <w:rFonts w:ascii="Arial" w:eastAsia="Calibri" w:hAnsi="Arial" w:cs="Arial"/>
          <w:bCs/>
          <w:sz w:val="22"/>
          <w:lang w:val="es-ES"/>
        </w:rPr>
        <w:tab/>
        <w:t>Con base en las anteriores consideraciones, es posible afirmar que en el ordenamiento jurídico colombiano los conceptos emitidos por las autoridades ostentan las siguientes características: i) tienen como objeto la interpretación de normas de carácter general, esto es</w:t>
      </w:r>
      <w:r w:rsidR="00321664">
        <w:rPr>
          <w:rFonts w:ascii="Arial" w:eastAsia="Calibri" w:hAnsi="Arial" w:cs="Arial"/>
          <w:bCs/>
          <w:sz w:val="22"/>
          <w:lang w:val="es-ES"/>
        </w:rPr>
        <w:t>,</w:t>
      </w:r>
      <w:r w:rsidRPr="002E7FBC">
        <w:rPr>
          <w:rFonts w:ascii="Arial" w:eastAsia="Calibri" w:hAnsi="Arial" w:cs="Arial"/>
          <w:bCs/>
          <w:sz w:val="22"/>
          <w:lang w:val="es-ES"/>
        </w:rPr>
        <w:t xml:space="preserve"> del ordenamiento jurídico en abstracto y ii) no la resolución de controversias o la asesoría para casos concretos</w:t>
      </w:r>
      <w:r w:rsidR="00321664">
        <w:rPr>
          <w:rFonts w:ascii="Arial" w:eastAsia="Calibri" w:hAnsi="Arial" w:cs="Arial"/>
          <w:bCs/>
          <w:sz w:val="22"/>
          <w:lang w:val="es-ES"/>
        </w:rPr>
        <w:t>,</w:t>
      </w:r>
      <w:r w:rsidRPr="002E7FBC">
        <w:rPr>
          <w:rFonts w:ascii="Arial" w:eastAsia="Calibri" w:hAnsi="Arial" w:cs="Arial"/>
          <w:bCs/>
          <w:sz w:val="22"/>
          <w:lang w:val="es-ES"/>
        </w:rPr>
        <w:t xml:space="preserve"> iii) no son vinculantes o de obligatorio cumplimiento para el destinatario</w:t>
      </w:r>
      <w:r w:rsidR="00321664">
        <w:rPr>
          <w:rFonts w:ascii="Arial" w:eastAsia="Calibri" w:hAnsi="Arial" w:cs="Arial"/>
          <w:bCs/>
          <w:sz w:val="22"/>
          <w:lang w:val="es-ES"/>
        </w:rPr>
        <w:t>,</w:t>
      </w:r>
      <w:r w:rsidRPr="002E7FBC">
        <w:rPr>
          <w:rFonts w:ascii="Arial" w:eastAsia="Calibri" w:hAnsi="Arial" w:cs="Arial"/>
          <w:bCs/>
          <w:sz w:val="22"/>
          <w:lang w:val="es-ES"/>
        </w:rPr>
        <w:t xml:space="preserve"> sino que iv) expresan la posición interpretativa del ente que ha elaborado el concepto. </w:t>
      </w:r>
    </w:p>
    <w:p w14:paraId="308D3BB5" w14:textId="77777777" w:rsidR="00F87953" w:rsidRPr="002E7FBC" w:rsidRDefault="00F87953" w:rsidP="00F87953">
      <w:pPr>
        <w:tabs>
          <w:tab w:val="left" w:pos="709"/>
        </w:tabs>
        <w:spacing w:after="120" w:line="276" w:lineRule="auto"/>
        <w:jc w:val="both"/>
        <w:rPr>
          <w:rFonts w:ascii="Arial" w:eastAsia="Calibri" w:hAnsi="Arial" w:cs="Arial"/>
          <w:bCs/>
          <w:sz w:val="22"/>
          <w:lang w:val="es-ES_tradnl"/>
        </w:rPr>
      </w:pPr>
      <w:r w:rsidRPr="002E7FBC">
        <w:rPr>
          <w:rFonts w:ascii="Arial" w:eastAsia="Calibri" w:hAnsi="Arial" w:cs="Arial"/>
          <w:bCs/>
          <w:sz w:val="22"/>
          <w:lang w:val="es-ES_tradnl"/>
        </w:rPr>
        <w:tab/>
        <w:t xml:space="preserve">Así las cosas, Colombia Compra Eficiente considera que no hay lugar a la rectificación de los conceptos, pues no son actos administrativos, no tienen efectos vinculantes en relación con una situación jurídica particular y concreta, y exponen un criterio que, aunque jurídicamente fundamentado, no es obligatorio para el destinatario del concepto. </w:t>
      </w:r>
    </w:p>
    <w:p w14:paraId="353855A3" w14:textId="77777777" w:rsidR="00F87953" w:rsidRPr="002E7FBC" w:rsidRDefault="00F87953" w:rsidP="00F87953">
      <w:pPr>
        <w:tabs>
          <w:tab w:val="left" w:pos="709"/>
        </w:tabs>
        <w:spacing w:after="120" w:line="276" w:lineRule="auto"/>
        <w:jc w:val="both"/>
        <w:rPr>
          <w:rFonts w:ascii="Arial" w:eastAsia="Calibri" w:hAnsi="Arial" w:cs="Arial"/>
          <w:bCs/>
          <w:sz w:val="22"/>
          <w:lang w:val="es-ES_tradnl"/>
        </w:rPr>
      </w:pPr>
      <w:r w:rsidRPr="002E7FBC">
        <w:rPr>
          <w:rFonts w:ascii="Arial" w:eastAsia="Calibri" w:hAnsi="Arial" w:cs="Arial"/>
          <w:bCs/>
          <w:sz w:val="22"/>
          <w:lang w:val="es-ES_tradnl"/>
        </w:rPr>
        <w:tab/>
        <w:t xml:space="preserve">Lo anterior no implica que la Agencia Nacional de Contratación Pública – Colombia Compra Eficiente considere inalterables sus posturas, pues, de ser necesario, podría replantear una tesis previamente expuesta, bajo estrictos estándares argumentativos, al emitir otro concepto. </w:t>
      </w:r>
    </w:p>
    <w:p w14:paraId="4D3A219C" w14:textId="77777777" w:rsidR="00F87953" w:rsidRPr="002E7FBC" w:rsidRDefault="00F87953" w:rsidP="00F87953">
      <w:pPr>
        <w:tabs>
          <w:tab w:val="left" w:pos="709"/>
        </w:tabs>
        <w:spacing w:line="276" w:lineRule="auto"/>
        <w:jc w:val="both"/>
        <w:rPr>
          <w:rFonts w:ascii="Arial" w:eastAsia="Calibri" w:hAnsi="Arial" w:cs="Arial"/>
          <w:bCs/>
          <w:sz w:val="22"/>
        </w:rPr>
      </w:pPr>
      <w:r w:rsidRPr="002E7FBC">
        <w:rPr>
          <w:rFonts w:ascii="Arial" w:eastAsia="Calibri" w:hAnsi="Arial" w:cs="Arial"/>
          <w:bCs/>
          <w:sz w:val="22"/>
          <w:lang w:val="es-ES"/>
        </w:rPr>
        <w:tab/>
        <w:t xml:space="preserve">Por otro lado, se adiciona que, esta Agencia había tenido la oportunidad de pronunciarse sobre la función consultiva en los conceptos </w:t>
      </w:r>
      <w:r w:rsidRPr="002E7FBC">
        <w:rPr>
          <w:rFonts w:ascii="Arial" w:eastAsia="Calibri" w:hAnsi="Arial" w:cs="Arial"/>
          <w:sz w:val="22"/>
          <w:lang w:val="es-ES"/>
        </w:rPr>
        <w:t xml:space="preserve">C-337 del 26 de junio de 2020 y C-439 del 27 de julio de 2020. En esos conceptos se afirmó: </w:t>
      </w:r>
    </w:p>
    <w:p w14:paraId="4A283DE1" w14:textId="77777777" w:rsidR="00F87953" w:rsidRPr="002E7FBC" w:rsidRDefault="00F87953" w:rsidP="00F87953">
      <w:pPr>
        <w:tabs>
          <w:tab w:val="left" w:pos="426"/>
        </w:tabs>
        <w:ind w:left="709" w:right="709"/>
        <w:jc w:val="both"/>
        <w:rPr>
          <w:rFonts w:ascii="Arial" w:eastAsia="Calibri" w:hAnsi="Arial" w:cs="Arial"/>
          <w:bCs/>
          <w:sz w:val="21"/>
          <w:szCs w:val="21"/>
        </w:rPr>
      </w:pPr>
    </w:p>
    <w:p w14:paraId="04DAC346" w14:textId="77777777" w:rsidR="00F87953" w:rsidRPr="002E7FBC" w:rsidRDefault="00F87953" w:rsidP="00F87953">
      <w:pPr>
        <w:tabs>
          <w:tab w:val="left" w:pos="426"/>
        </w:tabs>
        <w:ind w:left="709" w:right="709"/>
        <w:jc w:val="both"/>
        <w:rPr>
          <w:rFonts w:ascii="Arial" w:eastAsia="Calibri" w:hAnsi="Arial" w:cs="Arial"/>
          <w:bCs/>
          <w:sz w:val="21"/>
          <w:szCs w:val="21"/>
        </w:rPr>
      </w:pPr>
      <w:r w:rsidRPr="002E7FBC">
        <w:rPr>
          <w:rFonts w:ascii="Arial" w:eastAsia="Calibri" w:hAnsi="Arial" w:cs="Arial"/>
          <w:bCs/>
          <w:sz w:val="21"/>
          <w:szCs w:val="21"/>
          <w:lang w:val="es-ES"/>
        </w:rPr>
        <w:t xml:space="preserve">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impide interpretaciones diferentes y, mucho menos, valida la del peticionario, ya que las competencias consultivas no lo permiten. </w:t>
      </w:r>
    </w:p>
    <w:p w14:paraId="5782026F" w14:textId="77777777" w:rsidR="00F87953" w:rsidRPr="002E7FBC" w:rsidRDefault="00F87953" w:rsidP="00F87953">
      <w:pPr>
        <w:tabs>
          <w:tab w:val="left" w:pos="709"/>
        </w:tabs>
        <w:ind w:right="709"/>
        <w:jc w:val="both"/>
        <w:rPr>
          <w:rFonts w:ascii="Arial" w:eastAsia="Calibri" w:hAnsi="Arial" w:cs="Arial"/>
          <w:bCs/>
          <w:sz w:val="22"/>
        </w:rPr>
      </w:pPr>
    </w:p>
    <w:p w14:paraId="31A44A65" w14:textId="77777777" w:rsidR="00F87953" w:rsidRPr="002E7FBC" w:rsidRDefault="00F87953" w:rsidP="00F87953">
      <w:pPr>
        <w:tabs>
          <w:tab w:val="left" w:pos="709"/>
        </w:tabs>
        <w:spacing w:line="276" w:lineRule="auto"/>
        <w:jc w:val="both"/>
        <w:rPr>
          <w:rFonts w:ascii="Arial" w:eastAsia="Calibri" w:hAnsi="Arial" w:cs="Arial"/>
          <w:bCs/>
          <w:sz w:val="22"/>
        </w:rPr>
      </w:pPr>
      <w:r w:rsidRPr="002E7FBC">
        <w:rPr>
          <w:rFonts w:ascii="Arial" w:eastAsia="Calibri" w:hAnsi="Arial" w:cs="Arial"/>
          <w:bCs/>
          <w:sz w:val="22"/>
          <w:lang w:val="es-ES"/>
        </w:rPr>
        <w:tab/>
        <w:t>Este aparte debe ser entendido en el sentido presentado en este concepto. Esto es, que la función consultiva implica, por definición, la adopción de una posición interpretativa, pero que la visión hermenéutica contenida en los conceptos no es vinculante para sus destinatarios o para los demás agentes que actúan en el ordenamiento jurídico. En esos conceptos también se dijo:</w:t>
      </w:r>
    </w:p>
    <w:p w14:paraId="06C6D804" w14:textId="77777777" w:rsidR="00F87953" w:rsidRPr="002E7FBC" w:rsidRDefault="00F87953" w:rsidP="00F87953">
      <w:pPr>
        <w:tabs>
          <w:tab w:val="left" w:pos="426"/>
        </w:tabs>
        <w:ind w:left="709" w:right="709"/>
        <w:jc w:val="both"/>
        <w:rPr>
          <w:rFonts w:ascii="Arial" w:eastAsia="Calibri" w:hAnsi="Arial" w:cs="Arial"/>
          <w:bCs/>
          <w:sz w:val="22"/>
          <w:lang w:val="es-ES_tradnl"/>
        </w:rPr>
      </w:pPr>
    </w:p>
    <w:p w14:paraId="1559C455" w14:textId="77777777" w:rsidR="00F87953" w:rsidRPr="002E7FBC" w:rsidRDefault="00F87953" w:rsidP="00F87953">
      <w:pPr>
        <w:tabs>
          <w:tab w:val="left" w:pos="426"/>
        </w:tabs>
        <w:ind w:left="709" w:right="709"/>
        <w:jc w:val="both"/>
        <w:rPr>
          <w:rFonts w:ascii="Arial" w:eastAsia="Calibri" w:hAnsi="Arial" w:cs="Arial"/>
          <w:bCs/>
          <w:sz w:val="21"/>
          <w:szCs w:val="21"/>
        </w:rPr>
      </w:pPr>
      <w:r w:rsidRPr="002E7FBC">
        <w:rPr>
          <w:rFonts w:ascii="Arial" w:eastAsia="Calibri" w:hAnsi="Arial" w:cs="Arial"/>
          <w:bCs/>
          <w:sz w:val="21"/>
          <w:szCs w:val="21"/>
          <w:lang w:val="es-ES"/>
        </w:rPr>
        <w:t>A las autoridades que ejercen funciones consultivas no les corresponde darle un alcance o preferir un sentido frente a otro, ya que estas se limitan a expresar su posición hermenéutica respecto a las disposiciones normativas. En tal sentido, no pueden, pues, sobreponer su opinión sobre otras posibles.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en cierta medida, refleja el principio democrático. 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«no serán de obligatorio cumplimiento o ejecución».</w:t>
      </w:r>
    </w:p>
    <w:p w14:paraId="2FCDB12B" w14:textId="77777777" w:rsidR="00F87953" w:rsidRPr="002E7FBC" w:rsidRDefault="00F87953" w:rsidP="00F87953">
      <w:pPr>
        <w:tabs>
          <w:tab w:val="left" w:pos="426"/>
        </w:tabs>
        <w:ind w:left="709" w:right="709"/>
        <w:jc w:val="both"/>
        <w:rPr>
          <w:rFonts w:ascii="Arial" w:eastAsia="Calibri" w:hAnsi="Arial" w:cs="Arial"/>
          <w:bCs/>
          <w:sz w:val="22"/>
        </w:rPr>
      </w:pPr>
    </w:p>
    <w:p w14:paraId="0112929F" w14:textId="77777777" w:rsidR="00F87953" w:rsidRPr="002E7FBC" w:rsidRDefault="00F87953" w:rsidP="00F87953">
      <w:pPr>
        <w:tabs>
          <w:tab w:val="left" w:pos="709"/>
        </w:tabs>
        <w:spacing w:after="120" w:line="276" w:lineRule="auto"/>
        <w:jc w:val="both"/>
        <w:rPr>
          <w:rFonts w:ascii="Arial" w:eastAsia="Calibri" w:hAnsi="Arial" w:cs="Arial"/>
          <w:bCs/>
          <w:sz w:val="22"/>
        </w:rPr>
      </w:pPr>
      <w:r w:rsidRPr="002E7FBC">
        <w:rPr>
          <w:rFonts w:ascii="Arial" w:eastAsia="Calibri" w:hAnsi="Arial" w:cs="Arial"/>
          <w:bCs/>
          <w:sz w:val="22"/>
          <w:lang w:val="es-ES"/>
        </w:rPr>
        <w:tab/>
        <w:t xml:space="preserve">Sobre estas afirmaciones debe señalarse que estaban atadas al objeto particular de la consulta, en donde se había puesto de presente que la Sala de Consulta y Servicio Civil del Consejo de Estado sostenía una posición interpretativa diferente a la de esta Subdirección. En este contexto, se afirmó que no correspondía determinar quién tenía la razón entre las dos entidades, ni era el objetivo de esta Agencia sobreponer su criterio interpretativo sobre el de otras autoridades. En relación con este aspecto, se debe agregar que ello no implica que los conceptos no estén acogiendo una posición particular, que en opinión del autor es la más adecuada al ordenamiento jurídico vigente. </w:t>
      </w:r>
    </w:p>
    <w:p w14:paraId="408F82A0" w14:textId="77777777" w:rsidR="00F87953" w:rsidRDefault="00F87953" w:rsidP="00F87953">
      <w:pPr>
        <w:tabs>
          <w:tab w:val="left" w:pos="709"/>
        </w:tabs>
        <w:spacing w:after="120" w:line="276" w:lineRule="auto"/>
        <w:jc w:val="both"/>
        <w:rPr>
          <w:rFonts w:ascii="Arial" w:eastAsia="Calibri" w:hAnsi="Arial" w:cs="Arial"/>
          <w:bCs/>
          <w:sz w:val="22"/>
          <w:lang w:val="es-ES"/>
        </w:rPr>
      </w:pPr>
      <w:r w:rsidRPr="002E7FBC">
        <w:rPr>
          <w:rFonts w:ascii="Arial" w:eastAsia="Calibri" w:hAnsi="Arial" w:cs="Arial"/>
          <w:bCs/>
          <w:sz w:val="22"/>
          <w:lang w:val="es-ES"/>
        </w:rPr>
        <w:tab/>
        <w:t xml:space="preserve">A lo anterior se añade que la divergencia de criterios interpretativos entre autoridades, antes que desdecir de la función consultiva, confirma su carácter no vinculante y reafirma la posibilidad de que exista más de una interpretación en el ordenamiento jurídico. Situación esta última que, según se dijo en esos conceptos, «hace parte de la lógica deliberativa y dialéctica del funcionamiento del Estado [y el derecho] y, en cierta medida, refleja el principio democrático». </w:t>
      </w:r>
    </w:p>
    <w:p w14:paraId="5C931C0D" w14:textId="455F3D9C" w:rsidR="00F87953" w:rsidRDefault="00F87953" w:rsidP="00F87953">
      <w:pPr>
        <w:tabs>
          <w:tab w:val="left" w:pos="709"/>
        </w:tabs>
        <w:spacing w:line="276" w:lineRule="auto"/>
        <w:ind w:firstLine="709"/>
        <w:jc w:val="both"/>
        <w:rPr>
          <w:rFonts w:ascii="Arial" w:eastAsia="Calibri" w:hAnsi="Arial" w:cs="Arial"/>
          <w:bCs/>
          <w:sz w:val="22"/>
          <w:lang w:val="es-ES"/>
        </w:rPr>
      </w:pPr>
      <w:r>
        <w:rPr>
          <w:rFonts w:ascii="Arial" w:eastAsia="Calibri" w:hAnsi="Arial" w:cs="Arial"/>
          <w:bCs/>
          <w:sz w:val="22"/>
          <w:lang w:val="es-ES"/>
        </w:rPr>
        <w:t>Sin perjuicio de lo anterior, es importante destacar que la función consultiva y, en consecuencia, la elaboración de conceptos por parte de la Subdirección de Gestión Contractual de esta Agencia, se realiza bajo estrictos estándares argumentativos, de conformidad con las leyes, la jurisprudencia y las demás normas que resulten aplicables a las consultas objeto de análisis.</w:t>
      </w:r>
    </w:p>
    <w:p w14:paraId="341ADAA8" w14:textId="77777777" w:rsidR="00F87953" w:rsidRDefault="00F87953" w:rsidP="008F48A5">
      <w:pPr>
        <w:widowControl w:val="0"/>
        <w:autoSpaceDE w:val="0"/>
        <w:autoSpaceDN w:val="0"/>
        <w:spacing w:line="276" w:lineRule="auto"/>
        <w:jc w:val="both"/>
        <w:rPr>
          <w:rFonts w:ascii="Arial" w:eastAsia="Calibri" w:hAnsi="Arial" w:cs="Arial"/>
          <w:bCs/>
          <w:sz w:val="22"/>
          <w:lang w:val="es-ES_tradnl"/>
        </w:rPr>
      </w:pPr>
    </w:p>
    <w:p w14:paraId="37CA9805" w14:textId="50DE782C" w:rsidR="00DD5B04" w:rsidRPr="002C101F" w:rsidRDefault="00B5353B" w:rsidP="008F48A5">
      <w:pPr>
        <w:widowControl w:val="0"/>
        <w:autoSpaceDE w:val="0"/>
        <w:autoSpaceDN w:val="0"/>
        <w:spacing w:line="276" w:lineRule="auto"/>
        <w:jc w:val="both"/>
        <w:rPr>
          <w:rFonts w:ascii="Arial" w:eastAsia="Calibri" w:hAnsi="Arial" w:cs="Arial"/>
          <w:bCs/>
          <w:sz w:val="22"/>
          <w:lang w:val="es-ES_tradnl"/>
        </w:rPr>
      </w:pPr>
      <w:r>
        <w:rPr>
          <w:rFonts w:ascii="Arial" w:eastAsia="Calibri" w:hAnsi="Arial" w:cs="Arial"/>
          <w:b/>
          <w:sz w:val="22"/>
          <w:lang w:val="es-ES_tradnl"/>
        </w:rPr>
        <w:t>3</w:t>
      </w:r>
      <w:r w:rsidR="00B011A9" w:rsidRPr="00B27674">
        <w:rPr>
          <w:rFonts w:ascii="Arial" w:eastAsia="Calibri" w:hAnsi="Arial" w:cs="Arial"/>
          <w:b/>
          <w:sz w:val="22"/>
          <w:lang w:val="es-ES_tradnl"/>
        </w:rPr>
        <w:t xml:space="preserve">. </w:t>
      </w:r>
      <w:r w:rsidR="00DD5B04" w:rsidRPr="00B27674">
        <w:rPr>
          <w:rFonts w:ascii="Arial" w:eastAsia="Calibri" w:hAnsi="Arial" w:cs="Arial"/>
          <w:b/>
          <w:sz w:val="22"/>
          <w:lang w:val="es-ES_tradnl"/>
        </w:rPr>
        <w:t>Respuesta</w:t>
      </w:r>
    </w:p>
    <w:p w14:paraId="0B74D5B8" w14:textId="7F0A7F13" w:rsidR="00C4581D" w:rsidRPr="00B27674" w:rsidRDefault="00C4581D" w:rsidP="00510DE9">
      <w:pPr>
        <w:tabs>
          <w:tab w:val="left" w:pos="0"/>
        </w:tabs>
        <w:jc w:val="both"/>
        <w:rPr>
          <w:rFonts w:ascii="Arial" w:eastAsia="Calibri" w:hAnsi="Arial" w:cs="Arial"/>
          <w:sz w:val="22"/>
          <w:lang w:val="es-ES_tradnl"/>
        </w:rPr>
      </w:pPr>
    </w:p>
    <w:p w14:paraId="549AD57E" w14:textId="77777777" w:rsidR="00133011" w:rsidRPr="006C4623" w:rsidRDefault="00133011" w:rsidP="00133011">
      <w:pPr>
        <w:ind w:left="709" w:right="709"/>
        <w:jc w:val="both"/>
        <w:rPr>
          <w:rFonts w:ascii="Arial" w:hAnsi="Arial" w:cs="Arial"/>
          <w:sz w:val="21"/>
          <w:szCs w:val="21"/>
          <w:lang w:val="es-ES_tradnl"/>
        </w:rPr>
      </w:pPr>
      <w:r w:rsidRPr="006C4623">
        <w:rPr>
          <w:rFonts w:ascii="Arial" w:hAnsi="Arial" w:cs="Arial"/>
          <w:sz w:val="21"/>
          <w:szCs w:val="21"/>
          <w:lang w:val="es-ES_tradnl"/>
        </w:rPr>
        <w:t>«[…] si bien es cierto el parágrafo del Artículo en comento exceptúa de la aplicación del contenido del Artículo 56 a las Empresas Sociales del Estado, esto lo hace única y exclusivamente como su mismo contenido lo señala: únicamente en cuanto a la contratación de su giro ordinario, en este sentido siendo claro que la excepción únicamente se predica para los contratos que realice la ESE en aquella contratación que obedezca a su giro ordinario; por lo tanto y encontrando o entendiendo que por ejemplo los contratos de obra no son procesos que pertenecen al giro ordinario de una Empresa Social del Estado […]».</w:t>
      </w:r>
    </w:p>
    <w:p w14:paraId="42C2D6BB" w14:textId="77777777" w:rsidR="00133011" w:rsidRPr="00483051" w:rsidRDefault="00133011" w:rsidP="00D05A6C">
      <w:pPr>
        <w:tabs>
          <w:tab w:val="decimal" w:pos="765"/>
          <w:tab w:val="right" w:pos="7371"/>
        </w:tabs>
        <w:ind w:left="709" w:right="709"/>
        <w:jc w:val="both"/>
        <w:rPr>
          <w:rFonts w:ascii="Arial" w:hAnsi="Arial" w:cs="Arial"/>
          <w:bCs/>
          <w:sz w:val="21"/>
          <w:szCs w:val="21"/>
          <w:lang w:val="es-ES_tradnl"/>
        </w:rPr>
      </w:pPr>
    </w:p>
    <w:p w14:paraId="48F50B28" w14:textId="47B4A484" w:rsidR="00D05A6C" w:rsidRPr="00D05A6C" w:rsidRDefault="00251CA0" w:rsidP="00D05A6C">
      <w:pPr>
        <w:tabs>
          <w:tab w:val="decimal" w:pos="765"/>
          <w:tab w:val="right" w:pos="7371"/>
        </w:tabs>
        <w:ind w:left="709" w:right="709"/>
        <w:jc w:val="both"/>
        <w:rPr>
          <w:rFonts w:ascii="Arial" w:hAnsi="Arial" w:cs="Arial"/>
          <w:bCs/>
          <w:sz w:val="21"/>
          <w:szCs w:val="21"/>
          <w:lang w:val="es-ES"/>
        </w:rPr>
      </w:pPr>
      <w:r w:rsidRPr="00B27674">
        <w:rPr>
          <w:rFonts w:ascii="Arial" w:hAnsi="Arial" w:cs="Arial"/>
          <w:bCs/>
          <w:sz w:val="21"/>
          <w:szCs w:val="21"/>
          <w:lang w:val="es-ES"/>
        </w:rPr>
        <w:t>«</w:t>
      </w:r>
      <w:r w:rsidR="00D05A6C" w:rsidRPr="00D05A6C">
        <w:rPr>
          <w:rFonts w:ascii="Arial" w:hAnsi="Arial" w:cs="Arial"/>
          <w:bCs/>
          <w:sz w:val="21"/>
          <w:szCs w:val="21"/>
          <w:lang w:val="es-ES"/>
        </w:rPr>
        <w:t>1. ¿Le son entonces aplicables los pliegos tipo y por ende el Estatuto General de Contratación a las ESES para este tipo de contratación?</w:t>
      </w:r>
    </w:p>
    <w:p w14:paraId="7BB9EC20" w14:textId="77777777" w:rsidR="00D05A6C" w:rsidRPr="00D05A6C" w:rsidRDefault="00D05A6C" w:rsidP="00D05A6C">
      <w:pPr>
        <w:tabs>
          <w:tab w:val="decimal" w:pos="765"/>
          <w:tab w:val="right" w:pos="7371"/>
        </w:tabs>
        <w:ind w:left="709" w:right="709"/>
        <w:jc w:val="both"/>
        <w:rPr>
          <w:rFonts w:ascii="Arial" w:hAnsi="Arial" w:cs="Arial"/>
          <w:bCs/>
          <w:sz w:val="21"/>
          <w:szCs w:val="21"/>
          <w:lang w:val="es-ES"/>
        </w:rPr>
      </w:pPr>
    </w:p>
    <w:p w14:paraId="57C66164" w14:textId="591903A0" w:rsidR="00251CA0" w:rsidRPr="00D957F9" w:rsidRDefault="00D05A6C" w:rsidP="00D957F9">
      <w:pPr>
        <w:tabs>
          <w:tab w:val="decimal" w:pos="765"/>
          <w:tab w:val="right" w:pos="7371"/>
        </w:tabs>
        <w:ind w:left="709" w:right="709"/>
        <w:jc w:val="both"/>
        <w:rPr>
          <w:rFonts w:ascii="Arial" w:hAnsi="Arial" w:cs="Arial"/>
          <w:bCs/>
          <w:sz w:val="21"/>
          <w:szCs w:val="21"/>
          <w:lang w:val="es-ES"/>
        </w:rPr>
      </w:pPr>
      <w:r w:rsidRPr="00D05A6C">
        <w:rPr>
          <w:rFonts w:ascii="Arial" w:hAnsi="Arial" w:cs="Arial"/>
          <w:bCs/>
          <w:sz w:val="21"/>
          <w:szCs w:val="21"/>
          <w:lang w:val="es-ES"/>
        </w:rPr>
        <w:t>2. Cuando la norma en comento señala únicamente en cuanto a la contratación de su giro ordinario, ¿Que [sic] interpretación y alcance debe darse a dichas expresiones?</w:t>
      </w:r>
      <w:r w:rsidR="00D957F9">
        <w:rPr>
          <w:rFonts w:ascii="Arial" w:hAnsi="Arial" w:cs="Arial"/>
          <w:bCs/>
          <w:sz w:val="21"/>
          <w:szCs w:val="21"/>
          <w:lang w:val="es-ES"/>
        </w:rPr>
        <w:t>»</w:t>
      </w:r>
    </w:p>
    <w:p w14:paraId="0D5C1BB9" w14:textId="77777777" w:rsidR="009659B0" w:rsidRPr="006F4240" w:rsidRDefault="009659B0" w:rsidP="00373FAD">
      <w:pPr>
        <w:ind w:left="709" w:right="709"/>
        <w:jc w:val="both"/>
        <w:rPr>
          <w:rFonts w:ascii="Arial" w:hAnsi="Arial" w:cs="Arial"/>
          <w:lang w:val="es-ES_tradnl"/>
        </w:rPr>
      </w:pPr>
    </w:p>
    <w:p w14:paraId="6D6BC9D0" w14:textId="52FF2717" w:rsidR="004960AC" w:rsidRDefault="004960AC" w:rsidP="00EB41CD">
      <w:pPr>
        <w:spacing w:after="120" w:line="276" w:lineRule="auto"/>
        <w:jc w:val="both"/>
        <w:rPr>
          <w:rFonts w:ascii="Arial" w:hAnsi="Arial" w:cs="Arial"/>
          <w:sz w:val="22"/>
          <w:szCs w:val="22"/>
          <w:shd w:val="clear" w:color="auto" w:fill="FFFFFF"/>
          <w:lang w:val="es-ES_tradnl"/>
        </w:rPr>
      </w:pPr>
      <w:bookmarkStart w:id="11" w:name="_Hlk96331557"/>
      <w:r w:rsidRPr="00E858D2">
        <w:rPr>
          <w:rFonts w:ascii="Arial" w:hAnsi="Arial" w:cs="Arial"/>
          <w:sz w:val="22"/>
          <w:szCs w:val="22"/>
          <w:shd w:val="clear" w:color="auto" w:fill="FFFFFF"/>
          <w:lang w:val="es-ES_tradnl"/>
        </w:rPr>
        <w:t xml:space="preserve">De conformidad con lo expuesto, en virtud de lo establecido en el parágrafo 7 del artículo 2 de la Ley 1150 de 2007, modificado por la Ley 2022 de 2020, las entidades estatales </w:t>
      </w:r>
      <w:r>
        <w:rPr>
          <w:rFonts w:ascii="Arial" w:hAnsi="Arial" w:cs="Arial"/>
          <w:sz w:val="22"/>
          <w:szCs w:val="22"/>
          <w:shd w:val="clear" w:color="auto" w:fill="FFFFFF"/>
          <w:lang w:val="es-ES_tradnl"/>
        </w:rPr>
        <w:t xml:space="preserve">sujetas </w:t>
      </w:r>
      <w:r w:rsidRPr="00E858D2">
        <w:rPr>
          <w:rFonts w:ascii="Arial" w:hAnsi="Arial" w:cs="Arial"/>
          <w:sz w:val="22"/>
          <w:szCs w:val="22"/>
          <w:shd w:val="clear" w:color="auto" w:fill="FFFFFF"/>
          <w:lang w:val="es-ES_tradnl"/>
        </w:rPr>
        <w:t xml:space="preserve">por el Estatuto General de Contratación de la Administración Pública están obligadas a aplicar los documentos tipo en los procedimientos y contratos que adelanten en aplicación de dicha normativa. Adicionalmente,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w:t>
      </w:r>
      <w:r>
        <w:rPr>
          <w:rFonts w:ascii="Arial" w:hAnsi="Arial" w:cs="Arial"/>
          <w:sz w:val="22"/>
          <w:szCs w:val="22"/>
          <w:shd w:val="clear" w:color="auto" w:fill="FFFFFF"/>
          <w:lang w:val="es-ES_tradnl"/>
        </w:rPr>
        <w:t xml:space="preserve">estos últimos </w:t>
      </w:r>
      <w:r w:rsidRPr="00E858D2">
        <w:rPr>
          <w:rFonts w:ascii="Arial" w:hAnsi="Arial" w:cs="Arial"/>
          <w:sz w:val="22"/>
          <w:szCs w:val="22"/>
          <w:shd w:val="clear" w:color="auto" w:fill="FFFFFF"/>
          <w:lang w:val="es-ES_tradnl"/>
        </w:rPr>
        <w:t>también deberán aplicar documentos tipo, y en general, las disposiciones del Estatuto General de Contratación de la Administración Pública</w:t>
      </w:r>
      <w:r>
        <w:rPr>
          <w:rFonts w:ascii="Arial" w:hAnsi="Arial" w:cs="Arial"/>
          <w:sz w:val="22"/>
          <w:szCs w:val="22"/>
          <w:shd w:val="clear" w:color="auto" w:fill="FFFFFF"/>
          <w:lang w:val="es-ES_tradnl"/>
        </w:rPr>
        <w:t xml:space="preserve"> en l</w:t>
      </w:r>
      <w:r w:rsidRPr="00613457">
        <w:rPr>
          <w:rFonts w:ascii="Arial" w:hAnsi="Arial" w:cs="Arial"/>
          <w:sz w:val="22"/>
          <w:szCs w:val="22"/>
          <w:shd w:val="clear" w:color="auto" w:fill="FFFFFF"/>
          <w:lang w:val="es-ES_tradnl"/>
        </w:rPr>
        <w:t>os procedimientos de selección  y  los  contratos  que  realicen  en  desarrollo  de los anteriores negocios jurídicos</w:t>
      </w:r>
      <w:r w:rsidRPr="00E858D2">
        <w:rPr>
          <w:rFonts w:ascii="Arial" w:hAnsi="Arial" w:cs="Arial"/>
          <w:sz w:val="22"/>
          <w:szCs w:val="22"/>
          <w:shd w:val="clear" w:color="auto" w:fill="FFFFFF"/>
          <w:lang w:val="es-ES_tradnl"/>
        </w:rPr>
        <w:t xml:space="preserve">. </w:t>
      </w:r>
    </w:p>
    <w:p w14:paraId="62205969" w14:textId="218B8A9A" w:rsidR="004130C0" w:rsidRPr="00B27674" w:rsidRDefault="004960AC" w:rsidP="00EB41CD">
      <w:pPr>
        <w:spacing w:after="120" w:line="276" w:lineRule="auto"/>
        <w:ind w:firstLine="709"/>
        <w:jc w:val="both"/>
        <w:rPr>
          <w:rFonts w:ascii="Arial" w:hAnsi="Arial" w:cs="Arial"/>
          <w:sz w:val="22"/>
          <w:szCs w:val="22"/>
          <w:shd w:val="clear" w:color="auto" w:fill="FFFFFF"/>
          <w:lang w:val="es-ES_tradnl"/>
        </w:rPr>
      </w:pPr>
      <w:bookmarkStart w:id="12" w:name="_Hlk100317553"/>
      <w:r>
        <w:rPr>
          <w:rFonts w:ascii="Arial" w:hAnsi="Arial" w:cs="Arial"/>
          <w:sz w:val="22"/>
          <w:szCs w:val="22"/>
          <w:shd w:val="clear" w:color="auto" w:fill="FFFFFF"/>
          <w:lang w:val="es-ES_tradnl"/>
        </w:rPr>
        <w:t>En este sentido</w:t>
      </w:r>
      <w:r w:rsidR="004130C0" w:rsidRPr="00B27674">
        <w:rPr>
          <w:rFonts w:ascii="Arial" w:hAnsi="Arial" w:cs="Arial"/>
          <w:sz w:val="22"/>
          <w:szCs w:val="22"/>
          <w:shd w:val="clear" w:color="auto" w:fill="FFFFFF"/>
          <w:lang w:val="es-ES_tradnl"/>
        </w:rPr>
        <w:t xml:space="preserve">,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comoquiera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celebrado con una entidad sometida al Estatuto General, debe </w:t>
      </w:r>
      <w:r w:rsidR="00E724B8" w:rsidRPr="00B27674">
        <w:rPr>
          <w:rFonts w:ascii="Arial" w:hAnsi="Arial" w:cs="Arial"/>
          <w:sz w:val="22"/>
          <w:szCs w:val="22"/>
          <w:shd w:val="clear" w:color="auto" w:fill="FFFFFF"/>
          <w:lang w:val="es-ES_tradnl"/>
        </w:rPr>
        <w:t xml:space="preserve">contratar </w:t>
      </w:r>
      <w:r w:rsidR="004130C0" w:rsidRPr="00B27674">
        <w:rPr>
          <w:rFonts w:ascii="Arial" w:hAnsi="Arial" w:cs="Arial"/>
          <w:sz w:val="22"/>
          <w:szCs w:val="22"/>
          <w:shd w:val="clear" w:color="auto" w:fill="FFFFFF"/>
          <w:lang w:val="es-ES_tradnl"/>
        </w:rPr>
        <w:t xml:space="preserve">una obra o servicio cobijado por algún documento tipo, </w:t>
      </w:r>
      <w:r w:rsidR="004130C0" w:rsidRPr="00B27674">
        <w:rPr>
          <w:rFonts w:ascii="Arial" w:hAnsi="Arial" w:cs="Arial"/>
          <w:sz w:val="22"/>
          <w:szCs w:val="22"/>
          <w:lang w:val="es-ES_tradnl"/>
        </w:rPr>
        <w:t>estará obligada a</w:t>
      </w:r>
      <w:r w:rsidR="004130C0" w:rsidRPr="00B27674">
        <w:rPr>
          <w:rFonts w:ascii="Arial" w:hAnsi="Arial" w:cs="Arial"/>
          <w:sz w:val="22"/>
          <w:szCs w:val="22"/>
          <w:shd w:val="clear" w:color="auto" w:fill="FFFFFF"/>
          <w:lang w:val="es-ES_tradnl"/>
        </w:rPr>
        <w:t xml:space="preserve"> hacerlo aplicando los mencionados documentos tipo, además de adelantar el </w:t>
      </w:r>
      <w:r w:rsidR="00E724B8" w:rsidRPr="00B27674">
        <w:rPr>
          <w:rFonts w:ascii="Arial" w:hAnsi="Arial" w:cs="Arial"/>
          <w:sz w:val="22"/>
          <w:szCs w:val="22"/>
          <w:shd w:val="clear" w:color="auto" w:fill="FFFFFF"/>
          <w:lang w:val="es-ES_tradnl"/>
        </w:rPr>
        <w:t>p</w:t>
      </w:r>
      <w:r w:rsidR="004130C0" w:rsidRPr="00B27674">
        <w:rPr>
          <w:rFonts w:ascii="Arial" w:hAnsi="Arial" w:cs="Arial"/>
          <w:sz w:val="22"/>
          <w:szCs w:val="22"/>
          <w:shd w:val="clear" w:color="auto" w:fill="FFFFFF"/>
          <w:lang w:val="es-ES_tradnl"/>
        </w:rPr>
        <w:t xml:space="preserve">roceso de </w:t>
      </w:r>
      <w:r w:rsidR="00E724B8" w:rsidRPr="00B27674">
        <w:rPr>
          <w:rFonts w:ascii="Arial" w:hAnsi="Arial" w:cs="Arial"/>
          <w:sz w:val="22"/>
          <w:szCs w:val="22"/>
          <w:shd w:val="clear" w:color="auto" w:fill="FFFFFF"/>
          <w:lang w:val="es-ES_tradnl"/>
        </w:rPr>
        <w:t>c</w:t>
      </w:r>
      <w:r w:rsidR="004130C0" w:rsidRPr="00B27674">
        <w:rPr>
          <w:rFonts w:ascii="Arial" w:hAnsi="Arial" w:cs="Arial"/>
          <w:sz w:val="22"/>
          <w:szCs w:val="22"/>
          <w:shd w:val="clear" w:color="auto" w:fill="FFFFFF"/>
          <w:lang w:val="es-ES_tradnl"/>
        </w:rPr>
        <w:t>ontratación y celebrar el contrato conforme al Estatuto General de Contratación de la Administración Pública</w:t>
      </w:r>
      <w:r w:rsidR="00E724B8" w:rsidRPr="00B27674">
        <w:rPr>
          <w:rFonts w:ascii="Arial" w:hAnsi="Arial" w:cs="Arial"/>
          <w:sz w:val="22"/>
          <w:szCs w:val="22"/>
          <w:shd w:val="clear" w:color="auto" w:fill="FFFFFF"/>
          <w:lang w:val="es-ES_tradnl"/>
        </w:rPr>
        <w:t xml:space="preserve">, </w:t>
      </w:r>
      <w:r w:rsidR="00E724B8" w:rsidRPr="00B27674">
        <w:rPr>
          <w:rFonts w:ascii="Arial" w:eastAsia="Calibri" w:hAnsi="Arial" w:cs="Arial"/>
          <w:sz w:val="22"/>
          <w:szCs w:val="22"/>
          <w:lang w:val="es-ES" w:eastAsia="es-ES"/>
        </w:rPr>
        <w:t>todo lo anterior, siempre que exista un documento tipo aplicable al objeto a contratar.</w:t>
      </w:r>
    </w:p>
    <w:bookmarkEnd w:id="12"/>
    <w:p w14:paraId="0E130B22" w14:textId="332437C6" w:rsidR="004130C0" w:rsidRPr="00B27674" w:rsidRDefault="004130C0" w:rsidP="004130C0">
      <w:pPr>
        <w:spacing w:before="120" w:line="276" w:lineRule="auto"/>
        <w:jc w:val="both"/>
        <w:rPr>
          <w:rFonts w:ascii="Arial" w:hAnsi="Arial" w:cs="Arial"/>
          <w:sz w:val="22"/>
          <w:szCs w:val="22"/>
          <w:shd w:val="clear" w:color="auto" w:fill="FFFFFF"/>
          <w:lang w:val="es-ES_tradnl"/>
        </w:rPr>
      </w:pPr>
      <w:r w:rsidRPr="00B27674">
        <w:rPr>
          <w:rFonts w:ascii="Arial" w:hAnsi="Arial" w:cs="Arial"/>
          <w:sz w:val="22"/>
          <w:szCs w:val="22"/>
          <w:shd w:val="clear" w:color="auto" w:fill="FFFFFF"/>
          <w:lang w:val="es-ES_tradnl"/>
        </w:rPr>
        <w:tab/>
        <w:t xml:space="preserve">No obstante, </w:t>
      </w:r>
      <w:r w:rsidR="00FE305B">
        <w:rPr>
          <w:rFonts w:ascii="Arial" w:hAnsi="Arial" w:cs="Arial"/>
          <w:sz w:val="22"/>
          <w:szCs w:val="22"/>
          <w:shd w:val="clear" w:color="auto" w:fill="FFFFFF"/>
          <w:lang w:val="es-ES_tradnl"/>
        </w:rPr>
        <w:t xml:space="preserve">partiendo del esquema anterior, </w:t>
      </w:r>
      <w:r w:rsidRPr="00B27674">
        <w:rPr>
          <w:rFonts w:ascii="Arial" w:hAnsi="Arial" w:cs="Arial"/>
          <w:sz w:val="22"/>
          <w:szCs w:val="22"/>
          <w:shd w:val="clear" w:color="auto" w:fill="FFFFFF"/>
          <w:lang w:val="es-ES_tradnl"/>
        </w:rPr>
        <w:t xml:space="preserve">de conformidad con lo establecido en el parágrafo de dicha norma, </w:t>
      </w:r>
      <w:r w:rsidRPr="00B27674">
        <w:rPr>
          <w:rFonts w:ascii="Arial" w:eastAsia="Calibri" w:hAnsi="Arial" w:cs="Arial"/>
          <w:bCs/>
          <w:sz w:val="22"/>
          <w:lang w:val="es-ES_tradnl"/>
        </w:rPr>
        <w:t xml:space="preserve">las instituciones de educación superior públicas, </w:t>
      </w:r>
      <w:r w:rsidRPr="00483051">
        <w:rPr>
          <w:rFonts w:ascii="Arial" w:eastAsia="Calibri" w:hAnsi="Arial" w:cs="Arial"/>
          <w:bCs/>
          <w:i/>
          <w:iCs/>
          <w:sz w:val="22"/>
          <w:lang w:val="es-ES_tradnl"/>
        </w:rPr>
        <w:t>las empresas sociales del Estado</w:t>
      </w:r>
      <w:r w:rsidRPr="00B27674">
        <w:rPr>
          <w:rFonts w:ascii="Arial" w:eastAsia="Calibri" w:hAnsi="Arial" w:cs="Arial"/>
          <w:bCs/>
          <w:sz w:val="22"/>
          <w:lang w:val="es-ES_tradnl"/>
        </w:rPr>
        <w:t>, las sociedades de economía mixta y las empresas industriales y comerciales del Estado, están exceptuadas de la aplicación de lo</w:t>
      </w:r>
      <w:r w:rsidRPr="00B27674">
        <w:rPr>
          <w:rFonts w:ascii="Arial" w:hAnsi="Arial" w:cs="Arial"/>
          <w:sz w:val="22"/>
          <w:szCs w:val="22"/>
          <w:shd w:val="clear" w:color="auto" w:fill="FFFFFF"/>
          <w:lang w:val="es-ES_tradnl"/>
        </w:rPr>
        <w:t xml:space="preserve">s documentos tipo y del Estatuto General de Contratación de la Administración Pública, en la contratación relacionada con su </w:t>
      </w:r>
      <w:r w:rsidRPr="00B27674">
        <w:rPr>
          <w:rFonts w:ascii="Arial" w:hAnsi="Arial" w:cs="Arial"/>
          <w:i/>
          <w:iCs/>
          <w:sz w:val="22"/>
          <w:szCs w:val="22"/>
          <w:shd w:val="clear" w:color="auto" w:fill="FFFFFF"/>
          <w:lang w:val="es-ES_tradnl"/>
        </w:rPr>
        <w:t>giro ordinario</w:t>
      </w:r>
      <w:r w:rsidRPr="00B27674">
        <w:rPr>
          <w:rFonts w:ascii="Arial" w:hAnsi="Arial" w:cs="Arial"/>
          <w:sz w:val="22"/>
          <w:szCs w:val="22"/>
          <w:shd w:val="clear" w:color="auto" w:fill="FFFFFF"/>
          <w:lang w:val="es-ES_tradnl"/>
        </w:rPr>
        <w:t xml:space="preserve">, independientemente de que deban contratar objetos cobijados por documentos tipo. De acuerdo con lo señalado, en el marco del parágrafo del artículo 56, el </w:t>
      </w:r>
      <w:r w:rsidRPr="00B27674">
        <w:rPr>
          <w:rFonts w:ascii="Arial" w:hAnsi="Arial" w:cs="Arial"/>
          <w:i/>
          <w:iCs/>
          <w:sz w:val="22"/>
          <w:szCs w:val="22"/>
          <w:shd w:val="clear" w:color="auto" w:fill="FFFFFF"/>
          <w:lang w:val="es-ES_tradnl"/>
        </w:rPr>
        <w:t>giro ordinario</w:t>
      </w:r>
      <w:r w:rsidRPr="00B27674">
        <w:rPr>
          <w:rFonts w:ascii="Arial" w:hAnsi="Arial" w:cs="Arial"/>
          <w:sz w:val="22"/>
          <w:szCs w:val="22"/>
          <w:shd w:val="clear" w:color="auto" w:fill="FFFFFF"/>
          <w:lang w:val="es-ES_tradnl"/>
        </w:rPr>
        <w:t xml:space="preserve"> es un concepto jurídico indeterminado</w:t>
      </w:r>
      <w:r w:rsidR="00353AEA">
        <w:rPr>
          <w:rFonts w:ascii="Arial" w:hAnsi="Arial" w:cs="Arial"/>
          <w:sz w:val="22"/>
          <w:szCs w:val="22"/>
          <w:shd w:val="clear" w:color="auto" w:fill="FFFFFF"/>
          <w:lang w:val="es-ES_tradnl"/>
        </w:rPr>
        <w:t xml:space="preserve">, </w:t>
      </w:r>
      <w:bookmarkStart w:id="13" w:name="_Hlk100318269"/>
      <w:r w:rsidR="00353AEA">
        <w:rPr>
          <w:rFonts w:ascii="Arial" w:hAnsi="Arial" w:cs="Arial"/>
          <w:sz w:val="22"/>
          <w:szCs w:val="22"/>
          <w:shd w:val="clear" w:color="auto" w:fill="FFFFFF"/>
          <w:lang w:val="es-ES_tradnl"/>
        </w:rPr>
        <w:t>cuya concreción debe realizarse en cada caso en particular</w:t>
      </w:r>
      <w:r w:rsidR="00FE305B">
        <w:rPr>
          <w:rFonts w:ascii="Arial" w:hAnsi="Arial" w:cs="Arial"/>
          <w:sz w:val="22"/>
          <w:szCs w:val="22"/>
          <w:shd w:val="clear" w:color="auto" w:fill="FFFFFF"/>
          <w:lang w:val="es-ES_tradnl"/>
        </w:rPr>
        <w:t>,</w:t>
      </w:r>
      <w:r w:rsidR="003B5BC8">
        <w:rPr>
          <w:rFonts w:ascii="Arial" w:hAnsi="Arial" w:cs="Arial"/>
          <w:sz w:val="22"/>
          <w:szCs w:val="22"/>
          <w:shd w:val="clear" w:color="auto" w:fill="FFFFFF"/>
          <w:lang w:val="es-ES_tradnl"/>
        </w:rPr>
        <w:t xml:space="preserve"> </w:t>
      </w:r>
      <w:bookmarkEnd w:id="13"/>
      <w:r w:rsidR="00353AEA">
        <w:rPr>
          <w:rFonts w:ascii="Arial" w:hAnsi="Arial" w:cs="Arial"/>
          <w:sz w:val="22"/>
          <w:szCs w:val="22"/>
          <w:shd w:val="clear" w:color="auto" w:fill="FFFFFF"/>
          <w:lang w:val="es-ES_tradnl"/>
        </w:rPr>
        <w:t xml:space="preserve">y </w:t>
      </w:r>
      <w:r w:rsidRPr="00B27674">
        <w:rPr>
          <w:rFonts w:ascii="Arial" w:hAnsi="Arial" w:cs="Arial"/>
          <w:sz w:val="22"/>
          <w:szCs w:val="22"/>
          <w:shd w:val="clear" w:color="auto" w:fill="FFFFFF"/>
          <w:lang w:val="es-ES_tradnl"/>
        </w:rPr>
        <w:t>que, de conformidad con la jurisprudencia contencioso-administrativa y el derecho societario, comprende todas aquellas actividades asociadas a la gestión habitual de una sociedad comercial, una empresa o una entidad pública, que guarden consonancia con su objeto social.</w:t>
      </w:r>
      <w:r w:rsidR="00FE305B">
        <w:rPr>
          <w:rFonts w:ascii="Arial" w:hAnsi="Arial" w:cs="Arial"/>
          <w:sz w:val="22"/>
          <w:szCs w:val="22"/>
          <w:shd w:val="clear" w:color="auto" w:fill="FFFFFF"/>
          <w:lang w:val="es-ES_tradnl"/>
        </w:rPr>
        <w:t xml:space="preserve"> </w:t>
      </w:r>
      <w:bookmarkStart w:id="14" w:name="_Hlk100317855"/>
      <w:r w:rsidR="00FE305B">
        <w:rPr>
          <w:rFonts w:ascii="Arial" w:hAnsi="Arial" w:cs="Arial"/>
          <w:sz w:val="22"/>
          <w:szCs w:val="22"/>
          <w:shd w:val="clear" w:color="auto" w:fill="FFFFFF"/>
          <w:lang w:val="es-ES_tradnl"/>
        </w:rPr>
        <w:t xml:space="preserve">En consecuencia, </w:t>
      </w:r>
      <w:r w:rsidR="00AE0D91">
        <w:rPr>
          <w:rFonts w:ascii="Arial" w:hAnsi="Arial" w:cs="Arial"/>
          <w:sz w:val="22"/>
          <w:szCs w:val="22"/>
          <w:shd w:val="clear" w:color="auto" w:fill="FFFFFF"/>
          <w:lang w:val="es-ES_tradnl"/>
        </w:rPr>
        <w:t>cada una de las entidades señaladas en el parágrafo del artículo 56, incluyendo las Empresas Sociales del Estado,</w:t>
      </w:r>
      <w:r w:rsidR="00FE305B">
        <w:rPr>
          <w:rFonts w:ascii="Arial" w:hAnsi="Arial" w:cs="Arial"/>
          <w:sz w:val="22"/>
          <w:szCs w:val="22"/>
          <w:shd w:val="clear" w:color="auto" w:fill="FFFFFF"/>
          <w:lang w:val="es-ES_tradnl"/>
        </w:rPr>
        <w:t xml:space="preserve"> debe verificar cuáles son aquellas actividades que hacen parte de su </w:t>
      </w:r>
      <w:r w:rsidR="00FE305B" w:rsidRPr="00026C8F">
        <w:rPr>
          <w:rFonts w:ascii="Arial" w:hAnsi="Arial" w:cs="Arial"/>
          <w:i/>
          <w:iCs/>
          <w:sz w:val="22"/>
          <w:szCs w:val="22"/>
          <w:shd w:val="clear" w:color="auto" w:fill="FFFFFF"/>
          <w:lang w:val="es-ES_tradnl"/>
        </w:rPr>
        <w:t>giro ordinario</w:t>
      </w:r>
      <w:r w:rsidR="00FE305B">
        <w:rPr>
          <w:rFonts w:ascii="Arial" w:hAnsi="Arial" w:cs="Arial"/>
          <w:i/>
          <w:iCs/>
          <w:sz w:val="22"/>
          <w:szCs w:val="22"/>
          <w:shd w:val="clear" w:color="auto" w:fill="FFFFFF"/>
          <w:lang w:val="es-ES_tradnl"/>
        </w:rPr>
        <w:t xml:space="preserve"> </w:t>
      </w:r>
      <w:r w:rsidR="00FE305B">
        <w:rPr>
          <w:rFonts w:ascii="Arial" w:hAnsi="Arial" w:cs="Arial"/>
          <w:sz w:val="22"/>
          <w:szCs w:val="22"/>
          <w:shd w:val="clear" w:color="auto" w:fill="FFFFFF"/>
          <w:lang w:val="es-ES_tradnl"/>
        </w:rPr>
        <w:t>y cuáles</w:t>
      </w:r>
      <w:r w:rsidR="00FE305B" w:rsidRPr="000A61E9">
        <w:rPr>
          <w:rFonts w:ascii="Arial" w:hAnsi="Arial" w:cs="Arial"/>
          <w:sz w:val="22"/>
          <w:szCs w:val="22"/>
          <w:shd w:val="clear" w:color="auto" w:fill="FFFFFF"/>
          <w:lang w:val="es-ES_tradnl"/>
        </w:rPr>
        <w:t xml:space="preserve"> no,</w:t>
      </w:r>
      <w:r w:rsidR="00FE305B">
        <w:rPr>
          <w:rFonts w:ascii="Arial" w:hAnsi="Arial" w:cs="Arial"/>
          <w:sz w:val="22"/>
          <w:szCs w:val="22"/>
          <w:shd w:val="clear" w:color="auto" w:fill="FFFFFF"/>
          <w:lang w:val="es-ES_tradnl"/>
        </w:rPr>
        <w:t xml:space="preserve"> con el fin de validar la aplicación de la excepción de que trata el parágrafo del artículo 56 de la Ley 2195 de 2022.</w:t>
      </w:r>
      <w:bookmarkEnd w:id="14"/>
    </w:p>
    <w:bookmarkEnd w:id="11"/>
    <w:p w14:paraId="648CBB1C" w14:textId="1AABAA78" w:rsidR="00DC158A" w:rsidRDefault="001269B8" w:rsidP="00705978">
      <w:pPr>
        <w:spacing w:before="120" w:after="120" w:line="276" w:lineRule="auto"/>
        <w:jc w:val="both"/>
        <w:rPr>
          <w:rFonts w:ascii="Arial" w:hAnsi="Arial" w:cs="Arial"/>
          <w:sz w:val="22"/>
          <w:szCs w:val="22"/>
          <w:shd w:val="clear" w:color="auto" w:fill="FFFFFF"/>
          <w:lang w:val="es-ES_tradnl"/>
        </w:rPr>
      </w:pPr>
      <w:r w:rsidRPr="00B27674">
        <w:rPr>
          <w:rFonts w:ascii="Arial" w:hAnsi="Arial" w:cs="Arial"/>
          <w:sz w:val="22"/>
          <w:szCs w:val="22"/>
          <w:shd w:val="clear" w:color="auto" w:fill="FFFFFF"/>
          <w:lang w:val="es-ES_tradnl"/>
        </w:rPr>
        <w:tab/>
      </w:r>
      <w:bookmarkStart w:id="15" w:name="_Hlk100317930"/>
      <w:r w:rsidR="00705978" w:rsidRPr="00B27674">
        <w:rPr>
          <w:rFonts w:ascii="Arial" w:hAnsi="Arial" w:cs="Arial"/>
          <w:sz w:val="22"/>
          <w:szCs w:val="22"/>
          <w:shd w:val="clear" w:color="auto" w:fill="FFFFFF"/>
          <w:lang w:val="es-ES_tradnl"/>
        </w:rPr>
        <w:t>De acuerdo con esto</w:t>
      </w:r>
      <w:r w:rsidRPr="00B27674">
        <w:rPr>
          <w:rFonts w:ascii="Arial" w:hAnsi="Arial" w:cs="Arial"/>
          <w:sz w:val="22"/>
          <w:szCs w:val="22"/>
          <w:shd w:val="clear" w:color="auto" w:fill="FFFFFF"/>
          <w:lang w:val="es-ES_tradnl"/>
        </w:rPr>
        <w:t xml:space="preserve">, </w:t>
      </w:r>
      <w:r w:rsidR="000C3216" w:rsidRPr="00B27674">
        <w:rPr>
          <w:rFonts w:ascii="Arial" w:hAnsi="Arial" w:cs="Arial"/>
          <w:sz w:val="22"/>
          <w:szCs w:val="22"/>
          <w:shd w:val="clear" w:color="auto" w:fill="FFFFFF"/>
          <w:lang w:val="es-ES_tradnl"/>
        </w:rPr>
        <w:t>el artículo 56 de la Ley 2195 de 2021, se limita a hacer</w:t>
      </w:r>
      <w:r w:rsidR="00792369" w:rsidRPr="00B27674">
        <w:rPr>
          <w:rFonts w:ascii="Arial" w:hAnsi="Arial" w:cs="Arial"/>
          <w:sz w:val="22"/>
          <w:szCs w:val="22"/>
          <w:shd w:val="clear" w:color="auto" w:fill="FFFFFF"/>
          <w:lang w:val="es-ES_tradnl"/>
        </w:rPr>
        <w:t xml:space="preserve"> extensiva la aplicación del Estatuto General de Contratación de la Administración Pública y de los documentos tipo a los contratos celebrados por entidades estatales de régimen especial o exceptuado, los patrimonios autónomos, las personas naturales y jurídicas de derecho privado, con ocasión de compromisos derivados de </w:t>
      </w:r>
      <w:r w:rsidR="005509F0" w:rsidRPr="00B27674">
        <w:rPr>
          <w:rFonts w:ascii="Arial" w:hAnsi="Arial" w:cs="Arial"/>
          <w:sz w:val="22"/>
          <w:szCs w:val="22"/>
          <w:shd w:val="clear" w:color="auto" w:fill="FFFFFF"/>
          <w:lang w:val="es-ES_tradnl"/>
        </w:rPr>
        <w:t xml:space="preserve">contratos o convenios con entidades sometidas. Esto significa que la norma no </w:t>
      </w:r>
      <w:r w:rsidR="00987EA3" w:rsidRPr="00B27674">
        <w:rPr>
          <w:rFonts w:ascii="Arial" w:hAnsi="Arial" w:cs="Arial"/>
          <w:sz w:val="22"/>
          <w:szCs w:val="22"/>
          <w:shd w:val="clear" w:color="auto" w:fill="FFFFFF"/>
          <w:lang w:val="es-ES_tradnl"/>
        </w:rPr>
        <w:t xml:space="preserve">modifica </w:t>
      </w:r>
      <w:r w:rsidR="002F2EA9" w:rsidRPr="00B27674">
        <w:rPr>
          <w:rFonts w:ascii="Arial" w:hAnsi="Arial" w:cs="Arial"/>
          <w:sz w:val="22"/>
          <w:szCs w:val="22"/>
          <w:shd w:val="clear" w:color="auto" w:fill="FFFFFF"/>
          <w:lang w:val="es-ES_tradnl"/>
        </w:rPr>
        <w:t xml:space="preserve">todo el régimen jurídico de los </w:t>
      </w:r>
      <w:r w:rsidR="00FD6145" w:rsidRPr="00B27674">
        <w:rPr>
          <w:rFonts w:ascii="Arial" w:hAnsi="Arial" w:cs="Arial"/>
          <w:sz w:val="22"/>
          <w:szCs w:val="22"/>
          <w:shd w:val="clear" w:color="auto" w:fill="FFFFFF"/>
          <w:lang w:val="es-ES_tradnl"/>
        </w:rPr>
        <w:t>mencionados tipos</w:t>
      </w:r>
      <w:r w:rsidR="002F2EA9" w:rsidRPr="00B27674">
        <w:rPr>
          <w:rFonts w:ascii="Arial" w:hAnsi="Arial" w:cs="Arial"/>
          <w:sz w:val="22"/>
          <w:szCs w:val="22"/>
          <w:shd w:val="clear" w:color="auto" w:fill="FFFFFF"/>
          <w:lang w:val="es-ES_tradnl"/>
        </w:rPr>
        <w:t xml:space="preserve"> de entidades, sino que les aplica el régimen </w:t>
      </w:r>
      <w:r w:rsidR="00E60843" w:rsidRPr="00B27674">
        <w:rPr>
          <w:rFonts w:ascii="Arial" w:hAnsi="Arial" w:cs="Arial"/>
          <w:sz w:val="22"/>
          <w:szCs w:val="22"/>
          <w:shd w:val="clear" w:color="auto" w:fill="FFFFFF"/>
          <w:lang w:val="es-ES_tradnl"/>
        </w:rPr>
        <w:t xml:space="preserve">de contratación estatal </w:t>
      </w:r>
      <w:r w:rsidR="00166726" w:rsidRPr="00B27674">
        <w:rPr>
          <w:rFonts w:ascii="Arial" w:hAnsi="Arial" w:cs="Arial"/>
          <w:sz w:val="22"/>
          <w:szCs w:val="22"/>
          <w:shd w:val="clear" w:color="auto" w:fill="FFFFFF"/>
          <w:lang w:val="es-ES_tradnl"/>
        </w:rPr>
        <w:t xml:space="preserve">bajo </w:t>
      </w:r>
      <w:r w:rsidR="00201BD7" w:rsidRPr="00B27674">
        <w:rPr>
          <w:rFonts w:ascii="Arial" w:hAnsi="Arial" w:cs="Arial"/>
          <w:sz w:val="22"/>
          <w:szCs w:val="22"/>
          <w:shd w:val="clear" w:color="auto" w:fill="FFFFFF"/>
          <w:lang w:val="es-ES_tradnl"/>
        </w:rPr>
        <w:t>las precisas</w:t>
      </w:r>
      <w:r w:rsidR="00166726" w:rsidRPr="00B27674">
        <w:rPr>
          <w:rFonts w:ascii="Arial" w:hAnsi="Arial" w:cs="Arial"/>
          <w:sz w:val="22"/>
          <w:szCs w:val="22"/>
          <w:shd w:val="clear" w:color="auto" w:fill="FFFFFF"/>
          <w:lang w:val="es-ES_tradnl"/>
        </w:rPr>
        <w:t xml:space="preserve"> circunstancias</w:t>
      </w:r>
      <w:r w:rsidR="00201BD7" w:rsidRPr="00B27674">
        <w:rPr>
          <w:rFonts w:ascii="Arial" w:hAnsi="Arial" w:cs="Arial"/>
          <w:sz w:val="22"/>
          <w:szCs w:val="22"/>
          <w:shd w:val="clear" w:color="auto" w:fill="FFFFFF"/>
          <w:lang w:val="es-ES_tradnl"/>
        </w:rPr>
        <w:t xml:space="preserve"> analizadas en este concepto</w:t>
      </w:r>
      <w:r w:rsidR="00166726" w:rsidRPr="00B27674">
        <w:rPr>
          <w:rFonts w:ascii="Arial" w:hAnsi="Arial" w:cs="Arial"/>
          <w:sz w:val="22"/>
          <w:szCs w:val="22"/>
          <w:shd w:val="clear" w:color="auto" w:fill="FFFFFF"/>
          <w:lang w:val="es-ES_tradnl"/>
        </w:rPr>
        <w:t xml:space="preserve">. </w:t>
      </w:r>
      <w:r w:rsidR="00E60843" w:rsidRPr="00B27674">
        <w:rPr>
          <w:rFonts w:ascii="Arial" w:hAnsi="Arial" w:cs="Arial"/>
          <w:sz w:val="22"/>
          <w:szCs w:val="22"/>
          <w:shd w:val="clear" w:color="auto" w:fill="FFFFFF"/>
          <w:lang w:val="es-ES_tradnl"/>
        </w:rPr>
        <w:t xml:space="preserve"> </w:t>
      </w:r>
      <w:bookmarkEnd w:id="15"/>
    </w:p>
    <w:p w14:paraId="030FE2F1" w14:textId="3460F29E" w:rsidR="00EB41CD" w:rsidRDefault="00C1238B" w:rsidP="001541A8">
      <w:pPr>
        <w:widowControl w:val="0"/>
        <w:autoSpaceDE w:val="0"/>
        <w:autoSpaceDN w:val="0"/>
        <w:spacing w:before="120" w:line="276" w:lineRule="auto"/>
        <w:ind w:firstLine="709"/>
        <w:jc w:val="both"/>
        <w:rPr>
          <w:rFonts w:ascii="Arial" w:eastAsia="Calibri" w:hAnsi="Arial" w:cs="Arial"/>
          <w:bCs/>
          <w:sz w:val="22"/>
          <w:lang w:val="es-ES_tradnl"/>
        </w:rPr>
      </w:pPr>
      <w:bookmarkStart w:id="16" w:name="_Hlk100318422"/>
      <w:r>
        <w:rPr>
          <w:rFonts w:ascii="Arial" w:eastAsia="Calibri" w:hAnsi="Arial" w:cs="Arial"/>
          <w:bCs/>
          <w:sz w:val="22"/>
          <w:lang w:val="es-ES_tradnl"/>
        </w:rPr>
        <w:t xml:space="preserve">En todo caso, </w:t>
      </w:r>
      <w:r w:rsidRPr="00127BD8">
        <w:rPr>
          <w:rFonts w:ascii="Arial" w:eastAsia="Calibri" w:hAnsi="Arial" w:cs="Arial"/>
          <w:bCs/>
          <w:sz w:val="22"/>
          <w:lang w:val="es-ES_tradnl"/>
        </w:rPr>
        <w:t>son las entidades estatales exceptuadas</w:t>
      </w:r>
      <w:r w:rsidR="00A96CB5">
        <w:rPr>
          <w:rFonts w:ascii="Arial" w:eastAsia="Calibri" w:hAnsi="Arial" w:cs="Arial"/>
          <w:bCs/>
          <w:sz w:val="22"/>
          <w:lang w:val="es-ES_tradnl"/>
        </w:rPr>
        <w:t xml:space="preserve"> del EGCAP</w:t>
      </w:r>
      <w:r w:rsidRPr="00127BD8">
        <w:rPr>
          <w:rFonts w:ascii="Arial" w:eastAsia="Calibri" w:hAnsi="Arial" w:cs="Arial"/>
          <w:bCs/>
          <w:sz w:val="22"/>
          <w:lang w:val="es-ES_tradnl"/>
        </w:rPr>
        <w:t>,</w:t>
      </w:r>
      <w:r>
        <w:rPr>
          <w:rFonts w:ascii="Arial" w:eastAsia="Calibri" w:hAnsi="Arial" w:cs="Arial"/>
          <w:bCs/>
          <w:sz w:val="22"/>
          <w:lang w:val="es-ES_tradnl"/>
        </w:rPr>
        <w:t xml:space="preserve"> los</w:t>
      </w:r>
      <w:r w:rsidRPr="00127BD8">
        <w:rPr>
          <w:rFonts w:ascii="Arial" w:eastAsia="Calibri" w:hAnsi="Arial" w:cs="Arial"/>
          <w:bCs/>
          <w:sz w:val="22"/>
          <w:lang w:val="es-ES_tradnl"/>
        </w:rPr>
        <w:t xml:space="preserve"> patrimonios autónomos, </w:t>
      </w:r>
      <w:r>
        <w:rPr>
          <w:rFonts w:ascii="Arial" w:eastAsia="Calibri" w:hAnsi="Arial" w:cs="Arial"/>
          <w:bCs/>
          <w:sz w:val="22"/>
          <w:lang w:val="es-ES_tradnl"/>
        </w:rPr>
        <w:t xml:space="preserve">y las </w:t>
      </w:r>
      <w:r w:rsidRPr="00127BD8">
        <w:rPr>
          <w:rFonts w:ascii="Arial" w:eastAsia="Calibri" w:hAnsi="Arial" w:cs="Arial"/>
          <w:bCs/>
          <w:sz w:val="22"/>
          <w:lang w:val="es-ES_tradnl"/>
        </w:rPr>
        <w:t>personas naturales y jurídicas de derecho privado, que celebren convenios o contratos con entidades sometidas al EGCAP, a quienes corresponde interpretar la norma analizada para aplicar los efectos que consagra</w:t>
      </w:r>
      <w:r>
        <w:rPr>
          <w:rFonts w:ascii="Arial" w:eastAsia="Calibri" w:hAnsi="Arial" w:cs="Arial"/>
          <w:bCs/>
          <w:sz w:val="22"/>
          <w:lang w:val="es-ES_tradnl"/>
        </w:rPr>
        <w:t xml:space="preserve">, cuando, en desarrollo de esos negocios jurídicos, requieran adquirir bienes, obras o servicios. </w:t>
      </w:r>
      <w:r w:rsidRPr="00B8450B">
        <w:rPr>
          <w:rFonts w:ascii="Arial" w:eastAsia="Calibri" w:hAnsi="Arial" w:cs="Arial"/>
          <w:bCs/>
          <w:sz w:val="22"/>
          <w:lang w:val="es-ES_tradnl"/>
        </w:rPr>
        <w:t>Lo anterior supone que, para determinar si debe aplicar documentos tipo la entidad exceptuada, patrimonio autónomo, persona natural o jurídica de derecho privado deberá verificar, en primer lugar, si la necesidad de contratar el objeto deriva del cumplimiento de un contrato o convenio con una entidad sometida al EGCAP. De ser así, y si se trata de un objeto contractual cobijado por alguno de los documentos tipo vigentes –incluido en alguna de las matrices de experiencia adoptadas por esta Agencia</w:t>
      </w:r>
      <w:r w:rsidR="00353AEA">
        <w:rPr>
          <w:rFonts w:ascii="Arial" w:eastAsia="Calibri" w:hAnsi="Arial" w:cs="Arial"/>
          <w:bCs/>
          <w:sz w:val="22"/>
          <w:lang w:val="es-ES_tradnl"/>
        </w:rPr>
        <w:t>–</w:t>
      </w:r>
      <w:r w:rsidRPr="00B8450B">
        <w:rPr>
          <w:rFonts w:ascii="Arial" w:eastAsia="Calibri" w:hAnsi="Arial" w:cs="Arial"/>
          <w:bCs/>
          <w:sz w:val="22"/>
          <w:lang w:val="es-ES_tradnl"/>
        </w:rPr>
        <w:t>, será obligatoria la aplicación del respectivo documento tipo, al igual que el EGCAP</w:t>
      </w:r>
      <w:r>
        <w:rPr>
          <w:rFonts w:ascii="Arial" w:eastAsia="Calibri" w:hAnsi="Arial" w:cs="Arial"/>
          <w:bCs/>
          <w:sz w:val="22"/>
          <w:lang w:val="es-ES_tradnl"/>
        </w:rPr>
        <w:t xml:space="preserve">, </w:t>
      </w:r>
      <w:r w:rsidR="00655538">
        <w:rPr>
          <w:rFonts w:ascii="Arial" w:eastAsia="Calibri" w:hAnsi="Arial" w:cs="Arial"/>
          <w:bCs/>
          <w:sz w:val="22"/>
          <w:lang w:val="es-ES_tradnl"/>
        </w:rPr>
        <w:t>salvo</w:t>
      </w:r>
      <w:r>
        <w:rPr>
          <w:rFonts w:ascii="Arial" w:eastAsia="Calibri" w:hAnsi="Arial" w:cs="Arial"/>
          <w:bCs/>
          <w:sz w:val="22"/>
          <w:lang w:val="es-ES_tradnl"/>
        </w:rPr>
        <w:t xml:space="preserve"> las excepciones previstas en el parágrafo del referido artículo 56, de acuerdo con las consideraciones realizadas en este concepto. </w:t>
      </w:r>
    </w:p>
    <w:bookmarkEnd w:id="16"/>
    <w:p w14:paraId="17DE54A5" w14:textId="77777777" w:rsidR="00EB41CD" w:rsidRPr="00452EFE" w:rsidRDefault="00EB41CD" w:rsidP="00EB41CD">
      <w:pPr>
        <w:tabs>
          <w:tab w:val="decimal" w:pos="765"/>
          <w:tab w:val="right" w:pos="7371"/>
        </w:tabs>
        <w:ind w:left="709" w:right="709"/>
        <w:jc w:val="both"/>
        <w:rPr>
          <w:rFonts w:ascii="Arial" w:hAnsi="Arial" w:cs="Arial"/>
          <w:bCs/>
          <w:sz w:val="22"/>
          <w:szCs w:val="22"/>
          <w:lang w:val="es-ES"/>
        </w:rPr>
      </w:pPr>
    </w:p>
    <w:p w14:paraId="488E4D5F" w14:textId="69CC038D" w:rsidR="00BB2316" w:rsidRDefault="00EB41CD" w:rsidP="00BB2316">
      <w:pPr>
        <w:tabs>
          <w:tab w:val="decimal" w:pos="765"/>
          <w:tab w:val="right" w:pos="7371"/>
        </w:tabs>
        <w:ind w:left="709" w:right="709"/>
        <w:jc w:val="both"/>
        <w:rPr>
          <w:rFonts w:ascii="Arial" w:hAnsi="Arial" w:cs="Arial"/>
          <w:bCs/>
          <w:sz w:val="21"/>
          <w:szCs w:val="21"/>
          <w:lang w:val="es-ES"/>
        </w:rPr>
      </w:pPr>
      <w:r>
        <w:rPr>
          <w:rFonts w:ascii="Arial" w:hAnsi="Arial" w:cs="Arial"/>
          <w:bCs/>
          <w:sz w:val="21"/>
          <w:szCs w:val="21"/>
          <w:lang w:val="es-ES"/>
        </w:rPr>
        <w:t>«</w:t>
      </w:r>
      <w:r w:rsidRPr="00D05A6C">
        <w:rPr>
          <w:rFonts w:ascii="Arial" w:hAnsi="Arial" w:cs="Arial"/>
          <w:bCs/>
          <w:sz w:val="21"/>
          <w:szCs w:val="21"/>
          <w:lang w:val="es-ES"/>
        </w:rPr>
        <w:t>3. ¿Qué fuerza vinculante podemos aplicar de los conceptos emitidos y que difieren o varían del contenido de la norma?</w:t>
      </w:r>
      <w:r w:rsidR="00BB2316">
        <w:rPr>
          <w:rFonts w:ascii="Arial" w:hAnsi="Arial" w:cs="Arial"/>
          <w:bCs/>
          <w:sz w:val="21"/>
          <w:szCs w:val="21"/>
          <w:lang w:val="es-ES"/>
        </w:rPr>
        <w:t>»</w:t>
      </w:r>
    </w:p>
    <w:p w14:paraId="73165DDF" w14:textId="77777777" w:rsidR="00BB2316" w:rsidRPr="00452EFE" w:rsidRDefault="00BB2316" w:rsidP="00BB2316">
      <w:pPr>
        <w:tabs>
          <w:tab w:val="decimal" w:pos="765"/>
          <w:tab w:val="right" w:pos="7371"/>
        </w:tabs>
        <w:ind w:right="709"/>
        <w:jc w:val="both"/>
        <w:rPr>
          <w:rFonts w:ascii="Arial" w:hAnsi="Arial" w:cs="Arial"/>
          <w:bCs/>
          <w:sz w:val="22"/>
          <w:szCs w:val="22"/>
          <w:lang w:val="es-ES"/>
        </w:rPr>
      </w:pPr>
    </w:p>
    <w:p w14:paraId="2A41A6D9" w14:textId="06487909" w:rsidR="00BB2316" w:rsidRDefault="003B017C" w:rsidP="00BB2316">
      <w:pPr>
        <w:tabs>
          <w:tab w:val="decimal" w:pos="765"/>
          <w:tab w:val="right" w:pos="7371"/>
        </w:tabs>
        <w:spacing w:line="276" w:lineRule="auto"/>
        <w:jc w:val="both"/>
        <w:rPr>
          <w:rFonts w:ascii="Arial" w:hAnsi="Arial" w:cs="Arial"/>
          <w:bCs/>
          <w:sz w:val="21"/>
          <w:szCs w:val="21"/>
          <w:lang w:val="es-ES"/>
        </w:rPr>
      </w:pPr>
      <w:r w:rsidRPr="007169A9">
        <w:rPr>
          <w:rFonts w:ascii="Arial" w:eastAsia="Calibri" w:hAnsi="Arial" w:cs="Arial"/>
          <w:bCs/>
          <w:sz w:val="22"/>
          <w:lang w:val="es-ES"/>
        </w:rPr>
        <w:t xml:space="preserve">En </w:t>
      </w:r>
      <w:r w:rsidRPr="002E7FBC">
        <w:rPr>
          <w:rFonts w:ascii="Arial" w:eastAsia="Calibri" w:hAnsi="Arial" w:cs="Arial"/>
          <w:bCs/>
          <w:sz w:val="22"/>
          <w:lang w:val="es-ES"/>
        </w:rPr>
        <w:t xml:space="preserve">ejercicio de las competencias consagradas en los </w:t>
      </w:r>
      <w:r w:rsidR="00321664" w:rsidRPr="006D54A1">
        <w:rPr>
          <w:rFonts w:ascii="Arial" w:hAnsi="Arial" w:cs="Arial"/>
          <w:bCs/>
          <w:sz w:val="22"/>
          <w:lang w:val="es-ES_tradnl"/>
        </w:rPr>
        <w:t>artículos 3.5 y 11.8 del Decreto Ley 4170 de 2011</w:t>
      </w:r>
      <w:r w:rsidRPr="002E7FBC">
        <w:rPr>
          <w:rFonts w:ascii="Arial" w:eastAsia="Calibri" w:hAnsi="Arial" w:cs="Arial"/>
          <w:bCs/>
          <w:sz w:val="22"/>
          <w:lang w:val="es-ES"/>
        </w:rPr>
        <w:t>, la Agencia Nacional de Contratación Pública – Colombia Compra Eficiente resuelve las consultas sobre los asuntos de su competencia, esto es, sobre las temáticas de contratación estatal y compras públicas relacionadas en los artículos antes referidos. El alcance de la competencia consultiva encuentra fundamento normativo en el artículo 28 de la Ley 1437 de 2011, sustituido por el artículo 1 de la Ley 1755 de 2015</w:t>
      </w:r>
      <w:r w:rsidR="00370912">
        <w:rPr>
          <w:rFonts w:ascii="Arial" w:eastAsia="Calibri" w:hAnsi="Arial" w:cs="Arial"/>
          <w:bCs/>
          <w:sz w:val="22"/>
          <w:lang w:val="es-ES"/>
        </w:rPr>
        <w:t>.</w:t>
      </w:r>
    </w:p>
    <w:p w14:paraId="43C887F3" w14:textId="1AB18A6A" w:rsidR="008764ED" w:rsidRPr="00BB2316" w:rsidRDefault="00CC4748" w:rsidP="00BB2316">
      <w:pPr>
        <w:tabs>
          <w:tab w:val="decimal" w:pos="765"/>
          <w:tab w:val="right" w:pos="7371"/>
        </w:tabs>
        <w:spacing w:before="120" w:line="276" w:lineRule="auto"/>
        <w:ind w:firstLine="765"/>
        <w:jc w:val="both"/>
        <w:rPr>
          <w:rFonts w:ascii="Arial" w:hAnsi="Arial" w:cs="Arial"/>
          <w:bCs/>
          <w:sz w:val="21"/>
          <w:szCs w:val="21"/>
          <w:lang w:val="es-ES"/>
        </w:rPr>
      </w:pPr>
      <w:r>
        <w:rPr>
          <w:rFonts w:ascii="Arial" w:eastAsia="Calibri" w:hAnsi="Arial" w:cs="Arial"/>
          <w:bCs/>
          <w:sz w:val="22"/>
          <w:lang w:val="es-ES"/>
        </w:rPr>
        <w:t>De acuerdo con los razonamientos expuestos previamente en las consideraciones</w:t>
      </w:r>
      <w:r w:rsidR="008764ED" w:rsidRPr="002E7FBC">
        <w:rPr>
          <w:rFonts w:ascii="Arial" w:eastAsia="Calibri" w:hAnsi="Arial" w:cs="Arial"/>
          <w:bCs/>
          <w:sz w:val="22"/>
          <w:lang w:val="es-ES"/>
        </w:rPr>
        <w:t xml:space="preserve">, es posible afirmar que </w:t>
      </w:r>
      <w:r w:rsidR="00A96CB5">
        <w:rPr>
          <w:rFonts w:ascii="Arial" w:eastAsia="Calibri" w:hAnsi="Arial" w:cs="Arial"/>
          <w:bCs/>
          <w:sz w:val="22"/>
          <w:lang w:val="es-ES"/>
        </w:rPr>
        <w:t>los conceptos emitidos por esta Agencia tienen las siguientes características</w:t>
      </w:r>
      <w:r w:rsidR="008764ED" w:rsidRPr="002E7FBC">
        <w:rPr>
          <w:rFonts w:ascii="Arial" w:eastAsia="Calibri" w:hAnsi="Arial" w:cs="Arial"/>
          <w:bCs/>
          <w:sz w:val="22"/>
          <w:lang w:val="es-ES"/>
        </w:rPr>
        <w:t>: i) tienen como objeto la interpretación de normas de carácter general, esto es</w:t>
      </w:r>
      <w:r w:rsidR="00A96CB5">
        <w:rPr>
          <w:rFonts w:ascii="Arial" w:eastAsia="Calibri" w:hAnsi="Arial" w:cs="Arial"/>
          <w:bCs/>
          <w:sz w:val="22"/>
          <w:lang w:val="es-ES"/>
        </w:rPr>
        <w:t>,</w:t>
      </w:r>
      <w:r w:rsidR="008764ED" w:rsidRPr="002E7FBC">
        <w:rPr>
          <w:rFonts w:ascii="Arial" w:eastAsia="Calibri" w:hAnsi="Arial" w:cs="Arial"/>
          <w:bCs/>
          <w:sz w:val="22"/>
          <w:lang w:val="es-ES"/>
        </w:rPr>
        <w:t xml:space="preserve"> del ordenamiento jurídico en abstracto</w:t>
      </w:r>
      <w:r w:rsidR="00A96CB5">
        <w:rPr>
          <w:rFonts w:ascii="Arial" w:eastAsia="Calibri" w:hAnsi="Arial" w:cs="Arial"/>
          <w:bCs/>
          <w:sz w:val="22"/>
          <w:lang w:val="es-ES"/>
        </w:rPr>
        <w:t xml:space="preserve">, por lo que no están dirigidos a </w:t>
      </w:r>
      <w:r w:rsidR="008764ED" w:rsidRPr="002E7FBC">
        <w:rPr>
          <w:rFonts w:ascii="Arial" w:eastAsia="Calibri" w:hAnsi="Arial" w:cs="Arial"/>
          <w:bCs/>
          <w:sz w:val="22"/>
          <w:lang w:val="es-ES"/>
        </w:rPr>
        <w:t>la resolución de controversias o la asesoría para casos concretos</w:t>
      </w:r>
      <w:r w:rsidR="00A96CB5">
        <w:rPr>
          <w:rFonts w:ascii="Arial" w:eastAsia="Calibri" w:hAnsi="Arial" w:cs="Arial"/>
          <w:bCs/>
          <w:sz w:val="22"/>
          <w:lang w:val="es-ES"/>
        </w:rPr>
        <w:t>;</w:t>
      </w:r>
      <w:r w:rsidR="008764ED" w:rsidRPr="002E7FBC">
        <w:rPr>
          <w:rFonts w:ascii="Arial" w:eastAsia="Calibri" w:hAnsi="Arial" w:cs="Arial"/>
          <w:bCs/>
          <w:sz w:val="22"/>
          <w:lang w:val="es-ES"/>
        </w:rPr>
        <w:t xml:space="preserve"> ii) no son vinculantes o de obligatorio cumplimiento para el destinatario</w:t>
      </w:r>
      <w:r w:rsidR="00A96CB5">
        <w:rPr>
          <w:rFonts w:ascii="Arial" w:eastAsia="Calibri" w:hAnsi="Arial" w:cs="Arial"/>
          <w:bCs/>
          <w:sz w:val="22"/>
          <w:lang w:val="es-ES"/>
        </w:rPr>
        <w:t xml:space="preserve">; sino que, iii) </w:t>
      </w:r>
      <w:r w:rsidR="008764ED" w:rsidRPr="002E7FBC">
        <w:rPr>
          <w:rFonts w:ascii="Arial" w:eastAsia="Calibri" w:hAnsi="Arial" w:cs="Arial"/>
          <w:bCs/>
          <w:sz w:val="22"/>
          <w:lang w:val="es-ES"/>
        </w:rPr>
        <w:t xml:space="preserve">expresan la posición interpretativa del ente que ha elaborado el concepto. </w:t>
      </w:r>
    </w:p>
    <w:p w14:paraId="457AEF77" w14:textId="2817CEC3" w:rsidR="00AF0274" w:rsidRDefault="000614CC" w:rsidP="000614CC">
      <w:pPr>
        <w:spacing w:before="120" w:after="120" w:line="276" w:lineRule="auto"/>
        <w:ind w:firstLine="709"/>
        <w:jc w:val="both"/>
        <w:rPr>
          <w:rFonts w:ascii="Arial" w:hAnsi="Arial" w:cs="Arial"/>
          <w:sz w:val="22"/>
          <w:lang w:val="es-ES_tradnl"/>
        </w:rPr>
      </w:pPr>
      <w:r>
        <w:rPr>
          <w:rFonts w:ascii="Arial" w:hAnsi="Arial" w:cs="Arial"/>
          <w:sz w:val="22"/>
          <w:lang w:val="es-ES_tradnl"/>
        </w:rPr>
        <w:t>De esta forma</w:t>
      </w:r>
      <w:r w:rsidR="00AF0274" w:rsidRPr="002E7FBC">
        <w:rPr>
          <w:rFonts w:ascii="Arial" w:eastAsia="Calibri" w:hAnsi="Arial" w:cs="Arial"/>
          <w:bCs/>
          <w:sz w:val="22"/>
          <w:lang w:val="es-ES"/>
        </w:rPr>
        <w:t xml:space="preserve">, es preciso advertir que las respuestas emitidas como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Ello explica que la Agencia, </w:t>
      </w:r>
      <w:r w:rsidR="00321664">
        <w:rPr>
          <w:rFonts w:ascii="Arial" w:eastAsia="Calibri" w:hAnsi="Arial" w:cs="Arial"/>
          <w:bCs/>
          <w:sz w:val="22"/>
          <w:lang w:val="es-ES"/>
        </w:rPr>
        <w:t>en determinados casos</w:t>
      </w:r>
      <w:r w:rsidR="00AF0274" w:rsidRPr="002E7FBC">
        <w:rPr>
          <w:rFonts w:ascii="Arial" w:eastAsia="Calibri" w:hAnsi="Arial" w:cs="Arial"/>
          <w:bCs/>
          <w:sz w:val="22"/>
          <w:lang w:val="es-ES"/>
        </w:rPr>
        <w:t>, se haya negado a absolver este tipo de consultas</w:t>
      </w:r>
      <w:r w:rsidR="002E6431">
        <w:rPr>
          <w:rFonts w:ascii="Arial" w:eastAsia="Calibri" w:hAnsi="Arial" w:cs="Arial"/>
          <w:sz w:val="22"/>
          <w:lang w:val="es-ES"/>
        </w:rPr>
        <w:t>.</w:t>
      </w:r>
    </w:p>
    <w:p w14:paraId="7C76BBB7" w14:textId="77EACC7E" w:rsidR="00B2491A" w:rsidRPr="00370912" w:rsidRDefault="007C5F47" w:rsidP="00370912">
      <w:pPr>
        <w:tabs>
          <w:tab w:val="left" w:pos="709"/>
        </w:tabs>
        <w:spacing w:line="276" w:lineRule="auto"/>
        <w:ind w:firstLine="709"/>
        <w:jc w:val="both"/>
        <w:rPr>
          <w:rFonts w:ascii="Arial" w:eastAsia="Calibri" w:hAnsi="Arial" w:cs="Arial"/>
          <w:bCs/>
          <w:sz w:val="22"/>
          <w:lang w:val="es-ES"/>
        </w:rPr>
      </w:pPr>
      <w:r>
        <w:rPr>
          <w:rFonts w:ascii="Arial" w:eastAsia="Calibri" w:hAnsi="Arial" w:cs="Arial"/>
          <w:bCs/>
          <w:sz w:val="22"/>
          <w:lang w:val="es-ES"/>
        </w:rPr>
        <w:t xml:space="preserve">Sin perjuicio de lo anterior, es importante destacar que la función consultiva y, en consecuencia, la elaboración de conceptos por parte de la Subdirección de Gestión Contractual de esta </w:t>
      </w:r>
      <w:r w:rsidR="001265C0">
        <w:rPr>
          <w:rFonts w:ascii="Arial" w:eastAsia="Calibri" w:hAnsi="Arial" w:cs="Arial"/>
          <w:bCs/>
          <w:sz w:val="22"/>
          <w:lang w:val="es-ES"/>
        </w:rPr>
        <w:t>Agencia</w:t>
      </w:r>
      <w:r>
        <w:rPr>
          <w:rFonts w:ascii="Arial" w:eastAsia="Calibri" w:hAnsi="Arial" w:cs="Arial"/>
          <w:bCs/>
          <w:sz w:val="22"/>
          <w:lang w:val="es-ES"/>
        </w:rPr>
        <w:t xml:space="preserve"> se realiza bajo estrictos estándares argumentativos, de conformidad con las leyes, la jurisprudencia y las demás normas que resulten aplicables a </w:t>
      </w:r>
      <w:r w:rsidR="00321664">
        <w:rPr>
          <w:rFonts w:ascii="Arial" w:eastAsia="Calibri" w:hAnsi="Arial" w:cs="Arial"/>
          <w:bCs/>
          <w:sz w:val="22"/>
          <w:lang w:val="es-ES"/>
        </w:rPr>
        <w:t>las consultas</w:t>
      </w:r>
      <w:r>
        <w:rPr>
          <w:rFonts w:ascii="Arial" w:eastAsia="Calibri" w:hAnsi="Arial" w:cs="Arial"/>
          <w:bCs/>
          <w:sz w:val="22"/>
          <w:lang w:val="es-ES"/>
        </w:rPr>
        <w:t xml:space="preserve"> objeto de análisis.</w:t>
      </w:r>
    </w:p>
    <w:p w14:paraId="510F413F" w14:textId="77777777" w:rsidR="000E22BA" w:rsidRPr="00B27674" w:rsidRDefault="000E22BA" w:rsidP="00EE0455">
      <w:pPr>
        <w:jc w:val="both"/>
        <w:rPr>
          <w:rFonts w:ascii="Arial" w:hAnsi="Arial" w:cs="Arial"/>
          <w:sz w:val="22"/>
          <w:lang w:val="es-ES_tradnl"/>
        </w:rPr>
      </w:pPr>
    </w:p>
    <w:p w14:paraId="7B2C921D" w14:textId="37DC1C97" w:rsidR="00DD5B04" w:rsidRPr="00B27674" w:rsidRDefault="00DD5B04" w:rsidP="00DF76A2">
      <w:pPr>
        <w:spacing w:line="276" w:lineRule="auto"/>
        <w:jc w:val="both"/>
        <w:rPr>
          <w:rFonts w:ascii="Arial" w:hAnsi="Arial" w:cs="Arial"/>
          <w:sz w:val="22"/>
          <w:lang w:val="es-ES_tradnl"/>
        </w:rPr>
      </w:pPr>
      <w:r w:rsidRPr="00B27674">
        <w:rPr>
          <w:rFonts w:ascii="Arial" w:hAnsi="Arial" w:cs="Arial"/>
          <w:sz w:val="22"/>
          <w:lang w:val="es-ES_tradnl"/>
        </w:rPr>
        <w:t>Este concepto tiene el alcance previsto en el artículo 28 del Código de Procedimiento Administrativo y de lo Contencioso Administrativo.</w:t>
      </w:r>
    </w:p>
    <w:p w14:paraId="77EE5912" w14:textId="50869E2D" w:rsidR="00DD5B04" w:rsidRPr="00B27674"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04D3CD2F" w:rsidR="00DD5B04" w:rsidRPr="00B27674"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B27674">
        <w:rPr>
          <w:rFonts w:ascii="Arial" w:hAnsi="Arial" w:cs="Arial"/>
          <w:sz w:val="22"/>
          <w:szCs w:val="22"/>
          <w:lang w:val="es-ES_tradnl"/>
        </w:rPr>
        <w:t>Atentamente,</w:t>
      </w:r>
    </w:p>
    <w:p w14:paraId="61266368" w14:textId="1A3A94FD" w:rsidR="00FD6145" w:rsidRPr="00B27674" w:rsidRDefault="00FD6145" w:rsidP="00FD6145">
      <w:pPr>
        <w:jc w:val="center"/>
        <w:rPr>
          <w:rFonts w:ascii="Arial" w:hAnsi="Arial" w:cs="Arial"/>
          <w:sz w:val="18"/>
          <w:szCs w:val="20"/>
          <w:lang w:eastAsia="es-CO"/>
        </w:rPr>
      </w:pPr>
    </w:p>
    <w:p w14:paraId="18C06619" w14:textId="077E3C5B" w:rsidR="00FD6145" w:rsidRPr="00B27674" w:rsidRDefault="00EC17C1" w:rsidP="00FD6145">
      <w:pPr>
        <w:jc w:val="center"/>
        <w:rPr>
          <w:rFonts w:ascii="Arial" w:hAnsi="Arial" w:cs="Arial"/>
          <w:sz w:val="18"/>
          <w:szCs w:val="20"/>
          <w:lang w:eastAsia="es-CO"/>
        </w:rPr>
      </w:pPr>
      <w:r>
        <w:rPr>
          <w:rFonts w:ascii="Arial" w:hAnsi="Arial" w:cs="Arial"/>
          <w:noProof/>
          <w:color w:val="000000" w:themeColor="text1"/>
          <w:sz w:val="18"/>
          <w:szCs w:val="20"/>
        </w:rPr>
        <w:drawing>
          <wp:inline distT="0" distB="0" distL="0" distR="0" wp14:anchorId="10DE1786" wp14:editId="333931F4">
            <wp:extent cx="2707574" cy="1154398"/>
            <wp:effectExtent l="0" t="0" r="0" b="825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7012" cy="1158422"/>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697A76" w:rsidRPr="00B27674" w14:paraId="1BAC2C00" w14:textId="77777777" w:rsidTr="00681E7E">
        <w:trPr>
          <w:trHeight w:val="315"/>
        </w:trPr>
        <w:tc>
          <w:tcPr>
            <w:tcW w:w="812" w:type="dxa"/>
            <w:vAlign w:val="center"/>
            <w:hideMark/>
          </w:tcPr>
          <w:p w14:paraId="28199457" w14:textId="77777777" w:rsidR="00FD6145" w:rsidRPr="00B27674" w:rsidRDefault="00FD6145" w:rsidP="00681E7E">
            <w:pPr>
              <w:rPr>
                <w:rFonts w:ascii="Arial" w:hAnsi="Arial" w:cs="Arial"/>
                <w:sz w:val="16"/>
                <w:szCs w:val="16"/>
                <w:lang w:eastAsia="es-ES"/>
              </w:rPr>
            </w:pPr>
            <w:r w:rsidRPr="00B27674">
              <w:rPr>
                <w:rFonts w:ascii="Arial" w:hAnsi="Arial" w:cs="Arial"/>
                <w:sz w:val="16"/>
                <w:szCs w:val="16"/>
                <w:lang w:eastAsia="es-ES"/>
              </w:rPr>
              <w:t>Elaboró:</w:t>
            </w:r>
          </w:p>
        </w:tc>
        <w:tc>
          <w:tcPr>
            <w:tcW w:w="4291" w:type="dxa"/>
            <w:tcBorders>
              <w:top w:val="nil"/>
              <w:left w:val="nil"/>
              <w:bottom w:val="dotted" w:sz="4" w:space="0" w:color="7F7F7F" w:themeColor="text1" w:themeTint="80"/>
              <w:right w:val="nil"/>
            </w:tcBorders>
            <w:vAlign w:val="center"/>
            <w:hideMark/>
          </w:tcPr>
          <w:p w14:paraId="785C9D7A" w14:textId="42C5AEEA" w:rsidR="00FD6145" w:rsidRPr="00B27674" w:rsidRDefault="00FE4306" w:rsidP="00681E7E">
            <w:pPr>
              <w:rPr>
                <w:rFonts w:ascii="Arial" w:hAnsi="Arial" w:cs="Arial"/>
                <w:sz w:val="16"/>
                <w:szCs w:val="16"/>
                <w:lang w:eastAsia="es-ES"/>
              </w:rPr>
            </w:pPr>
            <w:r>
              <w:rPr>
                <w:rFonts w:ascii="Arial" w:hAnsi="Arial" w:cs="Arial"/>
                <w:sz w:val="16"/>
                <w:szCs w:val="16"/>
                <w:lang w:eastAsia="es-ES"/>
              </w:rPr>
              <w:t>Kevin Arlid Herrera Santa</w:t>
            </w:r>
          </w:p>
          <w:p w14:paraId="1412434A" w14:textId="1F532BDA" w:rsidR="00FD6145" w:rsidRPr="00B27674" w:rsidRDefault="00FE4306" w:rsidP="00681E7E">
            <w:pPr>
              <w:rPr>
                <w:rFonts w:ascii="Arial" w:hAnsi="Arial" w:cs="Arial"/>
                <w:sz w:val="16"/>
                <w:szCs w:val="16"/>
                <w:lang w:eastAsia="es-ES"/>
              </w:rPr>
            </w:pPr>
            <w:r>
              <w:rPr>
                <w:rFonts w:ascii="Arial" w:hAnsi="Arial" w:cs="Arial"/>
                <w:sz w:val="16"/>
                <w:szCs w:val="16"/>
                <w:lang w:eastAsia="es-ES"/>
              </w:rPr>
              <w:t>Analista T2</w:t>
            </w:r>
            <w:r w:rsidR="00FD6145" w:rsidRPr="00B27674">
              <w:rPr>
                <w:rFonts w:ascii="Arial" w:hAnsi="Arial" w:cs="Arial"/>
                <w:sz w:val="16"/>
                <w:szCs w:val="16"/>
                <w:lang w:eastAsia="es-ES"/>
              </w:rPr>
              <w:t>-</w:t>
            </w:r>
            <w:r>
              <w:rPr>
                <w:rFonts w:ascii="Arial" w:hAnsi="Arial" w:cs="Arial"/>
                <w:sz w:val="16"/>
                <w:szCs w:val="16"/>
                <w:lang w:eastAsia="es-ES"/>
              </w:rPr>
              <w:t>04</w:t>
            </w:r>
            <w:r w:rsidR="00FD6145" w:rsidRPr="00B27674">
              <w:rPr>
                <w:rFonts w:ascii="Arial" w:hAnsi="Arial" w:cs="Arial"/>
                <w:sz w:val="16"/>
                <w:szCs w:val="16"/>
                <w:lang w:eastAsia="es-ES"/>
              </w:rPr>
              <w:t xml:space="preserve"> de la Subdirección de Gestión Contractual</w:t>
            </w:r>
          </w:p>
        </w:tc>
      </w:tr>
      <w:tr w:rsidR="00697A76" w:rsidRPr="00B27674" w14:paraId="1FFF055B" w14:textId="77777777" w:rsidTr="00681E7E">
        <w:trPr>
          <w:trHeight w:val="330"/>
        </w:trPr>
        <w:tc>
          <w:tcPr>
            <w:tcW w:w="812" w:type="dxa"/>
            <w:vAlign w:val="center"/>
            <w:hideMark/>
          </w:tcPr>
          <w:p w14:paraId="3720C5BB" w14:textId="77777777" w:rsidR="00FD6145" w:rsidRPr="00B27674" w:rsidRDefault="00FD6145" w:rsidP="00681E7E">
            <w:pPr>
              <w:rPr>
                <w:rFonts w:ascii="Arial" w:hAnsi="Arial" w:cs="Arial"/>
                <w:sz w:val="16"/>
                <w:szCs w:val="16"/>
                <w:lang w:eastAsia="es-ES"/>
              </w:rPr>
            </w:pPr>
            <w:r w:rsidRPr="00B27674">
              <w:rPr>
                <w:rFonts w:ascii="Arial" w:hAnsi="Arial" w:cs="Arial"/>
                <w:sz w:val="16"/>
                <w:szCs w:val="16"/>
                <w:lang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1CF853F0" w14:textId="77777777" w:rsidR="00EC0634" w:rsidRPr="00ED66B7" w:rsidRDefault="00EC0634" w:rsidP="00EC0634">
            <w:pPr>
              <w:rPr>
                <w:rFonts w:ascii="Arial" w:hAnsi="Arial" w:cs="Arial"/>
                <w:sz w:val="16"/>
                <w:szCs w:val="16"/>
                <w:lang w:eastAsia="es-ES"/>
              </w:rPr>
            </w:pPr>
            <w:r>
              <w:rPr>
                <w:rFonts w:ascii="Arial" w:hAnsi="Arial" w:cs="Arial"/>
                <w:sz w:val="16"/>
                <w:szCs w:val="16"/>
                <w:lang w:eastAsia="es-ES"/>
              </w:rPr>
              <w:t>Sebastián Ramírez Grisales</w:t>
            </w:r>
          </w:p>
          <w:p w14:paraId="7DC23F30" w14:textId="724661B3" w:rsidR="00FD6145" w:rsidRPr="00B27674" w:rsidRDefault="00EC0634" w:rsidP="00FE4306">
            <w:pPr>
              <w:rPr>
                <w:rFonts w:ascii="Arial" w:hAnsi="Arial" w:cs="Arial"/>
                <w:sz w:val="16"/>
                <w:szCs w:val="16"/>
                <w:lang w:eastAsia="es-ES"/>
              </w:rPr>
            </w:pPr>
            <w:r>
              <w:rPr>
                <w:rFonts w:ascii="Arial" w:hAnsi="Arial" w:cs="Arial"/>
                <w:sz w:val="16"/>
                <w:szCs w:val="16"/>
                <w:lang w:eastAsia="es-ES"/>
              </w:rPr>
              <w:t xml:space="preserve">Contratista </w:t>
            </w:r>
            <w:r w:rsidRPr="00ED66B7">
              <w:rPr>
                <w:rFonts w:ascii="Arial" w:hAnsi="Arial" w:cs="Arial"/>
                <w:sz w:val="16"/>
                <w:szCs w:val="16"/>
                <w:lang w:eastAsia="es-ES"/>
              </w:rPr>
              <w:t>de la Subdirección de Gestión Contractual</w:t>
            </w:r>
          </w:p>
        </w:tc>
      </w:tr>
      <w:tr w:rsidR="005264A0" w:rsidRPr="00697A76" w14:paraId="6282D584" w14:textId="77777777" w:rsidTr="00681E7E">
        <w:trPr>
          <w:trHeight w:val="300"/>
        </w:trPr>
        <w:tc>
          <w:tcPr>
            <w:tcW w:w="812" w:type="dxa"/>
            <w:vAlign w:val="center"/>
            <w:hideMark/>
          </w:tcPr>
          <w:p w14:paraId="157D43B6" w14:textId="77777777" w:rsidR="00FD6145" w:rsidRPr="00B27674" w:rsidRDefault="00FD6145" w:rsidP="00681E7E">
            <w:pPr>
              <w:rPr>
                <w:rFonts w:ascii="Arial" w:hAnsi="Arial" w:cs="Arial"/>
                <w:sz w:val="16"/>
                <w:szCs w:val="16"/>
                <w:lang w:eastAsia="es-ES"/>
              </w:rPr>
            </w:pPr>
            <w:r w:rsidRPr="00B27674">
              <w:rPr>
                <w:rFonts w:ascii="Arial" w:hAnsi="Arial" w:cs="Arial"/>
                <w:sz w:val="16"/>
                <w:szCs w:val="16"/>
                <w:lang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4671AC18" w14:textId="77777777" w:rsidR="00EC0634" w:rsidRPr="006D1F46" w:rsidRDefault="00EC0634" w:rsidP="00EC0634">
            <w:pPr>
              <w:rPr>
                <w:rFonts w:ascii="Arial" w:hAnsi="Arial" w:cs="Arial"/>
                <w:color w:val="000000"/>
                <w:sz w:val="16"/>
                <w:szCs w:val="16"/>
                <w:lang w:val="es-ES_tradnl" w:eastAsia="es-ES"/>
              </w:rPr>
            </w:pPr>
            <w:r>
              <w:rPr>
                <w:rFonts w:ascii="Arial" w:hAnsi="Arial" w:cs="Arial"/>
                <w:color w:val="000000"/>
                <w:sz w:val="16"/>
                <w:szCs w:val="16"/>
                <w:lang w:val="es-ES_tradnl" w:eastAsia="es-ES"/>
              </w:rPr>
              <w:t>Andrés Ricardo Mancipe González</w:t>
            </w:r>
          </w:p>
          <w:p w14:paraId="3EEB4354" w14:textId="409E86EF" w:rsidR="00FD6145" w:rsidRPr="00697A76" w:rsidRDefault="00EC0634" w:rsidP="00681E7E">
            <w:pPr>
              <w:rPr>
                <w:rFonts w:ascii="Arial" w:hAnsi="Arial" w:cs="Arial"/>
                <w:sz w:val="16"/>
                <w:szCs w:val="16"/>
                <w:lang w:eastAsia="es-ES"/>
              </w:rPr>
            </w:pPr>
            <w:r w:rsidRPr="006D1F46">
              <w:rPr>
                <w:rFonts w:ascii="Arial" w:hAnsi="Arial" w:cs="Arial"/>
                <w:color w:val="000000"/>
                <w:sz w:val="16"/>
                <w:szCs w:val="16"/>
                <w:lang w:val="es-ES_tradnl" w:eastAsia="es-ES"/>
              </w:rPr>
              <w:t xml:space="preserve">Subdirector de Gestión Contractual </w:t>
            </w:r>
            <w:r>
              <w:rPr>
                <w:rFonts w:ascii="Arial" w:hAnsi="Arial" w:cs="Arial"/>
                <w:color w:val="000000"/>
                <w:sz w:val="16"/>
                <w:szCs w:val="16"/>
                <w:lang w:val="es-ES_tradnl" w:eastAsia="es-ES"/>
              </w:rPr>
              <w:t>(E)</w:t>
            </w:r>
          </w:p>
        </w:tc>
      </w:tr>
      <w:bookmarkEnd w:id="2"/>
    </w:tbl>
    <w:p w14:paraId="35B56F46" w14:textId="77777777" w:rsidR="00746E08" w:rsidRPr="00697A76" w:rsidRDefault="00746E08" w:rsidP="00215B8E">
      <w:pPr>
        <w:jc w:val="both"/>
        <w:rPr>
          <w:rFonts w:ascii="Arial" w:hAnsi="Arial" w:cs="Arial"/>
          <w:lang w:val="es-ES_tradnl"/>
        </w:rPr>
      </w:pPr>
    </w:p>
    <w:sectPr w:rsidR="00746E08" w:rsidRPr="00697A76" w:rsidSect="005312B9">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23E9E" w14:textId="77777777" w:rsidR="00AF637F" w:rsidRDefault="00AF637F">
      <w:r>
        <w:separator/>
      </w:r>
    </w:p>
  </w:endnote>
  <w:endnote w:type="continuationSeparator" w:id="0">
    <w:p w14:paraId="29222F5A" w14:textId="77777777" w:rsidR="00AF637F" w:rsidRDefault="00AF637F">
      <w:r>
        <w:continuationSeparator/>
      </w:r>
    </w:p>
  </w:endnote>
  <w:endnote w:type="continuationNotice" w:id="1">
    <w:p w14:paraId="72A7E4FA" w14:textId="77777777" w:rsidR="00AF637F" w:rsidRDefault="00AF6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3ED02" w14:textId="77777777" w:rsidR="00AF637F" w:rsidRDefault="00AF637F">
      <w:r>
        <w:separator/>
      </w:r>
    </w:p>
  </w:footnote>
  <w:footnote w:type="continuationSeparator" w:id="0">
    <w:p w14:paraId="660FEFDD" w14:textId="77777777" w:rsidR="00AF637F" w:rsidRDefault="00AF637F">
      <w:r>
        <w:continuationSeparator/>
      </w:r>
    </w:p>
  </w:footnote>
  <w:footnote w:type="continuationNotice" w:id="1">
    <w:p w14:paraId="06F180A0" w14:textId="77777777" w:rsidR="00AF637F" w:rsidRDefault="00AF637F"/>
  </w:footnote>
  <w:footnote w:id="2">
    <w:p w14:paraId="1EBCFA9D" w14:textId="77777777" w:rsidR="00133011" w:rsidRPr="00B97354" w:rsidRDefault="00133011" w:rsidP="00133011">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EE9C5D4" w14:textId="5E3BEE2B" w:rsidR="00272393" w:rsidRPr="0066586E" w:rsidRDefault="00272393" w:rsidP="002A0F18">
      <w:pPr>
        <w:pStyle w:val="Textonotapie"/>
        <w:ind w:firstLine="708"/>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Los conceptos indicados pueden consultarse en el siguiente enlace: </w:t>
      </w:r>
      <w:hyperlink r:id="rId1" w:history="1">
        <w:r w:rsidR="00697A76" w:rsidRPr="0066586E">
          <w:rPr>
            <w:rStyle w:val="Hipervnculo"/>
            <w:rFonts w:ascii="Arial" w:hAnsi="Arial" w:cs="Arial"/>
            <w:color w:val="auto"/>
            <w:sz w:val="19"/>
            <w:szCs w:val="19"/>
          </w:rPr>
          <w:t>https://relatoria.colombiacompra.gov.co/busqueda/conceptos</w:t>
        </w:r>
      </w:hyperlink>
      <w:r w:rsidRPr="0066586E">
        <w:rPr>
          <w:rFonts w:ascii="Arial" w:hAnsi="Arial" w:cs="Arial"/>
          <w:sz w:val="19"/>
          <w:szCs w:val="19"/>
        </w:rPr>
        <w:t>.</w:t>
      </w:r>
    </w:p>
    <w:p w14:paraId="7787F768" w14:textId="77777777" w:rsidR="00697A76" w:rsidRPr="0066586E" w:rsidRDefault="00697A76">
      <w:pPr>
        <w:pStyle w:val="Textonotapie"/>
        <w:ind w:firstLine="708"/>
        <w:jc w:val="both"/>
        <w:rPr>
          <w:rFonts w:ascii="Arial" w:hAnsi="Arial" w:cs="Arial"/>
          <w:sz w:val="19"/>
          <w:szCs w:val="19"/>
        </w:rPr>
      </w:pPr>
    </w:p>
  </w:footnote>
  <w:footnote w:id="4">
    <w:p w14:paraId="54E44D50" w14:textId="0ABEECC4" w:rsidR="00C84238" w:rsidRDefault="00B67CED">
      <w:pPr>
        <w:pStyle w:val="Textonotapie"/>
        <w:ind w:firstLine="709"/>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598DDE0A" w14:textId="77777777" w:rsidR="006A3A0E" w:rsidRPr="006A3A0E" w:rsidRDefault="006A3A0E">
      <w:pPr>
        <w:pStyle w:val="Textonotapie"/>
        <w:ind w:firstLine="709"/>
        <w:jc w:val="both"/>
        <w:rPr>
          <w:rFonts w:ascii="Arial" w:hAnsi="Arial" w:cs="Arial"/>
          <w:sz w:val="19"/>
          <w:szCs w:val="19"/>
        </w:rPr>
      </w:pPr>
    </w:p>
  </w:footnote>
  <w:footnote w:id="5">
    <w:p w14:paraId="696AB9E5" w14:textId="6CCF38F9" w:rsidR="00B67CED" w:rsidRPr="0066586E" w:rsidRDefault="00B67CED">
      <w:pPr>
        <w:pStyle w:val="Textonotapie"/>
        <w:ind w:firstLine="709"/>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w:t>
      </w:r>
      <w:r w:rsidRPr="0066586E">
        <w:rPr>
          <w:rFonts w:ascii="Arial" w:hAnsi="Arial" w:cs="Arial"/>
          <w:sz w:val="19"/>
          <w:szCs w:val="19"/>
          <w:lang w:val="es-CO"/>
        </w:rPr>
        <w:t>Ley 1882 de 2018: «Artículo 4.</w:t>
      </w:r>
      <w:r w:rsidR="00661118" w:rsidRPr="0066586E">
        <w:rPr>
          <w:rFonts w:ascii="Arial" w:hAnsi="Arial" w:cs="Arial"/>
          <w:sz w:val="19"/>
          <w:szCs w:val="19"/>
          <w:lang w:val="es-CO"/>
        </w:rPr>
        <w:t xml:space="preserve"> </w:t>
      </w:r>
      <w:r w:rsidRPr="0066586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66586E" w:rsidRDefault="00B67CED">
      <w:pPr>
        <w:pStyle w:val="Textonotapie"/>
        <w:ind w:firstLine="709"/>
        <w:jc w:val="both"/>
        <w:rPr>
          <w:rFonts w:ascii="Arial" w:hAnsi="Arial" w:cs="Arial"/>
          <w:sz w:val="19"/>
          <w:szCs w:val="19"/>
          <w:lang w:val="es-CO"/>
        </w:rPr>
      </w:pPr>
      <w:r w:rsidRPr="0066586E">
        <w:rPr>
          <w:rFonts w:ascii="Arial" w:hAnsi="Arial" w:cs="Arial"/>
          <w:sz w:val="19"/>
          <w:szCs w:val="19"/>
          <w:lang w:val="es-CO"/>
        </w:rPr>
        <w:t>»La facultad de adoptar documentos tipo la tendrá el Gobierno nacional, cuando lo considere necesario, en relación con otros contratos o procesos de selección.</w:t>
      </w:r>
    </w:p>
    <w:p w14:paraId="0A291D68" w14:textId="678C75E8" w:rsidR="00B67CED" w:rsidRPr="0066586E" w:rsidRDefault="00B67CED">
      <w:pPr>
        <w:pStyle w:val="Textonotapie"/>
        <w:ind w:firstLine="709"/>
        <w:jc w:val="both"/>
        <w:rPr>
          <w:rFonts w:ascii="Arial" w:hAnsi="Arial" w:cs="Arial"/>
          <w:sz w:val="19"/>
          <w:szCs w:val="19"/>
          <w:lang w:val="es-CO"/>
        </w:rPr>
      </w:pPr>
      <w:r w:rsidRPr="0066586E">
        <w:rPr>
          <w:rFonts w:ascii="Arial" w:hAnsi="Arial" w:cs="Arial"/>
          <w:sz w:val="19"/>
          <w:szCs w:val="19"/>
          <w:lang w:val="es-CO"/>
        </w:rPr>
        <w:t>»Los pliegos tipo se adoptarán por categorías de acuerdo con la cuantía de la contratación, según la reglamentación que expida el Gobierno nacional».</w:t>
      </w:r>
    </w:p>
  </w:footnote>
  <w:footnote w:id="6">
    <w:p w14:paraId="1E4306E5" w14:textId="5576CB08" w:rsidR="00B67CED" w:rsidRDefault="00B67CED">
      <w:pPr>
        <w:pStyle w:val="Textonotapie"/>
        <w:ind w:firstLine="709"/>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4957CAFF" w14:textId="77777777" w:rsidR="00C84238" w:rsidRPr="0066586E" w:rsidRDefault="00C84238">
      <w:pPr>
        <w:pStyle w:val="Textonotapie"/>
        <w:ind w:firstLine="709"/>
        <w:jc w:val="both"/>
        <w:rPr>
          <w:rFonts w:ascii="Arial" w:hAnsi="Arial" w:cs="Arial"/>
          <w:sz w:val="19"/>
          <w:szCs w:val="19"/>
        </w:rPr>
      </w:pPr>
    </w:p>
  </w:footnote>
  <w:footnote w:id="7">
    <w:p w14:paraId="08642F66" w14:textId="3AA06E81" w:rsidR="00A90557" w:rsidRPr="0066586E" w:rsidRDefault="00A90557">
      <w:pPr>
        <w:pStyle w:val="NormalWeb"/>
        <w:spacing w:before="0" w:beforeAutospacing="0" w:after="0" w:afterAutospacing="0"/>
        <w:ind w:firstLine="708"/>
        <w:jc w:val="both"/>
        <w:rPr>
          <w:rFonts w:ascii="Arial" w:hAnsi="Arial" w:cs="Arial"/>
          <w:color w:val="000000"/>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Ley 2022 de 2020: «</w:t>
      </w:r>
      <w:r w:rsidRPr="0066586E">
        <w:rPr>
          <w:rStyle w:val="Textoennegrita"/>
          <w:rFonts w:ascii="Arial" w:hAnsi="Arial" w:cs="Arial"/>
          <w:b w:val="0"/>
          <w:bCs w:val="0"/>
          <w:color w:val="000000"/>
          <w:sz w:val="19"/>
          <w:szCs w:val="19"/>
        </w:rPr>
        <w:t>Artículo 1º.</w:t>
      </w:r>
      <w:r w:rsidRPr="0066586E">
        <w:rPr>
          <w:rFonts w:ascii="Arial" w:hAnsi="Arial" w:cs="Arial"/>
          <w:color w:val="000000"/>
          <w:sz w:val="19"/>
          <w:szCs w:val="19"/>
        </w:rPr>
        <w:t> Modifíquese el artículo 4º de la Ley 1882 de 2018, el cual quedará así: </w:t>
      </w:r>
    </w:p>
    <w:p w14:paraId="067B1441" w14:textId="37BC1DBC" w:rsidR="00A90557" w:rsidRPr="0066586E" w:rsidRDefault="00A90557">
      <w:pPr>
        <w:pStyle w:val="NormalWeb"/>
        <w:spacing w:before="0" w:beforeAutospacing="0" w:after="0" w:afterAutospacing="0"/>
        <w:ind w:firstLine="708"/>
        <w:jc w:val="both"/>
        <w:rPr>
          <w:rFonts w:ascii="Arial" w:hAnsi="Arial" w:cs="Arial"/>
          <w:color w:val="000000"/>
          <w:sz w:val="19"/>
          <w:szCs w:val="19"/>
        </w:rPr>
      </w:pPr>
      <w:r w:rsidRPr="0066586E">
        <w:rPr>
          <w:rStyle w:val="Textoennegrita"/>
          <w:rFonts w:ascii="Arial" w:hAnsi="Arial" w:cs="Arial"/>
          <w:b w:val="0"/>
          <w:bCs w:val="0"/>
          <w:color w:val="000000"/>
          <w:sz w:val="19"/>
          <w:szCs w:val="19"/>
        </w:rPr>
        <w:t>»Artículo 4º.</w:t>
      </w:r>
      <w:r w:rsidRPr="0066586E">
        <w:rPr>
          <w:rFonts w:ascii="Arial" w:hAnsi="Arial" w:cs="Arial"/>
          <w:color w:val="000000"/>
          <w:sz w:val="19"/>
          <w:szCs w:val="19"/>
        </w:rPr>
        <w:t> Adiciónese el siguiente parágrafo al artículo 2º de la Ley 1150 de 2007. </w:t>
      </w:r>
    </w:p>
    <w:p w14:paraId="3AC4BDEE" w14:textId="46CD8B17" w:rsidR="00A90557" w:rsidRPr="0066586E" w:rsidRDefault="00A90557">
      <w:pPr>
        <w:pStyle w:val="NormalWeb"/>
        <w:spacing w:before="0" w:beforeAutospacing="0" w:after="0" w:afterAutospacing="0"/>
        <w:ind w:firstLine="708"/>
        <w:jc w:val="both"/>
        <w:rPr>
          <w:rFonts w:ascii="Arial" w:hAnsi="Arial" w:cs="Arial"/>
          <w:color w:val="000000"/>
          <w:sz w:val="19"/>
          <w:szCs w:val="19"/>
        </w:rPr>
      </w:pPr>
      <w:r w:rsidRPr="0066586E">
        <w:rPr>
          <w:rStyle w:val="Textoennegrita"/>
          <w:rFonts w:ascii="Arial" w:hAnsi="Arial" w:cs="Arial"/>
          <w:b w:val="0"/>
          <w:bCs w:val="0"/>
          <w:color w:val="000000"/>
          <w:sz w:val="19"/>
          <w:szCs w:val="19"/>
        </w:rPr>
        <w:t>»Parágrafo 7º.</w:t>
      </w:r>
      <w:r w:rsidRPr="0066586E">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66586E" w:rsidRDefault="00E26BE1">
      <w:pPr>
        <w:pStyle w:val="NormalWeb"/>
        <w:spacing w:before="0" w:beforeAutospacing="0" w:after="0" w:afterAutospacing="0"/>
        <w:ind w:firstLine="708"/>
        <w:jc w:val="both"/>
        <w:rPr>
          <w:rFonts w:ascii="Arial" w:hAnsi="Arial" w:cs="Arial"/>
          <w:color w:val="000000"/>
          <w:sz w:val="19"/>
          <w:szCs w:val="19"/>
        </w:rPr>
      </w:pPr>
      <w:r w:rsidRPr="0066586E">
        <w:rPr>
          <w:rFonts w:ascii="Arial" w:hAnsi="Arial" w:cs="Arial"/>
          <w:color w:val="000000"/>
          <w:sz w:val="19"/>
          <w:szCs w:val="19"/>
        </w:rPr>
        <w:t>»</w:t>
      </w:r>
      <w:r w:rsidR="00A90557" w:rsidRPr="0066586E">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66586E" w:rsidRDefault="00E26BE1">
      <w:pPr>
        <w:pStyle w:val="NormalWeb"/>
        <w:spacing w:before="0" w:beforeAutospacing="0" w:after="0" w:afterAutospacing="0"/>
        <w:ind w:firstLine="708"/>
        <w:jc w:val="both"/>
        <w:rPr>
          <w:rFonts w:ascii="Arial" w:hAnsi="Arial" w:cs="Arial"/>
          <w:color w:val="000000"/>
          <w:sz w:val="19"/>
          <w:szCs w:val="19"/>
        </w:rPr>
      </w:pPr>
      <w:r w:rsidRPr="0066586E">
        <w:rPr>
          <w:rFonts w:ascii="Arial" w:hAnsi="Arial" w:cs="Arial"/>
          <w:color w:val="000000"/>
          <w:sz w:val="19"/>
          <w:szCs w:val="19"/>
        </w:rPr>
        <w:t>»</w:t>
      </w:r>
      <w:r w:rsidR="00A90557" w:rsidRPr="0066586E">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66586E" w:rsidRDefault="00A90557">
      <w:pPr>
        <w:pStyle w:val="NormalWeb"/>
        <w:spacing w:before="0" w:beforeAutospacing="0" w:after="0" w:afterAutospacing="0"/>
        <w:ind w:firstLine="708"/>
        <w:jc w:val="both"/>
        <w:rPr>
          <w:rFonts w:ascii="Arial" w:hAnsi="Arial" w:cs="Arial"/>
          <w:color w:val="000000"/>
          <w:sz w:val="19"/>
          <w:szCs w:val="19"/>
        </w:rPr>
      </w:pPr>
      <w:r w:rsidRPr="0066586E">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66586E" w:rsidRDefault="00A90557">
      <w:pPr>
        <w:pStyle w:val="NormalWeb"/>
        <w:spacing w:before="0" w:beforeAutospacing="0" w:after="0" w:afterAutospacing="0"/>
        <w:ind w:firstLine="708"/>
        <w:jc w:val="both"/>
        <w:rPr>
          <w:rFonts w:ascii="Arial" w:hAnsi="Arial" w:cs="Arial"/>
          <w:sz w:val="19"/>
          <w:szCs w:val="19"/>
        </w:rPr>
      </w:pPr>
      <w:r w:rsidRPr="0066586E">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7EB53700" w14:textId="4813715A" w:rsidR="009C48E6"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p>
    <w:p w14:paraId="2CF065EF" w14:textId="77777777" w:rsidR="00C84238" w:rsidRPr="0066586E" w:rsidRDefault="00C84238">
      <w:pPr>
        <w:pStyle w:val="Textonotapie"/>
        <w:ind w:firstLine="709"/>
        <w:jc w:val="both"/>
        <w:rPr>
          <w:rFonts w:ascii="Arial" w:hAnsi="Arial" w:cs="Arial"/>
          <w:color w:val="000000" w:themeColor="text1"/>
          <w:sz w:val="19"/>
          <w:szCs w:val="19"/>
        </w:rPr>
      </w:pPr>
    </w:p>
  </w:footnote>
  <w:footnote w:id="9">
    <w:p w14:paraId="090C02B3" w14:textId="77777777" w:rsidR="009C48E6" w:rsidRPr="0066586E" w:rsidRDefault="009C48E6">
      <w:pPr>
        <w:pStyle w:val="NormalWeb"/>
        <w:spacing w:before="0" w:beforeAutospacing="0" w:after="0" w:afterAutospacing="0"/>
        <w:ind w:firstLine="708"/>
        <w:jc w:val="both"/>
        <w:rPr>
          <w:rFonts w:ascii="Arial" w:hAnsi="Arial" w:cs="Arial"/>
          <w:color w:val="000000"/>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w:t>
      </w:r>
      <w:r w:rsidRPr="0066586E">
        <w:rPr>
          <w:rStyle w:val="Textoennegrita"/>
          <w:rFonts w:ascii="Arial" w:hAnsi="Arial" w:cs="Arial"/>
          <w:b w:val="0"/>
          <w:bCs w:val="0"/>
          <w:color w:val="000000"/>
          <w:sz w:val="19"/>
          <w:szCs w:val="19"/>
        </w:rPr>
        <w:t>Artículo 2°.</w:t>
      </w:r>
      <w:r w:rsidRPr="0066586E">
        <w:rPr>
          <w:rStyle w:val="nfasis"/>
          <w:rFonts w:ascii="Arial" w:hAnsi="Arial" w:cs="Arial"/>
          <w:i w:val="0"/>
          <w:iCs w:val="0"/>
          <w:color w:val="000000"/>
          <w:sz w:val="19"/>
          <w:szCs w:val="19"/>
        </w:rPr>
        <w:t>De las modalidades de selección</w:t>
      </w:r>
      <w:r w:rsidRPr="0066586E">
        <w:rPr>
          <w:rStyle w:val="nfasis"/>
          <w:rFonts w:ascii="Arial" w:hAnsi="Arial" w:cs="Arial"/>
          <w:b/>
          <w:bCs/>
          <w:color w:val="000000"/>
          <w:sz w:val="19"/>
          <w:szCs w:val="19"/>
        </w:rPr>
        <w:t>. </w:t>
      </w:r>
      <w:r w:rsidRPr="0066586E">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CD03EB5" w14:textId="77777777" w:rsidR="009C48E6" w:rsidRPr="0066586E" w:rsidRDefault="009C48E6">
      <w:pPr>
        <w:pStyle w:val="NormalWeb"/>
        <w:spacing w:before="0" w:beforeAutospacing="0" w:after="0" w:afterAutospacing="0"/>
        <w:ind w:firstLine="708"/>
        <w:jc w:val="both"/>
        <w:rPr>
          <w:rFonts w:ascii="Arial" w:hAnsi="Arial" w:cs="Arial"/>
          <w:color w:val="000000"/>
          <w:sz w:val="19"/>
          <w:szCs w:val="19"/>
        </w:rPr>
      </w:pPr>
      <w:r w:rsidRPr="0066586E">
        <w:rPr>
          <w:rFonts w:ascii="Arial" w:hAnsi="Arial" w:cs="Arial"/>
          <w:color w:val="000000"/>
          <w:sz w:val="19"/>
          <w:szCs w:val="19"/>
        </w:rPr>
        <w:t>[…]</w:t>
      </w:r>
    </w:p>
    <w:p w14:paraId="4C0269A3" w14:textId="77777777" w:rsidR="009C48E6" w:rsidRPr="0066586E" w:rsidRDefault="009C48E6">
      <w:pPr>
        <w:pStyle w:val="NormalWeb"/>
        <w:spacing w:before="0" w:beforeAutospacing="0" w:after="0" w:afterAutospacing="0"/>
        <w:ind w:firstLine="708"/>
        <w:jc w:val="both"/>
        <w:rPr>
          <w:rFonts w:ascii="Arial" w:hAnsi="Arial" w:cs="Arial"/>
          <w:color w:val="000000"/>
          <w:sz w:val="19"/>
          <w:szCs w:val="19"/>
        </w:rPr>
      </w:pPr>
      <w:r w:rsidRPr="0066586E">
        <w:rPr>
          <w:rFonts w:ascii="Arial" w:hAnsi="Arial" w:cs="Arial"/>
          <w:color w:val="000000"/>
          <w:sz w:val="19"/>
          <w:szCs w:val="19"/>
        </w:rPr>
        <w:t>»4. Contratación directa</w:t>
      </w:r>
      <w:r w:rsidRPr="0066586E">
        <w:rPr>
          <w:rFonts w:ascii="Arial" w:hAnsi="Arial" w:cs="Arial"/>
          <w:b/>
          <w:bCs/>
          <w:color w:val="000000"/>
          <w:sz w:val="19"/>
          <w:szCs w:val="19"/>
        </w:rPr>
        <w:t>. </w:t>
      </w:r>
      <w:r w:rsidRPr="0066586E">
        <w:rPr>
          <w:rFonts w:ascii="Arial" w:hAnsi="Arial" w:cs="Arial"/>
          <w:color w:val="000000"/>
          <w:sz w:val="19"/>
          <w:szCs w:val="19"/>
        </w:rPr>
        <w:t>La modalidad de selección de contratación directa, solamente procederá en los siguientes casos: </w:t>
      </w:r>
    </w:p>
    <w:p w14:paraId="139B81C9" w14:textId="77777777" w:rsidR="009C48E6" w:rsidRPr="0066586E" w:rsidRDefault="009C48E6">
      <w:pPr>
        <w:jc w:val="both"/>
        <w:rPr>
          <w:rFonts w:ascii="Arial" w:hAnsi="Arial" w:cs="Arial"/>
          <w:color w:val="000000"/>
          <w:sz w:val="19"/>
          <w:szCs w:val="19"/>
          <w:lang w:eastAsia="es-CO"/>
        </w:rPr>
      </w:pPr>
      <w:r w:rsidRPr="0066586E">
        <w:rPr>
          <w:rFonts w:ascii="Arial" w:hAnsi="Arial" w:cs="Arial"/>
          <w:color w:val="000000"/>
          <w:sz w:val="19"/>
          <w:szCs w:val="19"/>
          <w:lang w:eastAsia="es-CO"/>
        </w:rPr>
        <w:t>  […]  </w:t>
      </w:r>
    </w:p>
    <w:p w14:paraId="4FCEC141" w14:textId="77777777" w:rsidR="009C48E6" w:rsidRPr="0066586E" w:rsidRDefault="009C48E6">
      <w:pPr>
        <w:ind w:firstLine="708"/>
        <w:jc w:val="both"/>
        <w:rPr>
          <w:rFonts w:ascii="Arial" w:hAnsi="Arial" w:cs="Arial"/>
          <w:color w:val="000000"/>
          <w:sz w:val="19"/>
          <w:szCs w:val="19"/>
          <w:lang w:eastAsia="es-CO"/>
        </w:rPr>
      </w:pPr>
      <w:r w:rsidRPr="0066586E">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9D8AE28" w14:textId="77777777" w:rsidR="009C48E6" w:rsidRPr="0066586E" w:rsidRDefault="009C48E6">
      <w:pPr>
        <w:jc w:val="both"/>
        <w:rPr>
          <w:rFonts w:ascii="Arial" w:hAnsi="Arial" w:cs="Arial"/>
          <w:color w:val="000000"/>
          <w:sz w:val="19"/>
          <w:szCs w:val="19"/>
          <w:lang w:eastAsia="es-CO"/>
        </w:rPr>
      </w:pPr>
      <w:r w:rsidRPr="0066586E">
        <w:rPr>
          <w:rFonts w:ascii="Arial" w:hAnsi="Arial" w:cs="Arial"/>
          <w:color w:val="000000"/>
          <w:sz w:val="19"/>
          <w:szCs w:val="19"/>
          <w:lang w:eastAsia="es-CO"/>
        </w:rPr>
        <w:t>  </w:t>
      </w:r>
      <w:r w:rsidRPr="0066586E">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189E22AE" w14:textId="77777777" w:rsidR="009C48E6" w:rsidRPr="0066586E" w:rsidRDefault="009C48E6">
      <w:pPr>
        <w:jc w:val="both"/>
        <w:rPr>
          <w:rFonts w:ascii="Arial" w:hAnsi="Arial" w:cs="Arial"/>
          <w:color w:val="000000"/>
          <w:sz w:val="19"/>
          <w:szCs w:val="19"/>
          <w:lang w:eastAsia="es-CO"/>
        </w:rPr>
      </w:pPr>
      <w:r w:rsidRPr="0066586E">
        <w:rPr>
          <w:rFonts w:ascii="Arial" w:hAnsi="Arial" w:cs="Arial"/>
          <w:color w:val="000000"/>
          <w:sz w:val="19"/>
          <w:szCs w:val="19"/>
          <w:lang w:eastAsia="es-CO"/>
        </w:rPr>
        <w:t>  </w:t>
      </w:r>
      <w:r w:rsidRPr="0066586E">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05A52124" w14:textId="77777777" w:rsidR="009C48E6" w:rsidRPr="0066586E" w:rsidRDefault="009C48E6">
      <w:pPr>
        <w:jc w:val="both"/>
        <w:rPr>
          <w:rFonts w:ascii="Arial" w:hAnsi="Arial" w:cs="Arial"/>
          <w:color w:val="000000"/>
          <w:sz w:val="19"/>
          <w:szCs w:val="19"/>
          <w:lang w:eastAsia="es-CO"/>
        </w:rPr>
      </w:pPr>
      <w:r w:rsidRPr="0066586E">
        <w:rPr>
          <w:rFonts w:ascii="Arial" w:hAnsi="Arial" w:cs="Arial"/>
          <w:color w:val="000000"/>
          <w:sz w:val="19"/>
          <w:szCs w:val="19"/>
          <w:lang w:eastAsia="es-CO"/>
        </w:rPr>
        <w:t>  </w:t>
      </w:r>
      <w:r w:rsidRPr="0066586E">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2AF510D6" w14:textId="77777777" w:rsidR="009C48E6" w:rsidRPr="0066586E" w:rsidRDefault="009C48E6">
      <w:pPr>
        <w:jc w:val="both"/>
        <w:rPr>
          <w:rFonts w:ascii="Arial" w:hAnsi="Arial" w:cs="Arial"/>
          <w:sz w:val="19"/>
          <w:szCs w:val="19"/>
        </w:rPr>
      </w:pPr>
      <w:r w:rsidRPr="0066586E">
        <w:rPr>
          <w:rFonts w:ascii="Arial" w:hAnsi="Arial" w:cs="Arial"/>
          <w:color w:val="000000"/>
          <w:sz w:val="19"/>
          <w:szCs w:val="19"/>
          <w:lang w:eastAsia="es-CO"/>
        </w:rPr>
        <w:t>  </w:t>
      </w:r>
      <w:r w:rsidRPr="0066586E">
        <w:rPr>
          <w:rFonts w:ascii="Arial" w:hAnsi="Arial" w:cs="Arial"/>
          <w:color w:val="000000"/>
          <w:sz w:val="19"/>
          <w:szCs w:val="19"/>
          <w:lang w:eastAsia="es-CO"/>
        </w:rPr>
        <w:tab/>
        <w:t>»Estarán exceptuados de la figura del contrato interadministrativo, los contratos de seguro de las entidades estatales[…]». </w:t>
      </w:r>
      <w:r w:rsidRPr="0066586E">
        <w:rPr>
          <w:rFonts w:ascii="Arial" w:hAnsi="Arial" w:cs="Arial"/>
          <w:sz w:val="19"/>
          <w:szCs w:val="19"/>
        </w:rPr>
        <w:t xml:space="preserve"> </w:t>
      </w:r>
    </w:p>
  </w:footnote>
  <w:footnote w:id="10">
    <w:p w14:paraId="1693A268" w14:textId="77777777" w:rsidR="009C48E6" w:rsidRPr="0066586E" w:rsidRDefault="009C48E6">
      <w:pPr>
        <w:pStyle w:val="Textonotapie"/>
        <w:ind w:firstLine="708"/>
        <w:jc w:val="both"/>
        <w:rPr>
          <w:rFonts w:ascii="Arial" w:hAnsi="Arial" w:cs="Arial"/>
          <w:sz w:val="19"/>
          <w:szCs w:val="19"/>
          <w:lang w:val="es-CO"/>
        </w:rPr>
      </w:pPr>
      <w:r w:rsidRPr="0066586E">
        <w:rPr>
          <w:rStyle w:val="Refdenotaalpie"/>
          <w:rFonts w:ascii="Arial" w:hAnsi="Arial" w:cs="Arial"/>
          <w:sz w:val="19"/>
          <w:szCs w:val="19"/>
        </w:rPr>
        <w:footnoteRef/>
      </w:r>
      <w:r w:rsidRPr="0066586E">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6586E">
        <w:rPr>
          <w:rFonts w:ascii="Arial" w:hAnsi="Arial" w:cs="Arial"/>
          <w:i/>
          <w:iCs/>
          <w:sz w:val="19"/>
          <w:szCs w:val="19"/>
        </w:rPr>
        <w:t>lex posterior derogat legi priori</w:t>
      </w:r>
      <w:r w:rsidRPr="0066586E">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1">
    <w:p w14:paraId="38CA4041" w14:textId="3C9AB183" w:rsidR="009C48E6" w:rsidRDefault="009C48E6">
      <w:pPr>
        <w:pStyle w:val="Textonotapie"/>
        <w:ind w:firstLine="709"/>
        <w:jc w:val="both"/>
        <w:rPr>
          <w:rFonts w:ascii="Arial" w:hAnsi="Arial" w:cs="Arial"/>
          <w:color w:val="000000" w:themeColor="text1"/>
          <w:sz w:val="19"/>
          <w:szCs w:val="19"/>
          <w:lang w:val="es-ES"/>
        </w:rPr>
      </w:pPr>
      <w:r w:rsidRPr="0066586E">
        <w:rPr>
          <w:rStyle w:val="Refdenotaalpie"/>
          <w:rFonts w:ascii="Arial" w:hAnsi="Arial" w:cs="Arial"/>
          <w:sz w:val="19"/>
          <w:szCs w:val="19"/>
        </w:rPr>
        <w:footnoteRef/>
      </w:r>
      <w:r w:rsidRPr="0066586E">
        <w:rPr>
          <w:rFonts w:ascii="Arial" w:hAnsi="Arial" w:cs="Arial"/>
          <w:sz w:val="19"/>
          <w:szCs w:val="19"/>
        </w:rPr>
        <w:t xml:space="preserve"> </w:t>
      </w:r>
      <w:r w:rsidRPr="0066586E">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1598B51A" w14:textId="77777777" w:rsidR="00EC6AB0" w:rsidRPr="0066586E" w:rsidRDefault="00EC6AB0">
      <w:pPr>
        <w:pStyle w:val="Textonotapie"/>
        <w:ind w:firstLine="709"/>
        <w:jc w:val="both"/>
        <w:rPr>
          <w:rFonts w:ascii="Arial" w:hAnsi="Arial" w:cs="Arial"/>
          <w:sz w:val="19"/>
          <w:szCs w:val="19"/>
        </w:rPr>
      </w:pPr>
    </w:p>
  </w:footnote>
  <w:footnote w:id="12">
    <w:p w14:paraId="420FDA99" w14:textId="1E685700" w:rsidR="009C48E6" w:rsidRDefault="009C48E6">
      <w:pPr>
        <w:pStyle w:val="Textonotapie"/>
        <w:ind w:firstLine="709"/>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Sentencia C-382 de 2019, M.P. Alejandro Linares Cantillo.</w:t>
      </w:r>
    </w:p>
    <w:p w14:paraId="23DE6974" w14:textId="77777777" w:rsidR="00EC6AB0" w:rsidRPr="0066586E" w:rsidRDefault="00EC6AB0">
      <w:pPr>
        <w:pStyle w:val="Textonotapie"/>
        <w:ind w:firstLine="709"/>
        <w:jc w:val="both"/>
        <w:rPr>
          <w:rFonts w:ascii="Arial" w:hAnsi="Arial" w:cs="Arial"/>
          <w:sz w:val="19"/>
          <w:szCs w:val="19"/>
        </w:rPr>
      </w:pPr>
    </w:p>
  </w:footnote>
  <w:footnote w:id="13">
    <w:p w14:paraId="75420961"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La redacción original del parágrafo primero del artículo 32 de la Ley 80 de 1993, incluía la expresión </w:t>
      </w:r>
      <w:r w:rsidRPr="0066586E">
        <w:rPr>
          <w:rFonts w:ascii="Arial" w:hAnsi="Arial" w:cs="Arial"/>
          <w:i/>
          <w:iCs/>
          <w:color w:val="000000" w:themeColor="text1"/>
          <w:sz w:val="19"/>
          <w:szCs w:val="19"/>
        </w:rPr>
        <w:t>giro ordinario</w:t>
      </w:r>
      <w:r w:rsidRPr="0066586E">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66586E">
        <w:rPr>
          <w:rFonts w:ascii="Arial" w:hAnsi="Arial" w:cs="Arial"/>
          <w:i/>
          <w:iCs/>
          <w:color w:val="000000" w:themeColor="text1"/>
          <w:sz w:val="19"/>
          <w:szCs w:val="19"/>
        </w:rPr>
        <w:t>al giro ordinario de las actividades propias de su objeto social,</w:t>
      </w:r>
      <w:r w:rsidRPr="0066586E">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016EBA5D" w14:textId="77777777" w:rsidR="009C48E6" w:rsidRPr="0066586E" w:rsidRDefault="009C48E6">
      <w:pPr>
        <w:pStyle w:val="Textonotapie"/>
        <w:ind w:firstLine="709"/>
        <w:jc w:val="both"/>
        <w:rPr>
          <w:rFonts w:ascii="Arial" w:hAnsi="Arial" w:cs="Arial"/>
          <w:color w:val="000000" w:themeColor="text1"/>
          <w:sz w:val="19"/>
          <w:szCs w:val="19"/>
        </w:rPr>
      </w:pPr>
    </w:p>
  </w:footnote>
  <w:footnote w:id="14">
    <w:p w14:paraId="0FF03976"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Consejo de Estado. Sección Tercera. Subsección B. Sentencia del 12 de octubre de 2011. Exp. No. 20070. C.P. Danilo Rojas Betancourt.</w:t>
      </w:r>
    </w:p>
    <w:p w14:paraId="0DD915C6" w14:textId="77777777" w:rsidR="009C48E6" w:rsidRPr="0066586E" w:rsidRDefault="009C48E6">
      <w:pPr>
        <w:pStyle w:val="Textonotapie"/>
        <w:ind w:firstLine="709"/>
        <w:jc w:val="both"/>
        <w:rPr>
          <w:rFonts w:ascii="Arial" w:hAnsi="Arial" w:cs="Arial"/>
          <w:color w:val="000000" w:themeColor="text1"/>
          <w:sz w:val="19"/>
          <w:szCs w:val="19"/>
          <w:lang w:val="es-ES"/>
        </w:rPr>
      </w:pPr>
    </w:p>
  </w:footnote>
  <w:footnote w:id="15">
    <w:p w14:paraId="5C250ADB" w14:textId="77777777" w:rsidR="009C48E6" w:rsidRPr="0066586E" w:rsidRDefault="009C48E6">
      <w:pPr>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141E656A" w14:textId="77777777" w:rsidR="009C48E6" w:rsidRPr="0066586E" w:rsidRDefault="009C48E6">
      <w:pPr>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 xml:space="preserve"> </w:t>
      </w:r>
    </w:p>
  </w:footnote>
  <w:footnote w:id="16">
    <w:p w14:paraId="6D255A3D"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4D03C1FB" w14:textId="77777777" w:rsidR="009C48E6" w:rsidRPr="0066586E" w:rsidRDefault="009C48E6">
      <w:pPr>
        <w:pStyle w:val="Textonotapie"/>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7">
    <w:p w14:paraId="2435A2B6" w14:textId="77777777" w:rsidR="009C48E6" w:rsidRPr="0066586E" w:rsidRDefault="009C48E6">
      <w:pPr>
        <w:pStyle w:val="Textonotapie"/>
        <w:ind w:firstLine="709"/>
        <w:jc w:val="both"/>
        <w:rPr>
          <w:rFonts w:ascii="Arial" w:hAnsi="Arial" w:cs="Arial"/>
          <w:color w:val="000000" w:themeColor="text1"/>
          <w:sz w:val="19"/>
          <w:szCs w:val="19"/>
        </w:rPr>
      </w:pPr>
    </w:p>
    <w:p w14:paraId="38AFE281"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Superintendencia de Sociedades. Oficio 220-014111 del 18 de febrero de 2015. Consultado el 9 de febrero de 2022 en: </w:t>
      </w:r>
      <w:hyperlink r:id="rId2" w:history="1">
        <w:r w:rsidRPr="0066586E">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8">
    <w:p w14:paraId="4E914627"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66586E">
        <w:rPr>
          <w:rFonts w:ascii="Arial" w:hAnsi="Arial" w:cs="Arial"/>
          <w:color w:val="000000" w:themeColor="text1"/>
          <w:sz w:val="19"/>
          <w:szCs w:val="19"/>
        </w:rPr>
        <w:cr/>
      </w:r>
    </w:p>
  </w:footnote>
  <w:footnote w:id="19">
    <w:p w14:paraId="363D3776"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658575EB" w14:textId="77777777" w:rsidR="009C48E6" w:rsidRPr="0066586E" w:rsidRDefault="009C48E6">
      <w:pPr>
        <w:pStyle w:val="Textonotapie"/>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4C09A039" w14:textId="77777777" w:rsidR="009C48E6" w:rsidRPr="0066586E" w:rsidRDefault="009C48E6">
      <w:pPr>
        <w:pStyle w:val="Textonotapie"/>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8547B1B" w14:textId="77777777" w:rsidR="009C48E6" w:rsidRPr="0066586E" w:rsidRDefault="009C48E6">
      <w:pPr>
        <w:pStyle w:val="Textonotapie"/>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C0390D3" w14:textId="77777777" w:rsidR="009C48E6" w:rsidRPr="0066586E" w:rsidRDefault="009C48E6">
      <w:pPr>
        <w:pStyle w:val="Textonotapie"/>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 xml:space="preserve"> </w:t>
      </w:r>
    </w:p>
  </w:footnote>
  <w:footnote w:id="20">
    <w:p w14:paraId="3FD7DC93"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w:t>
      </w:r>
      <w:r w:rsidRPr="0066586E">
        <w:rPr>
          <w:rFonts w:ascii="Arial" w:hAnsi="Arial" w:cs="Arial"/>
          <w:color w:val="000000" w:themeColor="text1"/>
          <w:sz w:val="19"/>
          <w:szCs w:val="19"/>
        </w:rPr>
        <w:t>Consejo de Estado. Sección Tercera. Subsección A. Sentencia del 24 de junio de 2015. Exp. 40.635. Consejero Ponente: Hernán Andrade Rincón (E).</w:t>
      </w:r>
    </w:p>
    <w:p w14:paraId="5735B8C9" w14:textId="77777777" w:rsidR="009C48E6" w:rsidRPr="0066586E" w:rsidRDefault="009C48E6">
      <w:pPr>
        <w:pStyle w:val="Textonotapie"/>
        <w:ind w:firstLine="709"/>
        <w:jc w:val="both"/>
        <w:rPr>
          <w:rFonts w:ascii="Arial" w:hAnsi="Arial" w:cs="Arial"/>
          <w:sz w:val="19"/>
          <w:szCs w:val="19"/>
          <w:lang w:val="es-ES"/>
        </w:rPr>
      </w:pPr>
    </w:p>
  </w:footnote>
  <w:footnote w:id="21">
    <w:p w14:paraId="42FED880" w14:textId="77777777" w:rsidR="009C48E6" w:rsidRPr="0066586E" w:rsidRDefault="009C48E6">
      <w:pPr>
        <w:pStyle w:val="Textonotapie"/>
        <w:ind w:firstLine="709"/>
        <w:jc w:val="both"/>
        <w:rPr>
          <w:rFonts w:ascii="Arial" w:hAnsi="Arial" w:cs="Arial"/>
          <w:color w:val="000000" w:themeColor="text1"/>
          <w:sz w:val="19"/>
          <w:szCs w:val="19"/>
          <w:lang w:val="es-ES"/>
        </w:rPr>
      </w:pPr>
      <w:r w:rsidRPr="0066586E">
        <w:rPr>
          <w:rStyle w:val="Refdenotaalpie"/>
          <w:rFonts w:ascii="Arial" w:hAnsi="Arial" w:cs="Arial"/>
          <w:sz w:val="19"/>
          <w:szCs w:val="19"/>
        </w:rPr>
        <w:footnoteRef/>
      </w:r>
      <w:r w:rsidRPr="0066586E">
        <w:rPr>
          <w:rFonts w:ascii="Arial" w:hAnsi="Arial" w:cs="Arial"/>
          <w:sz w:val="19"/>
          <w:szCs w:val="19"/>
        </w:rPr>
        <w:t xml:space="preserve"> </w:t>
      </w:r>
      <w:r w:rsidRPr="0066586E">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45C48C67" w14:textId="77777777" w:rsidR="009C48E6" w:rsidRPr="0066586E" w:rsidRDefault="009C48E6">
      <w:pPr>
        <w:pStyle w:val="Textonotapie"/>
        <w:ind w:firstLine="709"/>
        <w:jc w:val="both"/>
        <w:rPr>
          <w:rFonts w:ascii="Arial" w:hAnsi="Arial" w:cs="Arial"/>
          <w:sz w:val="19"/>
          <w:szCs w:val="19"/>
          <w:lang w:val="es-ES"/>
        </w:rPr>
      </w:pPr>
    </w:p>
  </w:footnote>
  <w:footnote w:id="22">
    <w:p w14:paraId="204B2675" w14:textId="77777777" w:rsidR="009C48E6" w:rsidRPr="0066586E" w:rsidRDefault="009C48E6">
      <w:pPr>
        <w:pStyle w:val="Textonotapie"/>
        <w:ind w:firstLine="709"/>
        <w:jc w:val="both"/>
        <w:rPr>
          <w:rFonts w:ascii="Arial" w:hAnsi="Arial" w:cs="Arial"/>
          <w:color w:val="000000" w:themeColor="text1"/>
          <w:sz w:val="19"/>
          <w:szCs w:val="19"/>
        </w:rPr>
      </w:pPr>
      <w:r w:rsidRPr="0066586E">
        <w:rPr>
          <w:rStyle w:val="Refdenotaalpie"/>
          <w:rFonts w:ascii="Arial" w:hAnsi="Arial" w:cs="Arial"/>
          <w:sz w:val="19"/>
          <w:szCs w:val="19"/>
        </w:rPr>
        <w:footnoteRef/>
      </w:r>
      <w:r w:rsidRPr="0066586E">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7E0F2493" w14:textId="77777777" w:rsidR="009C48E6" w:rsidRPr="0066586E" w:rsidRDefault="009C48E6">
      <w:pPr>
        <w:pStyle w:val="Textonotapie"/>
        <w:ind w:firstLine="709"/>
        <w:jc w:val="both"/>
        <w:rPr>
          <w:rFonts w:ascii="Arial" w:hAnsi="Arial" w:cs="Arial"/>
          <w:color w:val="000000" w:themeColor="text1"/>
          <w:sz w:val="19"/>
          <w:szCs w:val="19"/>
        </w:rPr>
      </w:pPr>
      <w:r w:rsidRPr="0066586E">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3">
    <w:p w14:paraId="25FB25F2" w14:textId="77777777" w:rsidR="009C48E6" w:rsidRPr="0066586E" w:rsidRDefault="009C48E6">
      <w:pPr>
        <w:pStyle w:val="Textonotapie"/>
        <w:ind w:firstLine="708"/>
        <w:jc w:val="both"/>
        <w:rPr>
          <w:rFonts w:ascii="Arial" w:hAnsi="Arial" w:cs="Arial"/>
          <w:sz w:val="19"/>
          <w:szCs w:val="19"/>
        </w:rPr>
      </w:pPr>
    </w:p>
    <w:p w14:paraId="2EEB8936" w14:textId="77777777" w:rsidR="009C48E6" w:rsidRPr="0066586E" w:rsidRDefault="009C48E6">
      <w:pPr>
        <w:ind w:firstLine="708"/>
        <w:jc w:val="both"/>
        <w:rPr>
          <w:rFonts w:ascii="Arial" w:eastAsiaTheme="minorHAnsi" w:hAnsi="Arial" w:cs="Arial"/>
          <w:sz w:val="19"/>
          <w:szCs w:val="19"/>
          <w:lang w:val="es-MX" w:eastAsia="en-US"/>
        </w:rPr>
      </w:pPr>
      <w:r w:rsidRPr="0066586E">
        <w:rPr>
          <w:rStyle w:val="Refdenotaalpie"/>
          <w:rFonts w:ascii="Arial" w:hAnsi="Arial" w:cs="Arial"/>
          <w:sz w:val="19"/>
          <w:szCs w:val="19"/>
        </w:rPr>
        <w:footnoteRef/>
      </w:r>
      <w:r w:rsidRPr="0066586E">
        <w:rPr>
          <w:rFonts w:ascii="Arial" w:hAnsi="Arial" w:cs="Arial"/>
          <w:sz w:val="19"/>
          <w:szCs w:val="19"/>
        </w:rPr>
        <w:t xml:space="preserve"> Código Civil: «</w:t>
      </w:r>
      <w:r w:rsidRPr="0066586E">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1CFB9D5C" w14:textId="77777777" w:rsidR="009C48E6" w:rsidRPr="0066586E" w:rsidRDefault="009C48E6">
      <w:pPr>
        <w:pStyle w:val="Textonotapie"/>
        <w:ind w:firstLine="708"/>
        <w:jc w:val="both"/>
        <w:rPr>
          <w:rFonts w:ascii="Arial" w:hAnsi="Arial" w:cs="Arial"/>
          <w:sz w:val="19"/>
          <w:szCs w:val="19"/>
          <w:lang w:val="es-CO"/>
        </w:rPr>
      </w:pPr>
      <w:r w:rsidRPr="0066586E">
        <w:rPr>
          <w:rFonts w:ascii="Arial" w:hAnsi="Arial" w:cs="Arial"/>
          <w:sz w:val="19"/>
          <w:szCs w:val="19"/>
        </w:rPr>
        <w:t xml:space="preserve"> </w:t>
      </w:r>
    </w:p>
  </w:footnote>
  <w:footnote w:id="24">
    <w:p w14:paraId="1D80361B" w14:textId="77777777" w:rsidR="005B3F04" w:rsidRPr="000A1BE0" w:rsidRDefault="005B3F04">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footnote>
  <w:footnote w:id="25">
    <w:p w14:paraId="5AA86081" w14:textId="77777777" w:rsidR="005B3F04" w:rsidRPr="000A1BE0" w:rsidRDefault="005B3F04">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26">
    <w:p w14:paraId="088B25A2" w14:textId="77777777" w:rsidR="005B3F04" w:rsidRPr="000A1BE0" w:rsidRDefault="005B3F04">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27">
    <w:p w14:paraId="5D2F797D" w14:textId="77777777" w:rsidR="005B3F04" w:rsidRPr="000A1BE0" w:rsidRDefault="005B3F04">
      <w:pPr>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p w14:paraId="01548EC0" w14:textId="77777777" w:rsidR="005B3F04" w:rsidRPr="000A1BE0" w:rsidRDefault="005B3F04">
      <w:pPr>
        <w:pStyle w:val="Textonotapie"/>
        <w:ind w:firstLine="709"/>
        <w:jc w:val="both"/>
        <w:rPr>
          <w:rFonts w:ascii="Arial" w:hAnsi="Arial" w:cs="Arial"/>
          <w:sz w:val="19"/>
          <w:szCs w:val="19"/>
        </w:rPr>
      </w:pPr>
    </w:p>
  </w:footnote>
  <w:footnote w:id="28">
    <w:p w14:paraId="12A8018E" w14:textId="77777777" w:rsidR="00F87953" w:rsidRPr="0066586E" w:rsidRDefault="00F87953" w:rsidP="00F87953">
      <w:pPr>
        <w:pStyle w:val="Textonotapie"/>
        <w:ind w:firstLine="708"/>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Cfr. Respuestas emitidas dentro de los radicados Nos.: 4202013000002250, 4202013000002249, 202013000002232, 4202013000002225, 4202013000002227, 4202013000002220, 4202013000002221,4202013000002217, 4202013000002215, 4202013000002230, 4202013000002223, 4202013000002219, 4202013000002237, 4202013000002210, 4202013000002278, 4202013000002277, 4202013000002272, 4202013000002696, 4202013000002699, 4202012000002681, 4202012000002683, 4202012000002676, 4202012000002682, 4202012000002689, 4202013000002697, 4202013000002723, 4202012000002688, 4202013000002813, 4202013000002808, 4202013000002798, 4202013000002793, 4202013000002792, 4202013000002791, 4202013000002790 y 4202020000002788, entre muchos otros similares.</w:t>
      </w:r>
    </w:p>
    <w:p w14:paraId="52506E77" w14:textId="77777777" w:rsidR="00F87953" w:rsidRPr="0066586E" w:rsidRDefault="00F87953" w:rsidP="00F87953">
      <w:pPr>
        <w:pStyle w:val="Textonotapie"/>
        <w:ind w:firstLine="708"/>
        <w:jc w:val="both"/>
        <w:rPr>
          <w:rFonts w:ascii="Arial" w:hAnsi="Arial" w:cs="Arial"/>
          <w:sz w:val="19"/>
          <w:szCs w:val="19"/>
        </w:rPr>
      </w:pPr>
    </w:p>
  </w:footnote>
  <w:footnote w:id="29">
    <w:p w14:paraId="72AAA8D0" w14:textId="77777777" w:rsidR="00F87953" w:rsidRPr="0066586E" w:rsidRDefault="00F87953" w:rsidP="00F87953">
      <w:pPr>
        <w:pStyle w:val="Textonotapie"/>
        <w:ind w:firstLine="709"/>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Procuraduría General de la Nación. Concepto del 15 de octubre de 2014. Procuraduría Delegada para Asuntos Disciplinarios. Radicado PAD C-114-2014.</w:t>
      </w:r>
    </w:p>
    <w:p w14:paraId="181B2EBF" w14:textId="77777777" w:rsidR="00F87953" w:rsidRPr="0066586E" w:rsidRDefault="00F87953" w:rsidP="00F87953">
      <w:pPr>
        <w:pStyle w:val="Textonotapie"/>
        <w:ind w:firstLine="709"/>
        <w:jc w:val="both"/>
        <w:rPr>
          <w:rFonts w:ascii="Arial" w:hAnsi="Arial" w:cs="Arial"/>
          <w:sz w:val="19"/>
          <w:szCs w:val="19"/>
        </w:rPr>
      </w:pPr>
    </w:p>
  </w:footnote>
  <w:footnote w:id="30">
    <w:p w14:paraId="65DD208A" w14:textId="77777777" w:rsidR="00F87953" w:rsidRPr="0066586E" w:rsidRDefault="00F87953" w:rsidP="00F87953">
      <w:pPr>
        <w:pStyle w:val="Textonotapie"/>
        <w:ind w:firstLine="708"/>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Contraloría General de la República. Oficina Jurídica. Concepto 80112-OJ-008 2017.</w:t>
      </w:r>
    </w:p>
    <w:p w14:paraId="6F362F16" w14:textId="77777777" w:rsidR="00F87953" w:rsidRPr="0066586E" w:rsidRDefault="00F87953" w:rsidP="00F87953">
      <w:pPr>
        <w:pStyle w:val="Textonotapie"/>
        <w:ind w:firstLine="708"/>
        <w:rPr>
          <w:rFonts w:ascii="Arial" w:hAnsi="Arial" w:cs="Arial"/>
          <w:sz w:val="19"/>
          <w:szCs w:val="19"/>
        </w:rPr>
      </w:pPr>
    </w:p>
  </w:footnote>
  <w:footnote w:id="31">
    <w:p w14:paraId="0CB960D9" w14:textId="77777777" w:rsidR="00F87953" w:rsidRPr="0066586E" w:rsidRDefault="00F87953" w:rsidP="00F87953">
      <w:pPr>
        <w:pStyle w:val="Textonotapie"/>
        <w:ind w:firstLine="709"/>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Cfr. HERNÁNDEZ BECERRA, Augusto. Función Consultiva y Consejo de Estado en Colombia. Ponencia presentada en las III Jornadas Internacionales de la Función Consultiva, organizadas por el Instituto de Investigaciones Jurídicas y el programa de Postgrado en Derecho de la Universidad Nacional Autónoma de México – UNAM. México. 2012. Pág. 9. Texto disponible para ser consultado en el siguiente hipervínculo: </w:t>
      </w:r>
      <w:hyperlink r:id="rId3" w:history="1">
        <w:r w:rsidRPr="006F2E7A">
          <w:rPr>
            <w:rStyle w:val="Hipervnculo"/>
            <w:rFonts w:ascii="Arial" w:hAnsi="Arial" w:cs="Arial"/>
            <w:color w:val="auto"/>
            <w:sz w:val="19"/>
            <w:szCs w:val="19"/>
          </w:rPr>
          <w:t>https://issuu.com/estudiolegalhernandez/docs/ahb._funci__n_consultiva_y_consejo_</w:t>
        </w:r>
      </w:hyperlink>
      <w:r w:rsidRPr="006F2E7A">
        <w:rPr>
          <w:rFonts w:ascii="Arial" w:hAnsi="Arial" w:cs="Arial"/>
          <w:sz w:val="19"/>
          <w:szCs w:val="19"/>
        </w:rPr>
        <w:t>.</w:t>
      </w:r>
    </w:p>
    <w:p w14:paraId="3EC51011" w14:textId="77777777" w:rsidR="00F87953" w:rsidRPr="0066586E" w:rsidRDefault="00F87953" w:rsidP="00F87953">
      <w:pPr>
        <w:pStyle w:val="Textonotapie"/>
        <w:ind w:firstLine="709"/>
        <w:jc w:val="both"/>
        <w:rPr>
          <w:rFonts w:ascii="Arial" w:hAnsi="Arial" w:cs="Arial"/>
          <w:sz w:val="19"/>
          <w:szCs w:val="19"/>
        </w:rPr>
      </w:pPr>
    </w:p>
  </w:footnote>
  <w:footnote w:id="32">
    <w:p w14:paraId="29062E99" w14:textId="77777777" w:rsidR="00F87953" w:rsidRPr="0066586E" w:rsidRDefault="00F87953" w:rsidP="00F87953">
      <w:pPr>
        <w:pStyle w:val="Textonotapie"/>
        <w:ind w:firstLine="708"/>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Consejo de Estado. Sala de Consulta y Servicio Civil. Concepto del 5 de octubre de 2009. Expediente 11001-03-06-000-2009-00049-00(1966). C.P. William Zambrano Cetina.</w:t>
      </w:r>
    </w:p>
    <w:p w14:paraId="6D3675ED" w14:textId="77777777" w:rsidR="00F87953" w:rsidRPr="0066586E" w:rsidRDefault="00F87953" w:rsidP="00F87953">
      <w:pPr>
        <w:pStyle w:val="Textonotapie"/>
        <w:ind w:firstLine="708"/>
        <w:jc w:val="both"/>
        <w:rPr>
          <w:rFonts w:ascii="Arial" w:hAnsi="Arial" w:cs="Arial"/>
          <w:sz w:val="19"/>
          <w:szCs w:val="19"/>
        </w:rPr>
      </w:pPr>
    </w:p>
  </w:footnote>
  <w:footnote w:id="33">
    <w:p w14:paraId="5D56F6D6" w14:textId="77777777" w:rsidR="00F87953" w:rsidRDefault="00F87953" w:rsidP="00F87953">
      <w:pPr>
        <w:pStyle w:val="Textonotapie"/>
        <w:ind w:firstLine="708"/>
        <w:jc w:val="both"/>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SANTOFIMIO GAMBOA. Jaime Orlando. Compendio de Derecho Administrativo. Universidad Externado de Colombia. 2015. Párrafo 890.  </w:t>
      </w:r>
    </w:p>
    <w:p w14:paraId="6C4865C0" w14:textId="77777777" w:rsidR="00F87953" w:rsidRPr="0066586E" w:rsidRDefault="00F87953" w:rsidP="00F87953">
      <w:pPr>
        <w:pStyle w:val="Textonotapie"/>
        <w:ind w:firstLine="708"/>
        <w:jc w:val="both"/>
        <w:rPr>
          <w:rFonts w:ascii="Arial" w:hAnsi="Arial" w:cs="Arial"/>
          <w:sz w:val="19"/>
          <w:szCs w:val="19"/>
        </w:rPr>
      </w:pPr>
    </w:p>
  </w:footnote>
  <w:footnote w:id="34">
    <w:p w14:paraId="30747A2D" w14:textId="77777777" w:rsidR="00F87953" w:rsidRPr="0066586E" w:rsidRDefault="00F87953" w:rsidP="00F87953">
      <w:pPr>
        <w:pStyle w:val="Textonotapie"/>
        <w:ind w:firstLine="708"/>
        <w:rPr>
          <w:rFonts w:ascii="Arial" w:hAnsi="Arial" w:cs="Arial"/>
          <w:sz w:val="19"/>
          <w:szCs w:val="19"/>
        </w:rPr>
      </w:pPr>
      <w:r w:rsidRPr="0066586E">
        <w:rPr>
          <w:rStyle w:val="Refdenotaalpie"/>
          <w:rFonts w:ascii="Arial" w:hAnsi="Arial" w:cs="Arial"/>
          <w:sz w:val="19"/>
          <w:szCs w:val="19"/>
        </w:rPr>
        <w:footnoteRef/>
      </w:r>
      <w:r w:rsidRPr="0066586E">
        <w:rPr>
          <w:rFonts w:ascii="Arial" w:hAnsi="Arial" w:cs="Arial"/>
          <w:sz w:val="19"/>
          <w:szCs w:val="19"/>
        </w:rPr>
        <w:t xml:space="preserve"> Ibídem, párrafo 891.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25377345">
    <w:abstractNumId w:val="10"/>
  </w:num>
  <w:num w:numId="2" w16cid:durableId="1679653502">
    <w:abstractNumId w:val="8"/>
  </w:num>
  <w:num w:numId="3" w16cid:durableId="2114587718">
    <w:abstractNumId w:val="13"/>
  </w:num>
  <w:num w:numId="4" w16cid:durableId="271136648">
    <w:abstractNumId w:val="17"/>
  </w:num>
  <w:num w:numId="5" w16cid:durableId="783041169">
    <w:abstractNumId w:val="22"/>
  </w:num>
  <w:num w:numId="6" w16cid:durableId="58611850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0127836">
    <w:abstractNumId w:val="19"/>
  </w:num>
  <w:num w:numId="8" w16cid:durableId="839807232">
    <w:abstractNumId w:val="0"/>
  </w:num>
  <w:num w:numId="9" w16cid:durableId="1846744797">
    <w:abstractNumId w:val="3"/>
  </w:num>
  <w:num w:numId="10" w16cid:durableId="4047661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43407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8646189">
    <w:abstractNumId w:val="9"/>
  </w:num>
  <w:num w:numId="13" w16cid:durableId="528836379">
    <w:abstractNumId w:val="12"/>
  </w:num>
  <w:num w:numId="14" w16cid:durableId="1347518328">
    <w:abstractNumId w:val="7"/>
  </w:num>
  <w:num w:numId="15" w16cid:durableId="1154101304">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868444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4084536">
    <w:abstractNumId w:val="24"/>
  </w:num>
  <w:num w:numId="18" w16cid:durableId="623342037">
    <w:abstractNumId w:val="14"/>
  </w:num>
  <w:num w:numId="19" w16cid:durableId="1553225094">
    <w:abstractNumId w:val="2"/>
  </w:num>
  <w:num w:numId="20" w16cid:durableId="1546403217">
    <w:abstractNumId w:val="25"/>
  </w:num>
  <w:num w:numId="21" w16cid:durableId="1296371336">
    <w:abstractNumId w:val="15"/>
  </w:num>
  <w:num w:numId="22" w16cid:durableId="1238202296">
    <w:abstractNumId w:val="6"/>
  </w:num>
  <w:num w:numId="23" w16cid:durableId="1654602611">
    <w:abstractNumId w:val="4"/>
  </w:num>
  <w:num w:numId="24" w16cid:durableId="2135824608">
    <w:abstractNumId w:val="23"/>
  </w:num>
  <w:num w:numId="25" w16cid:durableId="567112664">
    <w:abstractNumId w:val="18"/>
  </w:num>
  <w:num w:numId="26" w16cid:durableId="976178169">
    <w:abstractNumId w:val="21"/>
  </w:num>
  <w:num w:numId="27" w16cid:durableId="206913743">
    <w:abstractNumId w:val="5"/>
  </w:num>
  <w:num w:numId="28" w16cid:durableId="1265520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2B9"/>
    <w:rsid w:val="0000162E"/>
    <w:rsid w:val="000019AE"/>
    <w:rsid w:val="00001A1C"/>
    <w:rsid w:val="00001FFD"/>
    <w:rsid w:val="00002027"/>
    <w:rsid w:val="000020FE"/>
    <w:rsid w:val="00002173"/>
    <w:rsid w:val="000031A8"/>
    <w:rsid w:val="00003C5C"/>
    <w:rsid w:val="00003D39"/>
    <w:rsid w:val="00003D90"/>
    <w:rsid w:val="000040D7"/>
    <w:rsid w:val="00004556"/>
    <w:rsid w:val="000047A2"/>
    <w:rsid w:val="00004B7C"/>
    <w:rsid w:val="00004C66"/>
    <w:rsid w:val="000051AF"/>
    <w:rsid w:val="0000529F"/>
    <w:rsid w:val="000059D3"/>
    <w:rsid w:val="00005B6D"/>
    <w:rsid w:val="00005F1C"/>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1D6"/>
    <w:rsid w:val="00017A97"/>
    <w:rsid w:val="00017B65"/>
    <w:rsid w:val="00017FDA"/>
    <w:rsid w:val="00020158"/>
    <w:rsid w:val="0002029E"/>
    <w:rsid w:val="000207E0"/>
    <w:rsid w:val="000209E2"/>
    <w:rsid w:val="00020F8F"/>
    <w:rsid w:val="00021A95"/>
    <w:rsid w:val="0002256F"/>
    <w:rsid w:val="00022AAB"/>
    <w:rsid w:val="00023BF4"/>
    <w:rsid w:val="00023DAE"/>
    <w:rsid w:val="00024896"/>
    <w:rsid w:val="00025515"/>
    <w:rsid w:val="000255FA"/>
    <w:rsid w:val="000256F7"/>
    <w:rsid w:val="00025D0A"/>
    <w:rsid w:val="000263F0"/>
    <w:rsid w:val="00026407"/>
    <w:rsid w:val="00026608"/>
    <w:rsid w:val="00026C49"/>
    <w:rsid w:val="00027787"/>
    <w:rsid w:val="000278D2"/>
    <w:rsid w:val="00027965"/>
    <w:rsid w:val="00027BC4"/>
    <w:rsid w:val="00030DFB"/>
    <w:rsid w:val="00031262"/>
    <w:rsid w:val="00031364"/>
    <w:rsid w:val="000315E1"/>
    <w:rsid w:val="0003236E"/>
    <w:rsid w:val="0003339A"/>
    <w:rsid w:val="000341F2"/>
    <w:rsid w:val="00035046"/>
    <w:rsid w:val="000351F2"/>
    <w:rsid w:val="000363FF"/>
    <w:rsid w:val="00036618"/>
    <w:rsid w:val="00036779"/>
    <w:rsid w:val="00036E03"/>
    <w:rsid w:val="00037526"/>
    <w:rsid w:val="000402D3"/>
    <w:rsid w:val="000406DB"/>
    <w:rsid w:val="0004094D"/>
    <w:rsid w:val="00041029"/>
    <w:rsid w:val="00041357"/>
    <w:rsid w:val="0004149B"/>
    <w:rsid w:val="000418CF"/>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DDA"/>
    <w:rsid w:val="0004600D"/>
    <w:rsid w:val="000463B5"/>
    <w:rsid w:val="00046413"/>
    <w:rsid w:val="00046717"/>
    <w:rsid w:val="00046A63"/>
    <w:rsid w:val="00046C09"/>
    <w:rsid w:val="0004716A"/>
    <w:rsid w:val="00047385"/>
    <w:rsid w:val="000473E8"/>
    <w:rsid w:val="00047F3F"/>
    <w:rsid w:val="000504BF"/>
    <w:rsid w:val="000504DE"/>
    <w:rsid w:val="00051074"/>
    <w:rsid w:val="000526F0"/>
    <w:rsid w:val="0005273D"/>
    <w:rsid w:val="00052B79"/>
    <w:rsid w:val="00052D73"/>
    <w:rsid w:val="00052E4B"/>
    <w:rsid w:val="00052EA0"/>
    <w:rsid w:val="000536A7"/>
    <w:rsid w:val="000536E3"/>
    <w:rsid w:val="00053896"/>
    <w:rsid w:val="00053A00"/>
    <w:rsid w:val="00054037"/>
    <w:rsid w:val="0005474D"/>
    <w:rsid w:val="0005564E"/>
    <w:rsid w:val="00055CB9"/>
    <w:rsid w:val="00056F66"/>
    <w:rsid w:val="0005702F"/>
    <w:rsid w:val="000601EA"/>
    <w:rsid w:val="00061010"/>
    <w:rsid w:val="000614CC"/>
    <w:rsid w:val="00061D06"/>
    <w:rsid w:val="000625D1"/>
    <w:rsid w:val="00062CDD"/>
    <w:rsid w:val="00062DB3"/>
    <w:rsid w:val="00063472"/>
    <w:rsid w:val="000635D7"/>
    <w:rsid w:val="000635FA"/>
    <w:rsid w:val="000640AF"/>
    <w:rsid w:val="000648E1"/>
    <w:rsid w:val="00064940"/>
    <w:rsid w:val="00064CAE"/>
    <w:rsid w:val="00064DB7"/>
    <w:rsid w:val="00064FA7"/>
    <w:rsid w:val="00065195"/>
    <w:rsid w:val="0006536C"/>
    <w:rsid w:val="00065C70"/>
    <w:rsid w:val="0006626E"/>
    <w:rsid w:val="0006639D"/>
    <w:rsid w:val="00070AF1"/>
    <w:rsid w:val="00070D3E"/>
    <w:rsid w:val="000714DE"/>
    <w:rsid w:val="0007254F"/>
    <w:rsid w:val="0007357C"/>
    <w:rsid w:val="00073990"/>
    <w:rsid w:val="00073C30"/>
    <w:rsid w:val="00073F55"/>
    <w:rsid w:val="00074305"/>
    <w:rsid w:val="000744BF"/>
    <w:rsid w:val="000744D0"/>
    <w:rsid w:val="00074B2A"/>
    <w:rsid w:val="00074CE8"/>
    <w:rsid w:val="00074EEE"/>
    <w:rsid w:val="00075010"/>
    <w:rsid w:val="000753D5"/>
    <w:rsid w:val="00075A5D"/>
    <w:rsid w:val="00075B3E"/>
    <w:rsid w:val="00076456"/>
    <w:rsid w:val="00076F36"/>
    <w:rsid w:val="0007779B"/>
    <w:rsid w:val="000777E7"/>
    <w:rsid w:val="0007790A"/>
    <w:rsid w:val="0008017B"/>
    <w:rsid w:val="00080ACD"/>
    <w:rsid w:val="0008119B"/>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23"/>
    <w:rsid w:val="00092B71"/>
    <w:rsid w:val="00092CDB"/>
    <w:rsid w:val="00092DCA"/>
    <w:rsid w:val="000942EB"/>
    <w:rsid w:val="00094F22"/>
    <w:rsid w:val="00095B70"/>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2602"/>
    <w:rsid w:val="000A362F"/>
    <w:rsid w:val="000A38F9"/>
    <w:rsid w:val="000A3B49"/>
    <w:rsid w:val="000A46FE"/>
    <w:rsid w:val="000A47E6"/>
    <w:rsid w:val="000A52C0"/>
    <w:rsid w:val="000A5AAF"/>
    <w:rsid w:val="000A5F97"/>
    <w:rsid w:val="000A648E"/>
    <w:rsid w:val="000A7268"/>
    <w:rsid w:val="000A73BB"/>
    <w:rsid w:val="000A73E8"/>
    <w:rsid w:val="000A7EF4"/>
    <w:rsid w:val="000B0A15"/>
    <w:rsid w:val="000B103F"/>
    <w:rsid w:val="000B1437"/>
    <w:rsid w:val="000B1470"/>
    <w:rsid w:val="000B244D"/>
    <w:rsid w:val="000B29A2"/>
    <w:rsid w:val="000B2B86"/>
    <w:rsid w:val="000B3051"/>
    <w:rsid w:val="000B404C"/>
    <w:rsid w:val="000B419B"/>
    <w:rsid w:val="000B5781"/>
    <w:rsid w:val="000B5CB1"/>
    <w:rsid w:val="000B5EBD"/>
    <w:rsid w:val="000B7377"/>
    <w:rsid w:val="000B75F4"/>
    <w:rsid w:val="000C0185"/>
    <w:rsid w:val="000C0B0A"/>
    <w:rsid w:val="000C0D2D"/>
    <w:rsid w:val="000C0F81"/>
    <w:rsid w:val="000C128D"/>
    <w:rsid w:val="000C17A3"/>
    <w:rsid w:val="000C1D4B"/>
    <w:rsid w:val="000C266E"/>
    <w:rsid w:val="000C274B"/>
    <w:rsid w:val="000C2DC4"/>
    <w:rsid w:val="000C3216"/>
    <w:rsid w:val="000C3260"/>
    <w:rsid w:val="000C3B77"/>
    <w:rsid w:val="000C3F6D"/>
    <w:rsid w:val="000C4F49"/>
    <w:rsid w:val="000C5861"/>
    <w:rsid w:val="000C5BDE"/>
    <w:rsid w:val="000C5F5B"/>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FDC"/>
    <w:rsid w:val="000D426E"/>
    <w:rsid w:val="000D490B"/>
    <w:rsid w:val="000D4B87"/>
    <w:rsid w:val="000D4E38"/>
    <w:rsid w:val="000D50DB"/>
    <w:rsid w:val="000D6288"/>
    <w:rsid w:val="000D7002"/>
    <w:rsid w:val="000D728B"/>
    <w:rsid w:val="000D7541"/>
    <w:rsid w:val="000D75E1"/>
    <w:rsid w:val="000D7E53"/>
    <w:rsid w:val="000E09C5"/>
    <w:rsid w:val="000E22BA"/>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BBD"/>
    <w:rsid w:val="000F2573"/>
    <w:rsid w:val="000F25BC"/>
    <w:rsid w:val="000F290F"/>
    <w:rsid w:val="000F31A3"/>
    <w:rsid w:val="000F4340"/>
    <w:rsid w:val="000F4403"/>
    <w:rsid w:val="000F480B"/>
    <w:rsid w:val="000F4E17"/>
    <w:rsid w:val="000F5209"/>
    <w:rsid w:val="000F5615"/>
    <w:rsid w:val="000F62BE"/>
    <w:rsid w:val="000F6578"/>
    <w:rsid w:val="000F6F92"/>
    <w:rsid w:val="000F7E8F"/>
    <w:rsid w:val="000F7FBB"/>
    <w:rsid w:val="001000FB"/>
    <w:rsid w:val="00100A9E"/>
    <w:rsid w:val="00100B3A"/>
    <w:rsid w:val="00100F6A"/>
    <w:rsid w:val="001012D5"/>
    <w:rsid w:val="00102605"/>
    <w:rsid w:val="00102686"/>
    <w:rsid w:val="00102745"/>
    <w:rsid w:val="00102DB9"/>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ABA"/>
    <w:rsid w:val="00114E9D"/>
    <w:rsid w:val="0011507B"/>
    <w:rsid w:val="00115962"/>
    <w:rsid w:val="00116208"/>
    <w:rsid w:val="00116328"/>
    <w:rsid w:val="001163CF"/>
    <w:rsid w:val="001166C5"/>
    <w:rsid w:val="0011721D"/>
    <w:rsid w:val="001174C9"/>
    <w:rsid w:val="0011786A"/>
    <w:rsid w:val="00117CF9"/>
    <w:rsid w:val="00117E69"/>
    <w:rsid w:val="00120222"/>
    <w:rsid w:val="00120CCE"/>
    <w:rsid w:val="00121103"/>
    <w:rsid w:val="00121BAB"/>
    <w:rsid w:val="00121E3C"/>
    <w:rsid w:val="00122A28"/>
    <w:rsid w:val="00122B23"/>
    <w:rsid w:val="00122B7E"/>
    <w:rsid w:val="00123E27"/>
    <w:rsid w:val="00123E3D"/>
    <w:rsid w:val="00123FB5"/>
    <w:rsid w:val="0012400F"/>
    <w:rsid w:val="001249DC"/>
    <w:rsid w:val="00124EE5"/>
    <w:rsid w:val="0012572D"/>
    <w:rsid w:val="00125BED"/>
    <w:rsid w:val="00125C59"/>
    <w:rsid w:val="00125D4F"/>
    <w:rsid w:val="001265C0"/>
    <w:rsid w:val="001269B8"/>
    <w:rsid w:val="00127004"/>
    <w:rsid w:val="00127AF2"/>
    <w:rsid w:val="00127BD8"/>
    <w:rsid w:val="00127EDC"/>
    <w:rsid w:val="00127F42"/>
    <w:rsid w:val="00127F6D"/>
    <w:rsid w:val="00130355"/>
    <w:rsid w:val="00130365"/>
    <w:rsid w:val="001304E5"/>
    <w:rsid w:val="00130BCE"/>
    <w:rsid w:val="00131491"/>
    <w:rsid w:val="0013181F"/>
    <w:rsid w:val="00131B5A"/>
    <w:rsid w:val="00131DA9"/>
    <w:rsid w:val="00132C30"/>
    <w:rsid w:val="00132EFD"/>
    <w:rsid w:val="00133011"/>
    <w:rsid w:val="00133A7E"/>
    <w:rsid w:val="00133AED"/>
    <w:rsid w:val="00134BCD"/>
    <w:rsid w:val="00134E09"/>
    <w:rsid w:val="001350AB"/>
    <w:rsid w:val="001353E2"/>
    <w:rsid w:val="0013552F"/>
    <w:rsid w:val="00135DB9"/>
    <w:rsid w:val="00135E5D"/>
    <w:rsid w:val="0013695C"/>
    <w:rsid w:val="00136BF7"/>
    <w:rsid w:val="00136C78"/>
    <w:rsid w:val="001377ED"/>
    <w:rsid w:val="001378B9"/>
    <w:rsid w:val="00137FFA"/>
    <w:rsid w:val="00140109"/>
    <w:rsid w:val="0014029B"/>
    <w:rsid w:val="00140464"/>
    <w:rsid w:val="00140A4F"/>
    <w:rsid w:val="001413AB"/>
    <w:rsid w:val="00141AE6"/>
    <w:rsid w:val="00141BF7"/>
    <w:rsid w:val="00141DBF"/>
    <w:rsid w:val="00142237"/>
    <w:rsid w:val="00142EFD"/>
    <w:rsid w:val="00143330"/>
    <w:rsid w:val="00144335"/>
    <w:rsid w:val="00144C1D"/>
    <w:rsid w:val="0014502F"/>
    <w:rsid w:val="00145282"/>
    <w:rsid w:val="001453B0"/>
    <w:rsid w:val="001454D9"/>
    <w:rsid w:val="00145D00"/>
    <w:rsid w:val="00145D8E"/>
    <w:rsid w:val="00146083"/>
    <w:rsid w:val="001462F7"/>
    <w:rsid w:val="001471AB"/>
    <w:rsid w:val="00147F35"/>
    <w:rsid w:val="00150005"/>
    <w:rsid w:val="0015162F"/>
    <w:rsid w:val="00151AEB"/>
    <w:rsid w:val="00151B99"/>
    <w:rsid w:val="00151DF3"/>
    <w:rsid w:val="00151E79"/>
    <w:rsid w:val="001521B2"/>
    <w:rsid w:val="00152EDD"/>
    <w:rsid w:val="001530D6"/>
    <w:rsid w:val="00153491"/>
    <w:rsid w:val="0015361C"/>
    <w:rsid w:val="0015372F"/>
    <w:rsid w:val="00153BFB"/>
    <w:rsid w:val="0015407E"/>
    <w:rsid w:val="0015415A"/>
    <w:rsid w:val="001541A8"/>
    <w:rsid w:val="0015430A"/>
    <w:rsid w:val="0015448E"/>
    <w:rsid w:val="00154A6F"/>
    <w:rsid w:val="00155747"/>
    <w:rsid w:val="00155D08"/>
    <w:rsid w:val="001561F3"/>
    <w:rsid w:val="0015623B"/>
    <w:rsid w:val="00156BE5"/>
    <w:rsid w:val="00157232"/>
    <w:rsid w:val="00160401"/>
    <w:rsid w:val="00160D4E"/>
    <w:rsid w:val="00161303"/>
    <w:rsid w:val="001614B0"/>
    <w:rsid w:val="00161598"/>
    <w:rsid w:val="00161DDA"/>
    <w:rsid w:val="00161E62"/>
    <w:rsid w:val="00161F1C"/>
    <w:rsid w:val="0016200B"/>
    <w:rsid w:val="0016204B"/>
    <w:rsid w:val="00162AFD"/>
    <w:rsid w:val="00163D7A"/>
    <w:rsid w:val="00164281"/>
    <w:rsid w:val="00164474"/>
    <w:rsid w:val="00165703"/>
    <w:rsid w:val="00166204"/>
    <w:rsid w:val="00166726"/>
    <w:rsid w:val="0016685F"/>
    <w:rsid w:val="0016712F"/>
    <w:rsid w:val="00167503"/>
    <w:rsid w:val="001676A9"/>
    <w:rsid w:val="00167A15"/>
    <w:rsid w:val="00167A45"/>
    <w:rsid w:val="00167A50"/>
    <w:rsid w:val="00167D1A"/>
    <w:rsid w:val="00167DF5"/>
    <w:rsid w:val="00170001"/>
    <w:rsid w:val="00172198"/>
    <w:rsid w:val="00172612"/>
    <w:rsid w:val="00172817"/>
    <w:rsid w:val="00172EE4"/>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2F8F"/>
    <w:rsid w:val="001835C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5901"/>
    <w:rsid w:val="001962EC"/>
    <w:rsid w:val="001963DD"/>
    <w:rsid w:val="001965DB"/>
    <w:rsid w:val="00196D01"/>
    <w:rsid w:val="00196DC9"/>
    <w:rsid w:val="00196E95"/>
    <w:rsid w:val="00197758"/>
    <w:rsid w:val="00197891"/>
    <w:rsid w:val="001A0236"/>
    <w:rsid w:val="001A0915"/>
    <w:rsid w:val="001A0AF8"/>
    <w:rsid w:val="001A141C"/>
    <w:rsid w:val="001A1490"/>
    <w:rsid w:val="001A18D5"/>
    <w:rsid w:val="001A1A38"/>
    <w:rsid w:val="001A1BE0"/>
    <w:rsid w:val="001A1D4A"/>
    <w:rsid w:val="001A1EB7"/>
    <w:rsid w:val="001A2993"/>
    <w:rsid w:val="001A3011"/>
    <w:rsid w:val="001A33F1"/>
    <w:rsid w:val="001A3F4C"/>
    <w:rsid w:val="001A3FC8"/>
    <w:rsid w:val="001A4A9B"/>
    <w:rsid w:val="001A4DAF"/>
    <w:rsid w:val="001A4EBB"/>
    <w:rsid w:val="001A54CD"/>
    <w:rsid w:val="001A5D74"/>
    <w:rsid w:val="001A66DF"/>
    <w:rsid w:val="001A67D0"/>
    <w:rsid w:val="001A6863"/>
    <w:rsid w:val="001A7591"/>
    <w:rsid w:val="001A75B1"/>
    <w:rsid w:val="001A7B06"/>
    <w:rsid w:val="001B0366"/>
    <w:rsid w:val="001B0444"/>
    <w:rsid w:val="001B096B"/>
    <w:rsid w:val="001B0F9F"/>
    <w:rsid w:val="001B123C"/>
    <w:rsid w:val="001B1806"/>
    <w:rsid w:val="001B1A0D"/>
    <w:rsid w:val="001B1BF1"/>
    <w:rsid w:val="001B1E12"/>
    <w:rsid w:val="001B2083"/>
    <w:rsid w:val="001B2456"/>
    <w:rsid w:val="001B2C14"/>
    <w:rsid w:val="001B2D7F"/>
    <w:rsid w:val="001B33FD"/>
    <w:rsid w:val="001B376C"/>
    <w:rsid w:val="001B3CC4"/>
    <w:rsid w:val="001B449C"/>
    <w:rsid w:val="001B4AA2"/>
    <w:rsid w:val="001B4ADE"/>
    <w:rsid w:val="001B5530"/>
    <w:rsid w:val="001B5EF8"/>
    <w:rsid w:val="001B6C54"/>
    <w:rsid w:val="001B71E8"/>
    <w:rsid w:val="001B787E"/>
    <w:rsid w:val="001B7C80"/>
    <w:rsid w:val="001C07C6"/>
    <w:rsid w:val="001C120D"/>
    <w:rsid w:val="001C19CD"/>
    <w:rsid w:val="001C22D5"/>
    <w:rsid w:val="001C2515"/>
    <w:rsid w:val="001C26FB"/>
    <w:rsid w:val="001C33C1"/>
    <w:rsid w:val="001C3AF0"/>
    <w:rsid w:val="001C3E30"/>
    <w:rsid w:val="001C3E5C"/>
    <w:rsid w:val="001C4040"/>
    <w:rsid w:val="001C4AF7"/>
    <w:rsid w:val="001C5072"/>
    <w:rsid w:val="001C5B2A"/>
    <w:rsid w:val="001C600B"/>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3707"/>
    <w:rsid w:val="001D3C80"/>
    <w:rsid w:val="001D51DD"/>
    <w:rsid w:val="001D56E9"/>
    <w:rsid w:val="001D5E55"/>
    <w:rsid w:val="001D639C"/>
    <w:rsid w:val="001D7616"/>
    <w:rsid w:val="001D776A"/>
    <w:rsid w:val="001D796A"/>
    <w:rsid w:val="001D7A84"/>
    <w:rsid w:val="001D7BF1"/>
    <w:rsid w:val="001D7C79"/>
    <w:rsid w:val="001E003B"/>
    <w:rsid w:val="001E0877"/>
    <w:rsid w:val="001E0B15"/>
    <w:rsid w:val="001E1362"/>
    <w:rsid w:val="001E17FB"/>
    <w:rsid w:val="001E192A"/>
    <w:rsid w:val="001E1A88"/>
    <w:rsid w:val="001E1CC4"/>
    <w:rsid w:val="001E1D38"/>
    <w:rsid w:val="001E28A0"/>
    <w:rsid w:val="001E2A95"/>
    <w:rsid w:val="001E2D23"/>
    <w:rsid w:val="001E2EFB"/>
    <w:rsid w:val="001E3B47"/>
    <w:rsid w:val="001E3E26"/>
    <w:rsid w:val="001E3FFE"/>
    <w:rsid w:val="001E4258"/>
    <w:rsid w:val="001E5031"/>
    <w:rsid w:val="001E5140"/>
    <w:rsid w:val="001E51C2"/>
    <w:rsid w:val="001E5787"/>
    <w:rsid w:val="001E5D6A"/>
    <w:rsid w:val="001E6547"/>
    <w:rsid w:val="001E6A94"/>
    <w:rsid w:val="001E70FB"/>
    <w:rsid w:val="001E780A"/>
    <w:rsid w:val="001E79AE"/>
    <w:rsid w:val="001F0D15"/>
    <w:rsid w:val="001F0FA0"/>
    <w:rsid w:val="001F1194"/>
    <w:rsid w:val="001F1349"/>
    <w:rsid w:val="001F1863"/>
    <w:rsid w:val="001F2356"/>
    <w:rsid w:val="001F2A68"/>
    <w:rsid w:val="001F3157"/>
    <w:rsid w:val="001F3A05"/>
    <w:rsid w:val="001F4773"/>
    <w:rsid w:val="001F5008"/>
    <w:rsid w:val="001F56AA"/>
    <w:rsid w:val="001F58AA"/>
    <w:rsid w:val="001F5A4E"/>
    <w:rsid w:val="001F5CBC"/>
    <w:rsid w:val="001F5EF6"/>
    <w:rsid w:val="001F657F"/>
    <w:rsid w:val="001F6909"/>
    <w:rsid w:val="001F6FB6"/>
    <w:rsid w:val="001F72BB"/>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9C5"/>
    <w:rsid w:val="00221CEF"/>
    <w:rsid w:val="002220B1"/>
    <w:rsid w:val="002221CE"/>
    <w:rsid w:val="00222BE8"/>
    <w:rsid w:val="00222DC1"/>
    <w:rsid w:val="00222DFB"/>
    <w:rsid w:val="00223102"/>
    <w:rsid w:val="002232CB"/>
    <w:rsid w:val="00224022"/>
    <w:rsid w:val="00226055"/>
    <w:rsid w:val="0022609C"/>
    <w:rsid w:val="0022613F"/>
    <w:rsid w:val="0022614F"/>
    <w:rsid w:val="00226236"/>
    <w:rsid w:val="002270C9"/>
    <w:rsid w:val="00227236"/>
    <w:rsid w:val="00227A8B"/>
    <w:rsid w:val="0023074D"/>
    <w:rsid w:val="00230BA3"/>
    <w:rsid w:val="00231414"/>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BB6"/>
    <w:rsid w:val="00236016"/>
    <w:rsid w:val="00236170"/>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559"/>
    <w:rsid w:val="00242D5F"/>
    <w:rsid w:val="00242D62"/>
    <w:rsid w:val="002430D0"/>
    <w:rsid w:val="002431D7"/>
    <w:rsid w:val="002436C7"/>
    <w:rsid w:val="00244058"/>
    <w:rsid w:val="00244861"/>
    <w:rsid w:val="002453E7"/>
    <w:rsid w:val="00245718"/>
    <w:rsid w:val="00245E07"/>
    <w:rsid w:val="002467F2"/>
    <w:rsid w:val="00246CEC"/>
    <w:rsid w:val="002471CD"/>
    <w:rsid w:val="00247712"/>
    <w:rsid w:val="00250A9E"/>
    <w:rsid w:val="00250EC6"/>
    <w:rsid w:val="002515C7"/>
    <w:rsid w:val="00251866"/>
    <w:rsid w:val="00251A9F"/>
    <w:rsid w:val="00251CA0"/>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4266"/>
    <w:rsid w:val="002642E0"/>
    <w:rsid w:val="002646FC"/>
    <w:rsid w:val="0026471F"/>
    <w:rsid w:val="0026480D"/>
    <w:rsid w:val="002653A6"/>
    <w:rsid w:val="00265BEF"/>
    <w:rsid w:val="00265C13"/>
    <w:rsid w:val="00265E86"/>
    <w:rsid w:val="00265F47"/>
    <w:rsid w:val="002661F1"/>
    <w:rsid w:val="002662C5"/>
    <w:rsid w:val="00266811"/>
    <w:rsid w:val="00266DB6"/>
    <w:rsid w:val="00267C66"/>
    <w:rsid w:val="00270551"/>
    <w:rsid w:val="00271168"/>
    <w:rsid w:val="002711A4"/>
    <w:rsid w:val="00271230"/>
    <w:rsid w:val="00271F13"/>
    <w:rsid w:val="00272393"/>
    <w:rsid w:val="00272945"/>
    <w:rsid w:val="00273768"/>
    <w:rsid w:val="0027482E"/>
    <w:rsid w:val="00274DB5"/>
    <w:rsid w:val="00275781"/>
    <w:rsid w:val="00275BB1"/>
    <w:rsid w:val="002763F4"/>
    <w:rsid w:val="00276B5A"/>
    <w:rsid w:val="00276E44"/>
    <w:rsid w:val="00277378"/>
    <w:rsid w:val="00277497"/>
    <w:rsid w:val="0027770B"/>
    <w:rsid w:val="00277933"/>
    <w:rsid w:val="00277F8D"/>
    <w:rsid w:val="00277FA7"/>
    <w:rsid w:val="00280046"/>
    <w:rsid w:val="00280B4F"/>
    <w:rsid w:val="00280F3D"/>
    <w:rsid w:val="0028106A"/>
    <w:rsid w:val="002816AF"/>
    <w:rsid w:val="00281EB4"/>
    <w:rsid w:val="00282E03"/>
    <w:rsid w:val="0028308E"/>
    <w:rsid w:val="002831D6"/>
    <w:rsid w:val="002834E9"/>
    <w:rsid w:val="00283A52"/>
    <w:rsid w:val="00283C5E"/>
    <w:rsid w:val="00283E26"/>
    <w:rsid w:val="0028428F"/>
    <w:rsid w:val="00284A32"/>
    <w:rsid w:val="00284CFC"/>
    <w:rsid w:val="00285832"/>
    <w:rsid w:val="00285969"/>
    <w:rsid w:val="00285D8E"/>
    <w:rsid w:val="00285E14"/>
    <w:rsid w:val="0028663B"/>
    <w:rsid w:val="00286CEC"/>
    <w:rsid w:val="002870F9"/>
    <w:rsid w:val="002871A9"/>
    <w:rsid w:val="00287505"/>
    <w:rsid w:val="00287BDB"/>
    <w:rsid w:val="00290781"/>
    <w:rsid w:val="00291784"/>
    <w:rsid w:val="00291D4A"/>
    <w:rsid w:val="00291F69"/>
    <w:rsid w:val="002920DF"/>
    <w:rsid w:val="002925F5"/>
    <w:rsid w:val="002928A3"/>
    <w:rsid w:val="002929BB"/>
    <w:rsid w:val="00293DA0"/>
    <w:rsid w:val="00294368"/>
    <w:rsid w:val="00294B78"/>
    <w:rsid w:val="0029501B"/>
    <w:rsid w:val="00295416"/>
    <w:rsid w:val="00295949"/>
    <w:rsid w:val="00295D7C"/>
    <w:rsid w:val="00295FA5"/>
    <w:rsid w:val="0029624A"/>
    <w:rsid w:val="002963FF"/>
    <w:rsid w:val="00296922"/>
    <w:rsid w:val="00296D52"/>
    <w:rsid w:val="00296DF4"/>
    <w:rsid w:val="00297098"/>
    <w:rsid w:val="002A0587"/>
    <w:rsid w:val="002A05D4"/>
    <w:rsid w:val="002A06DB"/>
    <w:rsid w:val="002A09FF"/>
    <w:rsid w:val="002A0E60"/>
    <w:rsid w:val="002A0F18"/>
    <w:rsid w:val="002A15CF"/>
    <w:rsid w:val="002A1A58"/>
    <w:rsid w:val="002A1B02"/>
    <w:rsid w:val="002A1C53"/>
    <w:rsid w:val="002A244B"/>
    <w:rsid w:val="002A28FC"/>
    <w:rsid w:val="002A2B44"/>
    <w:rsid w:val="002A2EA5"/>
    <w:rsid w:val="002A3D94"/>
    <w:rsid w:val="002A4736"/>
    <w:rsid w:val="002A4B1C"/>
    <w:rsid w:val="002A55FE"/>
    <w:rsid w:val="002A56B1"/>
    <w:rsid w:val="002A6AFB"/>
    <w:rsid w:val="002A6E4B"/>
    <w:rsid w:val="002A733D"/>
    <w:rsid w:val="002A774A"/>
    <w:rsid w:val="002A78F3"/>
    <w:rsid w:val="002A7D84"/>
    <w:rsid w:val="002A7E5C"/>
    <w:rsid w:val="002A7EC2"/>
    <w:rsid w:val="002A7F6D"/>
    <w:rsid w:val="002B0D83"/>
    <w:rsid w:val="002B107B"/>
    <w:rsid w:val="002B116D"/>
    <w:rsid w:val="002B1342"/>
    <w:rsid w:val="002B1F83"/>
    <w:rsid w:val="002B27C8"/>
    <w:rsid w:val="002B2A7F"/>
    <w:rsid w:val="002B330B"/>
    <w:rsid w:val="002B39BE"/>
    <w:rsid w:val="002B3CCA"/>
    <w:rsid w:val="002B42BD"/>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012D"/>
    <w:rsid w:val="002C101F"/>
    <w:rsid w:val="002C17D5"/>
    <w:rsid w:val="002C24B4"/>
    <w:rsid w:val="002C29EA"/>
    <w:rsid w:val="002C2B3A"/>
    <w:rsid w:val="002C2B87"/>
    <w:rsid w:val="002C30A5"/>
    <w:rsid w:val="002C3CF4"/>
    <w:rsid w:val="002C441A"/>
    <w:rsid w:val="002C4A73"/>
    <w:rsid w:val="002C4B84"/>
    <w:rsid w:val="002C4C0C"/>
    <w:rsid w:val="002C4C24"/>
    <w:rsid w:val="002C5016"/>
    <w:rsid w:val="002C5C2F"/>
    <w:rsid w:val="002C5D0F"/>
    <w:rsid w:val="002C60B9"/>
    <w:rsid w:val="002C6F3B"/>
    <w:rsid w:val="002C6F77"/>
    <w:rsid w:val="002C6FB8"/>
    <w:rsid w:val="002C704D"/>
    <w:rsid w:val="002C74F4"/>
    <w:rsid w:val="002D0845"/>
    <w:rsid w:val="002D0933"/>
    <w:rsid w:val="002D1555"/>
    <w:rsid w:val="002D19BB"/>
    <w:rsid w:val="002D1A9B"/>
    <w:rsid w:val="002D1D79"/>
    <w:rsid w:val="002D20F8"/>
    <w:rsid w:val="002D22BD"/>
    <w:rsid w:val="002D22C5"/>
    <w:rsid w:val="002D2CA7"/>
    <w:rsid w:val="002D302A"/>
    <w:rsid w:val="002D36C6"/>
    <w:rsid w:val="002D37C1"/>
    <w:rsid w:val="002D444B"/>
    <w:rsid w:val="002D46B4"/>
    <w:rsid w:val="002D49C2"/>
    <w:rsid w:val="002D4A45"/>
    <w:rsid w:val="002D4B42"/>
    <w:rsid w:val="002D4B43"/>
    <w:rsid w:val="002D5A1B"/>
    <w:rsid w:val="002D6558"/>
    <w:rsid w:val="002D65BC"/>
    <w:rsid w:val="002D6A88"/>
    <w:rsid w:val="002D6C30"/>
    <w:rsid w:val="002D7532"/>
    <w:rsid w:val="002D7FEE"/>
    <w:rsid w:val="002E055C"/>
    <w:rsid w:val="002E1050"/>
    <w:rsid w:val="002E107E"/>
    <w:rsid w:val="002E18E5"/>
    <w:rsid w:val="002E1953"/>
    <w:rsid w:val="002E1FCF"/>
    <w:rsid w:val="002E2C3F"/>
    <w:rsid w:val="002E2CB5"/>
    <w:rsid w:val="002E2CDE"/>
    <w:rsid w:val="002E2D7D"/>
    <w:rsid w:val="002E32D0"/>
    <w:rsid w:val="002E3580"/>
    <w:rsid w:val="002E3913"/>
    <w:rsid w:val="002E3D76"/>
    <w:rsid w:val="002E40A1"/>
    <w:rsid w:val="002E48EC"/>
    <w:rsid w:val="002E4B44"/>
    <w:rsid w:val="002E4ECB"/>
    <w:rsid w:val="002E4F23"/>
    <w:rsid w:val="002E52E9"/>
    <w:rsid w:val="002E578A"/>
    <w:rsid w:val="002E635A"/>
    <w:rsid w:val="002E6431"/>
    <w:rsid w:val="002E6D68"/>
    <w:rsid w:val="002E6E2B"/>
    <w:rsid w:val="002E7340"/>
    <w:rsid w:val="002E7847"/>
    <w:rsid w:val="002E79FB"/>
    <w:rsid w:val="002F0073"/>
    <w:rsid w:val="002F1C67"/>
    <w:rsid w:val="002F1CA3"/>
    <w:rsid w:val="002F240B"/>
    <w:rsid w:val="002F2EA9"/>
    <w:rsid w:val="002F2F50"/>
    <w:rsid w:val="002F33EC"/>
    <w:rsid w:val="002F34E3"/>
    <w:rsid w:val="002F3601"/>
    <w:rsid w:val="002F3F5B"/>
    <w:rsid w:val="002F40E2"/>
    <w:rsid w:val="002F45F6"/>
    <w:rsid w:val="002F5A6F"/>
    <w:rsid w:val="002F5C11"/>
    <w:rsid w:val="002F692F"/>
    <w:rsid w:val="002F7031"/>
    <w:rsid w:val="002F7961"/>
    <w:rsid w:val="002F7B4A"/>
    <w:rsid w:val="002F7B66"/>
    <w:rsid w:val="003007B6"/>
    <w:rsid w:val="00300A52"/>
    <w:rsid w:val="00300CB4"/>
    <w:rsid w:val="00300E24"/>
    <w:rsid w:val="0030248C"/>
    <w:rsid w:val="003024A4"/>
    <w:rsid w:val="0030257B"/>
    <w:rsid w:val="003030BF"/>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B71"/>
    <w:rsid w:val="00307C44"/>
    <w:rsid w:val="0031088E"/>
    <w:rsid w:val="00310D01"/>
    <w:rsid w:val="00310FF0"/>
    <w:rsid w:val="00311376"/>
    <w:rsid w:val="003118B7"/>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4C64"/>
    <w:rsid w:val="003151FE"/>
    <w:rsid w:val="00315365"/>
    <w:rsid w:val="00315457"/>
    <w:rsid w:val="003161A4"/>
    <w:rsid w:val="003168EC"/>
    <w:rsid w:val="00316955"/>
    <w:rsid w:val="0031713F"/>
    <w:rsid w:val="0031720A"/>
    <w:rsid w:val="0031749B"/>
    <w:rsid w:val="003174E5"/>
    <w:rsid w:val="00317C9D"/>
    <w:rsid w:val="00317CD2"/>
    <w:rsid w:val="00317D99"/>
    <w:rsid w:val="0032078D"/>
    <w:rsid w:val="00320ADF"/>
    <w:rsid w:val="0032137B"/>
    <w:rsid w:val="00321664"/>
    <w:rsid w:val="00321A70"/>
    <w:rsid w:val="00321BD6"/>
    <w:rsid w:val="00321FA3"/>
    <w:rsid w:val="003227D3"/>
    <w:rsid w:val="00322937"/>
    <w:rsid w:val="00322B11"/>
    <w:rsid w:val="00322CE5"/>
    <w:rsid w:val="00323881"/>
    <w:rsid w:val="00324885"/>
    <w:rsid w:val="00324EAD"/>
    <w:rsid w:val="003251A8"/>
    <w:rsid w:val="003254B1"/>
    <w:rsid w:val="00325AD9"/>
    <w:rsid w:val="00325D98"/>
    <w:rsid w:val="0032643D"/>
    <w:rsid w:val="0032682A"/>
    <w:rsid w:val="00327A5C"/>
    <w:rsid w:val="0033033C"/>
    <w:rsid w:val="00330846"/>
    <w:rsid w:val="0033092C"/>
    <w:rsid w:val="00330EEF"/>
    <w:rsid w:val="0033122A"/>
    <w:rsid w:val="003315AC"/>
    <w:rsid w:val="00331932"/>
    <w:rsid w:val="00331F74"/>
    <w:rsid w:val="00332382"/>
    <w:rsid w:val="00332453"/>
    <w:rsid w:val="0033251B"/>
    <w:rsid w:val="003331C6"/>
    <w:rsid w:val="00333A88"/>
    <w:rsid w:val="00335952"/>
    <w:rsid w:val="00335977"/>
    <w:rsid w:val="00335B15"/>
    <w:rsid w:val="00335B21"/>
    <w:rsid w:val="00335D3F"/>
    <w:rsid w:val="00336104"/>
    <w:rsid w:val="003363B4"/>
    <w:rsid w:val="003364E6"/>
    <w:rsid w:val="00336729"/>
    <w:rsid w:val="00336CD9"/>
    <w:rsid w:val="0033726D"/>
    <w:rsid w:val="00337CA8"/>
    <w:rsid w:val="00340978"/>
    <w:rsid w:val="00340D3F"/>
    <w:rsid w:val="0034174B"/>
    <w:rsid w:val="0034177C"/>
    <w:rsid w:val="003420E9"/>
    <w:rsid w:val="00342345"/>
    <w:rsid w:val="00342705"/>
    <w:rsid w:val="00342C27"/>
    <w:rsid w:val="003430C8"/>
    <w:rsid w:val="003432C8"/>
    <w:rsid w:val="003434B3"/>
    <w:rsid w:val="00343536"/>
    <w:rsid w:val="00343EFB"/>
    <w:rsid w:val="00344760"/>
    <w:rsid w:val="003454E8"/>
    <w:rsid w:val="00345574"/>
    <w:rsid w:val="003461AC"/>
    <w:rsid w:val="0034680A"/>
    <w:rsid w:val="00346B5D"/>
    <w:rsid w:val="00346C62"/>
    <w:rsid w:val="00347202"/>
    <w:rsid w:val="0034778E"/>
    <w:rsid w:val="00347A5A"/>
    <w:rsid w:val="003501E2"/>
    <w:rsid w:val="00351591"/>
    <w:rsid w:val="00351E01"/>
    <w:rsid w:val="00351E10"/>
    <w:rsid w:val="00352583"/>
    <w:rsid w:val="003533F4"/>
    <w:rsid w:val="003536F6"/>
    <w:rsid w:val="003538C2"/>
    <w:rsid w:val="00353AEA"/>
    <w:rsid w:val="00353C59"/>
    <w:rsid w:val="00353D14"/>
    <w:rsid w:val="00353DA6"/>
    <w:rsid w:val="00353DD5"/>
    <w:rsid w:val="00355131"/>
    <w:rsid w:val="003555F9"/>
    <w:rsid w:val="00355F74"/>
    <w:rsid w:val="003560DB"/>
    <w:rsid w:val="003564DB"/>
    <w:rsid w:val="00356F87"/>
    <w:rsid w:val="00357DB3"/>
    <w:rsid w:val="00357E83"/>
    <w:rsid w:val="00360CF3"/>
    <w:rsid w:val="0036148E"/>
    <w:rsid w:val="003616AB"/>
    <w:rsid w:val="0036194D"/>
    <w:rsid w:val="00361A59"/>
    <w:rsid w:val="0036281C"/>
    <w:rsid w:val="00363348"/>
    <w:rsid w:val="00363857"/>
    <w:rsid w:val="00363D59"/>
    <w:rsid w:val="003640F7"/>
    <w:rsid w:val="003647CC"/>
    <w:rsid w:val="00365026"/>
    <w:rsid w:val="00365575"/>
    <w:rsid w:val="0036594A"/>
    <w:rsid w:val="00365D3A"/>
    <w:rsid w:val="003664FF"/>
    <w:rsid w:val="00366BD2"/>
    <w:rsid w:val="003670B8"/>
    <w:rsid w:val="00370084"/>
    <w:rsid w:val="003704A3"/>
    <w:rsid w:val="003706F2"/>
    <w:rsid w:val="00370912"/>
    <w:rsid w:val="0037091B"/>
    <w:rsid w:val="0037124F"/>
    <w:rsid w:val="00371B86"/>
    <w:rsid w:val="003722F0"/>
    <w:rsid w:val="00372AED"/>
    <w:rsid w:val="00373827"/>
    <w:rsid w:val="00373C7B"/>
    <w:rsid w:val="00373FAD"/>
    <w:rsid w:val="0037401C"/>
    <w:rsid w:val="0037402B"/>
    <w:rsid w:val="0037507B"/>
    <w:rsid w:val="00375575"/>
    <w:rsid w:val="003758DD"/>
    <w:rsid w:val="00375A41"/>
    <w:rsid w:val="00375C7C"/>
    <w:rsid w:val="00377027"/>
    <w:rsid w:val="00377135"/>
    <w:rsid w:val="00380272"/>
    <w:rsid w:val="003805DB"/>
    <w:rsid w:val="00380B0A"/>
    <w:rsid w:val="0038152A"/>
    <w:rsid w:val="00382BAD"/>
    <w:rsid w:val="00383579"/>
    <w:rsid w:val="003835FD"/>
    <w:rsid w:val="00384DF1"/>
    <w:rsid w:val="00384FF3"/>
    <w:rsid w:val="00385FD2"/>
    <w:rsid w:val="00386456"/>
    <w:rsid w:val="003865A9"/>
    <w:rsid w:val="00387440"/>
    <w:rsid w:val="0038775B"/>
    <w:rsid w:val="0039092B"/>
    <w:rsid w:val="00390BD9"/>
    <w:rsid w:val="00390F32"/>
    <w:rsid w:val="00391285"/>
    <w:rsid w:val="0039135E"/>
    <w:rsid w:val="003924A4"/>
    <w:rsid w:val="0039285D"/>
    <w:rsid w:val="0039319C"/>
    <w:rsid w:val="00393577"/>
    <w:rsid w:val="00393645"/>
    <w:rsid w:val="00393CAE"/>
    <w:rsid w:val="003945F4"/>
    <w:rsid w:val="003947D1"/>
    <w:rsid w:val="00394EB5"/>
    <w:rsid w:val="003953B4"/>
    <w:rsid w:val="00395534"/>
    <w:rsid w:val="0039615F"/>
    <w:rsid w:val="003966A0"/>
    <w:rsid w:val="00396A29"/>
    <w:rsid w:val="0039719A"/>
    <w:rsid w:val="00397FF0"/>
    <w:rsid w:val="003A0818"/>
    <w:rsid w:val="003A0878"/>
    <w:rsid w:val="003A1561"/>
    <w:rsid w:val="003A1B4F"/>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17C"/>
    <w:rsid w:val="003B0341"/>
    <w:rsid w:val="003B10A7"/>
    <w:rsid w:val="003B10C7"/>
    <w:rsid w:val="003B1961"/>
    <w:rsid w:val="003B1E57"/>
    <w:rsid w:val="003B2EF3"/>
    <w:rsid w:val="003B319F"/>
    <w:rsid w:val="003B4C61"/>
    <w:rsid w:val="003B534F"/>
    <w:rsid w:val="003B5391"/>
    <w:rsid w:val="003B570B"/>
    <w:rsid w:val="003B58CE"/>
    <w:rsid w:val="003B5BC8"/>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857"/>
    <w:rsid w:val="003C4317"/>
    <w:rsid w:val="003C4D9F"/>
    <w:rsid w:val="003C51B1"/>
    <w:rsid w:val="003C5247"/>
    <w:rsid w:val="003C56E8"/>
    <w:rsid w:val="003C5E8A"/>
    <w:rsid w:val="003C622C"/>
    <w:rsid w:val="003C6505"/>
    <w:rsid w:val="003C73C7"/>
    <w:rsid w:val="003C7CFB"/>
    <w:rsid w:val="003D020F"/>
    <w:rsid w:val="003D050B"/>
    <w:rsid w:val="003D0B98"/>
    <w:rsid w:val="003D0C3C"/>
    <w:rsid w:val="003D0DE5"/>
    <w:rsid w:val="003D1351"/>
    <w:rsid w:val="003D1795"/>
    <w:rsid w:val="003D21C1"/>
    <w:rsid w:val="003D23FE"/>
    <w:rsid w:val="003D2CFC"/>
    <w:rsid w:val="003D321B"/>
    <w:rsid w:val="003D3B15"/>
    <w:rsid w:val="003D3B2E"/>
    <w:rsid w:val="003D4101"/>
    <w:rsid w:val="003D484D"/>
    <w:rsid w:val="003D49CB"/>
    <w:rsid w:val="003D5662"/>
    <w:rsid w:val="003D6B8F"/>
    <w:rsid w:val="003D7566"/>
    <w:rsid w:val="003E0224"/>
    <w:rsid w:val="003E09BB"/>
    <w:rsid w:val="003E159D"/>
    <w:rsid w:val="003E1FB6"/>
    <w:rsid w:val="003E20EA"/>
    <w:rsid w:val="003E210C"/>
    <w:rsid w:val="003E2F55"/>
    <w:rsid w:val="003E34DB"/>
    <w:rsid w:val="003E3833"/>
    <w:rsid w:val="003E3AF9"/>
    <w:rsid w:val="003E3E06"/>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E7C10"/>
    <w:rsid w:val="003F060E"/>
    <w:rsid w:val="003F0F7F"/>
    <w:rsid w:val="003F115C"/>
    <w:rsid w:val="003F153A"/>
    <w:rsid w:val="003F1704"/>
    <w:rsid w:val="003F217F"/>
    <w:rsid w:val="003F22A4"/>
    <w:rsid w:val="003F252F"/>
    <w:rsid w:val="003F2DD7"/>
    <w:rsid w:val="003F2F64"/>
    <w:rsid w:val="003F300D"/>
    <w:rsid w:val="003F391F"/>
    <w:rsid w:val="003F3D8A"/>
    <w:rsid w:val="003F4599"/>
    <w:rsid w:val="003F45E1"/>
    <w:rsid w:val="003F4F6C"/>
    <w:rsid w:val="003F559E"/>
    <w:rsid w:val="003F6181"/>
    <w:rsid w:val="003F6BFC"/>
    <w:rsid w:val="003F6EAE"/>
    <w:rsid w:val="003F7343"/>
    <w:rsid w:val="003F7400"/>
    <w:rsid w:val="00400002"/>
    <w:rsid w:val="00400054"/>
    <w:rsid w:val="00400149"/>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E87"/>
    <w:rsid w:val="00406000"/>
    <w:rsid w:val="0040602B"/>
    <w:rsid w:val="0040606C"/>
    <w:rsid w:val="004060DC"/>
    <w:rsid w:val="00406DF5"/>
    <w:rsid w:val="00406F35"/>
    <w:rsid w:val="004077D0"/>
    <w:rsid w:val="00407A7A"/>
    <w:rsid w:val="00407ABC"/>
    <w:rsid w:val="00407F1E"/>
    <w:rsid w:val="00410A88"/>
    <w:rsid w:val="00410CC8"/>
    <w:rsid w:val="00411317"/>
    <w:rsid w:val="00411692"/>
    <w:rsid w:val="00411A9E"/>
    <w:rsid w:val="0041259F"/>
    <w:rsid w:val="00412B1B"/>
    <w:rsid w:val="00412B4D"/>
    <w:rsid w:val="00412C51"/>
    <w:rsid w:val="00412E19"/>
    <w:rsid w:val="004130C0"/>
    <w:rsid w:val="00413262"/>
    <w:rsid w:val="0041329C"/>
    <w:rsid w:val="004139F4"/>
    <w:rsid w:val="00413FFA"/>
    <w:rsid w:val="00414246"/>
    <w:rsid w:val="00414452"/>
    <w:rsid w:val="004146FF"/>
    <w:rsid w:val="00414D9A"/>
    <w:rsid w:val="00415194"/>
    <w:rsid w:val="00415816"/>
    <w:rsid w:val="00415B88"/>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8A6"/>
    <w:rsid w:val="00430F17"/>
    <w:rsid w:val="00430F7D"/>
    <w:rsid w:val="0043129E"/>
    <w:rsid w:val="00431F83"/>
    <w:rsid w:val="0043260C"/>
    <w:rsid w:val="0043269A"/>
    <w:rsid w:val="00432C9E"/>
    <w:rsid w:val="00432D09"/>
    <w:rsid w:val="004333C2"/>
    <w:rsid w:val="0043399B"/>
    <w:rsid w:val="00433DE2"/>
    <w:rsid w:val="00433FDB"/>
    <w:rsid w:val="00434787"/>
    <w:rsid w:val="00434C13"/>
    <w:rsid w:val="00434D8B"/>
    <w:rsid w:val="00435703"/>
    <w:rsid w:val="00435BD5"/>
    <w:rsid w:val="00435F72"/>
    <w:rsid w:val="004362E5"/>
    <w:rsid w:val="00436323"/>
    <w:rsid w:val="0043683F"/>
    <w:rsid w:val="00436B4C"/>
    <w:rsid w:val="00436F40"/>
    <w:rsid w:val="004370FA"/>
    <w:rsid w:val="00437AD4"/>
    <w:rsid w:val="00440096"/>
    <w:rsid w:val="004403DD"/>
    <w:rsid w:val="00440CF3"/>
    <w:rsid w:val="00440DB0"/>
    <w:rsid w:val="00440DDC"/>
    <w:rsid w:val="00440FAD"/>
    <w:rsid w:val="00441291"/>
    <w:rsid w:val="00441C68"/>
    <w:rsid w:val="00441E04"/>
    <w:rsid w:val="004420AB"/>
    <w:rsid w:val="00442217"/>
    <w:rsid w:val="004422D6"/>
    <w:rsid w:val="0044239B"/>
    <w:rsid w:val="004427AC"/>
    <w:rsid w:val="00442AFD"/>
    <w:rsid w:val="00442C7D"/>
    <w:rsid w:val="00442D13"/>
    <w:rsid w:val="00442D4D"/>
    <w:rsid w:val="0044374D"/>
    <w:rsid w:val="00443B55"/>
    <w:rsid w:val="00443D27"/>
    <w:rsid w:val="0044500B"/>
    <w:rsid w:val="004452DE"/>
    <w:rsid w:val="00445617"/>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2EFE"/>
    <w:rsid w:val="004533D1"/>
    <w:rsid w:val="004534D1"/>
    <w:rsid w:val="00453F88"/>
    <w:rsid w:val="004540B0"/>
    <w:rsid w:val="00454548"/>
    <w:rsid w:val="00454717"/>
    <w:rsid w:val="00454DF8"/>
    <w:rsid w:val="00455004"/>
    <w:rsid w:val="00455047"/>
    <w:rsid w:val="00455354"/>
    <w:rsid w:val="0045558D"/>
    <w:rsid w:val="00455BD3"/>
    <w:rsid w:val="004563A7"/>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670E9"/>
    <w:rsid w:val="00470A6A"/>
    <w:rsid w:val="00470D73"/>
    <w:rsid w:val="00470D92"/>
    <w:rsid w:val="00471DF7"/>
    <w:rsid w:val="004734CF"/>
    <w:rsid w:val="004738D6"/>
    <w:rsid w:val="004751F6"/>
    <w:rsid w:val="0047586C"/>
    <w:rsid w:val="00475C5A"/>
    <w:rsid w:val="00475C9C"/>
    <w:rsid w:val="0047676B"/>
    <w:rsid w:val="00476932"/>
    <w:rsid w:val="0047773C"/>
    <w:rsid w:val="00477C5F"/>
    <w:rsid w:val="00477C85"/>
    <w:rsid w:val="00480050"/>
    <w:rsid w:val="0048011C"/>
    <w:rsid w:val="004808DE"/>
    <w:rsid w:val="00481AC4"/>
    <w:rsid w:val="00481DC1"/>
    <w:rsid w:val="00482507"/>
    <w:rsid w:val="0048268A"/>
    <w:rsid w:val="00483051"/>
    <w:rsid w:val="004835CA"/>
    <w:rsid w:val="004836F8"/>
    <w:rsid w:val="004836FE"/>
    <w:rsid w:val="0048373F"/>
    <w:rsid w:val="00484A39"/>
    <w:rsid w:val="00484F0F"/>
    <w:rsid w:val="00484F40"/>
    <w:rsid w:val="0048540C"/>
    <w:rsid w:val="00485BE6"/>
    <w:rsid w:val="00485EE3"/>
    <w:rsid w:val="004861B4"/>
    <w:rsid w:val="00486226"/>
    <w:rsid w:val="0048671E"/>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178"/>
    <w:rsid w:val="0049241A"/>
    <w:rsid w:val="00492C1F"/>
    <w:rsid w:val="00492E4C"/>
    <w:rsid w:val="00493664"/>
    <w:rsid w:val="004938FD"/>
    <w:rsid w:val="00493E04"/>
    <w:rsid w:val="004940E3"/>
    <w:rsid w:val="0049530F"/>
    <w:rsid w:val="004960AC"/>
    <w:rsid w:val="00496664"/>
    <w:rsid w:val="00496703"/>
    <w:rsid w:val="00496786"/>
    <w:rsid w:val="0049695B"/>
    <w:rsid w:val="00496D8F"/>
    <w:rsid w:val="00497463"/>
    <w:rsid w:val="004974A0"/>
    <w:rsid w:val="0049764A"/>
    <w:rsid w:val="004A054C"/>
    <w:rsid w:val="004A08D1"/>
    <w:rsid w:val="004A0C94"/>
    <w:rsid w:val="004A156E"/>
    <w:rsid w:val="004A16C1"/>
    <w:rsid w:val="004A1BA5"/>
    <w:rsid w:val="004A1CE2"/>
    <w:rsid w:val="004A1E16"/>
    <w:rsid w:val="004A34D2"/>
    <w:rsid w:val="004A4301"/>
    <w:rsid w:val="004A4D93"/>
    <w:rsid w:val="004A58EE"/>
    <w:rsid w:val="004A59B7"/>
    <w:rsid w:val="004A6051"/>
    <w:rsid w:val="004A6205"/>
    <w:rsid w:val="004A623B"/>
    <w:rsid w:val="004A6A04"/>
    <w:rsid w:val="004A6A52"/>
    <w:rsid w:val="004A70C4"/>
    <w:rsid w:val="004B0A44"/>
    <w:rsid w:val="004B0F0B"/>
    <w:rsid w:val="004B1B7D"/>
    <w:rsid w:val="004B2197"/>
    <w:rsid w:val="004B298A"/>
    <w:rsid w:val="004B2BB8"/>
    <w:rsid w:val="004B3996"/>
    <w:rsid w:val="004B3C2F"/>
    <w:rsid w:val="004B4402"/>
    <w:rsid w:val="004B4C8E"/>
    <w:rsid w:val="004B4E37"/>
    <w:rsid w:val="004B50CB"/>
    <w:rsid w:val="004B551E"/>
    <w:rsid w:val="004B578D"/>
    <w:rsid w:val="004B5BE7"/>
    <w:rsid w:val="004B5E2D"/>
    <w:rsid w:val="004B65BE"/>
    <w:rsid w:val="004B666E"/>
    <w:rsid w:val="004B6C07"/>
    <w:rsid w:val="004B74D3"/>
    <w:rsid w:val="004B755E"/>
    <w:rsid w:val="004B788E"/>
    <w:rsid w:val="004B7E5D"/>
    <w:rsid w:val="004C0E8C"/>
    <w:rsid w:val="004C1337"/>
    <w:rsid w:val="004C22F7"/>
    <w:rsid w:val="004C2B27"/>
    <w:rsid w:val="004C3929"/>
    <w:rsid w:val="004C5212"/>
    <w:rsid w:val="004C5EF0"/>
    <w:rsid w:val="004C64C9"/>
    <w:rsid w:val="004C7226"/>
    <w:rsid w:val="004C74C9"/>
    <w:rsid w:val="004C7683"/>
    <w:rsid w:val="004C76A0"/>
    <w:rsid w:val="004C7915"/>
    <w:rsid w:val="004C7D70"/>
    <w:rsid w:val="004D02F9"/>
    <w:rsid w:val="004D03FE"/>
    <w:rsid w:val="004D0446"/>
    <w:rsid w:val="004D061B"/>
    <w:rsid w:val="004D06A3"/>
    <w:rsid w:val="004D0F95"/>
    <w:rsid w:val="004D106A"/>
    <w:rsid w:val="004D1C7E"/>
    <w:rsid w:val="004D245A"/>
    <w:rsid w:val="004D261E"/>
    <w:rsid w:val="004D31EE"/>
    <w:rsid w:val="004D36AF"/>
    <w:rsid w:val="004D3BD1"/>
    <w:rsid w:val="004D4517"/>
    <w:rsid w:val="004D4BA1"/>
    <w:rsid w:val="004D584D"/>
    <w:rsid w:val="004D5A7E"/>
    <w:rsid w:val="004D6120"/>
    <w:rsid w:val="004D67BA"/>
    <w:rsid w:val="004D6826"/>
    <w:rsid w:val="004D6F69"/>
    <w:rsid w:val="004D7A7F"/>
    <w:rsid w:val="004E023F"/>
    <w:rsid w:val="004E0546"/>
    <w:rsid w:val="004E0742"/>
    <w:rsid w:val="004E0C64"/>
    <w:rsid w:val="004E0F6B"/>
    <w:rsid w:val="004E1545"/>
    <w:rsid w:val="004E1F1C"/>
    <w:rsid w:val="004E26F8"/>
    <w:rsid w:val="004E2A1D"/>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032"/>
    <w:rsid w:val="004F6121"/>
    <w:rsid w:val="004F6161"/>
    <w:rsid w:val="004F66BC"/>
    <w:rsid w:val="004F6C26"/>
    <w:rsid w:val="004F721F"/>
    <w:rsid w:val="004F7AC9"/>
    <w:rsid w:val="0050062F"/>
    <w:rsid w:val="00500D7E"/>
    <w:rsid w:val="00500E74"/>
    <w:rsid w:val="0050160F"/>
    <w:rsid w:val="0050284E"/>
    <w:rsid w:val="0050306F"/>
    <w:rsid w:val="00503EA9"/>
    <w:rsid w:val="00503FC1"/>
    <w:rsid w:val="005052B0"/>
    <w:rsid w:val="00505DCB"/>
    <w:rsid w:val="00506800"/>
    <w:rsid w:val="005075CA"/>
    <w:rsid w:val="00507B06"/>
    <w:rsid w:val="00507B52"/>
    <w:rsid w:val="00507BF1"/>
    <w:rsid w:val="0051030B"/>
    <w:rsid w:val="0051074C"/>
    <w:rsid w:val="00510DE9"/>
    <w:rsid w:val="005111E2"/>
    <w:rsid w:val="00511231"/>
    <w:rsid w:val="005115A2"/>
    <w:rsid w:val="00511A31"/>
    <w:rsid w:val="00511CB8"/>
    <w:rsid w:val="00512653"/>
    <w:rsid w:val="00512B88"/>
    <w:rsid w:val="00512C4F"/>
    <w:rsid w:val="00513042"/>
    <w:rsid w:val="0051334F"/>
    <w:rsid w:val="00513399"/>
    <w:rsid w:val="00513AF2"/>
    <w:rsid w:val="00513EE4"/>
    <w:rsid w:val="00514575"/>
    <w:rsid w:val="00514C03"/>
    <w:rsid w:val="00514D67"/>
    <w:rsid w:val="00514DDF"/>
    <w:rsid w:val="0051522A"/>
    <w:rsid w:val="00515515"/>
    <w:rsid w:val="0051635C"/>
    <w:rsid w:val="00516C5B"/>
    <w:rsid w:val="00517612"/>
    <w:rsid w:val="00517CFB"/>
    <w:rsid w:val="00517F85"/>
    <w:rsid w:val="00520235"/>
    <w:rsid w:val="00520265"/>
    <w:rsid w:val="005202BF"/>
    <w:rsid w:val="00520899"/>
    <w:rsid w:val="00520922"/>
    <w:rsid w:val="005209FC"/>
    <w:rsid w:val="00520C09"/>
    <w:rsid w:val="00521880"/>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6988"/>
    <w:rsid w:val="00527532"/>
    <w:rsid w:val="00527BFD"/>
    <w:rsid w:val="00527DEB"/>
    <w:rsid w:val="00527E57"/>
    <w:rsid w:val="00527F2C"/>
    <w:rsid w:val="00530405"/>
    <w:rsid w:val="00530522"/>
    <w:rsid w:val="005305E5"/>
    <w:rsid w:val="0053086F"/>
    <w:rsid w:val="00530CBA"/>
    <w:rsid w:val="00530F28"/>
    <w:rsid w:val="00530F38"/>
    <w:rsid w:val="005312B9"/>
    <w:rsid w:val="00531F26"/>
    <w:rsid w:val="005322CB"/>
    <w:rsid w:val="0053277C"/>
    <w:rsid w:val="005327C0"/>
    <w:rsid w:val="0053289E"/>
    <w:rsid w:val="00533101"/>
    <w:rsid w:val="00533CA9"/>
    <w:rsid w:val="005346AD"/>
    <w:rsid w:val="00534CC0"/>
    <w:rsid w:val="00534EFB"/>
    <w:rsid w:val="00534F60"/>
    <w:rsid w:val="005357F1"/>
    <w:rsid w:val="00535D15"/>
    <w:rsid w:val="00536053"/>
    <w:rsid w:val="0053606E"/>
    <w:rsid w:val="005369E6"/>
    <w:rsid w:val="005371AC"/>
    <w:rsid w:val="00537672"/>
    <w:rsid w:val="005376B5"/>
    <w:rsid w:val="0053772F"/>
    <w:rsid w:val="00537A70"/>
    <w:rsid w:val="00537AB7"/>
    <w:rsid w:val="00537B64"/>
    <w:rsid w:val="00537B77"/>
    <w:rsid w:val="0054033D"/>
    <w:rsid w:val="00540C4C"/>
    <w:rsid w:val="00541469"/>
    <w:rsid w:val="00541571"/>
    <w:rsid w:val="00541748"/>
    <w:rsid w:val="0054182C"/>
    <w:rsid w:val="00541B1F"/>
    <w:rsid w:val="00541F77"/>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4E2"/>
    <w:rsid w:val="005525C9"/>
    <w:rsid w:val="00552B3E"/>
    <w:rsid w:val="0055426D"/>
    <w:rsid w:val="00554D57"/>
    <w:rsid w:val="005551AA"/>
    <w:rsid w:val="005564CA"/>
    <w:rsid w:val="005568BD"/>
    <w:rsid w:val="005568EA"/>
    <w:rsid w:val="00556941"/>
    <w:rsid w:val="00557140"/>
    <w:rsid w:val="0055715A"/>
    <w:rsid w:val="0055729E"/>
    <w:rsid w:val="00557984"/>
    <w:rsid w:val="00557A3F"/>
    <w:rsid w:val="00557A9D"/>
    <w:rsid w:val="005601BE"/>
    <w:rsid w:val="005608B4"/>
    <w:rsid w:val="00560C87"/>
    <w:rsid w:val="00560F51"/>
    <w:rsid w:val="00561249"/>
    <w:rsid w:val="0056182B"/>
    <w:rsid w:val="00561A25"/>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068"/>
    <w:rsid w:val="00570A26"/>
    <w:rsid w:val="00570CFD"/>
    <w:rsid w:val="00570E4E"/>
    <w:rsid w:val="00571872"/>
    <w:rsid w:val="00571877"/>
    <w:rsid w:val="0057221F"/>
    <w:rsid w:val="00572421"/>
    <w:rsid w:val="00572539"/>
    <w:rsid w:val="00573066"/>
    <w:rsid w:val="00573355"/>
    <w:rsid w:val="0057337D"/>
    <w:rsid w:val="00573504"/>
    <w:rsid w:val="00573BA3"/>
    <w:rsid w:val="00574708"/>
    <w:rsid w:val="00574D81"/>
    <w:rsid w:val="005756AA"/>
    <w:rsid w:val="00576409"/>
    <w:rsid w:val="0057696F"/>
    <w:rsid w:val="005774FE"/>
    <w:rsid w:val="0058040C"/>
    <w:rsid w:val="00580D6D"/>
    <w:rsid w:val="00580E34"/>
    <w:rsid w:val="00580FD8"/>
    <w:rsid w:val="005813DE"/>
    <w:rsid w:val="00581612"/>
    <w:rsid w:val="00581796"/>
    <w:rsid w:val="00581B45"/>
    <w:rsid w:val="00581E53"/>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497"/>
    <w:rsid w:val="005937AA"/>
    <w:rsid w:val="00593A00"/>
    <w:rsid w:val="00593EA2"/>
    <w:rsid w:val="00593F75"/>
    <w:rsid w:val="005940A0"/>
    <w:rsid w:val="0059429A"/>
    <w:rsid w:val="0059455B"/>
    <w:rsid w:val="00594CBE"/>
    <w:rsid w:val="0059508E"/>
    <w:rsid w:val="00595B12"/>
    <w:rsid w:val="00596AF7"/>
    <w:rsid w:val="00596B97"/>
    <w:rsid w:val="00596CCE"/>
    <w:rsid w:val="00596E37"/>
    <w:rsid w:val="005A0035"/>
    <w:rsid w:val="005A094C"/>
    <w:rsid w:val="005A1976"/>
    <w:rsid w:val="005A1B72"/>
    <w:rsid w:val="005A2120"/>
    <w:rsid w:val="005A2501"/>
    <w:rsid w:val="005A2C80"/>
    <w:rsid w:val="005A3066"/>
    <w:rsid w:val="005A38E2"/>
    <w:rsid w:val="005A3B35"/>
    <w:rsid w:val="005A3C4B"/>
    <w:rsid w:val="005A3E5A"/>
    <w:rsid w:val="005A41CB"/>
    <w:rsid w:val="005A43F3"/>
    <w:rsid w:val="005A496F"/>
    <w:rsid w:val="005A4A56"/>
    <w:rsid w:val="005A4DC2"/>
    <w:rsid w:val="005A5228"/>
    <w:rsid w:val="005A5608"/>
    <w:rsid w:val="005A5A3D"/>
    <w:rsid w:val="005A5F39"/>
    <w:rsid w:val="005A6035"/>
    <w:rsid w:val="005A6295"/>
    <w:rsid w:val="005A6B75"/>
    <w:rsid w:val="005A6E00"/>
    <w:rsid w:val="005A718A"/>
    <w:rsid w:val="005A7418"/>
    <w:rsid w:val="005A7885"/>
    <w:rsid w:val="005B12B2"/>
    <w:rsid w:val="005B13F3"/>
    <w:rsid w:val="005B143B"/>
    <w:rsid w:val="005B19BD"/>
    <w:rsid w:val="005B1E45"/>
    <w:rsid w:val="005B21C4"/>
    <w:rsid w:val="005B2A28"/>
    <w:rsid w:val="005B35AB"/>
    <w:rsid w:val="005B3621"/>
    <w:rsid w:val="005B3EBE"/>
    <w:rsid w:val="005B3F04"/>
    <w:rsid w:val="005B4948"/>
    <w:rsid w:val="005B4FF1"/>
    <w:rsid w:val="005B501D"/>
    <w:rsid w:val="005B54CC"/>
    <w:rsid w:val="005B6D72"/>
    <w:rsid w:val="005B71BB"/>
    <w:rsid w:val="005B74AD"/>
    <w:rsid w:val="005B7E96"/>
    <w:rsid w:val="005C0429"/>
    <w:rsid w:val="005C075F"/>
    <w:rsid w:val="005C084F"/>
    <w:rsid w:val="005C0BC1"/>
    <w:rsid w:val="005C0EE9"/>
    <w:rsid w:val="005C1265"/>
    <w:rsid w:val="005C16A8"/>
    <w:rsid w:val="005C1716"/>
    <w:rsid w:val="005C1954"/>
    <w:rsid w:val="005C1C0B"/>
    <w:rsid w:val="005C2011"/>
    <w:rsid w:val="005C28B7"/>
    <w:rsid w:val="005C345A"/>
    <w:rsid w:val="005C3EA3"/>
    <w:rsid w:val="005C44DE"/>
    <w:rsid w:val="005C4AD0"/>
    <w:rsid w:val="005C5011"/>
    <w:rsid w:val="005C5241"/>
    <w:rsid w:val="005C529E"/>
    <w:rsid w:val="005C57BA"/>
    <w:rsid w:val="005C5C52"/>
    <w:rsid w:val="005C5D3D"/>
    <w:rsid w:val="005C5F05"/>
    <w:rsid w:val="005C5FFF"/>
    <w:rsid w:val="005C6186"/>
    <w:rsid w:val="005C7E45"/>
    <w:rsid w:val="005C7F3E"/>
    <w:rsid w:val="005D0044"/>
    <w:rsid w:val="005D06D3"/>
    <w:rsid w:val="005D0C3B"/>
    <w:rsid w:val="005D1051"/>
    <w:rsid w:val="005D1606"/>
    <w:rsid w:val="005D2044"/>
    <w:rsid w:val="005D209E"/>
    <w:rsid w:val="005D2917"/>
    <w:rsid w:val="005D2EB2"/>
    <w:rsid w:val="005D2F48"/>
    <w:rsid w:val="005D3B32"/>
    <w:rsid w:val="005D41CD"/>
    <w:rsid w:val="005D464B"/>
    <w:rsid w:val="005D466F"/>
    <w:rsid w:val="005D49F0"/>
    <w:rsid w:val="005D51F7"/>
    <w:rsid w:val="005D51FA"/>
    <w:rsid w:val="005D53E8"/>
    <w:rsid w:val="005D5A9D"/>
    <w:rsid w:val="005D5D15"/>
    <w:rsid w:val="005D6417"/>
    <w:rsid w:val="005D6651"/>
    <w:rsid w:val="005D691D"/>
    <w:rsid w:val="005D6A72"/>
    <w:rsid w:val="005D6F38"/>
    <w:rsid w:val="005D760A"/>
    <w:rsid w:val="005D77F2"/>
    <w:rsid w:val="005D791B"/>
    <w:rsid w:val="005D7CF2"/>
    <w:rsid w:val="005D7F92"/>
    <w:rsid w:val="005E0367"/>
    <w:rsid w:val="005E062C"/>
    <w:rsid w:val="005E0D7B"/>
    <w:rsid w:val="005E1387"/>
    <w:rsid w:val="005E1595"/>
    <w:rsid w:val="005E1895"/>
    <w:rsid w:val="005E1F1D"/>
    <w:rsid w:val="005E20FE"/>
    <w:rsid w:val="005E2423"/>
    <w:rsid w:val="005E273D"/>
    <w:rsid w:val="005E29AC"/>
    <w:rsid w:val="005E3278"/>
    <w:rsid w:val="005E363B"/>
    <w:rsid w:val="005E3736"/>
    <w:rsid w:val="005E3980"/>
    <w:rsid w:val="005E3B29"/>
    <w:rsid w:val="005E4B72"/>
    <w:rsid w:val="005E52C9"/>
    <w:rsid w:val="005E6398"/>
    <w:rsid w:val="005E681E"/>
    <w:rsid w:val="005F153A"/>
    <w:rsid w:val="005F2D8B"/>
    <w:rsid w:val="005F2E60"/>
    <w:rsid w:val="005F305B"/>
    <w:rsid w:val="005F3361"/>
    <w:rsid w:val="005F3B47"/>
    <w:rsid w:val="005F3C4B"/>
    <w:rsid w:val="005F4412"/>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600473"/>
    <w:rsid w:val="00601162"/>
    <w:rsid w:val="0060139A"/>
    <w:rsid w:val="006013C9"/>
    <w:rsid w:val="00602931"/>
    <w:rsid w:val="00602B45"/>
    <w:rsid w:val="00602CBF"/>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E9F"/>
    <w:rsid w:val="0061085E"/>
    <w:rsid w:val="00611398"/>
    <w:rsid w:val="006113B4"/>
    <w:rsid w:val="0061186D"/>
    <w:rsid w:val="00612083"/>
    <w:rsid w:val="00612322"/>
    <w:rsid w:val="006123C0"/>
    <w:rsid w:val="00613191"/>
    <w:rsid w:val="006133F9"/>
    <w:rsid w:val="006134B3"/>
    <w:rsid w:val="00613DE1"/>
    <w:rsid w:val="0061401F"/>
    <w:rsid w:val="00614166"/>
    <w:rsid w:val="00614176"/>
    <w:rsid w:val="00614817"/>
    <w:rsid w:val="006149CC"/>
    <w:rsid w:val="006157A9"/>
    <w:rsid w:val="0061591D"/>
    <w:rsid w:val="00615ED0"/>
    <w:rsid w:val="0061604C"/>
    <w:rsid w:val="00616C2B"/>
    <w:rsid w:val="00616D7F"/>
    <w:rsid w:val="00617865"/>
    <w:rsid w:val="006178D1"/>
    <w:rsid w:val="00620719"/>
    <w:rsid w:val="006212C9"/>
    <w:rsid w:val="00621A94"/>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0D8C"/>
    <w:rsid w:val="006310C3"/>
    <w:rsid w:val="0063161E"/>
    <w:rsid w:val="00631BB5"/>
    <w:rsid w:val="00631DCA"/>
    <w:rsid w:val="00631DD0"/>
    <w:rsid w:val="00633170"/>
    <w:rsid w:val="00633B54"/>
    <w:rsid w:val="00633DBF"/>
    <w:rsid w:val="00634122"/>
    <w:rsid w:val="0063444B"/>
    <w:rsid w:val="00635B99"/>
    <w:rsid w:val="00635E32"/>
    <w:rsid w:val="006360FC"/>
    <w:rsid w:val="006361C9"/>
    <w:rsid w:val="006365DE"/>
    <w:rsid w:val="00636BE4"/>
    <w:rsid w:val="00636F88"/>
    <w:rsid w:val="0063732C"/>
    <w:rsid w:val="00637802"/>
    <w:rsid w:val="00637836"/>
    <w:rsid w:val="0063794E"/>
    <w:rsid w:val="00637C26"/>
    <w:rsid w:val="00637F44"/>
    <w:rsid w:val="00640A06"/>
    <w:rsid w:val="00640E88"/>
    <w:rsid w:val="00641078"/>
    <w:rsid w:val="00641242"/>
    <w:rsid w:val="00641778"/>
    <w:rsid w:val="00642126"/>
    <w:rsid w:val="006421B6"/>
    <w:rsid w:val="006423AF"/>
    <w:rsid w:val="00642844"/>
    <w:rsid w:val="00642A32"/>
    <w:rsid w:val="00642F7C"/>
    <w:rsid w:val="006433D5"/>
    <w:rsid w:val="00643412"/>
    <w:rsid w:val="00645B3D"/>
    <w:rsid w:val="00645B84"/>
    <w:rsid w:val="00645CEB"/>
    <w:rsid w:val="00645E63"/>
    <w:rsid w:val="00646B20"/>
    <w:rsid w:val="00646D0F"/>
    <w:rsid w:val="00647821"/>
    <w:rsid w:val="00647A36"/>
    <w:rsid w:val="00647DCC"/>
    <w:rsid w:val="00647EFA"/>
    <w:rsid w:val="00647F14"/>
    <w:rsid w:val="00650027"/>
    <w:rsid w:val="00650E89"/>
    <w:rsid w:val="00651B9C"/>
    <w:rsid w:val="00651C47"/>
    <w:rsid w:val="00652E70"/>
    <w:rsid w:val="00652EA4"/>
    <w:rsid w:val="0065339A"/>
    <w:rsid w:val="00653469"/>
    <w:rsid w:val="00653D1B"/>
    <w:rsid w:val="006540D6"/>
    <w:rsid w:val="0065443A"/>
    <w:rsid w:val="00654A38"/>
    <w:rsid w:val="00655301"/>
    <w:rsid w:val="00655371"/>
    <w:rsid w:val="00655507"/>
    <w:rsid w:val="00655538"/>
    <w:rsid w:val="006564A5"/>
    <w:rsid w:val="00656C4B"/>
    <w:rsid w:val="006572A7"/>
    <w:rsid w:val="006573EA"/>
    <w:rsid w:val="006577C9"/>
    <w:rsid w:val="00660510"/>
    <w:rsid w:val="006606A4"/>
    <w:rsid w:val="00660F90"/>
    <w:rsid w:val="00661029"/>
    <w:rsid w:val="006610C3"/>
    <w:rsid w:val="00661118"/>
    <w:rsid w:val="0066135A"/>
    <w:rsid w:val="00661A38"/>
    <w:rsid w:val="0066243A"/>
    <w:rsid w:val="0066272D"/>
    <w:rsid w:val="00662E58"/>
    <w:rsid w:val="00662F39"/>
    <w:rsid w:val="006634B2"/>
    <w:rsid w:val="006635A0"/>
    <w:rsid w:val="00663855"/>
    <w:rsid w:val="00663D26"/>
    <w:rsid w:val="00664351"/>
    <w:rsid w:val="0066453F"/>
    <w:rsid w:val="006648CD"/>
    <w:rsid w:val="0066499D"/>
    <w:rsid w:val="00664C22"/>
    <w:rsid w:val="0066586E"/>
    <w:rsid w:val="00665968"/>
    <w:rsid w:val="00665BF7"/>
    <w:rsid w:val="0066609C"/>
    <w:rsid w:val="006660F0"/>
    <w:rsid w:val="00666178"/>
    <w:rsid w:val="0066639E"/>
    <w:rsid w:val="00666473"/>
    <w:rsid w:val="006666B4"/>
    <w:rsid w:val="00666ACF"/>
    <w:rsid w:val="00666B49"/>
    <w:rsid w:val="00666C72"/>
    <w:rsid w:val="00666E6C"/>
    <w:rsid w:val="0066707F"/>
    <w:rsid w:val="00667ED8"/>
    <w:rsid w:val="0067064C"/>
    <w:rsid w:val="00670B0F"/>
    <w:rsid w:val="00670B20"/>
    <w:rsid w:val="00670E12"/>
    <w:rsid w:val="00670F27"/>
    <w:rsid w:val="00671C52"/>
    <w:rsid w:val="00672E80"/>
    <w:rsid w:val="0067333F"/>
    <w:rsid w:val="006739E4"/>
    <w:rsid w:val="00673ECF"/>
    <w:rsid w:val="0067426B"/>
    <w:rsid w:val="00674A1B"/>
    <w:rsid w:val="00674D08"/>
    <w:rsid w:val="00674F1C"/>
    <w:rsid w:val="006754F8"/>
    <w:rsid w:val="00675B0D"/>
    <w:rsid w:val="00676127"/>
    <w:rsid w:val="00676AED"/>
    <w:rsid w:val="00677212"/>
    <w:rsid w:val="006778E7"/>
    <w:rsid w:val="00677F26"/>
    <w:rsid w:val="006800EE"/>
    <w:rsid w:val="006802A7"/>
    <w:rsid w:val="0068059E"/>
    <w:rsid w:val="006807E3"/>
    <w:rsid w:val="00680A86"/>
    <w:rsid w:val="006811C9"/>
    <w:rsid w:val="006812CE"/>
    <w:rsid w:val="00681FC3"/>
    <w:rsid w:val="006826C1"/>
    <w:rsid w:val="00682C89"/>
    <w:rsid w:val="006832B8"/>
    <w:rsid w:val="006837B2"/>
    <w:rsid w:val="00683800"/>
    <w:rsid w:val="00683CA9"/>
    <w:rsid w:val="0068428D"/>
    <w:rsid w:val="00684462"/>
    <w:rsid w:val="00684561"/>
    <w:rsid w:val="00684C0D"/>
    <w:rsid w:val="00684C8A"/>
    <w:rsid w:val="00684CF5"/>
    <w:rsid w:val="0068541F"/>
    <w:rsid w:val="0068553E"/>
    <w:rsid w:val="00685A9D"/>
    <w:rsid w:val="00685D37"/>
    <w:rsid w:val="00685E7B"/>
    <w:rsid w:val="00686551"/>
    <w:rsid w:val="006865C6"/>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667"/>
    <w:rsid w:val="00694E8B"/>
    <w:rsid w:val="00695549"/>
    <w:rsid w:val="006959A5"/>
    <w:rsid w:val="00695C0C"/>
    <w:rsid w:val="00696736"/>
    <w:rsid w:val="00696A05"/>
    <w:rsid w:val="006971C0"/>
    <w:rsid w:val="00697665"/>
    <w:rsid w:val="00697A76"/>
    <w:rsid w:val="00697C9A"/>
    <w:rsid w:val="00697E68"/>
    <w:rsid w:val="00697FC1"/>
    <w:rsid w:val="006A0274"/>
    <w:rsid w:val="006A0D71"/>
    <w:rsid w:val="006A1F43"/>
    <w:rsid w:val="006A27BC"/>
    <w:rsid w:val="006A2A43"/>
    <w:rsid w:val="006A2BF1"/>
    <w:rsid w:val="006A2C0D"/>
    <w:rsid w:val="006A2F9A"/>
    <w:rsid w:val="006A34E4"/>
    <w:rsid w:val="006A3A0E"/>
    <w:rsid w:val="006A3A5A"/>
    <w:rsid w:val="006A44CF"/>
    <w:rsid w:val="006A457D"/>
    <w:rsid w:val="006A4C06"/>
    <w:rsid w:val="006A55EE"/>
    <w:rsid w:val="006A574E"/>
    <w:rsid w:val="006A575B"/>
    <w:rsid w:val="006A59DE"/>
    <w:rsid w:val="006A64C6"/>
    <w:rsid w:val="006A6655"/>
    <w:rsid w:val="006A6BF9"/>
    <w:rsid w:val="006A7AB8"/>
    <w:rsid w:val="006A7B43"/>
    <w:rsid w:val="006A7BF8"/>
    <w:rsid w:val="006A7CB5"/>
    <w:rsid w:val="006A7FD0"/>
    <w:rsid w:val="006B025C"/>
    <w:rsid w:val="006B08ED"/>
    <w:rsid w:val="006B0B66"/>
    <w:rsid w:val="006B2170"/>
    <w:rsid w:val="006B2534"/>
    <w:rsid w:val="006B2CB2"/>
    <w:rsid w:val="006B347D"/>
    <w:rsid w:val="006B3505"/>
    <w:rsid w:val="006B3E19"/>
    <w:rsid w:val="006B4488"/>
    <w:rsid w:val="006B4D5D"/>
    <w:rsid w:val="006B4F56"/>
    <w:rsid w:val="006B50C4"/>
    <w:rsid w:val="006B53AE"/>
    <w:rsid w:val="006B58B4"/>
    <w:rsid w:val="006B67AC"/>
    <w:rsid w:val="006B6D57"/>
    <w:rsid w:val="006B786A"/>
    <w:rsid w:val="006B7E4E"/>
    <w:rsid w:val="006C003A"/>
    <w:rsid w:val="006C0689"/>
    <w:rsid w:val="006C0D2C"/>
    <w:rsid w:val="006C1008"/>
    <w:rsid w:val="006C107C"/>
    <w:rsid w:val="006C189C"/>
    <w:rsid w:val="006C1DAB"/>
    <w:rsid w:val="006C2454"/>
    <w:rsid w:val="006C2551"/>
    <w:rsid w:val="006C2681"/>
    <w:rsid w:val="006C3151"/>
    <w:rsid w:val="006C37CA"/>
    <w:rsid w:val="006C3980"/>
    <w:rsid w:val="006C40D2"/>
    <w:rsid w:val="006C4623"/>
    <w:rsid w:val="006C4984"/>
    <w:rsid w:val="006C4B85"/>
    <w:rsid w:val="006C4BBD"/>
    <w:rsid w:val="006C551E"/>
    <w:rsid w:val="006C58C1"/>
    <w:rsid w:val="006C5B15"/>
    <w:rsid w:val="006C5D32"/>
    <w:rsid w:val="006C5DCB"/>
    <w:rsid w:val="006C6475"/>
    <w:rsid w:val="006C70C4"/>
    <w:rsid w:val="006C741F"/>
    <w:rsid w:val="006D04DA"/>
    <w:rsid w:val="006D10F6"/>
    <w:rsid w:val="006D1544"/>
    <w:rsid w:val="006D1688"/>
    <w:rsid w:val="006D1BE1"/>
    <w:rsid w:val="006D1DD3"/>
    <w:rsid w:val="006D1FF3"/>
    <w:rsid w:val="006D22F8"/>
    <w:rsid w:val="006D2693"/>
    <w:rsid w:val="006D2C65"/>
    <w:rsid w:val="006D32C6"/>
    <w:rsid w:val="006D360E"/>
    <w:rsid w:val="006D3697"/>
    <w:rsid w:val="006D39D2"/>
    <w:rsid w:val="006D3A94"/>
    <w:rsid w:val="006D3F2A"/>
    <w:rsid w:val="006D4370"/>
    <w:rsid w:val="006D46A3"/>
    <w:rsid w:val="006D4FF2"/>
    <w:rsid w:val="006D55E6"/>
    <w:rsid w:val="006D5DCB"/>
    <w:rsid w:val="006D62E0"/>
    <w:rsid w:val="006D658F"/>
    <w:rsid w:val="006D66B2"/>
    <w:rsid w:val="006D6784"/>
    <w:rsid w:val="006D6A12"/>
    <w:rsid w:val="006D712D"/>
    <w:rsid w:val="006D7687"/>
    <w:rsid w:val="006D78AB"/>
    <w:rsid w:val="006D7D1F"/>
    <w:rsid w:val="006D7D8A"/>
    <w:rsid w:val="006E046C"/>
    <w:rsid w:val="006E0572"/>
    <w:rsid w:val="006E05D8"/>
    <w:rsid w:val="006E08EE"/>
    <w:rsid w:val="006E0F32"/>
    <w:rsid w:val="006E155A"/>
    <w:rsid w:val="006E1689"/>
    <w:rsid w:val="006E16DF"/>
    <w:rsid w:val="006E1EE3"/>
    <w:rsid w:val="006E2B77"/>
    <w:rsid w:val="006E2C34"/>
    <w:rsid w:val="006E359B"/>
    <w:rsid w:val="006E39D1"/>
    <w:rsid w:val="006E3A8B"/>
    <w:rsid w:val="006E3B05"/>
    <w:rsid w:val="006E437F"/>
    <w:rsid w:val="006E4D5B"/>
    <w:rsid w:val="006E597D"/>
    <w:rsid w:val="006E602F"/>
    <w:rsid w:val="006E6642"/>
    <w:rsid w:val="006E6720"/>
    <w:rsid w:val="006E7275"/>
    <w:rsid w:val="006E77B8"/>
    <w:rsid w:val="006E7AAF"/>
    <w:rsid w:val="006F06B8"/>
    <w:rsid w:val="006F0F74"/>
    <w:rsid w:val="006F13BA"/>
    <w:rsid w:val="006F15CC"/>
    <w:rsid w:val="006F15F6"/>
    <w:rsid w:val="006F2183"/>
    <w:rsid w:val="006F2E7A"/>
    <w:rsid w:val="006F36EA"/>
    <w:rsid w:val="006F4147"/>
    <w:rsid w:val="006F4240"/>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5631"/>
    <w:rsid w:val="00705818"/>
    <w:rsid w:val="00705978"/>
    <w:rsid w:val="00705F62"/>
    <w:rsid w:val="007061EB"/>
    <w:rsid w:val="00706BC6"/>
    <w:rsid w:val="00706E1C"/>
    <w:rsid w:val="007075EC"/>
    <w:rsid w:val="0070773F"/>
    <w:rsid w:val="00707A2E"/>
    <w:rsid w:val="00707ED3"/>
    <w:rsid w:val="007101B7"/>
    <w:rsid w:val="00710668"/>
    <w:rsid w:val="00711019"/>
    <w:rsid w:val="007110F4"/>
    <w:rsid w:val="007112B1"/>
    <w:rsid w:val="0071130F"/>
    <w:rsid w:val="00711C25"/>
    <w:rsid w:val="00712714"/>
    <w:rsid w:val="007129AB"/>
    <w:rsid w:val="00712B63"/>
    <w:rsid w:val="00713526"/>
    <w:rsid w:val="00713FC5"/>
    <w:rsid w:val="00714DCA"/>
    <w:rsid w:val="00714E19"/>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21"/>
    <w:rsid w:val="00721BFF"/>
    <w:rsid w:val="0072220F"/>
    <w:rsid w:val="0072251D"/>
    <w:rsid w:val="007225A7"/>
    <w:rsid w:val="00722FE5"/>
    <w:rsid w:val="00723475"/>
    <w:rsid w:val="007236C4"/>
    <w:rsid w:val="00723905"/>
    <w:rsid w:val="0072393F"/>
    <w:rsid w:val="00724635"/>
    <w:rsid w:val="00724F21"/>
    <w:rsid w:val="00724FBB"/>
    <w:rsid w:val="00725011"/>
    <w:rsid w:val="00725134"/>
    <w:rsid w:val="0072554B"/>
    <w:rsid w:val="0072571F"/>
    <w:rsid w:val="007257F3"/>
    <w:rsid w:val="00725AFD"/>
    <w:rsid w:val="00725D0B"/>
    <w:rsid w:val="00726603"/>
    <w:rsid w:val="007266AC"/>
    <w:rsid w:val="00727B1D"/>
    <w:rsid w:val="00727DDC"/>
    <w:rsid w:val="007304C4"/>
    <w:rsid w:val="00730CD6"/>
    <w:rsid w:val="00730F74"/>
    <w:rsid w:val="0073114B"/>
    <w:rsid w:val="00731F9A"/>
    <w:rsid w:val="00732151"/>
    <w:rsid w:val="00732D40"/>
    <w:rsid w:val="00732EBC"/>
    <w:rsid w:val="00732EF8"/>
    <w:rsid w:val="00734952"/>
    <w:rsid w:val="00734990"/>
    <w:rsid w:val="00734FF5"/>
    <w:rsid w:val="00735287"/>
    <w:rsid w:val="00735B78"/>
    <w:rsid w:val="00735DA7"/>
    <w:rsid w:val="00736700"/>
    <w:rsid w:val="007368B4"/>
    <w:rsid w:val="007378E0"/>
    <w:rsid w:val="0074040E"/>
    <w:rsid w:val="00740529"/>
    <w:rsid w:val="00740876"/>
    <w:rsid w:val="00741358"/>
    <w:rsid w:val="00741626"/>
    <w:rsid w:val="00742332"/>
    <w:rsid w:val="00742886"/>
    <w:rsid w:val="00742DD2"/>
    <w:rsid w:val="00743588"/>
    <w:rsid w:val="007437C6"/>
    <w:rsid w:val="00743CFF"/>
    <w:rsid w:val="007441A2"/>
    <w:rsid w:val="00744E80"/>
    <w:rsid w:val="00745035"/>
    <w:rsid w:val="0074531C"/>
    <w:rsid w:val="00745547"/>
    <w:rsid w:val="007459D0"/>
    <w:rsid w:val="0074623A"/>
    <w:rsid w:val="00746420"/>
    <w:rsid w:val="00746A60"/>
    <w:rsid w:val="00746E04"/>
    <w:rsid w:val="00746E08"/>
    <w:rsid w:val="00746E3D"/>
    <w:rsid w:val="00747120"/>
    <w:rsid w:val="007473B9"/>
    <w:rsid w:val="00747570"/>
    <w:rsid w:val="00747C96"/>
    <w:rsid w:val="00747EC7"/>
    <w:rsid w:val="00750075"/>
    <w:rsid w:val="007502EC"/>
    <w:rsid w:val="00750382"/>
    <w:rsid w:val="0075094E"/>
    <w:rsid w:val="00750FA8"/>
    <w:rsid w:val="00750FB5"/>
    <w:rsid w:val="00751571"/>
    <w:rsid w:val="00751AE6"/>
    <w:rsid w:val="00751DC3"/>
    <w:rsid w:val="007520F0"/>
    <w:rsid w:val="007522E8"/>
    <w:rsid w:val="007529DB"/>
    <w:rsid w:val="007534AD"/>
    <w:rsid w:val="007534C3"/>
    <w:rsid w:val="007535E9"/>
    <w:rsid w:val="00753A21"/>
    <w:rsid w:val="00753BAC"/>
    <w:rsid w:val="0075463B"/>
    <w:rsid w:val="00754A0B"/>
    <w:rsid w:val="00754D46"/>
    <w:rsid w:val="00755229"/>
    <w:rsid w:val="007552DB"/>
    <w:rsid w:val="0075549F"/>
    <w:rsid w:val="00755B08"/>
    <w:rsid w:val="00755DD0"/>
    <w:rsid w:val="0075647A"/>
    <w:rsid w:val="00756A2F"/>
    <w:rsid w:val="00757082"/>
    <w:rsid w:val="00757148"/>
    <w:rsid w:val="007573E1"/>
    <w:rsid w:val="0075749E"/>
    <w:rsid w:val="00757722"/>
    <w:rsid w:val="00757AF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4BA"/>
    <w:rsid w:val="00766BCB"/>
    <w:rsid w:val="00766D49"/>
    <w:rsid w:val="00766ECC"/>
    <w:rsid w:val="007672F3"/>
    <w:rsid w:val="007677B5"/>
    <w:rsid w:val="007678B1"/>
    <w:rsid w:val="00770566"/>
    <w:rsid w:val="007708A8"/>
    <w:rsid w:val="00770F8B"/>
    <w:rsid w:val="00771358"/>
    <w:rsid w:val="00772100"/>
    <w:rsid w:val="00772275"/>
    <w:rsid w:val="00772B0D"/>
    <w:rsid w:val="00772D59"/>
    <w:rsid w:val="007734E4"/>
    <w:rsid w:val="0077380D"/>
    <w:rsid w:val="00773BC8"/>
    <w:rsid w:val="00774549"/>
    <w:rsid w:val="0077466F"/>
    <w:rsid w:val="00774C72"/>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B97"/>
    <w:rsid w:val="00787CCC"/>
    <w:rsid w:val="00787D90"/>
    <w:rsid w:val="00787F5E"/>
    <w:rsid w:val="00790164"/>
    <w:rsid w:val="0079038D"/>
    <w:rsid w:val="007905C6"/>
    <w:rsid w:val="00790A24"/>
    <w:rsid w:val="00790A37"/>
    <w:rsid w:val="00790A60"/>
    <w:rsid w:val="0079146D"/>
    <w:rsid w:val="00791C32"/>
    <w:rsid w:val="00791FF0"/>
    <w:rsid w:val="00792369"/>
    <w:rsid w:val="007923D0"/>
    <w:rsid w:val="00792B51"/>
    <w:rsid w:val="007930D3"/>
    <w:rsid w:val="00793264"/>
    <w:rsid w:val="0079381F"/>
    <w:rsid w:val="00793A57"/>
    <w:rsid w:val="00793B2E"/>
    <w:rsid w:val="007948F5"/>
    <w:rsid w:val="00794AFB"/>
    <w:rsid w:val="00794DD2"/>
    <w:rsid w:val="00795647"/>
    <w:rsid w:val="007963F6"/>
    <w:rsid w:val="00796DC8"/>
    <w:rsid w:val="00796E80"/>
    <w:rsid w:val="0079744F"/>
    <w:rsid w:val="0079776F"/>
    <w:rsid w:val="007979AD"/>
    <w:rsid w:val="00797A9C"/>
    <w:rsid w:val="007A0EAB"/>
    <w:rsid w:val="007A2341"/>
    <w:rsid w:val="007A238D"/>
    <w:rsid w:val="007A2754"/>
    <w:rsid w:val="007A30E8"/>
    <w:rsid w:val="007A38A1"/>
    <w:rsid w:val="007A3BBE"/>
    <w:rsid w:val="007A4766"/>
    <w:rsid w:val="007A584A"/>
    <w:rsid w:val="007A5947"/>
    <w:rsid w:val="007A717B"/>
    <w:rsid w:val="007A7714"/>
    <w:rsid w:val="007B013C"/>
    <w:rsid w:val="007B0313"/>
    <w:rsid w:val="007B06BD"/>
    <w:rsid w:val="007B0854"/>
    <w:rsid w:val="007B0AE0"/>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98"/>
    <w:rsid w:val="007B46A2"/>
    <w:rsid w:val="007B4828"/>
    <w:rsid w:val="007B4B2D"/>
    <w:rsid w:val="007B4D4A"/>
    <w:rsid w:val="007B4F7D"/>
    <w:rsid w:val="007B517D"/>
    <w:rsid w:val="007B5428"/>
    <w:rsid w:val="007B59B7"/>
    <w:rsid w:val="007B5D1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5F47"/>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61E4"/>
    <w:rsid w:val="007D695B"/>
    <w:rsid w:val="007D7867"/>
    <w:rsid w:val="007D7CFC"/>
    <w:rsid w:val="007E0812"/>
    <w:rsid w:val="007E0825"/>
    <w:rsid w:val="007E1858"/>
    <w:rsid w:val="007E18DF"/>
    <w:rsid w:val="007E214A"/>
    <w:rsid w:val="007E238D"/>
    <w:rsid w:val="007E2C36"/>
    <w:rsid w:val="007E328D"/>
    <w:rsid w:val="007E350D"/>
    <w:rsid w:val="007E368B"/>
    <w:rsid w:val="007E3856"/>
    <w:rsid w:val="007E3ACA"/>
    <w:rsid w:val="007E3F4A"/>
    <w:rsid w:val="007E4296"/>
    <w:rsid w:val="007E564D"/>
    <w:rsid w:val="007E5C4A"/>
    <w:rsid w:val="007E5FBE"/>
    <w:rsid w:val="007E64D4"/>
    <w:rsid w:val="007E66E9"/>
    <w:rsid w:val="007E69F2"/>
    <w:rsid w:val="007E6A2A"/>
    <w:rsid w:val="007E7432"/>
    <w:rsid w:val="007E74BF"/>
    <w:rsid w:val="007E7657"/>
    <w:rsid w:val="007E7D2E"/>
    <w:rsid w:val="007F14D3"/>
    <w:rsid w:val="007F1D9D"/>
    <w:rsid w:val="007F1E28"/>
    <w:rsid w:val="007F1F63"/>
    <w:rsid w:val="007F22A0"/>
    <w:rsid w:val="007F23F8"/>
    <w:rsid w:val="007F2902"/>
    <w:rsid w:val="007F2903"/>
    <w:rsid w:val="007F2F90"/>
    <w:rsid w:val="007F320F"/>
    <w:rsid w:val="007F3320"/>
    <w:rsid w:val="007F3AC1"/>
    <w:rsid w:val="007F428F"/>
    <w:rsid w:val="007F4976"/>
    <w:rsid w:val="007F4B40"/>
    <w:rsid w:val="007F5A56"/>
    <w:rsid w:val="007F5D42"/>
    <w:rsid w:val="007F616E"/>
    <w:rsid w:val="007F661C"/>
    <w:rsid w:val="007F669D"/>
    <w:rsid w:val="007F6B46"/>
    <w:rsid w:val="007F6D1E"/>
    <w:rsid w:val="007F72CB"/>
    <w:rsid w:val="007F736A"/>
    <w:rsid w:val="007F7635"/>
    <w:rsid w:val="007F785F"/>
    <w:rsid w:val="007F7961"/>
    <w:rsid w:val="007F7AF6"/>
    <w:rsid w:val="007F7E36"/>
    <w:rsid w:val="008002F2"/>
    <w:rsid w:val="0080072E"/>
    <w:rsid w:val="0080091A"/>
    <w:rsid w:val="00800E6D"/>
    <w:rsid w:val="0080110A"/>
    <w:rsid w:val="008014D9"/>
    <w:rsid w:val="0080150F"/>
    <w:rsid w:val="0080153A"/>
    <w:rsid w:val="00801A2A"/>
    <w:rsid w:val="00802041"/>
    <w:rsid w:val="008022C9"/>
    <w:rsid w:val="00802605"/>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91"/>
    <w:rsid w:val="00811CDC"/>
    <w:rsid w:val="008124D8"/>
    <w:rsid w:val="008134E0"/>
    <w:rsid w:val="00813A76"/>
    <w:rsid w:val="00813A7B"/>
    <w:rsid w:val="00813F04"/>
    <w:rsid w:val="0081513E"/>
    <w:rsid w:val="00815DA5"/>
    <w:rsid w:val="00816221"/>
    <w:rsid w:val="0081715E"/>
    <w:rsid w:val="0081766B"/>
    <w:rsid w:val="008178E0"/>
    <w:rsid w:val="00817CCA"/>
    <w:rsid w:val="0082042F"/>
    <w:rsid w:val="008205AC"/>
    <w:rsid w:val="00820705"/>
    <w:rsid w:val="00820A6C"/>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9F3"/>
    <w:rsid w:val="00826F71"/>
    <w:rsid w:val="00827332"/>
    <w:rsid w:val="008278EF"/>
    <w:rsid w:val="00827CC0"/>
    <w:rsid w:val="00827CD3"/>
    <w:rsid w:val="008306AB"/>
    <w:rsid w:val="00830AEC"/>
    <w:rsid w:val="00830DB8"/>
    <w:rsid w:val="00831026"/>
    <w:rsid w:val="0083119B"/>
    <w:rsid w:val="00831BAE"/>
    <w:rsid w:val="00831FDF"/>
    <w:rsid w:val="00832216"/>
    <w:rsid w:val="00832513"/>
    <w:rsid w:val="00832590"/>
    <w:rsid w:val="00832AD3"/>
    <w:rsid w:val="00832CD0"/>
    <w:rsid w:val="00833430"/>
    <w:rsid w:val="00833ADA"/>
    <w:rsid w:val="00833CB1"/>
    <w:rsid w:val="00834128"/>
    <w:rsid w:val="0083415D"/>
    <w:rsid w:val="0083417F"/>
    <w:rsid w:val="0083437A"/>
    <w:rsid w:val="0083496F"/>
    <w:rsid w:val="00835143"/>
    <w:rsid w:val="0083569B"/>
    <w:rsid w:val="00835741"/>
    <w:rsid w:val="00836E74"/>
    <w:rsid w:val="00836EAB"/>
    <w:rsid w:val="00837673"/>
    <w:rsid w:val="008377D7"/>
    <w:rsid w:val="00837937"/>
    <w:rsid w:val="00837D82"/>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5DE4"/>
    <w:rsid w:val="008466A0"/>
    <w:rsid w:val="00847535"/>
    <w:rsid w:val="00847B6D"/>
    <w:rsid w:val="008506A9"/>
    <w:rsid w:val="0085092D"/>
    <w:rsid w:val="008509A5"/>
    <w:rsid w:val="00850C79"/>
    <w:rsid w:val="00850D82"/>
    <w:rsid w:val="00850F79"/>
    <w:rsid w:val="0085100B"/>
    <w:rsid w:val="00851E88"/>
    <w:rsid w:val="0085304C"/>
    <w:rsid w:val="008533E7"/>
    <w:rsid w:val="008536BB"/>
    <w:rsid w:val="00853A3C"/>
    <w:rsid w:val="00853EE0"/>
    <w:rsid w:val="0085433A"/>
    <w:rsid w:val="008548CA"/>
    <w:rsid w:val="00855D62"/>
    <w:rsid w:val="008560C8"/>
    <w:rsid w:val="008563B0"/>
    <w:rsid w:val="008568FE"/>
    <w:rsid w:val="00856A1D"/>
    <w:rsid w:val="00856C06"/>
    <w:rsid w:val="0085790B"/>
    <w:rsid w:val="008579B9"/>
    <w:rsid w:val="00857C95"/>
    <w:rsid w:val="00857E78"/>
    <w:rsid w:val="00860A1B"/>
    <w:rsid w:val="00860AEF"/>
    <w:rsid w:val="00860B18"/>
    <w:rsid w:val="00860D5E"/>
    <w:rsid w:val="0086122C"/>
    <w:rsid w:val="00861310"/>
    <w:rsid w:val="00861F53"/>
    <w:rsid w:val="0086264E"/>
    <w:rsid w:val="0086289E"/>
    <w:rsid w:val="008629CB"/>
    <w:rsid w:val="00862C72"/>
    <w:rsid w:val="0086394E"/>
    <w:rsid w:val="00863F8A"/>
    <w:rsid w:val="00863FB1"/>
    <w:rsid w:val="00863FE3"/>
    <w:rsid w:val="008640C4"/>
    <w:rsid w:val="00864241"/>
    <w:rsid w:val="0086465A"/>
    <w:rsid w:val="0086468A"/>
    <w:rsid w:val="0086502D"/>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AD7"/>
    <w:rsid w:val="00871E3C"/>
    <w:rsid w:val="00872AC6"/>
    <w:rsid w:val="00872F97"/>
    <w:rsid w:val="00874607"/>
    <w:rsid w:val="008747E9"/>
    <w:rsid w:val="00874915"/>
    <w:rsid w:val="00874949"/>
    <w:rsid w:val="00874B89"/>
    <w:rsid w:val="00875403"/>
    <w:rsid w:val="00875434"/>
    <w:rsid w:val="00875C1F"/>
    <w:rsid w:val="00876215"/>
    <w:rsid w:val="0087646C"/>
    <w:rsid w:val="008764ED"/>
    <w:rsid w:val="00876815"/>
    <w:rsid w:val="008776C8"/>
    <w:rsid w:val="00877932"/>
    <w:rsid w:val="0088063A"/>
    <w:rsid w:val="008808C7"/>
    <w:rsid w:val="00880BFD"/>
    <w:rsid w:val="0088106B"/>
    <w:rsid w:val="0088107D"/>
    <w:rsid w:val="0088187A"/>
    <w:rsid w:val="00881E64"/>
    <w:rsid w:val="00882C44"/>
    <w:rsid w:val="00882E39"/>
    <w:rsid w:val="008850EB"/>
    <w:rsid w:val="00885228"/>
    <w:rsid w:val="008857E3"/>
    <w:rsid w:val="00885E06"/>
    <w:rsid w:val="00886DF2"/>
    <w:rsid w:val="00886FB9"/>
    <w:rsid w:val="00887057"/>
    <w:rsid w:val="00887080"/>
    <w:rsid w:val="00887C79"/>
    <w:rsid w:val="0089073D"/>
    <w:rsid w:val="0089107B"/>
    <w:rsid w:val="008913CC"/>
    <w:rsid w:val="008914AE"/>
    <w:rsid w:val="008918A2"/>
    <w:rsid w:val="008919CF"/>
    <w:rsid w:val="00891F84"/>
    <w:rsid w:val="00891FC3"/>
    <w:rsid w:val="008928EC"/>
    <w:rsid w:val="00892906"/>
    <w:rsid w:val="00892A15"/>
    <w:rsid w:val="00892C44"/>
    <w:rsid w:val="00892E5D"/>
    <w:rsid w:val="0089338A"/>
    <w:rsid w:val="008935CF"/>
    <w:rsid w:val="00893E30"/>
    <w:rsid w:val="0089436B"/>
    <w:rsid w:val="00894436"/>
    <w:rsid w:val="00894BB1"/>
    <w:rsid w:val="00894F06"/>
    <w:rsid w:val="008951D0"/>
    <w:rsid w:val="00895442"/>
    <w:rsid w:val="0089582D"/>
    <w:rsid w:val="008959C6"/>
    <w:rsid w:val="0089606D"/>
    <w:rsid w:val="00896129"/>
    <w:rsid w:val="00896316"/>
    <w:rsid w:val="00896F0D"/>
    <w:rsid w:val="0089774F"/>
    <w:rsid w:val="00897772"/>
    <w:rsid w:val="00897875"/>
    <w:rsid w:val="008979F4"/>
    <w:rsid w:val="008979FB"/>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31"/>
    <w:rsid w:val="008B3045"/>
    <w:rsid w:val="008B4472"/>
    <w:rsid w:val="008B47A6"/>
    <w:rsid w:val="008B522C"/>
    <w:rsid w:val="008B5C7C"/>
    <w:rsid w:val="008B63FE"/>
    <w:rsid w:val="008B658D"/>
    <w:rsid w:val="008B672C"/>
    <w:rsid w:val="008B6E1F"/>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6D9"/>
    <w:rsid w:val="008C5807"/>
    <w:rsid w:val="008C5DF9"/>
    <w:rsid w:val="008C62D4"/>
    <w:rsid w:val="008C6B89"/>
    <w:rsid w:val="008C6B97"/>
    <w:rsid w:val="008C6D53"/>
    <w:rsid w:val="008C7B64"/>
    <w:rsid w:val="008C7EF7"/>
    <w:rsid w:val="008C7F1E"/>
    <w:rsid w:val="008D0615"/>
    <w:rsid w:val="008D18AA"/>
    <w:rsid w:val="008D1A2A"/>
    <w:rsid w:val="008D1ADE"/>
    <w:rsid w:val="008D35D9"/>
    <w:rsid w:val="008D3B36"/>
    <w:rsid w:val="008D3B85"/>
    <w:rsid w:val="008D406B"/>
    <w:rsid w:val="008D462D"/>
    <w:rsid w:val="008D6084"/>
    <w:rsid w:val="008D62C8"/>
    <w:rsid w:val="008D64AC"/>
    <w:rsid w:val="008D66CA"/>
    <w:rsid w:val="008D69B1"/>
    <w:rsid w:val="008D70E0"/>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926"/>
    <w:rsid w:val="008E4CAE"/>
    <w:rsid w:val="008E5179"/>
    <w:rsid w:val="008E57FE"/>
    <w:rsid w:val="008E6420"/>
    <w:rsid w:val="008E6598"/>
    <w:rsid w:val="008E6BBE"/>
    <w:rsid w:val="008E710F"/>
    <w:rsid w:val="008E7214"/>
    <w:rsid w:val="008E7478"/>
    <w:rsid w:val="008E7497"/>
    <w:rsid w:val="008E7884"/>
    <w:rsid w:val="008E7D6E"/>
    <w:rsid w:val="008F1056"/>
    <w:rsid w:val="008F23D9"/>
    <w:rsid w:val="008F2E8D"/>
    <w:rsid w:val="008F31FA"/>
    <w:rsid w:val="008F361D"/>
    <w:rsid w:val="008F387B"/>
    <w:rsid w:val="008F3DD9"/>
    <w:rsid w:val="008F409B"/>
    <w:rsid w:val="008F4163"/>
    <w:rsid w:val="008F4814"/>
    <w:rsid w:val="008F48A5"/>
    <w:rsid w:val="008F4B18"/>
    <w:rsid w:val="008F4DA6"/>
    <w:rsid w:val="008F538E"/>
    <w:rsid w:val="008F5A20"/>
    <w:rsid w:val="008F5ABA"/>
    <w:rsid w:val="008F6157"/>
    <w:rsid w:val="008F71AB"/>
    <w:rsid w:val="008F7905"/>
    <w:rsid w:val="008F7989"/>
    <w:rsid w:val="008F7C39"/>
    <w:rsid w:val="00900912"/>
    <w:rsid w:val="00900CD7"/>
    <w:rsid w:val="00901F1D"/>
    <w:rsid w:val="009028E8"/>
    <w:rsid w:val="00902E5C"/>
    <w:rsid w:val="0090363E"/>
    <w:rsid w:val="009046E5"/>
    <w:rsid w:val="00904790"/>
    <w:rsid w:val="009047C5"/>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619"/>
    <w:rsid w:val="00915EFE"/>
    <w:rsid w:val="00915FCE"/>
    <w:rsid w:val="00916AFE"/>
    <w:rsid w:val="00916FC8"/>
    <w:rsid w:val="009170D3"/>
    <w:rsid w:val="0091759C"/>
    <w:rsid w:val="00920026"/>
    <w:rsid w:val="009203E2"/>
    <w:rsid w:val="00920478"/>
    <w:rsid w:val="00920BF5"/>
    <w:rsid w:val="00920F61"/>
    <w:rsid w:val="00921304"/>
    <w:rsid w:val="00921395"/>
    <w:rsid w:val="00921805"/>
    <w:rsid w:val="00921E63"/>
    <w:rsid w:val="00922577"/>
    <w:rsid w:val="00923094"/>
    <w:rsid w:val="00923396"/>
    <w:rsid w:val="00923F56"/>
    <w:rsid w:val="0092468C"/>
    <w:rsid w:val="00924770"/>
    <w:rsid w:val="00924C03"/>
    <w:rsid w:val="00925229"/>
    <w:rsid w:val="00925346"/>
    <w:rsid w:val="00925743"/>
    <w:rsid w:val="0092579F"/>
    <w:rsid w:val="00925D65"/>
    <w:rsid w:val="009264EE"/>
    <w:rsid w:val="0092653F"/>
    <w:rsid w:val="009271AE"/>
    <w:rsid w:val="009272FA"/>
    <w:rsid w:val="00927E8D"/>
    <w:rsid w:val="00927F23"/>
    <w:rsid w:val="00930411"/>
    <w:rsid w:val="009307CD"/>
    <w:rsid w:val="00931213"/>
    <w:rsid w:val="00931364"/>
    <w:rsid w:val="00931365"/>
    <w:rsid w:val="00931451"/>
    <w:rsid w:val="009314FA"/>
    <w:rsid w:val="0093194F"/>
    <w:rsid w:val="00931BF3"/>
    <w:rsid w:val="00931C55"/>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20"/>
    <w:rsid w:val="00940477"/>
    <w:rsid w:val="00940876"/>
    <w:rsid w:val="00940A53"/>
    <w:rsid w:val="00940F3C"/>
    <w:rsid w:val="009410E0"/>
    <w:rsid w:val="00941FA9"/>
    <w:rsid w:val="009439B6"/>
    <w:rsid w:val="009444B4"/>
    <w:rsid w:val="00944644"/>
    <w:rsid w:val="00944968"/>
    <w:rsid w:val="009464FA"/>
    <w:rsid w:val="00946A24"/>
    <w:rsid w:val="009470D4"/>
    <w:rsid w:val="00947337"/>
    <w:rsid w:val="00947E6E"/>
    <w:rsid w:val="009500A6"/>
    <w:rsid w:val="00951145"/>
    <w:rsid w:val="009512FA"/>
    <w:rsid w:val="009516A9"/>
    <w:rsid w:val="00951E57"/>
    <w:rsid w:val="00952350"/>
    <w:rsid w:val="009524C4"/>
    <w:rsid w:val="00952505"/>
    <w:rsid w:val="0095299B"/>
    <w:rsid w:val="00952FBB"/>
    <w:rsid w:val="00953018"/>
    <w:rsid w:val="009533E2"/>
    <w:rsid w:val="00953554"/>
    <w:rsid w:val="0095360B"/>
    <w:rsid w:val="0095385A"/>
    <w:rsid w:val="00954F3A"/>
    <w:rsid w:val="009551B8"/>
    <w:rsid w:val="009560DA"/>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C98"/>
    <w:rsid w:val="009659B0"/>
    <w:rsid w:val="00965D27"/>
    <w:rsid w:val="00966B9B"/>
    <w:rsid w:val="0097077C"/>
    <w:rsid w:val="0097127D"/>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9D4"/>
    <w:rsid w:val="00981B91"/>
    <w:rsid w:val="009822D7"/>
    <w:rsid w:val="009827E6"/>
    <w:rsid w:val="00982F84"/>
    <w:rsid w:val="009831C3"/>
    <w:rsid w:val="0098427D"/>
    <w:rsid w:val="00984567"/>
    <w:rsid w:val="00985102"/>
    <w:rsid w:val="009854BC"/>
    <w:rsid w:val="00985A66"/>
    <w:rsid w:val="0098606C"/>
    <w:rsid w:val="009865D5"/>
    <w:rsid w:val="00986C6D"/>
    <w:rsid w:val="009876F2"/>
    <w:rsid w:val="00987C77"/>
    <w:rsid w:val="00987EA3"/>
    <w:rsid w:val="00987FED"/>
    <w:rsid w:val="00990096"/>
    <w:rsid w:val="00990345"/>
    <w:rsid w:val="00990701"/>
    <w:rsid w:val="0099119C"/>
    <w:rsid w:val="0099137A"/>
    <w:rsid w:val="0099211C"/>
    <w:rsid w:val="009927C6"/>
    <w:rsid w:val="00993013"/>
    <w:rsid w:val="00993B78"/>
    <w:rsid w:val="00994F3F"/>
    <w:rsid w:val="00995119"/>
    <w:rsid w:val="0099531F"/>
    <w:rsid w:val="009953AD"/>
    <w:rsid w:val="009957D7"/>
    <w:rsid w:val="0099583D"/>
    <w:rsid w:val="0099591C"/>
    <w:rsid w:val="00996020"/>
    <w:rsid w:val="0099629E"/>
    <w:rsid w:val="00996992"/>
    <w:rsid w:val="00996BE3"/>
    <w:rsid w:val="00996E1E"/>
    <w:rsid w:val="00997148"/>
    <w:rsid w:val="00997392"/>
    <w:rsid w:val="0099747C"/>
    <w:rsid w:val="0099771C"/>
    <w:rsid w:val="00997852"/>
    <w:rsid w:val="009A01E4"/>
    <w:rsid w:val="009A0917"/>
    <w:rsid w:val="009A0A33"/>
    <w:rsid w:val="009A0C41"/>
    <w:rsid w:val="009A1351"/>
    <w:rsid w:val="009A1723"/>
    <w:rsid w:val="009A1E6C"/>
    <w:rsid w:val="009A2041"/>
    <w:rsid w:val="009A2435"/>
    <w:rsid w:val="009A35DC"/>
    <w:rsid w:val="009A38AB"/>
    <w:rsid w:val="009A39EE"/>
    <w:rsid w:val="009A3D47"/>
    <w:rsid w:val="009A4D63"/>
    <w:rsid w:val="009A5356"/>
    <w:rsid w:val="009A5468"/>
    <w:rsid w:val="009A5D99"/>
    <w:rsid w:val="009A608C"/>
    <w:rsid w:val="009A653C"/>
    <w:rsid w:val="009A6FDF"/>
    <w:rsid w:val="009A715F"/>
    <w:rsid w:val="009A76D6"/>
    <w:rsid w:val="009B2374"/>
    <w:rsid w:val="009B2E29"/>
    <w:rsid w:val="009B2F77"/>
    <w:rsid w:val="009B2FFB"/>
    <w:rsid w:val="009B3140"/>
    <w:rsid w:val="009B3163"/>
    <w:rsid w:val="009B422F"/>
    <w:rsid w:val="009B4620"/>
    <w:rsid w:val="009B46BC"/>
    <w:rsid w:val="009B4D1A"/>
    <w:rsid w:val="009B519D"/>
    <w:rsid w:val="009B543A"/>
    <w:rsid w:val="009B558B"/>
    <w:rsid w:val="009B5A35"/>
    <w:rsid w:val="009B6BCF"/>
    <w:rsid w:val="009B6D21"/>
    <w:rsid w:val="009B6E85"/>
    <w:rsid w:val="009B78ED"/>
    <w:rsid w:val="009C0E1B"/>
    <w:rsid w:val="009C12AB"/>
    <w:rsid w:val="009C12C6"/>
    <w:rsid w:val="009C181C"/>
    <w:rsid w:val="009C1A44"/>
    <w:rsid w:val="009C1C7F"/>
    <w:rsid w:val="009C1D29"/>
    <w:rsid w:val="009C1D4C"/>
    <w:rsid w:val="009C1EC7"/>
    <w:rsid w:val="009C2210"/>
    <w:rsid w:val="009C28A2"/>
    <w:rsid w:val="009C2BAE"/>
    <w:rsid w:val="009C2D36"/>
    <w:rsid w:val="009C2E7B"/>
    <w:rsid w:val="009C3239"/>
    <w:rsid w:val="009C3815"/>
    <w:rsid w:val="009C3828"/>
    <w:rsid w:val="009C3AD3"/>
    <w:rsid w:val="009C3AF4"/>
    <w:rsid w:val="009C3D2C"/>
    <w:rsid w:val="009C42A2"/>
    <w:rsid w:val="009C4832"/>
    <w:rsid w:val="009C48E6"/>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C04"/>
    <w:rsid w:val="009C7E68"/>
    <w:rsid w:val="009D00D7"/>
    <w:rsid w:val="009D0156"/>
    <w:rsid w:val="009D0259"/>
    <w:rsid w:val="009D05DA"/>
    <w:rsid w:val="009D11F6"/>
    <w:rsid w:val="009D1A14"/>
    <w:rsid w:val="009D1E2A"/>
    <w:rsid w:val="009D1FA0"/>
    <w:rsid w:val="009D259F"/>
    <w:rsid w:val="009D2BDF"/>
    <w:rsid w:val="009D3736"/>
    <w:rsid w:val="009D4529"/>
    <w:rsid w:val="009D460F"/>
    <w:rsid w:val="009D5865"/>
    <w:rsid w:val="009D604F"/>
    <w:rsid w:val="009D61BB"/>
    <w:rsid w:val="009D6410"/>
    <w:rsid w:val="009D68BB"/>
    <w:rsid w:val="009D6909"/>
    <w:rsid w:val="009D700F"/>
    <w:rsid w:val="009D70C2"/>
    <w:rsid w:val="009D7244"/>
    <w:rsid w:val="009D7ADB"/>
    <w:rsid w:val="009D7B33"/>
    <w:rsid w:val="009D7BF4"/>
    <w:rsid w:val="009E06C3"/>
    <w:rsid w:val="009E0703"/>
    <w:rsid w:val="009E0F52"/>
    <w:rsid w:val="009E1035"/>
    <w:rsid w:val="009E16DA"/>
    <w:rsid w:val="009E1CD4"/>
    <w:rsid w:val="009E2291"/>
    <w:rsid w:val="009E2391"/>
    <w:rsid w:val="009E3704"/>
    <w:rsid w:val="009E4685"/>
    <w:rsid w:val="009E476A"/>
    <w:rsid w:val="009E4E05"/>
    <w:rsid w:val="009E534D"/>
    <w:rsid w:val="009E5680"/>
    <w:rsid w:val="009E56FF"/>
    <w:rsid w:val="009E5CB1"/>
    <w:rsid w:val="009E5E56"/>
    <w:rsid w:val="009E61EA"/>
    <w:rsid w:val="009E6990"/>
    <w:rsid w:val="009E6FEE"/>
    <w:rsid w:val="009F002C"/>
    <w:rsid w:val="009F00B9"/>
    <w:rsid w:val="009F060F"/>
    <w:rsid w:val="009F0781"/>
    <w:rsid w:val="009F0850"/>
    <w:rsid w:val="009F091C"/>
    <w:rsid w:val="009F09FB"/>
    <w:rsid w:val="009F170C"/>
    <w:rsid w:val="009F1BDF"/>
    <w:rsid w:val="009F1EAE"/>
    <w:rsid w:val="009F2495"/>
    <w:rsid w:val="009F2848"/>
    <w:rsid w:val="009F2A9D"/>
    <w:rsid w:val="009F2B4A"/>
    <w:rsid w:val="009F369D"/>
    <w:rsid w:val="009F36FE"/>
    <w:rsid w:val="009F399F"/>
    <w:rsid w:val="009F4990"/>
    <w:rsid w:val="009F4C1E"/>
    <w:rsid w:val="009F4F25"/>
    <w:rsid w:val="009F59C2"/>
    <w:rsid w:val="009F5BC7"/>
    <w:rsid w:val="009F70A4"/>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2F3A"/>
    <w:rsid w:val="00A03160"/>
    <w:rsid w:val="00A036AC"/>
    <w:rsid w:val="00A03A1F"/>
    <w:rsid w:val="00A03C54"/>
    <w:rsid w:val="00A03DE5"/>
    <w:rsid w:val="00A041BC"/>
    <w:rsid w:val="00A0446B"/>
    <w:rsid w:val="00A0447F"/>
    <w:rsid w:val="00A04665"/>
    <w:rsid w:val="00A046D2"/>
    <w:rsid w:val="00A04844"/>
    <w:rsid w:val="00A04A54"/>
    <w:rsid w:val="00A052EC"/>
    <w:rsid w:val="00A058B8"/>
    <w:rsid w:val="00A05B4B"/>
    <w:rsid w:val="00A05E1C"/>
    <w:rsid w:val="00A066C3"/>
    <w:rsid w:val="00A06754"/>
    <w:rsid w:val="00A0696E"/>
    <w:rsid w:val="00A069E0"/>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6FB5"/>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4F4"/>
    <w:rsid w:val="00A23EAB"/>
    <w:rsid w:val="00A24560"/>
    <w:rsid w:val="00A24C11"/>
    <w:rsid w:val="00A25924"/>
    <w:rsid w:val="00A25B0F"/>
    <w:rsid w:val="00A25BBB"/>
    <w:rsid w:val="00A26AEB"/>
    <w:rsid w:val="00A275AC"/>
    <w:rsid w:val="00A2778A"/>
    <w:rsid w:val="00A27FB6"/>
    <w:rsid w:val="00A30121"/>
    <w:rsid w:val="00A30368"/>
    <w:rsid w:val="00A3043A"/>
    <w:rsid w:val="00A30968"/>
    <w:rsid w:val="00A30E02"/>
    <w:rsid w:val="00A30F6A"/>
    <w:rsid w:val="00A31C3E"/>
    <w:rsid w:val="00A32CE3"/>
    <w:rsid w:val="00A333FF"/>
    <w:rsid w:val="00A33B4D"/>
    <w:rsid w:val="00A34538"/>
    <w:rsid w:val="00A34677"/>
    <w:rsid w:val="00A3540F"/>
    <w:rsid w:val="00A35429"/>
    <w:rsid w:val="00A35630"/>
    <w:rsid w:val="00A35914"/>
    <w:rsid w:val="00A36189"/>
    <w:rsid w:val="00A3714D"/>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326"/>
    <w:rsid w:val="00A4497A"/>
    <w:rsid w:val="00A44AB5"/>
    <w:rsid w:val="00A44BE8"/>
    <w:rsid w:val="00A44C96"/>
    <w:rsid w:val="00A44CDD"/>
    <w:rsid w:val="00A44F54"/>
    <w:rsid w:val="00A4566E"/>
    <w:rsid w:val="00A45C92"/>
    <w:rsid w:val="00A45F9B"/>
    <w:rsid w:val="00A46574"/>
    <w:rsid w:val="00A47849"/>
    <w:rsid w:val="00A500B1"/>
    <w:rsid w:val="00A506E0"/>
    <w:rsid w:val="00A51E77"/>
    <w:rsid w:val="00A528CC"/>
    <w:rsid w:val="00A52A53"/>
    <w:rsid w:val="00A52EE5"/>
    <w:rsid w:val="00A53037"/>
    <w:rsid w:val="00A532B9"/>
    <w:rsid w:val="00A5351D"/>
    <w:rsid w:val="00A53E79"/>
    <w:rsid w:val="00A54031"/>
    <w:rsid w:val="00A5426D"/>
    <w:rsid w:val="00A5465E"/>
    <w:rsid w:val="00A54FC2"/>
    <w:rsid w:val="00A55122"/>
    <w:rsid w:val="00A55CEA"/>
    <w:rsid w:val="00A56DE7"/>
    <w:rsid w:val="00A571A3"/>
    <w:rsid w:val="00A57EB2"/>
    <w:rsid w:val="00A6009E"/>
    <w:rsid w:val="00A60265"/>
    <w:rsid w:val="00A60496"/>
    <w:rsid w:val="00A60540"/>
    <w:rsid w:val="00A60B1F"/>
    <w:rsid w:val="00A61969"/>
    <w:rsid w:val="00A61C60"/>
    <w:rsid w:val="00A62589"/>
    <w:rsid w:val="00A629B1"/>
    <w:rsid w:val="00A62AD0"/>
    <w:rsid w:val="00A62C3A"/>
    <w:rsid w:val="00A6319C"/>
    <w:rsid w:val="00A63812"/>
    <w:rsid w:val="00A63BC8"/>
    <w:rsid w:val="00A63DB5"/>
    <w:rsid w:val="00A63DF7"/>
    <w:rsid w:val="00A6454D"/>
    <w:rsid w:val="00A64F2F"/>
    <w:rsid w:val="00A6551D"/>
    <w:rsid w:val="00A656AC"/>
    <w:rsid w:val="00A6611E"/>
    <w:rsid w:val="00A668BA"/>
    <w:rsid w:val="00A668E6"/>
    <w:rsid w:val="00A66FA7"/>
    <w:rsid w:val="00A67E16"/>
    <w:rsid w:val="00A67EB1"/>
    <w:rsid w:val="00A703CC"/>
    <w:rsid w:val="00A70C5C"/>
    <w:rsid w:val="00A710A2"/>
    <w:rsid w:val="00A71BE1"/>
    <w:rsid w:val="00A71EA7"/>
    <w:rsid w:val="00A72653"/>
    <w:rsid w:val="00A730AD"/>
    <w:rsid w:val="00A73855"/>
    <w:rsid w:val="00A73C6D"/>
    <w:rsid w:val="00A73D64"/>
    <w:rsid w:val="00A74216"/>
    <w:rsid w:val="00A74360"/>
    <w:rsid w:val="00A744B4"/>
    <w:rsid w:val="00A751E3"/>
    <w:rsid w:val="00A7536B"/>
    <w:rsid w:val="00A753B9"/>
    <w:rsid w:val="00A7549A"/>
    <w:rsid w:val="00A75504"/>
    <w:rsid w:val="00A75FD7"/>
    <w:rsid w:val="00A765B4"/>
    <w:rsid w:val="00A7677B"/>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880"/>
    <w:rsid w:val="00A849A3"/>
    <w:rsid w:val="00A84A0E"/>
    <w:rsid w:val="00A85171"/>
    <w:rsid w:val="00A8575D"/>
    <w:rsid w:val="00A86196"/>
    <w:rsid w:val="00A861F4"/>
    <w:rsid w:val="00A86ADE"/>
    <w:rsid w:val="00A86E0B"/>
    <w:rsid w:val="00A872C2"/>
    <w:rsid w:val="00A87894"/>
    <w:rsid w:val="00A90274"/>
    <w:rsid w:val="00A90557"/>
    <w:rsid w:val="00A90F12"/>
    <w:rsid w:val="00A915A3"/>
    <w:rsid w:val="00A91636"/>
    <w:rsid w:val="00A919E6"/>
    <w:rsid w:val="00A91DAA"/>
    <w:rsid w:val="00A91F7E"/>
    <w:rsid w:val="00A92884"/>
    <w:rsid w:val="00A93101"/>
    <w:rsid w:val="00A93239"/>
    <w:rsid w:val="00A9413E"/>
    <w:rsid w:val="00A94293"/>
    <w:rsid w:val="00A9496E"/>
    <w:rsid w:val="00A949F0"/>
    <w:rsid w:val="00A94BDE"/>
    <w:rsid w:val="00A94FCA"/>
    <w:rsid w:val="00A956C6"/>
    <w:rsid w:val="00A95E4C"/>
    <w:rsid w:val="00A966E6"/>
    <w:rsid w:val="00A96C60"/>
    <w:rsid w:val="00A96CB5"/>
    <w:rsid w:val="00A9740B"/>
    <w:rsid w:val="00A9766C"/>
    <w:rsid w:val="00A977F8"/>
    <w:rsid w:val="00A979DB"/>
    <w:rsid w:val="00A97C93"/>
    <w:rsid w:val="00AA06C6"/>
    <w:rsid w:val="00AA08E7"/>
    <w:rsid w:val="00AA0A06"/>
    <w:rsid w:val="00AA0AE4"/>
    <w:rsid w:val="00AA1351"/>
    <w:rsid w:val="00AA184C"/>
    <w:rsid w:val="00AA1AF4"/>
    <w:rsid w:val="00AA1B44"/>
    <w:rsid w:val="00AA1BB6"/>
    <w:rsid w:val="00AA1C84"/>
    <w:rsid w:val="00AA35D5"/>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B01C5"/>
    <w:rsid w:val="00AB041C"/>
    <w:rsid w:val="00AB14E8"/>
    <w:rsid w:val="00AB1B1D"/>
    <w:rsid w:val="00AB1CD8"/>
    <w:rsid w:val="00AB2216"/>
    <w:rsid w:val="00AB358D"/>
    <w:rsid w:val="00AB37A1"/>
    <w:rsid w:val="00AB3BAD"/>
    <w:rsid w:val="00AB3CFD"/>
    <w:rsid w:val="00AB4083"/>
    <w:rsid w:val="00AB40F1"/>
    <w:rsid w:val="00AB49BC"/>
    <w:rsid w:val="00AB4DEE"/>
    <w:rsid w:val="00AB4E32"/>
    <w:rsid w:val="00AB5AC6"/>
    <w:rsid w:val="00AB5C19"/>
    <w:rsid w:val="00AB6406"/>
    <w:rsid w:val="00AB724B"/>
    <w:rsid w:val="00AB726C"/>
    <w:rsid w:val="00AB72B4"/>
    <w:rsid w:val="00AB7A7A"/>
    <w:rsid w:val="00AC02AA"/>
    <w:rsid w:val="00AC0537"/>
    <w:rsid w:val="00AC0A84"/>
    <w:rsid w:val="00AC1508"/>
    <w:rsid w:val="00AC2A0B"/>
    <w:rsid w:val="00AC2BEE"/>
    <w:rsid w:val="00AC2CA8"/>
    <w:rsid w:val="00AC2E53"/>
    <w:rsid w:val="00AC36CA"/>
    <w:rsid w:val="00AC3CD9"/>
    <w:rsid w:val="00AC4462"/>
    <w:rsid w:val="00AC45B2"/>
    <w:rsid w:val="00AC484F"/>
    <w:rsid w:val="00AC4B20"/>
    <w:rsid w:val="00AC55C7"/>
    <w:rsid w:val="00AC56F2"/>
    <w:rsid w:val="00AC581F"/>
    <w:rsid w:val="00AC5D9D"/>
    <w:rsid w:val="00AC5DB1"/>
    <w:rsid w:val="00AC71C3"/>
    <w:rsid w:val="00AD09F7"/>
    <w:rsid w:val="00AD1B3B"/>
    <w:rsid w:val="00AD1EFA"/>
    <w:rsid w:val="00AD2072"/>
    <w:rsid w:val="00AD23B5"/>
    <w:rsid w:val="00AD2439"/>
    <w:rsid w:val="00AD2DBD"/>
    <w:rsid w:val="00AD2FBF"/>
    <w:rsid w:val="00AD340E"/>
    <w:rsid w:val="00AD353C"/>
    <w:rsid w:val="00AD455D"/>
    <w:rsid w:val="00AD463C"/>
    <w:rsid w:val="00AD4F60"/>
    <w:rsid w:val="00AD5044"/>
    <w:rsid w:val="00AD5114"/>
    <w:rsid w:val="00AD54D4"/>
    <w:rsid w:val="00AD6236"/>
    <w:rsid w:val="00AD64DF"/>
    <w:rsid w:val="00AD6523"/>
    <w:rsid w:val="00AD69D5"/>
    <w:rsid w:val="00AD74EE"/>
    <w:rsid w:val="00AD7619"/>
    <w:rsid w:val="00AD7770"/>
    <w:rsid w:val="00AE05F2"/>
    <w:rsid w:val="00AE0D91"/>
    <w:rsid w:val="00AE1772"/>
    <w:rsid w:val="00AE1990"/>
    <w:rsid w:val="00AE25E8"/>
    <w:rsid w:val="00AE2AD4"/>
    <w:rsid w:val="00AE2CA7"/>
    <w:rsid w:val="00AE2E59"/>
    <w:rsid w:val="00AE2F1D"/>
    <w:rsid w:val="00AE4C81"/>
    <w:rsid w:val="00AE4CF8"/>
    <w:rsid w:val="00AE5413"/>
    <w:rsid w:val="00AE586F"/>
    <w:rsid w:val="00AE5B70"/>
    <w:rsid w:val="00AE6265"/>
    <w:rsid w:val="00AE62FE"/>
    <w:rsid w:val="00AE63BE"/>
    <w:rsid w:val="00AE6582"/>
    <w:rsid w:val="00AE6D6C"/>
    <w:rsid w:val="00AE6DC5"/>
    <w:rsid w:val="00AE74CB"/>
    <w:rsid w:val="00AE7686"/>
    <w:rsid w:val="00AE7817"/>
    <w:rsid w:val="00AE799A"/>
    <w:rsid w:val="00AF0274"/>
    <w:rsid w:val="00AF07A5"/>
    <w:rsid w:val="00AF0E81"/>
    <w:rsid w:val="00AF117A"/>
    <w:rsid w:val="00AF16CA"/>
    <w:rsid w:val="00AF186E"/>
    <w:rsid w:val="00AF19DF"/>
    <w:rsid w:val="00AF1D41"/>
    <w:rsid w:val="00AF26CF"/>
    <w:rsid w:val="00AF3124"/>
    <w:rsid w:val="00AF344D"/>
    <w:rsid w:val="00AF39B3"/>
    <w:rsid w:val="00AF3C1F"/>
    <w:rsid w:val="00AF3CF3"/>
    <w:rsid w:val="00AF4402"/>
    <w:rsid w:val="00AF4639"/>
    <w:rsid w:val="00AF4E92"/>
    <w:rsid w:val="00AF554B"/>
    <w:rsid w:val="00AF5C9B"/>
    <w:rsid w:val="00AF5D53"/>
    <w:rsid w:val="00AF5E2D"/>
    <w:rsid w:val="00AF637F"/>
    <w:rsid w:val="00AF644B"/>
    <w:rsid w:val="00AF67EE"/>
    <w:rsid w:val="00AF69EB"/>
    <w:rsid w:val="00AF6CA6"/>
    <w:rsid w:val="00AF6EB6"/>
    <w:rsid w:val="00AF75DF"/>
    <w:rsid w:val="00AF7782"/>
    <w:rsid w:val="00AF7796"/>
    <w:rsid w:val="00B011A9"/>
    <w:rsid w:val="00B01966"/>
    <w:rsid w:val="00B01BAF"/>
    <w:rsid w:val="00B01C94"/>
    <w:rsid w:val="00B024ED"/>
    <w:rsid w:val="00B026B8"/>
    <w:rsid w:val="00B02EB3"/>
    <w:rsid w:val="00B02FCB"/>
    <w:rsid w:val="00B033F8"/>
    <w:rsid w:val="00B03C1E"/>
    <w:rsid w:val="00B04400"/>
    <w:rsid w:val="00B046C2"/>
    <w:rsid w:val="00B04835"/>
    <w:rsid w:val="00B04B71"/>
    <w:rsid w:val="00B05A55"/>
    <w:rsid w:val="00B05AD2"/>
    <w:rsid w:val="00B05C74"/>
    <w:rsid w:val="00B05DE1"/>
    <w:rsid w:val="00B06595"/>
    <w:rsid w:val="00B06862"/>
    <w:rsid w:val="00B10109"/>
    <w:rsid w:val="00B1085E"/>
    <w:rsid w:val="00B10FD1"/>
    <w:rsid w:val="00B112D5"/>
    <w:rsid w:val="00B11378"/>
    <w:rsid w:val="00B116AD"/>
    <w:rsid w:val="00B120A8"/>
    <w:rsid w:val="00B1219D"/>
    <w:rsid w:val="00B12445"/>
    <w:rsid w:val="00B12735"/>
    <w:rsid w:val="00B12F44"/>
    <w:rsid w:val="00B13342"/>
    <w:rsid w:val="00B13399"/>
    <w:rsid w:val="00B13C48"/>
    <w:rsid w:val="00B13E35"/>
    <w:rsid w:val="00B13EC0"/>
    <w:rsid w:val="00B14102"/>
    <w:rsid w:val="00B14D32"/>
    <w:rsid w:val="00B14E90"/>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B91"/>
    <w:rsid w:val="00B20209"/>
    <w:rsid w:val="00B203C9"/>
    <w:rsid w:val="00B2088D"/>
    <w:rsid w:val="00B208FF"/>
    <w:rsid w:val="00B20C79"/>
    <w:rsid w:val="00B21271"/>
    <w:rsid w:val="00B218F9"/>
    <w:rsid w:val="00B22BD5"/>
    <w:rsid w:val="00B22E22"/>
    <w:rsid w:val="00B22F5F"/>
    <w:rsid w:val="00B23353"/>
    <w:rsid w:val="00B23535"/>
    <w:rsid w:val="00B23813"/>
    <w:rsid w:val="00B23FD9"/>
    <w:rsid w:val="00B24591"/>
    <w:rsid w:val="00B245D5"/>
    <w:rsid w:val="00B245EF"/>
    <w:rsid w:val="00B2491A"/>
    <w:rsid w:val="00B24C36"/>
    <w:rsid w:val="00B24D9F"/>
    <w:rsid w:val="00B24F94"/>
    <w:rsid w:val="00B25126"/>
    <w:rsid w:val="00B25530"/>
    <w:rsid w:val="00B25703"/>
    <w:rsid w:val="00B25A52"/>
    <w:rsid w:val="00B25B81"/>
    <w:rsid w:val="00B25FC3"/>
    <w:rsid w:val="00B2659D"/>
    <w:rsid w:val="00B2692F"/>
    <w:rsid w:val="00B270F8"/>
    <w:rsid w:val="00B27674"/>
    <w:rsid w:val="00B27875"/>
    <w:rsid w:val="00B3008D"/>
    <w:rsid w:val="00B3010C"/>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3EFE"/>
    <w:rsid w:val="00B345B4"/>
    <w:rsid w:val="00B346D9"/>
    <w:rsid w:val="00B348B1"/>
    <w:rsid w:val="00B34A28"/>
    <w:rsid w:val="00B35046"/>
    <w:rsid w:val="00B35B6A"/>
    <w:rsid w:val="00B366FE"/>
    <w:rsid w:val="00B368EC"/>
    <w:rsid w:val="00B36BE9"/>
    <w:rsid w:val="00B36D2B"/>
    <w:rsid w:val="00B372F2"/>
    <w:rsid w:val="00B37657"/>
    <w:rsid w:val="00B37AFD"/>
    <w:rsid w:val="00B37B07"/>
    <w:rsid w:val="00B37E06"/>
    <w:rsid w:val="00B4046F"/>
    <w:rsid w:val="00B406B3"/>
    <w:rsid w:val="00B40A36"/>
    <w:rsid w:val="00B41BCA"/>
    <w:rsid w:val="00B41D39"/>
    <w:rsid w:val="00B422C0"/>
    <w:rsid w:val="00B426CA"/>
    <w:rsid w:val="00B426E1"/>
    <w:rsid w:val="00B42F56"/>
    <w:rsid w:val="00B4387A"/>
    <w:rsid w:val="00B43CFB"/>
    <w:rsid w:val="00B44746"/>
    <w:rsid w:val="00B44854"/>
    <w:rsid w:val="00B44BA5"/>
    <w:rsid w:val="00B458D0"/>
    <w:rsid w:val="00B47304"/>
    <w:rsid w:val="00B4792C"/>
    <w:rsid w:val="00B50876"/>
    <w:rsid w:val="00B50CAE"/>
    <w:rsid w:val="00B5100A"/>
    <w:rsid w:val="00B512AD"/>
    <w:rsid w:val="00B5192B"/>
    <w:rsid w:val="00B5196C"/>
    <w:rsid w:val="00B525CB"/>
    <w:rsid w:val="00B52697"/>
    <w:rsid w:val="00B5353B"/>
    <w:rsid w:val="00B54215"/>
    <w:rsid w:val="00B54D8F"/>
    <w:rsid w:val="00B55857"/>
    <w:rsid w:val="00B55C69"/>
    <w:rsid w:val="00B5664E"/>
    <w:rsid w:val="00B56851"/>
    <w:rsid w:val="00B56D6E"/>
    <w:rsid w:val="00B572F7"/>
    <w:rsid w:val="00B574C3"/>
    <w:rsid w:val="00B57B9D"/>
    <w:rsid w:val="00B57DAF"/>
    <w:rsid w:val="00B60094"/>
    <w:rsid w:val="00B6022C"/>
    <w:rsid w:val="00B6040C"/>
    <w:rsid w:val="00B60A61"/>
    <w:rsid w:val="00B614F8"/>
    <w:rsid w:val="00B618BD"/>
    <w:rsid w:val="00B61994"/>
    <w:rsid w:val="00B61B18"/>
    <w:rsid w:val="00B61FD4"/>
    <w:rsid w:val="00B6235B"/>
    <w:rsid w:val="00B627C3"/>
    <w:rsid w:val="00B62880"/>
    <w:rsid w:val="00B62ACE"/>
    <w:rsid w:val="00B63872"/>
    <w:rsid w:val="00B63CB2"/>
    <w:rsid w:val="00B64246"/>
    <w:rsid w:val="00B6430F"/>
    <w:rsid w:val="00B64BE0"/>
    <w:rsid w:val="00B64BE9"/>
    <w:rsid w:val="00B64EDB"/>
    <w:rsid w:val="00B656D1"/>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EF8"/>
    <w:rsid w:val="00B75368"/>
    <w:rsid w:val="00B7581D"/>
    <w:rsid w:val="00B75893"/>
    <w:rsid w:val="00B771F4"/>
    <w:rsid w:val="00B77296"/>
    <w:rsid w:val="00B7762A"/>
    <w:rsid w:val="00B777FA"/>
    <w:rsid w:val="00B77850"/>
    <w:rsid w:val="00B7796B"/>
    <w:rsid w:val="00B80C72"/>
    <w:rsid w:val="00B81693"/>
    <w:rsid w:val="00B816FB"/>
    <w:rsid w:val="00B81964"/>
    <w:rsid w:val="00B81E6F"/>
    <w:rsid w:val="00B82017"/>
    <w:rsid w:val="00B82123"/>
    <w:rsid w:val="00B8225B"/>
    <w:rsid w:val="00B82BB5"/>
    <w:rsid w:val="00B83182"/>
    <w:rsid w:val="00B837F0"/>
    <w:rsid w:val="00B839F0"/>
    <w:rsid w:val="00B8450B"/>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90A49"/>
    <w:rsid w:val="00B90A73"/>
    <w:rsid w:val="00B911B3"/>
    <w:rsid w:val="00B91B8E"/>
    <w:rsid w:val="00B92531"/>
    <w:rsid w:val="00B92618"/>
    <w:rsid w:val="00B92751"/>
    <w:rsid w:val="00B92B69"/>
    <w:rsid w:val="00B92CC6"/>
    <w:rsid w:val="00B935C9"/>
    <w:rsid w:val="00B93E3D"/>
    <w:rsid w:val="00B94C5E"/>
    <w:rsid w:val="00B9525F"/>
    <w:rsid w:val="00B95464"/>
    <w:rsid w:val="00B95C30"/>
    <w:rsid w:val="00B95E3D"/>
    <w:rsid w:val="00B9691F"/>
    <w:rsid w:val="00B96EEC"/>
    <w:rsid w:val="00B97392"/>
    <w:rsid w:val="00B976C7"/>
    <w:rsid w:val="00B97A73"/>
    <w:rsid w:val="00BA0C54"/>
    <w:rsid w:val="00BA0FE4"/>
    <w:rsid w:val="00BA1382"/>
    <w:rsid w:val="00BA15E3"/>
    <w:rsid w:val="00BA1A8C"/>
    <w:rsid w:val="00BA1B7B"/>
    <w:rsid w:val="00BA20B6"/>
    <w:rsid w:val="00BA20D8"/>
    <w:rsid w:val="00BA22FC"/>
    <w:rsid w:val="00BA2C2A"/>
    <w:rsid w:val="00BA2F30"/>
    <w:rsid w:val="00BA2FF5"/>
    <w:rsid w:val="00BA342C"/>
    <w:rsid w:val="00BA3982"/>
    <w:rsid w:val="00BA405F"/>
    <w:rsid w:val="00BA4771"/>
    <w:rsid w:val="00BA482B"/>
    <w:rsid w:val="00BA5027"/>
    <w:rsid w:val="00BA55A1"/>
    <w:rsid w:val="00BA665B"/>
    <w:rsid w:val="00BA6C48"/>
    <w:rsid w:val="00BA6FE8"/>
    <w:rsid w:val="00BA732D"/>
    <w:rsid w:val="00BA7370"/>
    <w:rsid w:val="00BA778B"/>
    <w:rsid w:val="00BB0888"/>
    <w:rsid w:val="00BB0DF1"/>
    <w:rsid w:val="00BB0E9B"/>
    <w:rsid w:val="00BB10A9"/>
    <w:rsid w:val="00BB1A75"/>
    <w:rsid w:val="00BB2316"/>
    <w:rsid w:val="00BB2841"/>
    <w:rsid w:val="00BB300F"/>
    <w:rsid w:val="00BB32C9"/>
    <w:rsid w:val="00BB35C5"/>
    <w:rsid w:val="00BB39D8"/>
    <w:rsid w:val="00BB4048"/>
    <w:rsid w:val="00BB4C8E"/>
    <w:rsid w:val="00BB507B"/>
    <w:rsid w:val="00BB57ED"/>
    <w:rsid w:val="00BB5A2D"/>
    <w:rsid w:val="00BB606C"/>
    <w:rsid w:val="00BB61C2"/>
    <w:rsid w:val="00BB65C3"/>
    <w:rsid w:val="00BB662E"/>
    <w:rsid w:val="00BB67A9"/>
    <w:rsid w:val="00BB6C01"/>
    <w:rsid w:val="00BB7942"/>
    <w:rsid w:val="00BB7CD1"/>
    <w:rsid w:val="00BC0F33"/>
    <w:rsid w:val="00BC14A7"/>
    <w:rsid w:val="00BC17CC"/>
    <w:rsid w:val="00BC209F"/>
    <w:rsid w:val="00BC2647"/>
    <w:rsid w:val="00BC2898"/>
    <w:rsid w:val="00BC2928"/>
    <w:rsid w:val="00BC29BD"/>
    <w:rsid w:val="00BC2A75"/>
    <w:rsid w:val="00BC2BB1"/>
    <w:rsid w:val="00BC34A3"/>
    <w:rsid w:val="00BC3FF9"/>
    <w:rsid w:val="00BC437C"/>
    <w:rsid w:val="00BC4834"/>
    <w:rsid w:val="00BC4A97"/>
    <w:rsid w:val="00BC4BBC"/>
    <w:rsid w:val="00BC55C0"/>
    <w:rsid w:val="00BC5A25"/>
    <w:rsid w:val="00BC5FDD"/>
    <w:rsid w:val="00BC6508"/>
    <w:rsid w:val="00BC68B4"/>
    <w:rsid w:val="00BC7277"/>
    <w:rsid w:val="00BC7DC0"/>
    <w:rsid w:val="00BD0140"/>
    <w:rsid w:val="00BD02CC"/>
    <w:rsid w:val="00BD088E"/>
    <w:rsid w:val="00BD0F18"/>
    <w:rsid w:val="00BD12A8"/>
    <w:rsid w:val="00BD182E"/>
    <w:rsid w:val="00BD2063"/>
    <w:rsid w:val="00BD2950"/>
    <w:rsid w:val="00BD337A"/>
    <w:rsid w:val="00BD33D9"/>
    <w:rsid w:val="00BD38C5"/>
    <w:rsid w:val="00BD3A6D"/>
    <w:rsid w:val="00BD3AF1"/>
    <w:rsid w:val="00BD3DEA"/>
    <w:rsid w:val="00BD3E97"/>
    <w:rsid w:val="00BD40E4"/>
    <w:rsid w:val="00BD47DC"/>
    <w:rsid w:val="00BD52FE"/>
    <w:rsid w:val="00BD5CF8"/>
    <w:rsid w:val="00BD62CF"/>
    <w:rsid w:val="00BD67B2"/>
    <w:rsid w:val="00BD68E2"/>
    <w:rsid w:val="00BD6D41"/>
    <w:rsid w:val="00BD76E5"/>
    <w:rsid w:val="00BD78FE"/>
    <w:rsid w:val="00BE0149"/>
    <w:rsid w:val="00BE0767"/>
    <w:rsid w:val="00BE07A6"/>
    <w:rsid w:val="00BE0CDF"/>
    <w:rsid w:val="00BE0F24"/>
    <w:rsid w:val="00BE1286"/>
    <w:rsid w:val="00BE12D7"/>
    <w:rsid w:val="00BE1372"/>
    <w:rsid w:val="00BE14DA"/>
    <w:rsid w:val="00BE1775"/>
    <w:rsid w:val="00BE18DA"/>
    <w:rsid w:val="00BE26C0"/>
    <w:rsid w:val="00BE2BC3"/>
    <w:rsid w:val="00BE3257"/>
    <w:rsid w:val="00BE3442"/>
    <w:rsid w:val="00BE37CD"/>
    <w:rsid w:val="00BE41B1"/>
    <w:rsid w:val="00BE47B2"/>
    <w:rsid w:val="00BE48C7"/>
    <w:rsid w:val="00BE4F66"/>
    <w:rsid w:val="00BE4FBF"/>
    <w:rsid w:val="00BE5172"/>
    <w:rsid w:val="00BE5238"/>
    <w:rsid w:val="00BE5742"/>
    <w:rsid w:val="00BE57B3"/>
    <w:rsid w:val="00BE6074"/>
    <w:rsid w:val="00BE6D73"/>
    <w:rsid w:val="00BE7257"/>
    <w:rsid w:val="00BE7569"/>
    <w:rsid w:val="00BF020D"/>
    <w:rsid w:val="00BF0532"/>
    <w:rsid w:val="00BF0609"/>
    <w:rsid w:val="00BF0652"/>
    <w:rsid w:val="00BF0EE8"/>
    <w:rsid w:val="00BF10E4"/>
    <w:rsid w:val="00BF10ED"/>
    <w:rsid w:val="00BF1DD2"/>
    <w:rsid w:val="00BF23A3"/>
    <w:rsid w:val="00BF2A7E"/>
    <w:rsid w:val="00BF3331"/>
    <w:rsid w:val="00BF3A45"/>
    <w:rsid w:val="00BF3E98"/>
    <w:rsid w:val="00BF436F"/>
    <w:rsid w:val="00BF4629"/>
    <w:rsid w:val="00BF4862"/>
    <w:rsid w:val="00BF4AC8"/>
    <w:rsid w:val="00BF4DC8"/>
    <w:rsid w:val="00BF5899"/>
    <w:rsid w:val="00BF5C05"/>
    <w:rsid w:val="00BF62AB"/>
    <w:rsid w:val="00BF6817"/>
    <w:rsid w:val="00BF6FC6"/>
    <w:rsid w:val="00BF7C52"/>
    <w:rsid w:val="00BF7F99"/>
    <w:rsid w:val="00C00713"/>
    <w:rsid w:val="00C009A0"/>
    <w:rsid w:val="00C01F74"/>
    <w:rsid w:val="00C02423"/>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0B1"/>
    <w:rsid w:val="00C07376"/>
    <w:rsid w:val="00C0794D"/>
    <w:rsid w:val="00C1082C"/>
    <w:rsid w:val="00C10E78"/>
    <w:rsid w:val="00C1159D"/>
    <w:rsid w:val="00C1233E"/>
    <w:rsid w:val="00C1238B"/>
    <w:rsid w:val="00C12AEF"/>
    <w:rsid w:val="00C12FB3"/>
    <w:rsid w:val="00C138BC"/>
    <w:rsid w:val="00C13D85"/>
    <w:rsid w:val="00C13E30"/>
    <w:rsid w:val="00C14639"/>
    <w:rsid w:val="00C14E82"/>
    <w:rsid w:val="00C14FF6"/>
    <w:rsid w:val="00C15257"/>
    <w:rsid w:val="00C15567"/>
    <w:rsid w:val="00C15A85"/>
    <w:rsid w:val="00C1637C"/>
    <w:rsid w:val="00C1641B"/>
    <w:rsid w:val="00C165FC"/>
    <w:rsid w:val="00C16DCE"/>
    <w:rsid w:val="00C17030"/>
    <w:rsid w:val="00C176D5"/>
    <w:rsid w:val="00C17D24"/>
    <w:rsid w:val="00C2082C"/>
    <w:rsid w:val="00C20EB0"/>
    <w:rsid w:val="00C21004"/>
    <w:rsid w:val="00C21005"/>
    <w:rsid w:val="00C21125"/>
    <w:rsid w:val="00C214C3"/>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A6F"/>
    <w:rsid w:val="00C27D37"/>
    <w:rsid w:val="00C309E8"/>
    <w:rsid w:val="00C32017"/>
    <w:rsid w:val="00C32571"/>
    <w:rsid w:val="00C325CD"/>
    <w:rsid w:val="00C3322E"/>
    <w:rsid w:val="00C333B2"/>
    <w:rsid w:val="00C337F5"/>
    <w:rsid w:val="00C3383E"/>
    <w:rsid w:val="00C338C6"/>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869"/>
    <w:rsid w:val="00C40B50"/>
    <w:rsid w:val="00C40C19"/>
    <w:rsid w:val="00C41389"/>
    <w:rsid w:val="00C419E3"/>
    <w:rsid w:val="00C419F4"/>
    <w:rsid w:val="00C41E6A"/>
    <w:rsid w:val="00C42247"/>
    <w:rsid w:val="00C428E7"/>
    <w:rsid w:val="00C438A2"/>
    <w:rsid w:val="00C439BE"/>
    <w:rsid w:val="00C4443B"/>
    <w:rsid w:val="00C4539B"/>
    <w:rsid w:val="00C45466"/>
    <w:rsid w:val="00C455C1"/>
    <w:rsid w:val="00C45670"/>
    <w:rsid w:val="00C4581D"/>
    <w:rsid w:val="00C46294"/>
    <w:rsid w:val="00C46599"/>
    <w:rsid w:val="00C47472"/>
    <w:rsid w:val="00C500F0"/>
    <w:rsid w:val="00C504A7"/>
    <w:rsid w:val="00C506C9"/>
    <w:rsid w:val="00C50A16"/>
    <w:rsid w:val="00C51222"/>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64D"/>
    <w:rsid w:val="00C5780C"/>
    <w:rsid w:val="00C5796B"/>
    <w:rsid w:val="00C57C64"/>
    <w:rsid w:val="00C57EA0"/>
    <w:rsid w:val="00C57F51"/>
    <w:rsid w:val="00C612C4"/>
    <w:rsid w:val="00C619A1"/>
    <w:rsid w:val="00C62370"/>
    <w:rsid w:val="00C62883"/>
    <w:rsid w:val="00C62BBB"/>
    <w:rsid w:val="00C6305F"/>
    <w:rsid w:val="00C6325B"/>
    <w:rsid w:val="00C638CD"/>
    <w:rsid w:val="00C63DDD"/>
    <w:rsid w:val="00C63E99"/>
    <w:rsid w:val="00C649B8"/>
    <w:rsid w:val="00C64A64"/>
    <w:rsid w:val="00C6506A"/>
    <w:rsid w:val="00C65151"/>
    <w:rsid w:val="00C653BE"/>
    <w:rsid w:val="00C657F4"/>
    <w:rsid w:val="00C6598D"/>
    <w:rsid w:val="00C660FE"/>
    <w:rsid w:val="00C66119"/>
    <w:rsid w:val="00C66292"/>
    <w:rsid w:val="00C6648F"/>
    <w:rsid w:val="00C672A3"/>
    <w:rsid w:val="00C672F1"/>
    <w:rsid w:val="00C673D0"/>
    <w:rsid w:val="00C6742E"/>
    <w:rsid w:val="00C67B0B"/>
    <w:rsid w:val="00C67C0E"/>
    <w:rsid w:val="00C67F7A"/>
    <w:rsid w:val="00C70012"/>
    <w:rsid w:val="00C70622"/>
    <w:rsid w:val="00C70BF6"/>
    <w:rsid w:val="00C71E2A"/>
    <w:rsid w:val="00C71F2C"/>
    <w:rsid w:val="00C71F30"/>
    <w:rsid w:val="00C72115"/>
    <w:rsid w:val="00C7326E"/>
    <w:rsid w:val="00C733BA"/>
    <w:rsid w:val="00C73649"/>
    <w:rsid w:val="00C7389D"/>
    <w:rsid w:val="00C74541"/>
    <w:rsid w:val="00C760DC"/>
    <w:rsid w:val="00C76D48"/>
    <w:rsid w:val="00C770C5"/>
    <w:rsid w:val="00C8001D"/>
    <w:rsid w:val="00C8082B"/>
    <w:rsid w:val="00C810C9"/>
    <w:rsid w:val="00C81A88"/>
    <w:rsid w:val="00C81D46"/>
    <w:rsid w:val="00C82298"/>
    <w:rsid w:val="00C82DC7"/>
    <w:rsid w:val="00C8331F"/>
    <w:rsid w:val="00C833B4"/>
    <w:rsid w:val="00C84238"/>
    <w:rsid w:val="00C84284"/>
    <w:rsid w:val="00C84954"/>
    <w:rsid w:val="00C84B8C"/>
    <w:rsid w:val="00C84E33"/>
    <w:rsid w:val="00C8568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36BA"/>
    <w:rsid w:val="00C9370F"/>
    <w:rsid w:val="00C93765"/>
    <w:rsid w:val="00C93877"/>
    <w:rsid w:val="00C93D8C"/>
    <w:rsid w:val="00C93E07"/>
    <w:rsid w:val="00C946CC"/>
    <w:rsid w:val="00C94E97"/>
    <w:rsid w:val="00C959BD"/>
    <w:rsid w:val="00C95D8C"/>
    <w:rsid w:val="00C95DFE"/>
    <w:rsid w:val="00C95F44"/>
    <w:rsid w:val="00C96065"/>
    <w:rsid w:val="00C96389"/>
    <w:rsid w:val="00C96D1B"/>
    <w:rsid w:val="00C97106"/>
    <w:rsid w:val="00C978D4"/>
    <w:rsid w:val="00CA0031"/>
    <w:rsid w:val="00CA0413"/>
    <w:rsid w:val="00CA043A"/>
    <w:rsid w:val="00CA0E51"/>
    <w:rsid w:val="00CA1691"/>
    <w:rsid w:val="00CA2FE1"/>
    <w:rsid w:val="00CA41E7"/>
    <w:rsid w:val="00CA4A99"/>
    <w:rsid w:val="00CA5520"/>
    <w:rsid w:val="00CA5812"/>
    <w:rsid w:val="00CA5BD4"/>
    <w:rsid w:val="00CA5C14"/>
    <w:rsid w:val="00CA6410"/>
    <w:rsid w:val="00CA7019"/>
    <w:rsid w:val="00CA76FC"/>
    <w:rsid w:val="00CA7D40"/>
    <w:rsid w:val="00CA7E7B"/>
    <w:rsid w:val="00CB0236"/>
    <w:rsid w:val="00CB0CB1"/>
    <w:rsid w:val="00CB10AE"/>
    <w:rsid w:val="00CB1881"/>
    <w:rsid w:val="00CB1969"/>
    <w:rsid w:val="00CB19E3"/>
    <w:rsid w:val="00CB2C3A"/>
    <w:rsid w:val="00CB2D38"/>
    <w:rsid w:val="00CB2F5E"/>
    <w:rsid w:val="00CB3C9D"/>
    <w:rsid w:val="00CB4137"/>
    <w:rsid w:val="00CB4DB8"/>
    <w:rsid w:val="00CB50D0"/>
    <w:rsid w:val="00CB52D0"/>
    <w:rsid w:val="00CB5578"/>
    <w:rsid w:val="00CB5671"/>
    <w:rsid w:val="00CB591C"/>
    <w:rsid w:val="00CB5943"/>
    <w:rsid w:val="00CB61B3"/>
    <w:rsid w:val="00CB6801"/>
    <w:rsid w:val="00CB6B63"/>
    <w:rsid w:val="00CB6F83"/>
    <w:rsid w:val="00CB72AE"/>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3E1F"/>
    <w:rsid w:val="00CC40C3"/>
    <w:rsid w:val="00CC414A"/>
    <w:rsid w:val="00CC4748"/>
    <w:rsid w:val="00CC4CB4"/>
    <w:rsid w:val="00CC4E5D"/>
    <w:rsid w:val="00CC50AE"/>
    <w:rsid w:val="00CC5FFE"/>
    <w:rsid w:val="00CC61B7"/>
    <w:rsid w:val="00CC61CA"/>
    <w:rsid w:val="00CC6935"/>
    <w:rsid w:val="00CC69EC"/>
    <w:rsid w:val="00CC71D3"/>
    <w:rsid w:val="00CC743D"/>
    <w:rsid w:val="00CC74E7"/>
    <w:rsid w:val="00CC7551"/>
    <w:rsid w:val="00CC7C5A"/>
    <w:rsid w:val="00CD02ED"/>
    <w:rsid w:val="00CD050A"/>
    <w:rsid w:val="00CD0AE0"/>
    <w:rsid w:val="00CD0F92"/>
    <w:rsid w:val="00CD1017"/>
    <w:rsid w:val="00CD205D"/>
    <w:rsid w:val="00CD2A22"/>
    <w:rsid w:val="00CD2B50"/>
    <w:rsid w:val="00CD3156"/>
    <w:rsid w:val="00CD3172"/>
    <w:rsid w:val="00CD4399"/>
    <w:rsid w:val="00CD4506"/>
    <w:rsid w:val="00CD502F"/>
    <w:rsid w:val="00CD50E3"/>
    <w:rsid w:val="00CD520B"/>
    <w:rsid w:val="00CD53D4"/>
    <w:rsid w:val="00CD592E"/>
    <w:rsid w:val="00CD5982"/>
    <w:rsid w:val="00CD5A1A"/>
    <w:rsid w:val="00CD5E1E"/>
    <w:rsid w:val="00CD64EA"/>
    <w:rsid w:val="00CD6C6B"/>
    <w:rsid w:val="00CD75C9"/>
    <w:rsid w:val="00CD7EFA"/>
    <w:rsid w:val="00CE020E"/>
    <w:rsid w:val="00CE0566"/>
    <w:rsid w:val="00CE1CD4"/>
    <w:rsid w:val="00CE2761"/>
    <w:rsid w:val="00CE28FC"/>
    <w:rsid w:val="00CE2D59"/>
    <w:rsid w:val="00CE314E"/>
    <w:rsid w:val="00CE3A85"/>
    <w:rsid w:val="00CE3D5C"/>
    <w:rsid w:val="00CE3E09"/>
    <w:rsid w:val="00CE3E14"/>
    <w:rsid w:val="00CE44C7"/>
    <w:rsid w:val="00CE53CC"/>
    <w:rsid w:val="00CE5F60"/>
    <w:rsid w:val="00CE617D"/>
    <w:rsid w:val="00CE65A7"/>
    <w:rsid w:val="00CE68FE"/>
    <w:rsid w:val="00CE69CC"/>
    <w:rsid w:val="00CE6EC4"/>
    <w:rsid w:val="00CE7F26"/>
    <w:rsid w:val="00CF089F"/>
    <w:rsid w:val="00CF093F"/>
    <w:rsid w:val="00CF1226"/>
    <w:rsid w:val="00CF1ABB"/>
    <w:rsid w:val="00CF1E1D"/>
    <w:rsid w:val="00CF1E90"/>
    <w:rsid w:val="00CF24FE"/>
    <w:rsid w:val="00CF287F"/>
    <w:rsid w:val="00CF35D0"/>
    <w:rsid w:val="00CF392D"/>
    <w:rsid w:val="00CF3A99"/>
    <w:rsid w:val="00CF3B57"/>
    <w:rsid w:val="00CF3DD5"/>
    <w:rsid w:val="00CF444E"/>
    <w:rsid w:val="00CF4AF7"/>
    <w:rsid w:val="00CF4D20"/>
    <w:rsid w:val="00CF51A5"/>
    <w:rsid w:val="00CF6473"/>
    <w:rsid w:val="00CF73F8"/>
    <w:rsid w:val="00CF7928"/>
    <w:rsid w:val="00CF7CA2"/>
    <w:rsid w:val="00D00911"/>
    <w:rsid w:val="00D00A8E"/>
    <w:rsid w:val="00D00DAF"/>
    <w:rsid w:val="00D00DE0"/>
    <w:rsid w:val="00D00F79"/>
    <w:rsid w:val="00D012BF"/>
    <w:rsid w:val="00D01760"/>
    <w:rsid w:val="00D01A10"/>
    <w:rsid w:val="00D02345"/>
    <w:rsid w:val="00D0368E"/>
    <w:rsid w:val="00D03AC3"/>
    <w:rsid w:val="00D03D2D"/>
    <w:rsid w:val="00D03E7B"/>
    <w:rsid w:val="00D0401A"/>
    <w:rsid w:val="00D043AA"/>
    <w:rsid w:val="00D047E0"/>
    <w:rsid w:val="00D04B9F"/>
    <w:rsid w:val="00D04D43"/>
    <w:rsid w:val="00D04FFB"/>
    <w:rsid w:val="00D055FE"/>
    <w:rsid w:val="00D058E9"/>
    <w:rsid w:val="00D05A6C"/>
    <w:rsid w:val="00D0612A"/>
    <w:rsid w:val="00D06C3E"/>
    <w:rsid w:val="00D07DE9"/>
    <w:rsid w:val="00D1060D"/>
    <w:rsid w:val="00D10D14"/>
    <w:rsid w:val="00D10E7C"/>
    <w:rsid w:val="00D11182"/>
    <w:rsid w:val="00D1137B"/>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A58"/>
    <w:rsid w:val="00D21BB5"/>
    <w:rsid w:val="00D21FFC"/>
    <w:rsid w:val="00D222FD"/>
    <w:rsid w:val="00D223B6"/>
    <w:rsid w:val="00D223E8"/>
    <w:rsid w:val="00D224E1"/>
    <w:rsid w:val="00D2279F"/>
    <w:rsid w:val="00D22BFE"/>
    <w:rsid w:val="00D22DC8"/>
    <w:rsid w:val="00D23882"/>
    <w:rsid w:val="00D23FAF"/>
    <w:rsid w:val="00D2477B"/>
    <w:rsid w:val="00D2522A"/>
    <w:rsid w:val="00D2531C"/>
    <w:rsid w:val="00D25428"/>
    <w:rsid w:val="00D2553E"/>
    <w:rsid w:val="00D2587F"/>
    <w:rsid w:val="00D26D0F"/>
    <w:rsid w:val="00D270AC"/>
    <w:rsid w:val="00D2742F"/>
    <w:rsid w:val="00D2754F"/>
    <w:rsid w:val="00D2761B"/>
    <w:rsid w:val="00D277C5"/>
    <w:rsid w:val="00D279D9"/>
    <w:rsid w:val="00D306A6"/>
    <w:rsid w:val="00D312DC"/>
    <w:rsid w:val="00D31B84"/>
    <w:rsid w:val="00D31C6A"/>
    <w:rsid w:val="00D31D74"/>
    <w:rsid w:val="00D31E80"/>
    <w:rsid w:val="00D31EDF"/>
    <w:rsid w:val="00D31FF9"/>
    <w:rsid w:val="00D3207F"/>
    <w:rsid w:val="00D32149"/>
    <w:rsid w:val="00D32256"/>
    <w:rsid w:val="00D32A27"/>
    <w:rsid w:val="00D32ABC"/>
    <w:rsid w:val="00D33FA4"/>
    <w:rsid w:val="00D349E3"/>
    <w:rsid w:val="00D34B25"/>
    <w:rsid w:val="00D34C7F"/>
    <w:rsid w:val="00D34F4E"/>
    <w:rsid w:val="00D357F3"/>
    <w:rsid w:val="00D35C0E"/>
    <w:rsid w:val="00D36891"/>
    <w:rsid w:val="00D36FBF"/>
    <w:rsid w:val="00D373A8"/>
    <w:rsid w:val="00D379A5"/>
    <w:rsid w:val="00D37BB3"/>
    <w:rsid w:val="00D401BE"/>
    <w:rsid w:val="00D4043A"/>
    <w:rsid w:val="00D40DB0"/>
    <w:rsid w:val="00D41093"/>
    <w:rsid w:val="00D4172E"/>
    <w:rsid w:val="00D41858"/>
    <w:rsid w:val="00D422DB"/>
    <w:rsid w:val="00D42AC2"/>
    <w:rsid w:val="00D43C06"/>
    <w:rsid w:val="00D4498E"/>
    <w:rsid w:val="00D4515F"/>
    <w:rsid w:val="00D451E8"/>
    <w:rsid w:val="00D45A45"/>
    <w:rsid w:val="00D466C9"/>
    <w:rsid w:val="00D46AF9"/>
    <w:rsid w:val="00D47275"/>
    <w:rsid w:val="00D47DE7"/>
    <w:rsid w:val="00D517F6"/>
    <w:rsid w:val="00D51A15"/>
    <w:rsid w:val="00D51AB7"/>
    <w:rsid w:val="00D51E15"/>
    <w:rsid w:val="00D52B7E"/>
    <w:rsid w:val="00D52E2F"/>
    <w:rsid w:val="00D52F59"/>
    <w:rsid w:val="00D53445"/>
    <w:rsid w:val="00D53855"/>
    <w:rsid w:val="00D53A2E"/>
    <w:rsid w:val="00D53E3E"/>
    <w:rsid w:val="00D54620"/>
    <w:rsid w:val="00D54868"/>
    <w:rsid w:val="00D54FA2"/>
    <w:rsid w:val="00D55017"/>
    <w:rsid w:val="00D5564C"/>
    <w:rsid w:val="00D55893"/>
    <w:rsid w:val="00D55904"/>
    <w:rsid w:val="00D55913"/>
    <w:rsid w:val="00D5614E"/>
    <w:rsid w:val="00D5616F"/>
    <w:rsid w:val="00D564B8"/>
    <w:rsid w:val="00D57940"/>
    <w:rsid w:val="00D60327"/>
    <w:rsid w:val="00D60D6D"/>
    <w:rsid w:val="00D61384"/>
    <w:rsid w:val="00D61526"/>
    <w:rsid w:val="00D61C39"/>
    <w:rsid w:val="00D61F81"/>
    <w:rsid w:val="00D620A6"/>
    <w:rsid w:val="00D623C0"/>
    <w:rsid w:val="00D628E3"/>
    <w:rsid w:val="00D62BE6"/>
    <w:rsid w:val="00D63359"/>
    <w:rsid w:val="00D63766"/>
    <w:rsid w:val="00D63912"/>
    <w:rsid w:val="00D63923"/>
    <w:rsid w:val="00D6451B"/>
    <w:rsid w:val="00D64B57"/>
    <w:rsid w:val="00D651A1"/>
    <w:rsid w:val="00D651F2"/>
    <w:rsid w:val="00D656F7"/>
    <w:rsid w:val="00D65DEA"/>
    <w:rsid w:val="00D65FA5"/>
    <w:rsid w:val="00D6650F"/>
    <w:rsid w:val="00D66579"/>
    <w:rsid w:val="00D66638"/>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DDD"/>
    <w:rsid w:val="00D72E9D"/>
    <w:rsid w:val="00D73249"/>
    <w:rsid w:val="00D73419"/>
    <w:rsid w:val="00D73881"/>
    <w:rsid w:val="00D73CA9"/>
    <w:rsid w:val="00D746E2"/>
    <w:rsid w:val="00D74BED"/>
    <w:rsid w:val="00D751B7"/>
    <w:rsid w:val="00D7524B"/>
    <w:rsid w:val="00D75396"/>
    <w:rsid w:val="00D759C0"/>
    <w:rsid w:val="00D75E99"/>
    <w:rsid w:val="00D764D1"/>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0A0"/>
    <w:rsid w:val="00D9021B"/>
    <w:rsid w:val="00D90683"/>
    <w:rsid w:val="00D90B2A"/>
    <w:rsid w:val="00D913F5"/>
    <w:rsid w:val="00D91483"/>
    <w:rsid w:val="00D914E1"/>
    <w:rsid w:val="00D915C8"/>
    <w:rsid w:val="00D9310B"/>
    <w:rsid w:val="00D931F3"/>
    <w:rsid w:val="00D93726"/>
    <w:rsid w:val="00D93C6E"/>
    <w:rsid w:val="00D93F3E"/>
    <w:rsid w:val="00D9405B"/>
    <w:rsid w:val="00D944AC"/>
    <w:rsid w:val="00D94942"/>
    <w:rsid w:val="00D94E5D"/>
    <w:rsid w:val="00D95145"/>
    <w:rsid w:val="00D957F9"/>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286D"/>
    <w:rsid w:val="00DA2969"/>
    <w:rsid w:val="00DA29B7"/>
    <w:rsid w:val="00DA2E5F"/>
    <w:rsid w:val="00DA337C"/>
    <w:rsid w:val="00DA38B8"/>
    <w:rsid w:val="00DA3C42"/>
    <w:rsid w:val="00DA4842"/>
    <w:rsid w:val="00DA4C97"/>
    <w:rsid w:val="00DA52BB"/>
    <w:rsid w:val="00DA54BF"/>
    <w:rsid w:val="00DA5989"/>
    <w:rsid w:val="00DA5AB1"/>
    <w:rsid w:val="00DA5F9D"/>
    <w:rsid w:val="00DA69B2"/>
    <w:rsid w:val="00DA7462"/>
    <w:rsid w:val="00DA7AD0"/>
    <w:rsid w:val="00DA7AF9"/>
    <w:rsid w:val="00DB02D7"/>
    <w:rsid w:val="00DB03CC"/>
    <w:rsid w:val="00DB03DE"/>
    <w:rsid w:val="00DB12D4"/>
    <w:rsid w:val="00DB1445"/>
    <w:rsid w:val="00DB14F0"/>
    <w:rsid w:val="00DB1745"/>
    <w:rsid w:val="00DB19BB"/>
    <w:rsid w:val="00DB1AFF"/>
    <w:rsid w:val="00DB1B36"/>
    <w:rsid w:val="00DB219A"/>
    <w:rsid w:val="00DB229C"/>
    <w:rsid w:val="00DB24D7"/>
    <w:rsid w:val="00DB2970"/>
    <w:rsid w:val="00DB3165"/>
    <w:rsid w:val="00DB420F"/>
    <w:rsid w:val="00DB4292"/>
    <w:rsid w:val="00DB4BDD"/>
    <w:rsid w:val="00DB4DB7"/>
    <w:rsid w:val="00DB5023"/>
    <w:rsid w:val="00DB50C4"/>
    <w:rsid w:val="00DB5767"/>
    <w:rsid w:val="00DB69FA"/>
    <w:rsid w:val="00DB6E46"/>
    <w:rsid w:val="00DB7117"/>
    <w:rsid w:val="00DB7760"/>
    <w:rsid w:val="00DB7987"/>
    <w:rsid w:val="00DB7B1F"/>
    <w:rsid w:val="00DB7DD4"/>
    <w:rsid w:val="00DC00B4"/>
    <w:rsid w:val="00DC0195"/>
    <w:rsid w:val="00DC0759"/>
    <w:rsid w:val="00DC0954"/>
    <w:rsid w:val="00DC0DF8"/>
    <w:rsid w:val="00DC158A"/>
    <w:rsid w:val="00DC15BA"/>
    <w:rsid w:val="00DC18CD"/>
    <w:rsid w:val="00DC1A68"/>
    <w:rsid w:val="00DC246C"/>
    <w:rsid w:val="00DC2536"/>
    <w:rsid w:val="00DC30B8"/>
    <w:rsid w:val="00DC38DD"/>
    <w:rsid w:val="00DC478F"/>
    <w:rsid w:val="00DC61AC"/>
    <w:rsid w:val="00DC62E5"/>
    <w:rsid w:val="00DC6D70"/>
    <w:rsid w:val="00DC6F33"/>
    <w:rsid w:val="00DC7349"/>
    <w:rsid w:val="00DC7389"/>
    <w:rsid w:val="00DC7402"/>
    <w:rsid w:val="00DD02BE"/>
    <w:rsid w:val="00DD0374"/>
    <w:rsid w:val="00DD06F4"/>
    <w:rsid w:val="00DD0909"/>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31C"/>
    <w:rsid w:val="00DD6A79"/>
    <w:rsid w:val="00DD6B19"/>
    <w:rsid w:val="00DD72A0"/>
    <w:rsid w:val="00DD735D"/>
    <w:rsid w:val="00DD7F7D"/>
    <w:rsid w:val="00DE0159"/>
    <w:rsid w:val="00DE064A"/>
    <w:rsid w:val="00DE0683"/>
    <w:rsid w:val="00DE0686"/>
    <w:rsid w:val="00DE082D"/>
    <w:rsid w:val="00DE1410"/>
    <w:rsid w:val="00DE20C6"/>
    <w:rsid w:val="00DE3119"/>
    <w:rsid w:val="00DE322B"/>
    <w:rsid w:val="00DE3C24"/>
    <w:rsid w:val="00DE3FF0"/>
    <w:rsid w:val="00DE4105"/>
    <w:rsid w:val="00DE4681"/>
    <w:rsid w:val="00DE5189"/>
    <w:rsid w:val="00DE5D88"/>
    <w:rsid w:val="00DE63F8"/>
    <w:rsid w:val="00DE6EB8"/>
    <w:rsid w:val="00DE7108"/>
    <w:rsid w:val="00DE74AC"/>
    <w:rsid w:val="00DE78D1"/>
    <w:rsid w:val="00DE78FF"/>
    <w:rsid w:val="00DF0263"/>
    <w:rsid w:val="00DF0588"/>
    <w:rsid w:val="00DF080F"/>
    <w:rsid w:val="00DF0EB4"/>
    <w:rsid w:val="00DF158B"/>
    <w:rsid w:val="00DF1733"/>
    <w:rsid w:val="00DF193C"/>
    <w:rsid w:val="00DF1DE6"/>
    <w:rsid w:val="00DF1E36"/>
    <w:rsid w:val="00DF236B"/>
    <w:rsid w:val="00DF2A91"/>
    <w:rsid w:val="00DF2E4C"/>
    <w:rsid w:val="00DF3653"/>
    <w:rsid w:val="00DF3889"/>
    <w:rsid w:val="00DF3C0D"/>
    <w:rsid w:val="00DF3CC9"/>
    <w:rsid w:val="00DF4451"/>
    <w:rsid w:val="00DF49FF"/>
    <w:rsid w:val="00DF4FFB"/>
    <w:rsid w:val="00DF5236"/>
    <w:rsid w:val="00DF5D50"/>
    <w:rsid w:val="00DF5E00"/>
    <w:rsid w:val="00DF6232"/>
    <w:rsid w:val="00DF651F"/>
    <w:rsid w:val="00DF6F43"/>
    <w:rsid w:val="00DF6F5C"/>
    <w:rsid w:val="00DF71EA"/>
    <w:rsid w:val="00DF73D1"/>
    <w:rsid w:val="00DF747E"/>
    <w:rsid w:val="00DF752F"/>
    <w:rsid w:val="00DF76A2"/>
    <w:rsid w:val="00DF786B"/>
    <w:rsid w:val="00E00B7A"/>
    <w:rsid w:val="00E0133D"/>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344A"/>
    <w:rsid w:val="00E33B29"/>
    <w:rsid w:val="00E33B62"/>
    <w:rsid w:val="00E3403D"/>
    <w:rsid w:val="00E343FD"/>
    <w:rsid w:val="00E344BD"/>
    <w:rsid w:val="00E3452B"/>
    <w:rsid w:val="00E3497A"/>
    <w:rsid w:val="00E34E6C"/>
    <w:rsid w:val="00E353E2"/>
    <w:rsid w:val="00E3588F"/>
    <w:rsid w:val="00E35F21"/>
    <w:rsid w:val="00E36345"/>
    <w:rsid w:val="00E36C86"/>
    <w:rsid w:val="00E36CEB"/>
    <w:rsid w:val="00E37A28"/>
    <w:rsid w:val="00E400C7"/>
    <w:rsid w:val="00E40430"/>
    <w:rsid w:val="00E40690"/>
    <w:rsid w:val="00E40AEB"/>
    <w:rsid w:val="00E40C7A"/>
    <w:rsid w:val="00E40E82"/>
    <w:rsid w:val="00E41141"/>
    <w:rsid w:val="00E4143A"/>
    <w:rsid w:val="00E424C8"/>
    <w:rsid w:val="00E4251D"/>
    <w:rsid w:val="00E43D00"/>
    <w:rsid w:val="00E443B4"/>
    <w:rsid w:val="00E445E4"/>
    <w:rsid w:val="00E44EDE"/>
    <w:rsid w:val="00E457CB"/>
    <w:rsid w:val="00E4588C"/>
    <w:rsid w:val="00E45D47"/>
    <w:rsid w:val="00E45DE4"/>
    <w:rsid w:val="00E45E63"/>
    <w:rsid w:val="00E45EEE"/>
    <w:rsid w:val="00E46CEF"/>
    <w:rsid w:val="00E4759C"/>
    <w:rsid w:val="00E50A7B"/>
    <w:rsid w:val="00E50B0B"/>
    <w:rsid w:val="00E50B8A"/>
    <w:rsid w:val="00E50C57"/>
    <w:rsid w:val="00E510FE"/>
    <w:rsid w:val="00E514BA"/>
    <w:rsid w:val="00E519B2"/>
    <w:rsid w:val="00E51E25"/>
    <w:rsid w:val="00E51F38"/>
    <w:rsid w:val="00E5205B"/>
    <w:rsid w:val="00E521AE"/>
    <w:rsid w:val="00E529A3"/>
    <w:rsid w:val="00E52C48"/>
    <w:rsid w:val="00E52C56"/>
    <w:rsid w:val="00E52EB3"/>
    <w:rsid w:val="00E52F22"/>
    <w:rsid w:val="00E5303A"/>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88B"/>
    <w:rsid w:val="00E57FB0"/>
    <w:rsid w:val="00E600CB"/>
    <w:rsid w:val="00E601BE"/>
    <w:rsid w:val="00E60843"/>
    <w:rsid w:val="00E60A44"/>
    <w:rsid w:val="00E60B5F"/>
    <w:rsid w:val="00E60DC8"/>
    <w:rsid w:val="00E613AE"/>
    <w:rsid w:val="00E61429"/>
    <w:rsid w:val="00E6151F"/>
    <w:rsid w:val="00E61ABB"/>
    <w:rsid w:val="00E61FD7"/>
    <w:rsid w:val="00E623E6"/>
    <w:rsid w:val="00E62C76"/>
    <w:rsid w:val="00E630A2"/>
    <w:rsid w:val="00E630C0"/>
    <w:rsid w:val="00E63107"/>
    <w:rsid w:val="00E6312C"/>
    <w:rsid w:val="00E634E6"/>
    <w:rsid w:val="00E63B21"/>
    <w:rsid w:val="00E63B43"/>
    <w:rsid w:val="00E63B74"/>
    <w:rsid w:val="00E63DCE"/>
    <w:rsid w:val="00E64700"/>
    <w:rsid w:val="00E65074"/>
    <w:rsid w:val="00E65926"/>
    <w:rsid w:val="00E65E70"/>
    <w:rsid w:val="00E66087"/>
    <w:rsid w:val="00E66D79"/>
    <w:rsid w:val="00E66FF9"/>
    <w:rsid w:val="00E6706F"/>
    <w:rsid w:val="00E673A2"/>
    <w:rsid w:val="00E67856"/>
    <w:rsid w:val="00E679C8"/>
    <w:rsid w:val="00E70314"/>
    <w:rsid w:val="00E70779"/>
    <w:rsid w:val="00E7209B"/>
    <w:rsid w:val="00E724B8"/>
    <w:rsid w:val="00E724E7"/>
    <w:rsid w:val="00E72B41"/>
    <w:rsid w:val="00E7347B"/>
    <w:rsid w:val="00E73792"/>
    <w:rsid w:val="00E73D03"/>
    <w:rsid w:val="00E73D78"/>
    <w:rsid w:val="00E746F7"/>
    <w:rsid w:val="00E7471C"/>
    <w:rsid w:val="00E7498A"/>
    <w:rsid w:val="00E7514E"/>
    <w:rsid w:val="00E75C0C"/>
    <w:rsid w:val="00E76537"/>
    <w:rsid w:val="00E77784"/>
    <w:rsid w:val="00E7781A"/>
    <w:rsid w:val="00E77AF5"/>
    <w:rsid w:val="00E8067B"/>
    <w:rsid w:val="00E81151"/>
    <w:rsid w:val="00E820F4"/>
    <w:rsid w:val="00E8212D"/>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6EB"/>
    <w:rsid w:val="00E90784"/>
    <w:rsid w:val="00E9168A"/>
    <w:rsid w:val="00E9170E"/>
    <w:rsid w:val="00E919FB"/>
    <w:rsid w:val="00E9241E"/>
    <w:rsid w:val="00E92460"/>
    <w:rsid w:val="00E92E62"/>
    <w:rsid w:val="00E93804"/>
    <w:rsid w:val="00E9429D"/>
    <w:rsid w:val="00E95434"/>
    <w:rsid w:val="00E96467"/>
    <w:rsid w:val="00E966DA"/>
    <w:rsid w:val="00E96948"/>
    <w:rsid w:val="00E97262"/>
    <w:rsid w:val="00E9737B"/>
    <w:rsid w:val="00E97A3F"/>
    <w:rsid w:val="00E97F0A"/>
    <w:rsid w:val="00EA0100"/>
    <w:rsid w:val="00EA041B"/>
    <w:rsid w:val="00EA0999"/>
    <w:rsid w:val="00EA0BCE"/>
    <w:rsid w:val="00EA0BEA"/>
    <w:rsid w:val="00EA17BC"/>
    <w:rsid w:val="00EA2744"/>
    <w:rsid w:val="00EA37B9"/>
    <w:rsid w:val="00EA39F7"/>
    <w:rsid w:val="00EA3DC2"/>
    <w:rsid w:val="00EA434E"/>
    <w:rsid w:val="00EA438A"/>
    <w:rsid w:val="00EA4757"/>
    <w:rsid w:val="00EA560B"/>
    <w:rsid w:val="00EA5669"/>
    <w:rsid w:val="00EA5CC6"/>
    <w:rsid w:val="00EA6384"/>
    <w:rsid w:val="00EA63EF"/>
    <w:rsid w:val="00EA6719"/>
    <w:rsid w:val="00EA793F"/>
    <w:rsid w:val="00EA7B3D"/>
    <w:rsid w:val="00EA7CBF"/>
    <w:rsid w:val="00EB0A89"/>
    <w:rsid w:val="00EB1573"/>
    <w:rsid w:val="00EB1910"/>
    <w:rsid w:val="00EB2564"/>
    <w:rsid w:val="00EB2D83"/>
    <w:rsid w:val="00EB2E97"/>
    <w:rsid w:val="00EB3416"/>
    <w:rsid w:val="00EB41CD"/>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634"/>
    <w:rsid w:val="00EC0E84"/>
    <w:rsid w:val="00EC16E2"/>
    <w:rsid w:val="00EC17C1"/>
    <w:rsid w:val="00EC1A8A"/>
    <w:rsid w:val="00EC1CE7"/>
    <w:rsid w:val="00EC1DAE"/>
    <w:rsid w:val="00EC26F1"/>
    <w:rsid w:val="00EC3C94"/>
    <w:rsid w:val="00EC4336"/>
    <w:rsid w:val="00EC44DF"/>
    <w:rsid w:val="00EC4525"/>
    <w:rsid w:val="00EC4FB9"/>
    <w:rsid w:val="00EC527C"/>
    <w:rsid w:val="00EC5393"/>
    <w:rsid w:val="00EC5741"/>
    <w:rsid w:val="00EC5DA3"/>
    <w:rsid w:val="00EC6014"/>
    <w:rsid w:val="00EC6565"/>
    <w:rsid w:val="00EC690B"/>
    <w:rsid w:val="00EC6AB0"/>
    <w:rsid w:val="00EC6B3E"/>
    <w:rsid w:val="00EC72BA"/>
    <w:rsid w:val="00EC73DE"/>
    <w:rsid w:val="00EC7637"/>
    <w:rsid w:val="00EC7C07"/>
    <w:rsid w:val="00EC7CF2"/>
    <w:rsid w:val="00ED046C"/>
    <w:rsid w:val="00ED053A"/>
    <w:rsid w:val="00ED0653"/>
    <w:rsid w:val="00ED0AF0"/>
    <w:rsid w:val="00ED1F03"/>
    <w:rsid w:val="00ED249D"/>
    <w:rsid w:val="00ED2D27"/>
    <w:rsid w:val="00ED3347"/>
    <w:rsid w:val="00ED3441"/>
    <w:rsid w:val="00ED3860"/>
    <w:rsid w:val="00ED3954"/>
    <w:rsid w:val="00ED43A2"/>
    <w:rsid w:val="00ED4967"/>
    <w:rsid w:val="00ED5140"/>
    <w:rsid w:val="00ED538C"/>
    <w:rsid w:val="00ED5684"/>
    <w:rsid w:val="00ED5771"/>
    <w:rsid w:val="00ED587F"/>
    <w:rsid w:val="00ED5964"/>
    <w:rsid w:val="00ED623F"/>
    <w:rsid w:val="00ED63A5"/>
    <w:rsid w:val="00ED69BA"/>
    <w:rsid w:val="00ED6C5A"/>
    <w:rsid w:val="00ED6D1A"/>
    <w:rsid w:val="00ED72E9"/>
    <w:rsid w:val="00ED732E"/>
    <w:rsid w:val="00ED77F0"/>
    <w:rsid w:val="00ED7FBC"/>
    <w:rsid w:val="00EE0253"/>
    <w:rsid w:val="00EE0297"/>
    <w:rsid w:val="00EE0455"/>
    <w:rsid w:val="00EE0B43"/>
    <w:rsid w:val="00EE1258"/>
    <w:rsid w:val="00EE13DA"/>
    <w:rsid w:val="00EE1668"/>
    <w:rsid w:val="00EE1C10"/>
    <w:rsid w:val="00EE1EDB"/>
    <w:rsid w:val="00EE24E2"/>
    <w:rsid w:val="00EE2D51"/>
    <w:rsid w:val="00EE366D"/>
    <w:rsid w:val="00EE459F"/>
    <w:rsid w:val="00EE5454"/>
    <w:rsid w:val="00EE59B5"/>
    <w:rsid w:val="00EE5FA9"/>
    <w:rsid w:val="00EE5FB7"/>
    <w:rsid w:val="00EE6783"/>
    <w:rsid w:val="00EE678B"/>
    <w:rsid w:val="00EE6BF7"/>
    <w:rsid w:val="00EE7B54"/>
    <w:rsid w:val="00EE7C47"/>
    <w:rsid w:val="00EE7C88"/>
    <w:rsid w:val="00EE7C8B"/>
    <w:rsid w:val="00EF0209"/>
    <w:rsid w:val="00EF05B8"/>
    <w:rsid w:val="00EF05F5"/>
    <w:rsid w:val="00EF0A58"/>
    <w:rsid w:val="00EF0EA4"/>
    <w:rsid w:val="00EF16B3"/>
    <w:rsid w:val="00EF1E97"/>
    <w:rsid w:val="00EF2436"/>
    <w:rsid w:val="00EF2547"/>
    <w:rsid w:val="00EF2B2B"/>
    <w:rsid w:val="00EF2E1C"/>
    <w:rsid w:val="00EF2FD6"/>
    <w:rsid w:val="00EF326A"/>
    <w:rsid w:val="00EF338A"/>
    <w:rsid w:val="00EF397D"/>
    <w:rsid w:val="00EF3A16"/>
    <w:rsid w:val="00EF3AE4"/>
    <w:rsid w:val="00EF427A"/>
    <w:rsid w:val="00EF42BD"/>
    <w:rsid w:val="00EF45DF"/>
    <w:rsid w:val="00EF46F3"/>
    <w:rsid w:val="00EF4944"/>
    <w:rsid w:val="00EF4952"/>
    <w:rsid w:val="00EF498F"/>
    <w:rsid w:val="00EF4A0F"/>
    <w:rsid w:val="00EF4A42"/>
    <w:rsid w:val="00EF510C"/>
    <w:rsid w:val="00EF55C4"/>
    <w:rsid w:val="00EF57BC"/>
    <w:rsid w:val="00EF5CA8"/>
    <w:rsid w:val="00EF6737"/>
    <w:rsid w:val="00EF6784"/>
    <w:rsid w:val="00EF688A"/>
    <w:rsid w:val="00EF6A03"/>
    <w:rsid w:val="00EF6DC2"/>
    <w:rsid w:val="00EF7506"/>
    <w:rsid w:val="00EF760B"/>
    <w:rsid w:val="00EF7BF4"/>
    <w:rsid w:val="00EF7E3B"/>
    <w:rsid w:val="00F0030F"/>
    <w:rsid w:val="00F00674"/>
    <w:rsid w:val="00F00720"/>
    <w:rsid w:val="00F01657"/>
    <w:rsid w:val="00F01E67"/>
    <w:rsid w:val="00F02744"/>
    <w:rsid w:val="00F02BD9"/>
    <w:rsid w:val="00F02BFD"/>
    <w:rsid w:val="00F02CC2"/>
    <w:rsid w:val="00F02D25"/>
    <w:rsid w:val="00F03C3D"/>
    <w:rsid w:val="00F03E3E"/>
    <w:rsid w:val="00F0435D"/>
    <w:rsid w:val="00F04580"/>
    <w:rsid w:val="00F04ECA"/>
    <w:rsid w:val="00F04F8B"/>
    <w:rsid w:val="00F05E59"/>
    <w:rsid w:val="00F06E19"/>
    <w:rsid w:val="00F06F84"/>
    <w:rsid w:val="00F076E7"/>
    <w:rsid w:val="00F07A86"/>
    <w:rsid w:val="00F07AA1"/>
    <w:rsid w:val="00F07D64"/>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1773A"/>
    <w:rsid w:val="00F20742"/>
    <w:rsid w:val="00F20931"/>
    <w:rsid w:val="00F20ECE"/>
    <w:rsid w:val="00F213A0"/>
    <w:rsid w:val="00F21B4B"/>
    <w:rsid w:val="00F21D54"/>
    <w:rsid w:val="00F21EF4"/>
    <w:rsid w:val="00F22E87"/>
    <w:rsid w:val="00F23113"/>
    <w:rsid w:val="00F23255"/>
    <w:rsid w:val="00F23393"/>
    <w:rsid w:val="00F23759"/>
    <w:rsid w:val="00F24644"/>
    <w:rsid w:val="00F24B27"/>
    <w:rsid w:val="00F252E7"/>
    <w:rsid w:val="00F258EB"/>
    <w:rsid w:val="00F25947"/>
    <w:rsid w:val="00F262D6"/>
    <w:rsid w:val="00F2674A"/>
    <w:rsid w:val="00F26CCF"/>
    <w:rsid w:val="00F26CD3"/>
    <w:rsid w:val="00F26F33"/>
    <w:rsid w:val="00F270BB"/>
    <w:rsid w:val="00F273D5"/>
    <w:rsid w:val="00F2748A"/>
    <w:rsid w:val="00F300A8"/>
    <w:rsid w:val="00F302C6"/>
    <w:rsid w:val="00F30400"/>
    <w:rsid w:val="00F3073A"/>
    <w:rsid w:val="00F3079E"/>
    <w:rsid w:val="00F30FFD"/>
    <w:rsid w:val="00F31289"/>
    <w:rsid w:val="00F32208"/>
    <w:rsid w:val="00F332E0"/>
    <w:rsid w:val="00F3399B"/>
    <w:rsid w:val="00F33F4B"/>
    <w:rsid w:val="00F346ED"/>
    <w:rsid w:val="00F34913"/>
    <w:rsid w:val="00F34945"/>
    <w:rsid w:val="00F34E1E"/>
    <w:rsid w:val="00F34EF0"/>
    <w:rsid w:val="00F3570C"/>
    <w:rsid w:val="00F363A4"/>
    <w:rsid w:val="00F36765"/>
    <w:rsid w:val="00F368FF"/>
    <w:rsid w:val="00F37068"/>
    <w:rsid w:val="00F371AF"/>
    <w:rsid w:val="00F3721B"/>
    <w:rsid w:val="00F37F3F"/>
    <w:rsid w:val="00F401BF"/>
    <w:rsid w:val="00F40992"/>
    <w:rsid w:val="00F40D0F"/>
    <w:rsid w:val="00F40F72"/>
    <w:rsid w:val="00F41457"/>
    <w:rsid w:val="00F41596"/>
    <w:rsid w:val="00F41717"/>
    <w:rsid w:val="00F41899"/>
    <w:rsid w:val="00F41D8B"/>
    <w:rsid w:val="00F420CA"/>
    <w:rsid w:val="00F42121"/>
    <w:rsid w:val="00F42429"/>
    <w:rsid w:val="00F424B3"/>
    <w:rsid w:val="00F428B1"/>
    <w:rsid w:val="00F428B4"/>
    <w:rsid w:val="00F42FC5"/>
    <w:rsid w:val="00F4345D"/>
    <w:rsid w:val="00F4387B"/>
    <w:rsid w:val="00F45921"/>
    <w:rsid w:val="00F45B91"/>
    <w:rsid w:val="00F46639"/>
    <w:rsid w:val="00F46E5D"/>
    <w:rsid w:val="00F476FD"/>
    <w:rsid w:val="00F50183"/>
    <w:rsid w:val="00F50D92"/>
    <w:rsid w:val="00F51585"/>
    <w:rsid w:val="00F5161D"/>
    <w:rsid w:val="00F51765"/>
    <w:rsid w:val="00F51A51"/>
    <w:rsid w:val="00F51BC6"/>
    <w:rsid w:val="00F51CB4"/>
    <w:rsid w:val="00F52324"/>
    <w:rsid w:val="00F52950"/>
    <w:rsid w:val="00F52C9D"/>
    <w:rsid w:val="00F533F1"/>
    <w:rsid w:val="00F53C88"/>
    <w:rsid w:val="00F53ED8"/>
    <w:rsid w:val="00F55185"/>
    <w:rsid w:val="00F554B1"/>
    <w:rsid w:val="00F55679"/>
    <w:rsid w:val="00F558F7"/>
    <w:rsid w:val="00F561E3"/>
    <w:rsid w:val="00F565E6"/>
    <w:rsid w:val="00F56AFA"/>
    <w:rsid w:val="00F575E2"/>
    <w:rsid w:val="00F57747"/>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4F40"/>
    <w:rsid w:val="00F65A3C"/>
    <w:rsid w:val="00F66009"/>
    <w:rsid w:val="00F66282"/>
    <w:rsid w:val="00F6639E"/>
    <w:rsid w:val="00F670E9"/>
    <w:rsid w:val="00F67AF1"/>
    <w:rsid w:val="00F67D8B"/>
    <w:rsid w:val="00F700AE"/>
    <w:rsid w:val="00F701C5"/>
    <w:rsid w:val="00F7084F"/>
    <w:rsid w:val="00F70961"/>
    <w:rsid w:val="00F70A8F"/>
    <w:rsid w:val="00F70E45"/>
    <w:rsid w:val="00F70F53"/>
    <w:rsid w:val="00F71263"/>
    <w:rsid w:val="00F71397"/>
    <w:rsid w:val="00F7237C"/>
    <w:rsid w:val="00F72389"/>
    <w:rsid w:val="00F72516"/>
    <w:rsid w:val="00F72FB4"/>
    <w:rsid w:val="00F734AA"/>
    <w:rsid w:val="00F735E5"/>
    <w:rsid w:val="00F736AF"/>
    <w:rsid w:val="00F73B82"/>
    <w:rsid w:val="00F73E80"/>
    <w:rsid w:val="00F7469C"/>
    <w:rsid w:val="00F7492E"/>
    <w:rsid w:val="00F74945"/>
    <w:rsid w:val="00F749A3"/>
    <w:rsid w:val="00F74AE8"/>
    <w:rsid w:val="00F75348"/>
    <w:rsid w:val="00F753DD"/>
    <w:rsid w:val="00F76C11"/>
    <w:rsid w:val="00F77021"/>
    <w:rsid w:val="00F770AB"/>
    <w:rsid w:val="00F77E61"/>
    <w:rsid w:val="00F80221"/>
    <w:rsid w:val="00F80A0A"/>
    <w:rsid w:val="00F80C81"/>
    <w:rsid w:val="00F812CA"/>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B5D"/>
    <w:rsid w:val="00F86F01"/>
    <w:rsid w:val="00F87144"/>
    <w:rsid w:val="00F87634"/>
    <w:rsid w:val="00F87948"/>
    <w:rsid w:val="00F87953"/>
    <w:rsid w:val="00F87C13"/>
    <w:rsid w:val="00F87C5A"/>
    <w:rsid w:val="00F87E29"/>
    <w:rsid w:val="00F87F18"/>
    <w:rsid w:val="00F87F68"/>
    <w:rsid w:val="00F90C4D"/>
    <w:rsid w:val="00F90C56"/>
    <w:rsid w:val="00F9167D"/>
    <w:rsid w:val="00F91CB2"/>
    <w:rsid w:val="00F927E8"/>
    <w:rsid w:val="00F9289C"/>
    <w:rsid w:val="00F92DC8"/>
    <w:rsid w:val="00F92FC1"/>
    <w:rsid w:val="00F932D1"/>
    <w:rsid w:val="00F932E2"/>
    <w:rsid w:val="00F93DBC"/>
    <w:rsid w:val="00F93E41"/>
    <w:rsid w:val="00F93F1B"/>
    <w:rsid w:val="00F94644"/>
    <w:rsid w:val="00F94A5D"/>
    <w:rsid w:val="00F952E4"/>
    <w:rsid w:val="00F9537B"/>
    <w:rsid w:val="00F96079"/>
    <w:rsid w:val="00F963FC"/>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5EC2"/>
    <w:rsid w:val="00FA60C1"/>
    <w:rsid w:val="00FA65A3"/>
    <w:rsid w:val="00FA6F8B"/>
    <w:rsid w:val="00FA727C"/>
    <w:rsid w:val="00FA7A30"/>
    <w:rsid w:val="00FB033F"/>
    <w:rsid w:val="00FB0880"/>
    <w:rsid w:val="00FB12E3"/>
    <w:rsid w:val="00FB1570"/>
    <w:rsid w:val="00FB193B"/>
    <w:rsid w:val="00FB1B51"/>
    <w:rsid w:val="00FB1DFB"/>
    <w:rsid w:val="00FB1FBC"/>
    <w:rsid w:val="00FB27B7"/>
    <w:rsid w:val="00FB282A"/>
    <w:rsid w:val="00FB35E3"/>
    <w:rsid w:val="00FB45F5"/>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196"/>
    <w:rsid w:val="00FC157D"/>
    <w:rsid w:val="00FC15EB"/>
    <w:rsid w:val="00FC162C"/>
    <w:rsid w:val="00FC18DC"/>
    <w:rsid w:val="00FC1CCE"/>
    <w:rsid w:val="00FC2477"/>
    <w:rsid w:val="00FC2AC4"/>
    <w:rsid w:val="00FC2F73"/>
    <w:rsid w:val="00FC325F"/>
    <w:rsid w:val="00FC3A9B"/>
    <w:rsid w:val="00FC3AE1"/>
    <w:rsid w:val="00FC3BC5"/>
    <w:rsid w:val="00FC3DFC"/>
    <w:rsid w:val="00FC3EF4"/>
    <w:rsid w:val="00FC431B"/>
    <w:rsid w:val="00FC434C"/>
    <w:rsid w:val="00FC472C"/>
    <w:rsid w:val="00FC4FDF"/>
    <w:rsid w:val="00FC5CF4"/>
    <w:rsid w:val="00FC5D64"/>
    <w:rsid w:val="00FC6A39"/>
    <w:rsid w:val="00FC6DB9"/>
    <w:rsid w:val="00FC6EDA"/>
    <w:rsid w:val="00FC76A9"/>
    <w:rsid w:val="00FC76BF"/>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6145"/>
    <w:rsid w:val="00FD6DC5"/>
    <w:rsid w:val="00FD72B1"/>
    <w:rsid w:val="00FD798D"/>
    <w:rsid w:val="00FD7B9B"/>
    <w:rsid w:val="00FE141E"/>
    <w:rsid w:val="00FE144E"/>
    <w:rsid w:val="00FE1768"/>
    <w:rsid w:val="00FE1DD5"/>
    <w:rsid w:val="00FE21A6"/>
    <w:rsid w:val="00FE24F4"/>
    <w:rsid w:val="00FE2560"/>
    <w:rsid w:val="00FE2E21"/>
    <w:rsid w:val="00FE2FD5"/>
    <w:rsid w:val="00FE305B"/>
    <w:rsid w:val="00FE35D0"/>
    <w:rsid w:val="00FE42ED"/>
    <w:rsid w:val="00FE4306"/>
    <w:rsid w:val="00FE43AD"/>
    <w:rsid w:val="00FE4E06"/>
    <w:rsid w:val="00FE55A7"/>
    <w:rsid w:val="00FE5C5A"/>
    <w:rsid w:val="00FE6432"/>
    <w:rsid w:val="00FE72A0"/>
    <w:rsid w:val="00FE76EB"/>
    <w:rsid w:val="00FF0050"/>
    <w:rsid w:val="00FF045F"/>
    <w:rsid w:val="00FF0650"/>
    <w:rsid w:val="00FF0AF0"/>
    <w:rsid w:val="00FF1367"/>
    <w:rsid w:val="00FF13D4"/>
    <w:rsid w:val="00FF1481"/>
    <w:rsid w:val="00FF2053"/>
    <w:rsid w:val="00FF2FAA"/>
    <w:rsid w:val="00FF3726"/>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0B1F7ED5"/>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xmsonormal">
    <w:name w:val="x_msonormal"/>
    <w:basedOn w:val="Normal"/>
    <w:rsid w:val="00F87948"/>
    <w:rPr>
      <w:rFonts w:ascii="Calibri" w:eastAsiaTheme="minorHAnsi" w:hAnsi="Calibri" w:cs="Calibri"/>
      <w:sz w:val="22"/>
      <w:szCs w:val="22"/>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CB10AE"/>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CB10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3989146">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487030">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413851">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08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6075649">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619268">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https://www.supersociedades.gov.co/nuestra_entidad/normatividad/normatividad_conceptos_juridicos/OFICIO_220-014111_DE_2015.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DFF2BF20-A439-4235-AEA7-37653DFE9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25</Pages>
  <Words>13266</Words>
  <Characters>72968</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2021-01-20T13:01:00Z</cp:lastPrinted>
  <dcterms:created xsi:type="dcterms:W3CDTF">2022-06-22T14:11:00Z</dcterms:created>
  <dcterms:modified xsi:type="dcterms:W3CDTF">2022-06-22T14:11:00Z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