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72F4B" w14:textId="77777777" w:rsidR="002560B1" w:rsidRPr="000E2595" w:rsidRDefault="002560B1" w:rsidP="002560B1">
      <w:pPr>
        <w:spacing w:after="0"/>
        <w:jc w:val="both"/>
        <w:rPr>
          <w:rFonts w:ascii="Verdana" w:eastAsia="Geomanist Light" w:hAnsi="Verdana" w:cs="Arial"/>
          <w:b/>
          <w:bCs/>
          <w:sz w:val="20"/>
          <w:szCs w:val="20"/>
          <w:lang w:val="es-MX"/>
        </w:rPr>
      </w:pPr>
      <w:bookmarkStart w:id="0" w:name="_Hlk143780582"/>
      <w:r w:rsidRPr="000E2595">
        <w:rPr>
          <w:rFonts w:ascii="Verdana" w:eastAsia="Calibri" w:hAnsi="Verdana" w:cs="Arial"/>
          <w:b/>
          <w:bCs/>
          <w:color w:val="000000" w:themeColor="text1"/>
          <w:sz w:val="20"/>
          <w:szCs w:val="20"/>
          <w:lang w:val="es-ES_tradnl"/>
        </w:rPr>
        <w:t xml:space="preserve">DOCUMENTO TIPO DE CONVENIOS SOLIDARIOS </w:t>
      </w:r>
      <w:r w:rsidRPr="000E2595">
        <w:rPr>
          <w:rFonts w:ascii="Verdana" w:eastAsia="Geomanist Light" w:hAnsi="Verdana" w:cs="Arial"/>
          <w:b/>
          <w:bCs/>
          <w:sz w:val="20"/>
          <w:szCs w:val="20"/>
          <w:lang w:val="es-MX"/>
        </w:rPr>
        <w:t>– Fundamento normativo</w:t>
      </w:r>
    </w:p>
    <w:p w14:paraId="4E2E20B8" w14:textId="77777777" w:rsidR="002560B1" w:rsidRPr="000E2595" w:rsidRDefault="002560B1" w:rsidP="002560B1">
      <w:pPr>
        <w:spacing w:after="0"/>
        <w:rPr>
          <w:rFonts w:ascii="Verdana" w:eastAsia="Geomanist Light" w:hAnsi="Verdana" w:cs="Arial"/>
          <w:sz w:val="20"/>
          <w:szCs w:val="20"/>
          <w:lang w:val="es-MX"/>
        </w:rPr>
      </w:pPr>
    </w:p>
    <w:p w14:paraId="5AAA0FD4" w14:textId="77777777" w:rsidR="002560B1" w:rsidRPr="000E2595" w:rsidRDefault="002560B1" w:rsidP="002560B1">
      <w:pPr>
        <w:spacing w:after="0"/>
        <w:jc w:val="both"/>
        <w:rPr>
          <w:rFonts w:ascii="Verdana" w:eastAsia="Geomanist Light" w:hAnsi="Verdana" w:cs="Arial"/>
          <w:sz w:val="20"/>
          <w:szCs w:val="20"/>
          <w:lang w:val="es-MX"/>
        </w:rPr>
      </w:pPr>
      <w:r w:rsidRPr="000E2595">
        <w:rPr>
          <w:rFonts w:ascii="Verdana" w:hAnsi="Verdana" w:cs="Arial"/>
          <w:spacing w:val="2"/>
          <w:sz w:val="20"/>
          <w:szCs w:val="20"/>
          <w:lang w:eastAsia="es-CO"/>
        </w:rPr>
        <w:t xml:space="preserve">Con fundamento en la competencia prevista en el artículo 1 de la Ley 2022 de 2020, el 30 de junio de 2023 la Agencia Nacional de Contratación Pública </w:t>
      </w:r>
      <w:r w:rsidRPr="000E2595">
        <w:rPr>
          <w:rFonts w:ascii="Verdana" w:eastAsia="Calibri" w:hAnsi="Verdana" w:cs="Arial"/>
          <w:color w:val="000000"/>
          <w:sz w:val="20"/>
          <w:szCs w:val="20"/>
          <w:lang w:val="es-ES" w:eastAsia="es-ES"/>
        </w:rPr>
        <w:t>– Colombia Compra Eficiente</w:t>
      </w:r>
      <w:r w:rsidRPr="000E2595">
        <w:rPr>
          <w:rFonts w:ascii="Verdana" w:hAnsi="Verdana" w:cs="Arial"/>
          <w:spacing w:val="2"/>
          <w:sz w:val="20"/>
          <w:szCs w:val="20"/>
          <w:lang w:eastAsia="es-CO"/>
        </w:rPr>
        <w:t xml:space="preserve"> expidió la Resolución 358 de 2023 “</w:t>
      </w:r>
      <w:hyperlink r:id="rId10" w:history="1">
        <w:r w:rsidRPr="000E2595">
          <w:rPr>
            <w:rFonts w:ascii="Verdana" w:hAnsi="Verdana" w:cs="Arial"/>
            <w:spacing w:val="2"/>
            <w:sz w:val="20"/>
            <w:szCs w:val="20"/>
            <w:lang w:eastAsia="es-CO"/>
          </w:rPr>
          <w:t>Por la cual se adopta el documento tipo para la contratación directa de convenios solidarios para la ejecución de obras hasta la menor cuantía con organismos de acción comunal”. </w:t>
        </w:r>
      </w:hyperlink>
      <w:r w:rsidRPr="000E2595">
        <w:rPr>
          <w:rFonts w:ascii="Verdana" w:hAnsi="Verdana" w:cs="Arial"/>
          <w:spacing w:val="2"/>
          <w:sz w:val="20"/>
          <w:szCs w:val="20"/>
          <w:lang w:eastAsia="es-CO"/>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492E21D0" w14:textId="77777777" w:rsidR="002560B1" w:rsidRPr="000E2595" w:rsidRDefault="002560B1" w:rsidP="002560B1">
      <w:pPr>
        <w:shd w:val="clear" w:color="auto" w:fill="FFFFFF"/>
        <w:spacing w:after="0" w:line="276" w:lineRule="auto"/>
        <w:jc w:val="both"/>
        <w:textAlignment w:val="baseline"/>
        <w:rPr>
          <w:rFonts w:ascii="Verdana" w:hAnsi="Verdana" w:cs="Arial"/>
          <w:spacing w:val="2"/>
          <w:sz w:val="20"/>
          <w:szCs w:val="20"/>
          <w:lang w:eastAsia="es-CO"/>
        </w:rPr>
      </w:pPr>
    </w:p>
    <w:p w14:paraId="09D414B0" w14:textId="77777777" w:rsidR="002560B1" w:rsidRPr="000E2595" w:rsidRDefault="002560B1" w:rsidP="002560B1">
      <w:pPr>
        <w:shd w:val="clear" w:color="auto" w:fill="FFFFFF"/>
        <w:spacing w:after="0" w:line="276" w:lineRule="auto"/>
        <w:jc w:val="both"/>
        <w:textAlignment w:val="baseline"/>
        <w:rPr>
          <w:rFonts w:ascii="Verdana" w:hAnsi="Verdana"/>
          <w:b/>
          <w:bCs/>
          <w:color w:val="000000"/>
          <w:sz w:val="20"/>
          <w:szCs w:val="20"/>
        </w:rPr>
      </w:pPr>
      <w:r w:rsidRPr="000E2595">
        <w:rPr>
          <w:rFonts w:ascii="Verdana" w:eastAsia="Calibri" w:hAnsi="Verdana" w:cs="Arial"/>
          <w:b/>
          <w:bCs/>
          <w:color w:val="000000" w:themeColor="text1"/>
          <w:sz w:val="20"/>
          <w:szCs w:val="20"/>
          <w:lang w:val="es-ES_tradnl"/>
        </w:rPr>
        <w:t xml:space="preserve">DOCUMENTO TIPO DE CONVENIOS SOLIDARIOS </w:t>
      </w:r>
      <w:r w:rsidRPr="000E2595">
        <w:rPr>
          <w:rFonts w:ascii="Verdana" w:hAnsi="Verdana"/>
          <w:b/>
          <w:bCs/>
          <w:color w:val="000000"/>
          <w:sz w:val="20"/>
          <w:szCs w:val="20"/>
        </w:rPr>
        <w:t>– Inalterabilidad</w:t>
      </w:r>
    </w:p>
    <w:p w14:paraId="282A5B89" w14:textId="77777777" w:rsidR="002560B1" w:rsidRPr="000E2595" w:rsidRDefault="002560B1" w:rsidP="002560B1">
      <w:pPr>
        <w:shd w:val="clear" w:color="auto" w:fill="FFFFFF"/>
        <w:spacing w:after="0" w:line="276" w:lineRule="auto"/>
        <w:jc w:val="both"/>
        <w:textAlignment w:val="baseline"/>
        <w:rPr>
          <w:rFonts w:ascii="Verdana" w:hAnsi="Verdana" w:cs="Arial"/>
          <w:spacing w:val="2"/>
          <w:sz w:val="20"/>
          <w:szCs w:val="20"/>
          <w:lang w:eastAsia="es-CO"/>
        </w:rPr>
      </w:pPr>
    </w:p>
    <w:p w14:paraId="7C066810" w14:textId="77777777" w:rsidR="002560B1" w:rsidRPr="000E2595" w:rsidRDefault="002560B1" w:rsidP="002560B1">
      <w:pPr>
        <w:shd w:val="clear" w:color="auto" w:fill="FFFFFF"/>
        <w:spacing w:after="0" w:line="276" w:lineRule="auto"/>
        <w:jc w:val="both"/>
        <w:textAlignment w:val="baseline"/>
        <w:rPr>
          <w:rFonts w:ascii="Verdana" w:hAnsi="Verdana" w:cs="Arial"/>
          <w:bCs/>
          <w:sz w:val="20"/>
          <w:szCs w:val="20"/>
          <w:lang w:val="es-ES_tradnl"/>
        </w:rPr>
      </w:pPr>
      <w:r w:rsidRPr="000E2595">
        <w:rPr>
          <w:rFonts w:ascii="Verdana" w:hAnsi="Verdana" w:cs="Arial"/>
          <w:spacing w:val="2"/>
          <w:sz w:val="20"/>
          <w:szCs w:val="20"/>
          <w:lang w:eastAsia="es-CO"/>
        </w:rPr>
        <w:t xml:space="preserve">El artículo 3 </w:t>
      </w:r>
      <w:r w:rsidRPr="000E2595">
        <w:rPr>
          <w:rFonts w:ascii="Verdana" w:hAnsi="Verdana" w:cs="Arial"/>
          <w:bCs/>
          <w:sz w:val="20"/>
          <w:szCs w:val="20"/>
          <w:lang w:val="es-ES_tradnl"/>
        </w:rPr>
        <w:t xml:space="preserve">dispone la inalterabilidad de los documentos tipo </w:t>
      </w:r>
      <w:r w:rsidRPr="000E2595">
        <w:rPr>
          <w:rFonts w:ascii="Verdana" w:eastAsia="Calibri" w:hAnsi="Verdana" w:cs="Arial"/>
          <w:sz w:val="20"/>
          <w:szCs w:val="20"/>
          <w:lang w:val="es-ES" w:eastAsia="es-MX"/>
        </w:rPr>
        <w:t>para la contratación directa de convenios solidarios para la ejecución de obras hasta la menor cuantía con organismos de acción comunal</w:t>
      </w:r>
      <w:r w:rsidRPr="000E2595">
        <w:rPr>
          <w:rFonts w:ascii="Verdana" w:hAnsi="Verdana" w:cs="Arial"/>
          <w:bCs/>
          <w:sz w:val="20"/>
          <w:szCs w:val="20"/>
          <w:lang w:val="es-ES_tradnl"/>
        </w:rPr>
        <w:t xml:space="preserve">. En consecuencia,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podrán variarse algunos de los requisitos fijados en ellos. </w:t>
      </w:r>
    </w:p>
    <w:p w14:paraId="1CD33117" w14:textId="77777777" w:rsidR="002560B1" w:rsidRPr="000E2595" w:rsidRDefault="002560B1" w:rsidP="002560B1">
      <w:pPr>
        <w:shd w:val="clear" w:color="auto" w:fill="FFFFFF"/>
        <w:spacing w:after="0" w:line="276" w:lineRule="auto"/>
        <w:jc w:val="both"/>
        <w:textAlignment w:val="baseline"/>
        <w:rPr>
          <w:rFonts w:ascii="Verdana" w:hAnsi="Verdana" w:cs="Arial"/>
          <w:bCs/>
          <w:sz w:val="20"/>
          <w:szCs w:val="20"/>
          <w:lang w:val="es-ES_tradnl"/>
        </w:rPr>
      </w:pPr>
    </w:p>
    <w:p w14:paraId="6D0EFBD2" w14:textId="77777777" w:rsidR="002560B1" w:rsidRPr="000E2595" w:rsidRDefault="002560B1" w:rsidP="002560B1">
      <w:pPr>
        <w:spacing w:after="0" w:line="240" w:lineRule="auto"/>
        <w:jc w:val="both"/>
        <w:rPr>
          <w:rFonts w:ascii="Verdana" w:eastAsia="Calibri" w:hAnsi="Verdana" w:cs="Arial"/>
          <w:b/>
          <w:bCs/>
          <w:sz w:val="20"/>
          <w:szCs w:val="20"/>
          <w:lang w:eastAsia="es-ES_tradnl"/>
        </w:rPr>
      </w:pPr>
      <w:r w:rsidRPr="000E2595">
        <w:rPr>
          <w:rFonts w:ascii="Verdana" w:eastAsia="Calibri" w:hAnsi="Verdana" w:cs="Arial"/>
          <w:b/>
          <w:bCs/>
          <w:color w:val="000000" w:themeColor="text1"/>
          <w:sz w:val="20"/>
          <w:szCs w:val="20"/>
          <w:lang w:val="es-ES_tradnl"/>
        </w:rPr>
        <w:t xml:space="preserve">DOCUMENTO TIPO DE CONVENIOS SOLIDARIOS – Giro y manejo de los recursos – Cláusulas 7 y 8 – Minuta Tipo – Alternativas – Administración de los recursos – Entidad financiera </w:t>
      </w:r>
    </w:p>
    <w:p w14:paraId="72DF9787" w14:textId="77777777" w:rsidR="002560B1" w:rsidRPr="000E2595" w:rsidRDefault="002560B1" w:rsidP="002560B1">
      <w:pPr>
        <w:shd w:val="clear" w:color="auto" w:fill="FFFFFF"/>
        <w:spacing w:after="0" w:line="276" w:lineRule="auto"/>
        <w:jc w:val="both"/>
        <w:textAlignment w:val="baseline"/>
        <w:rPr>
          <w:rFonts w:ascii="Verdana" w:hAnsi="Verdana" w:cs="Arial"/>
          <w:bCs/>
          <w:sz w:val="20"/>
          <w:szCs w:val="20"/>
          <w:lang w:val="es-ES_tradnl"/>
        </w:rPr>
      </w:pPr>
    </w:p>
    <w:p w14:paraId="06C51A25" w14:textId="77777777" w:rsidR="002560B1" w:rsidRPr="000E2595" w:rsidRDefault="002560B1" w:rsidP="002560B1">
      <w:pPr>
        <w:tabs>
          <w:tab w:val="left" w:pos="0"/>
        </w:tabs>
        <w:spacing w:after="0" w:line="276" w:lineRule="auto"/>
        <w:jc w:val="both"/>
        <w:rPr>
          <w:rFonts w:ascii="Verdana" w:hAnsi="Verdana" w:cs="Arial"/>
          <w:bCs/>
          <w:color w:val="000000" w:themeColor="text1"/>
          <w:sz w:val="20"/>
          <w:szCs w:val="20"/>
          <w:lang w:eastAsia="es-MX"/>
        </w:rPr>
      </w:pPr>
      <w:r w:rsidRPr="000E2595">
        <w:rPr>
          <w:rFonts w:ascii="Verdana" w:eastAsia="Calibri" w:hAnsi="Verdana" w:cs="Arial"/>
          <w:color w:val="000000" w:themeColor="text1"/>
          <w:sz w:val="20"/>
          <w:szCs w:val="20"/>
          <w:lang w:val="es-ES_tradnl"/>
        </w:rPr>
        <w:t xml:space="preserve">El documento tipo para la contratación directa de convenios solidarios para la ejecución de obras hasta la menor cuantía con organismos de acción comunal, contempla tres (3) opciones para el giro de los recursos por parte de la Entidad Estatal, de acuerdo con la cláusula 7 de la Minuta Tipo. De esta manera, el giro de los recursos puede realizarse, según una de las siguientes opciones por la que opte la entidad estatal: i) a una cuenta de manejo conjunto a nombre del convenio – opción 1, ii) a un patrimonio autónomo irrevocable al nombre del convenio – opción 2, o iii) a cuenta bancaria a nombre del convenio – opción 3. </w:t>
      </w:r>
    </w:p>
    <w:p w14:paraId="5288B9E8" w14:textId="77777777" w:rsidR="002560B1" w:rsidRPr="000E2595" w:rsidRDefault="002560B1" w:rsidP="002560B1">
      <w:pPr>
        <w:pStyle w:val="Prrafodelista"/>
        <w:spacing w:after="0"/>
        <w:contextualSpacing w:val="0"/>
        <w:rPr>
          <w:rFonts w:ascii="Verdana" w:hAnsi="Verdana" w:cs="Arial"/>
          <w:bCs/>
          <w:color w:val="000000" w:themeColor="text1"/>
          <w:sz w:val="20"/>
          <w:szCs w:val="20"/>
          <w:lang w:eastAsia="es-MX"/>
        </w:rPr>
      </w:pPr>
    </w:p>
    <w:p w14:paraId="6250E986" w14:textId="77777777" w:rsidR="002560B1" w:rsidRPr="000E2595" w:rsidRDefault="002560B1" w:rsidP="002560B1">
      <w:pPr>
        <w:spacing w:after="0" w:line="276" w:lineRule="auto"/>
        <w:jc w:val="both"/>
        <w:rPr>
          <w:rFonts w:ascii="Verdana" w:eastAsia="Calibri" w:hAnsi="Verdana" w:cs="Arial"/>
          <w:b/>
          <w:bCs/>
          <w:color w:val="000000" w:themeColor="text1"/>
          <w:sz w:val="20"/>
          <w:szCs w:val="20"/>
          <w:lang w:val="es-ES_tradnl"/>
        </w:rPr>
      </w:pPr>
      <w:r w:rsidRPr="000E2595">
        <w:rPr>
          <w:rFonts w:ascii="Verdana" w:eastAsia="Calibri" w:hAnsi="Verdana" w:cs="Arial"/>
          <w:b/>
          <w:bCs/>
          <w:color w:val="000000" w:themeColor="text1"/>
          <w:sz w:val="20"/>
          <w:szCs w:val="20"/>
          <w:lang w:val="es-ES_tradnl"/>
        </w:rPr>
        <w:t>DOCUMENTO TIPO DE CONVENIOS SOLIDARIOS – Giro y manejo de los recursos – Cláusulas 7 – Opción 1</w:t>
      </w:r>
    </w:p>
    <w:p w14:paraId="551B9744" w14:textId="77777777" w:rsidR="002560B1" w:rsidRPr="000E2595" w:rsidRDefault="002560B1" w:rsidP="002560B1">
      <w:pPr>
        <w:spacing w:after="0" w:line="276" w:lineRule="auto"/>
        <w:jc w:val="both"/>
        <w:rPr>
          <w:rFonts w:ascii="Verdana" w:hAnsi="Verdana" w:cs="Arial"/>
          <w:sz w:val="20"/>
          <w:szCs w:val="20"/>
        </w:rPr>
      </w:pPr>
    </w:p>
    <w:p w14:paraId="1E86E086" w14:textId="77777777" w:rsidR="002560B1" w:rsidRPr="000E2595" w:rsidRDefault="002560B1" w:rsidP="002560B1">
      <w:pPr>
        <w:spacing w:after="0" w:line="276" w:lineRule="auto"/>
        <w:jc w:val="both"/>
        <w:rPr>
          <w:rFonts w:ascii="Verdana" w:hAnsi="Verdana" w:cs="Arial"/>
          <w:sz w:val="20"/>
          <w:szCs w:val="20"/>
        </w:rPr>
      </w:pPr>
      <w:r w:rsidRPr="000E2595">
        <w:rPr>
          <w:rFonts w:ascii="Verdana" w:hAnsi="Verdana" w:cs="Arial"/>
          <w:sz w:val="20"/>
          <w:szCs w:val="20"/>
        </w:rPr>
        <w:t xml:space="preserve">Como se aprecia, el inciso primero de la opción 1 indica parámetros obligatorios que debe incluir la entidad que acoja esa opción. De esta forma, el giro de los recursos se realizará en una cuenta de manejo conjunto a nombre del convenio, que es aquella que permite a la entidad y al OAC gestionar los fondos del convenio de manera compartida. </w:t>
      </w:r>
      <w:r w:rsidRPr="000E2595">
        <w:rPr>
          <w:rFonts w:ascii="Verdana" w:hAnsi="Verdana" w:cs="Arial"/>
          <w:sz w:val="20"/>
          <w:szCs w:val="20"/>
        </w:rPr>
        <w:lastRenderedPageBreak/>
        <w:t>Además, la cláusula de agrega que la misma debe generar rendimientos financieros, y no será posible el sobregiro.</w:t>
      </w:r>
    </w:p>
    <w:p w14:paraId="37603FD5" w14:textId="77777777" w:rsidR="002560B1" w:rsidRPr="000E2595" w:rsidRDefault="002560B1" w:rsidP="002560B1">
      <w:pPr>
        <w:pStyle w:val="Prrafodelista"/>
        <w:spacing w:after="0" w:line="276" w:lineRule="auto"/>
        <w:ind w:left="785"/>
        <w:contextualSpacing w:val="0"/>
        <w:jc w:val="both"/>
        <w:rPr>
          <w:rFonts w:ascii="Verdana" w:hAnsi="Verdana" w:cs="Arial"/>
          <w:sz w:val="20"/>
          <w:szCs w:val="20"/>
        </w:rPr>
      </w:pPr>
      <w:r w:rsidRPr="000E2595">
        <w:rPr>
          <w:rFonts w:ascii="Verdana" w:hAnsi="Verdana" w:cs="Arial"/>
          <w:sz w:val="20"/>
          <w:szCs w:val="20"/>
        </w:rPr>
        <w:t xml:space="preserve"> </w:t>
      </w:r>
    </w:p>
    <w:p w14:paraId="027DAF57" w14:textId="77777777" w:rsidR="002560B1" w:rsidRPr="000E2595" w:rsidRDefault="002560B1" w:rsidP="002560B1">
      <w:pPr>
        <w:spacing w:after="0" w:line="276" w:lineRule="auto"/>
        <w:jc w:val="both"/>
        <w:rPr>
          <w:rFonts w:ascii="Verdana" w:hAnsi="Verdana" w:cs="Arial"/>
          <w:sz w:val="20"/>
          <w:szCs w:val="20"/>
        </w:rPr>
      </w:pPr>
      <w:r w:rsidRPr="000E2595">
        <w:rPr>
          <w:rFonts w:ascii="Verdana" w:hAnsi="Verdana" w:cs="Arial"/>
          <w:sz w:val="20"/>
          <w:szCs w:val="20"/>
        </w:rPr>
        <w:t>Así mismo, la opción señala que en esa cuenta conjunta no se podrá disponer de los recursos de forma electrónica por el OAC, y que para disponer de ellos se requiere la autorización del Representante Legal del OAC y del Interventor y/o Supervisor de la Entidad.</w:t>
      </w:r>
    </w:p>
    <w:p w14:paraId="2ABC51BB" w14:textId="77777777" w:rsidR="002560B1" w:rsidRPr="000E2595" w:rsidRDefault="002560B1" w:rsidP="002560B1">
      <w:pPr>
        <w:pStyle w:val="Prrafodelista"/>
        <w:spacing w:after="0"/>
        <w:contextualSpacing w:val="0"/>
        <w:rPr>
          <w:rFonts w:ascii="Verdana" w:hAnsi="Verdana" w:cs="Arial"/>
          <w:sz w:val="20"/>
          <w:szCs w:val="20"/>
        </w:rPr>
      </w:pPr>
    </w:p>
    <w:p w14:paraId="15984476" w14:textId="77777777" w:rsidR="002560B1" w:rsidRPr="000E2595" w:rsidRDefault="002560B1" w:rsidP="002560B1">
      <w:pPr>
        <w:spacing w:after="0" w:line="276" w:lineRule="auto"/>
        <w:jc w:val="both"/>
        <w:rPr>
          <w:rFonts w:ascii="Verdana" w:hAnsi="Verdana" w:cs="Arial"/>
          <w:sz w:val="20"/>
          <w:szCs w:val="20"/>
        </w:rPr>
      </w:pPr>
      <w:r w:rsidRPr="000E2595">
        <w:rPr>
          <w:rFonts w:ascii="Verdana" w:hAnsi="Verdana" w:cs="Arial"/>
          <w:sz w:val="20"/>
          <w:szCs w:val="20"/>
        </w:rPr>
        <w:t xml:space="preserve">Finalmente, el segundo inciso de la opción 1 dispone que la entidad </w:t>
      </w:r>
      <w:r w:rsidRPr="000E2595">
        <w:rPr>
          <w:rFonts w:ascii="Verdana" w:hAnsi="Verdana" w:cs="Arial"/>
          <w:i/>
          <w:iCs/>
          <w:sz w:val="20"/>
          <w:szCs w:val="20"/>
        </w:rPr>
        <w:t xml:space="preserve">podrá </w:t>
      </w:r>
      <w:r w:rsidRPr="000E2595">
        <w:rPr>
          <w:rFonts w:ascii="Verdana" w:hAnsi="Verdana" w:cs="Arial"/>
          <w:sz w:val="20"/>
          <w:szCs w:val="20"/>
        </w:rPr>
        <w:t xml:space="preserve">señalar opciones propias de los giros en relación con los siguientes aspectos: i) disponibilidad de Plan Anual de Caja – PAC, o ii) soportes que se requieran del Organismo de Acción Comunal OAC para efectuar el giro de los recursos. Este aspecto, es de aquellos que permite que la entidad </w:t>
      </w:r>
      <w:r w:rsidRPr="000E2595">
        <w:rPr>
          <w:rFonts w:ascii="Verdana" w:hAnsi="Verdana" w:cs="Arial"/>
          <w:bCs/>
          <w:sz w:val="20"/>
          <w:szCs w:val="20"/>
          <w:lang w:val="es-ES_tradnl"/>
        </w:rPr>
        <w:t xml:space="preserve">complemente o indique las condiciones que allí se permiten, sin embargo, solo es posible en relación con el PAC y soportes para el giro de los recursos. </w:t>
      </w:r>
    </w:p>
    <w:p w14:paraId="0D871EF7" w14:textId="77777777" w:rsidR="002560B1" w:rsidRPr="000E2595" w:rsidRDefault="002560B1" w:rsidP="002560B1">
      <w:pPr>
        <w:spacing w:after="0" w:line="240" w:lineRule="auto"/>
        <w:ind w:left="1069" w:right="709"/>
        <w:jc w:val="both"/>
        <w:rPr>
          <w:rFonts w:ascii="Verdana" w:eastAsia="Arial" w:hAnsi="Verdana" w:cs="Arial"/>
          <w:sz w:val="20"/>
          <w:szCs w:val="20"/>
          <w:lang w:val="es-MX"/>
        </w:rPr>
      </w:pPr>
    </w:p>
    <w:p w14:paraId="13BB90C5" w14:textId="77777777" w:rsidR="002560B1" w:rsidRPr="000E2595" w:rsidRDefault="002560B1" w:rsidP="002560B1">
      <w:pPr>
        <w:spacing w:after="0" w:line="276" w:lineRule="auto"/>
        <w:jc w:val="both"/>
        <w:rPr>
          <w:rFonts w:ascii="Verdana" w:eastAsia="Calibri" w:hAnsi="Verdana" w:cs="Arial"/>
          <w:b/>
          <w:bCs/>
          <w:color w:val="000000" w:themeColor="text1"/>
          <w:sz w:val="20"/>
          <w:szCs w:val="20"/>
          <w:lang w:val="es-ES_tradnl"/>
        </w:rPr>
      </w:pPr>
      <w:r w:rsidRPr="000E2595">
        <w:rPr>
          <w:rFonts w:ascii="Verdana" w:eastAsia="Calibri" w:hAnsi="Verdana" w:cs="Arial"/>
          <w:b/>
          <w:bCs/>
          <w:color w:val="000000" w:themeColor="text1"/>
          <w:sz w:val="20"/>
          <w:szCs w:val="20"/>
          <w:lang w:val="es-ES_tradnl"/>
        </w:rPr>
        <w:t>DOCUMENTO TIPO DE CONVENIOS SOLIDARIOS – Giro y manejo de los recursos – Cláusulas 8 – Opción 1</w:t>
      </w:r>
    </w:p>
    <w:p w14:paraId="1DADA165" w14:textId="77777777" w:rsidR="002560B1" w:rsidRPr="000E2595" w:rsidRDefault="002560B1" w:rsidP="002560B1">
      <w:pPr>
        <w:spacing w:after="0"/>
        <w:jc w:val="both"/>
        <w:rPr>
          <w:rFonts w:ascii="Verdana" w:hAnsi="Verdana" w:cs="Arial"/>
          <w:sz w:val="20"/>
          <w:szCs w:val="20"/>
        </w:rPr>
      </w:pPr>
    </w:p>
    <w:p w14:paraId="291572A4" w14:textId="77777777" w:rsidR="002560B1" w:rsidRPr="000E2595" w:rsidRDefault="002560B1" w:rsidP="002560B1">
      <w:pPr>
        <w:spacing w:after="0"/>
        <w:jc w:val="both"/>
        <w:rPr>
          <w:rFonts w:ascii="Verdana" w:hAnsi="Verdana" w:cs="Arial"/>
          <w:sz w:val="20"/>
          <w:szCs w:val="20"/>
        </w:rPr>
      </w:pPr>
      <w:r w:rsidRPr="000E2595">
        <w:rPr>
          <w:rFonts w:ascii="Verdana" w:hAnsi="Verdana" w:cs="Arial"/>
          <w:sz w:val="20"/>
          <w:szCs w:val="20"/>
        </w:rPr>
        <w:t xml:space="preserve">El numeral, indica que debe aperturarse una cuenta de “manejo y firmas conjuntas”, lo que implica que lo que deba pagarse con cargo a esa cuenta requiere la firma del Representante Legal del OAC y del Interventor y/o Supervisor de la Entidad. Además, en este numeral de obligatorio cumplimiento se indica que, ningún pago o gravamen que afecte el giro o desembolso podrá darse sin la autorización de este último -Interventor y/o Supervisor de la Entidad. </w:t>
      </w:r>
    </w:p>
    <w:p w14:paraId="36DBB3FA" w14:textId="77777777" w:rsidR="002560B1" w:rsidRPr="000E2595" w:rsidRDefault="002560B1" w:rsidP="002560B1">
      <w:pPr>
        <w:spacing w:after="0"/>
        <w:jc w:val="both"/>
        <w:rPr>
          <w:rFonts w:ascii="Verdana" w:hAnsi="Verdana" w:cs="Arial"/>
          <w:sz w:val="20"/>
          <w:szCs w:val="20"/>
        </w:rPr>
      </w:pPr>
    </w:p>
    <w:p w14:paraId="259452B7" w14:textId="77777777" w:rsidR="002560B1" w:rsidRPr="000E2595" w:rsidRDefault="002560B1" w:rsidP="002560B1">
      <w:pPr>
        <w:spacing w:after="0"/>
        <w:jc w:val="both"/>
        <w:rPr>
          <w:rFonts w:ascii="Verdana" w:eastAsia="Calibri" w:hAnsi="Verdana" w:cs="Arial"/>
          <w:b/>
          <w:bCs/>
          <w:color w:val="000000" w:themeColor="text1"/>
          <w:sz w:val="20"/>
          <w:szCs w:val="20"/>
          <w:lang w:val="es-ES_tradnl"/>
        </w:rPr>
      </w:pPr>
      <w:r w:rsidRPr="000E2595">
        <w:rPr>
          <w:rFonts w:ascii="Verdana" w:eastAsia="Calibri" w:hAnsi="Verdana" w:cs="Arial"/>
          <w:b/>
          <w:bCs/>
          <w:color w:val="000000" w:themeColor="text1"/>
          <w:sz w:val="20"/>
          <w:szCs w:val="20"/>
          <w:lang w:val="es-ES_tradnl"/>
        </w:rPr>
        <w:t>DOCUMENTO TIPO DE CONVENIOS SOLIDARIOS – Giro y manejo de los recursos – Cláusulas 8 – Entidad financiera</w:t>
      </w:r>
    </w:p>
    <w:p w14:paraId="4636089A" w14:textId="77777777" w:rsidR="002560B1" w:rsidRPr="000E2595" w:rsidRDefault="002560B1" w:rsidP="002560B1">
      <w:pPr>
        <w:spacing w:after="0"/>
        <w:jc w:val="both"/>
        <w:rPr>
          <w:rFonts w:ascii="Verdana" w:hAnsi="Verdana" w:cs="Arial"/>
          <w:sz w:val="20"/>
          <w:szCs w:val="20"/>
        </w:rPr>
      </w:pPr>
    </w:p>
    <w:p w14:paraId="21F4D8C9" w14:textId="77777777" w:rsidR="002560B1" w:rsidRPr="002656C7" w:rsidRDefault="002560B1" w:rsidP="002560B1">
      <w:pPr>
        <w:spacing w:after="0" w:line="276" w:lineRule="auto"/>
        <w:jc w:val="both"/>
        <w:rPr>
          <w:rFonts w:ascii="Verdana" w:eastAsia="Calibri" w:hAnsi="Verdana" w:cs="Arial"/>
          <w:sz w:val="20"/>
          <w:szCs w:val="20"/>
          <w:lang w:val="es-ES_tradnl"/>
        </w:rPr>
      </w:pPr>
      <w:r w:rsidRPr="000E2595">
        <w:rPr>
          <w:rFonts w:ascii="Verdana" w:hAnsi="Verdana" w:cs="Arial"/>
          <w:sz w:val="20"/>
          <w:szCs w:val="20"/>
        </w:rPr>
        <w:t>Finalmente, debe indicarse que, el numeral II. del parágrafo 1 de la Cláusula 8 de la Minuta Tipo, señala que la cuenta de manejo conjunto debe ser abierta en una entidad financiera autorizada por la Superintendencia Financiera. En este sentido, la entidad financiera que realizará la administración de los recursos puede ser seleccionada de forma discrecional por la entidad estatal, y en consecuencia para la apertura de la cuenta se observaran los requisitos particulares que exija la entidad financiera seleccionada, y para su manejo, las condiciones establecidas en la Minuta Tipo de Convenio Solidario para la ejecución de obras adoptada por medio de la Resolución 358 de 2023.</w:t>
      </w:r>
    </w:p>
    <w:p w14:paraId="492D4C85" w14:textId="77777777" w:rsidR="002560B1" w:rsidRDefault="002560B1" w:rsidP="002560B1">
      <w:pPr>
        <w:spacing w:after="0" w:line="240" w:lineRule="auto"/>
        <w:rPr>
          <w:rFonts w:ascii="Verdana" w:eastAsia="Geomanist Light" w:hAnsi="Verdana" w:cs="Arial"/>
          <w:lang w:val="es-MX"/>
        </w:rPr>
      </w:pPr>
    </w:p>
    <w:p w14:paraId="2498E895" w14:textId="77777777" w:rsidR="00512908" w:rsidRDefault="00512908" w:rsidP="002560B1">
      <w:pPr>
        <w:spacing w:after="0" w:line="240" w:lineRule="auto"/>
        <w:rPr>
          <w:rFonts w:ascii="Verdana" w:eastAsia="Geomanist Light" w:hAnsi="Verdana" w:cs="Arial"/>
          <w:lang w:val="es-MX"/>
        </w:rPr>
      </w:pPr>
    </w:p>
    <w:p w14:paraId="66B59FFF" w14:textId="77777777" w:rsidR="00512908" w:rsidRDefault="00512908" w:rsidP="002560B1">
      <w:pPr>
        <w:spacing w:after="0" w:line="240" w:lineRule="auto"/>
        <w:rPr>
          <w:rFonts w:ascii="Verdana" w:eastAsia="Geomanist Light" w:hAnsi="Verdana" w:cs="Arial"/>
          <w:lang w:val="es-MX"/>
        </w:rPr>
      </w:pPr>
    </w:p>
    <w:p w14:paraId="70E8745F" w14:textId="77777777" w:rsidR="00512908" w:rsidRDefault="00512908" w:rsidP="002560B1">
      <w:pPr>
        <w:spacing w:after="0" w:line="240" w:lineRule="auto"/>
        <w:rPr>
          <w:rFonts w:ascii="Verdana" w:eastAsia="Geomanist Light" w:hAnsi="Verdana" w:cs="Arial"/>
          <w:lang w:val="es-MX"/>
        </w:rPr>
      </w:pPr>
    </w:p>
    <w:p w14:paraId="4EB1C316" w14:textId="77777777" w:rsidR="00512908" w:rsidRDefault="00512908" w:rsidP="002560B1">
      <w:pPr>
        <w:spacing w:after="0" w:line="240" w:lineRule="auto"/>
        <w:rPr>
          <w:rFonts w:ascii="Verdana" w:eastAsia="Geomanist Light" w:hAnsi="Verdana" w:cs="Arial"/>
          <w:lang w:val="es-MX"/>
        </w:rPr>
      </w:pPr>
    </w:p>
    <w:p w14:paraId="5AF15374" w14:textId="77777777" w:rsidR="00512908" w:rsidRDefault="00512908" w:rsidP="002560B1">
      <w:pPr>
        <w:spacing w:after="0" w:line="240" w:lineRule="auto"/>
        <w:rPr>
          <w:rFonts w:ascii="Verdana" w:eastAsia="Geomanist Light" w:hAnsi="Verdana" w:cs="Arial"/>
          <w:lang w:val="es-MX"/>
        </w:rPr>
      </w:pPr>
    </w:p>
    <w:p w14:paraId="70F8E59F" w14:textId="77777777" w:rsidR="00512908" w:rsidRPr="00D333A8" w:rsidRDefault="00512908" w:rsidP="002560B1">
      <w:pPr>
        <w:spacing w:after="0" w:line="240" w:lineRule="auto"/>
        <w:rPr>
          <w:rFonts w:ascii="Verdana" w:eastAsia="Geomanist Light" w:hAnsi="Verdana" w:cs="Arial"/>
          <w:lang w:val="es-MX"/>
        </w:rPr>
      </w:pPr>
    </w:p>
    <w:p w14:paraId="69DD5851" w14:textId="3767B413" w:rsidR="002560B1" w:rsidRPr="00D333A8" w:rsidRDefault="002560B1" w:rsidP="002560B1">
      <w:pPr>
        <w:spacing w:after="0" w:line="240" w:lineRule="auto"/>
        <w:rPr>
          <w:rFonts w:ascii="Verdana" w:eastAsia="Calibri" w:hAnsi="Verdana" w:cs="Arial"/>
          <w:lang w:val="es-MX" w:eastAsia="es-ES"/>
        </w:rPr>
      </w:pPr>
      <w:r w:rsidRPr="00D333A8">
        <w:rPr>
          <w:rFonts w:ascii="Verdana" w:eastAsia="Geomanist Light" w:hAnsi="Verdana" w:cs="Arial"/>
          <w:lang w:val="es-MX"/>
        </w:rPr>
        <w:lastRenderedPageBreak/>
        <w:t>Bogotá D.C., </w:t>
      </w:r>
      <w:r w:rsidR="0087722E">
        <w:rPr>
          <w:rFonts w:ascii="Verdana" w:eastAsia="Geomanist Light" w:hAnsi="Verdana" w:cs="Arial"/>
          <w:lang w:val="es-MX"/>
        </w:rPr>
        <w:t>28 de febrero de 2025</w:t>
      </w:r>
    </w:p>
    <w:p w14:paraId="6B91F8A2" w14:textId="6C868B1E" w:rsidR="002560B1" w:rsidRPr="00D333A8" w:rsidRDefault="0087722E" w:rsidP="002560B1">
      <w:pPr>
        <w:spacing w:after="0" w:line="240" w:lineRule="auto"/>
        <w:rPr>
          <w:rFonts w:ascii="Verdana" w:eastAsia="Calibri" w:hAnsi="Verdana" w:cs="Arial"/>
          <w:lang w:val="es-MX" w:eastAsia="es-ES"/>
        </w:rPr>
      </w:pPr>
      <w:r w:rsidRPr="0087722E">
        <w:rPr>
          <w:rFonts w:ascii="Verdana" w:eastAsia="Calibri" w:hAnsi="Verdana" w:cs="Arial"/>
          <w:noProof/>
          <w:lang w:val="es-ES" w:eastAsia="es-ES"/>
        </w:rPr>
        <w:drawing>
          <wp:anchor distT="0" distB="0" distL="114300" distR="114300" simplePos="0" relativeHeight="251658240" behindDoc="0" locked="0" layoutInCell="1" allowOverlap="1" wp14:anchorId="086E6AA9" wp14:editId="714EF219">
            <wp:simplePos x="0" y="0"/>
            <wp:positionH relativeFrom="column">
              <wp:posOffset>2548572</wp:posOffset>
            </wp:positionH>
            <wp:positionV relativeFrom="paragraph">
              <wp:posOffset>84455</wp:posOffset>
            </wp:positionV>
            <wp:extent cx="3305199" cy="1066808"/>
            <wp:effectExtent l="0" t="0" r="0" b="0"/>
            <wp:wrapNone/>
            <wp:docPr id="50517915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179159"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305199" cy="1066808"/>
                    </a:xfrm>
                    <a:prstGeom prst="rect">
                      <a:avLst/>
                    </a:prstGeom>
                  </pic:spPr>
                </pic:pic>
              </a:graphicData>
            </a:graphic>
            <wp14:sizeRelH relativeFrom="page">
              <wp14:pctWidth>0</wp14:pctWidth>
            </wp14:sizeRelH>
            <wp14:sizeRelV relativeFrom="page">
              <wp14:pctHeight>0</wp14:pctHeight>
            </wp14:sizeRelV>
          </wp:anchor>
        </w:drawing>
      </w:r>
    </w:p>
    <w:p w14:paraId="069F337B" w14:textId="679DC364" w:rsidR="0087722E" w:rsidRDefault="0087722E" w:rsidP="002560B1">
      <w:pPr>
        <w:spacing w:after="0" w:line="240" w:lineRule="auto"/>
        <w:rPr>
          <w:rFonts w:ascii="Verdana" w:eastAsia="Calibri" w:hAnsi="Verdana" w:cs="Arial"/>
          <w:lang w:val="es-ES" w:eastAsia="es-ES"/>
        </w:rPr>
      </w:pPr>
    </w:p>
    <w:p w14:paraId="5D39B9E2" w14:textId="057B76BB" w:rsidR="0087722E" w:rsidRDefault="0087722E" w:rsidP="002560B1">
      <w:pPr>
        <w:spacing w:after="0" w:line="240" w:lineRule="auto"/>
        <w:rPr>
          <w:rFonts w:ascii="Verdana" w:eastAsia="Calibri" w:hAnsi="Verdana" w:cs="Arial"/>
          <w:lang w:val="es-ES" w:eastAsia="es-ES"/>
        </w:rPr>
      </w:pPr>
    </w:p>
    <w:p w14:paraId="59FC5D8E" w14:textId="2486AA23" w:rsidR="002560B1" w:rsidRPr="00D333A8" w:rsidRDefault="002560B1" w:rsidP="002560B1">
      <w:pPr>
        <w:spacing w:after="0" w:line="240" w:lineRule="auto"/>
        <w:rPr>
          <w:rFonts w:ascii="Verdana" w:hAnsi="Verdana"/>
        </w:rPr>
      </w:pPr>
      <w:r w:rsidRPr="00D333A8">
        <w:rPr>
          <w:rFonts w:ascii="Verdana" w:eastAsia="Calibri" w:hAnsi="Verdana" w:cs="Arial"/>
          <w:lang w:val="es-ES" w:eastAsia="es-ES"/>
        </w:rPr>
        <w:t>Señor</w:t>
      </w:r>
      <w:r>
        <w:rPr>
          <w:rFonts w:ascii="Verdana" w:eastAsia="Calibri" w:hAnsi="Verdana" w:cs="Arial"/>
          <w:lang w:val="es-ES" w:eastAsia="es-ES"/>
        </w:rPr>
        <w:t>a</w:t>
      </w:r>
    </w:p>
    <w:p w14:paraId="419DF06B" w14:textId="77777777" w:rsidR="002560B1" w:rsidRDefault="002560B1" w:rsidP="002560B1">
      <w:pPr>
        <w:spacing w:after="0" w:line="240" w:lineRule="auto"/>
        <w:rPr>
          <w:rFonts w:ascii="Verdana" w:eastAsia="Calibri" w:hAnsi="Verdana" w:cs="Arial"/>
          <w:b/>
          <w:bCs/>
          <w:lang w:eastAsia="es-ES_tradnl"/>
        </w:rPr>
      </w:pPr>
      <w:r>
        <w:rPr>
          <w:rFonts w:ascii="Verdana" w:eastAsia="Calibri" w:hAnsi="Verdana" w:cs="Arial"/>
          <w:b/>
          <w:bCs/>
          <w:lang w:eastAsia="es-ES_tradnl"/>
        </w:rPr>
        <w:t>Adriana Henao</w:t>
      </w:r>
    </w:p>
    <w:p w14:paraId="631D1EEC" w14:textId="77777777" w:rsidR="002560B1" w:rsidRPr="00D333A8" w:rsidRDefault="002560B1" w:rsidP="002560B1">
      <w:pPr>
        <w:spacing w:after="0" w:line="240" w:lineRule="auto"/>
        <w:rPr>
          <w:rFonts w:ascii="Verdana" w:eastAsia="Calibri" w:hAnsi="Verdana" w:cs="Arial"/>
          <w:b/>
          <w:bCs/>
          <w:lang w:val="es-ES" w:eastAsia="es-ES"/>
        </w:rPr>
      </w:pPr>
      <w:r>
        <w:rPr>
          <w:rFonts w:ascii="Verdana" w:eastAsia="Calibri" w:hAnsi="Verdana" w:cs="Arial"/>
          <w:lang w:val="es-ES" w:eastAsia="es-ES"/>
        </w:rPr>
        <w:t>Vista Hermosa, Meta</w:t>
      </w:r>
    </w:p>
    <w:p w14:paraId="6F382CB5" w14:textId="77777777" w:rsidR="002560B1" w:rsidRPr="00D333A8" w:rsidRDefault="002560B1" w:rsidP="002560B1">
      <w:pPr>
        <w:spacing w:after="0" w:line="240" w:lineRule="auto"/>
        <w:rPr>
          <w:rFonts w:ascii="Verdana" w:eastAsia="Calibri" w:hAnsi="Verdana" w:cs="Arial"/>
          <w:b/>
          <w:bCs/>
          <w:lang w:val="es-ES_tradnl" w:eastAsia="es-ES_tradnl"/>
        </w:rPr>
      </w:pPr>
    </w:p>
    <w:p w14:paraId="591807F3" w14:textId="77777777" w:rsidR="002560B1" w:rsidRPr="00D333A8" w:rsidRDefault="002560B1" w:rsidP="002560B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560B1" w:rsidRPr="00D333A8" w14:paraId="17A21533" w14:textId="77777777" w:rsidTr="00107071">
        <w:trPr>
          <w:trHeight w:val="229"/>
        </w:trPr>
        <w:tc>
          <w:tcPr>
            <w:tcW w:w="2689" w:type="dxa"/>
          </w:tcPr>
          <w:p w14:paraId="09F5DA36" w14:textId="77777777" w:rsidR="002560B1" w:rsidRPr="00D333A8" w:rsidRDefault="002560B1" w:rsidP="00107071">
            <w:pPr>
              <w:jc w:val="both"/>
              <w:rPr>
                <w:rFonts w:ascii="Verdana" w:eastAsia="Calibri" w:hAnsi="Verdana" w:cs="Arial"/>
                <w:b/>
                <w:bCs/>
                <w:lang w:val="es-ES_tradnl" w:eastAsia="es-ES_tradnl"/>
              </w:rPr>
            </w:pPr>
          </w:p>
        </w:tc>
        <w:tc>
          <w:tcPr>
            <w:tcW w:w="6100" w:type="dxa"/>
          </w:tcPr>
          <w:p w14:paraId="37C0F06E" w14:textId="77777777" w:rsidR="002560B1" w:rsidRPr="00D333A8" w:rsidRDefault="002560B1" w:rsidP="00107071">
            <w:pPr>
              <w:jc w:val="both"/>
              <w:rPr>
                <w:rFonts w:ascii="Verdana" w:eastAsia="Calibri" w:hAnsi="Verdana" w:cs="Arial"/>
                <w:b/>
                <w:bCs/>
                <w:lang w:val="es-ES" w:eastAsia="es-ES"/>
              </w:rPr>
            </w:pPr>
            <w:r w:rsidRPr="00D333A8">
              <w:rPr>
                <w:rFonts w:ascii="Verdana" w:eastAsia="Calibri" w:hAnsi="Verdana" w:cs="Arial"/>
                <w:b/>
                <w:bCs/>
                <w:lang w:val="es-ES" w:eastAsia="es-ES"/>
              </w:rPr>
              <w:t>Concepto C-1</w:t>
            </w:r>
            <w:r>
              <w:rPr>
                <w:rFonts w:ascii="Verdana" w:eastAsia="Calibri" w:hAnsi="Verdana" w:cs="Arial"/>
                <w:b/>
                <w:bCs/>
                <w:lang w:val="es-ES" w:eastAsia="es-ES"/>
              </w:rPr>
              <w:t>99</w:t>
            </w:r>
            <w:r w:rsidRPr="00D333A8">
              <w:rPr>
                <w:rFonts w:ascii="Verdana" w:eastAsia="Calibri" w:hAnsi="Verdana" w:cs="Arial"/>
                <w:b/>
                <w:bCs/>
                <w:lang w:val="es-ES" w:eastAsia="es-ES"/>
              </w:rPr>
              <w:t xml:space="preserve"> de 2025</w:t>
            </w:r>
          </w:p>
          <w:p w14:paraId="7FD4893E" w14:textId="77777777" w:rsidR="002560B1" w:rsidRPr="00D333A8" w:rsidRDefault="002560B1" w:rsidP="00107071">
            <w:pPr>
              <w:jc w:val="both"/>
              <w:rPr>
                <w:rFonts w:ascii="Verdana" w:eastAsia="Calibri" w:hAnsi="Verdana" w:cs="Arial"/>
                <w:b/>
                <w:bCs/>
                <w:lang w:val="es-ES" w:eastAsia="es-ES"/>
              </w:rPr>
            </w:pPr>
          </w:p>
        </w:tc>
      </w:tr>
      <w:tr w:rsidR="002560B1" w:rsidRPr="00D333A8" w14:paraId="4814657C" w14:textId="77777777" w:rsidTr="00107071">
        <w:trPr>
          <w:trHeight w:val="884"/>
        </w:trPr>
        <w:tc>
          <w:tcPr>
            <w:tcW w:w="2689" w:type="dxa"/>
          </w:tcPr>
          <w:p w14:paraId="4013FACD" w14:textId="77777777" w:rsidR="002560B1" w:rsidRPr="00D333A8" w:rsidRDefault="002560B1" w:rsidP="00107071">
            <w:pPr>
              <w:jc w:val="both"/>
              <w:rPr>
                <w:rFonts w:ascii="Verdana" w:eastAsia="Calibri" w:hAnsi="Verdana" w:cs="Arial"/>
                <w:lang w:val="es-ES_tradnl" w:eastAsia="es-ES_tradnl"/>
              </w:rPr>
            </w:pPr>
            <w:r w:rsidRPr="00D333A8">
              <w:rPr>
                <w:rFonts w:ascii="Verdana" w:eastAsia="Calibri" w:hAnsi="Verdana" w:cs="Arial"/>
                <w:b/>
                <w:lang w:val="es-ES_tradnl" w:eastAsia="es-ES_tradnl"/>
              </w:rPr>
              <w:t>Temas:</w:t>
            </w:r>
            <w:r w:rsidRPr="00D333A8">
              <w:rPr>
                <w:rFonts w:ascii="Verdana" w:eastAsia="Calibri" w:hAnsi="Verdana" w:cs="Arial"/>
                <w:lang w:val="es-ES_tradnl" w:eastAsia="es-ES_tradnl"/>
              </w:rPr>
              <w:t xml:space="preserve">                   </w:t>
            </w:r>
          </w:p>
        </w:tc>
        <w:tc>
          <w:tcPr>
            <w:tcW w:w="6100" w:type="dxa"/>
          </w:tcPr>
          <w:p w14:paraId="598969EE" w14:textId="77777777" w:rsidR="002560B1" w:rsidRPr="001707FB" w:rsidRDefault="002560B1" w:rsidP="00107071">
            <w:pPr>
              <w:shd w:val="clear" w:color="auto" w:fill="FFFFFF"/>
              <w:spacing w:line="276" w:lineRule="auto"/>
              <w:jc w:val="both"/>
              <w:textAlignment w:val="baseline"/>
              <w:rPr>
                <w:rFonts w:ascii="Verdana" w:hAnsi="Verdana"/>
                <w:color w:val="000000"/>
              </w:rPr>
            </w:pPr>
            <w:r w:rsidRPr="001707FB">
              <w:rPr>
                <w:rFonts w:ascii="Arial" w:eastAsia="Calibri" w:hAnsi="Arial" w:cs="Arial"/>
                <w:color w:val="000000" w:themeColor="text1"/>
                <w:lang w:val="es-ES_tradnl"/>
              </w:rPr>
              <w:t xml:space="preserve">DOCUMENTO TIPO DE CONVENIOS SOLIDARIOS </w:t>
            </w:r>
            <w:r w:rsidRPr="001707FB">
              <w:rPr>
                <w:rFonts w:ascii="Verdana" w:eastAsia="Geomanist Light" w:hAnsi="Verdana" w:cs="Arial"/>
                <w:lang w:val="es-MX"/>
              </w:rPr>
              <w:t xml:space="preserve">– Fundamento normativo / </w:t>
            </w:r>
            <w:r w:rsidRPr="001707FB">
              <w:rPr>
                <w:rFonts w:ascii="Arial" w:eastAsia="Calibri" w:hAnsi="Arial" w:cs="Arial"/>
                <w:color w:val="000000" w:themeColor="text1"/>
                <w:lang w:val="es-ES_tradnl"/>
              </w:rPr>
              <w:t xml:space="preserve">DOCUMENTO TIPO DE CONVENIOS SOLIDARIOS </w:t>
            </w:r>
            <w:r w:rsidRPr="00D333A8">
              <w:rPr>
                <w:rFonts w:ascii="Verdana" w:hAnsi="Verdana"/>
                <w:color w:val="000000"/>
              </w:rPr>
              <w:t>–</w:t>
            </w:r>
            <w:r w:rsidRPr="001707FB">
              <w:rPr>
                <w:rFonts w:ascii="Verdana" w:hAnsi="Verdana"/>
                <w:color w:val="000000"/>
              </w:rPr>
              <w:t xml:space="preserve"> Inalterabilidad</w:t>
            </w:r>
            <w:r>
              <w:rPr>
                <w:rFonts w:ascii="Verdana" w:hAnsi="Verdana"/>
                <w:color w:val="000000"/>
              </w:rPr>
              <w:t xml:space="preserve"> </w:t>
            </w:r>
            <w:r w:rsidRPr="001707FB">
              <w:rPr>
                <w:rFonts w:ascii="Verdana" w:eastAsia="Geomanist Light" w:hAnsi="Verdana" w:cs="Arial"/>
                <w:lang w:val="es-MX"/>
              </w:rPr>
              <w:t xml:space="preserve">/ </w:t>
            </w:r>
            <w:r w:rsidRPr="001707FB">
              <w:rPr>
                <w:rFonts w:ascii="Arial" w:eastAsia="Calibri" w:hAnsi="Arial" w:cs="Arial"/>
                <w:color w:val="000000" w:themeColor="text1"/>
                <w:lang w:val="es-ES_tradnl"/>
              </w:rPr>
              <w:t>DOCUMENTO TIPO DE CONVENIOS SOLIDARIOS – Giro y manejo de los recursos – Cláusulas 7 y 8 – Minuta Tipo – Alternativas – Administración de los recursos – Entidad financiera / DOCUMENTO TIPO DE CONVENIOS SOLIDARIOS – Giro y manejo de los recursos – Cláusulas 7 – Opción 1 / DOCUMENTO TIPO DE CONVENIOS SOLIDARIOS – Giro y manejo de los recursos – Cláusulas 8 – Opción 1 / DOCUMENTO TIPO DE CONVENIOS SOLIDARIOS – Giro y manejo de los recursos – Cláusulas 8 – Entidad financiera</w:t>
            </w:r>
          </w:p>
          <w:p w14:paraId="07B1B90A" w14:textId="77777777" w:rsidR="002560B1" w:rsidRPr="00D333A8" w:rsidRDefault="002560B1" w:rsidP="00107071">
            <w:pPr>
              <w:jc w:val="both"/>
              <w:rPr>
                <w:rFonts w:ascii="Verdana" w:eastAsia="Calibri" w:hAnsi="Verdana" w:cs="Arial"/>
                <w:lang w:val="es-ES" w:eastAsia="es-ES"/>
              </w:rPr>
            </w:pPr>
          </w:p>
        </w:tc>
      </w:tr>
      <w:tr w:rsidR="002560B1" w:rsidRPr="00D333A8" w14:paraId="5B8E2D0D" w14:textId="77777777" w:rsidTr="00107071">
        <w:tc>
          <w:tcPr>
            <w:tcW w:w="2689" w:type="dxa"/>
          </w:tcPr>
          <w:p w14:paraId="5186305F" w14:textId="77777777" w:rsidR="002560B1" w:rsidRPr="00D333A8" w:rsidRDefault="002560B1" w:rsidP="00107071">
            <w:pPr>
              <w:jc w:val="both"/>
              <w:rPr>
                <w:rFonts w:ascii="Verdana" w:eastAsia="Calibri" w:hAnsi="Verdana" w:cs="Arial"/>
                <w:b/>
                <w:lang w:val="es-ES_tradnl" w:eastAsia="es-ES_tradnl"/>
              </w:rPr>
            </w:pPr>
            <w:r w:rsidRPr="00D333A8">
              <w:rPr>
                <w:rFonts w:ascii="Verdana" w:eastAsia="Calibri" w:hAnsi="Verdana" w:cs="Arial"/>
                <w:b/>
                <w:lang w:val="es-ES_tradnl" w:eastAsia="es-ES_tradnl"/>
              </w:rPr>
              <w:t>Radicación:</w:t>
            </w:r>
            <w:r w:rsidRPr="00D333A8">
              <w:rPr>
                <w:rFonts w:ascii="Verdana" w:eastAsia="Calibri" w:hAnsi="Verdana" w:cs="Arial"/>
                <w:lang w:val="es-ES_tradnl" w:eastAsia="es-ES_tradnl"/>
              </w:rPr>
              <w:t xml:space="preserve">               </w:t>
            </w:r>
          </w:p>
        </w:tc>
        <w:tc>
          <w:tcPr>
            <w:tcW w:w="6100" w:type="dxa"/>
          </w:tcPr>
          <w:p w14:paraId="23FA7CB0" w14:textId="0E734E6F" w:rsidR="002560B1" w:rsidRPr="00D333A8" w:rsidRDefault="002560B1" w:rsidP="00107071">
            <w:pPr>
              <w:ind w:left="708" w:hanging="708"/>
              <w:jc w:val="both"/>
              <w:rPr>
                <w:rFonts w:ascii="Verdana" w:eastAsia="Calibri" w:hAnsi="Verdana" w:cs="Arial"/>
                <w:lang w:val="es-ES_tradnl" w:eastAsia="es-ES_tradnl"/>
              </w:rPr>
            </w:pPr>
            <w:r w:rsidRPr="00D333A8">
              <w:rPr>
                <w:rFonts w:ascii="Verdana" w:eastAsia="Calibri" w:hAnsi="Verdana" w:cs="Arial"/>
                <w:lang w:val="es-ES_tradnl" w:eastAsia="es-ES_tradnl"/>
              </w:rPr>
              <w:t>Respuesta a consulta con radicado No.</w:t>
            </w:r>
            <w:r w:rsidR="000E2595">
              <w:rPr>
                <w:rFonts w:ascii="Verdana" w:eastAsia="Calibri" w:hAnsi="Verdana" w:cs="Arial"/>
                <w:lang w:val="es-ES_tradnl" w:eastAsia="es-ES_tradnl"/>
              </w:rPr>
              <w:t xml:space="preserve"> </w:t>
            </w:r>
            <w:r w:rsidRPr="00A37853">
              <w:rPr>
                <w:rFonts w:ascii="Verdana" w:eastAsia="Calibri" w:hAnsi="Verdana" w:cs="Arial"/>
                <w:lang w:val="es-ES_tradnl" w:eastAsia="es-ES_tradnl"/>
              </w:rPr>
              <w:t>P20250217001506</w:t>
            </w:r>
          </w:p>
        </w:tc>
      </w:tr>
    </w:tbl>
    <w:p w14:paraId="78631FA4" w14:textId="77777777" w:rsidR="002560B1" w:rsidRPr="00D333A8" w:rsidRDefault="002560B1" w:rsidP="002560B1">
      <w:pPr>
        <w:spacing w:after="0" w:line="240" w:lineRule="auto"/>
        <w:jc w:val="both"/>
        <w:rPr>
          <w:rFonts w:ascii="Verdana" w:eastAsia="Calibri" w:hAnsi="Verdana" w:cs="Arial"/>
          <w:lang w:val="es-ES_tradnl" w:eastAsia="es-ES_tradnl"/>
        </w:rPr>
      </w:pPr>
    </w:p>
    <w:p w14:paraId="0DC1C134" w14:textId="77777777" w:rsidR="002560B1" w:rsidRPr="00D333A8" w:rsidRDefault="002560B1" w:rsidP="002560B1">
      <w:pPr>
        <w:spacing w:after="0" w:line="240" w:lineRule="auto"/>
        <w:jc w:val="both"/>
        <w:rPr>
          <w:rFonts w:ascii="Verdana" w:eastAsia="Calibri" w:hAnsi="Verdana" w:cs="Arial"/>
          <w:lang w:val="es-ES_tradnl" w:eastAsia="es-ES_tradnl"/>
        </w:rPr>
      </w:pPr>
    </w:p>
    <w:p w14:paraId="5D1DADA6" w14:textId="77777777" w:rsidR="002560B1" w:rsidRPr="00D333A8" w:rsidRDefault="002560B1" w:rsidP="002560B1">
      <w:pPr>
        <w:spacing w:after="0" w:line="276" w:lineRule="auto"/>
        <w:jc w:val="both"/>
        <w:rPr>
          <w:rFonts w:ascii="Verdana" w:eastAsia="Calibri" w:hAnsi="Verdana" w:cs="Arial"/>
          <w:lang w:val="es-ES" w:eastAsia="es-ES"/>
        </w:rPr>
      </w:pPr>
      <w:r w:rsidRPr="00D333A8">
        <w:rPr>
          <w:rFonts w:ascii="Verdana" w:eastAsia="Calibri" w:hAnsi="Verdana" w:cs="Arial"/>
          <w:lang w:val="es-ES" w:eastAsia="es-ES"/>
        </w:rPr>
        <w:t>Estimado señor</w:t>
      </w:r>
      <w:r>
        <w:rPr>
          <w:rFonts w:ascii="Verdana" w:eastAsia="Calibri" w:hAnsi="Verdana" w:cs="Arial"/>
          <w:lang w:eastAsia="es-ES_tradnl"/>
        </w:rPr>
        <w:t xml:space="preserve"> Henao</w:t>
      </w:r>
      <w:r w:rsidRPr="00D333A8">
        <w:rPr>
          <w:rFonts w:ascii="Verdana" w:eastAsia="Calibri" w:hAnsi="Verdana" w:cs="Arial"/>
          <w:lang w:val="es-ES" w:eastAsia="es-ES"/>
        </w:rPr>
        <w:t xml:space="preserve">: </w:t>
      </w:r>
    </w:p>
    <w:p w14:paraId="569B9744" w14:textId="77777777" w:rsidR="002560B1" w:rsidRPr="00D333A8" w:rsidRDefault="002560B1" w:rsidP="002560B1">
      <w:pPr>
        <w:tabs>
          <w:tab w:val="left" w:pos="3768"/>
        </w:tabs>
        <w:spacing w:after="0" w:line="276" w:lineRule="auto"/>
        <w:jc w:val="both"/>
        <w:rPr>
          <w:rFonts w:ascii="Verdana" w:eastAsia="Calibri" w:hAnsi="Verdana" w:cs="Arial"/>
          <w:lang w:val="es-ES" w:eastAsia="es-ES"/>
        </w:rPr>
      </w:pPr>
      <w:r w:rsidRPr="00D333A8">
        <w:rPr>
          <w:rFonts w:ascii="Verdana" w:eastAsia="Calibri" w:hAnsi="Verdana" w:cs="Arial"/>
          <w:lang w:val="es-ES" w:eastAsia="es-ES"/>
        </w:rPr>
        <w:tab/>
      </w:r>
    </w:p>
    <w:p w14:paraId="2A06DD01" w14:textId="77777777" w:rsidR="002560B1" w:rsidRPr="00D333A8" w:rsidRDefault="002560B1" w:rsidP="002560B1">
      <w:pPr>
        <w:spacing w:after="0" w:line="276" w:lineRule="auto"/>
        <w:jc w:val="both"/>
        <w:rPr>
          <w:rFonts w:ascii="Verdana" w:eastAsia="Calibri" w:hAnsi="Verdana" w:cs="Arial"/>
          <w:lang w:val="es-ES" w:eastAsia="es-ES"/>
        </w:rPr>
      </w:pPr>
      <w:r w:rsidRPr="00D333A8">
        <w:rPr>
          <w:rFonts w:ascii="Verdana" w:eastAsia="Calibri" w:hAnsi="Verdana" w:cs="Arial"/>
          <w:lang w:val="es-ES" w:eastAsia="es-ES"/>
        </w:rPr>
        <w:t>En ejercicio de la competencia otorgada por los artículos 3, numeral 5º, y 11, numeral 8º, del Decreto Ley 4170 de 2011,</w:t>
      </w:r>
      <w:r w:rsidRPr="00D333A8">
        <w:rPr>
          <w:rFonts w:ascii="Verdana" w:eastAsia="Arial MT" w:hAnsi="Verdana" w:cs="Arial MT"/>
          <w:lang w:val="es-ES" w:eastAsia="es-ES"/>
        </w:rPr>
        <w:t xml:space="preserve"> </w:t>
      </w:r>
      <w:r w:rsidRPr="00D333A8">
        <w:rPr>
          <w:rFonts w:ascii="Verdana" w:hAnsi="Verdana" w:cs="Arial"/>
        </w:rPr>
        <w:t xml:space="preserve">así como lo establecido en el artículo 4 de la Resolución 1707 de 2018 expedida por esta Entidad, </w:t>
      </w:r>
      <w:r w:rsidRPr="00D333A8">
        <w:rPr>
          <w:rFonts w:ascii="Verdana" w:eastAsia="Calibri" w:hAnsi="Verdana" w:cs="Arial"/>
          <w:lang w:val="es-ES" w:eastAsia="es-ES"/>
        </w:rPr>
        <w:t>la Agencia Nacional de Contratación Pública – Colombia Compra Eficiente– responde su solicitud de consulta del 1</w:t>
      </w:r>
      <w:r>
        <w:rPr>
          <w:rFonts w:ascii="Verdana" w:eastAsia="Calibri" w:hAnsi="Verdana" w:cs="Arial"/>
          <w:lang w:val="es-ES" w:eastAsia="es-ES"/>
        </w:rPr>
        <w:t>3</w:t>
      </w:r>
      <w:r w:rsidRPr="00D333A8">
        <w:rPr>
          <w:rFonts w:ascii="Verdana" w:eastAsia="Calibri" w:hAnsi="Verdana" w:cs="Arial"/>
          <w:lang w:val="es-ES" w:eastAsia="es-ES"/>
        </w:rPr>
        <w:t xml:space="preserve"> de febrero de 2025, en la cual manifiesta lo siguiente: </w:t>
      </w:r>
    </w:p>
    <w:p w14:paraId="645925E9" w14:textId="77777777" w:rsidR="002560B1" w:rsidRPr="00D333A8" w:rsidRDefault="002560B1" w:rsidP="002560B1">
      <w:pPr>
        <w:tabs>
          <w:tab w:val="left" w:pos="142"/>
          <w:tab w:val="left" w:pos="284"/>
        </w:tabs>
        <w:spacing w:after="0" w:line="276" w:lineRule="auto"/>
        <w:jc w:val="both"/>
        <w:rPr>
          <w:rFonts w:ascii="Verdana" w:eastAsia="Century Gothic" w:hAnsi="Verdana" w:cs="Century Gothic"/>
          <w:b/>
          <w:bCs/>
        </w:rPr>
      </w:pPr>
    </w:p>
    <w:p w14:paraId="4B103E79" w14:textId="77777777" w:rsidR="002560B1" w:rsidRPr="00D333A8" w:rsidRDefault="002560B1" w:rsidP="002560B1">
      <w:pPr>
        <w:spacing w:after="120" w:line="240" w:lineRule="auto"/>
        <w:ind w:left="709" w:right="709"/>
        <w:jc w:val="both"/>
        <w:rPr>
          <w:rFonts w:ascii="Verdana" w:eastAsia="Aptos" w:hAnsi="Verdana" w:cs="Times New Roman"/>
          <w:sz w:val="21"/>
          <w:szCs w:val="21"/>
        </w:rPr>
      </w:pPr>
      <w:bookmarkStart w:id="1" w:name="_Hlk95313578"/>
      <w:r w:rsidRPr="00D333A8">
        <w:rPr>
          <w:rFonts w:ascii="Verdana" w:eastAsia="Century Gothic" w:hAnsi="Verdana" w:cs="Century Gothic"/>
          <w:sz w:val="21"/>
          <w:szCs w:val="21"/>
          <w:lang w:val="es-ES"/>
        </w:rPr>
        <w:t>“</w:t>
      </w:r>
      <w:bookmarkEnd w:id="1"/>
      <w:r w:rsidRPr="00A37853">
        <w:rPr>
          <w:rFonts w:ascii="Verdana" w:eastAsia="Century Gothic" w:hAnsi="Verdana" w:cs="Century Gothic"/>
          <w:sz w:val="21"/>
          <w:szCs w:val="21"/>
        </w:rPr>
        <w:t xml:space="preserve">El municipio de vista hermosa - meta, requiere aclaración en relación al modelo de minuta de pliego tipo de los convenios solidarios para la ejecución de obras, en relación a la clausula 7 del giro de los recursos dentro de las opciones requeridas, ya que por la complejidad del </w:t>
      </w:r>
      <w:r w:rsidRPr="00A37853">
        <w:rPr>
          <w:rFonts w:ascii="Verdana" w:eastAsia="Century Gothic" w:hAnsi="Verdana" w:cs="Century Gothic"/>
          <w:sz w:val="21"/>
          <w:szCs w:val="21"/>
        </w:rPr>
        <w:lastRenderedPageBreak/>
        <w:t>distanciamiento de los centro poblados del municipio se esta manejado la solicitud de apertura de la cuenta a nombre de la junta de accion comunal, la alcaldía de vista hermosa a optado por la forma de pago de la opción 1 del pliego tipo, esta opcion habla de que se debe realizar una cuenta conjunta a nombre de la entidad y el organismo comunal para exclusivamente el convenio solidario, en este caso el municipio tiene claro esa condicion, pero en lo que respecta de la cuenta conjutna que valla compañada de las dos firmas las cuales son las del representante de la junta y el supervisor de la entidad, la alcaldia esta tomando la apertura de la cuenta por el solo el presidente y tesorero de la junta de accion comunal en relación del convenio suscrito, previa autorización del giro de los recursos por parte del supervisor del convenio, en el entendido que por las condiciones de tiempo y disponibilidad del supervisor y las entidades bancarias del municipio es complejo tanto para el municipio como para los presidentes de las juntas. Asi las cosas solicitamos aclaración si la entidad puede seguir realizando el giro de los recursos como se indico a continuación basándonos en la parte final de la opcion 1 que indica: La Entidad Estatal puede indicar condiciones propias de los giros respecto de la disponibilidad de PAC o Soportes que se requieran de la OAC para efectuar el giro de los recursos.o en su defecto tiene que implementar la apertura de las cuentas conjuntas con la suscripción del convenio solidario</w:t>
      </w:r>
      <w:r>
        <w:rPr>
          <w:rFonts w:ascii="Verdana" w:eastAsia="Century Gothic" w:hAnsi="Verdana" w:cs="Century Gothic"/>
          <w:sz w:val="21"/>
          <w:szCs w:val="21"/>
        </w:rPr>
        <w:t xml:space="preserve">” (sic). </w:t>
      </w:r>
      <w:r w:rsidRPr="00D333A8">
        <w:rPr>
          <w:rFonts w:ascii="Verdana" w:eastAsia="Aptos" w:hAnsi="Verdana" w:cs="Times New Roman"/>
          <w:sz w:val="21"/>
          <w:szCs w:val="21"/>
        </w:rPr>
        <w:t xml:space="preserve"> </w:t>
      </w:r>
    </w:p>
    <w:p w14:paraId="49399833" w14:textId="77777777" w:rsidR="002560B1" w:rsidRPr="00D333A8" w:rsidRDefault="002560B1" w:rsidP="002560B1">
      <w:pPr>
        <w:spacing w:after="0" w:line="276" w:lineRule="auto"/>
        <w:ind w:left="709" w:right="709"/>
        <w:jc w:val="both"/>
        <w:rPr>
          <w:rFonts w:ascii="Verdana" w:eastAsia="Century Gothic" w:hAnsi="Verdana" w:cs="Century Gothic"/>
          <w:sz w:val="20"/>
          <w:szCs w:val="20"/>
          <w:lang w:val="es-ES"/>
        </w:rPr>
      </w:pPr>
    </w:p>
    <w:p w14:paraId="4190BA1D" w14:textId="77777777" w:rsidR="002560B1" w:rsidRPr="00D333A8" w:rsidRDefault="002560B1" w:rsidP="002560B1">
      <w:pPr>
        <w:spacing w:after="120" w:line="276" w:lineRule="auto"/>
        <w:jc w:val="both"/>
        <w:rPr>
          <w:rFonts w:ascii="Verdana" w:eastAsia="Calibri" w:hAnsi="Verdana" w:cs="Arial"/>
          <w:color w:val="000000"/>
          <w:lang w:val="es-ES_tradnl" w:eastAsia="es-ES_tradnl"/>
        </w:rPr>
      </w:pPr>
      <w:r w:rsidRPr="00D333A8">
        <w:rPr>
          <w:rFonts w:ascii="Verdana" w:hAnsi="Verdana" w:cs="Arial"/>
          <w:sz w:val="20"/>
          <w:szCs w:val="20"/>
          <w:shd w:val="clear" w:color="auto" w:fill="FFFFFF"/>
        </w:rPr>
        <w:tab/>
      </w:r>
      <w:r w:rsidRPr="00D333A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333A8">
        <w:rPr>
          <w:rFonts w:ascii="Verdana" w:eastAsia="Calibri" w:hAnsi="Verdana" w:cs="Arial"/>
          <w:color w:val="000000"/>
          <w:lang w:val="es-ES_tradnl" w:eastAsia="es-ES_tradnl"/>
        </w:rPr>
        <w:tab/>
      </w:r>
    </w:p>
    <w:p w14:paraId="6840BF5A" w14:textId="77777777" w:rsidR="002560B1" w:rsidRPr="00D333A8" w:rsidRDefault="002560B1" w:rsidP="002560B1">
      <w:pPr>
        <w:spacing w:after="0" w:line="276" w:lineRule="auto"/>
        <w:ind w:firstLine="709"/>
        <w:jc w:val="both"/>
        <w:rPr>
          <w:rFonts w:ascii="Verdana" w:eastAsia="Calibri" w:hAnsi="Verdana" w:cs="Arial"/>
          <w:lang w:val="es-ES" w:eastAsia="es-ES"/>
        </w:rPr>
      </w:pPr>
      <w:r w:rsidRPr="00D333A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w:t>
      </w:r>
      <w:r w:rsidRPr="00D333A8">
        <w:rPr>
          <w:rFonts w:ascii="Verdana" w:eastAsia="Calibri" w:hAnsi="Verdana" w:cs="Arial"/>
          <w:lang w:val="es-ES" w:eastAsia="es-ES"/>
        </w:rPr>
        <w:lastRenderedPageBreak/>
        <w:t xml:space="preserve">sobre las normas generales relacionadas con los problemas jurídicos de su consulta. </w:t>
      </w:r>
    </w:p>
    <w:p w14:paraId="16F9D137" w14:textId="77777777" w:rsidR="002560B1" w:rsidRPr="00D333A8" w:rsidRDefault="002560B1" w:rsidP="002560B1">
      <w:pPr>
        <w:spacing w:after="0" w:line="276" w:lineRule="auto"/>
        <w:ind w:firstLine="709"/>
        <w:jc w:val="both"/>
        <w:rPr>
          <w:rFonts w:ascii="Verdana" w:eastAsia="Calibri" w:hAnsi="Verdana" w:cs="Arial"/>
          <w:lang w:val="es-ES" w:eastAsia="es-ES"/>
        </w:rPr>
      </w:pPr>
    </w:p>
    <w:p w14:paraId="08DBE594" w14:textId="77777777" w:rsidR="002560B1" w:rsidRPr="00D333A8" w:rsidRDefault="002560B1" w:rsidP="002560B1">
      <w:pPr>
        <w:numPr>
          <w:ilvl w:val="0"/>
          <w:numId w:val="19"/>
        </w:numPr>
        <w:tabs>
          <w:tab w:val="left" w:pos="142"/>
          <w:tab w:val="left" w:pos="284"/>
        </w:tabs>
        <w:spacing w:after="0" w:line="276" w:lineRule="auto"/>
        <w:jc w:val="both"/>
        <w:rPr>
          <w:rFonts w:ascii="Verdana" w:eastAsia="Century Gothic" w:hAnsi="Verdana" w:cs="Century Gothic"/>
          <w:b/>
          <w:bCs/>
        </w:rPr>
      </w:pPr>
      <w:r w:rsidRPr="00D333A8">
        <w:rPr>
          <w:rFonts w:ascii="Verdana" w:eastAsia="Century Gothic" w:hAnsi="Verdana" w:cs="Century Gothic"/>
          <w:b/>
          <w:bCs/>
        </w:rPr>
        <w:t>Problema planteado:</w:t>
      </w:r>
    </w:p>
    <w:p w14:paraId="770313E3" w14:textId="77777777" w:rsidR="002560B1" w:rsidRPr="00D333A8" w:rsidRDefault="002560B1" w:rsidP="002560B1">
      <w:pPr>
        <w:tabs>
          <w:tab w:val="left" w:pos="426"/>
        </w:tabs>
        <w:spacing w:after="0" w:line="276" w:lineRule="auto"/>
        <w:jc w:val="both"/>
        <w:rPr>
          <w:rFonts w:ascii="Verdana" w:eastAsia="Century Gothic" w:hAnsi="Verdana" w:cs="Century Gothic"/>
          <w:lang w:val="es-ES"/>
        </w:rPr>
      </w:pPr>
    </w:p>
    <w:p w14:paraId="4C1EE35A" w14:textId="77777777" w:rsidR="002560B1" w:rsidRPr="00D333A8" w:rsidRDefault="002560B1" w:rsidP="002560B1">
      <w:pPr>
        <w:spacing w:after="0" w:line="276" w:lineRule="auto"/>
        <w:jc w:val="both"/>
        <w:rPr>
          <w:rFonts w:ascii="Verdana" w:eastAsia="Calibri" w:hAnsi="Verdana" w:cs="Arial"/>
          <w:bCs/>
          <w:lang w:val="es-ES_tradnl" w:eastAsia="es-ES_tradnl"/>
        </w:rPr>
      </w:pPr>
      <w:r w:rsidRPr="00D333A8">
        <w:rPr>
          <w:rFonts w:ascii="Verdana" w:eastAsia="Century Gothic" w:hAnsi="Verdana" w:cs="Century Gothic"/>
        </w:rPr>
        <w:t xml:space="preserve">De acuerdo con el contenido de su solicitud, esta Agencia resolverá el siguiente problema jurídico: </w:t>
      </w:r>
      <w:r w:rsidRPr="00D333A8">
        <w:rPr>
          <w:rFonts w:ascii="Verdana" w:eastAsia="Calibri" w:hAnsi="Verdana" w:cs="Arial"/>
          <w:bCs/>
          <w:lang w:val="es-ES_tradnl" w:eastAsia="es-ES_tradnl"/>
        </w:rPr>
        <w:t>¿</w:t>
      </w:r>
      <w:r>
        <w:rPr>
          <w:rFonts w:ascii="Verdana" w:eastAsia="Calibri" w:hAnsi="Verdana" w:cs="Arial"/>
          <w:bCs/>
          <w:lang w:val="es-ES_tradnl" w:eastAsia="es-ES_tradnl"/>
        </w:rPr>
        <w:t>Cuál es el alcance de la opción 1 de la cláusula 7 “Giro de los Recursos” contenida en la minuta tipo de los documentos tipo de convenios solidarios</w:t>
      </w:r>
      <w:r w:rsidRPr="00D333A8">
        <w:rPr>
          <w:rFonts w:ascii="Verdana" w:eastAsia="Calibri" w:hAnsi="Verdana" w:cs="Arial"/>
          <w:bCs/>
          <w:lang w:val="es-ES_tradnl" w:eastAsia="es-ES_tradnl"/>
        </w:rPr>
        <w:t xml:space="preserve">? </w:t>
      </w:r>
    </w:p>
    <w:p w14:paraId="5804BF26" w14:textId="77777777" w:rsidR="002560B1" w:rsidRPr="00D333A8" w:rsidRDefault="002560B1" w:rsidP="002560B1">
      <w:pPr>
        <w:spacing w:after="0" w:line="276" w:lineRule="auto"/>
        <w:jc w:val="both"/>
        <w:rPr>
          <w:rFonts w:ascii="Verdana" w:eastAsia="Century Gothic" w:hAnsi="Verdana" w:cs="Century Gothic"/>
        </w:rPr>
      </w:pPr>
    </w:p>
    <w:p w14:paraId="4925EB46" w14:textId="77777777" w:rsidR="002560B1" w:rsidRPr="00D333A8" w:rsidRDefault="002560B1" w:rsidP="002560B1">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D333A8">
        <w:rPr>
          <w:rFonts w:ascii="Verdana" w:eastAsia="Century Gothic" w:hAnsi="Verdana" w:cs="Century Gothic"/>
          <w:b/>
          <w:bCs/>
          <w:lang w:val="es-ES"/>
        </w:rPr>
        <w:t>Respuestas:</w:t>
      </w:r>
    </w:p>
    <w:p w14:paraId="4EBFA76F" w14:textId="77777777" w:rsidR="002560B1" w:rsidRPr="00D333A8" w:rsidRDefault="002560B1" w:rsidP="002560B1">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560B1" w:rsidRPr="00D333A8" w14:paraId="7CF89800" w14:textId="77777777" w:rsidTr="00107071">
        <w:trPr>
          <w:trHeight w:val="6332"/>
        </w:trPr>
        <w:tc>
          <w:tcPr>
            <w:tcW w:w="8828" w:type="dxa"/>
            <w:tcBorders>
              <w:top w:val="dotted" w:sz="4" w:space="0" w:color="auto"/>
              <w:left w:val="dotted" w:sz="4" w:space="0" w:color="auto"/>
              <w:bottom w:val="dotted" w:sz="4" w:space="0" w:color="auto"/>
              <w:right w:val="dotted" w:sz="4" w:space="0" w:color="auto"/>
            </w:tcBorders>
          </w:tcPr>
          <w:p w14:paraId="29872059" w14:textId="77777777" w:rsidR="002560B1" w:rsidRDefault="002560B1" w:rsidP="00107071">
            <w:pPr>
              <w:tabs>
                <w:tab w:val="left" w:pos="0"/>
              </w:tabs>
              <w:spacing w:line="276" w:lineRule="auto"/>
              <w:jc w:val="both"/>
              <w:rPr>
                <w:rFonts w:ascii="Verdana" w:hAnsi="Verdana"/>
              </w:rPr>
            </w:pPr>
            <w:r w:rsidRPr="0013293C">
              <w:rPr>
                <w:rFonts w:ascii="Verdana" w:hAnsi="Verdana" w:cs="Arial"/>
                <w:spacing w:val="2"/>
                <w:lang w:eastAsia="es-CO"/>
              </w:rPr>
              <w:t>Con fundamento en la competencia prevista en el artículo 1 de la Ley 2022 de 2020</w:t>
            </w:r>
            <w:r w:rsidRPr="001D5D7F">
              <w:rPr>
                <w:rStyle w:val="Refdenotaalpie"/>
                <w:rFonts w:ascii="Verdana" w:hAnsi="Verdana" w:cs="Arial"/>
                <w:spacing w:val="2"/>
                <w:lang w:eastAsia="es-CO"/>
              </w:rPr>
              <w:footnoteReference w:id="1"/>
            </w:r>
            <w:r w:rsidRPr="0013293C">
              <w:rPr>
                <w:rFonts w:ascii="Verdana" w:hAnsi="Verdana" w:cs="Arial"/>
                <w:spacing w:val="2"/>
                <w:lang w:eastAsia="es-CO"/>
              </w:rPr>
              <w:t xml:space="preserve">, el 30 de junio de 2023 la Agencia Nacional de Contratación Pública </w:t>
            </w:r>
            <w:r w:rsidRPr="0013293C">
              <w:rPr>
                <w:rFonts w:ascii="Verdana" w:eastAsia="Calibri" w:hAnsi="Verdana" w:cs="Arial"/>
                <w:color w:val="000000"/>
                <w:lang w:val="es-ES" w:eastAsia="es-ES"/>
              </w:rPr>
              <w:t>– Colombia Compra Eficiente</w:t>
            </w:r>
            <w:r w:rsidRPr="0013293C">
              <w:rPr>
                <w:rFonts w:ascii="Verdana" w:hAnsi="Verdana" w:cs="Arial"/>
                <w:spacing w:val="2"/>
                <w:lang w:eastAsia="es-CO"/>
              </w:rPr>
              <w:t xml:space="preserve"> expidió la Resolución 358 de 2023 “</w:t>
            </w:r>
            <w:hyperlink r:id="rId12" w:history="1">
              <w:r w:rsidRPr="0013293C">
                <w:rPr>
                  <w:rFonts w:ascii="Verdana" w:hAnsi="Verdana" w:cs="Arial"/>
                  <w:spacing w:val="2"/>
                  <w:lang w:eastAsia="es-CO"/>
                </w:rPr>
                <w:t>Por la cual se adopta el documento tipo para la contratación directa de convenios solidarios para la ejecución de obras hasta la menor cuantía con organismos de acción comunal”. </w:t>
              </w:r>
            </w:hyperlink>
          </w:p>
          <w:p w14:paraId="3FF0B3B3" w14:textId="77777777" w:rsidR="002560B1" w:rsidRPr="001D5D7F" w:rsidRDefault="002560B1" w:rsidP="00107071">
            <w:pPr>
              <w:tabs>
                <w:tab w:val="left" w:pos="0"/>
              </w:tabs>
              <w:spacing w:line="276" w:lineRule="auto"/>
              <w:jc w:val="both"/>
              <w:rPr>
                <w:rFonts w:ascii="Verdana" w:hAnsi="Verdana" w:cs="Arial"/>
                <w:spacing w:val="2"/>
                <w:lang w:eastAsia="es-CO"/>
              </w:rPr>
            </w:pPr>
          </w:p>
          <w:p w14:paraId="102AAACE" w14:textId="77777777" w:rsidR="002560B1" w:rsidRPr="0013293C" w:rsidRDefault="002560B1" w:rsidP="00107071">
            <w:pPr>
              <w:shd w:val="clear" w:color="auto" w:fill="FFFFFF"/>
              <w:spacing w:line="276" w:lineRule="auto"/>
              <w:jc w:val="both"/>
              <w:textAlignment w:val="baseline"/>
              <w:rPr>
                <w:rFonts w:ascii="Verdana" w:hAnsi="Verdana" w:cs="Arial"/>
                <w:bCs/>
                <w:lang w:val="es-ES_tradnl"/>
              </w:rPr>
            </w:pPr>
            <w:r>
              <w:rPr>
                <w:rFonts w:ascii="Verdana" w:hAnsi="Verdana" w:cs="Arial"/>
                <w:spacing w:val="2"/>
                <w:lang w:eastAsia="es-CO"/>
              </w:rPr>
              <w:t xml:space="preserve">El </w:t>
            </w:r>
            <w:r w:rsidRPr="0013293C">
              <w:rPr>
                <w:rFonts w:ascii="Verdana" w:hAnsi="Verdana" w:cs="Arial"/>
                <w:spacing w:val="2"/>
                <w:lang w:eastAsia="es-CO"/>
              </w:rPr>
              <w:t xml:space="preserve">artículo 3 </w:t>
            </w:r>
            <w:r>
              <w:rPr>
                <w:rFonts w:ascii="Verdana" w:hAnsi="Verdana" w:cs="Arial"/>
                <w:spacing w:val="2"/>
                <w:lang w:eastAsia="es-CO"/>
              </w:rPr>
              <w:t xml:space="preserve">de la citada Resolución </w:t>
            </w:r>
            <w:r w:rsidRPr="0013293C">
              <w:rPr>
                <w:rFonts w:ascii="Verdana" w:hAnsi="Verdana" w:cs="Arial"/>
                <w:bCs/>
                <w:lang w:val="es-ES_tradnl"/>
              </w:rPr>
              <w:t xml:space="preserve">dispone </w:t>
            </w:r>
            <w:r>
              <w:rPr>
                <w:rFonts w:ascii="Verdana" w:hAnsi="Verdana" w:cs="Arial"/>
                <w:bCs/>
                <w:lang w:val="es-ES_tradnl"/>
              </w:rPr>
              <w:t xml:space="preserve">sobre </w:t>
            </w:r>
            <w:r w:rsidRPr="0013293C">
              <w:rPr>
                <w:rFonts w:ascii="Verdana" w:hAnsi="Verdana" w:cs="Arial"/>
                <w:bCs/>
                <w:lang w:val="es-ES_tradnl"/>
              </w:rPr>
              <w:t xml:space="preserve">la inalterabilidad de los documentos tipo </w:t>
            </w:r>
            <w:r w:rsidRPr="0013293C">
              <w:rPr>
                <w:rFonts w:ascii="Verdana" w:eastAsia="Calibri" w:hAnsi="Verdana" w:cs="Arial"/>
                <w:lang w:val="es-ES" w:eastAsia="es-MX"/>
              </w:rPr>
              <w:t>para la contratación directa de convenios solidarios</w:t>
            </w:r>
            <w:r>
              <w:rPr>
                <w:rFonts w:ascii="Verdana" w:eastAsia="Calibri" w:hAnsi="Verdana" w:cs="Arial"/>
                <w:lang w:val="es-ES" w:eastAsia="es-MX"/>
              </w:rPr>
              <w:t xml:space="preserve">. </w:t>
            </w:r>
            <w:r w:rsidRPr="0013293C">
              <w:rPr>
                <w:rFonts w:ascii="Verdana" w:hAnsi="Verdana" w:cs="Arial"/>
                <w:bCs/>
                <w:lang w:val="es-ES_tradnl"/>
              </w:rPr>
              <w:t xml:space="preserve">En consecuencia,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podrán variarse algunos de los requisitos fijados en ellos. </w:t>
            </w:r>
          </w:p>
          <w:p w14:paraId="4FE74CF8" w14:textId="77777777" w:rsidR="002560B1" w:rsidRPr="001D5D7F" w:rsidRDefault="002560B1" w:rsidP="00107071">
            <w:pPr>
              <w:pStyle w:val="Prrafodelista"/>
              <w:contextualSpacing w:val="0"/>
              <w:rPr>
                <w:rFonts w:ascii="Verdana" w:eastAsia="Calibri" w:hAnsi="Verdana" w:cs="Arial"/>
                <w:color w:val="000000" w:themeColor="text1"/>
                <w:lang w:val="es-ES_tradnl"/>
              </w:rPr>
            </w:pPr>
          </w:p>
          <w:p w14:paraId="77809F68" w14:textId="77777777" w:rsidR="002560B1" w:rsidRPr="0013293C" w:rsidRDefault="002560B1" w:rsidP="00107071">
            <w:pPr>
              <w:tabs>
                <w:tab w:val="left" w:pos="0"/>
              </w:tabs>
              <w:spacing w:line="276" w:lineRule="auto"/>
              <w:jc w:val="both"/>
              <w:rPr>
                <w:rFonts w:ascii="Verdana" w:hAnsi="Verdana" w:cs="Arial"/>
                <w:bCs/>
                <w:color w:val="000000" w:themeColor="text1"/>
                <w:lang w:eastAsia="es-MX"/>
              </w:rPr>
            </w:pPr>
            <w:r w:rsidRPr="0013293C">
              <w:rPr>
                <w:rFonts w:ascii="Verdana" w:eastAsia="Calibri" w:hAnsi="Verdana" w:cs="Arial"/>
                <w:color w:val="000000" w:themeColor="text1"/>
                <w:lang w:val="es-ES_tradnl"/>
              </w:rPr>
              <w:t xml:space="preserve">El documento tipo para la contratación directa de convenios solidarios para la ejecución de obras hasta la menor cuantía con organismos de acción comunal, contempla tres (3) opciones para el giro de los recursos por parte de la Entidad Estatal, de acuerdo con la cláusula 7 de la Minuta Tipo. De esta manera, el </w:t>
            </w:r>
            <w:r w:rsidRPr="0013293C">
              <w:rPr>
                <w:rFonts w:ascii="Verdana" w:eastAsia="Calibri" w:hAnsi="Verdana" w:cs="Arial"/>
                <w:color w:val="000000" w:themeColor="text1"/>
                <w:lang w:val="es-ES_tradnl"/>
              </w:rPr>
              <w:lastRenderedPageBreak/>
              <w:t xml:space="preserve">giro de los recursos puede realizarse, según una de las siguientes opciones por la que opte la entidad estatal: i) a una cuenta de manejo conjunto a nombre del convenio – opción 1, ii) a un patrimonio autónomo irrevocable al nombre del convenio – opción 2, o iii) a cuenta bancaria a nombre del convenio – opción 3. </w:t>
            </w:r>
          </w:p>
          <w:p w14:paraId="1C704667" w14:textId="77777777" w:rsidR="002560B1" w:rsidRPr="001D5D7F" w:rsidRDefault="002560B1" w:rsidP="00107071">
            <w:pPr>
              <w:pStyle w:val="Prrafodelista"/>
              <w:contextualSpacing w:val="0"/>
              <w:rPr>
                <w:rFonts w:ascii="Verdana" w:hAnsi="Verdana" w:cs="Arial"/>
                <w:bCs/>
                <w:color w:val="000000" w:themeColor="text1"/>
                <w:lang w:eastAsia="es-MX"/>
              </w:rPr>
            </w:pPr>
          </w:p>
          <w:p w14:paraId="1A49AD5E" w14:textId="77777777" w:rsidR="002560B1" w:rsidRPr="0013293C" w:rsidRDefault="002560B1" w:rsidP="00107071">
            <w:pPr>
              <w:tabs>
                <w:tab w:val="left" w:pos="0"/>
              </w:tabs>
              <w:spacing w:line="276" w:lineRule="auto"/>
              <w:jc w:val="both"/>
              <w:rPr>
                <w:rFonts w:ascii="Verdana" w:hAnsi="Verdana" w:cs="Arial"/>
              </w:rPr>
            </w:pPr>
            <w:r w:rsidRPr="0013293C">
              <w:rPr>
                <w:rFonts w:ascii="Verdana" w:hAnsi="Verdana" w:cs="Arial"/>
                <w:bCs/>
                <w:color w:val="000000" w:themeColor="text1"/>
                <w:lang w:eastAsia="es-MX"/>
              </w:rPr>
              <w:t>En relación con la solicitud, convine mencionar el alcance de la Opción 1 “Giro de los recursos” de la Minuta Tipo de Convenios Solidarios</w:t>
            </w:r>
            <w:r>
              <w:rPr>
                <w:rFonts w:ascii="Verdana" w:hAnsi="Verdana" w:cs="Arial"/>
                <w:bCs/>
                <w:color w:val="000000" w:themeColor="text1"/>
                <w:lang w:eastAsia="es-MX"/>
              </w:rPr>
              <w:t>.</w:t>
            </w:r>
            <w:r w:rsidRPr="0013293C">
              <w:rPr>
                <w:rFonts w:ascii="Verdana" w:hAnsi="Verdana" w:cs="Arial"/>
              </w:rPr>
              <w:t xml:space="preserve"> </w:t>
            </w:r>
            <w:r>
              <w:rPr>
                <w:rFonts w:ascii="Verdana" w:hAnsi="Verdana" w:cs="Arial"/>
              </w:rPr>
              <w:t>E</w:t>
            </w:r>
            <w:r w:rsidRPr="0013293C">
              <w:rPr>
                <w:rFonts w:ascii="Verdana" w:hAnsi="Verdana" w:cs="Arial"/>
              </w:rPr>
              <w:t xml:space="preserve">l inciso primero </w:t>
            </w:r>
            <w:r>
              <w:rPr>
                <w:rFonts w:ascii="Verdana" w:hAnsi="Verdana" w:cs="Arial"/>
              </w:rPr>
              <w:t xml:space="preserve">de esa opción, </w:t>
            </w:r>
            <w:r w:rsidRPr="0013293C">
              <w:rPr>
                <w:rFonts w:ascii="Verdana" w:hAnsi="Verdana" w:cs="Arial"/>
              </w:rPr>
              <w:t>indica parámetros obligatorios que debe incluir la entidad que</w:t>
            </w:r>
            <w:r>
              <w:rPr>
                <w:rFonts w:ascii="Verdana" w:hAnsi="Verdana" w:cs="Arial"/>
              </w:rPr>
              <w:t xml:space="preserve"> la escoja</w:t>
            </w:r>
            <w:r w:rsidRPr="0013293C">
              <w:rPr>
                <w:rFonts w:ascii="Verdana" w:hAnsi="Verdana" w:cs="Arial"/>
              </w:rPr>
              <w:t>. De esta forma, el giro de los recursos se realizará en una cuenta de manejo conjunto a nombre del convenio, que es aquella que permite a la entidad y al OAC gestionar los fondos del convenio de manera compartida. Además, la cláusula de agrega que la misma debe generar rendimientos financieros, y no será posible el sobregiro.</w:t>
            </w:r>
          </w:p>
          <w:p w14:paraId="178CC1B9" w14:textId="77777777" w:rsidR="002560B1" w:rsidRPr="001D5D7F" w:rsidRDefault="002560B1" w:rsidP="00107071">
            <w:pPr>
              <w:pStyle w:val="Prrafodelista"/>
              <w:spacing w:line="276" w:lineRule="auto"/>
              <w:ind w:left="785"/>
              <w:contextualSpacing w:val="0"/>
              <w:jc w:val="both"/>
              <w:rPr>
                <w:rFonts w:ascii="Verdana" w:hAnsi="Verdana" w:cs="Arial"/>
              </w:rPr>
            </w:pPr>
            <w:r w:rsidRPr="001D5D7F">
              <w:rPr>
                <w:rFonts w:ascii="Verdana" w:hAnsi="Verdana" w:cs="Arial"/>
              </w:rPr>
              <w:t xml:space="preserve"> </w:t>
            </w:r>
          </w:p>
          <w:p w14:paraId="0DF09021" w14:textId="77777777" w:rsidR="002560B1" w:rsidRPr="0013293C" w:rsidRDefault="002560B1" w:rsidP="00107071">
            <w:pPr>
              <w:spacing w:line="276" w:lineRule="auto"/>
              <w:jc w:val="both"/>
              <w:rPr>
                <w:rFonts w:ascii="Verdana" w:hAnsi="Verdana" w:cs="Arial"/>
              </w:rPr>
            </w:pPr>
            <w:r w:rsidRPr="0013293C">
              <w:rPr>
                <w:rFonts w:ascii="Verdana" w:hAnsi="Verdana" w:cs="Arial"/>
              </w:rPr>
              <w:t>Así mismo, la opción señala que en esa cuenta conjunta no se podrá disponer de los recursos de forma electrónica por el OAC, y que para disponer de ellos se requiere la autorización del Representante Legal del OAC y del Interventor y/o Supervisor de la Entidad.</w:t>
            </w:r>
          </w:p>
          <w:p w14:paraId="60D6051F" w14:textId="77777777" w:rsidR="002560B1" w:rsidRPr="001D5D7F" w:rsidRDefault="002560B1" w:rsidP="00107071">
            <w:pPr>
              <w:pStyle w:val="Prrafodelista"/>
              <w:rPr>
                <w:rFonts w:ascii="Verdana" w:hAnsi="Verdana" w:cs="Arial"/>
              </w:rPr>
            </w:pPr>
          </w:p>
          <w:p w14:paraId="0D8F6CE0" w14:textId="77777777" w:rsidR="002560B1" w:rsidRPr="0013293C" w:rsidRDefault="002560B1" w:rsidP="00107071">
            <w:pPr>
              <w:spacing w:line="276" w:lineRule="auto"/>
              <w:jc w:val="both"/>
              <w:rPr>
                <w:rFonts w:ascii="Verdana" w:hAnsi="Verdana" w:cs="Arial"/>
              </w:rPr>
            </w:pPr>
            <w:r w:rsidRPr="0013293C">
              <w:rPr>
                <w:rFonts w:ascii="Verdana" w:hAnsi="Verdana" w:cs="Arial"/>
              </w:rPr>
              <w:t xml:space="preserve">Finalmente, el segundo inciso de la opción 1 dispone que la entidad </w:t>
            </w:r>
            <w:r w:rsidRPr="0013293C">
              <w:rPr>
                <w:rFonts w:ascii="Verdana" w:hAnsi="Verdana" w:cs="Arial"/>
                <w:i/>
                <w:iCs/>
              </w:rPr>
              <w:t xml:space="preserve">podrá </w:t>
            </w:r>
            <w:r w:rsidRPr="0013293C">
              <w:rPr>
                <w:rFonts w:ascii="Verdana" w:hAnsi="Verdana" w:cs="Arial"/>
              </w:rPr>
              <w:t xml:space="preserve">señalar opciones propias de los giros en relación con los siguientes aspectos: i) disponibilidad de Plan Anual de Caja – PAC, o ii) soportes que se requieran del Organismo de Acción Comunal OAC para efectuar el giro de los recursos. Este aspecto, es de aquellos que permite que la entidad </w:t>
            </w:r>
            <w:r w:rsidRPr="0013293C">
              <w:rPr>
                <w:rFonts w:ascii="Verdana" w:hAnsi="Verdana" w:cs="Arial"/>
                <w:bCs/>
                <w:lang w:val="es-ES_tradnl"/>
              </w:rPr>
              <w:t xml:space="preserve">complemente o indique las condiciones que allí se permiten, sin embargo, solo es posible en relación con el PAC y soportes para el giro de los recursos. </w:t>
            </w:r>
          </w:p>
          <w:p w14:paraId="52509575" w14:textId="77777777" w:rsidR="002560B1" w:rsidRPr="001D5D7F" w:rsidRDefault="002560B1" w:rsidP="00107071">
            <w:pPr>
              <w:pStyle w:val="Prrafodelista"/>
              <w:spacing w:line="276" w:lineRule="auto"/>
              <w:ind w:left="785"/>
              <w:contextualSpacing w:val="0"/>
              <w:jc w:val="both"/>
              <w:rPr>
                <w:rFonts w:ascii="Verdana" w:hAnsi="Verdana" w:cs="Arial"/>
              </w:rPr>
            </w:pPr>
          </w:p>
          <w:p w14:paraId="7882794D" w14:textId="77777777" w:rsidR="002560B1" w:rsidRPr="001D5D7F" w:rsidRDefault="002560B1" w:rsidP="00107071">
            <w:pPr>
              <w:spacing w:line="276" w:lineRule="auto"/>
              <w:jc w:val="both"/>
              <w:rPr>
                <w:rFonts w:ascii="Verdana" w:eastAsia="Arial" w:hAnsi="Verdana" w:cs="Arial"/>
                <w:sz w:val="21"/>
                <w:szCs w:val="21"/>
                <w:lang w:val="es-MX"/>
              </w:rPr>
            </w:pPr>
            <w:r w:rsidRPr="0013293C">
              <w:rPr>
                <w:rFonts w:ascii="Verdana" w:hAnsi="Verdana" w:cs="Arial"/>
              </w:rPr>
              <w:t xml:space="preserve">Por su parte, la cláusula 8 de la Minuta Tipo dispone de tres (3) alternativas para el manejo de los recursos, dependiendo de si se opta por la opción 1, 2 o 3 de la cláusula 7 para el giro de los recursos. Esto significa que la opción para el manejo de los recursos debe incluirse dependiendo de la opción de giro de recursos que se haya escogido. Estas opciones contienen unas condiciones que deben cumplirse y, en caso de que se opte por la opción 1 de la cláusula 7 de la Minuta Tipo, que implica que se realicen giros de recursos a cuenta </w:t>
            </w:r>
            <w:r w:rsidRPr="0013293C">
              <w:rPr>
                <w:rFonts w:ascii="Verdana" w:hAnsi="Verdana" w:cs="Arial"/>
              </w:rPr>
              <w:lastRenderedPageBreak/>
              <w:t xml:space="preserve">conjunta a nombre del convenio, debe tenerse en cuenta -para efectos de su consulta-, el numeral I. </w:t>
            </w:r>
          </w:p>
          <w:p w14:paraId="407469F8" w14:textId="77777777" w:rsidR="002560B1" w:rsidRPr="00A83656" w:rsidRDefault="002560B1" w:rsidP="00107071">
            <w:pPr>
              <w:ind w:left="1069" w:right="709"/>
              <w:jc w:val="both"/>
              <w:rPr>
                <w:rFonts w:ascii="Verdana" w:eastAsia="Arial" w:hAnsi="Verdana" w:cs="Arial"/>
                <w:sz w:val="21"/>
                <w:szCs w:val="21"/>
                <w:lang w:val="es-MX"/>
              </w:rPr>
            </w:pPr>
          </w:p>
          <w:p w14:paraId="4D12379E" w14:textId="77777777" w:rsidR="002560B1" w:rsidRPr="0013293C" w:rsidRDefault="002560B1" w:rsidP="00107071">
            <w:pPr>
              <w:jc w:val="both"/>
              <w:rPr>
                <w:rFonts w:ascii="Verdana" w:hAnsi="Verdana" w:cs="Arial"/>
              </w:rPr>
            </w:pPr>
            <w:r w:rsidRPr="0013293C">
              <w:rPr>
                <w:rFonts w:ascii="Verdana" w:hAnsi="Verdana" w:cs="Arial"/>
              </w:rPr>
              <w:t xml:space="preserve">El numeral, indica que debe aperturarse una cuenta de “manejo y firmas conjuntas”, lo que implica que lo que deba pagarse con cargo a esa cuenta requiere la firma del Representante Legal del OAC y del Interventor y/o Supervisor de la Entidad. Además, en este numeral de obligatorio cumplimiento se indica que, ningún pago o gravamen que afecte el giro o desembolso podrá darse sin la autorización de este último -Interventor y/o Supervisor de la Entidad. </w:t>
            </w:r>
          </w:p>
          <w:p w14:paraId="4EEC9126" w14:textId="77777777" w:rsidR="002560B1" w:rsidRDefault="002560B1" w:rsidP="00107071">
            <w:pPr>
              <w:pStyle w:val="Prrafodelista"/>
              <w:ind w:left="644"/>
              <w:contextualSpacing w:val="0"/>
              <w:jc w:val="both"/>
              <w:rPr>
                <w:rFonts w:ascii="Verdana" w:hAnsi="Verdana" w:cs="Arial"/>
              </w:rPr>
            </w:pPr>
          </w:p>
          <w:p w14:paraId="64893618" w14:textId="77777777" w:rsidR="002560B1" w:rsidRPr="0013293C" w:rsidRDefault="002560B1" w:rsidP="00107071">
            <w:pPr>
              <w:jc w:val="both"/>
              <w:rPr>
                <w:rFonts w:ascii="Verdana" w:hAnsi="Verdana" w:cs="Arial"/>
              </w:rPr>
            </w:pPr>
            <w:r w:rsidRPr="0013293C">
              <w:rPr>
                <w:rFonts w:ascii="Verdana" w:hAnsi="Verdana" w:cs="Arial"/>
              </w:rPr>
              <w:t xml:space="preserve">Finalmente, en la opción 1 de la Clausula 8 de la Minuta Tipo del convenio solidario, dispone que “[La Entidad Estatal podrá adicionar condiciones para el manejo de los recursos siempre y cuando no estén en contra de las establecidas en la minuta]”. Por lo tanto, se faculta a la entidad para establecer condiciones adicionales en relación con el manejo de los recursos, no obstante, estas previsiones que puede incluir la entidad no podrán rebatir las condiciones fijadas en la Minuta Tipo, como, por ejemplo, las fijadas en la opción 1 de la Cláusula 7 y las de las Cláusula 8 cuando estas resulten de obligatorio cumplimiento para la entidad estatal. </w:t>
            </w:r>
          </w:p>
          <w:p w14:paraId="7EED2802" w14:textId="77777777" w:rsidR="002560B1" w:rsidRPr="002861D9" w:rsidRDefault="002560B1" w:rsidP="00107071">
            <w:pPr>
              <w:pStyle w:val="Prrafodelista"/>
              <w:ind w:left="644"/>
              <w:contextualSpacing w:val="0"/>
              <w:jc w:val="both"/>
              <w:rPr>
                <w:rFonts w:ascii="Verdana" w:hAnsi="Verdana" w:cs="Arial"/>
              </w:rPr>
            </w:pPr>
          </w:p>
          <w:p w14:paraId="6B24C724" w14:textId="77777777" w:rsidR="002560B1" w:rsidRPr="00D333A8" w:rsidRDefault="002560B1" w:rsidP="00107071">
            <w:pPr>
              <w:spacing w:line="276" w:lineRule="auto"/>
              <w:jc w:val="both"/>
              <w:rPr>
                <w:rFonts w:ascii="Verdana" w:eastAsia="Calibri" w:hAnsi="Verdana" w:cs="Arial"/>
                <w:lang w:val="es-ES_tradnl"/>
              </w:rPr>
            </w:pPr>
            <w:r>
              <w:rPr>
                <w:rFonts w:ascii="Verdana" w:hAnsi="Verdana" w:cs="Arial"/>
              </w:rPr>
              <w:t>Por último</w:t>
            </w:r>
            <w:r w:rsidRPr="006F1C36">
              <w:rPr>
                <w:rFonts w:ascii="Verdana" w:hAnsi="Verdana" w:cs="Arial"/>
              </w:rPr>
              <w:t>, debe indicarse que, el numeral II. del parágrafo 1 de la Cláusula 8 de la Minuta Tipo, señala que la cuenta de manejo conjunto debe ser abierta en una entidad financiera autorizada por la Superintendencia Financiera. En este sentido, la entidad financiera que realizará la administración de los recursos puede ser seleccionada de forma discrecional por la entidad estatal, y en consecuencia para la apertura de la cuenta se observaran los requisitos particulares que exija la entidad financiera seleccionada, y para su manejo, las condiciones establecidas en la Minuta Tipo de Convenio Solidario para la ejecución de obras adoptada por medio de la Resolución 358 de 2023.</w:t>
            </w:r>
            <w:r>
              <w:rPr>
                <w:rFonts w:ascii="Verdana" w:hAnsi="Verdana" w:cs="Arial"/>
              </w:rPr>
              <w:t xml:space="preserve"> </w:t>
            </w:r>
          </w:p>
        </w:tc>
      </w:tr>
    </w:tbl>
    <w:p w14:paraId="67EC35CD" w14:textId="77777777" w:rsidR="002560B1" w:rsidRPr="00D333A8" w:rsidRDefault="002560B1" w:rsidP="002560B1">
      <w:pPr>
        <w:tabs>
          <w:tab w:val="left" w:pos="142"/>
          <w:tab w:val="left" w:pos="284"/>
        </w:tabs>
        <w:spacing w:after="0" w:line="276" w:lineRule="auto"/>
        <w:jc w:val="both"/>
        <w:rPr>
          <w:rFonts w:ascii="Verdana" w:eastAsia="Century Gothic" w:hAnsi="Verdana" w:cs="Century Gothic"/>
          <w:b/>
          <w:bCs/>
          <w:lang w:val="es-ES"/>
        </w:rPr>
      </w:pPr>
    </w:p>
    <w:p w14:paraId="6BD8F8C6" w14:textId="77777777" w:rsidR="002560B1" w:rsidRPr="00D333A8" w:rsidRDefault="002560B1" w:rsidP="002560B1">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D333A8">
        <w:rPr>
          <w:rFonts w:ascii="Verdana" w:eastAsia="Century Gothic" w:hAnsi="Verdana" w:cs="Century Gothic"/>
          <w:b/>
          <w:bCs/>
          <w:lang w:val="es-ES"/>
        </w:rPr>
        <w:t>Razones de la respuesta:</w:t>
      </w:r>
    </w:p>
    <w:p w14:paraId="7DCCB511" w14:textId="77777777" w:rsidR="002560B1" w:rsidRPr="00D333A8" w:rsidRDefault="002560B1" w:rsidP="002560B1">
      <w:pPr>
        <w:spacing w:after="0" w:line="276" w:lineRule="auto"/>
        <w:jc w:val="both"/>
        <w:rPr>
          <w:rFonts w:ascii="Verdana" w:eastAsia="Calibri" w:hAnsi="Verdana" w:cs="Arial"/>
          <w:lang w:val="es-ES"/>
        </w:rPr>
      </w:pPr>
    </w:p>
    <w:p w14:paraId="314B582B" w14:textId="77777777" w:rsidR="002560B1" w:rsidRPr="00D333A8" w:rsidRDefault="002560B1" w:rsidP="002560B1">
      <w:pPr>
        <w:spacing w:after="0" w:line="276" w:lineRule="auto"/>
        <w:jc w:val="both"/>
        <w:rPr>
          <w:rFonts w:ascii="Verdana" w:eastAsia="Calibri" w:hAnsi="Verdana" w:cs="Arial"/>
          <w:lang w:val="es-ES"/>
        </w:rPr>
      </w:pPr>
      <w:r w:rsidRPr="00D333A8">
        <w:rPr>
          <w:rFonts w:ascii="Verdana" w:eastAsia="Calibri" w:hAnsi="Verdana" w:cs="Arial"/>
          <w:lang w:val="es-ES"/>
        </w:rPr>
        <w:t xml:space="preserve">Lo anterior se sustenta en las siguientes consideraciones: </w:t>
      </w:r>
    </w:p>
    <w:p w14:paraId="3282415D" w14:textId="77777777" w:rsidR="002560B1" w:rsidRPr="00D333A8" w:rsidRDefault="002560B1" w:rsidP="002560B1">
      <w:pPr>
        <w:spacing w:after="0" w:line="276" w:lineRule="auto"/>
        <w:jc w:val="both"/>
        <w:rPr>
          <w:rFonts w:ascii="Verdana" w:eastAsia="Calibri" w:hAnsi="Verdana" w:cs="Arial"/>
          <w:lang w:val="es-ES"/>
        </w:rPr>
      </w:pPr>
    </w:p>
    <w:p w14:paraId="4A125B29" w14:textId="77777777" w:rsidR="002560B1" w:rsidRPr="001D5D7F" w:rsidRDefault="002560B1" w:rsidP="002560B1">
      <w:pPr>
        <w:pStyle w:val="Prrafodelista"/>
        <w:numPr>
          <w:ilvl w:val="0"/>
          <w:numId w:val="17"/>
        </w:numPr>
        <w:tabs>
          <w:tab w:val="left" w:pos="0"/>
        </w:tabs>
        <w:spacing w:after="120" w:line="276" w:lineRule="auto"/>
        <w:jc w:val="both"/>
        <w:rPr>
          <w:rFonts w:ascii="Verdana" w:hAnsi="Verdana" w:cs="Arial"/>
          <w:spacing w:val="2"/>
          <w:lang w:eastAsia="es-CO"/>
        </w:rPr>
      </w:pPr>
      <w:r w:rsidRPr="001D5D7F">
        <w:rPr>
          <w:rFonts w:ascii="Verdana" w:hAnsi="Verdana" w:cs="Arial"/>
          <w:spacing w:val="2"/>
          <w:lang w:eastAsia="es-CO"/>
        </w:rPr>
        <w:t>Con fundamento en la competencia prevista en el artículo 1 de la Ley 2022 de 2020</w:t>
      </w:r>
      <w:r w:rsidRPr="001D5D7F">
        <w:rPr>
          <w:rStyle w:val="Refdenotaalpie"/>
          <w:rFonts w:ascii="Verdana" w:hAnsi="Verdana" w:cs="Arial"/>
          <w:spacing w:val="2"/>
          <w:lang w:eastAsia="es-CO"/>
        </w:rPr>
        <w:footnoteReference w:id="2"/>
      </w:r>
      <w:r w:rsidRPr="001D5D7F">
        <w:rPr>
          <w:rFonts w:ascii="Verdana" w:hAnsi="Verdana" w:cs="Arial"/>
          <w:spacing w:val="2"/>
          <w:lang w:eastAsia="es-CO"/>
        </w:rPr>
        <w:t xml:space="preserve">, el 30 de junio de 2023 la Agencia Nacional de </w:t>
      </w:r>
      <w:r w:rsidRPr="001D5D7F">
        <w:rPr>
          <w:rFonts w:ascii="Verdana" w:hAnsi="Verdana" w:cs="Arial"/>
          <w:spacing w:val="2"/>
          <w:lang w:eastAsia="es-CO"/>
        </w:rPr>
        <w:lastRenderedPageBreak/>
        <w:t xml:space="preserve">Contratación Pública </w:t>
      </w:r>
      <w:r w:rsidRPr="001D5D7F">
        <w:rPr>
          <w:rFonts w:ascii="Verdana" w:eastAsia="Calibri" w:hAnsi="Verdana" w:cs="Arial"/>
          <w:color w:val="000000"/>
          <w:lang w:eastAsia="es-ES"/>
        </w:rPr>
        <w:t>– Colombia Compra Eficiente</w:t>
      </w:r>
      <w:r w:rsidRPr="001D5D7F">
        <w:rPr>
          <w:rFonts w:ascii="Verdana" w:hAnsi="Verdana" w:cs="Arial"/>
          <w:spacing w:val="2"/>
          <w:lang w:eastAsia="es-CO"/>
        </w:rPr>
        <w:t xml:space="preserve"> expidió la Resolución 358 de 2023 “</w:t>
      </w:r>
      <w:hyperlink r:id="rId13" w:history="1">
        <w:r w:rsidRPr="001D5D7F">
          <w:rPr>
            <w:rFonts w:ascii="Verdana" w:hAnsi="Verdana" w:cs="Arial"/>
            <w:spacing w:val="2"/>
            <w:lang w:eastAsia="es-CO"/>
          </w:rPr>
          <w:t>Por la cual se adopta el documento tipo para la contratación directa de convenios solidarios para la ejecución de obras hasta la menor cuantía con organismos de acción comunal”. </w:t>
        </w:r>
      </w:hyperlink>
      <w:r w:rsidRPr="001D5D7F">
        <w:rPr>
          <w:rFonts w:ascii="Verdana" w:hAnsi="Verdana" w:cs="Arial"/>
          <w:spacing w:val="2"/>
          <w:lang w:eastAsia="es-CO"/>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3D400D96" w14:textId="77777777" w:rsidR="002560B1" w:rsidRPr="001D5D7F" w:rsidRDefault="002560B1" w:rsidP="002560B1">
      <w:pPr>
        <w:pStyle w:val="Prrafodelista"/>
        <w:tabs>
          <w:tab w:val="left" w:pos="0"/>
        </w:tabs>
        <w:spacing w:after="120" w:line="276" w:lineRule="auto"/>
        <w:ind w:left="644"/>
        <w:jc w:val="both"/>
        <w:rPr>
          <w:rFonts w:ascii="Verdana" w:hAnsi="Verdana" w:cs="Arial"/>
          <w:spacing w:val="2"/>
          <w:lang w:eastAsia="es-CO"/>
        </w:rPr>
      </w:pPr>
    </w:p>
    <w:p w14:paraId="5D55F73A" w14:textId="77777777" w:rsidR="002560B1" w:rsidRPr="001D5D7F" w:rsidRDefault="002560B1" w:rsidP="002560B1">
      <w:pPr>
        <w:pStyle w:val="Prrafodelista"/>
        <w:numPr>
          <w:ilvl w:val="0"/>
          <w:numId w:val="17"/>
        </w:numPr>
        <w:tabs>
          <w:tab w:val="left" w:pos="0"/>
        </w:tabs>
        <w:spacing w:after="120" w:line="276" w:lineRule="auto"/>
        <w:jc w:val="both"/>
        <w:rPr>
          <w:rFonts w:ascii="Verdana" w:hAnsi="Verdana" w:cs="Arial"/>
          <w:spacing w:val="2"/>
          <w:lang w:eastAsia="es-CO"/>
        </w:rPr>
      </w:pPr>
      <w:r>
        <w:rPr>
          <w:rFonts w:ascii="Verdana" w:hAnsi="Verdana" w:cs="Arial"/>
          <w:spacing w:val="2"/>
          <w:lang w:eastAsia="es-CO"/>
        </w:rPr>
        <w:t>E</w:t>
      </w:r>
      <w:r w:rsidRPr="001D5D7F">
        <w:rPr>
          <w:rFonts w:ascii="Verdana" w:hAnsi="Verdana" w:cs="Arial"/>
          <w:spacing w:val="2"/>
          <w:lang w:eastAsia="es-CO"/>
        </w:rPr>
        <w:t>l artículo 2 consagra que los documentos que se adoptan por medio de la Resolución contienen parámetros obligatorios para las entidades sometidas al Estatuto General de Contratación de la Administración Pública que adelanten procesos de selección bajo la modalidad de contratación directa para la celebración de convenios solidarios con organismos de acción comunal para la ejecución de obras hasta el monto de la menor cuantía</w:t>
      </w:r>
      <w:r w:rsidRPr="001D5D7F">
        <w:rPr>
          <w:rStyle w:val="Refdenotaalpie"/>
          <w:rFonts w:ascii="Verdana" w:hAnsi="Verdana" w:cs="Arial"/>
          <w:spacing w:val="2"/>
          <w:lang w:eastAsia="es-CO"/>
        </w:rPr>
        <w:footnoteReference w:id="3"/>
      </w:r>
      <w:r w:rsidRPr="001D5D7F">
        <w:rPr>
          <w:rFonts w:ascii="Verdana" w:hAnsi="Verdana" w:cs="Arial"/>
          <w:spacing w:val="2"/>
          <w:lang w:eastAsia="es-CO"/>
        </w:rPr>
        <w:t xml:space="preserve">. Además, en este artículo se señala que componen ese documento tipo: i) Minuta tipo, ii) Anexo1 – Especificaciones técnicas, iii) Anexo 2 – Análisis del Sector y iv) Matriz de Riesgos. </w:t>
      </w:r>
    </w:p>
    <w:p w14:paraId="45FA4DB4" w14:textId="77777777" w:rsidR="002560B1" w:rsidRPr="001D5D7F" w:rsidRDefault="002560B1" w:rsidP="002560B1">
      <w:pPr>
        <w:pStyle w:val="Prrafodelista"/>
        <w:tabs>
          <w:tab w:val="left" w:pos="0"/>
        </w:tabs>
        <w:spacing w:after="120" w:line="276" w:lineRule="auto"/>
        <w:ind w:left="644"/>
        <w:jc w:val="both"/>
        <w:rPr>
          <w:rFonts w:ascii="Verdana" w:hAnsi="Verdana" w:cs="Arial"/>
          <w:spacing w:val="2"/>
          <w:lang w:eastAsia="es-CO"/>
        </w:rPr>
      </w:pPr>
    </w:p>
    <w:p w14:paraId="2E83BFDE" w14:textId="77777777" w:rsidR="002560B1" w:rsidRDefault="002560B1" w:rsidP="002560B1">
      <w:pPr>
        <w:pStyle w:val="Prrafodelista"/>
        <w:numPr>
          <w:ilvl w:val="0"/>
          <w:numId w:val="17"/>
        </w:numPr>
        <w:shd w:val="clear" w:color="auto" w:fill="FFFFFF"/>
        <w:spacing w:after="0" w:line="276" w:lineRule="auto"/>
        <w:ind w:left="641" w:hanging="357"/>
        <w:contextualSpacing w:val="0"/>
        <w:jc w:val="both"/>
        <w:textAlignment w:val="baseline"/>
        <w:rPr>
          <w:rFonts w:ascii="Verdana" w:hAnsi="Verdana" w:cs="Arial"/>
          <w:bCs/>
          <w:lang w:val="es-ES_tradnl"/>
        </w:rPr>
      </w:pPr>
      <w:r>
        <w:rPr>
          <w:rFonts w:ascii="Verdana" w:hAnsi="Verdana" w:cs="Arial"/>
          <w:spacing w:val="2"/>
          <w:lang w:eastAsia="es-CO"/>
        </w:rPr>
        <w:t>E</w:t>
      </w:r>
      <w:r w:rsidRPr="001D5D7F">
        <w:rPr>
          <w:rFonts w:ascii="Verdana" w:hAnsi="Verdana" w:cs="Arial"/>
          <w:spacing w:val="2"/>
          <w:lang w:eastAsia="es-CO"/>
        </w:rPr>
        <w:t>l artículo 3</w:t>
      </w:r>
      <w:r>
        <w:rPr>
          <w:rFonts w:ascii="Verdana" w:hAnsi="Verdana" w:cs="Arial"/>
          <w:spacing w:val="2"/>
          <w:lang w:eastAsia="es-CO"/>
        </w:rPr>
        <w:t xml:space="preserve"> </w:t>
      </w:r>
      <w:r w:rsidRPr="001D5D7F">
        <w:rPr>
          <w:rFonts w:ascii="Verdana" w:hAnsi="Verdana" w:cs="Arial"/>
          <w:bCs/>
          <w:lang w:val="es-ES_tradnl"/>
        </w:rPr>
        <w:t xml:space="preserve">dispone la inalterabilidad de los documentos tipo </w:t>
      </w:r>
      <w:r w:rsidRPr="001D5D7F">
        <w:rPr>
          <w:rFonts w:ascii="Verdana" w:eastAsia="Calibri" w:hAnsi="Verdana" w:cs="Arial"/>
          <w:lang w:eastAsia="es-MX"/>
        </w:rPr>
        <w:t>para la contratación directa de convenios solidarios para la ejecución de obras hasta la menor cuantía con organismos de acción comunal</w:t>
      </w:r>
      <w:r w:rsidRPr="001D5D7F">
        <w:rPr>
          <w:rFonts w:ascii="Verdana" w:hAnsi="Verdana" w:cs="Arial"/>
          <w:bCs/>
          <w:lang w:val="es-ES_tradnl"/>
        </w:rPr>
        <w:t>. En consecuencia</w:t>
      </w:r>
      <w:bookmarkStart w:id="2" w:name="_Hlk64290904"/>
      <w:r w:rsidRPr="001D5D7F">
        <w:rPr>
          <w:rFonts w:ascii="Verdana" w:hAnsi="Verdana" w:cs="Arial"/>
          <w:bCs/>
          <w:lang w:val="es-ES_tradnl"/>
        </w:rPr>
        <w:t>,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podrán variarse algunos de los requisitos fijados en ellos.</w:t>
      </w:r>
      <w:bookmarkEnd w:id="2"/>
      <w:r w:rsidRPr="001D5D7F">
        <w:rPr>
          <w:rFonts w:ascii="Verdana" w:hAnsi="Verdana" w:cs="Arial"/>
          <w:bCs/>
          <w:lang w:val="es-ES_tradnl"/>
        </w:rPr>
        <w:t xml:space="preserve"> </w:t>
      </w:r>
    </w:p>
    <w:p w14:paraId="0F647A73" w14:textId="77777777" w:rsidR="002560B1" w:rsidRPr="001D5D7F" w:rsidRDefault="002560B1" w:rsidP="002560B1">
      <w:pPr>
        <w:pStyle w:val="Prrafodelista"/>
        <w:shd w:val="clear" w:color="auto" w:fill="FFFFFF"/>
        <w:spacing w:after="0" w:line="276" w:lineRule="auto"/>
        <w:ind w:left="641"/>
        <w:contextualSpacing w:val="0"/>
        <w:jc w:val="both"/>
        <w:textAlignment w:val="baseline"/>
        <w:rPr>
          <w:rFonts w:ascii="Verdana" w:hAnsi="Verdana" w:cs="Arial"/>
          <w:bCs/>
          <w:lang w:val="es-ES_tradnl"/>
        </w:rPr>
      </w:pPr>
    </w:p>
    <w:p w14:paraId="1CBA363E" w14:textId="77777777" w:rsidR="002560B1" w:rsidRPr="001D5D7F" w:rsidRDefault="002560B1" w:rsidP="002560B1">
      <w:pPr>
        <w:pStyle w:val="Prrafodelista"/>
        <w:numPr>
          <w:ilvl w:val="0"/>
          <w:numId w:val="17"/>
        </w:numPr>
        <w:shd w:val="clear" w:color="auto" w:fill="FFFFFF"/>
        <w:spacing w:after="0" w:line="276" w:lineRule="auto"/>
        <w:ind w:left="641" w:hanging="357"/>
        <w:contextualSpacing w:val="0"/>
        <w:jc w:val="both"/>
        <w:textAlignment w:val="baseline"/>
        <w:rPr>
          <w:rFonts w:ascii="Verdana" w:eastAsia="Calibri" w:hAnsi="Verdana" w:cs="Arial"/>
          <w:bCs/>
          <w:lang w:val="es-ES_tradnl" w:eastAsia="es-ES_tradnl"/>
        </w:rPr>
      </w:pPr>
      <w:r>
        <w:rPr>
          <w:rFonts w:ascii="Verdana" w:eastAsia="Calibri" w:hAnsi="Verdana" w:cs="Arial"/>
          <w:bCs/>
          <w:lang w:val="es-ES_tradnl" w:eastAsia="es-ES_tradnl"/>
        </w:rPr>
        <w:t>E</w:t>
      </w:r>
      <w:r w:rsidRPr="001D5D7F">
        <w:rPr>
          <w:rFonts w:ascii="Verdana" w:eastAsia="Calibri" w:hAnsi="Verdana" w:cs="Arial"/>
          <w:bCs/>
          <w:lang w:val="es-ES_tradnl" w:eastAsia="es-ES_tradnl"/>
        </w:rPr>
        <w:t xml:space="preserve">l artículo 4 consagra que la Resolución 358 del 30 de junio de 2023, rige a partir de su publicación y aplicará a la contratación directa de convenios </w:t>
      </w:r>
      <w:r w:rsidRPr="001D5D7F">
        <w:rPr>
          <w:rFonts w:ascii="Verdana" w:eastAsia="Calibri" w:hAnsi="Verdana" w:cs="Arial"/>
          <w:bCs/>
          <w:lang w:val="es-ES_tradnl" w:eastAsia="es-ES_tradnl"/>
        </w:rPr>
        <w:lastRenderedPageBreak/>
        <w:t xml:space="preserve">solidarios para la ejecución de obras hasta la menor cuantía con Organismos de Acción Comunal. </w:t>
      </w:r>
    </w:p>
    <w:p w14:paraId="2EBF9F4C" w14:textId="77777777" w:rsidR="002560B1" w:rsidRPr="001D5D7F" w:rsidRDefault="002560B1" w:rsidP="002560B1">
      <w:pPr>
        <w:pStyle w:val="Prrafodelista"/>
        <w:shd w:val="clear" w:color="auto" w:fill="FFFFFF"/>
        <w:spacing w:after="120" w:line="276" w:lineRule="auto"/>
        <w:ind w:left="644"/>
        <w:jc w:val="both"/>
        <w:textAlignment w:val="baseline"/>
        <w:rPr>
          <w:rFonts w:ascii="Verdana" w:eastAsia="Calibri" w:hAnsi="Verdana" w:cs="Arial"/>
          <w:bCs/>
          <w:lang w:val="es-ES_tradnl" w:eastAsia="es-ES_tradnl"/>
        </w:rPr>
      </w:pPr>
    </w:p>
    <w:p w14:paraId="084EF7FC" w14:textId="77777777" w:rsidR="002560B1" w:rsidRPr="001D5D7F" w:rsidRDefault="002560B1" w:rsidP="002560B1">
      <w:pPr>
        <w:pStyle w:val="Prrafodelista"/>
        <w:numPr>
          <w:ilvl w:val="0"/>
          <w:numId w:val="17"/>
        </w:numPr>
        <w:tabs>
          <w:tab w:val="left" w:pos="0"/>
        </w:tabs>
        <w:spacing w:after="120" w:line="276" w:lineRule="auto"/>
        <w:jc w:val="both"/>
        <w:rPr>
          <w:rFonts w:ascii="Verdana" w:hAnsi="Verdana" w:cs="Arial"/>
          <w:bCs/>
          <w:color w:val="000000" w:themeColor="text1"/>
          <w:lang w:eastAsia="es-MX"/>
        </w:rPr>
      </w:pPr>
      <w:r w:rsidRPr="001D5D7F">
        <w:rPr>
          <w:rFonts w:ascii="Verdana" w:eastAsia="Calibri" w:hAnsi="Verdana" w:cs="Arial"/>
          <w:bCs/>
          <w:lang w:val="es-ES_tradnl" w:eastAsia="es-ES_tradnl"/>
        </w:rPr>
        <w:t xml:space="preserve">Conforme al contenido de la Resolución 358 del 30 de junio de 2023, conviene precisar que los documentos tipo que se adoptan, son aquellos </w:t>
      </w:r>
      <w:r w:rsidRPr="001D5D7F">
        <w:rPr>
          <w:rFonts w:ascii="Verdana" w:hAnsi="Verdana" w:cs="Arial"/>
          <w:spacing w:val="2"/>
          <w:lang w:eastAsia="es-CO"/>
        </w:rPr>
        <w:t>para la contratación directa de convenios solidarios para la ejecución de obras hasta la menor cuantía con Organismos de Acción Comunal, los cuales tiene como fundamento normativo el artículo 95 “Convenios solidarios” de la Ley 2166 de 2021</w:t>
      </w:r>
      <w:r w:rsidRPr="001D5D7F">
        <w:rPr>
          <w:rStyle w:val="Refdenotaalpie"/>
          <w:rFonts w:ascii="Verdana" w:hAnsi="Verdana" w:cs="Arial"/>
          <w:spacing w:val="2"/>
          <w:lang w:eastAsia="es-CO"/>
        </w:rPr>
        <w:footnoteReference w:id="4"/>
      </w:r>
      <w:r w:rsidRPr="001D5D7F">
        <w:rPr>
          <w:rFonts w:ascii="Verdana" w:hAnsi="Verdana" w:cs="Arial"/>
          <w:spacing w:val="2"/>
          <w:lang w:eastAsia="es-CO"/>
        </w:rPr>
        <w:t>.</w:t>
      </w:r>
    </w:p>
    <w:p w14:paraId="588C3C10" w14:textId="77777777" w:rsidR="002560B1" w:rsidRPr="001D5D7F" w:rsidRDefault="002560B1" w:rsidP="002560B1">
      <w:pPr>
        <w:pStyle w:val="Prrafodelista"/>
        <w:rPr>
          <w:rFonts w:ascii="Verdana" w:eastAsia="Calibri" w:hAnsi="Verdana" w:cs="Arial"/>
          <w:color w:val="000000" w:themeColor="text1"/>
          <w:lang w:val="es-ES_tradnl"/>
        </w:rPr>
      </w:pPr>
    </w:p>
    <w:p w14:paraId="16E91086" w14:textId="77777777" w:rsidR="002560B1" w:rsidRPr="001D5D7F" w:rsidRDefault="002560B1" w:rsidP="002560B1">
      <w:pPr>
        <w:pStyle w:val="Prrafodelista"/>
        <w:numPr>
          <w:ilvl w:val="0"/>
          <w:numId w:val="17"/>
        </w:numPr>
        <w:tabs>
          <w:tab w:val="left" w:pos="0"/>
        </w:tabs>
        <w:spacing w:after="120" w:line="276" w:lineRule="auto"/>
        <w:jc w:val="both"/>
        <w:rPr>
          <w:rFonts w:ascii="Verdana" w:hAnsi="Verdana" w:cs="Arial"/>
          <w:bCs/>
          <w:color w:val="000000" w:themeColor="text1"/>
          <w:lang w:val="es-CO" w:eastAsia="es-MX"/>
        </w:rPr>
      </w:pPr>
      <w:r w:rsidRPr="001D5D7F">
        <w:rPr>
          <w:rFonts w:ascii="Verdana" w:eastAsia="Calibri" w:hAnsi="Verdana" w:cs="Arial"/>
          <w:color w:val="000000" w:themeColor="text1"/>
          <w:lang w:val="es-ES_tradnl"/>
        </w:rPr>
        <w:t xml:space="preserve">El documento tipo para la contratación directa de convenios solidarios para la ejecución de obras hasta la menor cuantía con organismos de acción comunal, </w:t>
      </w:r>
      <w:bookmarkStart w:id="3" w:name="_Hlk145072611"/>
      <w:r w:rsidRPr="001D5D7F">
        <w:rPr>
          <w:rFonts w:ascii="Verdana" w:eastAsia="Calibri" w:hAnsi="Verdana" w:cs="Arial"/>
          <w:color w:val="000000" w:themeColor="text1"/>
          <w:lang w:val="es-ES_tradnl"/>
        </w:rPr>
        <w:t xml:space="preserve">contempla tres </w:t>
      </w:r>
      <w:r>
        <w:rPr>
          <w:rFonts w:ascii="Verdana" w:eastAsia="Calibri" w:hAnsi="Verdana" w:cs="Arial"/>
          <w:color w:val="000000" w:themeColor="text1"/>
          <w:lang w:val="es-ES_tradnl"/>
        </w:rPr>
        <w:t>(</w:t>
      </w:r>
      <w:r w:rsidRPr="001D5D7F">
        <w:rPr>
          <w:rFonts w:ascii="Verdana" w:eastAsia="Calibri" w:hAnsi="Verdana" w:cs="Arial"/>
          <w:color w:val="000000" w:themeColor="text1"/>
          <w:lang w:val="es-ES_tradnl"/>
        </w:rPr>
        <w:t>3</w:t>
      </w:r>
      <w:r>
        <w:rPr>
          <w:rFonts w:ascii="Verdana" w:eastAsia="Calibri" w:hAnsi="Verdana" w:cs="Arial"/>
          <w:color w:val="000000" w:themeColor="text1"/>
          <w:lang w:val="es-ES_tradnl"/>
        </w:rPr>
        <w:t>)</w:t>
      </w:r>
      <w:r w:rsidRPr="001D5D7F">
        <w:rPr>
          <w:rFonts w:ascii="Verdana" w:eastAsia="Calibri" w:hAnsi="Verdana" w:cs="Arial"/>
          <w:color w:val="000000" w:themeColor="text1"/>
          <w:lang w:val="es-ES_tradnl"/>
        </w:rPr>
        <w:t xml:space="preserve"> opciones para el giro de los recursos por parte de la Entidad Estatal, de acuerdo con la cláusula 7 de la Minuta Tipo. De esta manera, el giro de los recursos puede realizarse</w:t>
      </w:r>
      <w:r>
        <w:rPr>
          <w:rFonts w:ascii="Verdana" w:eastAsia="Calibri" w:hAnsi="Verdana" w:cs="Arial"/>
          <w:color w:val="000000" w:themeColor="text1"/>
          <w:lang w:val="es-ES_tradnl"/>
        </w:rPr>
        <w:t>, según una de las siguientes opciones por la que opte la entidad estatal</w:t>
      </w:r>
      <w:r w:rsidRPr="001D5D7F">
        <w:rPr>
          <w:rFonts w:ascii="Verdana" w:eastAsia="Calibri" w:hAnsi="Verdana" w:cs="Arial"/>
          <w:color w:val="000000" w:themeColor="text1"/>
          <w:lang w:val="es-ES_tradnl"/>
        </w:rPr>
        <w:t>: i) a una cuenta de manejo conjunto a nombre del convenio</w:t>
      </w:r>
      <w:r>
        <w:rPr>
          <w:rFonts w:ascii="Verdana" w:eastAsia="Calibri" w:hAnsi="Verdana" w:cs="Arial"/>
          <w:color w:val="000000" w:themeColor="text1"/>
          <w:lang w:val="es-ES_tradnl"/>
        </w:rPr>
        <w:t xml:space="preserve"> – opción 1</w:t>
      </w:r>
      <w:r w:rsidRPr="001D5D7F">
        <w:rPr>
          <w:rFonts w:ascii="Verdana" w:eastAsia="Calibri" w:hAnsi="Verdana" w:cs="Arial"/>
          <w:color w:val="000000" w:themeColor="text1"/>
          <w:lang w:val="es-ES_tradnl"/>
        </w:rPr>
        <w:t>, ii) a un patrimonio autónomo irrevocable al nombre del convenio</w:t>
      </w:r>
      <w:r>
        <w:rPr>
          <w:rFonts w:ascii="Verdana" w:eastAsia="Calibri" w:hAnsi="Verdana" w:cs="Arial"/>
          <w:color w:val="000000" w:themeColor="text1"/>
          <w:lang w:val="es-ES_tradnl"/>
        </w:rPr>
        <w:t xml:space="preserve"> – opción 2</w:t>
      </w:r>
      <w:r w:rsidRPr="001D5D7F">
        <w:rPr>
          <w:rFonts w:ascii="Verdana" w:eastAsia="Calibri" w:hAnsi="Verdana" w:cs="Arial"/>
          <w:color w:val="000000" w:themeColor="text1"/>
          <w:lang w:val="es-ES_tradnl"/>
        </w:rPr>
        <w:t xml:space="preserve">, o iii) a cuenta bancaria a nombre del convenio </w:t>
      </w:r>
      <w:r>
        <w:rPr>
          <w:rFonts w:ascii="Verdana" w:eastAsia="Calibri" w:hAnsi="Verdana" w:cs="Arial"/>
          <w:color w:val="000000" w:themeColor="text1"/>
          <w:lang w:val="es-ES_tradnl"/>
        </w:rPr>
        <w:t xml:space="preserve">– opción 3. </w:t>
      </w:r>
    </w:p>
    <w:p w14:paraId="062BAEF0" w14:textId="77777777" w:rsidR="002560B1" w:rsidRPr="001D5D7F" w:rsidRDefault="002560B1" w:rsidP="002560B1">
      <w:pPr>
        <w:pStyle w:val="Prrafodelista"/>
        <w:rPr>
          <w:rFonts w:ascii="Verdana" w:hAnsi="Verdana" w:cs="Arial"/>
          <w:bCs/>
          <w:color w:val="000000" w:themeColor="text1"/>
          <w:lang w:eastAsia="es-MX"/>
        </w:rPr>
      </w:pPr>
    </w:p>
    <w:p w14:paraId="54E2E0E3" w14:textId="77777777" w:rsidR="002560B1" w:rsidRPr="001D5D7F" w:rsidRDefault="002560B1" w:rsidP="002560B1">
      <w:pPr>
        <w:pStyle w:val="Prrafodelista"/>
        <w:numPr>
          <w:ilvl w:val="0"/>
          <w:numId w:val="17"/>
        </w:numPr>
        <w:tabs>
          <w:tab w:val="left" w:pos="0"/>
        </w:tabs>
        <w:spacing w:after="0" w:line="276" w:lineRule="auto"/>
        <w:contextualSpacing w:val="0"/>
        <w:jc w:val="both"/>
        <w:rPr>
          <w:rFonts w:ascii="Verdana" w:hAnsi="Verdana" w:cs="Arial"/>
          <w:bCs/>
          <w:color w:val="000000" w:themeColor="text1"/>
          <w:lang w:val="es-CO" w:eastAsia="es-MX"/>
        </w:rPr>
      </w:pPr>
      <w:r w:rsidRPr="001D5D7F">
        <w:rPr>
          <w:rFonts w:ascii="Verdana" w:hAnsi="Verdana" w:cs="Arial"/>
          <w:bCs/>
          <w:color w:val="000000" w:themeColor="text1"/>
          <w:lang w:eastAsia="es-MX"/>
        </w:rPr>
        <w:t xml:space="preserve">En relación con la solicitud, </w:t>
      </w:r>
      <w:r>
        <w:rPr>
          <w:rFonts w:ascii="Verdana" w:hAnsi="Verdana" w:cs="Arial"/>
          <w:bCs/>
          <w:color w:val="000000" w:themeColor="text1"/>
          <w:lang w:eastAsia="es-MX"/>
        </w:rPr>
        <w:t xml:space="preserve">convine mencionar el alcance de </w:t>
      </w:r>
      <w:r w:rsidRPr="001D5D7F">
        <w:rPr>
          <w:rFonts w:ascii="Verdana" w:hAnsi="Verdana" w:cs="Arial"/>
          <w:bCs/>
          <w:color w:val="000000" w:themeColor="text1"/>
          <w:lang w:eastAsia="es-MX"/>
        </w:rPr>
        <w:t>la Opción 1 “Giro de los recursos” de la Minuta Tipo de Convenios Solidarios</w:t>
      </w:r>
      <w:r>
        <w:rPr>
          <w:rFonts w:ascii="Verdana" w:hAnsi="Verdana" w:cs="Arial"/>
          <w:bCs/>
          <w:color w:val="000000" w:themeColor="text1"/>
          <w:lang w:eastAsia="es-MX"/>
        </w:rPr>
        <w:t>, que</w:t>
      </w:r>
      <w:r w:rsidRPr="001D5D7F">
        <w:rPr>
          <w:rFonts w:ascii="Verdana" w:hAnsi="Verdana" w:cs="Arial"/>
          <w:bCs/>
          <w:color w:val="000000" w:themeColor="text1"/>
          <w:lang w:eastAsia="es-MX"/>
        </w:rPr>
        <w:t xml:space="preserve"> dispone lo siguiente: </w:t>
      </w:r>
    </w:p>
    <w:bookmarkEnd w:id="3"/>
    <w:p w14:paraId="1EDA4B0B" w14:textId="77777777" w:rsidR="002560B1" w:rsidRPr="001D5D7F" w:rsidRDefault="002560B1" w:rsidP="002560B1">
      <w:pPr>
        <w:shd w:val="clear" w:color="auto" w:fill="FFFFFF" w:themeFill="background1"/>
        <w:spacing w:after="0" w:line="240" w:lineRule="auto"/>
        <w:ind w:left="709" w:right="709" w:firstLine="709"/>
        <w:jc w:val="both"/>
        <w:rPr>
          <w:rFonts w:ascii="Verdana" w:eastAsia="Calibri" w:hAnsi="Verdana" w:cs="Arial"/>
          <w:color w:val="000000" w:themeColor="text1"/>
          <w:sz w:val="21"/>
          <w:szCs w:val="21"/>
          <w:lang w:val="es-ES_tradnl"/>
        </w:rPr>
      </w:pPr>
    </w:p>
    <w:p w14:paraId="377DB206" w14:textId="77777777" w:rsidR="002560B1" w:rsidRDefault="002560B1" w:rsidP="002560B1">
      <w:pPr>
        <w:spacing w:after="120" w:line="240" w:lineRule="auto"/>
        <w:ind w:left="709" w:right="709"/>
        <w:jc w:val="both"/>
        <w:rPr>
          <w:rFonts w:ascii="Verdana" w:hAnsi="Verdana" w:cs="Arial"/>
          <w:b/>
          <w:bCs/>
          <w:sz w:val="21"/>
          <w:szCs w:val="21"/>
        </w:rPr>
      </w:pPr>
      <w:r w:rsidRPr="001D5D7F">
        <w:rPr>
          <w:rFonts w:ascii="Verdana" w:hAnsi="Verdana" w:cs="Arial"/>
          <w:b/>
          <w:bCs/>
          <w:sz w:val="21"/>
          <w:szCs w:val="21"/>
        </w:rPr>
        <w:t>Opción 1</w:t>
      </w:r>
    </w:p>
    <w:p w14:paraId="6C235F87" w14:textId="77777777" w:rsidR="002560B1" w:rsidRPr="001D5D7F" w:rsidRDefault="002560B1" w:rsidP="002560B1">
      <w:pPr>
        <w:shd w:val="clear" w:color="auto" w:fill="BFBFBF" w:themeFill="background1" w:themeFillShade="BF"/>
        <w:spacing w:after="120" w:line="240" w:lineRule="auto"/>
        <w:ind w:left="709" w:right="709"/>
        <w:jc w:val="both"/>
        <w:rPr>
          <w:rFonts w:ascii="Verdana" w:hAnsi="Verdana" w:cs="Arial"/>
        </w:rPr>
      </w:pPr>
      <w:r w:rsidRPr="001D5D7F">
        <w:rPr>
          <w:rFonts w:ascii="Verdana" w:hAnsi="Verdana" w:cs="Arial"/>
        </w:rPr>
        <w:t>[Los giros de los recursos que realice la Entidad Estatal deberán realizarse a cuenta de manejo conjunto a nombre del convenio que genere rendimientos financieros y sin posibilidad de sobregiro, en la que no se podrá disponer de los recursos de manera electrónica por el OAC y que requiere para la disposición de los recursos allí depositados de la autorización del Representante Legal del OAC y del Interventor y/o Supervisor de la Entidad Estatal]</w:t>
      </w:r>
    </w:p>
    <w:p w14:paraId="2414A599" w14:textId="77777777" w:rsidR="002560B1" w:rsidRPr="001D5D7F" w:rsidRDefault="002560B1" w:rsidP="002560B1">
      <w:pPr>
        <w:shd w:val="clear" w:color="auto" w:fill="BFBFBF" w:themeFill="background1" w:themeFillShade="BF"/>
        <w:spacing w:after="0" w:line="240" w:lineRule="auto"/>
        <w:ind w:left="709" w:right="709"/>
        <w:jc w:val="both"/>
        <w:rPr>
          <w:rFonts w:ascii="Verdana" w:hAnsi="Verdana" w:cs="Arial"/>
        </w:rPr>
      </w:pPr>
      <w:r w:rsidRPr="001D5D7F">
        <w:rPr>
          <w:rFonts w:ascii="Verdana" w:hAnsi="Verdana" w:cs="Arial"/>
        </w:rPr>
        <w:t>[La Entidad Estatal puede indicar condiciones propias de los giros respecto de la disponibilidad de PAC o Soportes que se requieran de la OAC para efectuar el giro de los recursos.]</w:t>
      </w:r>
    </w:p>
    <w:p w14:paraId="47219342" w14:textId="77777777" w:rsidR="002560B1" w:rsidRPr="001D5D7F" w:rsidRDefault="002560B1" w:rsidP="002560B1">
      <w:pPr>
        <w:spacing w:after="0" w:line="240" w:lineRule="auto"/>
        <w:ind w:left="709" w:right="709"/>
        <w:jc w:val="both"/>
        <w:rPr>
          <w:rFonts w:ascii="Verdana" w:hAnsi="Verdana" w:cs="Arial"/>
          <w:sz w:val="21"/>
          <w:szCs w:val="21"/>
        </w:rPr>
      </w:pPr>
    </w:p>
    <w:p w14:paraId="6E1B190D" w14:textId="77777777" w:rsidR="002560B1" w:rsidRPr="001D5D7F" w:rsidRDefault="002560B1" w:rsidP="002560B1">
      <w:pPr>
        <w:pStyle w:val="Prrafodelista"/>
        <w:numPr>
          <w:ilvl w:val="0"/>
          <w:numId w:val="20"/>
        </w:numPr>
        <w:spacing w:after="0" w:line="276" w:lineRule="auto"/>
        <w:contextualSpacing w:val="0"/>
        <w:jc w:val="both"/>
        <w:rPr>
          <w:rFonts w:ascii="Verdana" w:hAnsi="Verdana" w:cs="Arial"/>
        </w:rPr>
      </w:pPr>
      <w:r w:rsidRPr="001D5D7F">
        <w:rPr>
          <w:rFonts w:ascii="Verdana" w:hAnsi="Verdana" w:cs="Arial"/>
        </w:rPr>
        <w:t>Como se aprecia,</w:t>
      </w:r>
      <w:r>
        <w:rPr>
          <w:rFonts w:ascii="Verdana" w:hAnsi="Verdana" w:cs="Arial"/>
        </w:rPr>
        <w:t xml:space="preserve"> el inciso primero de la opción 1 indica parámetros obligatorios que debe incluir la entidad que acoja esa opción. De esta forma, </w:t>
      </w:r>
      <w:r w:rsidRPr="001D5D7F">
        <w:rPr>
          <w:rFonts w:ascii="Verdana" w:hAnsi="Verdana" w:cs="Arial"/>
        </w:rPr>
        <w:t>el giro de los recursos se realizará en una cuenta de manejo conjunto a nombre del convenio, que es aquella que permite a la entidad y al OAC gestionar los fondos del convenio de manera compartida. Además, la cláusula de agrega que la misma debe generar rendimientos financieros, y no será posible el sobregiro.</w:t>
      </w:r>
    </w:p>
    <w:p w14:paraId="209CEBE7" w14:textId="77777777" w:rsidR="002560B1" w:rsidRPr="001D5D7F" w:rsidRDefault="002560B1" w:rsidP="002560B1">
      <w:pPr>
        <w:pStyle w:val="Prrafodelista"/>
        <w:spacing w:after="0" w:line="276" w:lineRule="auto"/>
        <w:ind w:left="785"/>
        <w:contextualSpacing w:val="0"/>
        <w:jc w:val="both"/>
        <w:rPr>
          <w:rFonts w:ascii="Verdana" w:hAnsi="Verdana" w:cs="Arial"/>
        </w:rPr>
      </w:pPr>
      <w:r w:rsidRPr="001D5D7F">
        <w:rPr>
          <w:rFonts w:ascii="Verdana" w:hAnsi="Verdana" w:cs="Arial"/>
        </w:rPr>
        <w:t xml:space="preserve"> </w:t>
      </w:r>
    </w:p>
    <w:p w14:paraId="3F12D136" w14:textId="77777777" w:rsidR="002560B1" w:rsidRPr="001D5D7F" w:rsidRDefault="002560B1" w:rsidP="002560B1">
      <w:pPr>
        <w:pStyle w:val="Prrafodelista"/>
        <w:numPr>
          <w:ilvl w:val="0"/>
          <w:numId w:val="20"/>
        </w:numPr>
        <w:spacing w:after="0" w:line="276" w:lineRule="auto"/>
        <w:contextualSpacing w:val="0"/>
        <w:jc w:val="both"/>
        <w:rPr>
          <w:rFonts w:ascii="Verdana" w:hAnsi="Verdana" w:cs="Arial"/>
        </w:rPr>
      </w:pPr>
      <w:r w:rsidRPr="001D5D7F">
        <w:rPr>
          <w:rFonts w:ascii="Verdana" w:hAnsi="Verdana" w:cs="Arial"/>
        </w:rPr>
        <w:t xml:space="preserve">Así mismo, la opción </w:t>
      </w:r>
      <w:r>
        <w:rPr>
          <w:rFonts w:ascii="Verdana" w:hAnsi="Verdana" w:cs="Arial"/>
        </w:rPr>
        <w:t>señala</w:t>
      </w:r>
      <w:r w:rsidRPr="001D5D7F">
        <w:rPr>
          <w:rFonts w:ascii="Verdana" w:hAnsi="Verdana" w:cs="Arial"/>
        </w:rPr>
        <w:t xml:space="preserve"> que en es</w:t>
      </w:r>
      <w:r>
        <w:rPr>
          <w:rFonts w:ascii="Verdana" w:hAnsi="Verdana" w:cs="Arial"/>
        </w:rPr>
        <w:t>a</w:t>
      </w:r>
      <w:r w:rsidRPr="001D5D7F">
        <w:rPr>
          <w:rFonts w:ascii="Verdana" w:hAnsi="Verdana" w:cs="Arial"/>
        </w:rPr>
        <w:t xml:space="preserve"> cuenta conjunta no se podrá disponer de los recursos de forma electrónica por el OAC, y que para disponer de ellos se requiere la autorización del Representante Legal del OAC y del Interventor y/o Supervisor de la Entidad.</w:t>
      </w:r>
    </w:p>
    <w:p w14:paraId="4FF0EBB8" w14:textId="77777777" w:rsidR="002560B1" w:rsidRPr="001D5D7F" w:rsidRDefault="002560B1" w:rsidP="002560B1">
      <w:pPr>
        <w:pStyle w:val="Prrafodelista"/>
        <w:rPr>
          <w:rFonts w:ascii="Verdana" w:hAnsi="Verdana" w:cs="Arial"/>
        </w:rPr>
      </w:pPr>
    </w:p>
    <w:p w14:paraId="688FC948" w14:textId="77777777" w:rsidR="002560B1" w:rsidRPr="001D5D7F" w:rsidRDefault="002560B1" w:rsidP="002560B1">
      <w:pPr>
        <w:pStyle w:val="Prrafodelista"/>
        <w:numPr>
          <w:ilvl w:val="0"/>
          <w:numId w:val="20"/>
        </w:numPr>
        <w:spacing w:after="0" w:line="276" w:lineRule="auto"/>
        <w:contextualSpacing w:val="0"/>
        <w:jc w:val="both"/>
        <w:rPr>
          <w:rFonts w:ascii="Verdana" w:hAnsi="Verdana" w:cs="Arial"/>
        </w:rPr>
      </w:pPr>
      <w:r w:rsidRPr="001D5D7F">
        <w:rPr>
          <w:rFonts w:ascii="Verdana" w:hAnsi="Verdana" w:cs="Arial"/>
        </w:rPr>
        <w:t xml:space="preserve">Finalmente, el segundo inciso de la </w:t>
      </w:r>
      <w:r>
        <w:rPr>
          <w:rFonts w:ascii="Verdana" w:hAnsi="Verdana" w:cs="Arial"/>
        </w:rPr>
        <w:t>o</w:t>
      </w:r>
      <w:r w:rsidRPr="001D5D7F">
        <w:rPr>
          <w:rFonts w:ascii="Verdana" w:hAnsi="Verdana" w:cs="Arial"/>
        </w:rPr>
        <w:t xml:space="preserve">pción 1 </w:t>
      </w:r>
      <w:r>
        <w:rPr>
          <w:rFonts w:ascii="Verdana" w:hAnsi="Verdana" w:cs="Arial"/>
        </w:rPr>
        <w:t>dispone</w:t>
      </w:r>
      <w:r w:rsidRPr="001D5D7F">
        <w:rPr>
          <w:rFonts w:ascii="Verdana" w:hAnsi="Verdana" w:cs="Arial"/>
        </w:rPr>
        <w:t xml:space="preserve"> que la </w:t>
      </w:r>
      <w:r>
        <w:rPr>
          <w:rFonts w:ascii="Verdana" w:hAnsi="Verdana" w:cs="Arial"/>
        </w:rPr>
        <w:t>e</w:t>
      </w:r>
      <w:r w:rsidRPr="001D5D7F">
        <w:rPr>
          <w:rFonts w:ascii="Verdana" w:hAnsi="Verdana" w:cs="Arial"/>
        </w:rPr>
        <w:t xml:space="preserve">ntidad </w:t>
      </w:r>
      <w:r w:rsidRPr="002861D9">
        <w:rPr>
          <w:rFonts w:ascii="Verdana" w:hAnsi="Verdana" w:cs="Arial"/>
          <w:i/>
          <w:iCs/>
        </w:rPr>
        <w:t xml:space="preserve">podrá </w:t>
      </w:r>
      <w:r w:rsidRPr="001D5D7F">
        <w:rPr>
          <w:rFonts w:ascii="Verdana" w:hAnsi="Verdana" w:cs="Arial"/>
        </w:rPr>
        <w:t xml:space="preserve">señalar opciones propias de los giros </w:t>
      </w:r>
      <w:r>
        <w:rPr>
          <w:rFonts w:ascii="Verdana" w:hAnsi="Verdana" w:cs="Arial"/>
        </w:rPr>
        <w:t xml:space="preserve">en relación con </w:t>
      </w:r>
      <w:r w:rsidRPr="001D5D7F">
        <w:rPr>
          <w:rFonts w:ascii="Verdana" w:hAnsi="Verdana" w:cs="Arial"/>
        </w:rPr>
        <w:t xml:space="preserve">los siguientes aspectos: i) disponibilidad de Plan Anual de Caja – PAC, o ii) soportes que se requieran del Organismo de Acción Comunal OAC para efectuar el giro de los recursos. </w:t>
      </w:r>
      <w:r>
        <w:rPr>
          <w:rFonts w:ascii="Verdana" w:hAnsi="Verdana" w:cs="Arial"/>
        </w:rPr>
        <w:t xml:space="preserve">Este aspecto, es de aquellos que permite que la entidad </w:t>
      </w:r>
      <w:r>
        <w:rPr>
          <w:rFonts w:ascii="Verdana" w:hAnsi="Verdana" w:cs="Arial"/>
          <w:bCs/>
          <w:lang w:val="es-ES_tradnl"/>
        </w:rPr>
        <w:t xml:space="preserve">complemente o indique las condiciones que allí se permiten, sin embargo, solo es posible en relación con el PAC y soportes para el giro de los recursos. </w:t>
      </w:r>
    </w:p>
    <w:p w14:paraId="6F29CE62" w14:textId="77777777" w:rsidR="002560B1" w:rsidRPr="001D5D7F" w:rsidRDefault="002560B1" w:rsidP="002560B1">
      <w:pPr>
        <w:pStyle w:val="Prrafodelista"/>
        <w:spacing w:after="0" w:line="276" w:lineRule="auto"/>
        <w:ind w:left="785"/>
        <w:contextualSpacing w:val="0"/>
        <w:jc w:val="both"/>
        <w:rPr>
          <w:rFonts w:ascii="Verdana" w:hAnsi="Verdana" w:cs="Arial"/>
        </w:rPr>
      </w:pPr>
    </w:p>
    <w:p w14:paraId="31DF6FC7" w14:textId="77777777" w:rsidR="002560B1" w:rsidRPr="00061A19" w:rsidRDefault="002560B1" w:rsidP="002560B1">
      <w:pPr>
        <w:pStyle w:val="Prrafodelista"/>
        <w:numPr>
          <w:ilvl w:val="0"/>
          <w:numId w:val="20"/>
        </w:numPr>
        <w:spacing w:after="0" w:line="276" w:lineRule="auto"/>
        <w:contextualSpacing w:val="0"/>
        <w:jc w:val="both"/>
        <w:rPr>
          <w:rFonts w:ascii="Verdana" w:hAnsi="Verdana" w:cs="Arial"/>
        </w:rPr>
      </w:pPr>
      <w:r w:rsidRPr="00E52610">
        <w:rPr>
          <w:rFonts w:ascii="Verdana" w:hAnsi="Verdana" w:cs="Arial"/>
        </w:rPr>
        <w:t xml:space="preserve">Por su parte, la cláusula 8 de la Minuta Tipo dispone de tres </w:t>
      </w:r>
      <w:r>
        <w:rPr>
          <w:rFonts w:ascii="Verdana" w:hAnsi="Verdana" w:cs="Arial"/>
        </w:rPr>
        <w:t>(</w:t>
      </w:r>
      <w:r w:rsidRPr="00E52610">
        <w:rPr>
          <w:rFonts w:ascii="Verdana" w:hAnsi="Verdana" w:cs="Arial"/>
        </w:rPr>
        <w:t>3</w:t>
      </w:r>
      <w:r>
        <w:rPr>
          <w:rFonts w:ascii="Verdana" w:hAnsi="Verdana" w:cs="Arial"/>
        </w:rPr>
        <w:t>)</w:t>
      </w:r>
      <w:r w:rsidRPr="00E52610">
        <w:rPr>
          <w:rFonts w:ascii="Verdana" w:hAnsi="Verdana" w:cs="Arial"/>
        </w:rPr>
        <w:t xml:space="preserve"> alternativas para el manejo de los recursos, dependiendo de si se opta por la opción 1, 2 o 3 de la cláusula 7 para el giro de los recursos. Esto significa que la opción para el manejo de los recursos debe incluirse dependiendo de la opción de giro de recursos que se haya escogido. Estas opciones contienen unas condiciones que deben cumplirse y, en caso de que se opte por la opción 1 de la cláusula 7 de la Minuta Tipo, que implica que se realicen giros de recursos a cuenta conjunta a nombre del convenio, debe tenerse en cuenta -para efectos de su consulta</w:t>
      </w:r>
      <w:r>
        <w:rPr>
          <w:rFonts w:ascii="Verdana" w:hAnsi="Verdana" w:cs="Arial"/>
        </w:rPr>
        <w:t>-</w:t>
      </w:r>
      <w:r w:rsidRPr="00E52610">
        <w:rPr>
          <w:rFonts w:ascii="Verdana" w:hAnsi="Verdana" w:cs="Arial"/>
        </w:rPr>
        <w:t xml:space="preserve">, el numeral I. </w:t>
      </w:r>
      <w:r>
        <w:rPr>
          <w:rFonts w:ascii="Verdana" w:hAnsi="Verdana" w:cs="Arial"/>
        </w:rPr>
        <w:t>que señala lo siguiente:</w:t>
      </w:r>
    </w:p>
    <w:p w14:paraId="63CFE79A" w14:textId="77777777" w:rsidR="002560B1" w:rsidRPr="00E52610" w:rsidRDefault="002560B1" w:rsidP="002560B1">
      <w:pPr>
        <w:pStyle w:val="Prrafodelista"/>
        <w:spacing w:after="0" w:line="276" w:lineRule="auto"/>
        <w:ind w:left="644"/>
        <w:contextualSpacing w:val="0"/>
        <w:jc w:val="both"/>
        <w:rPr>
          <w:rFonts w:ascii="Verdana" w:hAnsi="Verdana" w:cs="Arial"/>
        </w:rPr>
      </w:pPr>
    </w:p>
    <w:p w14:paraId="39F4F5A2" w14:textId="77777777" w:rsidR="002560B1" w:rsidRPr="001D5D7F" w:rsidRDefault="002560B1" w:rsidP="002560B1">
      <w:pPr>
        <w:numPr>
          <w:ilvl w:val="0"/>
          <w:numId w:val="21"/>
        </w:numPr>
        <w:spacing w:after="0" w:line="240" w:lineRule="auto"/>
        <w:ind w:right="709"/>
        <w:jc w:val="both"/>
        <w:rPr>
          <w:rFonts w:ascii="Verdana" w:eastAsia="Arial" w:hAnsi="Verdana" w:cs="Arial"/>
          <w:sz w:val="21"/>
          <w:szCs w:val="21"/>
          <w:lang w:val="es-MX"/>
        </w:rPr>
      </w:pPr>
      <w:r w:rsidRPr="00A83656">
        <w:rPr>
          <w:rFonts w:ascii="Verdana" w:eastAsia="Arial" w:hAnsi="Verdana" w:cs="Arial"/>
          <w:sz w:val="21"/>
          <w:szCs w:val="21"/>
          <w:lang w:val="es-MX"/>
        </w:rPr>
        <w:t xml:space="preserve">El manejo de los recursos del Convenio se hará mediante la apertura de una cuenta que genere rendimientos financieros de manejo y firmas conjuntas, a nombre del objeto contratado y los cheques que se giren con cargo a ella requerirán para ser pagados, la firma del representante legal del OAC, y del interventor y/o supervisor de la </w:t>
      </w:r>
      <w:r w:rsidRPr="00A83656">
        <w:rPr>
          <w:rFonts w:ascii="Verdana" w:eastAsia="Arial" w:hAnsi="Verdana" w:cs="Arial"/>
          <w:sz w:val="21"/>
          <w:szCs w:val="21"/>
          <w:highlight w:val="lightGray"/>
          <w:lang w:val="es-MX"/>
        </w:rPr>
        <w:t>[Entidad Estatal],</w:t>
      </w:r>
      <w:r w:rsidRPr="00A83656">
        <w:rPr>
          <w:rFonts w:ascii="Verdana" w:eastAsia="Arial" w:hAnsi="Verdana" w:cs="Arial"/>
          <w:sz w:val="21"/>
          <w:szCs w:val="21"/>
          <w:lang w:val="es-MX"/>
        </w:rPr>
        <w:t xml:space="preserve"> y debe tener los respectivos soportes que justifiquen el desembolso. Por consiguiente, ningún pago o gravamen que afecte el giro o desembolso podrá ser </w:t>
      </w:r>
      <w:r w:rsidRPr="00A83656">
        <w:rPr>
          <w:rFonts w:ascii="Verdana" w:eastAsia="Arial" w:hAnsi="Verdana" w:cs="Arial"/>
          <w:sz w:val="21"/>
          <w:szCs w:val="21"/>
          <w:lang w:val="es-MX"/>
        </w:rPr>
        <w:lastRenderedPageBreak/>
        <w:t>efectuado sin la autorización expresa y escrita del Interventor y/o supervisor de la Entidad Estatal, quien velará por que todo débito de la cuenta corresponda a gastos del convenio y que estén de acuerdo con el plan de inversión aprobado por el Interventor y/o supervisor.</w:t>
      </w:r>
    </w:p>
    <w:p w14:paraId="058016E8" w14:textId="77777777" w:rsidR="002560B1" w:rsidRPr="00A83656" w:rsidRDefault="002560B1" w:rsidP="002560B1">
      <w:pPr>
        <w:spacing w:after="0" w:line="240" w:lineRule="auto"/>
        <w:ind w:left="1069" w:right="709"/>
        <w:jc w:val="both"/>
        <w:rPr>
          <w:rFonts w:ascii="Verdana" w:eastAsia="Arial" w:hAnsi="Verdana" w:cs="Arial"/>
          <w:sz w:val="21"/>
          <w:szCs w:val="21"/>
          <w:lang w:val="es-MX"/>
        </w:rPr>
      </w:pPr>
    </w:p>
    <w:p w14:paraId="1DFB6799" w14:textId="77777777" w:rsidR="002560B1" w:rsidRDefault="002560B1" w:rsidP="002560B1">
      <w:pPr>
        <w:pStyle w:val="Prrafodelista"/>
        <w:numPr>
          <w:ilvl w:val="0"/>
          <w:numId w:val="22"/>
        </w:numPr>
        <w:spacing w:after="0" w:line="278" w:lineRule="auto"/>
        <w:contextualSpacing w:val="0"/>
        <w:jc w:val="both"/>
        <w:rPr>
          <w:rFonts w:ascii="Verdana" w:hAnsi="Verdana" w:cs="Arial"/>
        </w:rPr>
      </w:pPr>
      <w:r w:rsidRPr="00E52610">
        <w:rPr>
          <w:rFonts w:ascii="Verdana" w:hAnsi="Verdana" w:cs="Arial"/>
        </w:rPr>
        <w:t xml:space="preserve">El numeral, indica que debe aperturarse una cuenta de “manejo y firmas conjuntas”, lo que implica que lo que deba pagarse con cargo a esa cuenta requiere la firma del Representante Legal </w:t>
      </w:r>
      <w:r>
        <w:rPr>
          <w:rFonts w:ascii="Verdana" w:hAnsi="Verdana" w:cs="Arial"/>
        </w:rPr>
        <w:t xml:space="preserve">del OAC </w:t>
      </w:r>
      <w:r w:rsidRPr="00E52610">
        <w:rPr>
          <w:rFonts w:ascii="Verdana" w:hAnsi="Verdana" w:cs="Arial"/>
        </w:rPr>
        <w:t xml:space="preserve">y del Interventor y/o Supervisor de la Entidad. Además, en este numeral de obligatorio cumplimiento se indica que, ningún pago o gravamen que afecte el giro o desembolso podrá darse sin la autorización de este último -Interventor y/o Supervisor de la Entidad. </w:t>
      </w:r>
    </w:p>
    <w:p w14:paraId="50C21D97" w14:textId="77777777" w:rsidR="002560B1" w:rsidRDefault="002560B1" w:rsidP="002560B1">
      <w:pPr>
        <w:pStyle w:val="Prrafodelista"/>
        <w:spacing w:after="0"/>
        <w:ind w:left="644"/>
        <w:contextualSpacing w:val="0"/>
        <w:jc w:val="both"/>
        <w:rPr>
          <w:rFonts w:ascii="Verdana" w:hAnsi="Verdana" w:cs="Arial"/>
        </w:rPr>
      </w:pPr>
    </w:p>
    <w:p w14:paraId="41F60EDC" w14:textId="77777777" w:rsidR="002560B1" w:rsidRDefault="002560B1" w:rsidP="002560B1">
      <w:pPr>
        <w:pStyle w:val="Prrafodelista"/>
        <w:numPr>
          <w:ilvl w:val="0"/>
          <w:numId w:val="22"/>
        </w:numPr>
        <w:spacing w:after="0" w:line="278" w:lineRule="auto"/>
        <w:contextualSpacing w:val="0"/>
        <w:jc w:val="both"/>
        <w:rPr>
          <w:rFonts w:ascii="Verdana" w:hAnsi="Verdana" w:cs="Arial"/>
        </w:rPr>
      </w:pPr>
      <w:r w:rsidRPr="002861D9">
        <w:rPr>
          <w:rFonts w:ascii="Verdana" w:hAnsi="Verdana" w:cs="Arial"/>
        </w:rPr>
        <w:t xml:space="preserve">Finalmente, en la opción 1 de la Clausula 8 de la Minuta Tipo del convenio solidario, dispone que “[La Entidad Estatal podrá adicionar condiciones para el manejo de los recursos siempre y cuando no estén en contra de las establecidas en la minuta]”. Por lo tanto, se faculta a la entidad para establecer condiciones adicionales en relación con el manejo de los recursos, no obstante, </w:t>
      </w:r>
      <w:r>
        <w:rPr>
          <w:rFonts w:ascii="Verdana" w:hAnsi="Verdana" w:cs="Arial"/>
        </w:rPr>
        <w:t xml:space="preserve">estas previsiones que puede incluir la entidad no podrán rebatir las condiciones fijadas en la Minuta Tipo, como, por ejemplo, las fijadas en la opción 1 de la Cláusula 7 y las de las Cláusula 8 cuando estas resulten de obligatorio cumplimiento para la entidad estatal. </w:t>
      </w:r>
    </w:p>
    <w:p w14:paraId="17A4E212" w14:textId="77777777" w:rsidR="002560B1" w:rsidRPr="002861D9" w:rsidRDefault="002560B1" w:rsidP="002560B1">
      <w:pPr>
        <w:pStyle w:val="Prrafodelista"/>
        <w:spacing w:after="0"/>
        <w:ind w:left="644"/>
        <w:contextualSpacing w:val="0"/>
        <w:jc w:val="both"/>
        <w:rPr>
          <w:rFonts w:ascii="Verdana" w:hAnsi="Verdana" w:cs="Arial"/>
        </w:rPr>
      </w:pPr>
    </w:p>
    <w:p w14:paraId="2B817F58" w14:textId="77777777" w:rsidR="002560B1" w:rsidRPr="001B0621" w:rsidRDefault="002560B1" w:rsidP="002560B1">
      <w:pPr>
        <w:pStyle w:val="Prrafodelista"/>
        <w:numPr>
          <w:ilvl w:val="0"/>
          <w:numId w:val="22"/>
        </w:numPr>
        <w:spacing w:after="0" w:line="276" w:lineRule="auto"/>
        <w:jc w:val="both"/>
        <w:rPr>
          <w:rFonts w:ascii="Verdana" w:eastAsia="Calibri" w:hAnsi="Verdana" w:cs="Arial"/>
          <w:lang w:val="es-ES_tradnl"/>
        </w:rPr>
      </w:pPr>
      <w:r>
        <w:rPr>
          <w:rFonts w:ascii="Verdana" w:hAnsi="Verdana" w:cs="Arial"/>
        </w:rPr>
        <w:t xml:space="preserve">Finalmente, debe indicarse que, </w:t>
      </w:r>
      <w:r w:rsidRPr="001B0621">
        <w:rPr>
          <w:rFonts w:ascii="Verdana" w:hAnsi="Verdana" w:cs="Arial"/>
        </w:rPr>
        <w:t>el numeral II. del parágrafo 1 de la Cláusula 8 de la Minuta Tipo</w:t>
      </w:r>
      <w:r>
        <w:rPr>
          <w:rFonts w:ascii="Verdana" w:hAnsi="Verdana" w:cs="Arial"/>
        </w:rPr>
        <w:t xml:space="preserve">, señala que </w:t>
      </w:r>
      <w:r w:rsidRPr="001B0621">
        <w:rPr>
          <w:rFonts w:ascii="Verdana" w:hAnsi="Verdana" w:cs="Arial"/>
        </w:rPr>
        <w:t>la cuenta de manejo conjunto</w:t>
      </w:r>
      <w:r>
        <w:rPr>
          <w:rFonts w:ascii="Verdana" w:hAnsi="Verdana" w:cs="Arial"/>
        </w:rPr>
        <w:t xml:space="preserve"> debe ser abierta en una </w:t>
      </w:r>
      <w:r w:rsidRPr="001B0621">
        <w:rPr>
          <w:rFonts w:ascii="Verdana" w:hAnsi="Verdana" w:cs="Arial"/>
        </w:rPr>
        <w:t>entidad financiera autorizada por la Superintendencia Financier</w:t>
      </w:r>
      <w:r>
        <w:rPr>
          <w:rFonts w:ascii="Verdana" w:hAnsi="Verdana" w:cs="Arial"/>
        </w:rPr>
        <w:t>a</w:t>
      </w:r>
      <w:r w:rsidRPr="001B0621">
        <w:rPr>
          <w:rFonts w:ascii="Verdana" w:hAnsi="Verdana" w:cs="Arial"/>
        </w:rPr>
        <w:t xml:space="preserve">. En este sentido, </w:t>
      </w:r>
      <w:r>
        <w:rPr>
          <w:rFonts w:ascii="Verdana" w:hAnsi="Verdana" w:cs="Arial"/>
        </w:rPr>
        <w:t xml:space="preserve">la entidad financiera que realizará la administración de los recursos puede ser seleccionada de forma discrecional por la entidad estatal, y en consecuencia </w:t>
      </w:r>
      <w:r w:rsidRPr="001B0621">
        <w:rPr>
          <w:rFonts w:ascii="Verdana" w:hAnsi="Verdana" w:cs="Arial"/>
        </w:rPr>
        <w:t xml:space="preserve">para la apertura de la cuenta </w:t>
      </w:r>
      <w:r>
        <w:rPr>
          <w:rFonts w:ascii="Verdana" w:hAnsi="Verdana" w:cs="Arial"/>
        </w:rPr>
        <w:t xml:space="preserve">se observaran </w:t>
      </w:r>
      <w:r w:rsidRPr="001B0621">
        <w:rPr>
          <w:rFonts w:ascii="Verdana" w:hAnsi="Verdana" w:cs="Arial"/>
        </w:rPr>
        <w:t xml:space="preserve">los requisitos particulares que exija </w:t>
      </w:r>
      <w:r>
        <w:rPr>
          <w:rFonts w:ascii="Verdana" w:hAnsi="Verdana" w:cs="Arial"/>
        </w:rPr>
        <w:t>la entidad financiera seleccionada, y para su manejo, las condiciones establecidas en la Minuta Tipo de Convenio Solidario para la ejecución de obras adoptada por medio de la Resolución 358 de 2023.</w:t>
      </w:r>
    </w:p>
    <w:p w14:paraId="21FF0C4B" w14:textId="77777777" w:rsidR="002560B1" w:rsidRPr="001B0621" w:rsidRDefault="002560B1" w:rsidP="002560B1">
      <w:pPr>
        <w:spacing w:after="0" w:line="276" w:lineRule="auto"/>
        <w:jc w:val="both"/>
        <w:rPr>
          <w:rFonts w:ascii="Verdana" w:eastAsia="Calibri" w:hAnsi="Verdana" w:cs="Arial"/>
          <w:lang w:val="es-ES_tradnl"/>
        </w:rPr>
      </w:pPr>
    </w:p>
    <w:p w14:paraId="50874AFF" w14:textId="77777777" w:rsidR="002560B1" w:rsidRPr="00D333A8" w:rsidRDefault="002560B1" w:rsidP="002560B1">
      <w:pPr>
        <w:numPr>
          <w:ilvl w:val="0"/>
          <w:numId w:val="19"/>
        </w:numPr>
        <w:tabs>
          <w:tab w:val="left" w:pos="142"/>
          <w:tab w:val="left" w:pos="284"/>
        </w:tabs>
        <w:spacing w:after="0" w:line="276" w:lineRule="auto"/>
        <w:ind w:left="357" w:hanging="357"/>
        <w:jc w:val="both"/>
        <w:rPr>
          <w:rFonts w:ascii="Verdana" w:eastAsia="Century Gothic" w:hAnsi="Verdana" w:cs="Century Gothic"/>
          <w:b/>
          <w:bCs/>
          <w:lang w:val="es-ES_tradnl"/>
        </w:rPr>
      </w:pPr>
      <w:r w:rsidRPr="00D333A8">
        <w:rPr>
          <w:rFonts w:ascii="Verdana" w:eastAsia="Century Gothic" w:hAnsi="Verdana" w:cs="Century Gothic"/>
          <w:b/>
          <w:bCs/>
          <w:lang w:val="es-ES_tradnl"/>
        </w:rPr>
        <w:t>Referencias normativas, jurisprudenciales y otras fuentes:</w:t>
      </w:r>
    </w:p>
    <w:p w14:paraId="715509DA" w14:textId="77777777" w:rsidR="002560B1" w:rsidRPr="00D333A8" w:rsidRDefault="002560B1" w:rsidP="002560B1">
      <w:pPr>
        <w:spacing w:after="0"/>
        <w:ind w:left="-15840"/>
        <w:jc w:val="both"/>
        <w:rPr>
          <w:rFonts w:ascii="Verdana" w:eastAsia="Calibri" w:hAnsi="Verdana" w:cs="Arial"/>
          <w:b/>
          <w:bCs/>
        </w:rPr>
      </w:pPr>
      <w:r w:rsidRPr="00D333A8">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560B1" w:rsidRPr="00D333A8" w14:paraId="4110A935" w14:textId="77777777" w:rsidTr="00107071">
        <w:trPr>
          <w:trHeight w:val="870"/>
        </w:trPr>
        <w:tc>
          <w:tcPr>
            <w:tcW w:w="8647" w:type="dxa"/>
            <w:tcBorders>
              <w:top w:val="dotted" w:sz="4" w:space="0" w:color="auto"/>
              <w:left w:val="dotted" w:sz="4" w:space="0" w:color="auto"/>
              <w:bottom w:val="dotted" w:sz="4" w:space="0" w:color="auto"/>
              <w:right w:val="dotted" w:sz="4" w:space="0" w:color="auto"/>
            </w:tcBorders>
          </w:tcPr>
          <w:p w14:paraId="6667DBA4" w14:textId="77777777" w:rsidR="002560B1" w:rsidRPr="00D333A8" w:rsidRDefault="002560B1" w:rsidP="00107071">
            <w:pPr>
              <w:spacing w:line="259" w:lineRule="auto"/>
              <w:ind w:left="720"/>
              <w:contextualSpacing/>
              <w:jc w:val="both"/>
              <w:rPr>
                <w:rFonts w:ascii="Verdana" w:eastAsia="Calibri" w:hAnsi="Verdana" w:cs="Arial"/>
                <w:bCs/>
              </w:rPr>
            </w:pPr>
          </w:p>
          <w:p w14:paraId="39620EB3" w14:textId="7B58E017" w:rsidR="002560B1" w:rsidRPr="002861D9" w:rsidRDefault="002560B1" w:rsidP="002560B1">
            <w:pPr>
              <w:widowControl w:val="0"/>
              <w:numPr>
                <w:ilvl w:val="0"/>
                <w:numId w:val="18"/>
              </w:numPr>
              <w:autoSpaceDE w:val="0"/>
              <w:autoSpaceDN w:val="0"/>
              <w:spacing w:line="276" w:lineRule="auto"/>
              <w:contextualSpacing/>
              <w:jc w:val="both"/>
              <w:rPr>
                <w:rFonts w:ascii="Verdana" w:hAnsi="Verdana" w:cs="Arial"/>
              </w:rPr>
            </w:pPr>
            <w:r w:rsidRPr="00D333A8">
              <w:rPr>
                <w:rFonts w:ascii="Verdana" w:eastAsia="Calibri" w:hAnsi="Verdana" w:cs="Arial"/>
                <w:lang w:val="es-ES_tradnl"/>
              </w:rPr>
              <w:t>Documentos Tipo</w:t>
            </w:r>
            <w:r w:rsidRPr="002861D9">
              <w:rPr>
                <w:rFonts w:ascii="Verdana" w:eastAsia="Calibri" w:hAnsi="Verdana" w:cs="Arial"/>
                <w:lang w:val="es-ES_tradnl"/>
              </w:rPr>
              <w:t xml:space="preserve"> para la contratación directa de convenios solidarios </w:t>
            </w:r>
            <w:r w:rsidRPr="00D333A8">
              <w:rPr>
                <w:rFonts w:ascii="Verdana" w:eastAsia="Calibri" w:hAnsi="Verdana" w:cs="Arial"/>
                <w:lang w:val="es-ES_tradnl"/>
              </w:rPr>
              <w:t xml:space="preserve"> </w:t>
            </w:r>
            <w:r w:rsidRPr="002861D9">
              <w:rPr>
                <w:rFonts w:ascii="Verdana" w:eastAsia="Calibri" w:hAnsi="Verdana" w:cs="Arial"/>
                <w:lang w:val="es-ES_tradnl"/>
              </w:rPr>
              <w:t>d</w:t>
            </w:r>
            <w:r w:rsidRPr="00D333A8">
              <w:rPr>
                <w:rFonts w:ascii="Verdana" w:eastAsia="Calibri" w:hAnsi="Verdana" w:cs="Arial"/>
                <w:lang w:val="es-ES_tradnl"/>
              </w:rPr>
              <w:t xml:space="preserve">isponible en: </w:t>
            </w:r>
            <w:hyperlink r:id="rId14" w:history="1">
              <w:r w:rsidRPr="002861D9">
                <w:rPr>
                  <w:rStyle w:val="Hipervnculo"/>
                  <w:rFonts w:ascii="Verdana" w:eastAsia="Calibri" w:hAnsi="Verdana" w:cs="Arial"/>
                  <w:lang w:val="es-ES_tradnl"/>
                </w:rPr>
                <w:t>https://www.colombiacompra.gov.co/content/documento-tipo-para-la-contratacion-directa-de-convenios-solidarios-para-la-ejecucion-de</w:t>
              </w:r>
            </w:hyperlink>
            <w:r w:rsidRPr="002861D9">
              <w:rPr>
                <w:rFonts w:ascii="Verdana" w:eastAsia="Calibri" w:hAnsi="Verdana" w:cs="Arial"/>
                <w:lang w:val="es-ES_tradnl"/>
              </w:rPr>
              <w:t xml:space="preserve"> </w:t>
            </w:r>
          </w:p>
          <w:p w14:paraId="01DAC6FE" w14:textId="77777777" w:rsidR="002560B1" w:rsidRPr="00D333A8" w:rsidRDefault="002560B1" w:rsidP="002560B1">
            <w:pPr>
              <w:widowControl w:val="0"/>
              <w:numPr>
                <w:ilvl w:val="0"/>
                <w:numId w:val="18"/>
              </w:numPr>
              <w:autoSpaceDE w:val="0"/>
              <w:autoSpaceDN w:val="0"/>
              <w:spacing w:line="276" w:lineRule="auto"/>
              <w:contextualSpacing/>
              <w:jc w:val="both"/>
              <w:rPr>
                <w:rFonts w:ascii="Verdana" w:hAnsi="Verdana" w:cs="Arial"/>
              </w:rPr>
            </w:pPr>
            <w:r w:rsidRPr="002861D9">
              <w:rPr>
                <w:rFonts w:ascii="Verdana" w:hAnsi="Verdana" w:cs="Arial"/>
                <w:spacing w:val="2"/>
                <w:lang w:eastAsia="es-CO"/>
              </w:rPr>
              <w:t xml:space="preserve">Resolución 358 de 2023. </w:t>
            </w:r>
            <w:r w:rsidRPr="002861D9">
              <w:rPr>
                <w:rFonts w:ascii="Verdana" w:hAnsi="Verdana" w:cs="Arial"/>
              </w:rPr>
              <w:t xml:space="preserve">Disponible </w:t>
            </w:r>
            <w:r w:rsidRPr="002861D9">
              <w:rPr>
                <w:rFonts w:ascii="Verdana" w:eastAsia="Calibri" w:hAnsi="Verdana" w:cs="Arial"/>
                <w:lang w:val="es-ES" w:eastAsia="es-ES"/>
              </w:rPr>
              <w:t xml:space="preserve">en el siguiente enlace: </w:t>
            </w:r>
            <w:hyperlink r:id="rId15" w:history="1">
              <w:r w:rsidRPr="002861D9">
                <w:rPr>
                  <w:rStyle w:val="Hipervnculo"/>
                  <w:rFonts w:ascii="Verdana" w:eastAsia="Calibri" w:hAnsi="Verdana" w:cs="Arial"/>
                  <w:color w:val="auto"/>
                  <w:lang w:val="es-ES" w:eastAsia="es-ES"/>
                </w:rPr>
                <w:t>https://www.colombiacompra.gov.co/content/documento-tipo-para-la-contratacion-directa-de-convenios-solidarios-para-la-ejecucion-de</w:t>
              </w:r>
            </w:hyperlink>
          </w:p>
        </w:tc>
      </w:tr>
    </w:tbl>
    <w:p w14:paraId="3738332B" w14:textId="77777777" w:rsidR="002560B1" w:rsidRPr="00D333A8" w:rsidRDefault="002560B1" w:rsidP="002560B1">
      <w:pPr>
        <w:tabs>
          <w:tab w:val="left" w:pos="142"/>
          <w:tab w:val="left" w:pos="284"/>
        </w:tabs>
        <w:spacing w:after="0" w:line="276" w:lineRule="auto"/>
        <w:jc w:val="both"/>
        <w:rPr>
          <w:rFonts w:ascii="Verdana" w:eastAsia="Calibri" w:hAnsi="Verdana" w:cs="Arial"/>
        </w:rPr>
      </w:pPr>
    </w:p>
    <w:p w14:paraId="020FCC18" w14:textId="77777777" w:rsidR="002560B1" w:rsidRPr="00D333A8" w:rsidRDefault="002560B1" w:rsidP="002560B1">
      <w:pPr>
        <w:tabs>
          <w:tab w:val="left" w:pos="142"/>
          <w:tab w:val="left" w:pos="284"/>
        </w:tabs>
        <w:spacing w:after="0" w:line="276" w:lineRule="auto"/>
        <w:jc w:val="both"/>
        <w:rPr>
          <w:rFonts w:ascii="Verdana" w:eastAsia="Century Gothic" w:hAnsi="Verdana" w:cs="Century Gothic"/>
          <w:b/>
          <w:bCs/>
          <w:lang w:val="es-ES"/>
        </w:rPr>
      </w:pPr>
      <w:r w:rsidRPr="00D333A8">
        <w:rPr>
          <w:rFonts w:ascii="Verdana" w:eastAsia="Calibri" w:hAnsi="Verdana" w:cs="Arial"/>
          <w:b/>
          <w:bCs/>
        </w:rPr>
        <w:t>5</w:t>
      </w:r>
      <w:r w:rsidRPr="00D333A8">
        <w:rPr>
          <w:rFonts w:ascii="Verdana" w:eastAsia="Calibri" w:hAnsi="Verdana" w:cs="Arial"/>
        </w:rPr>
        <w:t>.</w:t>
      </w:r>
      <w:r w:rsidRPr="00D333A8">
        <w:rPr>
          <w:rFonts w:ascii="Verdana" w:eastAsia="Century Gothic" w:hAnsi="Verdana" w:cs="Century Gothic"/>
          <w:b/>
          <w:bCs/>
          <w:lang w:val="es-ES"/>
        </w:rPr>
        <w:t>Doctrina de la Agencia Nacional de Contratación Pública:</w:t>
      </w:r>
    </w:p>
    <w:p w14:paraId="33157588" w14:textId="77777777" w:rsidR="002560B1" w:rsidRPr="00D333A8" w:rsidRDefault="002560B1" w:rsidP="002560B1">
      <w:pPr>
        <w:widowControl w:val="0"/>
        <w:autoSpaceDE w:val="0"/>
        <w:autoSpaceDN w:val="0"/>
        <w:spacing w:after="0" w:line="276" w:lineRule="auto"/>
        <w:jc w:val="both"/>
        <w:rPr>
          <w:rFonts w:ascii="Verdana" w:eastAsia="Calibri" w:hAnsi="Verdana" w:cs="Arial"/>
        </w:rPr>
      </w:pPr>
    </w:p>
    <w:p w14:paraId="594AC0D1" w14:textId="77777777" w:rsidR="002560B1" w:rsidRPr="00D333A8" w:rsidRDefault="002560B1" w:rsidP="002560B1">
      <w:pPr>
        <w:widowControl w:val="0"/>
        <w:autoSpaceDE w:val="0"/>
        <w:autoSpaceDN w:val="0"/>
        <w:spacing w:after="0" w:line="276" w:lineRule="auto"/>
        <w:jc w:val="both"/>
        <w:rPr>
          <w:rFonts w:ascii="Verdana" w:eastAsia="Times New Roman" w:hAnsi="Verdana" w:cs="Arial"/>
          <w:shd w:val="clear" w:color="auto" w:fill="FFFFFF"/>
          <w:lang w:val="es-ES"/>
        </w:rPr>
      </w:pPr>
      <w:r w:rsidRPr="00D333A8">
        <w:rPr>
          <w:rFonts w:ascii="Verdana" w:eastAsia="Calibri" w:hAnsi="Verdana" w:cs="Arial"/>
          <w:shd w:val="clear" w:color="auto" w:fill="FFFFFF"/>
        </w:rPr>
        <w:t>L</w:t>
      </w:r>
      <w:r w:rsidRPr="00D333A8">
        <w:rPr>
          <w:rFonts w:ascii="Verdana" w:eastAsia="Calibri" w:hAnsi="Verdana" w:cs="Arial"/>
          <w:shd w:val="clear" w:color="auto" w:fill="FFFFFF"/>
          <w:lang w:val="es-ES"/>
        </w:rPr>
        <w:t xml:space="preserve">a Agencia Nacional de Contratación Pública – Colombia Compra Eficiente, se ha pronunciado sobre </w:t>
      </w:r>
      <w:r>
        <w:rPr>
          <w:rFonts w:ascii="Verdana" w:eastAsia="Calibri" w:hAnsi="Verdana" w:cs="Arial"/>
          <w:shd w:val="clear" w:color="auto" w:fill="FFFFFF"/>
          <w:lang w:val="es-ES"/>
        </w:rPr>
        <w:t xml:space="preserve">el giro y manejo de los recursos en los documentos tipo para la contratación directa de los convenios solidarios para la ejecución de obras hasta la menor cuantía con organismos de acción comunal en el concepto C-370 del 19 de septiembre de 2023. </w:t>
      </w:r>
    </w:p>
    <w:p w14:paraId="23D3FDAD" w14:textId="77777777" w:rsidR="002560B1" w:rsidRPr="00D333A8" w:rsidRDefault="002560B1" w:rsidP="002560B1">
      <w:pPr>
        <w:widowControl w:val="0"/>
        <w:autoSpaceDE w:val="0"/>
        <w:autoSpaceDN w:val="0"/>
        <w:spacing w:after="0" w:line="276" w:lineRule="auto"/>
        <w:jc w:val="both"/>
        <w:rPr>
          <w:rFonts w:ascii="Verdana" w:eastAsia="Times New Roman" w:hAnsi="Verdana" w:cs="Arial"/>
          <w:shd w:val="clear" w:color="auto" w:fill="FFFFFF"/>
          <w:lang w:val="es-ES"/>
        </w:rPr>
      </w:pPr>
    </w:p>
    <w:p w14:paraId="16B790F8" w14:textId="77777777" w:rsidR="002560B1" w:rsidRPr="00D333A8" w:rsidRDefault="002560B1" w:rsidP="002560B1">
      <w:pPr>
        <w:widowControl w:val="0"/>
        <w:autoSpaceDE w:val="0"/>
        <w:autoSpaceDN w:val="0"/>
        <w:spacing w:after="0" w:line="276" w:lineRule="auto"/>
        <w:jc w:val="both"/>
        <w:rPr>
          <w:rFonts w:ascii="Verdana" w:eastAsia="Times New Roman" w:hAnsi="Verdana" w:cs="Arial"/>
          <w:shd w:val="clear" w:color="auto" w:fill="FFFFFF"/>
          <w:lang w:val="es-ES"/>
        </w:rPr>
      </w:pPr>
      <w:r w:rsidRPr="00D333A8">
        <w:rPr>
          <w:rFonts w:ascii="Verdana" w:eastAsia="Calibri" w:hAnsi="Verdana" w:cs="Arial"/>
          <w:color w:val="000000" w:themeColor="text1"/>
          <w:shd w:val="clear" w:color="auto" w:fill="FFFFFF"/>
        </w:rPr>
        <w:t>Est</w:t>
      </w:r>
      <w:r>
        <w:rPr>
          <w:rFonts w:ascii="Verdana" w:eastAsia="Calibri" w:hAnsi="Verdana" w:cs="Arial"/>
          <w:color w:val="000000" w:themeColor="text1"/>
          <w:shd w:val="clear" w:color="auto" w:fill="FFFFFF"/>
        </w:rPr>
        <w:t>e</w:t>
      </w:r>
      <w:r w:rsidRPr="00D333A8">
        <w:rPr>
          <w:rFonts w:ascii="Verdana" w:eastAsia="Calibri" w:hAnsi="Verdana" w:cs="Arial"/>
          <w:color w:val="000000" w:themeColor="text1"/>
          <w:shd w:val="clear" w:color="auto" w:fill="FFFFFF"/>
        </w:rPr>
        <w:t xml:space="preserve">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6" w:tgtFrame="_blank" w:tooltip="Dirección URL original: https://relatoria.colombiacompra.gov.co/. Haga clic o pulse si confía en este vínculo." w:history="1">
        <w:r w:rsidRPr="00D333A8">
          <w:rPr>
            <w:rStyle w:val="Hipervnculo"/>
            <w:lang w:val="es-ES" w:eastAsia="es-ES"/>
          </w:rPr>
          <w:t>https://relatoria.colombiacompra.gov.co/</w:t>
        </w:r>
      </w:hyperlink>
      <w:r w:rsidRPr="00D333A8">
        <w:rPr>
          <w:rStyle w:val="Hipervnculo"/>
          <w:lang w:val="es-ES" w:eastAsia="es-ES"/>
        </w:rPr>
        <w:t> .</w:t>
      </w:r>
    </w:p>
    <w:p w14:paraId="1B4139A3" w14:textId="77777777" w:rsidR="002560B1" w:rsidRPr="00D333A8" w:rsidRDefault="002560B1" w:rsidP="002560B1">
      <w:pPr>
        <w:spacing w:after="0" w:line="240" w:lineRule="auto"/>
        <w:jc w:val="both"/>
        <w:rPr>
          <w:rFonts w:ascii="Verdana" w:eastAsia="Calibri" w:hAnsi="Verdana" w:cs="Arial"/>
          <w:color w:val="000000" w:themeColor="text1"/>
          <w:shd w:val="clear" w:color="auto" w:fill="FFFFFF"/>
        </w:rPr>
      </w:pPr>
    </w:p>
    <w:p w14:paraId="304CD6E4" w14:textId="77777777" w:rsidR="002560B1" w:rsidRPr="00D333A8" w:rsidRDefault="002560B1" w:rsidP="002560B1">
      <w:pPr>
        <w:shd w:val="clear" w:color="auto" w:fill="FFFFFF"/>
        <w:spacing w:line="240" w:lineRule="auto"/>
        <w:jc w:val="both"/>
        <w:rPr>
          <w:rFonts w:ascii="Verdana" w:hAnsi="Verdana"/>
          <w:color w:val="212121"/>
        </w:rPr>
      </w:pPr>
      <w:r w:rsidRPr="00D333A8">
        <w:rPr>
          <w:rFonts w:ascii="Verdana" w:hAnsi="Verdana"/>
          <w:color w:val="000000"/>
        </w:rPr>
        <w:t>Te informamos que ya se encuentra disponible la </w:t>
      </w:r>
      <w:r w:rsidRPr="00D333A8">
        <w:rPr>
          <w:rFonts w:ascii="Verdana" w:hAnsi="Verdana"/>
          <w:b/>
          <w:bCs/>
          <w:color w:val="000000"/>
        </w:rPr>
        <w:t>Cartilla para incentivar y fortalecer el acceso a las compras y contratación pública de los pueblos y comunidades étnicas en Colombia.</w:t>
      </w:r>
      <w:r w:rsidRPr="00D333A8">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7" w:tooltip="Original URL:&#10;https://www.colombiacompra.gov.co/manuales-guias-y-pliegos-tipo/manuales-y-guias/cartilla-para-incentivar-y-fortalecer-el-acceso-las&#10;&#10;Click to follow link." w:history="1">
        <w:r w:rsidRPr="00D333A8">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0EDCB6E8" w14:textId="77777777" w:rsidR="002560B1" w:rsidRPr="00D333A8" w:rsidRDefault="002560B1" w:rsidP="002560B1">
      <w:pPr>
        <w:jc w:val="both"/>
        <w:rPr>
          <w:rFonts w:ascii="Verdana" w:hAnsi="Verdana"/>
          <w:color w:val="212121"/>
        </w:rPr>
      </w:pPr>
      <w:r w:rsidRPr="00D333A8">
        <w:rPr>
          <w:rFonts w:ascii="Verdana" w:hAnsi="Verdana"/>
          <w:color w:val="000000"/>
        </w:rPr>
        <w:t>De otra parte, te informamos que, con el objetivo de garantizar un conocimiento adecuado de las </w:t>
      </w:r>
      <w:r w:rsidRPr="00D333A8">
        <w:rPr>
          <w:rFonts w:ascii="Verdana" w:hAnsi="Verdana"/>
          <w:b/>
          <w:bCs/>
          <w:color w:val="000000"/>
        </w:rPr>
        <w:t>modificaciones y/o actualizaciones realizadas a los Documentos Tipo</w:t>
      </w:r>
      <w:r w:rsidRPr="00D333A8">
        <w:rPr>
          <w:rFonts w:ascii="Verdana" w:hAnsi="Verdana"/>
          <w:color w:val="000000"/>
        </w:rPr>
        <w:t>, hemos programado una serie de </w:t>
      </w:r>
      <w:r w:rsidRPr="00D333A8">
        <w:rPr>
          <w:rFonts w:ascii="Verdana" w:hAnsi="Verdana"/>
          <w:b/>
          <w:bCs/>
          <w:color w:val="000000"/>
        </w:rPr>
        <w:t>capacitaciones </w:t>
      </w:r>
      <w:r w:rsidRPr="00D333A8">
        <w:rPr>
          <w:rFonts w:ascii="Verdana" w:hAnsi="Verdana"/>
          <w:color w:val="000000"/>
        </w:rPr>
        <w:t xml:space="preserve">dirigidas a todos los actores involucrados en los procesos de selección. Podrás conocer la programación y realizar tu inscripción a estas capacitaciones a través del </w:t>
      </w:r>
      <w:r w:rsidRPr="00D333A8">
        <w:rPr>
          <w:rFonts w:ascii="Verdana" w:hAnsi="Verdana"/>
          <w:color w:val="000000"/>
        </w:rPr>
        <w:lastRenderedPageBreak/>
        <w:t>siguiente enlace: </w:t>
      </w:r>
      <w:hyperlink r:id="rId18" w:tooltip="Original URL:&#10;https://www.colombiacompra.gov.co/ciudadanos/calendario&#10;&#10;Click to follow link." w:history="1">
        <w:r w:rsidRPr="00D333A8">
          <w:rPr>
            <w:rFonts w:ascii="Verdana" w:hAnsi="Verdana"/>
            <w:color w:val="467886"/>
            <w:u w:val="single"/>
          </w:rPr>
          <w:t>Calendario | Colombia Compra Eficiente | Agencia Nacional de Contratación Pública</w:t>
        </w:r>
      </w:hyperlink>
    </w:p>
    <w:p w14:paraId="4461A019" w14:textId="77777777" w:rsidR="002560B1" w:rsidRPr="00D333A8" w:rsidRDefault="002560B1" w:rsidP="002560B1">
      <w:pPr>
        <w:spacing w:after="0"/>
        <w:jc w:val="both"/>
        <w:rPr>
          <w:rFonts w:ascii="Verdana" w:hAnsi="Verdana"/>
          <w:color w:val="212121"/>
        </w:rPr>
      </w:pPr>
      <w:r w:rsidRPr="00D333A8">
        <w:rPr>
          <w:rFonts w:ascii="Verdana" w:hAnsi="Verdana"/>
          <w:color w:val="000000"/>
        </w:rPr>
        <w:t>También, te contamos que ya publicamos </w:t>
      </w:r>
      <w:r w:rsidRPr="00D333A8">
        <w:rPr>
          <w:rFonts w:ascii="Verdana" w:hAnsi="Verdana"/>
          <w:b/>
          <w:bCs/>
          <w:color w:val="000000"/>
        </w:rPr>
        <w:t>la nueva Guía de Contratación Pública Sostenible y Socialmente Responsable</w:t>
      </w:r>
      <w:r w:rsidRPr="00D333A8">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9" w:tooltip="Original URL:&#10;https://www.colombiacompra.gov.co/manuales-guias-y-pliegos-tipo/manuales-y-guias/guia-de-contratacion-publica-sostenible-y-socialmente&#10;&#10;Click to follow link." w:history="1">
        <w:r w:rsidRPr="00D333A8">
          <w:rPr>
            <w:rFonts w:ascii="Verdana" w:hAnsi="Verdana"/>
            <w:color w:val="467886"/>
            <w:u w:val="single"/>
          </w:rPr>
          <w:t>Guía de Contratación Pública Sostenible y Socialmente Responsable | Colombia Compra Eficiente | Agencia Nacional de Contratación Pública</w:t>
        </w:r>
      </w:hyperlink>
    </w:p>
    <w:p w14:paraId="7047B34C" w14:textId="77777777" w:rsidR="002560B1" w:rsidRPr="00D333A8" w:rsidRDefault="002560B1" w:rsidP="002560B1">
      <w:pPr>
        <w:spacing w:after="0"/>
        <w:jc w:val="both"/>
        <w:rPr>
          <w:rFonts w:ascii="Verdana" w:hAnsi="Verdana"/>
          <w:color w:val="212121"/>
        </w:rPr>
      </w:pPr>
    </w:p>
    <w:p w14:paraId="09B6711C" w14:textId="77777777" w:rsidR="002560B1" w:rsidRPr="00D333A8" w:rsidRDefault="002560B1" w:rsidP="002560B1">
      <w:pPr>
        <w:spacing w:after="0" w:line="240" w:lineRule="auto"/>
        <w:jc w:val="both"/>
        <w:rPr>
          <w:rFonts w:ascii="Calibri" w:eastAsia="Calibri" w:hAnsi="Calibri" w:cs="Times New Roman"/>
        </w:rPr>
      </w:pPr>
      <w:r w:rsidRPr="00D333A8">
        <w:rPr>
          <w:rFonts w:ascii="Verdana" w:hAnsi="Verdana"/>
        </w:rPr>
        <w:t xml:space="preserve">Por último, lo invitamos a seguirnos en las redes sociales en las cuales se difunde información institucional: </w:t>
      </w:r>
    </w:p>
    <w:p w14:paraId="371DF472" w14:textId="77777777" w:rsidR="002560B1" w:rsidRPr="00D333A8" w:rsidRDefault="002560B1" w:rsidP="002560B1">
      <w:pPr>
        <w:spacing w:after="0" w:line="240" w:lineRule="auto"/>
        <w:jc w:val="both"/>
        <w:rPr>
          <w:rFonts w:ascii="Verdana" w:hAnsi="Verdana"/>
        </w:rPr>
      </w:pPr>
    </w:p>
    <w:p w14:paraId="133798E0" w14:textId="77777777" w:rsidR="002560B1" w:rsidRPr="00D333A8" w:rsidRDefault="002560B1" w:rsidP="002560B1">
      <w:pPr>
        <w:spacing w:after="0" w:line="240" w:lineRule="auto"/>
        <w:jc w:val="both"/>
        <w:rPr>
          <w:rFonts w:ascii="Verdana" w:hAnsi="Verdana"/>
        </w:rPr>
      </w:pPr>
      <w:r w:rsidRPr="00D333A8">
        <w:rPr>
          <w:rFonts w:ascii="Verdana" w:hAnsi="Verdana"/>
        </w:rPr>
        <w:t xml:space="preserve">Twitter: </w:t>
      </w:r>
      <w:r w:rsidRPr="00D333A8">
        <w:rPr>
          <w:rFonts w:ascii="Verdana" w:eastAsia="Calibri" w:hAnsi="Verdana" w:cs="Times New Roman"/>
          <w:color w:val="4472C4" w:themeColor="accent1"/>
          <w:u w:val="single"/>
        </w:rPr>
        <w:t>@colombiacompra</w:t>
      </w:r>
      <w:r w:rsidRPr="00D333A8">
        <w:rPr>
          <w:rFonts w:ascii="Verdana" w:eastAsia="Calibri" w:hAnsi="Verdana" w:cs="Times New Roman"/>
          <w:color w:val="4472C4" w:themeColor="accent1"/>
        </w:rPr>
        <w:t xml:space="preserve"> </w:t>
      </w:r>
    </w:p>
    <w:p w14:paraId="56F08C96" w14:textId="77777777" w:rsidR="002560B1" w:rsidRPr="00D333A8" w:rsidRDefault="002560B1" w:rsidP="002560B1">
      <w:pPr>
        <w:spacing w:after="0" w:line="240" w:lineRule="auto"/>
        <w:jc w:val="both"/>
        <w:rPr>
          <w:rFonts w:ascii="Verdana" w:hAnsi="Verdana"/>
        </w:rPr>
      </w:pPr>
      <w:r w:rsidRPr="00D333A8">
        <w:rPr>
          <w:rFonts w:ascii="Verdana" w:hAnsi="Verdana"/>
        </w:rPr>
        <w:t xml:space="preserve">Facebook: </w:t>
      </w:r>
      <w:r w:rsidRPr="00D333A8">
        <w:rPr>
          <w:rFonts w:ascii="Verdana" w:eastAsia="Calibri" w:hAnsi="Verdana" w:cs="Times New Roman"/>
          <w:color w:val="4472C4" w:themeColor="accent1"/>
          <w:u w:val="single"/>
        </w:rPr>
        <w:t>ColombiaCompraEficiente</w:t>
      </w:r>
    </w:p>
    <w:p w14:paraId="654E2DB5" w14:textId="77777777" w:rsidR="002560B1" w:rsidRPr="00D333A8" w:rsidRDefault="002560B1" w:rsidP="002560B1">
      <w:pPr>
        <w:spacing w:after="0" w:line="240" w:lineRule="auto"/>
        <w:jc w:val="both"/>
        <w:rPr>
          <w:rFonts w:ascii="Verdana" w:hAnsi="Verdana"/>
        </w:rPr>
      </w:pPr>
      <w:r w:rsidRPr="00D333A8">
        <w:rPr>
          <w:rFonts w:ascii="Verdana" w:hAnsi="Verdana"/>
        </w:rPr>
        <w:t xml:space="preserve">LinkedIn: </w:t>
      </w:r>
      <w:r w:rsidRPr="00D333A8">
        <w:rPr>
          <w:rFonts w:ascii="Verdana" w:eastAsia="Calibri" w:hAnsi="Verdana" w:cs="Times New Roman"/>
          <w:color w:val="4472C4" w:themeColor="accent1"/>
          <w:u w:val="single"/>
        </w:rPr>
        <w:t>Agencia Nacional de Contratación Pública - Colombia Compra Eficiente</w:t>
      </w:r>
      <w:r w:rsidRPr="00D333A8">
        <w:rPr>
          <w:rFonts w:ascii="Verdana" w:eastAsia="Calibri" w:hAnsi="Verdana" w:cs="Times New Roman"/>
          <w:color w:val="4472C4" w:themeColor="accent1"/>
        </w:rPr>
        <w:t xml:space="preserve"> </w:t>
      </w:r>
      <w:r w:rsidRPr="00D333A8">
        <w:rPr>
          <w:rFonts w:ascii="Verdana" w:hAnsi="Verdana"/>
        </w:rPr>
        <w:t xml:space="preserve">Instagram: </w:t>
      </w:r>
      <w:r w:rsidRPr="00D333A8">
        <w:rPr>
          <w:rFonts w:ascii="Verdana" w:eastAsia="Calibri" w:hAnsi="Verdana" w:cs="Times New Roman"/>
          <w:color w:val="4472C4" w:themeColor="accent1"/>
          <w:u w:val="single"/>
        </w:rPr>
        <w:t>@colombiacompraeficiente_cce</w:t>
      </w:r>
    </w:p>
    <w:p w14:paraId="033C6315" w14:textId="77777777" w:rsidR="002560B1" w:rsidRPr="00D333A8" w:rsidRDefault="002560B1" w:rsidP="002560B1">
      <w:pPr>
        <w:widowControl w:val="0"/>
        <w:autoSpaceDE w:val="0"/>
        <w:autoSpaceDN w:val="0"/>
        <w:spacing w:after="0" w:line="276" w:lineRule="auto"/>
        <w:jc w:val="both"/>
        <w:rPr>
          <w:rFonts w:ascii="Verdana" w:hAnsi="Verdana"/>
        </w:rPr>
      </w:pPr>
    </w:p>
    <w:p w14:paraId="3EB1C670" w14:textId="77777777" w:rsidR="002560B1" w:rsidRPr="00D333A8" w:rsidRDefault="002560B1" w:rsidP="002560B1">
      <w:pPr>
        <w:widowControl w:val="0"/>
        <w:autoSpaceDE w:val="0"/>
        <w:autoSpaceDN w:val="0"/>
        <w:spacing w:after="0" w:line="276" w:lineRule="auto"/>
        <w:jc w:val="both"/>
        <w:rPr>
          <w:rFonts w:ascii="Verdana" w:eastAsia="Calibri" w:hAnsi="Verdana" w:cs="Arial"/>
          <w:lang w:val="es-ES_tradnl"/>
        </w:rPr>
      </w:pPr>
      <w:r w:rsidRPr="00D333A8">
        <w:rPr>
          <w:rFonts w:ascii="Verdana" w:eastAsia="Calibri" w:hAnsi="Verdana" w:cs="Arial"/>
        </w:rPr>
        <w:t>Este concepto tiene el alcance previsto en el artículo 28 del Código de Procedimiento Administrativo y de lo Contencioso Administrativo.</w:t>
      </w:r>
    </w:p>
    <w:p w14:paraId="45169E2A" w14:textId="77777777" w:rsidR="002560B1" w:rsidRPr="00D333A8" w:rsidRDefault="002560B1" w:rsidP="002560B1">
      <w:pPr>
        <w:widowControl w:val="0"/>
        <w:autoSpaceDE w:val="0"/>
        <w:autoSpaceDN w:val="0"/>
        <w:spacing w:after="0" w:line="276" w:lineRule="auto"/>
        <w:jc w:val="both"/>
        <w:rPr>
          <w:rFonts w:ascii="Verdana" w:eastAsia="Calibri" w:hAnsi="Verdana" w:cs="Arial"/>
        </w:rPr>
      </w:pPr>
    </w:p>
    <w:p w14:paraId="0FBE9C2F" w14:textId="77777777" w:rsidR="002560B1" w:rsidRPr="00D333A8" w:rsidRDefault="002560B1" w:rsidP="002560B1">
      <w:pPr>
        <w:spacing w:after="0" w:line="240" w:lineRule="auto"/>
        <w:rPr>
          <w:rFonts w:ascii="Verdana" w:eastAsia="Calibri" w:hAnsi="Verdana" w:cs="Arial"/>
          <w:lang w:eastAsia="es-CO"/>
        </w:rPr>
      </w:pPr>
      <w:r w:rsidRPr="00D333A8">
        <w:rPr>
          <w:rFonts w:ascii="Verdana" w:eastAsia="Times New Roman" w:hAnsi="Verdana" w:cs="Arial"/>
          <w:lang w:eastAsia="es-CO"/>
        </w:rPr>
        <w:t>Atentamente,</w:t>
      </w:r>
      <w:r w:rsidRPr="00D333A8">
        <w:rPr>
          <w:rFonts w:ascii="Verdana" w:eastAsia="Calibri" w:hAnsi="Verdana" w:cs="Arial"/>
          <w:lang w:eastAsia="es-CO"/>
        </w:rPr>
        <w:t xml:space="preserve"> </w:t>
      </w:r>
    </w:p>
    <w:p w14:paraId="1E7A7245" w14:textId="77777777" w:rsidR="002560B1" w:rsidRPr="00D333A8" w:rsidRDefault="002560B1" w:rsidP="002560B1">
      <w:pPr>
        <w:tabs>
          <w:tab w:val="left" w:pos="1320"/>
        </w:tabs>
        <w:rPr>
          <w:rFonts w:ascii="Century Gothic" w:hAnsi="Century Gothic"/>
        </w:rPr>
      </w:pPr>
    </w:p>
    <w:p w14:paraId="5A7E8793" w14:textId="6562E5BA" w:rsidR="002560B1" w:rsidRPr="00D333A8" w:rsidRDefault="00FD0012" w:rsidP="002560B1">
      <w:pPr>
        <w:tabs>
          <w:tab w:val="left" w:pos="1320"/>
        </w:tabs>
        <w:jc w:val="center"/>
        <w:rPr>
          <w:rFonts w:ascii="Century Gothic" w:hAnsi="Century Gothic"/>
        </w:rPr>
      </w:pPr>
      <w:r w:rsidRPr="004D5C25">
        <w:rPr>
          <w:rFonts w:ascii="Century Gothic" w:hAnsi="Century Gothic"/>
          <w:noProof/>
        </w:rPr>
        <w:drawing>
          <wp:inline distT="0" distB="0" distL="0" distR="0" wp14:anchorId="1E1406D0" wp14:editId="01560C71">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0"/>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560B1" w:rsidRPr="00D333A8" w14:paraId="58F44FEC" w14:textId="77777777" w:rsidTr="00107071">
        <w:trPr>
          <w:trHeight w:val="315"/>
        </w:trPr>
        <w:tc>
          <w:tcPr>
            <w:tcW w:w="893" w:type="dxa"/>
            <w:vAlign w:val="center"/>
            <w:hideMark/>
          </w:tcPr>
          <w:p w14:paraId="4323E952" w14:textId="77777777" w:rsidR="002560B1" w:rsidRPr="00D333A8" w:rsidRDefault="002560B1" w:rsidP="00107071">
            <w:pPr>
              <w:spacing w:line="259" w:lineRule="auto"/>
              <w:rPr>
                <w:rFonts w:ascii="Verdana" w:eastAsia="Calibri" w:hAnsi="Verdana" w:cs="Arial"/>
                <w:sz w:val="16"/>
                <w:szCs w:val="16"/>
                <w:lang w:val="es-ES_tradnl" w:eastAsia="es-ES"/>
              </w:rPr>
            </w:pPr>
            <w:r w:rsidRPr="00D333A8">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53BABD3D" w14:textId="77777777" w:rsidR="002560B1" w:rsidRPr="00D333A8" w:rsidRDefault="002560B1" w:rsidP="00107071">
            <w:pPr>
              <w:spacing w:line="259" w:lineRule="auto"/>
              <w:rPr>
                <w:rFonts w:ascii="Verdana" w:eastAsia="Arial" w:hAnsi="Verdana" w:cs="Arial"/>
                <w:sz w:val="16"/>
                <w:szCs w:val="16"/>
                <w:lang w:val="es-ES"/>
              </w:rPr>
            </w:pPr>
            <w:r w:rsidRPr="00D333A8">
              <w:rPr>
                <w:rFonts w:ascii="Verdana" w:eastAsia="Arial" w:hAnsi="Verdana" w:cs="Arial"/>
                <w:sz w:val="16"/>
                <w:szCs w:val="16"/>
                <w:lang w:val="es-ES"/>
              </w:rPr>
              <w:t xml:space="preserve">Carlos Mario Castrillon Endo </w:t>
            </w:r>
          </w:p>
          <w:p w14:paraId="3DFAADD1" w14:textId="77777777" w:rsidR="002560B1" w:rsidRPr="00D333A8" w:rsidRDefault="002560B1" w:rsidP="00107071">
            <w:pPr>
              <w:spacing w:line="259" w:lineRule="auto"/>
              <w:rPr>
                <w:rFonts w:ascii="Verdana" w:eastAsia="Arial" w:hAnsi="Verdana" w:cs="Arial"/>
                <w:sz w:val="16"/>
                <w:szCs w:val="16"/>
                <w:lang w:val="es-ES_tradnl"/>
              </w:rPr>
            </w:pPr>
            <w:r w:rsidRPr="00D333A8">
              <w:rPr>
                <w:rFonts w:ascii="Verdana" w:eastAsia="Arial" w:hAnsi="Verdana" w:cs="Arial"/>
                <w:sz w:val="16"/>
                <w:szCs w:val="16"/>
                <w:lang w:val="es-ES_tradnl"/>
              </w:rPr>
              <w:t>Contratista de la Subdirección de Gestión Contractual</w:t>
            </w:r>
          </w:p>
          <w:p w14:paraId="54EB10E7" w14:textId="77777777" w:rsidR="002560B1" w:rsidRPr="00D333A8" w:rsidRDefault="002560B1" w:rsidP="00107071">
            <w:pPr>
              <w:spacing w:line="259" w:lineRule="auto"/>
              <w:rPr>
                <w:rFonts w:ascii="Verdana" w:eastAsia="Arial" w:hAnsi="Verdana" w:cs="Arial"/>
                <w:sz w:val="16"/>
                <w:szCs w:val="16"/>
                <w:lang w:val="es-ES_tradnl"/>
              </w:rPr>
            </w:pPr>
          </w:p>
        </w:tc>
      </w:tr>
      <w:tr w:rsidR="002560B1" w:rsidRPr="00D333A8" w14:paraId="645DA54D" w14:textId="77777777" w:rsidTr="00107071">
        <w:trPr>
          <w:trHeight w:val="330"/>
        </w:trPr>
        <w:tc>
          <w:tcPr>
            <w:tcW w:w="893" w:type="dxa"/>
            <w:vAlign w:val="center"/>
            <w:hideMark/>
          </w:tcPr>
          <w:p w14:paraId="2FAB010E" w14:textId="77777777" w:rsidR="002560B1" w:rsidRPr="00D333A8" w:rsidRDefault="002560B1" w:rsidP="00107071">
            <w:pPr>
              <w:spacing w:line="259" w:lineRule="auto"/>
              <w:rPr>
                <w:rFonts w:ascii="Verdana" w:eastAsia="Calibri" w:hAnsi="Verdana" w:cs="Arial"/>
                <w:sz w:val="16"/>
                <w:szCs w:val="16"/>
                <w:lang w:val="es-ES_tradnl" w:eastAsia="es-ES"/>
              </w:rPr>
            </w:pPr>
            <w:r w:rsidRPr="00D333A8">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4E543447" w14:textId="77777777" w:rsidR="002560B1" w:rsidRPr="00D333A8" w:rsidRDefault="002560B1" w:rsidP="00107071">
            <w:pPr>
              <w:spacing w:line="259" w:lineRule="auto"/>
              <w:textAlignment w:val="baseline"/>
              <w:rPr>
                <w:rFonts w:ascii="Verdana" w:eastAsia="Times New Roman" w:hAnsi="Verdana" w:cs="Segoe UI"/>
                <w:sz w:val="16"/>
                <w:szCs w:val="16"/>
                <w:lang w:val="es-ES_tradnl" w:eastAsia="es-ES_tradnl"/>
              </w:rPr>
            </w:pPr>
            <w:r w:rsidRPr="00D333A8">
              <w:rPr>
                <w:rFonts w:ascii="Verdana" w:eastAsia="Times New Roman" w:hAnsi="Verdana" w:cs="Segoe UI"/>
                <w:sz w:val="16"/>
                <w:szCs w:val="16"/>
                <w:lang w:val="es-ES_tradnl" w:eastAsia="es-ES_tradnl"/>
              </w:rPr>
              <w:t xml:space="preserve">Juan David Cárdenas Cabeza </w:t>
            </w:r>
          </w:p>
          <w:p w14:paraId="0F66587E" w14:textId="77777777" w:rsidR="002560B1" w:rsidRPr="00D333A8" w:rsidRDefault="002560B1" w:rsidP="00107071">
            <w:pPr>
              <w:spacing w:line="259" w:lineRule="auto"/>
              <w:textAlignment w:val="baseline"/>
              <w:rPr>
                <w:rFonts w:ascii="Verdana" w:eastAsia="Times New Roman" w:hAnsi="Verdana" w:cs="Segoe UI"/>
                <w:sz w:val="16"/>
                <w:szCs w:val="16"/>
                <w:lang w:val="es-ES_tradnl" w:eastAsia="es-ES_tradnl"/>
              </w:rPr>
            </w:pPr>
            <w:r w:rsidRPr="00D333A8">
              <w:rPr>
                <w:rFonts w:ascii="Verdana" w:eastAsia="Times New Roman" w:hAnsi="Verdana" w:cs="Arial"/>
                <w:sz w:val="16"/>
                <w:szCs w:val="16"/>
                <w:lang w:val="es-ES_tradnl" w:eastAsia="es-ES_tradnl"/>
              </w:rPr>
              <w:t>Contratista de la Subdirección de Gestión Contractual </w:t>
            </w:r>
          </w:p>
        </w:tc>
      </w:tr>
      <w:tr w:rsidR="002560B1" w:rsidRPr="00D333A8" w14:paraId="4C3D2D23" w14:textId="77777777" w:rsidTr="00107071">
        <w:trPr>
          <w:trHeight w:val="300"/>
        </w:trPr>
        <w:tc>
          <w:tcPr>
            <w:tcW w:w="893" w:type="dxa"/>
            <w:vAlign w:val="center"/>
          </w:tcPr>
          <w:p w14:paraId="779B5868" w14:textId="77777777" w:rsidR="002560B1" w:rsidRPr="00D333A8" w:rsidRDefault="002560B1" w:rsidP="00107071">
            <w:pPr>
              <w:spacing w:line="259" w:lineRule="auto"/>
              <w:rPr>
                <w:rFonts w:ascii="Verdana" w:eastAsia="Calibri" w:hAnsi="Verdana" w:cs="Arial"/>
                <w:sz w:val="16"/>
                <w:szCs w:val="16"/>
                <w:lang w:val="es-ES_tradnl" w:eastAsia="es-ES"/>
              </w:rPr>
            </w:pPr>
            <w:r w:rsidRPr="00D333A8">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1D9B7B07" w14:textId="77777777" w:rsidR="002560B1" w:rsidRPr="00D333A8" w:rsidRDefault="002560B1" w:rsidP="00107071">
            <w:pPr>
              <w:spacing w:line="259" w:lineRule="auto"/>
              <w:rPr>
                <w:rFonts w:ascii="Verdana" w:eastAsia="Calibri" w:hAnsi="Verdana" w:cs="Arial"/>
                <w:sz w:val="16"/>
                <w:szCs w:val="16"/>
                <w:lang w:val="es-ES" w:eastAsia="es-ES"/>
              </w:rPr>
            </w:pPr>
            <w:r w:rsidRPr="00D333A8">
              <w:rPr>
                <w:rFonts w:ascii="Verdana" w:eastAsia="Calibri" w:hAnsi="Verdana" w:cs="Arial"/>
                <w:sz w:val="16"/>
                <w:szCs w:val="16"/>
                <w:lang w:val="es-ES" w:eastAsia="es-ES"/>
              </w:rPr>
              <w:t>Carolina Quintero Gacharná</w:t>
            </w:r>
          </w:p>
          <w:p w14:paraId="70CB8F16" w14:textId="77777777" w:rsidR="002560B1" w:rsidRPr="00D333A8" w:rsidRDefault="002560B1" w:rsidP="00107071">
            <w:pPr>
              <w:spacing w:line="259" w:lineRule="auto"/>
              <w:rPr>
                <w:rFonts w:ascii="Verdana" w:eastAsia="Calibri" w:hAnsi="Verdana" w:cs="Arial"/>
                <w:sz w:val="16"/>
                <w:szCs w:val="16"/>
                <w:lang w:val="es-ES_tradnl" w:eastAsia="es-ES"/>
              </w:rPr>
            </w:pPr>
            <w:r w:rsidRPr="00D333A8">
              <w:rPr>
                <w:rFonts w:ascii="Verdana" w:eastAsia="Calibri" w:hAnsi="Verdana" w:cs="Arial"/>
                <w:sz w:val="16"/>
                <w:szCs w:val="16"/>
                <w:lang w:val="es-ES_tradnl" w:eastAsia="es-ES"/>
              </w:rPr>
              <w:t>Subdirectora de Gestión Contractual ANCP – CCE</w:t>
            </w:r>
          </w:p>
        </w:tc>
      </w:tr>
      <w:bookmarkEnd w:id="0"/>
    </w:tbl>
    <w:p w14:paraId="61F97227" w14:textId="77777777" w:rsidR="002560B1" w:rsidRPr="00D333A8" w:rsidRDefault="002560B1" w:rsidP="002560B1">
      <w:pPr>
        <w:tabs>
          <w:tab w:val="left" w:pos="1320"/>
        </w:tabs>
        <w:rPr>
          <w:rFonts w:ascii="Century Gothic" w:hAnsi="Century Gothic"/>
        </w:rPr>
      </w:pPr>
    </w:p>
    <w:p w14:paraId="399D2539" w14:textId="77777777" w:rsidR="002560B1" w:rsidRPr="00D333A8" w:rsidRDefault="002560B1" w:rsidP="002560B1"/>
    <w:sectPr w:rsidR="002560B1" w:rsidRPr="00D333A8"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8BAFE" w14:textId="77777777" w:rsidR="004E4FAA" w:rsidRDefault="004E4FAA" w:rsidP="004A1847">
      <w:pPr>
        <w:spacing w:after="0" w:line="240" w:lineRule="auto"/>
      </w:pPr>
      <w:r>
        <w:separator/>
      </w:r>
    </w:p>
  </w:endnote>
  <w:endnote w:type="continuationSeparator" w:id="0">
    <w:p w14:paraId="62F5758B" w14:textId="77777777" w:rsidR="004E4FAA" w:rsidRDefault="004E4FA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4D804" w14:textId="77777777" w:rsidR="004E4FAA" w:rsidRDefault="004E4FAA" w:rsidP="004A1847">
      <w:pPr>
        <w:spacing w:after="0" w:line="240" w:lineRule="auto"/>
      </w:pPr>
      <w:r>
        <w:separator/>
      </w:r>
    </w:p>
  </w:footnote>
  <w:footnote w:type="continuationSeparator" w:id="0">
    <w:p w14:paraId="22D065B3" w14:textId="77777777" w:rsidR="004E4FAA" w:rsidRDefault="004E4FAA" w:rsidP="004A1847">
      <w:pPr>
        <w:spacing w:after="0" w:line="240" w:lineRule="auto"/>
      </w:pPr>
      <w:r>
        <w:continuationSeparator/>
      </w:r>
    </w:p>
  </w:footnote>
  <w:footnote w:id="1">
    <w:p w14:paraId="68E1604B" w14:textId="77777777" w:rsidR="002560B1" w:rsidRPr="006105B6" w:rsidRDefault="002560B1" w:rsidP="002560B1">
      <w:pPr>
        <w:pStyle w:val="Textonotapie"/>
        <w:ind w:firstLine="709"/>
        <w:jc w:val="both"/>
        <w:rPr>
          <w:rFonts w:ascii="Arial" w:hAnsi="Arial" w:cs="Arial"/>
          <w:sz w:val="19"/>
          <w:szCs w:val="19"/>
        </w:rPr>
      </w:pPr>
      <w:r w:rsidRPr="006105B6">
        <w:rPr>
          <w:rStyle w:val="Refdenotaalpie"/>
          <w:rFonts w:ascii="Arial" w:hAnsi="Arial" w:cs="Arial"/>
          <w:sz w:val="19"/>
          <w:szCs w:val="19"/>
        </w:rPr>
        <w:footnoteRef/>
      </w:r>
      <w:r w:rsidRPr="006105B6">
        <w:rPr>
          <w:rFonts w:ascii="Arial" w:hAnsi="Arial" w:cs="Arial"/>
          <w:sz w:val="19"/>
          <w:szCs w:val="19"/>
        </w:rPr>
        <w:t xml:space="preserve"> Es importante señalar que los documentos tipo adoptados son obligatorios para las entidades estatales regidas por el</w:t>
      </w:r>
      <w:r>
        <w:rPr>
          <w:rFonts w:ascii="Arial" w:hAnsi="Arial" w:cs="Arial"/>
          <w:sz w:val="19"/>
          <w:szCs w:val="19"/>
        </w:rPr>
        <w:t xml:space="preserve"> Estatuto General de Contratación de la Administración Pública –</w:t>
      </w:r>
      <w:r w:rsidRPr="006105B6">
        <w:rPr>
          <w:rFonts w:ascii="Arial" w:hAnsi="Arial" w:cs="Arial"/>
          <w:sz w:val="19"/>
          <w:szCs w:val="19"/>
        </w:rPr>
        <w:t>EGCAP</w:t>
      </w:r>
      <w:r>
        <w:rPr>
          <w:rFonts w:ascii="Arial" w:hAnsi="Arial" w:cs="Arial"/>
          <w:sz w:val="19"/>
          <w:szCs w:val="19"/>
        </w:rPr>
        <w:t>–</w:t>
      </w:r>
      <w:r w:rsidRPr="006105B6">
        <w:rPr>
          <w:rFonts w:ascii="Arial" w:hAnsi="Arial" w:cs="Arial"/>
          <w:sz w:val="19"/>
          <w:szCs w:val="19"/>
        </w:rPr>
        <w:t xml:space="preserve"> que adelanten procesos de contratación mediante las modalidades de selección y objetos contractuales cobijados por alguno de los documentos tipo vigentes en los diferentes sectores. La obligatoriedad del contenido de los documentos tipo implica que las entidades estatales tengan que adelantar los procesos de contratación ciñéndose a las condiciones establecidas en los documentos tipo, sin que puedan variarse los requisitos fijados en ellos.</w:t>
      </w:r>
    </w:p>
  </w:footnote>
  <w:footnote w:id="2">
    <w:p w14:paraId="29380134" w14:textId="77777777" w:rsidR="002560B1" w:rsidRPr="006105B6" w:rsidRDefault="002560B1" w:rsidP="002560B1">
      <w:pPr>
        <w:pStyle w:val="Textonotapie"/>
        <w:ind w:firstLine="709"/>
        <w:jc w:val="both"/>
        <w:rPr>
          <w:rFonts w:ascii="Arial" w:hAnsi="Arial" w:cs="Arial"/>
          <w:sz w:val="19"/>
          <w:szCs w:val="19"/>
        </w:rPr>
      </w:pPr>
      <w:r w:rsidRPr="006105B6">
        <w:rPr>
          <w:rStyle w:val="Refdenotaalpie"/>
          <w:rFonts w:ascii="Arial" w:hAnsi="Arial" w:cs="Arial"/>
          <w:sz w:val="19"/>
          <w:szCs w:val="19"/>
        </w:rPr>
        <w:footnoteRef/>
      </w:r>
      <w:r w:rsidRPr="006105B6">
        <w:rPr>
          <w:rFonts w:ascii="Arial" w:hAnsi="Arial" w:cs="Arial"/>
          <w:sz w:val="19"/>
          <w:szCs w:val="19"/>
        </w:rPr>
        <w:t xml:space="preserve"> Es importante señalar que los documentos tipo adoptados son obligatorios para las entidades estatales regidas por el</w:t>
      </w:r>
      <w:r>
        <w:rPr>
          <w:rFonts w:ascii="Arial" w:hAnsi="Arial" w:cs="Arial"/>
          <w:sz w:val="19"/>
          <w:szCs w:val="19"/>
        </w:rPr>
        <w:t xml:space="preserve"> Estatuto General de Contratación de la Administración Pública –</w:t>
      </w:r>
      <w:r w:rsidRPr="006105B6">
        <w:rPr>
          <w:rFonts w:ascii="Arial" w:hAnsi="Arial" w:cs="Arial"/>
          <w:sz w:val="19"/>
          <w:szCs w:val="19"/>
        </w:rPr>
        <w:t>EGCAP</w:t>
      </w:r>
      <w:r>
        <w:rPr>
          <w:rFonts w:ascii="Arial" w:hAnsi="Arial" w:cs="Arial"/>
          <w:sz w:val="19"/>
          <w:szCs w:val="19"/>
        </w:rPr>
        <w:t>–</w:t>
      </w:r>
      <w:r w:rsidRPr="006105B6">
        <w:rPr>
          <w:rFonts w:ascii="Arial" w:hAnsi="Arial" w:cs="Arial"/>
          <w:sz w:val="19"/>
          <w:szCs w:val="19"/>
        </w:rPr>
        <w:t xml:space="preserve"> que adelanten procesos de contratación mediante las modalidades de selección y objetos contractuales cobijados por alguno de los documentos tipo vigentes en los diferentes sectores. La obligatoriedad del contenido de los documentos tipo implica que las entidades estatales tengan que adelantar los procesos de contratación ciñéndose a las condiciones establecidas en los documentos tipo, sin que puedan variarse los requisitos fijados en ellos.</w:t>
      </w:r>
    </w:p>
  </w:footnote>
  <w:footnote w:id="3">
    <w:p w14:paraId="6492E734" w14:textId="77777777" w:rsidR="002560B1" w:rsidRPr="006105B6" w:rsidRDefault="002560B1" w:rsidP="002560B1">
      <w:pPr>
        <w:pStyle w:val="Textonotapie"/>
        <w:ind w:firstLine="709"/>
        <w:jc w:val="both"/>
        <w:rPr>
          <w:rFonts w:ascii="Arial" w:hAnsi="Arial" w:cs="Arial"/>
          <w:sz w:val="19"/>
          <w:szCs w:val="19"/>
          <w:lang w:val="es-CO"/>
        </w:rPr>
      </w:pPr>
      <w:r w:rsidRPr="006105B6">
        <w:rPr>
          <w:rStyle w:val="Refdenotaalpie"/>
          <w:rFonts w:ascii="Arial" w:hAnsi="Arial" w:cs="Arial"/>
          <w:sz w:val="19"/>
          <w:szCs w:val="19"/>
        </w:rPr>
        <w:footnoteRef/>
      </w:r>
      <w:r w:rsidRPr="006105B6">
        <w:rPr>
          <w:rFonts w:ascii="Arial" w:hAnsi="Arial" w:cs="Arial"/>
          <w:sz w:val="19"/>
          <w:szCs w:val="19"/>
        </w:rPr>
        <w:t xml:space="preserve"> En relación con el artículo 2. “Desarrollo e implementación de los documentos tipo” contenido en la Resolución 358 del 30 de junio de 2023, debe aclararse que respecto a la palabra subrayada </w:t>
      </w:r>
      <w:r>
        <w:rPr>
          <w:rFonts w:ascii="Arial" w:hAnsi="Arial" w:cs="Arial"/>
          <w:sz w:val="19"/>
          <w:szCs w:val="19"/>
        </w:rPr>
        <w:t xml:space="preserve">“[…] </w:t>
      </w:r>
      <w:r w:rsidRPr="006105B6">
        <w:rPr>
          <w:rFonts w:ascii="Arial" w:hAnsi="Arial" w:cs="Arial"/>
          <w:sz w:val="19"/>
          <w:szCs w:val="19"/>
        </w:rPr>
        <w:t xml:space="preserve">la ejecución de obras hasta el </w:t>
      </w:r>
      <w:r w:rsidRPr="006105B6">
        <w:rPr>
          <w:rFonts w:ascii="Arial" w:hAnsi="Arial" w:cs="Arial"/>
          <w:i/>
          <w:iCs/>
          <w:sz w:val="19"/>
          <w:szCs w:val="19"/>
          <w:u w:val="single"/>
        </w:rPr>
        <w:t>momento</w:t>
      </w:r>
      <w:r w:rsidRPr="006105B6">
        <w:rPr>
          <w:rFonts w:ascii="Arial" w:hAnsi="Arial" w:cs="Arial"/>
          <w:sz w:val="19"/>
          <w:szCs w:val="19"/>
        </w:rPr>
        <w:t xml:space="preserve"> de la menor cuantía”, se cometió una impresión en la digitación, y esta palabra debe entenderse como </w:t>
      </w:r>
      <w:r w:rsidRPr="006105B6">
        <w:rPr>
          <w:rFonts w:ascii="Arial" w:hAnsi="Arial" w:cs="Arial"/>
          <w:i/>
          <w:iCs/>
          <w:sz w:val="19"/>
          <w:szCs w:val="19"/>
          <w:u w:val="single"/>
        </w:rPr>
        <w:t>monto</w:t>
      </w:r>
      <w:r w:rsidRPr="006105B6">
        <w:rPr>
          <w:rFonts w:ascii="Arial" w:hAnsi="Arial" w:cs="Arial"/>
          <w:sz w:val="19"/>
          <w:szCs w:val="19"/>
        </w:rPr>
        <w:t xml:space="preserve">. </w:t>
      </w:r>
    </w:p>
  </w:footnote>
  <w:footnote w:id="4">
    <w:p w14:paraId="72BCA262" w14:textId="77777777" w:rsidR="002560B1" w:rsidRPr="00C64B71" w:rsidRDefault="002560B1" w:rsidP="002560B1">
      <w:pPr>
        <w:pStyle w:val="Textonotapie"/>
        <w:ind w:firstLine="709"/>
        <w:jc w:val="both"/>
        <w:rPr>
          <w:rFonts w:ascii="Arial" w:hAnsi="Arial" w:cs="Arial"/>
          <w:b/>
          <w:bCs/>
          <w:sz w:val="19"/>
          <w:szCs w:val="19"/>
          <w:lang w:val="es-CO"/>
        </w:rPr>
      </w:pPr>
      <w:r w:rsidRPr="00C64B71">
        <w:rPr>
          <w:rStyle w:val="Refdenotaalpie"/>
          <w:rFonts w:ascii="Arial" w:hAnsi="Arial" w:cs="Arial"/>
          <w:b/>
          <w:bCs/>
          <w:sz w:val="19"/>
          <w:szCs w:val="19"/>
        </w:rPr>
        <w:footnoteRef/>
      </w:r>
      <w:r w:rsidRPr="00C64B71">
        <w:rPr>
          <w:rFonts w:ascii="Arial" w:hAnsi="Arial" w:cs="Arial"/>
          <w:b/>
          <w:bCs/>
          <w:sz w:val="19"/>
          <w:szCs w:val="19"/>
        </w:rPr>
        <w:t xml:space="preserve"> “</w:t>
      </w:r>
      <w:r w:rsidRPr="00C64B71">
        <w:rPr>
          <w:rStyle w:val="Textoennegrita"/>
          <w:rFonts w:ascii="Arial" w:hAnsi="Arial" w:cs="Arial"/>
          <w:sz w:val="19"/>
          <w:szCs w:val="19"/>
          <w:shd w:val="clear" w:color="auto" w:fill="FFFFFF"/>
        </w:rPr>
        <w:t>Por la cual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y se dictan otras disposiciones”.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A99CB1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95977154" o:spid="_x0000_i1025" type="#_x0000_t75" style="width:11.25pt;height:11.25pt;visibility:visible;mso-wrap-style:square">
            <v:imagedata r:id="rId1" o:title=""/>
          </v:shape>
        </w:pict>
      </mc:Choice>
      <mc:Fallback>
        <w:drawing>
          <wp:inline distT="0" distB="0" distL="0" distR="0" wp14:anchorId="1BDCC4BD" wp14:editId="7F74528F">
            <wp:extent cx="142875" cy="142875"/>
            <wp:effectExtent l="0" t="0" r="0" b="0"/>
            <wp:docPr id="1695977154" name="Imagen 1695977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709081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A5A71"/>
    <w:multiLevelType w:val="hybridMultilevel"/>
    <w:tmpl w:val="DE3AD3E0"/>
    <w:lvl w:ilvl="0" w:tplc="240A0013">
      <w:start w:val="1"/>
      <w:numFmt w:val="upperRoman"/>
      <w:lvlText w:val="%1."/>
      <w:lvlJc w:val="right"/>
      <w:pPr>
        <w:ind w:left="1069" w:hanging="360"/>
      </w:pPr>
    </w:lvl>
    <w:lvl w:ilvl="1" w:tplc="240A0019" w:tentative="1">
      <w:start w:val="1"/>
      <w:numFmt w:val="lowerLetter"/>
      <w:lvlText w:val="%2."/>
      <w:lvlJc w:val="left"/>
      <w:pPr>
        <w:ind w:left="1582" w:hanging="360"/>
      </w:pPr>
    </w:lvl>
    <w:lvl w:ilvl="2" w:tplc="240A001B" w:tentative="1">
      <w:start w:val="1"/>
      <w:numFmt w:val="lowerRoman"/>
      <w:lvlText w:val="%3."/>
      <w:lvlJc w:val="right"/>
      <w:pPr>
        <w:ind w:left="2302" w:hanging="180"/>
      </w:pPr>
    </w:lvl>
    <w:lvl w:ilvl="3" w:tplc="240A000F" w:tentative="1">
      <w:start w:val="1"/>
      <w:numFmt w:val="decimal"/>
      <w:lvlText w:val="%4."/>
      <w:lvlJc w:val="left"/>
      <w:pPr>
        <w:ind w:left="3022" w:hanging="360"/>
      </w:pPr>
    </w:lvl>
    <w:lvl w:ilvl="4" w:tplc="240A0019" w:tentative="1">
      <w:start w:val="1"/>
      <w:numFmt w:val="lowerLetter"/>
      <w:lvlText w:val="%5."/>
      <w:lvlJc w:val="left"/>
      <w:pPr>
        <w:ind w:left="3742" w:hanging="360"/>
      </w:pPr>
    </w:lvl>
    <w:lvl w:ilvl="5" w:tplc="240A001B" w:tentative="1">
      <w:start w:val="1"/>
      <w:numFmt w:val="lowerRoman"/>
      <w:lvlText w:val="%6."/>
      <w:lvlJc w:val="right"/>
      <w:pPr>
        <w:ind w:left="4462" w:hanging="180"/>
      </w:pPr>
    </w:lvl>
    <w:lvl w:ilvl="6" w:tplc="240A000F" w:tentative="1">
      <w:start w:val="1"/>
      <w:numFmt w:val="decimal"/>
      <w:lvlText w:val="%7."/>
      <w:lvlJc w:val="left"/>
      <w:pPr>
        <w:ind w:left="5182" w:hanging="360"/>
      </w:pPr>
    </w:lvl>
    <w:lvl w:ilvl="7" w:tplc="240A0019" w:tentative="1">
      <w:start w:val="1"/>
      <w:numFmt w:val="lowerLetter"/>
      <w:lvlText w:val="%8."/>
      <w:lvlJc w:val="left"/>
      <w:pPr>
        <w:ind w:left="5902" w:hanging="360"/>
      </w:pPr>
    </w:lvl>
    <w:lvl w:ilvl="8" w:tplc="240A001B" w:tentative="1">
      <w:start w:val="1"/>
      <w:numFmt w:val="lowerRoman"/>
      <w:lvlText w:val="%9."/>
      <w:lvlJc w:val="right"/>
      <w:pPr>
        <w:ind w:left="6622" w:hanging="180"/>
      </w:pPr>
    </w:lvl>
  </w:abstractNum>
  <w:abstractNum w:abstractNumId="6" w15:restartNumberingAfterBreak="0">
    <w:nsid w:val="318E5EF0"/>
    <w:multiLevelType w:val="hybridMultilevel"/>
    <w:tmpl w:val="FFFFFFFF"/>
    <w:lvl w:ilvl="0" w:tplc="040A0001">
      <w:start w:val="1"/>
      <w:numFmt w:val="bullet"/>
      <w:lvlText w:val=""/>
      <w:lvlJc w:val="left"/>
      <w:pPr>
        <w:ind w:left="644" w:hanging="360"/>
      </w:pPr>
      <w:rPr>
        <w:rFonts w:ascii="Symbol" w:hAnsi="Symbol" w:hint="default"/>
      </w:rPr>
    </w:lvl>
    <w:lvl w:ilvl="1" w:tplc="040A0003" w:tentative="1">
      <w:start w:val="1"/>
      <w:numFmt w:val="bullet"/>
      <w:lvlText w:val="o"/>
      <w:lvlJc w:val="left"/>
      <w:pPr>
        <w:ind w:left="1364" w:hanging="360"/>
      </w:pPr>
      <w:rPr>
        <w:rFonts w:ascii="Courier New" w:hAnsi="Courier New" w:hint="default"/>
      </w:rPr>
    </w:lvl>
    <w:lvl w:ilvl="2" w:tplc="040A0005" w:tentative="1">
      <w:start w:val="1"/>
      <w:numFmt w:val="bullet"/>
      <w:lvlText w:val=""/>
      <w:lvlJc w:val="left"/>
      <w:pPr>
        <w:ind w:left="2084" w:hanging="360"/>
      </w:pPr>
      <w:rPr>
        <w:rFonts w:ascii="Wingdings" w:hAnsi="Wingdings" w:hint="default"/>
      </w:rPr>
    </w:lvl>
    <w:lvl w:ilvl="3" w:tplc="040A0001" w:tentative="1">
      <w:start w:val="1"/>
      <w:numFmt w:val="bullet"/>
      <w:lvlText w:val=""/>
      <w:lvlJc w:val="left"/>
      <w:pPr>
        <w:ind w:left="2804" w:hanging="360"/>
      </w:pPr>
      <w:rPr>
        <w:rFonts w:ascii="Symbol" w:hAnsi="Symbol" w:hint="default"/>
      </w:rPr>
    </w:lvl>
    <w:lvl w:ilvl="4" w:tplc="040A0003" w:tentative="1">
      <w:start w:val="1"/>
      <w:numFmt w:val="bullet"/>
      <w:lvlText w:val="o"/>
      <w:lvlJc w:val="left"/>
      <w:pPr>
        <w:ind w:left="3524" w:hanging="360"/>
      </w:pPr>
      <w:rPr>
        <w:rFonts w:ascii="Courier New" w:hAnsi="Courier New" w:hint="default"/>
      </w:rPr>
    </w:lvl>
    <w:lvl w:ilvl="5" w:tplc="040A0005" w:tentative="1">
      <w:start w:val="1"/>
      <w:numFmt w:val="bullet"/>
      <w:lvlText w:val=""/>
      <w:lvlJc w:val="left"/>
      <w:pPr>
        <w:ind w:left="4244" w:hanging="360"/>
      </w:pPr>
      <w:rPr>
        <w:rFonts w:ascii="Wingdings" w:hAnsi="Wingdings" w:hint="default"/>
      </w:rPr>
    </w:lvl>
    <w:lvl w:ilvl="6" w:tplc="040A0001" w:tentative="1">
      <w:start w:val="1"/>
      <w:numFmt w:val="bullet"/>
      <w:lvlText w:val=""/>
      <w:lvlJc w:val="left"/>
      <w:pPr>
        <w:ind w:left="4964" w:hanging="360"/>
      </w:pPr>
      <w:rPr>
        <w:rFonts w:ascii="Symbol" w:hAnsi="Symbol" w:hint="default"/>
      </w:rPr>
    </w:lvl>
    <w:lvl w:ilvl="7" w:tplc="040A0003" w:tentative="1">
      <w:start w:val="1"/>
      <w:numFmt w:val="bullet"/>
      <w:lvlText w:val="o"/>
      <w:lvlJc w:val="left"/>
      <w:pPr>
        <w:ind w:left="5684" w:hanging="360"/>
      </w:pPr>
      <w:rPr>
        <w:rFonts w:ascii="Courier New" w:hAnsi="Courier New" w:hint="default"/>
      </w:rPr>
    </w:lvl>
    <w:lvl w:ilvl="8" w:tplc="040A0005" w:tentative="1">
      <w:start w:val="1"/>
      <w:numFmt w:val="bullet"/>
      <w:lvlText w:val=""/>
      <w:lvlJc w:val="left"/>
      <w:pPr>
        <w:ind w:left="6404"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BB2EEA"/>
    <w:multiLevelType w:val="hybridMultilevel"/>
    <w:tmpl w:val="B84A885C"/>
    <w:lvl w:ilvl="0" w:tplc="240A0001">
      <w:start w:val="1"/>
      <w:numFmt w:val="bullet"/>
      <w:lvlText w:val=""/>
      <w:lvlJc w:val="left"/>
      <w:pPr>
        <w:ind w:left="644" w:hanging="360"/>
      </w:pPr>
      <w:rPr>
        <w:rFonts w:ascii="Symbol" w:hAnsi="Symbol"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12"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3" w15:restartNumberingAfterBreak="0">
    <w:nsid w:val="5AAD72FE"/>
    <w:multiLevelType w:val="hybridMultilevel"/>
    <w:tmpl w:val="9FEA7B46"/>
    <w:lvl w:ilvl="0" w:tplc="240A0001">
      <w:start w:val="1"/>
      <w:numFmt w:val="bullet"/>
      <w:lvlText w:val=""/>
      <w:lvlJc w:val="left"/>
      <w:pPr>
        <w:ind w:left="502" w:hanging="360"/>
      </w:pPr>
      <w:rPr>
        <w:rFonts w:ascii="Symbol" w:hAnsi="Symbol" w:hint="default"/>
      </w:rPr>
    </w:lvl>
    <w:lvl w:ilvl="1" w:tplc="240A0003" w:tentative="1">
      <w:start w:val="1"/>
      <w:numFmt w:val="bullet"/>
      <w:lvlText w:val="o"/>
      <w:lvlJc w:val="left"/>
      <w:pPr>
        <w:ind w:left="1222" w:hanging="360"/>
      </w:pPr>
      <w:rPr>
        <w:rFonts w:ascii="Courier New" w:hAnsi="Courier New" w:cs="Courier New" w:hint="default"/>
      </w:rPr>
    </w:lvl>
    <w:lvl w:ilvl="2" w:tplc="240A0005" w:tentative="1">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4"/>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7"/>
  </w:num>
  <w:num w:numId="8" w16cid:durableId="152644682">
    <w:abstractNumId w:val="16"/>
  </w:num>
  <w:num w:numId="9" w16cid:durableId="1317221377">
    <w:abstractNumId w:val="9"/>
  </w:num>
  <w:num w:numId="10" w16cid:durableId="1471245386">
    <w:abstractNumId w:val="15"/>
  </w:num>
  <w:num w:numId="11" w16cid:durableId="289172385">
    <w:abstractNumId w:val="10"/>
  </w:num>
  <w:num w:numId="12" w16cid:durableId="1470781324">
    <w:abstractNumId w:val="1"/>
  </w:num>
  <w:num w:numId="13" w16cid:durableId="1512908409">
    <w:abstractNumId w:val="3"/>
  </w:num>
  <w:num w:numId="14" w16cid:durableId="895897244">
    <w:abstractNumId w:val="18"/>
  </w:num>
  <w:num w:numId="15" w16cid:durableId="390349800">
    <w:abstractNumId w:val="14"/>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6973597">
    <w:abstractNumId w:val="6"/>
  </w:num>
  <w:num w:numId="18" w16cid:durableId="827985604">
    <w:abstractNumId w:val="12"/>
  </w:num>
  <w:num w:numId="19" w16cid:durableId="341274352">
    <w:abstractNumId w:val="0"/>
  </w:num>
  <w:num w:numId="20" w16cid:durableId="1282609058">
    <w:abstractNumId w:val="13"/>
  </w:num>
  <w:num w:numId="21" w16cid:durableId="1139806320">
    <w:abstractNumId w:val="5"/>
  </w:num>
  <w:num w:numId="22" w16cid:durableId="484473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4DD0"/>
    <w:rsid w:val="000D0334"/>
    <w:rsid w:val="000E2595"/>
    <w:rsid w:val="000F6486"/>
    <w:rsid w:val="00125105"/>
    <w:rsid w:val="001269B1"/>
    <w:rsid w:val="00127233"/>
    <w:rsid w:val="001511A0"/>
    <w:rsid w:val="001D2F48"/>
    <w:rsid w:val="001E4177"/>
    <w:rsid w:val="001F7DC6"/>
    <w:rsid w:val="002421BB"/>
    <w:rsid w:val="002560B1"/>
    <w:rsid w:val="0025796E"/>
    <w:rsid w:val="002707A2"/>
    <w:rsid w:val="002951A0"/>
    <w:rsid w:val="002962BC"/>
    <w:rsid w:val="002A093D"/>
    <w:rsid w:val="002A0DD0"/>
    <w:rsid w:val="002A49AC"/>
    <w:rsid w:val="002A64FD"/>
    <w:rsid w:val="002C7A84"/>
    <w:rsid w:val="002E4FD9"/>
    <w:rsid w:val="00322A85"/>
    <w:rsid w:val="00324168"/>
    <w:rsid w:val="0034238A"/>
    <w:rsid w:val="003448F4"/>
    <w:rsid w:val="00374F5E"/>
    <w:rsid w:val="00377E3E"/>
    <w:rsid w:val="003A779E"/>
    <w:rsid w:val="003D0F4D"/>
    <w:rsid w:val="003D5B0D"/>
    <w:rsid w:val="003E0499"/>
    <w:rsid w:val="003F3941"/>
    <w:rsid w:val="00406575"/>
    <w:rsid w:val="00407709"/>
    <w:rsid w:val="00414C74"/>
    <w:rsid w:val="0042722E"/>
    <w:rsid w:val="0044528D"/>
    <w:rsid w:val="004A1847"/>
    <w:rsid w:val="004A305D"/>
    <w:rsid w:val="004E4FAA"/>
    <w:rsid w:val="004F21C4"/>
    <w:rsid w:val="004F685F"/>
    <w:rsid w:val="00512908"/>
    <w:rsid w:val="005566E8"/>
    <w:rsid w:val="00574867"/>
    <w:rsid w:val="00591460"/>
    <w:rsid w:val="005B3816"/>
    <w:rsid w:val="005C3777"/>
    <w:rsid w:val="005C5CDC"/>
    <w:rsid w:val="005D476C"/>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7722E"/>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E17B8"/>
    <w:rsid w:val="009F3A13"/>
    <w:rsid w:val="00A122D3"/>
    <w:rsid w:val="00A17F13"/>
    <w:rsid w:val="00A20739"/>
    <w:rsid w:val="00A33C78"/>
    <w:rsid w:val="00A9617B"/>
    <w:rsid w:val="00AB0ADB"/>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100"/>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D0012"/>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560B1"/>
    <w:pPr>
      <w:spacing w:line="240" w:lineRule="exact"/>
    </w:pPr>
    <w:rPr>
      <w:vertAlign w:val="superscript"/>
    </w:rPr>
  </w:style>
  <w:style w:type="table" w:customStyle="1" w:styleId="Tablaconcuadrcula1">
    <w:name w:val="Tabla con cuadrícula1"/>
    <w:basedOn w:val="Tablanormal"/>
    <w:next w:val="Tablaconcuadrcula"/>
    <w:uiPriority w:val="39"/>
    <w:qFormat/>
    <w:rsid w:val="002560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2560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files_2020/02._resolucion_358_de_2023_dt_-_convenios_solidarios.pdf" TargetMode="External"/><Relationship Id="rId18" Type="http://schemas.openxmlformats.org/officeDocument/2006/relationships/hyperlink" Target="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olombiacompra.gov.co/sites/cce_public/files/files_2020/02._resolucion_358_de_2023_dt_-_convenios_solidarios.pdf" TargetMode="External"/><Relationship Id="rId17" Type="http://schemas.openxmlformats.org/officeDocument/2006/relationships/hyperlink" Target="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content/documento-tipo-para-la-contratacion-directa-de-convenios-solidarios-para-la-ejecucion-de" TargetMode="External"/><Relationship Id="rId23" Type="http://schemas.openxmlformats.org/officeDocument/2006/relationships/fontTable" Target="fontTable.xml"/><Relationship Id="rId10" Type="http://schemas.openxmlformats.org/officeDocument/2006/relationships/hyperlink" Target="https://www.colombiacompra.gov.co/sites/cce_public/files/files_2020/02._resolucion_358_de_2023_dt_-_convenios_solidarios.pdf" TargetMode="External"/><Relationship Id="rId19" Type="http://schemas.openxmlformats.org/officeDocument/2006/relationships/hyperlink" Target="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content/documento-tipo-para-la-contratacion-directa-de-convenios-solidarios-para-la-ejecucion-d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FE16F79-600C-41F8-9900-A8B34EB40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4727</Words>
  <Characters>26002</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2025-02-28T00:32:00Z</dcterms:created>
  <dcterms:modified xsi:type="dcterms:W3CDTF">2025-03-05T16:03:00Z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