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F66FE4" w:rsidR="00DD689E" w:rsidP="00DD689E" w:rsidRDefault="00DD689E" w14:paraId="26DC4D76" w14:textId="77777777">
      <w:pPr>
        <w:jc w:val="right"/>
        <w:rPr>
          <w:rFonts w:ascii="Arial" w:hAnsi="Arial" w:cs="Arial"/>
          <w:bCs/>
          <w:sz w:val="16"/>
          <w:szCs w:val="16"/>
          <w:lang w:val="es-ES" w:eastAsia="es-ES"/>
        </w:rPr>
      </w:pPr>
      <w:bookmarkStart w:name="_Hlk28946138" w:id="0"/>
      <w:bookmarkStart w:name="_Hlk29548183" w:id="1"/>
      <w:r w:rsidRPr="00F66FE4">
        <w:rPr>
          <w:rFonts w:ascii="Arial" w:hAnsi="Arial" w:cs="Arial"/>
          <w:b/>
          <w:sz w:val="16"/>
          <w:szCs w:val="16"/>
          <w:lang w:val="es-ES" w:eastAsia="es-ES"/>
        </w:rPr>
        <w:tab/>
      </w:r>
      <w:r w:rsidRPr="00F66FE4">
        <w:rPr>
          <w:rFonts w:ascii="Arial" w:hAnsi="Arial" w:cs="Arial"/>
          <w:bCs/>
          <w:sz w:val="16"/>
          <w:szCs w:val="16"/>
          <w:lang w:val="es-ES" w:eastAsia="es-ES"/>
        </w:rPr>
        <w:t>CCE-DES-FM-17</w:t>
      </w:r>
    </w:p>
    <w:p w:rsidRPr="00F66FE4" w:rsidR="00DD689E" w:rsidP="00DD689E" w:rsidRDefault="00DD689E" w14:paraId="6C9475B7" w14:textId="77777777">
      <w:pPr>
        <w:jc w:val="both"/>
        <w:rPr>
          <w:rFonts w:ascii="Arial" w:hAnsi="Arial" w:eastAsia="Calibri" w:cs="Arial"/>
          <w:b/>
          <w:sz w:val="20"/>
          <w:szCs w:val="20"/>
          <w:lang w:val="es-ES"/>
        </w:rPr>
      </w:pPr>
    </w:p>
    <w:p w:rsidRPr="00F66FE4" w:rsidR="00DD689E" w:rsidP="00DD689E" w:rsidRDefault="008363B6" w14:paraId="33EBAFD6" w14:textId="4EF0C39C">
      <w:pPr>
        <w:jc w:val="both"/>
        <w:rPr>
          <w:rFonts w:ascii="Arial" w:hAnsi="Arial" w:eastAsia="Calibri" w:cs="Arial"/>
          <w:b/>
          <w:sz w:val="20"/>
          <w:szCs w:val="20"/>
          <w:lang w:val="es-ES"/>
        </w:rPr>
      </w:pPr>
      <w:r w:rsidRPr="00F66FE4">
        <w:rPr>
          <w:rFonts w:ascii="Arial" w:hAnsi="Arial" w:eastAsia="Calibri" w:cs="Arial"/>
          <w:b/>
          <w:sz w:val="22"/>
          <w:lang w:val="es-ES"/>
        </w:rPr>
        <w:t>DOCUMENTOS</w:t>
      </w:r>
      <w:r w:rsidRPr="00F66FE4" w:rsidR="00DD689E">
        <w:rPr>
          <w:rFonts w:ascii="Arial" w:hAnsi="Arial" w:eastAsia="Calibri" w:cs="Arial"/>
          <w:b/>
          <w:sz w:val="22"/>
          <w:lang w:val="es-ES"/>
        </w:rPr>
        <w:t xml:space="preserve"> TIPO – </w:t>
      </w:r>
      <w:r w:rsidRPr="00F66FE4">
        <w:rPr>
          <w:rFonts w:ascii="Arial" w:hAnsi="Arial" w:eastAsia="Calibri" w:cs="Arial"/>
          <w:b/>
          <w:sz w:val="22"/>
          <w:lang w:val="es-ES"/>
        </w:rPr>
        <w:t>Ámbito de aplicación – Matriz 1</w:t>
      </w:r>
      <w:r w:rsidRPr="00F66FE4" w:rsidR="00DD689E">
        <w:rPr>
          <w:rFonts w:ascii="Arial" w:hAnsi="Arial" w:eastAsia="Calibri" w:cs="Arial"/>
          <w:b/>
          <w:sz w:val="20"/>
          <w:szCs w:val="20"/>
          <w:lang w:val="es-ES"/>
        </w:rPr>
        <w:t xml:space="preserve"> </w:t>
      </w:r>
    </w:p>
    <w:p w:rsidRPr="00F66FE4" w:rsidR="00DD689E" w:rsidP="00DD689E" w:rsidRDefault="00DD689E" w14:paraId="73C577AF" w14:textId="77777777">
      <w:pPr>
        <w:jc w:val="both"/>
        <w:rPr>
          <w:rFonts w:ascii="Arial" w:hAnsi="Arial" w:eastAsia="Calibri" w:cs="Arial"/>
          <w:b/>
          <w:sz w:val="20"/>
          <w:szCs w:val="20"/>
          <w:lang w:val="es-ES"/>
        </w:rPr>
      </w:pPr>
    </w:p>
    <w:p w:rsidR="004E3BCF" w:rsidP="004E3BCF" w:rsidRDefault="00562540" w14:paraId="365D973F" w14:textId="47643180">
      <w:pPr>
        <w:jc w:val="both"/>
        <w:rPr>
          <w:rFonts w:ascii="Arial" w:hAnsi="Arial" w:eastAsia="Calibri" w:cs="Arial"/>
          <w:sz w:val="20"/>
          <w:szCs w:val="20"/>
          <w:lang w:val="es-ES"/>
        </w:rPr>
      </w:pPr>
      <w:r w:rsidRPr="32ABE35A" w:rsidR="00562540">
        <w:rPr>
          <w:rFonts w:ascii="Arial" w:hAnsi="Arial" w:eastAsia="Calibri" w:cs="Arial"/>
          <w:sz w:val="20"/>
          <w:szCs w:val="20"/>
          <w:lang w:val="es-ES"/>
        </w:rPr>
        <w:t>[…]</w:t>
      </w:r>
      <w:r w:rsidRPr="32ABE35A" w:rsidR="004E3BCF">
        <w:rPr>
          <w:rFonts w:ascii="Arial" w:hAnsi="Arial" w:eastAsia="Calibri" w:cs="Arial"/>
          <w:sz w:val="20"/>
          <w:szCs w:val="20"/>
          <w:lang w:val="es-ES"/>
        </w:rPr>
        <w:t xml:space="preserve"> </w:t>
      </w:r>
      <w:r w:rsidRPr="32ABE35A" w:rsidR="004E3BCF">
        <w:rPr>
          <w:rFonts w:ascii="Arial" w:hAnsi="Arial" w:eastAsia="Calibri" w:cs="Arial"/>
          <w:sz w:val="20"/>
          <w:szCs w:val="20"/>
          <w:lang w:val="es-ES"/>
        </w:rPr>
        <w:t xml:space="preserve">el ámbito de aplicación de los Documentos Tipo de obra pública de infraestructura de transporte, en primer lugar, está determinado por la modalidad de selección procedente, pues dependiendo de si el proceso de contratación es de licitación pública, selección abreviada de menor cuantía o mínima cuantía, deberán aplicarse los documentos tipo adoptados por las resoluciones Nos. 045 de </w:t>
      </w:r>
      <w:r w:rsidRPr="32ABE35A" w:rsidR="56944D98">
        <w:rPr>
          <w:rFonts w:ascii="Arial" w:hAnsi="Arial" w:eastAsia="Calibri" w:cs="Arial"/>
          <w:sz w:val="20"/>
          <w:szCs w:val="20"/>
          <w:lang w:val="es-ES"/>
        </w:rPr>
        <w:t>2020,</w:t>
      </w:r>
      <w:r w:rsidRPr="32ABE35A" w:rsidR="004E3BCF">
        <w:rPr>
          <w:rFonts w:ascii="Arial" w:hAnsi="Arial" w:eastAsia="Calibri" w:cs="Arial"/>
          <w:sz w:val="20"/>
          <w:szCs w:val="20"/>
          <w:lang w:val="es-ES"/>
        </w:rPr>
        <w:t xml:space="preserve"> 044 de </w:t>
      </w:r>
      <w:r w:rsidRPr="32ABE35A" w:rsidR="6FA9D716">
        <w:rPr>
          <w:rFonts w:ascii="Arial" w:hAnsi="Arial" w:eastAsia="Calibri" w:cs="Arial"/>
          <w:sz w:val="20"/>
          <w:szCs w:val="20"/>
          <w:lang w:val="es-ES"/>
        </w:rPr>
        <w:t>2020 o</w:t>
      </w:r>
      <w:r w:rsidRPr="32ABE35A" w:rsidR="004E3BCF">
        <w:rPr>
          <w:rFonts w:ascii="Arial" w:hAnsi="Arial" w:eastAsia="Calibri" w:cs="Arial"/>
          <w:sz w:val="20"/>
          <w:szCs w:val="20"/>
          <w:lang w:val="es-ES"/>
        </w:rPr>
        <w:t xml:space="preserve"> 094 de 2020, respectivamente.</w:t>
      </w:r>
    </w:p>
    <w:p w:rsidRPr="004E3BCF" w:rsidR="004E3BCF" w:rsidP="004E3BCF" w:rsidRDefault="004E3BCF" w14:paraId="6A22DE8B" w14:textId="77777777">
      <w:pPr>
        <w:jc w:val="both"/>
        <w:rPr>
          <w:rFonts w:ascii="Arial" w:hAnsi="Arial" w:eastAsia="Calibri" w:cs="Arial"/>
          <w:sz w:val="20"/>
          <w:szCs w:val="20"/>
          <w:lang w:val="es-ES"/>
        </w:rPr>
      </w:pPr>
    </w:p>
    <w:p w:rsidRPr="00F66FE4" w:rsidR="008363B6" w:rsidP="004E3BCF" w:rsidRDefault="004E3BCF" w14:paraId="25606177" w14:textId="3D88DC5B">
      <w:pPr>
        <w:jc w:val="both"/>
        <w:rPr>
          <w:rFonts w:ascii="Arial" w:hAnsi="Arial" w:eastAsia="Calibri" w:cs="Arial"/>
          <w:sz w:val="20"/>
          <w:szCs w:val="20"/>
          <w:lang w:val="es-ES"/>
        </w:rPr>
      </w:pPr>
      <w:r w:rsidRPr="32ABE35A" w:rsidR="004E3BCF">
        <w:rPr>
          <w:rFonts w:ascii="Arial" w:hAnsi="Arial" w:eastAsia="Calibri" w:cs="Arial"/>
          <w:sz w:val="20"/>
          <w:szCs w:val="20"/>
          <w:lang w:val="es-ES"/>
        </w:rPr>
        <w:t xml:space="preserve">En segundo lugar, para determinar si la entidad regida por el EGCAP está obligada a aplicar los documentos tipo para la respectiva contratación, habrá que determinar si el objeto a contratarse encuadra dentro de los tipos de obra y actividades establecidas dentro de la respectiva Matriz 1, documento que además estandariza los requisitos de experiencia exigibles para cada uno de los objetos contractuales que deben contratarse aplicando Documentos </w:t>
      </w:r>
      <w:r w:rsidRPr="32ABE35A" w:rsidR="004E3BCF">
        <w:rPr>
          <w:rFonts w:ascii="Arial" w:hAnsi="Arial" w:eastAsia="Calibri" w:cs="Arial"/>
          <w:sz w:val="20"/>
          <w:szCs w:val="20"/>
          <w:lang w:val="es-ES"/>
        </w:rPr>
        <w:t>Tipo.</w:t>
      </w:r>
      <w:r w:rsidRPr="32ABE35A" w:rsidR="004E3BCF">
        <w:rPr>
          <w:rFonts w:ascii="Arial" w:hAnsi="Arial" w:eastAsia="Calibri" w:cs="Arial"/>
          <w:sz w:val="20"/>
          <w:szCs w:val="20"/>
          <w:lang w:val="es-ES"/>
        </w:rPr>
        <w:t xml:space="preserve"> En tal sentido, la entidad asociará el objeto contractual a uno de los «tipos de obra» de infraestructura de transporte relacionados en la Matriz 1, y establecerá si las «actividades» a desarrollar corresponden a alguna de las señaladas para el correspondiente tipo de infraestructura. De estar contemplada la actividad a contratar en la Matriz 1, deberán emplearse los documentos tipo para el desarrollo del proceso de selección, y aplicarse los requisitos de experiencia establecidos para esta, de acuerdo con el rango en el que se encuentre la cuantía del proceso de contratación.</w:t>
      </w:r>
    </w:p>
    <w:p w:rsidRPr="00F66FE4" w:rsidR="00D20C0C" w:rsidP="00DD689E" w:rsidRDefault="00D20C0C" w14:paraId="5E9D07D6" w14:textId="77777777">
      <w:pPr>
        <w:jc w:val="both"/>
        <w:rPr>
          <w:rFonts w:ascii="Arial" w:hAnsi="Arial" w:eastAsia="Calibri" w:cs="Arial"/>
          <w:b/>
          <w:sz w:val="22"/>
          <w:lang w:val="es-ES"/>
        </w:rPr>
      </w:pPr>
    </w:p>
    <w:p w:rsidRPr="00F66FE4" w:rsidR="00DD689E" w:rsidP="00DD689E" w:rsidRDefault="00562540" w14:paraId="055509AD" w14:textId="20016C38">
      <w:pPr>
        <w:jc w:val="both"/>
        <w:rPr>
          <w:rFonts w:ascii="Arial" w:hAnsi="Arial" w:eastAsia="Calibri" w:cs="Arial"/>
          <w:b/>
          <w:sz w:val="22"/>
          <w:lang w:val="es-ES"/>
        </w:rPr>
      </w:pPr>
      <w:r w:rsidRPr="00F66FE4">
        <w:rPr>
          <w:rFonts w:ascii="Arial" w:hAnsi="Arial" w:eastAsia="Calibri" w:cs="Arial"/>
          <w:b/>
          <w:sz w:val="22"/>
          <w:lang w:val="es-ES"/>
        </w:rPr>
        <w:t xml:space="preserve">DOCUMENTOS TIPO – Señalización – </w:t>
      </w:r>
      <w:r w:rsidR="00894DC7">
        <w:rPr>
          <w:rFonts w:ascii="Arial" w:hAnsi="Arial" w:eastAsia="Calibri" w:cs="Arial"/>
          <w:b/>
          <w:sz w:val="22"/>
          <w:lang w:val="es-ES"/>
        </w:rPr>
        <w:t>Señalización turística</w:t>
      </w:r>
    </w:p>
    <w:p w:rsidRPr="004E3BCF" w:rsidR="004E3BCF" w:rsidP="004E3BCF" w:rsidRDefault="004E3BCF" w14:paraId="2876FD67" w14:textId="77777777">
      <w:pPr>
        <w:jc w:val="both"/>
        <w:rPr>
          <w:rFonts w:ascii="Arial" w:hAnsi="Arial" w:eastAsia="Calibri" w:cs="Arial"/>
          <w:sz w:val="20"/>
          <w:szCs w:val="20"/>
          <w:lang w:val="es-ES"/>
        </w:rPr>
      </w:pPr>
    </w:p>
    <w:p w:rsidR="00894DC7" w:rsidP="004E3BCF" w:rsidRDefault="004E3BCF" w14:paraId="55F162EA" w14:textId="2DF036A6">
      <w:pPr>
        <w:jc w:val="both"/>
        <w:rPr>
          <w:rFonts w:ascii="Arial" w:hAnsi="Arial" w:eastAsia="Calibri" w:cs="Arial"/>
          <w:sz w:val="20"/>
          <w:szCs w:val="20"/>
          <w:lang w:val="es-ES"/>
        </w:rPr>
      </w:pPr>
      <w:r w:rsidRPr="004E3BCF">
        <w:rPr>
          <w:rFonts w:ascii="Arial" w:hAnsi="Arial" w:eastAsia="Calibri" w:cs="Arial"/>
          <w:sz w:val="20"/>
          <w:szCs w:val="20"/>
          <w:lang w:val="es-ES"/>
        </w:rPr>
        <w:t>Al referirse a la señalización de infraestructura de transporte y espacio público asociado a esta, las actividades de la Matriz 1 arriba señaladas comprenden también la señalización turística, siempre y cuando el proyecto de señalización se encuentre relacionado con una obra de infraestructura vial, por lo que deberán aplicarse los documentos tipo. No obstante, se torna necesario precisar los casos en los que un proyecto cuyo objeto es elaborar una señalización turística debe contratarse mediante el uso de documentos tipo y cuando no. En este sentido, la ley 769 de 2002, «Por la cual se expide el Código Nacional de Tránsito Terrestre y se dictan otras disposiciones» consagró en su artículo 115 la obligación del Ministerio de Transporte de diseñar y definir las características de las señales de tránsito, su uso, su ubicación y demás características, que deberán ser de obligatorio cumplimiento para todo el territorio nacional.</w:t>
      </w:r>
    </w:p>
    <w:p w:rsidRPr="00894DC7" w:rsidR="004E3BCF" w:rsidP="004E3BCF" w:rsidRDefault="004E3BCF" w14:paraId="736D5C0A" w14:textId="77777777">
      <w:pPr>
        <w:jc w:val="both"/>
        <w:rPr>
          <w:rFonts w:ascii="Arial" w:hAnsi="Arial" w:eastAsia="Calibri" w:cs="Arial"/>
          <w:sz w:val="20"/>
          <w:szCs w:val="20"/>
          <w:lang w:val="es-ES"/>
        </w:rPr>
      </w:pPr>
    </w:p>
    <w:p w:rsidR="00894DC7" w:rsidP="00894DC7" w:rsidRDefault="00894DC7" w14:paraId="5E813935" w14:textId="1E7C8D0F">
      <w:pPr>
        <w:jc w:val="both"/>
        <w:rPr>
          <w:rFonts w:ascii="Arial" w:hAnsi="Arial" w:eastAsia="Calibri" w:cs="Arial"/>
          <w:sz w:val="20"/>
          <w:szCs w:val="20"/>
          <w:lang w:val="es-ES"/>
        </w:rPr>
      </w:pPr>
    </w:p>
    <w:p w:rsidRPr="00F66FE4" w:rsidR="009559AE" w:rsidP="00DD689E" w:rsidRDefault="00894DC7" w14:paraId="549D196B" w14:textId="5AA1477F">
      <w:pPr>
        <w:jc w:val="both"/>
        <w:rPr>
          <w:rFonts w:ascii="Arial" w:hAnsi="Arial" w:eastAsia="Calibri" w:cs="Arial"/>
          <w:sz w:val="20"/>
          <w:szCs w:val="20"/>
          <w:highlight w:val="yellow"/>
          <w:lang w:val="es-ES"/>
        </w:rPr>
      </w:pPr>
      <w:r>
        <w:rPr>
          <w:rFonts w:ascii="Arial" w:hAnsi="Arial" w:eastAsia="Calibri" w:cs="Arial"/>
          <w:sz w:val="20"/>
          <w:szCs w:val="20"/>
          <w:lang w:val="es-ES"/>
        </w:rPr>
        <w:t xml:space="preserve">[…] </w:t>
      </w:r>
      <w:r w:rsidRPr="00F36F8D" w:rsidR="00F36F8D">
        <w:rPr>
          <w:rFonts w:ascii="Arial" w:hAnsi="Arial" w:eastAsia="Calibri" w:cs="Arial"/>
          <w:sz w:val="20"/>
          <w:szCs w:val="20"/>
          <w:lang w:val="es-ES"/>
        </w:rPr>
        <w:t xml:space="preserve">para determinar si un proyecto de señalización turística debe contratarse mediante los Documentos Tipo de infraestructura de transporte, dependerá si este corresponde a una señalización vinculada con una infraestructura de transporte, en cuyo caso deberán utilizarse los Documento Tipo; o si se trata de un proyecto que no se relaciona con una infraestructura de transporte, sino que está apartado de ella, caso en que no se aplicarían los Documentos Tipo. Sin embargo, las entidades estatales deben analizar en cada caso particular si el objeto que pretenden contratar supone o no la aplicación de los documentos tipo y cuál es el alcance real del mismo, teniendo en cuenta lo indicado en este concepto, donde se acotó el entendimiento de las «señales turísticas» para efectos de dicho análisis. Adicionalmente, debe tenerse presente que es posible que en desarrollo de un proyecto concurran actividades incluidas dentro del ámbito de aplicación de los documentos tipo y otras que no han sido incluidas, en dicho caso deberán aplicarse los documentos tipo, independientemente de que la totalidad del objeto contractual no esté referido al desarrollo de actividades incluidas en la Matriz 1.  </w:t>
      </w:r>
    </w:p>
    <w:p w:rsidRPr="00F66FE4" w:rsidR="009559AE" w:rsidP="00DD689E" w:rsidRDefault="009559AE" w14:paraId="541343D8" w14:textId="021E8F16">
      <w:pPr>
        <w:jc w:val="both"/>
        <w:rPr>
          <w:rFonts w:ascii="Arial" w:hAnsi="Arial" w:eastAsia="Calibri" w:cs="Arial"/>
          <w:sz w:val="20"/>
          <w:szCs w:val="20"/>
          <w:highlight w:val="yellow"/>
          <w:lang w:val="es-ES"/>
        </w:rPr>
      </w:pPr>
    </w:p>
    <w:p w:rsidRPr="00F66FE4" w:rsidR="002870BB" w:rsidP="00DD689E" w:rsidRDefault="002870BB" w14:paraId="3958875A" w14:textId="77777777">
      <w:pPr>
        <w:jc w:val="both"/>
        <w:rPr>
          <w:rFonts w:ascii="Arial" w:hAnsi="Arial" w:eastAsia="Calibri" w:cs="Arial"/>
          <w:bCs/>
          <w:sz w:val="20"/>
          <w:szCs w:val="20"/>
          <w:lang w:val="es-ES"/>
        </w:rPr>
      </w:pPr>
    </w:p>
    <w:p w:rsidRPr="00F66FE4" w:rsidR="00D20C0C" w:rsidP="00DD689E" w:rsidRDefault="00D20C0C" w14:paraId="4053617E" w14:textId="59CFE787">
      <w:pPr>
        <w:jc w:val="both"/>
        <w:rPr>
          <w:rFonts w:ascii="Arial" w:hAnsi="Arial" w:eastAsia="Calibri" w:cs="Arial"/>
          <w:bCs/>
          <w:sz w:val="20"/>
          <w:szCs w:val="20"/>
          <w:lang w:val="es-ES"/>
        </w:rPr>
      </w:pPr>
    </w:p>
    <w:p w:rsidRPr="00F66FE4" w:rsidR="00D20C0C" w:rsidP="00DD689E" w:rsidRDefault="00D20C0C" w14:paraId="17F20E32" w14:textId="77777777">
      <w:pPr>
        <w:jc w:val="both"/>
        <w:rPr>
          <w:rFonts w:ascii="Arial" w:hAnsi="Arial" w:eastAsia="Calibri" w:cs="Arial"/>
          <w:bCs/>
          <w:sz w:val="20"/>
          <w:szCs w:val="20"/>
          <w:lang w:val="es-ES"/>
        </w:rPr>
      </w:pPr>
    </w:p>
    <w:p w:rsidRPr="00F66FE4" w:rsidR="00A44970" w:rsidP="00A44970" w:rsidRDefault="00A44970" w14:paraId="57A9681F" w14:textId="77777777">
      <w:pPr>
        <w:jc w:val="both"/>
        <w:rPr>
          <w:rFonts w:ascii="Arial" w:hAnsi="Arial" w:eastAsia="Arial" w:cs="Arial"/>
          <w:color w:val="000000" w:themeColor="text1"/>
          <w:sz w:val="22"/>
          <w:lang w:val="es-ES"/>
        </w:rPr>
      </w:pPr>
    </w:p>
    <w:p w:rsidRPr="00F66FE4" w:rsidR="00A44970" w:rsidP="00A44970" w:rsidRDefault="00A44970" w14:paraId="5F02DA79" w14:textId="4B68BCEF">
      <w:pPr>
        <w:spacing w:line="276" w:lineRule="auto"/>
        <w:rPr>
          <w:rFonts w:ascii="Arial" w:hAnsi="Arial" w:eastAsia="Arial" w:cs="Arial"/>
          <w:color w:val="000000" w:themeColor="text1"/>
          <w:sz w:val="22"/>
          <w:lang w:val="es-ES"/>
        </w:rPr>
      </w:pPr>
      <w:r w:rsidRPr="00F66FE4">
        <w:rPr>
          <w:rFonts w:ascii="Arial" w:hAnsi="Arial" w:eastAsia="Arial" w:cs="Arial"/>
          <w:color w:val="000000" w:themeColor="text1"/>
          <w:sz w:val="22"/>
          <w:lang w:val="es-ES"/>
        </w:rPr>
        <w:t>Bogotá D.C.,</w:t>
      </w:r>
      <w:r w:rsidR="00407443">
        <w:rPr>
          <w:rFonts w:ascii="Arial" w:hAnsi="Arial" w:eastAsia="Arial" w:cs="Arial"/>
          <w:color w:val="000000" w:themeColor="text1"/>
          <w:sz w:val="22"/>
          <w:lang w:val="es-ES"/>
        </w:rPr>
        <w:t xml:space="preserve"> </w:t>
      </w:r>
      <w:r w:rsidR="00407443">
        <w:rPr>
          <w:rFonts w:ascii="Arial" w:hAnsi="Arial" w:eastAsia="Arial" w:cs="Arial"/>
          <w:b/>
          <w:bCs/>
          <w:color w:val="000000" w:themeColor="text1"/>
          <w:sz w:val="22"/>
          <w:lang w:val="es-ES"/>
        </w:rPr>
        <w:t>14/05/2021</w:t>
      </w:r>
    </w:p>
    <w:p w:rsidRPr="00F66FE4" w:rsidR="00DD689E" w:rsidP="00407443" w:rsidRDefault="00407443" w14:paraId="4DACAAF9" w14:textId="7E55DF09">
      <w:pPr>
        <w:jc w:val="right"/>
        <w:rPr>
          <w:rFonts w:ascii="Arial" w:hAnsi="Arial" w:eastAsia="Calibri" w:cs="Arial"/>
          <w:sz w:val="22"/>
          <w:lang w:val="es-ES"/>
        </w:rPr>
      </w:pPr>
      <w:r w:rsidR="00407443">
        <w:drawing>
          <wp:inline wp14:editId="3D987D53" wp14:anchorId="3F5A63D1">
            <wp:extent cx="2372585" cy="608837"/>
            <wp:effectExtent l="0" t="0" r="0" b="0"/>
            <wp:docPr id="1" name="image2.png" title=""/>
            <wp:cNvGraphicFramePr>
              <a:graphicFrameLocks noChangeAspect="1"/>
            </wp:cNvGraphicFramePr>
            <a:graphic>
              <a:graphicData uri="http://schemas.openxmlformats.org/drawingml/2006/picture">
                <pic:pic>
                  <pic:nvPicPr>
                    <pic:cNvPr id="0" name="image2.png"/>
                    <pic:cNvPicPr/>
                  </pic:nvPicPr>
                  <pic:blipFill>
                    <a:blip r:embed="R4cfcfd419a8942f5">
                      <a:extLst>
                        <a:ext xmlns:a="http://schemas.openxmlformats.org/drawingml/2006/main" uri="{28A0092B-C50C-407E-A947-70E740481C1C}">
                          <a14:useLocalDpi val="0"/>
                        </a:ext>
                      </a:extLst>
                    </a:blip>
                    <a:stretch>
                      <a:fillRect/>
                    </a:stretch>
                  </pic:blipFill>
                  <pic:spPr>
                    <a:xfrm rot="0" flipH="0" flipV="0">
                      <a:off x="0" y="0"/>
                      <a:ext cx="2372585" cy="608837"/>
                    </a:xfrm>
                    <a:prstGeom prst="rect">
                      <a:avLst/>
                    </a:prstGeom>
                  </pic:spPr>
                </pic:pic>
              </a:graphicData>
            </a:graphic>
          </wp:inline>
        </w:drawing>
      </w:r>
    </w:p>
    <w:p w:rsidRPr="00F66FE4" w:rsidR="00DD689E" w:rsidP="00DD689E" w:rsidRDefault="00DD689E" w14:paraId="7427F549" w14:textId="77777777">
      <w:pPr>
        <w:rPr>
          <w:rFonts w:ascii="Arial" w:hAnsi="Arial" w:eastAsia="Calibri" w:cs="Arial"/>
          <w:sz w:val="22"/>
          <w:lang w:val="es-ES"/>
        </w:rPr>
      </w:pPr>
      <w:r w:rsidRPr="00F66FE4">
        <w:rPr>
          <w:rFonts w:ascii="Arial" w:hAnsi="Arial" w:eastAsia="Calibri" w:cs="Arial"/>
          <w:sz w:val="22"/>
          <w:lang w:val="es-ES"/>
        </w:rPr>
        <w:t>Señora</w:t>
      </w:r>
    </w:p>
    <w:p w:rsidRPr="00F66FE4" w:rsidR="00193B53" w:rsidP="00DD689E" w:rsidRDefault="00A44970" w14:paraId="02143D28" w14:textId="6464A8FB">
      <w:pPr>
        <w:rPr>
          <w:rFonts w:ascii="Arial" w:hAnsi="Arial" w:eastAsia="Calibri" w:cs="Arial"/>
          <w:b/>
          <w:sz w:val="22"/>
          <w:lang w:val="es-ES"/>
        </w:rPr>
      </w:pPr>
      <w:r w:rsidRPr="00F66FE4">
        <w:rPr>
          <w:rFonts w:ascii="Arial" w:hAnsi="Arial" w:eastAsia="Calibri" w:cs="Arial"/>
          <w:b/>
          <w:sz w:val="22"/>
          <w:lang w:val="es-ES"/>
        </w:rPr>
        <w:t>Lina Marcela Ayala Pineda</w:t>
      </w:r>
    </w:p>
    <w:p w:rsidRPr="00F66FE4" w:rsidR="00DD689E" w:rsidP="00DD689E" w:rsidRDefault="00A44970" w14:paraId="7C56D392" w14:textId="3D16B1EC">
      <w:pPr>
        <w:rPr>
          <w:rFonts w:ascii="Arial" w:hAnsi="Arial" w:eastAsia="Calibri" w:cs="Arial"/>
          <w:sz w:val="22"/>
          <w:lang w:val="es-ES"/>
        </w:rPr>
      </w:pPr>
      <w:r w:rsidRPr="00F66FE4">
        <w:rPr>
          <w:rFonts w:ascii="Arial" w:hAnsi="Arial" w:eastAsia="Calibri" w:cs="Arial"/>
          <w:sz w:val="22"/>
          <w:lang w:val="es-ES"/>
        </w:rPr>
        <w:t>Bogotá D.C.</w:t>
      </w:r>
    </w:p>
    <w:p w:rsidRPr="00F66FE4" w:rsidR="00DD689E" w:rsidP="00DD689E" w:rsidRDefault="00DD689E" w14:paraId="29FF9129" w14:textId="77777777">
      <w:pPr>
        <w:rPr>
          <w:rFonts w:ascii="Arial" w:hAnsi="Arial" w:eastAsia="Calibri" w:cs="Arial"/>
          <w:sz w:val="22"/>
          <w:lang w:val="es-ES"/>
        </w:rPr>
      </w:pPr>
    </w:p>
    <w:p w:rsidRPr="00F66FE4" w:rsidR="00DD689E" w:rsidP="00DD689E" w:rsidRDefault="00DD689E" w14:paraId="160F4449" w14:textId="77777777">
      <w:pPr>
        <w:rPr>
          <w:rFonts w:ascii="Arial" w:hAnsi="Arial" w:eastAsia="Calibri" w:cs="Arial"/>
          <w:sz w:val="22"/>
          <w:lang w:val="es-ES"/>
        </w:rPr>
      </w:pPr>
    </w:p>
    <w:p w:rsidRPr="00F66FE4" w:rsidR="00DD689E" w:rsidP="00DD689E" w:rsidRDefault="00DD689E" w14:paraId="62BB70B8" w14:textId="186B9423">
      <w:pPr>
        <w:ind w:firstLine="2694"/>
        <w:rPr>
          <w:rFonts w:ascii="Arial" w:hAnsi="Arial" w:eastAsia="Calibri" w:cs="Arial"/>
          <w:b/>
          <w:sz w:val="22"/>
          <w:lang w:val="es-ES"/>
        </w:rPr>
      </w:pPr>
      <w:r w:rsidRPr="00F66FE4">
        <w:rPr>
          <w:rFonts w:ascii="Arial" w:hAnsi="Arial" w:eastAsia="Calibri" w:cs="Arial"/>
          <w:b/>
          <w:sz w:val="22"/>
          <w:lang w:val="es-ES"/>
        </w:rPr>
        <w:t xml:space="preserve">Concepto C </w:t>
      </w:r>
      <w:r w:rsidRPr="00F66FE4" w:rsidR="006E2BDC">
        <w:rPr>
          <w:rFonts w:ascii="Arial" w:hAnsi="Arial" w:eastAsia="Calibri" w:cs="Arial"/>
          <w:b/>
          <w:sz w:val="22"/>
          <w:lang w:val="es-ES"/>
        </w:rPr>
        <w:t>–</w:t>
      </w:r>
      <w:r w:rsidRPr="00F66FE4">
        <w:rPr>
          <w:rFonts w:ascii="Arial" w:hAnsi="Arial" w:eastAsia="Calibri" w:cs="Arial"/>
          <w:b/>
          <w:sz w:val="22"/>
          <w:lang w:val="es-ES"/>
        </w:rPr>
        <w:t xml:space="preserve"> </w:t>
      </w:r>
      <w:r w:rsidR="00673DC7">
        <w:rPr>
          <w:rFonts w:ascii="Arial" w:hAnsi="Arial" w:eastAsia="Calibri" w:cs="Arial"/>
          <w:b/>
          <w:sz w:val="22"/>
          <w:lang w:val="es-ES"/>
        </w:rPr>
        <w:t>200</w:t>
      </w:r>
      <w:r w:rsidRPr="00F66FE4">
        <w:rPr>
          <w:rFonts w:ascii="Arial" w:hAnsi="Arial" w:eastAsia="Calibri" w:cs="Arial"/>
          <w:b/>
          <w:sz w:val="22"/>
          <w:lang w:val="es-ES"/>
        </w:rPr>
        <w:t xml:space="preserve"> de 202</w:t>
      </w:r>
      <w:r w:rsidR="00E97AB3">
        <w:rPr>
          <w:rFonts w:ascii="Arial" w:hAnsi="Arial" w:eastAsia="Calibri" w:cs="Arial"/>
          <w:b/>
          <w:sz w:val="22"/>
          <w:lang w:val="es-ES"/>
        </w:rPr>
        <w:t>1</w:t>
      </w:r>
    </w:p>
    <w:p w:rsidRPr="00F66FE4" w:rsidR="00DD689E" w:rsidP="00DD689E" w:rsidRDefault="00DD689E" w14:paraId="4BE038A1" w14:textId="77777777">
      <w:pPr>
        <w:rPr>
          <w:rFonts w:ascii="Arial" w:hAnsi="Arial" w:eastAsia="Calibri" w:cs="Arial"/>
          <w:sz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66FE4" w:rsidR="00E013AA" w:rsidTr="0084265D" w14:paraId="3B95AEF2" w14:textId="77777777">
        <w:tc>
          <w:tcPr>
            <w:tcW w:w="2689" w:type="dxa"/>
            <w:hideMark/>
          </w:tcPr>
          <w:p w:rsidRPr="00F66FE4" w:rsidR="00DD689E" w:rsidP="0084265D" w:rsidRDefault="00DD689E" w14:paraId="73E96701" w14:textId="77777777">
            <w:pPr>
              <w:rPr>
                <w:rFonts w:ascii="Arial" w:hAnsi="Arial" w:eastAsia="Calibri" w:cs="Arial"/>
                <w:sz w:val="22"/>
                <w:lang w:val="es-ES"/>
              </w:rPr>
            </w:pPr>
            <w:r w:rsidRPr="00F66FE4">
              <w:rPr>
                <w:rFonts w:ascii="Arial" w:hAnsi="Arial" w:eastAsia="Calibri" w:cs="Arial"/>
                <w:b/>
                <w:sz w:val="22"/>
                <w:lang w:val="es-ES"/>
              </w:rPr>
              <w:t>Temas:</w:t>
            </w:r>
            <w:r w:rsidRPr="00F66FE4">
              <w:rPr>
                <w:rFonts w:ascii="Arial" w:hAnsi="Arial" w:eastAsia="Calibri" w:cs="Arial"/>
                <w:sz w:val="22"/>
                <w:lang w:val="es-ES"/>
              </w:rPr>
              <w:t xml:space="preserve">           </w:t>
            </w:r>
          </w:p>
          <w:p w:rsidRPr="00F66FE4" w:rsidR="00DD689E" w:rsidP="0084265D" w:rsidRDefault="00DD689E" w14:paraId="5C218E7E" w14:textId="77777777">
            <w:pPr>
              <w:rPr>
                <w:rFonts w:ascii="Arial" w:hAnsi="Arial" w:eastAsia="Calibri" w:cs="Arial"/>
                <w:sz w:val="22"/>
                <w:lang w:val="es-ES"/>
              </w:rPr>
            </w:pPr>
            <w:r w:rsidRPr="00F66FE4">
              <w:rPr>
                <w:rFonts w:ascii="Arial" w:hAnsi="Arial" w:eastAsia="Calibri" w:cs="Arial"/>
                <w:sz w:val="22"/>
                <w:lang w:val="es-ES"/>
              </w:rPr>
              <w:t xml:space="preserve">                           </w:t>
            </w:r>
          </w:p>
        </w:tc>
        <w:tc>
          <w:tcPr>
            <w:tcW w:w="6237" w:type="dxa"/>
            <w:hideMark/>
          </w:tcPr>
          <w:p w:rsidRPr="00F66FE4" w:rsidR="00DD689E" w:rsidP="0084265D" w:rsidRDefault="00A51FBE" w14:paraId="0E645ECE" w14:textId="016FB465">
            <w:pPr>
              <w:jc w:val="both"/>
              <w:rPr>
                <w:rFonts w:ascii="Arial" w:hAnsi="Arial" w:eastAsia="Calibri" w:cs="Arial"/>
                <w:sz w:val="22"/>
                <w:lang w:val="es-ES"/>
              </w:rPr>
            </w:pPr>
            <w:r w:rsidRPr="00F66FE4">
              <w:rPr>
                <w:rFonts w:ascii="Arial" w:hAnsi="Arial" w:eastAsia="Calibri" w:cs="Arial"/>
                <w:sz w:val="22"/>
                <w:lang w:val="es-ES"/>
              </w:rPr>
              <w:t xml:space="preserve">DOCUMENTOS TIPO – Ámbito de aplicación – Matriz 1 / DOCUMENTOS TIPO – </w:t>
            </w:r>
            <w:r w:rsidR="00894DC7">
              <w:rPr>
                <w:rFonts w:ascii="Arial" w:hAnsi="Arial" w:eastAsia="Calibri" w:cs="Arial"/>
                <w:sz w:val="22"/>
                <w:lang w:val="es-ES"/>
              </w:rPr>
              <w:t>Señalización – Señalización turística</w:t>
            </w:r>
          </w:p>
        </w:tc>
      </w:tr>
      <w:tr w:rsidRPr="00F66FE4" w:rsidR="00E013AA" w:rsidTr="0084265D" w14:paraId="05C52BD2" w14:textId="77777777">
        <w:tc>
          <w:tcPr>
            <w:tcW w:w="2689" w:type="dxa"/>
          </w:tcPr>
          <w:p w:rsidRPr="00F66FE4" w:rsidR="00DD689E" w:rsidP="0084265D" w:rsidRDefault="00DD689E" w14:paraId="786556E6" w14:textId="77777777">
            <w:pPr>
              <w:spacing w:before="120"/>
              <w:rPr>
                <w:rFonts w:ascii="Arial" w:hAnsi="Arial" w:eastAsia="Calibri" w:cs="Arial"/>
                <w:b/>
                <w:sz w:val="22"/>
                <w:lang w:val="es-ES"/>
              </w:rPr>
            </w:pPr>
            <w:r w:rsidRPr="00F66FE4">
              <w:rPr>
                <w:rFonts w:ascii="Arial" w:hAnsi="Arial" w:eastAsia="Calibri" w:cs="Arial"/>
                <w:b/>
                <w:sz w:val="22"/>
                <w:lang w:val="es-ES"/>
              </w:rPr>
              <w:t>Radicación:</w:t>
            </w:r>
            <w:r w:rsidRPr="00F66FE4">
              <w:rPr>
                <w:rFonts w:ascii="Arial" w:hAnsi="Arial" w:eastAsia="Calibri" w:cs="Arial"/>
                <w:sz w:val="22"/>
                <w:lang w:val="es-ES"/>
              </w:rPr>
              <w:t xml:space="preserve">                              </w:t>
            </w:r>
          </w:p>
        </w:tc>
        <w:tc>
          <w:tcPr>
            <w:tcW w:w="6237" w:type="dxa"/>
          </w:tcPr>
          <w:p w:rsidRPr="00F66FE4" w:rsidR="00DD689E" w:rsidP="0084265D" w:rsidRDefault="00DD689E" w14:paraId="62C39F5A" w14:textId="3B2864A5">
            <w:pPr>
              <w:spacing w:before="120"/>
              <w:jc w:val="both"/>
              <w:rPr>
                <w:rFonts w:ascii="Arial" w:hAnsi="Arial" w:eastAsia="Calibri" w:cs="Arial"/>
                <w:sz w:val="22"/>
                <w:lang w:val="es-ES"/>
              </w:rPr>
            </w:pPr>
            <w:r w:rsidRPr="00F66FE4">
              <w:rPr>
                <w:rFonts w:ascii="Arial" w:hAnsi="Arial" w:eastAsia="Calibri" w:cs="Arial"/>
                <w:sz w:val="22"/>
                <w:lang w:val="es-ES"/>
              </w:rPr>
              <w:t xml:space="preserve">Respuesta a consulta </w:t>
            </w:r>
            <w:r w:rsidRPr="00F66FE4" w:rsidR="00A44970">
              <w:rPr>
                <w:rFonts w:ascii="Arial" w:hAnsi="Arial" w:eastAsia="Calibri" w:cs="Arial"/>
                <w:sz w:val="22"/>
                <w:lang w:val="es-ES"/>
              </w:rPr>
              <w:t>P20210406002658</w:t>
            </w:r>
          </w:p>
        </w:tc>
      </w:tr>
      <w:tr w:rsidRPr="00F66FE4" w:rsidR="00DD689E" w:rsidTr="0084265D" w14:paraId="0BA134D4" w14:textId="77777777">
        <w:tc>
          <w:tcPr>
            <w:tcW w:w="2689" w:type="dxa"/>
          </w:tcPr>
          <w:p w:rsidRPr="00F66FE4" w:rsidR="00DD689E" w:rsidP="0084265D" w:rsidRDefault="00DD689E" w14:paraId="782ECEE2" w14:textId="77777777">
            <w:pPr>
              <w:spacing w:before="120"/>
              <w:rPr>
                <w:rFonts w:ascii="Arial" w:hAnsi="Arial" w:eastAsia="Calibri" w:cs="Arial"/>
                <w:b/>
                <w:sz w:val="22"/>
                <w:lang w:val="es-ES"/>
              </w:rPr>
            </w:pPr>
          </w:p>
        </w:tc>
        <w:tc>
          <w:tcPr>
            <w:tcW w:w="6237" w:type="dxa"/>
          </w:tcPr>
          <w:p w:rsidRPr="00F66FE4" w:rsidR="00DD689E" w:rsidP="0084265D" w:rsidRDefault="00DD689E" w14:paraId="36C3ABC3" w14:textId="77777777">
            <w:pPr>
              <w:spacing w:before="120"/>
              <w:jc w:val="both"/>
              <w:rPr>
                <w:rFonts w:ascii="Arial" w:hAnsi="Arial" w:eastAsia="Calibri" w:cs="Arial"/>
                <w:sz w:val="22"/>
                <w:lang w:val="es-ES"/>
              </w:rPr>
            </w:pPr>
          </w:p>
        </w:tc>
      </w:tr>
    </w:tbl>
    <w:p w:rsidRPr="00F66FE4" w:rsidR="00DD689E" w:rsidP="00DD689E" w:rsidRDefault="00DD689E" w14:paraId="42746C74" w14:textId="77777777">
      <w:pPr>
        <w:jc w:val="both"/>
        <w:rPr>
          <w:rFonts w:ascii="Arial" w:hAnsi="Arial" w:eastAsia="Calibri" w:cs="Arial"/>
          <w:sz w:val="22"/>
          <w:lang w:val="es-ES"/>
        </w:rPr>
      </w:pPr>
    </w:p>
    <w:p w:rsidRPr="00F66FE4" w:rsidR="00DD689E" w:rsidP="00DD689E" w:rsidRDefault="00DD689E" w14:paraId="077163E7" w14:textId="2A5C65F6">
      <w:pPr>
        <w:rPr>
          <w:rFonts w:ascii="Arial" w:hAnsi="Arial" w:eastAsia="Calibri" w:cs="Arial"/>
          <w:sz w:val="22"/>
          <w:lang w:val="es-ES"/>
        </w:rPr>
      </w:pPr>
      <w:r w:rsidRPr="00F66FE4">
        <w:rPr>
          <w:rFonts w:ascii="Arial" w:hAnsi="Arial" w:eastAsia="Calibri" w:cs="Arial"/>
          <w:sz w:val="22"/>
          <w:lang w:val="es-ES"/>
        </w:rPr>
        <w:t xml:space="preserve">Estimada señora </w:t>
      </w:r>
      <w:r w:rsidR="004509B1">
        <w:rPr>
          <w:rFonts w:ascii="Arial" w:hAnsi="Arial" w:eastAsia="Calibri" w:cs="Arial"/>
          <w:sz w:val="22"/>
          <w:lang w:val="es-ES"/>
        </w:rPr>
        <w:t>Ayala</w:t>
      </w:r>
      <w:r w:rsidRPr="00F66FE4">
        <w:rPr>
          <w:rFonts w:ascii="Arial" w:hAnsi="Arial" w:eastAsia="Calibri" w:cs="Arial"/>
          <w:sz w:val="22"/>
          <w:lang w:val="es-ES"/>
        </w:rPr>
        <w:t>:</w:t>
      </w:r>
    </w:p>
    <w:p w:rsidRPr="00F66FE4" w:rsidR="00DD689E" w:rsidP="00DD689E" w:rsidRDefault="00DD689E" w14:paraId="24124C84" w14:textId="77777777">
      <w:pPr>
        <w:rPr>
          <w:rFonts w:ascii="Arial" w:hAnsi="Arial" w:eastAsia="Calibri" w:cs="Arial"/>
          <w:sz w:val="22"/>
          <w:lang w:val="es-ES"/>
        </w:rPr>
      </w:pPr>
    </w:p>
    <w:p w:rsidRPr="00F66FE4" w:rsidR="00DD689E" w:rsidP="00DD689E" w:rsidRDefault="00DD689E" w14:paraId="6D0E353F" w14:textId="10C1A8C0">
      <w:pPr>
        <w:spacing w:line="276" w:lineRule="auto"/>
        <w:jc w:val="both"/>
        <w:rPr>
          <w:rFonts w:ascii="Arial" w:hAnsi="Arial" w:eastAsia="Calibri" w:cs="Arial"/>
          <w:sz w:val="22"/>
          <w:lang w:val="es-ES"/>
        </w:rPr>
      </w:pPr>
      <w:r w:rsidRPr="00F66FE4">
        <w:rPr>
          <w:rFonts w:ascii="Arial" w:hAnsi="Arial" w:eastAsia="Calibri" w:cs="Arial"/>
          <w:sz w:val="22"/>
          <w:lang w:val="es-ES"/>
        </w:rPr>
        <w:t xml:space="preserve">En ejercicio de la competencia otorgada por los artículos 11, numeral 8º, y 3º, numeral 5º, del Decreto Ley 4170 de 2011, la Agencia Nacional de Contratación Pública − Colombia Compra Eficiente responde su consulta del </w:t>
      </w:r>
      <w:r w:rsidRPr="00F66FE4" w:rsidR="00A44970">
        <w:rPr>
          <w:rFonts w:ascii="Arial" w:hAnsi="Arial" w:eastAsia="Calibri" w:cs="Arial"/>
          <w:sz w:val="22"/>
          <w:lang w:val="es-ES"/>
        </w:rPr>
        <w:t>6</w:t>
      </w:r>
      <w:r w:rsidRPr="00F66FE4">
        <w:rPr>
          <w:rFonts w:ascii="Arial" w:hAnsi="Arial" w:eastAsia="Calibri" w:cs="Arial"/>
          <w:sz w:val="22"/>
          <w:lang w:val="es-ES"/>
        </w:rPr>
        <w:t xml:space="preserve"> de </w:t>
      </w:r>
      <w:r w:rsidRPr="00F66FE4" w:rsidR="00A44970">
        <w:rPr>
          <w:rFonts w:ascii="Arial" w:hAnsi="Arial" w:eastAsia="Calibri" w:cs="Arial"/>
          <w:sz w:val="22"/>
          <w:lang w:val="es-ES"/>
        </w:rPr>
        <w:t>abril</w:t>
      </w:r>
      <w:r w:rsidRPr="00F66FE4">
        <w:rPr>
          <w:rFonts w:ascii="Arial" w:hAnsi="Arial" w:eastAsia="Calibri" w:cs="Arial"/>
          <w:sz w:val="22"/>
          <w:lang w:val="es-ES"/>
        </w:rPr>
        <w:t xml:space="preserve"> de 202</w:t>
      </w:r>
      <w:r w:rsidRPr="00F66FE4" w:rsidR="00A44970">
        <w:rPr>
          <w:rFonts w:ascii="Arial" w:hAnsi="Arial" w:eastAsia="Calibri" w:cs="Arial"/>
          <w:sz w:val="22"/>
          <w:lang w:val="es-ES"/>
        </w:rPr>
        <w:t>1</w:t>
      </w:r>
      <w:r w:rsidRPr="00F66FE4">
        <w:rPr>
          <w:rFonts w:ascii="Arial" w:hAnsi="Arial" w:eastAsia="Calibri" w:cs="Arial"/>
          <w:sz w:val="22"/>
          <w:lang w:val="es-ES"/>
        </w:rPr>
        <w:t xml:space="preserve">. </w:t>
      </w:r>
    </w:p>
    <w:p w:rsidRPr="00F66FE4" w:rsidR="00DD689E" w:rsidP="00DD689E" w:rsidRDefault="00DD689E" w14:paraId="551DB529" w14:textId="77777777">
      <w:pPr>
        <w:spacing w:line="276" w:lineRule="auto"/>
        <w:jc w:val="both"/>
        <w:rPr>
          <w:rFonts w:ascii="Arial" w:hAnsi="Arial" w:eastAsia="Calibri" w:cs="Arial"/>
          <w:sz w:val="22"/>
          <w:lang w:val="es-ES"/>
        </w:rPr>
      </w:pPr>
    </w:p>
    <w:p w:rsidRPr="00F66FE4" w:rsidR="00DD689E" w:rsidP="00DD689E" w:rsidRDefault="00DD689E" w14:paraId="6FBBC8B9" w14:textId="374396ED">
      <w:pPr>
        <w:pStyle w:val="Prrafodelista"/>
        <w:numPr>
          <w:ilvl w:val="0"/>
          <w:numId w:val="1"/>
        </w:numPr>
        <w:tabs>
          <w:tab w:val="left" w:pos="284"/>
        </w:tabs>
        <w:spacing w:line="276" w:lineRule="auto"/>
        <w:ind w:left="0" w:firstLine="0"/>
        <w:jc w:val="both"/>
        <w:rPr>
          <w:rFonts w:ascii="Arial" w:hAnsi="Arial" w:eastAsia="Calibri" w:cs="Arial"/>
          <w:b/>
          <w:sz w:val="22"/>
          <w:lang w:val="es-ES"/>
        </w:rPr>
      </w:pPr>
      <w:r w:rsidRPr="00F66FE4">
        <w:rPr>
          <w:rFonts w:ascii="Arial" w:hAnsi="Arial" w:eastAsia="Calibri" w:cs="Arial"/>
          <w:b/>
          <w:sz w:val="22"/>
          <w:lang w:val="es-ES"/>
        </w:rPr>
        <w:t xml:space="preserve">Problema planteado </w:t>
      </w:r>
    </w:p>
    <w:p w:rsidRPr="00F66FE4" w:rsidR="00DD689E" w:rsidP="00DD689E" w:rsidRDefault="00DD689E" w14:paraId="12105174" w14:textId="77777777">
      <w:pPr>
        <w:tabs>
          <w:tab w:val="left" w:pos="426"/>
        </w:tabs>
        <w:spacing w:line="276" w:lineRule="auto"/>
        <w:jc w:val="both"/>
        <w:rPr>
          <w:rFonts w:ascii="Arial" w:hAnsi="Arial" w:eastAsia="Calibri" w:cs="Arial"/>
          <w:b/>
          <w:sz w:val="22"/>
          <w:lang w:val="es-ES"/>
        </w:rPr>
      </w:pPr>
    </w:p>
    <w:p w:rsidRPr="00F66FE4" w:rsidR="00DD689E" w:rsidP="00760316" w:rsidRDefault="00DD689E" w14:paraId="17118684" w14:textId="1502BD35">
      <w:pPr>
        <w:autoSpaceDE w:val="0"/>
        <w:autoSpaceDN w:val="0"/>
        <w:adjustRightInd w:val="0"/>
        <w:spacing w:line="276" w:lineRule="auto"/>
        <w:jc w:val="both"/>
        <w:rPr>
          <w:rFonts w:ascii="Arial" w:hAnsi="Arial" w:eastAsia="Calibri" w:cs="Arial"/>
          <w:sz w:val="22"/>
          <w:lang w:val="es-ES"/>
        </w:rPr>
      </w:pPr>
      <w:r w:rsidRPr="00F66FE4">
        <w:rPr>
          <w:rFonts w:ascii="Arial" w:hAnsi="Arial" w:eastAsia="Calibri" w:cs="Arial"/>
          <w:sz w:val="22"/>
          <w:lang w:val="es-ES"/>
        </w:rPr>
        <w:t xml:space="preserve">Usted </w:t>
      </w:r>
      <w:r w:rsidRPr="00F66FE4" w:rsidR="00B337FA">
        <w:rPr>
          <w:rFonts w:ascii="Arial" w:hAnsi="Arial" w:eastAsia="Calibri" w:cs="Arial"/>
          <w:sz w:val="22"/>
          <w:lang w:val="es-ES"/>
        </w:rPr>
        <w:t xml:space="preserve">realiza </w:t>
      </w:r>
      <w:r w:rsidRPr="00F66FE4" w:rsidR="00A44970">
        <w:rPr>
          <w:rFonts w:ascii="Arial" w:hAnsi="Arial" w:eastAsia="Calibri" w:cs="Arial"/>
          <w:sz w:val="22"/>
          <w:lang w:val="es-ES"/>
        </w:rPr>
        <w:t xml:space="preserve">su consulta, solicitando a Colombia Compra Eficiente aclarar si los Documentos Tipo de infraestructura de transporte, son obligatorios para los proyectos de </w:t>
      </w:r>
      <w:r w:rsidR="004509B1">
        <w:rPr>
          <w:rFonts w:ascii="Arial" w:hAnsi="Arial" w:eastAsia="Calibri" w:cs="Arial"/>
          <w:sz w:val="22"/>
          <w:lang w:val="es-ES"/>
        </w:rPr>
        <w:t>«</w:t>
      </w:r>
      <w:r w:rsidRPr="00F66FE4" w:rsidR="00A44970">
        <w:rPr>
          <w:rFonts w:ascii="Arial" w:hAnsi="Arial" w:eastAsia="Calibri" w:cs="Arial"/>
          <w:sz w:val="22"/>
          <w:lang w:val="es-ES"/>
        </w:rPr>
        <w:t>señalización turística</w:t>
      </w:r>
      <w:r w:rsidR="004509B1">
        <w:rPr>
          <w:rFonts w:ascii="Arial" w:hAnsi="Arial" w:eastAsia="Calibri" w:cs="Arial"/>
          <w:sz w:val="22"/>
          <w:lang w:val="es-ES"/>
        </w:rPr>
        <w:t>»</w:t>
      </w:r>
      <w:r w:rsidRPr="00F66FE4" w:rsidR="00A44970">
        <w:rPr>
          <w:rFonts w:ascii="Arial" w:hAnsi="Arial" w:eastAsia="Calibri" w:cs="Arial"/>
          <w:sz w:val="22"/>
          <w:lang w:val="es-ES"/>
        </w:rPr>
        <w:t xml:space="preserve">.  </w:t>
      </w:r>
    </w:p>
    <w:p w:rsidRPr="00F66FE4" w:rsidR="00DD689E" w:rsidP="002C3A48" w:rsidRDefault="00DD689E" w14:paraId="16623259" w14:textId="77777777">
      <w:pPr>
        <w:tabs>
          <w:tab w:val="left" w:pos="709"/>
        </w:tabs>
        <w:spacing w:line="276" w:lineRule="auto"/>
        <w:jc w:val="both"/>
        <w:rPr>
          <w:rFonts w:ascii="Arial" w:hAnsi="Arial" w:eastAsia="Calibri" w:cs="Arial"/>
          <w:sz w:val="22"/>
          <w:lang w:val="es-ES"/>
        </w:rPr>
      </w:pPr>
    </w:p>
    <w:p w:rsidRPr="00F66FE4" w:rsidR="00DD689E" w:rsidP="005432F7" w:rsidRDefault="00DD689E" w14:paraId="5032433E" w14:textId="7436E928">
      <w:pPr>
        <w:pStyle w:val="Prrafodelista"/>
        <w:numPr>
          <w:ilvl w:val="0"/>
          <w:numId w:val="1"/>
        </w:numPr>
        <w:tabs>
          <w:tab w:val="left" w:pos="426"/>
        </w:tabs>
        <w:ind w:left="284" w:hanging="284"/>
        <w:jc w:val="both"/>
        <w:rPr>
          <w:rFonts w:ascii="Arial" w:hAnsi="Arial" w:eastAsia="Calibri" w:cs="Arial"/>
          <w:b/>
          <w:sz w:val="22"/>
          <w:lang w:val="es-ES"/>
        </w:rPr>
      </w:pPr>
      <w:r w:rsidRPr="00F66FE4">
        <w:rPr>
          <w:rFonts w:ascii="Arial" w:hAnsi="Arial" w:eastAsia="Calibri" w:cs="Arial"/>
          <w:b/>
          <w:sz w:val="22"/>
          <w:lang w:val="es-ES"/>
        </w:rPr>
        <w:t>Consideraciones</w:t>
      </w:r>
    </w:p>
    <w:p w:rsidRPr="00F66FE4" w:rsidR="005432F7" w:rsidP="005432F7" w:rsidRDefault="005432F7" w14:paraId="799BA860" w14:textId="77777777">
      <w:pPr>
        <w:pStyle w:val="Prrafodelista"/>
        <w:tabs>
          <w:tab w:val="left" w:pos="426"/>
        </w:tabs>
        <w:spacing w:line="276" w:lineRule="auto"/>
        <w:ind w:left="284"/>
        <w:jc w:val="both"/>
        <w:rPr>
          <w:rFonts w:ascii="Arial" w:hAnsi="Arial" w:eastAsia="Calibri" w:cs="Arial"/>
          <w:b/>
          <w:sz w:val="22"/>
          <w:lang w:val="es-ES"/>
        </w:rPr>
      </w:pPr>
    </w:p>
    <w:p w:rsidRPr="00F66FE4" w:rsidR="00DD689E" w:rsidP="00862FA4" w:rsidRDefault="005432F7" w14:paraId="334A833B" w14:textId="35C04BE2">
      <w:pPr>
        <w:spacing w:after="120" w:line="276" w:lineRule="auto"/>
        <w:jc w:val="both"/>
        <w:rPr>
          <w:rFonts w:ascii="Arial" w:hAnsi="Arial" w:eastAsia="Calibri" w:cs="Arial"/>
          <w:sz w:val="22"/>
          <w:lang w:val="es-ES"/>
        </w:rPr>
      </w:pPr>
      <w:r w:rsidRPr="00F66FE4">
        <w:rPr>
          <w:rFonts w:ascii="Arial" w:hAnsi="Arial" w:eastAsia="Calibri" w:cs="Arial"/>
          <w:sz w:val="22"/>
          <w:lang w:val="es-ES"/>
        </w:rPr>
        <w:t xml:space="preserve">De conformidad con la competencia consultiva otorgada por el numeral 5 del artículo 3 y el numeral 8 del artículo 11 del Decreto 4170 de 2011, la Agencia Nacional de Contratación Pública está facultada para atender solicitudes relacionadas con temas contractuales, pero solo para «absolver consultas sobre la aplicación de normas de carácter general». </w:t>
      </w:r>
      <w:r w:rsidR="001E4C26">
        <w:rPr>
          <w:rFonts w:ascii="Arial" w:hAnsi="Arial" w:eastAsia="Calibri" w:cs="Arial"/>
          <w:sz w:val="22"/>
          <w:lang w:val="es-ES"/>
        </w:rPr>
        <w:t>Por ello</w:t>
      </w:r>
      <w:r w:rsidRPr="00F66FE4">
        <w:rPr>
          <w:rFonts w:ascii="Arial" w:hAnsi="Arial" w:eastAsia="Calibri" w:cs="Arial"/>
          <w:sz w:val="22"/>
          <w:lang w:val="es-ES"/>
        </w:rPr>
        <w:t xml:space="preserve">, la Agencia </w:t>
      </w:r>
      <w:r w:rsidRPr="00F66FE4" w:rsidR="00B337FA">
        <w:rPr>
          <w:rFonts w:ascii="Arial" w:hAnsi="Arial" w:eastAsia="Calibri" w:cs="Arial"/>
          <w:sz w:val="22"/>
          <w:lang w:val="es-ES"/>
        </w:rPr>
        <w:t>carece de</w:t>
      </w:r>
      <w:r w:rsidRPr="00F66FE4">
        <w:rPr>
          <w:rFonts w:ascii="Arial" w:hAnsi="Arial" w:eastAsia="Calibri" w:cs="Arial"/>
          <w:sz w:val="22"/>
          <w:lang w:val="es-ES"/>
        </w:rPr>
        <w:t xml:space="preserve"> atribuciones para resolver casos particulares</w:t>
      </w:r>
      <w:r w:rsidRPr="00F66FE4" w:rsidR="00254E63">
        <w:rPr>
          <w:rFonts w:ascii="Arial" w:hAnsi="Arial" w:eastAsia="Calibri" w:cs="Arial"/>
          <w:sz w:val="22"/>
          <w:lang w:val="es-ES"/>
        </w:rPr>
        <w:t xml:space="preserve"> </w:t>
      </w:r>
      <w:r w:rsidRPr="00F66FE4" w:rsidR="003A4F0D">
        <w:rPr>
          <w:rFonts w:ascii="Arial" w:hAnsi="Arial" w:eastAsia="Calibri" w:cs="Arial"/>
          <w:sz w:val="22"/>
          <w:lang w:val="es-ES"/>
        </w:rPr>
        <w:t xml:space="preserve">o </w:t>
      </w:r>
      <w:r w:rsidRPr="00F66FE4" w:rsidR="00C30A4C">
        <w:rPr>
          <w:rFonts w:ascii="Arial" w:hAnsi="Arial" w:eastAsia="Calibri" w:cs="Arial"/>
          <w:sz w:val="22"/>
          <w:lang w:val="es-ES"/>
        </w:rPr>
        <w:t xml:space="preserve">situaciones específicas. En tales términos, se </w:t>
      </w:r>
      <w:r w:rsidRPr="00F66FE4" w:rsidR="00B337FA">
        <w:rPr>
          <w:rFonts w:ascii="Arial" w:hAnsi="Arial" w:eastAsia="Calibri" w:cs="Arial"/>
          <w:sz w:val="22"/>
          <w:lang w:val="es-ES"/>
        </w:rPr>
        <w:t>resolverá la</w:t>
      </w:r>
      <w:r w:rsidRPr="00F66FE4" w:rsidR="00B86080">
        <w:rPr>
          <w:rFonts w:ascii="Arial" w:hAnsi="Arial" w:eastAsia="Calibri" w:cs="Arial"/>
          <w:sz w:val="22"/>
          <w:lang w:val="es-ES"/>
        </w:rPr>
        <w:t xml:space="preserve"> consulta </w:t>
      </w:r>
      <w:r w:rsidRPr="00F66FE4" w:rsidR="007D25C8">
        <w:rPr>
          <w:rFonts w:ascii="Arial" w:hAnsi="Arial" w:eastAsia="Calibri" w:cs="Arial"/>
          <w:sz w:val="22"/>
          <w:lang w:val="es-ES"/>
        </w:rPr>
        <w:t xml:space="preserve">explicando la forma en la que deben interpretarse las normas </w:t>
      </w:r>
      <w:r w:rsidRPr="00F66FE4" w:rsidR="00010C71">
        <w:rPr>
          <w:rFonts w:ascii="Arial" w:hAnsi="Arial" w:eastAsia="Calibri" w:cs="Arial"/>
          <w:sz w:val="22"/>
          <w:lang w:val="es-ES"/>
        </w:rPr>
        <w:t>y documentos</w:t>
      </w:r>
      <w:r w:rsidRPr="00F66FE4" w:rsidR="002B1C0D">
        <w:rPr>
          <w:rFonts w:ascii="Arial" w:hAnsi="Arial" w:eastAsia="Calibri" w:cs="Arial"/>
          <w:sz w:val="22"/>
          <w:lang w:val="es-ES"/>
        </w:rPr>
        <w:t xml:space="preserve">, de acuerdo </w:t>
      </w:r>
      <w:r w:rsidRPr="00F66FE4" w:rsidR="00862FA4">
        <w:rPr>
          <w:rFonts w:ascii="Arial" w:hAnsi="Arial" w:eastAsia="Calibri" w:cs="Arial"/>
          <w:sz w:val="22"/>
          <w:lang w:val="es-ES"/>
        </w:rPr>
        <w:t>con</w:t>
      </w:r>
      <w:r w:rsidRPr="00F66FE4" w:rsidR="002B1C0D">
        <w:rPr>
          <w:rFonts w:ascii="Arial" w:hAnsi="Arial" w:eastAsia="Calibri" w:cs="Arial"/>
          <w:sz w:val="22"/>
          <w:lang w:val="es-ES"/>
        </w:rPr>
        <w:t xml:space="preserve"> la posición hermenéutica de esta Agencia, con el alcance señalado por el artículo 28 del Código de Procedimiento Administrati</w:t>
      </w:r>
      <w:r w:rsidRPr="00F66FE4" w:rsidR="00862FA4">
        <w:rPr>
          <w:rFonts w:ascii="Arial" w:hAnsi="Arial" w:eastAsia="Calibri" w:cs="Arial"/>
          <w:sz w:val="22"/>
          <w:lang w:val="es-ES"/>
        </w:rPr>
        <w:t>vo y de lo Contencioso Administrativo.</w:t>
      </w:r>
    </w:p>
    <w:p w:rsidRPr="00F66FE4" w:rsidR="00DD689E" w:rsidP="00862FA4" w:rsidRDefault="00DD689E" w14:paraId="4C9942E1" w14:textId="2D2BFBD0">
      <w:pPr>
        <w:spacing w:after="120" w:line="276" w:lineRule="auto"/>
        <w:ind w:firstLine="708"/>
        <w:jc w:val="both"/>
        <w:rPr>
          <w:rFonts w:ascii="Arial" w:hAnsi="Arial" w:eastAsia="Calibri" w:cs="Arial"/>
          <w:sz w:val="22"/>
          <w:lang w:val="es-ES"/>
        </w:rPr>
      </w:pPr>
      <w:r w:rsidRPr="00F66FE4">
        <w:rPr>
          <w:rFonts w:ascii="Arial" w:hAnsi="Arial" w:eastAsia="Calibri" w:cs="Arial"/>
          <w:sz w:val="22"/>
          <w:lang w:val="es-ES"/>
        </w:rPr>
        <w:lastRenderedPageBreak/>
        <w:t xml:space="preserve">La Agencia Nacional de Contratación Pública − Colombia Compra Eficiente </w:t>
      </w:r>
      <w:r w:rsidRPr="00F66FE4" w:rsidR="00555418">
        <w:rPr>
          <w:rFonts w:ascii="Arial" w:hAnsi="Arial" w:cs="Arial"/>
          <w:sz w:val="22"/>
          <w:lang w:val="es-ES"/>
        </w:rPr>
        <w:t>estudió el ámbito de aplicación de los Documentos Tipo</w:t>
      </w:r>
      <w:r w:rsidRPr="00F66FE4">
        <w:rPr>
          <w:rFonts w:ascii="Arial" w:hAnsi="Arial" w:eastAsia="Calibri" w:cs="Arial"/>
          <w:sz w:val="22"/>
          <w:lang w:val="es-ES"/>
        </w:rPr>
        <w:t xml:space="preserve"> en </w:t>
      </w:r>
      <w:r w:rsidRPr="00F66FE4" w:rsidR="00AA0134">
        <w:rPr>
          <w:rFonts w:ascii="Arial" w:hAnsi="Arial" w:eastAsia="Calibri" w:cs="Arial"/>
          <w:sz w:val="22"/>
          <w:lang w:val="es-ES"/>
        </w:rPr>
        <w:t xml:space="preserve">los </w:t>
      </w:r>
      <w:r w:rsidRPr="00F66FE4" w:rsidR="00555418">
        <w:rPr>
          <w:rFonts w:ascii="Arial" w:hAnsi="Arial" w:eastAsia="Calibri" w:cs="Arial"/>
          <w:sz w:val="22"/>
          <w:lang w:val="es-ES"/>
        </w:rPr>
        <w:t>C</w:t>
      </w:r>
      <w:r w:rsidRPr="00F66FE4">
        <w:rPr>
          <w:rFonts w:ascii="Arial" w:hAnsi="Arial" w:eastAsia="Calibri" w:cs="Arial"/>
          <w:sz w:val="22"/>
          <w:lang w:val="es-ES"/>
        </w:rPr>
        <w:t xml:space="preserve">onceptos </w:t>
      </w:r>
      <w:r w:rsidRPr="00F66FE4" w:rsidR="004E5B35">
        <w:rPr>
          <w:rFonts w:ascii="Arial" w:hAnsi="Arial" w:cs="Arial"/>
          <w:sz w:val="22"/>
          <w:lang w:val="es-ES"/>
        </w:rPr>
        <w:t>C-144 del 2 de marzo de 2020, C-143 del 8 de marzo de 2020, C-102 del 18 de marzo de 2020, C-163 del 31 de marzo de 2020, C-169 del 6 de abril de 2020, C-188 del 13 de abril de 2020, C-263 del 20 de mayo de 2020, C-341 del 22 de mayo de 2020, C-286 del 26 de mayo de 2020, C-332 del 26 de mayo de 2020, C-338 del 4 de junio de 2020, C-342 del 9 de junio de 2020, C-404 del 12 de junio de 2020, C-351 del 16 de junio de 2020, C-422 del 3 de junio de 2020, C-405 del 6 de julio de 2020, C-421 del 15 de julio de 2020, C-429 del 24 de julio de 2020, C-466 del 24 de julio de 2020, C-502 del 29 de julio de 2020, C-391 del 10 de agosto de 2020, C-548 del 21 de agosto de 2020, C-591 del 31 de agosto de 2020, C-597 del 14 de septiembre de 2020, C-615 del 2 de octubre de 2020, C-622 del 2 de octubre de 2020, C-640 del 2 de octubre de 2020, C-645 del 6 de noviembre de 2020, C-673 del 11 de noviembre de 2020, C-692 del 27 de noviembre de 2020</w:t>
      </w:r>
      <w:r w:rsidR="0095421A">
        <w:rPr>
          <w:rFonts w:ascii="Arial" w:hAnsi="Arial" w:cs="Arial"/>
          <w:sz w:val="22"/>
          <w:lang w:val="es-ES"/>
        </w:rPr>
        <w:t xml:space="preserve"> y</w:t>
      </w:r>
      <w:r w:rsidRPr="00F66FE4" w:rsidR="00F66FE4">
        <w:rPr>
          <w:rFonts w:ascii="Arial" w:hAnsi="Arial" w:cs="Arial"/>
          <w:sz w:val="22"/>
          <w:lang w:val="es-ES"/>
        </w:rPr>
        <w:t xml:space="preserve"> C-778 del 18 de enero de 2021,</w:t>
      </w:r>
      <w:r w:rsidRPr="00F66FE4" w:rsidR="004E5B35">
        <w:rPr>
          <w:rFonts w:ascii="Arial" w:hAnsi="Arial" w:cs="Arial"/>
          <w:sz w:val="22"/>
          <w:lang w:val="es-ES"/>
        </w:rPr>
        <w:t xml:space="preserve"> entre otros</w:t>
      </w:r>
      <w:r w:rsidRPr="00F66FE4">
        <w:rPr>
          <w:rFonts w:ascii="Arial" w:hAnsi="Arial" w:eastAsia="Calibri" w:cs="Arial"/>
          <w:sz w:val="22"/>
          <w:lang w:val="es-ES"/>
        </w:rPr>
        <w:t xml:space="preserve">. </w:t>
      </w:r>
      <w:r w:rsidRPr="00F66FE4" w:rsidR="0017377E">
        <w:rPr>
          <w:rFonts w:ascii="Arial" w:hAnsi="Arial" w:eastAsia="Calibri" w:cs="Arial"/>
          <w:sz w:val="22"/>
          <w:lang w:val="es-ES"/>
        </w:rPr>
        <w:t>Algunos de los argumentos expuestos se reiteran</w:t>
      </w:r>
      <w:r w:rsidRPr="00F66FE4">
        <w:rPr>
          <w:rFonts w:ascii="Arial" w:hAnsi="Arial" w:eastAsia="Calibri" w:cs="Arial"/>
          <w:sz w:val="22"/>
          <w:lang w:val="es-ES"/>
        </w:rPr>
        <w:t xml:space="preserve"> a continuación.</w:t>
      </w:r>
    </w:p>
    <w:p w:rsidRPr="00F66FE4" w:rsidR="00DD689E" w:rsidP="00D20C0C" w:rsidRDefault="00E013AA" w14:paraId="6AF631B4" w14:textId="0B6824D2">
      <w:pPr>
        <w:spacing w:before="120" w:after="120" w:line="276" w:lineRule="auto"/>
        <w:ind w:firstLine="709"/>
        <w:jc w:val="both"/>
        <w:rPr>
          <w:rFonts w:ascii="Arial" w:hAnsi="Arial" w:cs="Arial"/>
          <w:sz w:val="22"/>
          <w:lang w:val="es-ES"/>
        </w:rPr>
      </w:pPr>
      <w:r w:rsidRPr="00F66FE4">
        <w:rPr>
          <w:rFonts w:ascii="Arial" w:hAnsi="Arial" w:cs="Arial"/>
          <w:sz w:val="22"/>
          <w:lang w:val="es-ES"/>
        </w:rPr>
        <w:t>La redacción original del</w:t>
      </w:r>
      <w:r w:rsidRPr="00F66FE4" w:rsidR="00DD689E">
        <w:rPr>
          <w:rFonts w:ascii="Arial" w:hAnsi="Arial" w:cs="Arial"/>
          <w:sz w:val="22"/>
          <w:lang w:val="es-ES"/>
        </w:rPr>
        <w:t xml:space="preserve"> artículo 4 de la Ley 1882 de 2018 establec</w:t>
      </w:r>
      <w:r w:rsidRPr="00F66FE4" w:rsidR="00B337FA">
        <w:rPr>
          <w:rFonts w:ascii="Arial" w:hAnsi="Arial" w:cs="Arial"/>
          <w:sz w:val="22"/>
          <w:lang w:val="es-ES"/>
        </w:rPr>
        <w:t>ía</w:t>
      </w:r>
      <w:r w:rsidRPr="00F66FE4" w:rsidR="00DD689E">
        <w:rPr>
          <w:rFonts w:ascii="Arial" w:hAnsi="Arial" w:cs="Arial"/>
          <w:sz w:val="22"/>
          <w:lang w:val="es-ES"/>
        </w:rPr>
        <w:t xml:space="preserve"> que al Gobierno Nacional le correspond</w:t>
      </w:r>
      <w:r w:rsidR="0095421A">
        <w:rPr>
          <w:rFonts w:ascii="Arial" w:hAnsi="Arial" w:cs="Arial"/>
          <w:sz w:val="22"/>
          <w:lang w:val="es-ES"/>
        </w:rPr>
        <w:t>ía</w:t>
      </w:r>
      <w:r w:rsidRPr="00F66FE4" w:rsidR="00DD689E">
        <w:rPr>
          <w:rFonts w:ascii="Arial" w:hAnsi="Arial" w:cs="Arial"/>
          <w:sz w:val="22"/>
          <w:lang w:val="es-ES"/>
        </w:rPr>
        <w:t xml:space="preserve"> adoptar los «documentos tipo para los pliegos de condiciones de los procesos de selección de obras públicas» y que estos «</w:t>
      </w:r>
      <w:r w:rsidRPr="00F66FE4" w:rsidR="00DD689E">
        <w:rPr>
          <w:rFonts w:ascii="Arial" w:hAnsi="Arial" w:cs="Arial"/>
          <w:i/>
          <w:sz w:val="22"/>
          <w:lang w:val="es-ES"/>
        </w:rPr>
        <w:t>deberán</w:t>
      </w:r>
      <w:r w:rsidRPr="00F66FE4" w:rsidR="00DD689E">
        <w:rPr>
          <w:rFonts w:ascii="Arial" w:hAnsi="Arial" w:cs="Arial"/>
          <w:sz w:val="22"/>
          <w:lang w:val="es-ES"/>
        </w:rPr>
        <w:t xml:space="preserve"> ser utilizados por todas las entidades sometidas al Estatuto General de la Contratación de la Administración Pública</w:t>
      </w:r>
      <w:r w:rsidRPr="00F66FE4" w:rsidR="001A0CC7">
        <w:rPr>
          <w:rFonts w:ascii="Arial" w:hAnsi="Arial" w:cs="Arial"/>
          <w:sz w:val="22"/>
          <w:lang w:val="es-ES"/>
        </w:rPr>
        <w:t>–EGCAP–</w:t>
      </w:r>
      <w:r w:rsidRPr="00F66FE4" w:rsidR="00DD689E">
        <w:rPr>
          <w:rFonts w:ascii="Arial" w:hAnsi="Arial" w:cs="Arial"/>
          <w:sz w:val="22"/>
          <w:lang w:val="es-ES"/>
        </w:rPr>
        <w:t xml:space="preserve"> en los procesos de selección que adelanten». </w:t>
      </w:r>
      <w:r w:rsidRPr="00F66FE4" w:rsidR="00B337FA">
        <w:rPr>
          <w:rFonts w:ascii="Arial" w:hAnsi="Arial" w:cs="Arial"/>
          <w:sz w:val="22"/>
          <w:lang w:val="es-ES"/>
        </w:rPr>
        <w:t>F</w:t>
      </w:r>
      <w:r w:rsidRPr="00F66FE4" w:rsidR="00DD689E">
        <w:rPr>
          <w:rFonts w:ascii="Arial" w:hAnsi="Arial" w:cs="Arial"/>
          <w:sz w:val="22"/>
          <w:lang w:val="es-ES"/>
        </w:rPr>
        <w:t>rente a su contenido,</w:t>
      </w:r>
      <w:r w:rsidRPr="00F66FE4" w:rsidR="00B337FA">
        <w:rPr>
          <w:rFonts w:ascii="Arial" w:hAnsi="Arial" w:cs="Arial"/>
          <w:sz w:val="22"/>
          <w:lang w:val="es-ES"/>
        </w:rPr>
        <w:t xml:space="preserve"> disponía</w:t>
      </w:r>
      <w:r w:rsidRPr="00F66FE4" w:rsidR="00DD689E">
        <w:rPr>
          <w:rFonts w:ascii="Arial" w:hAnsi="Arial" w:cs="Arial"/>
          <w:sz w:val="22"/>
          <w:lang w:val="es-ES"/>
        </w:rPr>
        <w:t xml:space="preserve"> que «[d]entro de los documentos tipo el Gobierno adoptará de manera general y con </w:t>
      </w:r>
      <w:r w:rsidRPr="00F66FE4" w:rsidR="00DD689E">
        <w:rPr>
          <w:rFonts w:ascii="Arial" w:hAnsi="Arial" w:cs="Arial"/>
          <w:i/>
          <w:sz w:val="22"/>
          <w:lang w:val="es-ES"/>
        </w:rPr>
        <w:t>alcance obligatorio</w:t>
      </w:r>
      <w:r w:rsidRPr="00F66FE4" w:rsidR="00DD689E">
        <w:rPr>
          <w:rFonts w:ascii="Arial" w:hAnsi="Arial" w:cs="Arial"/>
          <w:sz w:val="22"/>
          <w:lang w:val="es-ES"/>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sidRPr="00F66FE4">
        <w:rPr>
          <w:rStyle w:val="Refdenotaalpie"/>
          <w:rFonts w:ascii="Arial" w:hAnsi="Arial" w:cs="Arial"/>
          <w:sz w:val="22"/>
          <w:lang w:val="es-ES"/>
        </w:rPr>
        <w:footnoteReference w:id="2"/>
      </w:r>
      <w:r w:rsidRPr="00F66FE4" w:rsidR="00DD689E">
        <w:rPr>
          <w:rFonts w:ascii="Arial" w:hAnsi="Arial" w:cs="Arial"/>
          <w:sz w:val="22"/>
          <w:lang w:val="es-ES"/>
        </w:rPr>
        <w:t>.</w:t>
      </w:r>
    </w:p>
    <w:p w:rsidRPr="00F66FE4" w:rsidR="00FB05F4" w:rsidP="00D20C0C" w:rsidRDefault="00FB05F4" w14:paraId="7D2CA97C" w14:textId="35593FFE">
      <w:pPr>
        <w:spacing w:line="276" w:lineRule="auto"/>
        <w:ind w:firstLine="708"/>
        <w:jc w:val="both"/>
        <w:rPr>
          <w:rFonts w:ascii="Arial" w:hAnsi="Arial" w:cs="Arial"/>
          <w:color w:val="0D0D0D" w:themeColor="text1" w:themeTint="F2"/>
          <w:sz w:val="22"/>
          <w:lang w:val="es-ES"/>
        </w:rPr>
      </w:pPr>
      <w:r w:rsidRPr="00F66FE4">
        <w:rPr>
          <w:rFonts w:ascii="Arial" w:hAnsi="Arial" w:cs="Arial"/>
          <w:color w:val="0D0D0D" w:themeColor="text1" w:themeTint="F2"/>
          <w:sz w:val="22"/>
          <w:lang w:val="es-ES"/>
        </w:rPr>
        <w:t xml:space="preserve">Posteriormente, el 22 de julio de 2020, el Gobierno Nacional sancionó la Ley 2022, que rige a partir de su publicación y cuyo artículo 1 modifica el artículo 4 de la Ley 1882 de 2018 en relación con: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 responsabilidades para Colombia Compra Eficiente en la definición del desarrollo e implementación de los documentos tipo </w:t>
      </w:r>
      <w:r w:rsidRPr="00F66FE4">
        <w:rPr>
          <w:rFonts w:ascii="Arial" w:hAnsi="Arial" w:cs="Arial"/>
          <w:color w:val="0D0D0D" w:themeColor="text1" w:themeTint="F2"/>
          <w:sz w:val="22"/>
          <w:lang w:val="es-ES"/>
        </w:rPr>
        <w:lastRenderedPageBreak/>
        <w:t>mediante cronogramas, coordinación con otras entidades especializadas, recepción de comentarios de los interesados y revisión de los documentos tipo expedidos</w:t>
      </w:r>
      <w:r w:rsidRPr="00F66FE4">
        <w:rPr>
          <w:rStyle w:val="Refdenotaalpie"/>
          <w:rFonts w:ascii="Arial" w:hAnsi="Arial" w:cs="Arial"/>
          <w:color w:val="0D0D0D" w:themeColor="text1" w:themeTint="F2"/>
          <w:sz w:val="22"/>
          <w:lang w:val="es-ES"/>
        </w:rPr>
        <w:footnoteReference w:id="3"/>
      </w:r>
      <w:r w:rsidRPr="00F66FE4">
        <w:rPr>
          <w:rFonts w:ascii="Arial" w:hAnsi="Arial" w:cs="Arial"/>
          <w:color w:val="0D0D0D" w:themeColor="text1" w:themeTint="F2"/>
          <w:sz w:val="22"/>
          <w:lang w:val="es-ES"/>
        </w:rPr>
        <w:t xml:space="preserve">. </w:t>
      </w:r>
    </w:p>
    <w:p w:rsidRPr="00F66FE4" w:rsidR="00F36470" w:rsidP="00F36470" w:rsidRDefault="00FB05F4" w14:paraId="25B99B33" w14:textId="0EF1DFB2">
      <w:pPr>
        <w:spacing w:before="120" w:line="276" w:lineRule="auto"/>
        <w:ind w:firstLine="708"/>
        <w:jc w:val="both"/>
        <w:rPr>
          <w:rFonts w:ascii="Arial" w:hAnsi="Arial" w:cs="Arial"/>
          <w:sz w:val="22"/>
          <w:shd w:val="clear" w:color="auto" w:fill="FFFFFF"/>
          <w:lang w:val="es-ES"/>
        </w:rPr>
      </w:pPr>
      <w:r w:rsidRPr="00F66FE4">
        <w:rPr>
          <w:rFonts w:ascii="Arial" w:hAnsi="Arial" w:cs="Arial"/>
          <w:sz w:val="22"/>
          <w:lang w:val="es-ES"/>
        </w:rPr>
        <w:t>En todo caso</w:t>
      </w:r>
      <w:r w:rsidRPr="00F66FE4" w:rsidR="00F36470">
        <w:rPr>
          <w:rFonts w:ascii="Arial" w:hAnsi="Arial" w:cs="Arial"/>
          <w:sz w:val="22"/>
          <w:lang w:val="es-ES"/>
        </w:rPr>
        <w:t xml:space="preserve">, </w:t>
      </w:r>
      <w:r w:rsidRPr="00F66FE4">
        <w:rPr>
          <w:rFonts w:ascii="Arial" w:hAnsi="Arial" w:cs="Arial"/>
          <w:sz w:val="22"/>
          <w:lang w:val="es-ES"/>
        </w:rPr>
        <w:t xml:space="preserve">bajo la redacción inicial del artículo 4 de la Ley 1882 de 2018, </w:t>
      </w:r>
      <w:r w:rsidRPr="00F66FE4" w:rsidR="00F36470">
        <w:rPr>
          <w:rFonts w:ascii="Arial" w:hAnsi="Arial" w:cs="Arial"/>
          <w:sz w:val="22"/>
          <w:lang w:val="es-ES"/>
        </w:rPr>
        <w:t>el Gobierno Nacional adop</w:t>
      </w:r>
      <w:r w:rsidRPr="00F66FE4" w:rsidR="00F36470">
        <w:rPr>
          <w:rFonts w:ascii="Arial" w:hAnsi="Arial" w:cs="Arial"/>
          <w:sz w:val="22"/>
          <w:shd w:val="clear" w:color="auto" w:fill="FFFFFF"/>
          <w:lang w:val="es-ES"/>
        </w:rPr>
        <w:t xml:space="preserve">tó los </w:t>
      </w:r>
      <w:r w:rsidRPr="00F66FE4" w:rsidR="009507D1">
        <w:rPr>
          <w:rFonts w:ascii="Arial" w:hAnsi="Arial" w:cs="Arial"/>
          <w:sz w:val="22"/>
          <w:shd w:val="clear" w:color="auto" w:fill="FFFFFF"/>
          <w:lang w:val="es-ES"/>
        </w:rPr>
        <w:t>d</w:t>
      </w:r>
      <w:r w:rsidRPr="00F66FE4" w:rsidR="00F36470">
        <w:rPr>
          <w:rFonts w:ascii="Arial" w:hAnsi="Arial" w:cs="Arial"/>
          <w:sz w:val="22"/>
          <w:shd w:val="clear" w:color="auto" w:fill="FFFFFF"/>
          <w:lang w:val="es-ES"/>
        </w:rPr>
        <w:t xml:space="preserve">ocumentos </w:t>
      </w:r>
      <w:r w:rsidRPr="00F66FE4" w:rsidR="0018018D">
        <w:rPr>
          <w:rFonts w:ascii="Arial" w:hAnsi="Arial" w:cs="Arial"/>
          <w:sz w:val="22"/>
          <w:shd w:val="clear" w:color="auto" w:fill="FFFFFF"/>
          <w:lang w:val="es-ES"/>
        </w:rPr>
        <w:t>ti</w:t>
      </w:r>
      <w:r w:rsidRPr="00F66FE4" w:rsidR="00F36470">
        <w:rPr>
          <w:rFonts w:ascii="Arial" w:hAnsi="Arial" w:cs="Arial"/>
          <w:sz w:val="22"/>
          <w:shd w:val="clear" w:color="auto" w:fill="FFFFFF"/>
          <w:lang w:val="es-ES"/>
        </w:rPr>
        <w:t>po para los pliegos de condiciones de los procesos de selección de licitación de obra pública de infraestructura de transporte, mediante la expedición del Decreto 342 de 2018, el cual adiciona al Decreto 1082 de 2015. Posteriormente, mediante los Decretos 2096 de 2019 y 594 de 2020 se adoptaron los Documentos Tipo de infraestructura de transporte para las modalidades de selección abreviada de menor cuantía y mínima cuantía, respectivamente.</w:t>
      </w:r>
    </w:p>
    <w:p w:rsidRPr="00F66FE4" w:rsidR="00DD689E" w:rsidP="00DD689E" w:rsidRDefault="00D83F1B" w14:paraId="340FE748" w14:textId="47FB029A">
      <w:pPr>
        <w:spacing w:before="120" w:line="276" w:lineRule="auto"/>
        <w:ind w:firstLine="708"/>
        <w:jc w:val="both"/>
        <w:rPr>
          <w:rFonts w:ascii="Arial" w:hAnsi="Arial" w:cs="Arial"/>
          <w:sz w:val="22"/>
          <w:shd w:val="clear" w:color="auto" w:fill="FFFFFF"/>
          <w:lang w:val="es-ES"/>
        </w:rPr>
      </w:pPr>
      <w:r w:rsidRPr="00F66FE4">
        <w:rPr>
          <w:rFonts w:ascii="Arial" w:hAnsi="Arial" w:cs="Arial"/>
          <w:sz w:val="22"/>
          <w:shd w:val="clear" w:color="auto" w:fill="FFFFFF"/>
          <w:lang w:val="es-ES"/>
        </w:rPr>
        <w:t>Los</w:t>
      </w:r>
      <w:r w:rsidRPr="00F66FE4" w:rsidR="00DD689E">
        <w:rPr>
          <w:rFonts w:ascii="Arial" w:hAnsi="Arial" w:cs="Arial"/>
          <w:sz w:val="22"/>
          <w:shd w:val="clear" w:color="auto" w:fill="FFFFFF"/>
          <w:lang w:val="es-ES"/>
        </w:rPr>
        <w:t xml:space="preserve"> artículo</w:t>
      </w:r>
      <w:r w:rsidRPr="00F66FE4" w:rsidR="00AC508A">
        <w:rPr>
          <w:rFonts w:ascii="Arial" w:hAnsi="Arial" w:cs="Arial"/>
          <w:sz w:val="22"/>
          <w:shd w:val="clear" w:color="auto" w:fill="FFFFFF"/>
          <w:lang w:val="es-ES"/>
        </w:rPr>
        <w:t>s</w:t>
      </w:r>
      <w:r w:rsidRPr="00F66FE4" w:rsidR="00DD689E">
        <w:rPr>
          <w:rFonts w:ascii="Arial" w:hAnsi="Arial" w:cs="Arial"/>
          <w:sz w:val="22"/>
          <w:shd w:val="clear" w:color="auto" w:fill="FFFFFF"/>
          <w:lang w:val="es-ES"/>
        </w:rPr>
        <w:t xml:space="preserve"> 2.2.1.2.6.1.4</w:t>
      </w:r>
      <w:r w:rsidRPr="00F66FE4">
        <w:rPr>
          <w:rFonts w:ascii="Arial" w:hAnsi="Arial" w:cs="Arial"/>
          <w:sz w:val="22"/>
          <w:shd w:val="clear" w:color="auto" w:fill="FFFFFF"/>
          <w:lang w:val="es-ES"/>
        </w:rPr>
        <w:t xml:space="preserve">, </w:t>
      </w:r>
      <w:r w:rsidRPr="00F66FE4" w:rsidR="008C49B9">
        <w:rPr>
          <w:rFonts w:ascii="Arial" w:hAnsi="Arial" w:cs="Arial"/>
          <w:sz w:val="22"/>
          <w:shd w:val="clear" w:color="auto" w:fill="FFFFFF"/>
          <w:lang w:val="es-ES"/>
        </w:rPr>
        <w:t xml:space="preserve">2.2.1.2.6.2.3 y </w:t>
      </w:r>
      <w:r w:rsidRPr="00F66FE4" w:rsidR="00AC508A">
        <w:rPr>
          <w:rFonts w:ascii="Arial" w:hAnsi="Arial" w:cs="Arial"/>
          <w:sz w:val="22"/>
          <w:shd w:val="clear" w:color="auto" w:fill="FFFFFF"/>
          <w:lang w:val="es-ES"/>
        </w:rPr>
        <w:t>2.2.1.2.6.3.4</w:t>
      </w:r>
      <w:r w:rsidRPr="00F66FE4" w:rsidR="00DD689E">
        <w:rPr>
          <w:rFonts w:ascii="Arial" w:hAnsi="Arial" w:cs="Arial"/>
          <w:sz w:val="22"/>
          <w:shd w:val="clear" w:color="auto" w:fill="FFFFFF"/>
          <w:lang w:val="es-ES"/>
        </w:rPr>
        <w:t xml:space="preserve"> del Decreto 1082 de 2015 establece</w:t>
      </w:r>
      <w:r w:rsidRPr="00F66FE4" w:rsidR="0018018D">
        <w:rPr>
          <w:rFonts w:ascii="Arial" w:hAnsi="Arial" w:cs="Arial"/>
          <w:sz w:val="22"/>
          <w:shd w:val="clear" w:color="auto" w:fill="FFFFFF"/>
          <w:lang w:val="es-ES"/>
        </w:rPr>
        <w:t>n</w:t>
      </w:r>
      <w:r w:rsidRPr="00F66FE4" w:rsidR="00DD689E">
        <w:rPr>
          <w:rFonts w:ascii="Arial" w:hAnsi="Arial" w:cs="Arial"/>
          <w:sz w:val="22"/>
          <w:shd w:val="clear" w:color="auto" w:fill="FFFFFF"/>
          <w:lang w:val="es-ES"/>
        </w:rPr>
        <w:t xml:space="preserve"> la inalterabilidad de los </w:t>
      </w:r>
      <w:r w:rsidRPr="00F66FE4" w:rsidR="0018018D">
        <w:rPr>
          <w:rFonts w:ascii="Arial" w:hAnsi="Arial" w:cs="Arial"/>
          <w:sz w:val="22"/>
          <w:shd w:val="clear" w:color="auto" w:fill="FFFFFF"/>
          <w:lang w:val="es-ES"/>
        </w:rPr>
        <w:t>d</w:t>
      </w:r>
      <w:r w:rsidRPr="00F66FE4" w:rsidR="00DD689E">
        <w:rPr>
          <w:rFonts w:ascii="Arial" w:hAnsi="Arial" w:cs="Arial"/>
          <w:sz w:val="22"/>
          <w:shd w:val="clear" w:color="auto" w:fill="FFFFFF"/>
          <w:lang w:val="es-ES"/>
        </w:rPr>
        <w:t xml:space="preserve">ocumentos </w:t>
      </w:r>
      <w:r w:rsidRPr="00F66FE4" w:rsidR="0018018D">
        <w:rPr>
          <w:rFonts w:ascii="Arial" w:hAnsi="Arial" w:cs="Arial"/>
          <w:sz w:val="22"/>
          <w:shd w:val="clear" w:color="auto" w:fill="FFFFFF"/>
          <w:lang w:val="es-ES"/>
        </w:rPr>
        <w:t>t</w:t>
      </w:r>
      <w:r w:rsidRPr="00F66FE4" w:rsidR="00DD689E">
        <w:rPr>
          <w:rFonts w:ascii="Arial" w:hAnsi="Arial" w:cs="Arial"/>
          <w:sz w:val="22"/>
          <w:shd w:val="clear" w:color="auto" w:fill="FFFFFF"/>
          <w:lang w:val="es-ES"/>
        </w:rPr>
        <w:t xml:space="preserve">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rsidRPr="00F66FE4" w:rsidR="00100123" w:rsidP="00F85DCC" w:rsidRDefault="00DD689E" w14:paraId="73A99D31" w14:textId="4F0A8F70">
      <w:pPr>
        <w:spacing w:before="120" w:line="276" w:lineRule="auto"/>
        <w:ind w:firstLine="708"/>
        <w:jc w:val="both"/>
        <w:rPr>
          <w:rFonts w:ascii="Arial" w:hAnsi="Arial" w:cs="Arial"/>
          <w:sz w:val="22"/>
          <w:shd w:val="clear" w:color="auto" w:fill="FFFFFF"/>
          <w:lang w:val="es-ES"/>
        </w:rPr>
      </w:pPr>
      <w:r w:rsidRPr="00F66FE4">
        <w:rPr>
          <w:rFonts w:ascii="Arial" w:hAnsi="Arial" w:cs="Arial"/>
          <w:sz w:val="22"/>
          <w:shd w:val="clear" w:color="auto" w:fill="FFFFFF"/>
          <w:lang w:val="es-ES"/>
        </w:rPr>
        <w:t xml:space="preserve">Con el fin de establecer cuáles son los </w:t>
      </w:r>
      <w:r w:rsidRPr="00F66FE4" w:rsidR="003B0E6E">
        <w:rPr>
          <w:rFonts w:ascii="Arial" w:hAnsi="Arial" w:cs="Arial"/>
          <w:sz w:val="22"/>
          <w:shd w:val="clear" w:color="auto" w:fill="FFFFFF"/>
          <w:lang w:val="es-ES"/>
        </w:rPr>
        <w:t>d</w:t>
      </w:r>
      <w:r w:rsidRPr="00F66FE4">
        <w:rPr>
          <w:rFonts w:ascii="Arial" w:hAnsi="Arial" w:cs="Arial"/>
          <w:sz w:val="22"/>
          <w:shd w:val="clear" w:color="auto" w:fill="FFFFFF"/>
          <w:lang w:val="es-ES"/>
        </w:rPr>
        <w:t xml:space="preserve">ocumentos </w:t>
      </w:r>
      <w:r w:rsidRPr="00F66FE4" w:rsidR="003B0E6E">
        <w:rPr>
          <w:rFonts w:ascii="Arial" w:hAnsi="Arial" w:cs="Arial"/>
          <w:sz w:val="22"/>
          <w:shd w:val="clear" w:color="auto" w:fill="FFFFFF"/>
          <w:lang w:val="es-ES"/>
        </w:rPr>
        <w:t>t</w:t>
      </w:r>
      <w:r w:rsidRPr="00F66FE4">
        <w:rPr>
          <w:rFonts w:ascii="Arial" w:hAnsi="Arial" w:cs="Arial"/>
          <w:sz w:val="22"/>
          <w:shd w:val="clear" w:color="auto" w:fill="FFFFFF"/>
          <w:lang w:val="es-ES"/>
        </w:rPr>
        <w:t>ipo sujetos a esta disposición, l</w:t>
      </w:r>
      <w:r w:rsidRPr="00F66FE4" w:rsidR="00B30892">
        <w:rPr>
          <w:rFonts w:ascii="Arial" w:hAnsi="Arial" w:cs="Arial"/>
          <w:sz w:val="22"/>
          <w:shd w:val="clear" w:color="auto" w:fill="FFFFFF"/>
          <w:lang w:val="es-ES"/>
        </w:rPr>
        <w:t>os</w:t>
      </w:r>
      <w:r w:rsidRPr="00F66FE4">
        <w:rPr>
          <w:rFonts w:ascii="Arial" w:hAnsi="Arial" w:cs="Arial"/>
          <w:sz w:val="22"/>
          <w:shd w:val="clear" w:color="auto" w:fill="FFFFFF"/>
          <w:lang w:val="es-ES"/>
        </w:rPr>
        <w:t xml:space="preserve"> artículo</w:t>
      </w:r>
      <w:r w:rsidRPr="00F66FE4" w:rsidR="00B30892">
        <w:rPr>
          <w:rFonts w:ascii="Arial" w:hAnsi="Arial" w:cs="Arial"/>
          <w:sz w:val="22"/>
          <w:shd w:val="clear" w:color="auto" w:fill="FFFFFF"/>
          <w:lang w:val="es-ES"/>
        </w:rPr>
        <w:t>s</w:t>
      </w:r>
      <w:r w:rsidRPr="00F66FE4">
        <w:rPr>
          <w:rFonts w:ascii="Arial" w:hAnsi="Arial" w:cs="Arial"/>
          <w:sz w:val="22"/>
          <w:shd w:val="clear" w:color="auto" w:fill="FFFFFF"/>
          <w:lang w:val="es-ES"/>
        </w:rPr>
        <w:t xml:space="preserve"> 2.2.1.2.6.1.2</w:t>
      </w:r>
      <w:r w:rsidRPr="00F66FE4" w:rsidR="00B30892">
        <w:rPr>
          <w:rFonts w:ascii="Arial" w:hAnsi="Arial" w:cs="Arial"/>
          <w:sz w:val="22"/>
          <w:shd w:val="clear" w:color="auto" w:fill="FFFFFF"/>
          <w:lang w:val="es-ES"/>
        </w:rPr>
        <w:t xml:space="preserve">, </w:t>
      </w:r>
      <w:r w:rsidRPr="00F66FE4" w:rsidR="009A4BA7">
        <w:rPr>
          <w:rFonts w:ascii="Arial" w:hAnsi="Arial" w:cs="Arial"/>
          <w:sz w:val="22"/>
          <w:shd w:val="clear" w:color="auto" w:fill="FFFFFF"/>
          <w:lang w:val="es-ES"/>
        </w:rPr>
        <w:t xml:space="preserve">2.2.1.2.6.2.2 y </w:t>
      </w:r>
      <w:r w:rsidRPr="00F66FE4" w:rsidR="00174D99">
        <w:rPr>
          <w:rFonts w:ascii="Arial" w:hAnsi="Arial" w:cs="Arial"/>
          <w:sz w:val="22"/>
          <w:shd w:val="clear" w:color="auto" w:fill="FFFFFF"/>
          <w:lang w:val="es-ES"/>
        </w:rPr>
        <w:t>2.2.1.2.6.3.2</w:t>
      </w:r>
      <w:r w:rsidRPr="00F66FE4">
        <w:rPr>
          <w:rFonts w:ascii="Arial" w:hAnsi="Arial" w:cs="Arial"/>
          <w:sz w:val="22"/>
          <w:shd w:val="clear" w:color="auto" w:fill="FFFFFF"/>
          <w:lang w:val="es-ES"/>
        </w:rPr>
        <w:t xml:space="preserve"> del Decreto 1082 de 2015 </w:t>
      </w:r>
      <w:r w:rsidRPr="00F66FE4" w:rsidR="00E4480A">
        <w:rPr>
          <w:rFonts w:ascii="Arial" w:hAnsi="Arial" w:cs="Arial"/>
          <w:sz w:val="22"/>
          <w:shd w:val="clear" w:color="auto" w:fill="FFFFFF"/>
          <w:lang w:val="es-ES"/>
        </w:rPr>
        <w:t xml:space="preserve">establecen </w:t>
      </w:r>
      <w:r w:rsidRPr="00F66FE4" w:rsidR="00E4480A">
        <w:rPr>
          <w:rFonts w:ascii="Arial" w:hAnsi="Arial" w:cs="Arial"/>
          <w:sz w:val="22"/>
          <w:shd w:val="clear" w:color="auto" w:fill="FFFFFF"/>
          <w:lang w:val="es-ES"/>
        </w:rPr>
        <w:lastRenderedPageBreak/>
        <w:t>listados</w:t>
      </w:r>
      <w:r w:rsidRPr="00F66FE4">
        <w:rPr>
          <w:rFonts w:ascii="Arial" w:hAnsi="Arial" w:cs="Arial"/>
          <w:sz w:val="22"/>
          <w:shd w:val="clear" w:color="auto" w:fill="FFFFFF"/>
          <w:lang w:val="es-ES"/>
        </w:rPr>
        <w:t xml:space="preserve"> que determina</w:t>
      </w:r>
      <w:r w:rsidRPr="00F66FE4" w:rsidR="00174D99">
        <w:rPr>
          <w:rFonts w:ascii="Arial" w:hAnsi="Arial" w:cs="Arial"/>
          <w:sz w:val="22"/>
          <w:shd w:val="clear" w:color="auto" w:fill="FFFFFF"/>
          <w:lang w:val="es-ES"/>
        </w:rPr>
        <w:t>n</w:t>
      </w:r>
      <w:r w:rsidRPr="00F66FE4">
        <w:rPr>
          <w:rFonts w:ascii="Arial" w:hAnsi="Arial" w:cs="Arial"/>
          <w:sz w:val="22"/>
          <w:shd w:val="clear" w:color="auto" w:fill="FFFFFF"/>
          <w:lang w:val="es-ES"/>
        </w:rPr>
        <w:t xml:space="preserve"> </w:t>
      </w:r>
      <w:r w:rsidRPr="00F66FE4" w:rsidR="003B0E6E">
        <w:rPr>
          <w:rFonts w:ascii="Arial" w:hAnsi="Arial" w:cs="Arial"/>
          <w:sz w:val="22"/>
          <w:shd w:val="clear" w:color="auto" w:fill="FFFFFF"/>
          <w:lang w:val="es-ES"/>
        </w:rPr>
        <w:t>su</w:t>
      </w:r>
      <w:r w:rsidRPr="00F66FE4">
        <w:rPr>
          <w:rFonts w:ascii="Arial" w:hAnsi="Arial" w:cs="Arial"/>
          <w:sz w:val="22"/>
          <w:shd w:val="clear" w:color="auto" w:fill="FFFFFF"/>
          <w:lang w:val="es-ES"/>
        </w:rPr>
        <w:t xml:space="preserve"> alcance</w:t>
      </w:r>
      <w:r w:rsidRPr="00F66FE4" w:rsidR="00174D99">
        <w:rPr>
          <w:rFonts w:ascii="Arial" w:hAnsi="Arial" w:cs="Arial"/>
          <w:sz w:val="22"/>
          <w:shd w:val="clear" w:color="auto" w:fill="FFFFFF"/>
          <w:lang w:val="es-ES"/>
        </w:rPr>
        <w:t xml:space="preserve"> </w:t>
      </w:r>
      <w:r w:rsidRPr="00F66FE4" w:rsidR="003B0E6E">
        <w:rPr>
          <w:rFonts w:ascii="Arial" w:hAnsi="Arial" w:cs="Arial"/>
          <w:sz w:val="22"/>
          <w:shd w:val="clear" w:color="auto" w:fill="FFFFFF"/>
          <w:lang w:val="es-ES"/>
        </w:rPr>
        <w:t xml:space="preserve">en </w:t>
      </w:r>
      <w:r w:rsidRPr="00F66FE4" w:rsidR="00174D99">
        <w:rPr>
          <w:rFonts w:ascii="Arial" w:hAnsi="Arial" w:cs="Arial"/>
          <w:sz w:val="22"/>
          <w:shd w:val="clear" w:color="auto" w:fill="FFFFFF"/>
          <w:lang w:val="es-ES"/>
        </w:rPr>
        <w:t>cada una de las modalidades</w:t>
      </w:r>
      <w:r w:rsidRPr="00F66FE4" w:rsidR="003B0E6E">
        <w:rPr>
          <w:rFonts w:ascii="Arial" w:hAnsi="Arial" w:cs="Arial"/>
          <w:sz w:val="22"/>
          <w:shd w:val="clear" w:color="auto" w:fill="FFFFFF"/>
          <w:lang w:val="es-ES"/>
        </w:rPr>
        <w:t xml:space="preserve"> de selección referidas</w:t>
      </w:r>
      <w:r w:rsidRPr="00F66FE4" w:rsidR="00174D99">
        <w:rPr>
          <w:rFonts w:ascii="Arial" w:hAnsi="Arial" w:cs="Arial"/>
          <w:sz w:val="22"/>
          <w:shd w:val="clear" w:color="auto" w:fill="FFFFFF"/>
          <w:lang w:val="es-ES"/>
        </w:rPr>
        <w:t xml:space="preserve"> </w:t>
      </w:r>
      <w:r w:rsidRPr="00F66FE4">
        <w:rPr>
          <w:rFonts w:ascii="Arial" w:hAnsi="Arial" w:cs="Arial"/>
          <w:sz w:val="22"/>
          <w:shd w:val="clear" w:color="auto" w:fill="FFFFFF"/>
          <w:lang w:val="es-ES"/>
        </w:rPr>
        <w:t>e incluye expresamente la «Matriz 1 – Experiencia» ─en adelante Matriz 1─. Por su parte, l</w:t>
      </w:r>
      <w:r w:rsidRPr="00F66FE4" w:rsidR="00481800">
        <w:rPr>
          <w:rFonts w:ascii="Arial" w:hAnsi="Arial" w:cs="Arial"/>
          <w:sz w:val="22"/>
          <w:shd w:val="clear" w:color="auto" w:fill="FFFFFF"/>
          <w:lang w:val="es-ES"/>
        </w:rPr>
        <w:t>os</w:t>
      </w:r>
      <w:r w:rsidRPr="00F66FE4">
        <w:rPr>
          <w:rFonts w:ascii="Arial" w:hAnsi="Arial" w:cs="Arial"/>
          <w:sz w:val="22"/>
          <w:shd w:val="clear" w:color="auto" w:fill="FFFFFF"/>
          <w:lang w:val="es-ES"/>
        </w:rPr>
        <w:t xml:space="preserve"> artículo</w:t>
      </w:r>
      <w:r w:rsidRPr="00F66FE4" w:rsidR="00481800">
        <w:rPr>
          <w:rFonts w:ascii="Arial" w:hAnsi="Arial" w:cs="Arial"/>
          <w:sz w:val="22"/>
          <w:shd w:val="clear" w:color="auto" w:fill="FFFFFF"/>
          <w:lang w:val="es-ES"/>
        </w:rPr>
        <w:t>s</w:t>
      </w:r>
      <w:r w:rsidRPr="00F66FE4">
        <w:rPr>
          <w:rFonts w:ascii="Arial" w:hAnsi="Arial" w:cs="Arial"/>
          <w:sz w:val="22"/>
          <w:shd w:val="clear" w:color="auto" w:fill="FFFFFF"/>
          <w:lang w:val="es-ES"/>
        </w:rPr>
        <w:t xml:space="preserve"> 2.2.1.2.6.1.3</w:t>
      </w:r>
      <w:r w:rsidRPr="00F66FE4" w:rsidR="00481800">
        <w:rPr>
          <w:rFonts w:ascii="Arial" w:hAnsi="Arial" w:cs="Arial"/>
          <w:sz w:val="22"/>
          <w:shd w:val="clear" w:color="auto" w:fill="FFFFFF"/>
          <w:lang w:val="es-ES"/>
        </w:rPr>
        <w:t>, 2.2.1.2.6.2.3 y</w:t>
      </w:r>
      <w:r w:rsidRPr="00F66FE4" w:rsidR="00DC6B0E">
        <w:rPr>
          <w:rFonts w:ascii="Arial" w:hAnsi="Arial" w:cs="Arial"/>
          <w:sz w:val="22"/>
          <w:shd w:val="clear" w:color="auto" w:fill="FFFFFF"/>
          <w:lang w:val="es-ES"/>
        </w:rPr>
        <w:t xml:space="preserve"> </w:t>
      </w:r>
      <w:r w:rsidRPr="00F66FE4" w:rsidR="004A0582">
        <w:rPr>
          <w:rFonts w:ascii="Arial" w:hAnsi="Arial" w:cs="Arial"/>
          <w:sz w:val="22"/>
          <w:shd w:val="clear" w:color="auto" w:fill="FFFFFF"/>
          <w:lang w:val="es-ES"/>
        </w:rPr>
        <w:t>2.2.1.2.6.3.3</w:t>
      </w:r>
      <w:r w:rsidRPr="00F66FE4">
        <w:rPr>
          <w:rFonts w:ascii="Arial" w:hAnsi="Arial" w:cs="Arial"/>
          <w:sz w:val="22"/>
          <w:shd w:val="clear" w:color="auto" w:fill="FFFFFF"/>
          <w:lang w:val="es-ES"/>
        </w:rPr>
        <w:t xml:space="preserve"> </w:t>
      </w:r>
      <w:proofErr w:type="spellStart"/>
      <w:r w:rsidRPr="00F66FE4">
        <w:rPr>
          <w:rFonts w:ascii="Arial" w:hAnsi="Arial" w:cs="Arial"/>
          <w:i/>
          <w:iCs/>
          <w:sz w:val="22"/>
          <w:shd w:val="clear" w:color="auto" w:fill="FFFFFF"/>
          <w:lang w:val="es-ES"/>
        </w:rPr>
        <w:t>ibidem</w:t>
      </w:r>
      <w:proofErr w:type="spellEnd"/>
      <w:r w:rsidRPr="00F66FE4">
        <w:rPr>
          <w:rFonts w:ascii="Arial" w:hAnsi="Arial" w:cs="Arial"/>
          <w:i/>
          <w:iCs/>
          <w:sz w:val="22"/>
          <w:shd w:val="clear" w:color="auto" w:fill="FFFFFF"/>
          <w:lang w:val="es-ES"/>
        </w:rPr>
        <w:t xml:space="preserve"> </w:t>
      </w:r>
      <w:r w:rsidRPr="00F66FE4">
        <w:rPr>
          <w:rFonts w:ascii="Arial" w:hAnsi="Arial" w:cs="Arial"/>
          <w:sz w:val="22"/>
          <w:shd w:val="clear" w:color="auto" w:fill="FFFFFF"/>
          <w:lang w:val="es-ES"/>
        </w:rPr>
        <w:t>dispone</w:t>
      </w:r>
      <w:r w:rsidRPr="00F66FE4" w:rsidR="00B306A5">
        <w:rPr>
          <w:rFonts w:ascii="Arial" w:hAnsi="Arial" w:cs="Arial"/>
          <w:sz w:val="22"/>
          <w:shd w:val="clear" w:color="auto" w:fill="FFFFFF"/>
          <w:lang w:val="es-ES"/>
        </w:rPr>
        <w:t>n</w:t>
      </w:r>
      <w:r w:rsidRPr="00F66FE4">
        <w:rPr>
          <w:rFonts w:ascii="Arial" w:hAnsi="Arial" w:cs="Arial"/>
          <w:sz w:val="22"/>
          <w:shd w:val="clear" w:color="auto" w:fill="FFFFFF"/>
          <w:lang w:val="es-ES"/>
        </w:rPr>
        <w:t xml:space="preserve"> que, en el desarrollo e implementación de los documentos, la Agencia Nacional de Contratación Pública – Colombia Compra Eficiente, en coordinación con el Departamento Nacional de Planeación </w:t>
      </w:r>
      <w:r w:rsidR="00980F2D">
        <w:rPr>
          <w:rFonts w:ascii="Arial" w:hAnsi="Arial" w:cs="Arial"/>
          <w:sz w:val="22"/>
          <w:shd w:val="clear" w:color="auto" w:fill="FFFFFF"/>
          <w:lang w:val="es-ES"/>
        </w:rPr>
        <w:t>–</w:t>
      </w:r>
      <w:r w:rsidRPr="00F66FE4">
        <w:rPr>
          <w:rFonts w:ascii="Arial" w:hAnsi="Arial" w:cs="Arial"/>
          <w:sz w:val="22"/>
          <w:shd w:val="clear" w:color="auto" w:fill="FFFFFF"/>
          <w:lang w:val="es-ES"/>
        </w:rPr>
        <w:t>DNP</w:t>
      </w:r>
      <w:r w:rsidR="00980F2D">
        <w:rPr>
          <w:rFonts w:ascii="Arial" w:hAnsi="Arial" w:cs="Arial"/>
          <w:sz w:val="22"/>
          <w:shd w:val="clear" w:color="auto" w:fill="FFFFFF"/>
          <w:lang w:val="es-ES"/>
        </w:rPr>
        <w:t>–</w:t>
      </w:r>
      <w:r w:rsidRPr="00F66FE4">
        <w:rPr>
          <w:rFonts w:ascii="Arial" w:hAnsi="Arial" w:cs="Arial"/>
          <w:sz w:val="22"/>
          <w:shd w:val="clear" w:color="auto" w:fill="FFFFFF"/>
          <w:lang w:val="es-ES"/>
        </w:rPr>
        <w:t xml:space="preserve"> y el Ministerio de Transporte, debe</w:t>
      </w:r>
      <w:r w:rsidRPr="00F66FE4" w:rsidR="00100123">
        <w:rPr>
          <w:rFonts w:ascii="Arial" w:hAnsi="Arial" w:cs="Arial"/>
          <w:sz w:val="22"/>
          <w:shd w:val="clear" w:color="auto" w:fill="FFFFFF"/>
          <w:lang w:val="es-ES"/>
        </w:rPr>
        <w:t xml:space="preserve"> </w:t>
      </w:r>
      <w:r w:rsidRPr="00F66FE4" w:rsidR="00DE4F9F">
        <w:rPr>
          <w:rFonts w:ascii="Arial" w:hAnsi="Arial" w:cs="Arial"/>
          <w:sz w:val="22"/>
          <w:shd w:val="clear" w:color="auto" w:fill="FFFFFF"/>
          <w:lang w:val="es-ES"/>
        </w:rPr>
        <w:t>s</w:t>
      </w:r>
      <w:r w:rsidRPr="00F66FE4" w:rsidR="00100123">
        <w:rPr>
          <w:rFonts w:ascii="Arial" w:hAnsi="Arial" w:cs="Arial"/>
          <w:sz w:val="22"/>
          <w:shd w:val="clear" w:color="auto" w:fill="FFFFFF"/>
          <w:lang w:val="es-ES"/>
        </w:rPr>
        <w:t xml:space="preserve">eñalar las actividades sobre las cuales recaerá la verificación de la experiencia de los proponentes, así como los documentos y criterios de acreditación y verificación de experiencia, teniendo en cuenta la cuantía y el tipo de intervención. </w:t>
      </w:r>
      <w:r w:rsidRPr="00F66FE4">
        <w:rPr>
          <w:rFonts w:ascii="Arial" w:hAnsi="Arial" w:cs="Arial"/>
          <w:sz w:val="22"/>
          <w:shd w:val="clear" w:color="auto" w:fill="FFFFFF"/>
          <w:lang w:val="es-ES"/>
        </w:rPr>
        <w:t xml:space="preserve"> </w:t>
      </w:r>
    </w:p>
    <w:p w:rsidR="00D75B37" w:rsidP="00D75B37" w:rsidRDefault="00B306A5" w14:paraId="1F463B30" w14:textId="6C1EEB40">
      <w:pPr>
        <w:spacing w:before="120" w:line="276" w:lineRule="auto"/>
        <w:ind w:firstLine="708"/>
        <w:jc w:val="both"/>
        <w:rPr>
          <w:rFonts w:ascii="Arial" w:hAnsi="Arial" w:cs="Arial"/>
          <w:sz w:val="22"/>
          <w:shd w:val="clear" w:color="auto" w:fill="FFFFFF"/>
          <w:lang w:val="es-ES"/>
        </w:rPr>
      </w:pPr>
      <w:r w:rsidRPr="00F66FE4">
        <w:rPr>
          <w:rFonts w:ascii="Arial" w:hAnsi="Arial" w:cs="Arial"/>
          <w:sz w:val="22"/>
          <w:shd w:val="clear" w:color="auto" w:fill="FFFFFF"/>
          <w:lang w:val="es-ES"/>
        </w:rPr>
        <w:t xml:space="preserve">En cumplimiento de </w:t>
      </w:r>
      <w:r w:rsidRPr="00F66FE4" w:rsidR="006A442E">
        <w:rPr>
          <w:rFonts w:ascii="Arial" w:hAnsi="Arial" w:cs="Arial"/>
          <w:sz w:val="22"/>
          <w:shd w:val="clear" w:color="auto" w:fill="FFFFFF"/>
          <w:lang w:val="es-ES"/>
        </w:rPr>
        <w:t xml:space="preserve">tales mandatos, esta Agencia expidió las Resoluciones Nos. 1798 de 2019, 045 de 2020 </w:t>
      </w:r>
      <w:r w:rsidRPr="00F66FE4" w:rsidR="00D60689">
        <w:rPr>
          <w:rFonts w:ascii="Arial" w:hAnsi="Arial" w:cs="Arial"/>
          <w:sz w:val="22"/>
          <w:shd w:val="clear" w:color="auto" w:fill="FFFFFF"/>
          <w:lang w:val="es-ES"/>
        </w:rPr>
        <w:t xml:space="preserve">y </w:t>
      </w:r>
      <w:r w:rsidRPr="00F66FE4" w:rsidR="00352FF4">
        <w:rPr>
          <w:rFonts w:ascii="Arial" w:hAnsi="Arial" w:cs="Arial"/>
          <w:sz w:val="22"/>
          <w:shd w:val="clear" w:color="auto" w:fill="FFFFFF"/>
          <w:lang w:val="es-ES"/>
        </w:rPr>
        <w:t xml:space="preserve">240 de 2020, </w:t>
      </w:r>
      <w:r w:rsidRPr="00F66FE4" w:rsidR="001637F9">
        <w:rPr>
          <w:rFonts w:ascii="Arial" w:hAnsi="Arial" w:cs="Arial"/>
          <w:sz w:val="22"/>
          <w:shd w:val="clear" w:color="auto" w:fill="FFFFFF"/>
          <w:lang w:val="es-ES"/>
        </w:rPr>
        <w:t>mediante</w:t>
      </w:r>
      <w:r w:rsidRPr="00F66FE4" w:rsidR="00352FF4">
        <w:rPr>
          <w:rFonts w:ascii="Arial" w:hAnsi="Arial" w:cs="Arial"/>
          <w:sz w:val="22"/>
          <w:shd w:val="clear" w:color="auto" w:fill="FFFFFF"/>
          <w:lang w:val="es-ES"/>
        </w:rPr>
        <w:t xml:space="preserve"> l</w:t>
      </w:r>
      <w:r w:rsidRPr="00F66FE4" w:rsidR="001637F9">
        <w:rPr>
          <w:rFonts w:ascii="Arial" w:hAnsi="Arial" w:cs="Arial"/>
          <w:sz w:val="22"/>
          <w:shd w:val="clear" w:color="auto" w:fill="FFFFFF"/>
          <w:lang w:val="es-ES"/>
        </w:rPr>
        <w:t>a</w:t>
      </w:r>
      <w:r w:rsidRPr="00F66FE4" w:rsidR="00352FF4">
        <w:rPr>
          <w:rFonts w:ascii="Arial" w:hAnsi="Arial" w:cs="Arial"/>
          <w:sz w:val="22"/>
          <w:shd w:val="clear" w:color="auto" w:fill="FFFFFF"/>
          <w:lang w:val="es-ES"/>
        </w:rPr>
        <w:t>s cuales se desarrollaron e implementaron l</w:t>
      </w:r>
      <w:r w:rsidRPr="00F66FE4" w:rsidR="009377AC">
        <w:rPr>
          <w:rFonts w:ascii="Arial" w:hAnsi="Arial" w:cs="Arial"/>
          <w:sz w:val="22"/>
          <w:shd w:val="clear" w:color="auto" w:fill="FFFFFF"/>
          <w:lang w:val="es-ES"/>
        </w:rPr>
        <w:t>as versiones 1, 2 y 3 de los</w:t>
      </w:r>
      <w:r w:rsidRPr="00F66FE4" w:rsidR="00352FF4">
        <w:rPr>
          <w:rFonts w:ascii="Arial" w:hAnsi="Arial" w:cs="Arial"/>
          <w:sz w:val="22"/>
          <w:shd w:val="clear" w:color="auto" w:fill="FFFFFF"/>
          <w:lang w:val="es-ES"/>
        </w:rPr>
        <w:t xml:space="preserve"> </w:t>
      </w:r>
      <w:r w:rsidRPr="00F66FE4" w:rsidR="00E90278">
        <w:rPr>
          <w:rFonts w:ascii="Arial" w:hAnsi="Arial" w:cs="Arial"/>
          <w:sz w:val="22"/>
          <w:shd w:val="clear" w:color="auto" w:fill="FFFFFF"/>
          <w:lang w:val="es-ES"/>
        </w:rPr>
        <w:t>d</w:t>
      </w:r>
      <w:r w:rsidRPr="00F66FE4" w:rsidR="00352FF4">
        <w:rPr>
          <w:rFonts w:ascii="Arial" w:hAnsi="Arial" w:cs="Arial"/>
          <w:sz w:val="22"/>
          <w:shd w:val="clear" w:color="auto" w:fill="FFFFFF"/>
          <w:lang w:val="es-ES"/>
        </w:rPr>
        <w:t xml:space="preserve">ocumentos </w:t>
      </w:r>
      <w:r w:rsidRPr="00F66FE4" w:rsidR="00E90278">
        <w:rPr>
          <w:rFonts w:ascii="Arial" w:hAnsi="Arial" w:cs="Arial"/>
          <w:sz w:val="22"/>
          <w:shd w:val="clear" w:color="auto" w:fill="FFFFFF"/>
          <w:lang w:val="es-ES"/>
        </w:rPr>
        <w:t>t</w:t>
      </w:r>
      <w:r w:rsidRPr="00F66FE4" w:rsidR="00352FF4">
        <w:rPr>
          <w:rFonts w:ascii="Arial" w:hAnsi="Arial" w:cs="Arial"/>
          <w:sz w:val="22"/>
          <w:shd w:val="clear" w:color="auto" w:fill="FFFFFF"/>
          <w:lang w:val="es-ES"/>
        </w:rPr>
        <w:t>ipo de</w:t>
      </w:r>
      <w:r w:rsidRPr="00F66FE4" w:rsidR="001500EE">
        <w:rPr>
          <w:rFonts w:ascii="Arial" w:hAnsi="Arial" w:cs="Arial"/>
          <w:sz w:val="22"/>
          <w:shd w:val="clear" w:color="auto" w:fill="FFFFFF"/>
          <w:lang w:val="es-ES"/>
        </w:rPr>
        <w:t xml:space="preserve"> obra </w:t>
      </w:r>
      <w:r w:rsidRPr="00F66FE4" w:rsidR="00E90278">
        <w:rPr>
          <w:rFonts w:ascii="Arial" w:hAnsi="Arial" w:cs="Arial"/>
          <w:sz w:val="22"/>
          <w:shd w:val="clear" w:color="auto" w:fill="FFFFFF"/>
          <w:lang w:val="es-ES"/>
        </w:rPr>
        <w:t xml:space="preserve">licitación de obra </w:t>
      </w:r>
      <w:r w:rsidRPr="00F66FE4" w:rsidR="001500EE">
        <w:rPr>
          <w:rFonts w:ascii="Arial" w:hAnsi="Arial" w:cs="Arial"/>
          <w:sz w:val="22"/>
          <w:shd w:val="clear" w:color="auto" w:fill="FFFFFF"/>
          <w:lang w:val="es-ES"/>
        </w:rPr>
        <w:t>pública de</w:t>
      </w:r>
      <w:r w:rsidRPr="00F66FE4" w:rsidR="00352FF4">
        <w:rPr>
          <w:rFonts w:ascii="Arial" w:hAnsi="Arial" w:cs="Arial"/>
          <w:sz w:val="22"/>
          <w:shd w:val="clear" w:color="auto" w:fill="FFFFFF"/>
          <w:lang w:val="es-ES"/>
        </w:rPr>
        <w:t xml:space="preserve"> infraestructura de transporte</w:t>
      </w:r>
      <w:r w:rsidRPr="00F66FE4" w:rsidR="006B7137">
        <w:rPr>
          <w:rFonts w:ascii="Arial" w:hAnsi="Arial" w:cs="Arial"/>
          <w:sz w:val="22"/>
          <w:shd w:val="clear" w:color="auto" w:fill="FFFFFF"/>
          <w:lang w:val="es-ES"/>
        </w:rPr>
        <w:t xml:space="preserve">. </w:t>
      </w:r>
      <w:r w:rsidR="00182291">
        <w:rPr>
          <w:rFonts w:ascii="Arial" w:hAnsi="Arial" w:cs="Arial"/>
          <w:sz w:val="22"/>
          <w:shd w:val="clear" w:color="auto" w:fill="FFFFFF"/>
          <w:lang w:val="es-ES"/>
        </w:rPr>
        <w:t xml:space="preserve">En igual sentido, </w:t>
      </w:r>
      <w:proofErr w:type="gramStart"/>
      <w:r w:rsidRPr="00F66FE4" w:rsidR="00FB05F4">
        <w:rPr>
          <w:rFonts w:ascii="Arial" w:hAnsi="Arial" w:cs="Arial"/>
          <w:sz w:val="22"/>
          <w:shd w:val="clear" w:color="auto" w:fill="FFFFFF"/>
          <w:lang w:val="es-ES"/>
        </w:rPr>
        <w:t>medi</w:t>
      </w:r>
      <w:r w:rsidR="00182291">
        <w:rPr>
          <w:rFonts w:ascii="Arial" w:hAnsi="Arial" w:cs="Arial"/>
          <w:sz w:val="22"/>
          <w:shd w:val="clear" w:color="auto" w:fill="FFFFFF"/>
          <w:lang w:val="es-ES"/>
        </w:rPr>
        <w:t>ante</w:t>
      </w:r>
      <w:r w:rsidRPr="00F66FE4" w:rsidR="006B7137">
        <w:rPr>
          <w:rFonts w:ascii="Arial" w:hAnsi="Arial" w:cs="Arial"/>
          <w:sz w:val="22"/>
          <w:shd w:val="clear" w:color="auto" w:fill="FFFFFF"/>
          <w:lang w:val="es-ES"/>
        </w:rPr>
        <w:t xml:space="preserve">  las</w:t>
      </w:r>
      <w:proofErr w:type="gramEnd"/>
      <w:r w:rsidRPr="00F66FE4" w:rsidR="006B7137">
        <w:rPr>
          <w:rFonts w:ascii="Arial" w:hAnsi="Arial" w:cs="Arial"/>
          <w:sz w:val="22"/>
          <w:shd w:val="clear" w:color="auto" w:fill="FFFFFF"/>
          <w:lang w:val="es-ES"/>
        </w:rPr>
        <w:t xml:space="preserve"> Resoluciones 044 de 2020</w:t>
      </w:r>
      <w:r w:rsidRPr="00F66FE4" w:rsidR="00FB05F4">
        <w:rPr>
          <w:rFonts w:ascii="Arial" w:hAnsi="Arial" w:cs="Arial"/>
          <w:sz w:val="22"/>
          <w:shd w:val="clear" w:color="auto" w:fill="FFFFFF"/>
          <w:lang w:val="es-ES"/>
        </w:rPr>
        <w:t xml:space="preserve"> y 241 de 2020 </w:t>
      </w:r>
      <w:r w:rsidR="00182291">
        <w:rPr>
          <w:rFonts w:ascii="Arial" w:hAnsi="Arial" w:cs="Arial"/>
          <w:sz w:val="22"/>
          <w:shd w:val="clear" w:color="auto" w:fill="FFFFFF"/>
          <w:lang w:val="es-ES"/>
        </w:rPr>
        <w:t xml:space="preserve">se adoptaron </w:t>
      </w:r>
      <w:r w:rsidRPr="00F66FE4" w:rsidR="00FB05F4">
        <w:rPr>
          <w:rFonts w:ascii="Arial" w:hAnsi="Arial" w:cs="Arial"/>
          <w:sz w:val="22"/>
          <w:shd w:val="clear" w:color="auto" w:fill="FFFFFF"/>
          <w:lang w:val="es-ES"/>
        </w:rPr>
        <w:t>las versiones 1 y 2 de los documentos tipo de los procedimientos de selección abreviada de menor cuantía, así como la Resolución</w:t>
      </w:r>
      <w:r w:rsidRPr="00F66FE4" w:rsidR="006B7137">
        <w:rPr>
          <w:rFonts w:ascii="Arial" w:hAnsi="Arial" w:cs="Arial"/>
          <w:sz w:val="22"/>
          <w:shd w:val="clear" w:color="auto" w:fill="FFFFFF"/>
          <w:lang w:val="es-ES"/>
        </w:rPr>
        <w:t xml:space="preserve"> 594 de 2020 para los </w:t>
      </w:r>
      <w:r w:rsidRPr="00F66FE4" w:rsidR="00FB05F4">
        <w:rPr>
          <w:rFonts w:ascii="Arial" w:hAnsi="Arial" w:cs="Arial"/>
          <w:sz w:val="22"/>
          <w:shd w:val="clear" w:color="auto" w:fill="FFFFFF"/>
          <w:lang w:val="es-ES"/>
        </w:rPr>
        <w:t>procedimientos de</w:t>
      </w:r>
      <w:r w:rsidRPr="00F66FE4" w:rsidR="006B7137">
        <w:rPr>
          <w:rFonts w:ascii="Arial" w:hAnsi="Arial" w:cs="Arial"/>
          <w:sz w:val="22"/>
          <w:shd w:val="clear" w:color="auto" w:fill="FFFFFF"/>
          <w:lang w:val="es-ES"/>
        </w:rPr>
        <w:t xml:space="preserve"> mínima cu</w:t>
      </w:r>
      <w:r w:rsidRPr="00F66FE4" w:rsidR="00D75B37">
        <w:rPr>
          <w:rFonts w:ascii="Arial" w:hAnsi="Arial" w:cs="Arial"/>
          <w:sz w:val="22"/>
          <w:shd w:val="clear" w:color="auto" w:fill="FFFFFF"/>
          <w:lang w:val="es-ES"/>
        </w:rPr>
        <w:t>a</w:t>
      </w:r>
      <w:r w:rsidRPr="00F66FE4" w:rsidR="006B7137">
        <w:rPr>
          <w:rFonts w:ascii="Arial" w:hAnsi="Arial" w:cs="Arial"/>
          <w:sz w:val="22"/>
          <w:shd w:val="clear" w:color="auto" w:fill="FFFFFF"/>
          <w:lang w:val="es-ES"/>
        </w:rPr>
        <w:t>ntía.</w:t>
      </w:r>
      <w:r w:rsidRPr="00F66FE4" w:rsidR="00D75B37">
        <w:rPr>
          <w:rFonts w:ascii="Arial" w:hAnsi="Arial" w:cs="Arial"/>
          <w:sz w:val="22"/>
          <w:shd w:val="clear" w:color="auto" w:fill="FFFFFF"/>
          <w:lang w:val="es-ES"/>
        </w:rPr>
        <w:t xml:space="preserve"> </w:t>
      </w:r>
    </w:p>
    <w:p w:rsidRPr="00F66FE4" w:rsidR="00980F2D" w:rsidP="00D75B37" w:rsidRDefault="00980F2D" w14:paraId="48F72ECB" w14:textId="38E6164A">
      <w:pPr>
        <w:spacing w:before="120" w:line="276" w:lineRule="auto"/>
        <w:ind w:firstLine="708"/>
        <w:jc w:val="both"/>
        <w:rPr>
          <w:rFonts w:ascii="Arial" w:hAnsi="Arial" w:cs="Arial"/>
          <w:sz w:val="22"/>
          <w:shd w:val="clear" w:color="auto" w:fill="FFFFFF"/>
          <w:lang w:val="es-ES"/>
        </w:rPr>
      </w:pPr>
      <w:r>
        <w:rPr>
          <w:rFonts w:ascii="Arial" w:hAnsi="Arial" w:cs="Arial"/>
          <w:sz w:val="22"/>
          <w:shd w:val="clear" w:color="auto" w:fill="FFFFFF"/>
          <w:lang w:val="es-ES"/>
        </w:rPr>
        <w:t>Sin perjuicio de lo anterior, debe tenerse en cuenta que en relación con los documentos tipo expedidos o actualizados luego de la vigencia de la Ley 2022 de 2020, el fundamento de la inalterabilidad de su contenido se deriva de lo establecido en la ley y particularmente lo prescrito en cada una de las resoluciones que adoptan los documentos tipo</w:t>
      </w:r>
      <w:r>
        <w:rPr>
          <w:rFonts w:ascii="Arial" w:hAnsi="Arial" w:eastAsia="Calibri" w:cs="Arial"/>
          <w:noProof/>
          <w:sz w:val="22"/>
          <w:lang w:val="es-ES_tradnl"/>
        </w:rPr>
        <w:t>. En tal sent</w:t>
      </w:r>
      <w:r w:rsidR="00182291">
        <w:rPr>
          <w:rFonts w:ascii="Arial" w:hAnsi="Arial" w:eastAsia="Calibri" w:cs="Arial"/>
          <w:noProof/>
          <w:sz w:val="22"/>
          <w:lang w:val="es-ES_tradnl"/>
        </w:rPr>
        <w:t>i</w:t>
      </w:r>
      <w:r>
        <w:rPr>
          <w:rFonts w:ascii="Arial" w:hAnsi="Arial" w:eastAsia="Calibri" w:cs="Arial"/>
          <w:noProof/>
          <w:sz w:val="22"/>
          <w:lang w:val="es-ES_tradnl"/>
        </w:rPr>
        <w:t>do, en relación con los documentos tipo de obra de infrae</w:t>
      </w:r>
      <w:r w:rsidR="00182291">
        <w:rPr>
          <w:rFonts w:ascii="Arial" w:hAnsi="Arial" w:eastAsia="Calibri" w:cs="Arial"/>
          <w:noProof/>
          <w:sz w:val="22"/>
          <w:lang w:val="es-ES_tradnl"/>
        </w:rPr>
        <w:t>s</w:t>
      </w:r>
      <w:r>
        <w:rPr>
          <w:rFonts w:ascii="Arial" w:hAnsi="Arial" w:eastAsia="Calibri" w:cs="Arial"/>
          <w:noProof/>
          <w:sz w:val="22"/>
          <w:lang w:val="es-ES_tradnl"/>
        </w:rPr>
        <w:t>tru</w:t>
      </w:r>
      <w:r w:rsidR="00182291">
        <w:rPr>
          <w:rFonts w:ascii="Arial" w:hAnsi="Arial" w:eastAsia="Calibri" w:cs="Arial"/>
          <w:noProof/>
          <w:sz w:val="22"/>
          <w:lang w:val="es-ES_tradnl"/>
        </w:rPr>
        <w:t>c</w:t>
      </w:r>
      <w:r>
        <w:rPr>
          <w:rFonts w:ascii="Arial" w:hAnsi="Arial" w:eastAsia="Calibri" w:cs="Arial"/>
          <w:noProof/>
          <w:sz w:val="22"/>
          <w:lang w:val="es-ES_tradnl"/>
        </w:rPr>
        <w:t>tura de transporte en la modalidad de licitación –Versión 3– y selección abreviada –Versión 2–, en las resoluciones m</w:t>
      </w:r>
      <w:r w:rsidR="00F5475F">
        <w:rPr>
          <w:rFonts w:ascii="Arial" w:hAnsi="Arial" w:eastAsia="Calibri" w:cs="Arial"/>
          <w:noProof/>
          <w:sz w:val="22"/>
          <w:lang w:val="es-ES_tradnl"/>
        </w:rPr>
        <w:t>e</w:t>
      </w:r>
      <w:r>
        <w:rPr>
          <w:rFonts w:ascii="Arial" w:hAnsi="Arial" w:eastAsia="Calibri" w:cs="Arial"/>
          <w:noProof/>
          <w:sz w:val="22"/>
          <w:lang w:val="es-ES_tradnl"/>
        </w:rPr>
        <w:t>di</w:t>
      </w:r>
      <w:r w:rsidR="00F5475F">
        <w:rPr>
          <w:rFonts w:ascii="Arial" w:hAnsi="Arial" w:eastAsia="Calibri" w:cs="Arial"/>
          <w:noProof/>
          <w:sz w:val="22"/>
          <w:lang w:val="es-ES_tradnl"/>
        </w:rPr>
        <w:t>ante</w:t>
      </w:r>
      <w:r>
        <w:rPr>
          <w:rFonts w:ascii="Arial" w:hAnsi="Arial" w:eastAsia="Calibri" w:cs="Arial"/>
          <w:noProof/>
          <w:sz w:val="22"/>
          <w:lang w:val="es-ES_tradnl"/>
        </w:rPr>
        <w:t xml:space="preserve"> las cuales se adoptan estos documentos tipo, en</w:t>
      </w:r>
      <w:r w:rsidRPr="00D3498F">
        <w:rPr>
          <w:rFonts w:ascii="Arial" w:hAnsi="Arial" w:eastAsia="Calibri" w:cs="Arial"/>
          <w:noProof/>
          <w:sz w:val="22"/>
          <w:lang w:val="es-ES_tradnl"/>
        </w:rPr>
        <w:t xml:space="preserve"> sus  artículos 2 y 3 </w:t>
      </w:r>
      <w:r>
        <w:rPr>
          <w:rFonts w:ascii="Arial" w:hAnsi="Arial" w:eastAsia="Calibri" w:cs="Arial"/>
          <w:noProof/>
          <w:sz w:val="22"/>
          <w:lang w:val="es-ES_tradnl"/>
        </w:rPr>
        <w:t xml:space="preserve">reiteran </w:t>
      </w:r>
      <w:r w:rsidRPr="00D3498F">
        <w:rPr>
          <w:rFonts w:ascii="Arial" w:hAnsi="Arial" w:eastAsia="Calibri" w:cs="Arial"/>
          <w:noProof/>
          <w:sz w:val="22"/>
          <w:lang w:val="es-ES_tradnl"/>
        </w:rPr>
        <w:t>la obligatoriedad de los parámetros contenidos en los mismos y su inalterabilidad</w:t>
      </w:r>
      <w:r w:rsidRPr="00D3498F">
        <w:rPr>
          <w:rFonts w:ascii="Arial" w:hAnsi="Arial" w:eastAsia="Calibri" w:cs="Arial"/>
          <w:color w:val="000000"/>
          <w:sz w:val="22"/>
          <w:shd w:val="clear" w:color="auto" w:fill="FFFFFF"/>
          <w:vertAlign w:val="superscript"/>
        </w:rPr>
        <w:footnoteReference w:id="4"/>
      </w:r>
      <w:r w:rsidRPr="00D3498F">
        <w:rPr>
          <w:rFonts w:ascii="Arial" w:hAnsi="Arial" w:eastAsia="Calibri" w:cs="Arial"/>
          <w:color w:val="000000"/>
          <w:sz w:val="22"/>
          <w:shd w:val="clear" w:color="auto" w:fill="FFFFFF"/>
        </w:rPr>
        <w:t xml:space="preserve">, </w:t>
      </w:r>
      <w:r w:rsidRPr="00D3498F">
        <w:rPr>
          <w:rFonts w:ascii="Arial" w:hAnsi="Arial" w:eastAsia="Calibri" w:cs="Arial"/>
          <w:noProof/>
          <w:sz w:val="22"/>
          <w:lang w:val="es-ES_tradnl"/>
        </w:rPr>
        <w:t>de modo que es deber de las entidades sometidas al Estatuto General de la Contratación de la Administración Pública utilizar los Documentos Tipo en los procesos de selección que adelanten</w:t>
      </w:r>
      <w:r w:rsidR="00F5475F">
        <w:rPr>
          <w:rFonts w:ascii="Arial" w:hAnsi="Arial" w:eastAsia="Calibri" w:cs="Arial"/>
          <w:noProof/>
          <w:sz w:val="22"/>
          <w:lang w:val="es-ES_tradnl"/>
        </w:rPr>
        <w:t>. Por ello, las entidades</w:t>
      </w:r>
      <w:r w:rsidRPr="00D3498F">
        <w:rPr>
          <w:rFonts w:ascii="Arial" w:hAnsi="Arial" w:eastAsia="Calibri" w:cs="Arial"/>
          <w:noProof/>
          <w:sz w:val="22"/>
          <w:lang w:val="es-ES_tradnl"/>
        </w:rPr>
        <w:t xml:space="preserve"> quedan vedadas de la posibilidad de efectuar modificaciones a las condiciones habilitantes, factores de escogencia y sistemas de ponderación contenidos en los mismos, por lo que solo podrán realizar modifi</w:t>
      </w:r>
      <w:r>
        <w:rPr>
          <w:rFonts w:ascii="Arial" w:hAnsi="Arial" w:eastAsia="Calibri" w:cs="Arial"/>
          <w:noProof/>
          <w:sz w:val="22"/>
          <w:lang w:val="es-ES_tradnl"/>
        </w:rPr>
        <w:t>c</w:t>
      </w:r>
      <w:r w:rsidRPr="00D3498F">
        <w:rPr>
          <w:rFonts w:ascii="Arial" w:hAnsi="Arial" w:eastAsia="Calibri" w:cs="Arial"/>
          <w:noProof/>
          <w:sz w:val="22"/>
          <w:lang w:val="es-ES_tradnl"/>
        </w:rPr>
        <w:t>aciones en los lugares en que expresamente lo establezcan los Documentos Tipo.</w:t>
      </w:r>
    </w:p>
    <w:p w:rsidRPr="00F66FE4" w:rsidR="00152C0B" w:rsidP="00D34B7E" w:rsidRDefault="003A4CEB" w14:paraId="2780FE28" w14:textId="6DF1E9A0">
      <w:pPr>
        <w:spacing w:before="120" w:line="276" w:lineRule="auto"/>
        <w:ind w:firstLine="708"/>
        <w:jc w:val="both"/>
        <w:rPr>
          <w:rFonts w:ascii="Arial" w:hAnsi="Arial" w:cs="Arial"/>
          <w:sz w:val="22"/>
          <w:shd w:val="clear" w:color="auto" w:fill="FFFFFF"/>
          <w:lang w:val="es-ES"/>
        </w:rPr>
      </w:pPr>
      <w:r w:rsidRPr="00F66FE4">
        <w:rPr>
          <w:rFonts w:ascii="Arial" w:hAnsi="Arial" w:cs="Arial"/>
          <w:sz w:val="22"/>
          <w:shd w:val="clear" w:color="auto" w:fill="FFFFFF"/>
          <w:lang w:val="es-ES"/>
        </w:rPr>
        <w:t>Ahora bien</w:t>
      </w:r>
      <w:r w:rsidRPr="00F66FE4" w:rsidR="001A23B6">
        <w:rPr>
          <w:rFonts w:ascii="Arial" w:hAnsi="Arial" w:cs="Arial"/>
          <w:sz w:val="22"/>
          <w:shd w:val="clear" w:color="auto" w:fill="FFFFFF"/>
          <w:lang w:val="es-ES"/>
        </w:rPr>
        <w:t xml:space="preserve">, </w:t>
      </w:r>
      <w:r w:rsidRPr="00F66FE4" w:rsidR="00D34B7E">
        <w:rPr>
          <w:rFonts w:ascii="Arial" w:hAnsi="Arial" w:cs="Arial"/>
          <w:sz w:val="22"/>
          <w:shd w:val="clear" w:color="auto" w:fill="FFFFFF"/>
          <w:lang w:val="es-ES"/>
        </w:rPr>
        <w:t xml:space="preserve">el ámbito de aplicación de </w:t>
      </w:r>
      <w:r w:rsidRPr="00F66FE4" w:rsidR="001A23B6">
        <w:rPr>
          <w:rFonts w:ascii="Arial" w:hAnsi="Arial" w:cs="Arial"/>
          <w:sz w:val="22"/>
          <w:shd w:val="clear" w:color="auto" w:fill="FFFFFF"/>
          <w:lang w:val="es-ES"/>
        </w:rPr>
        <w:t xml:space="preserve">los Documentos Tipo de obra pública de infraestructura de transporte, en primer lugar, está determinado por la modalidad de </w:t>
      </w:r>
      <w:r w:rsidRPr="00F66FE4" w:rsidR="001A23B6">
        <w:rPr>
          <w:rFonts w:ascii="Arial" w:hAnsi="Arial" w:cs="Arial"/>
          <w:sz w:val="22"/>
          <w:shd w:val="clear" w:color="auto" w:fill="FFFFFF"/>
          <w:lang w:val="es-ES"/>
        </w:rPr>
        <w:lastRenderedPageBreak/>
        <w:t xml:space="preserve">selección procedente, </w:t>
      </w:r>
      <w:r w:rsidR="0087330A">
        <w:rPr>
          <w:rFonts w:ascii="Arial" w:hAnsi="Arial" w:cs="Arial"/>
          <w:sz w:val="22"/>
          <w:shd w:val="clear" w:color="auto" w:fill="FFFFFF"/>
          <w:lang w:val="es-ES"/>
        </w:rPr>
        <w:t xml:space="preserve">pues </w:t>
      </w:r>
      <w:r w:rsidRPr="00F66FE4" w:rsidR="001A23B6">
        <w:rPr>
          <w:rFonts w:ascii="Arial" w:hAnsi="Arial" w:cs="Arial"/>
          <w:sz w:val="22"/>
          <w:shd w:val="clear" w:color="auto" w:fill="FFFFFF"/>
          <w:lang w:val="es-ES"/>
        </w:rPr>
        <w:t>dependiendo de si el proceso de contratación es de licitación pública, selección abreviada de menor cuantía o mínima cuantía, deberán aplicarse lo</w:t>
      </w:r>
      <w:r w:rsidRPr="00F66FE4" w:rsidR="00551E9F">
        <w:rPr>
          <w:rFonts w:ascii="Arial" w:hAnsi="Arial" w:cs="Arial"/>
          <w:sz w:val="22"/>
          <w:shd w:val="clear" w:color="auto" w:fill="FFFFFF"/>
          <w:lang w:val="es-ES"/>
        </w:rPr>
        <w:t>s</w:t>
      </w:r>
      <w:r w:rsidRPr="00F66FE4" w:rsidR="001A23B6">
        <w:rPr>
          <w:rFonts w:ascii="Arial" w:hAnsi="Arial" w:cs="Arial"/>
          <w:sz w:val="22"/>
          <w:shd w:val="clear" w:color="auto" w:fill="FFFFFF"/>
          <w:lang w:val="es-ES"/>
        </w:rPr>
        <w:t xml:space="preserve"> </w:t>
      </w:r>
      <w:r w:rsidRPr="00F66FE4" w:rsidR="00830D1A">
        <w:rPr>
          <w:rFonts w:ascii="Arial" w:hAnsi="Arial" w:cs="Arial"/>
          <w:sz w:val="22"/>
          <w:shd w:val="clear" w:color="auto" w:fill="FFFFFF"/>
          <w:lang w:val="es-ES"/>
        </w:rPr>
        <w:t>d</w:t>
      </w:r>
      <w:r w:rsidRPr="00F66FE4" w:rsidR="001A23B6">
        <w:rPr>
          <w:rFonts w:ascii="Arial" w:hAnsi="Arial" w:cs="Arial"/>
          <w:sz w:val="22"/>
          <w:shd w:val="clear" w:color="auto" w:fill="FFFFFF"/>
          <w:lang w:val="es-ES"/>
        </w:rPr>
        <w:t xml:space="preserve">ocumentos </w:t>
      </w:r>
      <w:r w:rsidRPr="00F66FE4" w:rsidR="00830D1A">
        <w:rPr>
          <w:rFonts w:ascii="Arial" w:hAnsi="Arial" w:cs="Arial"/>
          <w:sz w:val="22"/>
          <w:shd w:val="clear" w:color="auto" w:fill="FFFFFF"/>
          <w:lang w:val="es-ES"/>
        </w:rPr>
        <w:t>t</w:t>
      </w:r>
      <w:r w:rsidRPr="00F66FE4" w:rsidR="001A23B6">
        <w:rPr>
          <w:rFonts w:ascii="Arial" w:hAnsi="Arial" w:cs="Arial"/>
          <w:sz w:val="22"/>
          <w:shd w:val="clear" w:color="auto" w:fill="FFFFFF"/>
          <w:lang w:val="es-ES"/>
        </w:rPr>
        <w:t xml:space="preserve">ipo adoptados por las </w:t>
      </w:r>
      <w:r w:rsidRPr="00F66FE4" w:rsidR="00830D1A">
        <w:rPr>
          <w:rFonts w:ascii="Arial" w:hAnsi="Arial" w:cs="Arial"/>
          <w:sz w:val="22"/>
          <w:shd w:val="clear" w:color="auto" w:fill="FFFFFF"/>
          <w:lang w:val="es-ES"/>
        </w:rPr>
        <w:t>r</w:t>
      </w:r>
      <w:r w:rsidRPr="00F66FE4" w:rsidR="001A23B6">
        <w:rPr>
          <w:rFonts w:ascii="Arial" w:hAnsi="Arial" w:cs="Arial"/>
          <w:sz w:val="22"/>
          <w:shd w:val="clear" w:color="auto" w:fill="FFFFFF"/>
          <w:lang w:val="es-ES"/>
        </w:rPr>
        <w:t>esoluciones Nos. 045 de 2020</w:t>
      </w:r>
      <w:r w:rsidRPr="00F66FE4" w:rsidR="004C7E95">
        <w:rPr>
          <w:rStyle w:val="Refdenotaalpie"/>
          <w:rFonts w:ascii="Arial" w:hAnsi="Arial" w:cs="Arial"/>
          <w:sz w:val="22"/>
          <w:shd w:val="clear" w:color="auto" w:fill="FFFFFF"/>
          <w:lang w:val="es-ES"/>
        </w:rPr>
        <w:footnoteReference w:id="5"/>
      </w:r>
      <w:r w:rsidRPr="00F66FE4" w:rsidR="001A23B6">
        <w:rPr>
          <w:rFonts w:ascii="Arial" w:hAnsi="Arial" w:cs="Arial"/>
          <w:sz w:val="22"/>
          <w:shd w:val="clear" w:color="auto" w:fill="FFFFFF"/>
          <w:lang w:val="es-ES"/>
        </w:rPr>
        <w:t>, 044 de 2020</w:t>
      </w:r>
      <w:r w:rsidRPr="00F66FE4" w:rsidR="00E1090A">
        <w:rPr>
          <w:rStyle w:val="Refdenotaalpie"/>
          <w:rFonts w:ascii="Arial" w:hAnsi="Arial" w:cs="Arial"/>
          <w:sz w:val="22"/>
          <w:shd w:val="clear" w:color="auto" w:fill="FFFFFF"/>
          <w:lang w:val="es-ES"/>
        </w:rPr>
        <w:footnoteReference w:id="6"/>
      </w:r>
      <w:r w:rsidRPr="00F66FE4" w:rsidR="001A23B6">
        <w:rPr>
          <w:rFonts w:ascii="Arial" w:hAnsi="Arial" w:cs="Arial"/>
          <w:sz w:val="22"/>
          <w:shd w:val="clear" w:color="auto" w:fill="FFFFFF"/>
          <w:lang w:val="es-ES"/>
        </w:rPr>
        <w:t xml:space="preserve"> o 094 de 2020, respectivamente.</w:t>
      </w:r>
    </w:p>
    <w:p w:rsidRPr="00F66FE4" w:rsidR="00D15BB2" w:rsidP="0090536D" w:rsidRDefault="009D260E" w14:paraId="2F111683" w14:textId="208E2350">
      <w:pPr>
        <w:spacing w:before="120" w:after="120" w:line="276" w:lineRule="auto"/>
        <w:ind w:firstLine="709"/>
        <w:jc w:val="both"/>
        <w:rPr>
          <w:rFonts w:ascii="Arial" w:hAnsi="Arial" w:cs="Arial"/>
          <w:sz w:val="22"/>
          <w:shd w:val="clear" w:color="auto" w:fill="FFFFFF"/>
          <w:lang w:val="es-ES"/>
        </w:rPr>
      </w:pPr>
      <w:r w:rsidRPr="00F66FE4">
        <w:rPr>
          <w:rFonts w:ascii="Arial" w:hAnsi="Arial" w:cs="Arial"/>
          <w:sz w:val="22"/>
          <w:shd w:val="clear" w:color="auto" w:fill="FFFFFF"/>
          <w:lang w:val="es-ES"/>
        </w:rPr>
        <w:t>En segundo lugar, para determinar si la entidad regida por el EGCAP está obligada a aplicar los documentos tipo para la respectiva contratación, habrá que determinar si el objeto a contratarse encuadra dentro de los tipos de obra y actividades establecidas dentro de la</w:t>
      </w:r>
      <w:r w:rsidRPr="00F66FE4" w:rsidR="009E5D4A">
        <w:rPr>
          <w:rFonts w:ascii="Arial" w:hAnsi="Arial" w:cs="Arial"/>
          <w:sz w:val="22"/>
          <w:shd w:val="clear" w:color="auto" w:fill="FFFFFF"/>
          <w:lang w:val="es-ES"/>
        </w:rPr>
        <w:t xml:space="preserve"> respectiva</w:t>
      </w:r>
      <w:r w:rsidRPr="00F66FE4">
        <w:rPr>
          <w:rFonts w:ascii="Arial" w:hAnsi="Arial" w:cs="Arial"/>
          <w:sz w:val="22"/>
          <w:shd w:val="clear" w:color="auto" w:fill="FFFFFF"/>
          <w:lang w:val="es-ES"/>
        </w:rPr>
        <w:t xml:space="preserve"> Matriz 1</w:t>
      </w:r>
      <w:r w:rsidRPr="00F66FE4" w:rsidR="009E5D4A">
        <w:rPr>
          <w:rFonts w:ascii="Arial" w:hAnsi="Arial" w:cs="Arial"/>
          <w:sz w:val="22"/>
          <w:shd w:val="clear" w:color="auto" w:fill="FFFFFF"/>
          <w:lang w:val="es-ES"/>
        </w:rPr>
        <w:t xml:space="preserve">, documento </w:t>
      </w:r>
      <w:r w:rsidRPr="00F66FE4" w:rsidR="00FA04C6">
        <w:rPr>
          <w:rFonts w:ascii="Arial" w:hAnsi="Arial" w:cs="Arial"/>
          <w:sz w:val="22"/>
          <w:shd w:val="clear" w:color="auto" w:fill="FFFFFF"/>
          <w:lang w:val="es-ES"/>
        </w:rPr>
        <w:t>que además estandariza los requisitos de experiencia exigibles para cada uno de los objetos contractuales que deben contratarse aplicando Documentos Tipo</w:t>
      </w:r>
      <w:r w:rsidR="001E5E40">
        <w:rPr>
          <w:rStyle w:val="Refdenotaalpie"/>
          <w:rFonts w:ascii="Arial" w:hAnsi="Arial" w:cs="Arial"/>
          <w:sz w:val="22"/>
          <w:shd w:val="clear" w:color="auto" w:fill="FFFFFF"/>
          <w:lang w:val="es-ES"/>
        </w:rPr>
        <w:footnoteReference w:id="7"/>
      </w:r>
      <w:r w:rsidRPr="00F66FE4">
        <w:rPr>
          <w:rFonts w:ascii="Arial" w:hAnsi="Arial" w:cs="Arial"/>
          <w:sz w:val="22"/>
          <w:shd w:val="clear" w:color="auto" w:fill="FFFFFF"/>
          <w:lang w:val="es-ES"/>
        </w:rPr>
        <w:t>. En tal sentido, la entidad</w:t>
      </w:r>
      <w:r w:rsidRPr="00F66FE4" w:rsidR="00EA1EE0">
        <w:rPr>
          <w:rFonts w:ascii="Arial" w:hAnsi="Arial" w:cs="Arial"/>
          <w:sz w:val="22"/>
          <w:shd w:val="clear" w:color="auto" w:fill="FFFFFF"/>
          <w:lang w:val="es-ES"/>
        </w:rPr>
        <w:t xml:space="preserve"> </w:t>
      </w:r>
      <w:r w:rsidRPr="00F66FE4">
        <w:rPr>
          <w:rFonts w:ascii="Arial" w:hAnsi="Arial" w:cs="Arial"/>
          <w:sz w:val="22"/>
          <w:shd w:val="clear" w:color="auto" w:fill="FFFFFF"/>
          <w:lang w:val="es-ES"/>
        </w:rPr>
        <w:t>asociar</w:t>
      </w:r>
      <w:r w:rsidRPr="00F66FE4" w:rsidR="00430C09">
        <w:rPr>
          <w:rFonts w:ascii="Arial" w:hAnsi="Arial" w:cs="Arial"/>
          <w:sz w:val="22"/>
          <w:shd w:val="clear" w:color="auto" w:fill="FFFFFF"/>
          <w:lang w:val="es-ES"/>
        </w:rPr>
        <w:t>á</w:t>
      </w:r>
      <w:r w:rsidRPr="00F66FE4">
        <w:rPr>
          <w:rFonts w:ascii="Arial" w:hAnsi="Arial" w:cs="Arial"/>
          <w:sz w:val="22"/>
          <w:shd w:val="clear" w:color="auto" w:fill="FFFFFF"/>
          <w:lang w:val="es-ES"/>
        </w:rPr>
        <w:t xml:space="preserve"> el objeto contractual a uno de los </w:t>
      </w:r>
      <w:r w:rsidR="00CD7BB6">
        <w:rPr>
          <w:rFonts w:ascii="Arial" w:hAnsi="Arial" w:cs="Arial"/>
          <w:sz w:val="22"/>
          <w:shd w:val="clear" w:color="auto" w:fill="FFFFFF"/>
          <w:lang w:val="es-ES"/>
        </w:rPr>
        <w:t>«</w:t>
      </w:r>
      <w:r w:rsidRPr="00F66FE4">
        <w:rPr>
          <w:rFonts w:ascii="Arial" w:hAnsi="Arial" w:cs="Arial"/>
          <w:sz w:val="22"/>
          <w:shd w:val="clear" w:color="auto" w:fill="FFFFFF"/>
          <w:lang w:val="es-ES"/>
        </w:rPr>
        <w:t xml:space="preserve">tipos de </w:t>
      </w:r>
      <w:r w:rsidRPr="00F66FE4" w:rsidR="00EA1EE0">
        <w:rPr>
          <w:rFonts w:ascii="Arial" w:hAnsi="Arial" w:cs="Arial"/>
          <w:sz w:val="22"/>
          <w:shd w:val="clear" w:color="auto" w:fill="FFFFFF"/>
          <w:lang w:val="es-ES"/>
        </w:rPr>
        <w:t>obra</w:t>
      </w:r>
      <w:r w:rsidR="00CD7BB6">
        <w:rPr>
          <w:rFonts w:ascii="Arial" w:hAnsi="Arial" w:cs="Arial"/>
          <w:sz w:val="22"/>
          <w:shd w:val="clear" w:color="auto" w:fill="FFFFFF"/>
          <w:lang w:val="es-ES"/>
        </w:rPr>
        <w:t>»</w:t>
      </w:r>
      <w:r w:rsidRPr="00F66FE4" w:rsidR="00EA1EE0">
        <w:rPr>
          <w:rFonts w:ascii="Arial" w:hAnsi="Arial" w:cs="Arial"/>
          <w:sz w:val="22"/>
          <w:shd w:val="clear" w:color="auto" w:fill="FFFFFF"/>
          <w:lang w:val="es-ES"/>
        </w:rPr>
        <w:t xml:space="preserve"> de </w:t>
      </w:r>
      <w:r w:rsidRPr="00F66FE4">
        <w:rPr>
          <w:rFonts w:ascii="Arial" w:hAnsi="Arial" w:cs="Arial"/>
          <w:sz w:val="22"/>
          <w:shd w:val="clear" w:color="auto" w:fill="FFFFFF"/>
          <w:lang w:val="es-ES"/>
        </w:rPr>
        <w:t xml:space="preserve">infraestructura de transporte </w:t>
      </w:r>
      <w:r w:rsidRPr="00F66FE4" w:rsidR="002344F1">
        <w:rPr>
          <w:rFonts w:ascii="Arial" w:hAnsi="Arial" w:cs="Arial"/>
          <w:sz w:val="22"/>
          <w:shd w:val="clear" w:color="auto" w:fill="FFFFFF"/>
          <w:lang w:val="es-ES"/>
        </w:rPr>
        <w:t>relacionados</w:t>
      </w:r>
      <w:r w:rsidRPr="00F66FE4">
        <w:rPr>
          <w:rFonts w:ascii="Arial" w:hAnsi="Arial" w:cs="Arial"/>
          <w:sz w:val="22"/>
          <w:shd w:val="clear" w:color="auto" w:fill="FFFFFF"/>
          <w:lang w:val="es-ES"/>
        </w:rPr>
        <w:t xml:space="preserve"> en la Matriz 1, y establecer</w:t>
      </w:r>
      <w:r w:rsidRPr="00F66FE4" w:rsidR="00430C09">
        <w:rPr>
          <w:rFonts w:ascii="Arial" w:hAnsi="Arial" w:cs="Arial"/>
          <w:sz w:val="22"/>
          <w:shd w:val="clear" w:color="auto" w:fill="FFFFFF"/>
          <w:lang w:val="es-ES"/>
        </w:rPr>
        <w:t>á</w:t>
      </w:r>
      <w:r w:rsidRPr="00F66FE4">
        <w:rPr>
          <w:rFonts w:ascii="Arial" w:hAnsi="Arial" w:cs="Arial"/>
          <w:sz w:val="22"/>
          <w:shd w:val="clear" w:color="auto" w:fill="FFFFFF"/>
          <w:lang w:val="es-ES"/>
        </w:rPr>
        <w:t xml:space="preserve"> si las </w:t>
      </w:r>
      <w:r w:rsidR="00CD7BB6">
        <w:rPr>
          <w:rFonts w:ascii="Arial" w:hAnsi="Arial" w:cs="Arial"/>
          <w:sz w:val="22"/>
          <w:shd w:val="clear" w:color="auto" w:fill="FFFFFF"/>
          <w:lang w:val="es-ES"/>
        </w:rPr>
        <w:t>«</w:t>
      </w:r>
      <w:r w:rsidRPr="00F66FE4">
        <w:rPr>
          <w:rFonts w:ascii="Arial" w:hAnsi="Arial" w:cs="Arial"/>
          <w:sz w:val="22"/>
          <w:shd w:val="clear" w:color="auto" w:fill="FFFFFF"/>
          <w:lang w:val="es-ES"/>
        </w:rPr>
        <w:t>actividades</w:t>
      </w:r>
      <w:r w:rsidR="00CD7BB6">
        <w:rPr>
          <w:rFonts w:ascii="Arial" w:hAnsi="Arial" w:cs="Arial"/>
          <w:sz w:val="22"/>
          <w:shd w:val="clear" w:color="auto" w:fill="FFFFFF"/>
          <w:lang w:val="es-ES"/>
        </w:rPr>
        <w:t>»</w:t>
      </w:r>
      <w:r w:rsidRPr="00F66FE4">
        <w:rPr>
          <w:rFonts w:ascii="Arial" w:hAnsi="Arial" w:cs="Arial"/>
          <w:sz w:val="22"/>
          <w:shd w:val="clear" w:color="auto" w:fill="FFFFFF"/>
          <w:lang w:val="es-ES"/>
        </w:rPr>
        <w:t xml:space="preserve"> a desarrollar corresponden a alguna de las señaladas para el correspondiente tipo de infraestructura. </w:t>
      </w:r>
      <w:r w:rsidRPr="00F66FE4" w:rsidR="006D75A5">
        <w:rPr>
          <w:rFonts w:ascii="Arial" w:hAnsi="Arial" w:cs="Arial"/>
          <w:sz w:val="22"/>
          <w:shd w:val="clear" w:color="auto" w:fill="FFFFFF"/>
          <w:lang w:val="es-ES"/>
        </w:rPr>
        <w:t xml:space="preserve">De </w:t>
      </w:r>
      <w:r w:rsidRPr="00F66FE4" w:rsidR="00FE2DD2">
        <w:rPr>
          <w:rFonts w:ascii="Arial" w:hAnsi="Arial" w:cs="Arial"/>
          <w:sz w:val="22"/>
          <w:shd w:val="clear" w:color="auto" w:fill="FFFFFF"/>
          <w:lang w:val="es-ES"/>
        </w:rPr>
        <w:t xml:space="preserve">estar contemplada la actividad </w:t>
      </w:r>
      <w:r w:rsidRPr="00F66FE4" w:rsidR="008E37B1">
        <w:rPr>
          <w:rFonts w:ascii="Arial" w:hAnsi="Arial" w:cs="Arial"/>
          <w:sz w:val="22"/>
          <w:shd w:val="clear" w:color="auto" w:fill="FFFFFF"/>
          <w:lang w:val="es-ES"/>
        </w:rPr>
        <w:t xml:space="preserve">a contratar </w:t>
      </w:r>
      <w:r w:rsidRPr="00F66FE4" w:rsidR="00FE2DD2">
        <w:rPr>
          <w:rFonts w:ascii="Arial" w:hAnsi="Arial" w:cs="Arial"/>
          <w:sz w:val="22"/>
          <w:shd w:val="clear" w:color="auto" w:fill="FFFFFF"/>
          <w:lang w:val="es-ES"/>
        </w:rPr>
        <w:t xml:space="preserve">en la Matriz 1, deberán </w:t>
      </w:r>
      <w:r w:rsidRPr="00F66FE4" w:rsidR="008E37B1">
        <w:rPr>
          <w:rFonts w:ascii="Arial" w:hAnsi="Arial" w:cs="Arial"/>
          <w:sz w:val="22"/>
          <w:shd w:val="clear" w:color="auto" w:fill="FFFFFF"/>
          <w:lang w:val="es-ES"/>
        </w:rPr>
        <w:t>emplearse</w:t>
      </w:r>
      <w:r w:rsidRPr="00F66FE4" w:rsidR="00FE2DD2">
        <w:rPr>
          <w:rFonts w:ascii="Arial" w:hAnsi="Arial" w:cs="Arial"/>
          <w:sz w:val="22"/>
          <w:shd w:val="clear" w:color="auto" w:fill="FFFFFF"/>
          <w:lang w:val="es-ES"/>
        </w:rPr>
        <w:t xml:space="preserve"> los </w:t>
      </w:r>
      <w:r w:rsidRPr="00F66FE4" w:rsidR="00194DD5">
        <w:rPr>
          <w:rFonts w:ascii="Arial" w:hAnsi="Arial" w:cs="Arial"/>
          <w:sz w:val="22"/>
          <w:shd w:val="clear" w:color="auto" w:fill="FFFFFF"/>
          <w:lang w:val="es-ES"/>
        </w:rPr>
        <w:t>d</w:t>
      </w:r>
      <w:r w:rsidRPr="00F66FE4" w:rsidR="00FE2DD2">
        <w:rPr>
          <w:rFonts w:ascii="Arial" w:hAnsi="Arial" w:cs="Arial"/>
          <w:sz w:val="22"/>
          <w:shd w:val="clear" w:color="auto" w:fill="FFFFFF"/>
          <w:lang w:val="es-ES"/>
        </w:rPr>
        <w:t>ocumento</w:t>
      </w:r>
      <w:r w:rsidRPr="00F66FE4" w:rsidR="0024059E">
        <w:rPr>
          <w:rFonts w:ascii="Arial" w:hAnsi="Arial" w:cs="Arial"/>
          <w:sz w:val="22"/>
          <w:shd w:val="clear" w:color="auto" w:fill="FFFFFF"/>
          <w:lang w:val="es-ES"/>
        </w:rPr>
        <w:t>s</w:t>
      </w:r>
      <w:r w:rsidRPr="00F66FE4" w:rsidR="00FE2DD2">
        <w:rPr>
          <w:rFonts w:ascii="Arial" w:hAnsi="Arial" w:cs="Arial"/>
          <w:sz w:val="22"/>
          <w:shd w:val="clear" w:color="auto" w:fill="FFFFFF"/>
          <w:lang w:val="es-ES"/>
        </w:rPr>
        <w:t xml:space="preserve"> </w:t>
      </w:r>
      <w:r w:rsidRPr="00F66FE4" w:rsidR="00194DD5">
        <w:rPr>
          <w:rFonts w:ascii="Arial" w:hAnsi="Arial" w:cs="Arial"/>
          <w:sz w:val="22"/>
          <w:shd w:val="clear" w:color="auto" w:fill="FFFFFF"/>
          <w:lang w:val="es-ES"/>
        </w:rPr>
        <w:t>t</w:t>
      </w:r>
      <w:r w:rsidRPr="00F66FE4" w:rsidR="00FE2DD2">
        <w:rPr>
          <w:rFonts w:ascii="Arial" w:hAnsi="Arial" w:cs="Arial"/>
          <w:sz w:val="22"/>
          <w:shd w:val="clear" w:color="auto" w:fill="FFFFFF"/>
          <w:lang w:val="es-ES"/>
        </w:rPr>
        <w:t>ipo</w:t>
      </w:r>
      <w:r w:rsidRPr="00F66FE4" w:rsidR="008E37B1">
        <w:rPr>
          <w:rFonts w:ascii="Arial" w:hAnsi="Arial" w:cs="Arial"/>
          <w:sz w:val="22"/>
          <w:shd w:val="clear" w:color="auto" w:fill="FFFFFF"/>
          <w:lang w:val="es-ES"/>
        </w:rPr>
        <w:t xml:space="preserve"> para el desarrollo del proceso de selección, y aplicarse los requisitos de experiencia </w:t>
      </w:r>
      <w:r w:rsidRPr="00F66FE4" w:rsidR="000A21A9">
        <w:rPr>
          <w:rFonts w:ascii="Arial" w:hAnsi="Arial" w:cs="Arial"/>
          <w:sz w:val="22"/>
          <w:shd w:val="clear" w:color="auto" w:fill="FFFFFF"/>
          <w:lang w:val="es-ES"/>
        </w:rPr>
        <w:t xml:space="preserve">establecidos para esta, de acuerdo </w:t>
      </w:r>
      <w:r w:rsidRPr="00F66FE4" w:rsidR="006453BB">
        <w:rPr>
          <w:rFonts w:ascii="Arial" w:hAnsi="Arial" w:cs="Arial"/>
          <w:sz w:val="22"/>
          <w:shd w:val="clear" w:color="auto" w:fill="FFFFFF"/>
          <w:lang w:val="es-ES"/>
        </w:rPr>
        <w:t>con</w:t>
      </w:r>
      <w:r w:rsidRPr="00F66FE4" w:rsidR="000F2A12">
        <w:rPr>
          <w:rFonts w:ascii="Arial" w:hAnsi="Arial" w:cs="Arial"/>
          <w:sz w:val="22"/>
          <w:shd w:val="clear" w:color="auto" w:fill="FFFFFF"/>
          <w:lang w:val="es-ES"/>
        </w:rPr>
        <w:t xml:space="preserve"> el </w:t>
      </w:r>
      <w:r w:rsidRPr="00F66FE4" w:rsidR="000A21A9">
        <w:rPr>
          <w:rFonts w:ascii="Arial" w:hAnsi="Arial" w:cs="Arial"/>
          <w:sz w:val="22"/>
          <w:shd w:val="clear" w:color="auto" w:fill="FFFFFF"/>
          <w:lang w:val="es-ES"/>
        </w:rPr>
        <w:t>rango</w:t>
      </w:r>
      <w:r w:rsidRPr="00F66FE4" w:rsidR="0018371B">
        <w:rPr>
          <w:rFonts w:ascii="Arial" w:hAnsi="Arial" w:cs="Arial"/>
          <w:sz w:val="22"/>
          <w:shd w:val="clear" w:color="auto" w:fill="FFFFFF"/>
          <w:lang w:val="es-ES"/>
        </w:rPr>
        <w:t xml:space="preserve"> en el que se encuentre la cuantía del proceso de contratación. </w:t>
      </w:r>
    </w:p>
    <w:p w:rsidRPr="00F66FE4" w:rsidR="00521C2C" w:rsidP="00512286" w:rsidRDefault="0090536D" w14:paraId="64A4F6C2" w14:textId="0CA2DF3F">
      <w:pPr>
        <w:tabs>
          <w:tab w:val="left" w:pos="426"/>
        </w:tabs>
        <w:spacing w:after="120" w:line="276" w:lineRule="auto"/>
        <w:jc w:val="both"/>
        <w:rPr>
          <w:rFonts w:ascii="Arial" w:hAnsi="Arial" w:cs="Arial"/>
          <w:sz w:val="22"/>
          <w:shd w:val="clear" w:color="auto" w:fill="FFFFFF"/>
          <w:lang w:val="es-ES"/>
        </w:rPr>
      </w:pPr>
      <w:r w:rsidRPr="00F66FE4">
        <w:rPr>
          <w:rFonts w:cstheme="minorHAnsi"/>
          <w:shd w:val="clear" w:color="auto" w:fill="FFFFFF"/>
          <w:lang w:val="es-ES"/>
        </w:rPr>
        <w:tab/>
      </w:r>
      <w:r w:rsidRPr="00F66FE4">
        <w:rPr>
          <w:rFonts w:cstheme="minorHAnsi"/>
          <w:shd w:val="clear" w:color="auto" w:fill="FFFFFF"/>
          <w:lang w:val="es-ES"/>
        </w:rPr>
        <w:tab/>
      </w:r>
      <w:r w:rsidRPr="00F66FE4" w:rsidR="00521C2C">
        <w:rPr>
          <w:rFonts w:ascii="Arial" w:hAnsi="Arial" w:cs="Arial"/>
          <w:sz w:val="22"/>
          <w:shd w:val="clear" w:color="auto" w:fill="FFFFFF"/>
          <w:lang w:val="es-ES"/>
        </w:rPr>
        <w:t xml:space="preserve">En lo referente a actividades asociadas a la </w:t>
      </w:r>
      <w:r w:rsidRPr="00F66FE4" w:rsidR="00521C2C">
        <w:rPr>
          <w:rFonts w:ascii="Arial" w:hAnsi="Arial" w:cs="Arial"/>
          <w:i/>
          <w:iCs/>
          <w:sz w:val="22"/>
          <w:shd w:val="clear" w:color="auto" w:fill="FFFFFF"/>
          <w:lang w:val="es-ES"/>
        </w:rPr>
        <w:t>señalización</w:t>
      </w:r>
      <w:r w:rsidRPr="00F66FE4" w:rsidR="00194DD5">
        <w:rPr>
          <w:rFonts w:ascii="Arial" w:hAnsi="Arial" w:cs="Arial"/>
          <w:i/>
          <w:iCs/>
          <w:sz w:val="22"/>
          <w:shd w:val="clear" w:color="auto" w:fill="FFFFFF"/>
          <w:lang w:val="es-ES"/>
        </w:rPr>
        <w:t xml:space="preserve"> </w:t>
      </w:r>
      <w:r w:rsidRPr="00F66FE4" w:rsidR="00194DD5">
        <w:rPr>
          <w:rFonts w:ascii="Arial" w:hAnsi="Arial" w:cs="Arial"/>
          <w:sz w:val="22"/>
          <w:shd w:val="clear" w:color="auto" w:fill="FFFFFF"/>
          <w:lang w:val="es-ES"/>
        </w:rPr>
        <w:t>y</w:t>
      </w:r>
      <w:r w:rsidRPr="00F66FE4" w:rsidR="00194DD5">
        <w:rPr>
          <w:rFonts w:ascii="Arial" w:hAnsi="Arial" w:cs="Arial"/>
          <w:i/>
          <w:iCs/>
          <w:sz w:val="22"/>
          <w:shd w:val="clear" w:color="auto" w:fill="FFFFFF"/>
          <w:lang w:val="es-ES"/>
        </w:rPr>
        <w:t xml:space="preserve"> demarcación</w:t>
      </w:r>
      <w:r w:rsidRPr="00F66FE4" w:rsidR="003964CD">
        <w:rPr>
          <w:rFonts w:ascii="Arial" w:hAnsi="Arial" w:cs="Arial"/>
          <w:i/>
          <w:iCs/>
          <w:sz w:val="22"/>
          <w:shd w:val="clear" w:color="auto" w:fill="FFFFFF"/>
          <w:lang w:val="es-ES"/>
        </w:rPr>
        <w:t xml:space="preserve">, </w:t>
      </w:r>
      <w:r w:rsidRPr="00F66FE4" w:rsidR="00B70928">
        <w:rPr>
          <w:rFonts w:ascii="Arial" w:hAnsi="Arial" w:cs="Arial"/>
          <w:sz w:val="22"/>
          <w:shd w:val="clear" w:color="auto" w:fill="FFFFFF"/>
          <w:lang w:val="es-ES"/>
        </w:rPr>
        <w:t xml:space="preserve">la </w:t>
      </w:r>
      <w:r w:rsidRPr="00F66FE4" w:rsidR="00430C09">
        <w:rPr>
          <w:rFonts w:ascii="Arial" w:hAnsi="Arial" w:cs="Arial"/>
          <w:sz w:val="22"/>
          <w:shd w:val="clear" w:color="auto" w:fill="FFFFFF"/>
          <w:lang w:val="es-ES"/>
        </w:rPr>
        <w:t>M</w:t>
      </w:r>
      <w:r w:rsidRPr="00F66FE4" w:rsidR="00B70928">
        <w:rPr>
          <w:rFonts w:ascii="Arial" w:hAnsi="Arial" w:cs="Arial"/>
          <w:sz w:val="22"/>
          <w:shd w:val="clear" w:color="auto" w:fill="FFFFFF"/>
          <w:lang w:val="es-ES"/>
        </w:rPr>
        <w:t>atri</w:t>
      </w:r>
      <w:r w:rsidRPr="00F66FE4" w:rsidR="00430C09">
        <w:rPr>
          <w:rFonts w:ascii="Arial" w:hAnsi="Arial" w:cs="Arial"/>
          <w:sz w:val="22"/>
          <w:shd w:val="clear" w:color="auto" w:fill="FFFFFF"/>
          <w:lang w:val="es-ES"/>
        </w:rPr>
        <w:t>z</w:t>
      </w:r>
      <w:r w:rsidRPr="00F66FE4" w:rsidR="00B70928">
        <w:rPr>
          <w:rFonts w:ascii="Arial" w:hAnsi="Arial" w:cs="Arial"/>
          <w:sz w:val="22"/>
          <w:shd w:val="clear" w:color="auto" w:fill="FFFFFF"/>
          <w:lang w:val="es-ES"/>
        </w:rPr>
        <w:t xml:space="preserve"> 1 de los documentos tipo licitación pública –Versión </w:t>
      </w:r>
      <w:r w:rsidRPr="00F66FE4" w:rsidR="00F66FE4">
        <w:rPr>
          <w:rFonts w:ascii="Arial" w:hAnsi="Arial" w:cs="Arial"/>
          <w:sz w:val="22"/>
          <w:shd w:val="clear" w:color="auto" w:fill="FFFFFF"/>
          <w:lang w:val="es-ES"/>
        </w:rPr>
        <w:t>3</w:t>
      </w:r>
      <w:r w:rsidRPr="00F66FE4" w:rsidR="00B70928">
        <w:rPr>
          <w:rFonts w:ascii="Arial" w:hAnsi="Arial" w:cs="Arial"/>
          <w:sz w:val="22"/>
          <w:shd w:val="clear" w:color="auto" w:fill="FFFFFF"/>
          <w:lang w:val="es-ES"/>
        </w:rPr>
        <w:t>–</w:t>
      </w:r>
      <w:r w:rsidRPr="00F66FE4" w:rsidR="009F64CF">
        <w:rPr>
          <w:rFonts w:ascii="Arial" w:hAnsi="Arial" w:cs="Arial"/>
          <w:sz w:val="22"/>
          <w:shd w:val="clear" w:color="auto" w:fill="FFFFFF"/>
          <w:lang w:val="es-ES"/>
        </w:rPr>
        <w:t>, selección abreviada de menor cuantía</w:t>
      </w:r>
      <w:r w:rsidRPr="00F66FE4" w:rsidR="00E1090A">
        <w:rPr>
          <w:rFonts w:ascii="Arial" w:hAnsi="Arial" w:cs="Arial"/>
          <w:sz w:val="22"/>
          <w:shd w:val="clear" w:color="auto" w:fill="FFFFFF"/>
          <w:lang w:val="es-ES"/>
        </w:rPr>
        <w:t xml:space="preserve"> –Versión </w:t>
      </w:r>
      <w:r w:rsidR="00CD7BB6">
        <w:rPr>
          <w:rFonts w:ascii="Arial" w:hAnsi="Arial" w:cs="Arial"/>
          <w:sz w:val="22"/>
          <w:shd w:val="clear" w:color="auto" w:fill="FFFFFF"/>
          <w:lang w:val="es-ES"/>
        </w:rPr>
        <w:t>2</w:t>
      </w:r>
      <w:r w:rsidRPr="00F66FE4" w:rsidR="00E1090A">
        <w:rPr>
          <w:rFonts w:ascii="Arial" w:hAnsi="Arial" w:cs="Arial"/>
          <w:sz w:val="22"/>
          <w:shd w:val="clear" w:color="auto" w:fill="FFFFFF"/>
          <w:lang w:val="es-ES"/>
        </w:rPr>
        <w:t>–</w:t>
      </w:r>
      <w:r w:rsidRPr="00F66FE4" w:rsidR="009F64CF">
        <w:rPr>
          <w:rFonts w:ascii="Arial" w:hAnsi="Arial" w:cs="Arial"/>
          <w:sz w:val="22"/>
          <w:shd w:val="clear" w:color="auto" w:fill="FFFFFF"/>
          <w:lang w:val="es-ES"/>
        </w:rPr>
        <w:t xml:space="preserve"> y mínima cuantía, coinciden en señalar </w:t>
      </w:r>
      <w:r w:rsidR="00CD7BB6">
        <w:rPr>
          <w:rFonts w:ascii="Arial" w:hAnsi="Arial" w:cs="Arial"/>
          <w:sz w:val="22"/>
          <w:shd w:val="clear" w:color="auto" w:fill="FFFFFF"/>
          <w:lang w:val="es-ES"/>
        </w:rPr>
        <w:t>que dentro del</w:t>
      </w:r>
      <w:r w:rsidRPr="00F66FE4" w:rsidR="009F64CF">
        <w:rPr>
          <w:rFonts w:ascii="Arial" w:hAnsi="Arial" w:cs="Arial"/>
          <w:sz w:val="22"/>
          <w:shd w:val="clear" w:color="auto" w:fill="FFFFFF"/>
          <w:lang w:val="es-ES"/>
        </w:rPr>
        <w:t xml:space="preserve"> tipo de obra</w:t>
      </w:r>
      <w:r w:rsidRPr="00F66FE4" w:rsidR="00521C2C">
        <w:rPr>
          <w:rFonts w:ascii="Arial" w:hAnsi="Arial" w:cs="Arial"/>
          <w:sz w:val="22"/>
          <w:shd w:val="clear" w:color="auto" w:fill="FFFFFF"/>
          <w:lang w:val="es-ES"/>
        </w:rPr>
        <w:t xml:space="preserve"> «1. OBRAS EN VÍAS PRIMARIAS O SECUNDARIAS»</w:t>
      </w:r>
      <w:r w:rsidRPr="00F66FE4" w:rsidR="009F64CF">
        <w:rPr>
          <w:rFonts w:ascii="Arial" w:hAnsi="Arial" w:cs="Arial"/>
          <w:sz w:val="22"/>
          <w:shd w:val="clear" w:color="auto" w:fill="FFFFFF"/>
          <w:lang w:val="es-ES"/>
        </w:rPr>
        <w:t xml:space="preserve"> </w:t>
      </w:r>
      <w:r w:rsidRPr="00F66FE4" w:rsidR="00430C09">
        <w:rPr>
          <w:rFonts w:ascii="Arial" w:hAnsi="Arial" w:cs="Arial"/>
          <w:sz w:val="22"/>
          <w:shd w:val="clear" w:color="auto" w:fill="FFFFFF"/>
          <w:lang w:val="es-ES"/>
        </w:rPr>
        <w:t xml:space="preserve">es posible desarrollar </w:t>
      </w:r>
      <w:r w:rsidRPr="00F66FE4" w:rsidR="00521C2C">
        <w:rPr>
          <w:rFonts w:ascii="Arial" w:hAnsi="Arial" w:cs="Arial"/>
          <w:sz w:val="22"/>
          <w:shd w:val="clear" w:color="auto" w:fill="FFFFFF"/>
          <w:lang w:val="es-ES"/>
        </w:rPr>
        <w:t>las</w:t>
      </w:r>
      <w:r w:rsidRPr="00F66FE4" w:rsidR="00430C09">
        <w:rPr>
          <w:rFonts w:ascii="Arial" w:hAnsi="Arial" w:cs="Arial"/>
          <w:sz w:val="22"/>
          <w:shd w:val="clear" w:color="auto" w:fill="FFFFFF"/>
          <w:lang w:val="es-ES"/>
        </w:rPr>
        <w:t xml:space="preserve"> siguientes</w:t>
      </w:r>
      <w:r w:rsidRPr="00F66FE4" w:rsidR="00521C2C">
        <w:rPr>
          <w:rFonts w:ascii="Arial" w:hAnsi="Arial" w:cs="Arial"/>
          <w:sz w:val="22"/>
          <w:shd w:val="clear" w:color="auto" w:fill="FFFFFF"/>
          <w:lang w:val="es-ES"/>
        </w:rPr>
        <w:t xml:space="preserve"> actividades</w:t>
      </w:r>
      <w:r w:rsidRPr="00F66FE4" w:rsidR="00430C09">
        <w:rPr>
          <w:rFonts w:ascii="Arial" w:hAnsi="Arial" w:cs="Arial"/>
          <w:sz w:val="22"/>
          <w:shd w:val="clear" w:color="auto" w:fill="FFFFFF"/>
          <w:lang w:val="es-ES"/>
        </w:rPr>
        <w:t>:</w:t>
      </w:r>
      <w:r w:rsidRPr="00F66FE4" w:rsidR="00521C2C">
        <w:rPr>
          <w:rFonts w:ascii="Arial" w:hAnsi="Arial" w:cs="Arial"/>
          <w:sz w:val="22"/>
          <w:shd w:val="clear" w:color="auto" w:fill="FFFFFF"/>
          <w:lang w:val="es-ES"/>
        </w:rPr>
        <w:t xml:space="preserve"> «1.4 PROYECTOS DE DEMARCACIÓN O SEÑALIZACIÓN DE INFRAESTRUCTURA DE TRANSPORTE» y «1.5 PROYECTOS DE DEMARCACIÓN O SEÑALIZACIÓN DE ESPACIO PÚBLICO ASOCIADO A LA INFRAESTRUCTURA DE TRANSPORTE». </w:t>
      </w:r>
      <w:r w:rsidRPr="00F66FE4" w:rsidR="009F64CF">
        <w:rPr>
          <w:rFonts w:ascii="Arial" w:hAnsi="Arial" w:cs="Arial"/>
          <w:sz w:val="22"/>
          <w:shd w:val="clear" w:color="auto" w:fill="FFFFFF"/>
          <w:lang w:val="es-ES"/>
        </w:rPr>
        <w:t xml:space="preserve">Asimismo, para el </w:t>
      </w:r>
      <w:r w:rsidRPr="00F66FE4" w:rsidR="00543E91">
        <w:rPr>
          <w:rFonts w:ascii="Arial" w:hAnsi="Arial" w:cs="Arial"/>
          <w:sz w:val="22"/>
          <w:shd w:val="clear" w:color="auto" w:fill="FFFFFF"/>
          <w:lang w:val="es-ES"/>
        </w:rPr>
        <w:t>tipo de</w:t>
      </w:r>
      <w:r w:rsidRPr="00F66FE4" w:rsidR="00194DD5">
        <w:rPr>
          <w:rFonts w:ascii="Arial" w:hAnsi="Arial" w:cs="Arial"/>
          <w:sz w:val="22"/>
          <w:shd w:val="clear" w:color="auto" w:fill="FFFFFF"/>
          <w:lang w:val="es-ES"/>
        </w:rPr>
        <w:t xml:space="preserve"> infraestructura</w:t>
      </w:r>
      <w:r w:rsidRPr="00F66FE4" w:rsidR="00543E91">
        <w:rPr>
          <w:rFonts w:ascii="Arial" w:hAnsi="Arial" w:cs="Arial"/>
          <w:sz w:val="22"/>
          <w:shd w:val="clear" w:color="auto" w:fill="FFFFFF"/>
          <w:lang w:val="es-ES"/>
        </w:rPr>
        <w:t xml:space="preserve"> </w:t>
      </w:r>
      <w:r w:rsidRPr="00F66FE4" w:rsidR="00430C09">
        <w:rPr>
          <w:rFonts w:ascii="Arial" w:hAnsi="Arial" w:cs="Arial"/>
          <w:sz w:val="22"/>
          <w:shd w:val="clear" w:color="auto" w:fill="FFFFFF"/>
          <w:lang w:val="es-ES"/>
        </w:rPr>
        <w:t>relacionado con</w:t>
      </w:r>
      <w:r w:rsidRPr="00F66FE4" w:rsidR="00521C2C">
        <w:rPr>
          <w:rFonts w:ascii="Arial" w:hAnsi="Arial" w:cs="Arial"/>
          <w:sz w:val="22"/>
          <w:shd w:val="clear" w:color="auto" w:fill="FFFFFF"/>
          <w:lang w:val="es-ES"/>
        </w:rPr>
        <w:t xml:space="preserve"> «6. OBRAS DE INFRAESTRUCTURA VIAL URBANA» se contemplan</w:t>
      </w:r>
      <w:r w:rsidR="00CD7BB6">
        <w:rPr>
          <w:rFonts w:ascii="Arial" w:hAnsi="Arial" w:cs="Arial"/>
          <w:sz w:val="22"/>
          <w:shd w:val="clear" w:color="auto" w:fill="FFFFFF"/>
          <w:lang w:val="es-ES"/>
        </w:rPr>
        <w:t>, entre otras,</w:t>
      </w:r>
      <w:r w:rsidRPr="00F66FE4" w:rsidR="00521C2C">
        <w:rPr>
          <w:rFonts w:ascii="Arial" w:hAnsi="Arial" w:cs="Arial"/>
          <w:sz w:val="22"/>
          <w:shd w:val="clear" w:color="auto" w:fill="FFFFFF"/>
          <w:lang w:val="es-ES"/>
        </w:rPr>
        <w:t xml:space="preserve"> las actividades «6.12 </w:t>
      </w:r>
      <w:r w:rsidRPr="00F66FE4" w:rsidR="00521C2C">
        <w:rPr>
          <w:rFonts w:ascii="Arial" w:hAnsi="Arial" w:cs="Arial"/>
          <w:sz w:val="22"/>
          <w:shd w:val="clear" w:color="auto" w:fill="FFFFFF"/>
          <w:lang w:val="es-ES"/>
        </w:rPr>
        <w:lastRenderedPageBreak/>
        <w:t>PROYECTOS DE DEMARCACIÓN O SEÑALIZACIÓN DE INFRAESTRUCTURA DE TRANSPORTE» y «6.13 PROYECTOS DE DEMARCACIÓN O SEÑALIZACIÓN DE ESPACIO PÚBLICO ASOCIADO A LA INFRAESTRUCTURA DE TRANSPORTE».</w:t>
      </w:r>
    </w:p>
    <w:p w:rsidRPr="00F66FE4" w:rsidR="00AB33D4" w:rsidP="00D20C0C" w:rsidRDefault="0027563A" w14:paraId="122BAF64" w14:textId="4B919CC0">
      <w:pPr>
        <w:tabs>
          <w:tab w:val="left" w:pos="426"/>
        </w:tabs>
        <w:spacing w:line="276" w:lineRule="auto"/>
        <w:jc w:val="both"/>
        <w:rPr>
          <w:rFonts w:ascii="Arial" w:hAnsi="Arial" w:cs="Arial"/>
          <w:sz w:val="22"/>
          <w:shd w:val="clear" w:color="auto" w:fill="FFFFFF"/>
          <w:lang w:val="es-ES"/>
        </w:rPr>
      </w:pPr>
      <w:r w:rsidRPr="00F66FE4">
        <w:rPr>
          <w:rFonts w:ascii="Arial" w:hAnsi="Arial" w:cs="Arial"/>
          <w:sz w:val="22"/>
          <w:shd w:val="clear" w:color="auto" w:fill="FFFFFF"/>
          <w:lang w:val="es-ES"/>
        </w:rPr>
        <w:tab/>
      </w:r>
      <w:r w:rsidRPr="00F66FE4">
        <w:rPr>
          <w:rFonts w:ascii="Arial" w:hAnsi="Arial" w:cs="Arial"/>
          <w:sz w:val="22"/>
          <w:shd w:val="clear" w:color="auto" w:fill="FFFFFF"/>
          <w:lang w:val="es-ES"/>
        </w:rPr>
        <w:tab/>
      </w:r>
      <w:r w:rsidRPr="00F66FE4" w:rsidR="001F2476">
        <w:rPr>
          <w:rFonts w:ascii="Arial" w:hAnsi="Arial" w:cs="Arial"/>
          <w:sz w:val="22"/>
          <w:shd w:val="clear" w:color="auto" w:fill="FFFFFF"/>
          <w:lang w:val="es-ES"/>
        </w:rPr>
        <w:t xml:space="preserve">En </w:t>
      </w:r>
      <w:r w:rsidR="00CD7BB6">
        <w:rPr>
          <w:rFonts w:ascii="Arial" w:hAnsi="Arial" w:cs="Arial"/>
          <w:sz w:val="22"/>
          <w:shd w:val="clear" w:color="auto" w:fill="FFFFFF"/>
          <w:lang w:val="es-ES"/>
        </w:rPr>
        <w:t>relación con el</w:t>
      </w:r>
      <w:r w:rsidRPr="00F66FE4" w:rsidR="001F2476">
        <w:rPr>
          <w:rFonts w:ascii="Arial" w:hAnsi="Arial" w:cs="Arial"/>
          <w:sz w:val="22"/>
          <w:shd w:val="clear" w:color="auto" w:fill="FFFFFF"/>
          <w:lang w:val="es-ES"/>
        </w:rPr>
        <w:t xml:space="preserve"> concepto de </w:t>
      </w:r>
      <w:r w:rsidR="00CD7BB6">
        <w:rPr>
          <w:rFonts w:ascii="Arial" w:hAnsi="Arial" w:cs="Arial"/>
          <w:sz w:val="22"/>
          <w:shd w:val="clear" w:color="auto" w:fill="FFFFFF"/>
          <w:lang w:val="es-ES"/>
        </w:rPr>
        <w:t>«</w:t>
      </w:r>
      <w:r w:rsidRPr="00F66FE4" w:rsidR="00F66FE4">
        <w:rPr>
          <w:rFonts w:ascii="Arial" w:hAnsi="Arial" w:cs="Arial"/>
          <w:sz w:val="22"/>
          <w:shd w:val="clear" w:color="auto" w:fill="FFFFFF"/>
          <w:lang w:val="es-ES"/>
        </w:rPr>
        <w:t>señalización</w:t>
      </w:r>
      <w:r w:rsidR="00CD7BB6">
        <w:rPr>
          <w:rFonts w:ascii="Arial" w:hAnsi="Arial" w:cs="Arial"/>
          <w:sz w:val="22"/>
          <w:shd w:val="clear" w:color="auto" w:fill="FFFFFF"/>
          <w:lang w:val="es-ES"/>
        </w:rPr>
        <w:t>»</w:t>
      </w:r>
      <w:r w:rsidRPr="00F66FE4" w:rsidR="00430C09">
        <w:rPr>
          <w:rFonts w:ascii="Arial" w:hAnsi="Arial" w:cs="Arial"/>
          <w:sz w:val="22"/>
          <w:shd w:val="clear" w:color="auto" w:fill="FFFFFF"/>
          <w:lang w:val="es-ES"/>
        </w:rPr>
        <w:t>,</w:t>
      </w:r>
      <w:r w:rsidRPr="00F66FE4" w:rsidR="001F2476">
        <w:rPr>
          <w:rFonts w:ascii="Arial" w:hAnsi="Arial" w:cs="Arial"/>
          <w:sz w:val="22"/>
          <w:shd w:val="clear" w:color="auto" w:fill="FFFFFF"/>
          <w:lang w:val="es-ES"/>
        </w:rPr>
        <w:t xml:space="preserve"> </w:t>
      </w:r>
      <w:r w:rsidRPr="00F66FE4" w:rsidR="003F5CB4">
        <w:rPr>
          <w:rFonts w:ascii="Arial" w:hAnsi="Arial" w:cs="Arial"/>
          <w:sz w:val="22"/>
          <w:shd w:val="clear" w:color="auto" w:fill="FFFFFF"/>
          <w:lang w:val="es-ES"/>
        </w:rPr>
        <w:t>el «Anexo 3 – Glosario»</w:t>
      </w:r>
      <w:r w:rsidRPr="00F66FE4" w:rsidR="009E21D6">
        <w:rPr>
          <w:rFonts w:ascii="Arial" w:hAnsi="Arial" w:cs="Arial"/>
          <w:sz w:val="22"/>
          <w:shd w:val="clear" w:color="auto" w:fill="FFFFFF"/>
          <w:lang w:val="es-ES"/>
        </w:rPr>
        <w:t xml:space="preserve"> </w:t>
      </w:r>
      <w:r w:rsidRPr="00F66FE4" w:rsidR="00F66FE4">
        <w:rPr>
          <w:rFonts w:ascii="Arial" w:hAnsi="Arial" w:cs="Arial"/>
          <w:sz w:val="22"/>
          <w:shd w:val="clear" w:color="auto" w:fill="FFFFFF"/>
          <w:lang w:val="es-ES"/>
        </w:rPr>
        <w:t>establece el alcance de dicho término de la siguiente manera</w:t>
      </w:r>
      <w:r w:rsidRPr="00F66FE4" w:rsidR="00AB33D4">
        <w:rPr>
          <w:rFonts w:ascii="Arial" w:hAnsi="Arial" w:cs="Arial"/>
          <w:sz w:val="22"/>
          <w:shd w:val="clear" w:color="auto" w:fill="FFFFFF"/>
          <w:lang w:val="es-ES"/>
        </w:rPr>
        <w:t>:</w:t>
      </w:r>
    </w:p>
    <w:p w:rsidRPr="00F66FE4" w:rsidR="00AB33D4" w:rsidP="00AB33D4" w:rsidRDefault="00AB33D4" w14:paraId="30F44B92" w14:textId="77777777">
      <w:pPr>
        <w:tabs>
          <w:tab w:val="left" w:pos="426"/>
        </w:tabs>
        <w:spacing w:line="276" w:lineRule="auto"/>
        <w:ind w:left="709" w:right="709"/>
        <w:jc w:val="both"/>
        <w:rPr>
          <w:rFonts w:ascii="Arial" w:hAnsi="Arial" w:eastAsia="Times New Roman" w:cs="Arial"/>
          <w:sz w:val="21"/>
          <w:szCs w:val="21"/>
          <w:lang w:val="es-ES" w:eastAsia="es-ES"/>
        </w:rPr>
      </w:pPr>
    </w:p>
    <w:p w:rsidRPr="00F66FE4" w:rsidR="00AB33D4" w:rsidP="00D20C0C" w:rsidRDefault="00AB33D4" w14:paraId="5ECF7BD2" w14:textId="0504B1B0">
      <w:pPr>
        <w:tabs>
          <w:tab w:val="left" w:pos="426"/>
        </w:tabs>
        <w:spacing w:after="120"/>
        <w:ind w:left="709" w:right="709"/>
        <w:jc w:val="both"/>
        <w:rPr>
          <w:rFonts w:ascii="Arial" w:hAnsi="Arial" w:eastAsia="Times New Roman" w:cs="Arial"/>
          <w:sz w:val="21"/>
          <w:szCs w:val="21"/>
          <w:lang w:val="es-ES" w:eastAsia="es-ES"/>
        </w:rPr>
      </w:pPr>
      <w:r w:rsidRPr="00F66FE4">
        <w:rPr>
          <w:rFonts w:ascii="Arial" w:hAnsi="Arial" w:eastAsia="Times New Roman" w:cs="Arial"/>
          <w:sz w:val="21"/>
          <w:szCs w:val="21"/>
          <w:lang w:val="es-ES" w:eastAsia="es-ES"/>
        </w:rPr>
        <w:t>2.89 Señalización: Conjunto de señales destinado a regular el tránsito. Dichas señales pueden ser señales verticales y señalización horizontal o demarcaciones.</w:t>
      </w:r>
    </w:p>
    <w:p w:rsidRPr="00F66FE4" w:rsidR="004950F2" w:rsidP="00F66FE4" w:rsidRDefault="00AB33D4" w14:paraId="75C92A94" w14:textId="508ACEC6">
      <w:pPr>
        <w:tabs>
          <w:tab w:val="left" w:pos="426"/>
        </w:tabs>
        <w:ind w:left="709" w:right="709"/>
        <w:jc w:val="both"/>
        <w:rPr>
          <w:rFonts w:ascii="Arial" w:hAnsi="Arial" w:eastAsia="Times New Roman" w:cs="Arial"/>
          <w:sz w:val="21"/>
          <w:szCs w:val="21"/>
          <w:lang w:val="es-ES" w:eastAsia="es-ES"/>
        </w:rPr>
      </w:pPr>
      <w:r w:rsidRPr="00F66FE4">
        <w:rPr>
          <w:rFonts w:ascii="Arial" w:hAnsi="Arial" w:eastAsia="Times New Roman" w:cs="Arial"/>
          <w:sz w:val="21"/>
          <w:szCs w:val="21"/>
          <w:lang w:val="es-ES" w:eastAsia="es-ES"/>
        </w:rPr>
        <w:t xml:space="preserve">2.90 Señalización Vertical: Dispositivos físicos que indican la forma correcta como deben transitar los usuarios de las vías; se instalan para transmitir órdenes o instrucciones mediante palabras o símbolos.  </w:t>
      </w:r>
    </w:p>
    <w:p w:rsidRPr="00F66FE4" w:rsidR="008D15ED" w:rsidP="00050047" w:rsidRDefault="00050047" w14:paraId="391EA1AA" w14:textId="551819A6">
      <w:pPr>
        <w:tabs>
          <w:tab w:val="left" w:pos="426"/>
        </w:tabs>
        <w:spacing w:line="276" w:lineRule="auto"/>
        <w:jc w:val="both"/>
        <w:rPr>
          <w:rFonts w:ascii="Arial" w:hAnsi="Arial" w:cs="Arial"/>
          <w:sz w:val="22"/>
          <w:shd w:val="clear" w:color="auto" w:fill="FFFFFF"/>
          <w:lang w:val="es-ES"/>
        </w:rPr>
      </w:pPr>
      <w:r w:rsidRPr="00F66FE4">
        <w:rPr>
          <w:rFonts w:ascii="Arial" w:hAnsi="Arial" w:cs="Arial"/>
          <w:sz w:val="22"/>
          <w:shd w:val="clear" w:color="auto" w:fill="FFFFFF"/>
          <w:lang w:val="es-ES"/>
        </w:rPr>
        <w:tab/>
      </w:r>
      <w:r w:rsidRPr="00F66FE4">
        <w:rPr>
          <w:rFonts w:ascii="Arial" w:hAnsi="Arial" w:cs="Arial"/>
          <w:sz w:val="22"/>
          <w:shd w:val="clear" w:color="auto" w:fill="FFFFFF"/>
          <w:lang w:val="es-ES"/>
        </w:rPr>
        <w:tab/>
      </w:r>
    </w:p>
    <w:p w:rsidRPr="00F66FE4" w:rsidR="00F70BC1" w:rsidP="001A73D7" w:rsidRDefault="001A73D7" w14:paraId="6EE0D628" w14:textId="2975A3D1">
      <w:pPr>
        <w:tabs>
          <w:tab w:val="left" w:pos="426"/>
        </w:tabs>
        <w:spacing w:after="120" w:line="276" w:lineRule="auto"/>
        <w:jc w:val="both"/>
        <w:rPr>
          <w:rFonts w:ascii="Arial" w:hAnsi="Arial" w:cs="Arial"/>
          <w:sz w:val="22"/>
          <w:shd w:val="clear" w:color="auto" w:fill="FFFFFF"/>
          <w:lang w:val="es-ES"/>
        </w:rPr>
      </w:pPr>
      <w:r>
        <w:rPr>
          <w:rFonts w:ascii="Arial" w:hAnsi="Arial" w:cs="Arial"/>
          <w:sz w:val="22"/>
          <w:shd w:val="clear" w:color="auto" w:fill="FFFFFF"/>
          <w:lang w:val="es-ES"/>
        </w:rPr>
        <w:tab/>
      </w:r>
      <w:r w:rsidRPr="00F66FE4" w:rsidR="00472223">
        <w:rPr>
          <w:rFonts w:ascii="Arial" w:hAnsi="Arial" w:cs="Arial"/>
          <w:sz w:val="22"/>
          <w:shd w:val="clear" w:color="auto" w:fill="FFFFFF"/>
          <w:lang w:val="es-ES"/>
        </w:rPr>
        <w:t>A</w:t>
      </w:r>
      <w:r w:rsidRPr="00F66FE4" w:rsidR="009778DA">
        <w:rPr>
          <w:rFonts w:ascii="Arial" w:hAnsi="Arial" w:cs="Arial"/>
          <w:sz w:val="22"/>
          <w:shd w:val="clear" w:color="auto" w:fill="FFFFFF"/>
          <w:lang w:val="es-ES"/>
        </w:rPr>
        <w:t>l referi</w:t>
      </w:r>
      <w:r w:rsidRPr="00F66FE4" w:rsidR="00923850">
        <w:rPr>
          <w:rFonts w:ascii="Arial" w:hAnsi="Arial" w:cs="Arial"/>
          <w:sz w:val="22"/>
          <w:shd w:val="clear" w:color="auto" w:fill="FFFFFF"/>
          <w:lang w:val="es-ES"/>
        </w:rPr>
        <w:t>r</w:t>
      </w:r>
      <w:r w:rsidRPr="00F66FE4" w:rsidR="009778DA">
        <w:rPr>
          <w:rFonts w:ascii="Arial" w:hAnsi="Arial" w:cs="Arial"/>
          <w:sz w:val="22"/>
          <w:shd w:val="clear" w:color="auto" w:fill="FFFFFF"/>
          <w:lang w:val="es-ES"/>
        </w:rPr>
        <w:t>s</w:t>
      </w:r>
      <w:r w:rsidRPr="00F66FE4" w:rsidR="00923850">
        <w:rPr>
          <w:rFonts w:ascii="Arial" w:hAnsi="Arial" w:cs="Arial"/>
          <w:sz w:val="22"/>
          <w:shd w:val="clear" w:color="auto" w:fill="FFFFFF"/>
          <w:lang w:val="es-ES"/>
        </w:rPr>
        <w:t>e</w:t>
      </w:r>
      <w:r w:rsidRPr="00F66FE4" w:rsidR="009778DA">
        <w:rPr>
          <w:rFonts w:ascii="Arial" w:hAnsi="Arial" w:cs="Arial"/>
          <w:sz w:val="22"/>
          <w:shd w:val="clear" w:color="auto" w:fill="FFFFFF"/>
          <w:lang w:val="es-ES"/>
        </w:rPr>
        <w:t xml:space="preserve"> a</w:t>
      </w:r>
      <w:r w:rsidRPr="00F66FE4" w:rsidR="00B13A5A">
        <w:rPr>
          <w:rFonts w:ascii="Arial" w:hAnsi="Arial" w:cs="Arial"/>
          <w:sz w:val="22"/>
          <w:shd w:val="clear" w:color="auto" w:fill="FFFFFF"/>
          <w:lang w:val="es-ES"/>
        </w:rPr>
        <w:t xml:space="preserve"> la </w:t>
      </w:r>
      <w:r w:rsidRPr="00F66FE4" w:rsidR="00B13A5A">
        <w:rPr>
          <w:rFonts w:ascii="Arial" w:hAnsi="Arial" w:cs="Arial"/>
          <w:i/>
          <w:iCs/>
          <w:sz w:val="22"/>
          <w:shd w:val="clear" w:color="auto" w:fill="FFFFFF"/>
          <w:lang w:val="es-ES"/>
        </w:rPr>
        <w:t>señalización</w:t>
      </w:r>
      <w:r w:rsidRPr="00F66FE4" w:rsidR="00612BFC">
        <w:rPr>
          <w:rFonts w:ascii="Arial" w:hAnsi="Arial" w:cs="Arial"/>
          <w:sz w:val="22"/>
          <w:shd w:val="clear" w:color="auto" w:fill="FFFFFF"/>
          <w:lang w:val="es-ES"/>
        </w:rPr>
        <w:t xml:space="preserve"> </w:t>
      </w:r>
      <w:r w:rsidRPr="00F66FE4" w:rsidR="00B13A5A">
        <w:rPr>
          <w:rFonts w:ascii="Arial" w:hAnsi="Arial" w:cs="Arial"/>
          <w:sz w:val="22"/>
          <w:shd w:val="clear" w:color="auto" w:fill="FFFFFF"/>
          <w:lang w:val="es-ES"/>
        </w:rPr>
        <w:t xml:space="preserve">de infraestructura de transporte y espacio público asociado a </w:t>
      </w:r>
      <w:r w:rsidRPr="00F66FE4" w:rsidR="00832BC5">
        <w:rPr>
          <w:rFonts w:ascii="Arial" w:hAnsi="Arial" w:cs="Arial"/>
          <w:sz w:val="22"/>
          <w:shd w:val="clear" w:color="auto" w:fill="FFFFFF"/>
          <w:lang w:val="es-ES"/>
        </w:rPr>
        <w:t>esta</w:t>
      </w:r>
      <w:r w:rsidRPr="00F66FE4" w:rsidR="000309B1">
        <w:rPr>
          <w:rFonts w:ascii="Arial" w:hAnsi="Arial" w:cs="Arial"/>
          <w:sz w:val="22"/>
          <w:shd w:val="clear" w:color="auto" w:fill="FFFFFF"/>
          <w:lang w:val="es-ES"/>
        </w:rPr>
        <w:t>,</w:t>
      </w:r>
      <w:r w:rsidRPr="00F66FE4" w:rsidR="00C47F72">
        <w:rPr>
          <w:rFonts w:ascii="Arial" w:hAnsi="Arial" w:cs="Arial"/>
          <w:sz w:val="22"/>
          <w:shd w:val="clear" w:color="auto" w:fill="FFFFFF"/>
          <w:lang w:val="es-ES"/>
        </w:rPr>
        <w:t xml:space="preserve"> </w:t>
      </w:r>
      <w:r w:rsidRPr="00F66FE4" w:rsidR="00472223">
        <w:rPr>
          <w:rFonts w:ascii="Arial" w:hAnsi="Arial" w:cs="Arial"/>
          <w:sz w:val="22"/>
          <w:shd w:val="clear" w:color="auto" w:fill="FFFFFF"/>
          <w:lang w:val="es-ES"/>
        </w:rPr>
        <w:t xml:space="preserve">las actividades de la Matriz 1 arriba señaladas </w:t>
      </w:r>
      <w:r w:rsidRPr="00F66FE4" w:rsidR="00C47F72">
        <w:rPr>
          <w:rFonts w:ascii="Arial" w:hAnsi="Arial" w:cs="Arial"/>
          <w:sz w:val="22"/>
          <w:shd w:val="clear" w:color="auto" w:fill="FFFFFF"/>
          <w:lang w:val="es-ES"/>
        </w:rPr>
        <w:t xml:space="preserve">comprenden </w:t>
      </w:r>
      <w:r w:rsidRPr="00F66FE4" w:rsidR="00F66FE4">
        <w:rPr>
          <w:rFonts w:ascii="Arial" w:hAnsi="Arial" w:cs="Arial"/>
          <w:sz w:val="22"/>
          <w:shd w:val="clear" w:color="auto" w:fill="FFFFFF"/>
          <w:lang w:val="es-ES"/>
        </w:rPr>
        <w:t>también la señalización turística</w:t>
      </w:r>
      <w:r w:rsidRPr="00F66FE4" w:rsidR="0066521F">
        <w:rPr>
          <w:rFonts w:ascii="Arial" w:hAnsi="Arial" w:cs="Arial"/>
          <w:sz w:val="22"/>
          <w:shd w:val="clear" w:color="auto" w:fill="FFFFFF"/>
          <w:lang w:val="es-ES"/>
        </w:rPr>
        <w:t xml:space="preserve">, </w:t>
      </w:r>
      <w:r w:rsidRPr="00F66FE4" w:rsidR="00F66FE4">
        <w:rPr>
          <w:rFonts w:ascii="Arial" w:hAnsi="Arial" w:cs="Arial"/>
          <w:sz w:val="22"/>
          <w:shd w:val="clear" w:color="auto" w:fill="FFFFFF"/>
          <w:lang w:val="es-ES"/>
        </w:rPr>
        <w:t xml:space="preserve">siempre y cuando el proyecto de señalización se encuentre relacionado con una obra de infraestructura vial, </w:t>
      </w:r>
      <w:r w:rsidRPr="00F66FE4" w:rsidR="0066521F">
        <w:rPr>
          <w:rFonts w:ascii="Arial" w:hAnsi="Arial" w:cs="Arial"/>
          <w:sz w:val="22"/>
          <w:shd w:val="clear" w:color="auto" w:fill="FFFFFF"/>
          <w:lang w:val="es-ES"/>
        </w:rPr>
        <w:t>por lo que</w:t>
      </w:r>
      <w:r w:rsidR="00894DC7">
        <w:rPr>
          <w:rFonts w:ascii="Arial" w:hAnsi="Arial" w:cs="Arial"/>
          <w:sz w:val="22"/>
          <w:shd w:val="clear" w:color="auto" w:fill="FFFFFF"/>
          <w:lang w:val="es-ES"/>
        </w:rPr>
        <w:t xml:space="preserve"> </w:t>
      </w:r>
      <w:r w:rsidRPr="00F66FE4" w:rsidR="00CD37C7">
        <w:rPr>
          <w:rFonts w:ascii="Arial" w:hAnsi="Arial" w:cs="Arial"/>
          <w:sz w:val="22"/>
          <w:shd w:val="clear" w:color="auto" w:fill="FFFFFF"/>
          <w:lang w:val="es-ES"/>
        </w:rPr>
        <w:t>deber</w:t>
      </w:r>
      <w:r w:rsidR="00894DC7">
        <w:rPr>
          <w:rFonts w:ascii="Arial" w:hAnsi="Arial" w:cs="Arial"/>
          <w:sz w:val="22"/>
          <w:shd w:val="clear" w:color="auto" w:fill="FFFFFF"/>
          <w:lang w:val="es-ES"/>
        </w:rPr>
        <w:t>á</w:t>
      </w:r>
      <w:r w:rsidRPr="00F66FE4" w:rsidR="00CD37C7">
        <w:rPr>
          <w:rFonts w:ascii="Arial" w:hAnsi="Arial" w:cs="Arial"/>
          <w:sz w:val="22"/>
          <w:shd w:val="clear" w:color="auto" w:fill="FFFFFF"/>
          <w:lang w:val="es-ES"/>
        </w:rPr>
        <w:t>n</w:t>
      </w:r>
      <w:r w:rsidRPr="00F66FE4" w:rsidR="00530A02">
        <w:rPr>
          <w:rFonts w:ascii="Arial" w:hAnsi="Arial" w:cs="Arial"/>
          <w:sz w:val="22"/>
          <w:shd w:val="clear" w:color="auto" w:fill="FFFFFF"/>
          <w:lang w:val="es-ES"/>
        </w:rPr>
        <w:t xml:space="preserve"> aplicarse los docume</w:t>
      </w:r>
      <w:r w:rsidRPr="00F66FE4" w:rsidR="005D38B9">
        <w:rPr>
          <w:rFonts w:ascii="Arial" w:hAnsi="Arial" w:cs="Arial"/>
          <w:sz w:val="22"/>
          <w:shd w:val="clear" w:color="auto" w:fill="FFFFFF"/>
          <w:lang w:val="es-ES"/>
        </w:rPr>
        <w:t>ntos tipo.</w:t>
      </w:r>
      <w:r w:rsidRPr="00F66FE4" w:rsidR="00E563C1">
        <w:rPr>
          <w:rFonts w:ascii="Arial" w:hAnsi="Arial" w:cs="Arial"/>
          <w:sz w:val="22"/>
          <w:shd w:val="clear" w:color="auto" w:fill="FFFFFF"/>
          <w:lang w:val="es-ES"/>
        </w:rPr>
        <w:t xml:space="preserve"> </w:t>
      </w:r>
      <w:r w:rsidRPr="00F66FE4" w:rsidR="00343B5F">
        <w:rPr>
          <w:rFonts w:ascii="Arial" w:hAnsi="Arial" w:cs="Arial"/>
          <w:sz w:val="22"/>
          <w:shd w:val="clear" w:color="auto" w:fill="FFFFFF"/>
          <w:lang w:val="es-ES"/>
        </w:rPr>
        <w:t xml:space="preserve">No obstante, </w:t>
      </w:r>
      <w:r w:rsidRPr="00F66FE4" w:rsidR="00F66FE4">
        <w:rPr>
          <w:rFonts w:ascii="Arial" w:hAnsi="Arial" w:cs="Arial"/>
          <w:sz w:val="22"/>
          <w:shd w:val="clear" w:color="auto" w:fill="FFFFFF"/>
          <w:lang w:val="es-ES"/>
        </w:rPr>
        <w:t>se torna necesario precisar los casos en los que un proyecto cuyo objeto es elaborar una señalización turística debe contratarse mediante el uso de documentos tipo y cuando no.</w:t>
      </w:r>
      <w:r w:rsidR="00CD7BB6">
        <w:rPr>
          <w:rFonts w:ascii="Arial" w:hAnsi="Arial" w:cs="Arial"/>
          <w:sz w:val="22"/>
          <w:shd w:val="clear" w:color="auto" w:fill="FFFFFF"/>
          <w:lang w:val="es-ES"/>
        </w:rPr>
        <w:t xml:space="preserve"> En este sentido, l</w:t>
      </w:r>
      <w:r w:rsidRPr="00F66FE4" w:rsidR="00F66FE4">
        <w:rPr>
          <w:rFonts w:ascii="Arial" w:hAnsi="Arial" w:cs="Arial"/>
          <w:sz w:val="22"/>
          <w:shd w:val="clear" w:color="auto" w:fill="FFFFFF"/>
          <w:lang w:val="es-ES"/>
        </w:rPr>
        <w:t>a ley 769 de 2002, «Por la cual se expide el Código Nacional de Tránsito Terrestre y se dictan otras disposiciones» consagró en su artículo 115 la obligación del Ministerio de Transporte de diseñar y definir las características de las señales de tránsito, su uso, su ubicación y demás características, que deberán ser de obligatorio cumplimiento para todo el territorio nacional</w:t>
      </w:r>
      <w:r w:rsidRPr="00F66FE4" w:rsidR="00F66FE4">
        <w:rPr>
          <w:rStyle w:val="Refdenotaalpie"/>
          <w:rFonts w:ascii="Arial" w:hAnsi="Arial" w:cs="Arial"/>
          <w:sz w:val="22"/>
          <w:shd w:val="clear" w:color="auto" w:fill="FFFFFF"/>
          <w:lang w:val="es-ES"/>
        </w:rPr>
        <w:footnoteReference w:id="8"/>
      </w:r>
      <w:r w:rsidRPr="00F66FE4" w:rsidR="00F66FE4">
        <w:rPr>
          <w:rFonts w:ascii="Arial" w:hAnsi="Arial" w:cs="Arial"/>
          <w:sz w:val="22"/>
          <w:shd w:val="clear" w:color="auto" w:fill="FFFFFF"/>
          <w:lang w:val="es-ES"/>
        </w:rPr>
        <w:t xml:space="preserve">. </w:t>
      </w:r>
    </w:p>
    <w:p w:rsidRPr="00F66FE4" w:rsidR="00F66FE4" w:rsidP="00F66FE4" w:rsidRDefault="00F66FE4" w14:paraId="5917F2B3" w14:textId="2CFA623F">
      <w:pPr>
        <w:tabs>
          <w:tab w:val="left" w:pos="426"/>
        </w:tabs>
        <w:spacing w:after="120" w:line="276" w:lineRule="auto"/>
        <w:ind w:firstLine="709"/>
        <w:jc w:val="both"/>
        <w:rPr>
          <w:rFonts w:ascii="Arial" w:hAnsi="Arial" w:cs="Arial"/>
          <w:sz w:val="22"/>
          <w:shd w:val="clear" w:color="auto" w:fill="FFFFFF"/>
          <w:lang w:val="es-ES"/>
        </w:rPr>
      </w:pPr>
      <w:r w:rsidRPr="00F66FE4">
        <w:rPr>
          <w:rFonts w:ascii="Arial" w:hAnsi="Arial" w:cs="Arial"/>
          <w:sz w:val="22"/>
          <w:shd w:val="clear" w:color="auto" w:fill="FFFFFF"/>
          <w:lang w:val="es-ES"/>
        </w:rPr>
        <w:t>En cumplimiento del mencionado mandato, el Ministerio de Transporte</w:t>
      </w:r>
      <w:r w:rsidR="00CD7BB6">
        <w:rPr>
          <w:rFonts w:ascii="Arial" w:hAnsi="Arial" w:cs="Arial"/>
          <w:sz w:val="22"/>
          <w:shd w:val="clear" w:color="auto" w:fill="FFFFFF"/>
          <w:lang w:val="es-ES"/>
        </w:rPr>
        <w:t>,</w:t>
      </w:r>
      <w:r w:rsidRPr="00F66FE4">
        <w:rPr>
          <w:rFonts w:ascii="Arial" w:hAnsi="Arial" w:cs="Arial"/>
          <w:sz w:val="22"/>
          <w:shd w:val="clear" w:color="auto" w:fill="FFFFFF"/>
          <w:lang w:val="es-ES"/>
        </w:rPr>
        <w:t xml:space="preserve"> mediante la Resolución No. 001050 del 5 de mayo de 2004, adoptó el «Manual de Señalización Vial – Dispositivos para la regulación del tránsito en calles carreteras y </w:t>
      </w:r>
      <w:proofErr w:type="spellStart"/>
      <w:r w:rsidRPr="00F66FE4">
        <w:rPr>
          <w:rFonts w:ascii="Arial" w:hAnsi="Arial" w:cs="Arial"/>
          <w:sz w:val="22"/>
          <w:shd w:val="clear" w:color="auto" w:fill="FFFFFF"/>
          <w:lang w:val="es-ES"/>
        </w:rPr>
        <w:t>ciclor</w:t>
      </w:r>
      <w:r>
        <w:rPr>
          <w:rFonts w:ascii="Arial" w:hAnsi="Arial" w:cs="Arial"/>
          <w:sz w:val="22"/>
          <w:shd w:val="clear" w:color="auto" w:fill="FFFFFF"/>
          <w:lang w:val="es-ES"/>
        </w:rPr>
        <w:t>r</w:t>
      </w:r>
      <w:r w:rsidRPr="00F66FE4">
        <w:rPr>
          <w:rFonts w:ascii="Arial" w:hAnsi="Arial" w:cs="Arial"/>
          <w:sz w:val="22"/>
          <w:shd w:val="clear" w:color="auto" w:fill="FFFFFF"/>
          <w:lang w:val="es-ES"/>
        </w:rPr>
        <w:t>utas</w:t>
      </w:r>
      <w:proofErr w:type="spellEnd"/>
      <w:r w:rsidRPr="00F66FE4">
        <w:rPr>
          <w:rFonts w:ascii="Arial" w:hAnsi="Arial" w:cs="Arial"/>
          <w:sz w:val="22"/>
          <w:shd w:val="clear" w:color="auto" w:fill="FFFFFF"/>
          <w:lang w:val="es-ES"/>
        </w:rPr>
        <w:t xml:space="preserve"> de Colombia», el cual fue adicionado por las Resolución 4577 de 2009 y 1236 de 2013</w:t>
      </w:r>
      <w:r w:rsidR="00CD7BB6">
        <w:rPr>
          <w:rFonts w:ascii="Arial" w:hAnsi="Arial" w:cs="Arial"/>
          <w:sz w:val="22"/>
          <w:shd w:val="clear" w:color="auto" w:fill="FFFFFF"/>
          <w:lang w:val="es-ES"/>
        </w:rPr>
        <w:t>,</w:t>
      </w:r>
      <w:r w:rsidRPr="00F66FE4">
        <w:rPr>
          <w:rFonts w:ascii="Arial" w:hAnsi="Arial" w:cs="Arial"/>
          <w:sz w:val="22"/>
          <w:shd w:val="clear" w:color="auto" w:fill="FFFFFF"/>
          <w:lang w:val="es-ES"/>
        </w:rPr>
        <w:t xml:space="preserve"> y el 17 de junio de 2015, la Resolución No. 0001885 adoptó un nuevo Manual de Señalización Vial, el cual tiene un ámbito de aplicación para «[…] todo el territorio nacional, para calles, carreteras, </w:t>
      </w:r>
      <w:proofErr w:type="spellStart"/>
      <w:r w:rsidRPr="00F66FE4">
        <w:rPr>
          <w:rFonts w:ascii="Arial" w:hAnsi="Arial" w:cs="Arial"/>
          <w:sz w:val="22"/>
          <w:shd w:val="clear" w:color="auto" w:fill="FFFFFF"/>
          <w:lang w:val="es-ES"/>
        </w:rPr>
        <w:t>ciclorrutas</w:t>
      </w:r>
      <w:proofErr w:type="spellEnd"/>
      <w:r w:rsidRPr="00F66FE4">
        <w:rPr>
          <w:rFonts w:ascii="Arial" w:hAnsi="Arial" w:cs="Arial"/>
          <w:sz w:val="22"/>
          <w:shd w:val="clear" w:color="auto" w:fill="FFFFFF"/>
          <w:lang w:val="es-ES"/>
        </w:rPr>
        <w:t xml:space="preserve">, pasos a nivel de éstas con las vías férreas o cuando se desarrollen obras o </w:t>
      </w:r>
      <w:r w:rsidRPr="00F66FE4">
        <w:rPr>
          <w:rFonts w:ascii="Arial" w:hAnsi="Arial" w:cs="Arial"/>
          <w:sz w:val="22"/>
          <w:shd w:val="clear" w:color="auto" w:fill="FFFFFF"/>
          <w:lang w:val="es-ES"/>
        </w:rPr>
        <w:lastRenderedPageBreak/>
        <w:t>eventos que afecten el tránsito sobre las mismas»</w:t>
      </w:r>
      <w:r w:rsidRPr="00F66FE4">
        <w:rPr>
          <w:rStyle w:val="Refdenotaalpie"/>
          <w:rFonts w:ascii="Arial" w:hAnsi="Arial" w:cs="Arial"/>
          <w:sz w:val="22"/>
          <w:shd w:val="clear" w:color="auto" w:fill="FFFFFF"/>
          <w:lang w:val="es-ES"/>
        </w:rPr>
        <w:footnoteReference w:id="9"/>
      </w:r>
      <w:r w:rsidRPr="00F66FE4">
        <w:rPr>
          <w:rFonts w:ascii="Arial" w:hAnsi="Arial" w:cs="Arial"/>
          <w:sz w:val="22"/>
          <w:shd w:val="clear" w:color="auto" w:fill="FFFFFF"/>
          <w:lang w:val="es-ES"/>
        </w:rPr>
        <w:t xml:space="preserve">. Asimismo, el artículo 3 </w:t>
      </w:r>
      <w:r w:rsidRPr="00F66FE4">
        <w:rPr>
          <w:rFonts w:ascii="Arial" w:hAnsi="Arial" w:cs="Arial"/>
          <w:i/>
          <w:iCs/>
          <w:sz w:val="22"/>
          <w:shd w:val="clear" w:color="auto" w:fill="FFFFFF"/>
          <w:lang w:val="es-ES"/>
        </w:rPr>
        <w:t>Ibídem</w:t>
      </w:r>
      <w:r w:rsidRPr="00F66FE4">
        <w:rPr>
          <w:rFonts w:ascii="Arial" w:hAnsi="Arial" w:cs="Arial"/>
          <w:sz w:val="22"/>
          <w:shd w:val="clear" w:color="auto" w:fill="FFFFFF"/>
          <w:lang w:val="es-ES"/>
        </w:rPr>
        <w:t xml:space="preserve"> establece la obligatoriedad de las entidades públicas o personas que desarrollen la actividad de señalización de ceñirse a lo establecido en el Manual de Señalización Vial</w:t>
      </w:r>
      <w:r w:rsidRPr="00F66FE4">
        <w:rPr>
          <w:rStyle w:val="Refdenotaalpie"/>
          <w:rFonts w:ascii="Arial" w:hAnsi="Arial" w:cs="Arial"/>
          <w:sz w:val="22"/>
          <w:shd w:val="clear" w:color="auto" w:fill="FFFFFF"/>
          <w:lang w:val="es-ES"/>
        </w:rPr>
        <w:footnoteReference w:id="10"/>
      </w:r>
      <w:r w:rsidRPr="00F66FE4">
        <w:rPr>
          <w:rFonts w:ascii="Arial" w:hAnsi="Arial" w:cs="Arial"/>
          <w:sz w:val="22"/>
          <w:shd w:val="clear" w:color="auto" w:fill="FFFFFF"/>
          <w:lang w:val="es-ES"/>
        </w:rPr>
        <w:t>.</w:t>
      </w:r>
    </w:p>
    <w:p w:rsidRPr="00F66FE4" w:rsidR="00F66FE4" w:rsidP="00F66FE4" w:rsidRDefault="00F66FE4" w14:paraId="5144C796" w14:textId="0C85484B">
      <w:pPr>
        <w:tabs>
          <w:tab w:val="left" w:pos="426"/>
        </w:tabs>
        <w:spacing w:after="120" w:line="276" w:lineRule="auto"/>
        <w:ind w:firstLine="709"/>
        <w:jc w:val="both"/>
        <w:rPr>
          <w:rFonts w:ascii="Arial" w:hAnsi="Arial" w:cs="Arial"/>
          <w:sz w:val="22"/>
          <w:shd w:val="clear" w:color="auto" w:fill="FFFFFF"/>
          <w:lang w:val="es-ES"/>
        </w:rPr>
      </w:pPr>
      <w:r w:rsidRPr="00F66FE4">
        <w:rPr>
          <w:rFonts w:ascii="Arial" w:hAnsi="Arial" w:cs="Arial"/>
          <w:sz w:val="22"/>
          <w:shd w:val="clear" w:color="auto" w:fill="FFFFFF"/>
          <w:lang w:val="es-ES"/>
        </w:rPr>
        <w:t>Por su lado, el Manual de Señalización Vial adoptado por la Resolución mencionada, consagra la señalización turística como una tipología de señal informativa, que tiene como propósito guiar a los usuarios y entregarles la información necesaria para que puedan llegar a sus destinos</w:t>
      </w:r>
      <w:r w:rsidRPr="00F66FE4">
        <w:rPr>
          <w:rStyle w:val="Refdenotaalpie"/>
          <w:rFonts w:ascii="Arial" w:hAnsi="Arial" w:cs="Arial"/>
          <w:sz w:val="22"/>
          <w:shd w:val="clear" w:color="auto" w:fill="FFFFFF"/>
          <w:lang w:val="es-ES"/>
        </w:rPr>
        <w:footnoteReference w:id="11"/>
      </w:r>
      <w:r w:rsidR="00CD7BB6">
        <w:rPr>
          <w:rFonts w:ascii="Arial" w:hAnsi="Arial" w:cs="Arial"/>
          <w:sz w:val="22"/>
          <w:shd w:val="clear" w:color="auto" w:fill="FFFFFF"/>
          <w:lang w:val="es-ES"/>
        </w:rPr>
        <w:t>.</w:t>
      </w:r>
      <w:r w:rsidRPr="00F66FE4">
        <w:rPr>
          <w:rFonts w:ascii="Arial" w:hAnsi="Arial" w:cs="Arial"/>
          <w:sz w:val="22"/>
          <w:shd w:val="clear" w:color="auto" w:fill="FFFFFF"/>
          <w:lang w:val="es-ES"/>
        </w:rPr>
        <w:t xml:space="preserve"> En desarrollo de lo anterior, el numeral 2.6. del Manual define las señales turísticas como aquellas que «[…] se usan para informar a los usuarios de la vía la existencia de lugares de recreación o de atractivo cultural que se encuentren próximos a la vía, tales como campos de deportes, parques nacionales, parques nacionales naturales, parques de naturaleza, santuarios de fauna y flora, reserva nacional natural, playas, lagos, ríos, volcanes y sitios de artesanías, entre otras, y también para informar acerca de la ruta a tomar»</w:t>
      </w:r>
      <w:r w:rsidRPr="00F66FE4">
        <w:rPr>
          <w:rStyle w:val="Refdenotaalpie"/>
          <w:rFonts w:ascii="Arial" w:hAnsi="Arial" w:cs="Arial"/>
          <w:sz w:val="22"/>
          <w:shd w:val="clear" w:color="auto" w:fill="FFFFFF"/>
          <w:lang w:val="es-ES"/>
        </w:rPr>
        <w:footnoteReference w:id="12"/>
      </w:r>
      <w:r w:rsidRPr="00F66FE4">
        <w:rPr>
          <w:rFonts w:ascii="Arial" w:hAnsi="Arial" w:cs="Arial"/>
          <w:sz w:val="22"/>
          <w:shd w:val="clear" w:color="auto" w:fill="FFFFFF"/>
          <w:lang w:val="es-ES"/>
        </w:rPr>
        <w:t>. Además, el Manual de Señalización Vial clasifica estas señales en: i) Señales de información de Destino y ii) Señales informativas de identificación y localización de la naturaleza y/o actividades de cada lugar de interés cultural o recreacional, estableciendo cuales son las características que debe contener la elaboración de cada una de estas señales</w:t>
      </w:r>
      <w:r w:rsidRPr="00F66FE4">
        <w:rPr>
          <w:rStyle w:val="Refdenotaalpie"/>
          <w:rFonts w:ascii="Arial" w:hAnsi="Arial" w:cs="Arial"/>
          <w:sz w:val="22"/>
          <w:shd w:val="clear" w:color="auto" w:fill="FFFFFF"/>
          <w:lang w:val="es-ES"/>
        </w:rPr>
        <w:footnoteReference w:id="13"/>
      </w:r>
      <w:r w:rsidRPr="00F66FE4">
        <w:rPr>
          <w:rFonts w:ascii="Arial" w:hAnsi="Arial" w:cs="Arial"/>
          <w:sz w:val="22"/>
          <w:shd w:val="clear" w:color="auto" w:fill="FFFFFF"/>
          <w:lang w:val="es-ES"/>
        </w:rPr>
        <w:t>.</w:t>
      </w:r>
    </w:p>
    <w:p w:rsidR="00F66FE4" w:rsidP="00F66FE4" w:rsidRDefault="00F66FE4" w14:paraId="4B8331EB" w14:textId="1177E76D">
      <w:pPr>
        <w:tabs>
          <w:tab w:val="left" w:pos="426"/>
        </w:tabs>
        <w:spacing w:after="120" w:line="276" w:lineRule="auto"/>
        <w:ind w:firstLine="709"/>
        <w:jc w:val="both"/>
        <w:rPr>
          <w:rFonts w:ascii="Arial" w:hAnsi="Arial" w:cs="Arial"/>
          <w:sz w:val="22"/>
          <w:shd w:val="clear" w:color="auto" w:fill="FFFFFF"/>
          <w:lang w:val="es-ES"/>
        </w:rPr>
      </w:pPr>
      <w:r w:rsidRPr="00F66FE4">
        <w:rPr>
          <w:rFonts w:ascii="Arial" w:hAnsi="Arial" w:cs="Arial"/>
          <w:sz w:val="22"/>
          <w:shd w:val="clear" w:color="auto" w:fill="FFFFFF"/>
          <w:lang w:val="es-ES"/>
        </w:rPr>
        <w:t>Ahora bien, tanto la Resolución No. 0001885 del 17 de junio de 2015 del Ministerio de Transporte, como el Manual de Señalización Vial del 2015, sirven como herramientas hermenéuticas para delimitar las señalizaciones turísticas que</w:t>
      </w:r>
      <w:r>
        <w:rPr>
          <w:rFonts w:ascii="Arial" w:hAnsi="Arial" w:cs="Arial"/>
          <w:sz w:val="22"/>
          <w:shd w:val="clear" w:color="auto" w:fill="FFFFFF"/>
          <w:lang w:val="es-ES"/>
        </w:rPr>
        <w:t xml:space="preserve"> deberán</w:t>
      </w:r>
      <w:r w:rsidR="00894DC7">
        <w:rPr>
          <w:rFonts w:ascii="Arial" w:hAnsi="Arial" w:cs="Arial"/>
          <w:sz w:val="22"/>
          <w:shd w:val="clear" w:color="auto" w:fill="FFFFFF"/>
          <w:lang w:val="es-ES"/>
        </w:rPr>
        <w:t xml:space="preserve"> </w:t>
      </w:r>
      <w:r>
        <w:rPr>
          <w:rFonts w:ascii="Arial" w:hAnsi="Arial" w:cs="Arial"/>
          <w:sz w:val="22"/>
          <w:shd w:val="clear" w:color="auto" w:fill="FFFFFF"/>
          <w:lang w:val="es-ES"/>
        </w:rPr>
        <w:t>contra</w:t>
      </w:r>
      <w:r w:rsidR="00894DC7">
        <w:rPr>
          <w:rFonts w:ascii="Arial" w:hAnsi="Arial" w:cs="Arial"/>
          <w:sz w:val="22"/>
          <w:shd w:val="clear" w:color="auto" w:fill="FFFFFF"/>
          <w:lang w:val="es-ES"/>
        </w:rPr>
        <w:t>ta</w:t>
      </w:r>
      <w:r>
        <w:rPr>
          <w:rFonts w:ascii="Arial" w:hAnsi="Arial" w:cs="Arial"/>
          <w:sz w:val="22"/>
          <w:shd w:val="clear" w:color="auto" w:fill="FFFFFF"/>
          <w:lang w:val="es-ES"/>
        </w:rPr>
        <w:t>rse mediante los Documentos Tipo de Infraestructura de Transporte.</w:t>
      </w:r>
      <w:r w:rsidRPr="00F66FE4">
        <w:rPr>
          <w:rFonts w:ascii="Arial" w:hAnsi="Arial" w:cs="Arial"/>
          <w:sz w:val="22"/>
          <w:shd w:val="clear" w:color="auto" w:fill="FFFFFF"/>
          <w:lang w:val="es-ES"/>
        </w:rPr>
        <w:t xml:space="preserve"> </w:t>
      </w:r>
    </w:p>
    <w:p w:rsidR="00F66FE4" w:rsidP="00F66FE4" w:rsidRDefault="00F66FE4" w14:paraId="329A5D0B" w14:textId="63ACA017">
      <w:pPr>
        <w:tabs>
          <w:tab w:val="left" w:pos="426"/>
        </w:tabs>
        <w:spacing w:after="120" w:line="276" w:lineRule="auto"/>
        <w:ind w:firstLine="709"/>
        <w:jc w:val="both"/>
        <w:rPr>
          <w:rFonts w:ascii="Arial" w:hAnsi="Arial" w:cs="Arial"/>
          <w:sz w:val="22"/>
          <w:shd w:val="clear" w:color="auto" w:fill="FFFFFF"/>
          <w:lang w:val="es-ES"/>
        </w:rPr>
      </w:pPr>
      <w:r>
        <w:rPr>
          <w:rFonts w:ascii="Arial" w:hAnsi="Arial" w:cs="Arial"/>
          <w:sz w:val="22"/>
          <w:shd w:val="clear" w:color="auto" w:fill="FFFFFF"/>
          <w:lang w:val="es-ES"/>
        </w:rPr>
        <w:t>En primer lugar, el artículo 2 de la Resolución mencionada, al señalar que el ámbito de aplicación del Manual de Señalización Vial se limita a «</w:t>
      </w:r>
      <w:r w:rsidRPr="00F66FE4">
        <w:rPr>
          <w:rFonts w:ascii="Arial" w:hAnsi="Arial" w:cs="Arial"/>
          <w:sz w:val="22"/>
          <w:shd w:val="clear" w:color="auto" w:fill="FFFFFF"/>
          <w:lang w:val="es-ES"/>
        </w:rPr>
        <w:t xml:space="preserve">calles, carreteras, </w:t>
      </w:r>
      <w:proofErr w:type="spellStart"/>
      <w:r w:rsidRPr="00F66FE4">
        <w:rPr>
          <w:rFonts w:ascii="Arial" w:hAnsi="Arial" w:cs="Arial"/>
          <w:sz w:val="22"/>
          <w:shd w:val="clear" w:color="auto" w:fill="FFFFFF"/>
          <w:lang w:val="es-ES"/>
        </w:rPr>
        <w:t>ciclorrutas</w:t>
      </w:r>
      <w:proofErr w:type="spellEnd"/>
      <w:r w:rsidRPr="00F66FE4">
        <w:rPr>
          <w:rFonts w:ascii="Arial" w:hAnsi="Arial" w:cs="Arial"/>
          <w:sz w:val="22"/>
          <w:shd w:val="clear" w:color="auto" w:fill="FFFFFF"/>
          <w:lang w:val="es-ES"/>
        </w:rPr>
        <w:t>, pasos a nivel de éstas con las vías férreas o cuando se desarrollen obras o eventos que afecten el tránsito sobre las mismas</w:t>
      </w:r>
      <w:r>
        <w:rPr>
          <w:rFonts w:ascii="Arial" w:hAnsi="Arial" w:cs="Arial"/>
          <w:sz w:val="22"/>
          <w:shd w:val="clear" w:color="auto" w:fill="FFFFFF"/>
          <w:lang w:val="es-ES"/>
        </w:rPr>
        <w:t xml:space="preserve">», sirve también para delimitar el ámbito de aplicación  los proyectos de señalización contenidos en los numerales </w:t>
      </w:r>
      <w:r w:rsidRPr="00F66FE4">
        <w:rPr>
          <w:rFonts w:ascii="Arial" w:hAnsi="Arial" w:cs="Arial"/>
          <w:sz w:val="22"/>
          <w:shd w:val="clear" w:color="auto" w:fill="FFFFFF"/>
          <w:lang w:val="es-ES"/>
        </w:rPr>
        <w:t>1.4</w:t>
      </w:r>
      <w:r>
        <w:rPr>
          <w:rFonts w:ascii="Arial" w:hAnsi="Arial" w:cs="Arial"/>
          <w:sz w:val="22"/>
          <w:shd w:val="clear" w:color="auto" w:fill="FFFFFF"/>
          <w:lang w:val="es-ES"/>
        </w:rPr>
        <w:t xml:space="preserve">, </w:t>
      </w:r>
      <w:r w:rsidRPr="00F66FE4">
        <w:rPr>
          <w:rFonts w:ascii="Arial" w:hAnsi="Arial" w:cs="Arial"/>
          <w:sz w:val="22"/>
          <w:shd w:val="clear" w:color="auto" w:fill="FFFFFF"/>
          <w:lang w:val="es-ES"/>
        </w:rPr>
        <w:t>1.5</w:t>
      </w:r>
      <w:r>
        <w:rPr>
          <w:rFonts w:ascii="Arial" w:hAnsi="Arial" w:cs="Arial"/>
          <w:sz w:val="22"/>
          <w:shd w:val="clear" w:color="auto" w:fill="FFFFFF"/>
          <w:lang w:val="es-ES"/>
        </w:rPr>
        <w:t xml:space="preserve">, </w:t>
      </w:r>
      <w:r w:rsidRPr="00F66FE4">
        <w:rPr>
          <w:rFonts w:ascii="Arial" w:hAnsi="Arial" w:cs="Arial"/>
          <w:sz w:val="22"/>
          <w:shd w:val="clear" w:color="auto" w:fill="FFFFFF"/>
          <w:lang w:val="es-ES"/>
        </w:rPr>
        <w:t>6.12</w:t>
      </w:r>
      <w:r>
        <w:rPr>
          <w:rFonts w:ascii="Arial" w:hAnsi="Arial" w:cs="Arial"/>
          <w:sz w:val="22"/>
          <w:shd w:val="clear" w:color="auto" w:fill="FFFFFF"/>
          <w:lang w:val="es-ES"/>
        </w:rPr>
        <w:t xml:space="preserve"> y </w:t>
      </w:r>
      <w:r w:rsidRPr="00F66FE4">
        <w:rPr>
          <w:rFonts w:ascii="Arial" w:hAnsi="Arial" w:cs="Arial"/>
          <w:sz w:val="22"/>
          <w:shd w:val="clear" w:color="auto" w:fill="FFFFFF"/>
          <w:lang w:val="es-ES"/>
        </w:rPr>
        <w:t>6.13</w:t>
      </w:r>
      <w:r>
        <w:rPr>
          <w:rFonts w:ascii="Arial" w:hAnsi="Arial" w:cs="Arial"/>
          <w:sz w:val="22"/>
          <w:shd w:val="clear" w:color="auto" w:fill="FFFFFF"/>
          <w:lang w:val="es-ES"/>
        </w:rPr>
        <w:t xml:space="preserve"> de la «Matriz 1 – Experiencia» de los documentos tipo de </w:t>
      </w:r>
      <w:r w:rsidR="003B0060">
        <w:rPr>
          <w:rFonts w:ascii="Arial" w:hAnsi="Arial" w:cs="Arial"/>
          <w:sz w:val="22"/>
          <w:shd w:val="clear" w:color="auto" w:fill="FFFFFF"/>
          <w:lang w:val="es-ES"/>
        </w:rPr>
        <w:t xml:space="preserve">obra de </w:t>
      </w:r>
      <w:r>
        <w:rPr>
          <w:rFonts w:ascii="Arial" w:hAnsi="Arial" w:cs="Arial"/>
          <w:sz w:val="22"/>
          <w:shd w:val="clear" w:color="auto" w:fill="FFFFFF"/>
          <w:lang w:val="es-ES"/>
        </w:rPr>
        <w:t>infraestructura</w:t>
      </w:r>
      <w:r w:rsidR="003B0060">
        <w:rPr>
          <w:rFonts w:ascii="Arial" w:hAnsi="Arial" w:cs="Arial"/>
          <w:sz w:val="22"/>
          <w:shd w:val="clear" w:color="auto" w:fill="FFFFFF"/>
          <w:lang w:val="es-ES"/>
        </w:rPr>
        <w:t xml:space="preserve"> de transporte</w:t>
      </w:r>
      <w:r>
        <w:rPr>
          <w:rFonts w:ascii="Arial" w:hAnsi="Arial" w:cs="Arial"/>
          <w:sz w:val="22"/>
          <w:shd w:val="clear" w:color="auto" w:fill="FFFFFF"/>
          <w:lang w:val="es-ES"/>
        </w:rPr>
        <w:t xml:space="preserve">, pues </w:t>
      </w:r>
      <w:r>
        <w:rPr>
          <w:rFonts w:ascii="Arial" w:hAnsi="Arial" w:cs="Arial"/>
          <w:sz w:val="22"/>
          <w:shd w:val="clear" w:color="auto" w:fill="FFFFFF"/>
          <w:lang w:val="es-ES"/>
        </w:rPr>
        <w:lastRenderedPageBreak/>
        <w:t xml:space="preserve">estos objetos contractuales precisamente se limitan a proyectos que se relacionan con lo descrito en el artículo 2 de la Resolución No. 0001885 de 2015 al limitarse a señalización  para obras en </w:t>
      </w:r>
      <w:r w:rsidRPr="00F66FE4">
        <w:rPr>
          <w:rFonts w:ascii="Arial" w:hAnsi="Arial" w:cs="Arial"/>
          <w:sz w:val="22"/>
          <w:shd w:val="clear" w:color="auto" w:fill="FFFFFF"/>
          <w:lang w:val="es-ES"/>
        </w:rPr>
        <w:t>vías primarias o secundarias</w:t>
      </w:r>
      <w:r>
        <w:rPr>
          <w:rFonts w:ascii="Arial" w:hAnsi="Arial" w:cs="Arial"/>
          <w:sz w:val="22"/>
          <w:shd w:val="clear" w:color="auto" w:fill="FFFFFF"/>
          <w:lang w:val="es-ES"/>
        </w:rPr>
        <w:t xml:space="preserve"> –numerales 1.4 y 1.5.</w:t>
      </w:r>
      <w:r w:rsidR="003B0060">
        <w:rPr>
          <w:rFonts w:ascii="Arial" w:hAnsi="Arial" w:cs="Arial"/>
          <w:sz w:val="22"/>
          <w:shd w:val="clear" w:color="auto" w:fill="FFFFFF"/>
          <w:lang w:val="es-ES"/>
        </w:rPr>
        <w:t>–</w:t>
      </w:r>
      <w:r>
        <w:rPr>
          <w:rFonts w:ascii="Arial" w:hAnsi="Arial" w:cs="Arial"/>
          <w:sz w:val="22"/>
          <w:shd w:val="clear" w:color="auto" w:fill="FFFFFF"/>
          <w:lang w:val="es-ES"/>
        </w:rPr>
        <w:t xml:space="preserve"> y para obras de infraestructura vial urbana –numerales 6.12 y 6.13</w:t>
      </w:r>
      <w:r w:rsidR="003B0060">
        <w:rPr>
          <w:rFonts w:ascii="Arial" w:hAnsi="Arial" w:cs="Arial"/>
          <w:sz w:val="22"/>
          <w:shd w:val="clear" w:color="auto" w:fill="FFFFFF"/>
          <w:lang w:val="es-ES"/>
        </w:rPr>
        <w:t>–</w:t>
      </w:r>
      <w:r>
        <w:rPr>
          <w:rFonts w:ascii="Arial" w:hAnsi="Arial" w:cs="Arial"/>
          <w:sz w:val="22"/>
          <w:shd w:val="clear" w:color="auto" w:fill="FFFFFF"/>
          <w:lang w:val="es-ES"/>
        </w:rPr>
        <w:t>.</w:t>
      </w:r>
    </w:p>
    <w:p w:rsidRPr="00F66FE4" w:rsidR="00F66FE4" w:rsidP="00F66FE4" w:rsidRDefault="00F66FE4" w14:paraId="2FF390D8" w14:textId="751BD058">
      <w:pPr>
        <w:tabs>
          <w:tab w:val="left" w:pos="426"/>
        </w:tabs>
        <w:spacing w:after="120" w:line="276" w:lineRule="auto"/>
        <w:ind w:firstLine="709"/>
        <w:jc w:val="both"/>
        <w:rPr>
          <w:rFonts w:ascii="Arial" w:hAnsi="Arial" w:cs="Arial"/>
          <w:sz w:val="22"/>
          <w:shd w:val="clear" w:color="auto" w:fill="FFFFFF"/>
          <w:lang w:val="es-ES"/>
        </w:rPr>
      </w:pPr>
      <w:r>
        <w:rPr>
          <w:rFonts w:ascii="Arial" w:hAnsi="Arial" w:cs="Arial"/>
          <w:sz w:val="22"/>
          <w:shd w:val="clear" w:color="auto" w:fill="FFFFFF"/>
          <w:lang w:val="es-ES"/>
        </w:rPr>
        <w:t>Por último, las señalizaciones turísticas referidas en el numeral 2.6. del Manual de Señalización Vial, permiten identificar si se está ante un proyecto de señalización turística que corresponde a una infraestructura vial o si se está ante una que se encuentra al margen de este tipo de proyectos. Debido a esto, la entidad contratante deberá remitirse a lo descrito en el manual para identificar si el objeto a contratar contempla las características de algunos de los tipos de señalizaciones turísticas o si por el contrario se trata de una señalización que no corresponde a lo descrito en el numeral 2.6.</w:t>
      </w:r>
      <w:r w:rsidR="00857B12">
        <w:rPr>
          <w:rFonts w:ascii="Arial" w:hAnsi="Arial" w:cs="Arial"/>
          <w:sz w:val="22"/>
          <w:shd w:val="clear" w:color="auto" w:fill="FFFFFF"/>
          <w:lang w:val="es-ES"/>
        </w:rPr>
        <w:t xml:space="preserve"> del mencionado manual.</w:t>
      </w:r>
      <w:r>
        <w:rPr>
          <w:rFonts w:ascii="Arial" w:hAnsi="Arial" w:cs="Arial"/>
          <w:sz w:val="22"/>
          <w:shd w:val="clear" w:color="auto" w:fill="FFFFFF"/>
          <w:lang w:val="es-ES"/>
        </w:rPr>
        <w:t xml:space="preserve"> Por ejemplo, si el objeto a contratar consiste en la construcción </w:t>
      </w:r>
      <w:r w:rsidR="003B0060">
        <w:rPr>
          <w:rFonts w:ascii="Arial" w:hAnsi="Arial" w:cs="Arial"/>
          <w:sz w:val="22"/>
          <w:shd w:val="clear" w:color="auto" w:fill="FFFFFF"/>
          <w:lang w:val="es-ES"/>
        </w:rPr>
        <w:t xml:space="preserve">de </w:t>
      </w:r>
      <w:r>
        <w:rPr>
          <w:rFonts w:ascii="Arial" w:hAnsi="Arial" w:cs="Arial"/>
          <w:sz w:val="22"/>
          <w:shd w:val="clear" w:color="auto" w:fill="FFFFFF"/>
          <w:lang w:val="es-ES"/>
        </w:rPr>
        <w:t xml:space="preserve">un tótem informativo en un sendero peatonal, el cual no corresponde a una señal turística contemplada en el numeral 2.6. del Manual de Señalización Vial, su contratación debe excluirse de la aplicación de los Documentos Tipo de </w:t>
      </w:r>
      <w:r w:rsidR="003B0060">
        <w:rPr>
          <w:rFonts w:ascii="Arial" w:hAnsi="Arial" w:cs="Arial"/>
          <w:sz w:val="22"/>
          <w:shd w:val="clear" w:color="auto" w:fill="FFFFFF"/>
          <w:lang w:val="es-ES"/>
        </w:rPr>
        <w:t>i</w:t>
      </w:r>
      <w:r>
        <w:rPr>
          <w:rFonts w:ascii="Arial" w:hAnsi="Arial" w:cs="Arial"/>
          <w:sz w:val="22"/>
          <w:shd w:val="clear" w:color="auto" w:fill="FFFFFF"/>
          <w:lang w:val="es-ES"/>
        </w:rPr>
        <w:t>nfraestructura</w:t>
      </w:r>
      <w:r w:rsidR="006E3250">
        <w:rPr>
          <w:rFonts w:ascii="Arial" w:hAnsi="Arial" w:cs="Arial"/>
          <w:sz w:val="22"/>
          <w:shd w:val="clear" w:color="auto" w:fill="FFFFFF"/>
          <w:lang w:val="es-ES"/>
        </w:rPr>
        <w:t xml:space="preserve"> de </w:t>
      </w:r>
      <w:r w:rsidR="003B0060">
        <w:rPr>
          <w:rFonts w:ascii="Arial" w:hAnsi="Arial" w:cs="Arial"/>
          <w:sz w:val="22"/>
          <w:shd w:val="clear" w:color="auto" w:fill="FFFFFF"/>
          <w:lang w:val="es-ES"/>
        </w:rPr>
        <w:t>t</w:t>
      </w:r>
      <w:r w:rsidR="006E3250">
        <w:rPr>
          <w:rFonts w:ascii="Arial" w:hAnsi="Arial" w:cs="Arial"/>
          <w:sz w:val="22"/>
          <w:shd w:val="clear" w:color="auto" w:fill="FFFFFF"/>
          <w:lang w:val="es-ES"/>
        </w:rPr>
        <w:t>ransporte</w:t>
      </w:r>
      <w:r>
        <w:rPr>
          <w:rFonts w:ascii="Arial" w:hAnsi="Arial" w:cs="Arial"/>
          <w:sz w:val="22"/>
          <w:shd w:val="clear" w:color="auto" w:fill="FFFFFF"/>
          <w:lang w:val="es-ES"/>
        </w:rPr>
        <w:t xml:space="preserve">. </w:t>
      </w:r>
    </w:p>
    <w:p w:rsidRPr="00F66FE4" w:rsidR="00F66FE4" w:rsidP="00F66FE4" w:rsidRDefault="00F66FE4" w14:paraId="1E07B51D" w14:textId="441E166C">
      <w:pPr>
        <w:tabs>
          <w:tab w:val="left" w:pos="426"/>
        </w:tabs>
        <w:spacing w:after="120" w:line="276" w:lineRule="auto"/>
        <w:ind w:firstLine="709"/>
        <w:jc w:val="both"/>
        <w:rPr>
          <w:rFonts w:ascii="Arial" w:hAnsi="Arial" w:cs="Arial"/>
          <w:sz w:val="22"/>
          <w:shd w:val="clear" w:color="auto" w:fill="FFFFFF"/>
          <w:lang w:val="es-ES"/>
        </w:rPr>
      </w:pPr>
      <w:r>
        <w:rPr>
          <w:rFonts w:ascii="Arial" w:hAnsi="Arial" w:cs="Arial"/>
          <w:sz w:val="22"/>
          <w:shd w:val="clear" w:color="auto" w:fill="FFFFFF"/>
          <w:lang w:val="es-ES"/>
        </w:rPr>
        <w:t>De conformidad con lo expuesto, para determinar si un proyecto de señalización turística debe contratarse mediante los Documentos Tipo de infraestructura</w:t>
      </w:r>
      <w:r w:rsidR="006E3250">
        <w:rPr>
          <w:rFonts w:ascii="Arial" w:hAnsi="Arial" w:cs="Arial"/>
          <w:sz w:val="22"/>
          <w:shd w:val="clear" w:color="auto" w:fill="FFFFFF"/>
          <w:lang w:val="es-ES"/>
        </w:rPr>
        <w:t xml:space="preserve"> de </w:t>
      </w:r>
      <w:r w:rsidR="003B0060">
        <w:rPr>
          <w:rFonts w:ascii="Arial" w:hAnsi="Arial" w:cs="Arial"/>
          <w:sz w:val="22"/>
          <w:shd w:val="clear" w:color="auto" w:fill="FFFFFF"/>
          <w:lang w:val="es-ES"/>
        </w:rPr>
        <w:t>t</w:t>
      </w:r>
      <w:r w:rsidR="006E3250">
        <w:rPr>
          <w:rFonts w:ascii="Arial" w:hAnsi="Arial" w:cs="Arial"/>
          <w:sz w:val="22"/>
          <w:shd w:val="clear" w:color="auto" w:fill="FFFFFF"/>
          <w:lang w:val="es-ES"/>
        </w:rPr>
        <w:t>ransporte</w:t>
      </w:r>
      <w:r>
        <w:rPr>
          <w:rFonts w:ascii="Arial" w:hAnsi="Arial" w:cs="Arial"/>
          <w:sz w:val="22"/>
          <w:shd w:val="clear" w:color="auto" w:fill="FFFFFF"/>
          <w:lang w:val="es-ES"/>
        </w:rPr>
        <w:t>, dependerá si este corresponde a una señalización vinculada con una infraestructura de transporte</w:t>
      </w:r>
      <w:r w:rsidR="003E2DE8">
        <w:rPr>
          <w:rFonts w:ascii="Arial" w:hAnsi="Arial" w:cs="Arial"/>
          <w:sz w:val="22"/>
          <w:shd w:val="clear" w:color="auto" w:fill="FFFFFF"/>
          <w:lang w:val="es-ES"/>
        </w:rPr>
        <w:t xml:space="preserve">, </w:t>
      </w:r>
      <w:r>
        <w:rPr>
          <w:rFonts w:ascii="Arial" w:hAnsi="Arial" w:cs="Arial"/>
          <w:sz w:val="22"/>
          <w:shd w:val="clear" w:color="auto" w:fill="FFFFFF"/>
          <w:lang w:val="es-ES"/>
        </w:rPr>
        <w:t>en cuyo caso deberán utilizarse los Documento Tipo</w:t>
      </w:r>
      <w:r w:rsidR="003E2DE8">
        <w:rPr>
          <w:rFonts w:ascii="Arial" w:hAnsi="Arial" w:cs="Arial"/>
          <w:sz w:val="22"/>
          <w:shd w:val="clear" w:color="auto" w:fill="FFFFFF"/>
          <w:lang w:val="es-ES"/>
        </w:rPr>
        <w:t>;</w:t>
      </w:r>
      <w:r>
        <w:rPr>
          <w:rFonts w:ascii="Arial" w:hAnsi="Arial" w:cs="Arial"/>
          <w:sz w:val="22"/>
          <w:shd w:val="clear" w:color="auto" w:fill="FFFFFF"/>
          <w:lang w:val="es-ES"/>
        </w:rPr>
        <w:t xml:space="preserve"> o si se trata de un proyecto que </w:t>
      </w:r>
      <w:r w:rsidR="003B0060">
        <w:rPr>
          <w:rFonts w:ascii="Arial" w:hAnsi="Arial" w:cs="Arial"/>
          <w:sz w:val="22"/>
          <w:shd w:val="clear" w:color="auto" w:fill="FFFFFF"/>
          <w:lang w:val="es-ES"/>
        </w:rPr>
        <w:t>no se relaciona con una infraestructura de transporte, sino que está apartado de ella,</w:t>
      </w:r>
      <w:r>
        <w:rPr>
          <w:rFonts w:ascii="Arial" w:hAnsi="Arial" w:cs="Arial"/>
          <w:sz w:val="22"/>
          <w:shd w:val="clear" w:color="auto" w:fill="FFFFFF"/>
          <w:lang w:val="es-ES"/>
        </w:rPr>
        <w:t xml:space="preserve"> </w:t>
      </w:r>
      <w:r w:rsidR="003B0060">
        <w:rPr>
          <w:rFonts w:ascii="Arial" w:hAnsi="Arial" w:cs="Arial"/>
          <w:sz w:val="22"/>
          <w:shd w:val="clear" w:color="auto" w:fill="FFFFFF"/>
          <w:lang w:val="es-ES"/>
        </w:rPr>
        <w:t>caso en que no</w:t>
      </w:r>
      <w:r>
        <w:rPr>
          <w:rFonts w:ascii="Arial" w:hAnsi="Arial" w:cs="Arial"/>
          <w:sz w:val="22"/>
          <w:shd w:val="clear" w:color="auto" w:fill="FFFFFF"/>
          <w:lang w:val="es-ES"/>
        </w:rPr>
        <w:t xml:space="preserve"> se aplicarían los Documentos Tipo. </w:t>
      </w:r>
      <w:r w:rsidRPr="00F66FE4">
        <w:rPr>
          <w:rFonts w:ascii="Arial" w:hAnsi="Arial" w:cs="Arial"/>
          <w:sz w:val="22"/>
          <w:shd w:val="clear" w:color="auto" w:fill="FFFFFF"/>
          <w:lang w:val="es-ES"/>
        </w:rPr>
        <w:t xml:space="preserve">Sin embargo, las entidades estatales deben analizar en cada caso particular si el objeto que pretenden contratar supone o no la aplicación de </w:t>
      </w:r>
      <w:r w:rsidR="003B0060">
        <w:rPr>
          <w:rFonts w:ascii="Arial" w:hAnsi="Arial" w:cs="Arial"/>
          <w:sz w:val="22"/>
          <w:shd w:val="clear" w:color="auto" w:fill="FFFFFF"/>
          <w:lang w:val="es-ES"/>
        </w:rPr>
        <w:t xml:space="preserve">los </w:t>
      </w:r>
      <w:r w:rsidRPr="00F66FE4">
        <w:rPr>
          <w:rFonts w:ascii="Arial" w:hAnsi="Arial" w:cs="Arial"/>
          <w:sz w:val="22"/>
          <w:shd w:val="clear" w:color="auto" w:fill="FFFFFF"/>
          <w:lang w:val="es-ES"/>
        </w:rPr>
        <w:t>documentos tipo y cuál es el alcance real del mismo,</w:t>
      </w:r>
      <w:r w:rsidR="003B0060">
        <w:rPr>
          <w:rFonts w:ascii="Arial" w:hAnsi="Arial" w:cs="Arial"/>
          <w:sz w:val="22"/>
          <w:shd w:val="clear" w:color="auto" w:fill="FFFFFF"/>
          <w:lang w:val="es-ES"/>
        </w:rPr>
        <w:t xml:space="preserve"> teniendo en cuenta lo indicado en este concepto, donde se acotó el entendimiento de las «señales turísticas» para efectos de</w:t>
      </w:r>
      <w:r w:rsidR="00C66B54">
        <w:rPr>
          <w:rFonts w:ascii="Arial" w:hAnsi="Arial" w:cs="Arial"/>
          <w:sz w:val="22"/>
          <w:shd w:val="clear" w:color="auto" w:fill="FFFFFF"/>
          <w:lang w:val="es-ES"/>
        </w:rPr>
        <w:t xml:space="preserve"> dicho</w:t>
      </w:r>
      <w:r w:rsidR="003B0060">
        <w:rPr>
          <w:rFonts w:ascii="Arial" w:hAnsi="Arial" w:cs="Arial"/>
          <w:sz w:val="22"/>
          <w:shd w:val="clear" w:color="auto" w:fill="FFFFFF"/>
          <w:lang w:val="es-ES"/>
        </w:rPr>
        <w:t xml:space="preserve"> análisis. Adicionalmente, debe tenerse presente que</w:t>
      </w:r>
      <w:r w:rsidRPr="00F66FE4">
        <w:rPr>
          <w:rFonts w:ascii="Arial" w:hAnsi="Arial" w:cs="Arial"/>
          <w:sz w:val="22"/>
          <w:shd w:val="clear" w:color="auto" w:fill="FFFFFF"/>
          <w:lang w:val="es-ES"/>
        </w:rPr>
        <w:t xml:space="preserve"> es posible que </w:t>
      </w:r>
      <w:r w:rsidR="003B0060">
        <w:rPr>
          <w:rFonts w:ascii="Arial" w:hAnsi="Arial" w:cs="Arial"/>
          <w:sz w:val="22"/>
          <w:shd w:val="clear" w:color="auto" w:fill="FFFFFF"/>
          <w:lang w:val="es-ES"/>
        </w:rPr>
        <w:t xml:space="preserve">en desarrollo de un proyecto </w:t>
      </w:r>
      <w:r w:rsidRPr="00F66FE4">
        <w:rPr>
          <w:rFonts w:ascii="Arial" w:hAnsi="Arial" w:cs="Arial"/>
          <w:sz w:val="22"/>
          <w:shd w:val="clear" w:color="auto" w:fill="FFFFFF"/>
          <w:lang w:val="es-ES"/>
        </w:rPr>
        <w:t xml:space="preserve">concurran actividades incluidas dentro </w:t>
      </w:r>
      <w:r w:rsidR="003B0060">
        <w:rPr>
          <w:rFonts w:ascii="Arial" w:hAnsi="Arial" w:cs="Arial"/>
          <w:sz w:val="22"/>
          <w:shd w:val="clear" w:color="auto" w:fill="FFFFFF"/>
          <w:lang w:val="es-ES"/>
        </w:rPr>
        <w:t>del ámbito de aplicación de los documentos tipo y</w:t>
      </w:r>
      <w:r w:rsidRPr="00F66FE4">
        <w:rPr>
          <w:rFonts w:ascii="Arial" w:hAnsi="Arial" w:cs="Arial"/>
          <w:sz w:val="22"/>
          <w:shd w:val="clear" w:color="auto" w:fill="FFFFFF"/>
          <w:lang w:val="es-ES"/>
        </w:rPr>
        <w:t xml:space="preserve"> otras que no han sido incluidas</w:t>
      </w:r>
      <w:r w:rsidR="003B0060">
        <w:rPr>
          <w:rFonts w:ascii="Arial" w:hAnsi="Arial" w:cs="Arial"/>
          <w:sz w:val="22"/>
          <w:shd w:val="clear" w:color="auto" w:fill="FFFFFF"/>
          <w:lang w:val="es-ES"/>
        </w:rPr>
        <w:t>, e</w:t>
      </w:r>
      <w:r w:rsidRPr="00F66FE4">
        <w:rPr>
          <w:rFonts w:ascii="Arial" w:hAnsi="Arial" w:cs="Arial"/>
          <w:sz w:val="22"/>
          <w:shd w:val="clear" w:color="auto" w:fill="FFFFFF"/>
          <w:lang w:val="es-ES"/>
        </w:rPr>
        <w:t>n dicho caso deberán aplicarse los documentos tipo, independientemente de que la totalidad del objeto contractual no esté referido al desarrollo de actividades incluidas en la Matriz 1</w:t>
      </w:r>
      <w:r w:rsidR="003B0060">
        <w:rPr>
          <w:rFonts w:ascii="Arial" w:hAnsi="Arial" w:cs="Arial"/>
          <w:sz w:val="22"/>
          <w:shd w:val="clear" w:color="auto" w:fill="FFFFFF"/>
          <w:lang w:val="es-ES"/>
        </w:rPr>
        <w:t>.</w:t>
      </w:r>
      <w:r w:rsidRPr="00F66FE4">
        <w:rPr>
          <w:rFonts w:ascii="Arial" w:hAnsi="Arial" w:cs="Arial"/>
          <w:sz w:val="22"/>
          <w:shd w:val="clear" w:color="auto" w:fill="FFFFFF"/>
          <w:lang w:val="es-ES"/>
        </w:rPr>
        <w:t xml:space="preserve">  </w:t>
      </w:r>
    </w:p>
    <w:p w:rsidRPr="00F66FE4" w:rsidR="004E74D7" w:rsidP="00E20BB2" w:rsidRDefault="00160D2F" w14:paraId="13F35884" w14:textId="4F937B7C">
      <w:pPr>
        <w:tabs>
          <w:tab w:val="left" w:pos="426"/>
        </w:tabs>
        <w:spacing w:line="276" w:lineRule="auto"/>
        <w:jc w:val="both"/>
        <w:rPr>
          <w:rFonts w:ascii="Arial" w:hAnsi="Arial" w:cs="Arial"/>
          <w:sz w:val="21"/>
          <w:szCs w:val="21"/>
          <w:lang w:val="es-ES"/>
        </w:rPr>
      </w:pPr>
      <w:r w:rsidRPr="00F66FE4">
        <w:rPr>
          <w:rFonts w:ascii="Arial" w:hAnsi="Arial" w:cs="Arial"/>
          <w:sz w:val="22"/>
          <w:shd w:val="clear" w:color="auto" w:fill="FFFFFF"/>
          <w:lang w:val="es-ES"/>
        </w:rPr>
        <w:tab/>
      </w:r>
      <w:r w:rsidRPr="00F66FE4">
        <w:rPr>
          <w:rFonts w:ascii="Arial" w:hAnsi="Arial" w:cs="Arial"/>
          <w:sz w:val="22"/>
          <w:shd w:val="clear" w:color="auto" w:fill="FFFFFF"/>
          <w:lang w:val="es-ES"/>
        </w:rPr>
        <w:tab/>
      </w:r>
    </w:p>
    <w:p w:rsidRPr="00F66FE4" w:rsidR="00DD689E" w:rsidP="00DD689E" w:rsidRDefault="00DD689E" w14:paraId="6B72FAB3" w14:textId="77777777">
      <w:pPr>
        <w:pStyle w:val="Prrafodelista"/>
        <w:numPr>
          <w:ilvl w:val="0"/>
          <w:numId w:val="1"/>
        </w:numPr>
        <w:tabs>
          <w:tab w:val="left" w:pos="284"/>
        </w:tabs>
        <w:spacing w:line="276" w:lineRule="auto"/>
        <w:ind w:left="0" w:firstLine="0"/>
        <w:rPr>
          <w:rFonts w:ascii="Arial" w:hAnsi="Arial" w:cs="Arial"/>
          <w:b/>
          <w:bCs/>
          <w:sz w:val="22"/>
          <w:lang w:val="es-ES"/>
        </w:rPr>
      </w:pPr>
      <w:r w:rsidRPr="00F66FE4">
        <w:rPr>
          <w:rFonts w:ascii="Arial" w:hAnsi="Arial" w:cs="Arial"/>
          <w:b/>
          <w:bCs/>
          <w:sz w:val="22"/>
          <w:lang w:val="es-ES"/>
        </w:rPr>
        <w:t xml:space="preserve">Respuesta </w:t>
      </w:r>
    </w:p>
    <w:p w:rsidRPr="00F66FE4" w:rsidR="00DD689E" w:rsidP="00DD689E" w:rsidRDefault="00DD689E" w14:paraId="35089AD1" w14:textId="77777777">
      <w:pPr>
        <w:spacing w:line="276" w:lineRule="auto"/>
        <w:ind w:right="709"/>
        <w:jc w:val="both"/>
        <w:rPr>
          <w:rFonts w:ascii="Arial" w:hAnsi="Arial" w:cs="Arial"/>
          <w:sz w:val="21"/>
          <w:szCs w:val="21"/>
          <w:lang w:val="es-ES"/>
        </w:rPr>
      </w:pPr>
    </w:p>
    <w:p w:rsidR="00ED62B5" w:rsidP="00F66FE4" w:rsidRDefault="00F66FE4" w14:paraId="730C7D8D" w14:textId="2CE7E552">
      <w:pPr>
        <w:ind w:left="709" w:right="709"/>
        <w:jc w:val="both"/>
        <w:rPr>
          <w:rFonts w:ascii="Arial" w:hAnsi="Arial" w:eastAsia="Calibri" w:cs="Arial"/>
          <w:sz w:val="21"/>
          <w:szCs w:val="21"/>
          <w:lang w:val="es-ES"/>
        </w:rPr>
      </w:pPr>
      <w:r w:rsidRPr="00F66FE4">
        <w:rPr>
          <w:rFonts w:ascii="Arial" w:hAnsi="Arial" w:eastAsia="Calibri" w:cs="Arial"/>
          <w:sz w:val="21"/>
          <w:szCs w:val="21"/>
          <w:lang w:val="es-ES"/>
        </w:rPr>
        <w:t xml:space="preserve">Usted realiza su consulta, solicitando a Colombia Compra Eficiente aclarar si los Documentos Tipo de infraestructura de transporte, son obligatorios para los proyectos de señalización turística.  </w:t>
      </w:r>
    </w:p>
    <w:p w:rsidRPr="00F66FE4" w:rsidR="00F66FE4" w:rsidP="00F66FE4" w:rsidRDefault="00F66FE4" w14:paraId="5C2A7C9C" w14:textId="77777777">
      <w:pPr>
        <w:ind w:left="709" w:right="709"/>
        <w:jc w:val="both"/>
        <w:rPr>
          <w:rFonts w:ascii="Arial" w:hAnsi="Arial" w:eastAsia="Calibri" w:cs="Arial"/>
          <w:sz w:val="22"/>
          <w:lang w:val="es-ES"/>
        </w:rPr>
      </w:pPr>
    </w:p>
    <w:p w:rsidRPr="00F66FE4" w:rsidR="00F91C21" w:rsidP="000137F2" w:rsidRDefault="00F178FF" w14:paraId="5C08A8EE" w14:textId="0F7F0998">
      <w:pPr>
        <w:spacing w:after="120" w:line="276" w:lineRule="auto"/>
        <w:jc w:val="both"/>
        <w:rPr>
          <w:rFonts w:ascii="Arial" w:hAnsi="Arial" w:eastAsia="Calibri" w:cs="Arial"/>
          <w:sz w:val="22"/>
          <w:lang w:val="es-ES"/>
        </w:rPr>
      </w:pPr>
      <w:r w:rsidRPr="00F66FE4">
        <w:rPr>
          <w:rFonts w:ascii="Arial" w:hAnsi="Arial" w:eastAsia="Calibri" w:cs="Arial"/>
          <w:sz w:val="22"/>
          <w:lang w:val="es-ES"/>
        </w:rPr>
        <w:t xml:space="preserve">Las entidades estatales regidas por el Estatuto General de Contratación de la Administración Pública, de conformidad con el parágrafo 7 del artículo </w:t>
      </w:r>
      <w:r w:rsidRPr="00F66FE4" w:rsidR="001C45BA">
        <w:rPr>
          <w:rFonts w:ascii="Arial" w:hAnsi="Arial" w:eastAsia="Calibri" w:cs="Arial"/>
          <w:sz w:val="22"/>
          <w:lang w:val="es-ES"/>
        </w:rPr>
        <w:t>2 de la Ley 1150 de 2007, adicionado por</w:t>
      </w:r>
      <w:r w:rsidRPr="00F66FE4" w:rsidR="004570C5">
        <w:rPr>
          <w:rFonts w:ascii="Arial" w:hAnsi="Arial" w:eastAsia="Calibri" w:cs="Arial"/>
          <w:sz w:val="22"/>
          <w:lang w:val="es-ES"/>
        </w:rPr>
        <w:t xml:space="preserve"> la Ley 1882 de 2018 y modificado por la Ley 2022 de 2020, se encuentran obligadas a </w:t>
      </w:r>
      <w:r w:rsidRPr="00F66FE4" w:rsidR="00EC0004">
        <w:rPr>
          <w:rFonts w:ascii="Arial" w:hAnsi="Arial" w:eastAsia="Calibri" w:cs="Arial"/>
          <w:sz w:val="22"/>
          <w:lang w:val="es-ES"/>
        </w:rPr>
        <w:t>aplicar los documentos tipo de infraestructura de transporte</w:t>
      </w:r>
      <w:r w:rsidRPr="00F66FE4" w:rsidR="009C5B20">
        <w:rPr>
          <w:rFonts w:ascii="Arial" w:hAnsi="Arial" w:eastAsia="Calibri" w:cs="Arial"/>
          <w:sz w:val="22"/>
          <w:lang w:val="es-ES"/>
        </w:rPr>
        <w:t xml:space="preserve"> implementados por esta Agencia</w:t>
      </w:r>
      <w:r w:rsidRPr="00F66FE4" w:rsidR="00EC0004">
        <w:rPr>
          <w:rFonts w:ascii="Arial" w:hAnsi="Arial" w:eastAsia="Calibri" w:cs="Arial"/>
          <w:sz w:val="22"/>
          <w:lang w:val="es-ES"/>
        </w:rPr>
        <w:t xml:space="preserve"> para la contratación de obras públicas</w:t>
      </w:r>
      <w:r w:rsidRPr="00F66FE4" w:rsidR="00F91C21">
        <w:rPr>
          <w:rFonts w:ascii="Arial" w:hAnsi="Arial" w:eastAsia="Calibri" w:cs="Arial"/>
          <w:sz w:val="22"/>
          <w:lang w:val="es-ES"/>
        </w:rPr>
        <w:t xml:space="preserve"> dirigidas a </w:t>
      </w:r>
      <w:r w:rsidRPr="00F66FE4" w:rsidR="00603735">
        <w:rPr>
          <w:rFonts w:ascii="Arial" w:hAnsi="Arial" w:eastAsia="Calibri" w:cs="Arial"/>
          <w:sz w:val="22"/>
          <w:lang w:val="es-ES"/>
        </w:rPr>
        <w:t xml:space="preserve">intervenir </w:t>
      </w:r>
      <w:r w:rsidRPr="00F66FE4" w:rsidR="00603735">
        <w:rPr>
          <w:rFonts w:ascii="Arial" w:hAnsi="Arial" w:eastAsia="Calibri" w:cs="Arial"/>
          <w:sz w:val="22"/>
          <w:lang w:val="es-ES"/>
        </w:rPr>
        <w:lastRenderedPageBreak/>
        <w:t>dicha infraestructura. No obstante,</w:t>
      </w:r>
      <w:r w:rsidRPr="00F66FE4" w:rsidR="00214062">
        <w:rPr>
          <w:rFonts w:ascii="Arial" w:hAnsi="Arial" w:eastAsia="Calibri" w:cs="Arial"/>
          <w:sz w:val="22"/>
          <w:lang w:val="es-ES"/>
        </w:rPr>
        <w:t xml:space="preserve"> </w:t>
      </w:r>
      <w:r w:rsidRPr="00F66FE4" w:rsidR="00603735">
        <w:rPr>
          <w:rFonts w:ascii="Arial" w:hAnsi="Arial" w:eastAsia="Calibri" w:cs="Arial"/>
          <w:sz w:val="22"/>
          <w:lang w:val="es-ES"/>
        </w:rPr>
        <w:t xml:space="preserve">para </w:t>
      </w:r>
      <w:r w:rsidRPr="00F66FE4" w:rsidR="00214062">
        <w:rPr>
          <w:rFonts w:ascii="Arial" w:hAnsi="Arial" w:eastAsia="Calibri" w:cs="Arial"/>
          <w:sz w:val="22"/>
          <w:lang w:val="es-ES"/>
        </w:rPr>
        <w:t xml:space="preserve">determinar </w:t>
      </w:r>
      <w:r w:rsidRPr="00F66FE4" w:rsidR="00603735">
        <w:rPr>
          <w:rFonts w:ascii="Arial" w:hAnsi="Arial" w:eastAsia="Calibri" w:cs="Arial"/>
          <w:sz w:val="22"/>
          <w:lang w:val="es-ES"/>
        </w:rPr>
        <w:t xml:space="preserve">si </w:t>
      </w:r>
      <w:r w:rsidRPr="00F66FE4" w:rsidR="00214062">
        <w:rPr>
          <w:rFonts w:ascii="Arial" w:hAnsi="Arial" w:eastAsia="Calibri" w:cs="Arial"/>
          <w:sz w:val="22"/>
          <w:lang w:val="es-ES"/>
        </w:rPr>
        <w:t xml:space="preserve">deben </w:t>
      </w:r>
      <w:r w:rsidRPr="00F66FE4" w:rsidR="00366BE9">
        <w:rPr>
          <w:rFonts w:ascii="Arial" w:hAnsi="Arial" w:eastAsia="Calibri" w:cs="Arial"/>
          <w:sz w:val="22"/>
          <w:lang w:val="es-ES"/>
        </w:rPr>
        <w:t>aplicarse</w:t>
      </w:r>
      <w:r w:rsidRPr="00F66FE4" w:rsidR="00F328C3">
        <w:rPr>
          <w:rFonts w:ascii="Arial" w:hAnsi="Arial" w:eastAsia="Calibri" w:cs="Arial"/>
          <w:sz w:val="22"/>
          <w:lang w:val="es-ES"/>
        </w:rPr>
        <w:t xml:space="preserve"> </w:t>
      </w:r>
      <w:r w:rsidRPr="00F66FE4" w:rsidR="00214062">
        <w:rPr>
          <w:rFonts w:ascii="Arial" w:hAnsi="Arial" w:eastAsia="Calibri" w:cs="Arial"/>
          <w:sz w:val="22"/>
          <w:lang w:val="es-ES"/>
        </w:rPr>
        <w:t>los documentos tipo adoptados mediante las resoluciones</w:t>
      </w:r>
      <w:r w:rsidRPr="00F66FE4" w:rsidR="00F328C3">
        <w:rPr>
          <w:rFonts w:ascii="Arial" w:hAnsi="Arial" w:eastAsia="Calibri" w:cs="Arial"/>
          <w:sz w:val="22"/>
          <w:lang w:val="es-ES"/>
        </w:rPr>
        <w:t xml:space="preserve"> Nos.</w:t>
      </w:r>
      <w:r w:rsidRPr="00F66FE4" w:rsidR="00214062">
        <w:rPr>
          <w:rFonts w:ascii="Arial" w:hAnsi="Arial" w:eastAsia="Calibri" w:cs="Arial"/>
          <w:sz w:val="22"/>
          <w:lang w:val="es-ES"/>
        </w:rPr>
        <w:t xml:space="preserve"> </w:t>
      </w:r>
      <w:r w:rsidRPr="00F66FE4" w:rsidR="003E2DE8">
        <w:rPr>
          <w:rFonts w:ascii="Arial" w:hAnsi="Arial" w:eastAsia="Calibri" w:cs="Arial"/>
          <w:sz w:val="22"/>
          <w:lang w:val="es-ES"/>
        </w:rPr>
        <w:t>094</w:t>
      </w:r>
      <w:r w:rsidR="003E2DE8">
        <w:rPr>
          <w:rFonts w:ascii="Arial" w:hAnsi="Arial" w:eastAsia="Calibri" w:cs="Arial"/>
          <w:sz w:val="22"/>
          <w:lang w:val="es-ES"/>
        </w:rPr>
        <w:t>,</w:t>
      </w:r>
      <w:r w:rsidRPr="00F66FE4" w:rsidR="003E2DE8">
        <w:rPr>
          <w:rFonts w:ascii="Arial" w:hAnsi="Arial" w:eastAsia="Calibri" w:cs="Arial"/>
          <w:sz w:val="22"/>
          <w:lang w:val="es-ES"/>
        </w:rPr>
        <w:t xml:space="preserve"> </w:t>
      </w:r>
      <w:r w:rsidR="003E2DE8">
        <w:rPr>
          <w:rFonts w:ascii="Arial" w:hAnsi="Arial" w:eastAsia="Calibri" w:cs="Arial"/>
          <w:sz w:val="22"/>
          <w:lang w:val="es-ES"/>
        </w:rPr>
        <w:t xml:space="preserve">240 </w:t>
      </w:r>
      <w:proofErr w:type="spellStart"/>
      <w:r w:rsidR="003E2DE8">
        <w:rPr>
          <w:rFonts w:ascii="Arial" w:hAnsi="Arial" w:eastAsia="Calibri" w:cs="Arial"/>
          <w:sz w:val="22"/>
          <w:lang w:val="es-ES"/>
        </w:rPr>
        <w:t>ó</w:t>
      </w:r>
      <w:proofErr w:type="spellEnd"/>
      <w:r w:rsidR="003E2DE8">
        <w:rPr>
          <w:rFonts w:ascii="Arial" w:hAnsi="Arial" w:eastAsia="Calibri" w:cs="Arial"/>
          <w:sz w:val="22"/>
          <w:lang w:val="es-ES"/>
        </w:rPr>
        <w:t xml:space="preserve"> 241 </w:t>
      </w:r>
      <w:r w:rsidRPr="00F66FE4" w:rsidR="00F328C3">
        <w:rPr>
          <w:rFonts w:ascii="Arial" w:hAnsi="Arial" w:eastAsia="Calibri" w:cs="Arial"/>
          <w:sz w:val="22"/>
          <w:lang w:val="es-ES"/>
        </w:rPr>
        <w:t>de 2020, la</w:t>
      </w:r>
      <w:r w:rsidRPr="00F66FE4" w:rsidR="00366BE9">
        <w:rPr>
          <w:rFonts w:ascii="Arial" w:hAnsi="Arial" w:eastAsia="Calibri" w:cs="Arial"/>
          <w:sz w:val="22"/>
          <w:lang w:val="es-ES"/>
        </w:rPr>
        <w:t>s entidades deberán verificar que el objeto a contratar</w:t>
      </w:r>
      <w:r w:rsidRPr="00F66FE4" w:rsidR="00CE5DC1">
        <w:rPr>
          <w:rFonts w:ascii="Arial" w:hAnsi="Arial" w:eastAsia="Calibri" w:cs="Arial"/>
          <w:sz w:val="22"/>
          <w:lang w:val="es-ES"/>
        </w:rPr>
        <w:t xml:space="preserve"> </w:t>
      </w:r>
      <w:r w:rsidR="003E2DE8">
        <w:rPr>
          <w:rFonts w:ascii="Arial" w:hAnsi="Arial" w:eastAsia="Calibri" w:cs="Arial"/>
          <w:sz w:val="22"/>
          <w:lang w:val="es-ES"/>
        </w:rPr>
        <w:t xml:space="preserve">se </w:t>
      </w:r>
      <w:r w:rsidRPr="00F66FE4" w:rsidR="00CE5DC1">
        <w:rPr>
          <w:rFonts w:ascii="Arial" w:hAnsi="Arial" w:eastAsia="Calibri" w:cs="Arial"/>
          <w:sz w:val="22"/>
          <w:lang w:val="es-ES"/>
        </w:rPr>
        <w:t xml:space="preserve">encuadre dentro de alguna de las actividades señaladas en </w:t>
      </w:r>
      <w:r w:rsidRPr="00F66FE4" w:rsidR="00F74F9B">
        <w:rPr>
          <w:rFonts w:ascii="Arial" w:hAnsi="Arial" w:eastAsia="Calibri" w:cs="Arial"/>
          <w:sz w:val="22"/>
          <w:lang w:val="es-ES"/>
        </w:rPr>
        <w:t>la Matriz 1</w:t>
      </w:r>
      <w:r w:rsidR="003E2DE8">
        <w:rPr>
          <w:rFonts w:ascii="Arial" w:hAnsi="Arial" w:eastAsia="Calibri" w:cs="Arial"/>
          <w:sz w:val="22"/>
          <w:lang w:val="es-ES"/>
        </w:rPr>
        <w:t xml:space="preserve"> de cada documento tipo</w:t>
      </w:r>
      <w:r w:rsidRPr="00F66FE4" w:rsidR="002806CA">
        <w:rPr>
          <w:rFonts w:ascii="Arial" w:hAnsi="Arial" w:eastAsia="Calibri" w:cs="Arial"/>
          <w:sz w:val="22"/>
          <w:lang w:val="es-ES"/>
        </w:rPr>
        <w:t xml:space="preserve">. De no estar incluidas, no </w:t>
      </w:r>
      <w:r w:rsidRPr="00F66FE4" w:rsidR="000137F2">
        <w:rPr>
          <w:rFonts w:ascii="Arial" w:hAnsi="Arial" w:eastAsia="Calibri" w:cs="Arial"/>
          <w:sz w:val="22"/>
          <w:lang w:val="es-ES"/>
        </w:rPr>
        <w:t>ser</w:t>
      </w:r>
      <w:r w:rsidR="003E2DE8">
        <w:rPr>
          <w:rFonts w:ascii="Arial" w:hAnsi="Arial" w:eastAsia="Calibri" w:cs="Arial"/>
          <w:sz w:val="22"/>
          <w:lang w:val="es-ES"/>
        </w:rPr>
        <w:t>ía</w:t>
      </w:r>
      <w:r w:rsidRPr="00F66FE4" w:rsidR="000137F2">
        <w:rPr>
          <w:rFonts w:ascii="Arial" w:hAnsi="Arial" w:eastAsia="Calibri" w:cs="Arial"/>
          <w:sz w:val="22"/>
          <w:lang w:val="es-ES"/>
        </w:rPr>
        <w:t xml:space="preserve"> obligatoria la aplicación de los documentos tipo.</w:t>
      </w:r>
      <w:r w:rsidRPr="00F66FE4" w:rsidR="00F328C3">
        <w:rPr>
          <w:rFonts w:ascii="Arial" w:hAnsi="Arial" w:eastAsia="Calibri" w:cs="Arial"/>
          <w:sz w:val="22"/>
          <w:lang w:val="es-ES"/>
        </w:rPr>
        <w:t xml:space="preserve"> </w:t>
      </w:r>
    </w:p>
    <w:p w:rsidR="006311D7" w:rsidRDefault="000137F2" w14:paraId="090C3921" w14:textId="216262D1">
      <w:pPr>
        <w:spacing w:after="120" w:line="276" w:lineRule="auto"/>
        <w:jc w:val="both"/>
        <w:rPr>
          <w:rFonts w:ascii="Arial" w:hAnsi="Arial" w:cs="Arial"/>
          <w:sz w:val="22"/>
          <w:shd w:val="clear" w:color="auto" w:fill="FFFFFF"/>
          <w:lang w:val="es-ES"/>
        </w:rPr>
      </w:pPr>
      <w:r w:rsidRPr="00F66FE4">
        <w:rPr>
          <w:rFonts w:ascii="Arial" w:hAnsi="Arial" w:eastAsia="Calibri" w:cs="Arial"/>
          <w:sz w:val="22"/>
          <w:lang w:val="es-ES"/>
        </w:rPr>
        <w:tab/>
      </w:r>
      <w:r w:rsidRPr="00F66FE4">
        <w:rPr>
          <w:rFonts w:ascii="Arial" w:hAnsi="Arial" w:eastAsia="Calibri" w:cs="Arial"/>
          <w:sz w:val="22"/>
          <w:lang w:val="es-ES"/>
        </w:rPr>
        <w:t>Conforme a esto, revisad</w:t>
      </w:r>
      <w:r w:rsidRPr="00F66FE4" w:rsidR="00F74F9B">
        <w:rPr>
          <w:rFonts w:ascii="Arial" w:hAnsi="Arial" w:eastAsia="Calibri" w:cs="Arial"/>
          <w:sz w:val="22"/>
          <w:lang w:val="es-ES"/>
        </w:rPr>
        <w:t>a la Matriz</w:t>
      </w:r>
      <w:r w:rsidRPr="00F66FE4">
        <w:rPr>
          <w:rFonts w:ascii="Arial" w:hAnsi="Arial" w:eastAsia="Calibri" w:cs="Arial"/>
          <w:sz w:val="22"/>
          <w:lang w:val="es-ES"/>
        </w:rPr>
        <w:t xml:space="preserve"> 1 adoptada mediante las resoluciones </w:t>
      </w:r>
      <w:r w:rsidRPr="00F66FE4" w:rsidR="00F74F9B">
        <w:rPr>
          <w:rFonts w:ascii="Arial" w:hAnsi="Arial" w:eastAsia="Calibri" w:cs="Arial"/>
          <w:sz w:val="22"/>
          <w:lang w:val="es-ES"/>
        </w:rPr>
        <w:t>precitadas</w:t>
      </w:r>
      <w:r w:rsidRPr="00F66FE4">
        <w:rPr>
          <w:rFonts w:ascii="Arial" w:hAnsi="Arial" w:eastAsia="Calibri" w:cs="Arial"/>
          <w:sz w:val="22"/>
          <w:lang w:val="es-ES"/>
        </w:rPr>
        <w:t>, se advierte que</w:t>
      </w:r>
      <w:r w:rsidRPr="00F66FE4" w:rsidR="006D7A62">
        <w:rPr>
          <w:rFonts w:ascii="Arial" w:hAnsi="Arial" w:eastAsia="Calibri" w:cs="Arial"/>
          <w:sz w:val="22"/>
          <w:lang w:val="es-ES"/>
        </w:rPr>
        <w:t xml:space="preserve"> </w:t>
      </w:r>
      <w:r w:rsidR="00F66FE4">
        <w:rPr>
          <w:rFonts w:ascii="Arial" w:hAnsi="Arial" w:eastAsia="Calibri" w:cs="Arial"/>
          <w:sz w:val="22"/>
          <w:lang w:val="es-ES"/>
        </w:rPr>
        <w:t xml:space="preserve">la contratación de un proyecto de señalización turística mediante los Documentos Tipo </w:t>
      </w:r>
      <w:r w:rsidR="00F66FE4">
        <w:rPr>
          <w:rFonts w:ascii="Arial" w:hAnsi="Arial" w:cs="Arial"/>
          <w:sz w:val="22"/>
          <w:shd w:val="clear" w:color="auto" w:fill="FFFFFF"/>
          <w:lang w:val="es-ES"/>
        </w:rPr>
        <w:t xml:space="preserve">dependerá </w:t>
      </w:r>
      <w:r w:rsidR="00C66B54">
        <w:rPr>
          <w:rFonts w:ascii="Arial" w:hAnsi="Arial" w:cs="Arial"/>
          <w:sz w:val="22"/>
          <w:shd w:val="clear" w:color="auto" w:fill="FFFFFF"/>
          <w:lang w:val="es-ES"/>
        </w:rPr>
        <w:t xml:space="preserve">de </w:t>
      </w:r>
      <w:r w:rsidR="00F66FE4">
        <w:rPr>
          <w:rFonts w:ascii="Arial" w:hAnsi="Arial" w:cs="Arial"/>
          <w:sz w:val="22"/>
          <w:shd w:val="clear" w:color="auto" w:fill="FFFFFF"/>
          <w:lang w:val="es-ES"/>
        </w:rPr>
        <w:t>si corresponde a una señalización vinculada</w:t>
      </w:r>
      <w:r w:rsidR="009A2047">
        <w:rPr>
          <w:rFonts w:ascii="Arial" w:hAnsi="Arial" w:cs="Arial"/>
          <w:sz w:val="22"/>
          <w:shd w:val="clear" w:color="auto" w:fill="FFFFFF"/>
          <w:lang w:val="es-ES"/>
        </w:rPr>
        <w:t xml:space="preserve"> o asociada</w:t>
      </w:r>
      <w:r w:rsidR="00F66FE4">
        <w:rPr>
          <w:rFonts w:ascii="Arial" w:hAnsi="Arial" w:cs="Arial"/>
          <w:sz w:val="22"/>
          <w:shd w:val="clear" w:color="auto" w:fill="FFFFFF"/>
          <w:lang w:val="es-ES"/>
        </w:rPr>
        <w:t xml:space="preserve"> con una infraestructura de transporte</w:t>
      </w:r>
      <w:r w:rsidR="003E2DE8">
        <w:rPr>
          <w:rFonts w:ascii="Arial" w:hAnsi="Arial" w:cs="Arial"/>
          <w:sz w:val="22"/>
          <w:shd w:val="clear" w:color="auto" w:fill="FFFFFF"/>
          <w:lang w:val="es-ES"/>
        </w:rPr>
        <w:t xml:space="preserve">, </w:t>
      </w:r>
      <w:r w:rsidR="00F66FE4">
        <w:rPr>
          <w:rFonts w:ascii="Arial" w:hAnsi="Arial" w:cs="Arial"/>
          <w:sz w:val="22"/>
          <w:shd w:val="clear" w:color="auto" w:fill="FFFFFF"/>
          <w:lang w:val="es-ES"/>
        </w:rPr>
        <w:t>en cuyo caso deberán utilizarse los Documento Tipo</w:t>
      </w:r>
      <w:r w:rsidR="003E2DE8">
        <w:rPr>
          <w:rFonts w:ascii="Arial" w:hAnsi="Arial" w:cs="Arial"/>
          <w:sz w:val="22"/>
          <w:shd w:val="clear" w:color="auto" w:fill="FFFFFF"/>
          <w:lang w:val="es-ES"/>
        </w:rPr>
        <w:t>;</w:t>
      </w:r>
      <w:r w:rsidR="00F66FE4">
        <w:rPr>
          <w:rFonts w:ascii="Arial" w:hAnsi="Arial" w:cs="Arial"/>
          <w:sz w:val="22"/>
          <w:shd w:val="clear" w:color="auto" w:fill="FFFFFF"/>
          <w:lang w:val="es-ES"/>
        </w:rPr>
        <w:t xml:space="preserve"> </w:t>
      </w:r>
      <w:r w:rsidR="003E2DE8">
        <w:rPr>
          <w:rFonts w:ascii="Arial" w:hAnsi="Arial" w:cs="Arial"/>
          <w:sz w:val="22"/>
          <w:shd w:val="clear" w:color="auto" w:fill="FFFFFF"/>
          <w:lang w:val="es-ES"/>
        </w:rPr>
        <w:t>o si se trata de un proyecto que no se relaciona con una infraestructura de transporte, sino que está apartado de ella, caso en que no se aplicarían los Documentos Tipo</w:t>
      </w:r>
      <w:r w:rsidR="00F66FE4">
        <w:rPr>
          <w:rFonts w:ascii="Arial" w:hAnsi="Arial" w:cs="Arial"/>
          <w:sz w:val="22"/>
          <w:shd w:val="clear" w:color="auto" w:fill="FFFFFF"/>
          <w:lang w:val="es-ES"/>
        </w:rPr>
        <w:t xml:space="preserve">. </w:t>
      </w:r>
      <w:r w:rsidRPr="00F66FE4" w:rsidR="00F66FE4">
        <w:rPr>
          <w:rFonts w:ascii="Arial" w:hAnsi="Arial" w:cs="Arial"/>
          <w:sz w:val="22"/>
          <w:shd w:val="clear" w:color="auto" w:fill="FFFFFF"/>
          <w:lang w:val="es-ES"/>
        </w:rPr>
        <w:t>Sin embargo, las entidades estatales deben analizar en cada caso particular si el objeto que pretenden contratar supone o no la aplicación de documentos tipo y cuál es el alcance real del mismo</w:t>
      </w:r>
      <w:r w:rsidR="003E2DE8">
        <w:rPr>
          <w:rFonts w:ascii="Arial" w:hAnsi="Arial" w:cs="Arial"/>
          <w:sz w:val="22"/>
          <w:shd w:val="clear" w:color="auto" w:fill="FFFFFF"/>
          <w:lang w:val="es-ES"/>
        </w:rPr>
        <w:t>. Adicionalmente,</w:t>
      </w:r>
      <w:r w:rsidRPr="00F66FE4" w:rsidR="00F66FE4">
        <w:rPr>
          <w:rFonts w:ascii="Arial" w:hAnsi="Arial" w:cs="Arial"/>
          <w:sz w:val="22"/>
          <w:shd w:val="clear" w:color="auto" w:fill="FFFFFF"/>
          <w:lang w:val="es-ES"/>
        </w:rPr>
        <w:t xml:space="preserve"> es posible que concurran actividades incluidas dentro de</w:t>
      </w:r>
      <w:r w:rsidR="003E2DE8">
        <w:rPr>
          <w:rFonts w:ascii="Arial" w:hAnsi="Arial" w:cs="Arial"/>
          <w:sz w:val="22"/>
          <w:shd w:val="clear" w:color="auto" w:fill="FFFFFF"/>
          <w:lang w:val="es-ES"/>
        </w:rPr>
        <w:t>l</w:t>
      </w:r>
      <w:r w:rsidRPr="00F66FE4" w:rsidR="00F66FE4">
        <w:rPr>
          <w:rFonts w:ascii="Arial" w:hAnsi="Arial" w:cs="Arial"/>
          <w:sz w:val="22"/>
          <w:shd w:val="clear" w:color="auto" w:fill="FFFFFF"/>
          <w:lang w:val="es-ES"/>
        </w:rPr>
        <w:t xml:space="preserve"> ámbito de aplicación </w:t>
      </w:r>
      <w:r w:rsidR="003E2DE8">
        <w:rPr>
          <w:rFonts w:ascii="Arial" w:hAnsi="Arial" w:cs="Arial"/>
          <w:sz w:val="22"/>
          <w:shd w:val="clear" w:color="auto" w:fill="FFFFFF"/>
          <w:lang w:val="es-ES"/>
        </w:rPr>
        <w:t xml:space="preserve">de los documentos tipo </w:t>
      </w:r>
      <w:r w:rsidRPr="00F66FE4" w:rsidR="00F66FE4">
        <w:rPr>
          <w:rFonts w:ascii="Arial" w:hAnsi="Arial" w:cs="Arial"/>
          <w:sz w:val="22"/>
          <w:shd w:val="clear" w:color="auto" w:fill="FFFFFF"/>
          <w:lang w:val="es-ES"/>
        </w:rPr>
        <w:t>con otras que no han sido incluidas</w:t>
      </w:r>
      <w:r w:rsidR="003E2DE8">
        <w:rPr>
          <w:rFonts w:ascii="Arial" w:hAnsi="Arial" w:cs="Arial"/>
          <w:sz w:val="22"/>
          <w:shd w:val="clear" w:color="auto" w:fill="FFFFFF"/>
          <w:lang w:val="es-ES"/>
        </w:rPr>
        <w:t>,</w:t>
      </w:r>
      <w:r w:rsidRPr="00F66FE4" w:rsidR="00F66FE4">
        <w:rPr>
          <w:rFonts w:ascii="Arial" w:hAnsi="Arial" w:cs="Arial"/>
          <w:sz w:val="22"/>
          <w:shd w:val="clear" w:color="auto" w:fill="FFFFFF"/>
          <w:lang w:val="es-ES"/>
        </w:rPr>
        <w:t xml:space="preserve"> </w:t>
      </w:r>
      <w:r w:rsidR="003E2DE8">
        <w:rPr>
          <w:rFonts w:ascii="Arial" w:hAnsi="Arial" w:cs="Arial"/>
          <w:sz w:val="22"/>
          <w:shd w:val="clear" w:color="auto" w:fill="FFFFFF"/>
          <w:lang w:val="es-ES"/>
        </w:rPr>
        <w:t>e</w:t>
      </w:r>
      <w:r w:rsidRPr="00F66FE4" w:rsidR="00F66FE4">
        <w:rPr>
          <w:rFonts w:ascii="Arial" w:hAnsi="Arial" w:cs="Arial"/>
          <w:sz w:val="22"/>
          <w:shd w:val="clear" w:color="auto" w:fill="FFFFFF"/>
          <w:lang w:val="es-ES"/>
        </w:rPr>
        <w:t xml:space="preserve">n dicho caso, deberán aplicarse los documentos tipo, independientemente de que la totalidad del objeto contractual no esté referido al desarrollo de actividades incluidas en la Matriz 1.  </w:t>
      </w:r>
    </w:p>
    <w:p w:rsidRPr="00F66FE4" w:rsidR="003E2DE8" w:rsidRDefault="003E2DE8" w14:paraId="31D3CDBB" w14:textId="7A56F9BE">
      <w:pPr>
        <w:spacing w:after="120" w:line="276" w:lineRule="auto"/>
        <w:jc w:val="both"/>
        <w:rPr>
          <w:rFonts w:ascii="Arial" w:hAnsi="Arial" w:cs="Arial"/>
          <w:sz w:val="22"/>
          <w:shd w:val="clear" w:color="auto" w:fill="FFFFFF"/>
          <w:lang w:val="es-ES"/>
        </w:rPr>
      </w:pPr>
      <w:r>
        <w:rPr>
          <w:rFonts w:ascii="Arial" w:hAnsi="Arial" w:cs="Arial"/>
          <w:sz w:val="22"/>
          <w:shd w:val="clear" w:color="auto" w:fill="FFFFFF"/>
          <w:lang w:val="es-ES"/>
        </w:rPr>
        <w:tab/>
      </w:r>
      <w:r>
        <w:rPr>
          <w:rFonts w:ascii="Arial" w:hAnsi="Arial" w:cs="Arial"/>
          <w:sz w:val="22"/>
          <w:shd w:val="clear" w:color="auto" w:fill="FFFFFF"/>
          <w:lang w:val="es-ES"/>
        </w:rPr>
        <w:t xml:space="preserve">Sin perjuicio de lo anterior, </w:t>
      </w:r>
      <w:r w:rsidR="00C66B54">
        <w:rPr>
          <w:rFonts w:ascii="Arial" w:hAnsi="Arial" w:cs="Arial"/>
          <w:sz w:val="22"/>
          <w:shd w:val="clear" w:color="auto" w:fill="FFFFFF"/>
          <w:lang w:val="es-ES"/>
        </w:rPr>
        <w:t>en</w:t>
      </w:r>
      <w:r>
        <w:rPr>
          <w:rFonts w:ascii="Arial" w:hAnsi="Arial" w:cs="Arial"/>
          <w:sz w:val="22"/>
          <w:shd w:val="clear" w:color="auto" w:fill="FFFFFF"/>
          <w:lang w:val="es-ES"/>
        </w:rPr>
        <w:t xml:space="preserve"> proyectos que no se rijan</w:t>
      </w:r>
      <w:r w:rsidR="00C66B54">
        <w:rPr>
          <w:rFonts w:ascii="Arial" w:hAnsi="Arial" w:cs="Arial"/>
          <w:sz w:val="22"/>
          <w:shd w:val="clear" w:color="auto" w:fill="FFFFFF"/>
          <w:lang w:val="es-ES"/>
        </w:rPr>
        <w:t xml:space="preserve"> obligatoriamente</w:t>
      </w:r>
      <w:r>
        <w:rPr>
          <w:rFonts w:ascii="Arial" w:hAnsi="Arial" w:cs="Arial"/>
          <w:sz w:val="22"/>
          <w:shd w:val="clear" w:color="auto" w:fill="FFFFFF"/>
          <w:lang w:val="es-ES"/>
        </w:rPr>
        <w:t xml:space="preserve"> por los documentos tipo, es posible que las entidades estatales opten por adoptar su contenido o parte de él como buenas prácticas contractuales.</w:t>
      </w:r>
    </w:p>
    <w:p w:rsidRPr="00F66FE4" w:rsidR="00E013AA" w:rsidP="00E013AA" w:rsidRDefault="00E013AA" w14:paraId="08C6A125" w14:textId="77777777">
      <w:pPr>
        <w:shd w:val="clear" w:color="auto" w:fill="FFFFFF"/>
        <w:spacing w:line="276" w:lineRule="auto"/>
        <w:jc w:val="both"/>
        <w:rPr>
          <w:rFonts w:ascii="Arial" w:hAnsi="Arial" w:eastAsia="Calibri" w:cs="Arial"/>
          <w:sz w:val="22"/>
          <w:lang w:val="es-ES"/>
        </w:rPr>
      </w:pPr>
    </w:p>
    <w:p w:rsidRPr="00F66FE4" w:rsidR="00E013AA" w:rsidP="00816001" w:rsidRDefault="00DD689E" w14:paraId="5A28E536" w14:textId="1DD9372D">
      <w:pPr>
        <w:shd w:val="clear" w:color="auto" w:fill="FFFFFF"/>
        <w:spacing w:after="120" w:line="276" w:lineRule="auto"/>
        <w:jc w:val="both"/>
        <w:rPr>
          <w:rFonts w:ascii="Arial" w:hAnsi="Arial" w:cs="Arial"/>
          <w:sz w:val="22"/>
          <w:lang w:val="es-ES"/>
        </w:rPr>
      </w:pPr>
      <w:r w:rsidRPr="00F66FE4">
        <w:rPr>
          <w:rFonts w:ascii="Arial" w:hAnsi="Arial" w:eastAsia="Calibri" w:cs="Arial"/>
          <w:sz w:val="22"/>
          <w:lang w:val="es-ES"/>
        </w:rPr>
        <w:t>Este concepto tiene el alcance previsto en el artículo 28 del Código de Procedimiento Administrativo y de lo Contencioso Administrativo.</w:t>
      </w:r>
      <w:bookmarkEnd w:id="0"/>
      <w:bookmarkEnd w:id="1"/>
    </w:p>
    <w:p w:rsidRPr="00F66FE4" w:rsidR="00E013AA" w:rsidP="00E013AA" w:rsidRDefault="00E013AA" w14:paraId="6DEE1C03" w14:textId="01166AAE">
      <w:pPr>
        <w:pStyle w:val="NormalWeb"/>
        <w:spacing w:before="0" w:beforeAutospacing="0" w:after="0" w:afterAutospacing="0" w:line="276" w:lineRule="auto"/>
        <w:jc w:val="center"/>
        <w:rPr>
          <w:rFonts w:ascii="Arial" w:hAnsi="Arial" w:cs="Arial"/>
          <w:sz w:val="22"/>
          <w:szCs w:val="22"/>
          <w:lang w:val="es-ES"/>
        </w:rPr>
      </w:pPr>
    </w:p>
    <w:p w:rsidR="00E013AA" w:rsidP="00E013AA" w:rsidRDefault="00407443" w14:paraId="62B57F4C" w14:textId="521EBEB0">
      <w:pPr>
        <w:jc w:val="center"/>
        <w:rPr>
          <w:rFonts w:ascii="Arial" w:hAnsi="Arial" w:cs="Arial"/>
          <w:sz w:val="18"/>
          <w:szCs w:val="20"/>
          <w:lang w:val="es-ES" w:eastAsia="es-CO"/>
        </w:rPr>
      </w:pPr>
      <w:r w:rsidR="00407443">
        <w:drawing>
          <wp:inline wp14:editId="5D164BA3" wp14:anchorId="062C6EE3">
            <wp:extent cx="2715208" cy="1202412"/>
            <wp:effectExtent l="0" t="0" r="3175" b="4445"/>
            <wp:docPr id="4" name="Imagen 4" title=""/>
            <wp:cNvGraphicFramePr>
              <a:graphicFrameLocks noChangeAspect="1"/>
            </wp:cNvGraphicFramePr>
            <a:graphic>
              <a:graphicData uri="http://schemas.openxmlformats.org/drawingml/2006/picture">
                <pic:pic>
                  <pic:nvPicPr>
                    <pic:cNvPr id="0" name="Imagen 4"/>
                    <pic:cNvPicPr/>
                  </pic:nvPicPr>
                  <pic:blipFill>
                    <a:blip r:embed="R2b35b938ba5b4c9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15208" cy="1202412"/>
                    </a:xfrm>
                    <a:prstGeom prst="rect">
                      <a:avLst/>
                    </a:prstGeom>
                  </pic:spPr>
                </pic:pic>
              </a:graphicData>
            </a:graphic>
          </wp:inline>
        </w:drawing>
      </w:r>
    </w:p>
    <w:p w:rsidRPr="00F66FE4" w:rsidR="00407443" w:rsidP="00E013AA" w:rsidRDefault="00407443" w14:paraId="0086549C" w14:textId="77777777">
      <w:pPr>
        <w:jc w:val="center"/>
        <w:rPr>
          <w:rFonts w:ascii="Arial" w:hAnsi="Arial" w:cs="Arial"/>
          <w:sz w:val="18"/>
          <w:szCs w:val="20"/>
          <w:lang w:val="es-ES" w:eastAsia="es-CO"/>
        </w:rPr>
      </w:pPr>
    </w:p>
    <w:p w:rsidRPr="00F66FE4" w:rsidR="00816001" w:rsidP="00E013AA" w:rsidRDefault="00816001" w14:paraId="5B9CD413" w14:textId="77777777">
      <w:pPr>
        <w:jc w:val="center"/>
        <w:rPr>
          <w:rFonts w:ascii="Arial" w:hAnsi="Arial" w:cs="Arial"/>
          <w:sz w:val="18"/>
          <w:szCs w:val="20"/>
          <w:lang w:val="es-ES"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44"/>
        <w:gridCol w:w="4413"/>
      </w:tblGrid>
      <w:tr w:rsidRPr="00F66FE4" w:rsidR="00E013AA" w:rsidTr="00E013AA" w14:paraId="2DE3E864" w14:textId="77777777">
        <w:trPr>
          <w:trHeight w:val="315"/>
        </w:trPr>
        <w:tc>
          <w:tcPr>
            <w:tcW w:w="1044" w:type="dxa"/>
            <w:vAlign w:val="center"/>
          </w:tcPr>
          <w:p w:rsidRPr="00F66FE4" w:rsidR="00E013AA" w:rsidP="0084265D" w:rsidRDefault="00E013AA" w14:paraId="4D8B5E72" w14:textId="05830EFF">
            <w:pPr>
              <w:jc w:val="both"/>
              <w:rPr>
                <w:rFonts w:ascii="Arial" w:hAnsi="Arial" w:cs="Arial"/>
                <w:sz w:val="16"/>
                <w:szCs w:val="16"/>
                <w:lang w:val="es-ES" w:eastAsia="es-ES"/>
              </w:rPr>
            </w:pPr>
            <w:r w:rsidRPr="00F66FE4">
              <w:rPr>
                <w:rFonts w:ascii="Arial" w:hAnsi="Arial" w:cs="Arial"/>
                <w:sz w:val="16"/>
                <w:szCs w:val="16"/>
                <w:lang w:val="es-ES" w:eastAsia="es-ES"/>
              </w:rPr>
              <w:t>Elaboró:</w:t>
            </w:r>
          </w:p>
        </w:tc>
        <w:tc>
          <w:tcPr>
            <w:tcW w:w="4413" w:type="dxa"/>
            <w:tcBorders>
              <w:top w:val="nil"/>
              <w:left w:val="nil"/>
              <w:bottom w:val="dotted" w:color="7F7F7F" w:themeColor="text1" w:themeTint="80" w:sz="4" w:space="0"/>
              <w:right w:val="nil"/>
            </w:tcBorders>
            <w:vAlign w:val="center"/>
          </w:tcPr>
          <w:p w:rsidR="00E013AA" w:rsidP="0084265D" w:rsidRDefault="00F66FE4" w14:paraId="51FF5074" w14:textId="77777777">
            <w:pPr>
              <w:jc w:val="both"/>
              <w:rPr>
                <w:rFonts w:ascii="Arial" w:hAnsi="Arial" w:cs="Arial"/>
                <w:sz w:val="16"/>
                <w:szCs w:val="16"/>
                <w:lang w:val="es-ES" w:eastAsia="es-ES"/>
              </w:rPr>
            </w:pPr>
            <w:r>
              <w:rPr>
                <w:rFonts w:ascii="Arial" w:hAnsi="Arial" w:cs="Arial"/>
                <w:sz w:val="16"/>
                <w:szCs w:val="16"/>
                <w:lang w:val="es-ES" w:eastAsia="es-ES"/>
              </w:rPr>
              <w:t>David Torres Rojas</w:t>
            </w:r>
          </w:p>
          <w:p w:rsidRPr="00F66FE4" w:rsidR="00F66FE4" w:rsidP="0084265D" w:rsidRDefault="00F66FE4" w14:paraId="524B4D5E" w14:textId="427C112D">
            <w:pPr>
              <w:jc w:val="both"/>
              <w:rPr>
                <w:rFonts w:ascii="Arial" w:hAnsi="Arial" w:cs="Arial"/>
                <w:sz w:val="16"/>
                <w:szCs w:val="16"/>
                <w:lang w:val="es-ES" w:eastAsia="es-ES"/>
              </w:rPr>
            </w:pPr>
            <w:r>
              <w:rPr>
                <w:rFonts w:ascii="Arial" w:hAnsi="Arial" w:cs="Arial"/>
                <w:sz w:val="16"/>
                <w:szCs w:val="16"/>
                <w:lang w:val="es-ES" w:eastAsia="es-ES"/>
              </w:rPr>
              <w:t>Contratista de la Subdirección de Gestión Contractual</w:t>
            </w:r>
          </w:p>
        </w:tc>
      </w:tr>
      <w:tr w:rsidRPr="00F66FE4" w:rsidR="00E013AA" w:rsidTr="00E013AA" w14:paraId="53A8D10E" w14:textId="77777777">
        <w:trPr>
          <w:trHeight w:val="330"/>
        </w:trPr>
        <w:tc>
          <w:tcPr>
            <w:tcW w:w="1044" w:type="dxa"/>
            <w:vMerge w:val="restart"/>
            <w:vAlign w:val="center"/>
          </w:tcPr>
          <w:p w:rsidRPr="00F66FE4" w:rsidR="00E013AA" w:rsidP="0084265D" w:rsidRDefault="00E013AA" w14:paraId="39BDAD2F" w14:textId="6ED231D7">
            <w:pPr>
              <w:jc w:val="both"/>
              <w:rPr>
                <w:rFonts w:ascii="Arial" w:hAnsi="Arial" w:cs="Arial"/>
                <w:sz w:val="16"/>
                <w:szCs w:val="16"/>
                <w:lang w:val="es-ES" w:eastAsia="es-ES"/>
              </w:rPr>
            </w:pPr>
            <w:r w:rsidRPr="00F66FE4">
              <w:rPr>
                <w:rFonts w:ascii="Arial" w:hAnsi="Arial" w:cs="Arial"/>
                <w:sz w:val="16"/>
                <w:szCs w:val="16"/>
                <w:lang w:val="es-ES" w:eastAsia="es-ES"/>
              </w:rPr>
              <w:t>Revisaron:</w:t>
            </w:r>
          </w:p>
        </w:tc>
        <w:tc>
          <w:tcPr>
            <w:tcW w:w="4413" w:type="dxa"/>
            <w:tcBorders>
              <w:top w:val="dotted" w:color="7F7F7F" w:themeColor="text1" w:themeTint="80" w:sz="4" w:space="0"/>
              <w:left w:val="nil"/>
              <w:bottom w:val="dotted" w:color="7F7F7F" w:themeColor="text1" w:themeTint="80" w:sz="4" w:space="0"/>
              <w:right w:val="nil"/>
            </w:tcBorders>
            <w:vAlign w:val="center"/>
          </w:tcPr>
          <w:p w:rsidRPr="00F66FE4" w:rsidR="00E013AA" w:rsidP="0084265D" w:rsidRDefault="00E013AA" w14:paraId="6E035C5D" w14:textId="261A51B9">
            <w:pPr>
              <w:jc w:val="both"/>
              <w:rPr>
                <w:rFonts w:ascii="Arial" w:hAnsi="Arial" w:cs="Arial"/>
                <w:sz w:val="16"/>
                <w:szCs w:val="16"/>
                <w:lang w:val="es-ES" w:eastAsia="es-ES"/>
              </w:rPr>
            </w:pPr>
            <w:proofErr w:type="spellStart"/>
            <w:r w:rsidRPr="00F66FE4">
              <w:rPr>
                <w:rFonts w:ascii="Arial" w:hAnsi="Arial" w:cs="Arial"/>
                <w:sz w:val="16"/>
                <w:szCs w:val="16"/>
                <w:lang w:val="es-ES" w:eastAsia="es-ES"/>
              </w:rPr>
              <w:t>Karlo</w:t>
            </w:r>
            <w:proofErr w:type="spellEnd"/>
            <w:r w:rsidRPr="00F66FE4">
              <w:rPr>
                <w:rFonts w:ascii="Arial" w:hAnsi="Arial" w:cs="Arial"/>
                <w:sz w:val="16"/>
                <w:szCs w:val="16"/>
                <w:lang w:val="es-ES" w:eastAsia="es-ES"/>
              </w:rPr>
              <w:t xml:space="preserve"> Fernández Cala</w:t>
            </w:r>
          </w:p>
          <w:p w:rsidRPr="00F66FE4" w:rsidR="00E013AA" w:rsidP="0084265D" w:rsidRDefault="00E013AA" w14:paraId="3CA9A842" w14:textId="24647AB0">
            <w:pPr>
              <w:jc w:val="both"/>
              <w:rPr>
                <w:rFonts w:ascii="Arial" w:hAnsi="Arial" w:cs="Arial"/>
                <w:sz w:val="16"/>
                <w:szCs w:val="16"/>
                <w:lang w:val="es-ES" w:eastAsia="es-ES"/>
              </w:rPr>
            </w:pPr>
            <w:r w:rsidRPr="00F66FE4">
              <w:rPr>
                <w:rFonts w:ascii="Arial" w:hAnsi="Arial" w:cs="Arial"/>
                <w:sz w:val="16"/>
                <w:szCs w:val="16"/>
                <w:lang w:val="es-ES" w:eastAsia="es-ES"/>
              </w:rPr>
              <w:t>Gestor T1-15 de la Dirección General</w:t>
            </w:r>
          </w:p>
        </w:tc>
      </w:tr>
      <w:tr w:rsidRPr="00F66FE4" w:rsidR="00E013AA" w:rsidTr="00E013AA" w14:paraId="539068EF" w14:textId="77777777">
        <w:trPr>
          <w:trHeight w:val="330"/>
        </w:trPr>
        <w:tc>
          <w:tcPr>
            <w:tcW w:w="1044" w:type="dxa"/>
            <w:vMerge/>
            <w:vAlign w:val="center"/>
            <w:hideMark/>
          </w:tcPr>
          <w:p w:rsidRPr="00F66FE4" w:rsidR="00E013AA" w:rsidP="0084265D" w:rsidRDefault="00E013AA" w14:paraId="0E385BFB" w14:textId="67C5C0D2">
            <w:pPr>
              <w:jc w:val="both"/>
              <w:rPr>
                <w:rFonts w:ascii="Arial" w:hAnsi="Arial" w:cs="Arial"/>
                <w:sz w:val="16"/>
                <w:szCs w:val="16"/>
                <w:lang w:val="es-ES" w:eastAsia="es-ES"/>
              </w:rPr>
            </w:pP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F66FE4" w:rsidP="0084265D" w:rsidRDefault="00F66FE4" w14:paraId="0069F071" w14:textId="3004C7D8">
            <w:pPr>
              <w:jc w:val="both"/>
              <w:rPr>
                <w:rFonts w:ascii="Arial" w:hAnsi="Arial" w:cs="Arial"/>
                <w:sz w:val="16"/>
                <w:szCs w:val="16"/>
                <w:lang w:val="es-ES" w:eastAsia="es-ES"/>
              </w:rPr>
            </w:pPr>
            <w:r>
              <w:rPr>
                <w:rFonts w:ascii="Arial" w:hAnsi="Arial" w:cs="Arial"/>
                <w:sz w:val="16"/>
                <w:szCs w:val="16"/>
                <w:lang w:val="es-ES" w:eastAsia="es-ES"/>
              </w:rPr>
              <w:t>Sebastián Ramírez Grisales</w:t>
            </w:r>
          </w:p>
          <w:p w:rsidRPr="00F66FE4" w:rsidR="00E013AA" w:rsidP="0084265D" w:rsidRDefault="00E013AA" w14:paraId="1D90B585" w14:textId="2A9710BD">
            <w:pPr>
              <w:jc w:val="both"/>
              <w:rPr>
                <w:rFonts w:ascii="Arial" w:hAnsi="Arial" w:cs="Arial"/>
                <w:sz w:val="16"/>
                <w:szCs w:val="16"/>
                <w:lang w:val="es-ES" w:eastAsia="es-ES"/>
              </w:rPr>
            </w:pPr>
            <w:r w:rsidRPr="00F66FE4">
              <w:rPr>
                <w:rFonts w:ascii="Arial" w:hAnsi="Arial" w:cs="Arial"/>
                <w:sz w:val="16"/>
                <w:szCs w:val="16"/>
                <w:lang w:val="es-ES" w:eastAsia="es-ES"/>
              </w:rPr>
              <w:t xml:space="preserve">Gestor T1-15 </w:t>
            </w:r>
            <w:r w:rsidRPr="00F66FE4" w:rsidR="0000340B">
              <w:rPr>
                <w:rFonts w:ascii="Arial" w:hAnsi="Arial" w:cs="Arial"/>
                <w:sz w:val="16"/>
                <w:szCs w:val="16"/>
                <w:lang w:val="es-ES" w:eastAsia="es-ES"/>
              </w:rPr>
              <w:t>de la Subdirección de Gestión Contractual</w:t>
            </w:r>
          </w:p>
        </w:tc>
      </w:tr>
      <w:tr w:rsidRPr="00F66FE4" w:rsidR="00E013AA" w:rsidTr="00E013AA" w14:paraId="57599FAF" w14:textId="77777777">
        <w:trPr>
          <w:trHeight w:val="300"/>
        </w:trPr>
        <w:tc>
          <w:tcPr>
            <w:tcW w:w="1044" w:type="dxa"/>
            <w:vAlign w:val="center"/>
            <w:hideMark/>
          </w:tcPr>
          <w:p w:rsidRPr="00F66FE4" w:rsidR="00E013AA" w:rsidP="0084265D" w:rsidRDefault="00E013AA" w14:paraId="66168CD0" w14:textId="77777777">
            <w:pPr>
              <w:jc w:val="both"/>
              <w:rPr>
                <w:rFonts w:ascii="Arial" w:hAnsi="Arial" w:cs="Arial"/>
                <w:sz w:val="16"/>
                <w:szCs w:val="16"/>
                <w:lang w:val="es-ES" w:eastAsia="es-ES"/>
              </w:rPr>
            </w:pPr>
            <w:r w:rsidRPr="00F66FE4">
              <w:rPr>
                <w:rFonts w:ascii="Arial" w:hAnsi="Arial" w:cs="Arial"/>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66FE4" w:rsidR="00E013AA" w:rsidP="0084265D" w:rsidRDefault="00E013AA" w14:paraId="0A24E84C" w14:textId="77777777">
            <w:pPr>
              <w:jc w:val="both"/>
              <w:rPr>
                <w:rFonts w:ascii="Arial" w:hAnsi="Arial" w:cs="Arial"/>
                <w:sz w:val="16"/>
                <w:szCs w:val="16"/>
                <w:lang w:val="es-ES" w:eastAsia="es-ES"/>
              </w:rPr>
            </w:pPr>
            <w:r w:rsidRPr="00F66FE4">
              <w:rPr>
                <w:rFonts w:ascii="Arial" w:hAnsi="Arial" w:cs="Arial"/>
                <w:sz w:val="16"/>
                <w:szCs w:val="16"/>
                <w:lang w:val="es-ES" w:eastAsia="es-ES"/>
              </w:rPr>
              <w:t>Jorge Augusto Tirado Navarro</w:t>
            </w:r>
          </w:p>
          <w:p w:rsidRPr="00F66FE4" w:rsidR="00E013AA" w:rsidP="0084265D" w:rsidRDefault="00E013AA" w14:paraId="44F07231" w14:textId="0A3548EA">
            <w:pPr>
              <w:jc w:val="both"/>
              <w:rPr>
                <w:rFonts w:ascii="Arial" w:hAnsi="Arial" w:cs="Arial"/>
                <w:sz w:val="16"/>
                <w:szCs w:val="16"/>
                <w:lang w:val="es-ES" w:eastAsia="es-ES"/>
              </w:rPr>
            </w:pPr>
            <w:r w:rsidRPr="00F66FE4">
              <w:rPr>
                <w:rFonts w:ascii="Arial" w:hAnsi="Arial" w:cs="Arial"/>
                <w:sz w:val="16"/>
                <w:szCs w:val="16"/>
                <w:lang w:val="es-ES" w:eastAsia="es-ES"/>
              </w:rPr>
              <w:t>Subdirector de Gestión Contractual</w:t>
            </w:r>
            <w:r w:rsidRPr="00F66FE4" w:rsidR="0000340B">
              <w:rPr>
                <w:rFonts w:ascii="Arial" w:hAnsi="Arial" w:cs="Arial"/>
                <w:sz w:val="16"/>
                <w:szCs w:val="16"/>
                <w:lang w:val="es-ES" w:eastAsia="es-ES"/>
              </w:rPr>
              <w:t xml:space="preserve"> ANCP - CCE</w:t>
            </w:r>
          </w:p>
        </w:tc>
      </w:tr>
    </w:tbl>
    <w:p w:rsidRPr="00F66FE4" w:rsidR="00C02F78" w:rsidP="00816001" w:rsidRDefault="00C02F78" w14:paraId="369F3B10" w14:textId="294E2ABD">
      <w:pPr>
        <w:spacing w:before="120" w:line="276" w:lineRule="auto"/>
        <w:jc w:val="both"/>
        <w:rPr>
          <w:lang w:val="es-ES"/>
        </w:rPr>
      </w:pPr>
    </w:p>
    <w:sectPr w:rsidRPr="00F66FE4" w:rsidR="00C02F78" w:rsidSect="00AC43E7">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06AA8" w:rsidP="008C487C" w:rsidRDefault="00206AA8" w14:paraId="228DF70E" w14:textId="77777777">
      <w:r>
        <w:separator/>
      </w:r>
    </w:p>
  </w:endnote>
  <w:endnote w:type="continuationSeparator" w:id="0">
    <w:p w:rsidR="00206AA8" w:rsidP="008C487C" w:rsidRDefault="00206AA8" w14:paraId="5ED56BDE" w14:textId="77777777">
      <w:r>
        <w:continuationSeparator/>
      </w:r>
    </w:p>
  </w:endnote>
  <w:endnote w:type="continuationNotice" w:id="1">
    <w:p w:rsidR="00206AA8" w:rsidRDefault="00206AA8" w14:paraId="2ECD4B9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altName w:val="Arial Narrow"/>
    <w:panose1 w:val="020B0606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E27002" w:rsidP="00C878E1" w:rsidRDefault="00E27002" w14:paraId="709352A1" w14:textId="77777777">
    <w:pPr>
      <w:pStyle w:val="Sinespaciado"/>
      <w:rPr>
        <w:rFonts w:ascii="Arial" w:hAnsi="Arial" w:cs="Arial"/>
        <w:sz w:val="18"/>
        <w:szCs w:val="18"/>
      </w:rPr>
    </w:pPr>
  </w:p>
  <w:p w:rsidRPr="008217B7" w:rsidR="00E27002" w:rsidP="00AC43E7" w:rsidRDefault="00E27002" w14:paraId="3D3EB348" w14:textId="7777777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rsidR="00E27002" w:rsidP="00C878E1" w:rsidRDefault="00E27002" w14:paraId="428179B1" w14:textId="62D5E177">
    <w:pPr>
      <w:pStyle w:val="Piedepgina"/>
      <w:jc w:val="center"/>
      <w:rPr>
        <w:lang w:val="es-ES"/>
      </w:rPr>
    </w:pPr>
    <w:r w:rsidR="32ABE35A">
      <w:drawing>
        <wp:inline wp14:editId="57DB6484" wp14:anchorId="0323F87D">
          <wp:extent cx="3700130" cy="519139"/>
          <wp:effectExtent l="0" t="0" r="0" b="0"/>
          <wp:docPr id="3" name="Imagen 3" title=""/>
          <wp:cNvGraphicFramePr>
            <a:graphicFrameLocks noChangeAspect="1"/>
          </wp:cNvGraphicFramePr>
          <a:graphic>
            <a:graphicData uri="http://schemas.openxmlformats.org/drawingml/2006/picture">
              <pic:pic>
                <pic:nvPicPr>
                  <pic:cNvPr id="0" name="Imagen 3"/>
                  <pic:cNvPicPr/>
                </pic:nvPicPr>
                <pic:blipFill>
                  <a:blip r:embed="R68fc686ec280435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C878E1" w:rsidR="00EF1F22" w:rsidP="00C878E1" w:rsidRDefault="00EF1F22" w14:paraId="42377A4E"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06AA8" w:rsidP="008C487C" w:rsidRDefault="00206AA8" w14:paraId="0E3434FF" w14:textId="77777777">
      <w:r>
        <w:separator/>
      </w:r>
    </w:p>
  </w:footnote>
  <w:footnote w:type="continuationSeparator" w:id="0">
    <w:p w:rsidR="00206AA8" w:rsidP="008C487C" w:rsidRDefault="00206AA8" w14:paraId="0B4AC214" w14:textId="77777777">
      <w:r>
        <w:continuationSeparator/>
      </w:r>
    </w:p>
  </w:footnote>
  <w:footnote w:type="continuationNotice" w:id="1">
    <w:p w:rsidR="00206AA8" w:rsidRDefault="00206AA8" w14:paraId="10F8E96A" w14:textId="77777777"/>
  </w:footnote>
  <w:footnote w:id="2">
    <w:p w:rsidRPr="00625AFE" w:rsidR="00E013AA" w:rsidP="001E5E40" w:rsidRDefault="00E013AA" w14:paraId="05675F27" w14:textId="0CBE6B16">
      <w:pPr>
        <w:pStyle w:val="Textonotapie"/>
        <w:ind w:firstLine="708"/>
        <w:jc w:val="both"/>
        <w:rPr>
          <w:rFonts w:ascii="Arial" w:hAnsi="Arial" w:cs="Arial"/>
          <w:sz w:val="19"/>
          <w:szCs w:val="19"/>
        </w:rPr>
      </w:pPr>
      <w:r w:rsidRPr="008B2002">
        <w:rPr>
          <w:rStyle w:val="Refdenotaalpie"/>
          <w:rFonts w:ascii="Arial" w:hAnsi="Arial" w:cs="Arial"/>
          <w:sz w:val="19"/>
          <w:szCs w:val="19"/>
        </w:rPr>
        <w:footnoteRef/>
      </w:r>
      <w:r w:rsidRPr="008B2002">
        <w:rPr>
          <w:rFonts w:ascii="Arial" w:hAnsi="Arial" w:cs="Arial"/>
          <w:sz w:val="19"/>
          <w:szCs w:val="19"/>
        </w:rPr>
        <w:t xml:space="preserve"> </w:t>
      </w:r>
      <w:r w:rsidRPr="00625AFE" w:rsidR="006A2152">
        <w:rPr>
          <w:rFonts w:ascii="Arial" w:hAnsi="Arial" w:cs="Arial"/>
          <w:sz w:val="19"/>
          <w:szCs w:val="19"/>
        </w:rPr>
        <w:t>El artículo 4 de la Ley 1882 de 2020 adici</w:t>
      </w:r>
      <w:r w:rsidRPr="00625AFE" w:rsidR="00B31464">
        <w:rPr>
          <w:rFonts w:ascii="Arial" w:hAnsi="Arial" w:cs="Arial"/>
          <w:sz w:val="19"/>
          <w:szCs w:val="19"/>
        </w:rPr>
        <w:t>o</w:t>
      </w:r>
      <w:r w:rsidRPr="00625AFE" w:rsidR="006A2152">
        <w:rPr>
          <w:rFonts w:ascii="Arial" w:hAnsi="Arial" w:cs="Arial"/>
          <w:sz w:val="19"/>
          <w:szCs w:val="19"/>
        </w:rPr>
        <w:t xml:space="preserve">nó el parágrafo 7 al artículo 2 de la Ley 1150 de 2007, </w:t>
      </w:r>
      <w:r w:rsidRPr="00625AFE" w:rsidR="00B31464">
        <w:rPr>
          <w:rFonts w:ascii="Arial" w:hAnsi="Arial" w:cs="Arial"/>
          <w:sz w:val="19"/>
          <w:szCs w:val="19"/>
        </w:rPr>
        <w:t xml:space="preserve">el cual </w:t>
      </w:r>
      <w:r w:rsidRPr="00625AFE" w:rsidR="00287105">
        <w:rPr>
          <w:rFonts w:ascii="Arial" w:hAnsi="Arial" w:cs="Arial"/>
          <w:sz w:val="19"/>
          <w:szCs w:val="19"/>
        </w:rPr>
        <w:t>fue</w:t>
      </w:r>
      <w:r w:rsidRPr="00625AFE" w:rsidR="00B31464">
        <w:rPr>
          <w:rFonts w:ascii="Arial" w:hAnsi="Arial" w:cs="Arial"/>
          <w:sz w:val="19"/>
          <w:szCs w:val="19"/>
        </w:rPr>
        <w:t xml:space="preserve"> posteriormente</w:t>
      </w:r>
      <w:r w:rsidRPr="00625AFE" w:rsidR="00287105">
        <w:rPr>
          <w:rFonts w:ascii="Arial" w:hAnsi="Arial" w:cs="Arial"/>
          <w:sz w:val="19"/>
          <w:szCs w:val="19"/>
        </w:rPr>
        <w:t xml:space="preserve"> modificado por la Ley 2022 de 2020, a través de la cual</w:t>
      </w:r>
      <w:r w:rsidRPr="00625AFE" w:rsidR="005A452D">
        <w:rPr>
          <w:rFonts w:ascii="Arial" w:hAnsi="Arial" w:cs="Arial"/>
          <w:sz w:val="19"/>
          <w:szCs w:val="19"/>
        </w:rPr>
        <w:t xml:space="preserve"> se atribuyó directamente a la Agencia Nacional de Contratación Pública </w:t>
      </w:r>
      <w:r w:rsidRPr="00625AFE" w:rsidR="001A0CC7">
        <w:rPr>
          <w:rFonts w:ascii="Arial" w:hAnsi="Arial" w:cs="Arial"/>
          <w:sz w:val="19"/>
          <w:szCs w:val="19"/>
        </w:rPr>
        <w:t>– Colombia Compra Eficiente la competencia para adoptar documentos tipo de aplicación obligatoria para</w:t>
      </w:r>
      <w:r w:rsidRPr="00625AFE" w:rsidR="00AA42EE">
        <w:rPr>
          <w:rFonts w:ascii="Arial" w:hAnsi="Arial" w:cs="Arial"/>
          <w:sz w:val="19"/>
          <w:szCs w:val="19"/>
        </w:rPr>
        <w:t xml:space="preserve"> las entidades regidas por el EGCAP.</w:t>
      </w:r>
    </w:p>
  </w:footnote>
  <w:footnote w:id="3">
    <w:p w:rsidRPr="00625AFE" w:rsidR="00FB05F4" w:rsidP="001E5E40" w:rsidRDefault="00FB05F4" w14:paraId="6C89D695" w14:textId="77777777">
      <w:pPr>
        <w:pStyle w:val="Textonotapie"/>
        <w:ind w:firstLine="708"/>
        <w:jc w:val="both"/>
        <w:rPr>
          <w:rFonts w:ascii="Arial" w:hAnsi="Arial" w:cs="Arial"/>
          <w:sz w:val="19"/>
          <w:szCs w:val="19"/>
        </w:rPr>
      </w:pPr>
      <w:r w:rsidRPr="008B2002">
        <w:rPr>
          <w:rStyle w:val="Refdenotaalpie"/>
          <w:rFonts w:ascii="Arial" w:hAnsi="Arial" w:cs="Arial"/>
          <w:sz w:val="19"/>
          <w:szCs w:val="19"/>
        </w:rPr>
        <w:footnoteRef/>
      </w:r>
      <w:r w:rsidRPr="008B2002">
        <w:rPr>
          <w:rFonts w:ascii="Arial" w:hAnsi="Arial" w:cs="Arial"/>
          <w:sz w:val="19"/>
          <w:szCs w:val="19"/>
        </w:rPr>
        <w:t xml:space="preserve"> </w:t>
      </w:r>
      <w:r w:rsidRPr="00625AFE">
        <w:rPr>
          <w:rFonts w:ascii="Arial" w:hAnsi="Arial" w:cs="Arial"/>
          <w:sz w:val="19"/>
          <w:szCs w:val="19"/>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rsidRPr="00625AFE" w:rsidR="00FB05F4" w:rsidP="001E5E40" w:rsidRDefault="00FB05F4" w14:paraId="7EF9F99A" w14:textId="77777777">
      <w:pPr>
        <w:pStyle w:val="Textonotapie"/>
        <w:ind w:firstLine="708"/>
        <w:jc w:val="both"/>
        <w:rPr>
          <w:rFonts w:ascii="Arial" w:hAnsi="Arial" w:cs="Arial"/>
          <w:sz w:val="19"/>
          <w:szCs w:val="19"/>
        </w:rPr>
      </w:pPr>
      <w:r w:rsidRPr="00625AFE">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rsidRPr="00625AFE" w:rsidR="00FB05F4" w:rsidP="001E5E40" w:rsidRDefault="00FB05F4" w14:paraId="56E9834D" w14:textId="77777777">
      <w:pPr>
        <w:pStyle w:val="Textonotapie"/>
        <w:ind w:firstLine="708"/>
        <w:jc w:val="both"/>
        <w:rPr>
          <w:rFonts w:ascii="Arial" w:hAnsi="Arial" w:cs="Arial"/>
          <w:sz w:val="19"/>
          <w:szCs w:val="19"/>
        </w:rPr>
      </w:pPr>
      <w:r w:rsidRPr="00625AFE">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rsidRPr="00625AFE" w:rsidR="00FB05F4" w:rsidP="001E5E40" w:rsidRDefault="00FB05F4" w14:paraId="575F12A3" w14:textId="77777777">
      <w:pPr>
        <w:pStyle w:val="Textonotapie"/>
        <w:ind w:firstLine="708"/>
        <w:jc w:val="both"/>
        <w:rPr>
          <w:rFonts w:ascii="Arial" w:hAnsi="Arial" w:cs="Arial"/>
          <w:sz w:val="19"/>
          <w:szCs w:val="19"/>
        </w:rPr>
      </w:pPr>
      <w:r w:rsidRPr="00625AFE">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rsidRPr="00625AFE" w:rsidR="00FB05F4" w:rsidP="001E5E40" w:rsidRDefault="00FB05F4" w14:paraId="755AE61B" w14:textId="77777777">
      <w:pPr>
        <w:pStyle w:val="Textonotapie"/>
        <w:ind w:firstLine="708"/>
        <w:jc w:val="both"/>
        <w:rPr>
          <w:rFonts w:ascii="Arial" w:hAnsi="Arial" w:cs="Arial"/>
          <w:sz w:val="19"/>
          <w:szCs w:val="19"/>
          <w:lang w:val="es-ES"/>
        </w:rPr>
      </w:pPr>
      <w:r w:rsidRPr="00625AFE">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4">
    <w:p w:rsidRPr="008B2002" w:rsidR="00980F2D" w:rsidP="001E5E40" w:rsidRDefault="00980F2D" w14:paraId="1C96F2E4" w14:textId="77777777">
      <w:pPr>
        <w:pStyle w:val="Car1"/>
        <w:ind w:firstLine="709"/>
        <w:jc w:val="both"/>
        <w:rPr>
          <w:rFonts w:ascii="Arial" w:hAnsi="Arial" w:cs="Arial"/>
          <w:sz w:val="19"/>
          <w:szCs w:val="19"/>
        </w:rPr>
      </w:pPr>
      <w:r w:rsidRPr="008B2002">
        <w:rPr>
          <w:rStyle w:val="Refdenotaalpie"/>
          <w:rFonts w:ascii="Arial" w:hAnsi="Arial" w:cs="Arial"/>
          <w:sz w:val="19"/>
          <w:szCs w:val="19"/>
        </w:rPr>
        <w:footnoteRef/>
      </w:r>
      <w:r w:rsidRPr="008B2002">
        <w:rPr>
          <w:rFonts w:ascii="Arial" w:hAnsi="Arial" w:cs="Arial"/>
          <w:sz w:val="19"/>
          <w:szCs w:val="19"/>
        </w:rPr>
        <w:t xml:space="preserve"> </w:t>
      </w:r>
      <w:r w:rsidRPr="008B2002">
        <w:rPr>
          <w:rFonts w:ascii="Arial" w:hAnsi="Arial" w:cs="Arial"/>
          <w:sz w:val="19"/>
          <w:szCs w:val="19"/>
        </w:rPr>
        <w:t>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rsidRPr="008B2002" w:rsidR="00980F2D" w:rsidP="008B2002" w:rsidRDefault="00980F2D" w14:paraId="65F0D544" w14:textId="77777777">
      <w:pPr>
        <w:pStyle w:val="Car1"/>
        <w:ind w:firstLine="709"/>
        <w:jc w:val="both"/>
        <w:rPr>
          <w:rFonts w:ascii="Arial" w:hAnsi="Arial" w:cs="Arial"/>
          <w:sz w:val="19"/>
          <w:szCs w:val="19"/>
        </w:rPr>
      </w:pPr>
      <w:r w:rsidRPr="008B2002">
        <w:rPr>
          <w:rFonts w:ascii="Arial" w:hAnsi="Arial" w:cs="Arial"/>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footnote>
  <w:footnote w:id="5">
    <w:p w:rsidRPr="008B2002" w:rsidR="00E1090A" w:rsidP="008B2002" w:rsidRDefault="004C7E95" w14:paraId="1CF9D44D" w14:textId="0E581F24">
      <w:pPr>
        <w:pStyle w:val="Textonotapie"/>
        <w:ind w:firstLine="708"/>
        <w:jc w:val="both"/>
        <w:rPr>
          <w:rFonts w:ascii="Arial" w:hAnsi="Arial" w:cs="Arial"/>
          <w:sz w:val="19"/>
          <w:szCs w:val="19"/>
        </w:rPr>
      </w:pPr>
      <w:r w:rsidRPr="008B2002">
        <w:rPr>
          <w:rStyle w:val="Refdenotaalpie"/>
          <w:rFonts w:ascii="Arial" w:hAnsi="Arial" w:cs="Arial"/>
          <w:sz w:val="19"/>
          <w:szCs w:val="19"/>
        </w:rPr>
        <w:footnoteRef/>
      </w:r>
      <w:r w:rsidRPr="008B2002">
        <w:rPr>
          <w:rFonts w:ascii="Arial" w:hAnsi="Arial" w:cs="Arial"/>
          <w:sz w:val="19"/>
          <w:szCs w:val="19"/>
        </w:rPr>
        <w:t xml:space="preserve"> </w:t>
      </w:r>
      <w:r w:rsidRPr="008B2002" w:rsidR="00C523A1">
        <w:rPr>
          <w:rFonts w:ascii="Arial" w:hAnsi="Arial" w:cs="Arial"/>
          <w:sz w:val="19"/>
          <w:szCs w:val="19"/>
        </w:rPr>
        <w:t xml:space="preserve">Esta resolución corresponde a la </w:t>
      </w:r>
      <w:r w:rsidRPr="008B2002" w:rsidR="00347696">
        <w:rPr>
          <w:rFonts w:ascii="Arial" w:hAnsi="Arial" w:cs="Arial"/>
          <w:sz w:val="19"/>
          <w:szCs w:val="19"/>
        </w:rPr>
        <w:t>V</w:t>
      </w:r>
      <w:r w:rsidRPr="00625AFE" w:rsidR="00C523A1">
        <w:rPr>
          <w:rFonts w:ascii="Arial" w:hAnsi="Arial" w:cs="Arial"/>
          <w:sz w:val="19"/>
          <w:szCs w:val="19"/>
        </w:rPr>
        <w:t>ersión 2 de los Documento</w:t>
      </w:r>
      <w:r w:rsidRPr="003B0060" w:rsidR="00C523A1">
        <w:rPr>
          <w:rFonts w:ascii="Arial" w:hAnsi="Arial" w:cs="Arial"/>
          <w:sz w:val="19"/>
          <w:szCs w:val="19"/>
        </w:rPr>
        <w:t>s Tipo de licitaci</w:t>
      </w:r>
      <w:r w:rsidRPr="003B0060" w:rsidR="00AA188C">
        <w:rPr>
          <w:rFonts w:ascii="Arial" w:hAnsi="Arial" w:cs="Arial"/>
          <w:sz w:val="19"/>
          <w:szCs w:val="19"/>
        </w:rPr>
        <w:t>ón de obra pública de infraestructura de transporte</w:t>
      </w:r>
      <w:r w:rsidRPr="008B2002" w:rsidR="006B5145">
        <w:rPr>
          <w:rFonts w:ascii="Arial" w:hAnsi="Arial" w:cs="Arial"/>
          <w:sz w:val="19"/>
          <w:szCs w:val="19"/>
        </w:rPr>
        <w:t xml:space="preserve">, los cuales son aplicables a los procesos de selección cuyo aviso de convocatoria se publique a partir del </w:t>
      </w:r>
      <w:r w:rsidRPr="008B2002" w:rsidR="00142BB5">
        <w:rPr>
          <w:rFonts w:ascii="Arial" w:hAnsi="Arial" w:cs="Arial"/>
          <w:sz w:val="19"/>
          <w:szCs w:val="19"/>
        </w:rPr>
        <w:t xml:space="preserve">10 de marzo de 2020. Sin embargo, </w:t>
      </w:r>
      <w:r w:rsidRPr="008B2002" w:rsidR="009E4F0B">
        <w:rPr>
          <w:rFonts w:ascii="Arial" w:hAnsi="Arial" w:cs="Arial"/>
          <w:sz w:val="19"/>
          <w:szCs w:val="19"/>
        </w:rPr>
        <w:t>se</w:t>
      </w:r>
      <w:r w:rsidRPr="008B2002" w:rsidR="00347696">
        <w:rPr>
          <w:rFonts w:ascii="Arial" w:hAnsi="Arial" w:cs="Arial"/>
          <w:sz w:val="19"/>
          <w:szCs w:val="19"/>
        </w:rPr>
        <w:t xml:space="preserve"> aclara que </w:t>
      </w:r>
      <w:r w:rsidRPr="008B2002" w:rsidR="00311C1E">
        <w:rPr>
          <w:rFonts w:ascii="Arial" w:hAnsi="Arial" w:cs="Arial"/>
          <w:sz w:val="19"/>
          <w:szCs w:val="19"/>
        </w:rPr>
        <w:t>recientemente fue expedida la Resolución 240</w:t>
      </w:r>
      <w:r w:rsidRPr="008B2002" w:rsidR="00347696">
        <w:rPr>
          <w:rFonts w:ascii="Arial" w:hAnsi="Arial" w:cs="Arial"/>
          <w:sz w:val="19"/>
          <w:szCs w:val="19"/>
        </w:rPr>
        <w:t xml:space="preserve"> de 2020, implementando la Versión 3 de estos documentos, la cual es aplicable a los procedimientos cuyo aviso de convocatoria se publique a partir del 1 de enero de 202</w:t>
      </w:r>
      <w:r w:rsidRPr="008B2002" w:rsidR="009E4F0B">
        <w:rPr>
          <w:rFonts w:ascii="Arial" w:hAnsi="Arial" w:cs="Arial"/>
          <w:sz w:val="19"/>
          <w:szCs w:val="19"/>
        </w:rPr>
        <w:t>1</w:t>
      </w:r>
      <w:r w:rsidRPr="008B2002" w:rsidR="00347696">
        <w:rPr>
          <w:rFonts w:ascii="Arial" w:hAnsi="Arial" w:cs="Arial"/>
          <w:sz w:val="19"/>
          <w:szCs w:val="19"/>
        </w:rPr>
        <w:t xml:space="preserve">. </w:t>
      </w:r>
    </w:p>
    <w:p w:rsidRPr="008B2002" w:rsidR="004C7E95" w:rsidRDefault="00AA188C" w14:paraId="0A0FCDF6" w14:textId="64E0BE85">
      <w:pPr>
        <w:pStyle w:val="Textonotapie"/>
        <w:ind w:firstLine="708"/>
        <w:jc w:val="both"/>
        <w:rPr>
          <w:rFonts w:ascii="Arial" w:hAnsi="Arial" w:cs="Arial"/>
          <w:sz w:val="19"/>
          <w:szCs w:val="19"/>
        </w:rPr>
      </w:pPr>
      <w:r w:rsidRPr="008B2002">
        <w:rPr>
          <w:rFonts w:ascii="Arial" w:hAnsi="Arial" w:cs="Arial"/>
          <w:sz w:val="19"/>
          <w:szCs w:val="19"/>
        </w:rPr>
        <w:t xml:space="preserve"> </w:t>
      </w:r>
    </w:p>
  </w:footnote>
  <w:footnote w:id="6">
    <w:p w:rsidRPr="001A73D7" w:rsidR="00E1090A" w:rsidRDefault="00E1090A" w14:paraId="38CD70F7" w14:textId="6AB97AE7">
      <w:pPr>
        <w:pStyle w:val="Textonotapie"/>
        <w:ind w:firstLine="708"/>
        <w:jc w:val="both"/>
        <w:rPr>
          <w:rFonts w:ascii="Arial" w:hAnsi="Arial" w:cs="Arial"/>
          <w:sz w:val="19"/>
          <w:szCs w:val="19"/>
        </w:rPr>
      </w:pPr>
      <w:r w:rsidRPr="001A73D7">
        <w:rPr>
          <w:rStyle w:val="Refdenotaalpie"/>
          <w:rFonts w:ascii="Arial" w:hAnsi="Arial" w:cs="Arial"/>
          <w:sz w:val="19"/>
          <w:szCs w:val="19"/>
        </w:rPr>
        <w:footnoteRef/>
      </w:r>
      <w:r w:rsidRPr="001A73D7">
        <w:rPr>
          <w:rFonts w:ascii="Arial" w:hAnsi="Arial" w:cs="Arial"/>
          <w:sz w:val="19"/>
          <w:szCs w:val="19"/>
        </w:rPr>
        <w:t xml:space="preserve"> </w:t>
      </w:r>
      <w:r w:rsidRPr="008B2002">
        <w:rPr>
          <w:rFonts w:ascii="Arial" w:hAnsi="Arial" w:cs="Arial"/>
          <w:sz w:val="19"/>
          <w:szCs w:val="19"/>
        </w:rPr>
        <w:t>Esta resolución corresponde a la Versión 1 de los Doc</w:t>
      </w:r>
      <w:r w:rsidRPr="00625AFE">
        <w:rPr>
          <w:rFonts w:ascii="Arial" w:hAnsi="Arial" w:cs="Arial"/>
          <w:sz w:val="19"/>
          <w:szCs w:val="19"/>
        </w:rPr>
        <w:t xml:space="preserve">umentos Tipo de licitación de </w:t>
      </w:r>
      <w:r w:rsidRPr="003B0060">
        <w:rPr>
          <w:rFonts w:ascii="Arial" w:hAnsi="Arial" w:cs="Arial"/>
          <w:sz w:val="19"/>
          <w:szCs w:val="19"/>
        </w:rPr>
        <w:t xml:space="preserve">selección abreviada para obra pública </w:t>
      </w:r>
      <w:r w:rsidRPr="008B2002">
        <w:rPr>
          <w:rFonts w:ascii="Arial" w:hAnsi="Arial" w:cs="Arial"/>
          <w:sz w:val="19"/>
          <w:szCs w:val="19"/>
        </w:rPr>
        <w:t xml:space="preserve">de infraestructura de transporte, los cuales son aplicables a los procesos de selección cuyo aviso de convocatoria se publique a partir del </w:t>
      </w:r>
      <w:r w:rsidRPr="008B2002" w:rsidR="009E4F0B">
        <w:rPr>
          <w:rFonts w:ascii="Arial" w:hAnsi="Arial" w:cs="Arial"/>
          <w:sz w:val="19"/>
          <w:szCs w:val="19"/>
        </w:rPr>
        <w:t>17 de febrero</w:t>
      </w:r>
      <w:r w:rsidRPr="008B2002">
        <w:rPr>
          <w:rFonts w:ascii="Arial" w:hAnsi="Arial" w:cs="Arial"/>
          <w:sz w:val="19"/>
          <w:szCs w:val="19"/>
        </w:rPr>
        <w:t xml:space="preserve"> de 2020. Sin embargo, </w:t>
      </w:r>
      <w:r w:rsidRPr="008B2002" w:rsidR="009E4F0B">
        <w:rPr>
          <w:rFonts w:ascii="Arial" w:hAnsi="Arial" w:cs="Arial"/>
          <w:sz w:val="19"/>
          <w:szCs w:val="19"/>
        </w:rPr>
        <w:t>se</w:t>
      </w:r>
      <w:r w:rsidRPr="008B2002">
        <w:rPr>
          <w:rFonts w:ascii="Arial" w:hAnsi="Arial" w:cs="Arial"/>
          <w:sz w:val="19"/>
          <w:szCs w:val="19"/>
        </w:rPr>
        <w:t xml:space="preserve"> aclara que recientemente </w:t>
      </w:r>
      <w:r w:rsidRPr="008B2002" w:rsidR="009E4F0B">
        <w:rPr>
          <w:rFonts w:ascii="Arial" w:hAnsi="Arial" w:cs="Arial"/>
          <w:sz w:val="19"/>
          <w:szCs w:val="19"/>
        </w:rPr>
        <w:t>se expidió</w:t>
      </w:r>
      <w:r w:rsidRPr="008B2002">
        <w:rPr>
          <w:rFonts w:ascii="Arial" w:hAnsi="Arial" w:cs="Arial"/>
          <w:sz w:val="19"/>
          <w:szCs w:val="19"/>
        </w:rPr>
        <w:t xml:space="preserve"> la Resolución 24</w:t>
      </w:r>
      <w:r w:rsidRPr="008B2002" w:rsidR="009E4F0B">
        <w:rPr>
          <w:rFonts w:ascii="Arial" w:hAnsi="Arial" w:cs="Arial"/>
          <w:sz w:val="19"/>
          <w:szCs w:val="19"/>
        </w:rPr>
        <w:t>1</w:t>
      </w:r>
      <w:r w:rsidRPr="008B2002">
        <w:rPr>
          <w:rFonts w:ascii="Arial" w:hAnsi="Arial" w:cs="Arial"/>
          <w:sz w:val="19"/>
          <w:szCs w:val="19"/>
        </w:rPr>
        <w:t xml:space="preserve"> de 2020, implementando la Versión </w:t>
      </w:r>
      <w:r w:rsidRPr="008B2002" w:rsidR="009E4F0B">
        <w:rPr>
          <w:rFonts w:ascii="Arial" w:hAnsi="Arial" w:cs="Arial"/>
          <w:sz w:val="19"/>
          <w:szCs w:val="19"/>
        </w:rPr>
        <w:t>2</w:t>
      </w:r>
      <w:r w:rsidRPr="008B2002">
        <w:rPr>
          <w:rFonts w:ascii="Arial" w:hAnsi="Arial" w:cs="Arial"/>
          <w:sz w:val="19"/>
          <w:szCs w:val="19"/>
        </w:rPr>
        <w:t xml:space="preserve"> de estos documentos, la cual es aplicable a los procedimientos cuyo aviso de convocatoria se publique a partir del 1 de enero de 202</w:t>
      </w:r>
      <w:r w:rsidRPr="008B2002" w:rsidR="009E4F0B">
        <w:rPr>
          <w:rFonts w:ascii="Arial" w:hAnsi="Arial" w:cs="Arial"/>
          <w:sz w:val="19"/>
          <w:szCs w:val="19"/>
        </w:rPr>
        <w:t>1</w:t>
      </w:r>
      <w:r w:rsidRPr="008B2002">
        <w:rPr>
          <w:rFonts w:ascii="Arial" w:hAnsi="Arial" w:cs="Arial"/>
          <w:sz w:val="19"/>
          <w:szCs w:val="19"/>
        </w:rPr>
        <w:t xml:space="preserve">. </w:t>
      </w:r>
      <w:r w:rsidRPr="001A73D7">
        <w:rPr>
          <w:rFonts w:ascii="Arial" w:hAnsi="Arial" w:cs="Arial"/>
          <w:sz w:val="19"/>
          <w:szCs w:val="19"/>
        </w:rPr>
        <w:t xml:space="preserve"> </w:t>
      </w:r>
    </w:p>
    <w:p w:rsidRPr="001A73D7" w:rsidR="001E5E40" w:rsidRDefault="001E5E40" w14:paraId="68ACE328" w14:textId="77777777">
      <w:pPr>
        <w:pStyle w:val="Textonotapie"/>
        <w:ind w:firstLine="708"/>
        <w:jc w:val="both"/>
        <w:rPr>
          <w:rFonts w:ascii="Arial" w:hAnsi="Arial" w:cs="Arial"/>
          <w:sz w:val="19"/>
          <w:szCs w:val="19"/>
        </w:rPr>
      </w:pPr>
    </w:p>
  </w:footnote>
  <w:footnote w:id="7">
    <w:p w:rsidRPr="001A73D7" w:rsidR="001E5E40" w:rsidP="001A73D7" w:rsidRDefault="001E5E40" w14:paraId="508856BA" w14:textId="068C6B79">
      <w:pPr>
        <w:pStyle w:val="Textonotapie"/>
        <w:ind w:firstLine="708"/>
        <w:jc w:val="both"/>
        <w:rPr>
          <w:rFonts w:ascii="Arial" w:hAnsi="Arial" w:cs="Arial"/>
          <w:sz w:val="19"/>
          <w:szCs w:val="19"/>
        </w:rPr>
      </w:pPr>
      <w:r w:rsidRPr="001A73D7">
        <w:rPr>
          <w:rStyle w:val="Refdenotaalpie"/>
          <w:rFonts w:ascii="Arial" w:hAnsi="Arial" w:cs="Arial"/>
          <w:sz w:val="19"/>
          <w:szCs w:val="19"/>
        </w:rPr>
        <w:footnoteRef/>
      </w:r>
      <w:r w:rsidRPr="001A73D7">
        <w:rPr>
          <w:rFonts w:ascii="Arial" w:hAnsi="Arial" w:cs="Arial"/>
          <w:sz w:val="19"/>
          <w:szCs w:val="19"/>
        </w:rPr>
        <w:t xml:space="preserve"> </w:t>
      </w:r>
      <w:r w:rsidRPr="001A73D7">
        <w:rPr>
          <w:rFonts w:ascii="Arial" w:hAnsi="Arial" w:cs="Arial"/>
          <w:sz w:val="19"/>
          <w:szCs w:val="19"/>
        </w:rPr>
        <w:t>En efecto, en la introducción de cada uno de los documentos base de los documentos tipo, se establece una regulación como la siguiente, utilizando de modo ejemplificativo lo señalado frente a los de licitación –Versión 3–: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w:t>
      </w:r>
      <w:r w:rsidR="008B2002">
        <w:rPr>
          <w:rFonts w:ascii="Arial" w:hAnsi="Arial" w:cs="Arial"/>
          <w:sz w:val="19"/>
          <w:szCs w:val="19"/>
        </w:rPr>
        <w:t>».</w:t>
      </w:r>
    </w:p>
  </w:footnote>
  <w:footnote w:id="8">
    <w:p w:rsidRPr="008B2002" w:rsidR="00F66FE4" w:rsidP="001E5E40" w:rsidRDefault="00F66FE4" w14:paraId="2FA2E4A3" w14:textId="32BA8623">
      <w:pPr>
        <w:pStyle w:val="Textonotapie"/>
        <w:ind w:firstLine="708"/>
        <w:jc w:val="both"/>
        <w:rPr>
          <w:rFonts w:ascii="Arial" w:hAnsi="Arial" w:cs="Arial"/>
          <w:sz w:val="19"/>
          <w:szCs w:val="19"/>
        </w:rPr>
      </w:pPr>
      <w:r w:rsidRPr="008B2002">
        <w:rPr>
          <w:rStyle w:val="Refdenotaalpie"/>
          <w:rFonts w:ascii="Arial" w:hAnsi="Arial" w:cs="Arial"/>
          <w:sz w:val="19"/>
          <w:szCs w:val="19"/>
        </w:rPr>
        <w:footnoteRef/>
      </w:r>
      <w:r w:rsidRPr="008B2002">
        <w:rPr>
          <w:rFonts w:ascii="Arial" w:hAnsi="Arial" w:cs="Arial"/>
          <w:sz w:val="19"/>
          <w:szCs w:val="19"/>
        </w:rPr>
        <w:t xml:space="preserve">  </w:t>
      </w:r>
      <w:r w:rsidRPr="008B2002">
        <w:rPr>
          <w:rFonts w:ascii="Arial" w:hAnsi="Arial" w:cs="Arial"/>
          <w:sz w:val="19"/>
          <w:szCs w:val="19"/>
        </w:rPr>
        <w:t>El artículo 115 de la Ley 769 consagra lo siguiente: «Artículo 115. Reglamentación de las señales. El Ministerio de Transporte diseñará y definirá las características de las señales de tránsito, su uso, su ubicación y demás características que estime conveniente. Estas señales serán de obligatorio cumplimiento para todo el territorio nacional.</w:t>
      </w:r>
    </w:p>
    <w:p w:rsidRPr="008B2002" w:rsidR="00F66FE4" w:rsidP="008B2002" w:rsidRDefault="00F66FE4" w14:paraId="7F69CE65" w14:textId="38B8B82B">
      <w:pPr>
        <w:pStyle w:val="Textonotapie"/>
        <w:ind w:firstLine="708"/>
        <w:jc w:val="both"/>
        <w:rPr>
          <w:rFonts w:ascii="Arial" w:hAnsi="Arial" w:cs="Arial"/>
          <w:sz w:val="19"/>
          <w:szCs w:val="19"/>
        </w:rPr>
      </w:pPr>
      <w:r w:rsidRPr="008B2002">
        <w:rPr>
          <w:rFonts w:ascii="Arial" w:hAnsi="Arial" w:cs="Arial"/>
          <w:sz w:val="19"/>
          <w:szCs w:val="19"/>
        </w:rPr>
        <w:t>»PARÁGRAFO 1o. Cada organismo de tránsito responderá en su jurisdicción por la colocación y el mantenimiento de todas y cada una de las señales necesarias para un adecuado control de tránsito que serán determinadas mediante estudio que contenga las necesidades y el inventario general de la señalización en cada jurisdicción.</w:t>
      </w:r>
    </w:p>
    <w:p w:rsidRPr="008B2002" w:rsidR="00F66FE4" w:rsidP="001A73D7" w:rsidRDefault="00F66FE4" w14:paraId="2AAE2642" w14:textId="3BFE3A1A">
      <w:pPr>
        <w:pStyle w:val="Textonotapie"/>
        <w:ind w:firstLine="708"/>
        <w:jc w:val="both"/>
        <w:rPr>
          <w:rFonts w:ascii="Arial" w:hAnsi="Arial" w:cs="Arial"/>
          <w:sz w:val="19"/>
          <w:szCs w:val="19"/>
        </w:rPr>
      </w:pPr>
      <w:r w:rsidRPr="008B2002">
        <w:rPr>
          <w:rFonts w:ascii="Arial" w:hAnsi="Arial" w:cs="Arial"/>
          <w:sz w:val="19"/>
          <w:szCs w:val="19"/>
        </w:rPr>
        <w:t>»PARÁGRAFO 2o. En todo contrato de construcción, pavimentación o rehabilitación de una vía urbana o rural será obligatorio incluir la demarcación vial correspondiente, so pena de incurrir el responsable, en causal de mala conducta».</w:t>
      </w:r>
    </w:p>
    <w:p w:rsidRPr="001A73D7" w:rsidR="00F66FE4" w:rsidP="001A73D7" w:rsidRDefault="00F66FE4" w14:paraId="2307D08A" w14:textId="77777777">
      <w:pPr>
        <w:pStyle w:val="Textonotapie"/>
        <w:ind w:firstLine="708"/>
        <w:jc w:val="both"/>
        <w:rPr>
          <w:rFonts w:ascii="Arial" w:hAnsi="Arial" w:cs="Arial"/>
          <w:sz w:val="19"/>
          <w:szCs w:val="19"/>
        </w:rPr>
      </w:pPr>
    </w:p>
  </w:footnote>
  <w:footnote w:id="9">
    <w:p w:rsidRPr="003B0060" w:rsidR="00F66FE4" w:rsidP="001A73D7" w:rsidRDefault="00F66FE4" w14:paraId="128A83FF" w14:textId="3FDEF846">
      <w:pPr>
        <w:pStyle w:val="Textonotapie"/>
        <w:ind w:firstLine="708"/>
        <w:jc w:val="both"/>
        <w:rPr>
          <w:rFonts w:ascii="Arial" w:hAnsi="Arial" w:cs="Arial"/>
          <w:sz w:val="19"/>
          <w:szCs w:val="19"/>
          <w:lang w:val="es-ES"/>
        </w:rPr>
      </w:pPr>
      <w:r w:rsidRPr="008B2002">
        <w:rPr>
          <w:rStyle w:val="Refdenotaalpie"/>
          <w:rFonts w:ascii="Arial" w:hAnsi="Arial" w:cs="Arial"/>
          <w:sz w:val="19"/>
          <w:szCs w:val="19"/>
        </w:rPr>
        <w:footnoteRef/>
      </w:r>
      <w:r w:rsidRPr="008B2002">
        <w:rPr>
          <w:rFonts w:ascii="Arial" w:hAnsi="Arial" w:cs="Arial"/>
          <w:sz w:val="19"/>
          <w:szCs w:val="19"/>
        </w:rPr>
        <w:t xml:space="preserve"> </w:t>
      </w:r>
      <w:r w:rsidRPr="008B2002">
        <w:rPr>
          <w:rFonts w:ascii="Arial" w:hAnsi="Arial" w:cs="Arial"/>
          <w:sz w:val="19"/>
          <w:szCs w:val="19"/>
        </w:rPr>
        <w:t>Artículo 2. Resolución No. 0001885 de</w:t>
      </w:r>
      <w:r w:rsidRPr="003B0060">
        <w:rPr>
          <w:rFonts w:ascii="Arial" w:hAnsi="Arial" w:cs="Arial"/>
          <w:sz w:val="19"/>
          <w:szCs w:val="19"/>
        </w:rPr>
        <w:t>l 17 de junio de 2015 del Ministerio de Transporte.</w:t>
      </w:r>
    </w:p>
  </w:footnote>
  <w:footnote w:id="10">
    <w:p w:rsidRPr="001A73D7" w:rsidR="00F66FE4" w:rsidP="001E5E40" w:rsidRDefault="00F66FE4" w14:paraId="49D3CAFF" w14:textId="77777777">
      <w:pPr>
        <w:pStyle w:val="Textonotapie"/>
        <w:jc w:val="both"/>
        <w:rPr>
          <w:rFonts w:ascii="Arial" w:hAnsi="Arial" w:cs="Arial"/>
          <w:sz w:val="19"/>
          <w:szCs w:val="19"/>
        </w:rPr>
      </w:pPr>
    </w:p>
    <w:p w:rsidRPr="008B2002" w:rsidR="00F66FE4" w:rsidP="008B2002" w:rsidRDefault="00F66FE4" w14:paraId="0B2786BC" w14:textId="308793F4">
      <w:pPr>
        <w:pStyle w:val="Textonotapie"/>
        <w:ind w:firstLine="708"/>
        <w:jc w:val="both"/>
        <w:rPr>
          <w:rFonts w:ascii="Arial" w:hAnsi="Arial" w:cs="Arial"/>
          <w:sz w:val="19"/>
          <w:szCs w:val="19"/>
          <w:lang w:val="es-ES"/>
        </w:rPr>
      </w:pPr>
      <w:r w:rsidRPr="008B2002">
        <w:rPr>
          <w:rStyle w:val="Refdenotaalpie"/>
          <w:rFonts w:ascii="Arial" w:hAnsi="Arial" w:cs="Arial"/>
          <w:sz w:val="19"/>
          <w:szCs w:val="19"/>
        </w:rPr>
        <w:footnoteRef/>
      </w:r>
      <w:r w:rsidRPr="008B2002">
        <w:rPr>
          <w:rFonts w:ascii="Arial" w:hAnsi="Arial" w:cs="Arial"/>
          <w:sz w:val="19"/>
          <w:szCs w:val="19"/>
        </w:rPr>
        <w:t xml:space="preserve"> </w:t>
      </w:r>
      <w:r w:rsidRPr="003B0060">
        <w:rPr>
          <w:rFonts w:ascii="Arial" w:hAnsi="Arial" w:cs="Arial"/>
          <w:sz w:val="19"/>
          <w:szCs w:val="19"/>
          <w:lang w:val="es-ES"/>
        </w:rPr>
        <w:t>El artículo 3 de la Resolución No. 0001885 del 17 de junio de 2015 del Ministerio de Transporte establece los siguiente: «Artículo 3</w:t>
      </w:r>
      <w:r w:rsidRPr="008B2002">
        <w:rPr>
          <w:rFonts w:ascii="Arial" w:hAnsi="Arial" w:cs="Arial"/>
          <w:sz w:val="19"/>
          <w:szCs w:val="19"/>
          <w:lang w:val="es-ES"/>
        </w:rPr>
        <w:t xml:space="preserve">. Responsabilidad de aplicación. Toda entidad pública o persona natural o jurídica que desarrolle la actividad de señalización </w:t>
      </w:r>
      <w:proofErr w:type="gramStart"/>
      <w:r w:rsidRPr="008B2002">
        <w:rPr>
          <w:rFonts w:ascii="Arial" w:hAnsi="Arial" w:cs="Arial"/>
          <w:sz w:val="19"/>
          <w:szCs w:val="19"/>
          <w:lang w:val="es-ES"/>
        </w:rPr>
        <w:t>vial,</w:t>
      </w:r>
      <w:proofErr w:type="gramEnd"/>
      <w:r w:rsidRPr="008B2002">
        <w:rPr>
          <w:rFonts w:ascii="Arial" w:hAnsi="Arial" w:cs="Arial"/>
          <w:sz w:val="19"/>
          <w:szCs w:val="19"/>
          <w:lang w:val="es-ES"/>
        </w:rPr>
        <w:t xml:space="preserve"> deberá ceñirse estrictamente a lo establecido en el citado Manual».</w:t>
      </w:r>
    </w:p>
    <w:p w:rsidRPr="008B2002" w:rsidR="00F66FE4" w:rsidP="008B2002" w:rsidRDefault="00F66FE4" w14:paraId="5C43BC59" w14:textId="77777777">
      <w:pPr>
        <w:pStyle w:val="Textonotapie"/>
        <w:ind w:firstLine="708"/>
        <w:jc w:val="both"/>
        <w:rPr>
          <w:rFonts w:ascii="Arial" w:hAnsi="Arial" w:cs="Arial"/>
          <w:sz w:val="19"/>
          <w:szCs w:val="19"/>
          <w:lang w:val="es-ES"/>
        </w:rPr>
      </w:pPr>
    </w:p>
  </w:footnote>
  <w:footnote w:id="11">
    <w:p w:rsidR="00F66FE4" w:rsidP="001E5E40" w:rsidRDefault="00F66FE4" w14:paraId="2E682419" w14:textId="0E5E62F9">
      <w:pPr>
        <w:pStyle w:val="Textonotapie"/>
        <w:ind w:firstLine="708"/>
        <w:jc w:val="both"/>
        <w:rPr>
          <w:rFonts w:ascii="Arial" w:hAnsi="Arial" w:cs="Arial"/>
          <w:sz w:val="19"/>
          <w:szCs w:val="19"/>
        </w:rPr>
      </w:pPr>
      <w:r w:rsidRPr="008B2002">
        <w:rPr>
          <w:rStyle w:val="Refdenotaalpie"/>
          <w:rFonts w:ascii="Arial" w:hAnsi="Arial" w:cs="Arial"/>
          <w:sz w:val="19"/>
          <w:szCs w:val="19"/>
        </w:rPr>
        <w:footnoteRef/>
      </w:r>
      <w:r w:rsidRPr="008B2002">
        <w:rPr>
          <w:rFonts w:ascii="Arial" w:hAnsi="Arial" w:cs="Arial"/>
          <w:sz w:val="19"/>
          <w:szCs w:val="19"/>
        </w:rPr>
        <w:t xml:space="preserve"> </w:t>
      </w:r>
      <w:r w:rsidRPr="008B2002">
        <w:rPr>
          <w:rFonts w:ascii="Arial" w:hAnsi="Arial" w:cs="Arial"/>
          <w:sz w:val="19"/>
          <w:szCs w:val="19"/>
        </w:rPr>
        <w:t xml:space="preserve">Ministerio de Transporte. Manual de Señalización Vial – Dispositivos uniformes para la regulación del tránsito en calles, </w:t>
      </w:r>
      <w:r w:rsidRPr="003B0060">
        <w:rPr>
          <w:rFonts w:ascii="Arial" w:hAnsi="Arial" w:cs="Arial"/>
          <w:sz w:val="19"/>
          <w:szCs w:val="19"/>
        </w:rPr>
        <w:t xml:space="preserve">carreteras y ciclorrutas de Colombia, 2015. </w:t>
      </w:r>
      <w:r w:rsidRPr="003E2DE8">
        <w:rPr>
          <w:rFonts w:ascii="Arial" w:hAnsi="Arial" w:cs="Arial"/>
          <w:sz w:val="19"/>
          <w:szCs w:val="19"/>
        </w:rPr>
        <w:t>p. 17.</w:t>
      </w:r>
    </w:p>
    <w:p w:rsidRPr="003B0060" w:rsidR="003B0060" w:rsidP="001A73D7" w:rsidRDefault="003B0060" w14:paraId="56079B3C" w14:textId="77777777">
      <w:pPr>
        <w:pStyle w:val="Textonotapie"/>
        <w:ind w:firstLine="708"/>
        <w:jc w:val="both"/>
        <w:rPr>
          <w:rFonts w:ascii="Arial" w:hAnsi="Arial" w:cs="Arial"/>
          <w:sz w:val="19"/>
          <w:szCs w:val="19"/>
          <w:lang w:val="es-ES"/>
        </w:rPr>
      </w:pPr>
    </w:p>
  </w:footnote>
  <w:footnote w:id="12">
    <w:p w:rsidRPr="003B0060" w:rsidR="00F66FE4" w:rsidP="001E5E40" w:rsidRDefault="00F66FE4" w14:paraId="0B98F4DF" w14:textId="034A1868">
      <w:pPr>
        <w:pStyle w:val="Textonotapie"/>
        <w:ind w:firstLine="709"/>
        <w:jc w:val="both"/>
        <w:rPr>
          <w:rFonts w:ascii="Arial" w:hAnsi="Arial" w:cs="Arial"/>
          <w:sz w:val="19"/>
          <w:szCs w:val="19"/>
          <w:lang w:val="es-ES"/>
        </w:rPr>
      </w:pPr>
      <w:r w:rsidRPr="008B2002">
        <w:rPr>
          <w:rStyle w:val="Refdenotaalpie"/>
          <w:rFonts w:ascii="Arial" w:hAnsi="Arial" w:cs="Arial"/>
          <w:sz w:val="19"/>
          <w:szCs w:val="19"/>
        </w:rPr>
        <w:footnoteRef/>
      </w:r>
      <w:r w:rsidRPr="008B2002">
        <w:rPr>
          <w:rFonts w:ascii="Arial" w:hAnsi="Arial" w:cs="Arial"/>
          <w:sz w:val="19"/>
          <w:szCs w:val="19"/>
        </w:rPr>
        <w:t xml:space="preserve"> </w:t>
      </w:r>
      <w:r w:rsidRPr="003B0060">
        <w:rPr>
          <w:rFonts w:ascii="Arial" w:hAnsi="Arial" w:cs="Arial"/>
          <w:sz w:val="19"/>
          <w:szCs w:val="19"/>
          <w:lang w:val="es-ES"/>
        </w:rPr>
        <w:t>Ibídem. p. 289.</w:t>
      </w:r>
    </w:p>
    <w:p w:rsidRPr="008B2002" w:rsidR="00F66FE4" w:rsidP="008B2002" w:rsidRDefault="00F66FE4" w14:paraId="4C97005B" w14:textId="77777777">
      <w:pPr>
        <w:pStyle w:val="Textonotapie"/>
        <w:ind w:firstLine="709"/>
        <w:jc w:val="both"/>
        <w:rPr>
          <w:rFonts w:ascii="Arial" w:hAnsi="Arial" w:cs="Arial"/>
          <w:sz w:val="19"/>
          <w:szCs w:val="19"/>
          <w:lang w:val="es-ES"/>
        </w:rPr>
      </w:pPr>
    </w:p>
  </w:footnote>
  <w:footnote w:id="13">
    <w:p w:rsidRPr="001A73D7" w:rsidR="00F66FE4" w:rsidP="008B2002" w:rsidRDefault="00F66FE4" w14:paraId="4BCAFF11" w14:textId="21137A5D">
      <w:pPr>
        <w:pStyle w:val="Textonotapie"/>
        <w:ind w:firstLine="709"/>
        <w:jc w:val="both"/>
        <w:rPr>
          <w:rFonts w:ascii="Arial" w:hAnsi="Arial" w:cs="Arial"/>
          <w:sz w:val="19"/>
          <w:szCs w:val="19"/>
          <w:lang w:val="es-ES"/>
        </w:rPr>
      </w:pPr>
      <w:r w:rsidRPr="008B2002">
        <w:rPr>
          <w:rStyle w:val="Refdenotaalpie"/>
          <w:rFonts w:ascii="Arial" w:hAnsi="Arial" w:cs="Arial"/>
          <w:sz w:val="19"/>
          <w:szCs w:val="19"/>
          <w:lang w:val="es-ES"/>
        </w:rPr>
        <w:footnoteRef/>
      </w:r>
      <w:r w:rsidRPr="008B2002">
        <w:rPr>
          <w:rFonts w:ascii="Arial" w:hAnsi="Arial" w:cs="Arial"/>
          <w:sz w:val="19"/>
          <w:szCs w:val="19"/>
          <w:lang w:val="es-ES"/>
        </w:rPr>
        <w:t xml:space="preserve"> Para más información</w:t>
      </w:r>
      <w:r w:rsidRPr="003B0060">
        <w:rPr>
          <w:rFonts w:ascii="Arial" w:hAnsi="Arial" w:cs="Arial"/>
          <w:sz w:val="19"/>
          <w:szCs w:val="19"/>
          <w:lang w:val="es-ES"/>
        </w:rPr>
        <w:t xml:space="preserve"> referente a la clasificación de señales turísticas, véase: </w:t>
      </w:r>
      <w:r w:rsidRPr="003E2DE8">
        <w:rPr>
          <w:rFonts w:ascii="Arial" w:hAnsi="Arial" w:cs="Arial"/>
          <w:sz w:val="19"/>
          <w:szCs w:val="19"/>
        </w:rPr>
        <w:t xml:space="preserve">Ministerio de Transporte. </w:t>
      </w:r>
      <w:r w:rsidRPr="003E2DE8">
        <w:rPr>
          <w:rFonts w:ascii="Arial" w:hAnsi="Arial" w:cs="Arial"/>
          <w:sz w:val="19"/>
          <w:szCs w:val="19"/>
        </w:rPr>
        <w:t xml:space="preserve">Manual de Señalización Vial – Dispositivos uniformes para la </w:t>
      </w:r>
      <w:r w:rsidRPr="008B2002">
        <w:rPr>
          <w:rFonts w:ascii="Arial" w:hAnsi="Arial" w:cs="Arial"/>
          <w:sz w:val="19"/>
          <w:szCs w:val="19"/>
        </w:rPr>
        <w:t>regulación del tránsito en calles, carreteras y ciclorrutas de Colombia, 2015. pp. 290-327.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E27002" w:rsidRDefault="00E27002" w14:paraId="1BE98637" w14:textId="77777777">
    <w:pPr>
      <w:pStyle w:val="Encabezado"/>
    </w:pPr>
    <w:r>
      <w:rPr>
        <w:noProof/>
        <w:lang w:val="es-CO" w:eastAsia="es-CO"/>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5" w15:restartNumberingAfterBreak="0">
    <w:nsid w:val="716D1FFB"/>
    <w:multiLevelType w:val="hybridMultilevel"/>
    <w:tmpl w:val="399A4B3A"/>
    <w:lvl w:ilvl="0" w:tplc="3F0C0F76">
      <w:start w:val="2"/>
      <w:numFmt w:val="decimal"/>
      <w:lvlText w:val="%1"/>
      <w:lvlJc w:val="left"/>
      <w:pPr>
        <w:ind w:left="360" w:hanging="360"/>
      </w:pPr>
      <w:rPr>
        <w:rFonts w:hint="default"/>
      </w:rPr>
    </w:lvl>
    <w:lvl w:ilvl="1" w:tplc="72DE3F6A">
      <w:start w:val="1"/>
      <w:numFmt w:val="decimal"/>
      <w:lvlText w:val="%1.%2"/>
      <w:lvlJc w:val="left"/>
      <w:pPr>
        <w:ind w:left="786" w:hanging="360"/>
      </w:pPr>
      <w:rPr>
        <w:rFonts w:hint="default" w:asciiTheme="minorHAnsi" w:hAnsiTheme="minorHAnsi" w:cstheme="minorHAnsi"/>
        <w:b/>
        <w:sz w:val="20"/>
        <w:szCs w:val="20"/>
      </w:rPr>
    </w:lvl>
    <w:lvl w:ilvl="2" w:tplc="594E97D6">
      <w:start w:val="1"/>
      <w:numFmt w:val="decimal"/>
      <w:lvlText w:val="%1.%2.%3"/>
      <w:lvlJc w:val="left"/>
      <w:pPr>
        <w:ind w:left="720" w:hanging="720"/>
      </w:pPr>
      <w:rPr>
        <w:rFonts w:hint="default"/>
      </w:rPr>
    </w:lvl>
    <w:lvl w:ilvl="3" w:tplc="566E2820">
      <w:start w:val="1"/>
      <w:numFmt w:val="decimal"/>
      <w:lvlText w:val="%1.%2.%3.%4"/>
      <w:lvlJc w:val="left"/>
      <w:pPr>
        <w:ind w:left="720" w:hanging="720"/>
      </w:pPr>
      <w:rPr>
        <w:rFonts w:hint="default"/>
      </w:rPr>
    </w:lvl>
    <w:lvl w:ilvl="4" w:tplc="A4ECA528">
      <w:start w:val="1"/>
      <w:numFmt w:val="decimal"/>
      <w:lvlText w:val="%1.%2.%3.%4.%5"/>
      <w:lvlJc w:val="left"/>
      <w:pPr>
        <w:ind w:left="1080" w:hanging="1080"/>
      </w:pPr>
      <w:rPr>
        <w:rFonts w:hint="default"/>
      </w:rPr>
    </w:lvl>
    <w:lvl w:ilvl="5" w:tplc="7A52297C">
      <w:start w:val="1"/>
      <w:numFmt w:val="decimal"/>
      <w:lvlText w:val="%1.%2.%3.%4.%5.%6"/>
      <w:lvlJc w:val="left"/>
      <w:pPr>
        <w:ind w:left="1080" w:hanging="1080"/>
      </w:pPr>
      <w:rPr>
        <w:rFonts w:hint="default"/>
      </w:rPr>
    </w:lvl>
    <w:lvl w:ilvl="6" w:tplc="04C68D9E">
      <w:start w:val="1"/>
      <w:numFmt w:val="decimal"/>
      <w:lvlText w:val="%1.%2.%3.%4.%5.%6.%7"/>
      <w:lvlJc w:val="left"/>
      <w:pPr>
        <w:ind w:left="1440" w:hanging="1440"/>
      </w:pPr>
      <w:rPr>
        <w:rFonts w:hint="default"/>
      </w:rPr>
    </w:lvl>
    <w:lvl w:ilvl="7" w:tplc="867264C0">
      <w:start w:val="1"/>
      <w:numFmt w:val="decimal"/>
      <w:lvlText w:val="%1.%2.%3.%4.%5.%6.%7.%8"/>
      <w:lvlJc w:val="left"/>
      <w:pPr>
        <w:ind w:left="1440" w:hanging="1440"/>
      </w:pPr>
      <w:rPr>
        <w:rFonts w:hint="default"/>
      </w:rPr>
    </w:lvl>
    <w:lvl w:ilvl="8" w:tplc="8E98EE94">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21"/>
  <w:trackRevisions w:val="false"/>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036F"/>
    <w:rsid w:val="000003D6"/>
    <w:rsid w:val="00001BE0"/>
    <w:rsid w:val="00001E3D"/>
    <w:rsid w:val="0000340B"/>
    <w:rsid w:val="000047EA"/>
    <w:rsid w:val="00004ED9"/>
    <w:rsid w:val="000072CE"/>
    <w:rsid w:val="000100E8"/>
    <w:rsid w:val="00010A06"/>
    <w:rsid w:val="00010C71"/>
    <w:rsid w:val="00010D30"/>
    <w:rsid w:val="000122AD"/>
    <w:rsid w:val="000137A9"/>
    <w:rsid w:val="000137F2"/>
    <w:rsid w:val="00015B31"/>
    <w:rsid w:val="0001668E"/>
    <w:rsid w:val="00016AF9"/>
    <w:rsid w:val="00021180"/>
    <w:rsid w:val="00023057"/>
    <w:rsid w:val="00024771"/>
    <w:rsid w:val="00030913"/>
    <w:rsid w:val="0003091B"/>
    <w:rsid w:val="000309B1"/>
    <w:rsid w:val="000333A2"/>
    <w:rsid w:val="00034108"/>
    <w:rsid w:val="00034853"/>
    <w:rsid w:val="00035F08"/>
    <w:rsid w:val="0003625C"/>
    <w:rsid w:val="00036E73"/>
    <w:rsid w:val="00037414"/>
    <w:rsid w:val="00040C88"/>
    <w:rsid w:val="00040D6E"/>
    <w:rsid w:val="00042C0C"/>
    <w:rsid w:val="00042F7E"/>
    <w:rsid w:val="000439E9"/>
    <w:rsid w:val="00043A4D"/>
    <w:rsid w:val="000445B5"/>
    <w:rsid w:val="00044FF2"/>
    <w:rsid w:val="000466AC"/>
    <w:rsid w:val="00047050"/>
    <w:rsid w:val="00050047"/>
    <w:rsid w:val="00051D31"/>
    <w:rsid w:val="00054B43"/>
    <w:rsid w:val="00054CA5"/>
    <w:rsid w:val="00054E9A"/>
    <w:rsid w:val="00061E34"/>
    <w:rsid w:val="00061EE4"/>
    <w:rsid w:val="00062B0D"/>
    <w:rsid w:val="00062F44"/>
    <w:rsid w:val="0006519B"/>
    <w:rsid w:val="000665B2"/>
    <w:rsid w:val="00072EB9"/>
    <w:rsid w:val="000757B4"/>
    <w:rsid w:val="000763E2"/>
    <w:rsid w:val="00076F69"/>
    <w:rsid w:val="00081829"/>
    <w:rsid w:val="00083710"/>
    <w:rsid w:val="00086A16"/>
    <w:rsid w:val="00091039"/>
    <w:rsid w:val="00091570"/>
    <w:rsid w:val="00091572"/>
    <w:rsid w:val="00091D8F"/>
    <w:rsid w:val="00091F2D"/>
    <w:rsid w:val="000929DE"/>
    <w:rsid w:val="00092B1A"/>
    <w:rsid w:val="00093E58"/>
    <w:rsid w:val="00094CC6"/>
    <w:rsid w:val="00095C76"/>
    <w:rsid w:val="00097CD6"/>
    <w:rsid w:val="000A0D5D"/>
    <w:rsid w:val="000A18DD"/>
    <w:rsid w:val="000A1DBA"/>
    <w:rsid w:val="000A21A9"/>
    <w:rsid w:val="000A3B96"/>
    <w:rsid w:val="000A4C83"/>
    <w:rsid w:val="000A6338"/>
    <w:rsid w:val="000A6B6F"/>
    <w:rsid w:val="000A70D5"/>
    <w:rsid w:val="000A784F"/>
    <w:rsid w:val="000B4A19"/>
    <w:rsid w:val="000C0B40"/>
    <w:rsid w:val="000C0E39"/>
    <w:rsid w:val="000C3BD4"/>
    <w:rsid w:val="000C3D66"/>
    <w:rsid w:val="000C433C"/>
    <w:rsid w:val="000C4A2C"/>
    <w:rsid w:val="000C51AF"/>
    <w:rsid w:val="000C5830"/>
    <w:rsid w:val="000C5C37"/>
    <w:rsid w:val="000C79F1"/>
    <w:rsid w:val="000D088F"/>
    <w:rsid w:val="000D09C6"/>
    <w:rsid w:val="000D2773"/>
    <w:rsid w:val="000D7324"/>
    <w:rsid w:val="000D77AE"/>
    <w:rsid w:val="000E03EA"/>
    <w:rsid w:val="000E1D5D"/>
    <w:rsid w:val="000E284C"/>
    <w:rsid w:val="000E4A3C"/>
    <w:rsid w:val="000E57DB"/>
    <w:rsid w:val="000E5BB2"/>
    <w:rsid w:val="000E6867"/>
    <w:rsid w:val="000E68C2"/>
    <w:rsid w:val="000F1B34"/>
    <w:rsid w:val="000F1E3D"/>
    <w:rsid w:val="000F211E"/>
    <w:rsid w:val="000F2A12"/>
    <w:rsid w:val="000F4DAF"/>
    <w:rsid w:val="000F7F4E"/>
    <w:rsid w:val="00100123"/>
    <w:rsid w:val="0010054E"/>
    <w:rsid w:val="00100AEC"/>
    <w:rsid w:val="00103CA7"/>
    <w:rsid w:val="001056C0"/>
    <w:rsid w:val="00105A2E"/>
    <w:rsid w:val="00107607"/>
    <w:rsid w:val="00110B59"/>
    <w:rsid w:val="00112597"/>
    <w:rsid w:val="0011538C"/>
    <w:rsid w:val="0011544E"/>
    <w:rsid w:val="00117A4B"/>
    <w:rsid w:val="00117E9B"/>
    <w:rsid w:val="0012074A"/>
    <w:rsid w:val="00120C8D"/>
    <w:rsid w:val="0012181C"/>
    <w:rsid w:val="00123543"/>
    <w:rsid w:val="001240CD"/>
    <w:rsid w:val="00124201"/>
    <w:rsid w:val="00127F76"/>
    <w:rsid w:val="001321AB"/>
    <w:rsid w:val="0013282D"/>
    <w:rsid w:val="00132B72"/>
    <w:rsid w:val="001334CB"/>
    <w:rsid w:val="00136D2A"/>
    <w:rsid w:val="0013709F"/>
    <w:rsid w:val="00140E57"/>
    <w:rsid w:val="00141B19"/>
    <w:rsid w:val="00141C64"/>
    <w:rsid w:val="001427E8"/>
    <w:rsid w:val="00142BB5"/>
    <w:rsid w:val="00142E4E"/>
    <w:rsid w:val="00143498"/>
    <w:rsid w:val="0014462B"/>
    <w:rsid w:val="0014605E"/>
    <w:rsid w:val="00146D5B"/>
    <w:rsid w:val="001474BD"/>
    <w:rsid w:val="001500EE"/>
    <w:rsid w:val="001501ED"/>
    <w:rsid w:val="00151596"/>
    <w:rsid w:val="00152C0B"/>
    <w:rsid w:val="00153CE9"/>
    <w:rsid w:val="0015451F"/>
    <w:rsid w:val="0015466A"/>
    <w:rsid w:val="001573F8"/>
    <w:rsid w:val="00157579"/>
    <w:rsid w:val="00160D2F"/>
    <w:rsid w:val="00162BA0"/>
    <w:rsid w:val="001637F9"/>
    <w:rsid w:val="00163B8D"/>
    <w:rsid w:val="00163EED"/>
    <w:rsid w:val="00164E79"/>
    <w:rsid w:val="00166C81"/>
    <w:rsid w:val="0016733C"/>
    <w:rsid w:val="001700BB"/>
    <w:rsid w:val="0017154E"/>
    <w:rsid w:val="0017377E"/>
    <w:rsid w:val="00174D99"/>
    <w:rsid w:val="0017603D"/>
    <w:rsid w:val="001764B9"/>
    <w:rsid w:val="0018018D"/>
    <w:rsid w:val="00181A3E"/>
    <w:rsid w:val="00182291"/>
    <w:rsid w:val="0018371B"/>
    <w:rsid w:val="00183992"/>
    <w:rsid w:val="00185441"/>
    <w:rsid w:val="001865DB"/>
    <w:rsid w:val="00187893"/>
    <w:rsid w:val="00187A95"/>
    <w:rsid w:val="00193B53"/>
    <w:rsid w:val="00194066"/>
    <w:rsid w:val="001942F8"/>
    <w:rsid w:val="00194C13"/>
    <w:rsid w:val="00194C50"/>
    <w:rsid w:val="00194DD5"/>
    <w:rsid w:val="00196FB5"/>
    <w:rsid w:val="00197301"/>
    <w:rsid w:val="001A0AEB"/>
    <w:rsid w:val="001A0CC7"/>
    <w:rsid w:val="001A0DC8"/>
    <w:rsid w:val="001A23B6"/>
    <w:rsid w:val="001A5B07"/>
    <w:rsid w:val="001A73D7"/>
    <w:rsid w:val="001B2E5D"/>
    <w:rsid w:val="001B458A"/>
    <w:rsid w:val="001B53BD"/>
    <w:rsid w:val="001B5E36"/>
    <w:rsid w:val="001B78C4"/>
    <w:rsid w:val="001C1D25"/>
    <w:rsid w:val="001C2AE5"/>
    <w:rsid w:val="001C379F"/>
    <w:rsid w:val="001C45BA"/>
    <w:rsid w:val="001D0F54"/>
    <w:rsid w:val="001D38A0"/>
    <w:rsid w:val="001D5ECE"/>
    <w:rsid w:val="001D7073"/>
    <w:rsid w:val="001D7420"/>
    <w:rsid w:val="001E123B"/>
    <w:rsid w:val="001E1735"/>
    <w:rsid w:val="001E1C6D"/>
    <w:rsid w:val="001E20C2"/>
    <w:rsid w:val="001E3F37"/>
    <w:rsid w:val="001E44A9"/>
    <w:rsid w:val="001E4C26"/>
    <w:rsid w:val="001E517A"/>
    <w:rsid w:val="001E5745"/>
    <w:rsid w:val="001E5DBB"/>
    <w:rsid w:val="001E5E40"/>
    <w:rsid w:val="001E6251"/>
    <w:rsid w:val="001E685F"/>
    <w:rsid w:val="001E7044"/>
    <w:rsid w:val="001F1051"/>
    <w:rsid w:val="001F1A2D"/>
    <w:rsid w:val="001F2476"/>
    <w:rsid w:val="001F311C"/>
    <w:rsid w:val="001F34A8"/>
    <w:rsid w:val="001F40B2"/>
    <w:rsid w:val="001F4B99"/>
    <w:rsid w:val="001F70F8"/>
    <w:rsid w:val="00200D61"/>
    <w:rsid w:val="00200F92"/>
    <w:rsid w:val="002011E5"/>
    <w:rsid w:val="002021FE"/>
    <w:rsid w:val="002034AD"/>
    <w:rsid w:val="002035FF"/>
    <w:rsid w:val="00203642"/>
    <w:rsid w:val="00203ABB"/>
    <w:rsid w:val="00203BF1"/>
    <w:rsid w:val="00203F46"/>
    <w:rsid w:val="002042F7"/>
    <w:rsid w:val="002050BF"/>
    <w:rsid w:val="00206AA8"/>
    <w:rsid w:val="00207033"/>
    <w:rsid w:val="00210D66"/>
    <w:rsid w:val="00211C6F"/>
    <w:rsid w:val="00212E91"/>
    <w:rsid w:val="00213824"/>
    <w:rsid w:val="00214062"/>
    <w:rsid w:val="00217339"/>
    <w:rsid w:val="00222204"/>
    <w:rsid w:val="00222827"/>
    <w:rsid w:val="0022306C"/>
    <w:rsid w:val="002239B4"/>
    <w:rsid w:val="00224158"/>
    <w:rsid w:val="00224A68"/>
    <w:rsid w:val="00227C2D"/>
    <w:rsid w:val="00227D08"/>
    <w:rsid w:val="0023008F"/>
    <w:rsid w:val="0023180C"/>
    <w:rsid w:val="00231891"/>
    <w:rsid w:val="002334AC"/>
    <w:rsid w:val="002344F1"/>
    <w:rsid w:val="00234C6C"/>
    <w:rsid w:val="0023576D"/>
    <w:rsid w:val="0023728A"/>
    <w:rsid w:val="00237522"/>
    <w:rsid w:val="0024059E"/>
    <w:rsid w:val="002417D1"/>
    <w:rsid w:val="00244A28"/>
    <w:rsid w:val="002466F4"/>
    <w:rsid w:val="00247604"/>
    <w:rsid w:val="00247EBA"/>
    <w:rsid w:val="0025095A"/>
    <w:rsid w:val="00251322"/>
    <w:rsid w:val="00251547"/>
    <w:rsid w:val="0025208B"/>
    <w:rsid w:val="002532DE"/>
    <w:rsid w:val="00254E63"/>
    <w:rsid w:val="00257DD1"/>
    <w:rsid w:val="00261089"/>
    <w:rsid w:val="00264682"/>
    <w:rsid w:val="00265031"/>
    <w:rsid w:val="0026520C"/>
    <w:rsid w:val="00266277"/>
    <w:rsid w:val="00270009"/>
    <w:rsid w:val="002711ED"/>
    <w:rsid w:val="002723C7"/>
    <w:rsid w:val="00273277"/>
    <w:rsid w:val="0027563A"/>
    <w:rsid w:val="002806CA"/>
    <w:rsid w:val="0028075E"/>
    <w:rsid w:val="002807AD"/>
    <w:rsid w:val="00282D8F"/>
    <w:rsid w:val="00283163"/>
    <w:rsid w:val="0028403E"/>
    <w:rsid w:val="00284C12"/>
    <w:rsid w:val="0028631B"/>
    <w:rsid w:val="00286834"/>
    <w:rsid w:val="00286FAD"/>
    <w:rsid w:val="002870BB"/>
    <w:rsid w:val="00287105"/>
    <w:rsid w:val="00295636"/>
    <w:rsid w:val="00296217"/>
    <w:rsid w:val="002969F8"/>
    <w:rsid w:val="00297358"/>
    <w:rsid w:val="002A125F"/>
    <w:rsid w:val="002A153A"/>
    <w:rsid w:val="002A2A80"/>
    <w:rsid w:val="002A6417"/>
    <w:rsid w:val="002A6631"/>
    <w:rsid w:val="002B1C0D"/>
    <w:rsid w:val="002B282F"/>
    <w:rsid w:val="002B3B1F"/>
    <w:rsid w:val="002B45AD"/>
    <w:rsid w:val="002B4B30"/>
    <w:rsid w:val="002B4F96"/>
    <w:rsid w:val="002B56DF"/>
    <w:rsid w:val="002B77FC"/>
    <w:rsid w:val="002B79E1"/>
    <w:rsid w:val="002B7D1F"/>
    <w:rsid w:val="002C004E"/>
    <w:rsid w:val="002C1969"/>
    <w:rsid w:val="002C3A48"/>
    <w:rsid w:val="002C3CAC"/>
    <w:rsid w:val="002C441F"/>
    <w:rsid w:val="002C7599"/>
    <w:rsid w:val="002C7A63"/>
    <w:rsid w:val="002D06BB"/>
    <w:rsid w:val="002D2B71"/>
    <w:rsid w:val="002D413A"/>
    <w:rsid w:val="002E320B"/>
    <w:rsid w:val="002E4348"/>
    <w:rsid w:val="002E5AEA"/>
    <w:rsid w:val="002E67C5"/>
    <w:rsid w:val="002E71AB"/>
    <w:rsid w:val="002E74E6"/>
    <w:rsid w:val="002E7BC2"/>
    <w:rsid w:val="002F1C33"/>
    <w:rsid w:val="002F2152"/>
    <w:rsid w:val="002F2416"/>
    <w:rsid w:val="002F2DB4"/>
    <w:rsid w:val="002F47DB"/>
    <w:rsid w:val="002F6071"/>
    <w:rsid w:val="002F63BB"/>
    <w:rsid w:val="002F6C10"/>
    <w:rsid w:val="002F6DBB"/>
    <w:rsid w:val="002F701E"/>
    <w:rsid w:val="003001AC"/>
    <w:rsid w:val="00300369"/>
    <w:rsid w:val="00300A6A"/>
    <w:rsid w:val="00302F9F"/>
    <w:rsid w:val="00303EC5"/>
    <w:rsid w:val="00304386"/>
    <w:rsid w:val="0030648E"/>
    <w:rsid w:val="00306BD1"/>
    <w:rsid w:val="00307469"/>
    <w:rsid w:val="00311C1E"/>
    <w:rsid w:val="00312203"/>
    <w:rsid w:val="00312A01"/>
    <w:rsid w:val="00312B8F"/>
    <w:rsid w:val="003132BB"/>
    <w:rsid w:val="003154BC"/>
    <w:rsid w:val="003207E2"/>
    <w:rsid w:val="00324D77"/>
    <w:rsid w:val="00326269"/>
    <w:rsid w:val="00326B54"/>
    <w:rsid w:val="0033366E"/>
    <w:rsid w:val="00333783"/>
    <w:rsid w:val="00334E97"/>
    <w:rsid w:val="00335DF1"/>
    <w:rsid w:val="003373C2"/>
    <w:rsid w:val="003401FE"/>
    <w:rsid w:val="00340A7A"/>
    <w:rsid w:val="003417F0"/>
    <w:rsid w:val="00341835"/>
    <w:rsid w:val="00341ECA"/>
    <w:rsid w:val="00343B5F"/>
    <w:rsid w:val="00343ED4"/>
    <w:rsid w:val="00344791"/>
    <w:rsid w:val="003458DF"/>
    <w:rsid w:val="00347696"/>
    <w:rsid w:val="0034786D"/>
    <w:rsid w:val="00350329"/>
    <w:rsid w:val="00350A47"/>
    <w:rsid w:val="00352FF4"/>
    <w:rsid w:val="003535D2"/>
    <w:rsid w:val="00356B57"/>
    <w:rsid w:val="0036125C"/>
    <w:rsid w:val="00364564"/>
    <w:rsid w:val="003651F0"/>
    <w:rsid w:val="003658B3"/>
    <w:rsid w:val="00366BE9"/>
    <w:rsid w:val="003701D9"/>
    <w:rsid w:val="003739F0"/>
    <w:rsid w:val="003759CE"/>
    <w:rsid w:val="0037679B"/>
    <w:rsid w:val="00377282"/>
    <w:rsid w:val="00377CD3"/>
    <w:rsid w:val="00381DFA"/>
    <w:rsid w:val="003825A4"/>
    <w:rsid w:val="003874DD"/>
    <w:rsid w:val="003877AF"/>
    <w:rsid w:val="00387D0F"/>
    <w:rsid w:val="00390DCF"/>
    <w:rsid w:val="003964CD"/>
    <w:rsid w:val="00396821"/>
    <w:rsid w:val="003A06BB"/>
    <w:rsid w:val="003A2944"/>
    <w:rsid w:val="003A3495"/>
    <w:rsid w:val="003A4CEB"/>
    <w:rsid w:val="003A4F0D"/>
    <w:rsid w:val="003A6ADF"/>
    <w:rsid w:val="003B0060"/>
    <w:rsid w:val="003B0DEF"/>
    <w:rsid w:val="003B0E6E"/>
    <w:rsid w:val="003B1932"/>
    <w:rsid w:val="003B66DF"/>
    <w:rsid w:val="003B712F"/>
    <w:rsid w:val="003B7185"/>
    <w:rsid w:val="003B7AF7"/>
    <w:rsid w:val="003C01B5"/>
    <w:rsid w:val="003C12E6"/>
    <w:rsid w:val="003C2074"/>
    <w:rsid w:val="003C30B5"/>
    <w:rsid w:val="003C3ADB"/>
    <w:rsid w:val="003C4F6C"/>
    <w:rsid w:val="003C611C"/>
    <w:rsid w:val="003C6749"/>
    <w:rsid w:val="003C6AE8"/>
    <w:rsid w:val="003C7207"/>
    <w:rsid w:val="003C7995"/>
    <w:rsid w:val="003D0670"/>
    <w:rsid w:val="003D0E4A"/>
    <w:rsid w:val="003D0E7D"/>
    <w:rsid w:val="003D11B5"/>
    <w:rsid w:val="003D134C"/>
    <w:rsid w:val="003D4164"/>
    <w:rsid w:val="003D4BD3"/>
    <w:rsid w:val="003D50C3"/>
    <w:rsid w:val="003D69A5"/>
    <w:rsid w:val="003D6FFB"/>
    <w:rsid w:val="003D750E"/>
    <w:rsid w:val="003E0FE1"/>
    <w:rsid w:val="003E14F9"/>
    <w:rsid w:val="003E2DE8"/>
    <w:rsid w:val="003E599A"/>
    <w:rsid w:val="003F309F"/>
    <w:rsid w:val="003F3119"/>
    <w:rsid w:val="003F4452"/>
    <w:rsid w:val="003F4E8A"/>
    <w:rsid w:val="003F5CB4"/>
    <w:rsid w:val="003F6D32"/>
    <w:rsid w:val="003F6D99"/>
    <w:rsid w:val="003F79E9"/>
    <w:rsid w:val="00407443"/>
    <w:rsid w:val="004077AE"/>
    <w:rsid w:val="00411760"/>
    <w:rsid w:val="00412DFA"/>
    <w:rsid w:val="004161D4"/>
    <w:rsid w:val="0041633C"/>
    <w:rsid w:val="0041784E"/>
    <w:rsid w:val="00417922"/>
    <w:rsid w:val="00417F88"/>
    <w:rsid w:val="004208F0"/>
    <w:rsid w:val="00421EA9"/>
    <w:rsid w:val="004266E5"/>
    <w:rsid w:val="00430B5A"/>
    <w:rsid w:val="00430C09"/>
    <w:rsid w:val="00431C20"/>
    <w:rsid w:val="004344F0"/>
    <w:rsid w:val="0043704F"/>
    <w:rsid w:val="00437B43"/>
    <w:rsid w:val="0044207D"/>
    <w:rsid w:val="004439E2"/>
    <w:rsid w:val="00443C94"/>
    <w:rsid w:val="0044500F"/>
    <w:rsid w:val="00447992"/>
    <w:rsid w:val="00447FE5"/>
    <w:rsid w:val="00450213"/>
    <w:rsid w:val="004509B1"/>
    <w:rsid w:val="00451231"/>
    <w:rsid w:val="004523FF"/>
    <w:rsid w:val="004526D3"/>
    <w:rsid w:val="00452E90"/>
    <w:rsid w:val="00455685"/>
    <w:rsid w:val="00455DE4"/>
    <w:rsid w:val="00456D35"/>
    <w:rsid w:val="004570C5"/>
    <w:rsid w:val="00457CF2"/>
    <w:rsid w:val="004610DA"/>
    <w:rsid w:val="00461169"/>
    <w:rsid w:val="004617B8"/>
    <w:rsid w:val="00462A87"/>
    <w:rsid w:val="0046397A"/>
    <w:rsid w:val="00463CA6"/>
    <w:rsid w:val="00463E5F"/>
    <w:rsid w:val="00464D59"/>
    <w:rsid w:val="0046504E"/>
    <w:rsid w:val="00465C71"/>
    <w:rsid w:val="00467620"/>
    <w:rsid w:val="00467C7C"/>
    <w:rsid w:val="00472223"/>
    <w:rsid w:val="004758FE"/>
    <w:rsid w:val="00476C17"/>
    <w:rsid w:val="00480836"/>
    <w:rsid w:val="00481800"/>
    <w:rsid w:val="004830C8"/>
    <w:rsid w:val="004837AB"/>
    <w:rsid w:val="00483A2F"/>
    <w:rsid w:val="0048544A"/>
    <w:rsid w:val="004865F9"/>
    <w:rsid w:val="004907D5"/>
    <w:rsid w:val="00490DBF"/>
    <w:rsid w:val="004910BB"/>
    <w:rsid w:val="00491C25"/>
    <w:rsid w:val="00491F16"/>
    <w:rsid w:val="0049357E"/>
    <w:rsid w:val="004950F2"/>
    <w:rsid w:val="0049739C"/>
    <w:rsid w:val="004A0582"/>
    <w:rsid w:val="004A128C"/>
    <w:rsid w:val="004A1C13"/>
    <w:rsid w:val="004A5E72"/>
    <w:rsid w:val="004A6281"/>
    <w:rsid w:val="004A6EE1"/>
    <w:rsid w:val="004B07EC"/>
    <w:rsid w:val="004B1BEE"/>
    <w:rsid w:val="004B2AB8"/>
    <w:rsid w:val="004B4DF6"/>
    <w:rsid w:val="004B5B9E"/>
    <w:rsid w:val="004B6DCF"/>
    <w:rsid w:val="004C0AA0"/>
    <w:rsid w:val="004C0E5D"/>
    <w:rsid w:val="004C3B81"/>
    <w:rsid w:val="004C45D6"/>
    <w:rsid w:val="004C7E95"/>
    <w:rsid w:val="004D05B1"/>
    <w:rsid w:val="004D0B0E"/>
    <w:rsid w:val="004D1293"/>
    <w:rsid w:val="004D1ADE"/>
    <w:rsid w:val="004D770C"/>
    <w:rsid w:val="004E0D21"/>
    <w:rsid w:val="004E370E"/>
    <w:rsid w:val="004E3BCF"/>
    <w:rsid w:val="004E4238"/>
    <w:rsid w:val="004E5B35"/>
    <w:rsid w:val="004E74D7"/>
    <w:rsid w:val="004E7EAE"/>
    <w:rsid w:val="004F12DE"/>
    <w:rsid w:val="004F15CD"/>
    <w:rsid w:val="004F2563"/>
    <w:rsid w:val="004F31BC"/>
    <w:rsid w:val="004F4387"/>
    <w:rsid w:val="004F5D59"/>
    <w:rsid w:val="004F6F82"/>
    <w:rsid w:val="00502F1F"/>
    <w:rsid w:val="005035DB"/>
    <w:rsid w:val="00504AF4"/>
    <w:rsid w:val="00510BF5"/>
    <w:rsid w:val="00510DC0"/>
    <w:rsid w:val="00510EDC"/>
    <w:rsid w:val="00512286"/>
    <w:rsid w:val="00513233"/>
    <w:rsid w:val="005148D1"/>
    <w:rsid w:val="0051698E"/>
    <w:rsid w:val="005204A7"/>
    <w:rsid w:val="00521BA7"/>
    <w:rsid w:val="00521C2C"/>
    <w:rsid w:val="005227FC"/>
    <w:rsid w:val="00523016"/>
    <w:rsid w:val="005237BA"/>
    <w:rsid w:val="005245AA"/>
    <w:rsid w:val="00524924"/>
    <w:rsid w:val="005252E2"/>
    <w:rsid w:val="005263F3"/>
    <w:rsid w:val="00530A02"/>
    <w:rsid w:val="005379AD"/>
    <w:rsid w:val="005401A2"/>
    <w:rsid w:val="005432F7"/>
    <w:rsid w:val="00543E91"/>
    <w:rsid w:val="00544D64"/>
    <w:rsid w:val="00546920"/>
    <w:rsid w:val="0054785D"/>
    <w:rsid w:val="005505C3"/>
    <w:rsid w:val="00550B1C"/>
    <w:rsid w:val="005511D5"/>
    <w:rsid w:val="00551E9F"/>
    <w:rsid w:val="00552A39"/>
    <w:rsid w:val="00552BF5"/>
    <w:rsid w:val="00552D89"/>
    <w:rsid w:val="0055492B"/>
    <w:rsid w:val="00554A31"/>
    <w:rsid w:val="00555418"/>
    <w:rsid w:val="005609D5"/>
    <w:rsid w:val="00562540"/>
    <w:rsid w:val="00563974"/>
    <w:rsid w:val="005678B1"/>
    <w:rsid w:val="00571AD5"/>
    <w:rsid w:val="00572337"/>
    <w:rsid w:val="005725CA"/>
    <w:rsid w:val="00575853"/>
    <w:rsid w:val="00575DC6"/>
    <w:rsid w:val="00575E5B"/>
    <w:rsid w:val="00575FF2"/>
    <w:rsid w:val="005760C8"/>
    <w:rsid w:val="00577CD4"/>
    <w:rsid w:val="00580540"/>
    <w:rsid w:val="0058136D"/>
    <w:rsid w:val="005820AB"/>
    <w:rsid w:val="005849FE"/>
    <w:rsid w:val="00585FB5"/>
    <w:rsid w:val="0058785F"/>
    <w:rsid w:val="00590EE1"/>
    <w:rsid w:val="00591586"/>
    <w:rsid w:val="00592DB1"/>
    <w:rsid w:val="00595363"/>
    <w:rsid w:val="00595A2B"/>
    <w:rsid w:val="005A006F"/>
    <w:rsid w:val="005A17D2"/>
    <w:rsid w:val="005A3C39"/>
    <w:rsid w:val="005A452D"/>
    <w:rsid w:val="005A5E4A"/>
    <w:rsid w:val="005B181A"/>
    <w:rsid w:val="005B367D"/>
    <w:rsid w:val="005B7357"/>
    <w:rsid w:val="005C0BCA"/>
    <w:rsid w:val="005C1188"/>
    <w:rsid w:val="005C1D36"/>
    <w:rsid w:val="005C5055"/>
    <w:rsid w:val="005C5B7C"/>
    <w:rsid w:val="005C6432"/>
    <w:rsid w:val="005C673B"/>
    <w:rsid w:val="005D38B9"/>
    <w:rsid w:val="005D4CDB"/>
    <w:rsid w:val="005D6744"/>
    <w:rsid w:val="005D7DC4"/>
    <w:rsid w:val="005E046C"/>
    <w:rsid w:val="005E0D96"/>
    <w:rsid w:val="005E1AF3"/>
    <w:rsid w:val="005E247C"/>
    <w:rsid w:val="005E3D4F"/>
    <w:rsid w:val="005E7BBC"/>
    <w:rsid w:val="005F12C4"/>
    <w:rsid w:val="005F19B1"/>
    <w:rsid w:val="005F1B57"/>
    <w:rsid w:val="005F3319"/>
    <w:rsid w:val="005F341B"/>
    <w:rsid w:val="005F5D19"/>
    <w:rsid w:val="005F65B9"/>
    <w:rsid w:val="005F6CBF"/>
    <w:rsid w:val="005F7F24"/>
    <w:rsid w:val="006005DC"/>
    <w:rsid w:val="00600E42"/>
    <w:rsid w:val="006018AA"/>
    <w:rsid w:val="006022B6"/>
    <w:rsid w:val="00603735"/>
    <w:rsid w:val="00603C7F"/>
    <w:rsid w:val="0060560A"/>
    <w:rsid w:val="006100F4"/>
    <w:rsid w:val="00612BFC"/>
    <w:rsid w:val="00612D14"/>
    <w:rsid w:val="006135E6"/>
    <w:rsid w:val="006150F6"/>
    <w:rsid w:val="00615C00"/>
    <w:rsid w:val="0061747D"/>
    <w:rsid w:val="006211A5"/>
    <w:rsid w:val="00625AFE"/>
    <w:rsid w:val="00627239"/>
    <w:rsid w:val="0063031C"/>
    <w:rsid w:val="006311D7"/>
    <w:rsid w:val="00632E10"/>
    <w:rsid w:val="00632EA5"/>
    <w:rsid w:val="00633960"/>
    <w:rsid w:val="00635CBC"/>
    <w:rsid w:val="00637F5E"/>
    <w:rsid w:val="00637F67"/>
    <w:rsid w:val="00644F52"/>
    <w:rsid w:val="006453BB"/>
    <w:rsid w:val="00651A02"/>
    <w:rsid w:val="006520A9"/>
    <w:rsid w:val="00652413"/>
    <w:rsid w:val="006525FD"/>
    <w:rsid w:val="00653B17"/>
    <w:rsid w:val="00654483"/>
    <w:rsid w:val="00654D59"/>
    <w:rsid w:val="00655B1E"/>
    <w:rsid w:val="00655EAE"/>
    <w:rsid w:val="006563B5"/>
    <w:rsid w:val="0065701C"/>
    <w:rsid w:val="006604A6"/>
    <w:rsid w:val="0066276E"/>
    <w:rsid w:val="00662792"/>
    <w:rsid w:val="00664620"/>
    <w:rsid w:val="0066521F"/>
    <w:rsid w:val="00667868"/>
    <w:rsid w:val="00671B54"/>
    <w:rsid w:val="0067265E"/>
    <w:rsid w:val="00673DB8"/>
    <w:rsid w:val="00673DC7"/>
    <w:rsid w:val="00674A84"/>
    <w:rsid w:val="006754AC"/>
    <w:rsid w:val="00675BFE"/>
    <w:rsid w:val="00676722"/>
    <w:rsid w:val="0067691D"/>
    <w:rsid w:val="00680FC7"/>
    <w:rsid w:val="006818B6"/>
    <w:rsid w:val="006824B8"/>
    <w:rsid w:val="0068288E"/>
    <w:rsid w:val="0068295C"/>
    <w:rsid w:val="006832D2"/>
    <w:rsid w:val="006843B8"/>
    <w:rsid w:val="006852EB"/>
    <w:rsid w:val="00687167"/>
    <w:rsid w:val="00691E0D"/>
    <w:rsid w:val="006929BA"/>
    <w:rsid w:val="00692ABF"/>
    <w:rsid w:val="00692BBD"/>
    <w:rsid w:val="00693313"/>
    <w:rsid w:val="0069332A"/>
    <w:rsid w:val="00693389"/>
    <w:rsid w:val="00694188"/>
    <w:rsid w:val="00694209"/>
    <w:rsid w:val="00697718"/>
    <w:rsid w:val="00697A99"/>
    <w:rsid w:val="006A1226"/>
    <w:rsid w:val="006A172E"/>
    <w:rsid w:val="006A2035"/>
    <w:rsid w:val="006A2152"/>
    <w:rsid w:val="006A2267"/>
    <w:rsid w:val="006A3329"/>
    <w:rsid w:val="006A391C"/>
    <w:rsid w:val="006A442E"/>
    <w:rsid w:val="006A7743"/>
    <w:rsid w:val="006B13E2"/>
    <w:rsid w:val="006B150B"/>
    <w:rsid w:val="006B1785"/>
    <w:rsid w:val="006B181A"/>
    <w:rsid w:val="006B317D"/>
    <w:rsid w:val="006B3C67"/>
    <w:rsid w:val="006B3E06"/>
    <w:rsid w:val="006B45AB"/>
    <w:rsid w:val="006B4961"/>
    <w:rsid w:val="006B5145"/>
    <w:rsid w:val="006B6C6A"/>
    <w:rsid w:val="006B7137"/>
    <w:rsid w:val="006B7F25"/>
    <w:rsid w:val="006C1245"/>
    <w:rsid w:val="006C15D5"/>
    <w:rsid w:val="006C1C02"/>
    <w:rsid w:val="006C1EAD"/>
    <w:rsid w:val="006C234F"/>
    <w:rsid w:val="006C2D0C"/>
    <w:rsid w:val="006C3D0C"/>
    <w:rsid w:val="006C5079"/>
    <w:rsid w:val="006C5955"/>
    <w:rsid w:val="006C59CF"/>
    <w:rsid w:val="006C6579"/>
    <w:rsid w:val="006D0131"/>
    <w:rsid w:val="006D0E8A"/>
    <w:rsid w:val="006D12BD"/>
    <w:rsid w:val="006D2335"/>
    <w:rsid w:val="006D268E"/>
    <w:rsid w:val="006D2BE9"/>
    <w:rsid w:val="006D3570"/>
    <w:rsid w:val="006D3624"/>
    <w:rsid w:val="006D39A8"/>
    <w:rsid w:val="006D4376"/>
    <w:rsid w:val="006D4391"/>
    <w:rsid w:val="006D519D"/>
    <w:rsid w:val="006D6A51"/>
    <w:rsid w:val="006D75A5"/>
    <w:rsid w:val="006D7A62"/>
    <w:rsid w:val="006E13EF"/>
    <w:rsid w:val="006E2BDC"/>
    <w:rsid w:val="006E3250"/>
    <w:rsid w:val="006E4EE7"/>
    <w:rsid w:val="006E5CAF"/>
    <w:rsid w:val="006E65C2"/>
    <w:rsid w:val="006E6834"/>
    <w:rsid w:val="006F0671"/>
    <w:rsid w:val="006F10B4"/>
    <w:rsid w:val="006F1F66"/>
    <w:rsid w:val="006F31BC"/>
    <w:rsid w:val="006F31DD"/>
    <w:rsid w:val="006F3802"/>
    <w:rsid w:val="006F39D0"/>
    <w:rsid w:val="006F3B66"/>
    <w:rsid w:val="006F3FD5"/>
    <w:rsid w:val="006F4E05"/>
    <w:rsid w:val="006F64D1"/>
    <w:rsid w:val="006F661B"/>
    <w:rsid w:val="006F7746"/>
    <w:rsid w:val="00700891"/>
    <w:rsid w:val="00702DAA"/>
    <w:rsid w:val="0070582B"/>
    <w:rsid w:val="00707A9D"/>
    <w:rsid w:val="00711157"/>
    <w:rsid w:val="007119E2"/>
    <w:rsid w:val="00711E9A"/>
    <w:rsid w:val="0071221A"/>
    <w:rsid w:val="00714800"/>
    <w:rsid w:val="00714B93"/>
    <w:rsid w:val="00715B7E"/>
    <w:rsid w:val="00715F0D"/>
    <w:rsid w:val="00717930"/>
    <w:rsid w:val="0072152F"/>
    <w:rsid w:val="00721C21"/>
    <w:rsid w:val="007229FD"/>
    <w:rsid w:val="00730CDB"/>
    <w:rsid w:val="007323E9"/>
    <w:rsid w:val="00733E62"/>
    <w:rsid w:val="00735037"/>
    <w:rsid w:val="00736945"/>
    <w:rsid w:val="007369A8"/>
    <w:rsid w:val="00736C89"/>
    <w:rsid w:val="00740B9B"/>
    <w:rsid w:val="00740F3A"/>
    <w:rsid w:val="00741965"/>
    <w:rsid w:val="0074421C"/>
    <w:rsid w:val="00745744"/>
    <w:rsid w:val="00745A21"/>
    <w:rsid w:val="007464B2"/>
    <w:rsid w:val="0075032A"/>
    <w:rsid w:val="00750C12"/>
    <w:rsid w:val="00752A7D"/>
    <w:rsid w:val="00754433"/>
    <w:rsid w:val="00754BEC"/>
    <w:rsid w:val="00760316"/>
    <w:rsid w:val="00760C95"/>
    <w:rsid w:val="00761086"/>
    <w:rsid w:val="00763652"/>
    <w:rsid w:val="00763A36"/>
    <w:rsid w:val="00764BF7"/>
    <w:rsid w:val="00764C6A"/>
    <w:rsid w:val="00764EA5"/>
    <w:rsid w:val="007650D8"/>
    <w:rsid w:val="00766030"/>
    <w:rsid w:val="00766CBE"/>
    <w:rsid w:val="00767B80"/>
    <w:rsid w:val="00770D7D"/>
    <w:rsid w:val="00771030"/>
    <w:rsid w:val="00772497"/>
    <w:rsid w:val="007745AE"/>
    <w:rsid w:val="007754C3"/>
    <w:rsid w:val="0077638E"/>
    <w:rsid w:val="007768FE"/>
    <w:rsid w:val="00776E3E"/>
    <w:rsid w:val="00780C18"/>
    <w:rsid w:val="00781F96"/>
    <w:rsid w:val="00783492"/>
    <w:rsid w:val="007902C3"/>
    <w:rsid w:val="00790506"/>
    <w:rsid w:val="00790BB8"/>
    <w:rsid w:val="00791377"/>
    <w:rsid w:val="007915BB"/>
    <w:rsid w:val="00792793"/>
    <w:rsid w:val="00795C86"/>
    <w:rsid w:val="007A01A1"/>
    <w:rsid w:val="007A191D"/>
    <w:rsid w:val="007A45E7"/>
    <w:rsid w:val="007A73BE"/>
    <w:rsid w:val="007B1754"/>
    <w:rsid w:val="007B3B55"/>
    <w:rsid w:val="007B4AAA"/>
    <w:rsid w:val="007C46CC"/>
    <w:rsid w:val="007C6894"/>
    <w:rsid w:val="007D25C8"/>
    <w:rsid w:val="007D27F4"/>
    <w:rsid w:val="007D3035"/>
    <w:rsid w:val="007D35C4"/>
    <w:rsid w:val="007D3B8C"/>
    <w:rsid w:val="007D5652"/>
    <w:rsid w:val="007D62C7"/>
    <w:rsid w:val="007D6B53"/>
    <w:rsid w:val="007D6D97"/>
    <w:rsid w:val="007D6E52"/>
    <w:rsid w:val="007E001D"/>
    <w:rsid w:val="007E0034"/>
    <w:rsid w:val="007E20E5"/>
    <w:rsid w:val="007E7D4E"/>
    <w:rsid w:val="007F0426"/>
    <w:rsid w:val="007F1B9C"/>
    <w:rsid w:val="007F2142"/>
    <w:rsid w:val="007F4022"/>
    <w:rsid w:val="007F5F0C"/>
    <w:rsid w:val="007F7061"/>
    <w:rsid w:val="007F7AC6"/>
    <w:rsid w:val="008007EE"/>
    <w:rsid w:val="008012DE"/>
    <w:rsid w:val="00803061"/>
    <w:rsid w:val="00803FC8"/>
    <w:rsid w:val="008057D4"/>
    <w:rsid w:val="00806A36"/>
    <w:rsid w:val="00807EEE"/>
    <w:rsid w:val="008103E9"/>
    <w:rsid w:val="00812E3D"/>
    <w:rsid w:val="008135F4"/>
    <w:rsid w:val="00813893"/>
    <w:rsid w:val="00813B1E"/>
    <w:rsid w:val="00813F60"/>
    <w:rsid w:val="00814330"/>
    <w:rsid w:val="00815614"/>
    <w:rsid w:val="00816001"/>
    <w:rsid w:val="0082205E"/>
    <w:rsid w:val="0082266E"/>
    <w:rsid w:val="008234E2"/>
    <w:rsid w:val="00824361"/>
    <w:rsid w:val="008250B0"/>
    <w:rsid w:val="00825FD3"/>
    <w:rsid w:val="00826793"/>
    <w:rsid w:val="00830D1A"/>
    <w:rsid w:val="0083146F"/>
    <w:rsid w:val="008327EE"/>
    <w:rsid w:val="00832BC5"/>
    <w:rsid w:val="00833F8E"/>
    <w:rsid w:val="0083539E"/>
    <w:rsid w:val="008363B6"/>
    <w:rsid w:val="00836715"/>
    <w:rsid w:val="00836E71"/>
    <w:rsid w:val="00837EBE"/>
    <w:rsid w:val="0084265D"/>
    <w:rsid w:val="00842E74"/>
    <w:rsid w:val="00843BE5"/>
    <w:rsid w:val="00850FFC"/>
    <w:rsid w:val="00851D9C"/>
    <w:rsid w:val="008535C9"/>
    <w:rsid w:val="008546FE"/>
    <w:rsid w:val="008561E0"/>
    <w:rsid w:val="00856B64"/>
    <w:rsid w:val="00857AAB"/>
    <w:rsid w:val="00857B12"/>
    <w:rsid w:val="00857C2F"/>
    <w:rsid w:val="008606FB"/>
    <w:rsid w:val="00860A39"/>
    <w:rsid w:val="00860C93"/>
    <w:rsid w:val="0086177D"/>
    <w:rsid w:val="00862463"/>
    <w:rsid w:val="00862FA4"/>
    <w:rsid w:val="00863DD9"/>
    <w:rsid w:val="00865094"/>
    <w:rsid w:val="00865960"/>
    <w:rsid w:val="00866446"/>
    <w:rsid w:val="0086741B"/>
    <w:rsid w:val="00870933"/>
    <w:rsid w:val="00871568"/>
    <w:rsid w:val="00872D25"/>
    <w:rsid w:val="0087330A"/>
    <w:rsid w:val="00874E17"/>
    <w:rsid w:val="00876656"/>
    <w:rsid w:val="00876A87"/>
    <w:rsid w:val="0087712D"/>
    <w:rsid w:val="00881CD2"/>
    <w:rsid w:val="00884103"/>
    <w:rsid w:val="00885C88"/>
    <w:rsid w:val="00886E66"/>
    <w:rsid w:val="00886F29"/>
    <w:rsid w:val="00887704"/>
    <w:rsid w:val="00887A55"/>
    <w:rsid w:val="00887AE5"/>
    <w:rsid w:val="00890B23"/>
    <w:rsid w:val="008917A3"/>
    <w:rsid w:val="00891A49"/>
    <w:rsid w:val="0089319F"/>
    <w:rsid w:val="00894DC7"/>
    <w:rsid w:val="00897DAB"/>
    <w:rsid w:val="008A0633"/>
    <w:rsid w:val="008A275F"/>
    <w:rsid w:val="008A3386"/>
    <w:rsid w:val="008A4003"/>
    <w:rsid w:val="008A49FD"/>
    <w:rsid w:val="008A53F2"/>
    <w:rsid w:val="008A5766"/>
    <w:rsid w:val="008A618A"/>
    <w:rsid w:val="008B09B1"/>
    <w:rsid w:val="008B2002"/>
    <w:rsid w:val="008B47E8"/>
    <w:rsid w:val="008B5F69"/>
    <w:rsid w:val="008B6430"/>
    <w:rsid w:val="008B7A53"/>
    <w:rsid w:val="008C1100"/>
    <w:rsid w:val="008C24B6"/>
    <w:rsid w:val="008C3ACC"/>
    <w:rsid w:val="008C487C"/>
    <w:rsid w:val="008C49B9"/>
    <w:rsid w:val="008C4C28"/>
    <w:rsid w:val="008C6774"/>
    <w:rsid w:val="008D11E3"/>
    <w:rsid w:val="008D15ED"/>
    <w:rsid w:val="008D2548"/>
    <w:rsid w:val="008D28AD"/>
    <w:rsid w:val="008D3473"/>
    <w:rsid w:val="008D539C"/>
    <w:rsid w:val="008D575A"/>
    <w:rsid w:val="008D7A9D"/>
    <w:rsid w:val="008E0FCC"/>
    <w:rsid w:val="008E21A3"/>
    <w:rsid w:val="008E2FE3"/>
    <w:rsid w:val="008E37B1"/>
    <w:rsid w:val="008E5698"/>
    <w:rsid w:val="008E5F34"/>
    <w:rsid w:val="008E6B88"/>
    <w:rsid w:val="008E7D3F"/>
    <w:rsid w:val="008F00CF"/>
    <w:rsid w:val="008F0E10"/>
    <w:rsid w:val="008F2267"/>
    <w:rsid w:val="008F2F63"/>
    <w:rsid w:val="008F3EE2"/>
    <w:rsid w:val="008F4B08"/>
    <w:rsid w:val="008F5D4C"/>
    <w:rsid w:val="008F67FD"/>
    <w:rsid w:val="008F6D40"/>
    <w:rsid w:val="00900A29"/>
    <w:rsid w:val="0090294C"/>
    <w:rsid w:val="00902F85"/>
    <w:rsid w:val="00903E02"/>
    <w:rsid w:val="00904226"/>
    <w:rsid w:val="0090536D"/>
    <w:rsid w:val="009057E8"/>
    <w:rsid w:val="00905A7E"/>
    <w:rsid w:val="00905B18"/>
    <w:rsid w:val="00905B2F"/>
    <w:rsid w:val="00912254"/>
    <w:rsid w:val="00914C35"/>
    <w:rsid w:val="00920A7F"/>
    <w:rsid w:val="009211CB"/>
    <w:rsid w:val="009231E0"/>
    <w:rsid w:val="00923548"/>
    <w:rsid w:val="00923850"/>
    <w:rsid w:val="00923B70"/>
    <w:rsid w:val="00925293"/>
    <w:rsid w:val="00926241"/>
    <w:rsid w:val="0092642C"/>
    <w:rsid w:val="00926B0D"/>
    <w:rsid w:val="00930B6C"/>
    <w:rsid w:val="00930E4B"/>
    <w:rsid w:val="00931485"/>
    <w:rsid w:val="009377AC"/>
    <w:rsid w:val="00942C91"/>
    <w:rsid w:val="009436DA"/>
    <w:rsid w:val="00943862"/>
    <w:rsid w:val="009444F7"/>
    <w:rsid w:val="0094508D"/>
    <w:rsid w:val="009461AA"/>
    <w:rsid w:val="00946E85"/>
    <w:rsid w:val="0094787E"/>
    <w:rsid w:val="00947C5C"/>
    <w:rsid w:val="009506A7"/>
    <w:rsid w:val="00950763"/>
    <w:rsid w:val="009507D1"/>
    <w:rsid w:val="0095113A"/>
    <w:rsid w:val="00952E50"/>
    <w:rsid w:val="0095379C"/>
    <w:rsid w:val="0095421A"/>
    <w:rsid w:val="00954CF5"/>
    <w:rsid w:val="009559AE"/>
    <w:rsid w:val="00956630"/>
    <w:rsid w:val="009605FA"/>
    <w:rsid w:val="009609CB"/>
    <w:rsid w:val="0096646C"/>
    <w:rsid w:val="00966A3E"/>
    <w:rsid w:val="00967230"/>
    <w:rsid w:val="00967B16"/>
    <w:rsid w:val="00972087"/>
    <w:rsid w:val="00972C13"/>
    <w:rsid w:val="0097420F"/>
    <w:rsid w:val="0097456D"/>
    <w:rsid w:val="00974A47"/>
    <w:rsid w:val="00976BF4"/>
    <w:rsid w:val="009778DA"/>
    <w:rsid w:val="00980920"/>
    <w:rsid w:val="00980F2D"/>
    <w:rsid w:val="009812D7"/>
    <w:rsid w:val="00982E99"/>
    <w:rsid w:val="00990391"/>
    <w:rsid w:val="009910DA"/>
    <w:rsid w:val="009919A4"/>
    <w:rsid w:val="00992151"/>
    <w:rsid w:val="009947D1"/>
    <w:rsid w:val="00994B40"/>
    <w:rsid w:val="00996159"/>
    <w:rsid w:val="009A02A7"/>
    <w:rsid w:val="009A12B9"/>
    <w:rsid w:val="009A2047"/>
    <w:rsid w:val="009A3AC9"/>
    <w:rsid w:val="009A4BA7"/>
    <w:rsid w:val="009A4BF0"/>
    <w:rsid w:val="009A4E03"/>
    <w:rsid w:val="009A5212"/>
    <w:rsid w:val="009A5714"/>
    <w:rsid w:val="009A5DA7"/>
    <w:rsid w:val="009A6768"/>
    <w:rsid w:val="009A6A40"/>
    <w:rsid w:val="009A7425"/>
    <w:rsid w:val="009B1AEC"/>
    <w:rsid w:val="009B3540"/>
    <w:rsid w:val="009B3FF2"/>
    <w:rsid w:val="009B47AC"/>
    <w:rsid w:val="009B6AE8"/>
    <w:rsid w:val="009B7329"/>
    <w:rsid w:val="009B73F6"/>
    <w:rsid w:val="009C0F6B"/>
    <w:rsid w:val="009C1FFE"/>
    <w:rsid w:val="009C27A9"/>
    <w:rsid w:val="009C3485"/>
    <w:rsid w:val="009C51FA"/>
    <w:rsid w:val="009C53AB"/>
    <w:rsid w:val="009C5B20"/>
    <w:rsid w:val="009C68EF"/>
    <w:rsid w:val="009D11B7"/>
    <w:rsid w:val="009D16ED"/>
    <w:rsid w:val="009D1D57"/>
    <w:rsid w:val="009D260E"/>
    <w:rsid w:val="009D481A"/>
    <w:rsid w:val="009D4B60"/>
    <w:rsid w:val="009D4F8F"/>
    <w:rsid w:val="009D647C"/>
    <w:rsid w:val="009D79AA"/>
    <w:rsid w:val="009E21D6"/>
    <w:rsid w:val="009E2544"/>
    <w:rsid w:val="009E2770"/>
    <w:rsid w:val="009E467C"/>
    <w:rsid w:val="009E4710"/>
    <w:rsid w:val="009E4A43"/>
    <w:rsid w:val="009E4F0B"/>
    <w:rsid w:val="009E5D4A"/>
    <w:rsid w:val="009E6225"/>
    <w:rsid w:val="009F0069"/>
    <w:rsid w:val="009F14A4"/>
    <w:rsid w:val="009F2261"/>
    <w:rsid w:val="009F2BFB"/>
    <w:rsid w:val="009F3537"/>
    <w:rsid w:val="009F64CF"/>
    <w:rsid w:val="009F6ADC"/>
    <w:rsid w:val="009F78A4"/>
    <w:rsid w:val="009F796E"/>
    <w:rsid w:val="00A00D59"/>
    <w:rsid w:val="00A032F8"/>
    <w:rsid w:val="00A06951"/>
    <w:rsid w:val="00A07AFD"/>
    <w:rsid w:val="00A10347"/>
    <w:rsid w:val="00A121AA"/>
    <w:rsid w:val="00A12605"/>
    <w:rsid w:val="00A14281"/>
    <w:rsid w:val="00A149F1"/>
    <w:rsid w:val="00A14C36"/>
    <w:rsid w:val="00A158AB"/>
    <w:rsid w:val="00A16FCF"/>
    <w:rsid w:val="00A247C1"/>
    <w:rsid w:val="00A25657"/>
    <w:rsid w:val="00A304BE"/>
    <w:rsid w:val="00A329B6"/>
    <w:rsid w:val="00A35D64"/>
    <w:rsid w:val="00A367A1"/>
    <w:rsid w:val="00A37F8D"/>
    <w:rsid w:val="00A40178"/>
    <w:rsid w:val="00A415D2"/>
    <w:rsid w:val="00A42ADC"/>
    <w:rsid w:val="00A44970"/>
    <w:rsid w:val="00A460BA"/>
    <w:rsid w:val="00A46CF8"/>
    <w:rsid w:val="00A46FE1"/>
    <w:rsid w:val="00A47616"/>
    <w:rsid w:val="00A47FE2"/>
    <w:rsid w:val="00A510F6"/>
    <w:rsid w:val="00A51FBE"/>
    <w:rsid w:val="00A54828"/>
    <w:rsid w:val="00A54BFD"/>
    <w:rsid w:val="00A57F74"/>
    <w:rsid w:val="00A618BC"/>
    <w:rsid w:val="00A61A04"/>
    <w:rsid w:val="00A648E0"/>
    <w:rsid w:val="00A64EF4"/>
    <w:rsid w:val="00A651C9"/>
    <w:rsid w:val="00A67D0F"/>
    <w:rsid w:val="00A70699"/>
    <w:rsid w:val="00A70E2D"/>
    <w:rsid w:val="00A73161"/>
    <w:rsid w:val="00A73E40"/>
    <w:rsid w:val="00A740E7"/>
    <w:rsid w:val="00A74621"/>
    <w:rsid w:val="00A76BFC"/>
    <w:rsid w:val="00A80739"/>
    <w:rsid w:val="00A83829"/>
    <w:rsid w:val="00A84245"/>
    <w:rsid w:val="00A862C0"/>
    <w:rsid w:val="00A862CB"/>
    <w:rsid w:val="00A872F7"/>
    <w:rsid w:val="00A8774A"/>
    <w:rsid w:val="00A87EE1"/>
    <w:rsid w:val="00A9000F"/>
    <w:rsid w:val="00A91A20"/>
    <w:rsid w:val="00A9229F"/>
    <w:rsid w:val="00A95100"/>
    <w:rsid w:val="00A95487"/>
    <w:rsid w:val="00A97A15"/>
    <w:rsid w:val="00A97F63"/>
    <w:rsid w:val="00AA0134"/>
    <w:rsid w:val="00AA0652"/>
    <w:rsid w:val="00AA188C"/>
    <w:rsid w:val="00AA2A39"/>
    <w:rsid w:val="00AA2BB6"/>
    <w:rsid w:val="00AA2C16"/>
    <w:rsid w:val="00AA42EE"/>
    <w:rsid w:val="00AA4FEE"/>
    <w:rsid w:val="00AA574D"/>
    <w:rsid w:val="00AA5AEE"/>
    <w:rsid w:val="00AA615B"/>
    <w:rsid w:val="00AA6272"/>
    <w:rsid w:val="00AA7235"/>
    <w:rsid w:val="00AB0DED"/>
    <w:rsid w:val="00AB1009"/>
    <w:rsid w:val="00AB14AB"/>
    <w:rsid w:val="00AB33D4"/>
    <w:rsid w:val="00AB5263"/>
    <w:rsid w:val="00AC0C81"/>
    <w:rsid w:val="00AC1B48"/>
    <w:rsid w:val="00AC29D6"/>
    <w:rsid w:val="00AC3A94"/>
    <w:rsid w:val="00AC43E7"/>
    <w:rsid w:val="00AC508A"/>
    <w:rsid w:val="00AC5CA2"/>
    <w:rsid w:val="00AC6EE0"/>
    <w:rsid w:val="00AD1456"/>
    <w:rsid w:val="00AD1494"/>
    <w:rsid w:val="00AD1E1B"/>
    <w:rsid w:val="00AD4BD5"/>
    <w:rsid w:val="00AD54C3"/>
    <w:rsid w:val="00AD5B24"/>
    <w:rsid w:val="00AD6BD9"/>
    <w:rsid w:val="00AD7725"/>
    <w:rsid w:val="00AE0018"/>
    <w:rsid w:val="00AE0522"/>
    <w:rsid w:val="00AE44F0"/>
    <w:rsid w:val="00AE668A"/>
    <w:rsid w:val="00AE6858"/>
    <w:rsid w:val="00AE7EF0"/>
    <w:rsid w:val="00AF0A55"/>
    <w:rsid w:val="00AF2EFF"/>
    <w:rsid w:val="00AF387F"/>
    <w:rsid w:val="00AF41B6"/>
    <w:rsid w:val="00AF497F"/>
    <w:rsid w:val="00AF5C62"/>
    <w:rsid w:val="00AF643C"/>
    <w:rsid w:val="00AF6B2F"/>
    <w:rsid w:val="00AF7270"/>
    <w:rsid w:val="00AF727E"/>
    <w:rsid w:val="00AF7D3B"/>
    <w:rsid w:val="00B00055"/>
    <w:rsid w:val="00B00272"/>
    <w:rsid w:val="00B018DE"/>
    <w:rsid w:val="00B06342"/>
    <w:rsid w:val="00B07013"/>
    <w:rsid w:val="00B11F92"/>
    <w:rsid w:val="00B120A7"/>
    <w:rsid w:val="00B12AC6"/>
    <w:rsid w:val="00B13A5A"/>
    <w:rsid w:val="00B13C71"/>
    <w:rsid w:val="00B13EE9"/>
    <w:rsid w:val="00B14450"/>
    <w:rsid w:val="00B14675"/>
    <w:rsid w:val="00B1586E"/>
    <w:rsid w:val="00B17103"/>
    <w:rsid w:val="00B17BC5"/>
    <w:rsid w:val="00B2045A"/>
    <w:rsid w:val="00B20535"/>
    <w:rsid w:val="00B20582"/>
    <w:rsid w:val="00B2158C"/>
    <w:rsid w:val="00B217CA"/>
    <w:rsid w:val="00B2281B"/>
    <w:rsid w:val="00B2444B"/>
    <w:rsid w:val="00B24E57"/>
    <w:rsid w:val="00B26584"/>
    <w:rsid w:val="00B27F95"/>
    <w:rsid w:val="00B306A5"/>
    <w:rsid w:val="00B30892"/>
    <w:rsid w:val="00B30D96"/>
    <w:rsid w:val="00B31464"/>
    <w:rsid w:val="00B326A4"/>
    <w:rsid w:val="00B32C0D"/>
    <w:rsid w:val="00B337FA"/>
    <w:rsid w:val="00B34281"/>
    <w:rsid w:val="00B3678E"/>
    <w:rsid w:val="00B42262"/>
    <w:rsid w:val="00B42B2C"/>
    <w:rsid w:val="00B45E2C"/>
    <w:rsid w:val="00B4699B"/>
    <w:rsid w:val="00B47B91"/>
    <w:rsid w:val="00B47DE2"/>
    <w:rsid w:val="00B5123E"/>
    <w:rsid w:val="00B51B58"/>
    <w:rsid w:val="00B522C4"/>
    <w:rsid w:val="00B52B0E"/>
    <w:rsid w:val="00B52FDB"/>
    <w:rsid w:val="00B5337D"/>
    <w:rsid w:val="00B533F4"/>
    <w:rsid w:val="00B54444"/>
    <w:rsid w:val="00B5750A"/>
    <w:rsid w:val="00B57FC4"/>
    <w:rsid w:val="00B62BEA"/>
    <w:rsid w:val="00B63732"/>
    <w:rsid w:val="00B64B90"/>
    <w:rsid w:val="00B65290"/>
    <w:rsid w:val="00B67CA4"/>
    <w:rsid w:val="00B70928"/>
    <w:rsid w:val="00B70E26"/>
    <w:rsid w:val="00B71364"/>
    <w:rsid w:val="00B726D5"/>
    <w:rsid w:val="00B72758"/>
    <w:rsid w:val="00B7319C"/>
    <w:rsid w:val="00B7517F"/>
    <w:rsid w:val="00B75D34"/>
    <w:rsid w:val="00B777B9"/>
    <w:rsid w:val="00B80915"/>
    <w:rsid w:val="00B80AAD"/>
    <w:rsid w:val="00B82153"/>
    <w:rsid w:val="00B82E87"/>
    <w:rsid w:val="00B86080"/>
    <w:rsid w:val="00B861DA"/>
    <w:rsid w:val="00B86CB5"/>
    <w:rsid w:val="00B86D58"/>
    <w:rsid w:val="00B8744D"/>
    <w:rsid w:val="00B8745F"/>
    <w:rsid w:val="00B90754"/>
    <w:rsid w:val="00B90BBE"/>
    <w:rsid w:val="00B91B78"/>
    <w:rsid w:val="00B93013"/>
    <w:rsid w:val="00B936F7"/>
    <w:rsid w:val="00B9416B"/>
    <w:rsid w:val="00B9572C"/>
    <w:rsid w:val="00B95A93"/>
    <w:rsid w:val="00B9782C"/>
    <w:rsid w:val="00B97D95"/>
    <w:rsid w:val="00B97E3C"/>
    <w:rsid w:val="00BA0158"/>
    <w:rsid w:val="00BA04F9"/>
    <w:rsid w:val="00BA2E6C"/>
    <w:rsid w:val="00BA3363"/>
    <w:rsid w:val="00BA7E78"/>
    <w:rsid w:val="00BB0833"/>
    <w:rsid w:val="00BB0EA7"/>
    <w:rsid w:val="00BB4CDF"/>
    <w:rsid w:val="00BB595B"/>
    <w:rsid w:val="00BB59F9"/>
    <w:rsid w:val="00BB5B0E"/>
    <w:rsid w:val="00BC01A1"/>
    <w:rsid w:val="00BC15B8"/>
    <w:rsid w:val="00BC4AB8"/>
    <w:rsid w:val="00BC5279"/>
    <w:rsid w:val="00BC6C4E"/>
    <w:rsid w:val="00BC6DA1"/>
    <w:rsid w:val="00BC7B6A"/>
    <w:rsid w:val="00BD0EAC"/>
    <w:rsid w:val="00BD13DC"/>
    <w:rsid w:val="00BD24C7"/>
    <w:rsid w:val="00BD31AB"/>
    <w:rsid w:val="00BD4AA0"/>
    <w:rsid w:val="00BD58A7"/>
    <w:rsid w:val="00BD6EE4"/>
    <w:rsid w:val="00BE1E33"/>
    <w:rsid w:val="00BE2AD3"/>
    <w:rsid w:val="00BE3096"/>
    <w:rsid w:val="00BE36F7"/>
    <w:rsid w:val="00BE65AD"/>
    <w:rsid w:val="00BF05C1"/>
    <w:rsid w:val="00BF0AF8"/>
    <w:rsid w:val="00BF19F3"/>
    <w:rsid w:val="00BF2443"/>
    <w:rsid w:val="00C01BC4"/>
    <w:rsid w:val="00C02F78"/>
    <w:rsid w:val="00C0550E"/>
    <w:rsid w:val="00C07755"/>
    <w:rsid w:val="00C07B5E"/>
    <w:rsid w:val="00C07C4E"/>
    <w:rsid w:val="00C10D3E"/>
    <w:rsid w:val="00C10DE8"/>
    <w:rsid w:val="00C12201"/>
    <w:rsid w:val="00C12946"/>
    <w:rsid w:val="00C12AD2"/>
    <w:rsid w:val="00C134EE"/>
    <w:rsid w:val="00C1405A"/>
    <w:rsid w:val="00C14F61"/>
    <w:rsid w:val="00C2018B"/>
    <w:rsid w:val="00C2197A"/>
    <w:rsid w:val="00C2523D"/>
    <w:rsid w:val="00C30A4C"/>
    <w:rsid w:val="00C30E1E"/>
    <w:rsid w:val="00C31412"/>
    <w:rsid w:val="00C34D7A"/>
    <w:rsid w:val="00C362A0"/>
    <w:rsid w:val="00C365AF"/>
    <w:rsid w:val="00C367CD"/>
    <w:rsid w:val="00C42740"/>
    <w:rsid w:val="00C43C6C"/>
    <w:rsid w:val="00C4526C"/>
    <w:rsid w:val="00C45704"/>
    <w:rsid w:val="00C47F72"/>
    <w:rsid w:val="00C50B1B"/>
    <w:rsid w:val="00C50C99"/>
    <w:rsid w:val="00C523A1"/>
    <w:rsid w:val="00C52801"/>
    <w:rsid w:val="00C5395E"/>
    <w:rsid w:val="00C60C0C"/>
    <w:rsid w:val="00C61C54"/>
    <w:rsid w:val="00C6210F"/>
    <w:rsid w:val="00C62B8E"/>
    <w:rsid w:val="00C630CA"/>
    <w:rsid w:val="00C63833"/>
    <w:rsid w:val="00C66B54"/>
    <w:rsid w:val="00C703AD"/>
    <w:rsid w:val="00C745C6"/>
    <w:rsid w:val="00C750BA"/>
    <w:rsid w:val="00C7706E"/>
    <w:rsid w:val="00C77811"/>
    <w:rsid w:val="00C826EF"/>
    <w:rsid w:val="00C82700"/>
    <w:rsid w:val="00C8442D"/>
    <w:rsid w:val="00C84EBE"/>
    <w:rsid w:val="00C85287"/>
    <w:rsid w:val="00C85FA6"/>
    <w:rsid w:val="00C871C6"/>
    <w:rsid w:val="00C875AD"/>
    <w:rsid w:val="00C878E1"/>
    <w:rsid w:val="00C9091D"/>
    <w:rsid w:val="00C92ED3"/>
    <w:rsid w:val="00C94D01"/>
    <w:rsid w:val="00C95141"/>
    <w:rsid w:val="00C95AC9"/>
    <w:rsid w:val="00C964DE"/>
    <w:rsid w:val="00C9667D"/>
    <w:rsid w:val="00C969C2"/>
    <w:rsid w:val="00C96F18"/>
    <w:rsid w:val="00C97741"/>
    <w:rsid w:val="00CA4545"/>
    <w:rsid w:val="00CA4843"/>
    <w:rsid w:val="00CA51AC"/>
    <w:rsid w:val="00CA51DE"/>
    <w:rsid w:val="00CA5790"/>
    <w:rsid w:val="00CA634C"/>
    <w:rsid w:val="00CA64F4"/>
    <w:rsid w:val="00CA652B"/>
    <w:rsid w:val="00CA75F5"/>
    <w:rsid w:val="00CA7BFF"/>
    <w:rsid w:val="00CB003C"/>
    <w:rsid w:val="00CB0EC9"/>
    <w:rsid w:val="00CB12E5"/>
    <w:rsid w:val="00CB1FD3"/>
    <w:rsid w:val="00CB59D4"/>
    <w:rsid w:val="00CB5AD0"/>
    <w:rsid w:val="00CB5D1D"/>
    <w:rsid w:val="00CC0C56"/>
    <w:rsid w:val="00CC11B6"/>
    <w:rsid w:val="00CC4245"/>
    <w:rsid w:val="00CD23FE"/>
    <w:rsid w:val="00CD319D"/>
    <w:rsid w:val="00CD33C1"/>
    <w:rsid w:val="00CD34E7"/>
    <w:rsid w:val="00CD37C7"/>
    <w:rsid w:val="00CD7BB6"/>
    <w:rsid w:val="00CE15BE"/>
    <w:rsid w:val="00CE206E"/>
    <w:rsid w:val="00CE35D5"/>
    <w:rsid w:val="00CE5DC1"/>
    <w:rsid w:val="00CE65AC"/>
    <w:rsid w:val="00CF09D9"/>
    <w:rsid w:val="00CF1628"/>
    <w:rsid w:val="00CF182A"/>
    <w:rsid w:val="00CF1BF9"/>
    <w:rsid w:val="00CF326B"/>
    <w:rsid w:val="00CF5CC1"/>
    <w:rsid w:val="00CF7D98"/>
    <w:rsid w:val="00D029D8"/>
    <w:rsid w:val="00D02A84"/>
    <w:rsid w:val="00D0300E"/>
    <w:rsid w:val="00D052E4"/>
    <w:rsid w:val="00D054B2"/>
    <w:rsid w:val="00D0554A"/>
    <w:rsid w:val="00D06133"/>
    <w:rsid w:val="00D0763E"/>
    <w:rsid w:val="00D11186"/>
    <w:rsid w:val="00D12644"/>
    <w:rsid w:val="00D134CC"/>
    <w:rsid w:val="00D142E0"/>
    <w:rsid w:val="00D14450"/>
    <w:rsid w:val="00D14C1E"/>
    <w:rsid w:val="00D14CD0"/>
    <w:rsid w:val="00D15BB2"/>
    <w:rsid w:val="00D20C0C"/>
    <w:rsid w:val="00D20C1D"/>
    <w:rsid w:val="00D24682"/>
    <w:rsid w:val="00D24F06"/>
    <w:rsid w:val="00D25AEF"/>
    <w:rsid w:val="00D279FE"/>
    <w:rsid w:val="00D31785"/>
    <w:rsid w:val="00D32391"/>
    <w:rsid w:val="00D332F0"/>
    <w:rsid w:val="00D333D0"/>
    <w:rsid w:val="00D3380A"/>
    <w:rsid w:val="00D33D6F"/>
    <w:rsid w:val="00D349EE"/>
    <w:rsid w:val="00D34B7E"/>
    <w:rsid w:val="00D35298"/>
    <w:rsid w:val="00D35620"/>
    <w:rsid w:val="00D35C7D"/>
    <w:rsid w:val="00D36296"/>
    <w:rsid w:val="00D36DC3"/>
    <w:rsid w:val="00D377D3"/>
    <w:rsid w:val="00D403E6"/>
    <w:rsid w:val="00D4126F"/>
    <w:rsid w:val="00D418AD"/>
    <w:rsid w:val="00D42C1B"/>
    <w:rsid w:val="00D42FDA"/>
    <w:rsid w:val="00D44227"/>
    <w:rsid w:val="00D44255"/>
    <w:rsid w:val="00D44AE4"/>
    <w:rsid w:val="00D45FB4"/>
    <w:rsid w:val="00D46629"/>
    <w:rsid w:val="00D510E4"/>
    <w:rsid w:val="00D51D54"/>
    <w:rsid w:val="00D523DC"/>
    <w:rsid w:val="00D527DA"/>
    <w:rsid w:val="00D54D35"/>
    <w:rsid w:val="00D54DF5"/>
    <w:rsid w:val="00D554BA"/>
    <w:rsid w:val="00D56D47"/>
    <w:rsid w:val="00D57421"/>
    <w:rsid w:val="00D57835"/>
    <w:rsid w:val="00D60689"/>
    <w:rsid w:val="00D60CF3"/>
    <w:rsid w:val="00D613F3"/>
    <w:rsid w:val="00D6148A"/>
    <w:rsid w:val="00D64C75"/>
    <w:rsid w:val="00D655FB"/>
    <w:rsid w:val="00D70FB4"/>
    <w:rsid w:val="00D729D4"/>
    <w:rsid w:val="00D73854"/>
    <w:rsid w:val="00D73A38"/>
    <w:rsid w:val="00D74A1C"/>
    <w:rsid w:val="00D75B37"/>
    <w:rsid w:val="00D761DB"/>
    <w:rsid w:val="00D77606"/>
    <w:rsid w:val="00D7769B"/>
    <w:rsid w:val="00D815C1"/>
    <w:rsid w:val="00D81A2B"/>
    <w:rsid w:val="00D82E7D"/>
    <w:rsid w:val="00D83F1B"/>
    <w:rsid w:val="00D84B66"/>
    <w:rsid w:val="00D850F4"/>
    <w:rsid w:val="00D85360"/>
    <w:rsid w:val="00D8590B"/>
    <w:rsid w:val="00D85B56"/>
    <w:rsid w:val="00D85C85"/>
    <w:rsid w:val="00D85E33"/>
    <w:rsid w:val="00D8637B"/>
    <w:rsid w:val="00D866EC"/>
    <w:rsid w:val="00D9096A"/>
    <w:rsid w:val="00D928CF"/>
    <w:rsid w:val="00D92F6C"/>
    <w:rsid w:val="00D93514"/>
    <w:rsid w:val="00D93AED"/>
    <w:rsid w:val="00D94695"/>
    <w:rsid w:val="00D95879"/>
    <w:rsid w:val="00D97A6B"/>
    <w:rsid w:val="00DA2FA3"/>
    <w:rsid w:val="00DA546F"/>
    <w:rsid w:val="00DA65B2"/>
    <w:rsid w:val="00DA7875"/>
    <w:rsid w:val="00DB0AD7"/>
    <w:rsid w:val="00DB5BAE"/>
    <w:rsid w:val="00DB751D"/>
    <w:rsid w:val="00DC09BD"/>
    <w:rsid w:val="00DC162E"/>
    <w:rsid w:val="00DC35CE"/>
    <w:rsid w:val="00DC3B1E"/>
    <w:rsid w:val="00DC432A"/>
    <w:rsid w:val="00DC4C93"/>
    <w:rsid w:val="00DC679E"/>
    <w:rsid w:val="00DC6B0E"/>
    <w:rsid w:val="00DD0E98"/>
    <w:rsid w:val="00DD14BC"/>
    <w:rsid w:val="00DD259F"/>
    <w:rsid w:val="00DD2E7A"/>
    <w:rsid w:val="00DD4D47"/>
    <w:rsid w:val="00DD565E"/>
    <w:rsid w:val="00DD689E"/>
    <w:rsid w:val="00DE3F87"/>
    <w:rsid w:val="00DE46BC"/>
    <w:rsid w:val="00DE4E0C"/>
    <w:rsid w:val="00DE4F9F"/>
    <w:rsid w:val="00DE5013"/>
    <w:rsid w:val="00DE51BA"/>
    <w:rsid w:val="00DE54BD"/>
    <w:rsid w:val="00DE57DA"/>
    <w:rsid w:val="00DE64DE"/>
    <w:rsid w:val="00DE73B4"/>
    <w:rsid w:val="00DE787B"/>
    <w:rsid w:val="00DE7AB4"/>
    <w:rsid w:val="00DF2E8B"/>
    <w:rsid w:val="00DF4D86"/>
    <w:rsid w:val="00DF63E3"/>
    <w:rsid w:val="00DF664E"/>
    <w:rsid w:val="00DF6B09"/>
    <w:rsid w:val="00E00B41"/>
    <w:rsid w:val="00E013AA"/>
    <w:rsid w:val="00E01D84"/>
    <w:rsid w:val="00E048AB"/>
    <w:rsid w:val="00E052D3"/>
    <w:rsid w:val="00E05344"/>
    <w:rsid w:val="00E05DA1"/>
    <w:rsid w:val="00E104CD"/>
    <w:rsid w:val="00E1090A"/>
    <w:rsid w:val="00E111AA"/>
    <w:rsid w:val="00E137BB"/>
    <w:rsid w:val="00E15A72"/>
    <w:rsid w:val="00E20266"/>
    <w:rsid w:val="00E20BB2"/>
    <w:rsid w:val="00E22194"/>
    <w:rsid w:val="00E22B43"/>
    <w:rsid w:val="00E235DD"/>
    <w:rsid w:val="00E23B80"/>
    <w:rsid w:val="00E261CD"/>
    <w:rsid w:val="00E27002"/>
    <w:rsid w:val="00E30356"/>
    <w:rsid w:val="00E3199C"/>
    <w:rsid w:val="00E321B8"/>
    <w:rsid w:val="00E3352E"/>
    <w:rsid w:val="00E34732"/>
    <w:rsid w:val="00E34885"/>
    <w:rsid w:val="00E40987"/>
    <w:rsid w:val="00E41E74"/>
    <w:rsid w:val="00E42D0B"/>
    <w:rsid w:val="00E43A1A"/>
    <w:rsid w:val="00E441BF"/>
    <w:rsid w:val="00E4480A"/>
    <w:rsid w:val="00E461EE"/>
    <w:rsid w:val="00E5029D"/>
    <w:rsid w:val="00E51679"/>
    <w:rsid w:val="00E528C8"/>
    <w:rsid w:val="00E54CD1"/>
    <w:rsid w:val="00E563C1"/>
    <w:rsid w:val="00E56980"/>
    <w:rsid w:val="00E56B59"/>
    <w:rsid w:val="00E60E10"/>
    <w:rsid w:val="00E616AD"/>
    <w:rsid w:val="00E6266E"/>
    <w:rsid w:val="00E62D29"/>
    <w:rsid w:val="00E64988"/>
    <w:rsid w:val="00E64A38"/>
    <w:rsid w:val="00E66FFF"/>
    <w:rsid w:val="00E7065A"/>
    <w:rsid w:val="00E719F6"/>
    <w:rsid w:val="00E725EE"/>
    <w:rsid w:val="00E72ACE"/>
    <w:rsid w:val="00E7345E"/>
    <w:rsid w:val="00E73BA9"/>
    <w:rsid w:val="00E756AC"/>
    <w:rsid w:val="00E8168D"/>
    <w:rsid w:val="00E83095"/>
    <w:rsid w:val="00E8381A"/>
    <w:rsid w:val="00E83AD0"/>
    <w:rsid w:val="00E847F2"/>
    <w:rsid w:val="00E849F7"/>
    <w:rsid w:val="00E8587D"/>
    <w:rsid w:val="00E87596"/>
    <w:rsid w:val="00E8761C"/>
    <w:rsid w:val="00E87794"/>
    <w:rsid w:val="00E87F69"/>
    <w:rsid w:val="00E90278"/>
    <w:rsid w:val="00E906D9"/>
    <w:rsid w:val="00E907F5"/>
    <w:rsid w:val="00E91295"/>
    <w:rsid w:val="00E9480E"/>
    <w:rsid w:val="00E96355"/>
    <w:rsid w:val="00E96422"/>
    <w:rsid w:val="00E97AB3"/>
    <w:rsid w:val="00E97B21"/>
    <w:rsid w:val="00EA033F"/>
    <w:rsid w:val="00EA1EE0"/>
    <w:rsid w:val="00EA27CD"/>
    <w:rsid w:val="00EA5A59"/>
    <w:rsid w:val="00EA62F1"/>
    <w:rsid w:val="00EA6693"/>
    <w:rsid w:val="00EB331D"/>
    <w:rsid w:val="00EB34E7"/>
    <w:rsid w:val="00EB3D8F"/>
    <w:rsid w:val="00EC0004"/>
    <w:rsid w:val="00EC0B5C"/>
    <w:rsid w:val="00EC3B89"/>
    <w:rsid w:val="00EC634C"/>
    <w:rsid w:val="00ED0FE3"/>
    <w:rsid w:val="00ED1DBA"/>
    <w:rsid w:val="00ED2910"/>
    <w:rsid w:val="00ED3F7E"/>
    <w:rsid w:val="00ED4715"/>
    <w:rsid w:val="00ED47DC"/>
    <w:rsid w:val="00ED62B5"/>
    <w:rsid w:val="00ED7622"/>
    <w:rsid w:val="00ED7ACF"/>
    <w:rsid w:val="00EE3B97"/>
    <w:rsid w:val="00EE5567"/>
    <w:rsid w:val="00EF02BC"/>
    <w:rsid w:val="00EF1F22"/>
    <w:rsid w:val="00EF2CA6"/>
    <w:rsid w:val="00EF2FB1"/>
    <w:rsid w:val="00EF4EAB"/>
    <w:rsid w:val="00EF5B40"/>
    <w:rsid w:val="00EF7502"/>
    <w:rsid w:val="00F00432"/>
    <w:rsid w:val="00F01D0A"/>
    <w:rsid w:val="00F02034"/>
    <w:rsid w:val="00F036E5"/>
    <w:rsid w:val="00F03884"/>
    <w:rsid w:val="00F038A0"/>
    <w:rsid w:val="00F03E21"/>
    <w:rsid w:val="00F0411C"/>
    <w:rsid w:val="00F1107B"/>
    <w:rsid w:val="00F117B1"/>
    <w:rsid w:val="00F128A4"/>
    <w:rsid w:val="00F134F9"/>
    <w:rsid w:val="00F1435C"/>
    <w:rsid w:val="00F163B1"/>
    <w:rsid w:val="00F1742B"/>
    <w:rsid w:val="00F178FF"/>
    <w:rsid w:val="00F21D1D"/>
    <w:rsid w:val="00F232CF"/>
    <w:rsid w:val="00F23CF7"/>
    <w:rsid w:val="00F2461C"/>
    <w:rsid w:val="00F24C62"/>
    <w:rsid w:val="00F24FC8"/>
    <w:rsid w:val="00F26D0F"/>
    <w:rsid w:val="00F316E4"/>
    <w:rsid w:val="00F328C3"/>
    <w:rsid w:val="00F32C44"/>
    <w:rsid w:val="00F331F0"/>
    <w:rsid w:val="00F34138"/>
    <w:rsid w:val="00F34C54"/>
    <w:rsid w:val="00F355BF"/>
    <w:rsid w:val="00F35E57"/>
    <w:rsid w:val="00F36470"/>
    <w:rsid w:val="00F365CC"/>
    <w:rsid w:val="00F36F8D"/>
    <w:rsid w:val="00F42532"/>
    <w:rsid w:val="00F44566"/>
    <w:rsid w:val="00F460A6"/>
    <w:rsid w:val="00F4673F"/>
    <w:rsid w:val="00F47ACE"/>
    <w:rsid w:val="00F47FCE"/>
    <w:rsid w:val="00F501D2"/>
    <w:rsid w:val="00F5266F"/>
    <w:rsid w:val="00F52BC9"/>
    <w:rsid w:val="00F5475F"/>
    <w:rsid w:val="00F557C0"/>
    <w:rsid w:val="00F56447"/>
    <w:rsid w:val="00F56A1D"/>
    <w:rsid w:val="00F5798C"/>
    <w:rsid w:val="00F61A04"/>
    <w:rsid w:val="00F63954"/>
    <w:rsid w:val="00F64055"/>
    <w:rsid w:val="00F64F40"/>
    <w:rsid w:val="00F6564C"/>
    <w:rsid w:val="00F66FE4"/>
    <w:rsid w:val="00F70BC1"/>
    <w:rsid w:val="00F710C6"/>
    <w:rsid w:val="00F72009"/>
    <w:rsid w:val="00F722BD"/>
    <w:rsid w:val="00F72590"/>
    <w:rsid w:val="00F72873"/>
    <w:rsid w:val="00F73620"/>
    <w:rsid w:val="00F74F9B"/>
    <w:rsid w:val="00F758ED"/>
    <w:rsid w:val="00F80D40"/>
    <w:rsid w:val="00F81854"/>
    <w:rsid w:val="00F85DCC"/>
    <w:rsid w:val="00F87415"/>
    <w:rsid w:val="00F87775"/>
    <w:rsid w:val="00F91C21"/>
    <w:rsid w:val="00F91CF0"/>
    <w:rsid w:val="00F92087"/>
    <w:rsid w:val="00F9481A"/>
    <w:rsid w:val="00F956D1"/>
    <w:rsid w:val="00F9687F"/>
    <w:rsid w:val="00F97F15"/>
    <w:rsid w:val="00FA02E5"/>
    <w:rsid w:val="00FA04C6"/>
    <w:rsid w:val="00FA08DE"/>
    <w:rsid w:val="00FA0CF5"/>
    <w:rsid w:val="00FA2694"/>
    <w:rsid w:val="00FA2B03"/>
    <w:rsid w:val="00FA2D9D"/>
    <w:rsid w:val="00FA3EF2"/>
    <w:rsid w:val="00FA452B"/>
    <w:rsid w:val="00FA770D"/>
    <w:rsid w:val="00FA77B7"/>
    <w:rsid w:val="00FB05F4"/>
    <w:rsid w:val="00FB071D"/>
    <w:rsid w:val="00FB272F"/>
    <w:rsid w:val="00FB328E"/>
    <w:rsid w:val="00FB3430"/>
    <w:rsid w:val="00FB5E18"/>
    <w:rsid w:val="00FB67C7"/>
    <w:rsid w:val="00FC007C"/>
    <w:rsid w:val="00FC1567"/>
    <w:rsid w:val="00FC2626"/>
    <w:rsid w:val="00FC278F"/>
    <w:rsid w:val="00FC304F"/>
    <w:rsid w:val="00FC33B7"/>
    <w:rsid w:val="00FC3766"/>
    <w:rsid w:val="00FC4572"/>
    <w:rsid w:val="00FC5E38"/>
    <w:rsid w:val="00FC755D"/>
    <w:rsid w:val="00FD20B3"/>
    <w:rsid w:val="00FD270D"/>
    <w:rsid w:val="00FD386C"/>
    <w:rsid w:val="00FD3922"/>
    <w:rsid w:val="00FD47D9"/>
    <w:rsid w:val="00FD6452"/>
    <w:rsid w:val="00FD647C"/>
    <w:rsid w:val="00FD799D"/>
    <w:rsid w:val="00FE1B9E"/>
    <w:rsid w:val="00FE211C"/>
    <w:rsid w:val="00FE2B90"/>
    <w:rsid w:val="00FE2DD2"/>
    <w:rsid w:val="00FF0A4E"/>
    <w:rsid w:val="00FF14A6"/>
    <w:rsid w:val="00FF37A3"/>
    <w:rsid w:val="00FF3F9C"/>
    <w:rsid w:val="00FF62C9"/>
    <w:rsid w:val="00FF63A1"/>
    <w:rsid w:val="32ABE35A"/>
    <w:rsid w:val="56944D98"/>
    <w:rsid w:val="6FA9D7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070845FA-C35C-4AB4-8520-C8785968440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A546F"/>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styleId="InviasNormal" w:customStyle="1">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BE1E33"/>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BE1E33"/>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BE1E33"/>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styleId="TextocomentarioCar" w:customStyle="1">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styleId="AsuntodelcomentarioCar" w:customStyle="1">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B54444"/>
    <w:pPr>
      <w:spacing w:before="100" w:beforeAutospacing="1" w:after="100" w:afterAutospacing="1"/>
    </w:pPr>
    <w:rPr>
      <w:rFonts w:ascii="Times New Roman" w:hAnsi="Times New Roman" w:eastAsia="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813F60"/>
    <w:rPr>
      <w:rFonts w:ascii="Arial" w:hAnsi="Arial" w:eastAsia="Arial" w:cs="Arial"/>
      <w:lang w:val="es-ES"/>
    </w:rPr>
  </w:style>
  <w:style w:type="character" w:styleId="NormalWebCar" w:customStyle="1">
    <w:name w:val="Normal (Web) Car"/>
    <w:link w:val="NormalWeb"/>
    <w:uiPriority w:val="99"/>
    <w:rsid w:val="00E013AA"/>
    <w:rPr>
      <w:rFonts w:ascii="Times New Roman" w:hAnsi="Times New Roman" w:eastAsia="Times New Roman" w:cs="Times New Roman"/>
      <w:sz w:val="24"/>
      <w:szCs w:val="24"/>
      <w:lang w:eastAsia="es-CO"/>
    </w:rPr>
  </w:style>
  <w:style w:type="paragraph" w:styleId="Car1" w:customStyle="1">
    <w:name w:val="Car1"/>
    <w:basedOn w:val="Normal"/>
    <w:next w:val="Textonotapie"/>
    <w:uiPriority w:val="99"/>
    <w:unhideWhenUsed/>
    <w:qFormat/>
    <w:rsid w:val="00980F2D"/>
    <w:rPr>
      <w:sz w:val="20"/>
      <w:szCs w:val="20"/>
    </w:rPr>
  </w:style>
  <w:style w:type="paragraph" w:styleId="Appelnotedebasde" w:customStyle="1">
    <w:name w:val="Appel note de bas de..."/>
    <w:basedOn w:val="Normal"/>
    <w:link w:val="Refdenotaalpie"/>
    <w:uiPriority w:val="99"/>
    <w:rsid w:val="00980F2D"/>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78361115">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770977480">
      <w:bodyDiv w:val="1"/>
      <w:marLeft w:val="0"/>
      <w:marRight w:val="0"/>
      <w:marTop w:val="0"/>
      <w:marBottom w:val="0"/>
      <w:divBdr>
        <w:top w:val="none" w:sz="0" w:space="0" w:color="auto"/>
        <w:left w:val="none" w:sz="0" w:space="0" w:color="auto"/>
        <w:bottom w:val="none" w:sz="0" w:space="0" w:color="auto"/>
        <w:right w:val="none" w:sz="0" w:space="0" w:color="auto"/>
      </w:divBdr>
    </w:div>
    <w:div w:id="867453622">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046873969">
      <w:bodyDiv w:val="1"/>
      <w:marLeft w:val="0"/>
      <w:marRight w:val="0"/>
      <w:marTop w:val="0"/>
      <w:marBottom w:val="0"/>
      <w:divBdr>
        <w:top w:val="none" w:sz="0" w:space="0" w:color="auto"/>
        <w:left w:val="none" w:sz="0" w:space="0" w:color="auto"/>
        <w:bottom w:val="none" w:sz="0" w:space="0" w:color="auto"/>
        <w:right w:val="none" w:sz="0" w:space="0" w:color="auto"/>
      </w:divBdr>
    </w:div>
    <w:div w:id="1058019579">
      <w:bodyDiv w:val="1"/>
      <w:marLeft w:val="0"/>
      <w:marRight w:val="0"/>
      <w:marTop w:val="0"/>
      <w:marBottom w:val="0"/>
      <w:divBdr>
        <w:top w:val="none" w:sz="0" w:space="0" w:color="auto"/>
        <w:left w:val="none" w:sz="0" w:space="0" w:color="auto"/>
        <w:bottom w:val="none" w:sz="0" w:space="0" w:color="auto"/>
        <w:right w:val="none" w:sz="0" w:space="0" w:color="auto"/>
      </w:divBdr>
    </w:div>
    <w:div w:id="1161192170">
      <w:bodyDiv w:val="1"/>
      <w:marLeft w:val="0"/>
      <w:marRight w:val="0"/>
      <w:marTop w:val="0"/>
      <w:marBottom w:val="0"/>
      <w:divBdr>
        <w:top w:val="none" w:sz="0" w:space="0" w:color="auto"/>
        <w:left w:val="none" w:sz="0" w:space="0" w:color="auto"/>
        <w:bottom w:val="none" w:sz="0" w:space="0" w:color="auto"/>
        <w:right w:val="none" w:sz="0" w:space="0" w:color="auto"/>
      </w:divBdr>
    </w:div>
    <w:div w:id="1181116574">
      <w:bodyDiv w:val="1"/>
      <w:marLeft w:val="0"/>
      <w:marRight w:val="0"/>
      <w:marTop w:val="0"/>
      <w:marBottom w:val="0"/>
      <w:divBdr>
        <w:top w:val="none" w:sz="0" w:space="0" w:color="auto"/>
        <w:left w:val="none" w:sz="0" w:space="0" w:color="auto"/>
        <w:bottom w:val="none" w:sz="0" w:space="0" w:color="auto"/>
        <w:right w:val="none" w:sz="0" w:space="0" w:color="auto"/>
      </w:divBdr>
      <w:divsChild>
        <w:div w:id="1447431584">
          <w:marLeft w:val="0"/>
          <w:marRight w:val="0"/>
          <w:marTop w:val="0"/>
          <w:marBottom w:val="0"/>
          <w:divBdr>
            <w:top w:val="none" w:sz="0" w:space="0" w:color="auto"/>
            <w:left w:val="none" w:sz="0" w:space="0" w:color="auto"/>
            <w:bottom w:val="none" w:sz="0" w:space="0" w:color="auto"/>
            <w:right w:val="none" w:sz="0" w:space="0" w:color="auto"/>
          </w:divBdr>
        </w:div>
      </w:divsChild>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243225501">
      <w:bodyDiv w:val="1"/>
      <w:marLeft w:val="0"/>
      <w:marRight w:val="0"/>
      <w:marTop w:val="0"/>
      <w:marBottom w:val="0"/>
      <w:divBdr>
        <w:top w:val="none" w:sz="0" w:space="0" w:color="auto"/>
        <w:left w:val="none" w:sz="0" w:space="0" w:color="auto"/>
        <w:bottom w:val="none" w:sz="0" w:space="0" w:color="auto"/>
        <w:right w:val="none" w:sz="0" w:space="0" w:color="auto"/>
      </w:divBdr>
      <w:divsChild>
        <w:div w:id="1505827403">
          <w:marLeft w:val="0"/>
          <w:marRight w:val="0"/>
          <w:marTop w:val="0"/>
          <w:marBottom w:val="0"/>
          <w:divBdr>
            <w:top w:val="none" w:sz="0" w:space="0" w:color="auto"/>
            <w:left w:val="none" w:sz="0" w:space="0" w:color="auto"/>
            <w:bottom w:val="none" w:sz="0" w:space="0" w:color="auto"/>
            <w:right w:val="none" w:sz="0" w:space="0" w:color="auto"/>
          </w:divBdr>
          <w:divsChild>
            <w:div w:id="1504127261">
              <w:marLeft w:val="0"/>
              <w:marRight w:val="0"/>
              <w:marTop w:val="0"/>
              <w:marBottom w:val="0"/>
              <w:divBdr>
                <w:top w:val="none" w:sz="0" w:space="0" w:color="auto"/>
                <w:left w:val="none" w:sz="0" w:space="0" w:color="auto"/>
                <w:bottom w:val="none" w:sz="0" w:space="0" w:color="auto"/>
                <w:right w:val="none" w:sz="0" w:space="0" w:color="auto"/>
              </w:divBdr>
              <w:divsChild>
                <w:div w:id="194707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770747">
      <w:bodyDiv w:val="1"/>
      <w:marLeft w:val="0"/>
      <w:marRight w:val="0"/>
      <w:marTop w:val="0"/>
      <w:marBottom w:val="0"/>
      <w:divBdr>
        <w:top w:val="none" w:sz="0" w:space="0" w:color="auto"/>
        <w:left w:val="none" w:sz="0" w:space="0" w:color="auto"/>
        <w:bottom w:val="none" w:sz="0" w:space="0" w:color="auto"/>
        <w:right w:val="none" w:sz="0" w:space="0" w:color="auto"/>
      </w:divBdr>
    </w:div>
    <w:div w:id="1440367327">
      <w:bodyDiv w:val="1"/>
      <w:marLeft w:val="0"/>
      <w:marRight w:val="0"/>
      <w:marTop w:val="0"/>
      <w:marBottom w:val="0"/>
      <w:divBdr>
        <w:top w:val="none" w:sz="0" w:space="0" w:color="auto"/>
        <w:left w:val="none" w:sz="0" w:space="0" w:color="auto"/>
        <w:bottom w:val="none" w:sz="0" w:space="0" w:color="auto"/>
        <w:right w:val="none" w:sz="0" w:space="0" w:color="auto"/>
      </w:divBdr>
    </w:div>
    <w:div w:id="1441679863">
      <w:bodyDiv w:val="1"/>
      <w:marLeft w:val="0"/>
      <w:marRight w:val="0"/>
      <w:marTop w:val="0"/>
      <w:marBottom w:val="0"/>
      <w:divBdr>
        <w:top w:val="none" w:sz="0" w:space="0" w:color="auto"/>
        <w:left w:val="none" w:sz="0" w:space="0" w:color="auto"/>
        <w:bottom w:val="none" w:sz="0" w:space="0" w:color="auto"/>
        <w:right w:val="none" w:sz="0" w:space="0" w:color="auto"/>
      </w:divBdr>
    </w:div>
    <w:div w:id="1467509655">
      <w:bodyDiv w:val="1"/>
      <w:marLeft w:val="0"/>
      <w:marRight w:val="0"/>
      <w:marTop w:val="0"/>
      <w:marBottom w:val="0"/>
      <w:divBdr>
        <w:top w:val="none" w:sz="0" w:space="0" w:color="auto"/>
        <w:left w:val="none" w:sz="0" w:space="0" w:color="auto"/>
        <w:bottom w:val="none" w:sz="0" w:space="0" w:color="auto"/>
        <w:right w:val="none" w:sz="0" w:space="0" w:color="auto"/>
      </w:divBdr>
    </w:div>
    <w:div w:id="1494298348">
      <w:bodyDiv w:val="1"/>
      <w:marLeft w:val="0"/>
      <w:marRight w:val="0"/>
      <w:marTop w:val="0"/>
      <w:marBottom w:val="0"/>
      <w:divBdr>
        <w:top w:val="none" w:sz="0" w:space="0" w:color="auto"/>
        <w:left w:val="none" w:sz="0" w:space="0" w:color="auto"/>
        <w:bottom w:val="none" w:sz="0" w:space="0" w:color="auto"/>
        <w:right w:val="none" w:sz="0" w:space="0" w:color="auto"/>
      </w:divBdr>
    </w:div>
    <w:div w:id="1508518152">
      <w:bodyDiv w:val="1"/>
      <w:marLeft w:val="0"/>
      <w:marRight w:val="0"/>
      <w:marTop w:val="0"/>
      <w:marBottom w:val="0"/>
      <w:divBdr>
        <w:top w:val="none" w:sz="0" w:space="0" w:color="auto"/>
        <w:left w:val="none" w:sz="0" w:space="0" w:color="auto"/>
        <w:bottom w:val="none" w:sz="0" w:space="0" w:color="auto"/>
        <w:right w:val="none" w:sz="0" w:space="0" w:color="auto"/>
      </w:divBdr>
      <w:divsChild>
        <w:div w:id="1499617906">
          <w:marLeft w:val="0"/>
          <w:marRight w:val="0"/>
          <w:marTop w:val="0"/>
          <w:marBottom w:val="0"/>
          <w:divBdr>
            <w:top w:val="none" w:sz="0" w:space="0" w:color="auto"/>
            <w:left w:val="none" w:sz="0" w:space="0" w:color="auto"/>
            <w:bottom w:val="none" w:sz="0" w:space="0" w:color="auto"/>
            <w:right w:val="none" w:sz="0" w:space="0" w:color="auto"/>
          </w:divBdr>
        </w:div>
      </w:divsChild>
    </w:div>
    <w:div w:id="1511750199">
      <w:bodyDiv w:val="1"/>
      <w:marLeft w:val="0"/>
      <w:marRight w:val="0"/>
      <w:marTop w:val="0"/>
      <w:marBottom w:val="0"/>
      <w:divBdr>
        <w:top w:val="none" w:sz="0" w:space="0" w:color="auto"/>
        <w:left w:val="none" w:sz="0" w:space="0" w:color="auto"/>
        <w:bottom w:val="none" w:sz="0" w:space="0" w:color="auto"/>
        <w:right w:val="none" w:sz="0" w:space="0" w:color="auto"/>
      </w:divBdr>
    </w:div>
    <w:div w:id="1658070574">
      <w:bodyDiv w:val="1"/>
      <w:marLeft w:val="0"/>
      <w:marRight w:val="0"/>
      <w:marTop w:val="0"/>
      <w:marBottom w:val="0"/>
      <w:divBdr>
        <w:top w:val="none" w:sz="0" w:space="0" w:color="auto"/>
        <w:left w:val="none" w:sz="0" w:space="0" w:color="auto"/>
        <w:bottom w:val="none" w:sz="0" w:space="0" w:color="auto"/>
        <w:right w:val="none" w:sz="0" w:space="0" w:color="auto"/>
      </w:divBdr>
    </w:div>
    <w:div w:id="1716152015">
      <w:bodyDiv w:val="1"/>
      <w:marLeft w:val="0"/>
      <w:marRight w:val="0"/>
      <w:marTop w:val="0"/>
      <w:marBottom w:val="0"/>
      <w:divBdr>
        <w:top w:val="none" w:sz="0" w:space="0" w:color="auto"/>
        <w:left w:val="none" w:sz="0" w:space="0" w:color="auto"/>
        <w:bottom w:val="none" w:sz="0" w:space="0" w:color="auto"/>
        <w:right w:val="none" w:sz="0" w:space="0" w:color="auto"/>
      </w:divBdr>
      <w:divsChild>
        <w:div w:id="2132362447">
          <w:marLeft w:val="0"/>
          <w:marRight w:val="0"/>
          <w:marTop w:val="0"/>
          <w:marBottom w:val="0"/>
          <w:divBdr>
            <w:top w:val="none" w:sz="0" w:space="0" w:color="auto"/>
            <w:left w:val="none" w:sz="0" w:space="0" w:color="auto"/>
            <w:bottom w:val="none" w:sz="0" w:space="0" w:color="auto"/>
            <w:right w:val="none" w:sz="0" w:space="0" w:color="auto"/>
          </w:divBdr>
          <w:divsChild>
            <w:div w:id="933248935">
              <w:marLeft w:val="0"/>
              <w:marRight w:val="0"/>
              <w:marTop w:val="0"/>
              <w:marBottom w:val="0"/>
              <w:divBdr>
                <w:top w:val="none" w:sz="0" w:space="0" w:color="auto"/>
                <w:left w:val="none" w:sz="0" w:space="0" w:color="auto"/>
                <w:bottom w:val="none" w:sz="0" w:space="0" w:color="auto"/>
                <w:right w:val="none" w:sz="0" w:space="0" w:color="auto"/>
              </w:divBdr>
              <w:divsChild>
                <w:div w:id="10406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1348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27361966">
      <w:bodyDiv w:val="1"/>
      <w:marLeft w:val="0"/>
      <w:marRight w:val="0"/>
      <w:marTop w:val="0"/>
      <w:marBottom w:val="0"/>
      <w:divBdr>
        <w:top w:val="none" w:sz="0" w:space="0" w:color="auto"/>
        <w:left w:val="none" w:sz="0" w:space="0" w:color="auto"/>
        <w:bottom w:val="none" w:sz="0" w:space="0" w:color="auto"/>
        <w:right w:val="none" w:sz="0" w:space="0" w:color="auto"/>
      </w:divBdr>
      <w:divsChild>
        <w:div w:id="1769345825">
          <w:marLeft w:val="0"/>
          <w:marRight w:val="0"/>
          <w:marTop w:val="0"/>
          <w:marBottom w:val="0"/>
          <w:divBdr>
            <w:top w:val="none" w:sz="0" w:space="0" w:color="auto"/>
            <w:left w:val="none" w:sz="0" w:space="0" w:color="auto"/>
            <w:bottom w:val="none" w:sz="0" w:space="0" w:color="auto"/>
            <w:right w:val="none" w:sz="0" w:space="0" w:color="auto"/>
          </w:divBdr>
          <w:divsChild>
            <w:div w:id="1950889096">
              <w:marLeft w:val="0"/>
              <w:marRight w:val="0"/>
              <w:marTop w:val="0"/>
              <w:marBottom w:val="0"/>
              <w:divBdr>
                <w:top w:val="none" w:sz="0" w:space="0" w:color="auto"/>
                <w:left w:val="none" w:sz="0" w:space="0" w:color="auto"/>
                <w:bottom w:val="none" w:sz="0" w:space="0" w:color="auto"/>
                <w:right w:val="none" w:sz="0" w:space="0" w:color="auto"/>
              </w:divBdr>
              <w:divsChild>
                <w:div w:id="129748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432751">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5.png" Id="R4cfcfd419a8942f5" /><Relationship Type="http://schemas.openxmlformats.org/officeDocument/2006/relationships/image" Target="/media/image6.png" Id="R2b35b938ba5b4c90" /></Relationships>
</file>

<file path=word/_rels/footer1.xml.rels>&#65279;<?xml version="1.0" encoding="utf-8"?><Relationships xmlns="http://schemas.openxmlformats.org/package/2006/relationships"><Relationship Type="http://schemas.openxmlformats.org/officeDocument/2006/relationships/image" Target="/media/image7.png" Id="R68fc686ec280435a"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197F746-F556-104C-B3CB-92DA039D2ABD}">
  <ds:schemaRefs>
    <ds:schemaRef ds:uri="http://schemas.openxmlformats.org/officeDocument/2006/bibliography"/>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330D0610-FB10-40A2-8B65-441DB12B250D}"/>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David Torres Rojas</cp:lastModifiedBy>
  <cp:revision>23</cp:revision>
  <cp:lastPrinted>2020-03-17T19:42:00Z</cp:lastPrinted>
  <dcterms:created xsi:type="dcterms:W3CDTF">2021-05-14T00:38:00Z</dcterms:created>
  <dcterms:modified xsi:type="dcterms:W3CDTF">2021-05-14T16:13:39Z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