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7CBC15" w14:textId="77777777" w:rsidR="00BA6E6F" w:rsidRPr="0069330A" w:rsidRDefault="00BA6E6F" w:rsidP="00BA6E6F">
      <w:pPr>
        <w:spacing w:after="0" w:line="240" w:lineRule="auto"/>
        <w:jc w:val="both"/>
        <w:rPr>
          <w:rFonts w:ascii="Verdana" w:eastAsia="Calibri" w:hAnsi="Verdana" w:cs="Arial"/>
          <w:b/>
          <w:bCs/>
          <w:color w:val="000000" w:themeColor="text1"/>
        </w:rPr>
      </w:pPr>
      <w:r w:rsidRPr="0069330A">
        <w:rPr>
          <w:rFonts w:ascii="Verdana" w:eastAsia="Calibri" w:hAnsi="Verdana" w:cs="Arial"/>
          <w:b/>
          <w:bCs/>
          <w:color w:val="000000" w:themeColor="text1"/>
        </w:rPr>
        <w:t>CONVOCATORIAS LIMITADAS A MIPYMES – Limitación Territorial – Carácter discrecional</w:t>
      </w:r>
    </w:p>
    <w:p w14:paraId="38485CED" w14:textId="77777777" w:rsidR="00BA6E6F" w:rsidRPr="0069330A" w:rsidRDefault="00BA6E6F" w:rsidP="00BA6E6F">
      <w:pPr>
        <w:spacing w:after="0" w:line="240" w:lineRule="auto"/>
        <w:jc w:val="both"/>
        <w:rPr>
          <w:rFonts w:ascii="Verdana" w:eastAsia="Calibri" w:hAnsi="Verdana" w:cs="Arial"/>
          <w:color w:val="000000" w:themeColor="text1"/>
          <w:sz w:val="20"/>
          <w:szCs w:val="20"/>
          <w:highlight w:val="yellow"/>
        </w:rPr>
      </w:pPr>
    </w:p>
    <w:p w14:paraId="4B21CE22" w14:textId="77777777" w:rsidR="00BA6E6F" w:rsidRPr="0069330A" w:rsidRDefault="00BA6E6F" w:rsidP="00BA6E6F">
      <w:pPr>
        <w:spacing w:after="0" w:line="240" w:lineRule="auto"/>
        <w:jc w:val="both"/>
        <w:rPr>
          <w:rFonts w:ascii="Verdana" w:eastAsia="Calibri" w:hAnsi="Verdana" w:cs="Arial"/>
          <w:color w:val="000000" w:themeColor="text1"/>
          <w:sz w:val="20"/>
          <w:szCs w:val="20"/>
        </w:rPr>
      </w:pPr>
      <w:r w:rsidRPr="0069330A">
        <w:rPr>
          <w:rFonts w:ascii="Verdana" w:eastAsia="Calibri" w:hAnsi="Verdana" w:cs="Arial"/>
          <w:color w:val="000000" w:themeColor="text1"/>
          <w:sz w:val="20"/>
          <w:szCs w:val="20"/>
        </w:rPr>
        <w:t xml:space="preserve">[…] lo que debe adoptarse obligatoriamente es la limitación a Mipymes colombianas siempre que se cumplan las condiciones del artículo 2.2.1.2.4.2.2 del Decreto 1082 de 2015, pero no la “limitación territorial” referida en el artículo 2.2.1.2.4.2.3 ibídem, pues esta es facultativa para la entidad. Las únicas exigencias son que la convocatoria esté limitada a las Mipyme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6AEDC69D" w14:textId="77777777" w:rsidR="00BA6E6F" w:rsidRPr="0069330A" w:rsidRDefault="00BA6E6F" w:rsidP="00BA6E6F">
      <w:pPr>
        <w:spacing w:after="0" w:line="240" w:lineRule="auto"/>
        <w:jc w:val="both"/>
        <w:rPr>
          <w:rFonts w:ascii="Verdana" w:eastAsia="Calibri" w:hAnsi="Verdana" w:cs="Arial"/>
          <w:color w:val="000000" w:themeColor="text1"/>
          <w:sz w:val="20"/>
          <w:szCs w:val="20"/>
        </w:rPr>
      </w:pPr>
    </w:p>
    <w:p w14:paraId="3EE97430" w14:textId="77777777" w:rsidR="00BA6E6F" w:rsidRPr="0069330A" w:rsidRDefault="00BA6E6F" w:rsidP="00BA6E6F">
      <w:pPr>
        <w:spacing w:after="0" w:line="240" w:lineRule="auto"/>
        <w:jc w:val="both"/>
        <w:rPr>
          <w:rFonts w:ascii="Verdana" w:eastAsia="Calibri" w:hAnsi="Verdana" w:cs="Arial"/>
          <w:color w:val="000000" w:themeColor="text1"/>
          <w:sz w:val="20"/>
          <w:szCs w:val="20"/>
        </w:rPr>
      </w:pPr>
      <w:r w:rsidRPr="0069330A">
        <w:rPr>
          <w:rFonts w:ascii="Verdana" w:eastAsia="Calibri" w:hAnsi="Verdana" w:cs="Arial"/>
          <w:color w:val="000000" w:themeColor="text1"/>
          <w:sz w:val="20"/>
          <w:szCs w:val="20"/>
        </w:rPr>
        <w:t>El origen de las Mipyme que solicitan la “limitación territorial” no es relevante frente a dicha decisión por dos razones: primero, porque las Mipyme no están habilitadas para pedir la “limitación territorial”, lo están para pedir la “convocatoria limitada a Mipymes”, y, segundo, porque el único criterio para tener en cuenta, una vez se ha decidido justificadamente limitar territorialmente la convocatoria previamente limitada a Mipyme, es el lugar donde se va a ejecutar el contrato.</w:t>
      </w:r>
    </w:p>
    <w:p w14:paraId="1D1B38B8" w14:textId="77777777" w:rsidR="00BA6E6F" w:rsidRPr="0069330A" w:rsidRDefault="00BA6E6F" w:rsidP="00BA6E6F">
      <w:pPr>
        <w:spacing w:after="0" w:line="240" w:lineRule="auto"/>
        <w:jc w:val="both"/>
        <w:rPr>
          <w:rFonts w:ascii="Verdana" w:eastAsia="Calibri" w:hAnsi="Verdana" w:cs="Arial"/>
          <w:color w:val="000000" w:themeColor="text1"/>
          <w:sz w:val="20"/>
          <w:szCs w:val="20"/>
        </w:rPr>
      </w:pPr>
    </w:p>
    <w:p w14:paraId="385BB82C" w14:textId="77777777" w:rsidR="00BA6E6F" w:rsidRPr="0069330A" w:rsidRDefault="00BA6E6F" w:rsidP="00BA6E6F">
      <w:pPr>
        <w:spacing w:after="0" w:line="240" w:lineRule="auto"/>
        <w:jc w:val="both"/>
        <w:rPr>
          <w:rFonts w:ascii="Verdana" w:eastAsia="Calibri" w:hAnsi="Verdana" w:cs="Arial"/>
          <w:color w:val="000000" w:themeColor="text1"/>
          <w:sz w:val="20"/>
          <w:szCs w:val="20"/>
        </w:rPr>
      </w:pPr>
      <w:r w:rsidRPr="0069330A">
        <w:rPr>
          <w:rFonts w:ascii="Verdana" w:eastAsia="Calibri" w:hAnsi="Verdana" w:cs="Arial"/>
          <w:color w:val="000000" w:themeColor="text1"/>
          <w:sz w:val="20"/>
          <w:szCs w:val="20"/>
        </w:rPr>
        <w:t>En resumen, la decisión de limitar o no territorialmente una convocatoria limitada a Mipymes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31B534D8" w14:textId="77777777" w:rsidR="00BA6E6F" w:rsidRDefault="00BA6E6F" w:rsidP="00BA6E6F">
      <w:pPr>
        <w:spacing w:after="0" w:line="240" w:lineRule="auto"/>
        <w:jc w:val="both"/>
        <w:rPr>
          <w:rFonts w:ascii="Arial" w:eastAsia="Calibri" w:hAnsi="Arial" w:cs="Arial"/>
          <w:color w:val="000000" w:themeColor="text1"/>
          <w:sz w:val="20"/>
          <w:szCs w:val="20"/>
        </w:rPr>
      </w:pPr>
    </w:p>
    <w:p w14:paraId="0FB9198A" w14:textId="77777777" w:rsidR="00BA6E6F" w:rsidRPr="0039102F" w:rsidRDefault="00BA6E6F" w:rsidP="00BA6E6F">
      <w:pPr>
        <w:contextualSpacing/>
        <w:jc w:val="both"/>
        <w:rPr>
          <w:rFonts w:ascii="Verdana" w:hAnsi="Verdana" w:cs="Arial"/>
          <w:b/>
          <w:bCs/>
          <w:lang w:val="es-ES_tradnl"/>
        </w:rPr>
      </w:pPr>
      <w:r w:rsidRPr="0039102F">
        <w:rPr>
          <w:rFonts w:ascii="Verdana" w:hAnsi="Verdana" w:cs="Arial"/>
          <w:b/>
          <w:bCs/>
          <w:lang w:val="es-ES_tradnl"/>
        </w:rPr>
        <w:t xml:space="preserve">REQUISITOS HABILITANTES – Concepto </w:t>
      </w:r>
    </w:p>
    <w:p w14:paraId="4B157928" w14:textId="77777777" w:rsidR="00BA6E6F" w:rsidRPr="0039102F" w:rsidRDefault="00BA6E6F" w:rsidP="00BA6E6F">
      <w:pPr>
        <w:contextualSpacing/>
        <w:jc w:val="both"/>
        <w:rPr>
          <w:rFonts w:ascii="Verdana" w:hAnsi="Verdana" w:cs="Arial"/>
          <w:b/>
          <w:bCs/>
          <w:lang w:val="es-ES_tradnl"/>
        </w:rPr>
      </w:pPr>
    </w:p>
    <w:p w14:paraId="11D5CBF3" w14:textId="77777777" w:rsidR="00BA6E6F" w:rsidRPr="0039102F" w:rsidRDefault="00BA6E6F" w:rsidP="00BA6E6F">
      <w:pPr>
        <w:spacing w:after="0" w:line="240" w:lineRule="auto"/>
        <w:contextualSpacing/>
        <w:jc w:val="both"/>
        <w:rPr>
          <w:rFonts w:ascii="Verdana" w:eastAsia="Calibri" w:hAnsi="Verdana" w:cs="Arial"/>
          <w:color w:val="000000" w:themeColor="text1"/>
          <w:sz w:val="20"/>
          <w:szCs w:val="20"/>
        </w:rPr>
      </w:pPr>
      <w:r w:rsidRPr="0039102F">
        <w:rPr>
          <w:rFonts w:ascii="Verdana" w:eastAsia="Calibri" w:hAnsi="Verdana" w:cs="Arial"/>
          <w:color w:val="000000" w:themeColor="text1"/>
          <w:sz w:val="20"/>
          <w:szCs w:val="20"/>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51FDE9A4" w14:textId="77777777" w:rsidR="00BA6E6F" w:rsidRPr="0039102F" w:rsidRDefault="00BA6E6F" w:rsidP="00BA6E6F">
      <w:pPr>
        <w:spacing w:after="0" w:line="240" w:lineRule="auto"/>
        <w:contextualSpacing/>
        <w:jc w:val="both"/>
        <w:rPr>
          <w:rFonts w:ascii="Verdana" w:eastAsia="Calibri" w:hAnsi="Verdana" w:cs="Arial"/>
          <w:color w:val="000000" w:themeColor="text1"/>
          <w:sz w:val="20"/>
          <w:szCs w:val="20"/>
        </w:rPr>
      </w:pPr>
    </w:p>
    <w:p w14:paraId="14F9138B" w14:textId="77777777" w:rsidR="00BA6E6F" w:rsidRPr="0039102F" w:rsidRDefault="00BA6E6F" w:rsidP="00BA6E6F">
      <w:pPr>
        <w:spacing w:after="0" w:line="240" w:lineRule="auto"/>
        <w:contextualSpacing/>
        <w:jc w:val="both"/>
        <w:rPr>
          <w:rFonts w:ascii="Verdana" w:eastAsia="Calibri" w:hAnsi="Verdana" w:cs="Arial"/>
          <w:sz w:val="20"/>
          <w:szCs w:val="20"/>
          <w:lang w:val="es-ES_tradnl"/>
        </w:rPr>
      </w:pPr>
      <w:r w:rsidRPr="0039102F">
        <w:rPr>
          <w:rFonts w:ascii="Verdana" w:hAnsi="Verdana" w:cs="Arial"/>
          <w:sz w:val="20"/>
          <w:szCs w:val="20"/>
        </w:rPr>
        <w:t xml:space="preserve">[…] </w:t>
      </w:r>
      <w:r w:rsidRPr="0039102F">
        <w:rPr>
          <w:rFonts w:ascii="Verdana" w:eastAsia="Calibri" w:hAnsi="Verdana" w:cs="Arial"/>
          <w:sz w:val="20"/>
          <w:szCs w:val="20"/>
          <w:lang w:val="es-ES_tradnl"/>
        </w:rPr>
        <w:t>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w:t>
      </w:r>
    </w:p>
    <w:p w14:paraId="326F829B" w14:textId="77777777" w:rsidR="00BA6E6F" w:rsidRPr="0039102F" w:rsidRDefault="00BA6E6F" w:rsidP="00BA6E6F">
      <w:pPr>
        <w:tabs>
          <w:tab w:val="left" w:pos="0"/>
        </w:tabs>
        <w:spacing w:after="0" w:line="240" w:lineRule="auto"/>
        <w:jc w:val="both"/>
        <w:rPr>
          <w:rFonts w:ascii="Verdana" w:eastAsia="Calibri" w:hAnsi="Verdana" w:cs="Arial"/>
          <w:b/>
          <w:sz w:val="20"/>
          <w:szCs w:val="20"/>
        </w:rPr>
      </w:pPr>
    </w:p>
    <w:p w14:paraId="7AF2363E" w14:textId="77777777" w:rsidR="00BA6E6F" w:rsidRPr="0039102F" w:rsidRDefault="00BA6E6F" w:rsidP="00BA6E6F">
      <w:pPr>
        <w:spacing w:after="0" w:line="240" w:lineRule="auto"/>
        <w:contextualSpacing/>
        <w:jc w:val="both"/>
        <w:rPr>
          <w:rFonts w:ascii="Verdana" w:hAnsi="Verdana" w:cs="Arial"/>
          <w:b/>
          <w:bCs/>
          <w:lang w:val="es-ES_tradnl"/>
        </w:rPr>
      </w:pPr>
      <w:r w:rsidRPr="0039102F">
        <w:rPr>
          <w:rFonts w:ascii="Verdana" w:hAnsi="Verdana" w:cs="Arial"/>
          <w:b/>
          <w:bCs/>
        </w:rPr>
        <w:t>EXPERIENCIA</w:t>
      </w:r>
      <w:r w:rsidRPr="0039102F">
        <w:rPr>
          <w:rFonts w:ascii="Verdana" w:hAnsi="Verdana" w:cs="Arial"/>
        </w:rPr>
        <w:t xml:space="preserve"> </w:t>
      </w:r>
      <w:r w:rsidRPr="0039102F">
        <w:rPr>
          <w:rFonts w:ascii="Verdana" w:hAnsi="Verdana" w:cs="Arial"/>
          <w:b/>
          <w:bCs/>
          <w:lang w:val="es-ES_tradnl"/>
        </w:rPr>
        <w:t>– Concepto</w:t>
      </w:r>
    </w:p>
    <w:p w14:paraId="3917E2BB" w14:textId="77777777" w:rsidR="00BA6E6F" w:rsidRPr="0039102F" w:rsidRDefault="00BA6E6F" w:rsidP="00BA6E6F">
      <w:pPr>
        <w:spacing w:after="0" w:line="240" w:lineRule="auto"/>
        <w:contextualSpacing/>
        <w:jc w:val="both"/>
        <w:rPr>
          <w:rFonts w:ascii="Verdana" w:hAnsi="Verdana" w:cs="Arial"/>
          <w:b/>
          <w:bCs/>
          <w:lang w:val="es-ES_tradnl"/>
        </w:rPr>
      </w:pPr>
    </w:p>
    <w:p w14:paraId="646203A9" w14:textId="77777777" w:rsidR="00BA6E6F" w:rsidRPr="0039102F" w:rsidRDefault="00BA6E6F" w:rsidP="00BA6E6F">
      <w:pPr>
        <w:spacing w:after="0" w:line="240" w:lineRule="auto"/>
        <w:contextualSpacing/>
        <w:jc w:val="both"/>
        <w:rPr>
          <w:rFonts w:ascii="Verdana" w:eastAsia="Calibri" w:hAnsi="Verdana" w:cs="Arial"/>
          <w:color w:val="000000" w:themeColor="text1"/>
          <w:sz w:val="20"/>
          <w:szCs w:val="20"/>
        </w:rPr>
      </w:pPr>
      <w:r w:rsidRPr="0039102F">
        <w:rPr>
          <w:rFonts w:ascii="Verdana" w:eastAsia="Calibri" w:hAnsi="Verdana" w:cs="Arial"/>
          <w:color w:val="000000" w:themeColor="text1"/>
          <w:sz w:val="20"/>
          <w:szCs w:val="20"/>
        </w:rPr>
        <w:t xml:space="preserve">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como </w:t>
      </w:r>
      <w:r>
        <w:rPr>
          <w:rFonts w:ascii="Verdana" w:eastAsia="Calibri" w:hAnsi="Verdana" w:cs="Arial"/>
          <w:color w:val="000000" w:themeColor="text1"/>
          <w:sz w:val="20"/>
          <w:szCs w:val="20"/>
        </w:rPr>
        <w:t>“</w:t>
      </w:r>
      <w:r w:rsidRPr="0039102F">
        <w:rPr>
          <w:rFonts w:ascii="Verdana" w:eastAsia="Calibri" w:hAnsi="Verdana" w:cs="Arial"/>
          <w:color w:val="000000" w:themeColor="text1"/>
          <w:sz w:val="20"/>
          <w:szCs w:val="20"/>
        </w:rPr>
        <w:t>[…] el conocimiento del proponente derivado de su participación previa en actividades iguales o similares a las previstas en el objeto del contrato</w:t>
      </w:r>
      <w:r>
        <w:rPr>
          <w:rFonts w:ascii="Verdana" w:eastAsia="Calibri" w:hAnsi="Verdana" w:cs="Arial"/>
          <w:color w:val="000000" w:themeColor="text1"/>
          <w:sz w:val="20"/>
          <w:szCs w:val="20"/>
        </w:rPr>
        <w:t>”</w:t>
      </w:r>
      <w:r w:rsidRPr="0039102F">
        <w:rPr>
          <w:rFonts w:ascii="Verdana" w:eastAsia="Calibri" w:hAnsi="Verdana" w:cs="Arial"/>
          <w:color w:val="000000" w:themeColor="text1"/>
          <w:sz w:val="20"/>
          <w:szCs w:val="20"/>
        </w:rPr>
        <w:t xml:space="preserve">. </w:t>
      </w:r>
    </w:p>
    <w:p w14:paraId="1F336188" w14:textId="77777777" w:rsidR="00BA6E6F" w:rsidRPr="0039102F" w:rsidRDefault="00BA6E6F" w:rsidP="00BA6E6F">
      <w:pPr>
        <w:spacing w:after="0" w:line="240" w:lineRule="auto"/>
        <w:contextualSpacing/>
        <w:jc w:val="both"/>
        <w:rPr>
          <w:rFonts w:ascii="Verdana" w:eastAsia="Calibri" w:hAnsi="Verdana" w:cs="Arial"/>
          <w:color w:val="000000" w:themeColor="text1"/>
          <w:sz w:val="20"/>
          <w:szCs w:val="20"/>
        </w:rPr>
      </w:pPr>
    </w:p>
    <w:p w14:paraId="113170E8" w14:textId="77777777" w:rsidR="00BA6E6F" w:rsidRDefault="00BA6E6F" w:rsidP="00BA6E6F">
      <w:pPr>
        <w:spacing w:after="0" w:line="240" w:lineRule="auto"/>
        <w:contextualSpacing/>
        <w:jc w:val="both"/>
        <w:rPr>
          <w:rFonts w:ascii="Verdana" w:eastAsia="Calibri" w:hAnsi="Verdana" w:cs="Arial"/>
          <w:color w:val="000000" w:themeColor="text1"/>
          <w:sz w:val="20"/>
          <w:szCs w:val="20"/>
        </w:rPr>
      </w:pPr>
      <w:r w:rsidRPr="0039102F">
        <w:rPr>
          <w:rFonts w:ascii="Verdana" w:eastAsia="Calibri" w:hAnsi="Verdana" w:cs="Arial"/>
          <w:color w:val="000000" w:themeColor="text1"/>
          <w:sz w:val="20"/>
          <w:szCs w:val="20"/>
        </w:rPr>
        <w:t>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p>
    <w:p w14:paraId="30C5273C" w14:textId="77777777" w:rsidR="00BA6E6F" w:rsidRDefault="00BA6E6F" w:rsidP="00BA6E6F">
      <w:pPr>
        <w:spacing w:after="0" w:line="240" w:lineRule="auto"/>
        <w:contextualSpacing/>
        <w:jc w:val="both"/>
        <w:rPr>
          <w:rFonts w:ascii="Verdana" w:eastAsia="Calibri" w:hAnsi="Verdana" w:cs="Arial"/>
          <w:color w:val="000000" w:themeColor="text1"/>
          <w:sz w:val="20"/>
          <w:szCs w:val="20"/>
        </w:rPr>
      </w:pPr>
    </w:p>
    <w:p w14:paraId="167EF00E" w14:textId="77777777" w:rsidR="00BA6E6F" w:rsidRDefault="00BA6E6F" w:rsidP="00BA6E6F">
      <w:pPr>
        <w:spacing w:after="0" w:line="240" w:lineRule="auto"/>
        <w:contextualSpacing/>
        <w:jc w:val="both"/>
        <w:rPr>
          <w:rFonts w:ascii="Verdana" w:hAnsi="Verdana" w:cs="Arial"/>
          <w:b/>
          <w:bCs/>
        </w:rPr>
      </w:pPr>
      <w:r w:rsidRPr="00EE66CF">
        <w:rPr>
          <w:rFonts w:ascii="Verdana" w:hAnsi="Verdana" w:cs="Arial"/>
          <w:b/>
          <w:bCs/>
        </w:rPr>
        <w:t xml:space="preserve">REQUISITOS PONDERABLES – Asignación de puntaje </w:t>
      </w:r>
    </w:p>
    <w:p w14:paraId="1ECC18F6" w14:textId="77777777" w:rsidR="00BA6E6F" w:rsidRDefault="00BA6E6F" w:rsidP="00BA6E6F">
      <w:pPr>
        <w:spacing w:after="0" w:line="240" w:lineRule="auto"/>
        <w:contextualSpacing/>
        <w:jc w:val="both"/>
        <w:rPr>
          <w:rFonts w:ascii="Verdana" w:hAnsi="Verdana" w:cs="Arial"/>
          <w:b/>
          <w:bCs/>
        </w:rPr>
      </w:pPr>
    </w:p>
    <w:p w14:paraId="16E660F9" w14:textId="77777777" w:rsidR="00BA6E6F" w:rsidRPr="00C0768D" w:rsidRDefault="00BA6E6F" w:rsidP="00BA6E6F">
      <w:pPr>
        <w:spacing w:after="0" w:line="240" w:lineRule="auto"/>
        <w:contextualSpacing/>
        <w:jc w:val="both"/>
        <w:rPr>
          <w:rFonts w:ascii="Verdana" w:eastAsia="Calibri" w:hAnsi="Verdana" w:cs="Arial"/>
          <w:color w:val="000000" w:themeColor="text1"/>
          <w:sz w:val="20"/>
          <w:szCs w:val="20"/>
        </w:rPr>
      </w:pPr>
      <w:r w:rsidRPr="00C0768D">
        <w:rPr>
          <w:rFonts w:ascii="Verdana" w:eastAsia="Calibri" w:hAnsi="Verdana" w:cs="Arial"/>
          <w:color w:val="000000" w:themeColor="text1"/>
          <w:sz w:val="20"/>
          <w:szCs w:val="20"/>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1F22EE80" w14:textId="77777777" w:rsidR="00BA6E6F" w:rsidRPr="00C0768D" w:rsidRDefault="00BA6E6F" w:rsidP="00BA6E6F">
      <w:pPr>
        <w:spacing w:after="0" w:line="240" w:lineRule="auto"/>
        <w:contextualSpacing/>
        <w:jc w:val="both"/>
        <w:rPr>
          <w:rFonts w:ascii="Verdana" w:eastAsia="Calibri" w:hAnsi="Verdana" w:cs="Arial"/>
          <w:color w:val="000000" w:themeColor="text1"/>
          <w:sz w:val="20"/>
          <w:szCs w:val="20"/>
        </w:rPr>
      </w:pPr>
    </w:p>
    <w:p w14:paraId="1A246744" w14:textId="77777777" w:rsidR="00BA6E6F" w:rsidRPr="00C0768D" w:rsidRDefault="00BA6E6F" w:rsidP="00BA6E6F">
      <w:pPr>
        <w:spacing w:after="0" w:line="240" w:lineRule="auto"/>
        <w:contextualSpacing/>
        <w:jc w:val="both"/>
        <w:rPr>
          <w:rFonts w:ascii="Verdana" w:eastAsia="Calibri" w:hAnsi="Verdana" w:cs="Arial"/>
          <w:color w:val="000000" w:themeColor="text1"/>
          <w:sz w:val="20"/>
          <w:szCs w:val="20"/>
        </w:rPr>
      </w:pPr>
      <w:r w:rsidRPr="00C0768D">
        <w:rPr>
          <w:rFonts w:ascii="Verdana" w:eastAsia="Calibri" w:hAnsi="Verdana" w:cs="Arial"/>
          <w:color w:val="000000" w:themeColor="text1"/>
          <w:sz w:val="20"/>
          <w:szCs w:val="20"/>
        </w:rPr>
        <w:t xml:space="preserve">En ese sentido, la asignación de puntaje es un mecanismo mediante el cual las entidades ponderan los factores de calificación </w:t>
      </w:r>
      <w:r w:rsidRPr="00C0768D">
        <w:rPr>
          <w:rFonts w:ascii="Arial" w:eastAsia="Calibri" w:hAnsi="Arial" w:cs="Arial"/>
          <w:color w:val="000000" w:themeColor="text1"/>
          <w:sz w:val="20"/>
          <w:szCs w:val="20"/>
        </w:rPr>
        <w:t>ꟷ</w:t>
      </w:r>
      <w:r w:rsidRPr="00C0768D">
        <w:rPr>
          <w:rFonts w:ascii="Verdana" w:eastAsia="Calibri" w:hAnsi="Verdana" w:cs="Arial"/>
          <w:color w:val="000000" w:themeColor="text1"/>
          <w:sz w:val="20"/>
          <w:szCs w:val="20"/>
        </w:rPr>
        <w:t>v.g. técnicos, de calidad y precio, etc.</w:t>
      </w:r>
      <w:r w:rsidRPr="00C0768D">
        <w:rPr>
          <w:rFonts w:ascii="Arial" w:eastAsia="Calibri" w:hAnsi="Arial" w:cs="Arial"/>
          <w:color w:val="000000" w:themeColor="text1"/>
          <w:sz w:val="20"/>
          <w:szCs w:val="20"/>
        </w:rPr>
        <w:t>ꟷ</w:t>
      </w:r>
      <w:r w:rsidRPr="00C0768D">
        <w:rPr>
          <w:rFonts w:ascii="Verdana" w:eastAsia="Calibri" w:hAnsi="Verdana" w:cs="Arial"/>
          <w:color w:val="000000" w:themeColor="text1"/>
          <w:sz w:val="20"/>
          <w:szCs w:val="20"/>
        </w:rPr>
        <w:t xml:space="preserve"> en un determinado proceso de selecci</w:t>
      </w:r>
      <w:r w:rsidRPr="00C0768D">
        <w:rPr>
          <w:rFonts w:ascii="Verdana" w:eastAsia="Calibri" w:hAnsi="Verdana" w:cs="Verdana"/>
          <w:color w:val="000000" w:themeColor="text1"/>
          <w:sz w:val="20"/>
          <w:szCs w:val="20"/>
        </w:rPr>
        <w:t>ó</w:t>
      </w:r>
      <w:r w:rsidRPr="00C0768D">
        <w:rPr>
          <w:rFonts w:ascii="Verdana" w:eastAsia="Calibri" w:hAnsi="Verdana" w:cs="Arial"/>
          <w:color w:val="000000" w:themeColor="text1"/>
          <w:sz w:val="20"/>
          <w:szCs w:val="20"/>
        </w:rPr>
        <w:t>n, como se desprende del literal a) del numeral segundo del art</w:t>
      </w:r>
      <w:r w:rsidRPr="00C0768D">
        <w:rPr>
          <w:rFonts w:ascii="Verdana" w:eastAsia="Calibri" w:hAnsi="Verdana" w:cs="Verdana"/>
          <w:color w:val="000000" w:themeColor="text1"/>
          <w:sz w:val="20"/>
          <w:szCs w:val="20"/>
        </w:rPr>
        <w:t>í</w:t>
      </w:r>
      <w:r w:rsidRPr="00C0768D">
        <w:rPr>
          <w:rFonts w:ascii="Verdana" w:eastAsia="Calibri" w:hAnsi="Verdana" w:cs="Arial"/>
          <w:color w:val="000000" w:themeColor="text1"/>
          <w:sz w:val="20"/>
          <w:szCs w:val="20"/>
        </w:rPr>
        <w:t>culo 5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r>
        <w:rPr>
          <w:rFonts w:ascii="Verdana" w:eastAsia="Calibri" w:hAnsi="Verdana" w:cs="Arial"/>
          <w:color w:val="000000" w:themeColor="text1"/>
          <w:sz w:val="20"/>
          <w:szCs w:val="20"/>
        </w:rPr>
        <w:t>.</w:t>
      </w:r>
    </w:p>
    <w:p w14:paraId="019A491D" w14:textId="77777777" w:rsidR="00BA6E6F" w:rsidRPr="0039102F" w:rsidRDefault="00BA6E6F" w:rsidP="00BA6E6F">
      <w:pPr>
        <w:spacing w:after="0" w:line="240" w:lineRule="auto"/>
        <w:contextualSpacing/>
        <w:jc w:val="both"/>
        <w:rPr>
          <w:rFonts w:ascii="Verdana" w:eastAsia="Calibri" w:hAnsi="Verdana" w:cs="Arial"/>
          <w:color w:val="000000" w:themeColor="text1"/>
          <w:sz w:val="20"/>
          <w:szCs w:val="20"/>
        </w:rPr>
      </w:pPr>
    </w:p>
    <w:p w14:paraId="16F393DC" w14:textId="77777777" w:rsidR="00BA6E6F" w:rsidRPr="00B110BD" w:rsidRDefault="00BA6E6F" w:rsidP="00BA6E6F">
      <w:pPr>
        <w:spacing w:after="0" w:line="240" w:lineRule="auto"/>
        <w:contextualSpacing/>
        <w:jc w:val="both"/>
        <w:rPr>
          <w:rFonts w:ascii="Verdana" w:hAnsi="Verdana" w:cs="Arial"/>
          <w:b/>
          <w:bCs/>
        </w:rPr>
      </w:pPr>
      <w:r w:rsidRPr="00B110BD">
        <w:rPr>
          <w:rFonts w:ascii="Verdana" w:hAnsi="Verdana" w:cs="Arial"/>
          <w:b/>
          <w:bCs/>
        </w:rPr>
        <w:t>CLASIFICADOR DE BIENES Y SERVICIOS – Códigos UNSPSC – Clasificación de experiencia – Requisitos habilitantes – Pliego de condiciones</w:t>
      </w:r>
    </w:p>
    <w:p w14:paraId="197C2CDA" w14:textId="77777777" w:rsidR="00BA6E6F" w:rsidRPr="00FA1604" w:rsidRDefault="00BA6E6F" w:rsidP="00BA6E6F">
      <w:pPr>
        <w:spacing w:after="0" w:line="240" w:lineRule="auto"/>
        <w:jc w:val="both"/>
        <w:rPr>
          <w:rFonts w:ascii="Arial" w:eastAsia="Times New Roman" w:hAnsi="Arial" w:cs="Arial"/>
          <w:b/>
          <w:bCs/>
          <w:sz w:val="21"/>
          <w:szCs w:val="21"/>
          <w:lang w:eastAsia="es-ES"/>
        </w:rPr>
      </w:pPr>
    </w:p>
    <w:p w14:paraId="4BD16293" w14:textId="77777777" w:rsidR="00BA6E6F" w:rsidRPr="00DF4170" w:rsidRDefault="00BA6E6F" w:rsidP="00BA6E6F">
      <w:pPr>
        <w:spacing w:after="0" w:line="240" w:lineRule="auto"/>
        <w:jc w:val="both"/>
        <w:rPr>
          <w:rFonts w:ascii="Arial" w:hAnsi="Arial" w:cs="Arial"/>
          <w:color w:val="000000" w:themeColor="text1"/>
          <w:sz w:val="20"/>
          <w:szCs w:val="20"/>
        </w:rPr>
      </w:pPr>
      <w:r w:rsidRPr="00DF4170">
        <w:rPr>
          <w:rFonts w:ascii="Arial" w:hAnsi="Arial" w:cs="Arial"/>
          <w:color w:val="000000" w:themeColor="text1"/>
          <w:sz w:val="20"/>
          <w:szCs w:val="20"/>
        </w:rPr>
        <w:t xml:space="preserve">[…] la </w:t>
      </w:r>
      <w:r>
        <w:rPr>
          <w:rFonts w:ascii="Arial" w:hAnsi="Arial" w:cs="Arial"/>
          <w:color w:val="000000" w:themeColor="text1"/>
          <w:sz w:val="20"/>
          <w:szCs w:val="20"/>
        </w:rPr>
        <w:t>“</w:t>
      </w:r>
      <w:r w:rsidRPr="00DF4170">
        <w:rPr>
          <w:rFonts w:ascii="Arial" w:hAnsi="Arial" w:cs="Arial"/>
          <w:color w:val="000000" w:themeColor="text1"/>
          <w:sz w:val="20"/>
          <w:szCs w:val="20"/>
        </w:rPr>
        <w:t>clasificación del proponente</w:t>
      </w:r>
      <w:r>
        <w:rPr>
          <w:rFonts w:ascii="Arial" w:hAnsi="Arial" w:cs="Arial"/>
          <w:color w:val="000000" w:themeColor="text1"/>
          <w:sz w:val="20"/>
          <w:szCs w:val="20"/>
        </w:rPr>
        <w:t>”</w:t>
      </w:r>
      <w:r w:rsidRPr="00DF4170">
        <w:rPr>
          <w:rFonts w:ascii="Arial" w:hAnsi="Arial" w:cs="Arial"/>
          <w:color w:val="000000" w:themeColor="text1"/>
          <w:sz w:val="20"/>
          <w:szCs w:val="20"/>
        </w:rPr>
        <w:t xml:space="preserve">, que corresponde a los listados señalados en los numerales 1.1. y 2.1. del artículo 2.2.1.1.1.5.2. del Decreto 1082 de 2015, no condiciona la capacidad ―jurídica, ni </w:t>
      </w:r>
      <w:r w:rsidRPr="00DF4170">
        <w:rPr>
          <w:rFonts w:ascii="Arial" w:hAnsi="Arial" w:cs="Arial"/>
          <w:color w:val="000000" w:themeColor="text1"/>
          <w:sz w:val="20"/>
          <w:szCs w:val="20"/>
        </w:rPr>
        <w:lastRenderedPageBreak/>
        <w:t>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 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w:t>
      </w:r>
    </w:p>
    <w:p w14:paraId="3ABF8C83" w14:textId="77777777" w:rsidR="00BA6E6F" w:rsidRPr="0039102F" w:rsidRDefault="00BA6E6F" w:rsidP="00BA6E6F">
      <w:pPr>
        <w:spacing w:after="0" w:line="240" w:lineRule="auto"/>
        <w:jc w:val="both"/>
        <w:rPr>
          <w:rFonts w:ascii="Verdana" w:eastAsia="Calibri" w:hAnsi="Verdana" w:cs="Arial"/>
          <w:color w:val="000000" w:themeColor="text1"/>
          <w:sz w:val="20"/>
          <w:szCs w:val="20"/>
        </w:rPr>
      </w:pPr>
    </w:p>
    <w:p w14:paraId="617E5D59" w14:textId="77777777" w:rsidR="00BA6E6F" w:rsidRPr="006B2AF1" w:rsidRDefault="00BA6E6F" w:rsidP="00BA6E6F">
      <w:pPr>
        <w:spacing w:after="0" w:line="240" w:lineRule="auto"/>
        <w:contextualSpacing/>
        <w:jc w:val="both"/>
        <w:textAlignment w:val="baseline"/>
        <w:rPr>
          <w:rFonts w:ascii="Verdana" w:eastAsia="Times New Roman" w:hAnsi="Verdana" w:cs="Arial"/>
          <w:lang w:eastAsia="es-CO"/>
        </w:rPr>
      </w:pPr>
      <w:r w:rsidRPr="006B2AF1">
        <w:rPr>
          <w:rFonts w:ascii="Verdana" w:eastAsia="Times New Roman" w:hAnsi="Verdana" w:cs="Arial"/>
          <w:b/>
          <w:bCs/>
          <w:lang w:val="es-MX" w:eastAsia="es-CO"/>
        </w:rPr>
        <w:t>SELECCIÓN ABREVIADA– Modalidad de selección – Naturaleza </w:t>
      </w:r>
      <w:r w:rsidRPr="006B2AF1">
        <w:rPr>
          <w:rFonts w:ascii="Verdana" w:eastAsia="Times New Roman" w:hAnsi="Verdana" w:cs="Arial"/>
          <w:lang w:eastAsia="es-CO"/>
        </w:rPr>
        <w:t> </w:t>
      </w:r>
    </w:p>
    <w:p w14:paraId="47CFFE6A" w14:textId="77777777" w:rsidR="00BA6E6F" w:rsidRPr="006B2AF1" w:rsidRDefault="00BA6E6F" w:rsidP="00BA6E6F">
      <w:pPr>
        <w:spacing w:after="0" w:line="240" w:lineRule="auto"/>
        <w:contextualSpacing/>
        <w:jc w:val="both"/>
        <w:textAlignment w:val="baseline"/>
        <w:rPr>
          <w:rFonts w:ascii="Verdana" w:eastAsia="Times New Roman" w:hAnsi="Verdana" w:cs="Arial"/>
          <w:lang w:eastAsia="es-CO"/>
        </w:rPr>
      </w:pPr>
    </w:p>
    <w:p w14:paraId="1160159B" w14:textId="77777777" w:rsidR="00BA6E6F" w:rsidRPr="005254DD" w:rsidRDefault="00BA6E6F" w:rsidP="00BA6E6F">
      <w:pPr>
        <w:spacing w:after="0" w:line="240" w:lineRule="auto"/>
        <w:contextualSpacing/>
        <w:jc w:val="both"/>
        <w:textAlignment w:val="baseline"/>
        <w:rPr>
          <w:rFonts w:ascii="Verdana" w:eastAsia="Times New Roman" w:hAnsi="Verdana" w:cs="Arial"/>
          <w:sz w:val="20"/>
          <w:szCs w:val="20"/>
          <w:shd w:val="clear" w:color="auto" w:fill="FFFFFF"/>
          <w:lang w:eastAsia="es-CO"/>
        </w:rPr>
      </w:pPr>
      <w:r w:rsidRPr="005254DD">
        <w:rPr>
          <w:rFonts w:ascii="Verdana" w:eastAsia="Times New Roman" w:hAnsi="Verdana" w:cs="Arial"/>
          <w:sz w:val="20"/>
          <w:szCs w:val="20"/>
          <w:lang w:val="es-MX" w:eastAsia="es-CO"/>
        </w:rPr>
        <w:t xml:space="preserve">[…] </w:t>
      </w:r>
      <w:r w:rsidRPr="005254DD">
        <w:rPr>
          <w:rFonts w:ascii="Verdana" w:eastAsia="Times New Roman" w:hAnsi="Verdana" w:cs="Arial"/>
          <w:sz w:val="20"/>
          <w:szCs w:val="20"/>
          <w:shd w:val="clear" w:color="auto" w:fill="FFFFFF"/>
          <w:lang w:eastAsia="es-CO"/>
        </w:rPr>
        <w:t xml:space="preserve">Nótese que, de la transcripción literal de la norma, el legislador divide de forma disyuntiva los supuestos bajo los cuales se configura la eventual utilización de esta modalidad de selección, bien sea </w:t>
      </w:r>
      <w:r w:rsidRPr="005254DD">
        <w:rPr>
          <w:rFonts w:ascii="Verdana" w:eastAsia="Times New Roman" w:hAnsi="Verdana" w:cs="Arial"/>
          <w:sz w:val="20"/>
          <w:szCs w:val="20"/>
          <w:lang w:eastAsia="es-CO"/>
        </w:rPr>
        <w:t>por las características del objeto a contratar, las circunstancias de la contratación o la cuantía o destinación del bien, obra o servicio.</w:t>
      </w:r>
      <w:r w:rsidRPr="005254DD">
        <w:rPr>
          <w:rFonts w:ascii="Verdana" w:eastAsia="Times New Roman" w:hAnsi="Verdana" w:cs="Arial"/>
          <w:sz w:val="20"/>
          <w:szCs w:val="20"/>
          <w:shd w:val="clear" w:color="auto" w:fill="FFFFFF"/>
          <w:lang w:eastAsia="es-CO"/>
        </w:rPr>
        <w:t xml:space="preserve"> En ese orden de ideas, esta modalidad de selección procede por las causales previstas en la ley, las cuales determinan, entre otras cosas, los criterios a tener en cuenta para la escogencia del contratista que proveerá el bien o servicio, además de sus respectivas reglas para llevar a cabo el proceso de selección bajo la modalidad estudiada, siendo una de ellas, pero no la única, el valor presupuestado como precio del contrato. </w:t>
      </w:r>
    </w:p>
    <w:p w14:paraId="2E29A0C5" w14:textId="77777777" w:rsidR="00BA6E6F" w:rsidRPr="005254DD" w:rsidRDefault="00BA6E6F" w:rsidP="00BA6E6F">
      <w:pPr>
        <w:spacing w:after="0" w:line="240" w:lineRule="auto"/>
        <w:contextualSpacing/>
        <w:jc w:val="both"/>
        <w:textAlignment w:val="baseline"/>
        <w:rPr>
          <w:rFonts w:ascii="Verdana" w:eastAsia="Calibri" w:hAnsi="Verdana" w:cs="Arial"/>
          <w:sz w:val="20"/>
          <w:szCs w:val="20"/>
        </w:rPr>
      </w:pPr>
    </w:p>
    <w:p w14:paraId="0E0967A8" w14:textId="77777777" w:rsidR="00BA6E6F" w:rsidRPr="005254DD" w:rsidRDefault="00BA6E6F" w:rsidP="00BA6E6F">
      <w:pPr>
        <w:spacing w:after="0" w:line="240" w:lineRule="auto"/>
        <w:contextualSpacing/>
        <w:jc w:val="both"/>
        <w:textAlignment w:val="baseline"/>
        <w:rPr>
          <w:rFonts w:ascii="Verdana" w:eastAsia="Calibri" w:hAnsi="Verdana" w:cs="Arial"/>
          <w:sz w:val="20"/>
          <w:szCs w:val="20"/>
        </w:rPr>
      </w:pPr>
      <w:r w:rsidRPr="005254DD">
        <w:rPr>
          <w:rFonts w:ascii="Verdana" w:eastAsia="Calibri" w:hAnsi="Verdana" w:cs="Arial"/>
          <w:sz w:val="20"/>
          <w:szCs w:val="20"/>
        </w:rPr>
        <w:t>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desataca la contratación de menor cuantía y la subasta inversa.</w:t>
      </w:r>
    </w:p>
    <w:p w14:paraId="19DA5374" w14:textId="77777777" w:rsidR="00BA6E6F" w:rsidRPr="006B2AF1" w:rsidRDefault="00BA6E6F" w:rsidP="00BA6E6F">
      <w:pPr>
        <w:spacing w:after="0" w:line="240" w:lineRule="auto"/>
        <w:contextualSpacing/>
        <w:jc w:val="both"/>
        <w:textAlignment w:val="baseline"/>
        <w:rPr>
          <w:rFonts w:ascii="Verdana" w:eastAsia="Times New Roman" w:hAnsi="Verdana" w:cs="Arial"/>
          <w:b/>
          <w:bCs/>
          <w:lang w:val="es-MX" w:eastAsia="es-CO"/>
        </w:rPr>
      </w:pPr>
    </w:p>
    <w:p w14:paraId="67C03E30" w14:textId="77777777" w:rsidR="00BA6E6F" w:rsidRPr="006B2AF1" w:rsidRDefault="00BA6E6F" w:rsidP="00BA6E6F">
      <w:pPr>
        <w:spacing w:after="0" w:line="240" w:lineRule="auto"/>
        <w:contextualSpacing/>
        <w:jc w:val="both"/>
        <w:textAlignment w:val="baseline"/>
        <w:rPr>
          <w:rFonts w:ascii="Verdana" w:eastAsia="Times New Roman" w:hAnsi="Verdana" w:cs="Arial"/>
          <w:lang w:eastAsia="es-CO"/>
        </w:rPr>
      </w:pPr>
      <w:r w:rsidRPr="006B2AF1">
        <w:rPr>
          <w:rFonts w:ascii="Verdana" w:eastAsia="Times New Roman" w:hAnsi="Verdana" w:cs="Arial"/>
          <w:b/>
          <w:bCs/>
          <w:lang w:val="es-MX" w:eastAsia="es-CO"/>
        </w:rPr>
        <w:t>SELECCIÓN ABREVIADA MENOR CUANTÍA – Modalidad de selección – Procedencia </w:t>
      </w:r>
      <w:r w:rsidRPr="006B2AF1">
        <w:rPr>
          <w:rFonts w:ascii="Verdana" w:eastAsia="Times New Roman" w:hAnsi="Verdana" w:cs="Arial"/>
          <w:lang w:eastAsia="es-CO"/>
        </w:rPr>
        <w:t> </w:t>
      </w:r>
    </w:p>
    <w:p w14:paraId="551EA85A" w14:textId="77777777" w:rsidR="00BA6E6F" w:rsidRPr="006B2AF1" w:rsidRDefault="00BA6E6F" w:rsidP="00BA6E6F">
      <w:pPr>
        <w:spacing w:after="0" w:line="240" w:lineRule="auto"/>
        <w:contextualSpacing/>
        <w:jc w:val="both"/>
        <w:rPr>
          <w:rFonts w:ascii="Verdana" w:eastAsia="Times New Roman" w:hAnsi="Verdana" w:cs="Arial"/>
          <w:lang w:val="es-MX" w:eastAsia="es-CO"/>
        </w:rPr>
      </w:pPr>
    </w:p>
    <w:p w14:paraId="142D7AA3" w14:textId="77777777" w:rsidR="00BA6E6F" w:rsidRPr="005254DD" w:rsidRDefault="00BA6E6F" w:rsidP="00BA6E6F">
      <w:pPr>
        <w:spacing w:after="0" w:line="240" w:lineRule="auto"/>
        <w:contextualSpacing/>
        <w:jc w:val="both"/>
        <w:rPr>
          <w:rFonts w:ascii="Verdana" w:eastAsia="Calibri" w:hAnsi="Verdana" w:cs="Arial"/>
          <w:sz w:val="20"/>
          <w:szCs w:val="20"/>
          <w:shd w:val="clear" w:color="auto" w:fill="FFFFFF"/>
        </w:rPr>
      </w:pPr>
      <w:r w:rsidRPr="005254DD">
        <w:rPr>
          <w:rFonts w:ascii="Verdana" w:eastAsia="Times New Roman" w:hAnsi="Verdana" w:cs="Arial"/>
          <w:sz w:val="20"/>
          <w:szCs w:val="20"/>
          <w:lang w:val="es-MX" w:eastAsia="es-CO"/>
        </w:rPr>
        <w:t xml:space="preserve">[…] </w:t>
      </w:r>
      <w:r w:rsidRPr="005254DD">
        <w:rPr>
          <w:rFonts w:ascii="Verdana" w:eastAsia="Calibri" w:hAnsi="Verdana" w:cs="Arial"/>
          <w:sz w:val="20"/>
          <w:szCs w:val="20"/>
          <w:shd w:val="clear" w:color="auto" w:fill="FFFFFF"/>
        </w:rPr>
        <w:t xml:space="preserve">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 ya que si se supera este tope corresponderá adelantar una licitación pública, siempre y cuando el único factor que pueda o deba tenerse en consideración es el valor estimado del contrato, esto es, sin considerar factores tales como la naturaleza de los productos, su destinación o características, por lo que  en cada contrato en específico se debe analizar la procedencia la causal o las causales, independientemente de que, en algunos casos, cualquiera de ellas remita al mismo procedimiento de selección. </w:t>
      </w:r>
    </w:p>
    <w:p w14:paraId="2FC66EF2" w14:textId="77777777" w:rsidR="00BA6E6F" w:rsidRPr="005254DD" w:rsidRDefault="00BA6E6F" w:rsidP="00BA6E6F">
      <w:pPr>
        <w:spacing w:after="0" w:line="240" w:lineRule="auto"/>
        <w:contextualSpacing/>
        <w:jc w:val="both"/>
        <w:rPr>
          <w:rFonts w:ascii="Verdana" w:eastAsia="Calibri" w:hAnsi="Verdana" w:cs="Arial"/>
          <w:sz w:val="20"/>
          <w:szCs w:val="20"/>
          <w:shd w:val="clear" w:color="auto" w:fill="FFFFFF"/>
        </w:rPr>
      </w:pPr>
    </w:p>
    <w:p w14:paraId="6A9B0870" w14:textId="77777777" w:rsidR="00BA6E6F" w:rsidRPr="006B2AF1" w:rsidRDefault="00BA6E6F" w:rsidP="00BA6E6F">
      <w:pPr>
        <w:spacing w:after="0" w:line="240" w:lineRule="auto"/>
        <w:contextualSpacing/>
        <w:jc w:val="both"/>
        <w:textAlignment w:val="baseline"/>
        <w:rPr>
          <w:rFonts w:ascii="Verdana" w:eastAsia="Times New Roman" w:hAnsi="Verdana" w:cs="Arial"/>
          <w:b/>
          <w:bCs/>
          <w:lang w:eastAsia="es-CO"/>
        </w:rPr>
      </w:pPr>
      <w:r w:rsidRPr="006B2AF1">
        <w:rPr>
          <w:rFonts w:ascii="Verdana" w:eastAsia="Times New Roman" w:hAnsi="Verdana" w:cs="Arial"/>
          <w:b/>
          <w:bCs/>
          <w:lang w:val="es-MX" w:eastAsia="es-CO"/>
        </w:rPr>
        <w:t>SELECCIÓN ABREVIADA SUBASTA INVERSA – Modalidad de selección – Finalidad – Articulo 2 Numeral 2 de la Ley 1150 de 2007 </w:t>
      </w:r>
      <w:r w:rsidRPr="006B2AF1">
        <w:rPr>
          <w:rFonts w:ascii="Verdana" w:eastAsia="Times New Roman" w:hAnsi="Verdana" w:cs="Arial"/>
          <w:b/>
          <w:bCs/>
          <w:lang w:eastAsia="es-CO"/>
        </w:rPr>
        <w:t> </w:t>
      </w:r>
    </w:p>
    <w:p w14:paraId="589F9850" w14:textId="77777777" w:rsidR="00BA6E6F" w:rsidRPr="006B2AF1" w:rsidRDefault="00BA6E6F" w:rsidP="00BA6E6F">
      <w:pPr>
        <w:spacing w:after="0" w:line="240" w:lineRule="auto"/>
        <w:contextualSpacing/>
        <w:jc w:val="both"/>
        <w:textAlignment w:val="baseline"/>
        <w:rPr>
          <w:rFonts w:ascii="Verdana" w:eastAsia="Times New Roman" w:hAnsi="Verdana" w:cs="Arial"/>
          <w:lang w:val="es-MX" w:eastAsia="es-CO"/>
        </w:rPr>
      </w:pPr>
    </w:p>
    <w:p w14:paraId="7DA316EA" w14:textId="77777777" w:rsidR="00BA6E6F" w:rsidRPr="005254DD" w:rsidRDefault="00BA6E6F" w:rsidP="00BA6E6F">
      <w:pPr>
        <w:spacing w:after="0" w:line="240" w:lineRule="auto"/>
        <w:contextualSpacing/>
        <w:jc w:val="both"/>
        <w:textAlignment w:val="baseline"/>
        <w:rPr>
          <w:rFonts w:ascii="Verdana" w:eastAsia="Times New Roman" w:hAnsi="Verdana" w:cs="Arial"/>
          <w:sz w:val="20"/>
          <w:szCs w:val="20"/>
          <w:lang w:val="es-MX" w:eastAsia="es-CO"/>
        </w:rPr>
      </w:pPr>
      <w:r w:rsidRPr="005254DD">
        <w:rPr>
          <w:rFonts w:ascii="Verdana" w:eastAsia="Times New Roman" w:hAnsi="Verdana" w:cs="Arial"/>
          <w:sz w:val="20"/>
          <w:szCs w:val="20"/>
          <w:lang w:val="es-MX" w:eastAsia="es-CO"/>
        </w:rPr>
        <w:t xml:space="preserve">La subasta inversa es un mecanismo que se concibió con la finalidad de introducir una metodología alternativa para el proceso de negociación y perfeccionamiento del contrato </w:t>
      </w:r>
      <w:r w:rsidRPr="005254DD">
        <w:rPr>
          <w:rFonts w:ascii="Verdana" w:eastAsia="Times New Roman" w:hAnsi="Verdana" w:cs="Arial"/>
          <w:sz w:val="20"/>
          <w:szCs w:val="20"/>
          <w:lang w:val="es-MX" w:eastAsia="es-CO"/>
        </w:rPr>
        <w:lastRenderedPageBreak/>
        <w:t xml:space="preserve">estatal. Su regulación se encuentra en el artículo 2 de la Ley 1150 de 2007, disposición en la cual se señala que procede para los procesos de selección abreviada que tienen por finalidad la adquisición de bienes y servicios de características técnicas uniformes y de común utilización y en los procesos de enajenación de bienes del Estado. </w:t>
      </w:r>
    </w:p>
    <w:p w14:paraId="74B317C0" w14:textId="77777777" w:rsidR="00BA6E6F" w:rsidRPr="00512DE4" w:rsidRDefault="00BA6E6F" w:rsidP="00BA6E6F">
      <w:pPr>
        <w:spacing w:after="0" w:line="240" w:lineRule="auto"/>
        <w:jc w:val="both"/>
        <w:rPr>
          <w:rFonts w:ascii="Arial" w:eastAsia="Calibri" w:hAnsi="Arial" w:cs="Arial"/>
          <w:color w:val="000000" w:themeColor="text1"/>
          <w:sz w:val="20"/>
          <w:szCs w:val="20"/>
          <w:lang w:val="es-MX"/>
        </w:rPr>
      </w:pPr>
    </w:p>
    <w:p w14:paraId="15A30DA0" w14:textId="77777777" w:rsidR="00BA6E6F" w:rsidRDefault="00BA6E6F" w:rsidP="00BA6E6F">
      <w:pPr>
        <w:spacing w:after="0"/>
        <w:rPr>
          <w:rFonts w:ascii="Verdana" w:eastAsia="Times New Roman" w:hAnsi="Verdana" w:cs="Arial"/>
          <w:b/>
          <w:bCs/>
          <w:lang w:eastAsia="es-ES"/>
        </w:rPr>
      </w:pPr>
      <w:r w:rsidRPr="002032D1">
        <w:rPr>
          <w:rFonts w:ascii="Verdana" w:eastAsia="Times New Roman" w:hAnsi="Verdana" w:cs="Arial"/>
          <w:b/>
          <w:bCs/>
          <w:lang w:eastAsia="es-ES"/>
        </w:rPr>
        <w:t>ESTUDIOS DEL SECTOR - Análisis de la Oferta</w:t>
      </w:r>
    </w:p>
    <w:p w14:paraId="2B4E63C1" w14:textId="77777777" w:rsidR="00BA6E6F" w:rsidRPr="002032D1" w:rsidRDefault="00BA6E6F" w:rsidP="00BA6E6F">
      <w:pPr>
        <w:spacing w:after="0"/>
        <w:rPr>
          <w:rFonts w:ascii="Verdana" w:eastAsia="Times New Roman" w:hAnsi="Verdana" w:cs="Arial"/>
          <w:b/>
          <w:bCs/>
          <w:lang w:eastAsia="es-ES"/>
        </w:rPr>
      </w:pPr>
    </w:p>
    <w:p w14:paraId="7955B887" w14:textId="77777777" w:rsidR="00BA6E6F" w:rsidRDefault="00BA6E6F" w:rsidP="00BA6E6F">
      <w:pPr>
        <w:spacing w:after="0" w:line="240" w:lineRule="auto"/>
        <w:jc w:val="both"/>
        <w:rPr>
          <w:rFonts w:ascii="Verdana" w:hAnsi="Verdana"/>
          <w:sz w:val="20"/>
          <w:szCs w:val="20"/>
        </w:rPr>
      </w:pPr>
      <w:r>
        <w:rPr>
          <w:rFonts w:ascii="Verdana" w:hAnsi="Verdana"/>
          <w:sz w:val="20"/>
          <w:szCs w:val="20"/>
        </w:rPr>
        <w:t xml:space="preserve">[…] </w:t>
      </w:r>
      <w:r w:rsidRPr="002032D1">
        <w:rPr>
          <w:rFonts w:ascii="Verdana" w:hAnsi="Verdana"/>
          <w:sz w:val="20"/>
          <w:szCs w:val="20"/>
        </w:rPr>
        <w:t>mediante el cual se obtendrán los insumos que se reflejarán en los documentos de los estudios previos. De igual forma, en este análisis, la entidad presenta el contexto del mercado para definir los requisitos habilitantes aplicables al proceso y establece la forma de evaluar las ofertas e identifica algunos riesgos.</w:t>
      </w:r>
    </w:p>
    <w:p w14:paraId="689515F1" w14:textId="77777777" w:rsidR="00BA6E6F" w:rsidRDefault="00BA6E6F" w:rsidP="00BA6E6F">
      <w:pPr>
        <w:spacing w:after="0"/>
        <w:jc w:val="both"/>
        <w:rPr>
          <w:rFonts w:ascii="Verdana" w:hAnsi="Verdana"/>
          <w:sz w:val="20"/>
          <w:szCs w:val="20"/>
        </w:rPr>
      </w:pPr>
    </w:p>
    <w:p w14:paraId="3A77A4FA" w14:textId="77777777" w:rsidR="00BA6E6F" w:rsidRDefault="00BA6E6F" w:rsidP="00BA6E6F">
      <w:pPr>
        <w:spacing w:after="0"/>
        <w:jc w:val="both"/>
        <w:rPr>
          <w:rFonts w:ascii="Verdana" w:eastAsia="Times New Roman" w:hAnsi="Verdana" w:cs="Arial"/>
          <w:b/>
          <w:bCs/>
          <w:lang w:eastAsia="es-ES"/>
        </w:rPr>
      </w:pPr>
      <w:r w:rsidRPr="002032D1">
        <w:rPr>
          <w:rFonts w:ascii="Verdana" w:eastAsia="Times New Roman" w:hAnsi="Verdana" w:cs="Arial"/>
          <w:b/>
          <w:bCs/>
          <w:lang w:eastAsia="es-ES"/>
        </w:rPr>
        <w:t>GUÍA DE ELABORACIÓN DE ESTUDIOS DEL SECTOR – Perfilamiento del mercado</w:t>
      </w:r>
    </w:p>
    <w:p w14:paraId="1B00F047" w14:textId="77777777" w:rsidR="00BA6E6F" w:rsidRPr="002032D1" w:rsidRDefault="00BA6E6F" w:rsidP="00BA6E6F">
      <w:pPr>
        <w:spacing w:after="0"/>
        <w:jc w:val="both"/>
        <w:rPr>
          <w:rFonts w:ascii="Verdana" w:eastAsia="Times New Roman" w:hAnsi="Verdana" w:cs="Arial"/>
          <w:b/>
          <w:bCs/>
          <w:lang w:eastAsia="es-ES"/>
        </w:rPr>
      </w:pPr>
    </w:p>
    <w:p w14:paraId="0E0E8506" w14:textId="77777777" w:rsidR="00BA6E6F" w:rsidRPr="002032D1" w:rsidRDefault="00BA6E6F" w:rsidP="00BA6E6F">
      <w:pPr>
        <w:spacing w:after="0" w:line="240" w:lineRule="auto"/>
        <w:jc w:val="both"/>
        <w:rPr>
          <w:rFonts w:ascii="Verdana" w:hAnsi="Verdana"/>
          <w:sz w:val="20"/>
          <w:szCs w:val="20"/>
        </w:rPr>
      </w:pPr>
      <w:r>
        <w:rPr>
          <w:rFonts w:ascii="Verdana" w:hAnsi="Verdana"/>
          <w:sz w:val="20"/>
          <w:szCs w:val="20"/>
        </w:rPr>
        <w:t xml:space="preserve">[…] </w:t>
      </w:r>
      <w:r w:rsidRPr="002032D1">
        <w:rPr>
          <w:rFonts w:ascii="Verdana" w:hAnsi="Verdana"/>
          <w:sz w:val="20"/>
          <w:szCs w:val="20"/>
        </w:rPr>
        <w:t>no existe una única manera de estructurar el perfil del mercado, en razón a que cada uno tiene sus propias características y cuenta con variadas fuentes de información. En consecuencia, existen mercados más complejos para su perfilación, en la medida en que puede ocurrir que exista escasez en las fuentes de información, en comparación con otros que son más abiertos al acceso a la información. Lo que sí resulta de vital importancia es que las fuentes que adopten las entidades estatales sean fuentes confiables, de calidad y preferiblemente actualizadas, para que así se logre un panorama real del contexto del mercado.</w:t>
      </w:r>
    </w:p>
    <w:p w14:paraId="5E11F79E" w14:textId="77777777" w:rsidR="00BA6E6F" w:rsidRDefault="00BA6E6F" w:rsidP="00BA6E6F">
      <w:pPr>
        <w:spacing w:after="0" w:line="240" w:lineRule="auto"/>
        <w:rPr>
          <w:rFonts w:ascii="Verdana" w:eastAsia="Geomanist Light" w:hAnsi="Verdana" w:cs="Arial"/>
          <w:color w:val="000000" w:themeColor="text1"/>
          <w:lang w:val="es-MX"/>
        </w:rPr>
      </w:pPr>
    </w:p>
    <w:p w14:paraId="72554A54" w14:textId="77777777" w:rsidR="00BA6E6F" w:rsidRPr="00891BF0" w:rsidRDefault="00BA6E6F" w:rsidP="00BA6E6F">
      <w:pPr>
        <w:spacing w:after="0" w:line="240" w:lineRule="auto"/>
        <w:jc w:val="both"/>
        <w:rPr>
          <w:rFonts w:ascii="Verdana" w:hAnsi="Verdana"/>
          <w:b/>
          <w:bCs/>
        </w:rPr>
      </w:pPr>
      <w:r w:rsidRPr="00891BF0">
        <w:rPr>
          <w:rFonts w:ascii="Verdana" w:hAnsi="Verdana"/>
          <w:b/>
          <w:bCs/>
        </w:rPr>
        <w:t xml:space="preserve">SUBSANABILIDAD – </w:t>
      </w:r>
      <w:r>
        <w:rPr>
          <w:rFonts w:ascii="Verdana" w:hAnsi="Verdana"/>
          <w:b/>
          <w:bCs/>
        </w:rPr>
        <w:t>M</w:t>
      </w:r>
      <w:r w:rsidRPr="00891BF0">
        <w:rPr>
          <w:rFonts w:ascii="Verdana" w:hAnsi="Verdana"/>
          <w:b/>
          <w:bCs/>
        </w:rPr>
        <w:t xml:space="preserve">ínima cuantía – </w:t>
      </w:r>
      <w:r>
        <w:rPr>
          <w:rFonts w:ascii="Verdana" w:hAnsi="Verdana"/>
          <w:b/>
          <w:bCs/>
        </w:rPr>
        <w:t>A</w:t>
      </w:r>
      <w:r w:rsidRPr="00891BF0">
        <w:rPr>
          <w:rFonts w:ascii="Verdana" w:hAnsi="Verdana"/>
          <w:b/>
          <w:bCs/>
        </w:rPr>
        <w:t>nálisis caso concreto</w:t>
      </w:r>
    </w:p>
    <w:p w14:paraId="4D1161DD" w14:textId="77777777" w:rsidR="00BA6E6F" w:rsidRDefault="00BA6E6F" w:rsidP="00BA6E6F">
      <w:pPr>
        <w:spacing w:after="0" w:line="240" w:lineRule="auto"/>
        <w:jc w:val="both"/>
        <w:rPr>
          <w:rFonts w:ascii="Verdana" w:hAnsi="Verdana"/>
          <w:sz w:val="20"/>
          <w:szCs w:val="20"/>
        </w:rPr>
      </w:pPr>
    </w:p>
    <w:p w14:paraId="2EE4441C" w14:textId="0A6D73BC" w:rsidR="00BA6E6F" w:rsidRPr="002032D1" w:rsidRDefault="00BA6E6F" w:rsidP="00BA6E6F">
      <w:pPr>
        <w:spacing w:after="0" w:line="240" w:lineRule="auto"/>
        <w:jc w:val="both"/>
        <w:rPr>
          <w:rFonts w:ascii="Verdana" w:hAnsi="Verdana"/>
          <w:sz w:val="20"/>
          <w:szCs w:val="20"/>
        </w:rPr>
      </w:pPr>
      <w:r>
        <w:rPr>
          <w:rFonts w:ascii="Verdana" w:hAnsi="Verdana"/>
          <w:sz w:val="20"/>
          <w:szCs w:val="20"/>
        </w:rPr>
        <w:t xml:space="preserve">[…] </w:t>
      </w:r>
      <w:r w:rsidRPr="002032D1">
        <w:rPr>
          <w:rFonts w:ascii="Verdana" w:hAnsi="Verdana"/>
          <w:sz w:val="20"/>
          <w:szCs w:val="20"/>
        </w:rPr>
        <w:t>los proponentes tienen la posibilidad de subsanar aquellos errores, inconsistencias u omisiones hasta el término de traslado del informe de evaluación que corresponda a cada modalidad de selección, donde una de las excepciones son justamente los procesos de mínima cuantía en los cuales la subsanabilidad procede durante el término preclusivo definido por la entidad estatal en la invitación o, en caso de que no se defina, hasta antes de que culmine el traslado del informe de evaluación</w:t>
      </w:r>
      <w:r w:rsidR="00D75935">
        <w:rPr>
          <w:rFonts w:ascii="Verdana" w:hAnsi="Verdana"/>
          <w:sz w:val="20"/>
          <w:szCs w:val="20"/>
        </w:rPr>
        <w:t>.</w:t>
      </w:r>
    </w:p>
    <w:p w14:paraId="0615C46F" w14:textId="77777777" w:rsidR="00BA6E6F" w:rsidRPr="009D3289" w:rsidRDefault="00BA6E6F" w:rsidP="00BA6E6F">
      <w:pPr>
        <w:spacing w:after="0" w:line="240" w:lineRule="auto"/>
        <w:rPr>
          <w:rFonts w:ascii="Verdana" w:eastAsia="Geomanist Light" w:hAnsi="Verdana" w:cs="Arial"/>
          <w:color w:val="000000" w:themeColor="text1"/>
        </w:rPr>
      </w:pPr>
    </w:p>
    <w:p w14:paraId="0C1D9D23" w14:textId="77777777" w:rsidR="00BA6E6F" w:rsidRDefault="00BA6E6F" w:rsidP="00BA6E6F">
      <w:pPr>
        <w:spacing w:after="0" w:line="240" w:lineRule="auto"/>
        <w:rPr>
          <w:rFonts w:ascii="Verdana" w:eastAsia="Geomanist Light" w:hAnsi="Verdana" w:cs="Arial"/>
          <w:color w:val="000000" w:themeColor="text1"/>
          <w:lang w:val="es-MX"/>
        </w:rPr>
      </w:pPr>
    </w:p>
    <w:p w14:paraId="6721EDC7" w14:textId="77777777" w:rsidR="00BA6E6F" w:rsidRDefault="00BA6E6F" w:rsidP="00BA6E6F">
      <w:pPr>
        <w:spacing w:after="0" w:line="240" w:lineRule="auto"/>
        <w:rPr>
          <w:rFonts w:ascii="Verdana" w:eastAsia="Geomanist Light" w:hAnsi="Verdana" w:cs="Arial"/>
          <w:color w:val="000000" w:themeColor="text1"/>
          <w:lang w:val="es-MX"/>
        </w:rPr>
      </w:pPr>
    </w:p>
    <w:p w14:paraId="1BABCFA0" w14:textId="77777777" w:rsidR="00BA6E6F" w:rsidRDefault="00BA6E6F" w:rsidP="00BA6E6F">
      <w:pPr>
        <w:spacing w:after="0" w:line="240" w:lineRule="auto"/>
        <w:rPr>
          <w:rFonts w:ascii="Verdana" w:eastAsia="Geomanist Light" w:hAnsi="Verdana" w:cs="Arial"/>
          <w:color w:val="000000" w:themeColor="text1"/>
          <w:lang w:val="es-MX"/>
        </w:rPr>
      </w:pPr>
    </w:p>
    <w:p w14:paraId="2948E8EB" w14:textId="77777777" w:rsidR="00BA6E6F" w:rsidRDefault="00BA6E6F" w:rsidP="00BA6E6F">
      <w:pPr>
        <w:spacing w:after="0" w:line="240" w:lineRule="auto"/>
        <w:rPr>
          <w:rFonts w:ascii="Verdana" w:eastAsia="Geomanist Light" w:hAnsi="Verdana" w:cs="Arial"/>
          <w:color w:val="000000" w:themeColor="text1"/>
          <w:lang w:val="es-MX"/>
        </w:rPr>
      </w:pPr>
    </w:p>
    <w:p w14:paraId="6D1C5742" w14:textId="77777777" w:rsidR="00BA6E6F" w:rsidRDefault="00BA6E6F" w:rsidP="00BA6E6F">
      <w:pPr>
        <w:spacing w:after="0" w:line="240" w:lineRule="auto"/>
        <w:rPr>
          <w:rFonts w:ascii="Verdana" w:eastAsia="Geomanist Light" w:hAnsi="Verdana" w:cs="Arial"/>
          <w:color w:val="000000" w:themeColor="text1"/>
          <w:lang w:val="es-MX"/>
        </w:rPr>
      </w:pPr>
    </w:p>
    <w:p w14:paraId="734C81A6" w14:textId="77777777" w:rsidR="00BA6E6F" w:rsidRDefault="00BA6E6F" w:rsidP="00BA6E6F">
      <w:pPr>
        <w:spacing w:after="0" w:line="240" w:lineRule="auto"/>
        <w:rPr>
          <w:rFonts w:ascii="Verdana" w:eastAsia="Geomanist Light" w:hAnsi="Verdana" w:cs="Arial"/>
          <w:color w:val="000000" w:themeColor="text1"/>
          <w:lang w:val="es-MX"/>
        </w:rPr>
      </w:pPr>
    </w:p>
    <w:p w14:paraId="5916B51D" w14:textId="77777777" w:rsidR="00BA6E6F" w:rsidRDefault="00BA6E6F" w:rsidP="00BA6E6F">
      <w:pPr>
        <w:spacing w:after="0" w:line="240" w:lineRule="auto"/>
        <w:rPr>
          <w:rFonts w:ascii="Verdana" w:eastAsia="Geomanist Light" w:hAnsi="Verdana" w:cs="Arial"/>
          <w:color w:val="000000" w:themeColor="text1"/>
          <w:lang w:val="es-MX"/>
        </w:rPr>
      </w:pPr>
    </w:p>
    <w:p w14:paraId="572F0475" w14:textId="77777777" w:rsidR="00BA6E6F" w:rsidRDefault="00BA6E6F" w:rsidP="00BA6E6F">
      <w:pPr>
        <w:spacing w:after="0" w:line="240" w:lineRule="auto"/>
        <w:rPr>
          <w:rFonts w:ascii="Verdana" w:eastAsia="Geomanist Light" w:hAnsi="Verdana" w:cs="Arial"/>
          <w:color w:val="000000" w:themeColor="text1"/>
          <w:lang w:val="es-MX"/>
        </w:rPr>
      </w:pPr>
    </w:p>
    <w:p w14:paraId="73F8B15C" w14:textId="77777777" w:rsidR="000A4363" w:rsidRDefault="000A4363" w:rsidP="00BA6E6F">
      <w:pPr>
        <w:spacing w:after="0" w:line="240" w:lineRule="auto"/>
        <w:rPr>
          <w:rFonts w:ascii="Verdana" w:eastAsia="Geomanist Light" w:hAnsi="Verdana" w:cs="Arial"/>
          <w:color w:val="000000" w:themeColor="text1"/>
          <w:lang w:val="es-MX"/>
        </w:rPr>
      </w:pPr>
    </w:p>
    <w:p w14:paraId="25470525" w14:textId="77777777" w:rsidR="000A4363" w:rsidRDefault="000A4363" w:rsidP="00BA6E6F">
      <w:pPr>
        <w:spacing w:after="0" w:line="240" w:lineRule="auto"/>
        <w:rPr>
          <w:rFonts w:ascii="Verdana" w:eastAsia="Geomanist Light" w:hAnsi="Verdana" w:cs="Arial"/>
          <w:color w:val="000000" w:themeColor="text1"/>
          <w:lang w:val="es-MX"/>
        </w:rPr>
      </w:pPr>
    </w:p>
    <w:p w14:paraId="1738BC5C" w14:textId="77777777" w:rsidR="000A4363" w:rsidRDefault="000A4363" w:rsidP="00BA6E6F">
      <w:pPr>
        <w:spacing w:after="0" w:line="240" w:lineRule="auto"/>
        <w:rPr>
          <w:rFonts w:ascii="Verdana" w:eastAsia="Geomanist Light" w:hAnsi="Verdana" w:cs="Arial"/>
          <w:color w:val="000000" w:themeColor="text1"/>
          <w:lang w:val="es-MX"/>
        </w:rPr>
      </w:pPr>
    </w:p>
    <w:p w14:paraId="4867E4DE" w14:textId="77777777" w:rsidR="000A4363" w:rsidRDefault="000A4363" w:rsidP="00BA6E6F">
      <w:pPr>
        <w:spacing w:after="0" w:line="240" w:lineRule="auto"/>
        <w:rPr>
          <w:rFonts w:ascii="Verdana" w:eastAsia="Geomanist Light" w:hAnsi="Verdana" w:cs="Arial"/>
          <w:color w:val="000000" w:themeColor="text1"/>
          <w:lang w:val="es-MX"/>
        </w:rPr>
      </w:pPr>
    </w:p>
    <w:p w14:paraId="7D0F2D82" w14:textId="77777777" w:rsidR="000A4363" w:rsidRDefault="000A4363" w:rsidP="00BA6E6F">
      <w:pPr>
        <w:spacing w:after="0" w:line="240" w:lineRule="auto"/>
        <w:rPr>
          <w:rFonts w:ascii="Verdana" w:eastAsia="Geomanist Light" w:hAnsi="Verdana" w:cs="Arial"/>
          <w:color w:val="000000" w:themeColor="text1"/>
          <w:lang w:val="es-MX"/>
        </w:rPr>
      </w:pPr>
    </w:p>
    <w:p w14:paraId="41CADE10" w14:textId="54C3F808" w:rsidR="00BA6E6F" w:rsidRPr="00593A5F" w:rsidRDefault="00BA6E6F" w:rsidP="00BA6E6F">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1EB5D253" w14:textId="77777777" w:rsidR="00BA6E6F" w:rsidRPr="00593A5F" w:rsidRDefault="00BA6E6F" w:rsidP="00BA6E6F">
      <w:pPr>
        <w:spacing w:after="0" w:line="240" w:lineRule="auto"/>
        <w:jc w:val="both"/>
        <w:rPr>
          <w:rFonts w:ascii="Verdana" w:eastAsia="Calibri" w:hAnsi="Verdana" w:cs="Arial"/>
          <w:color w:val="000000"/>
          <w:lang w:val="es-ES"/>
        </w:rPr>
      </w:pPr>
    </w:p>
    <w:p w14:paraId="40526AB5" w14:textId="69D06058" w:rsidR="00BA6E6F" w:rsidRDefault="003D03EB" w:rsidP="003D03EB">
      <w:pPr>
        <w:spacing w:after="0" w:line="240" w:lineRule="auto"/>
        <w:jc w:val="right"/>
        <w:rPr>
          <w:rFonts w:ascii="Verdana" w:eastAsia="Calibri" w:hAnsi="Verdana" w:cs="Arial"/>
          <w:lang w:val="es-ES" w:eastAsia="es-ES"/>
        </w:rPr>
      </w:pPr>
      <w:r>
        <w:rPr>
          <w:noProof/>
          <w14:ligatures w14:val="standardContextual"/>
        </w:rPr>
        <w:drawing>
          <wp:inline distT="0" distB="0" distL="0" distR="0" wp14:anchorId="7A0CF39F" wp14:editId="32CF1DFD">
            <wp:extent cx="4021080" cy="1177696"/>
            <wp:effectExtent l="0" t="0" r="0" b="3810"/>
            <wp:docPr id="555567875"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67875" name="Imagen 1" descr="Código QR&#10;&#10;Descripción generada automáticamente"/>
                    <pic:cNvPicPr/>
                  </pic:nvPicPr>
                  <pic:blipFill rotWithShape="1">
                    <a:blip r:embed="rId10"/>
                    <a:srcRect l="27834" t="46126" r="2839" b="17775"/>
                    <a:stretch/>
                  </pic:blipFill>
                  <pic:spPr bwMode="auto">
                    <a:xfrm>
                      <a:off x="0" y="0"/>
                      <a:ext cx="4033202" cy="1181246"/>
                    </a:xfrm>
                    <a:prstGeom prst="rect">
                      <a:avLst/>
                    </a:prstGeom>
                    <a:ln>
                      <a:noFill/>
                    </a:ln>
                    <a:extLst>
                      <a:ext uri="{53640926-AAD7-44D8-BBD7-CCE9431645EC}">
                        <a14:shadowObscured xmlns:a14="http://schemas.microsoft.com/office/drawing/2010/main"/>
                      </a:ext>
                    </a:extLst>
                  </pic:spPr>
                </pic:pic>
              </a:graphicData>
            </a:graphic>
          </wp:inline>
        </w:drawing>
      </w:r>
    </w:p>
    <w:p w14:paraId="34D47034" w14:textId="77777777" w:rsidR="00BA6E6F" w:rsidRDefault="00BA6E6F" w:rsidP="00BA6E6F">
      <w:pPr>
        <w:spacing w:after="0" w:line="240" w:lineRule="auto"/>
        <w:jc w:val="both"/>
        <w:rPr>
          <w:rFonts w:ascii="Verdana" w:eastAsia="Calibri" w:hAnsi="Verdana" w:cs="Arial"/>
          <w:lang w:val="es-ES" w:eastAsia="es-ES"/>
        </w:rPr>
      </w:pPr>
    </w:p>
    <w:p w14:paraId="54E15B8C" w14:textId="77777777" w:rsidR="00BA6E6F" w:rsidRPr="00B96799" w:rsidRDefault="00BA6E6F" w:rsidP="00BA6E6F">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6481EFD6" w14:textId="77777777" w:rsidR="00BA6E6F" w:rsidRDefault="00BA6E6F" w:rsidP="00BA6E6F">
      <w:pPr>
        <w:spacing w:after="0" w:line="240" w:lineRule="auto"/>
        <w:rPr>
          <w:rFonts w:ascii="Verdana" w:eastAsia="Calibri" w:hAnsi="Verdana" w:cs="Arial"/>
          <w:b/>
          <w:lang w:eastAsia="es-ES_tradnl"/>
        </w:rPr>
      </w:pPr>
      <w:r w:rsidRPr="00AB404F">
        <w:rPr>
          <w:rFonts w:ascii="Verdana" w:eastAsia="Calibri" w:hAnsi="Verdana" w:cs="Arial"/>
          <w:b/>
          <w:lang w:eastAsia="es-ES_tradnl"/>
        </w:rPr>
        <w:t>Manuel Alejandro González Delvasto</w:t>
      </w:r>
    </w:p>
    <w:p w14:paraId="67DAC6BF" w14:textId="77777777" w:rsidR="00BA6E6F" w:rsidRDefault="00000000" w:rsidP="00BA6E6F">
      <w:pPr>
        <w:spacing w:after="0" w:line="240" w:lineRule="auto"/>
        <w:rPr>
          <w:rFonts w:ascii="Verdana" w:eastAsia="Calibri" w:hAnsi="Verdana" w:cs="Arial"/>
          <w:u w:val="single"/>
          <w:lang w:val="es-ES" w:eastAsia="es-ES"/>
        </w:rPr>
      </w:pPr>
      <w:hyperlink r:id="rId11" w:history="1">
        <w:r w:rsidR="00BA6E6F" w:rsidRPr="008F55CF">
          <w:rPr>
            <w:rStyle w:val="Hipervnculo"/>
            <w:rFonts w:ascii="Verdana" w:eastAsia="Calibri" w:hAnsi="Verdana" w:cs="Arial"/>
            <w:lang w:val="es-ES" w:eastAsia="es-ES"/>
          </w:rPr>
          <w:t>alejandrogdelvasto@gmail.com</w:t>
        </w:r>
      </w:hyperlink>
    </w:p>
    <w:p w14:paraId="4F077DB4" w14:textId="77777777" w:rsidR="00BA6E6F" w:rsidRPr="00B96799" w:rsidRDefault="00BA6E6F" w:rsidP="00BA6E6F">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6D6E46F1" w14:textId="77777777" w:rsidR="00BA6E6F" w:rsidRPr="00593A5F" w:rsidRDefault="00BA6E6F" w:rsidP="00BA6E6F">
      <w:pPr>
        <w:spacing w:after="0" w:line="240" w:lineRule="auto"/>
        <w:rPr>
          <w:rFonts w:ascii="Verdana" w:eastAsia="Calibri" w:hAnsi="Verdana" w:cs="Arial"/>
          <w:b/>
          <w:bCs/>
          <w:color w:val="000000"/>
          <w:lang w:val="es-ES_tradnl" w:eastAsia="es-ES_tradnl"/>
        </w:rPr>
      </w:pPr>
    </w:p>
    <w:p w14:paraId="3AA4829D" w14:textId="77777777" w:rsidR="00BA6E6F" w:rsidRPr="00593A5F" w:rsidRDefault="00BA6E6F" w:rsidP="00BA6E6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A6E6F" w:rsidRPr="00593A5F" w14:paraId="208DEF86" w14:textId="77777777" w:rsidTr="00801FC1">
        <w:trPr>
          <w:trHeight w:val="378"/>
        </w:trPr>
        <w:tc>
          <w:tcPr>
            <w:tcW w:w="2689" w:type="dxa"/>
          </w:tcPr>
          <w:p w14:paraId="54338CA3" w14:textId="77777777" w:rsidR="00BA6E6F" w:rsidRPr="009B1797" w:rsidRDefault="00BA6E6F" w:rsidP="00801FC1">
            <w:pPr>
              <w:jc w:val="both"/>
              <w:rPr>
                <w:rFonts w:ascii="Verdana" w:eastAsia="Calibri" w:hAnsi="Verdana" w:cs="Arial"/>
                <w:b/>
                <w:bCs/>
                <w:color w:val="000000" w:themeColor="text1"/>
                <w:lang w:val="es-ES_tradnl" w:eastAsia="es-ES_tradnl"/>
              </w:rPr>
            </w:pPr>
            <w:r w:rsidRPr="009B1797">
              <w:rPr>
                <w:rFonts w:ascii="Verdana" w:eastAsia="Calibri" w:hAnsi="Verdana" w:cs="Arial"/>
                <w:b/>
                <w:bCs/>
                <w:color w:val="000000" w:themeColor="text1"/>
                <w:lang w:val="es-ES" w:eastAsia="es-ES"/>
              </w:rPr>
              <w:t>Concepto</w:t>
            </w:r>
            <w:r>
              <w:rPr>
                <w:rFonts w:ascii="Verdana" w:eastAsia="Calibri" w:hAnsi="Verdana" w:cs="Arial"/>
                <w:b/>
                <w:bCs/>
                <w:color w:val="000000" w:themeColor="text1"/>
                <w:lang w:val="es-ES" w:eastAsia="es-ES"/>
              </w:rPr>
              <w:t>:</w:t>
            </w:r>
          </w:p>
        </w:tc>
        <w:tc>
          <w:tcPr>
            <w:tcW w:w="6100" w:type="dxa"/>
          </w:tcPr>
          <w:p w14:paraId="58A72D9E" w14:textId="77777777" w:rsidR="00BA6E6F" w:rsidRPr="009B1797" w:rsidRDefault="00BA6E6F" w:rsidP="00801FC1">
            <w:pPr>
              <w:jc w:val="both"/>
              <w:rPr>
                <w:rFonts w:ascii="Verdana" w:eastAsia="Calibri" w:hAnsi="Verdana" w:cs="Arial"/>
                <w:b/>
                <w:bCs/>
                <w:color w:val="000000" w:themeColor="text1"/>
                <w:lang w:val="es-ES" w:eastAsia="es-ES"/>
              </w:rPr>
            </w:pPr>
            <w:r w:rsidRPr="009B1797">
              <w:rPr>
                <w:rFonts w:ascii="Verdana" w:eastAsia="Calibri" w:hAnsi="Verdana" w:cs="Arial"/>
                <w:b/>
                <w:bCs/>
                <w:color w:val="000000" w:themeColor="text1"/>
                <w:lang w:val="es-ES" w:eastAsia="es-ES"/>
              </w:rPr>
              <w:t>C- 201 de 2024</w:t>
            </w:r>
          </w:p>
        </w:tc>
      </w:tr>
      <w:tr w:rsidR="00BA6E6F" w:rsidRPr="00593A5F" w14:paraId="73AE1F34" w14:textId="77777777" w:rsidTr="00801FC1">
        <w:trPr>
          <w:trHeight w:val="884"/>
        </w:trPr>
        <w:tc>
          <w:tcPr>
            <w:tcW w:w="2689" w:type="dxa"/>
          </w:tcPr>
          <w:p w14:paraId="002ABB74" w14:textId="77777777" w:rsidR="00BA6E6F" w:rsidRPr="009B1797" w:rsidRDefault="00BA6E6F" w:rsidP="00801FC1">
            <w:pPr>
              <w:jc w:val="both"/>
              <w:rPr>
                <w:rFonts w:ascii="Verdana" w:eastAsia="Calibri" w:hAnsi="Verdana" w:cs="Arial"/>
                <w:color w:val="000000" w:themeColor="text1"/>
                <w:lang w:val="es-ES_tradnl" w:eastAsia="es-ES_tradnl"/>
              </w:rPr>
            </w:pPr>
            <w:r w:rsidRPr="009B1797">
              <w:rPr>
                <w:rFonts w:ascii="Verdana" w:eastAsia="Calibri" w:hAnsi="Verdana" w:cs="Arial"/>
                <w:b/>
                <w:color w:val="000000" w:themeColor="text1"/>
                <w:lang w:val="es-ES_tradnl" w:eastAsia="es-ES_tradnl"/>
              </w:rPr>
              <w:t>Temas:</w:t>
            </w:r>
            <w:r w:rsidRPr="009B1797">
              <w:rPr>
                <w:rFonts w:ascii="Verdana" w:eastAsia="Calibri" w:hAnsi="Verdana" w:cs="Arial"/>
                <w:color w:val="000000" w:themeColor="text1"/>
                <w:lang w:val="es-ES_tradnl" w:eastAsia="es-ES_tradnl"/>
              </w:rPr>
              <w:t xml:space="preserve">                   </w:t>
            </w:r>
          </w:p>
        </w:tc>
        <w:tc>
          <w:tcPr>
            <w:tcW w:w="6100" w:type="dxa"/>
          </w:tcPr>
          <w:p w14:paraId="02660778" w14:textId="77777777" w:rsidR="00BA6E6F" w:rsidRPr="00380DD3" w:rsidRDefault="00BA6E6F" w:rsidP="00801FC1">
            <w:pPr>
              <w:spacing w:line="276" w:lineRule="auto"/>
              <w:jc w:val="both"/>
              <w:rPr>
                <w:rFonts w:ascii="Verdana" w:eastAsia="Calibri" w:hAnsi="Verdana" w:cs="Arial"/>
                <w:color w:val="000000" w:themeColor="text1"/>
                <w:lang w:val="es-MX" w:eastAsia="es-ES"/>
              </w:rPr>
            </w:pPr>
            <w:r w:rsidRPr="00AD2128">
              <w:rPr>
                <w:rFonts w:ascii="Verdana" w:eastAsia="Calibri" w:hAnsi="Verdana" w:cs="Arial"/>
                <w:color w:val="000000" w:themeColor="text1"/>
                <w:lang w:val="es-ES" w:eastAsia="es-ES"/>
              </w:rPr>
              <w:t>CONVOCATORIAS LIMITADAS A MIPYMES – Limitación Territorial – Carácter discrecional /</w:t>
            </w:r>
            <w:r>
              <w:rPr>
                <w:rFonts w:ascii="Verdana" w:eastAsia="Calibri" w:hAnsi="Verdana" w:cs="Arial"/>
                <w:color w:val="000000" w:themeColor="text1"/>
                <w:lang w:val="es-ES" w:eastAsia="es-ES"/>
              </w:rPr>
              <w:t xml:space="preserve"> </w:t>
            </w:r>
            <w:r w:rsidRPr="00AB07C0">
              <w:rPr>
                <w:rFonts w:ascii="Verdana" w:eastAsia="Calibri" w:hAnsi="Verdana" w:cs="Arial"/>
                <w:color w:val="000000" w:themeColor="text1"/>
                <w:lang w:val="es-MX" w:eastAsia="es-ES"/>
              </w:rPr>
              <w:t>PRINCIPIO DE SELECCIÓN OBJETIVA – Alcance / REQUISITOS HABILITANTES – Concepto / EXPERIENCIA – Concepto</w:t>
            </w:r>
            <w:r w:rsidRPr="00AB07C0">
              <w:rPr>
                <w:rFonts w:ascii="Verdana" w:eastAsia="Calibri" w:hAnsi="Verdana" w:cs="Arial"/>
                <w:b/>
                <w:bCs/>
                <w:color w:val="000000" w:themeColor="text1"/>
                <w:lang w:eastAsia="es-ES"/>
              </w:rPr>
              <w:t xml:space="preserve"> </w:t>
            </w:r>
            <w:r w:rsidRPr="00AB07C0">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w:t>
            </w:r>
            <w:r w:rsidRPr="00380DD3">
              <w:rPr>
                <w:rFonts w:ascii="Verdana" w:eastAsia="Calibri" w:hAnsi="Verdana" w:cs="Arial"/>
                <w:color w:val="000000" w:themeColor="text1"/>
                <w:lang w:val="es-MX" w:eastAsia="es-ES"/>
              </w:rPr>
              <w:t xml:space="preserve">EXPERIENCIA – Proporcional y Adecuada / REQUISITOS PONDERABLES – Asignación de puntaje /  </w:t>
            </w:r>
          </w:p>
          <w:p w14:paraId="1F392E29" w14:textId="77777777" w:rsidR="00BA6E6F" w:rsidRPr="005B050C" w:rsidRDefault="00BA6E6F" w:rsidP="00801FC1">
            <w:pPr>
              <w:spacing w:line="276" w:lineRule="auto"/>
              <w:jc w:val="both"/>
              <w:rPr>
                <w:rFonts w:ascii="Verdana" w:eastAsia="Calibri" w:hAnsi="Verdana" w:cs="Arial"/>
                <w:color w:val="000000" w:themeColor="text1"/>
                <w:lang w:eastAsia="es-ES"/>
              </w:rPr>
            </w:pPr>
            <w:r w:rsidRPr="00380DD3">
              <w:rPr>
                <w:rFonts w:ascii="Verdana" w:eastAsia="Calibri" w:hAnsi="Verdana" w:cs="Arial"/>
                <w:color w:val="000000" w:themeColor="text1"/>
                <w:lang w:val="es-MX" w:eastAsia="es-ES"/>
              </w:rPr>
              <w:t xml:space="preserve">CLASIFICADOR DE BIENES Y SERVICIOS – Códigos UNSPSC – no acredita experiencia del proponente – requisitos habilitantes / SELECCIÓN ABREVIADA– Modalidad de selección – Naturaleza / SELECCIÓN ABREVIADA </w:t>
            </w:r>
            <w:r>
              <w:rPr>
                <w:rFonts w:ascii="Verdana" w:eastAsia="Calibri" w:hAnsi="Verdana" w:cs="Arial"/>
                <w:color w:val="000000" w:themeColor="text1"/>
                <w:lang w:val="es-MX" w:eastAsia="es-ES"/>
              </w:rPr>
              <w:t xml:space="preserve">MENOR CUANTÍA – Modalidad de selección – Finalidad / </w:t>
            </w:r>
            <w:r w:rsidRPr="00380DD3">
              <w:rPr>
                <w:rFonts w:ascii="Verdana" w:eastAsia="Calibri" w:hAnsi="Verdana" w:cs="Arial"/>
                <w:color w:val="000000" w:themeColor="text1"/>
                <w:lang w:val="es-MX" w:eastAsia="es-ES"/>
              </w:rPr>
              <w:t xml:space="preserve">SUBASTA INVERSA – Modalidad de selección – Finalidad / </w:t>
            </w:r>
            <w:r w:rsidRPr="005B050C">
              <w:rPr>
                <w:rFonts w:ascii="Verdana" w:eastAsia="Calibri" w:hAnsi="Verdana" w:cs="Arial"/>
                <w:color w:val="000000" w:themeColor="text1"/>
                <w:lang w:val="es-MX" w:eastAsia="es-ES"/>
              </w:rPr>
              <w:t>ESTUDIOS DEL SECTOR - Análisis de la Oferta</w:t>
            </w:r>
            <w:r>
              <w:rPr>
                <w:rFonts w:ascii="Verdana" w:eastAsia="Calibri" w:hAnsi="Verdana" w:cs="Arial"/>
                <w:color w:val="000000" w:themeColor="text1"/>
                <w:lang w:val="es-MX" w:eastAsia="es-ES"/>
              </w:rPr>
              <w:t xml:space="preserve"> / </w:t>
            </w:r>
            <w:r w:rsidRPr="005B050C">
              <w:rPr>
                <w:rFonts w:ascii="Verdana" w:eastAsia="Calibri" w:hAnsi="Verdana" w:cs="Arial"/>
                <w:color w:val="000000" w:themeColor="text1"/>
                <w:lang w:val="es-MX" w:eastAsia="es-ES"/>
              </w:rPr>
              <w:t>GUÍA DE ELABORACIÓN DE ESTUDIOS DEL SECTOR – Perfilamiento del mercado</w:t>
            </w:r>
            <w:r>
              <w:rPr>
                <w:rFonts w:ascii="Verdana" w:eastAsia="Calibri" w:hAnsi="Verdana" w:cs="Arial"/>
                <w:color w:val="000000" w:themeColor="text1"/>
                <w:lang w:val="es-MX" w:eastAsia="es-ES"/>
              </w:rPr>
              <w:t xml:space="preserve"> / </w:t>
            </w:r>
          </w:p>
          <w:p w14:paraId="6FAC9925" w14:textId="77777777" w:rsidR="00BA6E6F" w:rsidRDefault="00BA6E6F" w:rsidP="00801FC1">
            <w:pPr>
              <w:spacing w:line="276" w:lineRule="auto"/>
              <w:jc w:val="both"/>
              <w:rPr>
                <w:rFonts w:ascii="Verdana" w:eastAsia="Calibri" w:hAnsi="Verdana" w:cs="Arial"/>
                <w:color w:val="000000" w:themeColor="text1"/>
                <w:lang w:eastAsia="es-ES"/>
              </w:rPr>
            </w:pPr>
            <w:r w:rsidRPr="00FE722C">
              <w:rPr>
                <w:rFonts w:ascii="Verdana" w:eastAsia="Calibri" w:hAnsi="Verdana" w:cs="Arial"/>
                <w:color w:val="000000" w:themeColor="text1"/>
                <w:lang w:eastAsia="es-ES"/>
              </w:rPr>
              <w:t>SUBSANABILIDAD – Mínima cuantía – Análisis caso concreto</w:t>
            </w:r>
          </w:p>
          <w:p w14:paraId="4B7C1E95" w14:textId="77777777" w:rsidR="00BA6E6F" w:rsidRPr="006E1347" w:rsidRDefault="00BA6E6F" w:rsidP="00801FC1">
            <w:pPr>
              <w:spacing w:line="276" w:lineRule="auto"/>
              <w:jc w:val="both"/>
              <w:rPr>
                <w:rFonts w:ascii="Verdana" w:eastAsia="Calibri" w:hAnsi="Verdana" w:cs="Arial"/>
                <w:color w:val="000000" w:themeColor="text1"/>
                <w:lang w:val="es-ES_tradnl" w:eastAsia="es-ES"/>
              </w:rPr>
            </w:pPr>
          </w:p>
        </w:tc>
      </w:tr>
      <w:tr w:rsidR="00BA6E6F" w:rsidRPr="00593A5F" w14:paraId="1C4C5DF0" w14:textId="77777777" w:rsidTr="00801FC1">
        <w:tc>
          <w:tcPr>
            <w:tcW w:w="2689" w:type="dxa"/>
          </w:tcPr>
          <w:p w14:paraId="79F00F5D" w14:textId="77777777" w:rsidR="00BA6E6F" w:rsidRPr="009B1797" w:rsidRDefault="00BA6E6F" w:rsidP="00801FC1">
            <w:pPr>
              <w:jc w:val="both"/>
              <w:rPr>
                <w:rFonts w:ascii="Verdana" w:eastAsia="Calibri" w:hAnsi="Verdana" w:cs="Arial"/>
                <w:b/>
                <w:color w:val="000000" w:themeColor="text1"/>
                <w:lang w:val="es-ES_tradnl" w:eastAsia="es-ES_tradnl"/>
              </w:rPr>
            </w:pPr>
            <w:r w:rsidRPr="009B1797">
              <w:rPr>
                <w:rFonts w:ascii="Verdana" w:eastAsia="Calibri" w:hAnsi="Verdana" w:cs="Arial"/>
                <w:b/>
                <w:color w:val="000000" w:themeColor="text1"/>
                <w:lang w:val="es-ES_tradnl" w:eastAsia="es-ES_tradnl"/>
              </w:rPr>
              <w:t>Radicación:</w:t>
            </w:r>
            <w:r w:rsidRPr="009B1797">
              <w:rPr>
                <w:rFonts w:ascii="Verdana" w:eastAsia="Calibri" w:hAnsi="Verdana" w:cs="Arial"/>
                <w:color w:val="000000" w:themeColor="text1"/>
                <w:lang w:val="es-ES_tradnl" w:eastAsia="es-ES_tradnl"/>
              </w:rPr>
              <w:t xml:space="preserve">               </w:t>
            </w:r>
          </w:p>
        </w:tc>
        <w:tc>
          <w:tcPr>
            <w:tcW w:w="6100" w:type="dxa"/>
          </w:tcPr>
          <w:p w14:paraId="098A5E32" w14:textId="77777777" w:rsidR="00BA6E6F" w:rsidRPr="009B1797" w:rsidRDefault="00BA6E6F" w:rsidP="00801FC1">
            <w:pPr>
              <w:jc w:val="both"/>
              <w:rPr>
                <w:rFonts w:ascii="Verdana" w:eastAsia="Calibri" w:hAnsi="Verdana" w:cs="Arial"/>
                <w:color w:val="000000" w:themeColor="text1"/>
                <w:lang w:val="es-ES_tradnl" w:eastAsia="es-ES_tradnl"/>
              </w:rPr>
            </w:pPr>
            <w:r w:rsidRPr="009B1797">
              <w:rPr>
                <w:rFonts w:ascii="Verdana" w:eastAsia="Calibri" w:hAnsi="Verdana" w:cs="Arial"/>
                <w:color w:val="000000" w:themeColor="text1"/>
                <w:lang w:val="es-ES_tradnl" w:eastAsia="es-ES_tradnl"/>
              </w:rPr>
              <w:t>Respuesta a consulta con radicado No. P20240620006300</w:t>
            </w:r>
          </w:p>
        </w:tc>
      </w:tr>
    </w:tbl>
    <w:p w14:paraId="38BC7563" w14:textId="77777777" w:rsidR="00BA6E6F" w:rsidRPr="00593A5F" w:rsidRDefault="00BA6E6F" w:rsidP="00BA6E6F">
      <w:pPr>
        <w:spacing w:after="0" w:line="240" w:lineRule="auto"/>
        <w:jc w:val="both"/>
        <w:rPr>
          <w:rFonts w:ascii="Verdana" w:eastAsia="Calibri" w:hAnsi="Verdana" w:cs="Arial"/>
          <w:color w:val="000000"/>
          <w:lang w:val="es-ES_tradnl" w:eastAsia="es-ES_tradnl"/>
        </w:rPr>
      </w:pPr>
    </w:p>
    <w:p w14:paraId="30F02F75" w14:textId="77777777" w:rsidR="00BA6E6F" w:rsidRPr="00593A5F" w:rsidRDefault="00BA6E6F" w:rsidP="00BA6E6F">
      <w:pPr>
        <w:spacing w:after="0" w:line="240" w:lineRule="auto"/>
        <w:jc w:val="both"/>
        <w:rPr>
          <w:rFonts w:ascii="Verdana" w:eastAsia="Calibri" w:hAnsi="Verdana" w:cs="Arial"/>
          <w:color w:val="000000"/>
          <w:lang w:val="es-ES_tradnl" w:eastAsia="es-ES_tradnl"/>
        </w:rPr>
      </w:pPr>
    </w:p>
    <w:p w14:paraId="095962D7" w14:textId="77777777" w:rsidR="00BA6E6F" w:rsidRDefault="00BA6E6F" w:rsidP="00BA6E6F">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Estimado señor</w:t>
      </w:r>
      <w:r>
        <w:rPr>
          <w:rFonts w:ascii="Verdana" w:eastAsia="Calibri" w:hAnsi="Verdana" w:cs="Arial"/>
          <w:color w:val="7030A0"/>
          <w:lang w:val="es-ES" w:eastAsia="es-ES"/>
        </w:rPr>
        <w:t xml:space="preserve"> </w:t>
      </w:r>
      <w:r w:rsidRPr="007B511B">
        <w:rPr>
          <w:rFonts w:ascii="Verdana" w:eastAsia="Calibri" w:hAnsi="Verdana" w:cs="Arial"/>
          <w:color w:val="000000" w:themeColor="text1"/>
          <w:lang w:val="es-ES" w:eastAsia="es-ES"/>
        </w:rPr>
        <w:t>González Delvasto</w:t>
      </w:r>
      <w:r w:rsidRPr="00593A5F">
        <w:rPr>
          <w:rFonts w:ascii="Verdana" w:eastAsia="Calibri" w:hAnsi="Verdana" w:cs="Arial"/>
          <w:color w:val="000000" w:themeColor="text1"/>
          <w:lang w:val="es-ES" w:eastAsia="es-ES"/>
        </w:rPr>
        <w:t xml:space="preserve">: </w:t>
      </w:r>
    </w:p>
    <w:p w14:paraId="45318296" w14:textId="77777777" w:rsidR="00BA6E6F" w:rsidRDefault="00BA6E6F" w:rsidP="00BA6E6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76B7BFA" w14:textId="77777777" w:rsidR="00BA6E6F" w:rsidRPr="00324006" w:rsidRDefault="00BA6E6F" w:rsidP="00BA6E6F">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lastRenderedPageBreak/>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su </w:t>
      </w:r>
      <w:r>
        <w:rPr>
          <w:rFonts w:ascii="Verdana" w:eastAsia="Calibri" w:hAnsi="Verdana" w:cs="Arial"/>
          <w:color w:val="000000" w:themeColor="text1"/>
          <w:lang w:val="es-ES" w:eastAsia="es-ES"/>
        </w:rPr>
        <w:t>consulta de fecha</w:t>
      </w:r>
      <w:r w:rsidRPr="00593A5F">
        <w:rPr>
          <w:rFonts w:ascii="Verdana" w:eastAsia="Calibri" w:hAnsi="Verdana" w:cs="Arial"/>
          <w:color w:val="000000" w:themeColor="text1"/>
          <w:lang w:val="es-ES" w:eastAsia="es-ES"/>
        </w:rPr>
        <w:t xml:space="preserve"> </w:t>
      </w:r>
      <w:r w:rsidRPr="00324006">
        <w:rPr>
          <w:rFonts w:ascii="Verdana" w:eastAsia="Calibri" w:hAnsi="Verdana" w:cs="Arial"/>
          <w:color w:val="000000" w:themeColor="text1"/>
          <w:lang w:val="es-ES" w:eastAsia="es-ES"/>
        </w:rPr>
        <w:t xml:space="preserve">20 </w:t>
      </w:r>
      <w:r w:rsidRPr="00593A5F">
        <w:rPr>
          <w:rFonts w:ascii="Verdana" w:eastAsia="Calibri" w:hAnsi="Verdana" w:cs="Arial"/>
          <w:color w:val="000000" w:themeColor="text1"/>
          <w:lang w:val="es-ES" w:eastAsia="es-ES"/>
        </w:rPr>
        <w:t>de</w:t>
      </w:r>
      <w:r w:rsidRPr="00324006">
        <w:rPr>
          <w:rFonts w:ascii="Verdana" w:eastAsia="Calibri" w:hAnsi="Verdana" w:cs="Arial"/>
          <w:color w:val="000000" w:themeColor="text1"/>
          <w:lang w:val="es-ES" w:eastAsia="es-ES"/>
        </w:rPr>
        <w:t xml:space="preserve"> junio </w:t>
      </w:r>
      <w:r w:rsidRPr="00593A5F">
        <w:rPr>
          <w:rFonts w:ascii="Verdana" w:eastAsia="Calibri" w:hAnsi="Verdana" w:cs="Arial"/>
          <w:color w:val="000000" w:themeColor="text1"/>
          <w:lang w:val="es-ES" w:eastAsia="es-ES"/>
        </w:rPr>
        <w:t>de 20</w:t>
      </w:r>
      <w:r w:rsidRPr="00324006">
        <w:rPr>
          <w:rFonts w:ascii="Verdana" w:eastAsia="Calibri" w:hAnsi="Verdana" w:cs="Arial"/>
          <w:color w:val="000000" w:themeColor="text1"/>
          <w:lang w:val="es-ES" w:eastAsia="es-ES"/>
        </w:rPr>
        <w:t xml:space="preserve">24, </w:t>
      </w:r>
      <w:r>
        <w:rPr>
          <w:rFonts w:ascii="Verdana" w:eastAsia="Calibri" w:hAnsi="Verdana" w:cs="Arial"/>
          <w:color w:val="000000" w:themeColor="text1"/>
          <w:lang w:val="es-ES" w:eastAsia="es-ES"/>
        </w:rPr>
        <w:t xml:space="preserve">relacionada con los siguientes temas: i) </w:t>
      </w:r>
      <w:r w:rsidRPr="00944B90">
        <w:rPr>
          <w:rFonts w:ascii="Verdana" w:eastAsia="Calibri" w:hAnsi="Verdana" w:cs="Arial"/>
          <w:color w:val="000000" w:themeColor="text1"/>
          <w:lang w:val="es-ES" w:eastAsia="es-ES"/>
        </w:rPr>
        <w:t>convocatorias limitadas a MiPymes en el sistema de compras públicas</w:t>
      </w:r>
      <w:r>
        <w:rPr>
          <w:rFonts w:ascii="Verdana" w:eastAsia="Calibri" w:hAnsi="Verdana" w:cs="Arial"/>
          <w:color w:val="000000" w:themeColor="text1"/>
          <w:lang w:val="es-ES" w:eastAsia="es-ES"/>
        </w:rPr>
        <w:t>; ii) La selección objetiva y los requisitos habilitantes. Exigencia de experiencia específica relacionada con la prestación de servicios o suministro de bienes con parámetros de sostenibilidad; iii) factores ponderables en procesos de selección bajo la modalidad de licitación pública; iv) c</w:t>
      </w:r>
      <w:r w:rsidRPr="004A5E17">
        <w:rPr>
          <w:rFonts w:ascii="Verdana" w:eastAsia="Calibri" w:hAnsi="Verdana" w:cs="Arial"/>
          <w:color w:val="000000" w:themeColor="text1"/>
          <w:lang w:val="es-ES" w:eastAsia="es-ES"/>
        </w:rPr>
        <w:t>lasificación del proponente a través de los Códigos UNSPSC</w:t>
      </w:r>
      <w:r>
        <w:rPr>
          <w:rFonts w:ascii="Verdana" w:eastAsia="Calibri" w:hAnsi="Verdana" w:cs="Arial"/>
          <w:color w:val="000000" w:themeColor="text1"/>
          <w:lang w:val="es-ES" w:eastAsia="es-ES"/>
        </w:rPr>
        <w:t xml:space="preserve">; v) definición de los </w:t>
      </w:r>
      <w:r w:rsidRPr="00100480">
        <w:rPr>
          <w:rFonts w:ascii="Verdana" w:eastAsia="Calibri" w:hAnsi="Verdana" w:cs="Arial"/>
          <w:color w:val="000000" w:themeColor="text1"/>
          <w:lang w:val="es-ES" w:eastAsia="es-ES"/>
        </w:rPr>
        <w:t>Bienes y Servicios de Características Técnicas Uniformes y Común Utilización</w:t>
      </w:r>
      <w:r>
        <w:rPr>
          <w:rFonts w:ascii="Verdana" w:eastAsia="Calibri" w:hAnsi="Verdana" w:cs="Arial"/>
          <w:color w:val="000000" w:themeColor="text1"/>
          <w:lang w:val="es-ES" w:eastAsia="es-ES"/>
        </w:rPr>
        <w:t xml:space="preserve">; vi) </w:t>
      </w:r>
      <w:r>
        <w:rPr>
          <w:rFonts w:ascii="Verdana" w:eastAsia="Calibri" w:hAnsi="Verdana" w:cs="Arial"/>
          <w:color w:val="000000" w:themeColor="text1"/>
          <w:lang w:eastAsia="es-ES"/>
        </w:rPr>
        <w:t>causales de selección abreviada</w:t>
      </w:r>
      <w:r w:rsidRPr="00F61EFF">
        <w:rPr>
          <w:rFonts w:ascii="Verdana" w:eastAsia="Calibri" w:hAnsi="Verdana" w:cs="Arial"/>
          <w:color w:val="000000" w:themeColor="text1"/>
          <w:lang w:eastAsia="es-ES"/>
        </w:rPr>
        <w:t xml:space="preserve"> el análisis del mercado de oferta y opciones de suministro</w:t>
      </w:r>
      <w:r>
        <w:rPr>
          <w:rFonts w:ascii="Verdana" w:eastAsia="Calibri" w:hAnsi="Verdana" w:cs="Arial"/>
          <w:color w:val="000000" w:themeColor="text1"/>
          <w:lang w:eastAsia="es-ES"/>
        </w:rPr>
        <w:t xml:space="preserve"> vii) </w:t>
      </w:r>
      <w:r w:rsidRPr="00F61EFF">
        <w:rPr>
          <w:rFonts w:ascii="Verdana" w:eastAsia="Calibri" w:hAnsi="Verdana" w:cs="Arial"/>
          <w:color w:val="000000" w:themeColor="text1"/>
          <w:lang w:eastAsia="es-ES"/>
        </w:rPr>
        <w:t>el análisis del mercado de oferta y opciones de suministro</w:t>
      </w:r>
      <w:r>
        <w:rPr>
          <w:rFonts w:ascii="Verdana" w:eastAsia="Calibri" w:hAnsi="Verdana" w:cs="Arial"/>
          <w:color w:val="000000" w:themeColor="text1"/>
          <w:lang w:eastAsia="es-ES"/>
        </w:rPr>
        <w:t xml:space="preserve"> subsanabilidad en procesos de mínima cuantía y viii) subsanabilidad en procesos de mínima cuantía. </w:t>
      </w:r>
    </w:p>
    <w:p w14:paraId="117FE43D" w14:textId="77777777" w:rsidR="00BA6E6F" w:rsidRPr="00272A7B" w:rsidRDefault="00BA6E6F" w:rsidP="00BA6E6F">
      <w:pPr>
        <w:pStyle w:val="Prrafodelista"/>
        <w:tabs>
          <w:tab w:val="left" w:pos="142"/>
          <w:tab w:val="left" w:pos="284"/>
        </w:tabs>
        <w:spacing w:line="276" w:lineRule="auto"/>
        <w:ind w:left="0"/>
        <w:jc w:val="both"/>
        <w:rPr>
          <w:rFonts w:ascii="Verdana" w:eastAsia="Century Gothic" w:hAnsi="Verdana" w:cs="Century Gothic"/>
          <w:b/>
          <w:bCs/>
        </w:rPr>
      </w:pPr>
    </w:p>
    <w:p w14:paraId="7263B766" w14:textId="77777777" w:rsidR="00BA6E6F" w:rsidRPr="00964DFF" w:rsidRDefault="00BA6E6F" w:rsidP="00BA6E6F">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bookmarkStart w:id="0" w:name="_Hlk95313578"/>
      <w:r w:rsidRPr="00964DFF">
        <w:rPr>
          <w:rFonts w:ascii="Verdana" w:eastAsia="Century Gothic" w:hAnsi="Verdana" w:cs="Century Gothic"/>
          <w:color w:val="000000" w:themeColor="text1"/>
          <w:sz w:val="20"/>
          <w:szCs w:val="20"/>
          <w:lang w:val="es-ES"/>
        </w:rPr>
        <w:t xml:space="preserve">“1. </w:t>
      </w:r>
      <w:r w:rsidRPr="00964DFF">
        <w:rPr>
          <w:rFonts w:ascii="Verdana" w:hAnsi="Verdana" w:cs="Arial"/>
          <w:color w:val="000000" w:themeColor="text1"/>
          <w:sz w:val="20"/>
          <w:szCs w:val="20"/>
          <w:shd w:val="clear" w:color="auto" w:fill="FFFFFF"/>
        </w:rPr>
        <w:t xml:space="preserve">¿En caso de presentarse la concurrencia de limitación a MiPyme tanto nacional como territorial, que tipo de limitación debe escoger la entidad y por qué? </w:t>
      </w:r>
      <w:r w:rsidRPr="00964DFF">
        <w:rPr>
          <w:rStyle w:val="normaltextrun"/>
          <w:rFonts w:ascii="Verdana" w:hAnsi="Verdana" w:cs="Arial"/>
          <w:color w:val="000000" w:themeColor="text1"/>
          <w:sz w:val="20"/>
          <w:szCs w:val="20"/>
          <w:shd w:val="clear" w:color="auto" w:fill="FFFFFF"/>
          <w:lang w:val="es-ES"/>
        </w:rPr>
        <w:t xml:space="preserve"> </w:t>
      </w:r>
    </w:p>
    <w:p w14:paraId="767FA994" w14:textId="77777777" w:rsidR="00BA6E6F" w:rsidRPr="00964DFF" w:rsidRDefault="00BA6E6F" w:rsidP="00BA6E6F">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p>
    <w:p w14:paraId="1A9997C4"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r w:rsidRPr="00964DFF">
        <w:rPr>
          <w:rFonts w:ascii="Verdana" w:hAnsi="Verdana" w:cs="Arial"/>
          <w:color w:val="000000" w:themeColor="text1"/>
          <w:sz w:val="20"/>
          <w:szCs w:val="20"/>
          <w:shd w:val="clear" w:color="auto" w:fill="FFFFFF"/>
        </w:rPr>
        <w:t>2. ¿Puede la entidad exigir una experiencia tan especifica? ¿Que fundamenta legalmente a la CDA para exigir “Personalizado de manera institucional?</w:t>
      </w:r>
      <w:r w:rsidRPr="00964DFF">
        <w:rPr>
          <w:rFonts w:ascii="Verdana" w:hAnsi="Verdana" w:cs="Arial"/>
          <w:color w:val="000000" w:themeColor="text1"/>
          <w:sz w:val="20"/>
          <w:szCs w:val="20"/>
          <w:shd w:val="clear" w:color="auto" w:fill="FFFFFF"/>
          <w:lang w:val="es-ES"/>
        </w:rPr>
        <w:t xml:space="preserve"> </w:t>
      </w:r>
    </w:p>
    <w:p w14:paraId="115FFD91"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p>
    <w:p w14:paraId="2A8F6278"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r w:rsidRPr="00964DFF">
        <w:rPr>
          <w:rFonts w:ascii="Verdana" w:hAnsi="Verdana" w:cs="Arial"/>
          <w:color w:val="000000" w:themeColor="text1"/>
          <w:sz w:val="20"/>
          <w:szCs w:val="20"/>
          <w:shd w:val="clear" w:color="auto" w:fill="FFFFFF"/>
        </w:rPr>
        <w:t>3. ¿Puede como factor de calidad una Entidad puntuar el aportar un contrato tan especifico y no puntuar un bien o servicio que ofrezca el interesado en participar en el proceso?</w:t>
      </w:r>
      <w:r w:rsidRPr="00964DFF">
        <w:rPr>
          <w:rFonts w:ascii="Verdana" w:hAnsi="Verdana" w:cs="Arial"/>
          <w:color w:val="000000" w:themeColor="text1"/>
          <w:sz w:val="20"/>
          <w:szCs w:val="20"/>
          <w:shd w:val="clear" w:color="auto" w:fill="FFFFFF"/>
          <w:lang w:val="es-ES"/>
        </w:rPr>
        <w:t xml:space="preserve"> </w:t>
      </w:r>
    </w:p>
    <w:p w14:paraId="59C1514F"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p>
    <w:p w14:paraId="68593AFC" w14:textId="77777777" w:rsidR="00BA6E6F" w:rsidRPr="00964DFF" w:rsidRDefault="00BA6E6F" w:rsidP="00BA6E6F">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r w:rsidRPr="00964DFF">
        <w:rPr>
          <w:rStyle w:val="normaltextrun"/>
          <w:rFonts w:ascii="Verdana" w:hAnsi="Verdana" w:cs="Arial"/>
          <w:color w:val="000000" w:themeColor="text1"/>
          <w:sz w:val="20"/>
          <w:szCs w:val="20"/>
          <w:shd w:val="clear" w:color="auto" w:fill="FFFFFF"/>
          <w:lang w:val="es-ES"/>
        </w:rPr>
        <w:t xml:space="preserve">4. ¿Puede la Entidad otorgar puntaje a un contratista por contar con determinado </w:t>
      </w:r>
      <w:r w:rsidRPr="00964DFF">
        <w:rPr>
          <w:rFonts w:ascii="Verdana" w:hAnsi="Verdana" w:cs="Arial"/>
          <w:color w:val="000000" w:themeColor="text1"/>
          <w:sz w:val="20"/>
          <w:szCs w:val="20"/>
          <w:shd w:val="clear" w:color="auto" w:fill="FFFFFF"/>
        </w:rPr>
        <w:t>código UNSPSC? ¿Puede la Entidad exigir contar con un código hasta el cuarto nivel del clasificador de bienes y servicios? ¿Puede una Entidad no habilitar a un oferente por no contar con los códigos UNSPSC exigidos en el proceso?</w:t>
      </w:r>
      <w:r w:rsidRPr="00964DFF">
        <w:rPr>
          <w:rStyle w:val="normaltextrun"/>
          <w:rFonts w:ascii="Verdana" w:hAnsi="Verdana" w:cs="Arial"/>
          <w:color w:val="000000" w:themeColor="text1"/>
          <w:sz w:val="20"/>
          <w:szCs w:val="20"/>
          <w:shd w:val="clear" w:color="auto" w:fill="FFFFFF"/>
          <w:lang w:val="es-ES"/>
        </w:rPr>
        <w:t xml:space="preserve"> </w:t>
      </w:r>
    </w:p>
    <w:p w14:paraId="4238B5FB" w14:textId="77777777" w:rsidR="00BA6E6F" w:rsidRPr="00964DFF" w:rsidRDefault="00BA6E6F" w:rsidP="00BA6E6F">
      <w:pPr>
        <w:spacing w:after="0" w:line="240" w:lineRule="auto"/>
        <w:ind w:left="709" w:right="709"/>
        <w:jc w:val="both"/>
        <w:rPr>
          <w:rStyle w:val="normaltextrun"/>
          <w:rFonts w:ascii="Verdana" w:hAnsi="Verdana" w:cs="Arial"/>
          <w:color w:val="000000" w:themeColor="text1"/>
          <w:sz w:val="20"/>
          <w:szCs w:val="20"/>
          <w:shd w:val="clear" w:color="auto" w:fill="FFFFFF"/>
          <w:lang w:val="es-ES"/>
        </w:rPr>
      </w:pPr>
    </w:p>
    <w:p w14:paraId="14AA2F42"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r w:rsidRPr="00964DFF">
        <w:rPr>
          <w:rFonts w:ascii="Verdana" w:hAnsi="Verdana" w:cs="Arial"/>
          <w:color w:val="000000" w:themeColor="text1"/>
          <w:sz w:val="20"/>
          <w:szCs w:val="20"/>
          <w:shd w:val="clear" w:color="auto" w:fill="FFFFFF"/>
        </w:rPr>
        <w:t>5. ¿Siendo características técnicas uniformes siempre los fondos educativos aducen que, por no ser un solo ítem (Adquisición de útiles) sino varios ítems no son características técnicas uniformes, por lo que surge la duda en qué casos se debe adelantar un proceso por subasta inversa o por selección abreviada de menor cuantía?</w:t>
      </w:r>
      <w:r w:rsidRPr="00964DFF">
        <w:rPr>
          <w:rFonts w:ascii="Verdana" w:hAnsi="Verdana" w:cs="Arial"/>
          <w:color w:val="000000" w:themeColor="text1"/>
          <w:sz w:val="20"/>
          <w:szCs w:val="20"/>
          <w:shd w:val="clear" w:color="auto" w:fill="FFFFFF"/>
          <w:lang w:val="es-ES"/>
        </w:rPr>
        <w:t xml:space="preserve"> </w:t>
      </w:r>
    </w:p>
    <w:p w14:paraId="5FE3BEFB"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p>
    <w:p w14:paraId="3F229261"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r w:rsidRPr="00964DFF">
        <w:rPr>
          <w:rFonts w:ascii="Verdana" w:hAnsi="Verdana" w:cs="Arial"/>
          <w:color w:val="000000" w:themeColor="text1"/>
          <w:sz w:val="20"/>
          <w:szCs w:val="20"/>
          <w:shd w:val="clear" w:color="auto" w:fill="FFFFFF"/>
          <w:lang w:val="es-ES"/>
        </w:rPr>
        <w:t xml:space="preserve">7. </w:t>
      </w:r>
      <w:r w:rsidRPr="00964DFF">
        <w:rPr>
          <w:rFonts w:ascii="Verdana" w:hAnsi="Verdana" w:cs="Arial"/>
          <w:color w:val="000000" w:themeColor="text1"/>
          <w:sz w:val="20"/>
          <w:szCs w:val="20"/>
          <w:shd w:val="clear" w:color="auto" w:fill="FFFFFF"/>
        </w:rPr>
        <w:t>¿Que elementos o productos se deben considerar como eleemntos de cartacteristicas técnicas uniformes y de común utilización?</w:t>
      </w:r>
    </w:p>
    <w:p w14:paraId="2C565BFF"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p>
    <w:p w14:paraId="0814076D"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r w:rsidRPr="00964DFF">
        <w:rPr>
          <w:rFonts w:ascii="Verdana" w:hAnsi="Verdana" w:cs="Arial"/>
          <w:color w:val="000000" w:themeColor="text1"/>
          <w:sz w:val="20"/>
          <w:szCs w:val="20"/>
          <w:shd w:val="clear" w:color="auto" w:fill="FFFFFF"/>
        </w:rPr>
        <w:lastRenderedPageBreak/>
        <w:t>8. […] ¿Puede una Entidad sabiendo que existe el establecimiento de comercio en la región elaborar un estudio de mercado con precios ofertados de empresas de otro departamento?</w:t>
      </w:r>
    </w:p>
    <w:p w14:paraId="036DA683"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p>
    <w:p w14:paraId="20998EC3"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r w:rsidRPr="00964DFF">
        <w:rPr>
          <w:rFonts w:ascii="Verdana" w:hAnsi="Verdana" w:cs="Arial"/>
          <w:color w:val="000000" w:themeColor="text1"/>
          <w:sz w:val="20"/>
          <w:szCs w:val="20"/>
          <w:shd w:val="clear" w:color="auto" w:fill="FFFFFF"/>
        </w:rPr>
        <w:t>9. […] ¿Puede una Entidad exigir como requisito habilitante que un oferente cuente con establecimiento de comercio para presentarse a un proceso?</w:t>
      </w:r>
    </w:p>
    <w:p w14:paraId="3E0697E5"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p>
    <w:p w14:paraId="1DFE09DB"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r w:rsidRPr="00964DFF">
        <w:rPr>
          <w:rFonts w:ascii="Verdana" w:hAnsi="Verdana" w:cs="Arial"/>
          <w:color w:val="000000" w:themeColor="text1"/>
          <w:sz w:val="20"/>
          <w:szCs w:val="20"/>
          <w:shd w:val="clear" w:color="auto" w:fill="FFFFFF"/>
        </w:rPr>
        <w:t>10. ¿Puede la Entidad rechazar en un proceso de mínima cuantía por no enviar una carta en donde se manifieste el cumplimiento del anexo técnico?</w:t>
      </w:r>
    </w:p>
    <w:p w14:paraId="35CCCBFC"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rPr>
      </w:pPr>
    </w:p>
    <w:p w14:paraId="0CBA4995"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r w:rsidRPr="00964DFF">
        <w:rPr>
          <w:rFonts w:ascii="Verdana" w:hAnsi="Verdana" w:cs="Arial"/>
          <w:color w:val="000000" w:themeColor="text1"/>
          <w:sz w:val="20"/>
          <w:szCs w:val="20"/>
          <w:shd w:val="clear" w:color="auto" w:fill="FFFFFF"/>
        </w:rPr>
        <w:t>11. Solicito se me indique el marco legal que define la modalidad de selección abreviada de menor cuantía cuando aplica y cuando se debe utilizar y la subasta inversa.</w:t>
      </w:r>
    </w:p>
    <w:p w14:paraId="61A59419" w14:textId="77777777" w:rsidR="00BA6E6F" w:rsidRPr="00964DFF" w:rsidRDefault="00BA6E6F" w:rsidP="00BA6E6F">
      <w:pPr>
        <w:spacing w:after="0" w:line="240" w:lineRule="auto"/>
        <w:ind w:left="709" w:right="709"/>
        <w:jc w:val="both"/>
        <w:rPr>
          <w:rFonts w:ascii="Verdana" w:hAnsi="Verdana" w:cs="Arial"/>
          <w:color w:val="000000" w:themeColor="text1"/>
          <w:sz w:val="20"/>
          <w:szCs w:val="20"/>
          <w:shd w:val="clear" w:color="auto" w:fill="FFFFFF"/>
          <w:lang w:val="es-ES"/>
        </w:rPr>
      </w:pPr>
    </w:p>
    <w:p w14:paraId="282F5B0D" w14:textId="77777777" w:rsidR="00BA6E6F" w:rsidRPr="00964DFF" w:rsidRDefault="00BA6E6F" w:rsidP="00BA6E6F">
      <w:pPr>
        <w:spacing w:after="0" w:line="240" w:lineRule="auto"/>
        <w:ind w:left="709" w:right="709"/>
        <w:jc w:val="both"/>
        <w:rPr>
          <w:rFonts w:ascii="Verdana" w:eastAsia="Century Gothic" w:hAnsi="Verdana" w:cs="Century Gothic"/>
          <w:color w:val="000000" w:themeColor="text1"/>
          <w:sz w:val="20"/>
          <w:szCs w:val="20"/>
          <w:lang w:val="es-ES"/>
        </w:rPr>
      </w:pPr>
      <w:r w:rsidRPr="00964DFF">
        <w:rPr>
          <w:rStyle w:val="normaltextrun"/>
          <w:rFonts w:ascii="Verdana" w:hAnsi="Verdana" w:cs="Arial"/>
          <w:color w:val="000000" w:themeColor="text1"/>
          <w:sz w:val="20"/>
          <w:szCs w:val="20"/>
          <w:shd w:val="clear" w:color="auto" w:fill="FFFFFF"/>
          <w:lang w:val="es-ES"/>
        </w:rPr>
        <w:t>[…]</w:t>
      </w:r>
      <w:r w:rsidRPr="00964DFF">
        <w:rPr>
          <w:rFonts w:ascii="Verdana" w:eastAsia="Century Gothic" w:hAnsi="Verdana" w:cs="Century Gothic"/>
          <w:color w:val="000000" w:themeColor="text1"/>
          <w:sz w:val="20"/>
          <w:szCs w:val="20"/>
          <w:lang w:val="es-ES"/>
        </w:rPr>
        <w:t>”</w:t>
      </w:r>
      <w:bookmarkEnd w:id="0"/>
      <w:r w:rsidRPr="00964DFF">
        <w:rPr>
          <w:rFonts w:ascii="Verdana" w:eastAsia="Century Gothic" w:hAnsi="Verdana" w:cs="Century Gothic"/>
          <w:color w:val="000000" w:themeColor="text1"/>
          <w:sz w:val="20"/>
          <w:szCs w:val="20"/>
          <w:lang w:val="es-ES"/>
        </w:rPr>
        <w:t>.</w:t>
      </w:r>
    </w:p>
    <w:p w14:paraId="3BC4BEA4" w14:textId="77777777" w:rsidR="00BA6E6F" w:rsidRPr="00593A5F" w:rsidRDefault="00BA6E6F" w:rsidP="00BA6E6F">
      <w:pPr>
        <w:pStyle w:val="Prrafodelista"/>
        <w:tabs>
          <w:tab w:val="left" w:pos="142"/>
          <w:tab w:val="left" w:pos="284"/>
        </w:tabs>
        <w:spacing w:line="276" w:lineRule="auto"/>
        <w:ind w:left="0"/>
        <w:jc w:val="both"/>
        <w:rPr>
          <w:rFonts w:ascii="Verdana" w:eastAsia="Century Gothic" w:hAnsi="Verdana" w:cs="Century Gothic"/>
          <w:b/>
          <w:bCs/>
        </w:rPr>
      </w:pPr>
    </w:p>
    <w:p w14:paraId="05D266E8" w14:textId="77777777" w:rsidR="00BA6E6F" w:rsidRDefault="00BA6E6F" w:rsidP="00BA6E6F">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3C29723" w14:textId="77777777" w:rsidR="00BA6E6F" w:rsidRDefault="00BA6E6F" w:rsidP="00BA6E6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9C3692">
        <w:rPr>
          <w:rFonts w:ascii="Verdana" w:eastAsia="Calibri" w:hAnsi="Verdana" w:cs="Arial"/>
          <w:color w:val="000000"/>
          <w:lang w:val="es-ES" w:eastAsia="es-ES"/>
        </w:rPr>
        <w:t xml:space="preserve">s </w:t>
      </w:r>
      <w:r>
        <w:rPr>
          <w:rFonts w:ascii="Verdana" w:eastAsia="Calibri" w:hAnsi="Verdana" w:cs="Arial"/>
          <w:color w:val="000000"/>
          <w:lang w:val="es-ES" w:eastAsia="es-ES"/>
        </w:rPr>
        <w:t>jurídico</w:t>
      </w:r>
      <w:r w:rsidRPr="009C3692">
        <w:rPr>
          <w:rFonts w:ascii="Verdana" w:eastAsia="Calibri" w:hAnsi="Verdana" w:cs="Arial"/>
          <w:color w:val="000000"/>
          <w:lang w:val="es-ES" w:eastAsia="es-ES"/>
        </w:rPr>
        <w:t xml:space="preserve">s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r>
        <w:rPr>
          <w:rFonts w:ascii="Verdana" w:eastAsia="Calibri" w:hAnsi="Verdana" w:cs="Arial"/>
          <w:color w:val="000000"/>
          <w:lang w:val="es-ES" w:eastAsia="es-ES"/>
        </w:rPr>
        <w:t>En todo caso, nada de lo manifestado en las consideraciones y respuestas a esta consulta podrá considerarse como un pronunciamiento respecto de los procesos de contratación enunciados en su petición.</w:t>
      </w:r>
    </w:p>
    <w:p w14:paraId="0B2D1726" w14:textId="77777777" w:rsidR="00BA6E6F" w:rsidRPr="00593A5F" w:rsidRDefault="00BA6E6F" w:rsidP="00BA6E6F">
      <w:pPr>
        <w:spacing w:after="0" w:line="276" w:lineRule="auto"/>
        <w:jc w:val="both"/>
        <w:rPr>
          <w:rFonts w:ascii="Verdana" w:eastAsia="Calibri" w:hAnsi="Verdana" w:cs="Arial"/>
          <w:color w:val="000000"/>
          <w:lang w:val="es-ES" w:eastAsia="es-ES"/>
        </w:rPr>
      </w:pPr>
    </w:p>
    <w:p w14:paraId="5BDDC2FA" w14:textId="77777777" w:rsidR="00BA6E6F" w:rsidRPr="00593A5F" w:rsidRDefault="00BA6E6F" w:rsidP="00BA6E6F">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658DD72C" w14:textId="77777777" w:rsidR="00BA6E6F" w:rsidRPr="00593A5F" w:rsidRDefault="00BA6E6F" w:rsidP="00BA6E6F">
      <w:pPr>
        <w:tabs>
          <w:tab w:val="left" w:pos="426"/>
        </w:tabs>
        <w:spacing w:after="0" w:line="276" w:lineRule="auto"/>
        <w:jc w:val="both"/>
        <w:rPr>
          <w:rFonts w:ascii="Verdana" w:eastAsia="Century Gothic" w:hAnsi="Verdana" w:cs="Century Gothic"/>
          <w:lang w:val="es-ES"/>
        </w:rPr>
      </w:pPr>
    </w:p>
    <w:p w14:paraId="0D849179" w14:textId="77777777" w:rsidR="00BA6E6F" w:rsidRDefault="00BA6E6F" w:rsidP="00BA6E6F">
      <w:pPr>
        <w:spacing w:after="0" w:line="276" w:lineRule="auto"/>
        <w:jc w:val="both"/>
        <w:rPr>
          <w:rFonts w:ascii="Verdana" w:eastAsia="Century Gothic" w:hAnsi="Verdana" w:cs="Century Gothic"/>
        </w:rPr>
      </w:pPr>
      <w:r>
        <w:rPr>
          <w:rFonts w:ascii="Verdana" w:eastAsia="Century Gothic" w:hAnsi="Verdana" w:cs="Century Gothic"/>
        </w:rPr>
        <w:lastRenderedPageBreak/>
        <w:t xml:space="preserve">De acuerdo con el contenido de </w:t>
      </w:r>
      <w:r w:rsidRPr="00593A5F">
        <w:rPr>
          <w:rFonts w:ascii="Verdana" w:eastAsia="Century Gothic" w:hAnsi="Verdana" w:cs="Century Gothic"/>
        </w:rPr>
        <w:t xml:space="preserve">su solicitud, esta Agencia resolverá los </w:t>
      </w:r>
      <w:r>
        <w:rPr>
          <w:rFonts w:ascii="Verdana" w:eastAsia="Century Gothic" w:hAnsi="Verdana" w:cs="Century Gothic"/>
        </w:rPr>
        <w:t>interrogantes formulados, bajo la luz de los siguientes problemas jurídicos identificados</w:t>
      </w:r>
      <w:r w:rsidRPr="00593A5F">
        <w:rPr>
          <w:rFonts w:ascii="Verdana" w:eastAsia="Century Gothic" w:hAnsi="Verdana" w:cs="Century Gothic"/>
        </w:rPr>
        <w:t xml:space="preserve">: </w:t>
      </w:r>
    </w:p>
    <w:p w14:paraId="31CD844F" w14:textId="77777777" w:rsidR="00BA6E6F" w:rsidRDefault="00BA6E6F" w:rsidP="00BA6E6F">
      <w:pPr>
        <w:spacing w:after="0" w:line="276" w:lineRule="auto"/>
        <w:jc w:val="both"/>
        <w:rPr>
          <w:rFonts w:ascii="Verdana" w:eastAsia="Century Gothic" w:hAnsi="Verdana" w:cs="Century Gothic"/>
        </w:rPr>
      </w:pPr>
    </w:p>
    <w:p w14:paraId="34598AC4" w14:textId="77777777" w:rsidR="00BA6E6F" w:rsidRDefault="00BA6E6F" w:rsidP="00BA6E6F">
      <w:pPr>
        <w:spacing w:after="0" w:line="276" w:lineRule="auto"/>
        <w:jc w:val="both"/>
        <w:rPr>
          <w:rFonts w:ascii="Verdana" w:eastAsia="Century Gothic" w:hAnsi="Verdana" w:cs="Century Gothic"/>
        </w:rPr>
      </w:pPr>
      <w:r w:rsidRPr="00FC7E29">
        <w:rPr>
          <w:rFonts w:ascii="Verdana" w:eastAsia="Century Gothic" w:hAnsi="Verdana" w:cs="Century Gothic"/>
        </w:rPr>
        <w:t xml:space="preserve">i) </w:t>
      </w:r>
      <w:r>
        <w:rPr>
          <w:rFonts w:ascii="Verdana" w:eastAsia="Century Gothic" w:hAnsi="Verdana" w:cs="Century Gothic"/>
        </w:rPr>
        <w:t>¿</w:t>
      </w:r>
      <w:r w:rsidRPr="001E5680">
        <w:rPr>
          <w:rFonts w:ascii="Verdana" w:eastAsia="Century Gothic" w:hAnsi="Verdana" w:cs="Century Gothic"/>
        </w:rPr>
        <w:t xml:space="preserve">En caso de presentarse la </w:t>
      </w:r>
      <w:r>
        <w:rPr>
          <w:rFonts w:ascii="Verdana" w:eastAsia="Century Gothic" w:hAnsi="Verdana" w:cs="Century Gothic"/>
        </w:rPr>
        <w:t xml:space="preserve">concurrencia de </w:t>
      </w:r>
      <w:r w:rsidRPr="00FC7E29">
        <w:rPr>
          <w:rFonts w:ascii="Verdana" w:eastAsia="Century Gothic" w:hAnsi="Verdana" w:cs="Century Gothic"/>
        </w:rPr>
        <w:t>limitación</w:t>
      </w:r>
      <w:r>
        <w:rPr>
          <w:rFonts w:ascii="Verdana" w:eastAsia="Century Gothic" w:hAnsi="Verdana" w:cs="Century Gothic"/>
        </w:rPr>
        <w:t xml:space="preserve"> a MiPymes</w:t>
      </w:r>
      <w:r w:rsidRPr="00FC7E29">
        <w:rPr>
          <w:rFonts w:ascii="Verdana" w:eastAsia="Century Gothic" w:hAnsi="Verdana" w:cs="Century Gothic"/>
        </w:rPr>
        <w:t xml:space="preserve"> </w:t>
      </w:r>
      <w:r>
        <w:rPr>
          <w:rFonts w:ascii="Verdana" w:eastAsia="Century Gothic" w:hAnsi="Verdana" w:cs="Century Gothic"/>
        </w:rPr>
        <w:t>tanto nacional como territorial, qué tipo de limitación debe escoger la entidad y por qué?</w:t>
      </w:r>
    </w:p>
    <w:p w14:paraId="6A2D404A" w14:textId="77777777" w:rsidR="00BA6E6F" w:rsidRDefault="00BA6E6F" w:rsidP="00BA6E6F">
      <w:pPr>
        <w:spacing w:after="0" w:line="276" w:lineRule="auto"/>
        <w:jc w:val="both"/>
        <w:rPr>
          <w:rFonts w:ascii="Verdana" w:eastAsia="Century Gothic" w:hAnsi="Verdana" w:cs="Century Gothic"/>
        </w:rPr>
      </w:pPr>
    </w:p>
    <w:p w14:paraId="650854D6" w14:textId="77777777" w:rsidR="00BA6E6F" w:rsidRDefault="00BA6E6F" w:rsidP="00BA6E6F">
      <w:pPr>
        <w:spacing w:after="0" w:line="276" w:lineRule="auto"/>
        <w:jc w:val="both"/>
        <w:rPr>
          <w:rFonts w:ascii="Verdana" w:eastAsia="Calibri" w:hAnsi="Verdana" w:cs="Arial"/>
          <w:color w:val="000000" w:themeColor="text1"/>
          <w:lang w:eastAsia="es-ES"/>
        </w:rPr>
      </w:pPr>
      <w:r>
        <w:rPr>
          <w:rFonts w:ascii="Verdana" w:eastAsia="Century Gothic" w:hAnsi="Verdana" w:cs="Century Gothic"/>
        </w:rPr>
        <w:t>ii) ¿</w:t>
      </w:r>
      <w:r>
        <w:rPr>
          <w:rFonts w:ascii="Verdana" w:eastAsia="Calibri" w:hAnsi="Verdana" w:cs="Arial"/>
          <w:color w:val="000000" w:themeColor="text1"/>
          <w:lang w:eastAsia="es-ES"/>
        </w:rPr>
        <w:t xml:space="preserve">La entidad puede exigir </w:t>
      </w:r>
      <w:r>
        <w:rPr>
          <w:rFonts w:ascii="Verdana" w:eastAsia="Calibri" w:hAnsi="Verdana" w:cs="Arial"/>
          <w:color w:val="000000" w:themeColor="text1"/>
          <w:lang w:val="es-ES" w:eastAsia="es-ES"/>
        </w:rPr>
        <w:t>experiencia que deba acreditarse a través de contratos con objetos específicos y características detalladas?</w:t>
      </w:r>
      <w:r w:rsidRPr="005652C3">
        <w:rPr>
          <w:rFonts w:ascii="Verdana" w:eastAsia="Calibri" w:hAnsi="Verdana" w:cs="Arial"/>
          <w:color w:val="000000" w:themeColor="text1"/>
          <w:lang w:eastAsia="es-ES"/>
        </w:rPr>
        <w:t xml:space="preserve"> </w:t>
      </w:r>
      <w:r w:rsidRPr="003157B3">
        <w:rPr>
          <w:rFonts w:ascii="Verdana" w:eastAsia="Calibri" w:hAnsi="Verdana" w:cs="Arial"/>
          <w:color w:val="000000" w:themeColor="text1"/>
          <w:lang w:eastAsia="es-ES"/>
        </w:rPr>
        <w:t xml:space="preserve">¿Puede una </w:t>
      </w:r>
      <w:r>
        <w:rPr>
          <w:rFonts w:ascii="Verdana" w:eastAsia="Calibri" w:hAnsi="Verdana" w:cs="Arial"/>
          <w:color w:val="000000" w:themeColor="text1"/>
          <w:lang w:eastAsia="es-ES"/>
        </w:rPr>
        <w:t>e</w:t>
      </w:r>
      <w:r w:rsidRPr="003157B3">
        <w:rPr>
          <w:rFonts w:ascii="Verdana" w:eastAsia="Calibri" w:hAnsi="Verdana" w:cs="Arial"/>
          <w:color w:val="000000" w:themeColor="text1"/>
          <w:lang w:eastAsia="es-ES"/>
        </w:rPr>
        <w:t>ntidad exigir como requisito habilitante que un oferente cuente con establecimiento de comercio para presentarse a un proceso?</w:t>
      </w:r>
    </w:p>
    <w:p w14:paraId="0BAB7C8C" w14:textId="77777777" w:rsidR="00BA6E6F" w:rsidRDefault="00BA6E6F" w:rsidP="00BA6E6F">
      <w:pPr>
        <w:spacing w:after="0" w:line="276" w:lineRule="auto"/>
        <w:jc w:val="both"/>
        <w:rPr>
          <w:rFonts w:ascii="Verdana" w:eastAsia="Calibri" w:hAnsi="Verdana" w:cs="Arial"/>
          <w:color w:val="000000" w:themeColor="text1"/>
          <w:lang w:eastAsia="es-ES"/>
        </w:rPr>
      </w:pPr>
    </w:p>
    <w:p w14:paraId="4CD5C26D" w14:textId="77777777" w:rsidR="00BA6E6F" w:rsidRPr="008D6085" w:rsidRDefault="00BA6E6F" w:rsidP="00BA6E6F">
      <w:pPr>
        <w:spacing w:after="0" w:line="276" w:lineRule="auto"/>
        <w:jc w:val="both"/>
        <w:rPr>
          <w:rFonts w:ascii="Verdana" w:eastAsia="Century Gothic" w:hAnsi="Verdana" w:cs="Century Gothic"/>
        </w:rPr>
      </w:pPr>
      <w:r>
        <w:rPr>
          <w:rFonts w:ascii="Verdana" w:eastAsia="Calibri" w:hAnsi="Verdana" w:cs="Arial"/>
          <w:color w:val="000000" w:themeColor="text1"/>
          <w:lang w:eastAsia="es-ES"/>
        </w:rPr>
        <w:t xml:space="preserve">iii) </w:t>
      </w:r>
      <w:r w:rsidRPr="00DF36AB">
        <w:rPr>
          <w:rFonts w:ascii="Verdana" w:eastAsia="Calibri" w:hAnsi="Verdana" w:cs="Arial"/>
          <w:color w:val="000000" w:themeColor="text1"/>
          <w:lang w:eastAsia="es-ES"/>
        </w:rPr>
        <w:t xml:space="preserve">¿Puede como factor de calidad una </w:t>
      </w:r>
      <w:r>
        <w:rPr>
          <w:rFonts w:ascii="Verdana" w:eastAsia="Calibri" w:hAnsi="Verdana" w:cs="Arial"/>
          <w:color w:val="000000" w:themeColor="text1"/>
          <w:lang w:eastAsia="es-ES"/>
        </w:rPr>
        <w:t>e</w:t>
      </w:r>
      <w:r w:rsidRPr="00DF36AB">
        <w:rPr>
          <w:rFonts w:ascii="Verdana" w:eastAsia="Calibri" w:hAnsi="Verdana" w:cs="Arial"/>
          <w:color w:val="000000" w:themeColor="text1"/>
          <w:lang w:eastAsia="es-ES"/>
        </w:rPr>
        <w:t>ntidad puntuar el aport</w:t>
      </w:r>
      <w:r>
        <w:rPr>
          <w:rFonts w:ascii="Verdana" w:eastAsia="Calibri" w:hAnsi="Verdana" w:cs="Arial"/>
          <w:color w:val="000000" w:themeColor="text1"/>
          <w:lang w:eastAsia="es-ES"/>
        </w:rPr>
        <w:t>e de</w:t>
      </w:r>
      <w:r w:rsidRPr="00DF36AB">
        <w:rPr>
          <w:rFonts w:ascii="Verdana" w:eastAsia="Calibri" w:hAnsi="Verdana" w:cs="Arial"/>
          <w:color w:val="000000" w:themeColor="text1"/>
          <w:lang w:eastAsia="es-ES"/>
        </w:rPr>
        <w:t xml:space="preserve"> un contrato </w:t>
      </w:r>
      <w:r>
        <w:rPr>
          <w:rFonts w:ascii="Verdana" w:eastAsia="Calibri" w:hAnsi="Verdana" w:cs="Arial"/>
          <w:color w:val="000000" w:themeColor="text1"/>
          <w:lang w:eastAsia="es-ES"/>
        </w:rPr>
        <w:t>relacionado con el bien o servicio a contratar</w:t>
      </w:r>
      <w:r w:rsidRPr="00DF36AB">
        <w:rPr>
          <w:rFonts w:ascii="Verdana" w:eastAsia="Calibri" w:hAnsi="Verdana" w:cs="Arial"/>
          <w:color w:val="000000" w:themeColor="text1"/>
          <w:lang w:eastAsia="es-ES"/>
        </w:rPr>
        <w:t>?</w:t>
      </w:r>
    </w:p>
    <w:p w14:paraId="3F90B8F2" w14:textId="77777777" w:rsidR="00BA6E6F" w:rsidRPr="005652C3" w:rsidRDefault="00BA6E6F" w:rsidP="00BA6E6F">
      <w:pPr>
        <w:spacing w:after="0" w:line="276" w:lineRule="auto"/>
        <w:jc w:val="both"/>
        <w:rPr>
          <w:rFonts w:ascii="Verdana" w:eastAsia="Calibri" w:hAnsi="Verdana" w:cs="Arial"/>
          <w:color w:val="000000" w:themeColor="text1"/>
          <w:lang w:eastAsia="es-ES"/>
        </w:rPr>
      </w:pPr>
    </w:p>
    <w:p w14:paraId="2E140497" w14:textId="77777777" w:rsidR="00BA6E6F" w:rsidRDefault="00BA6E6F" w:rsidP="00BA6E6F">
      <w:pPr>
        <w:spacing w:after="0" w:line="276" w:lineRule="auto"/>
        <w:jc w:val="both"/>
        <w:rPr>
          <w:rFonts w:ascii="Verdana" w:eastAsia="Calibri" w:hAnsi="Verdana" w:cs="Arial"/>
          <w:color w:val="000000" w:themeColor="text1"/>
          <w:lang w:eastAsia="es-ES"/>
        </w:rPr>
      </w:pPr>
      <w:r w:rsidRPr="005652C3">
        <w:rPr>
          <w:rFonts w:ascii="Verdana" w:eastAsia="Calibri" w:hAnsi="Verdana" w:cs="Arial"/>
          <w:color w:val="000000" w:themeColor="text1"/>
          <w:lang w:eastAsia="es-ES"/>
        </w:rPr>
        <w:t>i</w:t>
      </w:r>
      <w:r>
        <w:rPr>
          <w:rFonts w:ascii="Verdana" w:eastAsia="Calibri" w:hAnsi="Verdana" w:cs="Arial"/>
          <w:color w:val="000000" w:themeColor="text1"/>
          <w:lang w:eastAsia="es-ES"/>
        </w:rPr>
        <w:t>v</w:t>
      </w:r>
      <w:r w:rsidRPr="005652C3">
        <w:rPr>
          <w:rFonts w:ascii="Verdana" w:eastAsia="Calibri" w:hAnsi="Verdana" w:cs="Arial"/>
          <w:color w:val="000000" w:themeColor="text1"/>
          <w:lang w:eastAsia="es-ES"/>
        </w:rPr>
        <w:t>) ¿</w:t>
      </w:r>
      <w:r w:rsidRPr="00BE2364">
        <w:rPr>
          <w:rFonts w:ascii="Verdana" w:eastAsia="Calibri" w:hAnsi="Verdana" w:cs="Arial"/>
          <w:color w:val="000000" w:themeColor="text1"/>
          <w:lang w:eastAsia="es-ES"/>
        </w:rPr>
        <w:t xml:space="preserve">Puede la </w:t>
      </w:r>
      <w:r>
        <w:rPr>
          <w:rFonts w:ascii="Verdana" w:eastAsia="Calibri" w:hAnsi="Verdana" w:cs="Arial"/>
          <w:color w:val="000000" w:themeColor="text1"/>
          <w:lang w:eastAsia="es-ES"/>
        </w:rPr>
        <w:t>e</w:t>
      </w:r>
      <w:r w:rsidRPr="00BE2364">
        <w:rPr>
          <w:rFonts w:ascii="Verdana" w:eastAsia="Calibri" w:hAnsi="Verdana" w:cs="Arial"/>
          <w:color w:val="000000" w:themeColor="text1"/>
          <w:lang w:eastAsia="es-ES"/>
        </w:rPr>
        <w:t>ntidad otorgar puntaje a un contratista por contar con determinado</w:t>
      </w:r>
      <w:r>
        <w:rPr>
          <w:rFonts w:ascii="Verdana" w:eastAsia="Calibri" w:hAnsi="Verdana" w:cs="Arial"/>
          <w:color w:val="000000" w:themeColor="text1"/>
          <w:lang w:eastAsia="es-ES"/>
        </w:rPr>
        <w:t xml:space="preserve"> </w:t>
      </w:r>
      <w:r w:rsidRPr="000E300C">
        <w:rPr>
          <w:rFonts w:ascii="Verdana" w:eastAsia="Calibri" w:hAnsi="Verdana" w:cs="Arial"/>
          <w:color w:val="000000" w:themeColor="text1"/>
          <w:lang w:eastAsia="es-ES"/>
        </w:rPr>
        <w:t xml:space="preserve">código UNSPSC? ¿Puede la </w:t>
      </w:r>
      <w:r>
        <w:rPr>
          <w:rFonts w:ascii="Verdana" w:eastAsia="Calibri" w:hAnsi="Verdana" w:cs="Arial"/>
          <w:color w:val="000000" w:themeColor="text1"/>
          <w:lang w:eastAsia="es-ES"/>
        </w:rPr>
        <w:t>e</w:t>
      </w:r>
      <w:r w:rsidRPr="000E300C">
        <w:rPr>
          <w:rFonts w:ascii="Verdana" w:eastAsia="Calibri" w:hAnsi="Verdana" w:cs="Arial"/>
          <w:color w:val="000000" w:themeColor="text1"/>
          <w:lang w:eastAsia="es-ES"/>
        </w:rPr>
        <w:t xml:space="preserve">ntidad exigir contar con un código hasta el cuarto nivel del clasificador de bienes y servicios? ¿Puede una </w:t>
      </w:r>
      <w:r>
        <w:rPr>
          <w:rFonts w:ascii="Verdana" w:eastAsia="Calibri" w:hAnsi="Verdana" w:cs="Arial"/>
          <w:color w:val="000000" w:themeColor="text1"/>
          <w:lang w:eastAsia="es-ES"/>
        </w:rPr>
        <w:t>e</w:t>
      </w:r>
      <w:r w:rsidRPr="000E300C">
        <w:rPr>
          <w:rFonts w:ascii="Verdana" w:eastAsia="Calibri" w:hAnsi="Verdana" w:cs="Arial"/>
          <w:color w:val="000000" w:themeColor="text1"/>
          <w:lang w:eastAsia="es-ES"/>
        </w:rPr>
        <w:t>ntidad no habilitar a un oferente por no contar con los códigos UNSPSC exigidos en el proceso</w:t>
      </w:r>
      <w:r w:rsidRPr="005652C3">
        <w:rPr>
          <w:rFonts w:ascii="Verdana" w:eastAsia="Calibri" w:hAnsi="Verdana" w:cs="Arial"/>
          <w:color w:val="000000" w:themeColor="text1"/>
          <w:lang w:eastAsia="es-ES"/>
        </w:rPr>
        <w:t>?</w:t>
      </w:r>
    </w:p>
    <w:p w14:paraId="5100E52E" w14:textId="77777777" w:rsidR="00BA6E6F" w:rsidRDefault="00BA6E6F" w:rsidP="00BA6E6F">
      <w:pPr>
        <w:spacing w:after="0" w:line="276" w:lineRule="auto"/>
        <w:jc w:val="both"/>
        <w:rPr>
          <w:rFonts w:ascii="Verdana" w:eastAsia="Calibri" w:hAnsi="Verdana" w:cs="Arial"/>
          <w:color w:val="000000" w:themeColor="text1"/>
          <w:lang w:eastAsia="es-ES"/>
        </w:rPr>
      </w:pPr>
    </w:p>
    <w:p w14:paraId="2A64E4C3" w14:textId="77777777" w:rsidR="00BA6E6F" w:rsidRDefault="00BA6E6F" w:rsidP="00BA6E6F">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eastAsia="es-ES"/>
        </w:rPr>
        <w:t>v) ¿Qué son los bienes y servicios de características técnicas uniformes y de común utilización y cuál de las causales de selección abreviada aplica?</w:t>
      </w:r>
    </w:p>
    <w:p w14:paraId="7BA8D884" w14:textId="77777777" w:rsidR="00BA6E6F" w:rsidRDefault="00BA6E6F" w:rsidP="00BA6E6F">
      <w:pPr>
        <w:spacing w:after="0" w:line="276" w:lineRule="auto"/>
        <w:jc w:val="both"/>
        <w:rPr>
          <w:rFonts w:ascii="Verdana" w:eastAsia="Calibri" w:hAnsi="Verdana" w:cs="Arial"/>
          <w:color w:val="000000" w:themeColor="text1"/>
          <w:lang w:val="es-ES" w:eastAsia="es-ES"/>
        </w:rPr>
      </w:pPr>
    </w:p>
    <w:p w14:paraId="17872B54" w14:textId="77777777" w:rsidR="00BA6E6F" w:rsidRDefault="00BA6E6F" w:rsidP="00BA6E6F">
      <w:pPr>
        <w:spacing w:after="0" w:line="276" w:lineRule="auto"/>
        <w:jc w:val="both"/>
        <w:rPr>
          <w:rFonts w:ascii="Verdana" w:eastAsia="Calibri" w:hAnsi="Verdana" w:cs="Arial"/>
          <w:color w:val="000000" w:themeColor="text1"/>
          <w:lang w:eastAsia="es-ES"/>
        </w:rPr>
      </w:pPr>
      <w:r>
        <w:rPr>
          <w:rFonts w:ascii="Verdana" w:eastAsia="Calibri" w:hAnsi="Verdana" w:cs="Arial"/>
          <w:color w:val="000000" w:themeColor="text1"/>
          <w:lang w:val="es-ES" w:eastAsia="es-ES"/>
        </w:rPr>
        <w:t xml:space="preserve">vi) </w:t>
      </w:r>
      <w:r w:rsidRPr="006959C1">
        <w:rPr>
          <w:rFonts w:ascii="Verdana" w:eastAsia="Calibri" w:hAnsi="Verdana" w:cs="Arial"/>
          <w:color w:val="000000" w:themeColor="text1"/>
          <w:lang w:eastAsia="es-ES"/>
        </w:rPr>
        <w:t xml:space="preserve">¿Puede una </w:t>
      </w:r>
      <w:r>
        <w:rPr>
          <w:rFonts w:ascii="Verdana" w:eastAsia="Calibri" w:hAnsi="Verdana" w:cs="Arial"/>
          <w:color w:val="000000" w:themeColor="text1"/>
          <w:lang w:eastAsia="es-ES"/>
        </w:rPr>
        <w:t>e</w:t>
      </w:r>
      <w:r w:rsidRPr="006959C1">
        <w:rPr>
          <w:rFonts w:ascii="Verdana" w:eastAsia="Calibri" w:hAnsi="Verdana" w:cs="Arial"/>
          <w:color w:val="000000" w:themeColor="text1"/>
          <w:lang w:eastAsia="es-ES"/>
        </w:rPr>
        <w:t>ntidad sabiendo que existe el establecimiento de comercio en la región elaborar un estudio de mercado con precios ofertados de empresas de otro departamento?</w:t>
      </w:r>
      <w:r>
        <w:rPr>
          <w:rFonts w:ascii="Verdana" w:eastAsia="Calibri" w:hAnsi="Verdana" w:cs="Arial"/>
          <w:color w:val="000000" w:themeColor="text1"/>
          <w:lang w:eastAsia="es-ES"/>
        </w:rPr>
        <w:t xml:space="preserve"> </w:t>
      </w:r>
    </w:p>
    <w:p w14:paraId="3795F43B" w14:textId="77777777" w:rsidR="00BA6E6F" w:rsidRDefault="00BA6E6F" w:rsidP="00BA6E6F">
      <w:pPr>
        <w:spacing w:after="0" w:line="276" w:lineRule="auto"/>
        <w:jc w:val="both"/>
        <w:rPr>
          <w:rFonts w:ascii="Verdana" w:eastAsia="Calibri" w:hAnsi="Verdana" w:cs="Arial"/>
          <w:color w:val="000000" w:themeColor="text1"/>
          <w:lang w:eastAsia="es-ES"/>
        </w:rPr>
      </w:pPr>
    </w:p>
    <w:p w14:paraId="0EC7568D" w14:textId="77777777" w:rsidR="00BA6E6F" w:rsidRDefault="00BA6E6F" w:rsidP="00BA6E6F">
      <w:pPr>
        <w:spacing w:after="0" w:line="276" w:lineRule="auto"/>
        <w:jc w:val="both"/>
        <w:rPr>
          <w:rFonts w:ascii="Verdana" w:eastAsia="Calibri" w:hAnsi="Verdana" w:cs="Arial"/>
          <w:color w:val="000000" w:themeColor="text1"/>
          <w:lang w:eastAsia="es-ES"/>
        </w:rPr>
      </w:pPr>
      <w:r>
        <w:rPr>
          <w:rFonts w:ascii="Verdana" w:eastAsia="Calibri" w:hAnsi="Verdana" w:cs="Arial"/>
          <w:color w:val="000000" w:themeColor="text1"/>
          <w:lang w:eastAsia="es-ES"/>
        </w:rPr>
        <w:t xml:space="preserve">vii) </w:t>
      </w:r>
      <w:r w:rsidRPr="0029739A">
        <w:rPr>
          <w:rFonts w:ascii="Verdana" w:eastAsia="Calibri" w:hAnsi="Verdana" w:cs="Arial"/>
          <w:color w:val="000000" w:themeColor="text1"/>
          <w:lang w:eastAsia="es-ES"/>
        </w:rPr>
        <w:t xml:space="preserve">¿Puede la </w:t>
      </w:r>
      <w:r>
        <w:rPr>
          <w:rFonts w:ascii="Verdana" w:eastAsia="Calibri" w:hAnsi="Verdana" w:cs="Arial"/>
          <w:color w:val="000000" w:themeColor="text1"/>
          <w:lang w:eastAsia="es-ES"/>
        </w:rPr>
        <w:t>e</w:t>
      </w:r>
      <w:r w:rsidRPr="0029739A">
        <w:rPr>
          <w:rFonts w:ascii="Verdana" w:eastAsia="Calibri" w:hAnsi="Verdana" w:cs="Arial"/>
          <w:color w:val="000000" w:themeColor="text1"/>
          <w:lang w:eastAsia="es-ES"/>
        </w:rPr>
        <w:t>ntidad rechazar</w:t>
      </w:r>
      <w:r>
        <w:rPr>
          <w:rFonts w:ascii="Verdana" w:eastAsia="Calibri" w:hAnsi="Verdana" w:cs="Arial"/>
          <w:color w:val="000000" w:themeColor="text1"/>
          <w:lang w:eastAsia="es-ES"/>
        </w:rPr>
        <w:t xml:space="preserve"> una propuesta</w:t>
      </w:r>
      <w:r w:rsidRPr="0029739A">
        <w:rPr>
          <w:rFonts w:ascii="Verdana" w:eastAsia="Calibri" w:hAnsi="Verdana" w:cs="Arial"/>
          <w:color w:val="000000" w:themeColor="text1"/>
          <w:lang w:eastAsia="es-ES"/>
        </w:rPr>
        <w:t xml:space="preserve"> en un proceso de mínima cuantía por no enviar una carta en donde se manifieste el cumplimiento del anexo técnico?</w:t>
      </w:r>
    </w:p>
    <w:p w14:paraId="10500DE8" w14:textId="77777777" w:rsidR="00BA6E6F" w:rsidRPr="00FC7E29" w:rsidRDefault="00BA6E6F" w:rsidP="00BA6E6F">
      <w:pPr>
        <w:spacing w:after="0" w:line="276" w:lineRule="auto"/>
        <w:jc w:val="both"/>
        <w:rPr>
          <w:rFonts w:ascii="Verdana" w:eastAsia="Calibri" w:hAnsi="Verdana" w:cs="Arial"/>
          <w:color w:val="7030A0"/>
        </w:rPr>
      </w:pPr>
    </w:p>
    <w:p w14:paraId="6A3236F9" w14:textId="77777777" w:rsidR="00BA6E6F" w:rsidRPr="00593A5F" w:rsidRDefault="00BA6E6F" w:rsidP="00BA6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373E96B" w14:textId="77777777" w:rsidR="00BA6E6F" w:rsidRPr="00593A5F" w:rsidRDefault="00BA6E6F" w:rsidP="00BA6E6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A6E6F" w:rsidRPr="00593A5F" w14:paraId="36A13367" w14:textId="77777777" w:rsidTr="00801FC1">
        <w:tc>
          <w:tcPr>
            <w:tcW w:w="8828" w:type="dxa"/>
            <w:shd w:val="clear" w:color="auto" w:fill="auto"/>
          </w:tcPr>
          <w:p w14:paraId="30CE641F" w14:textId="77777777" w:rsidR="00BA6E6F" w:rsidRPr="00523FF9" w:rsidRDefault="00BA6E6F" w:rsidP="00801FC1">
            <w:pPr>
              <w:spacing w:line="276" w:lineRule="auto"/>
              <w:jc w:val="both"/>
              <w:rPr>
                <w:rFonts w:ascii="Verdana" w:eastAsia="Calibri" w:hAnsi="Verdana" w:cs="Arial"/>
                <w:color w:val="000000" w:themeColor="text1"/>
                <w:lang w:val="es-ES"/>
              </w:rPr>
            </w:pPr>
            <w:r w:rsidRPr="00523FF9">
              <w:rPr>
                <w:rFonts w:ascii="Verdana" w:eastAsia="Calibri" w:hAnsi="Verdana" w:cs="Arial"/>
                <w:color w:val="000000" w:themeColor="text1"/>
                <w:lang w:val="es-ES"/>
              </w:rPr>
              <w:t>Respecto de los problemas jurídicos antes planteados, la Subdirección manifiesta:</w:t>
            </w:r>
          </w:p>
          <w:p w14:paraId="78E3C037" w14:textId="77777777" w:rsidR="00BA6E6F" w:rsidRDefault="00BA6E6F" w:rsidP="00801FC1">
            <w:pPr>
              <w:spacing w:line="276" w:lineRule="auto"/>
              <w:jc w:val="both"/>
              <w:rPr>
                <w:rFonts w:ascii="Verdana" w:eastAsia="Calibri" w:hAnsi="Verdana" w:cs="Arial"/>
                <w:color w:val="000000" w:themeColor="text1"/>
                <w:lang w:val="es-ES"/>
              </w:rPr>
            </w:pPr>
          </w:p>
          <w:p w14:paraId="5451FEB5" w14:textId="77777777" w:rsidR="00BA6E6F" w:rsidRPr="00523FF9" w:rsidRDefault="00BA6E6F" w:rsidP="00801FC1">
            <w:pPr>
              <w:spacing w:line="276" w:lineRule="auto"/>
              <w:jc w:val="both"/>
              <w:rPr>
                <w:rFonts w:ascii="Verdana" w:eastAsia="Calibri" w:hAnsi="Verdana" w:cs="Arial"/>
                <w:color w:val="000000" w:themeColor="text1"/>
                <w:lang w:val="es-ES"/>
              </w:rPr>
            </w:pPr>
            <w:r w:rsidRPr="00523FF9">
              <w:rPr>
                <w:rFonts w:ascii="Verdana" w:eastAsia="Calibri" w:hAnsi="Verdana" w:cs="Arial"/>
                <w:color w:val="000000" w:themeColor="text1"/>
                <w:lang w:val="es-ES"/>
              </w:rPr>
              <w:lastRenderedPageBreak/>
              <w:t xml:space="preserve">i) </w:t>
            </w:r>
            <w:r>
              <w:rPr>
                <w:rFonts w:ascii="Verdana" w:eastAsia="Calibri" w:hAnsi="Verdana" w:cs="Arial"/>
                <w:color w:val="000000" w:themeColor="text1"/>
                <w:lang w:val="es-ES"/>
              </w:rPr>
              <w:t>Al respecto, es necesario precisar que n</w:t>
            </w:r>
            <w:r w:rsidRPr="00523FF9">
              <w:rPr>
                <w:rFonts w:ascii="Verdana" w:eastAsia="Calibri" w:hAnsi="Verdana" w:cs="Arial"/>
                <w:color w:val="000000" w:themeColor="text1"/>
                <w:lang w:val="es-ES"/>
              </w:rPr>
              <w:t>o existe concurrencia entre la limitación de convocatorias a MiPymes nacionales y la limitación territorial.</w:t>
            </w:r>
            <w:r>
              <w:rPr>
                <w:rFonts w:ascii="Verdana" w:eastAsia="Calibri" w:hAnsi="Verdana" w:cs="Arial"/>
                <w:color w:val="000000" w:themeColor="text1"/>
                <w:lang w:val="es-ES"/>
              </w:rPr>
              <w:t xml:space="preserve"> Téngase presente que</w:t>
            </w:r>
            <w:r w:rsidRPr="00523FF9">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las limitaciones territoriales en los procesos en los cuales se ven involucrado MiPymes es un deber que tienen las Entidades Estatales </w:t>
            </w:r>
            <w:r w:rsidRPr="00523FF9">
              <w:rPr>
                <w:rFonts w:ascii="Verdana" w:eastAsia="Calibri" w:hAnsi="Verdana" w:cs="Arial"/>
                <w:color w:val="000000" w:themeColor="text1"/>
                <w:lang w:val="es-ES"/>
              </w:rPr>
              <w:t xml:space="preserve"> independientemente de su régimen de contratación, los patrimonios autónomos constituidos por entidades estatales y los particulares que ejecuten recursos públicos</w:t>
            </w:r>
            <w:r>
              <w:rPr>
                <w:rFonts w:ascii="Verdana" w:eastAsia="Calibri" w:hAnsi="Verdana" w:cs="Arial"/>
                <w:color w:val="000000" w:themeColor="text1"/>
                <w:lang w:val="es-ES"/>
              </w:rPr>
              <w:t xml:space="preserve">; para lo cual </w:t>
            </w:r>
            <w:r w:rsidRPr="00523FF9">
              <w:rPr>
                <w:rFonts w:ascii="Verdana" w:eastAsia="Calibri" w:hAnsi="Verdana" w:cs="Arial"/>
                <w:color w:val="000000" w:themeColor="text1"/>
                <w:lang w:val="es-ES"/>
              </w:rPr>
              <w:t>, limitar</w:t>
            </w:r>
            <w:r>
              <w:rPr>
                <w:rFonts w:ascii="Verdana" w:eastAsia="Calibri" w:hAnsi="Verdana" w:cs="Arial"/>
                <w:color w:val="000000" w:themeColor="text1"/>
                <w:lang w:val="es-ES"/>
              </w:rPr>
              <w:t>an</w:t>
            </w:r>
            <w:r w:rsidRPr="00523FF9">
              <w:rPr>
                <w:rFonts w:ascii="Verdana" w:eastAsia="Calibri" w:hAnsi="Verdana" w:cs="Arial"/>
                <w:color w:val="000000" w:themeColor="text1"/>
                <w:lang w:val="es-ES"/>
              </w:rPr>
              <w:t xml:space="preserve"> la convocatoria de los procesos de contratación con pluralidad de oferentes a las MiPymes colombianas con mínimo un (1) año de existencia, cuando concurran los requisitos definidos en el artículo 2.2.1.2.4.2.2 del Decreto 1082 de 2015, modificado por el artículo 5 del Decreto 1860 de 2021,  expuestos en las consideraciones del presente concepto. </w:t>
            </w:r>
          </w:p>
          <w:p w14:paraId="68A541FD" w14:textId="77777777" w:rsidR="00BA6E6F" w:rsidRPr="00523FF9" w:rsidRDefault="00BA6E6F" w:rsidP="00801FC1">
            <w:pPr>
              <w:spacing w:line="276" w:lineRule="auto"/>
              <w:jc w:val="both"/>
              <w:rPr>
                <w:rFonts w:ascii="Verdana" w:eastAsia="Calibri" w:hAnsi="Verdana" w:cs="Arial"/>
                <w:color w:val="000000" w:themeColor="text1"/>
                <w:lang w:val="es-ES"/>
              </w:rPr>
            </w:pPr>
          </w:p>
          <w:p w14:paraId="26E177C1" w14:textId="77777777" w:rsidR="00BA6E6F" w:rsidRPr="00523FF9"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lang w:val="es-ES"/>
              </w:rPr>
              <w:t xml:space="preserve">Por otro lado, la “limitación territorial” es la facultad que otorga el parágrafo 1 del artículo 12 de la Ley 1150 de 2007 a las entidades estatales, </w:t>
            </w:r>
            <w:r>
              <w:rPr>
                <w:rFonts w:ascii="Verdana" w:eastAsia="Calibri" w:hAnsi="Verdana" w:cs="Arial"/>
                <w:color w:val="000000" w:themeColor="text1"/>
                <w:lang w:val="es-ES"/>
              </w:rPr>
              <w:t xml:space="preserve">de limitar el proceso no solo a MiPymes Colombianas que cumplen los requisitos legales definidos en el artículo </w:t>
            </w:r>
            <w:r w:rsidRPr="00523FF9">
              <w:rPr>
                <w:rFonts w:ascii="Verdana" w:eastAsia="Calibri" w:hAnsi="Verdana" w:cs="Arial"/>
                <w:color w:val="000000" w:themeColor="text1"/>
                <w:lang w:val="es-ES"/>
              </w:rPr>
              <w:t>2.2.1.2.4.2.2 del Decreto 1082 de 2015</w:t>
            </w:r>
            <w:r>
              <w:rPr>
                <w:rFonts w:ascii="Verdana" w:eastAsia="Calibri" w:hAnsi="Verdana" w:cs="Arial"/>
                <w:color w:val="000000" w:themeColor="text1"/>
                <w:lang w:val="es-ES"/>
              </w:rPr>
              <w:t xml:space="preserve">, sino que tengan domicilio en   </w:t>
            </w:r>
            <w:r w:rsidRPr="00523FF9">
              <w:rPr>
                <w:rFonts w:ascii="Verdana" w:eastAsia="Calibri" w:hAnsi="Verdana" w:cs="Arial"/>
                <w:color w:val="000000" w:themeColor="text1"/>
              </w:rPr>
              <w:t xml:space="preserve">los departamentos o municipios en donde se va a ejecutar el contrato. </w:t>
            </w:r>
          </w:p>
          <w:p w14:paraId="32BBEFB8" w14:textId="77777777" w:rsidR="00BA6E6F" w:rsidRPr="00523FF9" w:rsidRDefault="00BA6E6F" w:rsidP="00801FC1">
            <w:pPr>
              <w:spacing w:line="276" w:lineRule="auto"/>
              <w:jc w:val="both"/>
              <w:rPr>
                <w:rFonts w:ascii="Verdana" w:eastAsia="Calibri" w:hAnsi="Verdana" w:cs="Arial"/>
                <w:color w:val="000000" w:themeColor="text1"/>
                <w:lang w:val="es-ES"/>
              </w:rPr>
            </w:pPr>
          </w:p>
          <w:p w14:paraId="6EE8400E" w14:textId="77777777" w:rsidR="00BA6E6F" w:rsidRPr="00523FF9"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lang w:val="es-ES"/>
              </w:rPr>
              <w:t>Dicho lo anterior, la decisión de limitar o no territorialmente una convocatoria limitada a MiPymes nacionales es una facultad discrecional, de manera que la entidad contratante valorará si es oportuno y conveniente adoptarla, con sustento en los estudios del sector y se considere una decisión adecuada a los fines de la norma que la autoriza y proporcional a los hechos que le sirven de causa.</w:t>
            </w:r>
          </w:p>
          <w:p w14:paraId="5EEE4D99" w14:textId="77777777" w:rsidR="00BA6E6F" w:rsidRPr="00523FF9" w:rsidRDefault="00BA6E6F" w:rsidP="00801FC1">
            <w:pPr>
              <w:spacing w:line="276" w:lineRule="auto"/>
              <w:jc w:val="both"/>
              <w:rPr>
                <w:rFonts w:ascii="Verdana" w:eastAsia="Calibri" w:hAnsi="Verdana" w:cs="Arial"/>
                <w:color w:val="000000" w:themeColor="text1"/>
              </w:rPr>
            </w:pPr>
          </w:p>
          <w:p w14:paraId="7723D1CD" w14:textId="77777777" w:rsidR="00BA6E6F"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lang w:val="es-ES"/>
              </w:rPr>
              <w:t>ii) L</w:t>
            </w:r>
            <w:r w:rsidRPr="00523FF9">
              <w:rPr>
                <w:rFonts w:ascii="Verdana" w:eastAsia="Calibri" w:hAnsi="Verdana" w:cs="Arial"/>
                <w:color w:val="000000" w:themeColor="text1"/>
              </w:rPr>
              <w:t xml:space="preserve">as </w:t>
            </w:r>
            <w:r>
              <w:rPr>
                <w:rFonts w:ascii="Verdana" w:eastAsia="Calibri" w:hAnsi="Verdana" w:cs="Arial"/>
                <w:color w:val="000000" w:themeColor="text1"/>
              </w:rPr>
              <w:t>E</w:t>
            </w:r>
            <w:r w:rsidRPr="00523FF9">
              <w:rPr>
                <w:rFonts w:ascii="Verdana" w:eastAsia="Calibri" w:hAnsi="Verdana" w:cs="Arial"/>
                <w:color w:val="000000" w:themeColor="text1"/>
              </w:rPr>
              <w:t>ntidades</w:t>
            </w:r>
            <w:r>
              <w:rPr>
                <w:rFonts w:ascii="Verdana" w:eastAsia="Calibri" w:hAnsi="Verdana" w:cs="Arial"/>
                <w:color w:val="000000" w:themeColor="text1"/>
              </w:rPr>
              <w:t xml:space="preserve"> Estatales</w:t>
            </w:r>
            <w:r w:rsidRPr="00523FF9">
              <w:rPr>
                <w:rFonts w:ascii="Verdana" w:eastAsia="Calibri" w:hAnsi="Verdana" w:cs="Arial"/>
                <w:color w:val="000000" w:themeColor="text1"/>
              </w:rPr>
              <w:t>, como responsables de la estructuración de sus procedimientos de contratación, son autónomas para requerir la experiencia necesaria para el objeto del contrato, para lo cual, de acuerdo con el artículo 2.2.1.1.1.6.2. del Decreto 1082 de 2015, deben tener en cuenta el estudio del sector y sus componentes como la identificación de riesgos, el mercado y precio del bien, obra o servicio a contratar, y establecer si es adecuado exigir parámetros de sostenibilidad, relacionados con el objeto del contrato.</w:t>
            </w:r>
          </w:p>
          <w:p w14:paraId="3434A2E7" w14:textId="77777777" w:rsidR="00BA6E6F" w:rsidRDefault="00BA6E6F" w:rsidP="00801FC1">
            <w:pPr>
              <w:spacing w:line="276" w:lineRule="auto"/>
              <w:jc w:val="both"/>
              <w:rPr>
                <w:rFonts w:ascii="Verdana" w:eastAsia="Calibri" w:hAnsi="Verdana" w:cs="Arial"/>
                <w:color w:val="000000" w:themeColor="text1"/>
              </w:rPr>
            </w:pPr>
          </w:p>
          <w:p w14:paraId="625A5474" w14:textId="77777777" w:rsidR="00BA6E6F" w:rsidRPr="00523FF9"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 xml:space="preserve"> Sin embargo, dicha discrecionalidad de las </w:t>
            </w:r>
            <w:r>
              <w:rPr>
                <w:rFonts w:ascii="Verdana" w:eastAsia="Calibri" w:hAnsi="Verdana" w:cs="Arial"/>
                <w:color w:val="000000" w:themeColor="text1"/>
              </w:rPr>
              <w:t>E</w:t>
            </w:r>
            <w:r w:rsidRPr="00523FF9">
              <w:rPr>
                <w:rFonts w:ascii="Verdana" w:eastAsia="Calibri" w:hAnsi="Verdana" w:cs="Arial"/>
                <w:color w:val="000000" w:themeColor="text1"/>
              </w:rPr>
              <w:t xml:space="preserve">ntidades </w:t>
            </w:r>
            <w:r>
              <w:rPr>
                <w:rFonts w:ascii="Verdana" w:eastAsia="Calibri" w:hAnsi="Verdana" w:cs="Arial"/>
                <w:color w:val="000000" w:themeColor="text1"/>
              </w:rPr>
              <w:t>E</w:t>
            </w:r>
            <w:r w:rsidRPr="00523FF9">
              <w:rPr>
                <w:rFonts w:ascii="Verdana" w:eastAsia="Calibri" w:hAnsi="Verdana" w:cs="Arial"/>
                <w:color w:val="000000" w:themeColor="text1"/>
              </w:rPr>
              <w:t xml:space="preserve">statales encuentra limite en la medida en que las condiciones fijadas en el pliego de condiciones deben ser razonables, de manera que las condiciones de experiencia </w:t>
            </w:r>
            <w:r w:rsidRPr="00523FF9">
              <w:rPr>
                <w:rFonts w:ascii="Verdana" w:eastAsia="Calibri" w:hAnsi="Verdana" w:cs="Arial"/>
                <w:color w:val="000000" w:themeColor="text1"/>
              </w:rPr>
              <w:lastRenderedPageBreak/>
              <w:t xml:space="preserve">establecidas sean garantía de los principios de libre concurrencia, igualdad, imparcialidad, transparencia y prevalencia del interés general sobre el particular. </w:t>
            </w:r>
          </w:p>
          <w:p w14:paraId="3E66CC7E" w14:textId="77777777" w:rsidR="00BA6E6F" w:rsidRPr="00523FF9" w:rsidRDefault="00BA6E6F" w:rsidP="00801FC1">
            <w:pPr>
              <w:spacing w:line="276" w:lineRule="auto"/>
              <w:jc w:val="both"/>
              <w:rPr>
                <w:rFonts w:ascii="Verdana" w:eastAsia="Calibri" w:hAnsi="Verdana" w:cs="Arial"/>
                <w:color w:val="000000" w:themeColor="text1"/>
              </w:rPr>
            </w:pPr>
          </w:p>
          <w:p w14:paraId="08BFDC43" w14:textId="77777777" w:rsidR="00BA6E6F"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Ahora bien, se advierte que la postura de la Agencia, con relación a los requisitos habilitantes, ha venido reconociendo que, además de los criterios como la experiencia, la capacidad jurídica, financiera y de organización, la entidad estatal es autónoma en establecer otros elementos que garanticen la escogencia de la mejor opción de negocio para la satisfacción de la necesidad.</w:t>
            </w:r>
          </w:p>
          <w:p w14:paraId="4371ABB0" w14:textId="77777777" w:rsidR="00BA6E6F" w:rsidRPr="00523FF9" w:rsidRDefault="00BA6E6F" w:rsidP="00801FC1">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 </w:t>
            </w:r>
            <w:r w:rsidRPr="00523FF9">
              <w:rPr>
                <w:rFonts w:ascii="Verdana" w:eastAsia="Calibri" w:hAnsi="Verdana" w:cs="Arial"/>
                <w:color w:val="000000" w:themeColor="text1"/>
              </w:rPr>
              <w:t xml:space="preserve">No obstante, la entidad estatal puede determinar la necesidad de que los proponentes cuenten con un establecimiento de comercio en el lugar donde se realiza el proceso de contratación, y establecerlo en la invitación como una condición </w:t>
            </w:r>
            <w:r>
              <w:rPr>
                <w:rFonts w:ascii="Verdana" w:eastAsia="Calibri" w:hAnsi="Verdana" w:cs="Arial"/>
                <w:color w:val="000000" w:themeColor="text1"/>
              </w:rPr>
              <w:t xml:space="preserve">de carácter </w:t>
            </w:r>
            <w:r w:rsidRPr="00523FF9">
              <w:rPr>
                <w:rFonts w:ascii="Verdana" w:eastAsia="Calibri" w:hAnsi="Verdana" w:cs="Arial"/>
                <w:color w:val="000000" w:themeColor="text1"/>
              </w:rPr>
              <w:t>técnic</w:t>
            </w:r>
            <w:r>
              <w:rPr>
                <w:rFonts w:ascii="Verdana" w:eastAsia="Calibri" w:hAnsi="Verdana" w:cs="Arial"/>
                <w:color w:val="000000" w:themeColor="text1"/>
              </w:rPr>
              <w:t>o</w:t>
            </w:r>
            <w:r w:rsidRPr="00523FF9">
              <w:rPr>
                <w:rFonts w:ascii="Verdana" w:eastAsia="Calibri" w:hAnsi="Verdana" w:cs="Arial"/>
                <w:color w:val="000000" w:themeColor="text1"/>
              </w:rPr>
              <w:t xml:space="preserve">, siempre que esta exigencia guarde relación con el objeto del proceso de contratación y esté debidamente documentada la justificación </w:t>
            </w:r>
            <w:r>
              <w:rPr>
                <w:rFonts w:ascii="Verdana" w:eastAsia="Calibri" w:hAnsi="Verdana" w:cs="Arial"/>
                <w:color w:val="000000" w:themeColor="text1"/>
              </w:rPr>
              <w:t>en los estudios previos.</w:t>
            </w:r>
          </w:p>
          <w:p w14:paraId="7AD4655C" w14:textId="77777777" w:rsidR="00BA6E6F" w:rsidRPr="00523FF9" w:rsidRDefault="00BA6E6F" w:rsidP="00801FC1">
            <w:pPr>
              <w:spacing w:line="276" w:lineRule="auto"/>
              <w:jc w:val="both"/>
              <w:rPr>
                <w:rFonts w:ascii="Verdana" w:eastAsia="Calibri" w:hAnsi="Verdana" w:cs="Arial"/>
                <w:color w:val="000000" w:themeColor="text1"/>
              </w:rPr>
            </w:pPr>
          </w:p>
          <w:p w14:paraId="4141863D" w14:textId="77777777" w:rsidR="00BA6E6F" w:rsidRPr="00530D32"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iii</w:t>
            </w:r>
            <w:r w:rsidRPr="00530D32">
              <w:rPr>
                <w:rFonts w:ascii="Verdana" w:eastAsia="Calibri" w:hAnsi="Verdana" w:cs="Arial"/>
                <w:color w:val="000000" w:themeColor="text1"/>
              </w:rPr>
              <w:t xml:space="preserve">) En términos generales, el factor de calidad hace parte de aquellos factores dirigidos a determinar cuál es la propuesta comparativamente más favorable. </w:t>
            </w:r>
          </w:p>
          <w:p w14:paraId="09C7A9E8" w14:textId="77777777" w:rsidR="00BA6E6F" w:rsidRPr="00530D32" w:rsidRDefault="00BA6E6F" w:rsidP="00801FC1">
            <w:pPr>
              <w:spacing w:line="276" w:lineRule="auto"/>
              <w:jc w:val="both"/>
              <w:rPr>
                <w:rFonts w:ascii="Verdana" w:eastAsia="Calibri" w:hAnsi="Verdana" w:cs="Arial"/>
                <w:color w:val="000000" w:themeColor="text1"/>
              </w:rPr>
            </w:pPr>
          </w:p>
          <w:p w14:paraId="4BCDD14B" w14:textId="77777777" w:rsidR="00BA6E6F" w:rsidRDefault="00BA6E6F" w:rsidP="00801FC1">
            <w:pPr>
              <w:spacing w:line="276" w:lineRule="auto"/>
              <w:jc w:val="both"/>
              <w:rPr>
                <w:rFonts w:ascii="Verdana" w:eastAsia="Calibri" w:hAnsi="Verdana" w:cs="Arial"/>
                <w:color w:val="000000" w:themeColor="text1"/>
              </w:rPr>
            </w:pPr>
            <w:r w:rsidRPr="00530D32">
              <w:rPr>
                <w:rFonts w:ascii="Verdana" w:eastAsia="Calibri" w:hAnsi="Verdana" w:cs="Arial"/>
                <w:color w:val="000000" w:themeColor="text1"/>
              </w:rPr>
              <w:t xml:space="preserve">Ahora bien, y en consonancia con lo dicho en la respuesta al punto ii), el aporte de contratos relacionados con el bien o servicio a contratar puede constituirse como factor ponderable solo en aquellos procesos de contratación para la selección de consultores, bajo la modalidad de concurso de méritos regulada en el numeral 3 del artículo 2 de la Ley 1150 de 2007. </w:t>
            </w:r>
          </w:p>
          <w:p w14:paraId="31E303F0" w14:textId="77777777" w:rsidR="00BA6E6F" w:rsidRDefault="00BA6E6F" w:rsidP="00801FC1">
            <w:pPr>
              <w:spacing w:line="276" w:lineRule="auto"/>
              <w:jc w:val="both"/>
              <w:rPr>
                <w:rFonts w:ascii="Verdana" w:eastAsia="Calibri" w:hAnsi="Verdana" w:cs="Arial"/>
                <w:color w:val="000000" w:themeColor="text1"/>
              </w:rPr>
            </w:pPr>
          </w:p>
          <w:p w14:paraId="6D1AD1EC" w14:textId="77777777" w:rsidR="00BA6E6F" w:rsidRDefault="00BA6E6F" w:rsidP="00801FC1">
            <w:pPr>
              <w:spacing w:line="276" w:lineRule="auto"/>
              <w:jc w:val="both"/>
              <w:rPr>
                <w:rFonts w:ascii="Verdana" w:eastAsia="Calibri" w:hAnsi="Verdana" w:cs="Arial"/>
                <w:color w:val="000000" w:themeColor="text1"/>
              </w:rPr>
            </w:pPr>
            <w:r w:rsidRPr="00530D32">
              <w:rPr>
                <w:rFonts w:ascii="Verdana" w:eastAsia="Calibri" w:hAnsi="Verdana" w:cs="Arial"/>
                <w:color w:val="000000" w:themeColor="text1"/>
              </w:rPr>
              <w:t xml:space="preserve">Por otro lado, en las demás modalidades de contratación reguladas por el artículo en cita, la experiencia no es un factor ponderable. En ese sentido, los contratos aportados por el proponente, relacionados con el objeto del contrato, deben ser evaluados como experiencia en cuanto a los requisitos habilitantes que miden la aptitud del proponente y lo avalan para presentar su oferta. </w:t>
            </w:r>
          </w:p>
          <w:p w14:paraId="38F42C5E" w14:textId="77777777" w:rsidR="00BA6E6F" w:rsidRDefault="00BA6E6F" w:rsidP="00801FC1">
            <w:pPr>
              <w:spacing w:line="276" w:lineRule="auto"/>
              <w:jc w:val="both"/>
              <w:rPr>
                <w:rFonts w:ascii="Verdana" w:eastAsia="Calibri" w:hAnsi="Verdana" w:cs="Arial"/>
                <w:color w:val="000000" w:themeColor="text1"/>
              </w:rPr>
            </w:pPr>
          </w:p>
          <w:p w14:paraId="0A56DFB4" w14:textId="77777777" w:rsidR="00BA6E6F" w:rsidRPr="00523FF9" w:rsidRDefault="00BA6E6F" w:rsidP="00801FC1">
            <w:pPr>
              <w:spacing w:line="276" w:lineRule="auto"/>
              <w:jc w:val="both"/>
              <w:rPr>
                <w:rFonts w:ascii="Verdana" w:eastAsia="Calibri" w:hAnsi="Verdana" w:cs="Arial"/>
                <w:color w:val="000000" w:themeColor="text1"/>
              </w:rPr>
            </w:pPr>
            <w:r>
              <w:rPr>
                <w:rFonts w:ascii="Verdana" w:eastAsia="Calibri" w:hAnsi="Verdana" w:cs="Arial"/>
                <w:color w:val="000000" w:themeColor="text1"/>
              </w:rPr>
              <w:t>En ese orden de ideas</w:t>
            </w:r>
            <w:r w:rsidRPr="00530D32">
              <w:rPr>
                <w:rFonts w:ascii="Verdana" w:eastAsia="Calibri" w:hAnsi="Verdana" w:cs="Arial"/>
                <w:color w:val="000000" w:themeColor="text1"/>
              </w:rPr>
              <w:t>, el factor de calidad debe calificarse a través de otros factores de conformidad con el numeral 2 del artículo 5 de la Ley 1150 de 2007, de naturaleza técnica o económica, asociados a la calidad del bien o servicio.</w:t>
            </w:r>
          </w:p>
          <w:p w14:paraId="41D0AFCB" w14:textId="77777777" w:rsidR="00BA6E6F" w:rsidRPr="00523FF9" w:rsidRDefault="00BA6E6F" w:rsidP="00801FC1">
            <w:pPr>
              <w:spacing w:line="276" w:lineRule="auto"/>
              <w:jc w:val="both"/>
              <w:rPr>
                <w:rFonts w:ascii="Verdana" w:eastAsia="Calibri" w:hAnsi="Verdana" w:cs="Arial"/>
                <w:color w:val="000000" w:themeColor="text1"/>
              </w:rPr>
            </w:pPr>
          </w:p>
          <w:p w14:paraId="7DF4C972" w14:textId="77777777" w:rsidR="00BA6E6F"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 xml:space="preserve">iv) En la medida que la clasificación de la experiencia a través de la utilización de los códigos UNSPSC no resulta ser un medio de acreditación de la misma </w:t>
            </w:r>
            <w:r w:rsidRPr="00523FF9">
              <w:rPr>
                <w:rFonts w:ascii="Verdana" w:eastAsia="Calibri" w:hAnsi="Verdana" w:cs="Arial"/>
                <w:color w:val="000000" w:themeColor="text1"/>
              </w:rPr>
              <w:lastRenderedPageBreak/>
              <w:t xml:space="preserve">sino un simple método para la unificación del lenguaje usado por los participantes dentro del proceso de selección, la presentación de códigos distintos a los que corresponden a la actividad exigida como experiencia no podrá ser causal de rechazo de las ofertas siempre y cuando el oferente acredite en debida forma la experiencia exigida por la entidad contratante dentro de los pliegos de condiciones. </w:t>
            </w:r>
          </w:p>
          <w:p w14:paraId="32E11E4A" w14:textId="77777777" w:rsidR="00BA6E6F" w:rsidRDefault="00BA6E6F" w:rsidP="00801FC1">
            <w:pPr>
              <w:spacing w:line="276" w:lineRule="auto"/>
              <w:jc w:val="both"/>
              <w:rPr>
                <w:rFonts w:ascii="Verdana" w:eastAsia="Calibri" w:hAnsi="Verdana" w:cs="Arial"/>
                <w:color w:val="000000" w:themeColor="text1"/>
              </w:rPr>
            </w:pPr>
          </w:p>
          <w:p w14:paraId="0153CABD" w14:textId="77777777" w:rsidR="00BA6E6F" w:rsidRPr="00523FF9"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 xml:space="preserve">Lo anterior, sin perjuicio de que en los pliegos de condiciones se haya acudido al Clasificador de Bienes y Servicios de las Naciones Unidas para exigir, por ejemplo, que solo se tendrá por valedera la experiencia inscrita por el proponente en el RUP, que sea de contratos ejecutados que coincidan con algún código del Clasificador del Bienes y Servicios, en particular, en el tercer nivel del clasificador, en cuyo caso, sí procederá el rechazo de la oferta, </w:t>
            </w:r>
            <w:r>
              <w:rPr>
                <w:rFonts w:ascii="Verdana" w:eastAsia="Calibri" w:hAnsi="Verdana" w:cs="Arial"/>
                <w:color w:val="000000" w:themeColor="text1"/>
              </w:rPr>
              <w:t xml:space="preserve">no obstante, el proponente tendría la posibilidad aplicar las </w:t>
            </w:r>
            <w:r w:rsidRPr="00523FF9">
              <w:rPr>
                <w:rFonts w:ascii="Verdana" w:eastAsia="Calibri" w:hAnsi="Verdana" w:cs="Arial"/>
                <w:color w:val="000000" w:themeColor="text1"/>
              </w:rPr>
              <w:t xml:space="preserve">reglas </w:t>
            </w:r>
            <w:r>
              <w:rPr>
                <w:rFonts w:ascii="Verdana" w:eastAsia="Calibri" w:hAnsi="Verdana" w:cs="Arial"/>
                <w:color w:val="000000" w:themeColor="text1"/>
              </w:rPr>
              <w:t>de</w:t>
            </w:r>
            <w:r w:rsidRPr="00523FF9">
              <w:rPr>
                <w:rFonts w:ascii="Verdana" w:eastAsia="Calibri" w:hAnsi="Verdana" w:cs="Arial"/>
                <w:color w:val="000000" w:themeColor="text1"/>
              </w:rPr>
              <w:t xml:space="preserve"> subsanabilidad </w:t>
            </w:r>
            <w:r>
              <w:rPr>
                <w:rFonts w:ascii="Verdana" w:eastAsia="Calibri" w:hAnsi="Verdana" w:cs="Arial"/>
                <w:color w:val="000000" w:themeColor="text1"/>
              </w:rPr>
              <w:t xml:space="preserve">que </w:t>
            </w:r>
            <w:r w:rsidRPr="00523FF9">
              <w:rPr>
                <w:rFonts w:ascii="Verdana" w:eastAsia="Calibri" w:hAnsi="Verdana" w:cs="Arial"/>
                <w:color w:val="000000" w:themeColor="text1"/>
              </w:rPr>
              <w:t>trae el EGCAP.</w:t>
            </w:r>
          </w:p>
          <w:p w14:paraId="06955D93" w14:textId="77777777" w:rsidR="00BA6E6F" w:rsidRPr="00523FF9" w:rsidRDefault="00BA6E6F" w:rsidP="00801FC1">
            <w:pPr>
              <w:spacing w:line="276" w:lineRule="auto"/>
              <w:jc w:val="both"/>
              <w:rPr>
                <w:rFonts w:ascii="Verdana" w:eastAsia="Calibri" w:hAnsi="Verdana" w:cs="Arial"/>
                <w:color w:val="000000" w:themeColor="text1"/>
              </w:rPr>
            </w:pPr>
          </w:p>
          <w:p w14:paraId="2B338AA0" w14:textId="77777777" w:rsidR="00BA6E6F" w:rsidRPr="00523FF9"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 xml:space="preserve">v) El artículo 2.2.1.1.1.3.1. del Decreto 1082 de 2015 define los Bienes y Servicios de Características Técnicas Uniformes y Común Utilización como aquellos bienes </w:t>
            </w:r>
            <w:r w:rsidRPr="00523FF9">
              <w:rPr>
                <w:rFonts w:ascii="Verdana" w:eastAsia="Calibri" w:hAnsi="Verdana" w:cs="Arial"/>
                <w:i/>
                <w:iCs/>
                <w:color w:val="000000" w:themeColor="text1"/>
              </w:rPr>
              <w:t>con especificaciones técnicas y patrones de desempeño y calidad iguales o similares, que en consecuencia pueden ser agrupados como bienes y servicios homogéneos para su adquisición y a los que se refiere el literal (a) del numeral 2 del artículo 2° de la Ley 1150 de 2007</w:t>
            </w:r>
            <w:r w:rsidRPr="00523FF9">
              <w:rPr>
                <w:rFonts w:ascii="Verdana" w:eastAsia="Calibri" w:hAnsi="Verdana" w:cs="Arial"/>
                <w:color w:val="000000" w:themeColor="text1"/>
              </w:rPr>
              <w:t xml:space="preserve">. </w:t>
            </w:r>
          </w:p>
          <w:p w14:paraId="7359E044" w14:textId="77777777" w:rsidR="00BA6E6F" w:rsidRPr="00523FF9" w:rsidRDefault="00BA6E6F" w:rsidP="00801FC1">
            <w:pPr>
              <w:spacing w:line="276" w:lineRule="auto"/>
              <w:jc w:val="both"/>
              <w:rPr>
                <w:rFonts w:ascii="Verdana" w:eastAsia="Calibri" w:hAnsi="Verdana" w:cs="Arial"/>
                <w:color w:val="000000" w:themeColor="text1"/>
              </w:rPr>
            </w:pPr>
          </w:p>
          <w:p w14:paraId="59FD7DD6" w14:textId="77777777" w:rsidR="00BA6E6F"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Por otra parte, de conformidad con el numeral 2 del artículo 2 de la Ley 1150 de 2007,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6CD156FA" w14:textId="77777777" w:rsidR="00BA6E6F" w:rsidRDefault="00BA6E6F" w:rsidP="00801FC1">
            <w:pPr>
              <w:spacing w:line="276" w:lineRule="auto"/>
              <w:jc w:val="both"/>
              <w:rPr>
                <w:rFonts w:ascii="Verdana" w:eastAsia="Calibri" w:hAnsi="Verdana" w:cs="Arial"/>
                <w:color w:val="000000" w:themeColor="text1"/>
              </w:rPr>
            </w:pPr>
          </w:p>
          <w:p w14:paraId="3602A5AA" w14:textId="77777777" w:rsidR="00BA6E6F" w:rsidRPr="00523FF9"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 xml:space="preserve"> En ese orden</w:t>
            </w:r>
            <w:r>
              <w:rPr>
                <w:rFonts w:ascii="Verdana" w:eastAsia="Calibri" w:hAnsi="Verdana" w:cs="Arial"/>
                <w:color w:val="000000" w:themeColor="text1"/>
              </w:rPr>
              <w:t xml:space="preserve"> de ideas</w:t>
            </w:r>
            <w:r w:rsidRPr="00523FF9">
              <w:rPr>
                <w:rFonts w:ascii="Verdana" w:eastAsia="Calibri" w:hAnsi="Verdana" w:cs="Arial"/>
                <w:color w:val="000000" w:themeColor="text1"/>
              </w:rPr>
              <w:t xml:space="preserve">, </w:t>
            </w:r>
            <w:r>
              <w:rPr>
                <w:rFonts w:ascii="Verdana" w:eastAsia="Calibri" w:hAnsi="Verdana" w:cs="Arial"/>
                <w:color w:val="000000" w:themeColor="text1"/>
              </w:rPr>
              <w:t>la Entidad Estatal para</w:t>
            </w:r>
            <w:r w:rsidRPr="00523FF9">
              <w:rPr>
                <w:rFonts w:ascii="Verdana" w:eastAsia="Calibri" w:hAnsi="Verdana" w:cs="Arial"/>
                <w:color w:val="000000" w:themeColor="text1"/>
              </w:rPr>
              <w:t xml:space="preserve"> definir cuál de las causales contenidas </w:t>
            </w:r>
            <w:r>
              <w:rPr>
                <w:rFonts w:ascii="Verdana" w:eastAsia="Calibri" w:hAnsi="Verdana" w:cs="Arial"/>
                <w:color w:val="000000" w:themeColor="text1"/>
              </w:rPr>
              <w:t xml:space="preserve">establecidas en el </w:t>
            </w:r>
            <w:r w:rsidRPr="00523FF9">
              <w:rPr>
                <w:rFonts w:ascii="Verdana" w:eastAsia="Calibri" w:hAnsi="Verdana" w:cs="Arial"/>
                <w:color w:val="000000" w:themeColor="text1"/>
              </w:rPr>
              <w:t>numeral 2 del artículo 2 de la Ley 1150 de 2007</w:t>
            </w:r>
            <w:r>
              <w:rPr>
                <w:rFonts w:ascii="Verdana" w:eastAsia="Calibri" w:hAnsi="Verdana" w:cs="Arial"/>
                <w:color w:val="000000" w:themeColor="text1"/>
              </w:rPr>
              <w:t xml:space="preserve"> se va a aplicar en el </w:t>
            </w:r>
            <w:r w:rsidRPr="00523FF9">
              <w:rPr>
                <w:rFonts w:ascii="Verdana" w:eastAsia="Calibri" w:hAnsi="Verdana" w:cs="Arial"/>
                <w:color w:val="000000" w:themeColor="text1"/>
              </w:rPr>
              <w:t xml:space="preserve"> procedimiento de selección abreviada</w:t>
            </w:r>
            <w:r>
              <w:rPr>
                <w:rFonts w:ascii="Verdana" w:eastAsia="Calibri" w:hAnsi="Verdana" w:cs="Arial"/>
                <w:color w:val="000000" w:themeColor="text1"/>
              </w:rPr>
              <w:t xml:space="preserve">, </w:t>
            </w:r>
            <w:r w:rsidRPr="00523FF9">
              <w:rPr>
                <w:rFonts w:ascii="Verdana" w:eastAsia="Calibri" w:hAnsi="Verdana" w:cs="Arial"/>
                <w:color w:val="000000" w:themeColor="text1"/>
              </w:rPr>
              <w:t xml:space="preserve"> la entidad deberá verificar si el bien o servicio a contratar se subsume dentro de los supuestos bajo los cuales se configura la eventual utilización de esta modalidad de selección, bien sea por las características del objeto a contratar, las circunstancias de la contratación o la cuantía o destinación del bien, obra o servicio.</w:t>
            </w:r>
          </w:p>
          <w:p w14:paraId="1E9A3384" w14:textId="77777777" w:rsidR="00BA6E6F" w:rsidRPr="00523FF9" w:rsidRDefault="00BA6E6F" w:rsidP="00801FC1">
            <w:pPr>
              <w:spacing w:line="276" w:lineRule="auto"/>
              <w:jc w:val="both"/>
              <w:rPr>
                <w:rFonts w:ascii="Verdana" w:eastAsia="Calibri" w:hAnsi="Verdana" w:cs="Arial"/>
                <w:color w:val="000000" w:themeColor="text1"/>
              </w:rPr>
            </w:pPr>
          </w:p>
          <w:p w14:paraId="1CB710BE" w14:textId="77777777" w:rsidR="00BA6E6F" w:rsidRDefault="00BA6E6F" w:rsidP="00801FC1">
            <w:pPr>
              <w:spacing w:line="276" w:lineRule="auto"/>
              <w:jc w:val="both"/>
              <w:rPr>
                <w:rFonts w:ascii="Verdana" w:eastAsia="Calibri" w:hAnsi="Verdana" w:cs="Arial"/>
                <w:color w:val="000000" w:themeColor="text1"/>
              </w:rPr>
            </w:pPr>
            <w:r w:rsidRPr="00523FF9">
              <w:rPr>
                <w:rFonts w:ascii="Verdana" w:eastAsia="Calibri" w:hAnsi="Verdana" w:cs="Arial"/>
                <w:color w:val="000000" w:themeColor="text1"/>
              </w:rPr>
              <w:t xml:space="preserve">vi) La </w:t>
            </w:r>
            <w:r w:rsidRPr="00523FF9">
              <w:rPr>
                <w:rFonts w:ascii="Verdana" w:eastAsia="Calibri" w:hAnsi="Verdana" w:cs="Arial"/>
                <w:i/>
                <w:iCs/>
                <w:color w:val="000000" w:themeColor="text1"/>
              </w:rPr>
              <w:t>Guía de Elaboración de Estudios del Sector</w:t>
            </w:r>
            <w:r w:rsidRPr="00523FF9">
              <w:rPr>
                <w:rFonts w:ascii="Verdana" w:eastAsia="Calibri" w:hAnsi="Verdana" w:cs="Arial"/>
                <w:color w:val="000000" w:themeColor="text1"/>
              </w:rPr>
              <w:t xml:space="preserve"> expedida por esta Agencia explica la preparación del estudio del sector, sugiriendo en el numeral 1.2 que, una vez realizado el análisis de la demanda y conociendo la necesidad y los bienes, obras o servicios que la satisfacen, la entidad pasa a entender el comportamiento del mercado de oferta y las opciones de suministro para la necesidad planteada, lo cual puede desarrollarse siguiendo los parámetros del análisis de la oferta.</w:t>
            </w:r>
          </w:p>
          <w:p w14:paraId="360A0EEF" w14:textId="77777777" w:rsidR="00BA6E6F" w:rsidRDefault="00BA6E6F" w:rsidP="00801FC1">
            <w:pPr>
              <w:spacing w:line="276" w:lineRule="auto"/>
              <w:jc w:val="both"/>
              <w:rPr>
                <w:rFonts w:ascii="Verdana" w:eastAsia="Calibri" w:hAnsi="Verdana" w:cs="Arial"/>
                <w:color w:val="000000" w:themeColor="text1"/>
              </w:rPr>
            </w:pPr>
          </w:p>
          <w:p w14:paraId="3AEBAC5C" w14:textId="77777777" w:rsidR="00BA6E6F" w:rsidRPr="00523FF9" w:rsidRDefault="00BA6E6F" w:rsidP="00801FC1">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En ese sentido, </w:t>
            </w:r>
            <w:r w:rsidRPr="00523FF9">
              <w:rPr>
                <w:rFonts w:ascii="Verdana" w:eastAsia="Calibri" w:hAnsi="Verdana" w:cs="Arial"/>
                <w:color w:val="000000" w:themeColor="text1"/>
              </w:rPr>
              <w:t>la entidad tendrá la exigencia de entender las dinámicas que afectan los sectores con presencia en el territorio de ejecución, la cadena de abastecimiento y los proveedores que existen en el mercado, incluidos los que tienen su domicilio en el lugar de ejecución.</w:t>
            </w:r>
            <w:r>
              <w:rPr>
                <w:rFonts w:ascii="Verdana" w:eastAsia="Calibri" w:hAnsi="Verdana" w:cs="Arial"/>
                <w:color w:val="000000" w:themeColor="text1"/>
              </w:rPr>
              <w:t xml:space="preserve"> Por lo anterior, es deber de la Entidad Estatal conocer la dinámica del mercado en el cual se desarrollará el proceso de contratación, a fin de evitar una mala planeación del proyecto.</w:t>
            </w:r>
          </w:p>
          <w:p w14:paraId="7E400E79" w14:textId="77777777" w:rsidR="00BA6E6F" w:rsidRPr="00523FF9" w:rsidRDefault="00BA6E6F" w:rsidP="00801FC1">
            <w:pPr>
              <w:spacing w:line="276" w:lineRule="auto"/>
              <w:jc w:val="both"/>
              <w:rPr>
                <w:rFonts w:ascii="Verdana" w:eastAsia="Calibri" w:hAnsi="Verdana" w:cs="Arial"/>
                <w:color w:val="000000" w:themeColor="text1"/>
              </w:rPr>
            </w:pPr>
          </w:p>
          <w:p w14:paraId="7A783BFA" w14:textId="77777777" w:rsidR="00BA6E6F" w:rsidRDefault="00BA6E6F" w:rsidP="00801FC1">
            <w:pPr>
              <w:spacing w:line="276" w:lineRule="auto"/>
              <w:jc w:val="both"/>
              <w:rPr>
                <w:rFonts w:ascii="Verdana" w:eastAsia="Calibri" w:hAnsi="Verdana" w:cs="Arial"/>
                <w:color w:val="000000" w:themeColor="text1"/>
                <w:lang w:val="es-ES"/>
              </w:rPr>
            </w:pPr>
            <w:r w:rsidRPr="00523FF9">
              <w:rPr>
                <w:rFonts w:ascii="Verdana" w:eastAsia="Calibri" w:hAnsi="Verdana" w:cs="Arial"/>
                <w:color w:val="000000" w:themeColor="text1"/>
              </w:rPr>
              <w:t>vii) En consideración a que la consulta hace referencia a la subsanabilidad en un proceso de contratación de mínima cuantía, se advierte que e</w:t>
            </w:r>
            <w:r w:rsidRPr="00523FF9">
              <w:rPr>
                <w:rFonts w:ascii="Verdana" w:eastAsia="Calibri" w:hAnsi="Verdana" w:cs="Arial"/>
                <w:color w:val="000000" w:themeColor="text1"/>
                <w:lang w:val="es-ES"/>
              </w:rPr>
              <w:t>l proponente tiene la responsabilidad y deber de presentar la oferta en forma completa e íntegra, esto es, cumpliendo el contenido de la invitación y adjuntando los documentos de soporte o prueba de las condiciones que pretenda hacer valer en el proceso. En ese sentido, no será posible subsanar los requisitos de la propuesta que afecten la asignación de puntaje, es decir, la oferta económica.</w:t>
            </w:r>
          </w:p>
          <w:p w14:paraId="71A1E81E" w14:textId="77777777" w:rsidR="00BA6E6F" w:rsidRDefault="00BA6E6F" w:rsidP="00801FC1">
            <w:pPr>
              <w:spacing w:line="276" w:lineRule="auto"/>
              <w:jc w:val="both"/>
              <w:rPr>
                <w:rFonts w:ascii="Verdana" w:eastAsia="Calibri" w:hAnsi="Verdana" w:cs="Arial"/>
                <w:color w:val="000000" w:themeColor="text1"/>
                <w:lang w:val="es-ES"/>
              </w:rPr>
            </w:pPr>
          </w:p>
          <w:p w14:paraId="6B52C24E" w14:textId="77777777" w:rsidR="00BA6E6F" w:rsidRPr="00523FF9" w:rsidRDefault="00BA6E6F" w:rsidP="00801FC1">
            <w:pPr>
              <w:spacing w:line="276" w:lineRule="auto"/>
              <w:jc w:val="both"/>
              <w:rPr>
                <w:rFonts w:ascii="Verdana" w:eastAsia="Calibri" w:hAnsi="Verdana" w:cs="Arial"/>
                <w:color w:val="000000" w:themeColor="text1"/>
                <w:lang w:val="es-ES"/>
              </w:rPr>
            </w:pPr>
            <w:r>
              <w:rPr>
                <w:rFonts w:ascii="Verdana" w:eastAsia="Calibri" w:hAnsi="Verdana" w:cs="Arial"/>
                <w:color w:val="000000" w:themeColor="text1"/>
              </w:rPr>
              <w:t>En ese orden de ideas, l</w:t>
            </w:r>
            <w:r w:rsidRPr="000E7596">
              <w:rPr>
                <w:rFonts w:ascii="Verdana" w:eastAsia="Calibri" w:hAnsi="Verdana" w:cs="Arial"/>
                <w:color w:val="000000" w:themeColor="text1"/>
              </w:rPr>
              <w:t>a subsanabilidad es un mecanismo previsto en los procedimientos regulados por el Estatuto de Contratación Estatal de Colombia; regla prevista en los parágrafos 1 al 4 del artículo 5 de la Ley 1150 de 2007, modificado por la Ley 1882 de 2018, en tanto que permite que los proponentes puedan enmendar, corregir o modificar los errores en los documentos de la oferta respecto a los requisitos habilitantes.</w:t>
            </w:r>
          </w:p>
          <w:p w14:paraId="60F50A78" w14:textId="77777777" w:rsidR="00BA6E6F" w:rsidRPr="00523FF9" w:rsidRDefault="00BA6E6F" w:rsidP="00801FC1">
            <w:pPr>
              <w:spacing w:line="276" w:lineRule="auto"/>
              <w:jc w:val="both"/>
              <w:rPr>
                <w:rFonts w:ascii="Verdana" w:eastAsia="Calibri" w:hAnsi="Verdana" w:cs="Arial"/>
                <w:color w:val="000000" w:themeColor="text1"/>
                <w:lang w:val="es-ES"/>
              </w:rPr>
            </w:pPr>
            <w:r w:rsidRPr="00523FF9">
              <w:rPr>
                <w:rFonts w:ascii="Verdana" w:eastAsia="Calibri" w:hAnsi="Verdana" w:cs="Arial"/>
                <w:color w:val="000000" w:themeColor="text1"/>
                <w:lang w:val="es-ES"/>
              </w:rPr>
              <w:t xml:space="preserve"> </w:t>
            </w:r>
          </w:p>
          <w:p w14:paraId="339F793B" w14:textId="77777777" w:rsidR="00BA6E6F" w:rsidRPr="00AC3BF2" w:rsidRDefault="00BA6E6F" w:rsidP="00801FC1">
            <w:pPr>
              <w:spacing w:line="276" w:lineRule="auto"/>
              <w:jc w:val="both"/>
              <w:rPr>
                <w:rFonts w:ascii="Verdana" w:eastAsia="Calibri" w:hAnsi="Verdana" w:cs="Arial"/>
                <w:color w:val="000000" w:themeColor="text1"/>
                <w:lang w:val="es-ES"/>
              </w:rPr>
            </w:pPr>
          </w:p>
          <w:p w14:paraId="07FAABE5" w14:textId="77777777" w:rsidR="00BA6E6F" w:rsidRPr="00593A5F" w:rsidRDefault="00BA6E6F" w:rsidP="00801FC1">
            <w:pPr>
              <w:spacing w:line="276" w:lineRule="auto"/>
              <w:jc w:val="both"/>
              <w:rPr>
                <w:rFonts w:ascii="Verdana" w:eastAsia="Calibri" w:hAnsi="Verdana" w:cs="Arial"/>
                <w:color w:val="7030A0"/>
                <w:lang w:val="es-ES"/>
              </w:rPr>
            </w:pPr>
            <w:r w:rsidRPr="00523FF9">
              <w:rPr>
                <w:rFonts w:ascii="Verdana" w:eastAsia="Calibri" w:hAnsi="Verdana" w:cs="Arial"/>
                <w:color w:val="000000" w:themeColor="text1"/>
                <w:lang w:val="es-ES"/>
              </w:rPr>
              <w:t>Por último, t</w:t>
            </w:r>
            <w:r w:rsidRPr="00AC3BF2">
              <w:rPr>
                <w:rFonts w:ascii="Verdana" w:eastAsia="Calibri" w:hAnsi="Verdana" w:cs="Arial"/>
                <w:color w:val="000000" w:themeColor="text1"/>
              </w:rPr>
              <w:t xml:space="preserve">odos aquellos requisitos de la oferta que afecten la asignación de puntaje, incluyendo los necesarios para acreditar requisitos de desempate, no son subsanables, por lo que los mismos deben ser aportados por los </w:t>
            </w:r>
            <w:r w:rsidRPr="00523FF9">
              <w:rPr>
                <w:rFonts w:ascii="Verdana" w:eastAsia="Calibri" w:hAnsi="Verdana" w:cs="Arial"/>
                <w:color w:val="000000" w:themeColor="text1"/>
              </w:rPr>
              <w:t>p</w:t>
            </w:r>
            <w:r w:rsidRPr="00AC3BF2">
              <w:rPr>
                <w:rFonts w:ascii="Verdana" w:eastAsia="Calibri" w:hAnsi="Verdana" w:cs="Arial"/>
                <w:color w:val="000000" w:themeColor="text1"/>
              </w:rPr>
              <w:t>roponentes desde la presentación de la oferta</w:t>
            </w:r>
            <w:r w:rsidRPr="00523FF9">
              <w:rPr>
                <w:rFonts w:ascii="Verdana" w:eastAsia="Calibri" w:hAnsi="Verdana" w:cs="Arial"/>
                <w:color w:val="000000" w:themeColor="text1"/>
              </w:rPr>
              <w:t>.</w:t>
            </w:r>
          </w:p>
        </w:tc>
      </w:tr>
    </w:tbl>
    <w:p w14:paraId="613DCDA2" w14:textId="77777777" w:rsidR="00BA6E6F" w:rsidRPr="00593A5F" w:rsidRDefault="00BA6E6F" w:rsidP="00BA6E6F">
      <w:pPr>
        <w:tabs>
          <w:tab w:val="left" w:pos="142"/>
          <w:tab w:val="left" w:pos="284"/>
        </w:tabs>
        <w:spacing w:after="0" w:line="276" w:lineRule="auto"/>
        <w:jc w:val="both"/>
        <w:rPr>
          <w:rFonts w:ascii="Verdana" w:eastAsia="Century Gothic" w:hAnsi="Verdana" w:cs="Century Gothic"/>
          <w:b/>
          <w:bCs/>
          <w:lang w:val="es-ES"/>
        </w:rPr>
      </w:pPr>
    </w:p>
    <w:p w14:paraId="1B06AA2D" w14:textId="77777777" w:rsidR="00BA6E6F" w:rsidRPr="00593A5F" w:rsidRDefault="00BA6E6F" w:rsidP="00BA6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9BB5085" w14:textId="77777777" w:rsidR="00BA6E6F" w:rsidRPr="00593A5F" w:rsidRDefault="00BA6E6F" w:rsidP="00BA6E6F">
      <w:pPr>
        <w:spacing w:after="0" w:line="276" w:lineRule="auto"/>
        <w:jc w:val="both"/>
        <w:rPr>
          <w:rFonts w:ascii="Verdana" w:eastAsia="Calibri" w:hAnsi="Verdana" w:cs="Arial"/>
          <w:color w:val="7030A0"/>
          <w:lang w:val="es-ES"/>
        </w:rPr>
      </w:pPr>
    </w:p>
    <w:p w14:paraId="520CE5CB" w14:textId="77777777" w:rsidR="00BA6E6F" w:rsidRPr="00B96799" w:rsidRDefault="00BA6E6F" w:rsidP="00BA6E6F">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3D870AA" w14:textId="77777777" w:rsidR="00BA6E6F" w:rsidRPr="00593A5F" w:rsidRDefault="00BA6E6F" w:rsidP="00BA6E6F">
      <w:pPr>
        <w:spacing w:after="0" w:line="276" w:lineRule="auto"/>
        <w:jc w:val="both"/>
        <w:rPr>
          <w:rFonts w:ascii="Verdana" w:eastAsia="Calibri" w:hAnsi="Verdana" w:cs="Arial"/>
          <w:color w:val="7030A0"/>
          <w:lang w:val="es-ES"/>
        </w:rPr>
      </w:pPr>
    </w:p>
    <w:p w14:paraId="31671462" w14:textId="77777777" w:rsidR="00BA6E6F" w:rsidRDefault="00BA6E6F" w:rsidP="00BA6E6F">
      <w:pPr>
        <w:pStyle w:val="Prrafodelista"/>
        <w:numPr>
          <w:ilvl w:val="0"/>
          <w:numId w:val="2"/>
        </w:numPr>
        <w:spacing w:after="0" w:line="276" w:lineRule="auto"/>
        <w:ind w:left="714" w:hanging="357"/>
        <w:jc w:val="both"/>
        <w:rPr>
          <w:rFonts w:ascii="Verdana" w:eastAsia="Calibri" w:hAnsi="Verdana" w:cs="Arial"/>
          <w:color w:val="000000" w:themeColor="text1"/>
        </w:rPr>
      </w:pPr>
      <w:r>
        <w:rPr>
          <w:rFonts w:ascii="Verdana" w:eastAsia="Calibri" w:hAnsi="Verdana" w:cs="Arial"/>
          <w:color w:val="000000" w:themeColor="text1"/>
        </w:rPr>
        <w:t>Respecto del primer (i) problema jurídico, en</w:t>
      </w:r>
      <w:r w:rsidRPr="00097553">
        <w:rPr>
          <w:rFonts w:ascii="Verdana" w:eastAsia="Calibri" w:hAnsi="Verdana" w:cs="Arial"/>
          <w:color w:val="000000" w:themeColor="text1"/>
        </w:rPr>
        <w:t xml:space="preserve"> desarrollo del artículo 34 de la Ley de Emprendimiento, el artículo 2.2.1.2.4.2.2 del Decreto 1082 de 2015 –modificado por el </w:t>
      </w:r>
      <w:r>
        <w:rPr>
          <w:rFonts w:ascii="Verdana" w:eastAsia="Calibri" w:hAnsi="Verdana" w:cs="Arial"/>
          <w:color w:val="000000" w:themeColor="text1"/>
        </w:rPr>
        <w:t xml:space="preserve">artículo 5 del </w:t>
      </w:r>
      <w:r w:rsidRPr="00097553">
        <w:rPr>
          <w:rFonts w:ascii="Verdana" w:eastAsia="Calibri" w:hAnsi="Verdana" w:cs="Arial"/>
          <w:color w:val="000000" w:themeColor="text1"/>
        </w:rPr>
        <w:t xml:space="preserve">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MiPymes colombianas con mínimo un (1) año de existencia, </w:t>
      </w:r>
      <w:r w:rsidRPr="00CC408F">
        <w:rPr>
          <w:rFonts w:ascii="Verdana" w:eastAsia="Calibri" w:hAnsi="Verdana" w:cs="Arial"/>
          <w:color w:val="000000" w:themeColor="text1"/>
        </w:rPr>
        <w:t xml:space="preserve">siempre que se cumplan los </w:t>
      </w:r>
      <w:r>
        <w:rPr>
          <w:rFonts w:ascii="Verdana" w:eastAsia="Calibri" w:hAnsi="Verdana" w:cs="Arial"/>
          <w:color w:val="000000" w:themeColor="text1"/>
        </w:rPr>
        <w:t>siguientes requisitos:</w:t>
      </w:r>
    </w:p>
    <w:p w14:paraId="5A85B949" w14:textId="77777777" w:rsidR="00BA6E6F" w:rsidRDefault="00BA6E6F" w:rsidP="00BA6E6F">
      <w:pPr>
        <w:spacing w:after="0" w:line="276" w:lineRule="auto"/>
        <w:jc w:val="both"/>
        <w:rPr>
          <w:rFonts w:ascii="Verdana" w:eastAsia="Calibri" w:hAnsi="Verdana" w:cs="Arial"/>
          <w:color w:val="000000" w:themeColor="text1"/>
        </w:rPr>
      </w:pPr>
    </w:p>
    <w:p w14:paraId="5721FC83" w14:textId="77777777" w:rsidR="00BA6E6F" w:rsidRPr="000920EC" w:rsidRDefault="00BA6E6F" w:rsidP="00BA6E6F">
      <w:pPr>
        <w:pStyle w:val="Prrafodelista"/>
        <w:spacing w:after="0" w:line="276" w:lineRule="auto"/>
        <w:ind w:left="104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0920EC">
        <w:rPr>
          <w:rFonts w:ascii="Verdana" w:eastAsia="Calibri" w:hAnsi="Verdana" w:cs="Arial"/>
          <w:color w:val="000000" w:themeColor="text1"/>
          <w:sz w:val="20"/>
          <w:szCs w:val="20"/>
        </w:rPr>
        <w:t>1. El valor del Proceso de Contratación sea menor a ciento veinticinco mil dólares de los Estados Unidos de América (US$125.000), liquidados con la tasa de cambio que para el efecto determina cada dos años el Ministerio de Comercio, Industria y Turismo.</w:t>
      </w:r>
    </w:p>
    <w:p w14:paraId="4DE10302" w14:textId="77777777" w:rsidR="00BA6E6F" w:rsidRPr="000920EC" w:rsidRDefault="00BA6E6F" w:rsidP="00BA6E6F">
      <w:pPr>
        <w:pStyle w:val="Prrafodelista"/>
        <w:spacing w:after="0" w:line="276" w:lineRule="auto"/>
        <w:ind w:left="714"/>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 </w:t>
      </w:r>
    </w:p>
    <w:p w14:paraId="4C3D4043" w14:textId="77777777" w:rsidR="00BA6E6F" w:rsidRPr="000920EC" w:rsidRDefault="00BA6E6F" w:rsidP="00BA6E6F">
      <w:pPr>
        <w:pStyle w:val="Prrafodelista"/>
        <w:spacing w:after="0" w:line="276" w:lineRule="auto"/>
        <w:ind w:left="1049" w:right="709"/>
        <w:jc w:val="both"/>
        <w:rPr>
          <w:rFonts w:ascii="Verdana" w:eastAsia="Calibri" w:hAnsi="Verdana" w:cs="Arial"/>
          <w:color w:val="000000" w:themeColor="text1"/>
          <w:sz w:val="20"/>
          <w:szCs w:val="20"/>
        </w:rPr>
      </w:pPr>
      <w:bookmarkStart w:id="1" w:name="2.2.1.2.4.2.2.2"/>
      <w:bookmarkEnd w:id="1"/>
      <w:r w:rsidRPr="000920EC">
        <w:rPr>
          <w:rFonts w:ascii="Verdana" w:eastAsia="Calibri" w:hAnsi="Verdana" w:cs="Arial"/>
          <w:color w:val="000000" w:themeColor="text1"/>
          <w:sz w:val="20"/>
          <w:szCs w:val="20"/>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64D730B1" w14:textId="77777777" w:rsidR="00BA6E6F" w:rsidRPr="000920EC" w:rsidRDefault="00BA6E6F" w:rsidP="00BA6E6F">
      <w:pPr>
        <w:pStyle w:val="Prrafodelista"/>
        <w:spacing w:after="0" w:line="276" w:lineRule="auto"/>
        <w:ind w:left="1049" w:right="709"/>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Tratándose de personas jurídicas, las solicitudes solo las podrán realizar Mipyme, cuyo objeto social les permita ejecutar el contrato relacionado con el proceso contractual.</w:t>
      </w:r>
    </w:p>
    <w:p w14:paraId="2E73D4C9" w14:textId="77777777" w:rsidR="00BA6E6F" w:rsidRPr="000920EC" w:rsidRDefault="00BA6E6F" w:rsidP="00BA6E6F">
      <w:pPr>
        <w:pStyle w:val="Prrafodelista"/>
        <w:spacing w:after="0" w:line="276" w:lineRule="auto"/>
        <w:ind w:left="714"/>
        <w:jc w:val="both"/>
        <w:rPr>
          <w:rFonts w:ascii="Verdana" w:eastAsia="Calibri" w:hAnsi="Verdana" w:cs="Arial"/>
          <w:color w:val="000000" w:themeColor="text1"/>
          <w:sz w:val="20"/>
          <w:szCs w:val="20"/>
        </w:rPr>
      </w:pPr>
    </w:p>
    <w:p w14:paraId="2CB6FEBC" w14:textId="77777777" w:rsidR="00BA6E6F" w:rsidRPr="000920EC" w:rsidRDefault="00BA6E6F" w:rsidP="00BA6E6F">
      <w:pPr>
        <w:pStyle w:val="Prrafodelista"/>
        <w:spacing w:after="0" w:line="276" w:lineRule="auto"/>
        <w:ind w:left="1049" w:right="709"/>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Parágrafo</w:t>
      </w:r>
      <w:bookmarkStart w:id="2" w:name="2.2.1.2.4.2.2.p"/>
      <w:bookmarkEnd w:id="2"/>
      <w:r w:rsidRPr="000920EC">
        <w:rPr>
          <w:rFonts w:ascii="Verdana" w:eastAsia="Calibri" w:hAnsi="Verdana" w:cs="Arial"/>
          <w:b/>
          <w:bCs/>
          <w:color w:val="000000" w:themeColor="text1"/>
          <w:sz w:val="20"/>
          <w:szCs w:val="20"/>
        </w:rPr>
        <w:t>.</w:t>
      </w:r>
      <w:r w:rsidRPr="000920EC">
        <w:rPr>
          <w:rFonts w:ascii="Verdana" w:eastAsia="Calibri" w:hAnsi="Verdana" w:cs="Arial"/>
          <w:color w:val="000000" w:themeColor="text1"/>
          <w:sz w:val="20"/>
          <w:szCs w:val="20"/>
        </w:rPr>
        <w:t> Las cooperativas y demás entidades de economía solidaria, siempre que tengan la calidad de Mípyme, podrán solicitar y participar en las convocatorias limitadas en las mismas condiciones dispuestas en el presente artículo.”</w:t>
      </w:r>
      <w:r w:rsidRPr="000920EC">
        <w:rPr>
          <w:rStyle w:val="Refdenotaalpie"/>
          <w:rFonts w:ascii="Verdana" w:eastAsia="Calibri" w:hAnsi="Verdana" w:cs="Arial"/>
          <w:color w:val="000000" w:themeColor="text1"/>
          <w:sz w:val="20"/>
          <w:szCs w:val="20"/>
        </w:rPr>
        <w:footnoteReference w:id="1"/>
      </w:r>
    </w:p>
    <w:p w14:paraId="0357325D" w14:textId="77777777" w:rsidR="00BA6E6F" w:rsidRPr="000920EC" w:rsidRDefault="00BA6E6F" w:rsidP="00BA6E6F">
      <w:pPr>
        <w:spacing w:after="0" w:line="276" w:lineRule="auto"/>
        <w:jc w:val="both"/>
        <w:rPr>
          <w:rFonts w:ascii="Verdana" w:eastAsia="Calibri" w:hAnsi="Verdana" w:cs="Arial"/>
          <w:color w:val="000000" w:themeColor="text1"/>
          <w:sz w:val="20"/>
          <w:szCs w:val="20"/>
        </w:rPr>
      </w:pPr>
      <w:r w:rsidRPr="000920EC">
        <w:rPr>
          <w:rFonts w:ascii="Verdana" w:eastAsia="Calibri" w:hAnsi="Verdana" w:cs="Arial"/>
          <w:color w:val="000000" w:themeColor="text1"/>
          <w:sz w:val="20"/>
          <w:szCs w:val="20"/>
        </w:rPr>
        <w:t xml:space="preserve"> </w:t>
      </w:r>
    </w:p>
    <w:p w14:paraId="4333D8E0" w14:textId="77777777" w:rsidR="00BA6E6F" w:rsidRPr="00097553" w:rsidRDefault="00BA6E6F" w:rsidP="00BA6E6F">
      <w:pPr>
        <w:pStyle w:val="Prrafodelista"/>
        <w:spacing w:after="0" w:line="276" w:lineRule="auto"/>
        <w:ind w:left="714" w:hanging="357"/>
        <w:jc w:val="both"/>
        <w:rPr>
          <w:rFonts w:ascii="Verdana" w:eastAsia="Calibri" w:hAnsi="Verdana" w:cs="Arial"/>
          <w:color w:val="000000" w:themeColor="text1"/>
        </w:rPr>
      </w:pPr>
    </w:p>
    <w:p w14:paraId="3713E0F8" w14:textId="77777777" w:rsidR="00BA6E6F" w:rsidRPr="002B1471" w:rsidRDefault="00BA6E6F" w:rsidP="00BA6E6F">
      <w:pPr>
        <w:pStyle w:val="Prrafodelista"/>
        <w:numPr>
          <w:ilvl w:val="0"/>
          <w:numId w:val="2"/>
        </w:numPr>
        <w:spacing w:after="0" w:line="276" w:lineRule="auto"/>
        <w:ind w:left="714" w:hanging="357"/>
        <w:jc w:val="both"/>
        <w:rPr>
          <w:rFonts w:ascii="Verdana" w:eastAsia="Calibri" w:hAnsi="Verdana" w:cs="Arial"/>
          <w:color w:val="000000" w:themeColor="text1"/>
        </w:rPr>
      </w:pPr>
      <w:r w:rsidRPr="002B1471">
        <w:rPr>
          <w:rFonts w:ascii="Verdana" w:eastAsia="Calibri" w:hAnsi="Verdana" w:cs="Arial"/>
          <w:color w:val="000000" w:themeColor="text1"/>
        </w:rPr>
        <w:lastRenderedPageBreak/>
        <w:t xml:space="preserve">Por otra parte, en relación con las limitaciones territoriales de las convocatorias a MiPymes, </w:t>
      </w:r>
      <w:r>
        <w:rPr>
          <w:rFonts w:ascii="Verdana" w:eastAsia="Calibri" w:hAnsi="Verdana" w:cs="Arial"/>
          <w:color w:val="000000" w:themeColor="text1"/>
        </w:rPr>
        <w:t xml:space="preserve">el parágrafo 1 del artículo 12 de la Ley 1150 de 2007 y el </w:t>
      </w:r>
      <w:r w:rsidRPr="002B1471">
        <w:rPr>
          <w:rFonts w:ascii="Verdana" w:hAnsi="Verdana" w:cs="Arial"/>
          <w:color w:val="000000" w:themeColor="text1"/>
        </w:rPr>
        <w:t>artículo 2.2.1.2.4.2.3 del Decreto 1082 de 2015, modificado por el artículo 5 del Decreto 1860 de 2021</w:t>
      </w:r>
      <w:r>
        <w:rPr>
          <w:rFonts w:ascii="Verdana" w:hAnsi="Verdana" w:cs="Arial"/>
          <w:color w:val="000000" w:themeColor="text1"/>
        </w:rPr>
        <w:t>,</w:t>
      </w:r>
      <w:r w:rsidRPr="002B1471">
        <w:rPr>
          <w:rFonts w:ascii="Verdana" w:hAnsi="Verdana" w:cs="Arial"/>
          <w:color w:val="000000" w:themeColor="text1"/>
        </w:rPr>
        <w:t xml:space="preserve"> coincide</w:t>
      </w:r>
      <w:r>
        <w:rPr>
          <w:rFonts w:ascii="Verdana" w:hAnsi="Verdana" w:cs="Arial"/>
          <w:color w:val="000000" w:themeColor="text1"/>
        </w:rPr>
        <w:t>n</w:t>
      </w:r>
      <w:r w:rsidRPr="002B1471">
        <w:rPr>
          <w:rFonts w:ascii="Verdana" w:hAnsi="Verdana" w:cs="Arial"/>
          <w:color w:val="000000" w:themeColor="text1"/>
        </w:rPr>
        <w:t xml:space="preserve"> con la redacción del parágrafo 1 del artículo 34 de la Ley 2069 de 2020, según el cual, “En los procesos de selección que se desarrollen con base en el primer inciso, las entidades </w:t>
      </w:r>
      <w:r w:rsidRPr="00D71721">
        <w:rPr>
          <w:rFonts w:ascii="Verdana" w:hAnsi="Verdana" w:cs="Arial"/>
          <w:i/>
          <w:iCs/>
          <w:color w:val="000000" w:themeColor="text1"/>
        </w:rPr>
        <w:t>podrán</w:t>
      </w:r>
      <w:r w:rsidRPr="002B1471">
        <w:rPr>
          <w:rFonts w:ascii="Verdana" w:hAnsi="Verdana" w:cs="Arial"/>
          <w:color w:val="000000" w:themeColor="text1"/>
        </w:rPr>
        <w:t xml:space="preserve"> realizar las convocatorias limitadas que beneficien a las MiPymes del ámbito municipal o departamental correspondiente al de la ejecución del contrato”. En tales términos, la</w:t>
      </w:r>
      <w:r>
        <w:rPr>
          <w:rFonts w:ascii="Verdana" w:hAnsi="Verdana" w:cs="Arial"/>
          <w:color w:val="000000" w:themeColor="text1"/>
        </w:rPr>
        <w:t>s</w:t>
      </w:r>
      <w:r w:rsidRPr="002B1471">
        <w:rPr>
          <w:rFonts w:ascii="Verdana" w:hAnsi="Verdana" w:cs="Arial"/>
          <w:color w:val="000000" w:themeColor="text1"/>
        </w:rPr>
        <w:t xml:space="preserve"> norma</w:t>
      </w:r>
      <w:r>
        <w:rPr>
          <w:rFonts w:ascii="Verdana" w:hAnsi="Verdana" w:cs="Arial"/>
          <w:color w:val="000000" w:themeColor="text1"/>
        </w:rPr>
        <w:t>s</w:t>
      </w:r>
      <w:r w:rsidRPr="002B1471">
        <w:rPr>
          <w:rFonts w:ascii="Verdana" w:hAnsi="Verdana" w:cs="Arial"/>
          <w:color w:val="000000" w:themeColor="text1"/>
        </w:rPr>
        <w:t xml:space="preserve"> citada</w:t>
      </w:r>
      <w:r>
        <w:rPr>
          <w:rFonts w:ascii="Verdana" w:hAnsi="Verdana" w:cs="Arial"/>
          <w:color w:val="000000" w:themeColor="text1"/>
        </w:rPr>
        <w:t>s</w:t>
      </w:r>
      <w:r w:rsidRPr="002B1471">
        <w:rPr>
          <w:rFonts w:ascii="Verdana" w:hAnsi="Verdana" w:cs="Arial"/>
          <w:color w:val="000000" w:themeColor="text1"/>
        </w:rPr>
        <w:t xml:space="preserve"> solo contempla</w:t>
      </w:r>
      <w:r>
        <w:rPr>
          <w:rFonts w:ascii="Verdana" w:hAnsi="Verdana" w:cs="Arial"/>
          <w:color w:val="000000" w:themeColor="text1"/>
        </w:rPr>
        <w:t>n</w:t>
      </w:r>
      <w:r w:rsidRPr="002B1471">
        <w:rPr>
          <w:rFonts w:ascii="Verdana" w:hAnsi="Verdana" w:cs="Arial"/>
          <w:color w:val="000000" w:themeColor="text1"/>
        </w:rPr>
        <w:t xml:space="preserve"> la </w:t>
      </w:r>
      <w:r w:rsidRPr="00B84F7A">
        <w:rPr>
          <w:rFonts w:ascii="Verdana" w:hAnsi="Verdana" w:cs="Arial"/>
          <w:i/>
          <w:iCs/>
          <w:color w:val="000000" w:themeColor="text1"/>
        </w:rPr>
        <w:t>posibilidad</w:t>
      </w:r>
      <w:r w:rsidRPr="002B1471">
        <w:rPr>
          <w:rFonts w:ascii="Verdana" w:hAnsi="Verdana" w:cs="Arial"/>
          <w:color w:val="000000" w:themeColor="text1"/>
        </w:rPr>
        <w:t xml:space="preserve"> </w:t>
      </w:r>
      <w:r>
        <w:rPr>
          <w:rFonts w:ascii="Verdana" w:hAnsi="Verdana" w:cs="Arial"/>
          <w:color w:val="000000" w:themeColor="text1"/>
        </w:rPr>
        <w:t xml:space="preserve">que tienen las entidades contratantes </w:t>
      </w:r>
      <w:r w:rsidRPr="002B1471">
        <w:rPr>
          <w:rFonts w:ascii="Verdana" w:hAnsi="Verdana" w:cs="Arial"/>
          <w:color w:val="000000" w:themeColor="text1"/>
        </w:rPr>
        <w:t xml:space="preserve">de limitar convocatorias a MiPymes con domicilio en esos dos tipos de entidades territoriales. </w:t>
      </w:r>
    </w:p>
    <w:p w14:paraId="10AA4A89" w14:textId="77777777" w:rsidR="00BA6E6F" w:rsidRPr="00097553" w:rsidRDefault="00BA6E6F" w:rsidP="00BA6E6F">
      <w:pPr>
        <w:pStyle w:val="Prrafodelista"/>
        <w:spacing w:after="0" w:line="276" w:lineRule="auto"/>
        <w:ind w:left="714" w:hanging="357"/>
        <w:jc w:val="both"/>
        <w:rPr>
          <w:rFonts w:ascii="Verdana" w:eastAsia="Calibri" w:hAnsi="Verdana" w:cs="Arial"/>
          <w:color w:val="000000" w:themeColor="text1"/>
        </w:rPr>
      </w:pPr>
    </w:p>
    <w:p w14:paraId="6FFA2556" w14:textId="77777777" w:rsidR="00BA6E6F" w:rsidRPr="00097553" w:rsidRDefault="00BA6E6F" w:rsidP="00BA6E6F">
      <w:pPr>
        <w:pStyle w:val="Prrafodelista"/>
        <w:numPr>
          <w:ilvl w:val="0"/>
          <w:numId w:val="2"/>
        </w:numPr>
        <w:spacing w:after="0" w:line="276" w:lineRule="auto"/>
        <w:ind w:left="714" w:hanging="357"/>
        <w:jc w:val="both"/>
        <w:rPr>
          <w:rFonts w:ascii="Verdana" w:eastAsia="Calibri" w:hAnsi="Verdana" w:cs="Arial"/>
          <w:color w:val="000000" w:themeColor="text1"/>
        </w:rPr>
      </w:pPr>
      <w:r w:rsidRPr="00097553">
        <w:rPr>
          <w:rFonts w:ascii="Verdana" w:eastAsia="Calibri" w:hAnsi="Verdana" w:cs="Arial"/>
          <w:color w:val="000000" w:themeColor="text1"/>
        </w:rPr>
        <w:t xml:space="preserve">En ese sentido, </w:t>
      </w:r>
      <w:r>
        <w:rPr>
          <w:rFonts w:ascii="Verdana" w:eastAsia="Calibri" w:hAnsi="Verdana" w:cs="Arial"/>
          <w:color w:val="000000" w:themeColor="text1"/>
        </w:rPr>
        <w:t xml:space="preserve">sobre la convocatoria limitada a MiPymes nacional, es claro que </w:t>
      </w:r>
      <w:r w:rsidRPr="00097553">
        <w:rPr>
          <w:rFonts w:ascii="Verdana" w:eastAsia="Calibri" w:hAnsi="Verdana" w:cs="Arial"/>
          <w:color w:val="000000" w:themeColor="text1"/>
        </w:rPr>
        <w:t xml:space="preserve">toda empresa constituida bajo las leyes colombianas o que tenga su domicilio principal en el territorio colombiano y, además, cumpla los criterios previstos por la Ley 590 de 2000 y el Decreto 957 de 2019, será considerada MiPymes nacional. </w:t>
      </w:r>
      <w:r>
        <w:rPr>
          <w:rFonts w:ascii="Verdana" w:eastAsia="Calibri" w:hAnsi="Verdana" w:cs="Arial"/>
          <w:color w:val="000000" w:themeColor="text1"/>
        </w:rPr>
        <w:t>Ahora bien, frente a la limitación territorial</w:t>
      </w:r>
      <w:r w:rsidRPr="00097553">
        <w:rPr>
          <w:rFonts w:ascii="Verdana" w:eastAsia="Calibri" w:hAnsi="Verdana" w:cs="Arial"/>
          <w:color w:val="000000" w:themeColor="text1"/>
        </w:rPr>
        <w:t>, las normas de contratación permiten que las MiPymes nacionales puedan beneficiarse de la ejecución de un contrato dentro de la entidad territorial en la que tienen su “domicilio”</w:t>
      </w:r>
      <w:r>
        <w:rPr>
          <w:rFonts w:ascii="Verdana" w:eastAsia="Calibri" w:hAnsi="Verdana" w:cs="Arial"/>
          <w:color w:val="000000" w:themeColor="text1"/>
        </w:rPr>
        <w:t>, ya que dicho marco normativo tiene como propósito el de incentivar la promoción del desarrollo en la contratación estatal.</w:t>
      </w:r>
    </w:p>
    <w:p w14:paraId="6A773D97" w14:textId="77777777" w:rsidR="00BA6E6F" w:rsidRPr="00097553" w:rsidRDefault="00BA6E6F" w:rsidP="00BA6E6F">
      <w:pPr>
        <w:pStyle w:val="Prrafodelista"/>
        <w:spacing w:after="0" w:line="276" w:lineRule="auto"/>
        <w:ind w:left="714" w:hanging="357"/>
        <w:rPr>
          <w:rFonts w:ascii="Verdana" w:eastAsia="Calibri" w:hAnsi="Verdana" w:cs="Arial"/>
          <w:color w:val="000000" w:themeColor="text1"/>
        </w:rPr>
      </w:pPr>
    </w:p>
    <w:p w14:paraId="7B82B2AD" w14:textId="77777777" w:rsidR="00BA6E6F" w:rsidRPr="0038239A" w:rsidRDefault="00BA6E6F" w:rsidP="00BA6E6F">
      <w:pPr>
        <w:pStyle w:val="Prrafodelista"/>
        <w:numPr>
          <w:ilvl w:val="0"/>
          <w:numId w:val="2"/>
        </w:numPr>
        <w:spacing w:after="0" w:line="276" w:lineRule="auto"/>
        <w:ind w:left="714" w:hanging="357"/>
        <w:jc w:val="both"/>
        <w:rPr>
          <w:rFonts w:ascii="Verdana" w:eastAsia="Calibri" w:hAnsi="Verdana" w:cs="Arial"/>
          <w:color w:val="000000" w:themeColor="text1"/>
        </w:rPr>
      </w:pPr>
      <w:r w:rsidRPr="0038239A">
        <w:rPr>
          <w:rFonts w:ascii="Verdana" w:eastAsia="Calibri" w:hAnsi="Verdana" w:cs="Arial"/>
          <w:color w:val="000000" w:themeColor="text1"/>
        </w:rPr>
        <w:t xml:space="preserve">No puede perderse de vista que la decisión de limitar “a MiPymes colombianas que tengan domicilio en los departamentos o municipios en donde se va a ejecutar el contrato”, aunque es </w:t>
      </w:r>
      <w:r w:rsidRPr="0038239A">
        <w:rPr>
          <w:rFonts w:ascii="Verdana" w:eastAsia="Calibri" w:hAnsi="Verdana" w:cs="Arial"/>
          <w:i/>
          <w:iCs/>
          <w:color w:val="000000" w:themeColor="text1"/>
        </w:rPr>
        <w:t>facultativa</w:t>
      </w:r>
      <w:r w:rsidRPr="0038239A">
        <w:rPr>
          <w:rFonts w:ascii="Verdana" w:eastAsia="Calibri" w:hAnsi="Verdana" w:cs="Arial"/>
          <w:color w:val="000000" w:themeColor="text1"/>
        </w:rPr>
        <w:t xml:space="preserve">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MiPymes nacionales, no puede motu proprio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600D9B78" w14:textId="77777777" w:rsidR="00BA6E6F" w:rsidRPr="00097553" w:rsidRDefault="00BA6E6F" w:rsidP="00BA6E6F">
      <w:pPr>
        <w:pStyle w:val="Prrafodelista"/>
        <w:spacing w:after="0" w:line="276" w:lineRule="auto"/>
        <w:ind w:left="714" w:hanging="357"/>
        <w:jc w:val="both"/>
        <w:rPr>
          <w:rFonts w:ascii="Verdana" w:eastAsia="Calibri" w:hAnsi="Verdana" w:cs="Arial"/>
          <w:color w:val="000000" w:themeColor="text1"/>
        </w:rPr>
      </w:pPr>
    </w:p>
    <w:p w14:paraId="051237EB" w14:textId="77777777" w:rsidR="00BA6E6F" w:rsidRPr="00F34CCA" w:rsidRDefault="00BA6E6F" w:rsidP="00BA6E6F">
      <w:pPr>
        <w:pStyle w:val="Prrafodelista"/>
        <w:numPr>
          <w:ilvl w:val="0"/>
          <w:numId w:val="2"/>
        </w:numPr>
        <w:spacing w:after="0" w:line="276" w:lineRule="auto"/>
        <w:ind w:left="714" w:hanging="357"/>
        <w:jc w:val="both"/>
        <w:rPr>
          <w:rFonts w:ascii="Verdana" w:eastAsia="Calibri" w:hAnsi="Verdana" w:cs="Arial"/>
          <w:color w:val="000000" w:themeColor="text1"/>
        </w:rPr>
      </w:pPr>
      <w:r w:rsidRPr="00F34CCA">
        <w:rPr>
          <w:rFonts w:ascii="Verdana" w:eastAsia="Calibri" w:hAnsi="Verdana" w:cs="Arial"/>
          <w:color w:val="000000" w:themeColor="text1"/>
        </w:rPr>
        <w:lastRenderedPageBreak/>
        <w:t>En tal sentido, lo que debe adoptarse obligatoriamente es la limitación a MiPymes colombianas siempre que se cumplan las condiciones del artículo 2.2.1.2.4.2.2 del Decreto 1082 de 2015, pero no la “limitación territorial” referida en el artículo 2.2.1.2.4.2.3 ibídem, pues esta es facultativa para la entidad. Las únicas exigencias son que la convocatoria esté limitada a las MiPymes colombianas “domiciliadas en los departamentos o municipios en donde se va a ejecutar el contrato” y que la entidad justifique su decisión con base en los “estudios del sector”</w:t>
      </w:r>
      <w:r w:rsidRPr="00097553">
        <w:rPr>
          <w:rStyle w:val="Refdenotaalpie"/>
          <w:rFonts w:ascii="Verdana" w:eastAsia="Calibri" w:hAnsi="Verdana" w:cs="Arial"/>
          <w:color w:val="000000" w:themeColor="text1"/>
        </w:rPr>
        <w:footnoteReference w:id="2"/>
      </w:r>
      <w:r w:rsidRPr="00F34CCA">
        <w:rPr>
          <w:rFonts w:ascii="Verdana" w:eastAsia="Calibri" w:hAnsi="Verdana" w:cs="Arial"/>
          <w:color w:val="000000" w:themeColor="text1"/>
        </w:rPr>
        <w:t xml:space="preserve">. </w:t>
      </w:r>
    </w:p>
    <w:p w14:paraId="26F7E660" w14:textId="77777777" w:rsidR="00BA6E6F" w:rsidRPr="00097553" w:rsidRDefault="00BA6E6F" w:rsidP="00BA6E6F">
      <w:pPr>
        <w:pStyle w:val="Prrafodelista"/>
        <w:spacing w:after="0" w:line="276" w:lineRule="auto"/>
        <w:ind w:left="714" w:hanging="357"/>
        <w:rPr>
          <w:rFonts w:ascii="Verdana" w:eastAsia="Calibri" w:hAnsi="Verdana" w:cs="Arial"/>
          <w:color w:val="000000" w:themeColor="text1"/>
        </w:rPr>
      </w:pPr>
    </w:p>
    <w:p w14:paraId="0F4DA69A" w14:textId="77777777" w:rsidR="00BA6E6F" w:rsidRDefault="00BA6E6F" w:rsidP="00BA6E6F">
      <w:pPr>
        <w:pStyle w:val="Prrafodelista"/>
        <w:numPr>
          <w:ilvl w:val="0"/>
          <w:numId w:val="2"/>
        </w:numPr>
        <w:spacing w:after="0" w:line="276" w:lineRule="auto"/>
        <w:ind w:left="714" w:hanging="357"/>
        <w:jc w:val="both"/>
        <w:rPr>
          <w:rFonts w:ascii="Verdana" w:eastAsia="Calibri" w:hAnsi="Verdana" w:cs="Arial"/>
          <w:color w:val="000000" w:themeColor="text1"/>
        </w:rPr>
      </w:pPr>
      <w:r w:rsidRPr="00097553">
        <w:rPr>
          <w:rFonts w:ascii="Verdana" w:eastAsia="Calibri" w:hAnsi="Verdana" w:cs="Arial"/>
          <w:color w:val="000000" w:themeColor="text1"/>
        </w:rPr>
        <w:t>En resumen, la decisión de limitar o no territorialmente una convocatoria limitada a MiPymes nacionales es una facultad discrecional, de manera que la entidad contratante valorará si es oportuno y conveniente adoptarla.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30FD1E7D" w14:textId="77777777" w:rsidR="00BA6E6F" w:rsidRPr="003D3EC5" w:rsidRDefault="00BA6E6F" w:rsidP="00BA6E6F">
      <w:pPr>
        <w:pStyle w:val="Prrafodelista"/>
        <w:spacing w:after="0" w:line="276" w:lineRule="auto"/>
        <w:ind w:left="714" w:hanging="357"/>
        <w:rPr>
          <w:rFonts w:ascii="Verdana" w:eastAsia="Calibri" w:hAnsi="Verdana" w:cs="Arial"/>
          <w:color w:val="000000" w:themeColor="text1"/>
        </w:rPr>
      </w:pPr>
    </w:p>
    <w:p w14:paraId="79877241" w14:textId="77777777" w:rsidR="00BA6E6F" w:rsidRDefault="00BA6E6F" w:rsidP="00BA6E6F">
      <w:pPr>
        <w:pStyle w:val="Prrafodelista"/>
        <w:numPr>
          <w:ilvl w:val="0"/>
          <w:numId w:val="2"/>
        </w:numPr>
        <w:spacing w:after="0" w:line="276" w:lineRule="auto"/>
        <w:ind w:left="714" w:hanging="357"/>
        <w:jc w:val="both"/>
        <w:rPr>
          <w:rFonts w:ascii="Verdana" w:eastAsia="Calibri" w:hAnsi="Verdana" w:cs="Arial"/>
          <w:color w:val="000000" w:themeColor="text1"/>
        </w:rPr>
      </w:pPr>
      <w:r>
        <w:rPr>
          <w:rFonts w:ascii="Verdana" w:eastAsia="Calibri" w:hAnsi="Verdana" w:cs="Arial"/>
          <w:color w:val="000000" w:themeColor="text1"/>
        </w:rPr>
        <w:lastRenderedPageBreak/>
        <w:t>Por otro lado, con relación al ii) problema expuesto relacionado con la experiencia exigida en el proceso de contratación, se destaca que aquella está d</w:t>
      </w:r>
      <w:r w:rsidRPr="00AA125B">
        <w:rPr>
          <w:rFonts w:ascii="Verdana" w:eastAsia="Calibri" w:hAnsi="Verdana" w:cs="Arial"/>
          <w:color w:val="000000" w:themeColor="text1"/>
        </w:rPr>
        <w:t xml:space="preserve">entro de los requisitos habilitantes establecidos por el artículo 5 de la Ley 1150 de 2007. En el </w:t>
      </w:r>
      <w:r>
        <w:rPr>
          <w:rFonts w:ascii="Verdana" w:eastAsia="Calibri" w:hAnsi="Verdana" w:cs="Arial"/>
          <w:color w:val="000000" w:themeColor="text1"/>
        </w:rPr>
        <w:t>“</w:t>
      </w:r>
      <w:r w:rsidRPr="00AA125B">
        <w:rPr>
          <w:rFonts w:ascii="Verdana" w:eastAsia="Calibri" w:hAnsi="Verdana" w:cs="Arial"/>
          <w:color w:val="000000" w:themeColor="text1"/>
        </w:rPr>
        <w:t>Manual para determinar y verificar requisitos habilitantes en los procesos de contratación</w:t>
      </w:r>
      <w:r>
        <w:rPr>
          <w:rFonts w:ascii="Verdana" w:eastAsia="Calibri" w:hAnsi="Verdana" w:cs="Arial"/>
          <w:color w:val="000000" w:themeColor="text1"/>
        </w:rPr>
        <w:t>”</w:t>
      </w:r>
      <w:r w:rsidRPr="00AA125B">
        <w:rPr>
          <w:rFonts w:ascii="Verdana" w:eastAsia="Calibri" w:hAnsi="Verdana" w:cs="Arial"/>
          <w:color w:val="000000" w:themeColor="text1"/>
        </w:rPr>
        <w:t xml:space="preserve"> </w:t>
      </w:r>
      <w:r>
        <w:rPr>
          <w:rFonts w:ascii="Verdana" w:eastAsia="Calibri" w:hAnsi="Verdana" w:cs="Arial"/>
          <w:color w:val="000000" w:themeColor="text1"/>
        </w:rPr>
        <w:t>actualizado</w:t>
      </w:r>
      <w:r w:rsidRPr="00AA125B">
        <w:rPr>
          <w:rFonts w:ascii="Verdana" w:eastAsia="Calibri" w:hAnsi="Verdana" w:cs="Arial"/>
          <w:color w:val="000000" w:themeColor="text1"/>
        </w:rPr>
        <w:t xml:space="preserve"> </w:t>
      </w:r>
      <w:r>
        <w:rPr>
          <w:rFonts w:ascii="Verdana" w:eastAsia="Calibri" w:hAnsi="Verdana" w:cs="Arial"/>
          <w:color w:val="000000" w:themeColor="text1"/>
        </w:rPr>
        <w:t xml:space="preserve">y publicado </w:t>
      </w:r>
      <w:r w:rsidRPr="00AA125B">
        <w:rPr>
          <w:rFonts w:ascii="Verdana" w:eastAsia="Calibri" w:hAnsi="Verdana" w:cs="Arial"/>
          <w:color w:val="000000" w:themeColor="text1"/>
        </w:rPr>
        <w:t>por Colombia Compra Eficiente</w:t>
      </w:r>
      <w:r>
        <w:rPr>
          <w:rFonts w:ascii="Verdana" w:eastAsia="Calibri" w:hAnsi="Verdana" w:cs="Arial"/>
          <w:color w:val="000000" w:themeColor="text1"/>
        </w:rPr>
        <w:t xml:space="preserve"> el 17 de octubre de 2023,</w:t>
      </w:r>
      <w:r w:rsidRPr="00AA125B">
        <w:rPr>
          <w:rFonts w:ascii="Verdana" w:eastAsia="Calibri" w:hAnsi="Verdana" w:cs="Arial"/>
          <w:color w:val="000000" w:themeColor="text1"/>
        </w:rPr>
        <w:t xml:space="preserve"> </w:t>
      </w:r>
      <w:r>
        <w:rPr>
          <w:rFonts w:ascii="Verdana" w:eastAsia="Calibri" w:hAnsi="Verdana" w:cs="Arial"/>
          <w:color w:val="000000" w:themeColor="text1"/>
        </w:rPr>
        <w:t xml:space="preserve">donde </w:t>
      </w:r>
      <w:r w:rsidRPr="00AA125B">
        <w:rPr>
          <w:rFonts w:ascii="Verdana" w:eastAsia="Calibri" w:hAnsi="Verdana" w:cs="Arial"/>
          <w:color w:val="000000" w:themeColor="text1"/>
        </w:rPr>
        <w:t xml:space="preserve">se define como </w:t>
      </w:r>
      <w:r>
        <w:rPr>
          <w:rFonts w:ascii="Verdana" w:eastAsia="Calibri" w:hAnsi="Verdana" w:cs="Arial"/>
          <w:color w:val="000000" w:themeColor="text1"/>
        </w:rPr>
        <w:t>“</w:t>
      </w:r>
      <w:r w:rsidRPr="00AA125B">
        <w:rPr>
          <w:rFonts w:ascii="Verdana" w:eastAsia="Calibri" w:hAnsi="Verdana" w:cs="Arial"/>
          <w:color w:val="000000" w:themeColor="text1"/>
        </w:rPr>
        <w:t>[…] el conocimiento del proponente derivado de su participación previa en actividades iguales o similares a las previstas en el objeto del contrato</w:t>
      </w:r>
      <w:r>
        <w:rPr>
          <w:rFonts w:ascii="Verdana" w:eastAsia="Calibri" w:hAnsi="Verdana" w:cs="Arial"/>
          <w:color w:val="000000" w:themeColor="text1"/>
        </w:rPr>
        <w:t>”</w:t>
      </w:r>
      <w:r w:rsidRPr="00AA125B">
        <w:rPr>
          <w:rFonts w:ascii="Verdana" w:eastAsia="Calibri" w:hAnsi="Verdana" w:cs="Arial"/>
          <w:color w:val="000000" w:themeColor="text1"/>
        </w:rPr>
        <w:t>.</w:t>
      </w:r>
      <w:r>
        <w:rPr>
          <w:rFonts w:ascii="Verdana" w:eastAsia="Calibri" w:hAnsi="Verdana" w:cs="Arial"/>
          <w:color w:val="000000" w:themeColor="text1"/>
        </w:rPr>
        <w:t xml:space="preserve"> </w:t>
      </w:r>
    </w:p>
    <w:p w14:paraId="5C372771" w14:textId="77777777" w:rsidR="00BA6E6F" w:rsidRPr="00C223DA" w:rsidRDefault="00BA6E6F" w:rsidP="00BA6E6F">
      <w:pPr>
        <w:pStyle w:val="Prrafodelista"/>
        <w:spacing w:after="0" w:line="276" w:lineRule="auto"/>
        <w:ind w:left="714" w:hanging="357"/>
        <w:rPr>
          <w:rFonts w:ascii="Verdana" w:eastAsia="Calibri" w:hAnsi="Verdana" w:cs="Arial"/>
          <w:color w:val="000000" w:themeColor="text1"/>
        </w:rPr>
      </w:pPr>
    </w:p>
    <w:p w14:paraId="4AF0EF65" w14:textId="77777777" w:rsidR="00BA6E6F" w:rsidRPr="008527E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8527EF">
        <w:rPr>
          <w:rFonts w:ascii="Verdana" w:eastAsia="Calibri" w:hAnsi="Verdana" w:cs="Arial"/>
          <w:color w:val="000000" w:themeColor="text1"/>
        </w:rPr>
        <w:t xml:space="preserve">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p>
    <w:p w14:paraId="181CCB43" w14:textId="77777777" w:rsidR="00BA6E6F" w:rsidRPr="008527EF" w:rsidRDefault="00BA6E6F" w:rsidP="00BA6E6F">
      <w:pPr>
        <w:pStyle w:val="Prrafodelista"/>
        <w:spacing w:after="0" w:line="276" w:lineRule="auto"/>
        <w:ind w:left="714" w:hanging="357"/>
        <w:rPr>
          <w:rFonts w:ascii="Verdana" w:eastAsia="Times New Roman" w:hAnsi="Verdana" w:cs="Arial"/>
          <w:lang w:eastAsia="es-ES"/>
        </w:rPr>
      </w:pPr>
    </w:p>
    <w:p w14:paraId="23AE8D74"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En ese contexto, </w:t>
      </w:r>
      <w:r w:rsidRPr="00117227">
        <w:rPr>
          <w:rFonts w:ascii="Verdana" w:eastAsia="Times New Roman" w:hAnsi="Verdana" w:cs="Arial"/>
          <w:lang w:eastAsia="es-ES"/>
        </w:rPr>
        <w:t>las entidades contratantes, como responsables de la estructuración de los procedimientos de selección, son autónomas para establecer</w:t>
      </w:r>
      <w:r>
        <w:rPr>
          <w:rFonts w:ascii="Verdana" w:eastAsia="Times New Roman" w:hAnsi="Verdana" w:cs="Arial"/>
          <w:lang w:eastAsia="es-ES"/>
        </w:rPr>
        <w:t xml:space="preserve"> la experiencia, como uno de </w:t>
      </w:r>
      <w:r w:rsidRPr="00117227">
        <w:rPr>
          <w:rFonts w:ascii="Verdana" w:eastAsia="Times New Roman" w:hAnsi="Verdana" w:cs="Arial"/>
          <w:lang w:eastAsia="es-ES"/>
        </w:rPr>
        <w:t>los requisitos habilitantes cuya exigencia estiman necesaria para garantizar la aptitud de los participantes. En este sentido, el artículo 2.2.1.1.1.6.2. del Decreto 1082 de 2015 resulta aplicable para establecer los requisitos de experiencia, que deben tener en cuenta aspectos como el estudio del sector y sus</w:t>
      </w:r>
      <w:r>
        <w:rPr>
          <w:rFonts w:ascii="Verdana" w:eastAsia="Times New Roman" w:hAnsi="Verdana" w:cs="Arial"/>
          <w:lang w:eastAsia="es-ES"/>
        </w:rPr>
        <w:t xml:space="preserve"> </w:t>
      </w:r>
      <w:r w:rsidRPr="00037CFE">
        <w:rPr>
          <w:rFonts w:ascii="Verdana" w:eastAsia="Times New Roman" w:hAnsi="Verdana" w:cs="Arial"/>
          <w:lang w:eastAsia="es-ES"/>
        </w:rPr>
        <w:t>componentes, la identificación de riesgos, así como el mercado y precio del bien, obra o servicio a contratar</w:t>
      </w:r>
      <w:r>
        <w:rPr>
          <w:rFonts w:ascii="Verdana" w:eastAsia="Times New Roman" w:hAnsi="Verdana" w:cs="Arial"/>
          <w:lang w:eastAsia="es-ES"/>
        </w:rPr>
        <w:t>.</w:t>
      </w:r>
    </w:p>
    <w:p w14:paraId="7A7552E2" w14:textId="77777777" w:rsidR="00BA6E6F" w:rsidRPr="00E75189" w:rsidRDefault="00BA6E6F" w:rsidP="00BA6E6F">
      <w:pPr>
        <w:pStyle w:val="Prrafodelista"/>
        <w:rPr>
          <w:rFonts w:ascii="Verdana" w:eastAsia="Times New Roman" w:hAnsi="Verdana" w:cs="Arial"/>
          <w:lang w:eastAsia="es-ES"/>
        </w:rPr>
      </w:pPr>
    </w:p>
    <w:p w14:paraId="01F9ADB4"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De la misma manera, la entidad estatal puede encontrar oportuno y conveniente que las exigencias de experiencia se fijen teniendo en consideración parámetros de sostenibilidad </w:t>
      </w:r>
      <w:r w:rsidRPr="00490496">
        <w:rPr>
          <w:rFonts w:ascii="Verdana" w:eastAsia="Times New Roman" w:hAnsi="Verdana" w:cs="Arial"/>
          <w:lang w:eastAsia="es-ES"/>
        </w:rPr>
        <w:t>relacionados con el objeto del contrato</w:t>
      </w:r>
      <w:r>
        <w:rPr>
          <w:rFonts w:ascii="Verdana" w:eastAsia="Times New Roman" w:hAnsi="Verdana" w:cs="Arial"/>
          <w:lang w:eastAsia="es-ES"/>
        </w:rPr>
        <w:t>, justificando las decisiones mediante los documentos que componen el estudio previo.</w:t>
      </w:r>
    </w:p>
    <w:p w14:paraId="628980C5" w14:textId="77777777" w:rsidR="00BA6E6F" w:rsidRPr="00037CFE" w:rsidRDefault="00BA6E6F" w:rsidP="00BA6E6F">
      <w:pPr>
        <w:pStyle w:val="Prrafodelista"/>
        <w:spacing w:after="0" w:line="276" w:lineRule="auto"/>
        <w:ind w:left="714" w:hanging="357"/>
        <w:rPr>
          <w:rFonts w:ascii="Verdana" w:eastAsia="Times New Roman" w:hAnsi="Verdana" w:cs="Arial"/>
          <w:lang w:eastAsia="es-ES"/>
        </w:rPr>
      </w:pPr>
    </w:p>
    <w:p w14:paraId="501DF01E"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FC5216">
        <w:rPr>
          <w:rFonts w:ascii="Verdana" w:eastAsia="Times New Roman" w:hAnsi="Verdana" w:cs="Arial"/>
          <w:lang w:eastAsia="es-ES"/>
        </w:rPr>
        <w:t xml:space="preserve">Por otra parte, la Agencia recomienda </w:t>
      </w:r>
      <w:r>
        <w:rPr>
          <w:rFonts w:ascii="Verdana" w:eastAsia="Times New Roman" w:hAnsi="Verdana" w:cs="Arial"/>
          <w:lang w:eastAsia="es-ES"/>
        </w:rPr>
        <w:t xml:space="preserve">en el numeral 2 del </w:t>
      </w:r>
      <w:r w:rsidRPr="00043096">
        <w:rPr>
          <w:rFonts w:ascii="Verdana" w:eastAsia="Times New Roman" w:hAnsi="Verdana" w:cs="Arial"/>
          <w:i/>
          <w:iCs/>
          <w:lang w:eastAsia="es-ES"/>
        </w:rPr>
        <w:t>Manual Para Determinar y Verificar los Requisitos Habilitantes en los Procesos de Contratación</w:t>
      </w:r>
      <w:r>
        <w:rPr>
          <w:rFonts w:ascii="Verdana" w:eastAsia="Times New Roman" w:hAnsi="Verdana" w:cs="Arial"/>
          <w:lang w:eastAsia="es-ES"/>
        </w:rPr>
        <w:t xml:space="preserve"> </w:t>
      </w:r>
      <w:r w:rsidRPr="00FC5216">
        <w:rPr>
          <w:rFonts w:ascii="Verdana" w:eastAsia="Times New Roman" w:hAnsi="Verdana" w:cs="Arial"/>
          <w:lang w:eastAsia="es-ES"/>
        </w:rPr>
        <w:t xml:space="preserve">que la experiencia que se solicite sea proporcional y no igual al objeto que se va a contratar, ya que esto podría limitar la participación de los proponentes, por no haber ejecutado un objeto igual pero sí similar, que puede funcionar para las exigencias de la entidad, procurando que </w:t>
      </w:r>
      <w:r w:rsidRPr="00FC5216">
        <w:rPr>
          <w:rFonts w:ascii="Verdana" w:eastAsia="Times New Roman" w:hAnsi="Verdana" w:cs="Arial"/>
          <w:lang w:eastAsia="es-ES"/>
        </w:rPr>
        <w:lastRenderedPageBreak/>
        <w:t>exista pluralidad de oferentes. De no ser así, se limitaría excesivamente la participación de los oferentes que han ejecutado contratos no iguales, pero sí similares, y que pueden aportar trayectoria para satisfacer las exigencias de la entidad.</w:t>
      </w:r>
    </w:p>
    <w:p w14:paraId="2791849E" w14:textId="77777777" w:rsidR="00BA6E6F" w:rsidRPr="00FC5216" w:rsidRDefault="00BA6E6F" w:rsidP="00BA6E6F">
      <w:pPr>
        <w:pStyle w:val="Prrafodelista"/>
        <w:spacing w:after="0" w:line="276" w:lineRule="auto"/>
        <w:ind w:left="714" w:hanging="357"/>
        <w:rPr>
          <w:rFonts w:ascii="Verdana" w:eastAsia="Times New Roman" w:hAnsi="Verdana" w:cs="Arial"/>
          <w:lang w:eastAsia="es-ES"/>
        </w:rPr>
      </w:pPr>
    </w:p>
    <w:p w14:paraId="14997373" w14:textId="77777777" w:rsidR="00BA6E6F" w:rsidRPr="00765B0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Lo anterior se encuentra en consonancia con lo expresado por esta Agencia en la “</w:t>
      </w:r>
      <w:r w:rsidRPr="00AB1C45">
        <w:rPr>
          <w:rFonts w:ascii="Verdana" w:eastAsia="Times New Roman" w:hAnsi="Verdana" w:cs="Arial"/>
          <w:lang w:eastAsia="es-ES"/>
        </w:rPr>
        <w:t>Guía de competencia en las compras públicas</w:t>
      </w:r>
      <w:r>
        <w:rPr>
          <w:rFonts w:ascii="Verdana" w:eastAsia="Times New Roman" w:hAnsi="Verdana" w:cs="Arial"/>
          <w:lang w:eastAsia="es-ES"/>
        </w:rPr>
        <w:t>” acerca de la necesidad de que las entidades estatales promuevan la competitividad e incidan positivamente en los mercados relacionados a sus procesos de compra pública, de tal manera que generen valor por dinero en estos procesos de adquisición, sobre todo cuando, a partir de la identificación del nivel de competencia en el mercado, se detecten condiciones que podrían dificultar la rivalidad efectiva entre las empresas proveedoras del bien o servicio, como por ejemplo, el hecho de que el bien o servicio a contratar sea un bien o servicio con características muy específicas.</w:t>
      </w:r>
    </w:p>
    <w:p w14:paraId="5DEEB248" w14:textId="77777777" w:rsidR="00BA6E6F" w:rsidRPr="00765B0F" w:rsidRDefault="00BA6E6F" w:rsidP="00BA6E6F">
      <w:pPr>
        <w:pStyle w:val="Prrafodelista"/>
        <w:spacing w:after="0" w:line="276" w:lineRule="auto"/>
        <w:ind w:left="714" w:hanging="357"/>
        <w:rPr>
          <w:rFonts w:ascii="Verdana" w:eastAsia="Times New Roman" w:hAnsi="Verdana" w:cs="Arial"/>
          <w:lang w:eastAsia="es-ES"/>
        </w:rPr>
      </w:pPr>
    </w:p>
    <w:p w14:paraId="293A5424"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En consonancia con lo anterior, </w:t>
      </w:r>
      <w:r w:rsidRPr="00BE44A3">
        <w:rPr>
          <w:rFonts w:ascii="Verdana" w:eastAsia="Times New Roman" w:hAnsi="Verdana" w:cs="Arial"/>
          <w:lang w:eastAsia="es-ES"/>
        </w:rPr>
        <w:t>el artículo 5 de la Ley 1150 de 2007 regula los factores dirigidos a determinar cuál es la propuesta, comparativamente, más favorable. En ese sentido</w:t>
      </w:r>
      <w:r>
        <w:rPr>
          <w:rFonts w:ascii="Verdana" w:eastAsia="Times New Roman" w:hAnsi="Verdana" w:cs="Arial"/>
          <w:lang w:eastAsia="es-ES"/>
        </w:rPr>
        <w:t>:</w:t>
      </w:r>
    </w:p>
    <w:p w14:paraId="3DBAB6B4" w14:textId="77777777" w:rsidR="00BA6E6F" w:rsidRPr="003314C2" w:rsidRDefault="00BA6E6F" w:rsidP="00BA6E6F">
      <w:pPr>
        <w:pStyle w:val="Prrafodelista"/>
        <w:rPr>
          <w:rFonts w:ascii="Verdana" w:eastAsia="Times New Roman" w:hAnsi="Verdana" w:cs="Arial"/>
          <w:lang w:eastAsia="es-ES"/>
        </w:rPr>
      </w:pPr>
    </w:p>
    <w:p w14:paraId="3EFFF820" w14:textId="77777777" w:rsidR="00BA6E6F" w:rsidRDefault="00BA6E6F" w:rsidP="00BA6E6F">
      <w:pPr>
        <w:pStyle w:val="Prrafodelista"/>
        <w:numPr>
          <w:ilvl w:val="0"/>
          <w:numId w:val="4"/>
        </w:numPr>
        <w:spacing w:after="0" w:line="276" w:lineRule="auto"/>
        <w:jc w:val="both"/>
        <w:rPr>
          <w:rFonts w:ascii="Verdana" w:eastAsia="Times New Roman" w:hAnsi="Verdana" w:cs="Arial"/>
          <w:lang w:eastAsia="es-ES"/>
        </w:rPr>
      </w:pPr>
      <w:r w:rsidRPr="00BE44A3">
        <w:rPr>
          <w:rFonts w:ascii="Verdana" w:eastAsia="Times New Roman" w:hAnsi="Verdana" w:cs="Arial"/>
          <w:lang w:eastAsia="es-ES"/>
        </w:rPr>
        <w:t xml:space="preserve">el inciso primero dispone los factores de escogencia y calificación que deben indicarse en los pliegos de condiciones o documentos equivalentes. </w:t>
      </w:r>
    </w:p>
    <w:p w14:paraId="7CDEAA34" w14:textId="77777777" w:rsidR="00BA6E6F" w:rsidRDefault="00BA6E6F" w:rsidP="00BA6E6F">
      <w:pPr>
        <w:pStyle w:val="Prrafodelista"/>
        <w:numPr>
          <w:ilvl w:val="0"/>
          <w:numId w:val="4"/>
        </w:numPr>
        <w:spacing w:after="0" w:line="276" w:lineRule="auto"/>
        <w:jc w:val="both"/>
        <w:rPr>
          <w:rFonts w:ascii="Verdana" w:eastAsia="Times New Roman" w:hAnsi="Verdana" w:cs="Arial"/>
          <w:lang w:eastAsia="es-ES"/>
        </w:rPr>
      </w:pPr>
      <w:r w:rsidRPr="00BE44A3">
        <w:rPr>
          <w:rFonts w:ascii="Verdana" w:eastAsia="Times New Roman" w:hAnsi="Verdana" w:cs="Arial"/>
          <w:lang w:eastAsia="es-ES"/>
        </w:rPr>
        <w:t>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w:t>
      </w:r>
      <w:r>
        <w:rPr>
          <w:rFonts w:ascii="Verdana" w:eastAsia="Times New Roman" w:hAnsi="Verdana" w:cs="Arial"/>
          <w:lang w:eastAsia="es-ES"/>
        </w:rPr>
        <w:t xml:space="preserve"> </w:t>
      </w:r>
      <w:r w:rsidRPr="00A64DB0">
        <w:rPr>
          <w:rFonts w:ascii="Verdana" w:eastAsia="Times New Roman" w:hAnsi="Verdana" w:cs="Arial"/>
          <w:lang w:eastAsia="es-ES"/>
        </w:rPr>
        <w:t xml:space="preserve">comparación de ofertas. </w:t>
      </w:r>
    </w:p>
    <w:p w14:paraId="05349125" w14:textId="77777777" w:rsidR="00BA6E6F" w:rsidRDefault="00BA6E6F" w:rsidP="00BA6E6F">
      <w:pPr>
        <w:pStyle w:val="Prrafodelista"/>
        <w:spacing w:after="0" w:line="276" w:lineRule="auto"/>
        <w:ind w:left="1434"/>
        <w:jc w:val="both"/>
        <w:rPr>
          <w:rFonts w:ascii="Verdana" w:eastAsia="Times New Roman" w:hAnsi="Verdana" w:cs="Arial"/>
          <w:lang w:eastAsia="es-ES"/>
        </w:rPr>
      </w:pPr>
    </w:p>
    <w:p w14:paraId="4CB0DC7B" w14:textId="77777777" w:rsidR="00BA6E6F" w:rsidRPr="007F6882" w:rsidRDefault="00BA6E6F" w:rsidP="00BA6E6F">
      <w:pPr>
        <w:pStyle w:val="Prrafodelista"/>
        <w:spacing w:after="0" w:line="276" w:lineRule="auto"/>
        <w:ind w:left="714"/>
        <w:jc w:val="both"/>
        <w:rPr>
          <w:rFonts w:ascii="Verdana" w:eastAsia="Times New Roman" w:hAnsi="Verdana" w:cs="Arial"/>
          <w:lang w:eastAsia="es-ES"/>
        </w:rPr>
      </w:pPr>
      <w:r w:rsidRPr="007F6882">
        <w:rPr>
          <w:rFonts w:ascii="Verdana" w:eastAsia="Times New Roman" w:hAnsi="Verdana" w:cs="Arial"/>
          <w:lang w:eastAsia="es-ES"/>
        </w:rPr>
        <w:t>Este numeral segundo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costo-beneficio para la entidad.</w:t>
      </w:r>
    </w:p>
    <w:p w14:paraId="380742AF" w14:textId="77777777" w:rsidR="00BA6E6F" w:rsidRDefault="00BA6E6F" w:rsidP="00BA6E6F">
      <w:pPr>
        <w:pStyle w:val="Prrafodelista"/>
        <w:spacing w:after="0" w:line="276" w:lineRule="auto"/>
        <w:ind w:left="714" w:hanging="357"/>
        <w:jc w:val="both"/>
        <w:rPr>
          <w:rFonts w:ascii="Verdana" w:eastAsia="Times New Roman" w:hAnsi="Verdana" w:cs="Arial"/>
          <w:lang w:eastAsia="es-ES"/>
        </w:rPr>
      </w:pPr>
    </w:p>
    <w:p w14:paraId="099611EA"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3B758D">
        <w:rPr>
          <w:rFonts w:ascii="Verdana" w:eastAsia="Times New Roman" w:hAnsi="Verdana" w:cs="Arial"/>
          <w:lang w:eastAsia="es-ES"/>
        </w:rPr>
        <w:lastRenderedPageBreak/>
        <w:t>Sobre la escogencia de la oferta más favorable a los intereses de la entidad y la evaluación de los factores exigidos en un caso concreto para el efecto, la doctrina explica que:</w:t>
      </w:r>
    </w:p>
    <w:p w14:paraId="5D39E56B" w14:textId="77777777" w:rsidR="00BA6E6F" w:rsidRPr="003B758D" w:rsidRDefault="00BA6E6F" w:rsidP="00BA6E6F">
      <w:pPr>
        <w:pStyle w:val="Prrafodelista"/>
        <w:rPr>
          <w:rFonts w:ascii="Verdana" w:eastAsia="Times New Roman" w:hAnsi="Verdana" w:cs="Arial"/>
          <w:lang w:eastAsia="es-ES"/>
        </w:rPr>
      </w:pPr>
    </w:p>
    <w:p w14:paraId="1123288B" w14:textId="77777777" w:rsidR="00BA6E6F" w:rsidRPr="009414D4" w:rsidRDefault="00BA6E6F" w:rsidP="00BA6E6F">
      <w:pPr>
        <w:pStyle w:val="Prrafodelista"/>
        <w:spacing w:after="0" w:line="276" w:lineRule="auto"/>
        <w:ind w:left="1049" w:right="709"/>
        <w:jc w:val="both"/>
        <w:rPr>
          <w:rFonts w:ascii="Verdana" w:eastAsia="Times New Roman" w:hAnsi="Verdana" w:cs="Arial"/>
          <w:sz w:val="21"/>
          <w:szCs w:val="21"/>
          <w:lang w:val="es-MX" w:eastAsia="es-ES"/>
        </w:rPr>
      </w:pPr>
      <w:r w:rsidRPr="00225878">
        <w:rPr>
          <w:rFonts w:ascii="Verdana" w:eastAsia="Times New Roman" w:hAnsi="Verdana" w:cs="Arial"/>
          <w:sz w:val="21"/>
          <w:szCs w:val="21"/>
          <w:lang w:eastAsia="es-ES"/>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w:t>
      </w:r>
      <w:r w:rsidRPr="009414D4">
        <w:rPr>
          <w:rFonts w:ascii="Verdana" w:eastAsia="Times New Roman" w:hAnsi="Verdana" w:cs="Arial"/>
          <w:sz w:val="21"/>
          <w:szCs w:val="21"/>
          <w:lang w:val="es-MX" w:eastAsia="es-ES"/>
        </w:rPr>
        <w:t xml:space="preserve">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CD71AD7" w14:textId="77777777" w:rsidR="00BA6E6F" w:rsidRPr="009414D4" w:rsidRDefault="00BA6E6F" w:rsidP="00BA6E6F">
      <w:pPr>
        <w:pStyle w:val="Prrafodelista"/>
        <w:spacing w:after="0" w:line="276" w:lineRule="auto"/>
        <w:ind w:left="1049" w:right="709"/>
        <w:jc w:val="both"/>
        <w:rPr>
          <w:rFonts w:ascii="Verdana" w:eastAsia="Times New Roman" w:hAnsi="Verdana" w:cs="Arial"/>
          <w:sz w:val="21"/>
          <w:szCs w:val="21"/>
          <w:lang w:val="es-MX" w:eastAsia="es-ES"/>
        </w:rPr>
      </w:pPr>
    </w:p>
    <w:p w14:paraId="332D6261" w14:textId="77777777" w:rsidR="00BA6E6F" w:rsidRPr="009414D4" w:rsidRDefault="00BA6E6F" w:rsidP="00BA6E6F">
      <w:pPr>
        <w:pStyle w:val="Prrafodelista"/>
        <w:spacing w:after="0" w:line="276" w:lineRule="auto"/>
        <w:ind w:left="1049" w:right="709"/>
        <w:jc w:val="both"/>
        <w:rPr>
          <w:rFonts w:ascii="Verdana" w:eastAsia="Times New Roman" w:hAnsi="Verdana" w:cs="Arial"/>
          <w:sz w:val="21"/>
          <w:szCs w:val="21"/>
          <w:lang w:val="es-MX" w:eastAsia="es-ES"/>
        </w:rPr>
      </w:pPr>
      <w:r w:rsidRPr="009414D4">
        <w:rPr>
          <w:rFonts w:ascii="Verdana" w:eastAsia="Times New Roman" w:hAnsi="Verdana" w:cs="Arial"/>
          <w:sz w:val="21"/>
          <w:szCs w:val="21"/>
          <w:lang w:val="es-MX" w:eastAsia="es-ES"/>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F23E685" w14:textId="77777777" w:rsidR="00BA6E6F" w:rsidRPr="009414D4" w:rsidRDefault="00BA6E6F" w:rsidP="00BA6E6F">
      <w:pPr>
        <w:pStyle w:val="Prrafodelista"/>
        <w:spacing w:after="0" w:line="276" w:lineRule="auto"/>
        <w:ind w:left="1049" w:right="709"/>
        <w:jc w:val="both"/>
        <w:rPr>
          <w:rFonts w:ascii="Verdana" w:eastAsia="Times New Roman" w:hAnsi="Verdana" w:cs="Arial"/>
          <w:sz w:val="21"/>
          <w:szCs w:val="21"/>
          <w:lang w:val="es-MX" w:eastAsia="es-ES"/>
        </w:rPr>
      </w:pPr>
    </w:p>
    <w:p w14:paraId="4F4F80DD" w14:textId="77777777" w:rsidR="00BA6E6F" w:rsidRDefault="00BA6E6F" w:rsidP="00BA6E6F">
      <w:pPr>
        <w:pStyle w:val="Prrafodelista"/>
        <w:spacing w:after="0" w:line="276" w:lineRule="auto"/>
        <w:ind w:left="1049" w:right="709"/>
        <w:jc w:val="both"/>
        <w:rPr>
          <w:rFonts w:ascii="Verdana" w:eastAsia="Times New Roman" w:hAnsi="Verdana" w:cs="Arial"/>
          <w:sz w:val="21"/>
          <w:szCs w:val="21"/>
          <w:lang w:val="es-MX" w:eastAsia="es-ES"/>
        </w:rPr>
      </w:pPr>
      <w:r w:rsidRPr="009414D4">
        <w:rPr>
          <w:rFonts w:ascii="Verdana" w:eastAsia="Times New Roman" w:hAnsi="Verdana" w:cs="Arial"/>
          <w:sz w:val="21"/>
          <w:szCs w:val="21"/>
          <w:lang w:val="es-MX" w:eastAsia="es-ES"/>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077497">
        <w:rPr>
          <w:rFonts w:ascii="Verdana" w:eastAsia="Times New Roman" w:hAnsi="Verdana" w:cs="Arial"/>
          <w:sz w:val="21"/>
          <w:szCs w:val="21"/>
          <w:vertAlign w:val="superscript"/>
          <w:lang w:val="es-MX" w:eastAsia="es-ES"/>
        </w:rPr>
        <w:t xml:space="preserve"> </w:t>
      </w:r>
      <w:r w:rsidRPr="009414D4">
        <w:rPr>
          <w:rFonts w:ascii="Verdana" w:eastAsia="Times New Roman" w:hAnsi="Verdana" w:cs="Arial"/>
          <w:sz w:val="21"/>
          <w:szCs w:val="21"/>
          <w:vertAlign w:val="superscript"/>
          <w:lang w:val="es-MX" w:eastAsia="es-ES"/>
        </w:rPr>
        <w:footnoteReference w:id="3"/>
      </w:r>
      <w:r w:rsidRPr="009414D4">
        <w:rPr>
          <w:rFonts w:ascii="Verdana" w:eastAsia="Times New Roman" w:hAnsi="Verdana" w:cs="Arial"/>
          <w:sz w:val="21"/>
          <w:szCs w:val="21"/>
          <w:lang w:val="es-MX" w:eastAsia="es-ES"/>
        </w:rPr>
        <w:t>.</w:t>
      </w:r>
    </w:p>
    <w:p w14:paraId="380F8490" w14:textId="77777777" w:rsidR="00BA6E6F" w:rsidRDefault="00BA6E6F" w:rsidP="00BA6E6F">
      <w:pPr>
        <w:pStyle w:val="Prrafodelista"/>
        <w:spacing w:after="0" w:line="276" w:lineRule="auto"/>
        <w:ind w:left="1049" w:right="709"/>
        <w:jc w:val="both"/>
        <w:rPr>
          <w:rFonts w:ascii="Verdana" w:eastAsia="Times New Roman" w:hAnsi="Verdana" w:cs="Arial"/>
          <w:sz w:val="21"/>
          <w:szCs w:val="21"/>
          <w:lang w:val="es-MX" w:eastAsia="es-ES"/>
        </w:rPr>
      </w:pPr>
    </w:p>
    <w:p w14:paraId="465D5FD4"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En ese sentido, le asiste a la Entidad Estatal </w:t>
      </w:r>
      <w:r w:rsidRPr="000300CE">
        <w:rPr>
          <w:rFonts w:ascii="Verdana" w:eastAsia="Times New Roman" w:hAnsi="Verdana" w:cs="Arial"/>
          <w:lang w:eastAsia="es-ES"/>
        </w:rPr>
        <w:t xml:space="preserve">determinan comparativamente que una oferta sea mejor que otra, </w:t>
      </w:r>
      <w:r>
        <w:rPr>
          <w:rFonts w:ascii="Verdana" w:eastAsia="Times New Roman" w:hAnsi="Verdana" w:cs="Arial"/>
          <w:lang w:eastAsia="es-ES"/>
        </w:rPr>
        <w:t>mediante</w:t>
      </w:r>
      <w:r w:rsidRPr="000300CE">
        <w:rPr>
          <w:rFonts w:ascii="Verdana" w:eastAsia="Times New Roman" w:hAnsi="Verdana" w:cs="Arial"/>
          <w:lang w:eastAsia="es-ES"/>
        </w:rPr>
        <w:t xml:space="preserve"> el </w:t>
      </w:r>
      <w:r w:rsidRPr="000300CE">
        <w:rPr>
          <w:rFonts w:ascii="Verdana" w:eastAsia="Times New Roman" w:hAnsi="Verdana" w:cs="Arial"/>
          <w:lang w:eastAsia="es-ES"/>
        </w:rPr>
        <w:lastRenderedPageBreak/>
        <w:t xml:space="preserve">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073227DA" w14:textId="77777777" w:rsidR="00BA6E6F" w:rsidRDefault="00BA6E6F" w:rsidP="00BA6E6F">
      <w:pPr>
        <w:pStyle w:val="Prrafodelista"/>
        <w:spacing w:after="0" w:line="276" w:lineRule="auto"/>
        <w:ind w:left="714" w:hanging="357"/>
        <w:jc w:val="both"/>
        <w:rPr>
          <w:rFonts w:ascii="Verdana" w:eastAsia="Times New Roman" w:hAnsi="Verdana" w:cs="Arial"/>
          <w:lang w:eastAsia="es-ES"/>
        </w:rPr>
      </w:pPr>
    </w:p>
    <w:p w14:paraId="2A2F95E3"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Dicho lo anterior</w:t>
      </w:r>
      <w:r w:rsidRPr="00E6692B">
        <w:rPr>
          <w:rFonts w:ascii="Verdana" w:eastAsia="Times New Roman" w:hAnsi="Verdana" w:cs="Arial"/>
          <w:lang w:eastAsia="es-ES"/>
        </w:rPr>
        <w:t xml:space="preserve">, la asignación de puntaje es un mecanismo mediante el cual las entidades ponderan los factores de calificación </w:t>
      </w:r>
      <w:r w:rsidRPr="00E6692B">
        <w:rPr>
          <w:rFonts w:ascii="Arial" w:eastAsia="Times New Roman" w:hAnsi="Arial" w:cs="Arial"/>
          <w:lang w:eastAsia="es-ES"/>
        </w:rPr>
        <w:t>ꟷ</w:t>
      </w:r>
      <w:r w:rsidRPr="00E6692B">
        <w:rPr>
          <w:rFonts w:ascii="Verdana" w:eastAsia="Times New Roman" w:hAnsi="Verdana" w:cs="Arial"/>
          <w:lang w:eastAsia="es-ES"/>
        </w:rPr>
        <w:t>v.g. t</w:t>
      </w:r>
      <w:r w:rsidRPr="00E6692B">
        <w:rPr>
          <w:rFonts w:ascii="Verdana" w:eastAsia="Times New Roman" w:hAnsi="Verdana" w:cs="Verdana"/>
          <w:lang w:eastAsia="es-ES"/>
        </w:rPr>
        <w:t>é</w:t>
      </w:r>
      <w:r w:rsidRPr="00E6692B">
        <w:rPr>
          <w:rFonts w:ascii="Verdana" w:eastAsia="Times New Roman" w:hAnsi="Verdana" w:cs="Arial"/>
          <w:lang w:eastAsia="es-ES"/>
        </w:rPr>
        <w:t>cnicos, de calidad y precio, etc.</w:t>
      </w:r>
      <w:r w:rsidRPr="00E6692B">
        <w:rPr>
          <w:rFonts w:ascii="Arial" w:eastAsia="Times New Roman" w:hAnsi="Arial" w:cs="Arial"/>
          <w:lang w:eastAsia="es-ES"/>
        </w:rPr>
        <w:t>ꟷ</w:t>
      </w:r>
      <w:r w:rsidRPr="00E6692B">
        <w:rPr>
          <w:rFonts w:ascii="Verdana" w:eastAsia="Times New Roman" w:hAnsi="Verdana" w:cs="Arial"/>
          <w:lang w:eastAsia="es-ES"/>
        </w:rPr>
        <w:t xml:space="preserve"> en un determinado proceso de selecci</w:t>
      </w:r>
      <w:r w:rsidRPr="00E6692B">
        <w:rPr>
          <w:rFonts w:ascii="Verdana" w:eastAsia="Times New Roman" w:hAnsi="Verdana" w:cs="Verdana"/>
          <w:lang w:eastAsia="es-ES"/>
        </w:rPr>
        <w:t>ó</w:t>
      </w:r>
      <w:r w:rsidRPr="00E6692B">
        <w:rPr>
          <w:rFonts w:ascii="Verdana" w:eastAsia="Times New Roman" w:hAnsi="Verdana" w:cs="Arial"/>
          <w:lang w:eastAsia="es-ES"/>
        </w:rPr>
        <w:t>n, como se desprende del literal a) del numeral segundo del art</w:t>
      </w:r>
      <w:r w:rsidRPr="00E6692B">
        <w:rPr>
          <w:rFonts w:ascii="Verdana" w:eastAsia="Times New Roman" w:hAnsi="Verdana" w:cs="Verdana"/>
          <w:lang w:eastAsia="es-ES"/>
        </w:rPr>
        <w:t>í</w:t>
      </w:r>
      <w:r w:rsidRPr="00E6692B">
        <w:rPr>
          <w:rFonts w:ascii="Verdana" w:eastAsia="Times New Roman" w:hAnsi="Verdana" w:cs="Arial"/>
          <w:lang w:eastAsia="es-ES"/>
        </w:rPr>
        <w:t xml:space="preserve">culo 5 de la Ley 1150 de 2007, en el que, expresamente, se alude al puntaje. Sin embargo, no es este el </w:t>
      </w:r>
      <w:r w:rsidRPr="00E6692B">
        <w:rPr>
          <w:rFonts w:ascii="Verdana" w:eastAsia="Times New Roman" w:hAnsi="Verdana" w:cs="Verdana"/>
          <w:lang w:eastAsia="es-ES"/>
        </w:rPr>
        <w:t>ú</w:t>
      </w:r>
      <w:r w:rsidRPr="00E6692B">
        <w:rPr>
          <w:rFonts w:ascii="Verdana" w:eastAsia="Times New Roman" w:hAnsi="Verdana" w:cs="Arial"/>
          <w:lang w:eastAsia="es-ES"/>
        </w:rPr>
        <w:t>nico mecanismo de ponderaci</w:t>
      </w:r>
      <w:r w:rsidRPr="00E6692B">
        <w:rPr>
          <w:rFonts w:ascii="Verdana" w:eastAsia="Times New Roman" w:hAnsi="Verdana" w:cs="Verdana"/>
          <w:lang w:eastAsia="es-ES"/>
        </w:rPr>
        <w:t>ó</w:t>
      </w:r>
      <w:r w:rsidRPr="00E6692B">
        <w:rPr>
          <w:rFonts w:ascii="Verdana" w:eastAsia="Times New Roman" w:hAnsi="Verdana" w:cs="Arial"/>
          <w:lang w:eastAsia="es-ES"/>
        </w:rPr>
        <w:t>n que tienen a su alcance las entidades estatales para determinar el ofrecimiento m</w:t>
      </w:r>
      <w:r w:rsidRPr="00E6692B">
        <w:rPr>
          <w:rFonts w:ascii="Verdana" w:eastAsia="Times New Roman" w:hAnsi="Verdana" w:cs="Verdana"/>
          <w:lang w:eastAsia="es-ES"/>
        </w:rPr>
        <w:t>á</w:t>
      </w:r>
      <w:r w:rsidRPr="00E6692B">
        <w:rPr>
          <w:rFonts w:ascii="Verdana" w:eastAsia="Times New Roman" w:hAnsi="Verdana" w:cs="Arial"/>
          <w:lang w:eastAsia="es-ES"/>
        </w:rPr>
        <w:t xml:space="preserve">s favorable, ya que el propio literal b) del artículo 5.2 posibilita que el ofrecimiento más favorable se determine con un análisis de la relación costo-beneficio, evento en el no habría necesidad de acudir obligatoriamente a sistemas de asignación de puntaje. </w:t>
      </w:r>
    </w:p>
    <w:p w14:paraId="7E95E813" w14:textId="77777777" w:rsidR="00BA6E6F" w:rsidRPr="00107423" w:rsidRDefault="00BA6E6F" w:rsidP="00BA6E6F">
      <w:pPr>
        <w:pStyle w:val="Prrafodelista"/>
        <w:rPr>
          <w:rFonts w:ascii="Verdana" w:eastAsia="Times New Roman" w:hAnsi="Verdana" w:cs="Arial"/>
          <w:lang w:eastAsia="es-ES"/>
        </w:rPr>
      </w:pPr>
    </w:p>
    <w:p w14:paraId="57F50D19"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E6692B">
        <w:rPr>
          <w:rFonts w:ascii="Verdana" w:eastAsia="Times New Roman" w:hAnsi="Verdana" w:cs="Arial"/>
          <w:lang w:eastAsia="es-ES"/>
        </w:rPr>
        <w:t>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6F045D02" w14:textId="77777777" w:rsidR="00BA6E6F" w:rsidRPr="00E6692B" w:rsidRDefault="00BA6E6F" w:rsidP="00BA6E6F">
      <w:pPr>
        <w:pStyle w:val="Prrafodelista"/>
        <w:spacing w:after="0" w:line="276" w:lineRule="auto"/>
        <w:ind w:left="714" w:hanging="357"/>
        <w:rPr>
          <w:rFonts w:ascii="Verdana" w:eastAsia="Times New Roman" w:hAnsi="Verdana" w:cs="Arial"/>
          <w:lang w:eastAsia="es-ES"/>
        </w:rPr>
      </w:pPr>
    </w:p>
    <w:p w14:paraId="15710945"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bidi="es-ES"/>
        </w:rPr>
      </w:pPr>
      <w:r>
        <w:rPr>
          <w:rFonts w:ascii="Verdana" w:eastAsia="Times New Roman" w:hAnsi="Verdana" w:cs="Arial"/>
          <w:lang w:eastAsia="es-ES"/>
        </w:rPr>
        <w:t xml:space="preserve">Con relación al iv) problema planteado, sobre </w:t>
      </w:r>
      <w:r w:rsidRPr="0013742F">
        <w:rPr>
          <w:rFonts w:ascii="Verdana" w:eastAsia="Times New Roman" w:hAnsi="Verdana" w:cs="Arial"/>
          <w:lang w:eastAsia="es-ES"/>
        </w:rPr>
        <w:t>la utilización de los Códigos UNSPSC con fines de clasificar la experiencia de los proponentes a través del RUP dentro de los procesos de selección,</w:t>
      </w:r>
      <w:r>
        <w:rPr>
          <w:rFonts w:ascii="Verdana" w:eastAsia="Times New Roman" w:hAnsi="Verdana" w:cs="Arial"/>
          <w:lang w:eastAsia="es-ES"/>
        </w:rPr>
        <w:t xml:space="preserve"> </w:t>
      </w:r>
      <w:r>
        <w:rPr>
          <w:rFonts w:ascii="Verdana" w:eastAsia="Times New Roman" w:hAnsi="Verdana" w:cs="Arial"/>
          <w:lang w:eastAsia="es-ES" w:bidi="es-ES"/>
        </w:rPr>
        <w:t>l</w:t>
      </w:r>
      <w:r w:rsidRPr="001D29C0">
        <w:rPr>
          <w:rFonts w:ascii="Verdana" w:eastAsia="Times New Roman" w:hAnsi="Verdana" w:cs="Arial"/>
          <w:lang w:eastAsia="es-ES" w:bidi="es-ES"/>
        </w:rPr>
        <w:t>as normas de contratación estatal establecen que las personas naturales o jurídicas nacionales o extranjeras que deseen celebrar contratos estatales deberán estar inscritos en el Registro Único de Proponente – RUP</w:t>
      </w:r>
      <w:r w:rsidRPr="001D29C0">
        <w:rPr>
          <w:rFonts w:ascii="Verdana" w:eastAsia="Times New Roman" w:hAnsi="Verdana" w:cs="Arial"/>
          <w:vertAlign w:val="superscript"/>
          <w:lang w:eastAsia="es-ES" w:bidi="es-ES"/>
        </w:rPr>
        <w:footnoteReference w:id="4"/>
      </w:r>
      <w:r w:rsidRPr="001D29C0">
        <w:rPr>
          <w:rFonts w:ascii="Verdana" w:eastAsia="Times New Roman" w:hAnsi="Verdana" w:cs="Arial"/>
          <w:lang w:eastAsia="es-ES" w:bidi="es-ES"/>
        </w:rPr>
        <w:t xml:space="preserve">. De acuerdo con esto, </w:t>
      </w:r>
      <w:r w:rsidRPr="001D29C0">
        <w:rPr>
          <w:rFonts w:ascii="Verdana" w:eastAsia="Times New Roman" w:hAnsi="Verdana" w:cs="Arial"/>
          <w:lang w:eastAsia="es-ES" w:bidi="es-ES"/>
        </w:rPr>
        <w:lastRenderedPageBreak/>
        <w:t>el artículo 6 de la Ley 1150 de 2007, al determinar la información contenida en el RUP, dispone que en el registro constará la información relacionada con la experiencia, capacidad jurídica, financiera y de organización del proponente, así como su clasificación</w:t>
      </w:r>
      <w:r w:rsidRPr="001D29C0">
        <w:rPr>
          <w:rFonts w:ascii="Verdana" w:eastAsia="Times New Roman" w:hAnsi="Verdana" w:cs="Arial"/>
          <w:vertAlign w:val="superscript"/>
          <w:lang w:eastAsia="es-ES" w:bidi="es-ES"/>
        </w:rPr>
        <w:footnoteReference w:id="5"/>
      </w:r>
      <w:r w:rsidRPr="001D29C0">
        <w:rPr>
          <w:rFonts w:ascii="Verdana" w:eastAsia="Times New Roman" w:hAnsi="Verdana" w:cs="Arial"/>
          <w:lang w:eastAsia="es-ES" w:bidi="es-ES"/>
        </w:rPr>
        <w:t>.</w:t>
      </w:r>
    </w:p>
    <w:p w14:paraId="2C7D5324" w14:textId="77777777" w:rsidR="00BA6E6F" w:rsidRPr="00D26294" w:rsidRDefault="00BA6E6F" w:rsidP="00BA6E6F">
      <w:pPr>
        <w:pStyle w:val="Prrafodelista"/>
        <w:spacing w:after="0" w:line="276" w:lineRule="auto"/>
        <w:ind w:left="714" w:hanging="357"/>
        <w:rPr>
          <w:rFonts w:ascii="Verdana" w:eastAsia="Times New Roman" w:hAnsi="Verdana" w:cs="Arial"/>
          <w:lang w:eastAsia="es-ES" w:bidi="es-ES"/>
        </w:rPr>
      </w:pPr>
    </w:p>
    <w:p w14:paraId="5EEB52F5" w14:textId="77777777" w:rsidR="00BA6E6F" w:rsidRPr="00F814A9"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F814A9">
        <w:rPr>
          <w:rFonts w:ascii="Verdana" w:eastAsia="Times New Roman" w:hAnsi="Verdana" w:cs="Arial"/>
          <w:lang w:eastAsia="es-ES"/>
        </w:rPr>
        <w:t>Agregando a lo anterior, la clasificación de códigos UNSPSC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w:t>
      </w:r>
    </w:p>
    <w:p w14:paraId="04DA7AC4" w14:textId="77777777" w:rsidR="00BA6E6F" w:rsidRPr="007142EE" w:rsidRDefault="00BA6E6F" w:rsidP="00BA6E6F">
      <w:pPr>
        <w:pStyle w:val="Prrafodelista"/>
        <w:spacing w:after="0" w:line="276" w:lineRule="auto"/>
        <w:ind w:left="714" w:hanging="357"/>
        <w:rPr>
          <w:rFonts w:ascii="Verdana" w:eastAsia="Times New Roman" w:hAnsi="Verdana" w:cs="Arial"/>
          <w:lang w:eastAsia="es-ES"/>
        </w:rPr>
      </w:pPr>
    </w:p>
    <w:p w14:paraId="4CA46B0C" w14:textId="77777777" w:rsidR="00BA6E6F" w:rsidRDefault="00BA6E6F" w:rsidP="00BA6E6F">
      <w:pPr>
        <w:pStyle w:val="Prrafodelista"/>
        <w:numPr>
          <w:ilvl w:val="0"/>
          <w:numId w:val="2"/>
        </w:numPr>
        <w:shd w:val="clear" w:color="auto" w:fill="FFFFFF"/>
        <w:spacing w:after="0" w:line="276" w:lineRule="auto"/>
        <w:ind w:left="714" w:hanging="357"/>
        <w:jc w:val="both"/>
        <w:textAlignment w:val="baseline"/>
        <w:rPr>
          <w:rFonts w:ascii="Verdana" w:eastAsia="Times New Roman" w:hAnsi="Verdana" w:cs="Arial"/>
          <w:bdr w:val="none" w:sz="0" w:space="0" w:color="auto" w:frame="1"/>
          <w:lang w:eastAsia="es-CO"/>
        </w:rPr>
      </w:pPr>
      <w:r w:rsidRPr="00AB2D2F">
        <w:rPr>
          <w:rFonts w:ascii="Verdana" w:eastAsia="Times New Roman" w:hAnsi="Verdana" w:cs="Arial"/>
          <w:bdr w:val="none" w:sz="0" w:space="0" w:color="auto" w:frame="1"/>
          <w:lang w:eastAsia="es-CO"/>
        </w:rPr>
        <w:t xml:space="preserve">El artículo 2.2.1.1.1.3.1 del Decreto 1082 de 2015 define el Clasificador de Bienes y Servicios como el </w:t>
      </w:r>
      <w:r>
        <w:rPr>
          <w:rFonts w:ascii="Verdana" w:eastAsia="Times New Roman" w:hAnsi="Verdana" w:cs="Arial"/>
          <w:bdr w:val="none" w:sz="0" w:space="0" w:color="auto" w:frame="1"/>
          <w:lang w:eastAsia="es-CO"/>
        </w:rPr>
        <w:t>“</w:t>
      </w:r>
      <w:r w:rsidRPr="00AB2D2F">
        <w:rPr>
          <w:rFonts w:ascii="Verdana" w:eastAsia="Times New Roman" w:hAnsi="Verdana" w:cs="Arial"/>
          <w:bdr w:val="none" w:sz="0" w:space="0" w:color="auto" w:frame="1"/>
          <w:lang w:eastAsia="es-CO"/>
        </w:rPr>
        <w:t>Sistema de codificación de las Naciones Unidas para estandarizar productos y servicios, conocido por las siglas UNSPSC</w:t>
      </w:r>
      <w:r>
        <w:rPr>
          <w:rFonts w:ascii="Verdana" w:eastAsia="Times New Roman" w:hAnsi="Verdana" w:cs="Arial"/>
          <w:bdr w:val="none" w:sz="0" w:space="0" w:color="auto" w:frame="1"/>
          <w:lang w:eastAsia="es-CO"/>
        </w:rPr>
        <w:t>”</w:t>
      </w:r>
      <w:r w:rsidRPr="00AB2D2F">
        <w:rPr>
          <w:rFonts w:ascii="Verdana" w:eastAsia="Times New Roman" w:hAnsi="Verdana" w:cs="Arial"/>
          <w:bdr w:val="none" w:sz="0" w:space="0" w:color="auto" w:frame="1"/>
          <w:lang w:eastAsia="es-CO"/>
        </w:rPr>
        <w:t xml:space="preserve">. </w:t>
      </w:r>
    </w:p>
    <w:p w14:paraId="5AAB8DE4" w14:textId="77777777" w:rsidR="00BA6E6F" w:rsidRPr="00356078" w:rsidRDefault="00BA6E6F" w:rsidP="00BA6E6F">
      <w:pPr>
        <w:pStyle w:val="Prrafodelista"/>
        <w:rPr>
          <w:rFonts w:ascii="Verdana" w:eastAsia="Times New Roman" w:hAnsi="Verdana" w:cs="Arial"/>
          <w:bdr w:val="none" w:sz="0" w:space="0" w:color="auto" w:frame="1"/>
          <w:lang w:eastAsia="es-CO"/>
        </w:rPr>
      </w:pPr>
    </w:p>
    <w:p w14:paraId="026F3834" w14:textId="77777777" w:rsidR="00BA6E6F" w:rsidRDefault="00BA6E6F" w:rsidP="00BA6E6F">
      <w:pPr>
        <w:pStyle w:val="Prrafodelista"/>
        <w:numPr>
          <w:ilvl w:val="0"/>
          <w:numId w:val="2"/>
        </w:numPr>
        <w:shd w:val="clear" w:color="auto" w:fill="FFFFFF"/>
        <w:spacing w:after="0" w:line="276" w:lineRule="auto"/>
        <w:ind w:left="714" w:hanging="357"/>
        <w:jc w:val="both"/>
        <w:textAlignment w:val="baseline"/>
        <w:rPr>
          <w:rFonts w:ascii="Verdana" w:eastAsia="Times New Roman" w:hAnsi="Verdana" w:cs="Arial"/>
          <w:bdr w:val="none" w:sz="0" w:space="0" w:color="auto" w:frame="1"/>
          <w:lang w:eastAsia="es-CO"/>
        </w:rPr>
      </w:pPr>
      <w:r w:rsidRPr="00AB2D2F">
        <w:rPr>
          <w:rFonts w:ascii="Verdana" w:eastAsia="Times New Roman" w:hAnsi="Verdana" w:cs="Arial"/>
          <w:bdr w:val="none" w:sz="0" w:space="0" w:color="auto" w:frame="1"/>
          <w:lang w:eastAsia="es-CO"/>
        </w:rPr>
        <w:t xml:space="preserve">A su vez, la </w:t>
      </w:r>
      <w:r>
        <w:rPr>
          <w:rFonts w:ascii="Verdana" w:eastAsia="Times New Roman" w:hAnsi="Verdana" w:cs="Arial"/>
          <w:bdr w:val="none" w:sz="0" w:space="0" w:color="auto" w:frame="1"/>
          <w:lang w:eastAsia="es-CO"/>
        </w:rPr>
        <w:t>“</w:t>
      </w:r>
      <w:r w:rsidRPr="00AB2D2F">
        <w:rPr>
          <w:rFonts w:ascii="Verdana" w:eastAsia="Times New Roman" w:hAnsi="Verdana" w:cs="Arial"/>
          <w:bdr w:val="none" w:sz="0" w:space="0" w:color="auto" w:frame="1"/>
          <w:lang w:eastAsia="es-CO"/>
        </w:rPr>
        <w:t>Guía para la codificación de bienes y servicios de acuerdo con el código estándar de productos y servicios de Naciones Unidas, V.14.080</w:t>
      </w:r>
      <w:r>
        <w:rPr>
          <w:rFonts w:ascii="Verdana" w:eastAsia="Times New Roman" w:hAnsi="Verdana" w:cs="Arial"/>
          <w:bdr w:val="none" w:sz="0" w:space="0" w:color="auto" w:frame="1"/>
          <w:lang w:eastAsia="es-CO"/>
        </w:rPr>
        <w:t>”</w:t>
      </w:r>
      <w:r w:rsidRPr="00AB2D2F">
        <w:rPr>
          <w:rFonts w:ascii="Verdana" w:eastAsia="Times New Roman" w:hAnsi="Verdana" w:cs="Arial"/>
          <w:bdr w:val="none" w:sz="0" w:space="0" w:color="auto" w:frame="1"/>
          <w:lang w:eastAsia="es-CO"/>
        </w:rPr>
        <w:t xml:space="preserve">, establece que </w:t>
      </w:r>
      <w:r>
        <w:rPr>
          <w:rFonts w:ascii="Verdana" w:eastAsia="Times New Roman" w:hAnsi="Verdana" w:cs="Arial"/>
          <w:bdr w:val="none" w:sz="0" w:space="0" w:color="auto" w:frame="1"/>
          <w:lang w:eastAsia="es-CO"/>
        </w:rPr>
        <w:t>“</w:t>
      </w:r>
      <w:r w:rsidRPr="00AB2D2F">
        <w:rPr>
          <w:rFonts w:ascii="Verdana" w:eastAsia="Times New Roman" w:hAnsi="Verdana" w:cs="Arial"/>
          <w:bdr w:val="none" w:sz="0" w:space="0" w:color="auto" w:frame="1"/>
          <w:lang w:eastAsia="es-CO"/>
        </w:rPr>
        <w:t>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w:t>
      </w:r>
      <w:r>
        <w:rPr>
          <w:rFonts w:ascii="Verdana" w:eastAsia="Times New Roman" w:hAnsi="Verdana" w:cs="Arial"/>
          <w:bdr w:val="none" w:sz="0" w:space="0" w:color="auto" w:frame="1"/>
          <w:lang w:eastAsia="es-CO"/>
        </w:rPr>
        <w:t>”</w:t>
      </w:r>
      <w:r w:rsidRPr="00AB2D2F">
        <w:rPr>
          <w:rFonts w:ascii="Verdana" w:eastAsia="Times New Roman" w:hAnsi="Verdana" w:cs="Arial"/>
          <w:bdr w:val="none" w:sz="0" w:space="0" w:color="auto" w:frame="1"/>
          <w:lang w:eastAsia="es-CO"/>
        </w:rPr>
        <w:t xml:space="preserve">. La principal utilidad de este sistema </w:t>
      </w:r>
      <w:r w:rsidRPr="00AB2D2F">
        <w:rPr>
          <w:rFonts w:ascii="Verdana" w:eastAsia="Times New Roman" w:hAnsi="Verdana" w:cs="Arial"/>
          <w:bdr w:val="none" w:sz="0" w:space="0" w:color="auto" w:frame="1"/>
          <w:lang w:eastAsia="es-CO"/>
        </w:rPr>
        <w:lastRenderedPageBreak/>
        <w:t xml:space="preserve">de clasificación es codificar productos y servicios de forma clara ya que </w:t>
      </w:r>
      <w:r>
        <w:rPr>
          <w:rFonts w:ascii="Verdana" w:eastAsia="Times New Roman" w:hAnsi="Verdana" w:cs="Arial"/>
          <w:bdr w:val="none" w:sz="0" w:space="0" w:color="auto" w:frame="1"/>
          <w:lang w:eastAsia="es-CO"/>
        </w:rPr>
        <w:t>“</w:t>
      </w:r>
      <w:r w:rsidRPr="00AB2D2F">
        <w:rPr>
          <w:rFonts w:ascii="Verdana" w:eastAsia="Times New Roman" w:hAnsi="Verdana" w:cs="Arial"/>
          <w:bdr w:val="none" w:sz="0" w:space="0" w:color="auto" w:frame="1"/>
          <w:lang w:eastAsia="es-CO"/>
        </w:rPr>
        <w:t>se basa en estándares acordados por la industria los cuales facilitan el comercio entre empresas y gobierno</w:t>
      </w:r>
      <w:r>
        <w:rPr>
          <w:rFonts w:ascii="Verdana" w:eastAsia="Times New Roman" w:hAnsi="Verdana" w:cs="Arial"/>
          <w:bdr w:val="none" w:sz="0" w:space="0" w:color="auto" w:frame="1"/>
          <w:lang w:eastAsia="es-CO"/>
        </w:rPr>
        <w:t>”</w:t>
      </w:r>
      <w:r w:rsidRPr="00AB2D2F">
        <w:rPr>
          <w:rStyle w:val="Refdenotaalpie"/>
          <w:rFonts w:ascii="Verdana" w:eastAsia="Times New Roman" w:hAnsi="Verdana" w:cs="Arial"/>
          <w:bdr w:val="none" w:sz="0" w:space="0" w:color="auto" w:frame="1"/>
          <w:lang w:eastAsia="es-CO"/>
        </w:rPr>
        <w:footnoteReference w:id="6"/>
      </w:r>
      <w:r w:rsidRPr="00AB2D2F">
        <w:rPr>
          <w:rFonts w:ascii="Verdana" w:eastAsia="Times New Roman" w:hAnsi="Verdana" w:cs="Arial"/>
          <w:bdr w:val="none" w:sz="0" w:space="0" w:color="auto" w:frame="1"/>
          <w:lang w:eastAsia="es-CO"/>
        </w:rPr>
        <w:t>.</w:t>
      </w:r>
    </w:p>
    <w:p w14:paraId="7FCBC43B" w14:textId="77777777" w:rsidR="00BA6E6F" w:rsidRPr="00AB2D2F" w:rsidRDefault="00BA6E6F" w:rsidP="00BA6E6F">
      <w:pPr>
        <w:pStyle w:val="Prrafodelista"/>
        <w:spacing w:after="0" w:line="276" w:lineRule="auto"/>
        <w:ind w:left="714" w:hanging="357"/>
        <w:rPr>
          <w:rFonts w:ascii="Verdana" w:eastAsia="Times New Roman" w:hAnsi="Verdana" w:cs="Arial"/>
          <w:bdr w:val="none" w:sz="0" w:space="0" w:color="auto" w:frame="1"/>
          <w:lang w:eastAsia="es-CO"/>
        </w:rPr>
      </w:pPr>
    </w:p>
    <w:p w14:paraId="4734051F"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Pr>
          <w:rFonts w:ascii="Verdana" w:hAnsi="Verdana" w:cs="Arial"/>
          <w:color w:val="000000" w:themeColor="text1"/>
        </w:rPr>
        <w:t>Por otro lado, e</w:t>
      </w:r>
      <w:r w:rsidRPr="00D24F2A">
        <w:rPr>
          <w:rFonts w:ascii="Verdana" w:hAnsi="Verdana" w:cs="Arial"/>
          <w:color w:val="000000" w:themeColor="text1"/>
        </w:rPr>
        <w:t>l artículo 2.2.1.1.1.5.2.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14:paraId="31B54038" w14:textId="77777777" w:rsidR="00BA6E6F" w:rsidRPr="00D24F2A" w:rsidRDefault="00BA6E6F" w:rsidP="00BA6E6F">
      <w:pPr>
        <w:pStyle w:val="Prrafodelista"/>
        <w:spacing w:after="0" w:line="276" w:lineRule="auto"/>
        <w:ind w:left="714" w:hanging="357"/>
        <w:rPr>
          <w:rFonts w:ascii="Verdana" w:hAnsi="Verdana" w:cs="Arial"/>
          <w:color w:val="000000" w:themeColor="text1"/>
        </w:rPr>
      </w:pPr>
    </w:p>
    <w:p w14:paraId="116D628A" w14:textId="77777777" w:rsidR="00BA6E6F" w:rsidRPr="00C37A24" w:rsidRDefault="00BA6E6F" w:rsidP="00BA6E6F">
      <w:pPr>
        <w:pStyle w:val="Prrafodelista"/>
        <w:numPr>
          <w:ilvl w:val="0"/>
          <w:numId w:val="2"/>
        </w:numPr>
        <w:spacing w:after="0" w:line="276" w:lineRule="auto"/>
        <w:ind w:left="714" w:hanging="357"/>
        <w:jc w:val="both"/>
        <w:rPr>
          <w:rFonts w:ascii="Verdana" w:hAnsi="Verdana" w:cs="Arial"/>
          <w:color w:val="000000" w:themeColor="text1"/>
          <w:lang w:val="es-MX"/>
        </w:rPr>
      </w:pPr>
      <w:r w:rsidRPr="00C1295A">
        <w:rPr>
          <w:rFonts w:ascii="Verdana" w:hAnsi="Verdana" w:cs="Arial"/>
          <w:color w:val="000000" w:themeColor="text1"/>
        </w:rPr>
        <w:t xml:space="preserve">En relación con los numerales 1.1. y 2.1. de dicho artículo, se exige a los interesados para la inscripción en el registro señalar los: </w:t>
      </w:r>
      <w:r>
        <w:rPr>
          <w:rFonts w:ascii="Verdana" w:hAnsi="Verdana" w:cs="Arial"/>
          <w:color w:val="000000" w:themeColor="text1"/>
        </w:rPr>
        <w:t>“</w:t>
      </w:r>
      <w:r w:rsidRPr="00C1295A">
        <w:rPr>
          <w:rFonts w:ascii="Verdana" w:hAnsi="Verdana" w:cs="Arial"/>
          <w:color w:val="000000" w:themeColor="text1"/>
        </w:rPr>
        <w:t>Bienes, obras y servicios que ofrecerá a las Entidades Estatales, identificados con el Clasificador de Bienes y Servicios en el tercer nivel</w:t>
      </w:r>
      <w:r>
        <w:rPr>
          <w:rFonts w:ascii="Verdana" w:hAnsi="Verdana" w:cs="Arial"/>
          <w:color w:val="000000" w:themeColor="text1"/>
        </w:rPr>
        <w:t>”</w:t>
      </w:r>
      <w:r w:rsidRPr="00C1295A">
        <w:rPr>
          <w:rFonts w:ascii="Verdana" w:hAnsi="Verdana" w:cs="Arial"/>
          <w:color w:val="000000" w:themeColor="text1"/>
        </w:rPr>
        <w:t>. Contenido que es diferente a lo exigido en los numerales 1.2. y 2.2</w:t>
      </w:r>
      <w:r w:rsidRPr="00C1295A">
        <w:rPr>
          <w:rStyle w:val="Refdenotaalpie"/>
          <w:rFonts w:ascii="Verdana" w:hAnsi="Verdana" w:cs="Arial"/>
          <w:color w:val="000000" w:themeColor="text1"/>
        </w:rPr>
        <w:footnoteReference w:id="7"/>
      </w:r>
      <w:r w:rsidRPr="00C1295A">
        <w:rPr>
          <w:rFonts w:ascii="Verdana" w:hAnsi="Verdana" w:cs="Arial"/>
          <w:color w:val="000000" w:themeColor="text1"/>
        </w:rPr>
        <w:t>. De conformidad con lo anterior, las cámaras de comercio al expedir el RUP de cada uno</w:t>
      </w:r>
      <w:r w:rsidRPr="00C37A24">
        <w:rPr>
          <w:rFonts w:ascii="Arial" w:hAnsi="Arial" w:cs="Arial"/>
          <w:color w:val="000000" w:themeColor="text1"/>
          <w:lang w:val="es-MX"/>
        </w:rPr>
        <w:t xml:space="preserve"> </w:t>
      </w:r>
      <w:r w:rsidRPr="00C37A24">
        <w:rPr>
          <w:rFonts w:ascii="Verdana" w:hAnsi="Verdana" w:cs="Arial"/>
          <w:color w:val="000000" w:themeColor="text1"/>
          <w:lang w:val="es-MX"/>
        </w:rPr>
        <w:t>de los inscritos, previo a señalar la experiencia de cada uno señala el listado al que se refieren los numerales 1.1. y 1.2.</w:t>
      </w:r>
    </w:p>
    <w:p w14:paraId="2C69F278" w14:textId="77777777" w:rsidR="00BA6E6F" w:rsidRDefault="00BA6E6F" w:rsidP="00BA6E6F">
      <w:pPr>
        <w:pStyle w:val="Prrafodelista"/>
        <w:spacing w:after="0" w:line="276" w:lineRule="auto"/>
        <w:ind w:left="714" w:hanging="357"/>
        <w:jc w:val="both"/>
        <w:rPr>
          <w:rFonts w:ascii="Verdana" w:hAnsi="Verdana" w:cs="Arial"/>
          <w:color w:val="000000" w:themeColor="text1"/>
        </w:rPr>
      </w:pPr>
    </w:p>
    <w:p w14:paraId="7787B11E"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sidRPr="00591C58">
        <w:rPr>
          <w:rFonts w:ascii="Verdana" w:hAnsi="Verdana" w:cs="Arial"/>
          <w:color w:val="000000" w:themeColor="text1"/>
        </w:rPr>
        <w:t xml:space="preserve">Debe tenerse en cuenta que dicho listado no condiciona la capacidad jurídica de los proponentes, la cual encuentra sus límites en el objeto social del proponente, tratándose de las sociedades comerciales; de que no se esté incurso en casuales de inhabilidad o incompatibilidad; y de otras circunstancias que limitan la capacidad contractual de los proponentes en ciertos eventos. </w:t>
      </w:r>
    </w:p>
    <w:p w14:paraId="2BA2CFB3" w14:textId="77777777" w:rsidR="00BA6E6F" w:rsidRPr="005F540E" w:rsidRDefault="00BA6E6F" w:rsidP="00BA6E6F">
      <w:pPr>
        <w:pStyle w:val="Prrafodelista"/>
        <w:rPr>
          <w:rFonts w:ascii="Verdana" w:hAnsi="Verdana" w:cs="Arial"/>
          <w:color w:val="000000" w:themeColor="text1"/>
        </w:rPr>
      </w:pPr>
    </w:p>
    <w:p w14:paraId="2006CCFD"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sidRPr="009A0BE1">
        <w:rPr>
          <w:rFonts w:ascii="Verdana" w:hAnsi="Verdana" w:cs="Arial"/>
          <w:color w:val="000000" w:themeColor="text1"/>
        </w:rPr>
        <w:t>Al respecto del Clasificador de Bienes y Servicios en el RUP, la Agencia Nacional de Contratación Pública – Colombia Compra Eficiente, mediante Circular Externa Única estableció que:</w:t>
      </w:r>
    </w:p>
    <w:p w14:paraId="3FF2B9E9" w14:textId="77777777" w:rsidR="00BA6E6F" w:rsidRPr="009A0BE1" w:rsidRDefault="00BA6E6F" w:rsidP="00BA6E6F">
      <w:pPr>
        <w:pStyle w:val="Prrafodelista"/>
        <w:rPr>
          <w:rFonts w:ascii="Verdana" w:hAnsi="Verdana" w:cs="Arial"/>
          <w:color w:val="000000" w:themeColor="text1"/>
        </w:rPr>
      </w:pPr>
    </w:p>
    <w:p w14:paraId="5DD2FBBB" w14:textId="77777777" w:rsidR="00BA6E6F" w:rsidRPr="009A0BE1" w:rsidRDefault="00BA6E6F" w:rsidP="00BA6E6F">
      <w:pPr>
        <w:pStyle w:val="Prrafodelista"/>
        <w:spacing w:after="0" w:line="276" w:lineRule="auto"/>
        <w:ind w:left="714"/>
        <w:jc w:val="both"/>
        <w:rPr>
          <w:rFonts w:ascii="Verdana" w:hAnsi="Verdana" w:cs="Arial"/>
          <w:color w:val="000000" w:themeColor="text1"/>
        </w:rPr>
      </w:pPr>
    </w:p>
    <w:p w14:paraId="021017D8" w14:textId="77777777" w:rsidR="00BA6E6F" w:rsidRDefault="00BA6E6F" w:rsidP="00BA6E6F">
      <w:pPr>
        <w:pStyle w:val="Prrafodelista"/>
        <w:ind w:left="1049" w:right="709"/>
        <w:jc w:val="both"/>
        <w:rPr>
          <w:rFonts w:ascii="Verdana" w:hAnsi="Verdana" w:cs="Arial"/>
          <w:color w:val="000000" w:themeColor="text1"/>
          <w:sz w:val="21"/>
          <w:szCs w:val="21"/>
        </w:rPr>
      </w:pPr>
      <w:r w:rsidRPr="006D0266">
        <w:rPr>
          <w:rFonts w:ascii="Verdana" w:hAnsi="Verdana" w:cs="Arial"/>
          <w:color w:val="000000" w:themeColor="text1"/>
          <w:sz w:val="21"/>
          <w:szCs w:val="21"/>
        </w:rPr>
        <w:t>No existe un límite en el número de bienes, obras o servicios que los proponentes pueden inscribir en el RUP. Las Cámaras de Comercio no pueden limitar la inscripción de los proponentes por no contar con experiencia certificada en el respectivo bien, obra o servicio.</w:t>
      </w:r>
    </w:p>
    <w:p w14:paraId="3E6F63F4" w14:textId="77777777" w:rsidR="00BA6E6F" w:rsidRPr="006D0266" w:rsidRDefault="00BA6E6F" w:rsidP="00BA6E6F">
      <w:pPr>
        <w:pStyle w:val="Prrafodelista"/>
        <w:ind w:left="1049" w:right="709"/>
        <w:jc w:val="both"/>
        <w:rPr>
          <w:rFonts w:ascii="Verdana" w:hAnsi="Verdana" w:cs="Arial"/>
          <w:color w:val="000000" w:themeColor="text1"/>
          <w:sz w:val="21"/>
          <w:szCs w:val="21"/>
        </w:rPr>
      </w:pPr>
    </w:p>
    <w:p w14:paraId="525A611B" w14:textId="77777777" w:rsidR="00BA6E6F" w:rsidRDefault="00BA6E6F" w:rsidP="00BA6E6F">
      <w:pPr>
        <w:pStyle w:val="Prrafodelista"/>
        <w:ind w:left="1049" w:right="709"/>
        <w:jc w:val="both"/>
        <w:rPr>
          <w:rFonts w:ascii="Verdana" w:hAnsi="Verdana" w:cs="Arial"/>
          <w:color w:val="000000" w:themeColor="text1"/>
          <w:sz w:val="21"/>
          <w:szCs w:val="21"/>
        </w:rPr>
      </w:pPr>
      <w:r w:rsidRPr="006D0266">
        <w:rPr>
          <w:rFonts w:ascii="Verdana" w:hAnsi="Verdana" w:cs="Arial"/>
          <w:i/>
          <w:iCs/>
          <w:color w:val="000000" w:themeColor="text1"/>
          <w:sz w:val="21"/>
          <w:szCs w:val="21"/>
        </w:rPr>
        <w:t>La clasificación del proponente no es un requisito habilitante sino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r>
        <w:rPr>
          <w:rStyle w:val="Refdenotaalpie"/>
          <w:rFonts w:ascii="Verdana" w:hAnsi="Verdana" w:cs="Arial"/>
          <w:i/>
          <w:iCs/>
          <w:color w:val="000000" w:themeColor="text1"/>
          <w:sz w:val="21"/>
          <w:szCs w:val="21"/>
        </w:rPr>
        <w:footnoteReference w:id="8"/>
      </w:r>
      <w:r w:rsidRPr="006D0266">
        <w:rPr>
          <w:rFonts w:ascii="Verdana" w:hAnsi="Verdana" w:cs="Arial"/>
          <w:i/>
          <w:iCs/>
          <w:color w:val="000000" w:themeColor="text1"/>
          <w:sz w:val="21"/>
          <w:szCs w:val="21"/>
        </w:rPr>
        <w:t xml:space="preserve">. </w:t>
      </w:r>
      <w:r w:rsidRPr="006D0266">
        <w:rPr>
          <w:rFonts w:ascii="Verdana" w:hAnsi="Verdana" w:cs="Arial"/>
          <w:color w:val="000000" w:themeColor="text1"/>
          <w:sz w:val="21"/>
          <w:szCs w:val="21"/>
        </w:rPr>
        <w:t>(Cursiva fuera de texto).</w:t>
      </w:r>
    </w:p>
    <w:p w14:paraId="704C3501" w14:textId="77777777" w:rsidR="00BA6E6F" w:rsidRDefault="00BA6E6F" w:rsidP="00BA6E6F">
      <w:pPr>
        <w:pStyle w:val="Prrafodelista"/>
        <w:ind w:left="1049" w:right="709"/>
        <w:jc w:val="both"/>
        <w:rPr>
          <w:rFonts w:ascii="Verdana" w:hAnsi="Verdana" w:cs="Arial"/>
          <w:color w:val="000000" w:themeColor="text1"/>
          <w:sz w:val="21"/>
          <w:szCs w:val="21"/>
        </w:rPr>
      </w:pPr>
    </w:p>
    <w:p w14:paraId="369A4C4B"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sidRPr="008A413E">
        <w:rPr>
          <w:rFonts w:ascii="Verdana" w:hAnsi="Verdana" w:cs="Arial"/>
          <w:color w:val="000000" w:themeColor="text1"/>
        </w:rPr>
        <w:t xml:space="preserve">De acuerdo con la postura adoptada en la Circular, la </w:t>
      </w:r>
      <w:r>
        <w:rPr>
          <w:rFonts w:ascii="Verdana" w:hAnsi="Verdana" w:cs="Arial"/>
          <w:color w:val="000000" w:themeColor="text1"/>
        </w:rPr>
        <w:t>“</w:t>
      </w:r>
      <w:r w:rsidRPr="008A413E">
        <w:rPr>
          <w:rFonts w:ascii="Verdana" w:hAnsi="Verdana" w:cs="Arial"/>
          <w:color w:val="000000" w:themeColor="text1"/>
        </w:rPr>
        <w:t>clasificación del proponente</w:t>
      </w:r>
      <w:r>
        <w:rPr>
          <w:rFonts w:ascii="Verdana" w:hAnsi="Verdana" w:cs="Arial"/>
          <w:color w:val="000000" w:themeColor="text1"/>
        </w:rPr>
        <w:t>”</w:t>
      </w:r>
      <w:r w:rsidRPr="008A413E">
        <w:rPr>
          <w:rFonts w:ascii="Verdana" w:hAnsi="Verdana" w:cs="Arial"/>
          <w:color w:val="000000" w:themeColor="text1"/>
        </w:rPr>
        <w:t>,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586DA67F" w14:textId="77777777" w:rsidR="00BA6E6F" w:rsidRDefault="00BA6E6F" w:rsidP="00BA6E6F">
      <w:pPr>
        <w:pStyle w:val="Prrafodelista"/>
        <w:spacing w:after="0" w:line="276" w:lineRule="auto"/>
        <w:ind w:left="714" w:hanging="357"/>
        <w:jc w:val="both"/>
        <w:rPr>
          <w:rFonts w:ascii="Verdana" w:hAnsi="Verdana" w:cs="Arial"/>
          <w:color w:val="000000" w:themeColor="text1"/>
        </w:rPr>
      </w:pPr>
    </w:p>
    <w:p w14:paraId="01993A65"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lang w:val="es-MX"/>
        </w:rPr>
      </w:pPr>
      <w:r w:rsidRPr="00853B2C">
        <w:rPr>
          <w:rFonts w:ascii="Verdana" w:hAnsi="Verdana" w:cs="Arial"/>
          <w:color w:val="000000" w:themeColor="text1"/>
        </w:rPr>
        <w:lastRenderedPageBreak/>
        <w:t>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w:t>
      </w:r>
      <w:r>
        <w:rPr>
          <w:rFonts w:ascii="Verdana" w:hAnsi="Verdana" w:cs="Arial"/>
          <w:color w:val="000000" w:themeColor="text1"/>
        </w:rPr>
        <w:t xml:space="preserve"> </w:t>
      </w:r>
      <w:r w:rsidRPr="00D47BDD">
        <w:rPr>
          <w:rFonts w:ascii="Verdana" w:hAnsi="Verdana" w:cs="Arial"/>
          <w:color w:val="000000" w:themeColor="text1"/>
          <w:lang w:val="es-MX"/>
        </w:rPr>
        <w:t xml:space="preserve">que solo se tendrá por valedera la experiencia inscrita por el proponente en el RUP, que sea de contratos ejecutados que coincidan con algún código del Clasificador del Bienes y Servicios, en particular, en el tercer nivel del clasificador. </w:t>
      </w:r>
    </w:p>
    <w:p w14:paraId="6E61E983" w14:textId="77777777" w:rsidR="00BA6E6F" w:rsidRPr="00454259" w:rsidRDefault="00BA6E6F" w:rsidP="00BA6E6F">
      <w:pPr>
        <w:pStyle w:val="Prrafodelista"/>
        <w:rPr>
          <w:rFonts w:ascii="Verdana" w:hAnsi="Verdana" w:cs="Arial"/>
          <w:color w:val="000000" w:themeColor="text1"/>
          <w:lang w:val="es-MX"/>
        </w:rPr>
      </w:pPr>
    </w:p>
    <w:p w14:paraId="3D4848F7"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lang w:val="es-MX"/>
        </w:rPr>
      </w:pPr>
      <w:r w:rsidRPr="00D47BDD">
        <w:rPr>
          <w:rFonts w:ascii="Verdana" w:hAnsi="Verdana" w:cs="Arial"/>
          <w:color w:val="000000" w:themeColor="text1"/>
          <w:lang w:val="es-MX"/>
        </w:rPr>
        <w:t>Esto se desprende del artículo 2.2.1.1.1.5.3. del Decreto 1082 de 2015, donde se señalan los requisitos habilitantes contenidos en el RUP, estableciendo frente a la experiencia lo siguiente:</w:t>
      </w:r>
    </w:p>
    <w:p w14:paraId="19241336" w14:textId="77777777" w:rsidR="00BA6E6F" w:rsidRPr="00D47BDD" w:rsidRDefault="00BA6E6F" w:rsidP="00BA6E6F">
      <w:pPr>
        <w:pStyle w:val="Prrafodelista"/>
        <w:rPr>
          <w:rFonts w:ascii="Verdana" w:hAnsi="Verdana" w:cs="Arial"/>
          <w:color w:val="000000" w:themeColor="text1"/>
          <w:lang w:val="es-MX"/>
        </w:rPr>
      </w:pPr>
    </w:p>
    <w:p w14:paraId="1801AC2D" w14:textId="77777777" w:rsidR="00BA6E6F" w:rsidRPr="0077448D" w:rsidRDefault="00BA6E6F" w:rsidP="00BA6E6F">
      <w:pPr>
        <w:ind w:left="1049" w:right="709"/>
        <w:jc w:val="both"/>
        <w:rPr>
          <w:rFonts w:ascii="Verdana" w:hAnsi="Verdana" w:cs="Arial"/>
          <w:color w:val="000000" w:themeColor="text1"/>
          <w:sz w:val="21"/>
          <w:szCs w:val="21"/>
        </w:rPr>
      </w:pPr>
      <w:r w:rsidRPr="0077448D">
        <w:rPr>
          <w:rFonts w:ascii="Verdana" w:hAnsi="Verdana" w:cs="Arial"/>
          <w:color w:val="000000" w:themeColor="text1"/>
          <w:sz w:val="21"/>
          <w:szCs w:val="21"/>
        </w:rPr>
        <w:t>Artículo 2.2.1.1.1.5.3. Requisitos habilitantes contenidos en el RUP. Las cámaras de comercio, con base en la información a la que hace referencia el artículo anterior, deben verificar y certificar los siguientes requisitos habilitantes:</w:t>
      </w:r>
    </w:p>
    <w:p w14:paraId="1336FE9C" w14:textId="77777777" w:rsidR="00BA6E6F" w:rsidRPr="0077448D" w:rsidRDefault="00BA6E6F" w:rsidP="00BA6E6F">
      <w:pPr>
        <w:ind w:left="1049" w:right="709"/>
        <w:jc w:val="both"/>
        <w:rPr>
          <w:rFonts w:ascii="Verdana" w:hAnsi="Verdana" w:cs="Arial"/>
          <w:color w:val="000000" w:themeColor="text1"/>
          <w:sz w:val="21"/>
          <w:szCs w:val="21"/>
        </w:rPr>
      </w:pPr>
      <w:r w:rsidRPr="0077448D">
        <w:rPr>
          <w:rFonts w:ascii="Verdana" w:hAnsi="Verdana" w:cs="Arial"/>
          <w:color w:val="000000" w:themeColor="text1"/>
          <w:sz w:val="21"/>
          <w:szCs w:val="21"/>
        </w:rPr>
        <w:t>[…]</w:t>
      </w:r>
    </w:p>
    <w:p w14:paraId="3FD26C5B" w14:textId="77777777" w:rsidR="00BA6E6F" w:rsidRPr="0077448D" w:rsidRDefault="00BA6E6F" w:rsidP="00BA6E6F">
      <w:pPr>
        <w:ind w:left="1049" w:right="709"/>
        <w:jc w:val="both"/>
        <w:rPr>
          <w:rFonts w:ascii="Verdana" w:hAnsi="Verdana" w:cs="Arial"/>
          <w:color w:val="000000" w:themeColor="text1"/>
          <w:sz w:val="21"/>
          <w:szCs w:val="21"/>
        </w:rPr>
      </w:pPr>
      <w:r w:rsidRPr="0077448D">
        <w:rPr>
          <w:rFonts w:ascii="Verdana" w:hAnsi="Verdana" w:cs="Arial"/>
          <w:color w:val="000000" w:themeColor="text1"/>
          <w:sz w:val="21"/>
          <w:szCs w:val="21"/>
        </w:rPr>
        <w:t xml:space="preserve">1.    Experiencia – Los contratos celebrados por el interesado para cada uno de los bienes, obras y servicios que ofrecerá a las Entidades Estatales, </w:t>
      </w:r>
      <w:r w:rsidRPr="0077448D">
        <w:rPr>
          <w:rFonts w:ascii="Verdana" w:hAnsi="Verdana" w:cs="Arial"/>
          <w:i/>
          <w:iCs/>
          <w:color w:val="000000" w:themeColor="text1"/>
          <w:sz w:val="21"/>
          <w:szCs w:val="21"/>
        </w:rPr>
        <w:t xml:space="preserve">identificados con el Clasificador de Bienes y Servicios en el tercer nivel </w:t>
      </w:r>
      <w:r w:rsidRPr="0077448D">
        <w:rPr>
          <w:rFonts w:ascii="Verdana" w:hAnsi="Verdana" w:cs="Arial"/>
          <w:color w:val="000000" w:themeColor="text1"/>
          <w:sz w:val="21"/>
          <w:szCs w:val="21"/>
        </w:rPr>
        <w:t>y su valor expresado en SMMLV.</w:t>
      </w:r>
    </w:p>
    <w:p w14:paraId="0693B60E" w14:textId="77777777" w:rsidR="00BA6E6F" w:rsidRDefault="00BA6E6F" w:rsidP="00BA6E6F">
      <w:pPr>
        <w:spacing w:after="0"/>
        <w:ind w:left="1049" w:right="709"/>
        <w:jc w:val="both"/>
        <w:rPr>
          <w:rFonts w:ascii="Verdana" w:hAnsi="Verdana" w:cs="Arial"/>
          <w:color w:val="000000" w:themeColor="text1"/>
          <w:sz w:val="21"/>
          <w:szCs w:val="21"/>
        </w:rPr>
      </w:pPr>
      <w:r w:rsidRPr="0077448D">
        <w:rPr>
          <w:rFonts w:ascii="Verdana" w:hAnsi="Verdana" w:cs="Arial"/>
          <w:color w:val="000000" w:themeColor="text1"/>
          <w:sz w:val="21"/>
          <w:szCs w:val="21"/>
        </w:rPr>
        <w:t xml:space="preserve">Los contratos celebrados por consorcios, uniones temporales y sociedades en las cuales el interesado tenga o haya tenido participación, para cada uno de los bienes, obras y servicios que ofrecerá a las Entidades Estatales, </w:t>
      </w:r>
      <w:r w:rsidRPr="0077448D">
        <w:rPr>
          <w:rFonts w:ascii="Verdana" w:hAnsi="Verdana" w:cs="Arial"/>
          <w:i/>
          <w:iCs/>
          <w:color w:val="000000" w:themeColor="text1"/>
          <w:sz w:val="21"/>
          <w:szCs w:val="21"/>
        </w:rPr>
        <w:t>identificados con el Clasificador de Bienes y Servicios en el tercer nivel</w:t>
      </w:r>
      <w:r w:rsidRPr="0077448D">
        <w:rPr>
          <w:rFonts w:ascii="Verdana" w:hAnsi="Verdana" w:cs="Arial"/>
          <w:color w:val="000000" w:themeColor="text1"/>
          <w:sz w:val="21"/>
          <w:szCs w:val="21"/>
        </w:rPr>
        <w:t xml:space="preserve"> y su valor expresado en SMMLV. (Cursiva fuera de texto)</w:t>
      </w:r>
    </w:p>
    <w:p w14:paraId="6BBBE623" w14:textId="77777777" w:rsidR="00BA6E6F" w:rsidRDefault="00BA6E6F" w:rsidP="00BA6E6F">
      <w:pPr>
        <w:spacing w:after="0"/>
        <w:ind w:left="1049" w:right="709"/>
        <w:jc w:val="both"/>
        <w:rPr>
          <w:rFonts w:ascii="Verdana" w:hAnsi="Verdana" w:cs="Arial"/>
          <w:color w:val="000000" w:themeColor="text1"/>
          <w:sz w:val="21"/>
          <w:szCs w:val="21"/>
        </w:rPr>
      </w:pPr>
    </w:p>
    <w:p w14:paraId="2278CF9E"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sidRPr="0093163C">
        <w:rPr>
          <w:rFonts w:ascii="Verdana" w:hAnsi="Verdana" w:cs="Arial"/>
          <w:color w:val="000000" w:themeColor="text1"/>
        </w:rPr>
        <w:t xml:space="preserve">En armonía con lo anterior, la Circular Externa Única a que se hizo referencia previamente, en relación con el uso del Clasificador de Bienes y Servicios para efectos de acreditar la experiencia en los procedimientos de selección, estableció, en contraste con la </w:t>
      </w:r>
      <w:r>
        <w:rPr>
          <w:rFonts w:ascii="Verdana" w:hAnsi="Verdana" w:cs="Arial"/>
          <w:color w:val="000000" w:themeColor="text1"/>
        </w:rPr>
        <w:t>“</w:t>
      </w:r>
      <w:r w:rsidRPr="0093163C">
        <w:rPr>
          <w:rFonts w:ascii="Verdana" w:hAnsi="Verdana" w:cs="Arial"/>
          <w:color w:val="000000" w:themeColor="text1"/>
        </w:rPr>
        <w:t>clasificación del proponente</w:t>
      </w:r>
      <w:r>
        <w:rPr>
          <w:rFonts w:ascii="Verdana" w:hAnsi="Verdana" w:cs="Arial"/>
          <w:color w:val="000000" w:themeColor="text1"/>
        </w:rPr>
        <w:t>”</w:t>
      </w:r>
      <w:r w:rsidRPr="0093163C">
        <w:rPr>
          <w:rFonts w:ascii="Verdana" w:hAnsi="Verdana" w:cs="Arial"/>
          <w:color w:val="000000" w:themeColor="text1"/>
        </w:rPr>
        <w:t>, que:</w:t>
      </w:r>
    </w:p>
    <w:p w14:paraId="0FC1A077" w14:textId="77777777" w:rsidR="00BA6E6F" w:rsidRPr="0093163C" w:rsidRDefault="00BA6E6F" w:rsidP="00BA6E6F">
      <w:pPr>
        <w:pStyle w:val="Prrafodelista"/>
        <w:spacing w:after="0"/>
        <w:jc w:val="both"/>
        <w:rPr>
          <w:rFonts w:ascii="Verdana" w:hAnsi="Verdana" w:cs="Arial"/>
          <w:color w:val="000000" w:themeColor="text1"/>
        </w:rPr>
      </w:pPr>
    </w:p>
    <w:p w14:paraId="1235B453" w14:textId="77777777" w:rsidR="00BA6E6F" w:rsidRPr="0077680E" w:rsidRDefault="00BA6E6F" w:rsidP="00BA6E6F">
      <w:pPr>
        <w:spacing w:after="0"/>
        <w:ind w:left="1049" w:right="709"/>
        <w:jc w:val="both"/>
        <w:rPr>
          <w:rFonts w:ascii="Verdana" w:hAnsi="Verdana" w:cs="Arial"/>
          <w:color w:val="000000" w:themeColor="text1"/>
          <w:sz w:val="21"/>
          <w:szCs w:val="21"/>
        </w:rPr>
      </w:pPr>
      <w:r w:rsidRPr="0077680E">
        <w:rPr>
          <w:rFonts w:ascii="Verdana" w:hAnsi="Verdana" w:cs="Arial"/>
          <w:color w:val="000000" w:themeColor="text1"/>
          <w:sz w:val="21"/>
          <w:szCs w:val="21"/>
        </w:rPr>
        <w:t xml:space="preserve">La experiencia es un requisito habilitante. Los proponentes deben inscribir en el RUP su experiencia usando los códigos del Clasificador </w:t>
      </w:r>
      <w:r w:rsidRPr="0077680E">
        <w:rPr>
          <w:rFonts w:ascii="Verdana" w:hAnsi="Verdana" w:cs="Arial"/>
          <w:color w:val="000000" w:themeColor="text1"/>
          <w:sz w:val="21"/>
          <w:szCs w:val="21"/>
        </w:rPr>
        <w:lastRenderedPageBreak/>
        <w:t xml:space="preserve">de Bienes y Servicios. </w:t>
      </w:r>
      <w:r w:rsidRPr="0077680E">
        <w:rPr>
          <w:rFonts w:ascii="Verdana" w:hAnsi="Verdana" w:cs="Arial"/>
          <w:i/>
          <w:iCs/>
          <w:color w:val="000000" w:themeColor="text1"/>
          <w:sz w:val="21"/>
          <w:szCs w:val="21"/>
        </w:rPr>
        <w:t>Por su parte las Entidades Estatales al establecer el requisito habilitante de experiencia deben incluir los códigos específicos del objeto a contratar o el de bienes, obras o servicios afines al Proceso de Contratación respecto de los cuales los proponentes deben acreditar su experiencia</w:t>
      </w:r>
      <w:r>
        <w:rPr>
          <w:rStyle w:val="Refdenotaalpie"/>
          <w:rFonts w:ascii="Verdana" w:hAnsi="Verdana" w:cs="Arial"/>
          <w:i/>
          <w:iCs/>
          <w:color w:val="000000" w:themeColor="text1"/>
          <w:sz w:val="21"/>
          <w:szCs w:val="21"/>
        </w:rPr>
        <w:footnoteReference w:id="9"/>
      </w:r>
      <w:r w:rsidRPr="0077680E">
        <w:rPr>
          <w:rFonts w:ascii="Verdana" w:hAnsi="Verdana" w:cs="Arial"/>
          <w:color w:val="000000" w:themeColor="text1"/>
          <w:sz w:val="21"/>
          <w:szCs w:val="21"/>
        </w:rPr>
        <w:t xml:space="preserve">. </w:t>
      </w:r>
    </w:p>
    <w:p w14:paraId="31538562" w14:textId="77777777" w:rsidR="00BA6E6F" w:rsidRPr="0077680E" w:rsidRDefault="00BA6E6F" w:rsidP="00BA6E6F">
      <w:pPr>
        <w:pStyle w:val="Prrafodelista"/>
        <w:spacing w:after="0"/>
        <w:jc w:val="both"/>
        <w:rPr>
          <w:rFonts w:ascii="Verdana" w:hAnsi="Verdana" w:cs="Arial"/>
          <w:color w:val="000000" w:themeColor="text1"/>
          <w:sz w:val="21"/>
          <w:szCs w:val="21"/>
        </w:rPr>
      </w:pPr>
    </w:p>
    <w:p w14:paraId="6C30C10A"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Pr>
          <w:rFonts w:ascii="Verdana" w:hAnsi="Verdana" w:cs="Arial"/>
          <w:color w:val="000000" w:themeColor="text1"/>
        </w:rPr>
        <w:t>Del mismo modo</w:t>
      </w:r>
      <w:r w:rsidRPr="7E787FBB">
        <w:rPr>
          <w:rFonts w:ascii="Verdana" w:hAnsi="Verdana" w:cs="Arial"/>
          <w:color w:val="000000" w:themeColor="text1"/>
        </w:rPr>
        <w:t xml:space="preserve">, es posible que, al momento de clasificar la experiencia de acuerdo con los códigos unificados UNSPSC, el proponente presente en su oferta códigos que no correspondan a la experiencia exigida dentro de los respectivos pliegos de condiciones. Frente a esto cabrían dos posibilidades: </w:t>
      </w:r>
      <w:r w:rsidRPr="7E787FBB">
        <w:rPr>
          <w:rFonts w:ascii="Verdana" w:hAnsi="Verdana" w:cs="Arial"/>
          <w:i/>
          <w:iCs/>
          <w:color w:val="000000" w:themeColor="text1"/>
        </w:rPr>
        <w:t>i)</w:t>
      </w:r>
      <w:r w:rsidRPr="7E787FBB">
        <w:rPr>
          <w:rFonts w:ascii="Verdana" w:hAnsi="Verdana" w:cs="Arial"/>
          <w:color w:val="000000" w:themeColor="text1"/>
        </w:rPr>
        <w:t xml:space="preserve"> que la experiencia real del oferente no corresponda a la exigida dentro del respectivo proceso de selección y; </w:t>
      </w:r>
      <w:r w:rsidRPr="7E787FBB">
        <w:rPr>
          <w:rFonts w:ascii="Verdana" w:hAnsi="Verdana" w:cs="Arial"/>
          <w:i/>
          <w:iCs/>
          <w:color w:val="000000" w:themeColor="text1"/>
        </w:rPr>
        <w:t>ii)</w:t>
      </w:r>
      <w:r w:rsidRPr="7E787FBB">
        <w:rPr>
          <w:rFonts w:ascii="Verdana" w:hAnsi="Verdana" w:cs="Arial"/>
          <w:color w:val="000000" w:themeColor="text1"/>
        </w:rPr>
        <w:t xml:space="preserve"> que la experiencia real sí corresponda a la exigida y la presentación de códigos distintos haya obedecido simplemente a un error por parte del oferente. </w:t>
      </w:r>
    </w:p>
    <w:p w14:paraId="256A7E91" w14:textId="77777777" w:rsidR="00BA6E6F" w:rsidRPr="00FC2780" w:rsidRDefault="00BA6E6F" w:rsidP="00BA6E6F">
      <w:pPr>
        <w:pStyle w:val="Prrafodelista"/>
        <w:spacing w:after="0" w:line="276" w:lineRule="auto"/>
        <w:ind w:left="714" w:hanging="357"/>
        <w:jc w:val="both"/>
        <w:rPr>
          <w:rFonts w:ascii="Verdana" w:hAnsi="Verdana" w:cs="Arial"/>
          <w:color w:val="000000" w:themeColor="text1"/>
          <w:lang w:val="es-ES_tradnl"/>
        </w:rPr>
      </w:pPr>
    </w:p>
    <w:p w14:paraId="018643BE"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sidRPr="7E787FBB">
        <w:rPr>
          <w:rFonts w:ascii="Verdana" w:hAnsi="Verdana" w:cs="Arial"/>
          <w:color w:val="000000" w:themeColor="text1"/>
        </w:rPr>
        <w:t>En cuanto a la primera, esto es, cuando el oferente no cumple con el requisito habilitante para participar dentro del proceso de contratación por cuanto realmente no cuenta con ella y tampoco lo acredita en las oportunidades establecidas en el pliego de condiciones, estará incurso en el rechazo de su oferta. Lo anterior, sin perjuicio de las reglas que sobre subsanación y acreditación de requisitos habilitantes establece el parágrafo primero del artículo 5 de la Ley 1150 de 2007 -modificado por el artículo 5 de la Ley 1882 de 2018-</w:t>
      </w:r>
      <w:r w:rsidRPr="7E787FBB">
        <w:rPr>
          <w:rStyle w:val="Refdenotaalpie"/>
          <w:rFonts w:ascii="Verdana" w:hAnsi="Verdana" w:cs="Arial"/>
          <w:color w:val="000000" w:themeColor="text1"/>
        </w:rPr>
        <w:footnoteReference w:id="10"/>
      </w:r>
      <w:r w:rsidRPr="7E787FBB">
        <w:rPr>
          <w:rFonts w:ascii="Verdana" w:hAnsi="Verdana" w:cs="Arial"/>
          <w:color w:val="000000" w:themeColor="text1"/>
        </w:rPr>
        <w:t xml:space="preserve">. </w:t>
      </w:r>
    </w:p>
    <w:p w14:paraId="16E172F1" w14:textId="77777777" w:rsidR="00BA6E6F" w:rsidRPr="00DF58E2" w:rsidRDefault="00BA6E6F" w:rsidP="00BA6E6F">
      <w:pPr>
        <w:pStyle w:val="Prrafodelista"/>
        <w:spacing w:after="0" w:line="276" w:lineRule="auto"/>
        <w:ind w:left="714" w:hanging="357"/>
        <w:rPr>
          <w:rFonts w:ascii="Verdana" w:hAnsi="Verdana" w:cs="Arial"/>
          <w:color w:val="000000" w:themeColor="text1"/>
          <w:lang w:val="es-ES_tradnl"/>
        </w:rPr>
      </w:pPr>
    </w:p>
    <w:p w14:paraId="620353C1" w14:textId="77777777" w:rsidR="00BA6E6F"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sidRPr="004A39B8">
        <w:rPr>
          <w:rFonts w:ascii="Verdana" w:hAnsi="Verdana" w:cs="Arial"/>
          <w:color w:val="000000" w:themeColor="text1"/>
        </w:rPr>
        <w:t xml:space="preserve">Por otro lado, tratándose de la segunda, como bien se advierte en la Circular Externa Única citada, las entidades estatales no podrán rechazar las ofertas presentadas por oferentes que cumplan con los requisitos habilitantes exigidos, pese a que hubiesen incurrido en yerros frente a la </w:t>
      </w:r>
      <w:r w:rsidRPr="004A39B8">
        <w:rPr>
          <w:rFonts w:ascii="Verdana" w:hAnsi="Verdana" w:cs="Arial"/>
          <w:color w:val="000000" w:themeColor="text1"/>
        </w:rPr>
        <w:lastRenderedPageBreak/>
        <w:t>identificación de las actividades que correspondan a la experiencia, sin perjuicio de que en caso que los pliegos de condiciones hayan exigido, como requisito habilitante, la acreditación de experiencia por parte del proponente con la presentación de contratos ejecutados que coincidan con algún código del Clasificador del Bienes y Servicios, en particular, en el tercer nivel del clasificador.</w:t>
      </w:r>
    </w:p>
    <w:p w14:paraId="34B0EE0A" w14:textId="77777777" w:rsidR="00BA6E6F" w:rsidRPr="00AF7331" w:rsidRDefault="00BA6E6F" w:rsidP="00BA6E6F">
      <w:pPr>
        <w:pStyle w:val="Prrafodelista"/>
        <w:spacing w:after="0"/>
        <w:rPr>
          <w:rFonts w:ascii="Verdana" w:hAnsi="Verdana" w:cs="Arial"/>
          <w:color w:val="000000" w:themeColor="text1"/>
        </w:rPr>
      </w:pPr>
    </w:p>
    <w:p w14:paraId="02A8CC67" w14:textId="77777777" w:rsidR="00BA6E6F" w:rsidRPr="00DE4C6B" w:rsidRDefault="00BA6E6F" w:rsidP="00BA6E6F">
      <w:pPr>
        <w:pStyle w:val="Prrafodelista"/>
        <w:numPr>
          <w:ilvl w:val="0"/>
          <w:numId w:val="2"/>
        </w:numPr>
        <w:spacing w:after="0" w:line="276" w:lineRule="auto"/>
        <w:ind w:left="714" w:hanging="357"/>
        <w:jc w:val="both"/>
        <w:rPr>
          <w:rFonts w:ascii="Verdana" w:hAnsi="Verdana" w:cs="Arial"/>
          <w:color w:val="000000" w:themeColor="text1"/>
        </w:rPr>
      </w:pPr>
      <w:r w:rsidRPr="00DE4C6B">
        <w:rPr>
          <w:rFonts w:ascii="Verdana" w:hAnsi="Verdana" w:cs="Arial"/>
          <w:color w:val="000000" w:themeColor="text1"/>
        </w:rPr>
        <w:t>En relación con el v) problema planteado, el numeral 2° del artículo 2 de Ley 1150 de 2007 la define en los siguientes términos:</w:t>
      </w:r>
    </w:p>
    <w:p w14:paraId="20B64BEF" w14:textId="77777777" w:rsidR="00BA6E6F" w:rsidRPr="00D60FAB" w:rsidRDefault="00BA6E6F" w:rsidP="00BA6E6F">
      <w:pPr>
        <w:pStyle w:val="Prrafodelista"/>
        <w:rPr>
          <w:rFonts w:ascii="Verdana" w:hAnsi="Verdana" w:cs="Arial"/>
          <w:color w:val="000000" w:themeColor="text1"/>
        </w:rPr>
      </w:pPr>
    </w:p>
    <w:p w14:paraId="0C8BD25E" w14:textId="77777777" w:rsidR="00BA6E6F" w:rsidRPr="00D60FAB" w:rsidRDefault="00BA6E6F" w:rsidP="00BA6E6F">
      <w:pPr>
        <w:spacing w:after="0"/>
        <w:ind w:left="1049" w:right="709"/>
        <w:jc w:val="both"/>
        <w:rPr>
          <w:rFonts w:ascii="Verdana" w:hAnsi="Verdana" w:cs="Arial"/>
          <w:color w:val="000000" w:themeColor="text1"/>
          <w:sz w:val="21"/>
          <w:szCs w:val="21"/>
        </w:rPr>
      </w:pPr>
      <w:r w:rsidRPr="00D60FAB">
        <w:rPr>
          <w:rFonts w:ascii="Verdana" w:hAnsi="Verdana" w:cs="Arial"/>
          <w:color w:val="000000" w:themeColor="text1"/>
          <w:sz w:val="21"/>
          <w:szCs w:val="21"/>
        </w:rPr>
        <w:t xml:space="preserve">“2.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w:t>
      </w:r>
    </w:p>
    <w:p w14:paraId="6B120FA7" w14:textId="77777777" w:rsidR="00BA6E6F" w:rsidRPr="00D60FAB" w:rsidRDefault="00BA6E6F" w:rsidP="00BA6E6F">
      <w:pPr>
        <w:spacing w:after="0" w:line="276" w:lineRule="auto"/>
        <w:ind w:leftChars="1049" w:left="2308" w:right="709"/>
        <w:jc w:val="both"/>
        <w:rPr>
          <w:rFonts w:ascii="Verdana" w:hAnsi="Verdana" w:cs="Arial"/>
          <w:color w:val="000000" w:themeColor="text1"/>
          <w:sz w:val="21"/>
          <w:szCs w:val="21"/>
        </w:rPr>
      </w:pPr>
    </w:p>
    <w:p w14:paraId="2EEF59A7" w14:textId="77777777" w:rsidR="00BA6E6F" w:rsidRPr="00D60FAB" w:rsidRDefault="00BA6E6F" w:rsidP="00BA6E6F">
      <w:pPr>
        <w:spacing w:after="0"/>
        <w:ind w:left="1049" w:right="709"/>
        <w:jc w:val="both"/>
        <w:rPr>
          <w:rFonts w:ascii="Verdana" w:hAnsi="Verdana" w:cs="Arial"/>
          <w:color w:val="000000" w:themeColor="text1"/>
          <w:sz w:val="21"/>
          <w:szCs w:val="21"/>
        </w:rPr>
      </w:pPr>
      <w:r w:rsidRPr="00D60FAB">
        <w:rPr>
          <w:rFonts w:ascii="Verdana" w:hAnsi="Verdana" w:cs="Arial"/>
          <w:color w:val="000000" w:themeColor="text1"/>
          <w:sz w:val="21"/>
          <w:szCs w:val="21"/>
        </w:rPr>
        <w:t xml:space="preserve">El Gobierno Nacional reglamentará la materia.  </w:t>
      </w:r>
    </w:p>
    <w:p w14:paraId="2F4F295F" w14:textId="77777777" w:rsidR="00BA6E6F" w:rsidRPr="00D60FAB" w:rsidRDefault="00BA6E6F" w:rsidP="00BA6E6F">
      <w:pPr>
        <w:pStyle w:val="Prrafodelista"/>
        <w:spacing w:after="0" w:line="276" w:lineRule="auto"/>
        <w:ind w:leftChars="1049" w:left="2308" w:right="709"/>
        <w:jc w:val="both"/>
        <w:rPr>
          <w:rFonts w:ascii="Verdana" w:hAnsi="Verdana" w:cs="Arial"/>
          <w:color w:val="000000" w:themeColor="text1"/>
          <w:sz w:val="21"/>
          <w:szCs w:val="21"/>
        </w:rPr>
      </w:pPr>
    </w:p>
    <w:p w14:paraId="0AF2E2DA" w14:textId="77777777" w:rsidR="00BA6E6F" w:rsidRPr="00D60FAB" w:rsidRDefault="00BA6E6F" w:rsidP="00BA6E6F">
      <w:pPr>
        <w:spacing w:after="0"/>
        <w:ind w:left="1049" w:right="709"/>
        <w:jc w:val="both"/>
        <w:rPr>
          <w:rFonts w:ascii="Verdana" w:hAnsi="Verdana" w:cs="Arial"/>
          <w:color w:val="000000" w:themeColor="text1"/>
          <w:sz w:val="21"/>
          <w:szCs w:val="21"/>
        </w:rPr>
      </w:pPr>
      <w:r w:rsidRPr="00D60FAB">
        <w:rPr>
          <w:rFonts w:ascii="Verdana" w:hAnsi="Verdana" w:cs="Arial"/>
          <w:color w:val="000000" w:themeColor="text1"/>
          <w:sz w:val="21"/>
          <w:szCs w:val="21"/>
        </w:rPr>
        <w:t>[...]”.</w:t>
      </w:r>
    </w:p>
    <w:p w14:paraId="22F587A9" w14:textId="77777777" w:rsidR="00BA6E6F" w:rsidRDefault="00BA6E6F" w:rsidP="00BA6E6F">
      <w:pPr>
        <w:ind w:right="709"/>
        <w:jc w:val="both"/>
        <w:rPr>
          <w:rFonts w:ascii="Verdana" w:eastAsia="Times New Roman" w:hAnsi="Verdana" w:cs="Arial"/>
          <w:lang w:eastAsia="es-ES"/>
        </w:rPr>
      </w:pPr>
    </w:p>
    <w:p w14:paraId="4062164B"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shd w:val="clear" w:color="auto" w:fill="FFFFFF"/>
          <w:lang w:eastAsia="es-CO"/>
        </w:rPr>
      </w:pPr>
      <w:r w:rsidRPr="008B0EC3">
        <w:rPr>
          <w:rFonts w:ascii="Verdana" w:eastAsia="Times New Roman" w:hAnsi="Verdana" w:cs="Arial"/>
          <w:shd w:val="clear" w:color="auto" w:fill="FFFFFF"/>
          <w:lang w:eastAsia="es-CO"/>
        </w:rPr>
        <w:t xml:space="preserve">Nótese que, de la transcripción literal de la norma, el legislador divide de forma disyuntiva los supuestos bajo los cuales se configura la eventual utilización de esta modalidad de selección, bien sea </w:t>
      </w:r>
      <w:r w:rsidRPr="008B0EC3">
        <w:rPr>
          <w:rFonts w:ascii="Verdana" w:eastAsia="Times New Roman" w:hAnsi="Verdana" w:cs="Arial"/>
          <w:lang w:eastAsia="es-CO"/>
        </w:rPr>
        <w:t>por las características del objeto a contratar, las circunstancias de la contratación o la cuantía o destinación del bien, obra o servicio.</w:t>
      </w:r>
      <w:r w:rsidRPr="008B0EC3">
        <w:rPr>
          <w:rFonts w:ascii="Verdana" w:eastAsia="Times New Roman" w:hAnsi="Verdana" w:cs="Arial"/>
          <w:shd w:val="clear" w:color="auto" w:fill="FFFFFF"/>
          <w:lang w:eastAsia="es-CO"/>
        </w:rPr>
        <w:t xml:space="preserve"> </w:t>
      </w:r>
    </w:p>
    <w:p w14:paraId="0DFE020F" w14:textId="77777777" w:rsidR="00BA6E6F" w:rsidRDefault="00BA6E6F" w:rsidP="00BA6E6F">
      <w:pPr>
        <w:pStyle w:val="Prrafodelista"/>
        <w:spacing w:after="0" w:line="276" w:lineRule="auto"/>
        <w:ind w:left="714"/>
        <w:jc w:val="both"/>
        <w:rPr>
          <w:rFonts w:ascii="Verdana" w:eastAsia="Times New Roman" w:hAnsi="Verdana" w:cs="Arial"/>
          <w:shd w:val="clear" w:color="auto" w:fill="FFFFFF"/>
          <w:lang w:eastAsia="es-CO"/>
        </w:rPr>
      </w:pPr>
    </w:p>
    <w:p w14:paraId="64A19F83" w14:textId="77777777" w:rsidR="00BA6E6F" w:rsidRPr="008B0EC3" w:rsidRDefault="00BA6E6F" w:rsidP="00BA6E6F">
      <w:pPr>
        <w:pStyle w:val="Prrafodelista"/>
        <w:numPr>
          <w:ilvl w:val="0"/>
          <w:numId w:val="2"/>
        </w:numPr>
        <w:spacing w:after="0" w:line="276" w:lineRule="auto"/>
        <w:ind w:left="714" w:hanging="357"/>
        <w:jc w:val="both"/>
        <w:rPr>
          <w:rFonts w:ascii="Verdana" w:eastAsia="Times New Roman" w:hAnsi="Verdana" w:cs="Arial"/>
          <w:shd w:val="clear" w:color="auto" w:fill="FFFFFF"/>
          <w:lang w:eastAsia="es-CO"/>
        </w:rPr>
      </w:pPr>
      <w:r w:rsidRPr="008B0EC3">
        <w:rPr>
          <w:rFonts w:ascii="Verdana" w:eastAsia="Times New Roman" w:hAnsi="Verdana" w:cs="Arial"/>
          <w:shd w:val="clear" w:color="auto" w:fill="FFFFFF"/>
          <w:lang w:eastAsia="es-CO"/>
        </w:rPr>
        <w:t>En ese orden de ideas, esta modalidad de selección procede por las causales previstas en la ley</w:t>
      </w:r>
      <w:r w:rsidRPr="008B0EC3">
        <w:rPr>
          <w:rFonts w:ascii="Verdana" w:eastAsia="Times New Roman" w:hAnsi="Verdana" w:cs="Arial"/>
          <w:shd w:val="clear" w:color="auto" w:fill="FFFFFF"/>
          <w:vertAlign w:val="superscript"/>
          <w:lang w:eastAsia="es-CO"/>
        </w:rPr>
        <w:footnoteReference w:id="11"/>
      </w:r>
      <w:r w:rsidRPr="008B0EC3">
        <w:rPr>
          <w:rFonts w:ascii="Verdana" w:eastAsia="Times New Roman" w:hAnsi="Verdana" w:cs="Arial"/>
          <w:shd w:val="clear" w:color="auto" w:fill="FFFFFF"/>
          <w:lang w:eastAsia="es-CO"/>
        </w:rPr>
        <w:t xml:space="preserve">, las cuales determinan, entre otras cosas, </w:t>
      </w:r>
      <w:r w:rsidRPr="008B0EC3">
        <w:rPr>
          <w:rFonts w:ascii="Verdana" w:eastAsia="Times New Roman" w:hAnsi="Verdana" w:cs="Arial"/>
          <w:shd w:val="clear" w:color="auto" w:fill="FFFFFF"/>
          <w:lang w:eastAsia="es-CO"/>
        </w:rPr>
        <w:lastRenderedPageBreak/>
        <w:t xml:space="preserve">los criterios a tener en cuenta para la escogencia del contratista que proveerá el bien o servicio, además de sus respectivas reglas para llevar a cabo el proceso de selección bajo la modalidad estudiada, siendo una de ellas, pero no la única, el valor presupuestado como precio del contrato. </w:t>
      </w:r>
    </w:p>
    <w:p w14:paraId="277148EC" w14:textId="77777777" w:rsidR="00BA6E6F" w:rsidRPr="00D47C6A" w:rsidRDefault="00BA6E6F" w:rsidP="00BA6E6F">
      <w:pPr>
        <w:pStyle w:val="Prrafodelista"/>
        <w:spacing w:after="0" w:line="276" w:lineRule="auto"/>
        <w:ind w:left="714"/>
        <w:jc w:val="both"/>
        <w:rPr>
          <w:rFonts w:ascii="Arial" w:eastAsia="Times New Roman" w:hAnsi="Arial" w:cs="Arial"/>
          <w:shd w:val="clear" w:color="auto" w:fill="FFFFFF"/>
          <w:lang w:eastAsia="es-CO"/>
        </w:rPr>
      </w:pPr>
    </w:p>
    <w:p w14:paraId="40074187"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8B0EC3">
        <w:rPr>
          <w:rFonts w:ascii="Verdana" w:eastAsia="Times New Roman" w:hAnsi="Verdana" w:cs="Arial"/>
          <w:lang w:eastAsia="es-ES"/>
        </w:rPr>
        <w:t>A su turno, el Decreto 1082 de 2015 reglamenta las causales para acudir al procedimiento de selección abreviada establecidas en el numeral 2 del artículo 2 de la Ley 1150 de 2007, y regula el procedimiento, detallando el contenido del pliego de condiciones, las etapas, entre otros. Dentro de dichas causales se desataca la contratación de menor cuantía y la subasta inversa.</w:t>
      </w:r>
    </w:p>
    <w:p w14:paraId="7169AFEE" w14:textId="77777777" w:rsidR="00BA6E6F" w:rsidRPr="009A6463" w:rsidRDefault="00BA6E6F" w:rsidP="00BA6E6F">
      <w:pPr>
        <w:pStyle w:val="Prrafodelista"/>
        <w:rPr>
          <w:rFonts w:ascii="Verdana" w:eastAsia="Times New Roman" w:hAnsi="Verdana" w:cs="Arial"/>
          <w:lang w:eastAsia="es-ES"/>
        </w:rPr>
      </w:pPr>
    </w:p>
    <w:p w14:paraId="7E8F4022" w14:textId="77777777" w:rsidR="00BA6E6F" w:rsidRPr="002C4A16" w:rsidRDefault="00BA6E6F" w:rsidP="00BA6E6F">
      <w:pPr>
        <w:pStyle w:val="Prrafodelista"/>
        <w:numPr>
          <w:ilvl w:val="0"/>
          <w:numId w:val="2"/>
        </w:numPr>
        <w:spacing w:after="0" w:line="276" w:lineRule="auto"/>
        <w:ind w:left="714" w:hanging="357"/>
        <w:jc w:val="both"/>
        <w:rPr>
          <w:rFonts w:ascii="Verdana" w:eastAsia="Calibri" w:hAnsi="Verdana" w:cs="Arial"/>
          <w:sz w:val="21"/>
          <w:szCs w:val="21"/>
          <w:lang w:val="es-MX"/>
        </w:rPr>
      </w:pPr>
      <w:r>
        <w:rPr>
          <w:rFonts w:ascii="Verdana" w:eastAsia="Times New Roman" w:hAnsi="Verdana" w:cs="Arial"/>
          <w:lang w:eastAsia="es-ES"/>
        </w:rPr>
        <w:t>Frente a la procedencia de la modalidad de selección abreviada por la causal de menor cuantía, l</w:t>
      </w:r>
      <w:r w:rsidRPr="00782601">
        <w:rPr>
          <w:rFonts w:ascii="Verdana" w:eastAsia="Times New Roman" w:hAnsi="Verdana" w:cs="Arial"/>
          <w:lang w:eastAsia="es-ES"/>
        </w:rPr>
        <w:t xml:space="preserve">os objetos respecto de los cuales procede el adelantamiento de procesos de selección abreviada están asociados a unas circunstancias diversas y concretas, delimitadas por unas causales expresamente consagradas en el numeral 2 del artículo 2 de la Ley 1150 de 2007. Una de las de mayor relevancia es la referida a los negocios que no superan la menor cuantía de la entidad, la cual aplica en función de </w:t>
      </w:r>
      <w:r w:rsidRPr="00782601">
        <w:rPr>
          <w:rFonts w:ascii="Verdana" w:eastAsia="Times New Roman" w:hAnsi="Verdana" w:cs="Arial"/>
          <w:lang w:eastAsia="es-ES"/>
        </w:rPr>
        <w:lastRenderedPageBreak/>
        <w:t xml:space="preserve">unos rangos y topes señalados por la propia norma, y medibles respecto del presupuesto anual de la entidad. </w:t>
      </w:r>
    </w:p>
    <w:p w14:paraId="589C5029" w14:textId="77777777" w:rsidR="00BA6E6F" w:rsidRPr="002C4A16" w:rsidRDefault="00BA6E6F" w:rsidP="00BA6E6F">
      <w:pPr>
        <w:pStyle w:val="Prrafodelista"/>
        <w:rPr>
          <w:rFonts w:ascii="Verdana" w:eastAsia="Calibri" w:hAnsi="Verdana" w:cs="Arial"/>
          <w:sz w:val="21"/>
          <w:szCs w:val="21"/>
          <w:lang w:val="es-MX"/>
        </w:rPr>
      </w:pPr>
    </w:p>
    <w:p w14:paraId="7FBC1FD0"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2C4A16">
        <w:rPr>
          <w:rFonts w:ascii="Verdana" w:eastAsia="Times New Roman" w:hAnsi="Verdana" w:cs="Arial"/>
          <w:lang w:eastAsia="es-ES"/>
        </w:rPr>
        <w:t>De este modo, se evidencia que la procedencia de la causal de selección abreviada de menor cuantía se encuentra directamente vinculada con el presupuesto anual de cada Entidad Estatal, de manera que los procedimientos de selección cuyo presupuesto oficial no superen el tope de la menor cuantía, se adelantarán bajo la modalidad de selección abreviada.</w:t>
      </w:r>
    </w:p>
    <w:p w14:paraId="6F1D767B" w14:textId="77777777" w:rsidR="00BA6E6F" w:rsidRPr="002C4A16" w:rsidRDefault="00BA6E6F" w:rsidP="00BA6E6F">
      <w:pPr>
        <w:pStyle w:val="Prrafodelista"/>
        <w:rPr>
          <w:rFonts w:ascii="Verdana" w:eastAsia="Times New Roman" w:hAnsi="Verdana" w:cs="Arial"/>
          <w:lang w:eastAsia="es-ES"/>
        </w:rPr>
      </w:pPr>
    </w:p>
    <w:p w14:paraId="585739B4" w14:textId="77777777" w:rsidR="00BA6E6F" w:rsidRPr="008A7A01" w:rsidRDefault="00BA6E6F" w:rsidP="00BA6E6F">
      <w:pPr>
        <w:pStyle w:val="Prrafodelista"/>
        <w:numPr>
          <w:ilvl w:val="0"/>
          <w:numId w:val="2"/>
        </w:numPr>
        <w:spacing w:after="0" w:line="276" w:lineRule="auto"/>
        <w:ind w:left="714" w:hanging="357"/>
        <w:jc w:val="both"/>
        <w:rPr>
          <w:rFonts w:ascii="Verdana" w:eastAsia="Times New Roman" w:hAnsi="Verdana" w:cs="Arial"/>
          <w:lang w:val="es-MX" w:eastAsia="es-ES"/>
        </w:rPr>
      </w:pPr>
      <w:r w:rsidRPr="00831F2B">
        <w:rPr>
          <w:rFonts w:ascii="Verdana" w:eastAsia="Times New Roman" w:hAnsi="Verdana" w:cs="Arial"/>
          <w:lang w:eastAsia="es-ES"/>
        </w:rPr>
        <w:t>Por otra parte, el artículo </w:t>
      </w:r>
      <w:bookmarkStart w:id="3" w:name="2.2.1.2.1.2.20"/>
      <w:bookmarkEnd w:id="3"/>
      <w:r w:rsidRPr="00831F2B">
        <w:rPr>
          <w:rFonts w:ascii="Verdana" w:eastAsia="Times New Roman" w:hAnsi="Verdana" w:cs="Arial"/>
          <w:lang w:eastAsia="es-ES"/>
        </w:rPr>
        <w:t>2.2.1.2.1.2.20 del decreto en mención señaló el procedimiento para la selección abreviada de menor cuantía indicando las siguientes reglas</w:t>
      </w:r>
      <w:bookmarkStart w:id="4" w:name="2.2.1.2.1.2.20.1"/>
      <w:bookmarkEnd w:id="4"/>
      <w:r w:rsidRPr="00831F2B">
        <w:rPr>
          <w:rFonts w:ascii="Verdana" w:eastAsia="Times New Roman" w:hAnsi="Verdana" w:cs="Arial"/>
          <w:lang w:eastAsia="es-ES"/>
        </w:rPr>
        <w:t xml:space="preserve">: </w:t>
      </w:r>
    </w:p>
    <w:p w14:paraId="254D9352" w14:textId="77777777" w:rsidR="00BA6E6F" w:rsidRPr="008A7A01" w:rsidRDefault="00BA6E6F" w:rsidP="00BA6E6F">
      <w:pPr>
        <w:pStyle w:val="Prrafodelista"/>
        <w:rPr>
          <w:rFonts w:ascii="Verdana" w:eastAsia="Times New Roman" w:hAnsi="Verdana" w:cs="Arial"/>
          <w:lang w:eastAsia="es-ES"/>
        </w:rPr>
      </w:pPr>
    </w:p>
    <w:p w14:paraId="2C197DF7" w14:textId="77777777" w:rsidR="00BA6E6F" w:rsidRDefault="00BA6E6F" w:rsidP="00BA6E6F">
      <w:pPr>
        <w:pStyle w:val="Prrafodelista"/>
        <w:numPr>
          <w:ilvl w:val="0"/>
          <w:numId w:val="5"/>
        </w:numPr>
        <w:spacing w:after="0" w:line="276" w:lineRule="auto"/>
        <w:jc w:val="both"/>
        <w:rPr>
          <w:rFonts w:ascii="Verdana" w:eastAsia="Times New Roman" w:hAnsi="Verdana" w:cs="Arial"/>
          <w:lang w:eastAsia="es-ES"/>
        </w:rPr>
      </w:pPr>
      <w:r w:rsidRPr="00831F2B">
        <w:rPr>
          <w:rFonts w:ascii="Verdana" w:eastAsia="Times New Roman" w:hAnsi="Verdana" w:cs="Arial"/>
          <w:lang w:eastAsia="es-ES"/>
        </w:rPr>
        <w:t>En un término no mayor a tres (3) días hábiles contados a partir de la fecha de apertura del Proceso de Contratación los interesados deben manifestar su intención de participar, a través del mecanismo establecido para el efecto en los pliegos de condiciones.</w:t>
      </w:r>
      <w:bookmarkStart w:id="5" w:name="2.2.1.2.1.2.20.2"/>
      <w:bookmarkEnd w:id="5"/>
      <w:r w:rsidRPr="00831F2B">
        <w:rPr>
          <w:rFonts w:ascii="Verdana" w:eastAsia="Times New Roman" w:hAnsi="Verdana" w:cs="Arial"/>
          <w:lang w:eastAsia="es-ES"/>
        </w:rPr>
        <w:t xml:space="preserve"> </w:t>
      </w:r>
    </w:p>
    <w:p w14:paraId="69024A04" w14:textId="77777777" w:rsidR="00BA6E6F" w:rsidRDefault="00BA6E6F" w:rsidP="00BA6E6F">
      <w:pPr>
        <w:pStyle w:val="Prrafodelista"/>
        <w:numPr>
          <w:ilvl w:val="0"/>
          <w:numId w:val="5"/>
        </w:numPr>
        <w:spacing w:after="0" w:line="276" w:lineRule="auto"/>
        <w:jc w:val="both"/>
        <w:rPr>
          <w:rFonts w:ascii="Verdana" w:eastAsia="Times New Roman" w:hAnsi="Verdana" w:cs="Arial"/>
          <w:lang w:eastAsia="es-ES"/>
        </w:rPr>
      </w:pPr>
      <w:r w:rsidRPr="00831F2B">
        <w:rPr>
          <w:rFonts w:ascii="Verdana" w:eastAsia="Times New Roman" w:hAnsi="Verdana" w:cs="Arial"/>
          <w:lang w:eastAsia="es-ES"/>
        </w:rPr>
        <w:t>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bookmarkStart w:id="6" w:name="2.2.1.2.1.2.20.3"/>
      <w:bookmarkEnd w:id="6"/>
      <w:r w:rsidRPr="00831F2B">
        <w:rPr>
          <w:rFonts w:ascii="Verdana" w:eastAsia="Times New Roman" w:hAnsi="Verdana" w:cs="Arial"/>
          <w:lang w:eastAsia="es-ES"/>
        </w:rPr>
        <w:t xml:space="preserve">  </w:t>
      </w:r>
    </w:p>
    <w:p w14:paraId="17DE5AC4" w14:textId="77777777" w:rsidR="00BA6E6F" w:rsidRDefault="00BA6E6F" w:rsidP="00BA6E6F">
      <w:pPr>
        <w:pStyle w:val="Prrafodelista"/>
        <w:numPr>
          <w:ilvl w:val="0"/>
          <w:numId w:val="5"/>
        </w:numPr>
        <w:spacing w:after="0" w:line="276" w:lineRule="auto"/>
        <w:jc w:val="both"/>
        <w:rPr>
          <w:rFonts w:ascii="Verdana" w:eastAsia="Times New Roman" w:hAnsi="Verdana" w:cs="Arial"/>
          <w:lang w:eastAsia="es-ES"/>
        </w:rPr>
      </w:pPr>
      <w:r w:rsidRPr="00831F2B">
        <w:rPr>
          <w:rFonts w:ascii="Verdana" w:eastAsia="Times New Roman" w:hAnsi="Verdana" w:cs="Arial"/>
          <w:lang w:eastAsia="es-ES"/>
        </w:rPr>
        <w:t>Si hay lugar a sorteo, el plazo para la presentación de las ofertas empezará a correr el día hábil siguiente a la fecha en la cual la Entidad Estatal informe a los interesados el resultado del sorteo.</w:t>
      </w:r>
      <w:bookmarkStart w:id="7" w:name="2.2.1.2.1.2.20.4"/>
      <w:bookmarkEnd w:id="7"/>
      <w:r>
        <w:rPr>
          <w:rFonts w:ascii="Verdana" w:eastAsia="Times New Roman" w:hAnsi="Verdana" w:cs="Arial"/>
          <w:lang w:eastAsia="es-ES"/>
        </w:rPr>
        <w:t xml:space="preserve"> </w:t>
      </w:r>
    </w:p>
    <w:p w14:paraId="484CC67A" w14:textId="77777777" w:rsidR="00BA6E6F" w:rsidRPr="00831F2B" w:rsidRDefault="00BA6E6F" w:rsidP="00BA6E6F">
      <w:pPr>
        <w:pStyle w:val="Prrafodelista"/>
        <w:numPr>
          <w:ilvl w:val="0"/>
          <w:numId w:val="5"/>
        </w:numPr>
        <w:spacing w:after="0" w:line="276" w:lineRule="auto"/>
        <w:jc w:val="both"/>
        <w:rPr>
          <w:rFonts w:ascii="Verdana" w:eastAsia="Times New Roman" w:hAnsi="Verdana" w:cs="Arial"/>
          <w:lang w:val="es-MX" w:eastAsia="es-ES"/>
        </w:rPr>
      </w:pPr>
      <w:r w:rsidRPr="00831F2B">
        <w:rPr>
          <w:rFonts w:ascii="Verdana" w:eastAsia="Times New Roman" w:hAnsi="Verdana" w:cs="Arial"/>
          <w:lang w:eastAsia="es-ES"/>
        </w:rPr>
        <w:t>La Entidad Estatal debe publicar el informe de evaluación de ofertas durante tres (3) días hábiles.</w:t>
      </w:r>
    </w:p>
    <w:p w14:paraId="446715C7" w14:textId="77777777" w:rsidR="00BA6E6F" w:rsidRPr="00831F2B" w:rsidRDefault="00BA6E6F" w:rsidP="00BA6E6F">
      <w:pPr>
        <w:pStyle w:val="Prrafodelista"/>
        <w:rPr>
          <w:rFonts w:ascii="Verdana" w:eastAsia="Times New Roman" w:hAnsi="Verdana" w:cs="Arial"/>
          <w:lang w:val="es-MX" w:eastAsia="es-ES"/>
        </w:rPr>
      </w:pPr>
    </w:p>
    <w:p w14:paraId="41BB5CDE" w14:textId="77777777" w:rsidR="00BA6E6F" w:rsidRPr="00774370" w:rsidRDefault="00BA6E6F" w:rsidP="00BA6E6F">
      <w:pPr>
        <w:pStyle w:val="Prrafodelista"/>
        <w:numPr>
          <w:ilvl w:val="0"/>
          <w:numId w:val="2"/>
        </w:numPr>
        <w:spacing w:after="0" w:line="276" w:lineRule="auto"/>
        <w:ind w:left="714" w:hanging="357"/>
        <w:jc w:val="both"/>
        <w:rPr>
          <w:rFonts w:ascii="Verdana" w:eastAsia="Times New Roman" w:hAnsi="Verdana" w:cs="Arial"/>
          <w:lang w:val="es-MX" w:eastAsia="es-ES"/>
        </w:rPr>
      </w:pPr>
      <w:r>
        <w:rPr>
          <w:rFonts w:ascii="Verdana" w:eastAsia="Times New Roman" w:hAnsi="Verdana" w:cs="Arial"/>
          <w:lang w:val="es-MX" w:eastAsia="es-ES"/>
        </w:rPr>
        <w:t>Por otro lado, la</w:t>
      </w:r>
      <w:r w:rsidRPr="001914B0">
        <w:rPr>
          <w:rFonts w:ascii="Verdana" w:eastAsia="Times New Roman" w:hAnsi="Verdana" w:cs="Arial"/>
          <w:lang w:val="es-MX" w:eastAsia="es-ES"/>
        </w:rPr>
        <w:t xml:space="preserve"> subasta inversa </w:t>
      </w:r>
      <w:r w:rsidRPr="0081660D">
        <w:rPr>
          <w:rFonts w:ascii="Verdana" w:eastAsia="Times New Roman" w:hAnsi="Verdana" w:cs="Arial"/>
          <w:lang w:val="es-MX" w:eastAsia="es-ES"/>
        </w:rPr>
        <w:t>es un mecanismo que se concibió con la finalidad de introducir una metodología alternativa para el proceso de negociación y perfeccionamiento del contrato estatal. Su regulación se encuentra en el artículo 2 de la Ley 1150 de 2007, disposición en la cual se señala que procede para los procesos de selección abreviada que tienen por finalidad</w:t>
      </w:r>
      <w:r>
        <w:rPr>
          <w:rFonts w:ascii="Verdana" w:eastAsia="Times New Roman" w:hAnsi="Verdana" w:cs="Arial"/>
          <w:lang w:val="es-MX" w:eastAsia="es-ES"/>
        </w:rPr>
        <w:t xml:space="preserve"> </w:t>
      </w:r>
      <w:r w:rsidRPr="00774370">
        <w:rPr>
          <w:rFonts w:ascii="Verdana" w:eastAsia="Times New Roman" w:hAnsi="Verdana" w:cs="Arial"/>
          <w:lang w:val="es-MX" w:eastAsia="es-ES"/>
        </w:rPr>
        <w:t xml:space="preserve">la adquisición de bienes y servicios de características técnicas </w:t>
      </w:r>
      <w:r w:rsidRPr="00774370">
        <w:rPr>
          <w:rFonts w:ascii="Verdana" w:eastAsia="Times New Roman" w:hAnsi="Verdana" w:cs="Arial"/>
          <w:lang w:val="es-MX" w:eastAsia="es-ES"/>
        </w:rPr>
        <w:lastRenderedPageBreak/>
        <w:t>uniformes y de común utilización y en los procesos de enajenación de bienes del Estado</w:t>
      </w:r>
      <w:r w:rsidRPr="00774370">
        <w:rPr>
          <w:rFonts w:ascii="Verdana" w:eastAsia="Times New Roman" w:hAnsi="Verdana" w:cs="Arial"/>
          <w:vertAlign w:val="superscript"/>
          <w:lang w:val="es-MX" w:eastAsia="es-ES"/>
        </w:rPr>
        <w:footnoteReference w:id="12"/>
      </w:r>
      <w:r w:rsidRPr="00774370">
        <w:rPr>
          <w:rFonts w:ascii="Verdana" w:eastAsia="Times New Roman" w:hAnsi="Verdana" w:cs="Arial"/>
          <w:lang w:val="es-MX" w:eastAsia="es-ES"/>
        </w:rPr>
        <w:t>.  </w:t>
      </w:r>
      <w:r w:rsidRPr="00774370">
        <w:rPr>
          <w:rFonts w:ascii="Verdana" w:eastAsia="Times New Roman" w:hAnsi="Verdana" w:cs="Arial"/>
          <w:lang w:eastAsia="es-ES"/>
        </w:rPr>
        <w:t> </w:t>
      </w:r>
    </w:p>
    <w:p w14:paraId="4BE687DD" w14:textId="77777777" w:rsidR="00BA6E6F" w:rsidRPr="00774370" w:rsidRDefault="00BA6E6F" w:rsidP="00BA6E6F">
      <w:pPr>
        <w:pStyle w:val="Prrafodelista"/>
        <w:rPr>
          <w:rFonts w:ascii="Verdana" w:eastAsia="Times New Roman" w:hAnsi="Verdana" w:cs="Arial"/>
          <w:lang w:val="es-MX" w:eastAsia="es-ES"/>
        </w:rPr>
      </w:pPr>
    </w:p>
    <w:p w14:paraId="65F7139B" w14:textId="77777777" w:rsidR="00BA6E6F" w:rsidRPr="005C2B9F" w:rsidRDefault="00BA6E6F" w:rsidP="00BA6E6F">
      <w:pPr>
        <w:pStyle w:val="Prrafodelista"/>
        <w:numPr>
          <w:ilvl w:val="0"/>
          <w:numId w:val="2"/>
        </w:numPr>
        <w:spacing w:after="120" w:line="276" w:lineRule="auto"/>
        <w:jc w:val="both"/>
        <w:textAlignment w:val="baseline"/>
        <w:rPr>
          <w:rFonts w:ascii="Arial" w:eastAsia="Times New Roman" w:hAnsi="Arial" w:cs="Arial"/>
          <w:lang w:eastAsia="es-CO"/>
        </w:rPr>
      </w:pPr>
      <w:r w:rsidRPr="005C2B9F">
        <w:rPr>
          <w:rFonts w:ascii="Verdana" w:eastAsia="Times New Roman" w:hAnsi="Verdana" w:cs="Arial"/>
          <w:lang w:val="es-MX" w:eastAsia="es-CO"/>
        </w:rPr>
        <w:t>En este contexto, la doctrina ha señalado que “se entiende por subasta inversa para la presentación de la oferta, la puja dinámica, mediante la cual los oferentes, durante un tiempo determinado, ajustan su oferta respecto de aquellas variables susceptibles de ser mejoradas, con el fin de lograr el ofrecimiento que representa la mejor relación costo-beneficio para la entidad, de acuerdo con lo señalado en el pliego de condiciones”</w:t>
      </w:r>
      <w:r w:rsidRPr="000C6D01">
        <w:rPr>
          <w:vertAlign w:val="superscript"/>
          <w:lang w:eastAsia="es-CO"/>
        </w:rPr>
        <w:footnoteReference w:id="13"/>
      </w:r>
      <w:r w:rsidRPr="005C2B9F">
        <w:rPr>
          <w:rFonts w:ascii="Verdana" w:eastAsia="Times New Roman" w:hAnsi="Verdana" w:cs="Arial"/>
          <w:lang w:val="es-MX" w:eastAsia="es-CO"/>
        </w:rPr>
        <w:t xml:space="preserve">. </w:t>
      </w:r>
    </w:p>
    <w:p w14:paraId="52B817D8" w14:textId="77777777" w:rsidR="00BA6E6F" w:rsidRPr="005C2B9F" w:rsidRDefault="00BA6E6F" w:rsidP="00BA6E6F">
      <w:pPr>
        <w:pStyle w:val="Prrafodelista"/>
        <w:numPr>
          <w:ilvl w:val="0"/>
          <w:numId w:val="2"/>
        </w:numPr>
        <w:spacing w:after="120" w:line="276" w:lineRule="auto"/>
        <w:jc w:val="both"/>
        <w:textAlignment w:val="baseline"/>
        <w:rPr>
          <w:rFonts w:ascii="Arial" w:eastAsia="Times New Roman" w:hAnsi="Arial" w:cs="Arial"/>
          <w:lang w:eastAsia="es-CO"/>
        </w:rPr>
      </w:pPr>
      <w:r w:rsidRPr="005C2B9F">
        <w:rPr>
          <w:rFonts w:ascii="Verdana" w:eastAsia="Times New Roman" w:hAnsi="Verdana" w:cs="Arial"/>
          <w:lang w:val="es-MX" w:eastAsia="es-CO"/>
        </w:rPr>
        <w:lastRenderedPageBreak/>
        <w:t>En igual sentido, la doctrina especializada destaca de este mecanismo que “al encontrarse definidas las características del bien, lo que se va a evaluar únicamente es el precio, porque se entiende que todos los bienes que se propongan tienen idéntica característica técnica al tratarse de bienes comunes, de ahí la falencia de la modalidad de subasta inversa que se tiene en Colombia, en tanto está limitada a la puja con base al precio”</w:t>
      </w:r>
      <w:r w:rsidRPr="000C6D01">
        <w:rPr>
          <w:vertAlign w:val="superscript"/>
          <w:lang w:eastAsia="es-CO"/>
        </w:rPr>
        <w:footnoteReference w:id="14"/>
      </w:r>
      <w:r w:rsidRPr="005C2B9F">
        <w:rPr>
          <w:rFonts w:ascii="Verdana" w:eastAsia="Times New Roman" w:hAnsi="Verdana" w:cs="Arial"/>
          <w:lang w:val="es-MX" w:eastAsia="es-CO"/>
        </w:rPr>
        <w:t>.</w:t>
      </w:r>
      <w:r w:rsidRPr="005C2B9F">
        <w:rPr>
          <w:rFonts w:ascii="Arial" w:eastAsia="Times New Roman" w:hAnsi="Arial" w:cs="Arial"/>
          <w:lang w:val="es-MX" w:eastAsia="es-CO"/>
        </w:rPr>
        <w:t xml:space="preserve">  </w:t>
      </w:r>
      <w:r w:rsidRPr="005C2B9F">
        <w:rPr>
          <w:rFonts w:ascii="Arial" w:eastAsia="Times New Roman" w:hAnsi="Arial" w:cs="Arial"/>
          <w:lang w:eastAsia="es-CO"/>
        </w:rPr>
        <w:t> </w:t>
      </w:r>
    </w:p>
    <w:p w14:paraId="7B77A0F1" w14:textId="77777777" w:rsidR="00BA6E6F" w:rsidRPr="002A4EBB" w:rsidRDefault="00BA6E6F" w:rsidP="00BA6E6F">
      <w:pPr>
        <w:pStyle w:val="Prrafodelista"/>
        <w:numPr>
          <w:ilvl w:val="0"/>
          <w:numId w:val="2"/>
        </w:numPr>
        <w:spacing w:after="120" w:line="276" w:lineRule="auto"/>
        <w:jc w:val="both"/>
        <w:textAlignment w:val="baseline"/>
        <w:rPr>
          <w:rFonts w:ascii="Verdana" w:eastAsia="Times New Roman" w:hAnsi="Verdana" w:cs="Arial"/>
          <w:lang w:eastAsia="es-CO"/>
        </w:rPr>
      </w:pPr>
      <w:r w:rsidRPr="002A4EBB">
        <w:rPr>
          <w:rFonts w:ascii="Verdana" w:eastAsia="Times New Roman" w:hAnsi="Verdana" w:cs="Arial"/>
          <w:lang w:val="es-MX" w:eastAsia="es-CO"/>
        </w:rPr>
        <w:t xml:space="preserve">El literal a) del numeral 2 del artículo 2 de la Ley 1150 de 2007, en relación con la adquisición de bienes y servicios de características técnicas uniformes y de común utilización, establece que </w:t>
      </w:r>
      <w:r>
        <w:rPr>
          <w:rFonts w:ascii="Verdana" w:eastAsia="Times New Roman" w:hAnsi="Verdana" w:cs="Arial"/>
          <w:lang w:val="es-MX" w:eastAsia="es-CO"/>
        </w:rPr>
        <w:t>“</w:t>
      </w:r>
      <w:r w:rsidRPr="002A4EBB">
        <w:rPr>
          <w:rFonts w:ascii="Verdana" w:eastAsia="Times New Roman" w:hAnsi="Verdana" w:cs="Arial"/>
          <w:lang w:val="es-MX" w:eastAsia="es-CO"/>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r>
        <w:rPr>
          <w:rFonts w:ascii="Verdana" w:eastAsia="Times New Roman" w:hAnsi="Verdana" w:cs="Arial"/>
          <w:lang w:val="es-MX" w:eastAsia="es-CO"/>
        </w:rPr>
        <w:t>”</w:t>
      </w:r>
      <w:r w:rsidRPr="002A4EBB">
        <w:rPr>
          <w:rFonts w:ascii="Verdana" w:eastAsia="Times New Roman" w:hAnsi="Verdana" w:cs="Arial"/>
          <w:lang w:val="es-MX" w:eastAsia="es-CO"/>
        </w:rPr>
        <w:t>. En este evento, contrario a lo que ocurre en la licitación pública, el ordenamiento jurídico prescribe la utilización de la subasta inversa en los procedimientos de selección abreviada cuando se pretendan adquirir bienes y servicios de características técnicas uniformes y de común utilización. </w:t>
      </w:r>
      <w:r w:rsidRPr="002A4EBB">
        <w:rPr>
          <w:rFonts w:ascii="Verdana" w:eastAsia="Times New Roman" w:hAnsi="Verdana" w:cs="Arial"/>
          <w:lang w:eastAsia="es-CO"/>
        </w:rPr>
        <w:t> </w:t>
      </w:r>
    </w:p>
    <w:p w14:paraId="376637D6" w14:textId="77777777" w:rsidR="00BA6E6F" w:rsidRPr="006C00D7" w:rsidRDefault="00BA6E6F" w:rsidP="00BA6E6F">
      <w:pPr>
        <w:pStyle w:val="Prrafodelista"/>
        <w:rPr>
          <w:rFonts w:ascii="Verdana" w:eastAsia="Times New Roman" w:hAnsi="Verdana" w:cs="Arial"/>
          <w:lang w:eastAsia="es-ES"/>
        </w:rPr>
      </w:pPr>
    </w:p>
    <w:p w14:paraId="6778D100"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En lo que respecta al estudio del sector, como tema central del vi) problema planteado, la </w:t>
      </w:r>
      <w:r w:rsidRPr="004F4A18">
        <w:rPr>
          <w:rFonts w:ascii="Verdana" w:eastAsia="Times New Roman" w:hAnsi="Verdana" w:cs="Arial"/>
          <w:i/>
          <w:iCs/>
          <w:lang w:eastAsia="es-ES"/>
        </w:rPr>
        <w:t>Guía de Elaboración de Estudios del Sector</w:t>
      </w:r>
      <w:r>
        <w:rPr>
          <w:rFonts w:ascii="Verdana" w:eastAsia="Times New Roman" w:hAnsi="Verdana" w:cs="Arial"/>
          <w:lang w:eastAsia="es-ES"/>
        </w:rPr>
        <w:t xml:space="preserve"> </w:t>
      </w:r>
      <w:r w:rsidRPr="00B020A0">
        <w:rPr>
          <w:rFonts w:ascii="Verdana" w:eastAsia="Times New Roman" w:hAnsi="Verdana" w:cs="Arial"/>
          <w:lang w:eastAsia="es-ES"/>
        </w:rPr>
        <w:t xml:space="preserve">indica que aquel debe estar alineado con el análisis de la oferta, </w:t>
      </w:r>
      <w:r>
        <w:rPr>
          <w:rFonts w:ascii="Verdana" w:eastAsia="Times New Roman" w:hAnsi="Verdana" w:cs="Arial"/>
          <w:lang w:eastAsia="es-ES"/>
        </w:rPr>
        <w:t xml:space="preserve">mediante el cual </w:t>
      </w:r>
      <w:r w:rsidRPr="00B020A0">
        <w:rPr>
          <w:rFonts w:ascii="Verdana" w:eastAsia="Times New Roman" w:hAnsi="Verdana" w:cs="Arial"/>
          <w:lang w:eastAsia="es-ES"/>
        </w:rPr>
        <w:t>se obtendrán los insumos que se reflejarán en</w:t>
      </w:r>
      <w:r>
        <w:rPr>
          <w:rFonts w:ascii="Verdana" w:eastAsia="Times New Roman" w:hAnsi="Verdana" w:cs="Arial"/>
          <w:lang w:eastAsia="es-ES"/>
        </w:rPr>
        <w:t xml:space="preserve"> los documentos de</w:t>
      </w:r>
      <w:r w:rsidRPr="00B020A0">
        <w:rPr>
          <w:rFonts w:ascii="Verdana" w:eastAsia="Times New Roman" w:hAnsi="Verdana" w:cs="Arial"/>
          <w:lang w:eastAsia="es-ES"/>
        </w:rPr>
        <w:t xml:space="preserve"> </w:t>
      </w:r>
      <w:r>
        <w:rPr>
          <w:rFonts w:ascii="Verdana" w:eastAsia="Times New Roman" w:hAnsi="Verdana" w:cs="Arial"/>
          <w:lang w:eastAsia="es-ES"/>
        </w:rPr>
        <w:t>los</w:t>
      </w:r>
      <w:r w:rsidRPr="00B020A0">
        <w:rPr>
          <w:rFonts w:ascii="Verdana" w:eastAsia="Times New Roman" w:hAnsi="Verdana" w:cs="Arial"/>
          <w:lang w:eastAsia="es-ES"/>
        </w:rPr>
        <w:t xml:space="preserve"> estudio</w:t>
      </w:r>
      <w:r>
        <w:rPr>
          <w:rFonts w:ascii="Verdana" w:eastAsia="Times New Roman" w:hAnsi="Verdana" w:cs="Arial"/>
          <w:lang w:eastAsia="es-ES"/>
        </w:rPr>
        <w:t>s</w:t>
      </w:r>
      <w:r w:rsidRPr="00B020A0">
        <w:rPr>
          <w:rFonts w:ascii="Verdana" w:eastAsia="Times New Roman" w:hAnsi="Verdana" w:cs="Arial"/>
          <w:lang w:eastAsia="es-ES"/>
        </w:rPr>
        <w:t xml:space="preserve"> </w:t>
      </w:r>
      <w:r>
        <w:rPr>
          <w:rFonts w:ascii="Verdana" w:eastAsia="Times New Roman" w:hAnsi="Verdana" w:cs="Arial"/>
          <w:lang w:eastAsia="es-ES"/>
        </w:rPr>
        <w:t>previos</w:t>
      </w:r>
      <w:r w:rsidRPr="00B020A0">
        <w:rPr>
          <w:rFonts w:ascii="Verdana" w:eastAsia="Times New Roman" w:hAnsi="Verdana" w:cs="Arial"/>
          <w:lang w:eastAsia="es-ES"/>
        </w:rPr>
        <w:t>. De igual forma, en este análisis, la entidad presenta el contexto del mercado para definir los requisitos habilitantes aplicables al proceso</w:t>
      </w:r>
      <w:r>
        <w:rPr>
          <w:rFonts w:ascii="Verdana" w:eastAsia="Times New Roman" w:hAnsi="Verdana" w:cs="Arial"/>
          <w:lang w:eastAsia="es-ES"/>
        </w:rPr>
        <w:t xml:space="preserve"> y establece </w:t>
      </w:r>
      <w:r w:rsidRPr="00B020A0">
        <w:rPr>
          <w:rFonts w:ascii="Verdana" w:eastAsia="Times New Roman" w:hAnsi="Verdana" w:cs="Arial"/>
          <w:lang w:eastAsia="es-ES"/>
        </w:rPr>
        <w:t>la forma de evaluar las ofertas e identifica algunos riesgos.</w:t>
      </w:r>
    </w:p>
    <w:p w14:paraId="20F6D90C" w14:textId="77777777" w:rsidR="00BA6E6F" w:rsidRPr="00455111" w:rsidRDefault="00BA6E6F" w:rsidP="00BA6E6F">
      <w:pPr>
        <w:pStyle w:val="Prrafodelista"/>
        <w:rPr>
          <w:rFonts w:ascii="Verdana" w:eastAsia="Times New Roman" w:hAnsi="Verdana" w:cs="Arial"/>
          <w:lang w:eastAsia="es-ES"/>
        </w:rPr>
      </w:pPr>
    </w:p>
    <w:p w14:paraId="38F1785A" w14:textId="77777777" w:rsidR="00BA6E6F" w:rsidRPr="00B020A0"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En esta segunda etapa de análisis de la oferta, uno de los objetivos es la identificación y perfilamiento del portafolio de proveedores, buscando responder ¿quién suministra los bienes y servicios de una categoría / subcategoría específica? o ¿cuál es la dinámica de producción, distribución y entrega de los bienes, obras o servicios de dicha categoría / subcategoría? En ese sentido, la entidad </w:t>
      </w:r>
      <w:r w:rsidRPr="0030487C">
        <w:rPr>
          <w:rFonts w:ascii="Verdana" w:eastAsia="Times New Roman" w:hAnsi="Verdana" w:cs="Arial"/>
          <w:lang w:eastAsia="es-ES"/>
        </w:rPr>
        <w:t xml:space="preserve">tendrá la exigencia de entender </w:t>
      </w:r>
      <w:r w:rsidRPr="0030487C">
        <w:rPr>
          <w:rFonts w:ascii="Verdana" w:eastAsia="Times New Roman" w:hAnsi="Verdana" w:cs="Arial"/>
          <w:lang w:eastAsia="es-ES"/>
        </w:rPr>
        <w:lastRenderedPageBreak/>
        <w:t>las dinámicas que afectan los sectores con presencia en el territorio de ejecución, la cadena de abastecimiento y los proveedores que existen en el mercado, incluidos los que tienen su domicilio en el lugar de ejecución. Por lo anterior, es deber de la Entidad Estatal conocer la dinámica del mercado en el cual se desarrollará el proceso de contratación, a fin de evitar una mala planeación del proyecto.</w:t>
      </w:r>
    </w:p>
    <w:p w14:paraId="22A2EA1E" w14:textId="77777777" w:rsidR="00BA6E6F" w:rsidRPr="00B020A0" w:rsidRDefault="00BA6E6F" w:rsidP="00BA6E6F">
      <w:pPr>
        <w:pStyle w:val="Prrafodelista"/>
        <w:rPr>
          <w:rFonts w:ascii="Verdana" w:eastAsia="Times New Roman" w:hAnsi="Verdana" w:cs="Arial"/>
          <w:i/>
          <w:iCs/>
          <w:lang w:eastAsia="es-ES"/>
        </w:rPr>
      </w:pPr>
    </w:p>
    <w:p w14:paraId="5EFC3712"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Ahora bien, luego de que la entidad estatal obtenga una idea general del mercado, aplicando el </w:t>
      </w:r>
      <w:r w:rsidRPr="00DF481F">
        <w:rPr>
          <w:rFonts w:ascii="Verdana" w:eastAsia="Times New Roman" w:hAnsi="Verdana" w:cs="Arial"/>
          <w:i/>
          <w:iCs/>
          <w:lang w:eastAsia="es-ES"/>
        </w:rPr>
        <w:t>Modelo de Abastecimiento Estratégico</w:t>
      </w:r>
      <w:r>
        <w:rPr>
          <w:rFonts w:ascii="Verdana" w:eastAsia="Times New Roman" w:hAnsi="Verdana" w:cs="Arial"/>
          <w:lang w:eastAsia="es-ES"/>
        </w:rPr>
        <w:t xml:space="preserve"> adoptado por esta Agencia, y comprenda el escenario del sector relacionado con el bien, obra o servicio relevantes en el proceso de contratación, tales tareas permitirán que la entidad haga un perfilamiento del mercado a nivel general. Bajo ese contexto, el análisis pasa a enfocarse en los competidores de dicho mercado y quiénes podrían convertirse en proveedores de la entidad estatal. </w:t>
      </w:r>
    </w:p>
    <w:p w14:paraId="0CD993E5" w14:textId="77777777" w:rsidR="00BA6E6F" w:rsidRPr="000C057E" w:rsidRDefault="00BA6E6F" w:rsidP="00BA6E6F">
      <w:pPr>
        <w:pStyle w:val="Prrafodelista"/>
        <w:rPr>
          <w:rFonts w:ascii="Verdana" w:eastAsia="Times New Roman" w:hAnsi="Verdana" w:cs="Arial"/>
          <w:lang w:eastAsia="es-ES"/>
        </w:rPr>
      </w:pPr>
    </w:p>
    <w:p w14:paraId="120B7051"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De todos modos, en la </w:t>
      </w:r>
      <w:r w:rsidRPr="004F4A18">
        <w:rPr>
          <w:rFonts w:ascii="Verdana" w:eastAsia="Times New Roman" w:hAnsi="Verdana" w:cs="Arial"/>
          <w:i/>
          <w:iCs/>
          <w:lang w:eastAsia="es-ES"/>
        </w:rPr>
        <w:t>Guía de Elaboración de Estudios del Sector</w:t>
      </w:r>
      <w:r>
        <w:rPr>
          <w:rFonts w:ascii="Verdana" w:eastAsia="Times New Roman" w:hAnsi="Verdana" w:cs="Arial"/>
          <w:i/>
          <w:iCs/>
          <w:lang w:eastAsia="es-ES"/>
        </w:rPr>
        <w:t xml:space="preserve"> </w:t>
      </w:r>
      <w:r>
        <w:rPr>
          <w:rFonts w:ascii="Verdana" w:eastAsia="Times New Roman" w:hAnsi="Verdana" w:cs="Arial"/>
          <w:lang w:eastAsia="es-ES"/>
        </w:rPr>
        <w:t>se recomienda analizar, entre otros, contextos que puedan tener un alcance local, regional, nacional o internacional, dependiendo del proceso de contratación, tales como el contexto económico, el técnico, el regulatorio, entre otros.</w:t>
      </w:r>
    </w:p>
    <w:p w14:paraId="5BE088C6" w14:textId="77777777" w:rsidR="00BA6E6F" w:rsidRPr="005F65EC" w:rsidRDefault="00BA6E6F" w:rsidP="00BA6E6F">
      <w:pPr>
        <w:pStyle w:val="Prrafodelista"/>
        <w:rPr>
          <w:rFonts w:ascii="Verdana" w:eastAsia="Times New Roman" w:hAnsi="Verdana" w:cs="Arial"/>
          <w:lang w:eastAsia="es-ES"/>
        </w:rPr>
      </w:pPr>
    </w:p>
    <w:p w14:paraId="4FEBFA5B"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En otras palabras, no existe una única manera de estructurar el perfil del mercado, en razón a que cada uno tiene sus propias características y cuenta con variadas fuentes de información. En consecuencia, existen mercados más complejos para su perfilación, en la medida en que puede ocurrir que exista escasez en las fuentes de información, en comparación con otros que son más abiertos al acceso a la información. Lo que sí resulta de vital importancia es que las fuentes que adopten las entidades estatales sean fuentes confiables, de calidad y preferiblemente actualizadas, para que así se logre un panorama real del contexto del mercado.</w:t>
      </w:r>
    </w:p>
    <w:p w14:paraId="2AF05A83" w14:textId="77777777" w:rsidR="00BA6E6F" w:rsidRPr="00980BE9" w:rsidRDefault="00BA6E6F" w:rsidP="00BA6E6F">
      <w:pPr>
        <w:pStyle w:val="Prrafodelista"/>
        <w:rPr>
          <w:rFonts w:ascii="Verdana" w:eastAsia="Times New Roman" w:hAnsi="Verdana" w:cs="Arial"/>
          <w:lang w:eastAsia="es-ES"/>
        </w:rPr>
      </w:pPr>
    </w:p>
    <w:p w14:paraId="61CD2B2E"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Por último, </w:t>
      </w:r>
      <w:bookmarkStart w:id="8" w:name="_Hlk173496590"/>
      <w:r>
        <w:rPr>
          <w:rFonts w:ascii="Verdana" w:eastAsia="Times New Roman" w:hAnsi="Verdana" w:cs="Arial"/>
          <w:lang w:eastAsia="es-ES"/>
        </w:rPr>
        <w:t>frente al problema vii) planteado, es menester señalar que</w:t>
      </w:r>
      <w:r w:rsidRPr="00956103">
        <w:rPr>
          <w:rFonts w:ascii="FAAABF+Verdana" w:hAnsi="FAAABF+Verdana" w:cs="FAAABF+Verdana"/>
          <w:color w:val="000000"/>
        </w:rPr>
        <w:t xml:space="preserve"> </w:t>
      </w:r>
      <w:r>
        <w:rPr>
          <w:rFonts w:ascii="FAAABF+Verdana" w:hAnsi="FAAABF+Verdana" w:cs="FAAABF+Verdana"/>
          <w:color w:val="000000"/>
        </w:rPr>
        <w:t>l</w:t>
      </w:r>
      <w:r w:rsidRPr="00956103">
        <w:rPr>
          <w:rFonts w:ascii="Verdana" w:eastAsia="Times New Roman" w:hAnsi="Verdana" w:cs="Arial"/>
          <w:lang w:eastAsia="es-ES"/>
        </w:rPr>
        <w:t xml:space="preserve">a subsanabilidad es un mecanismo previsto en los procedimientos regulados por el Estatuto de Contratación Estatal de Colombia; regla prevista en los parágrafos 1 al 4 del artículo 5 de la Ley 1150 de 2007, modificado por la Ley 1882 de 2018, en tanto que permite que los proponentes puedan </w:t>
      </w:r>
      <w:r w:rsidRPr="00956103">
        <w:rPr>
          <w:rFonts w:ascii="Verdana" w:eastAsia="Times New Roman" w:hAnsi="Verdana" w:cs="Arial"/>
          <w:lang w:eastAsia="es-ES"/>
        </w:rPr>
        <w:lastRenderedPageBreak/>
        <w:t>enmendar, corregir o modificar los errores en los documentos de la oferta respecto a los requisitos habilitantes.</w:t>
      </w:r>
      <w:bookmarkEnd w:id="8"/>
      <w:r w:rsidRPr="00956103">
        <w:rPr>
          <w:rFonts w:ascii="Verdana" w:eastAsia="Times New Roman" w:hAnsi="Verdana" w:cs="Arial"/>
          <w:lang w:eastAsia="es-ES"/>
        </w:rPr>
        <w:t xml:space="preserve"> </w:t>
      </w:r>
      <w:r>
        <w:rPr>
          <w:rFonts w:ascii="Verdana" w:eastAsia="Times New Roman" w:hAnsi="Verdana" w:cs="Arial"/>
          <w:lang w:eastAsia="es-ES"/>
        </w:rPr>
        <w:t xml:space="preserve"> </w:t>
      </w:r>
    </w:p>
    <w:p w14:paraId="16FE6A84" w14:textId="77777777" w:rsidR="00BA6E6F" w:rsidRPr="00AC6CC3" w:rsidRDefault="00BA6E6F" w:rsidP="00BA6E6F">
      <w:pPr>
        <w:pStyle w:val="Prrafodelista"/>
        <w:rPr>
          <w:rFonts w:ascii="Verdana" w:eastAsia="Times New Roman" w:hAnsi="Verdana" w:cs="Arial"/>
          <w:lang w:val="es-ES_tradnl" w:eastAsia="es-ES"/>
        </w:rPr>
      </w:pPr>
    </w:p>
    <w:p w14:paraId="39490586" w14:textId="77777777" w:rsidR="00BA6E6F" w:rsidRPr="004A4940"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val="es-ES_tradnl" w:eastAsia="es-ES"/>
        </w:rPr>
        <w:t>En línea con lo anterior, e</w:t>
      </w:r>
      <w:r w:rsidRPr="00C306EE">
        <w:rPr>
          <w:rFonts w:ascii="Verdana" w:eastAsia="Times New Roman" w:hAnsi="Verdana" w:cs="Arial"/>
          <w:lang w:val="es-ES_tradnl" w:eastAsia="es-ES"/>
        </w:rPr>
        <w:t>n torno al alcance de la regla de la subsanabilidad, contenida actualmente en el artículo 5 de la Ley 1150 de 2007,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w:t>
      </w:r>
    </w:p>
    <w:p w14:paraId="4165A8AA" w14:textId="77777777" w:rsidR="00BA6E6F" w:rsidRPr="004A4940" w:rsidRDefault="00BA6E6F" w:rsidP="00BA6E6F">
      <w:pPr>
        <w:pStyle w:val="Prrafodelista"/>
        <w:rPr>
          <w:rFonts w:ascii="Verdana" w:eastAsia="Times New Roman" w:hAnsi="Verdana" w:cs="Arial"/>
          <w:lang w:eastAsia="es-ES"/>
        </w:rPr>
      </w:pPr>
    </w:p>
    <w:p w14:paraId="74046A6E"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En ese mismo sentido, el </w:t>
      </w:r>
      <w:r w:rsidRPr="00043096">
        <w:rPr>
          <w:rFonts w:ascii="Verdana" w:eastAsia="Times New Roman" w:hAnsi="Verdana" w:cs="Arial"/>
          <w:i/>
          <w:iCs/>
          <w:lang w:eastAsia="es-ES"/>
        </w:rPr>
        <w:t>Manual Para Determinar y Verificar los Requisitos Habilitantes en los Procesos de Contratación</w:t>
      </w:r>
      <w:r>
        <w:rPr>
          <w:rFonts w:ascii="Verdana" w:eastAsia="Times New Roman" w:hAnsi="Verdana" w:cs="Arial"/>
          <w:i/>
          <w:iCs/>
          <w:lang w:eastAsia="es-ES"/>
        </w:rPr>
        <w:t xml:space="preserve"> </w:t>
      </w:r>
      <w:r>
        <w:rPr>
          <w:rFonts w:ascii="Verdana" w:eastAsia="Times New Roman" w:hAnsi="Verdana" w:cs="Arial"/>
          <w:lang w:eastAsia="es-ES"/>
        </w:rPr>
        <w:t xml:space="preserve">señaló en el numeral 1.5 lo referente a la subsanación de los requisitos habilitantes, reiterando que las entidades estatales deben solicitar a los oferentes subsanar los errores, inconsistencias u omisiones en los documentos presentados para acreditar los requisitos habilitantes. </w:t>
      </w:r>
    </w:p>
    <w:p w14:paraId="6873F4A5" w14:textId="77777777" w:rsidR="00BA6E6F" w:rsidRPr="00051E4A" w:rsidRDefault="00BA6E6F" w:rsidP="00BA6E6F">
      <w:pPr>
        <w:pStyle w:val="Prrafodelista"/>
        <w:rPr>
          <w:rFonts w:ascii="Verdana" w:eastAsia="Times New Roman" w:hAnsi="Verdana" w:cs="Arial"/>
          <w:lang w:eastAsia="es-ES"/>
        </w:rPr>
      </w:pPr>
    </w:p>
    <w:p w14:paraId="437D535B"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Dicho numeral aclara que los proponentes tienen la posibilidad de subsanar aquellos errores, inconsistencias u omisiones hasta el término de traslado del informe de evaluación que corresponda a cada modalidad de selección, donde una de las excepciones son justamente los procesos de mínima cuantía en los cuales la subsanabilidad procede durante el término preclusivo definido por la entidad estatal en la invitación o, en caso de que no se defina, hasta antes de que culmine el traslado del informe de evaluación</w:t>
      </w:r>
      <w:r>
        <w:rPr>
          <w:rStyle w:val="Refdenotaalpie"/>
          <w:rFonts w:ascii="Verdana" w:eastAsia="Times New Roman" w:hAnsi="Verdana" w:cs="Arial"/>
          <w:lang w:eastAsia="es-ES"/>
        </w:rPr>
        <w:footnoteReference w:id="15"/>
      </w:r>
      <w:r>
        <w:rPr>
          <w:rFonts w:ascii="Verdana" w:eastAsia="Times New Roman" w:hAnsi="Verdana" w:cs="Arial"/>
          <w:lang w:eastAsia="es-ES"/>
        </w:rPr>
        <w:t>.</w:t>
      </w:r>
    </w:p>
    <w:p w14:paraId="39F395BD" w14:textId="77777777" w:rsidR="00BA6E6F" w:rsidRPr="00A54C4F" w:rsidRDefault="00BA6E6F" w:rsidP="00BA6E6F">
      <w:pPr>
        <w:pStyle w:val="Prrafodelista"/>
        <w:rPr>
          <w:rFonts w:ascii="Verdana" w:eastAsia="Times New Roman" w:hAnsi="Verdana" w:cs="Arial"/>
          <w:lang w:eastAsia="es-ES"/>
        </w:rPr>
      </w:pPr>
    </w:p>
    <w:p w14:paraId="50C438AB"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De la misma forma, l</w:t>
      </w:r>
      <w:r w:rsidRPr="00A54C4F">
        <w:rPr>
          <w:rFonts w:ascii="Verdana" w:eastAsia="Times New Roman" w:hAnsi="Verdana" w:cs="Arial"/>
          <w:lang w:eastAsia="es-ES"/>
        </w:rPr>
        <w:t xml:space="preserve">a </w:t>
      </w:r>
      <w:r>
        <w:rPr>
          <w:rFonts w:ascii="Verdana" w:eastAsia="Times New Roman" w:hAnsi="Verdana" w:cs="Arial"/>
          <w:lang w:eastAsia="es-ES"/>
        </w:rPr>
        <w:t>e</w:t>
      </w:r>
      <w:r w:rsidRPr="00A54C4F">
        <w:rPr>
          <w:rFonts w:ascii="Verdana" w:eastAsia="Times New Roman" w:hAnsi="Verdana" w:cs="Arial"/>
          <w:lang w:eastAsia="es-ES"/>
        </w:rPr>
        <w:t xml:space="preserve">ntidad </w:t>
      </w:r>
      <w:r>
        <w:rPr>
          <w:rFonts w:ascii="Verdana" w:eastAsia="Times New Roman" w:hAnsi="Verdana" w:cs="Arial"/>
          <w:lang w:eastAsia="es-ES"/>
        </w:rPr>
        <w:t>e</w:t>
      </w:r>
      <w:r w:rsidRPr="00A54C4F">
        <w:rPr>
          <w:rFonts w:ascii="Verdana" w:eastAsia="Times New Roman" w:hAnsi="Verdana" w:cs="Arial"/>
          <w:lang w:eastAsia="es-ES"/>
        </w:rPr>
        <w:t xml:space="preserve">statal </w:t>
      </w:r>
      <w:r>
        <w:rPr>
          <w:rFonts w:ascii="Verdana" w:eastAsia="Times New Roman" w:hAnsi="Verdana" w:cs="Arial"/>
          <w:lang w:eastAsia="es-ES"/>
        </w:rPr>
        <w:t>tiene el deber de</w:t>
      </w:r>
      <w:r w:rsidRPr="00A54C4F">
        <w:rPr>
          <w:rFonts w:ascii="Verdana" w:eastAsia="Times New Roman" w:hAnsi="Verdana" w:cs="Arial"/>
          <w:lang w:eastAsia="es-ES"/>
        </w:rPr>
        <w:t xml:space="preserve"> evaluar las ofertas de los proponentes que </w:t>
      </w:r>
      <w:r>
        <w:rPr>
          <w:rFonts w:ascii="Verdana" w:eastAsia="Times New Roman" w:hAnsi="Verdana" w:cs="Arial"/>
          <w:lang w:eastAsia="es-ES"/>
        </w:rPr>
        <w:t>cumplan con la acreditación de</w:t>
      </w:r>
      <w:r w:rsidRPr="00A54C4F">
        <w:rPr>
          <w:rFonts w:ascii="Verdana" w:eastAsia="Times New Roman" w:hAnsi="Verdana" w:cs="Arial"/>
          <w:lang w:eastAsia="es-ES"/>
        </w:rPr>
        <w:t xml:space="preserve"> los requisitos habilitantes. En consecuencia, se deben rechazar las propuestas de quienes, después de habérseles otorgado la oportunidad para subsanar, no aclaren, completen o corrijan la información requerida para acreditar el cumplimiento de los requisitos habilitantes.</w:t>
      </w:r>
    </w:p>
    <w:p w14:paraId="12BEDD21" w14:textId="77777777" w:rsidR="00BA6E6F" w:rsidRPr="001D3027" w:rsidRDefault="00BA6E6F" w:rsidP="00BA6E6F">
      <w:pPr>
        <w:pStyle w:val="Prrafodelista"/>
        <w:rPr>
          <w:rFonts w:ascii="Verdana" w:eastAsia="Times New Roman" w:hAnsi="Verdana" w:cs="Arial"/>
          <w:lang w:eastAsia="es-ES"/>
        </w:rPr>
      </w:pPr>
    </w:p>
    <w:p w14:paraId="3F35E8C5"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Ahora bien, e</w:t>
      </w:r>
      <w:r w:rsidRPr="001D3027">
        <w:rPr>
          <w:rFonts w:ascii="Verdana" w:eastAsia="Times New Roman" w:hAnsi="Verdana" w:cs="Arial"/>
          <w:lang w:eastAsia="es-ES"/>
        </w:rPr>
        <w:t xml:space="preserve">n el evento en que la entidad estatal no haya </w:t>
      </w:r>
      <w:r>
        <w:rPr>
          <w:rFonts w:ascii="Verdana" w:eastAsia="Times New Roman" w:hAnsi="Verdana" w:cs="Arial"/>
          <w:lang w:eastAsia="es-ES"/>
        </w:rPr>
        <w:t>solicitado</w:t>
      </w:r>
      <w:r w:rsidRPr="001D3027">
        <w:rPr>
          <w:rFonts w:ascii="Verdana" w:eastAsia="Times New Roman" w:hAnsi="Verdana" w:cs="Arial"/>
          <w:lang w:eastAsia="es-ES"/>
        </w:rPr>
        <w:t xml:space="preserve"> en el informe de evaluación la subsanación de algún documento, podrá </w:t>
      </w:r>
      <w:r w:rsidRPr="001D3027">
        <w:rPr>
          <w:rFonts w:ascii="Verdana" w:eastAsia="Times New Roman" w:hAnsi="Verdana" w:cs="Arial"/>
          <w:lang w:eastAsia="es-ES"/>
        </w:rPr>
        <w:lastRenderedPageBreak/>
        <w:t>requerir al proponente para que lo haga otorgando un plazo igual al término del traslado del informe</w:t>
      </w:r>
      <w:r>
        <w:rPr>
          <w:rFonts w:ascii="Verdana" w:eastAsia="Times New Roman" w:hAnsi="Verdana" w:cs="Arial"/>
          <w:lang w:eastAsia="es-ES"/>
        </w:rPr>
        <w:t xml:space="preserve"> </w:t>
      </w:r>
      <w:r w:rsidRPr="007B162B">
        <w:rPr>
          <w:rFonts w:ascii="Verdana" w:eastAsia="Times New Roman" w:hAnsi="Verdana" w:cs="Arial"/>
          <w:lang w:eastAsia="es-ES"/>
        </w:rPr>
        <w:t>de evaluación que corresponda a cada modalidad de selección.</w:t>
      </w:r>
    </w:p>
    <w:p w14:paraId="122FA6BC" w14:textId="77777777" w:rsidR="00BA6E6F" w:rsidRPr="000E56FA" w:rsidRDefault="00BA6E6F" w:rsidP="00BA6E6F">
      <w:pPr>
        <w:pStyle w:val="Prrafodelista"/>
        <w:rPr>
          <w:rFonts w:ascii="Verdana" w:eastAsia="Times New Roman" w:hAnsi="Verdana" w:cs="Arial"/>
          <w:lang w:eastAsia="es-ES"/>
        </w:rPr>
      </w:pPr>
    </w:p>
    <w:p w14:paraId="491C339E"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Aquí es importante señalar que, en ninguna circunstancia los proponentes podrán acreditar hechos ocurridos con posterioridad al cierre del proceso durante el plazo otorgado para subsanar sus ofertas.</w:t>
      </w:r>
    </w:p>
    <w:p w14:paraId="59F50C83" w14:textId="77777777" w:rsidR="00BA6E6F" w:rsidRPr="00114743" w:rsidRDefault="00BA6E6F" w:rsidP="00BA6E6F">
      <w:pPr>
        <w:pStyle w:val="Prrafodelista"/>
        <w:rPr>
          <w:rFonts w:ascii="Verdana" w:eastAsia="Times New Roman" w:hAnsi="Verdana" w:cs="Arial"/>
          <w:lang w:eastAsia="es-ES"/>
        </w:rPr>
      </w:pPr>
    </w:p>
    <w:p w14:paraId="28EDEECF" w14:textId="77777777" w:rsidR="00BA6E6F" w:rsidRPr="00C26E61"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 xml:space="preserve">De otro lado, el </w:t>
      </w:r>
      <w:r w:rsidRPr="00043096">
        <w:rPr>
          <w:rFonts w:ascii="Verdana" w:eastAsia="Times New Roman" w:hAnsi="Verdana" w:cs="Arial"/>
          <w:i/>
          <w:iCs/>
          <w:lang w:eastAsia="es-ES"/>
        </w:rPr>
        <w:t>Manual Para Determinar y Verificar los Requisitos Habilitantes en los Procesos de Contratación</w:t>
      </w:r>
      <w:r>
        <w:rPr>
          <w:rFonts w:ascii="Verdana" w:eastAsia="Times New Roman" w:hAnsi="Verdana" w:cs="Arial"/>
          <w:i/>
          <w:iCs/>
          <w:lang w:eastAsia="es-ES"/>
        </w:rPr>
        <w:t xml:space="preserve"> </w:t>
      </w:r>
      <w:r w:rsidRPr="00996C85">
        <w:rPr>
          <w:rFonts w:ascii="Verdana" w:eastAsia="Times New Roman" w:hAnsi="Verdana" w:cs="Arial"/>
          <w:lang w:eastAsia="es-ES"/>
        </w:rPr>
        <w:t>sugiere que,</w:t>
      </w:r>
      <w:r>
        <w:rPr>
          <w:rFonts w:ascii="Verdana" w:eastAsia="Times New Roman" w:hAnsi="Verdana" w:cs="Arial"/>
          <w:lang w:eastAsia="es-ES"/>
        </w:rPr>
        <w:t xml:space="preserve"> para determinar si un requisito es o no subsanable, la entidad se formule las siguientes preguntas: </w:t>
      </w:r>
      <w:r w:rsidRPr="00C26E61">
        <w:rPr>
          <w:rFonts w:ascii="Verdana" w:eastAsia="Times New Roman" w:hAnsi="Verdana" w:cs="Arial"/>
          <w:i/>
          <w:iCs/>
          <w:lang w:eastAsia="es-ES"/>
        </w:rPr>
        <w:t>i) ¿El requisito, circunstancia o condición objeto de subsanación otorga puntaje? ii) ¿El requisito, circunstancia o condición que se busca subsanar es necesario para la comparación de las propuestas? iii) ¿Lo que se busca subsanar implica la acreditación de un hecho o condición ocurridos con posterioridad a la fecha de cierre del proceso de selección? Si la respuesta a cualquiera de estas preguntas es afirmativa, la conclusión necesariamente será que no es posible la subsanación.</w:t>
      </w:r>
      <w:r w:rsidRPr="006B541C">
        <w:rPr>
          <w:rFonts w:ascii="Verdana" w:eastAsia="Times New Roman" w:hAnsi="Verdana" w:cs="Arial"/>
          <w:lang w:eastAsia="es-ES"/>
        </w:rPr>
        <w:t xml:space="preserve"> </w:t>
      </w:r>
    </w:p>
    <w:p w14:paraId="4AEF4048" w14:textId="77777777" w:rsidR="00BA6E6F" w:rsidRPr="00C26E61" w:rsidRDefault="00BA6E6F" w:rsidP="00BA6E6F">
      <w:pPr>
        <w:pStyle w:val="Prrafodelista"/>
        <w:rPr>
          <w:rFonts w:ascii="Verdana" w:eastAsia="Times New Roman" w:hAnsi="Verdana" w:cs="Arial"/>
          <w:lang w:eastAsia="es-ES"/>
        </w:rPr>
      </w:pPr>
    </w:p>
    <w:p w14:paraId="5781F620"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Por cuanto es dable señalar que</w:t>
      </w:r>
      <w:r w:rsidRPr="00BA6F1A">
        <w:rPr>
          <w:rFonts w:ascii="Verdana" w:eastAsia="Times New Roman" w:hAnsi="Verdana" w:cs="Arial"/>
          <w:lang w:eastAsia="es-ES"/>
        </w:rPr>
        <w:t xml:space="preserve"> la subsanación de las propuestas se distancia de la aclaración o explicación, en razón a que estas no suponen adicionar la oferta o agregarle requisitos faltantes luego de presentada. Más bien estas acciones están orientadas a hacer más comprensibles aspectos que no resultaron claros para la entidad en la acreditación que se pretendió realizar</w:t>
      </w:r>
      <w:r>
        <w:rPr>
          <w:rStyle w:val="Refdenotaalpie"/>
          <w:rFonts w:ascii="Verdana" w:eastAsia="Times New Roman" w:hAnsi="Verdana" w:cs="Arial"/>
          <w:lang w:eastAsia="es-ES"/>
        </w:rPr>
        <w:footnoteReference w:id="16"/>
      </w:r>
      <w:r w:rsidRPr="00BA6F1A">
        <w:rPr>
          <w:rFonts w:ascii="Verdana" w:eastAsia="Times New Roman" w:hAnsi="Verdana" w:cs="Arial"/>
          <w:lang w:eastAsia="es-ES"/>
        </w:rPr>
        <w:t xml:space="preserve">. </w:t>
      </w:r>
    </w:p>
    <w:p w14:paraId="2FCC2003" w14:textId="77777777" w:rsidR="00BA6E6F" w:rsidRPr="000D700D" w:rsidRDefault="00BA6E6F" w:rsidP="00BA6E6F">
      <w:pPr>
        <w:pStyle w:val="Prrafodelista"/>
        <w:rPr>
          <w:rFonts w:ascii="Verdana" w:eastAsia="Times New Roman" w:hAnsi="Verdana" w:cs="Arial"/>
          <w:lang w:eastAsia="es-ES"/>
        </w:rPr>
      </w:pPr>
    </w:p>
    <w:p w14:paraId="44F4ECA1"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sidRPr="00BA6F1A">
        <w:rPr>
          <w:rFonts w:ascii="Verdana" w:eastAsia="Times New Roman" w:hAnsi="Verdana" w:cs="Arial"/>
          <w:lang w:eastAsia="es-ES"/>
        </w:rPr>
        <w:t>Dicho esto, si la entidad estatal se percata de aspectos que generen dudas, inconsistencias o ausencias, están facultadas para solicitar la respectiva aclaración. Dependiendo de la respuesta de los proponentes requeridos, es necesario que la entidad valore si se trata efectivamente de una aclaración o, por el contrario, de una subsanación que afecta la asignación de puntaje e incida en la comparación de las ofertas o tratarse de una situación ocurrida con posterioridad al cierre.</w:t>
      </w:r>
    </w:p>
    <w:p w14:paraId="0326B8A7" w14:textId="77777777" w:rsidR="00BA6E6F" w:rsidRPr="000A4967" w:rsidRDefault="00BA6E6F" w:rsidP="00BA6E6F">
      <w:pPr>
        <w:pStyle w:val="Prrafodelista"/>
        <w:rPr>
          <w:rFonts w:ascii="Verdana" w:eastAsia="Times New Roman" w:hAnsi="Verdana" w:cs="Arial"/>
          <w:lang w:eastAsia="es-ES"/>
        </w:rPr>
      </w:pPr>
    </w:p>
    <w:p w14:paraId="7F86A22D" w14:textId="77777777" w:rsidR="00BA6E6F" w:rsidRDefault="00BA6E6F" w:rsidP="00BA6E6F">
      <w:pPr>
        <w:pStyle w:val="Prrafodelista"/>
        <w:numPr>
          <w:ilvl w:val="0"/>
          <w:numId w:val="2"/>
        </w:numPr>
        <w:spacing w:line="276" w:lineRule="auto"/>
        <w:jc w:val="both"/>
        <w:rPr>
          <w:rFonts w:ascii="Verdana" w:eastAsia="Calibri" w:hAnsi="Verdana" w:cs="Arial"/>
          <w:color w:val="000000" w:themeColor="text1"/>
        </w:rPr>
      </w:pPr>
      <w:r w:rsidRPr="000A4967">
        <w:rPr>
          <w:rFonts w:ascii="Verdana" w:eastAsia="Calibri" w:hAnsi="Verdana" w:cs="Arial"/>
          <w:color w:val="000000" w:themeColor="text1"/>
        </w:rPr>
        <w:lastRenderedPageBreak/>
        <w:t>En esa medida, la entidad, al revisar la oferta de menor precio, debe constatar que cumpla las condiciones mínimas de la invitación. Si no es así, solicitará al proponente, mínimo por el término de un (1) día hábil, de conformidad con el artículo 2.2.1.2.1.5.2. del Decreto 1082 de 2015, para que el proponente aclare, explique o aporte los documentos e información subsanable. Ahora, si la Entidad no fija un plazo específico, se entenderá que es de un (1) día hábil dicho término. No obstante, los proponentes no podrán completar, adicionar, modificar o mejorar la oferta económica, la cual solo puede ser objeto de aclaraciones y explicaciones.</w:t>
      </w:r>
    </w:p>
    <w:p w14:paraId="6B088B70" w14:textId="77777777" w:rsidR="00BA6E6F" w:rsidRPr="00763A59" w:rsidRDefault="00BA6E6F" w:rsidP="00BA6E6F">
      <w:pPr>
        <w:pStyle w:val="Prrafodelista"/>
        <w:rPr>
          <w:rFonts w:ascii="Verdana" w:eastAsia="Calibri" w:hAnsi="Verdana" w:cs="Arial"/>
          <w:color w:val="000000" w:themeColor="text1"/>
        </w:rPr>
      </w:pPr>
    </w:p>
    <w:p w14:paraId="41DA389B" w14:textId="77777777" w:rsidR="00BA6E6F" w:rsidRPr="000A4967" w:rsidRDefault="00BA6E6F" w:rsidP="00BA6E6F">
      <w:pPr>
        <w:pStyle w:val="Prrafodelista"/>
        <w:numPr>
          <w:ilvl w:val="0"/>
          <w:numId w:val="2"/>
        </w:numPr>
        <w:spacing w:line="276" w:lineRule="auto"/>
        <w:jc w:val="both"/>
        <w:rPr>
          <w:rFonts w:ascii="Verdana" w:eastAsia="Calibri" w:hAnsi="Verdana" w:cs="Arial"/>
          <w:color w:val="000000" w:themeColor="text1"/>
        </w:rPr>
      </w:pPr>
      <w:r w:rsidRPr="000A4967">
        <w:rPr>
          <w:rFonts w:ascii="Verdana" w:eastAsia="Calibri" w:hAnsi="Verdana" w:cs="Arial"/>
          <w:color w:val="000000" w:themeColor="text1"/>
        </w:rPr>
        <w:t xml:space="preserve"> Debe tenerse en cuenta que los proponentes deben aportar las aclaraciones o documentos requeridos hasta el plazo indicado, so pena que la entidad rechace la propuesta y revise la segunda oferta que ofrezca el menor precio y verifique que cumple los requisitos de la invitación.</w:t>
      </w:r>
      <w:r w:rsidRPr="000A4967" w:rsidDel="00857BFF">
        <w:rPr>
          <w:rFonts w:ascii="Verdana" w:eastAsia="Calibri" w:hAnsi="Verdana" w:cs="Arial"/>
          <w:color w:val="000000" w:themeColor="text1"/>
        </w:rPr>
        <w:t xml:space="preserve"> </w:t>
      </w:r>
    </w:p>
    <w:p w14:paraId="6BBA61F4" w14:textId="77777777" w:rsidR="00BA6E6F" w:rsidRPr="000A4967" w:rsidRDefault="00BA6E6F" w:rsidP="00BA6E6F">
      <w:pPr>
        <w:pStyle w:val="Prrafodelista"/>
        <w:spacing w:line="276" w:lineRule="auto"/>
        <w:jc w:val="both"/>
        <w:rPr>
          <w:rFonts w:ascii="Verdana" w:eastAsia="Calibri" w:hAnsi="Verdana" w:cs="Arial"/>
          <w:color w:val="000000" w:themeColor="text1"/>
        </w:rPr>
      </w:pPr>
    </w:p>
    <w:p w14:paraId="684CD110" w14:textId="77777777" w:rsidR="00BA6E6F" w:rsidRDefault="00BA6E6F" w:rsidP="00BA6E6F">
      <w:pPr>
        <w:pStyle w:val="Prrafodelista"/>
        <w:numPr>
          <w:ilvl w:val="0"/>
          <w:numId w:val="2"/>
        </w:numPr>
        <w:spacing w:line="276" w:lineRule="auto"/>
        <w:jc w:val="both"/>
        <w:rPr>
          <w:rFonts w:ascii="Verdana" w:eastAsia="Calibri" w:hAnsi="Verdana" w:cs="Arial"/>
          <w:color w:val="000000" w:themeColor="text1"/>
        </w:rPr>
      </w:pPr>
      <w:r w:rsidRPr="000A4967">
        <w:rPr>
          <w:rFonts w:ascii="Verdana" w:eastAsia="Calibri" w:hAnsi="Verdana" w:cs="Arial"/>
          <w:color w:val="000000" w:themeColor="text1"/>
        </w:rPr>
        <w:t>Es importante aclarar que, en caso de que la entidad advierta la ausencia de requisitos o la falta de documentos referentes a la futura contratación o al proponente, y no los haya exigido durante el proceso de evaluación, podrá requerirlo, otorgándole un término mínimo de un (1) día hábil contado desde el momento en el que advirtió su omisión, con el fin de que los aporte; que también, en caso de que la entidad hubiere fijado un plazo específico, se entenderá que es de un (1) día hábil.</w:t>
      </w:r>
    </w:p>
    <w:p w14:paraId="65FD43BA" w14:textId="77777777" w:rsidR="00BA6E6F" w:rsidRPr="00022F94" w:rsidRDefault="00BA6E6F" w:rsidP="00BA6E6F">
      <w:pPr>
        <w:pStyle w:val="Prrafodelista"/>
        <w:rPr>
          <w:rFonts w:ascii="Verdana" w:eastAsia="Calibri" w:hAnsi="Verdana" w:cs="Arial"/>
          <w:color w:val="000000" w:themeColor="text1"/>
        </w:rPr>
      </w:pPr>
    </w:p>
    <w:p w14:paraId="401C2C82" w14:textId="77777777" w:rsidR="00BA6E6F" w:rsidRDefault="00BA6E6F" w:rsidP="00BA6E6F">
      <w:pPr>
        <w:pStyle w:val="Prrafodelista"/>
        <w:numPr>
          <w:ilvl w:val="0"/>
          <w:numId w:val="2"/>
        </w:numPr>
        <w:spacing w:after="0" w:line="276" w:lineRule="auto"/>
        <w:ind w:left="714" w:hanging="357"/>
        <w:jc w:val="both"/>
        <w:rPr>
          <w:rFonts w:ascii="Verdana" w:eastAsia="Times New Roman" w:hAnsi="Verdana" w:cs="Arial"/>
          <w:lang w:eastAsia="es-ES"/>
        </w:rPr>
      </w:pPr>
      <w:r>
        <w:rPr>
          <w:rFonts w:ascii="Verdana" w:eastAsia="Times New Roman" w:hAnsi="Verdana" w:cs="Arial"/>
          <w:lang w:eastAsia="es-ES"/>
        </w:rPr>
        <w:t>De cara a responder al interrogante formulado, y en consideración a las consideraciones expuestas, no es dable que las entidades estatales,</w:t>
      </w:r>
      <w:r w:rsidRPr="001A0264">
        <w:rPr>
          <w:rFonts w:ascii="Verdana" w:eastAsia="Times New Roman" w:hAnsi="Verdana" w:cs="Arial"/>
          <w:lang w:eastAsia="es-ES"/>
        </w:rPr>
        <w:t xml:space="preserve"> </w:t>
      </w:r>
      <w:r>
        <w:rPr>
          <w:rFonts w:ascii="Verdana" w:eastAsia="Times New Roman" w:hAnsi="Verdana" w:cs="Arial"/>
          <w:lang w:eastAsia="es-ES"/>
        </w:rPr>
        <w:t xml:space="preserve">ni mucho menos que, a través de la competencia consultiva de esta Agencia, se señale en la invitación de los procesos de selección de mínima cuantía, ni en la respuesta a la pregunta planteada, los documentos o el tipo de información subsanable, comoquiera que debe analizarse en cada caso concreto si es procedente o no la subsanación. </w:t>
      </w:r>
    </w:p>
    <w:p w14:paraId="13E44D52" w14:textId="77777777" w:rsidR="00BA6E6F" w:rsidRPr="00CB73AC" w:rsidRDefault="00BA6E6F" w:rsidP="00BA6E6F">
      <w:pPr>
        <w:spacing w:after="0" w:line="276" w:lineRule="auto"/>
        <w:ind w:right="709"/>
        <w:jc w:val="both"/>
        <w:rPr>
          <w:rFonts w:ascii="Verdana" w:eastAsia="Times New Roman" w:hAnsi="Verdana" w:cs="Arial"/>
          <w:sz w:val="21"/>
          <w:szCs w:val="21"/>
          <w:lang w:val="es-MX" w:eastAsia="es-ES"/>
        </w:rPr>
      </w:pPr>
    </w:p>
    <w:p w14:paraId="38771151" w14:textId="77777777" w:rsidR="00BA6E6F" w:rsidRPr="00593A5F" w:rsidRDefault="00BA6E6F" w:rsidP="00BA6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AE011B0" w14:textId="77777777" w:rsidR="00BA6E6F" w:rsidRPr="00593A5F" w:rsidRDefault="00BA6E6F" w:rsidP="00BA6E6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A6E6F" w:rsidRPr="00593A5F" w14:paraId="1709F29A" w14:textId="77777777" w:rsidTr="00801FC1">
        <w:trPr>
          <w:trHeight w:val="870"/>
        </w:trPr>
        <w:tc>
          <w:tcPr>
            <w:tcW w:w="8647" w:type="dxa"/>
          </w:tcPr>
          <w:p w14:paraId="11136ECC" w14:textId="77777777" w:rsidR="00BA6E6F" w:rsidRPr="003658D2" w:rsidRDefault="00BA6E6F" w:rsidP="00BA6E6F">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3658D2">
              <w:rPr>
                <w:rFonts w:ascii="Verdana" w:hAnsi="Verdana" w:cs="Arial"/>
                <w:color w:val="000000" w:themeColor="text1"/>
              </w:rPr>
              <w:t>Constitución Política artículo 29</w:t>
            </w:r>
          </w:p>
          <w:p w14:paraId="318E4421" w14:textId="77777777" w:rsidR="00BA6E6F" w:rsidRPr="003658D2" w:rsidRDefault="00BA6E6F" w:rsidP="00BA6E6F">
            <w:pPr>
              <w:pStyle w:val="Prrafodelista"/>
              <w:widowControl w:val="0"/>
              <w:numPr>
                <w:ilvl w:val="0"/>
                <w:numId w:val="3"/>
              </w:numPr>
              <w:tabs>
                <w:tab w:val="left" w:pos="8419"/>
              </w:tabs>
              <w:autoSpaceDE w:val="0"/>
              <w:autoSpaceDN w:val="0"/>
              <w:spacing w:after="120" w:line="276" w:lineRule="auto"/>
              <w:contextualSpacing w:val="0"/>
              <w:jc w:val="both"/>
              <w:rPr>
                <w:rFonts w:ascii="Verdana" w:hAnsi="Verdana" w:cs="Arial"/>
                <w:color w:val="000000" w:themeColor="text1"/>
              </w:rPr>
            </w:pPr>
            <w:r w:rsidRPr="003658D2">
              <w:rPr>
                <w:rFonts w:ascii="Verdana" w:hAnsi="Verdana" w:cs="Arial"/>
                <w:color w:val="000000" w:themeColor="text1"/>
              </w:rPr>
              <w:t>Ley 80 de 1993 artículo 77</w:t>
            </w:r>
          </w:p>
          <w:p w14:paraId="39D86C6C" w14:textId="77777777" w:rsidR="00BA6E6F" w:rsidRPr="003658D2" w:rsidRDefault="00BA6E6F" w:rsidP="00BA6E6F">
            <w:pPr>
              <w:pStyle w:val="Prrafodelista"/>
              <w:widowControl w:val="0"/>
              <w:numPr>
                <w:ilvl w:val="0"/>
                <w:numId w:val="3"/>
              </w:numPr>
              <w:tabs>
                <w:tab w:val="left" w:pos="8419"/>
              </w:tabs>
              <w:autoSpaceDE w:val="0"/>
              <w:autoSpaceDN w:val="0"/>
              <w:spacing w:after="120" w:line="276" w:lineRule="auto"/>
              <w:contextualSpacing w:val="0"/>
              <w:jc w:val="both"/>
              <w:rPr>
                <w:rFonts w:ascii="Verdana" w:hAnsi="Verdana" w:cs="Arial"/>
                <w:color w:val="000000" w:themeColor="text1"/>
              </w:rPr>
            </w:pPr>
            <w:r w:rsidRPr="003658D2">
              <w:rPr>
                <w:rFonts w:ascii="Verdana" w:hAnsi="Verdana" w:cs="Arial"/>
                <w:color w:val="000000" w:themeColor="text1"/>
              </w:rPr>
              <w:t xml:space="preserve">Circular Externa Única del 27 de diciembre de 2023. Disponible en: </w:t>
            </w:r>
            <w:hyperlink r:id="rId12" w:history="1">
              <w:r w:rsidRPr="008F55CF">
                <w:rPr>
                  <w:rStyle w:val="Hipervnculo"/>
                  <w:rFonts w:ascii="Verdana" w:hAnsi="Verdana" w:cs="Arial"/>
                </w:rPr>
                <w:t>https://www.colombiacompra.gov.co/sites/cce_public/files/cce_circul</w:t>
              </w:r>
              <w:r w:rsidRPr="008F55CF">
                <w:rPr>
                  <w:rStyle w:val="Hipervnculo"/>
                  <w:rFonts w:ascii="Verdana" w:hAnsi="Verdana" w:cs="Arial"/>
                </w:rPr>
                <w:lastRenderedPageBreak/>
                <w:t>ares/circular_externa_unica_version_3_vf49.pdf</w:t>
              </w:r>
            </w:hyperlink>
            <w:r>
              <w:rPr>
                <w:rStyle w:val="Hipervnculo"/>
                <w:rFonts w:ascii="Verdana" w:hAnsi="Verdana" w:cs="Arial"/>
                <w:color w:val="000000" w:themeColor="text1"/>
              </w:rPr>
              <w:t xml:space="preserve">  </w:t>
            </w:r>
            <w:r w:rsidRPr="003658D2">
              <w:rPr>
                <w:rFonts w:ascii="Verdana" w:hAnsi="Verdana" w:cs="Arial"/>
                <w:color w:val="000000" w:themeColor="text1"/>
              </w:rPr>
              <w:t xml:space="preserve"> </w:t>
            </w:r>
          </w:p>
          <w:p w14:paraId="3EC43B2F"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3658D2">
              <w:rPr>
                <w:rFonts w:ascii="Verdana" w:eastAsia="Calibri" w:hAnsi="Verdana" w:cs="Arial"/>
                <w:color w:val="000000" w:themeColor="text1"/>
              </w:rPr>
              <w:t>Ley 1150 de 2007 parágrafo 1 del artículo 12</w:t>
            </w:r>
            <w:r>
              <w:rPr>
                <w:rFonts w:ascii="Verdana" w:eastAsia="Calibri" w:hAnsi="Verdana" w:cs="Arial"/>
                <w:color w:val="000000" w:themeColor="text1"/>
              </w:rPr>
              <w:t xml:space="preserve">; </w:t>
            </w:r>
            <w:r w:rsidRPr="003658D2">
              <w:rPr>
                <w:rFonts w:ascii="Verdana" w:eastAsia="Calibri" w:hAnsi="Verdana" w:cs="Arial"/>
                <w:color w:val="000000" w:themeColor="text1"/>
              </w:rPr>
              <w:t xml:space="preserve">artículo 5 </w:t>
            </w:r>
            <w:r w:rsidRPr="003658D2">
              <w:rPr>
                <w:rFonts w:ascii="Verdana" w:eastAsia="Times New Roman" w:hAnsi="Verdana" w:cs="Arial"/>
                <w:color w:val="000000" w:themeColor="text1"/>
                <w:lang w:eastAsia="es-ES"/>
              </w:rPr>
              <w:t xml:space="preserve">literal a) y b) </w:t>
            </w:r>
            <w:r>
              <w:rPr>
                <w:rFonts w:ascii="Verdana" w:eastAsia="Times New Roman" w:hAnsi="Verdana" w:cs="Arial"/>
                <w:color w:val="000000" w:themeColor="text1"/>
                <w:lang w:eastAsia="es-ES"/>
              </w:rPr>
              <w:t xml:space="preserve">artículos </w:t>
            </w:r>
            <w:r w:rsidRPr="003658D2">
              <w:rPr>
                <w:rFonts w:ascii="Verdana" w:eastAsia="Times New Roman" w:hAnsi="Verdana" w:cs="Arial"/>
                <w:color w:val="000000" w:themeColor="text1"/>
                <w:lang w:eastAsia="es-ES"/>
              </w:rPr>
              <w:t>5.3</w:t>
            </w:r>
            <w:r>
              <w:rPr>
                <w:rFonts w:ascii="Verdana" w:eastAsia="Times New Roman" w:hAnsi="Verdana" w:cs="Arial"/>
                <w:color w:val="000000" w:themeColor="text1"/>
                <w:lang w:eastAsia="es-ES"/>
              </w:rPr>
              <w:t>;</w:t>
            </w:r>
            <w:r w:rsidRPr="003658D2">
              <w:rPr>
                <w:rFonts w:ascii="Verdana" w:eastAsia="Times New Roman" w:hAnsi="Verdana" w:cs="Arial"/>
                <w:color w:val="000000" w:themeColor="text1"/>
                <w:lang w:eastAsia="es-ES"/>
              </w:rPr>
              <w:t xml:space="preserve"> 2.5; </w:t>
            </w:r>
            <w:r w:rsidRPr="003658D2">
              <w:rPr>
                <w:rFonts w:ascii="Verdana" w:eastAsia="Times New Roman" w:hAnsi="Verdana" w:cs="Arial"/>
                <w:color w:val="000000" w:themeColor="text1"/>
                <w:lang w:eastAsia="es-ES" w:bidi="es-ES"/>
              </w:rPr>
              <w:t xml:space="preserve">artículo 6 - </w:t>
            </w:r>
            <w:r w:rsidRPr="003658D2">
              <w:rPr>
                <w:rFonts w:ascii="Verdana" w:hAnsi="Verdana" w:cs="Arial"/>
                <w:color w:val="000000" w:themeColor="text1"/>
              </w:rPr>
              <w:t xml:space="preserve">numeral 2° </w:t>
            </w:r>
            <w:r>
              <w:rPr>
                <w:rFonts w:ascii="Verdana" w:hAnsi="Verdana" w:cs="Arial"/>
                <w:color w:val="000000" w:themeColor="text1"/>
              </w:rPr>
              <w:t xml:space="preserve">y </w:t>
            </w:r>
            <w:r w:rsidRPr="003658D2">
              <w:rPr>
                <w:rFonts w:ascii="Verdana" w:hAnsi="Verdana" w:cs="Arial"/>
                <w:color w:val="000000" w:themeColor="text1"/>
              </w:rPr>
              <w:t>artículo 2</w:t>
            </w:r>
          </w:p>
          <w:p w14:paraId="091F4CA6"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800185">
              <w:rPr>
                <w:rFonts w:ascii="Verdana" w:hAnsi="Verdana" w:cs="Arial"/>
                <w:color w:val="000000" w:themeColor="text1"/>
              </w:rPr>
              <w:t>Decreto 1082 de 2015 artículo</w:t>
            </w:r>
            <w:r>
              <w:rPr>
                <w:rFonts w:ascii="Verdana" w:hAnsi="Verdana" w:cs="Arial"/>
                <w:color w:val="000000" w:themeColor="text1"/>
              </w:rPr>
              <w:t>s</w:t>
            </w:r>
            <w:r w:rsidRPr="00800185">
              <w:rPr>
                <w:rFonts w:ascii="Verdana" w:hAnsi="Verdana" w:cs="Arial"/>
                <w:color w:val="000000" w:themeColor="text1"/>
              </w:rPr>
              <w:t xml:space="preserve"> 2.2.1.2.4.2.2 numerales 1 y 2</w:t>
            </w:r>
            <w:r>
              <w:rPr>
                <w:rFonts w:ascii="Verdana" w:hAnsi="Verdana" w:cs="Arial"/>
                <w:color w:val="000000" w:themeColor="text1"/>
              </w:rPr>
              <w:t>;</w:t>
            </w:r>
            <w:r w:rsidRPr="00800185">
              <w:rPr>
                <w:rFonts w:ascii="Verdana" w:hAnsi="Verdana" w:cs="Arial"/>
                <w:color w:val="000000" w:themeColor="text1"/>
              </w:rPr>
              <w:t xml:space="preserve"> 2.2.1.2.4.2.3</w:t>
            </w:r>
            <w:r>
              <w:rPr>
                <w:rFonts w:ascii="Verdana" w:hAnsi="Verdana" w:cs="Arial"/>
                <w:color w:val="000000" w:themeColor="text1"/>
              </w:rPr>
              <w:t xml:space="preserve">; </w:t>
            </w:r>
            <w:r w:rsidRPr="00800185">
              <w:rPr>
                <w:rFonts w:ascii="Verdana" w:hAnsi="Verdana" w:cs="Arial"/>
                <w:color w:val="000000" w:themeColor="text1"/>
              </w:rPr>
              <w:t>2.2.1.1.1.6.2.</w:t>
            </w:r>
            <w:r>
              <w:rPr>
                <w:rFonts w:ascii="Verdana" w:hAnsi="Verdana" w:cs="Arial"/>
                <w:color w:val="000000" w:themeColor="text1"/>
              </w:rPr>
              <w:t>;</w:t>
            </w:r>
            <w:r w:rsidRPr="00800185">
              <w:rPr>
                <w:rFonts w:ascii="Verdana" w:hAnsi="Verdana" w:cs="Arial"/>
                <w:color w:val="000000" w:themeColor="text1"/>
              </w:rPr>
              <w:t xml:space="preserve"> 2.2.1.1.1.3.1</w:t>
            </w:r>
            <w:r>
              <w:rPr>
                <w:rFonts w:ascii="Verdana" w:hAnsi="Verdana" w:cs="Arial"/>
                <w:color w:val="000000" w:themeColor="text1"/>
              </w:rPr>
              <w:t>;</w:t>
            </w:r>
            <w:r w:rsidRPr="00800185">
              <w:rPr>
                <w:rFonts w:ascii="Verdana" w:hAnsi="Verdana" w:cs="Arial"/>
                <w:color w:val="000000" w:themeColor="text1"/>
              </w:rPr>
              <w:t xml:space="preserve"> 2.2.1.1.1.4.1</w:t>
            </w:r>
            <w:r>
              <w:rPr>
                <w:rFonts w:ascii="Verdana" w:hAnsi="Verdana" w:cs="Arial"/>
                <w:color w:val="000000" w:themeColor="text1"/>
              </w:rPr>
              <w:t>;</w:t>
            </w:r>
            <w:r w:rsidRPr="00800185">
              <w:rPr>
                <w:rFonts w:ascii="Verdana" w:hAnsi="Verdana" w:cs="Arial"/>
                <w:color w:val="000000" w:themeColor="text1"/>
              </w:rPr>
              <w:t xml:space="preserve"> 2.2.1.1.1.5.2.</w:t>
            </w:r>
            <w:r>
              <w:rPr>
                <w:rFonts w:ascii="Verdana" w:hAnsi="Verdana" w:cs="Arial"/>
                <w:color w:val="000000" w:themeColor="text1"/>
              </w:rPr>
              <w:t>;</w:t>
            </w:r>
            <w:r w:rsidRPr="00800185">
              <w:rPr>
                <w:rFonts w:ascii="Verdana" w:hAnsi="Verdana" w:cs="Arial"/>
                <w:color w:val="000000" w:themeColor="text1"/>
              </w:rPr>
              <w:t xml:space="preserve"> 2.2.1.1.1.5.3.</w:t>
            </w:r>
          </w:p>
          <w:p w14:paraId="10CC363A"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C720AB">
              <w:rPr>
                <w:rFonts w:ascii="Verdana" w:hAnsi="Verdana" w:cs="Arial"/>
                <w:color w:val="000000" w:themeColor="text1"/>
              </w:rPr>
              <w:t>Ley 1437 de 2011 artículo 44</w:t>
            </w:r>
          </w:p>
          <w:p w14:paraId="05491236"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CB2049">
              <w:rPr>
                <w:rFonts w:ascii="Verdana" w:hAnsi="Verdana" w:cs="Arial"/>
                <w:color w:val="000000" w:themeColor="text1"/>
              </w:rPr>
              <w:t>Ley 1882 de 2018 artículo 5</w:t>
            </w:r>
          </w:p>
          <w:p w14:paraId="5F4C4B80"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CF17FA">
              <w:rPr>
                <w:rFonts w:ascii="Verdana" w:hAnsi="Verdana" w:cs="Arial"/>
                <w:color w:val="000000" w:themeColor="text1"/>
              </w:rPr>
              <w:t>Ley 2069 de 2020 parágrafo 1 del artículo 34</w:t>
            </w:r>
          </w:p>
          <w:p w14:paraId="0CF95BF3"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830D96">
              <w:rPr>
                <w:rFonts w:ascii="Verdana" w:hAnsi="Verdana" w:cs="Arial"/>
                <w:color w:val="000000" w:themeColor="text1"/>
              </w:rPr>
              <w:t>Decreto 1860 de 2021 artículo 5</w:t>
            </w:r>
          </w:p>
          <w:p w14:paraId="554922B6"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F44534">
              <w:rPr>
                <w:rFonts w:ascii="Verdana" w:hAnsi="Verdana" w:cs="Arial"/>
                <w:color w:val="000000" w:themeColor="text1"/>
              </w:rPr>
              <w:t>Guía de Elaboración de Estudios del Sector</w:t>
            </w:r>
            <w:r>
              <w:rPr>
                <w:rFonts w:ascii="Verdana" w:hAnsi="Verdana" w:cs="Arial"/>
                <w:color w:val="000000" w:themeColor="text1"/>
              </w:rPr>
              <w:t>:</w:t>
            </w:r>
          </w:p>
          <w:p w14:paraId="71C58B1D" w14:textId="77777777" w:rsidR="00BA6E6F" w:rsidRPr="003658D2" w:rsidRDefault="00000000" w:rsidP="00801FC1">
            <w:pPr>
              <w:pStyle w:val="Prrafodelista"/>
              <w:widowControl w:val="0"/>
              <w:autoSpaceDE w:val="0"/>
              <w:autoSpaceDN w:val="0"/>
              <w:spacing w:after="120" w:line="276" w:lineRule="auto"/>
              <w:contextualSpacing w:val="0"/>
              <w:jc w:val="both"/>
              <w:rPr>
                <w:rFonts w:ascii="Verdana" w:hAnsi="Verdana" w:cs="Arial"/>
                <w:color w:val="000000" w:themeColor="text1"/>
              </w:rPr>
            </w:pPr>
            <w:hyperlink r:id="rId13" w:history="1">
              <w:r w:rsidR="00BA6E6F" w:rsidRPr="008F55CF">
                <w:rPr>
                  <w:rStyle w:val="Hipervnculo"/>
                  <w:rFonts w:ascii="Verdana" w:hAnsi="Verdana" w:cs="Arial"/>
                </w:rPr>
                <w:t>https://www.colombiacompra.gov.co/sites/cce_public/files/cce_documentos/cce-eicp-gi-18._gees_v.2_2.pdf</w:t>
              </w:r>
            </w:hyperlink>
            <w:r w:rsidR="00BA6E6F">
              <w:rPr>
                <w:rFonts w:ascii="Verdana" w:hAnsi="Verdana" w:cs="Arial"/>
                <w:color w:val="000000" w:themeColor="text1"/>
              </w:rPr>
              <w:t xml:space="preserve"> </w:t>
            </w:r>
          </w:p>
          <w:p w14:paraId="4276C00F"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EF69B7">
              <w:rPr>
                <w:rFonts w:ascii="Verdana" w:hAnsi="Verdana" w:cs="Arial"/>
              </w:rPr>
              <w:t>Modelo de Abastecimiento Estratégico</w:t>
            </w:r>
            <w:r>
              <w:rPr>
                <w:rFonts w:ascii="Verdana" w:hAnsi="Verdana" w:cs="Arial"/>
              </w:rPr>
              <w:t>:</w:t>
            </w:r>
          </w:p>
          <w:p w14:paraId="60B2E846" w14:textId="77777777" w:rsidR="00BA6E6F" w:rsidRDefault="00000000" w:rsidP="00801FC1">
            <w:pPr>
              <w:pStyle w:val="Prrafodelista"/>
              <w:widowControl w:val="0"/>
              <w:autoSpaceDE w:val="0"/>
              <w:autoSpaceDN w:val="0"/>
              <w:spacing w:after="120" w:line="276" w:lineRule="auto"/>
              <w:contextualSpacing w:val="0"/>
              <w:jc w:val="both"/>
              <w:rPr>
                <w:rFonts w:ascii="Verdana" w:hAnsi="Verdana" w:cs="Arial"/>
              </w:rPr>
            </w:pPr>
            <w:hyperlink r:id="rId14" w:history="1">
              <w:r w:rsidR="00BA6E6F" w:rsidRPr="008F55CF">
                <w:rPr>
                  <w:rStyle w:val="Hipervnculo"/>
                  <w:rFonts w:ascii="Verdana" w:hAnsi="Verdana" w:cs="Arial"/>
                </w:rPr>
                <w:t>https://www.colombiacompra.gov.co/sites/cce_public/files/files_2020/mae_2.0_vf.pdf</w:t>
              </w:r>
            </w:hyperlink>
            <w:r w:rsidR="00BA6E6F">
              <w:rPr>
                <w:rFonts w:ascii="Verdana" w:hAnsi="Verdana" w:cs="Arial"/>
              </w:rPr>
              <w:t xml:space="preserve"> </w:t>
            </w:r>
          </w:p>
          <w:p w14:paraId="4A85A3B0" w14:textId="77777777" w:rsidR="00BA6E6F" w:rsidRDefault="00BA6E6F" w:rsidP="00BA6E6F">
            <w:pPr>
              <w:pStyle w:val="Prrafodelista"/>
              <w:widowControl w:val="0"/>
              <w:numPr>
                <w:ilvl w:val="0"/>
                <w:numId w:val="3"/>
              </w:numPr>
              <w:autoSpaceDE w:val="0"/>
              <w:autoSpaceDN w:val="0"/>
              <w:spacing w:after="120" w:line="276" w:lineRule="auto"/>
              <w:contextualSpacing w:val="0"/>
              <w:jc w:val="both"/>
              <w:rPr>
                <w:rFonts w:ascii="Verdana" w:hAnsi="Verdana" w:cs="Arial"/>
              </w:rPr>
            </w:pPr>
            <w:r w:rsidRPr="008E0222">
              <w:rPr>
                <w:rFonts w:ascii="Verdana" w:hAnsi="Verdana" w:cs="Arial"/>
              </w:rPr>
              <w:t>Manual Para Determinar y Verificar los Requisitos Habilitantes en los Procesos de Contratación</w:t>
            </w:r>
            <w:r>
              <w:rPr>
                <w:rFonts w:ascii="Verdana" w:hAnsi="Verdana" w:cs="Arial"/>
              </w:rPr>
              <w:t>:</w:t>
            </w:r>
          </w:p>
          <w:p w14:paraId="03E5841D" w14:textId="77777777" w:rsidR="00BA6E6F" w:rsidRPr="00D3546F" w:rsidRDefault="00000000" w:rsidP="00801FC1">
            <w:pPr>
              <w:pStyle w:val="Prrafodelista"/>
              <w:widowControl w:val="0"/>
              <w:autoSpaceDE w:val="0"/>
              <w:autoSpaceDN w:val="0"/>
              <w:spacing w:after="120" w:line="276" w:lineRule="auto"/>
              <w:contextualSpacing w:val="0"/>
              <w:jc w:val="both"/>
              <w:rPr>
                <w:rFonts w:ascii="Verdana" w:hAnsi="Verdana" w:cs="Arial"/>
              </w:rPr>
            </w:pPr>
            <w:hyperlink r:id="rId15" w:history="1">
              <w:r w:rsidR="00BA6E6F" w:rsidRPr="008F55CF">
                <w:rPr>
                  <w:rStyle w:val="Hipervnculo"/>
                  <w:rFonts w:ascii="Verdana" w:hAnsi="Verdana" w:cs="Arial"/>
                </w:rPr>
                <w:t>https://www.colombiacompra.gov.co/sites/cce_public/files/cce_documents/cce-eicp-ma-04._manual_requisitos_habilitantes_v3_29-09-2023.pdf</w:t>
              </w:r>
            </w:hyperlink>
            <w:r w:rsidR="00BA6E6F">
              <w:rPr>
                <w:rFonts w:ascii="Verdana" w:hAnsi="Verdana" w:cs="Arial"/>
              </w:rPr>
              <w:t xml:space="preserve"> </w:t>
            </w:r>
          </w:p>
        </w:tc>
      </w:tr>
    </w:tbl>
    <w:p w14:paraId="73ACBBE8" w14:textId="77777777" w:rsidR="00BA6E6F" w:rsidRPr="00593A5F" w:rsidRDefault="00BA6E6F" w:rsidP="00BA6E6F">
      <w:pPr>
        <w:widowControl w:val="0"/>
        <w:autoSpaceDE w:val="0"/>
        <w:autoSpaceDN w:val="0"/>
        <w:spacing w:after="0" w:line="276" w:lineRule="auto"/>
        <w:jc w:val="both"/>
        <w:rPr>
          <w:rFonts w:ascii="Verdana" w:hAnsi="Verdana" w:cs="Arial"/>
        </w:rPr>
      </w:pPr>
    </w:p>
    <w:p w14:paraId="44B1BBCD" w14:textId="77777777" w:rsidR="00BA6E6F" w:rsidRPr="00593A5F" w:rsidRDefault="00BA6E6F" w:rsidP="00BA6E6F">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17E7F83" w14:textId="77777777" w:rsidR="00BA6E6F" w:rsidRPr="00593A5F" w:rsidRDefault="00BA6E6F" w:rsidP="00BA6E6F">
      <w:pPr>
        <w:widowControl w:val="0"/>
        <w:autoSpaceDE w:val="0"/>
        <w:autoSpaceDN w:val="0"/>
        <w:spacing w:after="0" w:line="276" w:lineRule="auto"/>
        <w:jc w:val="both"/>
        <w:rPr>
          <w:rFonts w:ascii="Verdana" w:hAnsi="Verdana" w:cs="Arial"/>
        </w:rPr>
      </w:pPr>
    </w:p>
    <w:p w14:paraId="1CEEAED7" w14:textId="77777777" w:rsidR="00BA6E6F" w:rsidRPr="00701FB8" w:rsidRDefault="00BA6E6F" w:rsidP="00BA6E6F">
      <w:pPr>
        <w:widowControl w:val="0"/>
        <w:autoSpaceDE w:val="0"/>
        <w:autoSpaceDN w:val="0"/>
        <w:spacing w:after="0" w:line="276" w:lineRule="auto"/>
        <w:jc w:val="both"/>
        <w:rPr>
          <w:rFonts w:ascii="Arial" w:eastAsia="Calibri" w:hAnsi="Arial" w:cs="Arial"/>
          <w:color w:val="000000" w:themeColor="text1"/>
          <w:lang w:val="es-ES"/>
        </w:rPr>
      </w:pPr>
      <w:r w:rsidRPr="00701FB8">
        <w:rPr>
          <w:rStyle w:val="normaltextrun"/>
          <w:rFonts w:ascii="Verdana" w:hAnsi="Verdana" w:cs="Arial"/>
          <w:color w:val="000000" w:themeColor="text1"/>
          <w:shd w:val="clear" w:color="auto" w:fill="FFFFFF"/>
          <w:lang w:val="es-ES"/>
        </w:rPr>
        <w:t xml:space="preserve">La Subdirección de Gestión Contractual se ha pronunciado en diferentes conceptos sobre los temas expuestos en las consideraciones. En los conceptos </w:t>
      </w:r>
      <w:r w:rsidRPr="000C7448">
        <w:rPr>
          <w:rFonts w:ascii="Verdana" w:hAnsi="Verdana" w:cs="Arial"/>
          <w:color w:val="000000" w:themeColor="text1"/>
          <w:shd w:val="clear" w:color="auto" w:fill="FFFFFF"/>
          <w:lang w:val="es-ES_tradnl"/>
        </w:rPr>
        <w:t>C-758 del 10 de noviembre de 2022, C-089 del 28 de abril de 2023, C-159 del 22 de junio de 2023, C-165 del 2 de junio de 2023, C-269 del 12 de julio de 2023, C-295 del 24 de julio de 2023, C-302 del 14 de septiembre de 2023, C-366 del 8 de septiembre de 2023, C-436 del 24 de octubre de 2023, C-279 del 31 de octubre de 2023 y C-017 del 26 de febrero de 2024</w:t>
      </w:r>
      <w:r w:rsidRPr="00701FB8">
        <w:rPr>
          <w:rFonts w:ascii="Verdana" w:hAnsi="Verdana" w:cs="Arial"/>
          <w:color w:val="000000" w:themeColor="text1"/>
          <w:shd w:val="clear" w:color="auto" w:fill="FFFFFF"/>
          <w:lang w:val="es-ES_tradnl"/>
        </w:rPr>
        <w:t>, se pronunció sobre las convocatorias limitadas</w:t>
      </w:r>
      <w:r>
        <w:rPr>
          <w:rFonts w:ascii="Verdana" w:hAnsi="Verdana" w:cs="Arial"/>
          <w:color w:val="000000" w:themeColor="text1"/>
          <w:shd w:val="clear" w:color="auto" w:fill="FFFFFF"/>
          <w:lang w:val="es-ES_tradnl"/>
        </w:rPr>
        <w:t xml:space="preserve"> a MiPymes</w:t>
      </w:r>
      <w:r>
        <w:rPr>
          <w:rFonts w:ascii="Verdana" w:hAnsi="Verdana" w:cs="Arial"/>
          <w:color w:val="000000" w:themeColor="text1"/>
          <w:shd w:val="clear" w:color="auto" w:fill="FFFFFF"/>
          <w:lang w:val="es-MX"/>
        </w:rPr>
        <w:t>,</w:t>
      </w:r>
      <w:r w:rsidRPr="00701FB8">
        <w:rPr>
          <w:rFonts w:ascii="Verdana" w:hAnsi="Verdana" w:cs="Arial"/>
          <w:color w:val="000000" w:themeColor="text1"/>
          <w:shd w:val="clear" w:color="auto" w:fill="FFFFFF"/>
          <w:lang w:val="es-MX"/>
        </w:rPr>
        <w:t xml:space="preserve"> </w:t>
      </w:r>
      <w:r w:rsidRPr="00692D10">
        <w:rPr>
          <w:rFonts w:ascii="Verdana" w:hAnsi="Verdana" w:cs="Arial"/>
          <w:shd w:val="clear" w:color="auto" w:fill="FFFFFF"/>
          <w:lang w:val="es-ES"/>
        </w:rPr>
        <w:t xml:space="preserve">C-278 del 24 de agosto de 2023, C-271 del 15 de agosto de 2023, C-265 de 26 de julio de 2023, C-280 del 06 de junio </w:t>
      </w:r>
      <w:r w:rsidRPr="00692D10">
        <w:rPr>
          <w:rFonts w:ascii="Verdana" w:hAnsi="Verdana" w:cs="Arial"/>
          <w:shd w:val="clear" w:color="auto" w:fill="FFFFFF"/>
          <w:lang w:val="es-ES"/>
        </w:rPr>
        <w:lastRenderedPageBreak/>
        <w:t>de 2023, C-216 del 06 de junio de 2023, C-184 del 02 junio de 2023, C-141 de 30 de mayo de 2023, C-053 del 28 de marzo de 2023</w:t>
      </w:r>
      <w:r>
        <w:rPr>
          <w:rFonts w:ascii="Verdana" w:hAnsi="Verdana" w:cs="Arial"/>
          <w:shd w:val="clear" w:color="auto" w:fill="FFFFFF"/>
          <w:lang w:val="es-ES"/>
        </w:rPr>
        <w:t xml:space="preserve"> y C-193 de junio de 2024, </w:t>
      </w:r>
      <w:r w:rsidRPr="00692D10">
        <w:rPr>
          <w:rFonts w:ascii="Verdana" w:hAnsi="Verdana" w:cs="Arial"/>
          <w:shd w:val="clear" w:color="auto" w:fill="FFFFFF"/>
          <w:lang w:val="es-ES"/>
        </w:rPr>
        <w:t>entre otros.</w:t>
      </w:r>
      <w:r w:rsidRPr="00701FB8">
        <w:rPr>
          <w:rFonts w:ascii="Verdana" w:hAnsi="Verdana" w:cs="Arial"/>
          <w:color w:val="000000" w:themeColor="text1"/>
          <w:shd w:val="clear" w:color="auto" w:fill="FFFFFF"/>
          <w:lang w:val="es-ES"/>
        </w:rPr>
        <w:t xml:space="preserve"> Igualmente, </w:t>
      </w:r>
      <w:r>
        <w:rPr>
          <w:rFonts w:ascii="Verdana" w:hAnsi="Verdana" w:cs="Arial"/>
          <w:color w:val="000000" w:themeColor="text1"/>
          <w:shd w:val="clear" w:color="auto" w:fill="FFFFFF"/>
          <w:lang w:val="es-ES"/>
        </w:rPr>
        <w:t>s</w:t>
      </w:r>
      <w:r w:rsidRPr="00D02FAE">
        <w:rPr>
          <w:rFonts w:ascii="Verdana" w:hAnsi="Verdana" w:cs="Arial"/>
          <w:color w:val="000000" w:themeColor="text1"/>
          <w:shd w:val="clear" w:color="auto" w:fill="FFFFFF"/>
          <w:lang w:val="es-ES"/>
        </w:rPr>
        <w:t xml:space="preserve">obre el deber de elaborar análisis del sector frente a procesos de contratación se pronunció esta Subdirección en los conceptos 2202013000000037 del 7 de enero de 2020, C-223 del 29 de abril de 2020 y C-148 de 2021. Igualmente, se reiteran los Conceptos C-387 del 23 de junio de 2020, </w:t>
      </w:r>
      <w:r w:rsidRPr="00D02FAE">
        <w:rPr>
          <w:rFonts w:ascii="Verdana" w:hAnsi="Verdana" w:cs="Arial"/>
          <w:color w:val="000000" w:themeColor="text1"/>
          <w:shd w:val="clear" w:color="auto" w:fill="FFFFFF"/>
        </w:rPr>
        <w:t xml:space="preserve">C-415 del 7 de julio </w:t>
      </w:r>
      <w:r w:rsidRPr="00D02FAE">
        <w:rPr>
          <w:rFonts w:ascii="Verdana" w:hAnsi="Verdana" w:cs="Arial"/>
          <w:color w:val="000000" w:themeColor="text1"/>
          <w:shd w:val="clear" w:color="auto" w:fill="FFFFFF"/>
          <w:lang w:val="es-ES"/>
        </w:rPr>
        <w:t>de 2020</w:t>
      </w:r>
      <w:r w:rsidRPr="00D02FAE">
        <w:rPr>
          <w:rFonts w:ascii="Verdana" w:hAnsi="Verdana" w:cs="Arial"/>
          <w:color w:val="000000" w:themeColor="text1"/>
          <w:shd w:val="clear" w:color="auto" w:fill="FFFFFF"/>
        </w:rPr>
        <w:t>, C-443 del 7 de julio de 2020, C-387 del 23 de junio de 2020</w:t>
      </w:r>
      <w:r w:rsidRPr="00D02FAE">
        <w:rPr>
          <w:rFonts w:ascii="Verdana" w:hAnsi="Verdana" w:cs="Arial"/>
          <w:color w:val="000000" w:themeColor="text1"/>
          <w:shd w:val="clear" w:color="auto" w:fill="FFFFFF"/>
          <w:lang w:val="es-ES"/>
        </w:rPr>
        <w:t>, C-223 del 29 de abril de 2020, C-671 de 2020 de 23 de noviembre de 2020, C-215 del 12 de mayo de 2021, C-742 del 27 de diciembre de 2021, C-519 del 13 de septiembre de 2022, C-716 del 15 de noviembre de 2022, C-856 del 13 de diciembre de 2022, C-235 del 5 de julio de 2023</w:t>
      </w:r>
      <w:r>
        <w:rPr>
          <w:rFonts w:ascii="Verdana" w:hAnsi="Verdana" w:cs="Arial"/>
          <w:color w:val="000000" w:themeColor="text1"/>
          <w:shd w:val="clear" w:color="auto" w:fill="FFFFFF"/>
          <w:lang w:val="es-ES"/>
        </w:rPr>
        <w:t xml:space="preserve"> y C-124 del 24 de julio de 2024</w:t>
      </w:r>
      <w:r w:rsidRPr="00701FB8">
        <w:rPr>
          <w:rFonts w:ascii="Verdana" w:hAnsi="Verdana" w:cs="Arial"/>
          <w:color w:val="000000" w:themeColor="text1"/>
          <w:shd w:val="clear" w:color="auto" w:fill="FFFFFF"/>
          <w:lang w:val="es-ES"/>
        </w:rPr>
        <w:t>.</w:t>
      </w:r>
    </w:p>
    <w:p w14:paraId="0BB63777" w14:textId="77777777" w:rsidR="00BA6E6F" w:rsidRPr="00E663C0" w:rsidRDefault="00BA6E6F" w:rsidP="00BA6E6F">
      <w:pPr>
        <w:widowControl w:val="0"/>
        <w:autoSpaceDE w:val="0"/>
        <w:autoSpaceDN w:val="0"/>
        <w:spacing w:after="0" w:line="276" w:lineRule="auto"/>
        <w:jc w:val="both"/>
        <w:rPr>
          <w:rFonts w:ascii="Verdana" w:hAnsi="Verdana" w:cs="Arial"/>
          <w:color w:val="7030A0"/>
          <w:shd w:val="clear" w:color="auto" w:fill="FFFFFF"/>
          <w:lang w:val="es-MX"/>
        </w:rPr>
      </w:pPr>
    </w:p>
    <w:p w14:paraId="687A7D09" w14:textId="77777777" w:rsidR="00BA6E6F" w:rsidRDefault="00BA6E6F" w:rsidP="00BA6E6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6"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3E1BB3F0" w14:textId="77777777" w:rsidR="00BA6E6F" w:rsidRDefault="00BA6E6F" w:rsidP="00BA6E6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7D2C6B8" w14:textId="77777777" w:rsidR="00BA6E6F" w:rsidRDefault="00BA6E6F" w:rsidP="00BA6E6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7"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7C1E5416" w14:textId="77777777" w:rsidR="00BA6E6F" w:rsidRPr="003E2460" w:rsidRDefault="00BA6E6F" w:rsidP="00BA6E6F">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328CC8A1" w14:textId="77777777" w:rsidR="00BA6E6F" w:rsidRPr="003E2460" w:rsidRDefault="00BA6E6F" w:rsidP="00BA6E6F">
      <w:pPr>
        <w:spacing w:after="0" w:line="240" w:lineRule="auto"/>
        <w:jc w:val="both"/>
        <w:rPr>
          <w:rFonts w:ascii="Verdana" w:hAnsi="Verdana"/>
        </w:rPr>
      </w:pPr>
    </w:p>
    <w:p w14:paraId="5DF98D0C" w14:textId="77777777" w:rsidR="00BA6E6F" w:rsidRPr="003E2460" w:rsidRDefault="00BA6E6F" w:rsidP="00BA6E6F">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9A4E6EA" w14:textId="77777777" w:rsidR="00BA6E6F" w:rsidRPr="003E2460" w:rsidRDefault="00BA6E6F" w:rsidP="00BA6E6F">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563B8BE1" w14:textId="77777777" w:rsidR="00BA6E6F" w:rsidRPr="003E2460" w:rsidRDefault="00BA6E6F" w:rsidP="00BA6E6F">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5720DA8" w14:textId="77777777" w:rsidR="00BA6E6F" w:rsidRPr="0044528D" w:rsidRDefault="00BA6E6F" w:rsidP="00BA6E6F">
      <w:pPr>
        <w:widowControl w:val="0"/>
        <w:autoSpaceDE w:val="0"/>
        <w:autoSpaceDN w:val="0"/>
        <w:spacing w:after="0" w:line="276" w:lineRule="auto"/>
        <w:jc w:val="both"/>
        <w:rPr>
          <w:rFonts w:ascii="Verdana" w:hAnsi="Verdana"/>
        </w:rPr>
      </w:pPr>
    </w:p>
    <w:p w14:paraId="4382B47B" w14:textId="77777777" w:rsidR="00BA6E6F" w:rsidRPr="00593A5F" w:rsidRDefault="00BA6E6F" w:rsidP="00BA6E6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852B358" w14:textId="77777777" w:rsidR="00BA6E6F" w:rsidRPr="00593A5F" w:rsidRDefault="00BA6E6F" w:rsidP="00BA6E6F">
      <w:pPr>
        <w:widowControl w:val="0"/>
        <w:autoSpaceDE w:val="0"/>
        <w:autoSpaceDN w:val="0"/>
        <w:spacing w:after="0" w:line="276" w:lineRule="auto"/>
        <w:jc w:val="both"/>
        <w:rPr>
          <w:rFonts w:ascii="Verdana" w:hAnsi="Verdana" w:cs="Arial"/>
        </w:rPr>
      </w:pPr>
    </w:p>
    <w:p w14:paraId="67B6F695" w14:textId="77777777" w:rsidR="00BA6E6F" w:rsidRDefault="00BA6E6F" w:rsidP="00BA6E6F">
      <w:pPr>
        <w:spacing w:after="0" w:line="240" w:lineRule="auto"/>
        <w:rPr>
          <w:rFonts w:ascii="Verdana" w:eastAsia="Times New Roman" w:hAnsi="Verdana" w:cs="Arial"/>
          <w:lang w:eastAsia="es-CO"/>
        </w:rPr>
      </w:pPr>
    </w:p>
    <w:p w14:paraId="711E9422" w14:textId="77777777" w:rsidR="00BA6E6F" w:rsidRDefault="00BA6E6F" w:rsidP="00BA6E6F">
      <w:pPr>
        <w:spacing w:after="0" w:line="240" w:lineRule="auto"/>
        <w:rPr>
          <w:rFonts w:ascii="Verdana" w:eastAsia="Times New Roman" w:hAnsi="Verdana" w:cs="Arial"/>
          <w:lang w:eastAsia="es-CO"/>
        </w:rPr>
      </w:pPr>
    </w:p>
    <w:p w14:paraId="3D25CCAB" w14:textId="77777777" w:rsidR="00BA6E6F" w:rsidRDefault="00BA6E6F" w:rsidP="00BA6E6F">
      <w:pPr>
        <w:spacing w:after="0" w:line="240" w:lineRule="auto"/>
        <w:rPr>
          <w:rFonts w:ascii="Verdana" w:eastAsia="Times New Roman" w:hAnsi="Verdana" w:cs="Arial"/>
          <w:lang w:eastAsia="es-CO"/>
        </w:rPr>
      </w:pPr>
    </w:p>
    <w:p w14:paraId="6E29A0BF" w14:textId="77777777" w:rsidR="00BA6E6F" w:rsidRDefault="00BA6E6F" w:rsidP="00BA6E6F">
      <w:pPr>
        <w:spacing w:after="0" w:line="240" w:lineRule="auto"/>
        <w:rPr>
          <w:rFonts w:ascii="Verdana" w:eastAsia="Times New Roman" w:hAnsi="Verdana" w:cs="Arial"/>
          <w:lang w:eastAsia="es-CO"/>
        </w:rPr>
      </w:pPr>
    </w:p>
    <w:p w14:paraId="4E08BD6A" w14:textId="77777777" w:rsidR="00BA6E6F" w:rsidRDefault="00BA6E6F" w:rsidP="00BA6E6F">
      <w:pPr>
        <w:spacing w:after="0" w:line="240" w:lineRule="auto"/>
        <w:rPr>
          <w:rFonts w:ascii="Verdana" w:eastAsia="Times New Roman" w:hAnsi="Verdana" w:cs="Arial"/>
          <w:lang w:eastAsia="es-CO"/>
        </w:rPr>
      </w:pPr>
    </w:p>
    <w:p w14:paraId="4057796E" w14:textId="77777777" w:rsidR="00BA6E6F" w:rsidRDefault="00BA6E6F" w:rsidP="00BA6E6F">
      <w:pPr>
        <w:spacing w:after="0" w:line="240" w:lineRule="auto"/>
        <w:rPr>
          <w:rFonts w:ascii="Verdana" w:eastAsia="Times New Roman" w:hAnsi="Verdana" w:cs="Arial"/>
          <w:lang w:eastAsia="es-CO"/>
        </w:rPr>
      </w:pPr>
    </w:p>
    <w:p w14:paraId="76DA3657" w14:textId="77777777" w:rsidR="00BA6E6F" w:rsidRDefault="00BA6E6F" w:rsidP="00BA6E6F">
      <w:pPr>
        <w:spacing w:after="0" w:line="240" w:lineRule="auto"/>
        <w:rPr>
          <w:rFonts w:ascii="Verdana" w:eastAsia="Times New Roman" w:hAnsi="Verdana" w:cs="Arial"/>
          <w:lang w:eastAsia="es-CO"/>
        </w:rPr>
      </w:pPr>
    </w:p>
    <w:p w14:paraId="2C63AF74" w14:textId="77777777" w:rsidR="00BA6E6F" w:rsidRDefault="00BA6E6F" w:rsidP="00BA6E6F">
      <w:pPr>
        <w:spacing w:after="0" w:line="240" w:lineRule="auto"/>
        <w:rPr>
          <w:rFonts w:ascii="Verdana" w:eastAsia="Times New Roman" w:hAnsi="Verdana" w:cs="Arial"/>
          <w:lang w:eastAsia="es-CO"/>
        </w:rPr>
      </w:pPr>
    </w:p>
    <w:p w14:paraId="074EB4C2" w14:textId="77777777" w:rsidR="00BA6E6F" w:rsidRPr="00593A5F" w:rsidRDefault="00BA6E6F" w:rsidP="00BA6E6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179321E" w14:textId="029904A1" w:rsidR="00BA6E6F" w:rsidRPr="00593A5F" w:rsidRDefault="00DD2E90" w:rsidP="00BA6E6F">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43533B9A" wp14:editId="6B2255B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A6E6F" w:rsidRPr="00593A5F" w14:paraId="5D62D803" w14:textId="77777777" w:rsidTr="00801FC1">
        <w:trPr>
          <w:trHeight w:val="315"/>
        </w:trPr>
        <w:tc>
          <w:tcPr>
            <w:tcW w:w="893" w:type="dxa"/>
            <w:vAlign w:val="center"/>
            <w:hideMark/>
          </w:tcPr>
          <w:p w14:paraId="51849937" w14:textId="77777777" w:rsidR="00BA6E6F" w:rsidRPr="003751C7" w:rsidRDefault="00BA6E6F" w:rsidP="00801FC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F6B79B" w14:textId="77777777" w:rsidR="00BA6E6F" w:rsidRPr="00C41789" w:rsidRDefault="00BA6E6F" w:rsidP="00801FC1">
            <w:pPr>
              <w:contextualSpacing/>
              <w:rPr>
                <w:rStyle w:val="normaltextrun"/>
              </w:rPr>
            </w:pPr>
            <w:r w:rsidRPr="00C41789">
              <w:rPr>
                <w:rStyle w:val="normaltextrun"/>
              </w:rPr>
              <w:t>S</w:t>
            </w:r>
            <w:r w:rsidRPr="00C41789">
              <w:rPr>
                <w:rStyle w:val="normaltextrun"/>
                <w:rFonts w:ascii="Verdana" w:hAnsi="Verdana"/>
                <w:sz w:val="16"/>
                <w:szCs w:val="16"/>
              </w:rPr>
              <w:t>ergio Enrique Caballero Lesmes</w:t>
            </w:r>
          </w:p>
          <w:p w14:paraId="21EEB357" w14:textId="77777777" w:rsidR="00BA6E6F" w:rsidRPr="003751C7" w:rsidRDefault="00BA6E6F" w:rsidP="00801FC1">
            <w:pPr>
              <w:contextualSpacing/>
              <w:rPr>
                <w:rFonts w:ascii="Verdana" w:eastAsia="Arial" w:hAnsi="Verdana" w:cs="Arial"/>
                <w:sz w:val="16"/>
                <w:szCs w:val="16"/>
              </w:rPr>
            </w:pPr>
            <w:r>
              <w:rPr>
                <w:rStyle w:val="normaltextrun"/>
                <w:rFonts w:ascii="Verdana" w:eastAsia="Arial" w:hAnsi="Verdana" w:cs="Arial"/>
                <w:sz w:val="16"/>
                <w:szCs w:val="16"/>
              </w:rPr>
              <w:t xml:space="preserve">Analista </w:t>
            </w:r>
            <w:r w:rsidRPr="003751C7">
              <w:rPr>
                <w:rStyle w:val="normaltextrun"/>
                <w:rFonts w:ascii="Verdana" w:eastAsia="Arial" w:hAnsi="Verdana" w:cs="Arial"/>
                <w:sz w:val="16"/>
                <w:szCs w:val="16"/>
              </w:rPr>
              <w:t>de la Subdirección de Gestión Contractual</w:t>
            </w:r>
          </w:p>
        </w:tc>
      </w:tr>
      <w:tr w:rsidR="00BA6E6F" w:rsidRPr="00593A5F" w14:paraId="031A9F00" w14:textId="77777777" w:rsidTr="00801FC1">
        <w:trPr>
          <w:trHeight w:val="330"/>
        </w:trPr>
        <w:tc>
          <w:tcPr>
            <w:tcW w:w="893" w:type="dxa"/>
            <w:vAlign w:val="center"/>
            <w:hideMark/>
          </w:tcPr>
          <w:p w14:paraId="3405C8E7" w14:textId="77777777" w:rsidR="00BA6E6F" w:rsidRPr="003751C7" w:rsidRDefault="00BA6E6F" w:rsidP="00801FC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F90947" w14:textId="77777777" w:rsidR="00BA6E6F" w:rsidRPr="001972C4" w:rsidRDefault="00BA6E6F" w:rsidP="00801FC1">
            <w:pPr>
              <w:contextualSpacing/>
              <w:rPr>
                <w:rStyle w:val="normaltextrun"/>
              </w:rPr>
            </w:pPr>
            <w:r w:rsidRPr="001972C4">
              <w:rPr>
                <w:rStyle w:val="normaltextrun"/>
                <w:rFonts w:ascii="Verdana" w:hAnsi="Verdana"/>
                <w:sz w:val="16"/>
                <w:szCs w:val="16"/>
              </w:rPr>
              <w:t>Cielo Victoria Gonzalez Meza</w:t>
            </w:r>
          </w:p>
          <w:p w14:paraId="58E5CDF2" w14:textId="77777777" w:rsidR="00BA6E6F" w:rsidRPr="003751C7" w:rsidRDefault="00BA6E6F" w:rsidP="00801FC1">
            <w:pPr>
              <w:contextualSpacing/>
              <w:rPr>
                <w:rFonts w:ascii="Verdana" w:hAnsi="Verdana" w:cs="Segoe UI"/>
                <w:sz w:val="16"/>
                <w:szCs w:val="16"/>
              </w:rPr>
            </w:pPr>
            <w:r>
              <w:rPr>
                <w:rStyle w:val="normaltextrun"/>
                <w:rFonts w:ascii="Verdana" w:hAnsi="Verdana"/>
                <w:sz w:val="16"/>
                <w:szCs w:val="16"/>
              </w:rPr>
              <w:t xml:space="preserve">Contratista </w:t>
            </w:r>
            <w:r w:rsidRPr="001972C4">
              <w:rPr>
                <w:rStyle w:val="normaltextrun"/>
                <w:rFonts w:ascii="Verdana" w:hAnsi="Verdana"/>
                <w:sz w:val="16"/>
                <w:szCs w:val="16"/>
              </w:rPr>
              <w:t>de la Subdirección de Gestión Contractual</w:t>
            </w:r>
            <w:r w:rsidRPr="003751C7">
              <w:rPr>
                <w:rStyle w:val="eop"/>
                <w:rFonts w:ascii="Verdana" w:hAnsi="Verdana" w:cs="Arial"/>
                <w:sz w:val="16"/>
                <w:szCs w:val="16"/>
              </w:rPr>
              <w:t> </w:t>
            </w:r>
          </w:p>
        </w:tc>
      </w:tr>
      <w:tr w:rsidR="00BA6E6F" w:rsidRPr="00593A5F" w14:paraId="08E00C28" w14:textId="77777777" w:rsidTr="00801FC1">
        <w:trPr>
          <w:trHeight w:val="300"/>
        </w:trPr>
        <w:tc>
          <w:tcPr>
            <w:tcW w:w="893" w:type="dxa"/>
            <w:vAlign w:val="center"/>
          </w:tcPr>
          <w:p w14:paraId="2F526D90" w14:textId="77777777" w:rsidR="00BA6E6F" w:rsidRPr="003751C7" w:rsidRDefault="00BA6E6F" w:rsidP="00801FC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841E763" w14:textId="77777777" w:rsidR="00BA6E6F" w:rsidRPr="003751C7" w:rsidRDefault="00BA6E6F" w:rsidP="00801FC1">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35682AD" w14:textId="77777777" w:rsidR="00BA6E6F" w:rsidRPr="003751C7" w:rsidRDefault="00BA6E6F" w:rsidP="00801FC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163EFDD3" w14:textId="77777777" w:rsidR="00BA6E6F" w:rsidRPr="00593A5F" w:rsidRDefault="00BA6E6F" w:rsidP="00BA6E6F">
      <w:pPr>
        <w:spacing w:after="0" w:line="240" w:lineRule="auto"/>
        <w:rPr>
          <w:rFonts w:ascii="Verdana" w:eastAsia="Times New Roman" w:hAnsi="Verdana" w:cs="Arial"/>
          <w:sz w:val="24"/>
          <w:szCs w:val="24"/>
          <w:lang w:eastAsia="es-ES"/>
        </w:rPr>
      </w:pPr>
    </w:p>
    <w:p w14:paraId="099C5056" w14:textId="77777777" w:rsidR="00BA6E6F" w:rsidRPr="00871B59" w:rsidRDefault="00BA6E6F" w:rsidP="00BA6E6F"/>
    <w:p w14:paraId="4CC2AE0F" w14:textId="77777777" w:rsidR="00BA6E6F" w:rsidRPr="00955CB7" w:rsidRDefault="00BA6E6F" w:rsidP="00BA6E6F"/>
    <w:p w14:paraId="7609D574" w14:textId="77777777" w:rsidR="00C24FFE" w:rsidRDefault="00C24FFE"/>
    <w:sectPr w:rsidR="00C24FFE" w:rsidSect="00BA6E6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AC34B7" w14:textId="77777777" w:rsidR="00537831" w:rsidRDefault="00537831" w:rsidP="00BA6E6F">
      <w:pPr>
        <w:spacing w:after="0" w:line="240" w:lineRule="auto"/>
      </w:pPr>
      <w:r>
        <w:separator/>
      </w:r>
    </w:p>
  </w:endnote>
  <w:endnote w:type="continuationSeparator" w:id="0">
    <w:p w14:paraId="01EBF4B0" w14:textId="77777777" w:rsidR="00537831" w:rsidRDefault="00537831" w:rsidP="00BA6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FAAABF+Verdana">
    <w:altName w:val="Verda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5C348" w14:textId="77777777" w:rsidR="000A4363" w:rsidRDefault="000A4363">
    <w:pPr>
      <w:pStyle w:val="Piedepgina"/>
    </w:pPr>
  </w:p>
  <w:p w14:paraId="5F81700E" w14:textId="77777777" w:rsidR="000A4363" w:rsidRPr="00174B77" w:rsidRDefault="000A436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3B4AD32" w14:textId="77777777" w:rsidR="000A4363" w:rsidRDefault="000A436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564FE0D" w14:textId="77777777" w:rsidR="000A4363" w:rsidRPr="00E41027" w:rsidRDefault="000A4363" w:rsidP="00D520D8">
    <w:pPr>
      <w:spacing w:after="0"/>
      <w:jc w:val="both"/>
      <w:rPr>
        <w:rFonts w:ascii="Verdana" w:hAnsi="Verdana"/>
        <w:sz w:val="18"/>
        <w:szCs w:val="18"/>
      </w:rPr>
    </w:pPr>
    <w:r w:rsidRPr="00E41027">
      <w:rPr>
        <w:rFonts w:ascii="Verdana" w:hAnsi="Verdana"/>
        <w:sz w:val="18"/>
        <w:szCs w:val="18"/>
      </w:rPr>
      <w:t>Mesa de servicio: (+57) 601 7456788</w:t>
    </w:r>
  </w:p>
  <w:p w14:paraId="4E731CFA" w14:textId="77777777" w:rsidR="000A4363" w:rsidRDefault="000A4363"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3D9881" w14:textId="77777777" w:rsidR="00537831" w:rsidRDefault="00537831" w:rsidP="00BA6E6F">
      <w:pPr>
        <w:spacing w:after="0" w:line="240" w:lineRule="auto"/>
      </w:pPr>
      <w:r>
        <w:separator/>
      </w:r>
    </w:p>
  </w:footnote>
  <w:footnote w:type="continuationSeparator" w:id="0">
    <w:p w14:paraId="6C8E4A0F" w14:textId="77777777" w:rsidR="00537831" w:rsidRDefault="00537831" w:rsidP="00BA6E6F">
      <w:pPr>
        <w:spacing w:after="0" w:line="240" w:lineRule="auto"/>
      </w:pPr>
      <w:r>
        <w:continuationSeparator/>
      </w:r>
    </w:p>
  </w:footnote>
  <w:footnote w:id="1">
    <w:p w14:paraId="3518F111" w14:textId="77777777" w:rsidR="00BA6E6F" w:rsidRPr="000920EC" w:rsidRDefault="00BA6E6F" w:rsidP="00BA6E6F">
      <w:pPr>
        <w:pStyle w:val="Textonotapie"/>
        <w:ind w:firstLine="708"/>
        <w:rPr>
          <w:rFonts w:ascii="Verdana" w:hAnsi="Verdana"/>
          <w:sz w:val="16"/>
          <w:szCs w:val="16"/>
          <w:lang w:val="es-ES"/>
        </w:rPr>
      </w:pPr>
      <w:r w:rsidRPr="000920EC">
        <w:rPr>
          <w:rStyle w:val="Refdenotaalpie"/>
          <w:rFonts w:ascii="Verdana" w:hAnsi="Verdana"/>
          <w:sz w:val="16"/>
          <w:szCs w:val="16"/>
        </w:rPr>
        <w:footnoteRef/>
      </w:r>
      <w:r w:rsidRPr="000920EC">
        <w:rPr>
          <w:rFonts w:ascii="Verdana" w:hAnsi="Verdana"/>
          <w:sz w:val="16"/>
          <w:szCs w:val="16"/>
        </w:rPr>
        <w:t xml:space="preserve"> </w:t>
      </w:r>
      <w:r w:rsidRPr="000920EC">
        <w:rPr>
          <w:rFonts w:ascii="Verdana" w:eastAsia="Calibri" w:hAnsi="Verdana" w:cs="Arial"/>
          <w:color w:val="000000" w:themeColor="text1"/>
          <w:sz w:val="16"/>
          <w:szCs w:val="16"/>
        </w:rPr>
        <w:t>Artículo 2.2.1.2.4.2.2 del Decreto 1082 de 2015</w:t>
      </w:r>
    </w:p>
  </w:footnote>
  <w:footnote w:id="2">
    <w:p w14:paraId="18E4E515" w14:textId="77777777" w:rsidR="00BA6E6F" w:rsidRPr="00774370" w:rsidRDefault="00BA6E6F" w:rsidP="00BA6E6F">
      <w:pPr>
        <w:pStyle w:val="Textonotapie"/>
        <w:ind w:firstLine="708"/>
        <w:jc w:val="both"/>
        <w:rPr>
          <w:rFonts w:ascii="Verdana" w:hAnsi="Verdana" w:cs="Arial"/>
          <w:sz w:val="16"/>
          <w:szCs w:val="16"/>
        </w:rPr>
      </w:pPr>
      <w:r w:rsidRPr="00774370">
        <w:rPr>
          <w:rStyle w:val="Refdenotaalpie"/>
          <w:rFonts w:ascii="Verdana" w:hAnsi="Verdana" w:cs="Arial"/>
          <w:sz w:val="16"/>
          <w:szCs w:val="16"/>
        </w:rPr>
        <w:footnoteRef/>
      </w:r>
      <w:r w:rsidRPr="00774370">
        <w:rPr>
          <w:rFonts w:ascii="Verdana" w:hAnsi="Verdana" w:cs="Arial"/>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2035212F" w14:textId="77777777" w:rsidR="00BA6E6F" w:rsidRPr="00774370" w:rsidRDefault="00BA6E6F" w:rsidP="00BA6E6F">
      <w:pPr>
        <w:pStyle w:val="Textonotapie"/>
        <w:ind w:firstLine="708"/>
        <w:jc w:val="both"/>
        <w:rPr>
          <w:rFonts w:ascii="Verdana" w:hAnsi="Verdana" w:cs="Arial"/>
          <w:sz w:val="16"/>
          <w:szCs w:val="16"/>
        </w:rPr>
      </w:pPr>
      <w:r w:rsidRPr="00774370">
        <w:rPr>
          <w:rFonts w:ascii="Verdana" w:hAnsi="Verdana" w:cs="Arial"/>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 w:id="3">
    <w:p w14:paraId="3146D7A6" w14:textId="77777777" w:rsidR="00BA6E6F" w:rsidRPr="00472123" w:rsidRDefault="00BA6E6F" w:rsidP="00BA6E6F">
      <w:pPr>
        <w:pBdr>
          <w:top w:val="nil"/>
          <w:left w:val="nil"/>
          <w:bottom w:val="nil"/>
          <w:right w:val="nil"/>
          <w:between w:val="nil"/>
        </w:pBdr>
        <w:spacing w:after="0" w:line="240" w:lineRule="auto"/>
        <w:ind w:firstLine="709"/>
        <w:contextualSpacing/>
        <w:jc w:val="both"/>
        <w:rPr>
          <w:rFonts w:ascii="Verdana" w:eastAsia="Arial" w:hAnsi="Verdana" w:cs="Arial"/>
          <w:color w:val="000000"/>
          <w:sz w:val="16"/>
          <w:szCs w:val="16"/>
        </w:rPr>
      </w:pPr>
      <w:r w:rsidRPr="00472123">
        <w:rPr>
          <w:rFonts w:ascii="Verdana" w:hAnsi="Verdana" w:cs="Arial"/>
          <w:sz w:val="16"/>
          <w:szCs w:val="16"/>
          <w:vertAlign w:val="superscript"/>
        </w:rPr>
        <w:footnoteRef/>
      </w:r>
      <w:r w:rsidRPr="00472123">
        <w:rPr>
          <w:rFonts w:ascii="Verdana" w:eastAsia="Arial" w:hAnsi="Verdana" w:cs="Arial"/>
          <w:i/>
          <w:color w:val="000000"/>
          <w:sz w:val="16"/>
          <w:szCs w:val="16"/>
        </w:rPr>
        <w:t xml:space="preserve"> </w:t>
      </w:r>
      <w:r w:rsidRPr="00472123">
        <w:rPr>
          <w:rFonts w:ascii="Verdana" w:eastAsia="Arial" w:hAnsi="Verdana" w:cs="Arial"/>
          <w:color w:val="000000"/>
          <w:sz w:val="16"/>
          <w:szCs w:val="16"/>
        </w:rPr>
        <w:t>EXPÓSITO VELEZ, Juan C., El deber de selección objetiva, en: Del contrato estatal a los sistemas de compras públicas, por COVILLA MARTINEZ Juan C. y LOZANO VILLEGAS Germán (Eds.). Universidad Externado de Colombia, Bogotá, 2019. págs. 118-184.</w:t>
      </w:r>
    </w:p>
  </w:footnote>
  <w:footnote w:id="4">
    <w:p w14:paraId="05CBD167" w14:textId="77777777" w:rsidR="00BA6E6F" w:rsidRPr="00774370" w:rsidRDefault="00BA6E6F" w:rsidP="00BA6E6F">
      <w:pPr>
        <w:pStyle w:val="NormalWeb"/>
        <w:spacing w:before="0" w:beforeAutospacing="0" w:after="0" w:afterAutospacing="0"/>
        <w:ind w:firstLine="708"/>
        <w:jc w:val="both"/>
        <w:rPr>
          <w:rFonts w:ascii="Verdana" w:hAnsi="Verdana" w:cs="Arial"/>
          <w:sz w:val="16"/>
          <w:szCs w:val="16"/>
        </w:rPr>
      </w:pPr>
      <w:r w:rsidRPr="00774370">
        <w:rPr>
          <w:rStyle w:val="Refdenotaalpie"/>
          <w:rFonts w:ascii="Verdana" w:eastAsiaTheme="majorEastAsia" w:hAnsi="Verdana" w:cs="Arial"/>
          <w:sz w:val="16"/>
          <w:szCs w:val="16"/>
        </w:rPr>
        <w:footnoteRef/>
      </w:r>
      <w:r w:rsidRPr="00774370">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14:paraId="772D0494" w14:textId="77777777" w:rsidR="00BA6E6F" w:rsidRPr="00774370" w:rsidRDefault="00BA6E6F" w:rsidP="00BA6E6F">
      <w:pPr>
        <w:spacing w:line="240" w:lineRule="auto"/>
        <w:jc w:val="both"/>
        <w:rPr>
          <w:rFonts w:ascii="Verdana" w:eastAsia="Times New Roman" w:hAnsi="Verdana" w:cs="Arial"/>
          <w:sz w:val="16"/>
          <w:szCs w:val="16"/>
          <w:lang w:eastAsia="es-CO"/>
        </w:rPr>
      </w:pPr>
      <w:r w:rsidRPr="00774370">
        <w:rPr>
          <w:rFonts w:ascii="Verdana" w:eastAsia="Times New Roman" w:hAnsi="Verdana" w:cs="Arial"/>
          <w:sz w:val="16"/>
          <w:szCs w:val="16"/>
          <w:lang w:eastAsia="es-CO"/>
        </w:rPr>
        <w:t> </w:t>
      </w:r>
      <w:r w:rsidRPr="00774370">
        <w:rPr>
          <w:rFonts w:ascii="Verdana" w:eastAsia="Times New Roman" w:hAnsi="Verdana" w:cs="Arial"/>
          <w:sz w:val="16"/>
          <w:szCs w:val="16"/>
          <w:lang w:eastAsia="es-CO"/>
        </w:rPr>
        <w:tab/>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15158965" w14:textId="77777777" w:rsidR="00BA6E6F" w:rsidRPr="00774370" w:rsidRDefault="00BA6E6F" w:rsidP="00BA6E6F">
      <w:pPr>
        <w:spacing w:after="144" w:line="240" w:lineRule="auto"/>
        <w:ind w:firstLine="708"/>
        <w:jc w:val="both"/>
        <w:rPr>
          <w:rFonts w:ascii="Verdana" w:eastAsia="Times New Roman" w:hAnsi="Verdana" w:cs="Arial"/>
          <w:sz w:val="16"/>
          <w:szCs w:val="16"/>
          <w:lang w:eastAsia="es-CO"/>
        </w:rPr>
      </w:pPr>
      <w:r w:rsidRPr="00774370">
        <w:rPr>
          <w:rFonts w:ascii="Verdana" w:eastAsia="Times New Roman" w:hAnsi="Verdana" w:cs="Arial"/>
          <w:sz w:val="16"/>
          <w:szCs w:val="16"/>
          <w:u w:val="single"/>
          <w:lang w:eastAsia="es-CO"/>
        </w:rPr>
        <w:t>En dicho registro constará la información relacionada con la experiencia, capacidad jurídica, financiera y de organización del proponente y su clasificación</w:t>
      </w:r>
      <w:r w:rsidRPr="00774370">
        <w:rPr>
          <w:rFonts w:ascii="Verdana" w:eastAsia="Times New Roman" w:hAnsi="Verdana" w:cs="Arial"/>
          <w:sz w:val="16"/>
          <w:szCs w:val="16"/>
          <w:lang w:eastAsia="es-CO"/>
        </w:rPr>
        <w:t xml:space="preserve"> […]”. (Subrayas fuera del texto).</w:t>
      </w:r>
    </w:p>
  </w:footnote>
  <w:footnote w:id="5">
    <w:p w14:paraId="7644A342" w14:textId="77777777" w:rsidR="00BA6E6F" w:rsidRPr="00774370" w:rsidRDefault="00BA6E6F" w:rsidP="00BA6E6F">
      <w:pPr>
        <w:pStyle w:val="Textonotapie"/>
        <w:ind w:firstLine="708"/>
        <w:jc w:val="both"/>
        <w:rPr>
          <w:rFonts w:ascii="Verdana" w:hAnsi="Verdana" w:cs="Arial"/>
          <w:sz w:val="16"/>
          <w:szCs w:val="16"/>
        </w:rPr>
      </w:pPr>
      <w:r w:rsidRPr="00774370">
        <w:rPr>
          <w:rStyle w:val="Refdenotaalpie"/>
          <w:rFonts w:ascii="Verdana" w:hAnsi="Verdana" w:cs="Arial"/>
          <w:sz w:val="16"/>
          <w:szCs w:val="16"/>
        </w:rPr>
        <w:footnoteRef/>
      </w:r>
      <w:r w:rsidRPr="00774370">
        <w:rPr>
          <w:rFonts w:ascii="Verdana" w:hAnsi="Verdana" w:cs="Arial"/>
          <w:sz w:val="16"/>
          <w:szCs w:val="16"/>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p w14:paraId="42380453" w14:textId="77777777" w:rsidR="00BA6E6F" w:rsidRPr="00774370" w:rsidRDefault="00BA6E6F" w:rsidP="00BA6E6F">
      <w:pPr>
        <w:pStyle w:val="Textonotapie"/>
        <w:ind w:firstLine="708"/>
        <w:jc w:val="both"/>
        <w:rPr>
          <w:rFonts w:ascii="Verdana" w:hAnsi="Verdana" w:cs="Arial"/>
          <w:sz w:val="16"/>
          <w:szCs w:val="16"/>
        </w:rPr>
      </w:pPr>
    </w:p>
  </w:footnote>
  <w:footnote w:id="6">
    <w:p w14:paraId="7A0ACCF9" w14:textId="77777777" w:rsidR="00BA6E6F" w:rsidRPr="00774370" w:rsidRDefault="00BA6E6F" w:rsidP="00BA6E6F">
      <w:pPr>
        <w:pStyle w:val="Textonotapie"/>
        <w:ind w:firstLine="708"/>
        <w:jc w:val="both"/>
        <w:rPr>
          <w:rFonts w:ascii="Verdana" w:hAnsi="Verdana" w:cs="Arial"/>
          <w:color w:val="0563C1" w:themeColor="hyperlink"/>
          <w:sz w:val="16"/>
          <w:szCs w:val="16"/>
          <w:u w:val="single"/>
        </w:rPr>
      </w:pPr>
      <w:r w:rsidRPr="00774370">
        <w:rPr>
          <w:rStyle w:val="Refdenotaalpie"/>
          <w:rFonts w:ascii="Verdana" w:hAnsi="Verdana" w:cs="Arial"/>
          <w:sz w:val="16"/>
          <w:szCs w:val="16"/>
        </w:rPr>
        <w:footnoteRef/>
      </w:r>
      <w:r w:rsidRPr="00774370">
        <w:rPr>
          <w:rFonts w:ascii="Verdana" w:hAnsi="Verdana"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774370">
          <w:rPr>
            <w:rStyle w:val="Hipervnculo"/>
            <w:rFonts w:ascii="Verdana" w:hAnsi="Verdana" w:cs="Arial"/>
            <w:sz w:val="16"/>
            <w:szCs w:val="16"/>
          </w:rPr>
          <w:t>https://www.colombiacompra.gov.co/sites/cce_public/files/cce_documents/cce_guia_codificacion_bienes.pdf</w:t>
        </w:r>
      </w:hyperlink>
    </w:p>
  </w:footnote>
  <w:footnote w:id="7">
    <w:p w14:paraId="0B667115"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Style w:val="Refdenotaalpie"/>
          <w:rFonts w:ascii="Verdana" w:hAnsi="Verdana"/>
          <w:sz w:val="16"/>
          <w:szCs w:val="16"/>
        </w:rPr>
        <w:footnoteRef/>
      </w:r>
      <w:r w:rsidRPr="00774370">
        <w:rPr>
          <w:rFonts w:ascii="Verdana" w:hAnsi="Verdana"/>
          <w:sz w:val="16"/>
          <w:szCs w:val="16"/>
        </w:rPr>
        <w:t xml:space="preserve"> “</w:t>
      </w:r>
      <w:r w:rsidRPr="00774370">
        <w:rPr>
          <w:rFonts w:ascii="Verdana" w:hAnsi="Verdana" w:cs="Arial"/>
          <w:color w:val="3B3838" w:themeColor="background2" w:themeShade="40"/>
          <w:sz w:val="16"/>
          <w:szCs w:val="16"/>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40CF995"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Fonts w:ascii="Verdana" w:hAnsi="Verdana" w:cs="Arial"/>
          <w:color w:val="3B3838" w:themeColor="background2" w:themeShade="40"/>
          <w:sz w:val="16"/>
          <w:szCs w:val="16"/>
        </w:rPr>
        <w:t>1. Si es una persona natural:</w:t>
      </w:r>
    </w:p>
    <w:p w14:paraId="30CFC9DB"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Fonts w:ascii="Verdana" w:hAnsi="Verdana" w:cs="Arial"/>
          <w:color w:val="3B3838" w:themeColor="background2" w:themeShade="40"/>
          <w:sz w:val="16"/>
          <w:szCs w:val="16"/>
        </w:rPr>
        <w:t>[…]</w:t>
      </w:r>
    </w:p>
    <w:p w14:paraId="2E7FB2CC"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Fonts w:ascii="Verdana" w:hAnsi="Verdana" w:cs="Arial"/>
          <w:color w:val="3B3838" w:themeColor="background2" w:themeShade="40"/>
          <w:sz w:val="16"/>
          <w:szCs w:val="16"/>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774370">
        <w:rPr>
          <w:rFonts w:ascii="Verdana" w:hAnsi="Verdana" w:cs="Arial"/>
          <w:color w:val="3B3838" w:themeColor="background2" w:themeShade="40"/>
          <w:sz w:val="16"/>
          <w:szCs w:val="16"/>
        </w:rPr>
        <w:softHyphen/>
        <w:t>sificador de Bienes y Servicios en el tercer nivel.</w:t>
      </w:r>
    </w:p>
    <w:p w14:paraId="73FB0696"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Fonts w:ascii="Verdana" w:hAnsi="Verdana" w:cs="Arial"/>
          <w:color w:val="3B3838" w:themeColor="background2" w:themeShade="40"/>
          <w:sz w:val="16"/>
          <w:szCs w:val="16"/>
        </w:rPr>
        <w:t>[…]</w:t>
      </w:r>
    </w:p>
    <w:p w14:paraId="00389777"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Fonts w:ascii="Verdana" w:hAnsi="Verdana" w:cs="Arial"/>
          <w:color w:val="3B3838" w:themeColor="background2" w:themeShade="40"/>
          <w:sz w:val="16"/>
          <w:szCs w:val="16"/>
        </w:rPr>
        <w:t>2.    Si es una persona jurídica:</w:t>
      </w:r>
    </w:p>
    <w:p w14:paraId="16176429"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Fonts w:ascii="Verdana" w:hAnsi="Verdana" w:cs="Arial"/>
          <w:color w:val="3B3838" w:themeColor="background2" w:themeShade="40"/>
          <w:sz w:val="16"/>
          <w:szCs w:val="16"/>
        </w:rPr>
        <w:t>[…]</w:t>
      </w:r>
    </w:p>
    <w:p w14:paraId="1A6A27A7" w14:textId="77777777" w:rsidR="00BA6E6F" w:rsidRPr="00774370" w:rsidRDefault="00BA6E6F" w:rsidP="00BA6E6F">
      <w:pPr>
        <w:pStyle w:val="Textonotapie"/>
        <w:ind w:firstLine="708"/>
        <w:jc w:val="both"/>
        <w:rPr>
          <w:rFonts w:ascii="Verdana" w:hAnsi="Verdana" w:cs="Arial"/>
          <w:color w:val="3B3838" w:themeColor="background2" w:themeShade="40"/>
          <w:sz w:val="16"/>
          <w:szCs w:val="16"/>
        </w:rPr>
      </w:pPr>
      <w:r w:rsidRPr="00774370">
        <w:rPr>
          <w:rFonts w:ascii="Verdana" w:hAnsi="Verdana" w:cs="Arial"/>
          <w:color w:val="3B3838" w:themeColor="background2" w:themeShade="40"/>
          <w:sz w:val="16"/>
          <w:szCs w:val="16"/>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758000B2" w14:textId="77777777" w:rsidR="00BA6E6F" w:rsidRPr="00774370" w:rsidRDefault="00BA6E6F" w:rsidP="00BA6E6F">
      <w:pPr>
        <w:pStyle w:val="Textonotapie"/>
        <w:ind w:firstLine="708"/>
        <w:jc w:val="both"/>
        <w:rPr>
          <w:rFonts w:ascii="Verdana" w:hAnsi="Verdana"/>
          <w:sz w:val="16"/>
          <w:szCs w:val="16"/>
          <w:lang w:val="es-CO"/>
        </w:rPr>
      </w:pPr>
    </w:p>
  </w:footnote>
  <w:footnote w:id="8">
    <w:p w14:paraId="4AA7A68E" w14:textId="77777777" w:rsidR="00BA6E6F" w:rsidRPr="00774370" w:rsidRDefault="00BA6E6F" w:rsidP="00BA6E6F">
      <w:pPr>
        <w:pStyle w:val="Textonotapie"/>
        <w:ind w:firstLine="708"/>
        <w:jc w:val="both"/>
        <w:rPr>
          <w:rFonts w:ascii="Verdana" w:hAnsi="Verdana"/>
          <w:sz w:val="16"/>
          <w:szCs w:val="16"/>
          <w:lang w:val="es-CO"/>
        </w:rPr>
      </w:pPr>
      <w:r w:rsidRPr="00774370">
        <w:rPr>
          <w:rStyle w:val="Refdenotaalpie"/>
          <w:rFonts w:ascii="Verdana" w:hAnsi="Verdana"/>
          <w:sz w:val="16"/>
          <w:szCs w:val="16"/>
        </w:rPr>
        <w:footnoteRef/>
      </w:r>
      <w:r w:rsidRPr="00774370">
        <w:rPr>
          <w:rFonts w:ascii="Verdana" w:hAnsi="Verdana"/>
          <w:sz w:val="16"/>
          <w:szCs w:val="16"/>
        </w:rPr>
        <w:t xml:space="preserve"> Agencia Nacional de Contratación Pública – Colombia Compra Eficiente, </w:t>
      </w:r>
      <w:r w:rsidRPr="00774370">
        <w:rPr>
          <w:rFonts w:ascii="Verdana" w:hAnsi="Verdana"/>
          <w:sz w:val="16"/>
          <w:szCs w:val="16"/>
          <w:lang w:val="es-CO"/>
        </w:rPr>
        <w:t>Circular Externa Única 2023, Capítulo 4 Clasificador de Bienes y Servicios. Pág. 22-23.</w:t>
      </w:r>
    </w:p>
  </w:footnote>
  <w:footnote w:id="9">
    <w:p w14:paraId="1CAD653D" w14:textId="77777777" w:rsidR="00BA6E6F" w:rsidRPr="00774370" w:rsidRDefault="00BA6E6F" w:rsidP="00BA6E6F">
      <w:pPr>
        <w:pStyle w:val="Textonotapie"/>
        <w:ind w:firstLine="708"/>
        <w:jc w:val="both"/>
        <w:rPr>
          <w:rFonts w:ascii="Verdana" w:hAnsi="Verdana"/>
          <w:sz w:val="16"/>
          <w:szCs w:val="16"/>
          <w:lang w:val="es-CO"/>
        </w:rPr>
      </w:pPr>
      <w:r w:rsidRPr="00774370">
        <w:rPr>
          <w:rStyle w:val="Refdenotaalpie"/>
          <w:rFonts w:ascii="Verdana" w:hAnsi="Verdana"/>
          <w:sz w:val="16"/>
          <w:szCs w:val="16"/>
        </w:rPr>
        <w:footnoteRef/>
      </w:r>
      <w:r w:rsidRPr="00774370">
        <w:rPr>
          <w:rFonts w:ascii="Verdana" w:hAnsi="Verdana"/>
          <w:sz w:val="16"/>
          <w:szCs w:val="16"/>
        </w:rPr>
        <w:t xml:space="preserve"> Agencia Nacional de Contratación Pública – Colombia Compra Eficiente, </w:t>
      </w:r>
      <w:r w:rsidRPr="00774370">
        <w:rPr>
          <w:rFonts w:ascii="Verdana" w:hAnsi="Verdana"/>
          <w:sz w:val="16"/>
          <w:szCs w:val="16"/>
          <w:lang w:val="es-CO"/>
        </w:rPr>
        <w:t>Circular Externa Única 2023, Capítulo 4 Clasificador de Bienes y Servicios. Pág. 23.</w:t>
      </w:r>
    </w:p>
    <w:p w14:paraId="43118BDC" w14:textId="77777777" w:rsidR="00BA6E6F" w:rsidRPr="00774370" w:rsidRDefault="00BA6E6F" w:rsidP="00BA6E6F">
      <w:pPr>
        <w:pStyle w:val="Textonotapie"/>
        <w:ind w:firstLine="708"/>
        <w:jc w:val="both"/>
        <w:rPr>
          <w:rFonts w:ascii="Verdana" w:hAnsi="Verdana"/>
          <w:sz w:val="16"/>
          <w:szCs w:val="16"/>
          <w:lang w:val="es-CO"/>
        </w:rPr>
      </w:pPr>
    </w:p>
  </w:footnote>
  <w:footnote w:id="10">
    <w:p w14:paraId="132F4154" w14:textId="77777777" w:rsidR="00BA6E6F" w:rsidRPr="00774370" w:rsidRDefault="00BA6E6F" w:rsidP="00BA6E6F">
      <w:pPr>
        <w:pStyle w:val="Textonotapie"/>
        <w:ind w:firstLine="709"/>
        <w:jc w:val="both"/>
        <w:rPr>
          <w:rFonts w:ascii="Verdana" w:hAnsi="Verdana" w:cs="Arial"/>
          <w:sz w:val="16"/>
          <w:szCs w:val="16"/>
        </w:rPr>
      </w:pPr>
      <w:r w:rsidRPr="00774370">
        <w:rPr>
          <w:rStyle w:val="Refdenotaalpie"/>
          <w:rFonts w:ascii="Verdana" w:hAnsi="Verdana" w:cs="Arial"/>
          <w:sz w:val="16"/>
          <w:szCs w:val="16"/>
        </w:rPr>
        <w:footnoteRef/>
      </w:r>
      <w:r w:rsidRPr="00774370">
        <w:rPr>
          <w:rFonts w:ascii="Verdana" w:hAnsi="Verdana" w:cs="Arial"/>
          <w:sz w:val="16"/>
          <w:szCs w:val="16"/>
        </w:rPr>
        <w:t xml:space="preserve"> </w:t>
      </w:r>
      <w:r w:rsidRPr="00774370">
        <w:rPr>
          <w:rFonts w:ascii="Verdana" w:hAnsi="Verdana" w:cs="Arial"/>
          <w:color w:val="000000" w:themeColor="text1"/>
          <w:sz w:val="16"/>
          <w:szCs w:val="16"/>
          <w:lang w:val="es-ES_tradnl"/>
        </w:rPr>
        <w:t>“</w:t>
      </w:r>
      <w:r w:rsidRPr="00774370">
        <w:rPr>
          <w:rFonts w:ascii="Verdana" w:hAnsi="Verdana" w:cs="Arial"/>
          <w:sz w:val="16"/>
          <w:szCs w:val="16"/>
        </w:rPr>
        <w:t>Artículo 5o. Modifíquese el parágrafo 1 e inclúyanse los parágrafos 3, 4 y 5 de artículo 5o de la Ley 1150 de 2007, los cuales quedarán así: Artículo 5o. De la selección objetiva. [...] //PARÁGRAFO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 [..] PARÁGRAFO 3. La no entrega de la garantía de seriedad junto con la propuesta no será subsanable y será causal de rechazo de la misma”.</w:t>
      </w:r>
    </w:p>
  </w:footnote>
  <w:footnote w:id="11">
    <w:p w14:paraId="16E9F528"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Refdenotaalpie"/>
          <w:rFonts w:ascii="Verdana" w:eastAsiaTheme="majorEastAsia" w:hAnsi="Verdana" w:cs="Arial"/>
          <w:sz w:val="16"/>
          <w:szCs w:val="16"/>
        </w:rPr>
        <w:footnoteRef/>
      </w:r>
      <w:r w:rsidRPr="00774370">
        <w:rPr>
          <w:rFonts w:ascii="Verdana" w:hAnsi="Verdana" w:cs="Arial"/>
          <w:sz w:val="16"/>
          <w:szCs w:val="16"/>
        </w:rPr>
        <w:t xml:space="preserve"> </w:t>
      </w:r>
      <w:r w:rsidRPr="00774370">
        <w:rPr>
          <w:rStyle w:val="normaltextrun"/>
          <w:rFonts w:ascii="Verdana" w:hAnsi="Verdana" w:cs="Arial"/>
          <w:color w:val="000000"/>
          <w:sz w:val="16"/>
          <w:szCs w:val="16"/>
        </w:rPr>
        <w:t>El numeral 2 del artículo 2 de la Ley 1150 de 2007 prescribe: “[…] Serán causales de selección abreviada las siguientes:</w:t>
      </w:r>
      <w:r w:rsidRPr="00774370">
        <w:rPr>
          <w:rStyle w:val="eop"/>
          <w:rFonts w:ascii="Verdana" w:hAnsi="Verdana" w:cs="Arial"/>
          <w:color w:val="000000"/>
          <w:sz w:val="16"/>
          <w:szCs w:val="16"/>
        </w:rPr>
        <w:t> </w:t>
      </w:r>
    </w:p>
    <w:p w14:paraId="286EB781"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774370">
        <w:rPr>
          <w:rStyle w:val="eop"/>
          <w:rFonts w:ascii="Verdana" w:hAnsi="Verdana" w:cs="Arial"/>
          <w:color w:val="000000"/>
          <w:sz w:val="16"/>
          <w:szCs w:val="16"/>
        </w:rPr>
        <w:t> </w:t>
      </w:r>
    </w:p>
    <w:p w14:paraId="3A829DA4"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r w:rsidRPr="00774370">
        <w:rPr>
          <w:rStyle w:val="eop"/>
          <w:rFonts w:ascii="Verdana" w:hAnsi="Verdana" w:cs="Arial"/>
          <w:color w:val="000000"/>
          <w:sz w:val="16"/>
          <w:szCs w:val="16"/>
        </w:rPr>
        <w:t> </w:t>
      </w:r>
    </w:p>
    <w:p w14:paraId="3FE664E2"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r w:rsidRPr="00774370">
        <w:rPr>
          <w:rStyle w:val="eop"/>
          <w:rFonts w:ascii="Verdana" w:hAnsi="Verdana" w:cs="Arial"/>
          <w:color w:val="000000"/>
          <w:sz w:val="16"/>
          <w:szCs w:val="16"/>
        </w:rPr>
        <w:t> </w:t>
      </w:r>
    </w:p>
    <w:p w14:paraId="04B916CF"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w:t>
      </w:r>
      <w:r w:rsidRPr="00774370">
        <w:rPr>
          <w:rStyle w:val="eop"/>
          <w:rFonts w:ascii="Verdana" w:hAnsi="Verdana" w:cs="Arial"/>
          <w:color w:val="000000"/>
          <w:sz w:val="16"/>
          <w:szCs w:val="16"/>
        </w:rPr>
        <w:t> </w:t>
      </w:r>
    </w:p>
    <w:p w14:paraId="4BACBB78"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r w:rsidRPr="00774370">
        <w:rPr>
          <w:rStyle w:val="eop"/>
          <w:rFonts w:ascii="Verdana" w:hAnsi="Verdana" w:cs="Arial"/>
          <w:color w:val="000000"/>
          <w:sz w:val="16"/>
          <w:szCs w:val="16"/>
        </w:rPr>
        <w:t> </w:t>
      </w:r>
    </w:p>
    <w:p w14:paraId="3CA0D43E"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d) La contratación cuyo proceso de licitación pública haya sido declarado desierto; en cuyo caso la entidad deberá iniciar la selección abreviada dentro de los cuatro meses siguientes a la declaración de desierta del proceso inicial;</w:t>
      </w:r>
      <w:r w:rsidRPr="00774370">
        <w:rPr>
          <w:rStyle w:val="eop"/>
          <w:rFonts w:ascii="Verdana" w:hAnsi="Verdana" w:cs="Arial"/>
          <w:color w:val="000000"/>
          <w:sz w:val="16"/>
          <w:szCs w:val="16"/>
        </w:rPr>
        <w:t> </w:t>
      </w:r>
    </w:p>
    <w:p w14:paraId="00FB2CB6"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e) La enajenación de bienes del Estado, con excepción de aquellos a que se refiere la Ley 226 de 1995.</w:t>
      </w:r>
      <w:r w:rsidRPr="00774370">
        <w:rPr>
          <w:rStyle w:val="eop"/>
          <w:rFonts w:ascii="Verdana" w:hAnsi="Verdana" w:cs="Arial"/>
          <w:color w:val="000000"/>
          <w:sz w:val="16"/>
          <w:szCs w:val="16"/>
        </w:rPr>
        <w:t> </w:t>
      </w:r>
    </w:p>
    <w:p w14:paraId="3EEF01F5"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 </w:t>
      </w:r>
      <w:r w:rsidRPr="00774370">
        <w:rPr>
          <w:rStyle w:val="eop"/>
          <w:rFonts w:ascii="Verdana" w:hAnsi="Verdana" w:cs="Arial"/>
          <w:color w:val="000000"/>
          <w:sz w:val="16"/>
          <w:szCs w:val="16"/>
        </w:rPr>
        <w:t> </w:t>
      </w:r>
    </w:p>
    <w:p w14:paraId="722AE48D"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f) Productos de origen o destinación agropecuarios que se ofrezcan en las bolsas de productos legalmente constituidas; </w:t>
      </w:r>
      <w:r w:rsidRPr="00774370">
        <w:rPr>
          <w:rStyle w:val="eop"/>
          <w:rFonts w:ascii="Verdana" w:hAnsi="Verdana" w:cs="Arial"/>
          <w:color w:val="000000"/>
          <w:sz w:val="16"/>
          <w:szCs w:val="16"/>
        </w:rPr>
        <w:t> </w:t>
      </w:r>
    </w:p>
    <w:p w14:paraId="728EE4A3"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r w:rsidRPr="00774370">
        <w:rPr>
          <w:rStyle w:val="eop"/>
          <w:rFonts w:ascii="Verdana" w:hAnsi="Verdana" w:cs="Arial"/>
          <w:color w:val="000000"/>
          <w:sz w:val="16"/>
          <w:szCs w:val="16"/>
        </w:rPr>
        <w:t> </w:t>
      </w:r>
    </w:p>
    <w:p w14:paraId="6EE64550"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r w:rsidRPr="00774370">
        <w:rPr>
          <w:rStyle w:val="eop"/>
          <w:rFonts w:ascii="Verdana" w:hAnsi="Verdana" w:cs="Arial"/>
          <w:color w:val="000000"/>
          <w:sz w:val="16"/>
          <w:szCs w:val="16"/>
        </w:rPr>
        <w:t> </w:t>
      </w:r>
    </w:p>
    <w:p w14:paraId="12FDF0E5"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normaltextrun"/>
          <w:rFonts w:ascii="Verdana" w:hAnsi="Verdana" w:cs="Arial"/>
          <w:color w:val="000000"/>
          <w:sz w:val="16"/>
          <w:szCs w:val="16"/>
        </w:rPr>
        <w:t>i) La contratación de bienes y servicios que se requieran para la defensa y seguridad nacional.</w:t>
      </w:r>
      <w:r w:rsidRPr="00774370">
        <w:rPr>
          <w:rStyle w:val="eop"/>
          <w:rFonts w:ascii="Verdana" w:hAnsi="Verdana" w:cs="Arial"/>
          <w:color w:val="000000"/>
          <w:sz w:val="16"/>
          <w:szCs w:val="16"/>
        </w:rPr>
        <w:t> </w:t>
      </w:r>
    </w:p>
    <w:p w14:paraId="330F4B26" w14:textId="77777777" w:rsidR="00BA6E6F" w:rsidRPr="00774370" w:rsidRDefault="00BA6E6F" w:rsidP="00BA6E6F">
      <w:pPr>
        <w:pStyle w:val="paragraph"/>
        <w:spacing w:before="0" w:beforeAutospacing="0" w:after="0" w:afterAutospacing="0"/>
        <w:ind w:firstLine="705"/>
        <w:contextualSpacing/>
        <w:jc w:val="both"/>
        <w:textAlignment w:val="baseline"/>
        <w:rPr>
          <w:rFonts w:ascii="Verdana" w:hAnsi="Verdana" w:cs="Arial"/>
          <w:sz w:val="16"/>
          <w:szCs w:val="16"/>
        </w:rPr>
      </w:pPr>
      <w:r w:rsidRPr="00774370">
        <w:rPr>
          <w:rStyle w:val="eop"/>
          <w:rFonts w:ascii="Verdana" w:hAnsi="Verdana" w:cs="Arial"/>
          <w:color w:val="000000"/>
          <w:sz w:val="16"/>
          <w:szCs w:val="16"/>
        </w:rPr>
        <w:t> </w:t>
      </w:r>
    </w:p>
    <w:p w14:paraId="6CC2AEFE" w14:textId="77777777" w:rsidR="00BA6E6F" w:rsidRPr="00774370" w:rsidRDefault="00BA6E6F" w:rsidP="00BA6E6F">
      <w:pPr>
        <w:pStyle w:val="fn1"/>
        <w:contextualSpacing/>
        <w:jc w:val="both"/>
        <w:rPr>
          <w:rFonts w:ascii="Verdana" w:hAnsi="Verdana" w:cs="Arial"/>
          <w:sz w:val="16"/>
          <w:szCs w:val="16"/>
          <w:lang w:val="es-CO"/>
        </w:rPr>
      </w:pPr>
    </w:p>
  </w:footnote>
  <w:footnote w:id="12">
    <w:p w14:paraId="03C03D57"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Refdenotaalpie"/>
          <w:rFonts w:ascii="Verdana" w:hAnsi="Verdana" w:cs="Arial"/>
          <w:sz w:val="16"/>
          <w:szCs w:val="16"/>
        </w:rPr>
        <w:footnoteRef/>
      </w:r>
      <w:r w:rsidRPr="00774370">
        <w:rPr>
          <w:rStyle w:val="EncabezadoCar"/>
          <w:rFonts w:ascii="Verdana" w:hAnsi="Verdana" w:cs="Arial"/>
          <w:color w:val="000000"/>
          <w:sz w:val="16"/>
          <w:szCs w:val="16"/>
        </w:rPr>
        <w:t> Ley 1150 de 2007 </w:t>
      </w:r>
      <w:r>
        <w:rPr>
          <w:rStyle w:val="EncabezadoCar"/>
          <w:rFonts w:ascii="Verdana" w:hAnsi="Verdana" w:cs="Arial"/>
          <w:color w:val="000000"/>
          <w:sz w:val="16"/>
          <w:szCs w:val="16"/>
        </w:rPr>
        <w:t>“</w:t>
      </w:r>
      <w:r w:rsidRPr="00774370">
        <w:rPr>
          <w:rStyle w:val="EncabezadoCar"/>
          <w:rFonts w:ascii="Verdana" w:hAnsi="Verdana" w:cs="Arial"/>
          <w:color w:val="000000"/>
          <w:sz w:val="16"/>
          <w:szCs w:val="16"/>
        </w:rPr>
        <w:t>Artículo 2o. De las modalidades de selección. La escogencia del contratista se efectuará con arreglo a las modalidades de selección de licitación pública, selección abreviada, concurso de méritos y contratación directa, con base en las siguientes reglas:</w:t>
      </w:r>
      <w:r w:rsidRPr="00774370">
        <w:rPr>
          <w:rFonts w:ascii="Verdana" w:hAnsi="Verdana" w:cs="Arial"/>
          <w:color w:val="000000"/>
          <w:sz w:val="16"/>
          <w:szCs w:val="16"/>
        </w:rPr>
        <w:t> </w:t>
      </w:r>
    </w:p>
    <w:p w14:paraId="00FDD7D9"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1. Licitación pública. La escogencia del contratista se efectuará por regla general a través de licitación pública, con las excepciones que se señalan en los numerales 2, 3 y 4 del presente artículo.</w:t>
      </w:r>
      <w:r w:rsidRPr="00774370">
        <w:rPr>
          <w:rFonts w:ascii="Verdana" w:hAnsi="Verdana" w:cs="Arial"/>
          <w:color w:val="000000"/>
          <w:sz w:val="16"/>
          <w:szCs w:val="16"/>
        </w:rPr>
        <w:t> </w:t>
      </w:r>
    </w:p>
    <w:p w14:paraId="254E5DE0"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i/>
          <w:iCs/>
          <w:color w:val="000000"/>
          <w:sz w:val="16"/>
          <w:szCs w:val="16"/>
        </w:rPr>
        <w:t>Cuando la entidad estatal así lo determine, la oferta en un proceso de la licitación pública podrá ser presentada total o parcialmente de manera dinámica mediante subasta inversa, en las condiciones que fije el reglamento</w:t>
      </w:r>
      <w:r w:rsidRPr="00774370">
        <w:rPr>
          <w:rStyle w:val="EncabezadoCar"/>
          <w:rFonts w:ascii="Verdana" w:hAnsi="Verdana" w:cs="Arial"/>
          <w:color w:val="000000"/>
          <w:sz w:val="16"/>
          <w:szCs w:val="16"/>
        </w:rPr>
        <w:t>.</w:t>
      </w:r>
      <w:r w:rsidRPr="00774370">
        <w:rPr>
          <w:rFonts w:ascii="Verdana" w:hAnsi="Verdana" w:cs="Arial"/>
          <w:color w:val="000000"/>
          <w:sz w:val="16"/>
          <w:szCs w:val="16"/>
        </w:rPr>
        <w:t> </w:t>
      </w:r>
    </w:p>
    <w:p w14:paraId="4A741D23"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sidRPr="00774370">
        <w:rPr>
          <w:rFonts w:ascii="Verdana" w:hAnsi="Verdana" w:cs="Arial"/>
          <w:color w:val="000000"/>
          <w:sz w:val="16"/>
          <w:szCs w:val="16"/>
        </w:rPr>
        <w:t> </w:t>
      </w:r>
    </w:p>
    <w:p w14:paraId="638EA6FC"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El Gobierno Nacional reglamentará la materia.</w:t>
      </w:r>
      <w:r w:rsidRPr="00774370">
        <w:rPr>
          <w:rFonts w:ascii="Verdana" w:hAnsi="Verdana" w:cs="Arial"/>
          <w:color w:val="000000"/>
          <w:sz w:val="16"/>
          <w:szCs w:val="16"/>
        </w:rPr>
        <w:t> </w:t>
      </w:r>
    </w:p>
    <w:p w14:paraId="72A8FCD7"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Serán causales de selección abreviada las siguientes:</w:t>
      </w:r>
      <w:r w:rsidRPr="00774370">
        <w:rPr>
          <w:rFonts w:ascii="Verdana" w:hAnsi="Verdana" w:cs="Arial"/>
          <w:color w:val="000000"/>
          <w:sz w:val="16"/>
          <w:szCs w:val="16"/>
        </w:rPr>
        <w:t> </w:t>
      </w:r>
    </w:p>
    <w:p w14:paraId="57F8C881"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Pr="00774370">
        <w:rPr>
          <w:rFonts w:ascii="Verdana" w:hAnsi="Verdana" w:cs="Arial"/>
          <w:color w:val="000000"/>
          <w:sz w:val="16"/>
          <w:szCs w:val="16"/>
        </w:rPr>
        <w:t> </w:t>
      </w:r>
    </w:p>
    <w:p w14:paraId="7E30D533"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i/>
          <w:iCs/>
          <w:color w:val="000000"/>
          <w:sz w:val="16"/>
          <w:szCs w:val="16"/>
        </w:rPr>
        <w:t>Para la adquisición de estos bienes y servicios las entidades deberán, siempre que el reglamento así lo señale, hacer uso de procedimientos de subasta inversa</w:t>
      </w:r>
      <w:r w:rsidRPr="00774370">
        <w:rPr>
          <w:rStyle w:val="EncabezadoCar"/>
          <w:rFonts w:ascii="Verdana" w:hAnsi="Verdana" w:cs="Arial"/>
          <w:color w:val="000000"/>
          <w:sz w:val="16"/>
          <w:szCs w:val="16"/>
        </w:rPr>
        <w:t> o de instrumentos de compra por catálogo derivados de la celebración de acuerdos marco de precios o de procedimientos de adquisición en bolsas de productos; </w:t>
      </w:r>
      <w:r w:rsidRPr="00774370">
        <w:rPr>
          <w:rFonts w:ascii="Verdana" w:hAnsi="Verdana" w:cs="Arial"/>
          <w:color w:val="000000"/>
          <w:sz w:val="16"/>
          <w:szCs w:val="16"/>
        </w:rPr>
        <w:t> </w:t>
      </w:r>
    </w:p>
    <w:p w14:paraId="32700BA6" w14:textId="77777777" w:rsidR="00BA6E6F" w:rsidRPr="00774370" w:rsidRDefault="00BA6E6F" w:rsidP="00BA6E6F">
      <w:pPr>
        <w:spacing w:after="0"/>
        <w:ind w:left="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w:t>
      </w:r>
      <w:r w:rsidRPr="00774370">
        <w:rPr>
          <w:rFonts w:ascii="Verdana" w:hAnsi="Verdana" w:cs="Arial"/>
          <w:color w:val="000000"/>
          <w:sz w:val="16"/>
          <w:szCs w:val="16"/>
        </w:rPr>
        <w:t> </w:t>
      </w:r>
    </w:p>
    <w:p w14:paraId="0F7BBE8B"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e) La enajenación de bienes del Estado, con excepción de aquellos a que se refiere la Ley 226 de 1995.</w:t>
      </w:r>
      <w:r w:rsidRPr="00774370">
        <w:rPr>
          <w:rFonts w:ascii="Verdana" w:hAnsi="Verdana" w:cs="Arial"/>
          <w:color w:val="000000"/>
          <w:sz w:val="16"/>
          <w:szCs w:val="16"/>
        </w:rPr>
        <w:t> </w:t>
      </w:r>
    </w:p>
    <w:p w14:paraId="194988CE"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i/>
          <w:iCs/>
          <w:color w:val="000000"/>
          <w:sz w:val="16"/>
          <w:szCs w:val="16"/>
        </w:rPr>
        <w:t>En los procesos de enajenación de los bienes del Estado se podrán utilizar instrumentos de subasta y en general de todos aquellos mecanismos autorizados por el derecho privado, siempre y cuando en desarrollo del proceso de enajenación se garantice la transparencia, la eficiencia y la selección objetiva</w:t>
      </w:r>
      <w:r w:rsidRPr="00774370">
        <w:rPr>
          <w:rStyle w:val="EncabezadoCar"/>
          <w:rFonts w:ascii="Verdana" w:hAnsi="Verdana" w:cs="Arial"/>
          <w:color w:val="000000"/>
          <w:sz w:val="16"/>
          <w:szCs w:val="16"/>
        </w:rPr>
        <w:t>.</w:t>
      </w:r>
      <w:r w:rsidRPr="00774370">
        <w:rPr>
          <w:rFonts w:ascii="Verdana" w:hAnsi="Verdana" w:cs="Arial"/>
          <w:color w:val="000000"/>
          <w:sz w:val="16"/>
          <w:szCs w:val="16"/>
        </w:rPr>
        <w:t> </w:t>
      </w:r>
    </w:p>
    <w:p w14:paraId="3512040E"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w:t>
      </w:r>
      <w:r w:rsidRPr="00774370">
        <w:rPr>
          <w:rFonts w:ascii="Verdana" w:hAnsi="Verdana" w:cs="Arial"/>
          <w:color w:val="000000"/>
          <w:sz w:val="16"/>
          <w:szCs w:val="16"/>
        </w:rPr>
        <w:t> </w:t>
      </w:r>
    </w:p>
    <w:p w14:paraId="0F324FED"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color w:val="000000"/>
          <w:sz w:val="16"/>
          <w:szCs w:val="16"/>
        </w:rPr>
        <w:t>Las reglas y procedimientos que deberán atender la administración y los promotores y la publicidad del proceso deberán garantizar la libre concurrencia y oportunidad de quienes participen en el mismo.</w:t>
      </w:r>
      <w:r w:rsidRPr="00774370">
        <w:rPr>
          <w:rFonts w:ascii="Verdana" w:hAnsi="Verdana" w:cs="Arial"/>
          <w:color w:val="000000"/>
          <w:sz w:val="16"/>
          <w:szCs w:val="16"/>
        </w:rPr>
        <w:t> </w:t>
      </w:r>
    </w:p>
    <w:p w14:paraId="1830EB7A" w14:textId="77777777" w:rsidR="00BA6E6F" w:rsidRPr="00774370" w:rsidRDefault="00BA6E6F" w:rsidP="00BA6E6F">
      <w:pPr>
        <w:spacing w:after="0"/>
        <w:ind w:firstLine="705"/>
        <w:contextualSpacing/>
        <w:jc w:val="both"/>
        <w:textAlignment w:val="baseline"/>
        <w:rPr>
          <w:rFonts w:ascii="Verdana" w:hAnsi="Verdana" w:cs="Arial"/>
          <w:sz w:val="16"/>
          <w:szCs w:val="16"/>
        </w:rPr>
      </w:pPr>
      <w:r w:rsidRPr="00774370">
        <w:rPr>
          <w:rStyle w:val="EncabezadoCar"/>
          <w:rFonts w:ascii="Verdana" w:hAnsi="Verdana" w:cs="Arial"/>
          <w:i/>
          <w:iCs/>
          <w:color w:val="000000"/>
          <w:sz w:val="16"/>
          <w:szCs w:val="16"/>
        </w:rPr>
        <w:t>Los bienes serán enajenados a través de venta directa en sobre cerrado o en pública subasta</w:t>
      </w:r>
      <w:r w:rsidRPr="00774370">
        <w:rPr>
          <w:rStyle w:val="EncabezadoCar"/>
          <w:rFonts w:ascii="Verdana" w:hAnsi="Verdana" w:cs="Arial"/>
          <w:color w:val="000000"/>
          <w:sz w:val="16"/>
          <w:szCs w:val="16"/>
        </w:rPr>
        <w:t>. La adjudicación para la venta directa deberá hacerse en audiencia pública, en donde se conozcan las ofertas iniciales y se efectúe un segundo ofrecimiento, frente al cual se adjudicará el bien a quien oferte el mejor precio. </w:t>
      </w:r>
      <w:r w:rsidRPr="00774370">
        <w:rPr>
          <w:rStyle w:val="EncabezadoCar"/>
          <w:rFonts w:ascii="Verdana" w:hAnsi="Verdana" w:cs="Arial"/>
          <w:i/>
          <w:iCs/>
          <w:color w:val="000000"/>
          <w:sz w:val="16"/>
          <w:szCs w:val="16"/>
        </w:rPr>
        <w:t>En la subasta pública, de acuerdo con el reglamento definido para su realización, el bien será adjudicado al mejor postor</w:t>
      </w:r>
      <w:r w:rsidRPr="00774370">
        <w:rPr>
          <w:rStyle w:val="EncabezadoCar"/>
          <w:rFonts w:ascii="Verdana" w:hAnsi="Verdana" w:cs="Arial"/>
          <w:color w:val="000000"/>
          <w:sz w:val="16"/>
          <w:szCs w:val="16"/>
        </w:rPr>
        <w:t>.</w:t>
      </w:r>
      <w:r w:rsidRPr="00774370">
        <w:rPr>
          <w:rFonts w:ascii="Verdana" w:hAnsi="Verdana" w:cs="Arial"/>
          <w:color w:val="000000"/>
          <w:sz w:val="16"/>
          <w:szCs w:val="16"/>
        </w:rPr>
        <w:t> </w:t>
      </w:r>
    </w:p>
    <w:p w14:paraId="27C65986" w14:textId="77777777" w:rsidR="00BA6E6F" w:rsidRPr="00774370" w:rsidRDefault="00BA6E6F" w:rsidP="00BA6E6F">
      <w:pPr>
        <w:spacing w:after="0"/>
        <w:ind w:firstLine="705"/>
        <w:contextualSpacing/>
        <w:jc w:val="both"/>
        <w:textAlignment w:val="baseline"/>
        <w:rPr>
          <w:rStyle w:val="EncabezadoCar"/>
          <w:rFonts w:ascii="Verdana" w:hAnsi="Verdana" w:cs="Arial"/>
          <w:color w:val="000000"/>
          <w:sz w:val="16"/>
          <w:szCs w:val="16"/>
        </w:rPr>
      </w:pPr>
      <w:r w:rsidRPr="00774370">
        <w:rPr>
          <w:rStyle w:val="EncabezadoCar"/>
          <w:rFonts w:ascii="Verdana" w:hAnsi="Verdana" w:cs="Arial"/>
          <w:color w:val="000000"/>
          <w:sz w:val="16"/>
          <w:szCs w:val="16"/>
        </w:rPr>
        <w:t>La venta implica la publicación previa de los bienes en un diario de amplia circulación nacional, con la determinación del precio base. El interesado en adquirir bienes deberá consignar al menos el 20% del valor base de venta para participar en la oferta […]</w:t>
      </w:r>
      <w:r>
        <w:rPr>
          <w:rStyle w:val="EncabezadoCar"/>
          <w:rFonts w:ascii="Verdana" w:hAnsi="Verdana" w:cs="Arial"/>
          <w:color w:val="000000"/>
          <w:sz w:val="16"/>
          <w:szCs w:val="16"/>
        </w:rPr>
        <w:t>”</w:t>
      </w:r>
      <w:r w:rsidRPr="00774370">
        <w:rPr>
          <w:rStyle w:val="EncabezadoCar"/>
          <w:rFonts w:ascii="Verdana" w:hAnsi="Verdana" w:cs="Arial"/>
          <w:color w:val="000000"/>
          <w:sz w:val="16"/>
          <w:szCs w:val="16"/>
        </w:rPr>
        <w:t>. (Cursivas fuera del original).</w:t>
      </w:r>
    </w:p>
    <w:p w14:paraId="7F6537FA" w14:textId="77777777" w:rsidR="00BA6E6F" w:rsidRPr="000C6D01" w:rsidRDefault="00BA6E6F" w:rsidP="00BA6E6F">
      <w:pPr>
        <w:spacing w:after="0"/>
        <w:ind w:firstLine="705"/>
        <w:contextualSpacing/>
        <w:jc w:val="both"/>
        <w:textAlignment w:val="baseline"/>
        <w:rPr>
          <w:rFonts w:ascii="Verdana" w:hAnsi="Verdana" w:cs="Arial"/>
          <w:sz w:val="16"/>
          <w:szCs w:val="16"/>
        </w:rPr>
      </w:pPr>
    </w:p>
  </w:footnote>
  <w:footnote w:id="13">
    <w:p w14:paraId="69216AE7" w14:textId="77777777" w:rsidR="00BA6E6F" w:rsidRPr="000C6D01" w:rsidRDefault="00BA6E6F" w:rsidP="00BA6E6F">
      <w:pPr>
        <w:pStyle w:val="fn1"/>
        <w:ind w:firstLine="705"/>
        <w:contextualSpacing/>
        <w:jc w:val="both"/>
        <w:rPr>
          <w:rFonts w:ascii="Verdana" w:hAnsi="Verdana" w:cs="Arial"/>
          <w:sz w:val="18"/>
          <w:szCs w:val="18"/>
        </w:rPr>
      </w:pPr>
      <w:r w:rsidRPr="000C6D01">
        <w:rPr>
          <w:rStyle w:val="Refdenotaalpie"/>
          <w:rFonts w:ascii="Verdana" w:hAnsi="Verdana" w:cs="Arial"/>
          <w:sz w:val="18"/>
          <w:szCs w:val="18"/>
        </w:rPr>
        <w:footnoteRef/>
      </w:r>
      <w:r w:rsidRPr="000C6D01">
        <w:rPr>
          <w:rFonts w:ascii="Verdana" w:hAnsi="Verdana" w:cs="Arial"/>
          <w:sz w:val="18"/>
          <w:szCs w:val="18"/>
        </w:rPr>
        <w:t xml:space="preserve"> </w:t>
      </w:r>
      <w:r w:rsidRPr="000C6D01">
        <w:rPr>
          <w:rStyle w:val="normaltextrun"/>
          <w:rFonts w:ascii="Verdana" w:hAnsi="Verdana" w:cs="Arial"/>
          <w:color w:val="000000"/>
          <w:sz w:val="18"/>
          <w:szCs w:val="18"/>
          <w:shd w:val="clear" w:color="auto" w:fill="FFFFFF"/>
        </w:rPr>
        <w:t>MATALLANA CAMACHO, Ernesto. Manual de Contratación de la Administración Pública. 3a ed. Bogotá D. C. Editorial Universidad externado de Colombia, 2013. p. 579.</w:t>
      </w:r>
      <w:r w:rsidRPr="000C6D01">
        <w:rPr>
          <w:rStyle w:val="eop"/>
          <w:rFonts w:ascii="Verdana" w:hAnsi="Verdana" w:cs="Arial"/>
          <w:color w:val="000000"/>
          <w:sz w:val="18"/>
          <w:szCs w:val="18"/>
          <w:shd w:val="clear" w:color="auto" w:fill="FFFFFF"/>
        </w:rPr>
        <w:t> </w:t>
      </w:r>
    </w:p>
  </w:footnote>
  <w:footnote w:id="14">
    <w:p w14:paraId="420F0E23" w14:textId="77777777" w:rsidR="00BA6E6F" w:rsidRPr="000C6D01" w:rsidRDefault="00BA6E6F" w:rsidP="00BA6E6F">
      <w:pPr>
        <w:pStyle w:val="fn1"/>
        <w:ind w:firstLine="705"/>
        <w:contextualSpacing/>
        <w:jc w:val="both"/>
        <w:rPr>
          <w:rFonts w:ascii="Verdana" w:hAnsi="Verdana" w:cs="Arial"/>
          <w:sz w:val="18"/>
          <w:szCs w:val="18"/>
        </w:rPr>
      </w:pPr>
    </w:p>
    <w:p w14:paraId="569E35F9" w14:textId="77777777" w:rsidR="00BA6E6F" w:rsidRPr="00611497" w:rsidRDefault="00BA6E6F" w:rsidP="00BA6E6F">
      <w:pPr>
        <w:pStyle w:val="fn1"/>
        <w:ind w:firstLine="705"/>
        <w:contextualSpacing/>
        <w:jc w:val="both"/>
        <w:rPr>
          <w:rFonts w:ascii="Arial" w:hAnsi="Arial" w:cs="Arial"/>
          <w:sz w:val="18"/>
          <w:szCs w:val="18"/>
        </w:rPr>
      </w:pPr>
      <w:r w:rsidRPr="000C6D01">
        <w:rPr>
          <w:rStyle w:val="Refdenotaalpie"/>
          <w:rFonts w:ascii="Verdana" w:hAnsi="Verdana" w:cs="Arial"/>
          <w:sz w:val="18"/>
          <w:szCs w:val="18"/>
        </w:rPr>
        <w:footnoteRef/>
      </w:r>
      <w:r w:rsidRPr="000C6D01">
        <w:rPr>
          <w:rFonts w:ascii="Verdana" w:hAnsi="Verdana" w:cs="Arial"/>
          <w:sz w:val="18"/>
          <w:szCs w:val="18"/>
        </w:rPr>
        <w:t xml:space="preserve"> </w:t>
      </w:r>
      <w:r w:rsidRPr="000C6D01">
        <w:rPr>
          <w:rStyle w:val="normaltextrun"/>
          <w:rFonts w:ascii="Verdana" w:hAnsi="Verdana" w:cs="Arial"/>
          <w:color w:val="000000"/>
          <w:sz w:val="18"/>
          <w:szCs w:val="18"/>
          <w:bdr w:val="none" w:sz="0" w:space="0" w:color="auto" w:frame="1"/>
        </w:rPr>
        <w:t>SOLANO SIERRA, Jairo E. Contratación Administrativa, Modalidades de selección del Contratista. 4a. ed. Bogotá D.C.: Editorial Doctrina y Ley Ltda., 2010. p. 283.</w:t>
      </w:r>
    </w:p>
  </w:footnote>
  <w:footnote w:id="15">
    <w:p w14:paraId="0E896275" w14:textId="77777777" w:rsidR="00BA6E6F" w:rsidRPr="00774370" w:rsidRDefault="00BA6E6F" w:rsidP="00BA6E6F">
      <w:pPr>
        <w:pStyle w:val="Textonotapie"/>
        <w:ind w:firstLine="705"/>
        <w:jc w:val="both"/>
        <w:rPr>
          <w:rFonts w:ascii="Verdana" w:hAnsi="Verdana"/>
          <w:sz w:val="16"/>
          <w:szCs w:val="16"/>
          <w:lang w:val="es-CO"/>
        </w:rPr>
      </w:pPr>
      <w:r w:rsidRPr="00774370">
        <w:rPr>
          <w:rStyle w:val="Refdenotaalpie"/>
          <w:rFonts w:ascii="Verdana" w:hAnsi="Verdana"/>
          <w:sz w:val="16"/>
          <w:szCs w:val="16"/>
        </w:rPr>
        <w:footnoteRef/>
      </w:r>
      <w:r w:rsidRPr="00774370">
        <w:rPr>
          <w:rFonts w:ascii="Verdana" w:hAnsi="Verdana"/>
          <w:sz w:val="16"/>
          <w:szCs w:val="16"/>
        </w:rPr>
        <w:t xml:space="preserve"> </w:t>
      </w:r>
      <w:r w:rsidRPr="00774370">
        <w:rPr>
          <w:rFonts w:ascii="Verdana" w:hAnsi="Verdana"/>
          <w:sz w:val="16"/>
          <w:szCs w:val="16"/>
          <w:lang w:val="es-CO"/>
        </w:rPr>
        <w:t>Decreto 1082 de 2015, artículo 2.2.1.2.1.5.2, numeral 5, modificado por el Decreto 1860 de 2021.</w:t>
      </w:r>
    </w:p>
  </w:footnote>
  <w:footnote w:id="16">
    <w:p w14:paraId="4792E38B" w14:textId="77777777" w:rsidR="00BA6E6F" w:rsidRPr="00774370" w:rsidRDefault="00BA6E6F" w:rsidP="00BA6E6F">
      <w:pPr>
        <w:pStyle w:val="Textonotapie"/>
        <w:ind w:firstLine="705"/>
        <w:jc w:val="both"/>
        <w:rPr>
          <w:rFonts w:ascii="Verdana" w:hAnsi="Verdana"/>
          <w:sz w:val="16"/>
          <w:szCs w:val="16"/>
          <w:lang w:val="es-CO"/>
        </w:rPr>
      </w:pPr>
      <w:r w:rsidRPr="00774370">
        <w:rPr>
          <w:rStyle w:val="Refdenotaalpie"/>
          <w:rFonts w:ascii="Verdana" w:hAnsi="Verdana"/>
          <w:sz w:val="16"/>
          <w:szCs w:val="16"/>
        </w:rPr>
        <w:footnoteRef/>
      </w:r>
      <w:r w:rsidRPr="00774370">
        <w:rPr>
          <w:rFonts w:ascii="Verdana" w:hAnsi="Verdana"/>
          <w:sz w:val="16"/>
          <w:szCs w:val="16"/>
        </w:rPr>
        <w:t xml:space="preserve"> </w:t>
      </w:r>
      <w:r w:rsidRPr="00774370">
        <w:rPr>
          <w:rFonts w:ascii="Verdana" w:hAnsi="Verdana"/>
          <w:sz w:val="16"/>
          <w:szCs w:val="16"/>
          <w:lang w:val="es-CO"/>
        </w:rPr>
        <w:t>Consejo de Estado, Sección Tercera, Subsección C, sentencia del 26 de febrero de 2014, Rad. 25804, M.P.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01872" w14:textId="77777777" w:rsidR="000A4363" w:rsidRDefault="000A4363">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C8DEEBC" wp14:editId="1C0CA49A">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C1356A1" wp14:editId="7CEF182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526BC28" w14:textId="77777777" w:rsidR="000A4363" w:rsidRDefault="000A4363">
    <w:pPr>
      <w:pStyle w:val="Encabezado"/>
    </w:pPr>
  </w:p>
  <w:p w14:paraId="6A0D3633" w14:textId="77777777" w:rsidR="000A4363" w:rsidRDefault="000A4363" w:rsidP="004A305D">
    <w:pPr>
      <w:spacing w:after="0"/>
      <w:rPr>
        <w:rFonts w:ascii="Verdana" w:hAnsi="Verdana"/>
        <w:b/>
        <w:bCs/>
      </w:rPr>
    </w:pPr>
  </w:p>
  <w:p w14:paraId="17E5437B" w14:textId="77777777" w:rsidR="000A4363" w:rsidRPr="004A305D" w:rsidRDefault="000A4363" w:rsidP="00B01B1A">
    <w:pPr>
      <w:spacing w:after="0" w:line="120" w:lineRule="auto"/>
      <w:rPr>
        <w:rFonts w:ascii="Century Gothic" w:eastAsia="Geo" w:hAnsi="Century Gothic" w:cs="Geo"/>
        <w:sz w:val="16"/>
        <w:szCs w:val="16"/>
        <w:lang w:eastAsia="es-CO"/>
      </w:rPr>
    </w:pPr>
  </w:p>
  <w:p w14:paraId="515A9050" w14:textId="77777777" w:rsidR="000A4363" w:rsidRDefault="000A4363"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2E781A0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DF06ACC"/>
    <w:multiLevelType w:val="hybridMultilevel"/>
    <w:tmpl w:val="E3B09C78"/>
    <w:lvl w:ilvl="0" w:tplc="4316F3E8">
      <w:start w:val="1"/>
      <w:numFmt w:val="lowerRoman"/>
      <w:lvlText w:val="%1)"/>
      <w:lvlJc w:val="left"/>
      <w:pPr>
        <w:ind w:left="1434" w:hanging="360"/>
      </w:pPr>
      <w:rPr>
        <w:rFonts w:hint="default"/>
      </w:rPr>
    </w:lvl>
    <w:lvl w:ilvl="1" w:tplc="240A0019" w:tentative="1">
      <w:start w:val="1"/>
      <w:numFmt w:val="lowerLetter"/>
      <w:lvlText w:val="%2."/>
      <w:lvlJc w:val="left"/>
      <w:pPr>
        <w:ind w:left="2154" w:hanging="360"/>
      </w:pPr>
    </w:lvl>
    <w:lvl w:ilvl="2" w:tplc="240A001B" w:tentative="1">
      <w:start w:val="1"/>
      <w:numFmt w:val="lowerRoman"/>
      <w:lvlText w:val="%3."/>
      <w:lvlJc w:val="right"/>
      <w:pPr>
        <w:ind w:left="2874" w:hanging="180"/>
      </w:pPr>
    </w:lvl>
    <w:lvl w:ilvl="3" w:tplc="240A000F" w:tentative="1">
      <w:start w:val="1"/>
      <w:numFmt w:val="decimal"/>
      <w:lvlText w:val="%4."/>
      <w:lvlJc w:val="left"/>
      <w:pPr>
        <w:ind w:left="3594" w:hanging="360"/>
      </w:pPr>
    </w:lvl>
    <w:lvl w:ilvl="4" w:tplc="240A0019" w:tentative="1">
      <w:start w:val="1"/>
      <w:numFmt w:val="lowerLetter"/>
      <w:lvlText w:val="%5."/>
      <w:lvlJc w:val="left"/>
      <w:pPr>
        <w:ind w:left="4314" w:hanging="360"/>
      </w:pPr>
    </w:lvl>
    <w:lvl w:ilvl="5" w:tplc="240A001B" w:tentative="1">
      <w:start w:val="1"/>
      <w:numFmt w:val="lowerRoman"/>
      <w:lvlText w:val="%6."/>
      <w:lvlJc w:val="right"/>
      <w:pPr>
        <w:ind w:left="5034" w:hanging="180"/>
      </w:pPr>
    </w:lvl>
    <w:lvl w:ilvl="6" w:tplc="240A000F" w:tentative="1">
      <w:start w:val="1"/>
      <w:numFmt w:val="decimal"/>
      <w:lvlText w:val="%7."/>
      <w:lvlJc w:val="left"/>
      <w:pPr>
        <w:ind w:left="5754" w:hanging="360"/>
      </w:pPr>
    </w:lvl>
    <w:lvl w:ilvl="7" w:tplc="240A0019" w:tentative="1">
      <w:start w:val="1"/>
      <w:numFmt w:val="lowerLetter"/>
      <w:lvlText w:val="%8."/>
      <w:lvlJc w:val="left"/>
      <w:pPr>
        <w:ind w:left="6474" w:hanging="360"/>
      </w:pPr>
    </w:lvl>
    <w:lvl w:ilvl="8" w:tplc="240A001B" w:tentative="1">
      <w:start w:val="1"/>
      <w:numFmt w:val="lowerRoman"/>
      <w:lvlText w:val="%9."/>
      <w:lvlJc w:val="right"/>
      <w:pPr>
        <w:ind w:left="7194" w:hanging="180"/>
      </w:pPr>
    </w:lvl>
  </w:abstractNum>
  <w:abstractNum w:abstractNumId="4" w15:restartNumberingAfterBreak="0">
    <w:nsid w:val="44123B7E"/>
    <w:multiLevelType w:val="hybridMultilevel"/>
    <w:tmpl w:val="FFF06244"/>
    <w:lvl w:ilvl="0" w:tplc="240A000B">
      <w:start w:val="1"/>
      <w:numFmt w:val="bullet"/>
      <w:lvlText w:val=""/>
      <w:lvlJc w:val="left"/>
      <w:pPr>
        <w:ind w:left="1434" w:hanging="360"/>
      </w:pPr>
      <w:rPr>
        <w:rFonts w:ascii="Wingdings" w:hAnsi="Wingdings" w:hint="default"/>
      </w:rPr>
    </w:lvl>
    <w:lvl w:ilvl="1" w:tplc="240A0003" w:tentative="1">
      <w:start w:val="1"/>
      <w:numFmt w:val="bullet"/>
      <w:lvlText w:val="o"/>
      <w:lvlJc w:val="left"/>
      <w:pPr>
        <w:ind w:left="2154" w:hanging="360"/>
      </w:pPr>
      <w:rPr>
        <w:rFonts w:ascii="Courier New" w:hAnsi="Courier New" w:cs="Courier New" w:hint="default"/>
      </w:rPr>
    </w:lvl>
    <w:lvl w:ilvl="2" w:tplc="240A0005" w:tentative="1">
      <w:start w:val="1"/>
      <w:numFmt w:val="bullet"/>
      <w:lvlText w:val=""/>
      <w:lvlJc w:val="left"/>
      <w:pPr>
        <w:ind w:left="2874" w:hanging="360"/>
      </w:pPr>
      <w:rPr>
        <w:rFonts w:ascii="Wingdings" w:hAnsi="Wingdings" w:hint="default"/>
      </w:rPr>
    </w:lvl>
    <w:lvl w:ilvl="3" w:tplc="240A0001" w:tentative="1">
      <w:start w:val="1"/>
      <w:numFmt w:val="bullet"/>
      <w:lvlText w:val=""/>
      <w:lvlJc w:val="left"/>
      <w:pPr>
        <w:ind w:left="3594" w:hanging="360"/>
      </w:pPr>
      <w:rPr>
        <w:rFonts w:ascii="Symbol" w:hAnsi="Symbol" w:hint="default"/>
      </w:rPr>
    </w:lvl>
    <w:lvl w:ilvl="4" w:tplc="240A0003" w:tentative="1">
      <w:start w:val="1"/>
      <w:numFmt w:val="bullet"/>
      <w:lvlText w:val="o"/>
      <w:lvlJc w:val="left"/>
      <w:pPr>
        <w:ind w:left="4314" w:hanging="360"/>
      </w:pPr>
      <w:rPr>
        <w:rFonts w:ascii="Courier New" w:hAnsi="Courier New" w:cs="Courier New" w:hint="default"/>
      </w:rPr>
    </w:lvl>
    <w:lvl w:ilvl="5" w:tplc="240A0005" w:tentative="1">
      <w:start w:val="1"/>
      <w:numFmt w:val="bullet"/>
      <w:lvlText w:val=""/>
      <w:lvlJc w:val="left"/>
      <w:pPr>
        <w:ind w:left="5034" w:hanging="360"/>
      </w:pPr>
      <w:rPr>
        <w:rFonts w:ascii="Wingdings" w:hAnsi="Wingdings" w:hint="default"/>
      </w:rPr>
    </w:lvl>
    <w:lvl w:ilvl="6" w:tplc="240A0001" w:tentative="1">
      <w:start w:val="1"/>
      <w:numFmt w:val="bullet"/>
      <w:lvlText w:val=""/>
      <w:lvlJc w:val="left"/>
      <w:pPr>
        <w:ind w:left="5754" w:hanging="360"/>
      </w:pPr>
      <w:rPr>
        <w:rFonts w:ascii="Symbol" w:hAnsi="Symbol" w:hint="default"/>
      </w:rPr>
    </w:lvl>
    <w:lvl w:ilvl="7" w:tplc="240A0003" w:tentative="1">
      <w:start w:val="1"/>
      <w:numFmt w:val="bullet"/>
      <w:lvlText w:val="o"/>
      <w:lvlJc w:val="left"/>
      <w:pPr>
        <w:ind w:left="6474" w:hanging="360"/>
      </w:pPr>
      <w:rPr>
        <w:rFonts w:ascii="Courier New" w:hAnsi="Courier New" w:cs="Courier New" w:hint="default"/>
      </w:rPr>
    </w:lvl>
    <w:lvl w:ilvl="8" w:tplc="240A0005" w:tentative="1">
      <w:start w:val="1"/>
      <w:numFmt w:val="bullet"/>
      <w:lvlText w:val=""/>
      <w:lvlJc w:val="left"/>
      <w:pPr>
        <w:ind w:left="7194"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 w:numId="4" w16cid:durableId="1674525274">
    <w:abstractNumId w:val="4"/>
  </w:num>
  <w:num w:numId="5" w16cid:durableId="1600212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6F"/>
    <w:rsid w:val="000A4363"/>
    <w:rsid w:val="003D03EB"/>
    <w:rsid w:val="00474DF4"/>
    <w:rsid w:val="00474F43"/>
    <w:rsid w:val="004F471F"/>
    <w:rsid w:val="00537831"/>
    <w:rsid w:val="00AE4AFB"/>
    <w:rsid w:val="00B71399"/>
    <w:rsid w:val="00BA6E6F"/>
    <w:rsid w:val="00C24FFE"/>
    <w:rsid w:val="00D75935"/>
    <w:rsid w:val="00DD2E90"/>
    <w:rsid w:val="00F40A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E8878"/>
  <w15:chartTrackingRefBased/>
  <w15:docId w15:val="{898B54B2-1C9A-416F-9815-AF3DC104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E6F"/>
    <w:rPr>
      <w:kern w:val="0"/>
      <w14:ligatures w14:val="none"/>
    </w:rPr>
  </w:style>
  <w:style w:type="paragraph" w:styleId="Ttulo1">
    <w:name w:val="heading 1"/>
    <w:basedOn w:val="Normal"/>
    <w:next w:val="Normal"/>
    <w:link w:val="Ttulo1Car"/>
    <w:uiPriority w:val="9"/>
    <w:qFormat/>
    <w:rsid w:val="00BA6E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A6E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A6E6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A6E6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A6E6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A6E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A6E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A6E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A6E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6E6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A6E6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A6E6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A6E6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A6E6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A6E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A6E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A6E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A6E6F"/>
    <w:rPr>
      <w:rFonts w:eastAsiaTheme="majorEastAsia" w:cstheme="majorBidi"/>
      <w:color w:val="272727" w:themeColor="text1" w:themeTint="D8"/>
    </w:rPr>
  </w:style>
  <w:style w:type="paragraph" w:styleId="Ttulo">
    <w:name w:val="Title"/>
    <w:basedOn w:val="Normal"/>
    <w:next w:val="Normal"/>
    <w:link w:val="TtuloCar"/>
    <w:uiPriority w:val="10"/>
    <w:qFormat/>
    <w:rsid w:val="00BA6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A6E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A6E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A6E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A6E6F"/>
    <w:pPr>
      <w:spacing w:before="160"/>
      <w:jc w:val="center"/>
    </w:pPr>
    <w:rPr>
      <w:i/>
      <w:iCs/>
      <w:color w:val="404040" w:themeColor="text1" w:themeTint="BF"/>
    </w:rPr>
  </w:style>
  <w:style w:type="character" w:customStyle="1" w:styleId="CitaCar">
    <w:name w:val="Cita Car"/>
    <w:basedOn w:val="Fuentedeprrafopredeter"/>
    <w:link w:val="Cita"/>
    <w:uiPriority w:val="29"/>
    <w:rsid w:val="00BA6E6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A6E6F"/>
    <w:pPr>
      <w:ind w:left="720"/>
      <w:contextualSpacing/>
    </w:pPr>
  </w:style>
  <w:style w:type="character" w:styleId="nfasisintenso">
    <w:name w:val="Intense Emphasis"/>
    <w:basedOn w:val="Fuentedeprrafopredeter"/>
    <w:uiPriority w:val="21"/>
    <w:qFormat/>
    <w:rsid w:val="00BA6E6F"/>
    <w:rPr>
      <w:i/>
      <w:iCs/>
      <w:color w:val="2F5496" w:themeColor="accent1" w:themeShade="BF"/>
    </w:rPr>
  </w:style>
  <w:style w:type="paragraph" w:styleId="Citadestacada">
    <w:name w:val="Intense Quote"/>
    <w:basedOn w:val="Normal"/>
    <w:next w:val="Normal"/>
    <w:link w:val="CitadestacadaCar"/>
    <w:uiPriority w:val="30"/>
    <w:qFormat/>
    <w:rsid w:val="00BA6E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A6E6F"/>
    <w:rPr>
      <w:i/>
      <w:iCs/>
      <w:color w:val="2F5496" w:themeColor="accent1" w:themeShade="BF"/>
    </w:rPr>
  </w:style>
  <w:style w:type="character" w:styleId="Referenciaintensa">
    <w:name w:val="Intense Reference"/>
    <w:basedOn w:val="Fuentedeprrafopredeter"/>
    <w:uiPriority w:val="32"/>
    <w:qFormat/>
    <w:rsid w:val="00BA6E6F"/>
    <w:rPr>
      <w:b/>
      <w:bCs/>
      <w:smallCaps/>
      <w:color w:val="2F5496" w:themeColor="accent1" w:themeShade="BF"/>
      <w:spacing w:val="5"/>
    </w:rPr>
  </w:style>
  <w:style w:type="paragraph" w:styleId="Encabezado">
    <w:name w:val="header"/>
    <w:basedOn w:val="Normal"/>
    <w:link w:val="EncabezadoCar"/>
    <w:uiPriority w:val="99"/>
    <w:unhideWhenUsed/>
    <w:rsid w:val="00BA6E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6E6F"/>
    <w:rPr>
      <w:kern w:val="0"/>
      <w14:ligatures w14:val="none"/>
    </w:rPr>
  </w:style>
  <w:style w:type="paragraph" w:styleId="Piedepgina">
    <w:name w:val="footer"/>
    <w:basedOn w:val="Normal"/>
    <w:link w:val="PiedepginaCar"/>
    <w:uiPriority w:val="99"/>
    <w:unhideWhenUsed/>
    <w:rsid w:val="00BA6E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6E6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A6E6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A6E6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A6E6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A6E6F"/>
    <w:rPr>
      <w:vertAlign w:val="superscript"/>
    </w:rPr>
  </w:style>
  <w:style w:type="character" w:customStyle="1" w:styleId="normaltextrun">
    <w:name w:val="normaltextrun"/>
    <w:basedOn w:val="Fuentedeprrafopredeter"/>
    <w:rsid w:val="00BA6E6F"/>
  </w:style>
  <w:style w:type="table" w:styleId="Tablaconcuadrcula">
    <w:name w:val="Table Grid"/>
    <w:basedOn w:val="Tablanormal"/>
    <w:uiPriority w:val="59"/>
    <w:qFormat/>
    <w:rsid w:val="00BA6E6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A6E6F"/>
    <w:rPr>
      <w:color w:val="0000FF"/>
      <w:u w:val="single"/>
    </w:rPr>
  </w:style>
  <w:style w:type="paragraph" w:customStyle="1" w:styleId="paragraph">
    <w:name w:val="paragraph"/>
    <w:basedOn w:val="Normal"/>
    <w:rsid w:val="00BA6E6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A6E6F"/>
  </w:style>
  <w:style w:type="paragraph" w:styleId="NormalWeb">
    <w:name w:val="Normal (Web)"/>
    <w:basedOn w:val="Normal"/>
    <w:uiPriority w:val="99"/>
    <w:semiHidden/>
    <w:unhideWhenUsed/>
    <w:rsid w:val="00BA6E6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A6E6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A6E6F"/>
  </w:style>
  <w:style w:type="paragraph" w:customStyle="1" w:styleId="fn1">
    <w:name w:val="fn1"/>
    <w:basedOn w:val="Normal"/>
    <w:next w:val="Textonotapie"/>
    <w:uiPriority w:val="99"/>
    <w:unhideWhenUsed/>
    <w:qFormat/>
    <w:rsid w:val="00BA6E6F"/>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os/cce-eicp-gi-18._gees_v.2_2.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jandrogdelvasto@gmail.com" TargetMode="External"/><Relationship Id="rId5" Type="http://schemas.openxmlformats.org/officeDocument/2006/relationships/styles" Target="styles.xml"/><Relationship Id="rId15" Type="http://schemas.openxmlformats.org/officeDocument/2006/relationships/hyperlink" Target="https://www.colombiacompra.gov.co/sites/cce_public/files/cce_documents/cce-eicp-ma-04._manual_requisitos_habilitantes_v3_29-09-2023.pdf"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files_2020/mae_2.0_vf.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codificacion_bien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5D3E77-94F9-4B9D-ABCB-6DD9ACAEEA7A}">
  <ds:schemaRefs>
    <ds:schemaRef ds:uri="http://schemas.microsoft.com/sharepoint/v3/contenttype/forms"/>
  </ds:schemaRefs>
</ds:datastoreItem>
</file>

<file path=customXml/itemProps2.xml><?xml version="1.0" encoding="utf-8"?>
<ds:datastoreItem xmlns:ds="http://schemas.openxmlformats.org/officeDocument/2006/customXml" ds:itemID="{1AD7C80F-74F5-47E3-B089-D3F620F18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60DA69-6A4F-4B49-9117-32C4CBD0CAF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36</Pages>
  <Words>10967</Words>
  <Characters>60323</Characters>
  <Application>Microsoft Office Word</Application>
  <DocSecurity>0</DocSecurity>
  <Lines>502</Lines>
  <Paragraphs>142</Paragraphs>
  <ScaleCrop>false</ScaleCrop>
  <Company/>
  <LinksUpToDate>false</LinksUpToDate>
  <CharactersWithSpaces>71148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Andreina Cerpa Muñoz</cp:lastModifiedBy>
  <cp:revision>8</cp:revision>
  <dcterms:created xsi:type="dcterms:W3CDTF">2024-08-02T19:40:00Z</dcterms:created>
  <dcterms:modified xsi:type="dcterms:W3CDTF">2024-08-06T22:13:00Z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