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7E50F" w14:textId="77777777" w:rsidR="00766C72" w:rsidRPr="00AF1555" w:rsidRDefault="00766C72" w:rsidP="00766C72">
      <w:pPr>
        <w:spacing w:after="0" w:line="240" w:lineRule="auto"/>
        <w:jc w:val="both"/>
        <w:rPr>
          <w:rFonts w:ascii="Verdana" w:eastAsia="Calibri" w:hAnsi="Verdana" w:cs="Arial"/>
          <w:b/>
          <w:color w:val="000000" w:themeColor="text1"/>
          <w:lang w:val="es-ES"/>
        </w:rPr>
      </w:pPr>
      <w:bookmarkStart w:id="0" w:name="_Hlk186494164"/>
      <w:r w:rsidRPr="00AF1555">
        <w:rPr>
          <w:rFonts w:ascii="Verdana" w:eastAsia="Calibri" w:hAnsi="Verdana" w:cs="Arial"/>
          <w:b/>
          <w:color w:val="000000" w:themeColor="text1"/>
          <w:lang w:val="es-ES"/>
        </w:rPr>
        <w:t xml:space="preserve">GARANTÍAS – Contratación estatal – Constitución de garantías – Finalidad – Cumplimiento – Obligaciones contractuales </w:t>
      </w:r>
    </w:p>
    <w:p w14:paraId="584B2C8A" w14:textId="77777777" w:rsidR="00766C72" w:rsidRPr="00AF1555" w:rsidRDefault="00766C72" w:rsidP="00766C72">
      <w:pPr>
        <w:spacing w:after="0" w:line="240" w:lineRule="auto"/>
        <w:jc w:val="both"/>
        <w:rPr>
          <w:rFonts w:ascii="Verdana" w:eastAsia="Calibri" w:hAnsi="Verdana" w:cs="Arial"/>
          <w:bCs/>
          <w:color w:val="000000" w:themeColor="text1"/>
          <w:sz w:val="20"/>
          <w:szCs w:val="20"/>
          <w:lang w:val="es-ES"/>
        </w:rPr>
      </w:pPr>
    </w:p>
    <w:p w14:paraId="56F89DE5" w14:textId="77777777" w:rsidR="00766C72" w:rsidRPr="00AF1555" w:rsidRDefault="00766C72" w:rsidP="00766C72">
      <w:pPr>
        <w:spacing w:after="0" w:line="240" w:lineRule="auto"/>
        <w:jc w:val="both"/>
        <w:rPr>
          <w:rFonts w:ascii="Verdana" w:eastAsia="Calibri" w:hAnsi="Verdana" w:cs="Arial"/>
          <w:color w:val="000000" w:themeColor="text1"/>
          <w:sz w:val="20"/>
          <w:szCs w:val="20"/>
          <w:lang w:val="es-ES_tradnl"/>
        </w:rPr>
      </w:pPr>
      <w:r w:rsidRPr="00AF1555">
        <w:rPr>
          <w:rFonts w:ascii="Verdana" w:eastAsia="Calibri" w:hAnsi="Verdana" w:cs="Arial"/>
          <w:color w:val="000000" w:themeColor="text1"/>
          <w:sz w:val="20"/>
          <w:szCs w:val="20"/>
          <w:lang w:val="es-ES_tradnl" w:eastAsia="es-ES_tradnl"/>
        </w:rPr>
        <w:t xml:space="preserve">El Estatuto General de Contratación de la Administración Pública exige, por regla general, en los procesos de contratación pública </w:t>
      </w:r>
      <w:r w:rsidRPr="00AF1555">
        <w:rPr>
          <w:rFonts w:ascii="Verdana" w:eastAsia="Calibri" w:hAnsi="Verdana" w:cs="Arial"/>
          <w:color w:val="000000" w:themeColor="text1"/>
          <w:sz w:val="20"/>
          <w:szCs w:val="20"/>
          <w:lang w:val="es-ES" w:eastAsia="es-ES_tradnl"/>
        </w:rPr>
        <w:t>la constitución de garantías con el fin de evitar o mitigar posibles riesgos</w:t>
      </w:r>
      <w:r w:rsidRPr="00AF1555">
        <w:rPr>
          <w:rFonts w:ascii="Verdana" w:eastAsia="Calibri" w:hAnsi="Verdana" w:cs="Arial"/>
          <w:color w:val="000000" w:themeColor="text1"/>
          <w:sz w:val="20"/>
          <w:szCs w:val="20"/>
          <w:lang w:val="es-ES_tradnl" w:eastAsia="es-ES_tradnl"/>
        </w:rPr>
        <w:t xml:space="preserve">. En esa orientación, </w:t>
      </w:r>
      <w:r w:rsidRPr="00AF1555">
        <w:rPr>
          <w:rFonts w:ascii="Verdana" w:eastAsia="Calibri" w:hAnsi="Verdana" w:cs="Arial"/>
          <w:color w:val="000000" w:themeColor="text1"/>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1ACE4C62" w14:textId="77777777" w:rsidR="00766C72" w:rsidRPr="00AF1555" w:rsidRDefault="00766C72" w:rsidP="00766C72">
      <w:pPr>
        <w:spacing w:after="0" w:line="240" w:lineRule="auto"/>
        <w:rPr>
          <w:rFonts w:ascii="Verdana" w:eastAsia="Geomanist Light" w:hAnsi="Verdana" w:cs="Arial"/>
          <w:color w:val="000000" w:themeColor="text1"/>
          <w:sz w:val="20"/>
          <w:szCs w:val="20"/>
          <w:lang w:val="es-ES_tradnl"/>
        </w:rPr>
      </w:pPr>
    </w:p>
    <w:p w14:paraId="77551E8B" w14:textId="77777777" w:rsidR="00766C72" w:rsidRPr="00AF1555" w:rsidRDefault="00766C72" w:rsidP="00766C72">
      <w:pPr>
        <w:spacing w:after="0" w:line="240" w:lineRule="auto"/>
        <w:jc w:val="both"/>
        <w:rPr>
          <w:rFonts w:ascii="Verdana" w:eastAsia="Calibri" w:hAnsi="Verdana" w:cs="Arial"/>
          <w:b/>
          <w:lang w:val="es-ES"/>
        </w:rPr>
      </w:pPr>
      <w:r w:rsidRPr="00AF1555">
        <w:rPr>
          <w:rFonts w:ascii="Verdana" w:eastAsia="Calibri" w:hAnsi="Verdana" w:cs="Arial"/>
          <w:b/>
          <w:lang w:val="es-ES"/>
        </w:rPr>
        <w:t>GARANTÍA DE CUMPLIMIENTO – Amparos – Finalidad</w:t>
      </w:r>
    </w:p>
    <w:p w14:paraId="1781BDA0" w14:textId="77777777" w:rsidR="00766C72" w:rsidRPr="00AF1555" w:rsidRDefault="00766C72" w:rsidP="00766C72">
      <w:pPr>
        <w:spacing w:after="0" w:line="240" w:lineRule="auto"/>
        <w:jc w:val="both"/>
        <w:rPr>
          <w:rFonts w:ascii="Verdana" w:eastAsia="Calibri" w:hAnsi="Verdana" w:cs="Arial"/>
          <w:b/>
          <w:sz w:val="20"/>
          <w:szCs w:val="20"/>
          <w:lang w:val="es-ES"/>
        </w:rPr>
      </w:pPr>
    </w:p>
    <w:p w14:paraId="675451CE" w14:textId="77777777" w:rsidR="00766C72" w:rsidRPr="00AF1555" w:rsidRDefault="00766C72" w:rsidP="00766C72">
      <w:pPr>
        <w:spacing w:after="0" w:line="240" w:lineRule="auto"/>
        <w:jc w:val="both"/>
        <w:rPr>
          <w:rFonts w:ascii="Verdana" w:eastAsia="Times New Roman" w:hAnsi="Verdana" w:cs="Arial"/>
          <w:bCs/>
          <w:color w:val="000000" w:themeColor="text1"/>
          <w:sz w:val="20"/>
          <w:szCs w:val="20"/>
          <w:lang w:val="es-ES_tradnl"/>
        </w:rPr>
      </w:pPr>
      <w:r w:rsidRPr="00AF1555">
        <w:rPr>
          <w:rFonts w:ascii="Verdana" w:eastAsia="Calibri" w:hAnsi="Verdana" w:cs="Arial"/>
          <w:bCs/>
          <w:sz w:val="20"/>
          <w:szCs w:val="20"/>
          <w:lang w:val="es-ES"/>
        </w:rPr>
        <w:t xml:space="preserve">[…] </w:t>
      </w:r>
      <w:r w:rsidRPr="00AF1555">
        <w:rPr>
          <w:rFonts w:ascii="Verdana" w:eastAsia="Times New Roman" w:hAnsi="Verdana" w:cs="Arial"/>
          <w:bCs/>
          <w:color w:val="000000" w:themeColor="text1"/>
          <w:sz w:val="20"/>
          <w:szCs w:val="20"/>
          <w:lang w:val="es-ES_tradnl"/>
        </w:rPr>
        <w:t xml:space="preserve">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28D32BE5" w14:textId="77777777" w:rsidR="00766C72" w:rsidRPr="00AF1555" w:rsidRDefault="00766C72" w:rsidP="00766C72">
      <w:pPr>
        <w:spacing w:after="0" w:line="240" w:lineRule="auto"/>
        <w:jc w:val="both"/>
        <w:rPr>
          <w:rFonts w:ascii="Verdana" w:eastAsia="Times New Roman" w:hAnsi="Verdana" w:cs="Arial"/>
          <w:bCs/>
          <w:color w:val="000000" w:themeColor="text1"/>
          <w:sz w:val="20"/>
          <w:szCs w:val="20"/>
          <w:lang w:val="es-ES_tradnl"/>
        </w:rPr>
      </w:pPr>
    </w:p>
    <w:p w14:paraId="4847C4C9" w14:textId="77777777" w:rsidR="00766C72" w:rsidRPr="00AF1555" w:rsidRDefault="00766C72" w:rsidP="00766C72">
      <w:pPr>
        <w:spacing w:after="0" w:line="240" w:lineRule="auto"/>
        <w:jc w:val="both"/>
        <w:rPr>
          <w:rFonts w:ascii="Verdana" w:eastAsia="Calibri" w:hAnsi="Verdana" w:cs="Arial"/>
          <w:color w:val="000000"/>
          <w:sz w:val="20"/>
          <w:szCs w:val="20"/>
          <w:lang w:val="es-ES_tradnl"/>
        </w:rPr>
      </w:pPr>
      <w:r w:rsidRPr="00AF1555">
        <w:rPr>
          <w:rFonts w:ascii="Verdana" w:eastAsia="Times New Roman" w:hAnsi="Verdana" w:cs="Arial"/>
          <w:bCs/>
          <w:color w:val="000000" w:themeColor="text1"/>
          <w:sz w:val="20"/>
          <w:szCs w:val="20"/>
          <w:lang w:val="es-ES_tradnl"/>
        </w:rPr>
        <w:t>L</w:t>
      </w:r>
      <w:r w:rsidRPr="00AF1555">
        <w:rPr>
          <w:rFonts w:ascii="Verdana" w:eastAsia="Calibri" w:hAnsi="Verdana" w:cs="Arial"/>
          <w:color w:val="000000"/>
          <w:sz w:val="20"/>
          <w:szCs w:val="20"/>
          <w:lang w:val="es-ES" w:eastAsia="es-ES_tradnl"/>
        </w:rPr>
        <w:t xml:space="preserve">os artículos 2.2.1.2.3.1.6 y 2.2.1.2.3.1.9 establecen las condiciones que debe cumplir la garantía de los riesgos derivados del incumplimiento de la oferta. </w:t>
      </w:r>
      <w:r w:rsidRPr="00AF1555">
        <w:rPr>
          <w:rFonts w:ascii="Verdana" w:eastAsia="Calibri" w:hAnsi="Verdana" w:cs="Arial"/>
          <w:color w:val="000000"/>
          <w:sz w:val="20"/>
          <w:szCs w:val="20"/>
          <w:lang w:val="es-ES_tradnl"/>
        </w:rPr>
        <w:t xml:space="preserve">De otro lado, el artículo 2.2.1.3.1.7 prescribe que la garantía de cumplimiento debe cubrir: i) el buen manejo y correcta inversión del anticipo; </w:t>
      </w:r>
      <w:proofErr w:type="spellStart"/>
      <w:r w:rsidRPr="00AF1555">
        <w:rPr>
          <w:rFonts w:ascii="Verdana" w:eastAsia="Calibri" w:hAnsi="Verdana" w:cs="Arial"/>
          <w:color w:val="000000"/>
          <w:sz w:val="20"/>
          <w:szCs w:val="20"/>
          <w:lang w:val="es-ES_tradnl"/>
        </w:rPr>
        <w:t>ii</w:t>
      </w:r>
      <w:proofErr w:type="spellEnd"/>
      <w:r w:rsidRPr="00AF1555">
        <w:rPr>
          <w:rFonts w:ascii="Verdana" w:eastAsia="Calibri" w:hAnsi="Verdana" w:cs="Arial"/>
          <w:color w:val="000000"/>
          <w:sz w:val="20"/>
          <w:szCs w:val="20"/>
          <w:lang w:val="es-ES_tradnl"/>
        </w:rPr>
        <w:t xml:space="preserve">) la devolución del pago anticipado; </w:t>
      </w:r>
      <w:proofErr w:type="spellStart"/>
      <w:r w:rsidRPr="00AF1555">
        <w:rPr>
          <w:rFonts w:ascii="Verdana" w:eastAsia="Calibri" w:hAnsi="Verdana" w:cs="Arial"/>
          <w:color w:val="000000"/>
          <w:sz w:val="20"/>
          <w:szCs w:val="20"/>
          <w:lang w:val="es-ES_tradnl"/>
        </w:rPr>
        <w:t>iii</w:t>
      </w:r>
      <w:proofErr w:type="spellEnd"/>
      <w:r w:rsidRPr="00AF1555">
        <w:rPr>
          <w:rFonts w:ascii="Verdana" w:eastAsia="Calibri" w:hAnsi="Verdana" w:cs="Arial"/>
          <w:color w:val="000000"/>
          <w:sz w:val="20"/>
          <w:szCs w:val="20"/>
          <w:lang w:val="es-ES_tradnl"/>
        </w:rPr>
        <w:t xml:space="preserve">) el cumplimiento del contrato; </w:t>
      </w:r>
      <w:proofErr w:type="spellStart"/>
      <w:r w:rsidRPr="00AF1555">
        <w:rPr>
          <w:rFonts w:ascii="Verdana" w:eastAsia="Calibri" w:hAnsi="Verdana" w:cs="Arial"/>
          <w:color w:val="000000"/>
          <w:sz w:val="20"/>
          <w:szCs w:val="20"/>
          <w:lang w:val="es-ES_tradnl"/>
        </w:rPr>
        <w:t>iv</w:t>
      </w:r>
      <w:proofErr w:type="spellEnd"/>
      <w:r w:rsidRPr="00AF1555">
        <w:rPr>
          <w:rFonts w:ascii="Verdana" w:eastAsia="Calibri" w:hAnsi="Verdana" w:cs="Arial"/>
          <w:color w:val="000000"/>
          <w:sz w:val="20"/>
          <w:szCs w:val="20"/>
          <w:lang w:val="es-ES_tradnl"/>
        </w:rPr>
        <w:t xml:space="preserve">) el pago de salarios, prestaciones sociales legales e indemnizaciones laborales; v) la estabilidad y calidad de la obra; vi) la calidad del servicio; </w:t>
      </w:r>
      <w:proofErr w:type="spellStart"/>
      <w:r w:rsidRPr="00AF1555">
        <w:rPr>
          <w:rFonts w:ascii="Verdana" w:eastAsia="Calibri" w:hAnsi="Verdana" w:cs="Arial"/>
          <w:color w:val="000000"/>
          <w:sz w:val="20"/>
          <w:szCs w:val="20"/>
          <w:lang w:val="es-ES_tradnl"/>
        </w:rPr>
        <w:t>vii</w:t>
      </w:r>
      <w:proofErr w:type="spellEnd"/>
      <w:r w:rsidRPr="00AF1555">
        <w:rPr>
          <w:rFonts w:ascii="Verdana" w:eastAsia="Calibri" w:hAnsi="Verdana" w:cs="Arial"/>
          <w:color w:val="000000"/>
          <w:sz w:val="20"/>
          <w:szCs w:val="20"/>
          <w:lang w:val="es-ES_tradnl"/>
        </w:rPr>
        <w:t xml:space="preserve">) la calidad y correcto funcionamiento de los bienes; y </w:t>
      </w:r>
      <w:proofErr w:type="spellStart"/>
      <w:r w:rsidRPr="00AF1555">
        <w:rPr>
          <w:rFonts w:ascii="Verdana" w:eastAsia="Calibri" w:hAnsi="Verdana" w:cs="Arial"/>
          <w:color w:val="000000"/>
          <w:sz w:val="20"/>
          <w:szCs w:val="20"/>
          <w:lang w:val="es-ES_tradnl"/>
        </w:rPr>
        <w:t>viii</w:t>
      </w:r>
      <w:proofErr w:type="spellEnd"/>
      <w:r w:rsidRPr="00AF1555">
        <w:rPr>
          <w:rFonts w:ascii="Verdana" w:eastAsia="Calibri" w:hAnsi="Verdana" w:cs="Arial"/>
          <w:color w:val="000000"/>
          <w:sz w:val="20"/>
          <w:szCs w:val="20"/>
          <w:lang w:val="es-ES_tradnl"/>
        </w:rPr>
        <w:t>) los demás incumplimientos de las obligaciones que la entidad estatal considere deben ser amparados.</w:t>
      </w:r>
    </w:p>
    <w:p w14:paraId="04552FA3" w14:textId="77777777" w:rsidR="00766C72" w:rsidRPr="00AF1555" w:rsidRDefault="00766C72" w:rsidP="00766C72">
      <w:pPr>
        <w:spacing w:after="0" w:line="240" w:lineRule="auto"/>
        <w:rPr>
          <w:rFonts w:ascii="Verdana" w:eastAsia="Geomanist Light" w:hAnsi="Verdana" w:cs="Arial"/>
          <w:color w:val="000000" w:themeColor="text1"/>
          <w:sz w:val="20"/>
          <w:szCs w:val="20"/>
          <w:lang w:val="es-ES_tradnl"/>
        </w:rPr>
      </w:pPr>
    </w:p>
    <w:p w14:paraId="53247F90" w14:textId="2154DB77" w:rsidR="00766C72" w:rsidRPr="00BB7F95" w:rsidRDefault="00766C72" w:rsidP="00BB7F95">
      <w:pPr>
        <w:spacing w:line="276" w:lineRule="auto"/>
        <w:jc w:val="both"/>
        <w:rPr>
          <w:rFonts w:ascii="Verdana" w:eastAsia="Calibri" w:hAnsi="Verdana" w:cs="Arial"/>
          <w:lang w:val="es-ES" w:eastAsia="es-ES"/>
        </w:rPr>
      </w:pPr>
      <w:r w:rsidRPr="00AF1555">
        <w:rPr>
          <w:rFonts w:ascii="Verdana" w:hAnsi="Verdana" w:cs="Arial"/>
          <w:b/>
          <w:lang w:eastAsia="es-CO"/>
        </w:rPr>
        <w:t xml:space="preserve">GARANTÍA DE ESTABILIDAD Y CALIDAD DE LA OBRA – Suficiencia </w:t>
      </w:r>
      <w:r w:rsidR="007140E6" w:rsidRPr="00AF1555">
        <w:rPr>
          <w:rFonts w:ascii="Verdana" w:hAnsi="Verdana" w:cs="Arial"/>
          <w:b/>
          <w:lang w:eastAsia="es-CO"/>
        </w:rPr>
        <w:t>–</w:t>
      </w:r>
      <w:r w:rsidR="007140E6" w:rsidRPr="007140E6">
        <w:rPr>
          <w:rFonts w:ascii="Verdana" w:eastAsia="Calibri" w:hAnsi="Verdana" w:cs="Arial"/>
          <w:b/>
          <w:bCs/>
          <w:lang w:val="es-ES" w:eastAsia="es-ES"/>
        </w:rPr>
        <w:t xml:space="preserve">Alcance </w:t>
      </w:r>
    </w:p>
    <w:p w14:paraId="05F4B34F" w14:textId="4F7B9ADD" w:rsidR="004A479B" w:rsidRPr="00D90C7E" w:rsidRDefault="00D90C7E" w:rsidP="00D90C7E">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rPr>
        <w:t>E</w:t>
      </w:r>
      <w:r w:rsidRPr="00D90C7E">
        <w:rPr>
          <w:rFonts w:ascii="Verdana" w:eastAsia="Geomanist Light" w:hAnsi="Verdana" w:cs="Arial"/>
          <w:color w:val="000000" w:themeColor="text1"/>
          <w:sz w:val="20"/>
          <w:szCs w:val="20"/>
        </w:rPr>
        <w:t>l amparo de estabilidad y calidad de la obra cubre la ocurrencia de vicios, mala calidad, defectos, deficiencias técnicas o fallas que la Administración no detecte al momento de recibir la obra o que descubre con posterioridad a la finalización del contrato, afectando el cumplimiento de los objetivos de este. Al respecto, el Consejo de Estado ha sostenido que el amparo de la estabilidad de la obra tiene por objeto “la cobertura de los riegos que soporta la entidad contratante en aquellos eventos en los que, con posterioridad a la terminación y entrega a satisfacción de la construcción o edificación, se presenten graves deterioros que por causa de un vicio oculto no se podían advertir con anterioridad, e impidan su normal utilización”</w:t>
      </w:r>
    </w:p>
    <w:p w14:paraId="4AC51303" w14:textId="77777777" w:rsidR="00D90C7E" w:rsidRDefault="00D90C7E" w:rsidP="00131932">
      <w:pPr>
        <w:spacing w:after="0" w:line="240" w:lineRule="auto"/>
        <w:rPr>
          <w:rFonts w:ascii="Verdana" w:eastAsia="Geomanist Light" w:hAnsi="Verdana" w:cs="Arial"/>
          <w:color w:val="000000" w:themeColor="text1"/>
        </w:rPr>
      </w:pPr>
    </w:p>
    <w:p w14:paraId="6F63A24E" w14:textId="77777777" w:rsidR="007140E6" w:rsidRPr="00BB7F95" w:rsidRDefault="007140E6" w:rsidP="007140E6">
      <w:pPr>
        <w:spacing w:line="276" w:lineRule="auto"/>
        <w:jc w:val="both"/>
        <w:rPr>
          <w:rFonts w:ascii="Verdana" w:eastAsia="Calibri" w:hAnsi="Verdana" w:cs="Arial"/>
          <w:b/>
          <w:bCs/>
          <w:lang w:val="es-ES" w:eastAsia="es-ES"/>
        </w:rPr>
      </w:pPr>
      <w:r w:rsidRPr="00BB7F95">
        <w:rPr>
          <w:rFonts w:ascii="Verdana" w:eastAsia="Calibri" w:hAnsi="Verdana" w:cs="Arial"/>
          <w:b/>
          <w:bCs/>
          <w:lang w:val="es-ES" w:eastAsia="es-ES"/>
        </w:rPr>
        <w:t>COMPONENTES DE INVESTIGACIÓN CIENTÍFICA Y DESARROLLO TECNOLÓGICO – Obligaciones – Alcance – Riesgos</w:t>
      </w:r>
    </w:p>
    <w:p w14:paraId="3E24F556" w14:textId="77777777" w:rsidR="00D90C7E" w:rsidRDefault="00D90C7E" w:rsidP="00D90C7E">
      <w:pPr>
        <w:spacing w:after="0" w:line="240" w:lineRule="auto"/>
        <w:jc w:val="both"/>
        <w:rPr>
          <w:rFonts w:ascii="Verdana" w:eastAsia="Geomanist Light" w:hAnsi="Verdana" w:cs="Arial"/>
          <w:color w:val="000000" w:themeColor="text1"/>
          <w:sz w:val="20"/>
          <w:szCs w:val="20"/>
        </w:rPr>
      </w:pPr>
      <w:r w:rsidRPr="00D90C7E">
        <w:rPr>
          <w:rFonts w:ascii="Verdana" w:eastAsia="Geomanist Light" w:hAnsi="Verdana" w:cs="Arial"/>
          <w:color w:val="000000" w:themeColor="text1"/>
          <w:sz w:val="20"/>
          <w:szCs w:val="20"/>
        </w:rPr>
        <w:lastRenderedPageBreak/>
        <w:t xml:space="preserve">En efecto, si bien los decreto 393 y 591 de 1991 </w:t>
      </w:r>
      <w:r w:rsidRPr="00D90C7E">
        <w:rPr>
          <w:rFonts w:ascii="Verdana" w:eastAsia="Geomanist Light" w:hAnsi="Verdana" w:cs="Arial"/>
          <w:color w:val="000000" w:themeColor="text1"/>
          <w:sz w:val="20"/>
          <w:szCs w:val="20"/>
          <w:lang w:val="es-ES"/>
        </w:rPr>
        <w:t xml:space="preserve">regulan de manera sustancial las tipologías contractuales que pueden implementar las entidades para desarrollar las actividades </w:t>
      </w:r>
      <w:r w:rsidRPr="00D90C7E">
        <w:rPr>
          <w:rFonts w:ascii="Verdana" w:eastAsia="Geomanist Light" w:hAnsi="Verdana" w:cs="Arial"/>
          <w:color w:val="000000" w:themeColor="text1"/>
          <w:sz w:val="20"/>
          <w:szCs w:val="20"/>
        </w:rPr>
        <w:t xml:space="preserve">de ciencia, tecnología e innovación, en estas normas no hay un desarrollo sobre las garantías exigibles en el marco de estas actividades, así como tampoco un alcance de la incertidumbre que se puede manejar en este tipo de proyectos. Por tanto, las entidades deberán acudir a las normas aplicables de acuerdo con el régimen de contratación que resulte procedente y establecer en el contrato el contenido obligaciones relacionados con dichas actividades. </w:t>
      </w:r>
    </w:p>
    <w:p w14:paraId="0DAACFBD" w14:textId="77777777" w:rsidR="00D90C7E" w:rsidRPr="00D90C7E" w:rsidRDefault="00D90C7E" w:rsidP="00D90C7E">
      <w:pPr>
        <w:spacing w:after="0" w:line="240" w:lineRule="auto"/>
        <w:jc w:val="both"/>
        <w:rPr>
          <w:rFonts w:ascii="Verdana" w:eastAsia="Geomanist Light" w:hAnsi="Verdana" w:cs="Arial"/>
          <w:color w:val="000000" w:themeColor="text1"/>
          <w:sz w:val="20"/>
          <w:szCs w:val="20"/>
          <w:lang w:val="es-ES"/>
        </w:rPr>
      </w:pPr>
    </w:p>
    <w:p w14:paraId="2AE4AB47" w14:textId="77777777" w:rsidR="00D90C7E" w:rsidRPr="00D90C7E" w:rsidRDefault="00D90C7E" w:rsidP="00D90C7E">
      <w:pPr>
        <w:spacing w:after="0" w:line="240" w:lineRule="auto"/>
        <w:jc w:val="both"/>
        <w:rPr>
          <w:rFonts w:ascii="Verdana" w:eastAsia="Geomanist Light" w:hAnsi="Verdana" w:cs="Arial"/>
          <w:color w:val="000000" w:themeColor="text1"/>
          <w:sz w:val="20"/>
          <w:szCs w:val="20"/>
        </w:rPr>
      </w:pPr>
      <w:r w:rsidRPr="00D90C7E">
        <w:rPr>
          <w:rFonts w:ascii="Verdana" w:eastAsia="Geomanist Light" w:hAnsi="Verdana" w:cs="Arial"/>
          <w:color w:val="000000" w:themeColor="text1"/>
          <w:sz w:val="20"/>
          <w:szCs w:val="20"/>
        </w:rPr>
        <w:t>En consecuencia, la decisión de exigir un determinado amparo debe guardar estricta coherencia con obligaciones pactadas, así como con el alcance del amparo y su ámbito de aplicación. Esta afirmación no implica que el amparo de calidad y estabilidad de la obra sea improcedente en contratos que incorporan componentes de investigación o innovación. Lo que se quiere significar es que su exigibilidad debe analizarse con mayor rigor, siendo indispensable examinar el contenido obligacional pactado para determinar si las prestaciones asumidas se enmarcan en obligaciones de resultado o de medio y la forma en que estas pueden ser cubiertas razonablemente.</w:t>
      </w:r>
    </w:p>
    <w:p w14:paraId="7C4ADFCA" w14:textId="77777777" w:rsidR="004A479B" w:rsidRDefault="004A479B" w:rsidP="00131932">
      <w:pPr>
        <w:spacing w:after="0" w:line="240" w:lineRule="auto"/>
        <w:rPr>
          <w:rFonts w:ascii="Verdana" w:eastAsia="Geomanist Light" w:hAnsi="Verdana" w:cs="Arial"/>
          <w:color w:val="000000" w:themeColor="text1"/>
        </w:rPr>
      </w:pPr>
    </w:p>
    <w:p w14:paraId="22DC0762" w14:textId="77777777" w:rsidR="004A479B" w:rsidRDefault="004A479B" w:rsidP="00131932">
      <w:pPr>
        <w:spacing w:after="0" w:line="240" w:lineRule="auto"/>
        <w:rPr>
          <w:rFonts w:ascii="Verdana" w:eastAsia="Geomanist Light" w:hAnsi="Verdana" w:cs="Arial"/>
          <w:color w:val="000000" w:themeColor="text1"/>
        </w:rPr>
      </w:pPr>
    </w:p>
    <w:p w14:paraId="0E05E26A" w14:textId="77777777" w:rsidR="004A479B" w:rsidRDefault="004A479B" w:rsidP="00131932">
      <w:pPr>
        <w:spacing w:after="0" w:line="240" w:lineRule="auto"/>
        <w:rPr>
          <w:rFonts w:ascii="Verdana" w:eastAsia="Geomanist Light" w:hAnsi="Verdana" w:cs="Arial"/>
          <w:color w:val="000000" w:themeColor="text1"/>
        </w:rPr>
      </w:pPr>
    </w:p>
    <w:p w14:paraId="2C7E58F6" w14:textId="77777777" w:rsidR="004A479B" w:rsidRDefault="004A479B" w:rsidP="00131932">
      <w:pPr>
        <w:spacing w:after="0" w:line="240" w:lineRule="auto"/>
        <w:rPr>
          <w:rFonts w:ascii="Verdana" w:eastAsia="Geomanist Light" w:hAnsi="Verdana" w:cs="Arial"/>
          <w:color w:val="000000" w:themeColor="text1"/>
        </w:rPr>
      </w:pPr>
    </w:p>
    <w:p w14:paraId="37858373" w14:textId="77777777" w:rsidR="004A479B" w:rsidRDefault="004A479B" w:rsidP="00131932">
      <w:pPr>
        <w:spacing w:after="0" w:line="240" w:lineRule="auto"/>
        <w:rPr>
          <w:rFonts w:ascii="Verdana" w:eastAsia="Geomanist Light" w:hAnsi="Verdana" w:cs="Arial"/>
          <w:color w:val="000000" w:themeColor="text1"/>
        </w:rPr>
      </w:pPr>
    </w:p>
    <w:p w14:paraId="5195C843" w14:textId="77777777" w:rsidR="004A479B" w:rsidRDefault="004A479B" w:rsidP="00131932">
      <w:pPr>
        <w:spacing w:after="0" w:line="240" w:lineRule="auto"/>
        <w:rPr>
          <w:rFonts w:ascii="Verdana" w:eastAsia="Geomanist Light" w:hAnsi="Verdana" w:cs="Arial"/>
          <w:color w:val="000000" w:themeColor="text1"/>
        </w:rPr>
      </w:pPr>
    </w:p>
    <w:p w14:paraId="332E1601" w14:textId="77777777" w:rsidR="004A479B" w:rsidRDefault="004A479B" w:rsidP="00131932">
      <w:pPr>
        <w:spacing w:after="0" w:line="240" w:lineRule="auto"/>
        <w:rPr>
          <w:rFonts w:ascii="Verdana" w:eastAsia="Geomanist Light" w:hAnsi="Verdana" w:cs="Arial"/>
          <w:color w:val="000000" w:themeColor="text1"/>
        </w:rPr>
      </w:pPr>
    </w:p>
    <w:p w14:paraId="7C3AE28F" w14:textId="77777777" w:rsidR="004A479B" w:rsidRDefault="004A479B" w:rsidP="00131932">
      <w:pPr>
        <w:spacing w:after="0" w:line="240" w:lineRule="auto"/>
        <w:rPr>
          <w:rFonts w:ascii="Verdana" w:eastAsia="Geomanist Light" w:hAnsi="Verdana" w:cs="Arial"/>
          <w:color w:val="000000" w:themeColor="text1"/>
        </w:rPr>
      </w:pPr>
    </w:p>
    <w:p w14:paraId="33ECD2B1" w14:textId="77777777" w:rsidR="004A479B" w:rsidRDefault="004A479B" w:rsidP="00131932">
      <w:pPr>
        <w:spacing w:after="0" w:line="240" w:lineRule="auto"/>
        <w:rPr>
          <w:rFonts w:ascii="Verdana" w:eastAsia="Geomanist Light" w:hAnsi="Verdana" w:cs="Arial"/>
          <w:color w:val="000000" w:themeColor="text1"/>
        </w:rPr>
      </w:pPr>
    </w:p>
    <w:p w14:paraId="198CC4E9" w14:textId="77777777" w:rsidR="004A479B" w:rsidRDefault="004A479B" w:rsidP="00131932">
      <w:pPr>
        <w:spacing w:after="0" w:line="240" w:lineRule="auto"/>
        <w:rPr>
          <w:rFonts w:ascii="Verdana" w:eastAsia="Geomanist Light" w:hAnsi="Verdana" w:cs="Arial"/>
          <w:color w:val="000000" w:themeColor="text1"/>
        </w:rPr>
      </w:pPr>
    </w:p>
    <w:p w14:paraId="458A3B3E" w14:textId="77777777" w:rsidR="004A479B" w:rsidRDefault="004A479B" w:rsidP="00131932">
      <w:pPr>
        <w:spacing w:after="0" w:line="240" w:lineRule="auto"/>
        <w:rPr>
          <w:rFonts w:ascii="Verdana" w:eastAsia="Geomanist Light" w:hAnsi="Verdana" w:cs="Arial"/>
          <w:color w:val="000000" w:themeColor="text1"/>
        </w:rPr>
      </w:pPr>
    </w:p>
    <w:p w14:paraId="69165720" w14:textId="77777777" w:rsidR="004A479B" w:rsidRDefault="004A479B" w:rsidP="00131932">
      <w:pPr>
        <w:spacing w:after="0" w:line="240" w:lineRule="auto"/>
        <w:rPr>
          <w:rFonts w:ascii="Verdana" w:eastAsia="Geomanist Light" w:hAnsi="Verdana" w:cs="Arial"/>
          <w:color w:val="000000" w:themeColor="text1"/>
        </w:rPr>
      </w:pPr>
    </w:p>
    <w:p w14:paraId="7C34BF95" w14:textId="77777777" w:rsidR="004A479B" w:rsidRDefault="004A479B" w:rsidP="00131932">
      <w:pPr>
        <w:spacing w:after="0" w:line="240" w:lineRule="auto"/>
        <w:rPr>
          <w:rFonts w:ascii="Verdana" w:eastAsia="Geomanist Light" w:hAnsi="Verdana" w:cs="Arial"/>
          <w:color w:val="000000" w:themeColor="text1"/>
        </w:rPr>
      </w:pPr>
    </w:p>
    <w:p w14:paraId="2EBCB3A4" w14:textId="77777777" w:rsidR="004A479B" w:rsidRDefault="004A479B" w:rsidP="00131932">
      <w:pPr>
        <w:spacing w:after="0" w:line="240" w:lineRule="auto"/>
        <w:rPr>
          <w:rFonts w:ascii="Verdana" w:eastAsia="Geomanist Light" w:hAnsi="Verdana" w:cs="Arial"/>
          <w:color w:val="000000" w:themeColor="text1"/>
        </w:rPr>
      </w:pPr>
    </w:p>
    <w:p w14:paraId="14ABE4A0" w14:textId="77777777" w:rsidR="004A479B" w:rsidRDefault="004A479B" w:rsidP="00131932">
      <w:pPr>
        <w:spacing w:after="0" w:line="240" w:lineRule="auto"/>
        <w:rPr>
          <w:rFonts w:ascii="Verdana" w:eastAsia="Geomanist Light" w:hAnsi="Verdana" w:cs="Arial"/>
          <w:color w:val="000000" w:themeColor="text1"/>
        </w:rPr>
      </w:pPr>
    </w:p>
    <w:p w14:paraId="27A56029" w14:textId="77777777" w:rsidR="004A479B" w:rsidRDefault="004A479B" w:rsidP="00131932">
      <w:pPr>
        <w:spacing w:after="0" w:line="240" w:lineRule="auto"/>
        <w:rPr>
          <w:rFonts w:ascii="Verdana" w:eastAsia="Geomanist Light" w:hAnsi="Verdana" w:cs="Arial"/>
          <w:color w:val="000000" w:themeColor="text1"/>
        </w:rPr>
      </w:pPr>
    </w:p>
    <w:p w14:paraId="1B2E0777" w14:textId="77777777" w:rsidR="004A479B" w:rsidRDefault="004A479B" w:rsidP="00131932">
      <w:pPr>
        <w:spacing w:after="0" w:line="240" w:lineRule="auto"/>
        <w:rPr>
          <w:rFonts w:ascii="Verdana" w:eastAsia="Geomanist Light" w:hAnsi="Verdana" w:cs="Arial"/>
          <w:color w:val="000000" w:themeColor="text1"/>
        </w:rPr>
      </w:pPr>
    </w:p>
    <w:p w14:paraId="0819FFCD" w14:textId="77777777" w:rsidR="004A479B" w:rsidRDefault="004A479B" w:rsidP="00131932">
      <w:pPr>
        <w:spacing w:after="0" w:line="240" w:lineRule="auto"/>
        <w:rPr>
          <w:rFonts w:ascii="Verdana" w:eastAsia="Geomanist Light" w:hAnsi="Verdana" w:cs="Arial"/>
          <w:color w:val="000000" w:themeColor="text1"/>
        </w:rPr>
      </w:pPr>
    </w:p>
    <w:p w14:paraId="3B292A94" w14:textId="77777777" w:rsidR="004A479B" w:rsidRDefault="004A479B" w:rsidP="00131932">
      <w:pPr>
        <w:spacing w:after="0" w:line="240" w:lineRule="auto"/>
        <w:rPr>
          <w:rFonts w:ascii="Verdana" w:eastAsia="Geomanist Light" w:hAnsi="Verdana" w:cs="Arial"/>
          <w:color w:val="000000" w:themeColor="text1"/>
        </w:rPr>
      </w:pPr>
    </w:p>
    <w:p w14:paraId="567539E7" w14:textId="77777777" w:rsidR="004A479B" w:rsidRDefault="004A479B" w:rsidP="00131932">
      <w:pPr>
        <w:spacing w:after="0" w:line="240" w:lineRule="auto"/>
        <w:rPr>
          <w:rFonts w:ascii="Verdana" w:eastAsia="Geomanist Light" w:hAnsi="Verdana" w:cs="Arial"/>
          <w:color w:val="000000" w:themeColor="text1"/>
        </w:rPr>
      </w:pPr>
    </w:p>
    <w:p w14:paraId="7D7E25A2" w14:textId="77777777" w:rsidR="004A479B" w:rsidRDefault="004A479B" w:rsidP="00131932">
      <w:pPr>
        <w:spacing w:after="0" w:line="240" w:lineRule="auto"/>
        <w:rPr>
          <w:rFonts w:ascii="Verdana" w:eastAsia="Geomanist Light" w:hAnsi="Verdana" w:cs="Arial"/>
          <w:color w:val="000000" w:themeColor="text1"/>
        </w:rPr>
      </w:pPr>
    </w:p>
    <w:p w14:paraId="444EE51B" w14:textId="77777777" w:rsidR="004A479B" w:rsidRDefault="004A479B" w:rsidP="00131932">
      <w:pPr>
        <w:spacing w:after="0" w:line="240" w:lineRule="auto"/>
        <w:rPr>
          <w:rFonts w:ascii="Verdana" w:eastAsia="Geomanist Light" w:hAnsi="Verdana" w:cs="Arial"/>
          <w:color w:val="000000" w:themeColor="text1"/>
        </w:rPr>
      </w:pPr>
    </w:p>
    <w:p w14:paraId="2F522414" w14:textId="77777777" w:rsidR="004A479B" w:rsidRDefault="004A479B" w:rsidP="00131932">
      <w:pPr>
        <w:spacing w:after="0" w:line="240" w:lineRule="auto"/>
        <w:rPr>
          <w:rFonts w:ascii="Verdana" w:eastAsia="Geomanist Light" w:hAnsi="Verdana" w:cs="Arial"/>
          <w:color w:val="000000" w:themeColor="text1"/>
        </w:rPr>
      </w:pPr>
    </w:p>
    <w:p w14:paraId="72B62F7E" w14:textId="77777777" w:rsidR="004A479B" w:rsidRDefault="004A479B" w:rsidP="00131932">
      <w:pPr>
        <w:spacing w:after="0" w:line="240" w:lineRule="auto"/>
        <w:rPr>
          <w:rFonts w:ascii="Verdana" w:eastAsia="Geomanist Light" w:hAnsi="Verdana" w:cs="Arial"/>
          <w:color w:val="000000" w:themeColor="text1"/>
        </w:rPr>
      </w:pPr>
    </w:p>
    <w:p w14:paraId="54FEE027" w14:textId="77777777" w:rsidR="004A479B" w:rsidRDefault="004A479B" w:rsidP="00131932">
      <w:pPr>
        <w:spacing w:after="0" w:line="240" w:lineRule="auto"/>
        <w:rPr>
          <w:rFonts w:ascii="Verdana" w:eastAsia="Geomanist Light" w:hAnsi="Verdana" w:cs="Arial"/>
          <w:color w:val="000000" w:themeColor="text1"/>
        </w:rPr>
      </w:pPr>
    </w:p>
    <w:p w14:paraId="688942C3" w14:textId="77777777" w:rsidR="00D90C7E" w:rsidRDefault="00D90C7E" w:rsidP="00F95AC5">
      <w:pPr>
        <w:spacing w:after="0" w:line="240" w:lineRule="auto"/>
        <w:rPr>
          <w:rFonts w:ascii="Verdana" w:eastAsia="Geomanist Light" w:hAnsi="Verdana" w:cs="Arial"/>
          <w:color w:val="000000" w:themeColor="text1"/>
        </w:rPr>
      </w:pPr>
    </w:p>
    <w:p w14:paraId="786EFF36" w14:textId="479AFBEC" w:rsidR="00F95AC5" w:rsidRPr="00F95AC5" w:rsidRDefault="00F95AC5" w:rsidP="00F95AC5">
      <w:pPr>
        <w:spacing w:after="0" w:line="240" w:lineRule="auto"/>
        <w:rPr>
          <w:rFonts w:ascii="Verdana" w:eastAsia="Geomanist Light" w:hAnsi="Verdana" w:cs="Arial"/>
          <w:color w:val="201F1E"/>
        </w:rPr>
      </w:pPr>
      <w:r w:rsidRPr="00F95AC5">
        <w:rPr>
          <w:rFonts w:ascii="Verdana" w:eastAsia="Geomanist Light" w:hAnsi="Verdana" w:cs="Arial"/>
          <w:color w:val="000000" w:themeColor="text1"/>
        </w:rPr>
        <w:lastRenderedPageBreak/>
        <w:t>Bogotá D.C., </w:t>
      </w:r>
      <w:r w:rsidR="009F6A44">
        <w:rPr>
          <w:rFonts w:ascii="Verdana" w:eastAsia="Geomanist Light" w:hAnsi="Verdana" w:cs="Arial"/>
          <w:color w:val="201F1E"/>
        </w:rPr>
        <w:t>4 de marzo de 2026</w:t>
      </w:r>
    </w:p>
    <w:p w14:paraId="5541B679" w14:textId="77777777" w:rsidR="00F95AC5" w:rsidRPr="00F95AC5" w:rsidRDefault="00F95AC5" w:rsidP="00F95AC5">
      <w:pPr>
        <w:spacing w:after="0" w:line="240" w:lineRule="auto"/>
        <w:jc w:val="both"/>
        <w:rPr>
          <w:rFonts w:ascii="Verdana" w:eastAsia="Calibri" w:hAnsi="Verdana" w:cs="Arial"/>
          <w:color w:val="000000"/>
        </w:rPr>
      </w:pPr>
    </w:p>
    <w:p w14:paraId="55022389" w14:textId="05D7FF6B" w:rsidR="00F95AC5" w:rsidRPr="00F95AC5" w:rsidRDefault="009F6A44" w:rsidP="009F6A44">
      <w:pPr>
        <w:spacing w:after="0" w:line="240" w:lineRule="auto"/>
        <w:jc w:val="right"/>
        <w:rPr>
          <w:rFonts w:ascii="Verdana" w:eastAsia="Calibri" w:hAnsi="Verdana" w:cs="Arial"/>
          <w:color w:val="000000"/>
        </w:rPr>
      </w:pPr>
      <w:r w:rsidRPr="009F6A44">
        <w:rPr>
          <w:rFonts w:ascii="Verdana" w:eastAsia="Calibri" w:hAnsi="Verdana" w:cs="Arial"/>
          <w:noProof/>
          <w:color w:val="000000"/>
        </w:rPr>
        <w:drawing>
          <wp:inline distT="0" distB="0" distL="0" distR="0" wp14:anchorId="0E7F487F" wp14:editId="0D9D19B6">
            <wp:extent cx="2423160" cy="838200"/>
            <wp:effectExtent l="0" t="0" r="0" b="0"/>
            <wp:docPr id="843256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3160" cy="838200"/>
                    </a:xfrm>
                    <a:prstGeom prst="rect">
                      <a:avLst/>
                    </a:prstGeom>
                    <a:noFill/>
                    <a:ln>
                      <a:noFill/>
                    </a:ln>
                  </pic:spPr>
                </pic:pic>
              </a:graphicData>
            </a:graphic>
          </wp:inline>
        </w:drawing>
      </w:r>
    </w:p>
    <w:p w14:paraId="4E1A27F8" w14:textId="77777777" w:rsidR="00F95AC5" w:rsidRPr="00F95AC5" w:rsidRDefault="00F95AC5" w:rsidP="00F95AC5">
      <w:pPr>
        <w:spacing w:after="0" w:line="240" w:lineRule="auto"/>
        <w:jc w:val="both"/>
        <w:rPr>
          <w:rFonts w:ascii="Verdana" w:eastAsia="Calibri" w:hAnsi="Verdana" w:cs="Arial"/>
          <w:lang w:eastAsia="es-ES"/>
        </w:rPr>
      </w:pPr>
      <w:r w:rsidRPr="00F95AC5">
        <w:rPr>
          <w:rFonts w:ascii="Verdana" w:eastAsia="Calibri" w:hAnsi="Verdana" w:cs="Arial"/>
          <w:lang w:eastAsia="es-ES"/>
        </w:rPr>
        <w:t>Señor</w:t>
      </w:r>
    </w:p>
    <w:p w14:paraId="5C7C2FD5" w14:textId="77777777" w:rsidR="00F95AC5" w:rsidRPr="00F95AC5" w:rsidRDefault="00F95AC5" w:rsidP="00F95AC5">
      <w:pPr>
        <w:spacing w:after="0" w:line="240" w:lineRule="auto"/>
        <w:rPr>
          <w:rFonts w:ascii="Verdana" w:eastAsia="Calibri" w:hAnsi="Verdana" w:cs="Arial"/>
          <w:b/>
          <w:lang w:eastAsia="es-ES"/>
        </w:rPr>
      </w:pPr>
      <w:r w:rsidRPr="00F95AC5">
        <w:rPr>
          <w:rFonts w:ascii="Verdana" w:eastAsia="Calibri" w:hAnsi="Verdana" w:cs="Arial"/>
          <w:b/>
          <w:lang w:eastAsia="es-ES"/>
        </w:rPr>
        <w:t>Jaime Rafael Obando Ante</w:t>
      </w:r>
    </w:p>
    <w:p w14:paraId="2343D6F2" w14:textId="77777777" w:rsidR="00F95AC5" w:rsidRPr="00F95AC5" w:rsidRDefault="00F95AC5" w:rsidP="00F95AC5">
      <w:pPr>
        <w:spacing w:after="0" w:line="240" w:lineRule="auto"/>
        <w:rPr>
          <w:rFonts w:ascii="Verdana" w:eastAsia="Calibri" w:hAnsi="Verdana" w:cs="Arial"/>
          <w:bCs/>
          <w:lang w:eastAsia="es-ES"/>
        </w:rPr>
      </w:pPr>
      <w:r w:rsidRPr="00F95AC5">
        <w:rPr>
          <w:rFonts w:ascii="Verdana" w:eastAsia="Calibri" w:hAnsi="Verdana" w:cs="Arial"/>
          <w:bCs/>
          <w:lang w:eastAsia="es-ES"/>
        </w:rPr>
        <w:t>Director y/o Supervisor</w:t>
      </w:r>
    </w:p>
    <w:p w14:paraId="7C99D036" w14:textId="77777777" w:rsidR="00F95AC5" w:rsidRPr="00F95AC5" w:rsidRDefault="00F95AC5" w:rsidP="00F95AC5">
      <w:pPr>
        <w:spacing w:after="0" w:line="240" w:lineRule="auto"/>
        <w:rPr>
          <w:rFonts w:ascii="Verdana" w:eastAsia="Calibri" w:hAnsi="Verdana" w:cs="Arial"/>
          <w:bCs/>
          <w:lang w:eastAsia="es-ES"/>
        </w:rPr>
      </w:pPr>
      <w:r w:rsidRPr="00F95AC5">
        <w:rPr>
          <w:rFonts w:ascii="Verdana" w:eastAsia="Calibri" w:hAnsi="Verdana" w:cs="Arial"/>
          <w:bCs/>
          <w:lang w:eastAsia="es-ES"/>
        </w:rPr>
        <w:t>Universidad del Cauca</w:t>
      </w:r>
    </w:p>
    <w:p w14:paraId="33D5A0B4" w14:textId="77777777" w:rsidR="00F95AC5" w:rsidRPr="00F95AC5" w:rsidRDefault="00F95AC5" w:rsidP="00F95AC5">
      <w:pPr>
        <w:spacing w:after="0" w:line="240" w:lineRule="auto"/>
        <w:rPr>
          <w:rFonts w:ascii="Verdana" w:hAnsi="Verdana"/>
        </w:rPr>
      </w:pPr>
      <w:hyperlink r:id="rId12" w:history="1">
        <w:r w:rsidRPr="00F95AC5">
          <w:rPr>
            <w:rFonts w:ascii="Verdana" w:hAnsi="Verdana"/>
            <w:color w:val="0000FF"/>
            <w:u w:val="single"/>
          </w:rPr>
          <w:t>cdtvial@unicauca.edu.co</w:t>
        </w:r>
      </w:hyperlink>
      <w:r w:rsidRPr="00F95AC5">
        <w:rPr>
          <w:rFonts w:ascii="Verdana" w:hAnsi="Verdana"/>
        </w:rPr>
        <w:t xml:space="preserve"> </w:t>
      </w:r>
    </w:p>
    <w:p w14:paraId="2582E140" w14:textId="77777777" w:rsidR="00F95AC5" w:rsidRPr="00F95AC5" w:rsidRDefault="00F95AC5" w:rsidP="00F95AC5">
      <w:pPr>
        <w:spacing w:after="0" w:line="240" w:lineRule="auto"/>
        <w:rPr>
          <w:rFonts w:ascii="Verdana" w:hAnsi="Verdana"/>
        </w:rPr>
      </w:pPr>
      <w:r w:rsidRPr="00F95AC5">
        <w:rPr>
          <w:rFonts w:ascii="Verdana" w:hAnsi="Verdana"/>
        </w:rPr>
        <w:t xml:space="preserve">Popayán, Cauca </w:t>
      </w:r>
    </w:p>
    <w:p w14:paraId="29080F25" w14:textId="77777777" w:rsidR="00F95AC5" w:rsidRPr="00F95AC5" w:rsidRDefault="00F95AC5" w:rsidP="00F95AC5">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95AC5" w:rsidRPr="00F95AC5" w14:paraId="462FB64F" w14:textId="77777777" w:rsidTr="00E615C0">
        <w:trPr>
          <w:trHeight w:val="630"/>
        </w:trPr>
        <w:tc>
          <w:tcPr>
            <w:tcW w:w="2689" w:type="dxa"/>
          </w:tcPr>
          <w:p w14:paraId="3539CF71" w14:textId="77777777" w:rsidR="00F95AC5" w:rsidRPr="00F95AC5" w:rsidRDefault="00F95AC5" w:rsidP="00F95AC5">
            <w:pPr>
              <w:jc w:val="both"/>
              <w:rPr>
                <w:rFonts w:ascii="Verdana" w:eastAsia="Calibri" w:hAnsi="Verdana" w:cs="Arial"/>
                <w:b/>
                <w:bCs/>
                <w:color w:val="7030A0"/>
                <w:lang w:eastAsia="es-ES_tradnl"/>
              </w:rPr>
            </w:pPr>
          </w:p>
        </w:tc>
        <w:tc>
          <w:tcPr>
            <w:tcW w:w="6100" w:type="dxa"/>
          </w:tcPr>
          <w:p w14:paraId="05D7E318" w14:textId="77777777" w:rsidR="00F95AC5" w:rsidRPr="00F95AC5" w:rsidRDefault="00F95AC5" w:rsidP="00F95AC5">
            <w:pPr>
              <w:jc w:val="both"/>
              <w:rPr>
                <w:rFonts w:ascii="Verdana" w:eastAsia="Calibri" w:hAnsi="Verdana" w:cs="Arial"/>
                <w:b/>
                <w:bCs/>
                <w:lang w:eastAsia="es-ES"/>
              </w:rPr>
            </w:pPr>
            <w:r w:rsidRPr="00F95AC5">
              <w:rPr>
                <w:rFonts w:ascii="Verdana" w:eastAsia="Calibri" w:hAnsi="Verdana" w:cs="Arial"/>
                <w:b/>
                <w:bCs/>
                <w:lang w:eastAsia="es-ES"/>
              </w:rPr>
              <w:t>Concepto C – 201 de 2026</w:t>
            </w:r>
          </w:p>
        </w:tc>
      </w:tr>
      <w:tr w:rsidR="00F95AC5" w:rsidRPr="00F95AC5" w14:paraId="600B150D" w14:textId="77777777" w:rsidTr="00E615C0">
        <w:trPr>
          <w:trHeight w:val="884"/>
        </w:trPr>
        <w:tc>
          <w:tcPr>
            <w:tcW w:w="2689" w:type="dxa"/>
          </w:tcPr>
          <w:p w14:paraId="2F71BD15" w14:textId="77777777" w:rsidR="00F95AC5" w:rsidRPr="00F95AC5" w:rsidRDefault="00F95AC5" w:rsidP="00F95AC5">
            <w:pPr>
              <w:jc w:val="both"/>
              <w:rPr>
                <w:rFonts w:ascii="Verdana" w:eastAsia="Calibri" w:hAnsi="Verdana" w:cs="Arial"/>
                <w:color w:val="000000"/>
                <w:lang w:eastAsia="es-ES_tradnl"/>
              </w:rPr>
            </w:pPr>
            <w:r w:rsidRPr="00F95AC5">
              <w:rPr>
                <w:rFonts w:ascii="Verdana" w:eastAsia="Calibri" w:hAnsi="Verdana" w:cs="Arial"/>
                <w:b/>
                <w:color w:val="000000"/>
                <w:lang w:eastAsia="es-ES_tradnl"/>
              </w:rPr>
              <w:t>Temas:</w:t>
            </w:r>
            <w:r w:rsidRPr="00F95AC5">
              <w:rPr>
                <w:rFonts w:ascii="Verdana" w:eastAsia="Calibri" w:hAnsi="Verdana" w:cs="Arial"/>
                <w:color w:val="000000"/>
                <w:lang w:eastAsia="es-ES_tradnl"/>
              </w:rPr>
              <w:t xml:space="preserve">                   </w:t>
            </w:r>
          </w:p>
        </w:tc>
        <w:tc>
          <w:tcPr>
            <w:tcW w:w="6100" w:type="dxa"/>
          </w:tcPr>
          <w:p w14:paraId="396F93F0" w14:textId="77777777" w:rsidR="00F95AC5" w:rsidRPr="00F95AC5" w:rsidRDefault="00F95AC5" w:rsidP="00F95AC5">
            <w:pPr>
              <w:spacing w:line="276" w:lineRule="auto"/>
              <w:jc w:val="both"/>
              <w:rPr>
                <w:rFonts w:ascii="Verdana" w:eastAsia="Calibri" w:hAnsi="Verdana" w:cs="Arial"/>
                <w:lang w:val="es-ES" w:eastAsia="es-ES"/>
              </w:rPr>
            </w:pPr>
            <w:r w:rsidRPr="00F95AC5">
              <w:rPr>
                <w:rFonts w:ascii="Verdana" w:eastAsia="Calibri" w:hAnsi="Verdana" w:cs="Arial"/>
                <w:lang w:val="es-ES" w:eastAsia="es-ES"/>
              </w:rPr>
              <w:t>GARANTÍAS – Contratación estatal – Constitución de garantías – Finalidad – Cumplimiento – Obligaciones contractuales / GARANTÍA DE CUMPLIMIENTO – Amparos – Finalidad / AMPARO DE ESTABILIDAD Y CALIDAD DE LA OBRA – Suficiencia – Alcance / COMPONENTES DE INVESTIGACIÓN CIENTÍFICA Y DESARROLLO TECNOLÓGICO – Obligaciones – Alcance – Riesgos</w:t>
            </w:r>
          </w:p>
          <w:p w14:paraId="088B38B4" w14:textId="77777777" w:rsidR="00F95AC5" w:rsidRPr="00F95AC5" w:rsidRDefault="00F95AC5" w:rsidP="00F95AC5">
            <w:pPr>
              <w:spacing w:line="276" w:lineRule="auto"/>
              <w:jc w:val="both"/>
              <w:rPr>
                <w:rFonts w:ascii="Verdana" w:eastAsia="Calibri" w:hAnsi="Verdana" w:cs="Arial"/>
                <w:lang w:eastAsia="es-ES"/>
              </w:rPr>
            </w:pPr>
          </w:p>
        </w:tc>
      </w:tr>
      <w:tr w:rsidR="00F95AC5" w:rsidRPr="00F95AC5" w14:paraId="6ABE51A4" w14:textId="77777777" w:rsidTr="00E615C0">
        <w:tc>
          <w:tcPr>
            <w:tcW w:w="2689" w:type="dxa"/>
          </w:tcPr>
          <w:p w14:paraId="24336E63" w14:textId="77777777" w:rsidR="00F95AC5" w:rsidRPr="00F95AC5" w:rsidRDefault="00F95AC5" w:rsidP="00F95AC5">
            <w:pPr>
              <w:jc w:val="both"/>
              <w:rPr>
                <w:rFonts w:ascii="Verdana" w:eastAsia="Calibri" w:hAnsi="Verdana" w:cs="Arial"/>
                <w:b/>
                <w:lang w:eastAsia="es-ES_tradnl"/>
              </w:rPr>
            </w:pPr>
            <w:r w:rsidRPr="00F95AC5">
              <w:rPr>
                <w:rFonts w:ascii="Verdana" w:eastAsia="Calibri" w:hAnsi="Verdana" w:cs="Arial"/>
                <w:b/>
                <w:lang w:eastAsia="es-ES_tradnl"/>
              </w:rPr>
              <w:t>Radicación:</w:t>
            </w:r>
            <w:r w:rsidRPr="00F95AC5">
              <w:rPr>
                <w:rFonts w:ascii="Verdana" w:eastAsia="Calibri" w:hAnsi="Verdana" w:cs="Arial"/>
                <w:lang w:eastAsia="es-ES_tradnl"/>
              </w:rPr>
              <w:t xml:space="preserve">               </w:t>
            </w:r>
          </w:p>
        </w:tc>
        <w:tc>
          <w:tcPr>
            <w:tcW w:w="6100" w:type="dxa"/>
          </w:tcPr>
          <w:p w14:paraId="641E9D8F" w14:textId="77777777" w:rsidR="00F95AC5" w:rsidRPr="00F95AC5" w:rsidRDefault="00F95AC5" w:rsidP="00F95AC5">
            <w:pPr>
              <w:jc w:val="both"/>
              <w:rPr>
                <w:rFonts w:ascii="Verdana" w:eastAsia="Calibri" w:hAnsi="Verdana" w:cs="Arial"/>
                <w:lang w:eastAsia="es-ES_tradnl"/>
              </w:rPr>
            </w:pPr>
            <w:r w:rsidRPr="00F95AC5">
              <w:rPr>
                <w:rFonts w:ascii="Verdana" w:eastAsia="Calibri" w:hAnsi="Verdana" w:cs="Arial"/>
                <w:lang w:eastAsia="es-ES_tradnl"/>
              </w:rPr>
              <w:t>Respuesta a la consulta con radicado No.</w:t>
            </w:r>
            <w:r w:rsidRPr="00F95AC5">
              <w:rPr>
                <w:rFonts w:ascii="Verdana" w:hAnsi="Verdana"/>
              </w:rPr>
              <w:t xml:space="preserve"> 1_2026_02_12_001795</w:t>
            </w:r>
          </w:p>
          <w:p w14:paraId="058F6FBD" w14:textId="77777777" w:rsidR="00F95AC5" w:rsidRPr="00F95AC5" w:rsidRDefault="00F95AC5" w:rsidP="00F95AC5">
            <w:pPr>
              <w:jc w:val="both"/>
              <w:rPr>
                <w:rFonts w:ascii="Verdana" w:eastAsia="Calibri" w:hAnsi="Verdana" w:cs="Arial"/>
                <w:lang w:eastAsia="es-ES_tradnl"/>
              </w:rPr>
            </w:pPr>
            <w:r w:rsidRPr="00F95AC5">
              <w:rPr>
                <w:rFonts w:ascii="Verdana" w:eastAsia="Calibri" w:hAnsi="Verdana" w:cs="Arial"/>
                <w:lang w:eastAsia="es-ES_tradnl"/>
              </w:rPr>
              <w:t xml:space="preserve">                                 </w:t>
            </w:r>
          </w:p>
        </w:tc>
      </w:tr>
    </w:tbl>
    <w:p w14:paraId="224EF252" w14:textId="77777777" w:rsidR="00F95AC5" w:rsidRPr="00F95AC5" w:rsidRDefault="00F95AC5" w:rsidP="00F95AC5">
      <w:pPr>
        <w:spacing w:after="0" w:line="240" w:lineRule="auto"/>
        <w:jc w:val="both"/>
        <w:rPr>
          <w:rFonts w:ascii="Verdana" w:eastAsia="Calibri" w:hAnsi="Verdana" w:cs="Arial"/>
          <w:color w:val="000000"/>
          <w:lang w:eastAsia="es-ES_tradnl"/>
        </w:rPr>
      </w:pPr>
    </w:p>
    <w:p w14:paraId="49B3034A" w14:textId="77777777" w:rsidR="00F95AC5" w:rsidRPr="00F95AC5" w:rsidRDefault="00F95AC5" w:rsidP="00F95AC5">
      <w:pPr>
        <w:spacing w:after="0" w:line="276" w:lineRule="auto"/>
        <w:jc w:val="both"/>
        <w:rPr>
          <w:rFonts w:ascii="Verdana" w:eastAsia="Calibri" w:hAnsi="Verdana" w:cs="Arial"/>
          <w:lang w:eastAsia="es-ES"/>
        </w:rPr>
      </w:pPr>
      <w:r w:rsidRPr="00F95AC5">
        <w:rPr>
          <w:rFonts w:ascii="Verdana" w:eastAsia="Calibri" w:hAnsi="Verdana" w:cs="Arial"/>
          <w:lang w:eastAsia="es-ES"/>
        </w:rPr>
        <w:t xml:space="preserve">Estimado señor Obando: </w:t>
      </w:r>
    </w:p>
    <w:p w14:paraId="7391FD01" w14:textId="77777777" w:rsidR="00F95AC5" w:rsidRPr="00F95AC5" w:rsidRDefault="00F95AC5" w:rsidP="00F95AC5">
      <w:pPr>
        <w:tabs>
          <w:tab w:val="left" w:pos="3768"/>
        </w:tabs>
        <w:spacing w:after="0" w:line="276" w:lineRule="auto"/>
        <w:jc w:val="both"/>
        <w:rPr>
          <w:rFonts w:ascii="Verdana" w:eastAsia="Calibri" w:hAnsi="Verdana" w:cs="Arial"/>
          <w:color w:val="000000" w:themeColor="text1"/>
          <w:lang w:eastAsia="es-ES"/>
        </w:rPr>
      </w:pPr>
      <w:r w:rsidRPr="00F95AC5">
        <w:rPr>
          <w:rFonts w:ascii="Verdana" w:eastAsia="Calibri" w:hAnsi="Verdana" w:cs="Arial"/>
          <w:color w:val="000000" w:themeColor="text1"/>
          <w:lang w:eastAsia="es-ES"/>
        </w:rPr>
        <w:tab/>
      </w:r>
    </w:p>
    <w:p w14:paraId="42A4085F" w14:textId="77777777" w:rsidR="00F95AC5" w:rsidRPr="00F95AC5" w:rsidRDefault="00F95AC5" w:rsidP="00F95AC5">
      <w:pPr>
        <w:spacing w:after="120" w:line="276" w:lineRule="auto"/>
        <w:jc w:val="both"/>
        <w:rPr>
          <w:rFonts w:ascii="Verdana" w:hAnsi="Verdana" w:cs="Arial"/>
        </w:rPr>
      </w:pPr>
      <w:r w:rsidRPr="00F95AC5">
        <w:rPr>
          <w:rFonts w:ascii="Verdana" w:eastAsia="Calibri" w:hAnsi="Verdana" w:cs="Arial"/>
          <w:color w:val="000000" w:themeColor="text1"/>
          <w:lang w:eastAsia="es-ES"/>
        </w:rPr>
        <w:t>En ejercicio de la competencia otorgada por los artículos 3, numeral 5º, y 11, numeral 8º, del Decreto Ley 4170 de 2011,</w:t>
      </w:r>
      <w:r w:rsidRPr="00F95AC5">
        <w:rPr>
          <w:rFonts w:ascii="Verdana" w:eastAsia="Arial MT" w:hAnsi="Verdana" w:cs="Arial MT"/>
          <w:lang w:eastAsia="es-ES"/>
        </w:rPr>
        <w:t xml:space="preserve"> </w:t>
      </w:r>
      <w:r w:rsidRPr="00F95AC5">
        <w:rPr>
          <w:rFonts w:ascii="Verdana" w:hAnsi="Verdana" w:cs="Arial"/>
          <w:lang w:val="es-ES_tradnl"/>
        </w:rPr>
        <w:t>así como lo establecido en</w:t>
      </w:r>
      <w:r w:rsidRPr="00F95AC5">
        <w:rPr>
          <w:rFonts w:ascii="Verdana" w:hAnsi="Verdana" w:cs="Arial"/>
        </w:rPr>
        <w:t xml:space="preserve"> la Resolución 469 de 2025 expedida por esta Entidad, </w:t>
      </w:r>
      <w:r w:rsidRPr="00F95AC5">
        <w:rPr>
          <w:rFonts w:ascii="Verdana" w:eastAsia="Calibri" w:hAnsi="Verdana" w:cs="Arial"/>
          <w:color w:val="000000" w:themeColor="text1"/>
          <w:lang w:eastAsia="es-ES"/>
        </w:rPr>
        <w:t>la Agencia Nacional de Contratación Pública – Colombia Compra Eficiente responde su solicitud del 12</w:t>
      </w:r>
      <w:r w:rsidRPr="00F95AC5">
        <w:rPr>
          <w:rFonts w:ascii="Verdana" w:eastAsia="Calibri" w:hAnsi="Verdana" w:cs="Arial"/>
          <w:lang w:eastAsia="es-ES"/>
        </w:rPr>
        <w:t xml:space="preserve"> de febrero de 2026, en la cual consulta sobre lo siguiente:</w:t>
      </w:r>
      <w:r w:rsidRPr="00F95AC5">
        <w:rPr>
          <w:rFonts w:ascii="Verdana" w:eastAsia="Calibri" w:hAnsi="Verdana" w:cs="Arial"/>
          <w:i/>
          <w:iCs/>
          <w:lang w:eastAsia="es-ES"/>
        </w:rPr>
        <w:t xml:space="preserve"> </w:t>
      </w:r>
      <w:bookmarkStart w:id="1" w:name="_Hlk95313578"/>
    </w:p>
    <w:p w14:paraId="29E20BD7" w14:textId="77777777" w:rsidR="00F95AC5" w:rsidRPr="00F95AC5" w:rsidRDefault="00F95AC5" w:rsidP="00F95AC5">
      <w:pPr>
        <w:spacing w:after="0" w:line="240" w:lineRule="auto"/>
        <w:jc w:val="both"/>
        <w:rPr>
          <w:rFonts w:ascii="Verdana" w:eastAsia="Calibri" w:hAnsi="Verdana" w:cs="Arial"/>
          <w:i/>
          <w:iCs/>
          <w:sz w:val="20"/>
          <w:szCs w:val="20"/>
          <w:lang w:eastAsia="es-ES"/>
        </w:rPr>
      </w:pPr>
    </w:p>
    <w:p w14:paraId="5FECFD16" w14:textId="77777777" w:rsidR="00F95AC5" w:rsidRPr="00F95AC5" w:rsidRDefault="00F95AC5" w:rsidP="00F95AC5">
      <w:pPr>
        <w:spacing w:after="0" w:line="240" w:lineRule="auto"/>
        <w:ind w:left="709" w:right="618"/>
        <w:jc w:val="both"/>
        <w:rPr>
          <w:rFonts w:ascii="Verdana" w:hAnsi="Verdana"/>
          <w:sz w:val="20"/>
          <w:szCs w:val="20"/>
        </w:rPr>
      </w:pPr>
      <w:r w:rsidRPr="00F95AC5">
        <w:rPr>
          <w:rFonts w:ascii="Verdana" w:eastAsia="Arial" w:hAnsi="Verdana" w:cs="Arial"/>
          <w:i/>
          <w:iCs/>
          <w:color w:val="000000"/>
          <w:sz w:val="20"/>
          <w:szCs w:val="20"/>
        </w:rPr>
        <w:t>“</w:t>
      </w:r>
      <w:bookmarkEnd w:id="1"/>
      <w:r w:rsidRPr="00F95AC5">
        <w:rPr>
          <w:rFonts w:ascii="Verdana" w:eastAsia="Calibri" w:hAnsi="Verdana" w:cs="Arial"/>
          <w:bCs/>
          <w:sz w:val="20"/>
          <w:szCs w:val="20"/>
          <w:lang w:val="es-ES"/>
        </w:rPr>
        <w:t>[…]</w:t>
      </w:r>
      <w:r w:rsidRPr="00F95AC5">
        <w:rPr>
          <w:rFonts w:ascii="Verdana" w:hAnsi="Verdana"/>
          <w:sz w:val="20"/>
          <w:szCs w:val="20"/>
        </w:rPr>
        <w:t xml:space="preserve"> ¿Es jurídica y técnicamente procedente excepcionar la exigencia de la póliza de estabilidad y calidad en un contrato cuyo objeto es la construcción </w:t>
      </w:r>
      <w:r w:rsidRPr="00F95AC5">
        <w:rPr>
          <w:rFonts w:ascii="Verdana" w:hAnsi="Verdana"/>
          <w:sz w:val="20"/>
          <w:szCs w:val="20"/>
        </w:rPr>
        <w:lastRenderedPageBreak/>
        <w:t xml:space="preserve">de un tramo vial de prueba con fines de investigación académica, considerando que la finalidad del proyecto es el testeo de materiales, y no la entrega de una infraestructura vial definitiva para el uso público? </w:t>
      </w:r>
    </w:p>
    <w:p w14:paraId="21B627DC" w14:textId="77777777" w:rsidR="00F95AC5" w:rsidRPr="00F95AC5" w:rsidRDefault="00F95AC5" w:rsidP="00F95AC5">
      <w:pPr>
        <w:spacing w:after="0" w:line="240" w:lineRule="auto"/>
        <w:ind w:left="709" w:right="618"/>
        <w:jc w:val="both"/>
        <w:rPr>
          <w:rFonts w:ascii="Verdana" w:hAnsi="Verdana"/>
          <w:sz w:val="20"/>
          <w:szCs w:val="20"/>
        </w:rPr>
      </w:pPr>
    </w:p>
    <w:p w14:paraId="6423E7DB" w14:textId="77777777" w:rsidR="00F95AC5" w:rsidRPr="00F95AC5" w:rsidRDefault="00F95AC5" w:rsidP="00F95AC5">
      <w:pPr>
        <w:spacing w:after="0" w:line="240" w:lineRule="auto"/>
        <w:ind w:left="709" w:right="618"/>
        <w:jc w:val="both"/>
        <w:rPr>
          <w:rFonts w:ascii="Verdana" w:eastAsia="Arial" w:hAnsi="Verdana" w:cs="Arial"/>
          <w:i/>
          <w:iCs/>
          <w:color w:val="000000"/>
          <w:sz w:val="20"/>
          <w:szCs w:val="20"/>
        </w:rPr>
      </w:pPr>
      <w:r w:rsidRPr="00F95AC5">
        <w:rPr>
          <w:rFonts w:ascii="Verdana" w:hAnsi="Verdana"/>
          <w:sz w:val="20"/>
          <w:szCs w:val="20"/>
        </w:rPr>
        <w:t xml:space="preserve">¿Cuál es el lineamiento de la Agencia ante contratos de naturaleza experimental donde el riesgo de estabilidad es </w:t>
      </w:r>
      <w:proofErr w:type="spellStart"/>
      <w:r w:rsidRPr="00F95AC5">
        <w:rPr>
          <w:rFonts w:ascii="Verdana" w:hAnsi="Verdana"/>
          <w:sz w:val="20"/>
          <w:szCs w:val="20"/>
        </w:rPr>
        <w:t>inasegurable</w:t>
      </w:r>
      <w:proofErr w:type="spellEnd"/>
      <w:r w:rsidRPr="00F95AC5">
        <w:rPr>
          <w:rFonts w:ascii="Verdana" w:hAnsi="Verdana"/>
          <w:sz w:val="20"/>
          <w:szCs w:val="20"/>
        </w:rPr>
        <w:t xml:space="preserve"> por la ausencia de Normas Técnicas Colombianas (NTC) aplicables a materiales en fase de prueba?</w:t>
      </w:r>
      <w:r w:rsidRPr="00F95AC5">
        <w:rPr>
          <w:rFonts w:ascii="Verdana" w:eastAsia="Arial" w:hAnsi="Verdana" w:cs="Arial"/>
          <w:i/>
          <w:iCs/>
          <w:color w:val="000000"/>
          <w:sz w:val="20"/>
          <w:szCs w:val="20"/>
        </w:rPr>
        <w:t>”</w:t>
      </w:r>
    </w:p>
    <w:p w14:paraId="50829A98" w14:textId="77777777" w:rsidR="00F95AC5" w:rsidRPr="00F95AC5" w:rsidRDefault="00F95AC5" w:rsidP="00F95AC5">
      <w:pPr>
        <w:spacing w:after="120" w:line="276" w:lineRule="auto"/>
        <w:ind w:firstLine="709"/>
        <w:jc w:val="both"/>
        <w:rPr>
          <w:rFonts w:ascii="Verdana" w:hAnsi="Verdana"/>
          <w:sz w:val="20"/>
          <w:szCs w:val="20"/>
        </w:rPr>
      </w:pPr>
    </w:p>
    <w:p w14:paraId="3D71917C" w14:textId="77777777" w:rsidR="00F95AC5" w:rsidRPr="00F95AC5" w:rsidRDefault="00F95AC5" w:rsidP="00F95AC5">
      <w:pPr>
        <w:spacing w:after="120" w:line="276" w:lineRule="auto"/>
        <w:ind w:firstLine="709"/>
        <w:jc w:val="both"/>
        <w:rPr>
          <w:rFonts w:ascii="Verdana" w:eastAsia="Calibri" w:hAnsi="Verdana" w:cs="Arial"/>
          <w:color w:val="000000"/>
          <w:lang w:eastAsia="es-ES"/>
        </w:rPr>
      </w:pPr>
      <w:r w:rsidRPr="00F95AC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5AC5">
        <w:rPr>
          <w:rFonts w:ascii="Verdana" w:eastAsia="Calibri" w:hAnsi="Verdana" w:cs="Arial"/>
          <w:color w:val="000000"/>
          <w:szCs w:val="24"/>
          <w:lang w:eastAsia="es-ES_tradnl"/>
        </w:rPr>
        <w:tab/>
      </w:r>
    </w:p>
    <w:p w14:paraId="48E71AD6" w14:textId="77777777" w:rsidR="00F95AC5" w:rsidRPr="00F95AC5" w:rsidRDefault="00F95AC5" w:rsidP="00F95AC5">
      <w:pPr>
        <w:spacing w:after="0" w:line="276" w:lineRule="auto"/>
        <w:ind w:firstLine="709"/>
        <w:jc w:val="both"/>
        <w:rPr>
          <w:rFonts w:ascii="Verdana" w:eastAsia="Calibri" w:hAnsi="Verdana" w:cs="Arial"/>
          <w:color w:val="000000"/>
          <w:lang w:eastAsia="es-ES"/>
        </w:rPr>
      </w:pPr>
      <w:r w:rsidRPr="00F95AC5">
        <w:rPr>
          <w:rFonts w:ascii="Verdana" w:eastAsia="Calibri" w:hAnsi="Verdana" w:cs="Arial"/>
          <w:color w:val="000000"/>
          <w:lang w:eastAsia="es-ES"/>
        </w:rPr>
        <w:t>Conforme lo expuesto, en aras de satisfacer el derecho fundamental de petición se resolverá su consulta dentro de los límites de la referida competencia consultiva, haciendo unas consideraciones sobre las normas generales relacionadas con los problemas</w:t>
      </w:r>
      <w:r w:rsidRPr="00F95AC5">
        <w:rPr>
          <w:rFonts w:ascii="Verdana" w:eastAsia="Calibri" w:hAnsi="Verdana" w:cs="Arial"/>
          <w:color w:val="7030A0"/>
          <w:lang w:eastAsia="es-ES"/>
        </w:rPr>
        <w:t xml:space="preserve"> </w:t>
      </w:r>
      <w:r w:rsidRPr="00F95AC5">
        <w:rPr>
          <w:rFonts w:ascii="Verdana" w:eastAsia="Calibri" w:hAnsi="Verdana" w:cs="Arial"/>
          <w:color w:val="000000"/>
          <w:lang w:eastAsia="es-ES"/>
        </w:rPr>
        <w:t>jurídicos</w:t>
      </w:r>
      <w:r w:rsidRPr="00F95AC5">
        <w:rPr>
          <w:rFonts w:ascii="Verdana" w:eastAsia="Calibri" w:hAnsi="Verdana" w:cs="Arial"/>
          <w:color w:val="7030A0"/>
          <w:lang w:eastAsia="es-ES"/>
        </w:rPr>
        <w:t xml:space="preserve"> </w:t>
      </w:r>
      <w:r w:rsidRPr="00F95AC5">
        <w:rPr>
          <w:rFonts w:ascii="Verdana" w:eastAsia="Calibri" w:hAnsi="Verdana" w:cs="Arial"/>
          <w:color w:val="000000"/>
          <w:lang w:eastAsia="es-ES"/>
        </w:rPr>
        <w:t xml:space="preserve">de su consulta. </w:t>
      </w:r>
    </w:p>
    <w:p w14:paraId="64FD66F2" w14:textId="77777777" w:rsidR="00F95AC5" w:rsidRPr="00F95AC5" w:rsidRDefault="00F95AC5" w:rsidP="00F95AC5">
      <w:pPr>
        <w:spacing w:after="0" w:line="276" w:lineRule="auto"/>
        <w:ind w:firstLine="709"/>
        <w:jc w:val="both"/>
        <w:rPr>
          <w:rFonts w:ascii="Verdana" w:eastAsia="Calibri" w:hAnsi="Verdana" w:cs="Arial"/>
          <w:color w:val="000000"/>
          <w:lang w:eastAsia="es-ES"/>
        </w:rPr>
      </w:pPr>
    </w:p>
    <w:p w14:paraId="68633EA2" w14:textId="77777777" w:rsidR="00F95AC5" w:rsidRPr="00F95AC5" w:rsidRDefault="00F95AC5" w:rsidP="00F95AC5">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F95AC5">
        <w:rPr>
          <w:rFonts w:ascii="Verdana" w:eastAsia="Century Gothic" w:hAnsi="Verdana" w:cs="Century Gothic"/>
          <w:b/>
          <w:bCs/>
        </w:rPr>
        <w:t>Problemas planteados:</w:t>
      </w:r>
    </w:p>
    <w:p w14:paraId="4266BC32" w14:textId="77777777" w:rsidR="00F95AC5" w:rsidRPr="00F95AC5" w:rsidRDefault="00F95AC5" w:rsidP="00F95AC5">
      <w:pPr>
        <w:tabs>
          <w:tab w:val="left" w:pos="426"/>
        </w:tabs>
        <w:spacing w:after="0" w:line="276" w:lineRule="auto"/>
        <w:jc w:val="both"/>
        <w:rPr>
          <w:rFonts w:ascii="Verdana" w:eastAsia="Century Gothic" w:hAnsi="Verdana" w:cs="Century Gothic"/>
        </w:rPr>
      </w:pPr>
    </w:p>
    <w:p w14:paraId="7A4EA0DA" w14:textId="77777777" w:rsidR="00F95AC5" w:rsidRPr="00F95AC5" w:rsidRDefault="00F95AC5" w:rsidP="00F95AC5">
      <w:pPr>
        <w:spacing w:after="0" w:line="276" w:lineRule="auto"/>
        <w:jc w:val="both"/>
        <w:rPr>
          <w:rFonts w:ascii="Verdana" w:eastAsia="Century Gothic" w:hAnsi="Verdana" w:cs="Century Gothic"/>
        </w:rPr>
      </w:pPr>
      <w:r w:rsidRPr="00F95AC5">
        <w:rPr>
          <w:rFonts w:ascii="Verdana" w:eastAsia="Century Gothic" w:hAnsi="Verdana" w:cs="Century Gothic"/>
        </w:rPr>
        <w:t>De acuerdo con el contenido de su solicitud, esta Agencia resolverá el siguiente problema jurídico: “</w:t>
      </w:r>
      <w:r w:rsidRPr="00F95AC5">
        <w:rPr>
          <w:rFonts w:ascii="Verdana" w:eastAsia="Century Gothic" w:hAnsi="Verdana" w:cs="Century Gothic"/>
          <w:color w:val="000000" w:themeColor="text1"/>
        </w:rPr>
        <w:t>¿Cuál es el marco de aplicación del amparo de calidad y estabilidad de una obra frente a los contratos de obra con componentes de investigación científica, desarrollo tecnológico e innovación?”</w:t>
      </w:r>
    </w:p>
    <w:p w14:paraId="357DD178" w14:textId="77777777" w:rsidR="00F95AC5" w:rsidRPr="00F95AC5" w:rsidRDefault="00F95AC5" w:rsidP="00F95AC5">
      <w:pPr>
        <w:spacing w:after="0" w:line="276" w:lineRule="auto"/>
        <w:jc w:val="both"/>
        <w:rPr>
          <w:rFonts w:ascii="Verdana" w:eastAsia="Century Gothic" w:hAnsi="Verdana" w:cs="Century Gothic"/>
        </w:rPr>
      </w:pPr>
      <w:r w:rsidRPr="00F95AC5">
        <w:rPr>
          <w:rFonts w:ascii="Verdana" w:eastAsia="Century Gothic" w:hAnsi="Verdana" w:cs="Century Gothic"/>
          <w:color w:val="000000" w:themeColor="text1"/>
        </w:rPr>
        <w:t xml:space="preserve">  </w:t>
      </w:r>
    </w:p>
    <w:p w14:paraId="36D9AF41" w14:textId="77777777" w:rsidR="00F95AC5" w:rsidRPr="00F95AC5" w:rsidRDefault="00F95AC5" w:rsidP="00F95AC5">
      <w:pPr>
        <w:numPr>
          <w:ilvl w:val="0"/>
          <w:numId w:val="1"/>
        </w:numPr>
        <w:tabs>
          <w:tab w:val="left" w:pos="142"/>
          <w:tab w:val="left" w:pos="284"/>
        </w:tabs>
        <w:spacing w:after="0" w:line="276" w:lineRule="auto"/>
        <w:jc w:val="both"/>
        <w:rPr>
          <w:rFonts w:ascii="Verdana" w:eastAsia="Century Gothic" w:hAnsi="Verdana" w:cs="Century Gothic"/>
          <w:b/>
          <w:bCs/>
        </w:rPr>
      </w:pPr>
      <w:r w:rsidRPr="00F95AC5">
        <w:rPr>
          <w:rFonts w:ascii="Verdana" w:eastAsia="Century Gothic" w:hAnsi="Verdana" w:cs="Century Gothic"/>
          <w:b/>
          <w:bCs/>
        </w:rPr>
        <w:t>Respuestas:</w:t>
      </w:r>
    </w:p>
    <w:p w14:paraId="58250F1A" w14:textId="77777777" w:rsidR="00F95AC5" w:rsidRPr="00F95AC5" w:rsidRDefault="00F95AC5" w:rsidP="00F95AC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95AC5" w:rsidRPr="00F95AC5" w14:paraId="39631D10" w14:textId="77777777" w:rsidTr="00E615C0">
        <w:trPr>
          <w:trHeight w:val="552"/>
          <w:jc w:val="center"/>
        </w:trPr>
        <w:tc>
          <w:tcPr>
            <w:tcW w:w="8828" w:type="dxa"/>
          </w:tcPr>
          <w:p w14:paraId="20C14505" w14:textId="77777777" w:rsidR="00F95AC5" w:rsidRPr="00F95AC5" w:rsidRDefault="00F95AC5" w:rsidP="00F95AC5">
            <w:pPr>
              <w:spacing w:after="120" w:line="276" w:lineRule="auto"/>
              <w:jc w:val="both"/>
              <w:rPr>
                <w:rFonts w:ascii="Verdana" w:eastAsia="Times New Roman" w:hAnsi="Verdana" w:cs="Arial"/>
                <w:color w:val="000000" w:themeColor="text1"/>
                <w:lang w:eastAsia="es-CO"/>
              </w:rPr>
            </w:pPr>
            <w:bookmarkStart w:id="2" w:name="_Hlk171694685"/>
            <w:r w:rsidRPr="00F95AC5">
              <w:rPr>
                <w:rFonts w:ascii="Verdana" w:eastAsia="Calibri" w:hAnsi="Verdana" w:cs="Arial"/>
                <w:lang w:val="es-ES_tradnl"/>
              </w:rPr>
              <w:t xml:space="preserve">El amparo de estabilidad y calidad de la obra cubre la ocurrencia de vicios, mala calidad, defectos, deficiencias técnicas o fallas que la Administración no </w:t>
            </w:r>
            <w:r w:rsidRPr="00F95AC5">
              <w:rPr>
                <w:rFonts w:ascii="Verdana" w:eastAsia="Calibri" w:hAnsi="Verdana" w:cs="Arial"/>
                <w:lang w:val="es-ES_tradnl"/>
              </w:rPr>
              <w:lastRenderedPageBreak/>
              <w:t>detecte al momento de recibir la obra o que descubre con posterioridad a la finalización del contrato, afectando el cumplimiento de los objetivos de este.</w:t>
            </w:r>
            <w:r w:rsidRPr="00F95AC5">
              <w:rPr>
                <w:rFonts w:ascii="Verdana" w:eastAsia="Calibri" w:hAnsi="Verdana" w:cs="Arial"/>
                <w:bCs/>
                <w:lang w:val="es-ES_tradnl" w:eastAsia="es-MX"/>
              </w:rPr>
              <w:t xml:space="preserve"> </w:t>
            </w:r>
            <w:r w:rsidRPr="00F95AC5">
              <w:rPr>
                <w:rFonts w:ascii="Verdana" w:eastAsia="Calibri" w:hAnsi="Verdana" w:cs="Arial"/>
              </w:rPr>
              <w:t xml:space="preserve">Al respecto, el Consejo de Estado ha </w:t>
            </w:r>
            <w:r w:rsidRPr="00F95AC5">
              <w:rPr>
                <w:rFonts w:ascii="Verdana" w:eastAsia="Times New Roman" w:hAnsi="Verdana" w:cs="Arial"/>
                <w:iCs/>
                <w:lang w:eastAsia="es-ES"/>
              </w:rPr>
              <w:t xml:space="preserve">sostenido que el amparo de la estabilidad de la obra tiene por objeto </w:t>
            </w:r>
            <w:r w:rsidRPr="00F95AC5">
              <w:rPr>
                <w:rFonts w:ascii="Verdana" w:eastAsia="Calibri" w:hAnsi="Verdana" w:cs="Arial"/>
                <w:lang w:val="es-ES_tradnl"/>
              </w:rPr>
              <w:t>“</w:t>
            </w:r>
            <w:r w:rsidRPr="00F95AC5">
              <w:rPr>
                <w:rFonts w:ascii="Verdana" w:eastAsia="Calibri" w:hAnsi="Verdana" w:cs="Arial"/>
              </w:rPr>
              <w:t>la cobertura de los riegos que soporta la entidad contratante en aquellos eventos en los que, con posterioridad a la terminación y entrega a satisfacción de la construcción o edificación, se presenten graves deterioros que por causa de un vicio oculto no se podían advertir con anterioridad, e impidan su normal utilización</w:t>
            </w:r>
            <w:r w:rsidRPr="00F95AC5">
              <w:rPr>
                <w:rFonts w:ascii="Verdana" w:eastAsia="Calibri" w:hAnsi="Verdana" w:cs="Arial"/>
                <w:lang w:val="es-ES_tradnl"/>
              </w:rPr>
              <w:t>”.</w:t>
            </w:r>
            <w:r w:rsidRPr="00F95AC5">
              <w:rPr>
                <w:rFonts w:ascii="Verdana" w:eastAsia="Times New Roman" w:hAnsi="Verdana" w:cs="Arial"/>
                <w:color w:val="000000" w:themeColor="text1"/>
                <w:lang w:eastAsia="es-CO"/>
              </w:rPr>
              <w:t xml:space="preserve"> </w:t>
            </w:r>
          </w:p>
          <w:p w14:paraId="31818BDC"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Adicionalmente, el Consejo de Estado ha señalado que la estabilidad de la obra es una obligación accesoria y de resultado “consistente en entregar una obra estable, capaz de brindar el servicio para el cual fue solicitada, de suerte que, evidenciada la ausencia de estabilidad, el (...) contratista está en el deber de subsanar las fallas que la obra presente después de su entrega y que afecten o impidan su uso”. En ese sentido, </w:t>
            </w:r>
            <w:r w:rsidRPr="00F95AC5">
              <w:rPr>
                <w:rFonts w:ascii="Verdana" w:eastAsia="Times New Roman" w:hAnsi="Verdana" w:cs="Arial"/>
                <w:i/>
                <w:iCs/>
                <w:color w:val="000000" w:themeColor="text1"/>
                <w:lang w:eastAsia="es-CO"/>
              </w:rPr>
              <w:t>si se prueba que el daño se originó por la existencia de vicios de la construcción, de los materiales o del suelo</w:t>
            </w:r>
            <w:r w:rsidRPr="00F95AC5">
              <w:rPr>
                <w:rFonts w:ascii="Verdana" w:eastAsia="Times New Roman" w:hAnsi="Verdana" w:cs="Arial"/>
                <w:color w:val="000000" w:themeColor="text1"/>
                <w:lang w:eastAsia="es-CO"/>
              </w:rPr>
              <w:t xml:space="preserve">, que el contratista debió conocer debido a su oficio, las fallas de la obra le son imputables, con independencia de cualquier consideración sobre su culpa o diligencia.” Por consiguiente, este amparo cuenta con una naturaleza accesoria, secundaria y autónoma en cuanto a su exigibilidad, pues no se agota con la entrega material de la obra, sino que se proyecta más allá de la ejecución del contrato. </w:t>
            </w:r>
          </w:p>
          <w:p w14:paraId="51DF55DB"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De esta forma, por regla general en los contratos de obra pública una de las obligaciones que debe ser prevista a cargo del contratista, es el amparo de la calidad y estabilidad de la obra para asegurar que esta cumpla con los requisitos técnicos respectivos y brinde el servicio para la cual fue contratada. Sin embargo, esto no obsta para que en ciertas situaciones concretas se revise el alcance de la obligación principal para efectos de determinar la necesidad de exigir este amparo. </w:t>
            </w:r>
          </w:p>
          <w:p w14:paraId="7FED91B7"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Podría pensarse, por ejemplo, en aquellos contratos de obra en los cuales se involucran actividades de investigación y desarrollo que guardan un grado de incertidumbre técnica y científica, en los que el producto final no se agota en la simple entrega de una obra, sino que comprende también procesos de investigación y desarrollo tecnológico o generación de conocimiento. En este caso, la prestación contractual trasciende la lógica tradicional de la obra pública y se ubica en un escenario en el que el resultado puede depender de </w:t>
            </w:r>
            <w:r w:rsidRPr="00F95AC5">
              <w:rPr>
                <w:rFonts w:ascii="Verdana" w:eastAsia="Times New Roman" w:hAnsi="Verdana" w:cs="Arial"/>
                <w:color w:val="000000" w:themeColor="text1"/>
                <w:lang w:eastAsia="es-CO"/>
              </w:rPr>
              <w:lastRenderedPageBreak/>
              <w:t xml:space="preserve">variables que no se encuentren previstas al momento de contratar. Así, resulta fundamental un análisis cuidadoso del alcance de la obligación principal, con el fin de establecer si el amparo de calidad y estabilidad cumple realmente la función de asegurar la obra de cara a su naturaleza jurídica y a las obligaciones pactadas. </w:t>
            </w:r>
          </w:p>
          <w:p w14:paraId="57FC0D8B" w14:textId="77777777" w:rsidR="00F95AC5" w:rsidRPr="00F95AC5" w:rsidRDefault="00F95AC5" w:rsidP="00F95AC5">
            <w:pPr>
              <w:spacing w:before="120" w:after="120" w:line="276" w:lineRule="auto"/>
              <w:ind w:firstLine="743"/>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En consecuencia, la decisión de exigir un determinado amparo debe guardar estricta coherencia con obligaciones pactadas, así como con el alcance del amparo y su ámbito de aplicación. Esta afirmación no implica que el amparo de calidad y estabilidad de la obra sea improcedente en contratos que incorporan componentes de investigación o innovación. Lo que se quiere significar es que su exigibilidad debe analizarse con mayor rigor, siendo indispensable examinar el contenido obligacional pactado para determinar si las prestaciones asumidas se enmarcan en obligaciones de resultado o de medio y la forma en que estas pueden ser cubiertas razonablemente.</w:t>
            </w:r>
          </w:p>
          <w:p w14:paraId="7BA07545"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En consecuencia, la exigibilidad del amparo de calidad y estabilidad en contratos con componentes de investigación, desarrollo tecnológico e innovación debe analizarse en cada caso particular, atendiendo a la naturaleza del objeto contractual, al grado de definición técnica previa, a la asignación expresa de riesgos y a la finalidad pública perseguida. Solo a partir de este examen integral es posible determinar si la garantía cumple efectivamente la función de asegurar la obra de acuerdo con su naturaleza jurídica. Lo anterior, sin perjuicio de los mecanismos que se deban incluir para la adecuada gestión de los riesgos identificados. </w:t>
            </w:r>
          </w:p>
          <w:p w14:paraId="55BFC7DC" w14:textId="77777777" w:rsidR="00F95AC5" w:rsidRPr="00F95AC5" w:rsidRDefault="00F95AC5" w:rsidP="00F95AC5">
            <w:pPr>
              <w:widowControl w:val="0"/>
              <w:autoSpaceDE w:val="0"/>
              <w:autoSpaceDN w:val="0"/>
              <w:spacing w:after="120" w:line="276" w:lineRule="auto"/>
              <w:ind w:firstLine="709"/>
              <w:jc w:val="both"/>
              <w:rPr>
                <w:rFonts w:ascii="Verdana" w:hAnsi="Verdana" w:cs="Arial"/>
              </w:rPr>
            </w:pPr>
            <w:r w:rsidRPr="00F95AC5">
              <w:rPr>
                <w:rFonts w:ascii="Verdana" w:hAnsi="Verdana" w:cs="Arial"/>
              </w:rPr>
              <w:t xml:space="preserve">Sin perjuicio de lo anterior, debe advertirse que el análisis requerido para para resolver problemas puntuales en torno a la garantía de estabilidad y calidad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tc>
      </w:tr>
    </w:tbl>
    <w:p w14:paraId="2A5EB5FF" w14:textId="77777777" w:rsidR="00F95AC5" w:rsidRPr="00F95AC5" w:rsidRDefault="00F95AC5" w:rsidP="00F95AC5">
      <w:pPr>
        <w:tabs>
          <w:tab w:val="left" w:pos="142"/>
          <w:tab w:val="left" w:pos="284"/>
        </w:tabs>
        <w:spacing w:after="0" w:line="276" w:lineRule="auto"/>
        <w:jc w:val="both"/>
        <w:rPr>
          <w:rFonts w:ascii="Verdana" w:eastAsia="Century Gothic" w:hAnsi="Verdana" w:cs="Century Gothic"/>
          <w:b/>
          <w:bCs/>
        </w:rPr>
      </w:pPr>
    </w:p>
    <w:bookmarkEnd w:id="2"/>
    <w:p w14:paraId="0E78C08C" w14:textId="77777777" w:rsidR="00F95AC5" w:rsidRPr="00F95AC5" w:rsidRDefault="00F95AC5" w:rsidP="00F95AC5">
      <w:pPr>
        <w:numPr>
          <w:ilvl w:val="0"/>
          <w:numId w:val="1"/>
        </w:numPr>
        <w:tabs>
          <w:tab w:val="left" w:pos="142"/>
          <w:tab w:val="left" w:pos="284"/>
        </w:tabs>
        <w:spacing w:after="0" w:line="276" w:lineRule="auto"/>
        <w:jc w:val="both"/>
        <w:rPr>
          <w:rFonts w:ascii="Verdana" w:eastAsia="Century Gothic" w:hAnsi="Verdana" w:cs="Century Gothic"/>
          <w:b/>
          <w:bCs/>
        </w:rPr>
      </w:pPr>
      <w:r w:rsidRPr="00F95AC5">
        <w:rPr>
          <w:rFonts w:ascii="Verdana" w:eastAsia="Century Gothic" w:hAnsi="Verdana" w:cs="Century Gothic"/>
          <w:b/>
          <w:bCs/>
        </w:rPr>
        <w:t>Razones de las respuestas:</w:t>
      </w:r>
    </w:p>
    <w:p w14:paraId="497F6438" w14:textId="77777777" w:rsidR="00F95AC5" w:rsidRPr="00F95AC5" w:rsidRDefault="00F95AC5" w:rsidP="00F95AC5">
      <w:pPr>
        <w:spacing w:after="0" w:line="276" w:lineRule="auto"/>
        <w:jc w:val="both"/>
        <w:rPr>
          <w:rFonts w:ascii="Verdana" w:eastAsia="Calibri" w:hAnsi="Verdana" w:cs="Arial"/>
          <w:color w:val="7030A0"/>
        </w:rPr>
      </w:pPr>
    </w:p>
    <w:p w14:paraId="37349C60" w14:textId="77777777" w:rsidR="00F95AC5" w:rsidRPr="00F95AC5" w:rsidRDefault="00F95AC5" w:rsidP="00F95AC5">
      <w:pPr>
        <w:spacing w:after="0" w:line="276" w:lineRule="auto"/>
        <w:jc w:val="both"/>
        <w:rPr>
          <w:rFonts w:ascii="Verdana" w:eastAsia="Calibri" w:hAnsi="Verdana" w:cs="Arial"/>
        </w:rPr>
      </w:pPr>
      <w:r w:rsidRPr="00F95AC5">
        <w:rPr>
          <w:rFonts w:ascii="Verdana" w:eastAsia="Calibri" w:hAnsi="Verdana" w:cs="Arial"/>
        </w:rPr>
        <w:t>Lo anterior se sustenta en las siguientes consideraciones:</w:t>
      </w:r>
    </w:p>
    <w:p w14:paraId="785FD528" w14:textId="77777777" w:rsidR="00F95AC5" w:rsidRPr="00F95AC5" w:rsidRDefault="00F95AC5" w:rsidP="00F95AC5">
      <w:pPr>
        <w:widowControl w:val="0"/>
        <w:autoSpaceDE w:val="0"/>
        <w:autoSpaceDN w:val="0"/>
        <w:spacing w:after="120" w:line="276" w:lineRule="auto"/>
        <w:jc w:val="both"/>
        <w:rPr>
          <w:rFonts w:ascii="Verdana" w:eastAsia="Calibri" w:hAnsi="Verdana" w:cs="Arial"/>
          <w:lang w:val="es-ES"/>
        </w:rPr>
      </w:pPr>
    </w:p>
    <w:p w14:paraId="0F8147E9" w14:textId="77777777" w:rsidR="00F95AC5" w:rsidRPr="00F95AC5" w:rsidRDefault="00F95AC5" w:rsidP="00F95AC5">
      <w:pPr>
        <w:spacing w:line="276" w:lineRule="auto"/>
        <w:jc w:val="both"/>
        <w:rPr>
          <w:rFonts w:ascii="Verdana" w:eastAsia="Calibri" w:hAnsi="Verdana" w:cs="Arial"/>
          <w:color w:val="000000" w:themeColor="text1"/>
          <w:lang w:val="es-ES"/>
        </w:rPr>
      </w:pPr>
      <w:r w:rsidRPr="00F95AC5">
        <w:rPr>
          <w:rFonts w:ascii="Verdana" w:hAnsi="Verdana" w:cs="Arial"/>
          <w:color w:val="000000"/>
          <w:shd w:val="clear" w:color="auto" w:fill="FFFFFF"/>
        </w:rPr>
        <w:t xml:space="preserve">i. Por regla, para seleccionar contratistas y para ejecutar contratos se requiere la constitución de garantías. </w:t>
      </w:r>
      <w:bookmarkStart w:id="3" w:name="_Hlk47893233"/>
      <w:r w:rsidRPr="00F95AC5">
        <w:rPr>
          <w:rFonts w:ascii="Verdana" w:hAnsi="Verdana" w:cs="Arial"/>
          <w:color w:val="000000"/>
          <w:shd w:val="clear" w:color="auto" w:fill="FFFFFF"/>
        </w:rPr>
        <w:t>Por un lado, l</w:t>
      </w:r>
      <w:r w:rsidRPr="00F95AC5">
        <w:rPr>
          <w:rFonts w:ascii="Verdana" w:eastAsia="Calibri" w:hAnsi="Verdana" w:cs="Arial"/>
          <w:color w:val="000000" w:themeColor="text1"/>
          <w:lang w:val="es-ES"/>
        </w:rPr>
        <w:t xml:space="preserve">a </w:t>
      </w:r>
      <w:r w:rsidRPr="00F95AC5">
        <w:rPr>
          <w:rFonts w:ascii="Verdana" w:eastAsia="Calibri" w:hAnsi="Verdana" w:cs="Arial"/>
          <w:i/>
          <w:iCs/>
          <w:color w:val="000000" w:themeColor="text1"/>
          <w:lang w:val="es-ES"/>
        </w:rPr>
        <w:t>garantía de seriedad</w:t>
      </w:r>
      <w:r w:rsidRPr="00F95AC5">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3"/>
      <w:r w:rsidRPr="00F95AC5">
        <w:rPr>
          <w:rFonts w:ascii="Verdana" w:eastAsia="Calibri" w:hAnsi="Verdana" w:cs="Arial"/>
          <w:color w:val="000000" w:themeColor="text1"/>
          <w:vertAlign w:val="superscript"/>
        </w:rPr>
        <w:footnoteReference w:id="2"/>
      </w:r>
      <w:r w:rsidRPr="00F95AC5">
        <w:rPr>
          <w:rFonts w:ascii="Verdana" w:eastAsia="Calibri" w:hAnsi="Verdana" w:cs="Arial"/>
          <w:color w:val="000000" w:themeColor="text1"/>
          <w:lang w:val="es-ES"/>
        </w:rPr>
        <w:t>. Sobre este aspecto, la doctrina explica que:</w:t>
      </w:r>
    </w:p>
    <w:p w14:paraId="6DB06A2B" w14:textId="77777777" w:rsidR="00F95AC5" w:rsidRPr="00F95AC5" w:rsidRDefault="00F95AC5" w:rsidP="00F95AC5">
      <w:pPr>
        <w:spacing w:after="0" w:line="276" w:lineRule="auto"/>
        <w:jc w:val="both"/>
        <w:rPr>
          <w:rFonts w:ascii="Verdana" w:eastAsia="Calibri" w:hAnsi="Verdana" w:cs="Arial"/>
          <w:color w:val="000000" w:themeColor="text1"/>
          <w:lang w:val="es-ES"/>
        </w:rPr>
      </w:pPr>
    </w:p>
    <w:p w14:paraId="23E5DA20" w14:textId="77777777" w:rsidR="00F95AC5" w:rsidRPr="00F95AC5" w:rsidRDefault="00F95AC5" w:rsidP="00F95AC5">
      <w:pPr>
        <w:spacing w:after="0" w:line="240" w:lineRule="auto"/>
        <w:ind w:left="709" w:right="709"/>
        <w:jc w:val="both"/>
        <w:rPr>
          <w:rFonts w:ascii="Verdana" w:eastAsia="Calibri" w:hAnsi="Verdana" w:cs="Arial"/>
          <w:color w:val="000000" w:themeColor="text1"/>
          <w:sz w:val="20"/>
          <w:szCs w:val="20"/>
          <w:lang w:val="es-ES"/>
        </w:rPr>
      </w:pPr>
      <w:r w:rsidRPr="00F95AC5">
        <w:rPr>
          <w:rFonts w:ascii="Verdana" w:eastAsia="Calibri" w:hAnsi="Verdana" w:cs="Arial"/>
          <w:color w:val="000000" w:themeColor="text1"/>
          <w:sz w:val="20"/>
          <w:szCs w:val="20"/>
          <w:lang w:val="es-ES"/>
        </w:rPr>
        <w:t xml:space="preserve">“Las </w:t>
      </w:r>
      <w:r w:rsidRPr="00F95AC5">
        <w:rPr>
          <w:rFonts w:ascii="Verdana" w:eastAsia="Calibri" w:hAnsi="Verdana" w:cs="Arial"/>
          <w:i/>
          <w:iCs/>
          <w:color w:val="000000" w:themeColor="text1"/>
          <w:sz w:val="20"/>
          <w:szCs w:val="20"/>
          <w:lang w:val="es-ES"/>
        </w:rPr>
        <w:t>garantías provisionales</w:t>
      </w:r>
      <w:r w:rsidRPr="00F95AC5">
        <w:rPr>
          <w:rFonts w:ascii="Verdana" w:eastAsia="Calibri" w:hAnsi="Verdana" w:cs="Arial"/>
          <w:color w:val="000000" w:themeColor="text1"/>
          <w:sz w:val="20"/>
          <w:szCs w:val="20"/>
          <w:lang w:val="es-ES"/>
        </w:rPr>
        <w:t xml:space="preserve"> ‘avalan la solemnidad de la oferta por parte del contratista’; constituyen una seña </w:t>
      </w:r>
      <w:proofErr w:type="spellStart"/>
      <w:r w:rsidRPr="00F95AC5">
        <w:rPr>
          <w:rFonts w:ascii="Verdana" w:eastAsia="Calibri" w:hAnsi="Verdana" w:cs="Arial"/>
          <w:color w:val="000000" w:themeColor="text1"/>
          <w:sz w:val="20"/>
          <w:szCs w:val="20"/>
          <w:lang w:val="es-ES"/>
        </w:rPr>
        <w:t>pre-contractual</w:t>
      </w:r>
      <w:proofErr w:type="spellEnd"/>
      <w:r w:rsidRPr="00F95AC5">
        <w:rPr>
          <w:rFonts w:ascii="Verdana" w:eastAsia="Calibri" w:hAnsi="Verdana" w:cs="Arial"/>
          <w:color w:val="000000" w:themeColor="text1"/>
          <w:sz w:val="20"/>
          <w:szCs w:val="20"/>
          <w:lang w:val="es-ES"/>
        </w:rPr>
        <w:t xml:space="preserve"> destinada a </w:t>
      </w:r>
      <w:r w:rsidRPr="00F95AC5">
        <w:rPr>
          <w:rFonts w:ascii="Verdana" w:eastAsia="Calibri" w:hAnsi="Verdana" w:cs="Arial"/>
          <w:i/>
          <w:iCs/>
          <w:color w:val="000000" w:themeColor="text1"/>
          <w:sz w:val="20"/>
          <w:szCs w:val="20"/>
          <w:lang w:val="es-ES"/>
        </w:rPr>
        <w:t>asegurar la celebración del contrato</w:t>
      </w:r>
      <w:r w:rsidRPr="00F95AC5">
        <w:rPr>
          <w:rFonts w:ascii="Verdana" w:eastAsia="Calibri" w:hAnsi="Verdana" w:cs="Arial"/>
          <w:color w:val="000000" w:themeColor="text1"/>
          <w:sz w:val="20"/>
          <w:szCs w:val="20"/>
          <w:lang w:val="es-ES"/>
        </w:rPr>
        <w:t xml:space="preserve">, no su cumplimiento. La administración procede a devolver a los oferentes no adjudicatarios, y a transformar en definitiva respecto al adjudicatario, las garantías provisionales, deduciéndose entonces que las </w:t>
      </w:r>
      <w:r w:rsidRPr="00F95AC5">
        <w:rPr>
          <w:rFonts w:ascii="Verdana" w:eastAsia="Calibri" w:hAnsi="Verdana" w:cs="Arial"/>
          <w:i/>
          <w:iCs/>
          <w:color w:val="000000" w:themeColor="text1"/>
          <w:sz w:val="20"/>
          <w:szCs w:val="20"/>
          <w:lang w:val="es-ES"/>
        </w:rPr>
        <w:t>arras</w:t>
      </w:r>
      <w:r w:rsidRPr="00F95AC5">
        <w:rPr>
          <w:rFonts w:ascii="Verdana" w:eastAsia="Calibri" w:hAnsi="Verdana" w:cs="Arial"/>
          <w:color w:val="000000" w:themeColor="text1"/>
          <w:sz w:val="20"/>
          <w:szCs w:val="20"/>
          <w:lang w:val="es-ES"/>
        </w:rPr>
        <w:t xml:space="preserve"> no forman parte del precio, ni son por tanto arras confirmatorias […], sino puramente penitenciales […] como garantías y compensación del </w:t>
      </w:r>
      <w:r w:rsidRPr="00F95AC5">
        <w:rPr>
          <w:rFonts w:ascii="Verdana" w:eastAsia="Calibri" w:hAnsi="Verdana" w:cs="Arial"/>
          <w:i/>
          <w:iCs/>
          <w:color w:val="000000" w:themeColor="text1"/>
          <w:sz w:val="20"/>
          <w:szCs w:val="20"/>
          <w:lang w:val="es-ES"/>
        </w:rPr>
        <w:t xml:space="preserve">ius </w:t>
      </w:r>
      <w:proofErr w:type="spellStart"/>
      <w:r w:rsidRPr="00F95AC5">
        <w:rPr>
          <w:rFonts w:ascii="Verdana" w:eastAsia="Calibri" w:hAnsi="Verdana" w:cs="Arial"/>
          <w:i/>
          <w:iCs/>
          <w:color w:val="000000" w:themeColor="text1"/>
          <w:sz w:val="20"/>
          <w:szCs w:val="20"/>
          <w:lang w:val="es-ES"/>
        </w:rPr>
        <w:t>poenitendi</w:t>
      </w:r>
      <w:proofErr w:type="spellEnd"/>
      <w:r w:rsidRPr="00F95AC5">
        <w:rPr>
          <w:rFonts w:ascii="Verdana" w:eastAsia="Calibri" w:hAnsi="Verdana" w:cs="Arial"/>
          <w:color w:val="000000" w:themeColor="text1"/>
          <w:sz w:val="20"/>
          <w:szCs w:val="20"/>
          <w:lang w:val="es-ES"/>
        </w:rPr>
        <w:t xml:space="preserve"> del licitante. Son, en consecuencia, ‘la medida de la responsabilidad </w:t>
      </w:r>
      <w:proofErr w:type="spellStart"/>
      <w:r w:rsidRPr="00F95AC5">
        <w:rPr>
          <w:rFonts w:ascii="Verdana" w:eastAsia="Calibri" w:hAnsi="Verdana" w:cs="Arial"/>
          <w:color w:val="000000" w:themeColor="text1"/>
          <w:sz w:val="20"/>
          <w:szCs w:val="20"/>
          <w:lang w:val="es-ES"/>
        </w:rPr>
        <w:t>pre-contractual</w:t>
      </w:r>
      <w:proofErr w:type="spellEnd"/>
      <w:r w:rsidRPr="00F95AC5">
        <w:rPr>
          <w:rFonts w:ascii="Verdana" w:eastAsia="Calibri" w:hAnsi="Verdana" w:cs="Arial"/>
          <w:color w:val="000000" w:themeColor="text1"/>
          <w:sz w:val="20"/>
          <w:szCs w:val="20"/>
          <w:lang w:val="es-ES"/>
        </w:rPr>
        <w:t xml:space="preserve"> del oferente’; o, más bien, la garantía de oferta representa en definitiva la medida de la responsabilidad”</w:t>
      </w:r>
      <w:r w:rsidRPr="00F95AC5">
        <w:rPr>
          <w:rFonts w:ascii="Verdana" w:eastAsia="Calibri" w:hAnsi="Verdana" w:cs="Arial"/>
          <w:color w:val="000000" w:themeColor="text1"/>
          <w:sz w:val="20"/>
          <w:szCs w:val="20"/>
          <w:vertAlign w:val="superscript"/>
        </w:rPr>
        <w:footnoteReference w:id="3"/>
      </w:r>
      <w:r w:rsidRPr="00F95AC5">
        <w:rPr>
          <w:rFonts w:ascii="Verdana" w:eastAsia="Calibri" w:hAnsi="Verdana" w:cs="Arial"/>
          <w:color w:val="000000" w:themeColor="text1"/>
          <w:sz w:val="20"/>
          <w:szCs w:val="20"/>
          <w:lang w:val="es-ES"/>
        </w:rPr>
        <w:t xml:space="preserve">. (Cursivas dentro del texto)   </w:t>
      </w:r>
    </w:p>
    <w:p w14:paraId="43EDC3AF" w14:textId="77777777" w:rsidR="00F95AC5" w:rsidRPr="00F95AC5" w:rsidRDefault="00F95AC5" w:rsidP="00F95AC5">
      <w:pPr>
        <w:spacing w:after="0" w:line="276" w:lineRule="auto"/>
        <w:jc w:val="both"/>
        <w:rPr>
          <w:rFonts w:ascii="Verdana" w:eastAsia="Calibri" w:hAnsi="Verdana" w:cs="Arial"/>
          <w:color w:val="000000" w:themeColor="text1"/>
          <w:lang w:val="es-ES"/>
        </w:rPr>
      </w:pPr>
    </w:p>
    <w:p w14:paraId="1378E40C" w14:textId="77777777" w:rsidR="00F95AC5" w:rsidRPr="00F95AC5" w:rsidRDefault="00F95AC5" w:rsidP="00F95AC5">
      <w:pPr>
        <w:spacing w:after="120" w:line="276" w:lineRule="auto"/>
        <w:ind w:firstLine="709"/>
        <w:jc w:val="both"/>
        <w:rPr>
          <w:rFonts w:ascii="Verdana" w:eastAsia="Calibri" w:hAnsi="Verdana" w:cs="Arial"/>
          <w:color w:val="000000" w:themeColor="text1"/>
          <w:lang w:val="es-ES"/>
        </w:rPr>
      </w:pPr>
      <w:r w:rsidRPr="00F95AC5">
        <w:rPr>
          <w:rFonts w:ascii="Verdana" w:eastAsia="Calibri" w:hAnsi="Verdana" w:cs="Arial"/>
          <w:color w:val="000000" w:themeColor="text1"/>
          <w:lang w:val="es-ES"/>
        </w:rPr>
        <w:t xml:space="preserve">En contraste, mediante la </w:t>
      </w:r>
      <w:r w:rsidRPr="00F95AC5">
        <w:rPr>
          <w:rFonts w:ascii="Verdana" w:eastAsia="Calibri" w:hAnsi="Verdana" w:cs="Arial"/>
          <w:i/>
          <w:iCs/>
          <w:color w:val="000000" w:themeColor="text1"/>
          <w:lang w:val="es-ES"/>
        </w:rPr>
        <w:t>garantía de única de cumplimiento</w:t>
      </w:r>
      <w:r w:rsidRPr="00F95AC5">
        <w:rPr>
          <w:rFonts w:ascii="Verdana" w:eastAsia="Calibri" w:hAnsi="Verdana" w:cs="Arial"/>
          <w:color w:val="000000" w:themeColor="text1"/>
          <w:lang w:val="es-ES"/>
        </w:rPr>
        <w:t>, el contratista ampara los perjuicios que le pueda generar a la entidad el incumplimiento de las obligaciones derivadas del contrato</w:t>
      </w:r>
      <w:r w:rsidRPr="00F95AC5">
        <w:rPr>
          <w:rFonts w:ascii="Verdana" w:eastAsia="Calibri" w:hAnsi="Verdana" w:cs="Arial"/>
          <w:color w:val="000000" w:themeColor="text1"/>
          <w:vertAlign w:val="superscript"/>
        </w:rPr>
        <w:footnoteReference w:id="4"/>
      </w:r>
      <w:r w:rsidRPr="00F95AC5">
        <w:rPr>
          <w:rFonts w:ascii="Verdana" w:eastAsia="Calibri" w:hAnsi="Verdana" w:cs="Arial"/>
          <w:color w:val="000000" w:themeColor="text1"/>
          <w:lang w:val="es-ES"/>
        </w:rPr>
        <w:t xml:space="preserve">. En esta medida, </w:t>
      </w:r>
      <w:r w:rsidRPr="00F95AC5">
        <w:rPr>
          <w:rFonts w:ascii="Verdana" w:eastAsia="Calibri" w:hAnsi="Verdana" w:cs="Arial"/>
          <w:color w:val="000000" w:themeColor="text1"/>
          <w:lang w:val="es-ES"/>
        </w:rPr>
        <w:lastRenderedPageBreak/>
        <w:t xml:space="preserve">tienen como objetivo reparar los perjuicios causados por conductas atribuibles al contratista, por lo que estos últimos son un presupuesto necesario para el pago que cubre la garantía. </w:t>
      </w:r>
      <w:r w:rsidRPr="00F95AC5">
        <w:rPr>
          <w:rFonts w:ascii="Verdana" w:hAnsi="Verdana" w:cs="Arial"/>
          <w:color w:val="000000" w:themeColor="text1"/>
          <w:lang w:val="es-ES_tradnl"/>
        </w:rPr>
        <w:t>Para estos efectos es única, ya que “[…] La prioridad […] es que no haya garantías separadas para los diferentes riesgos, aunque existan varias garantías para diferentes proporciones del interés asegurado […]”</w:t>
      </w:r>
      <w:r w:rsidRPr="00F95AC5">
        <w:rPr>
          <w:rFonts w:ascii="Verdana" w:hAnsi="Verdana" w:cs="Arial"/>
          <w:color w:val="000000" w:themeColor="text1"/>
          <w:vertAlign w:val="superscript"/>
          <w:lang w:val="es-ES_tradnl"/>
        </w:rPr>
        <w:footnoteReference w:id="5"/>
      </w:r>
      <w:r w:rsidRPr="00F95AC5">
        <w:rPr>
          <w:rFonts w:ascii="Verdana" w:hAnsi="Verdana" w:cs="Arial"/>
          <w:color w:val="000000" w:themeColor="text1"/>
          <w:lang w:val="es-ES_tradnl"/>
        </w:rPr>
        <w:t xml:space="preserve">.    </w:t>
      </w:r>
    </w:p>
    <w:p w14:paraId="1FD1612D" w14:textId="77777777" w:rsidR="00F95AC5" w:rsidRPr="00F95AC5" w:rsidRDefault="00F95AC5" w:rsidP="00F95AC5">
      <w:pPr>
        <w:spacing w:after="120" w:line="276" w:lineRule="auto"/>
        <w:ind w:firstLine="708"/>
        <w:jc w:val="both"/>
        <w:rPr>
          <w:rFonts w:ascii="Verdana" w:hAnsi="Verdana" w:cs="Arial"/>
          <w:color w:val="000000" w:themeColor="text1"/>
          <w:lang w:val="es-ES"/>
        </w:rPr>
      </w:pPr>
      <w:r w:rsidRPr="00F95AC5">
        <w:rPr>
          <w:rFonts w:ascii="Verdana" w:hAnsi="Verdana" w:cs="Arial"/>
          <w:color w:val="000000" w:themeColor="text1"/>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F95AC5">
        <w:rPr>
          <w:rFonts w:ascii="Verdana" w:hAnsi="Verdana" w:cs="Arial"/>
          <w:color w:val="000000" w:themeColor="text1"/>
          <w:lang w:val="es-ES"/>
        </w:rPr>
        <w:t>ii</w:t>
      </w:r>
      <w:proofErr w:type="spellEnd"/>
      <w:r w:rsidRPr="00F95AC5">
        <w:rPr>
          <w:rFonts w:ascii="Verdana" w:hAnsi="Verdana" w:cs="Arial"/>
          <w:color w:val="000000" w:themeColor="text1"/>
          <w:lang w:val="es-ES"/>
        </w:rPr>
        <w:t xml:space="preserve">) garantías bancarias o </w:t>
      </w:r>
      <w:proofErr w:type="spellStart"/>
      <w:r w:rsidRPr="00F95AC5">
        <w:rPr>
          <w:rFonts w:ascii="Verdana" w:hAnsi="Verdana" w:cs="Arial"/>
          <w:color w:val="000000" w:themeColor="text1"/>
          <w:lang w:val="es-ES"/>
        </w:rPr>
        <w:t>iii</w:t>
      </w:r>
      <w:proofErr w:type="spellEnd"/>
      <w:r w:rsidRPr="00F95AC5">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F95AC5">
        <w:rPr>
          <w:rFonts w:ascii="Verdana" w:hAnsi="Verdana" w:cs="Arial"/>
          <w:color w:val="000000" w:themeColor="text1"/>
          <w:vertAlign w:val="superscript"/>
          <w:lang w:val="es-ES"/>
        </w:rPr>
        <w:footnoteReference w:id="6"/>
      </w:r>
      <w:r w:rsidRPr="00F95AC5">
        <w:rPr>
          <w:rFonts w:ascii="Verdana" w:hAnsi="Verdana" w:cs="Arial"/>
          <w:color w:val="000000" w:themeColor="text1"/>
          <w:lang w:val="es-ES"/>
        </w:rPr>
        <w:t>. De esta manera, las garantías previstas en la ley tienen como objetivo asegurar la solvencia del garante</w:t>
      </w:r>
      <w:r w:rsidRPr="00F95AC5">
        <w:rPr>
          <w:rFonts w:ascii="Verdana" w:hAnsi="Verdana" w:cs="Arial"/>
          <w:color w:val="000000" w:themeColor="text1"/>
          <w:vertAlign w:val="superscript"/>
          <w:lang w:val="es-ES"/>
        </w:rPr>
        <w:footnoteReference w:id="7"/>
      </w:r>
      <w:r w:rsidRPr="00F95AC5">
        <w:rPr>
          <w:rFonts w:ascii="Verdana" w:hAnsi="Verdana" w:cs="Arial"/>
          <w:color w:val="000000" w:themeColor="text1"/>
          <w:lang w:val="es-ES"/>
        </w:rPr>
        <w:t>.</w:t>
      </w:r>
    </w:p>
    <w:p w14:paraId="3E89B365" w14:textId="77777777" w:rsidR="00F95AC5" w:rsidRPr="00F95AC5" w:rsidRDefault="00F95AC5" w:rsidP="00F95AC5">
      <w:pPr>
        <w:spacing w:after="120" w:line="276" w:lineRule="auto"/>
        <w:ind w:firstLine="708"/>
        <w:jc w:val="both"/>
        <w:rPr>
          <w:rFonts w:ascii="Verdana" w:hAnsi="Verdana" w:cs="Arial"/>
          <w:color w:val="000000" w:themeColor="text1"/>
        </w:rPr>
      </w:pPr>
      <w:r w:rsidRPr="00F95AC5">
        <w:rPr>
          <w:rFonts w:ascii="Verdana" w:hAnsi="Verdana" w:cs="Arial"/>
          <w:color w:val="000000" w:themeColor="text1"/>
        </w:rPr>
        <w:t xml:space="preserve">El Decreto 1082 de 2015 reglamenta las condiciones en que debe cumplirse esta obligación. Los artículos 2.2.1.2.3.1.1 a 2.2.1.2.3.1.19 del Decreto Único Reglamentario del sector Administrativo de Planeación Nacional </w:t>
      </w:r>
      <w:r w:rsidRPr="00F95AC5">
        <w:rPr>
          <w:rFonts w:ascii="Verdana" w:hAnsi="Verdana" w:cs="Arial"/>
          <w:color w:val="000000" w:themeColor="text1"/>
        </w:rPr>
        <w:lastRenderedPageBreak/>
        <w:t xml:space="preserve">regulan asuntos como las clases de garantías permitidas, la indivisibilidad de </w:t>
      </w:r>
      <w:proofErr w:type="gramStart"/>
      <w:r w:rsidRPr="00F95AC5">
        <w:rPr>
          <w:rFonts w:ascii="Verdana" w:hAnsi="Verdana" w:cs="Arial"/>
          <w:color w:val="000000" w:themeColor="text1"/>
        </w:rPr>
        <w:t>las mismas</w:t>
      </w:r>
      <w:proofErr w:type="gramEnd"/>
      <w:r w:rsidRPr="00F95AC5">
        <w:rPr>
          <w:rFonts w:ascii="Verdana" w:hAnsi="Verdana" w:cs="Arial"/>
          <w:color w:val="000000" w:themeColor="text1"/>
        </w:rPr>
        <w:t xml:space="preserve">, los diferentes riesgos que deben ser objeto de garantía, la vigencia y valores mínimos que deben cubrir los amparos, entre otros aspectos. </w:t>
      </w:r>
    </w:p>
    <w:p w14:paraId="43B3FE6F" w14:textId="77777777" w:rsidR="00F95AC5" w:rsidRPr="00F95AC5" w:rsidRDefault="00F95AC5" w:rsidP="00F95AC5">
      <w:pPr>
        <w:spacing w:before="120" w:after="120" w:line="276" w:lineRule="auto"/>
        <w:ind w:firstLine="708"/>
        <w:jc w:val="both"/>
        <w:rPr>
          <w:rFonts w:ascii="Verdana" w:eastAsia="Times New Roman" w:hAnsi="Verdana" w:cs="Arial"/>
          <w:color w:val="000000" w:themeColor="text1"/>
          <w:lang w:eastAsia="es-CO"/>
        </w:rPr>
      </w:pPr>
      <w:r w:rsidRPr="00F95AC5">
        <w:rPr>
          <w:rFonts w:ascii="Verdana" w:hAnsi="Verdana" w:cs="Arial"/>
          <w:color w:val="000000" w:themeColor="text1"/>
        </w:rPr>
        <w:t>El artículo 2.2.1.2.3.1.3, por ejemplo, establece que la “garantía de cobertura del Riesgo es indivisible”, además de la obligación de los contratantes de establecer en los pliegos de condiciones las garantías exigidas para cada periodo contractual</w:t>
      </w:r>
      <w:r w:rsidRPr="00F95AC5">
        <w:rPr>
          <w:rFonts w:ascii="Verdana" w:hAnsi="Verdana" w:cs="Arial"/>
          <w:color w:val="000000" w:themeColor="text1"/>
          <w:vertAlign w:val="superscript"/>
        </w:rPr>
        <w:footnoteReference w:id="8"/>
      </w:r>
      <w:r w:rsidRPr="00F95AC5">
        <w:rPr>
          <w:rFonts w:ascii="Verdana" w:hAnsi="Verdana" w:cs="Arial"/>
          <w:color w:val="000000" w:themeColor="text1"/>
        </w:rPr>
        <w:t xml:space="preserve">. Por su parte, el artículo 2.2.1.3.1.7 prescribe que la garantía de cumplimiento debe cubrir: i) el buen manejo y correcta inversión del anticipo; </w:t>
      </w:r>
      <w:proofErr w:type="spellStart"/>
      <w:r w:rsidRPr="00F95AC5">
        <w:rPr>
          <w:rFonts w:ascii="Verdana" w:hAnsi="Verdana" w:cs="Arial"/>
          <w:color w:val="000000" w:themeColor="text1"/>
        </w:rPr>
        <w:t>ii</w:t>
      </w:r>
      <w:proofErr w:type="spellEnd"/>
      <w:r w:rsidRPr="00F95AC5">
        <w:rPr>
          <w:rFonts w:ascii="Verdana" w:hAnsi="Verdana" w:cs="Arial"/>
          <w:color w:val="000000" w:themeColor="text1"/>
        </w:rPr>
        <w:t xml:space="preserve">) la devolución del pago anticipado; </w:t>
      </w:r>
      <w:proofErr w:type="spellStart"/>
      <w:r w:rsidRPr="00F95AC5">
        <w:rPr>
          <w:rFonts w:ascii="Verdana" w:hAnsi="Verdana" w:cs="Arial"/>
          <w:color w:val="000000" w:themeColor="text1"/>
        </w:rPr>
        <w:t>iii</w:t>
      </w:r>
      <w:proofErr w:type="spellEnd"/>
      <w:r w:rsidRPr="00F95AC5">
        <w:rPr>
          <w:rFonts w:ascii="Verdana" w:hAnsi="Verdana" w:cs="Arial"/>
          <w:color w:val="000000" w:themeColor="text1"/>
        </w:rPr>
        <w:t xml:space="preserve">) el cumplimiento del contrato; </w:t>
      </w:r>
      <w:proofErr w:type="spellStart"/>
      <w:r w:rsidRPr="00F95AC5">
        <w:rPr>
          <w:rFonts w:ascii="Verdana" w:hAnsi="Verdana" w:cs="Arial"/>
          <w:color w:val="000000" w:themeColor="text1"/>
        </w:rPr>
        <w:t>iv</w:t>
      </w:r>
      <w:proofErr w:type="spellEnd"/>
      <w:r w:rsidRPr="00F95AC5">
        <w:rPr>
          <w:rFonts w:ascii="Verdana" w:hAnsi="Verdana" w:cs="Arial"/>
          <w:color w:val="000000" w:themeColor="text1"/>
        </w:rPr>
        <w:t xml:space="preserve">) el pago de salarios, prestaciones sociales legales e indemnizaciones laborales; v)  la estabilidad y calidad de la obra; vi) la </w:t>
      </w:r>
      <w:r w:rsidRPr="00F95AC5">
        <w:rPr>
          <w:rFonts w:ascii="Verdana" w:eastAsia="Times New Roman" w:hAnsi="Verdana" w:cs="Arial"/>
          <w:color w:val="000000" w:themeColor="text1"/>
          <w:lang w:eastAsia="es-CO"/>
        </w:rPr>
        <w:t xml:space="preserve">calidad del servicio; </w:t>
      </w:r>
      <w:proofErr w:type="spellStart"/>
      <w:r w:rsidRPr="00F95AC5">
        <w:rPr>
          <w:rFonts w:ascii="Verdana" w:eastAsia="Times New Roman" w:hAnsi="Verdana" w:cs="Arial"/>
          <w:color w:val="000000" w:themeColor="text1"/>
          <w:lang w:eastAsia="es-CO"/>
        </w:rPr>
        <w:t>vii</w:t>
      </w:r>
      <w:proofErr w:type="spellEnd"/>
      <w:r w:rsidRPr="00F95AC5">
        <w:rPr>
          <w:rFonts w:ascii="Verdana" w:eastAsia="Times New Roman" w:hAnsi="Verdana" w:cs="Arial"/>
          <w:color w:val="000000" w:themeColor="text1"/>
          <w:lang w:eastAsia="es-CO"/>
        </w:rPr>
        <w:t xml:space="preserve">) la calidad y correcto funcionamiento de los bienes; y </w:t>
      </w:r>
      <w:proofErr w:type="spellStart"/>
      <w:r w:rsidRPr="00F95AC5">
        <w:rPr>
          <w:rFonts w:ascii="Verdana" w:eastAsia="Times New Roman" w:hAnsi="Verdana" w:cs="Arial"/>
          <w:color w:val="000000" w:themeColor="text1"/>
          <w:lang w:eastAsia="es-CO"/>
        </w:rPr>
        <w:t>viii</w:t>
      </w:r>
      <w:proofErr w:type="spellEnd"/>
      <w:r w:rsidRPr="00F95AC5">
        <w:rPr>
          <w:rFonts w:ascii="Verdana" w:eastAsia="Times New Roman" w:hAnsi="Verdana" w:cs="Arial"/>
          <w:color w:val="000000" w:themeColor="text1"/>
          <w:lang w:eastAsia="es-CO"/>
        </w:rPr>
        <w:t>) los demás incumplimientos de las obligaciones que la entidad estatal considere deben ser amparados</w:t>
      </w:r>
      <w:r w:rsidRPr="00F95AC5">
        <w:rPr>
          <w:rFonts w:ascii="Verdana" w:eastAsia="Times New Roman" w:hAnsi="Verdana" w:cs="Arial"/>
          <w:color w:val="000000" w:themeColor="text1"/>
          <w:vertAlign w:val="superscript"/>
          <w:lang w:eastAsia="es-CO"/>
        </w:rPr>
        <w:footnoteReference w:id="9"/>
      </w:r>
      <w:r w:rsidRPr="00F95AC5">
        <w:rPr>
          <w:rFonts w:ascii="Verdana" w:eastAsia="Times New Roman" w:hAnsi="Verdana" w:cs="Arial"/>
          <w:color w:val="000000" w:themeColor="text1"/>
          <w:lang w:eastAsia="es-CO"/>
        </w:rPr>
        <w:t xml:space="preserve">. Esto además de la póliza de responsabilidad civil extracontractual </w:t>
      </w:r>
      <w:r w:rsidRPr="00F95AC5">
        <w:rPr>
          <w:rFonts w:ascii="Verdana" w:eastAsia="Times New Roman" w:hAnsi="Verdana" w:cs="Arial"/>
          <w:color w:val="000000" w:themeColor="text1"/>
          <w:lang w:eastAsia="es-CO"/>
        </w:rPr>
        <w:lastRenderedPageBreak/>
        <w:t xml:space="preserve">en los contratos de obra, así en aquellos en que por su objeto o naturaleza se considere necesario con ocasión de los riesgos previstos en el negocio, de acuerdo con el artículo 2.2.1.2.3.1.8 </w:t>
      </w:r>
      <w:r w:rsidRPr="00F95AC5">
        <w:rPr>
          <w:rFonts w:ascii="Verdana" w:eastAsia="Times New Roman" w:hAnsi="Verdana" w:cs="Arial"/>
          <w:i/>
          <w:iCs/>
          <w:color w:val="000000" w:themeColor="text1"/>
          <w:lang w:eastAsia="es-CO"/>
        </w:rPr>
        <w:t>ibidem</w:t>
      </w:r>
      <w:r w:rsidRPr="00F95AC5">
        <w:rPr>
          <w:rFonts w:ascii="Verdana" w:eastAsia="Times New Roman" w:hAnsi="Verdana" w:cs="Arial"/>
          <w:color w:val="000000" w:themeColor="text1"/>
          <w:lang w:eastAsia="es-CO"/>
        </w:rPr>
        <w:t>.</w:t>
      </w:r>
      <w:r w:rsidRPr="00F95AC5">
        <w:rPr>
          <w:rFonts w:ascii="Verdana" w:eastAsia="Calibri" w:hAnsi="Verdana" w:cs="Arial"/>
          <w:lang w:val="es-ES"/>
        </w:rPr>
        <w:t xml:space="preserve"> Por tanto, el amparo de estabilidad y calidad de la obra es uno de los múltiples amparos que conforman la garantía única de cumplimiento.</w:t>
      </w:r>
    </w:p>
    <w:p w14:paraId="6B34D2DF" w14:textId="77777777" w:rsidR="00F95AC5" w:rsidRPr="00F95AC5" w:rsidRDefault="00F95AC5" w:rsidP="00F95AC5">
      <w:pPr>
        <w:spacing w:before="120" w:after="120" w:line="276" w:lineRule="auto"/>
        <w:jc w:val="both"/>
        <w:rPr>
          <w:rFonts w:ascii="Verdana" w:eastAsia="Times New Roman" w:hAnsi="Verdana" w:cs="Arial"/>
          <w:color w:val="000000" w:themeColor="text1"/>
          <w:lang w:val="es-ES_tradnl" w:eastAsia="es-CO"/>
        </w:rPr>
      </w:pPr>
      <w:proofErr w:type="spellStart"/>
      <w:r w:rsidRPr="00F95AC5">
        <w:rPr>
          <w:rFonts w:ascii="Verdana" w:eastAsia="Times New Roman" w:hAnsi="Verdana" w:cs="Arial"/>
          <w:color w:val="000000" w:themeColor="text1"/>
          <w:lang w:eastAsia="es-CO"/>
        </w:rPr>
        <w:t>ii</w:t>
      </w:r>
      <w:proofErr w:type="spellEnd"/>
      <w:r w:rsidRPr="00F95AC5">
        <w:rPr>
          <w:rFonts w:ascii="Verdana" w:eastAsia="Times New Roman" w:hAnsi="Verdana" w:cs="Arial"/>
          <w:color w:val="000000" w:themeColor="text1"/>
          <w:lang w:eastAsia="es-CO"/>
        </w:rPr>
        <w:t xml:space="preserve">. Respecto del amparo de estabilidad y calidad de la obra, </w:t>
      </w:r>
      <w:r w:rsidRPr="00F95AC5">
        <w:rPr>
          <w:rFonts w:ascii="Verdana" w:eastAsia="Times New Roman" w:hAnsi="Verdana" w:cs="Arial"/>
          <w:color w:val="000000" w:themeColor="text1"/>
          <w:lang w:val="es-ES" w:eastAsia="es-CO"/>
        </w:rPr>
        <w:t>sin perjuicio de la</w:t>
      </w:r>
      <w:r w:rsidRPr="00F95AC5">
        <w:rPr>
          <w:rFonts w:ascii="Verdana" w:eastAsia="Times New Roman" w:hAnsi="Verdana" w:cs="Arial"/>
          <w:color w:val="000000" w:themeColor="text1"/>
          <w:lang w:val="es-ES_tradnl" w:eastAsia="es-CO"/>
        </w:rPr>
        <w:t xml:space="preserve"> garantía decenal de que trata el artículo 2060.3 del Código Civil</w:t>
      </w:r>
      <w:r w:rsidRPr="00F95AC5">
        <w:rPr>
          <w:rFonts w:ascii="Verdana" w:eastAsia="Times New Roman" w:hAnsi="Verdana" w:cs="Arial"/>
          <w:color w:val="000000" w:themeColor="text1"/>
          <w:vertAlign w:val="superscript"/>
          <w:lang w:val="es-ES_tradnl" w:eastAsia="es-CO"/>
        </w:rPr>
        <w:footnoteReference w:id="10"/>
      </w:r>
      <w:r w:rsidRPr="00F95AC5">
        <w:rPr>
          <w:rFonts w:ascii="Verdana" w:eastAsia="Times New Roman" w:hAnsi="Verdana" w:cs="Arial"/>
          <w:color w:val="000000" w:themeColor="text1"/>
          <w:lang w:val="es-ES_tradnl" w:eastAsia="es-CO"/>
        </w:rPr>
        <w:t>, el numeral 5 del artículo 2.2.1.3.1.7 del Decreto 1082 de 2015 dispone que “</w:t>
      </w:r>
      <w:r w:rsidRPr="00F95AC5">
        <w:rPr>
          <w:rFonts w:ascii="Verdana" w:eastAsia="Times New Roman" w:hAnsi="Verdana" w:cs="Arial"/>
          <w:color w:val="000000" w:themeColor="text1"/>
          <w:lang w:val="es-MX" w:eastAsia="es-CO"/>
        </w:rPr>
        <w:t xml:space="preserve">[…] </w:t>
      </w:r>
      <w:r w:rsidRPr="00F95AC5">
        <w:rPr>
          <w:rFonts w:ascii="Verdana" w:eastAsia="Times New Roman" w:hAnsi="Verdana" w:cs="Arial"/>
          <w:color w:val="000000" w:themeColor="text1"/>
          <w:lang w:val="es-ES_tradnl" w:eastAsia="es-CO"/>
        </w:rPr>
        <w:t xml:space="preserve">cubre a la Entidad Estatal de los perjuicios ocasionados por cualquier tipo de daño o deterioro, imputable al contratista, sufrido por la obra entregada a satisfacción”. </w:t>
      </w:r>
    </w:p>
    <w:p w14:paraId="648A9A17" w14:textId="77777777" w:rsidR="00F95AC5" w:rsidRPr="00F95AC5" w:rsidRDefault="00F95AC5" w:rsidP="00F95AC5">
      <w:pPr>
        <w:spacing w:before="120" w:after="120" w:line="276" w:lineRule="auto"/>
        <w:ind w:firstLine="709"/>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val="es-ES_tradnl" w:eastAsia="es-CO"/>
        </w:rPr>
        <w:t>E</w:t>
      </w:r>
      <w:r w:rsidRPr="00F95AC5">
        <w:rPr>
          <w:rFonts w:ascii="Verdana" w:eastAsia="Times New Roman" w:hAnsi="Verdana" w:cs="Arial"/>
          <w:color w:val="000000" w:themeColor="text1"/>
          <w:lang w:eastAsia="es-CO"/>
        </w:rPr>
        <w:t xml:space="preserve">l artículo 2.2.1.2.3.1.14 del Decreto 1082 de 2015 –después de la modificación del artículo 3 del Decreto 399 de 2021– regula la suficiencia del amparo. Para efectos de la vigencia y el monto, el inciso primero dispone que “Esta garantía debe estar vigente por un término no inferior a cinco (5) años contados a partir de la fecha en la cual la Entidad Estatal recibe a satisfacción la </w:t>
      </w:r>
      <w:r w:rsidRPr="00F95AC5">
        <w:rPr>
          <w:rFonts w:ascii="Verdana" w:eastAsia="Times New Roman" w:hAnsi="Verdana" w:cs="Arial"/>
          <w:color w:val="000000" w:themeColor="text1"/>
          <w:lang w:eastAsia="es-CO"/>
        </w:rPr>
        <w:lastRenderedPageBreak/>
        <w:t>obra. La Entidad Estatal debe determinar el valor asegurado de esta garantía en los documentos del proceso, de acuerdo con el objeto, la cuantía, la naturaleza y las obligaciones contenidas en el contrato a celebrar”. No obstante, en lo que atañe al plazo, la norma consagra una excepción, puesto que faculta a la entidad para establecer una garantía por un plazo inferior a cinco (5) años, sin que la misma tenga una duración inferior a uno (1). Para estos efectos, los incisos segundo y tercero disponen lo siguiente:</w:t>
      </w:r>
    </w:p>
    <w:p w14:paraId="34463F8B" w14:textId="77777777" w:rsidR="00F95AC5" w:rsidRPr="00F95AC5" w:rsidRDefault="00F95AC5" w:rsidP="00F95AC5">
      <w:pPr>
        <w:spacing w:after="0" w:line="276" w:lineRule="auto"/>
        <w:ind w:firstLine="708"/>
        <w:jc w:val="both"/>
        <w:rPr>
          <w:rFonts w:ascii="Verdana" w:eastAsia="Times New Roman" w:hAnsi="Verdana" w:cs="Arial"/>
          <w:color w:val="000000" w:themeColor="text1"/>
          <w:lang w:eastAsia="es-CO"/>
        </w:rPr>
      </w:pPr>
    </w:p>
    <w:p w14:paraId="06009383" w14:textId="77777777" w:rsidR="00F95AC5" w:rsidRPr="00F95AC5" w:rsidRDefault="00F95AC5" w:rsidP="00F95AC5">
      <w:pPr>
        <w:spacing w:after="120" w:line="240" w:lineRule="auto"/>
        <w:ind w:left="709" w:right="709"/>
        <w:jc w:val="both"/>
        <w:rPr>
          <w:rFonts w:ascii="Verdana" w:eastAsia="Times New Roman" w:hAnsi="Verdana" w:cs="Arial"/>
          <w:color w:val="000000" w:themeColor="text1"/>
          <w:sz w:val="20"/>
          <w:szCs w:val="20"/>
          <w:lang w:eastAsia="es-CO"/>
        </w:rPr>
      </w:pPr>
      <w:r w:rsidRPr="00F95AC5">
        <w:rPr>
          <w:rFonts w:ascii="Verdana" w:eastAsia="Times New Roman" w:hAnsi="Verdana" w:cs="Arial"/>
          <w:color w:val="000000" w:themeColor="text1"/>
          <w:sz w:val="20"/>
          <w:szCs w:val="20"/>
          <w:lang w:eastAsia="es-CO"/>
        </w:rPr>
        <w:t xml:space="preserve">“La Entidad Estatal puede aceptar que esta garantía tenga una vigencia inferior a cinco (5) años previa justificación técnica de un experto en la materia objeto del contrato, lo cual </w:t>
      </w:r>
      <w:bookmarkStart w:id="7" w:name="_Hlk171000426"/>
      <w:r w:rsidRPr="00F95AC5">
        <w:rPr>
          <w:rFonts w:ascii="Verdana" w:eastAsia="Times New Roman" w:hAnsi="Verdana" w:cs="Arial"/>
          <w:color w:val="000000" w:themeColor="text1"/>
          <w:sz w:val="20"/>
          <w:szCs w:val="20"/>
          <w:lang w:eastAsia="es-CO"/>
        </w:rPr>
        <w:t>se debe reflejar en los documentos del proceso</w:t>
      </w:r>
      <w:bookmarkEnd w:id="7"/>
      <w:r w:rsidRPr="00F95AC5">
        <w:rPr>
          <w:rFonts w:ascii="Verdana" w:eastAsia="Times New Roman" w:hAnsi="Verdana" w:cs="Arial"/>
          <w:color w:val="000000" w:themeColor="text1"/>
          <w:sz w:val="20"/>
          <w:szCs w:val="20"/>
          <w:lang w:eastAsia="es-CO"/>
        </w:rPr>
        <w:t>. Como consecuencia del análisis anterior y según la complejidad técnica del contrato a celebrar, esta garantía podrá tener una vigencia inferior a cinco (5) años y en todo caso de mínimo un (1) año.</w:t>
      </w:r>
    </w:p>
    <w:p w14:paraId="5F27BE29" w14:textId="77777777" w:rsidR="00F95AC5" w:rsidRPr="00F95AC5" w:rsidRDefault="00F95AC5" w:rsidP="00F95AC5">
      <w:pPr>
        <w:spacing w:before="120" w:after="0" w:line="240" w:lineRule="auto"/>
        <w:ind w:left="709" w:right="709"/>
        <w:jc w:val="both"/>
        <w:rPr>
          <w:rFonts w:ascii="Verdana" w:eastAsia="Times New Roman" w:hAnsi="Verdana" w:cs="Arial"/>
          <w:color w:val="000000" w:themeColor="text1"/>
          <w:sz w:val="20"/>
          <w:szCs w:val="20"/>
          <w:lang w:eastAsia="es-CO"/>
        </w:rPr>
      </w:pPr>
      <w:r w:rsidRPr="00F95AC5">
        <w:rPr>
          <w:rFonts w:ascii="Verdana" w:eastAsia="Times New Roman" w:hAnsi="Verdana" w:cs="Arial"/>
          <w:color w:val="000000" w:themeColor="text1"/>
          <w:sz w:val="20"/>
          <w:szCs w:val="20"/>
          <w:lang w:eastAsia="es-CO"/>
        </w:rPr>
        <w:t xml:space="preserve">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 </w:t>
      </w:r>
    </w:p>
    <w:p w14:paraId="12B7263B" w14:textId="77777777" w:rsidR="00F95AC5" w:rsidRPr="00F95AC5" w:rsidRDefault="00F95AC5" w:rsidP="00F95AC5">
      <w:pPr>
        <w:spacing w:after="0" w:line="276" w:lineRule="auto"/>
        <w:jc w:val="both"/>
        <w:rPr>
          <w:rFonts w:ascii="Verdana" w:eastAsia="Times New Roman" w:hAnsi="Verdana" w:cs="Arial"/>
          <w:color w:val="000000" w:themeColor="text1"/>
          <w:lang w:eastAsia="es-CO"/>
        </w:rPr>
      </w:pPr>
    </w:p>
    <w:p w14:paraId="1742582A"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En este sentido, con fundamento en el concepto del experto, la entidad encargada del proceso de selección definirá si existe una justificación razonable para constituir la garantía de estabilidad y calidad de la obra por un término inferior a cinco (5) años. </w:t>
      </w:r>
    </w:p>
    <w:p w14:paraId="673CF59C"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Calibri" w:hAnsi="Verdana" w:cs="Arial"/>
          <w:lang w:val="es-ES_tradnl"/>
        </w:rPr>
        <w:t>En cuanto al alcance, el amparo de estabilidad y calidad de la obra cubre la ocurrencia de vicios, mala calidad, defectos, deficiencias técnicas o fallas que la Administración no detecte al momento de recibir la obra o que descubre con posterioridad a la finalización del contrato, afectando el cumplimiento de los objetivos de este.</w:t>
      </w:r>
      <w:r w:rsidRPr="00F95AC5">
        <w:rPr>
          <w:rFonts w:ascii="Verdana" w:eastAsia="Calibri" w:hAnsi="Verdana" w:cs="Arial"/>
          <w:bCs/>
          <w:lang w:val="es-ES_tradnl" w:eastAsia="es-MX"/>
        </w:rPr>
        <w:t xml:space="preserve"> </w:t>
      </w:r>
      <w:r w:rsidRPr="00F95AC5">
        <w:rPr>
          <w:rFonts w:ascii="Verdana" w:eastAsia="Calibri" w:hAnsi="Verdana" w:cs="Arial"/>
        </w:rPr>
        <w:t xml:space="preserve">Al respecto, el Consejo de Estado ha </w:t>
      </w:r>
      <w:r w:rsidRPr="00F95AC5">
        <w:rPr>
          <w:rFonts w:ascii="Verdana" w:eastAsia="Times New Roman" w:hAnsi="Verdana" w:cs="Arial"/>
          <w:iCs/>
          <w:lang w:eastAsia="es-ES"/>
        </w:rPr>
        <w:t xml:space="preserve">sostenido que el amparo de la estabilidad de la obra tiene por objeto </w:t>
      </w:r>
      <w:r w:rsidRPr="00F95AC5">
        <w:rPr>
          <w:rFonts w:ascii="Verdana" w:eastAsia="Calibri" w:hAnsi="Verdana" w:cs="Arial"/>
          <w:lang w:val="es-ES_tradnl"/>
        </w:rPr>
        <w:t>“</w:t>
      </w:r>
      <w:r w:rsidRPr="00F95AC5">
        <w:rPr>
          <w:rFonts w:ascii="Verdana" w:eastAsia="Calibri" w:hAnsi="Verdana" w:cs="Arial"/>
        </w:rPr>
        <w:t xml:space="preserve">la cobertura de los riegos que soporta la entidad contratante en aquellos eventos en los que, con posterioridad a la terminación y entrega a satisfacción de la construcción o edificación, se </w:t>
      </w:r>
      <w:r w:rsidRPr="00F95AC5">
        <w:rPr>
          <w:rFonts w:ascii="Verdana" w:eastAsia="Calibri" w:hAnsi="Verdana" w:cs="Arial"/>
        </w:rPr>
        <w:lastRenderedPageBreak/>
        <w:t>presenten graves deterioros que por causa de un vicio oculto no se podían advertir con anterioridad, e impidan su normal utilización</w:t>
      </w:r>
      <w:r w:rsidRPr="00F95AC5">
        <w:rPr>
          <w:rFonts w:ascii="Verdana" w:eastAsia="Calibri" w:hAnsi="Verdana" w:cs="Arial"/>
          <w:lang w:val="es-ES_tradnl"/>
        </w:rPr>
        <w:t>”</w:t>
      </w:r>
      <w:r w:rsidRPr="00F95AC5">
        <w:rPr>
          <w:rFonts w:ascii="Aptos" w:eastAsia="Aptos" w:hAnsi="Aptos" w:cs="Times New Roman"/>
          <w:kern w:val="2"/>
          <w:sz w:val="24"/>
          <w:szCs w:val="24"/>
          <w:vertAlign w:val="superscript"/>
          <w:lang w:val="es-ES_tradnl"/>
          <w14:ligatures w14:val="standardContextual"/>
        </w:rPr>
        <w:footnoteReference w:id="11"/>
      </w:r>
      <w:r w:rsidRPr="00F95AC5">
        <w:rPr>
          <w:rFonts w:ascii="Verdana" w:eastAsia="Calibri" w:hAnsi="Verdana" w:cs="Arial"/>
          <w:lang w:val="es-ES_tradnl"/>
        </w:rPr>
        <w:t>.</w:t>
      </w:r>
      <w:r w:rsidRPr="00F95AC5">
        <w:rPr>
          <w:rFonts w:ascii="Verdana" w:eastAsia="Times New Roman" w:hAnsi="Verdana" w:cs="Arial"/>
          <w:color w:val="000000" w:themeColor="text1"/>
          <w:lang w:eastAsia="es-CO"/>
        </w:rPr>
        <w:t xml:space="preserve"> </w:t>
      </w:r>
    </w:p>
    <w:p w14:paraId="28A73DE9"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En pronunciamiento reciente, el Consejo de Estado precisó lo siguiente sobre la naturaleza y alcance de este amparo:</w:t>
      </w:r>
    </w:p>
    <w:p w14:paraId="32FEDE20" w14:textId="77777777" w:rsidR="00F95AC5" w:rsidRPr="00F95AC5" w:rsidRDefault="00F95AC5" w:rsidP="00F95AC5">
      <w:pPr>
        <w:spacing w:after="0" w:line="240" w:lineRule="auto"/>
        <w:ind w:firstLine="709"/>
        <w:jc w:val="both"/>
        <w:rPr>
          <w:rFonts w:ascii="Verdana" w:eastAsia="Times New Roman" w:hAnsi="Verdana" w:cs="Arial"/>
          <w:color w:val="000000" w:themeColor="text1"/>
          <w:lang w:eastAsia="es-CO"/>
        </w:rPr>
      </w:pPr>
    </w:p>
    <w:p w14:paraId="769C3A3A" w14:textId="77777777" w:rsidR="00F95AC5" w:rsidRPr="00F95AC5" w:rsidRDefault="00F95AC5" w:rsidP="00F95AC5">
      <w:pPr>
        <w:spacing w:after="0" w:line="240" w:lineRule="auto"/>
        <w:ind w:left="709" w:right="616"/>
        <w:jc w:val="both"/>
        <w:rPr>
          <w:rFonts w:ascii="Verdana" w:hAnsi="Verdana"/>
          <w:sz w:val="20"/>
          <w:szCs w:val="20"/>
        </w:rPr>
      </w:pPr>
      <w:r w:rsidRPr="00F95AC5">
        <w:rPr>
          <w:rFonts w:ascii="Verdana" w:hAnsi="Verdana"/>
          <w:sz w:val="20"/>
          <w:szCs w:val="20"/>
        </w:rPr>
        <w:t xml:space="preserve">“62. De conformidad con lo dispuesto en el artículo 2060 del Código Civil y el artículo 5 de la Ley 80 de 1993, esta Sección ha precisado que los contratos de obra están cobijados por unas obligaciones accesorias de seguridad sobre lo construido, a partir de la cual el ejecutor se obliga a responder por los defectos que puedan avizorarse dentro del periodo de garantía. </w:t>
      </w:r>
    </w:p>
    <w:p w14:paraId="6272C3A5" w14:textId="77777777" w:rsidR="00F95AC5" w:rsidRPr="00F95AC5" w:rsidRDefault="00F95AC5" w:rsidP="00F95AC5">
      <w:pPr>
        <w:spacing w:after="0" w:line="240" w:lineRule="auto"/>
        <w:ind w:left="709" w:right="616"/>
        <w:jc w:val="both"/>
        <w:rPr>
          <w:rFonts w:ascii="Verdana" w:hAnsi="Verdana"/>
          <w:sz w:val="20"/>
          <w:szCs w:val="20"/>
        </w:rPr>
      </w:pPr>
    </w:p>
    <w:p w14:paraId="67C88574" w14:textId="77777777" w:rsidR="00F95AC5" w:rsidRPr="00F95AC5" w:rsidRDefault="00F95AC5" w:rsidP="00F95AC5">
      <w:pPr>
        <w:spacing w:after="0" w:line="240" w:lineRule="auto"/>
        <w:ind w:left="709" w:right="616"/>
        <w:jc w:val="both"/>
        <w:rPr>
          <w:rFonts w:ascii="Verdana" w:hAnsi="Verdana"/>
          <w:sz w:val="20"/>
          <w:szCs w:val="20"/>
        </w:rPr>
      </w:pPr>
      <w:r w:rsidRPr="00F95AC5">
        <w:rPr>
          <w:rFonts w:ascii="Verdana" w:hAnsi="Verdana"/>
          <w:sz w:val="20"/>
          <w:szCs w:val="20"/>
        </w:rPr>
        <w:t xml:space="preserve">63. En ese sentido, las prestaciones del negocio no se limitan a la construcción bajo los términos en que fue encomendada, sino que también le exigen garantizar su estabilidad, en virtud de lo cual el deudor asume una obligación de resultado, de manera que responde por aquellos vicios que impidan su uso, a menos que acredite la configuración de una causa extraña como eximente de responsabilidad. </w:t>
      </w:r>
    </w:p>
    <w:p w14:paraId="12B49E4B" w14:textId="77777777" w:rsidR="00F95AC5" w:rsidRPr="00F95AC5" w:rsidRDefault="00F95AC5" w:rsidP="00F95AC5">
      <w:pPr>
        <w:spacing w:after="0" w:line="240" w:lineRule="auto"/>
        <w:ind w:left="709" w:right="616"/>
        <w:jc w:val="both"/>
        <w:rPr>
          <w:rFonts w:ascii="Verdana" w:hAnsi="Verdana"/>
          <w:sz w:val="20"/>
          <w:szCs w:val="20"/>
        </w:rPr>
      </w:pPr>
    </w:p>
    <w:p w14:paraId="36294CFB" w14:textId="77777777" w:rsidR="00F95AC5" w:rsidRPr="00F95AC5" w:rsidRDefault="00F95AC5" w:rsidP="00F95AC5">
      <w:pPr>
        <w:spacing w:after="0" w:line="240" w:lineRule="auto"/>
        <w:ind w:left="709" w:right="616"/>
        <w:jc w:val="both"/>
        <w:rPr>
          <w:rFonts w:ascii="Verdana" w:eastAsia="Times New Roman" w:hAnsi="Verdana" w:cs="Arial"/>
          <w:color w:val="000000" w:themeColor="text1"/>
          <w:sz w:val="20"/>
          <w:szCs w:val="20"/>
          <w:lang w:eastAsia="es-CO"/>
        </w:rPr>
      </w:pPr>
      <w:r w:rsidRPr="00F95AC5">
        <w:rPr>
          <w:rFonts w:ascii="Verdana" w:hAnsi="Verdana"/>
          <w:sz w:val="20"/>
          <w:szCs w:val="20"/>
        </w:rPr>
        <w:t>64. De ese modo, esta Sala de decisión ha considerado que, en los casos en los que la controversia gira en torno a la estabilidad de la obra, no se discute el incumplimiento de la obligación principal de construcción, sino la accesoria de garantizar que el resultado cumpla con la finalidad para la que fue contratada la obra y que no amenace una ruina total o parcial de la cosa, ello con el fin de proteger el patrimonio del acreedor que recibe una afectación por la ejecución defectuosa o tardía de las prestaciones del negocio.</w:t>
      </w:r>
      <w:r w:rsidRPr="00F95AC5">
        <w:rPr>
          <w:rFonts w:ascii="Verdana" w:eastAsia="Times New Roman" w:hAnsi="Verdana" w:cs="Arial"/>
          <w:color w:val="000000" w:themeColor="text1"/>
          <w:lang w:eastAsia="es-CO"/>
        </w:rPr>
        <w:t>”</w:t>
      </w:r>
      <w:r w:rsidRPr="00F95AC5">
        <w:rPr>
          <w:rFonts w:ascii="Verdana" w:eastAsia="Times New Roman" w:hAnsi="Verdana" w:cs="Arial"/>
          <w:color w:val="000000" w:themeColor="text1"/>
          <w:vertAlign w:val="superscript"/>
          <w:lang w:eastAsia="es-CO"/>
        </w:rPr>
        <w:footnoteReference w:id="12"/>
      </w:r>
    </w:p>
    <w:p w14:paraId="697B19B0" w14:textId="77777777" w:rsidR="00F95AC5" w:rsidRPr="00F95AC5" w:rsidRDefault="00F95AC5" w:rsidP="00F95AC5">
      <w:pPr>
        <w:spacing w:after="0" w:line="276" w:lineRule="auto"/>
        <w:ind w:firstLine="709"/>
        <w:jc w:val="both"/>
        <w:rPr>
          <w:rFonts w:ascii="Verdana" w:eastAsia="Times New Roman" w:hAnsi="Verdana" w:cs="Arial"/>
          <w:color w:val="000000" w:themeColor="text1"/>
          <w:lang w:eastAsia="es-CO"/>
        </w:rPr>
      </w:pPr>
    </w:p>
    <w:p w14:paraId="32957358"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En este contexto, el propósito del amparo de estabilidad y calidad de la obra es asegurar la reparación de los daños que puedan surgir después de recibida la obra de manera satisfactoria, y que no se adviertan en el momento de la entrega. Por tanto, el contratista asume una obligación de resultado de responder por los vicios que impidan su uso y que se produzcan durante el periodo de vigencia de dicho amparo. Además, se advierte que por esta vía no se puede exigir la reparación de daños derivados del incumplimiento de </w:t>
      </w:r>
      <w:r w:rsidRPr="00F95AC5">
        <w:rPr>
          <w:rFonts w:ascii="Verdana" w:eastAsia="Times New Roman" w:hAnsi="Verdana" w:cs="Arial"/>
          <w:color w:val="000000" w:themeColor="text1"/>
          <w:lang w:eastAsia="es-CO"/>
        </w:rPr>
        <w:lastRenderedPageBreak/>
        <w:t>obligaciones del contratista, cuando sean conocidos por la entidad antes de la finalización del contrato.</w:t>
      </w:r>
    </w:p>
    <w:p w14:paraId="2A76BADB"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Así las cosas, el amparo de estabilidad y calidad de la obra se encuentra vinculado a los contratos de obra pública, en la medida en que el riesgo que pretende cubrir se relaciona con los daños, defectos o fallas que puedan manifestarse como consecuencia de la actividad constructiva. No obstante, la exigencia de este amparo no se identifica estrictamente con la obligación principal de construir, sino con una obligación distinta, aunque derivada de aquella que es la de asegurar la calidad y estabilidad de la obra ejecutada. De ahí que se pueda distinguir entre la obligación de ejecutar y entregar la obra conforme a las especificaciones contractuales, y la obligación de responder por su idoneidad y estabilidad en el tiempo. </w:t>
      </w:r>
    </w:p>
    <w:p w14:paraId="27EB2CC4"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Por ello, el Consejo de Estado ha señalado que la estabilidad de la obra es una obligación accesoria y de resultado “consistente en entregar una obra estable, capaz de brindar el servicio para el cual fue solicitada, de suerte que, evidenciada la ausencia de estabilidad, el (...) contratista está en el deber de subsanar las fallas que la obra presente después de su entrega y que afecten o impidan su uso”. En ese sentido, </w:t>
      </w:r>
      <w:r w:rsidRPr="00F95AC5">
        <w:rPr>
          <w:rFonts w:ascii="Verdana" w:eastAsia="Times New Roman" w:hAnsi="Verdana" w:cs="Arial"/>
          <w:i/>
          <w:iCs/>
          <w:color w:val="000000" w:themeColor="text1"/>
          <w:lang w:eastAsia="es-CO"/>
        </w:rPr>
        <w:t>si se prueba que el daño se originó por la existencia de vicios de la construcción, de los materiales o del suelo</w:t>
      </w:r>
      <w:r w:rsidRPr="00F95AC5">
        <w:rPr>
          <w:rFonts w:ascii="Verdana" w:eastAsia="Times New Roman" w:hAnsi="Verdana" w:cs="Arial"/>
          <w:color w:val="000000" w:themeColor="text1"/>
          <w:lang w:eastAsia="es-CO"/>
        </w:rPr>
        <w:t xml:space="preserve">, que el contratista debió conocer debido a su oficio, las fallas de la obra le son imputables, con independencia de cualquier consideración sobre su culpa o diligencia.” Por consiguiente, este amparo cuenta con una naturaleza accesoria, secundaria y autónoma en cuanto a su exigibilidad, pues no se agota con la entrega material de la obra, sino que se proyecta más allá de la ejecución del contrato. </w:t>
      </w:r>
    </w:p>
    <w:p w14:paraId="04212071"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De esta forma, por regla general en los contratos de obra pública una de las obligaciones que debe ser prevista a cargo del contratista, es el amparo de la calidad y estabilidad de la obra para asegurar que esta cumpla con los requisitos técnicos respectivos y brinde el servicio para la cual fue contratada. Sin embargo, esto no obsta para que en ciertas situaciones concretas se revise el alcance de la obligación principal para efectos de determinar la necesidad de exigir este amparo. </w:t>
      </w:r>
    </w:p>
    <w:p w14:paraId="05E63C3D"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Podría pensarse, por ejemplo, en aquellos contratos de obra en los cuales se involucran actividades de investigación y desarrollo que guardan un grado de incertidumbre técnica y científica, en los que el producto final no se agota en la </w:t>
      </w:r>
      <w:r w:rsidRPr="00F95AC5">
        <w:rPr>
          <w:rFonts w:ascii="Verdana" w:eastAsia="Times New Roman" w:hAnsi="Verdana" w:cs="Arial"/>
          <w:color w:val="000000" w:themeColor="text1"/>
          <w:lang w:eastAsia="es-CO"/>
        </w:rPr>
        <w:lastRenderedPageBreak/>
        <w:t xml:space="preserve">simple entrega de una obra, sino que comprende también procesos de investigación y desarrollo tecnológico o generación de conocimiento. En este caso, la prestación contractual trasciende la lógica tradicional de la obra pública y se ubica en un escenario en el que el resultado puede depender de variables que no se encuentren previstas al momento de contratar. Así, resulta fundamental un análisis cuidadoso del alcance de la obligación principal, con el fin de establecer si el amparo de calidad y estabilidad cumple realmente la función de asegurar la obra de cara a su naturaleza jurídica y a las obligaciones pactadas. </w:t>
      </w:r>
    </w:p>
    <w:p w14:paraId="6CA19193"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Lo expuesto adquiere mayor relevancia si se tiene en cuenta que este tipo de contratos, con componentes de investigación, desarrollo tecnológico e innovación, no cuenta por regla general con una regulación específica y diferenciada en materia de garantías, lo que impone a la entidad contratante un deber de análisis más riguroso en la etapa de estructuración y planeación del contrato. De esta manera, en estos eventos es importante considerar aspectos como la incertidumbre técnica producto de dichas actividades y la forma en que esta se articula con la finalidad y el objeto del contrato.  </w:t>
      </w:r>
    </w:p>
    <w:p w14:paraId="0D5AB50F" w14:textId="77777777" w:rsidR="00F95AC5" w:rsidRPr="00F95AC5" w:rsidRDefault="00F95AC5" w:rsidP="00F95AC5">
      <w:pPr>
        <w:spacing w:before="120" w:after="120" w:line="276" w:lineRule="auto"/>
        <w:ind w:firstLine="709"/>
        <w:jc w:val="both"/>
        <w:rPr>
          <w:rFonts w:ascii="Verdana" w:eastAsia="Aptos" w:hAnsi="Verdana" w:cs="Arial"/>
          <w:lang w:val="es-ES" w:eastAsia="es-MX"/>
        </w:rPr>
      </w:pPr>
      <w:r w:rsidRPr="00F95AC5">
        <w:rPr>
          <w:rFonts w:ascii="Verdana" w:eastAsia="Times New Roman" w:hAnsi="Verdana" w:cs="Arial"/>
          <w:color w:val="000000" w:themeColor="text1"/>
          <w:lang w:eastAsia="es-CO"/>
        </w:rPr>
        <w:t xml:space="preserve">En efecto, si bien los decreto 393 y 591 de 1991 </w:t>
      </w:r>
      <w:r w:rsidRPr="00F95AC5">
        <w:rPr>
          <w:rFonts w:ascii="Verdana" w:eastAsia="Aptos" w:hAnsi="Verdana" w:cs="Arial"/>
          <w:lang w:val="es-ES" w:eastAsia="es-MX"/>
        </w:rPr>
        <w:t xml:space="preserve">regulan de manera sustancial las tipologías contractuales que pueden implementar las entidades para desarrollar las actividades </w:t>
      </w:r>
      <w:r w:rsidRPr="00F95AC5">
        <w:rPr>
          <w:rFonts w:ascii="Verdana" w:hAnsi="Verdana" w:cs="Arial"/>
          <w:lang w:eastAsia="es-ES_tradnl"/>
        </w:rPr>
        <w:t xml:space="preserve">de ciencia, tecnología e innovación, en estas normas no hay un desarrollo sobre las garantías exigibles en el marco de estas actividades, así como tampoco un alcance de la incertidumbre que se puede manejar en este tipo de proyectos. Por tanto, las entidades deberán acudir a las normas aplicables de acuerdo con el régimen de contratación que resulte procedente y establecer en el contrato el contenido obligaciones relacionados con dichas actividades. </w:t>
      </w:r>
    </w:p>
    <w:p w14:paraId="6BE0AF47"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En consecuencia, la decisión de exigir un determinado amparo debe guardar estricta coherencia con obligaciones pactadas, así como con el alcance del amparo y su ámbito de aplicación. Esta afirmación no implica que el amparo de calidad y estabilidad de la obra sea improcedente en contratos que incorporan componentes de investigación o innovación. Lo que se quiere significar es que su exigibilidad debe analizarse con mayor rigor, siendo indispensable examinar el contenido obligacional pactado para determinar si las prestaciones asumidas se enmarcan en obligaciones de resultado o de medio y la forma en que estas pueden ser cubiertas razonablemente.</w:t>
      </w:r>
    </w:p>
    <w:p w14:paraId="25B124CA"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lastRenderedPageBreak/>
        <w:t xml:space="preserve">En este contexto, resulta fundamental realizar un análisis riguroso de la distribución y asignación de riesgos del contrato, con el propósito de identificar de manera precisa los riesgos asociados a cada una de las actividades que integran su objeto. Este ejercicio debe permitir distinguir aquellas prestaciones que comportan un grado relevante de incertidumbre respecto de su resultado, de aquellas cuya ejecución depende principalmente de la diligencia del contratista. A partir de esta distinción, será posible establecer mecanismos adecuados de gestión o mitigación del riesgo, ya sea mediante garantías o la incorporación de cláusulas que reflejen de manera equilibrada la naturaleza incierta de algunas actividades. Frente a lo anterior, el Consejo de Estado ha señalado que </w:t>
      </w:r>
      <w:r w:rsidRPr="00F95AC5">
        <w:t>“</w:t>
      </w:r>
      <w:r w:rsidRPr="00F95AC5">
        <w:rPr>
          <w:rFonts w:ascii="Verdana" w:eastAsia="Times New Roman" w:hAnsi="Verdana" w:cs="Arial"/>
          <w:color w:val="000000" w:themeColor="text1"/>
          <w:lang w:eastAsia="es-CO"/>
        </w:rPr>
        <w:t>La distribución de los riesgos contractuales previsibles va aparejada de medidas de mitigación, que van desde la simple asunción de sus efectos hasta la adopción de medidas positivas o negativas encaminadas a atenuar las consecuencias de su ocurrencia</w:t>
      </w:r>
      <w:r w:rsidRPr="00F95AC5">
        <w:rPr>
          <w:rFonts w:ascii="Verdana" w:eastAsia="Times New Roman" w:hAnsi="Verdana" w:cs="Arial"/>
          <w:color w:val="000000" w:themeColor="text1"/>
          <w:vertAlign w:val="superscript"/>
          <w:lang w:eastAsia="es-CO"/>
        </w:rPr>
        <w:footnoteReference w:id="13"/>
      </w:r>
      <w:r w:rsidRPr="00F95AC5">
        <w:rPr>
          <w:rFonts w:ascii="Verdana" w:eastAsia="Times New Roman" w:hAnsi="Verdana" w:cs="Arial"/>
          <w:color w:val="000000" w:themeColor="text1"/>
          <w:lang w:eastAsia="es-CO"/>
        </w:rPr>
        <w:t>”.</w:t>
      </w:r>
    </w:p>
    <w:p w14:paraId="17DD25BD" w14:textId="77777777" w:rsidR="00F95AC5" w:rsidRPr="00F95AC5" w:rsidRDefault="00F95AC5" w:rsidP="00F95AC5">
      <w:pPr>
        <w:spacing w:after="120" w:line="276" w:lineRule="auto"/>
        <w:ind w:firstLine="708"/>
        <w:jc w:val="both"/>
        <w:rPr>
          <w:rFonts w:ascii="Verdana" w:eastAsia="Times New Roman" w:hAnsi="Verdana" w:cs="Arial"/>
          <w:color w:val="000000" w:themeColor="text1"/>
          <w:lang w:eastAsia="es-CO"/>
        </w:rPr>
      </w:pPr>
      <w:r w:rsidRPr="00F95AC5">
        <w:rPr>
          <w:rFonts w:ascii="Verdana" w:eastAsia="Times New Roman" w:hAnsi="Verdana" w:cs="Arial"/>
          <w:color w:val="000000" w:themeColor="text1"/>
          <w:lang w:eastAsia="es-CO"/>
        </w:rPr>
        <w:t xml:space="preserve"> En consecuencia, la exigibilidad del amparo de calidad y estabilidad en contratos con componentes de investigación, desarrollo tecnológico e innovación debe analizarse en cada caso particular, atendiendo a la naturaleza del objeto contractual, al grado de definición técnica previa, a la asignación expresa de riesgos y a la finalidad pública perseguida. Solo a partir de este examen integral es posible determinar si la garantía cumple efectivamente la función de asegurar la obra </w:t>
      </w:r>
      <w:proofErr w:type="gramStart"/>
      <w:r w:rsidRPr="00F95AC5">
        <w:rPr>
          <w:rFonts w:ascii="Verdana" w:eastAsia="Times New Roman" w:hAnsi="Verdana" w:cs="Arial"/>
          <w:color w:val="000000" w:themeColor="text1"/>
          <w:lang w:eastAsia="es-CO"/>
        </w:rPr>
        <w:t>de acuerdo a</w:t>
      </w:r>
      <w:proofErr w:type="gramEnd"/>
      <w:r w:rsidRPr="00F95AC5">
        <w:rPr>
          <w:rFonts w:ascii="Verdana" w:eastAsia="Times New Roman" w:hAnsi="Verdana" w:cs="Arial"/>
          <w:color w:val="000000" w:themeColor="text1"/>
          <w:lang w:eastAsia="es-CO"/>
        </w:rPr>
        <w:t xml:space="preserve"> su naturaleza jurídica. Lo anterior, sin perjuicio de los mecanismos que se deban incluir para la adecuada gestión de los riesgos identificados. </w:t>
      </w:r>
    </w:p>
    <w:p w14:paraId="19FD7AA9" w14:textId="77777777" w:rsidR="00F95AC5" w:rsidRPr="00F95AC5" w:rsidRDefault="00F95AC5" w:rsidP="00F95AC5">
      <w:pPr>
        <w:widowControl w:val="0"/>
        <w:autoSpaceDE w:val="0"/>
        <w:autoSpaceDN w:val="0"/>
        <w:spacing w:after="120" w:line="276" w:lineRule="auto"/>
        <w:ind w:firstLine="709"/>
        <w:jc w:val="both"/>
        <w:rPr>
          <w:rFonts w:ascii="Verdana" w:hAnsi="Verdana" w:cs="Arial"/>
        </w:rPr>
      </w:pPr>
      <w:r w:rsidRPr="00F95AC5">
        <w:rPr>
          <w:rFonts w:ascii="Verdana" w:hAnsi="Verdana" w:cs="Arial"/>
        </w:rPr>
        <w:t xml:space="preserve">Sin perjuicio de lo anterior, debe advertirse que el análisis requerido para para resolver problemas puntuales en torno a la garantía de estabilidad y calidad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2C57654F" w14:textId="77777777" w:rsidR="00F95AC5" w:rsidRPr="00F95AC5" w:rsidRDefault="00F95AC5" w:rsidP="00F95AC5">
      <w:pPr>
        <w:widowControl w:val="0"/>
        <w:autoSpaceDE w:val="0"/>
        <w:autoSpaceDN w:val="0"/>
        <w:spacing w:after="120" w:line="276" w:lineRule="auto"/>
        <w:ind w:firstLine="708"/>
        <w:jc w:val="both"/>
        <w:rPr>
          <w:rFonts w:ascii="Verdana" w:hAnsi="Verdana" w:cs="Arial"/>
        </w:rPr>
      </w:pPr>
      <w:r w:rsidRPr="00F95AC5">
        <w:rPr>
          <w:rFonts w:ascii="Verdana" w:hAnsi="Verdana" w:cs="Arial"/>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 frente a órganos de control como la Procuraduría General de la Nación.</w:t>
      </w:r>
    </w:p>
    <w:p w14:paraId="2FD65F37" w14:textId="77777777" w:rsidR="00F95AC5" w:rsidRPr="00F95AC5" w:rsidRDefault="00F95AC5" w:rsidP="00F95AC5">
      <w:pPr>
        <w:widowControl w:val="0"/>
        <w:autoSpaceDE w:val="0"/>
        <w:autoSpaceDN w:val="0"/>
        <w:spacing w:after="0" w:line="276" w:lineRule="auto"/>
        <w:ind w:firstLine="709"/>
        <w:jc w:val="both"/>
        <w:rPr>
          <w:rFonts w:ascii="Verdana" w:hAnsi="Verdana" w:cs="Arial"/>
        </w:rPr>
      </w:pPr>
    </w:p>
    <w:p w14:paraId="4E0FA0D0" w14:textId="77777777" w:rsidR="00F95AC5" w:rsidRPr="00F95AC5" w:rsidRDefault="00F95AC5" w:rsidP="00F95AC5">
      <w:pPr>
        <w:numPr>
          <w:ilvl w:val="0"/>
          <w:numId w:val="1"/>
        </w:numPr>
        <w:tabs>
          <w:tab w:val="left" w:pos="142"/>
          <w:tab w:val="left" w:pos="284"/>
        </w:tabs>
        <w:spacing w:after="0" w:line="276" w:lineRule="auto"/>
        <w:jc w:val="both"/>
        <w:rPr>
          <w:rFonts w:ascii="Verdana" w:eastAsia="Century Gothic" w:hAnsi="Verdana" w:cs="Century Gothic"/>
          <w:b/>
          <w:bCs/>
        </w:rPr>
      </w:pPr>
      <w:r w:rsidRPr="00F95AC5">
        <w:rPr>
          <w:rFonts w:ascii="Verdana" w:eastAsia="Century Gothic" w:hAnsi="Verdana" w:cs="Century Gothic"/>
          <w:b/>
          <w:bCs/>
        </w:rPr>
        <w:t>Referencias normativas y jurisprudenciales:</w:t>
      </w:r>
    </w:p>
    <w:p w14:paraId="4899319D" w14:textId="77777777" w:rsidR="00F95AC5" w:rsidRPr="00F95AC5" w:rsidRDefault="00F95AC5" w:rsidP="00F95AC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95AC5" w:rsidRPr="00F95AC5" w14:paraId="4DCE1315" w14:textId="77777777" w:rsidTr="00E615C0">
        <w:trPr>
          <w:trHeight w:val="856"/>
          <w:jc w:val="center"/>
        </w:trPr>
        <w:tc>
          <w:tcPr>
            <w:tcW w:w="8647" w:type="dxa"/>
          </w:tcPr>
          <w:p w14:paraId="38113D03" w14:textId="77777777" w:rsidR="00F95AC5" w:rsidRPr="00F95AC5" w:rsidRDefault="00F95AC5" w:rsidP="00F95AC5">
            <w:pPr>
              <w:widowControl w:val="0"/>
              <w:numPr>
                <w:ilvl w:val="0"/>
                <w:numId w:val="3"/>
              </w:numPr>
              <w:autoSpaceDE w:val="0"/>
              <w:autoSpaceDN w:val="0"/>
              <w:spacing w:line="276" w:lineRule="auto"/>
              <w:ind w:left="318" w:hanging="284"/>
              <w:contextualSpacing/>
              <w:jc w:val="both"/>
              <w:rPr>
                <w:rFonts w:ascii="Verdana" w:hAnsi="Verdana" w:cs="Arial"/>
                <w:lang w:val="es-MX"/>
              </w:rPr>
            </w:pPr>
            <w:r w:rsidRPr="00F95AC5">
              <w:rPr>
                <w:rFonts w:ascii="Verdana" w:hAnsi="Verdana" w:cs="Arial"/>
                <w:lang w:val="es-MX"/>
              </w:rPr>
              <w:t>Ley 1150 de 2007, artículo 4 numeral 5 y artículo 7</w:t>
            </w:r>
          </w:p>
          <w:p w14:paraId="085E61ED" w14:textId="77777777" w:rsidR="00F95AC5" w:rsidRPr="00F95AC5" w:rsidRDefault="00F95AC5" w:rsidP="00F95AC5">
            <w:pPr>
              <w:widowControl w:val="0"/>
              <w:numPr>
                <w:ilvl w:val="0"/>
                <w:numId w:val="3"/>
              </w:numPr>
              <w:autoSpaceDE w:val="0"/>
              <w:autoSpaceDN w:val="0"/>
              <w:spacing w:line="276" w:lineRule="auto"/>
              <w:ind w:left="318" w:hanging="284"/>
              <w:contextualSpacing/>
              <w:jc w:val="both"/>
              <w:rPr>
                <w:rFonts w:ascii="Verdana" w:hAnsi="Verdana" w:cs="Arial"/>
                <w:lang w:val="es-MX"/>
              </w:rPr>
            </w:pPr>
            <w:r w:rsidRPr="00F95AC5">
              <w:rPr>
                <w:rFonts w:ascii="Verdana" w:hAnsi="Verdana" w:cs="Arial"/>
                <w:lang w:val="es-MX"/>
              </w:rPr>
              <w:t>Código Civil, artículo 2060</w:t>
            </w:r>
          </w:p>
          <w:p w14:paraId="27DF7FAA"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lang w:val="es-MX"/>
              </w:rPr>
            </w:pPr>
            <w:r w:rsidRPr="00F95AC5">
              <w:rPr>
                <w:rFonts w:ascii="Verdana" w:hAnsi="Verdana" w:cs="Arial"/>
                <w:lang w:val="es-MX"/>
              </w:rPr>
              <w:t>Código de Comercio, artículos 1068 y 1071.</w:t>
            </w:r>
          </w:p>
          <w:p w14:paraId="443169EF"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lang w:val="es-MX"/>
              </w:rPr>
            </w:pPr>
            <w:r w:rsidRPr="00F95AC5">
              <w:rPr>
                <w:rFonts w:ascii="Verdana" w:hAnsi="Verdana" w:cs="Arial"/>
                <w:lang w:val="es-MX"/>
              </w:rPr>
              <w:t>Decreto 1082 de 2015, artículos 2.2.1.2.3.1.1 a 2.2.1.2.3.1.19. y 2.2.1.2.3.2.1.</w:t>
            </w:r>
          </w:p>
          <w:p w14:paraId="36B9D31C"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rPr>
            </w:pPr>
            <w:r w:rsidRPr="00F95AC5">
              <w:rPr>
                <w:rFonts w:ascii="Verdana" w:hAnsi="Verdana" w:cs="Arial"/>
                <w:color w:val="000000" w:themeColor="text1"/>
                <w:lang w:val="pt-BR"/>
              </w:rPr>
              <w:t xml:space="preserve">CORTE CONSTITUCIONAL. Sentencia C-452 de 1999. </w:t>
            </w:r>
            <w:r w:rsidRPr="00F95AC5">
              <w:rPr>
                <w:rFonts w:ascii="Verdana" w:hAnsi="Verdana" w:cs="Arial"/>
                <w:color w:val="000000" w:themeColor="text1"/>
              </w:rPr>
              <w:t>M.P. Eduardo Cifuentes Muñoz.</w:t>
            </w:r>
          </w:p>
          <w:p w14:paraId="11E4B87C"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rPr>
            </w:pPr>
            <w:r w:rsidRPr="00F95AC5">
              <w:rPr>
                <w:rFonts w:ascii="Verdana" w:hAnsi="Verdana" w:cs="Arial"/>
              </w:rPr>
              <w:t xml:space="preserve">CONSEJO DE ESTADO. Sección Tercera. Subsección A. Sentencia del 12 de febrero de 2015. </w:t>
            </w:r>
            <w:proofErr w:type="spellStart"/>
            <w:r w:rsidRPr="00F95AC5">
              <w:rPr>
                <w:rFonts w:ascii="Verdana" w:hAnsi="Verdana" w:cs="Arial"/>
              </w:rPr>
              <w:t>Exp</w:t>
            </w:r>
            <w:proofErr w:type="spellEnd"/>
            <w:r w:rsidRPr="00F95AC5">
              <w:rPr>
                <w:rFonts w:ascii="Verdana" w:hAnsi="Verdana" w:cs="Arial"/>
              </w:rPr>
              <w:t>.  28278. C.P. Carlos Alberto Zambrano Barrera.</w:t>
            </w:r>
          </w:p>
          <w:p w14:paraId="0E862253"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rPr>
            </w:pPr>
            <w:r w:rsidRPr="00F95AC5">
              <w:rPr>
                <w:rFonts w:ascii="Verdana" w:hAnsi="Verdana" w:cs="Arial"/>
              </w:rPr>
              <w:t xml:space="preserve">Consejo de Estado, Sala de lo Contencioso Administrativo, Sección Tercera. Subsección C, Sentencia de 28 de febrero de 2020, </w:t>
            </w:r>
            <w:proofErr w:type="spellStart"/>
            <w:r w:rsidRPr="00F95AC5">
              <w:rPr>
                <w:rFonts w:ascii="Verdana" w:hAnsi="Verdana" w:cs="Arial"/>
              </w:rPr>
              <w:t>Exp</w:t>
            </w:r>
            <w:proofErr w:type="spellEnd"/>
            <w:r w:rsidRPr="00F95AC5">
              <w:rPr>
                <w:rFonts w:ascii="Verdana" w:hAnsi="Verdana" w:cs="Arial"/>
              </w:rPr>
              <w:t>. 46852.</w:t>
            </w:r>
          </w:p>
          <w:p w14:paraId="4ADF833F"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rPr>
            </w:pPr>
            <w:r w:rsidRPr="00F95AC5">
              <w:rPr>
                <w:rFonts w:ascii="Verdana" w:hAnsi="Verdana" w:cs="Arial"/>
              </w:rPr>
              <w:t xml:space="preserve">Consejo de Estado, Sala de lo Contencioso Administrativo, Sección Tercera. Subsección A, Sentencia de 7 de febrero de 2025, </w:t>
            </w:r>
            <w:proofErr w:type="spellStart"/>
            <w:r w:rsidRPr="00F95AC5">
              <w:rPr>
                <w:rFonts w:ascii="Verdana" w:hAnsi="Verdana" w:cs="Arial"/>
              </w:rPr>
              <w:t>Exp</w:t>
            </w:r>
            <w:proofErr w:type="spellEnd"/>
            <w:r w:rsidRPr="00F95AC5">
              <w:rPr>
                <w:rFonts w:ascii="Verdana" w:hAnsi="Verdana" w:cs="Arial"/>
              </w:rPr>
              <w:t>. 71.453. C.P: Fernando Alexei Pardo Flórez.</w:t>
            </w:r>
            <w:r w:rsidRPr="00F95AC5">
              <w:rPr>
                <w:rFonts w:ascii="Verdana" w:hAnsi="Verdana" w:cs="Arial"/>
                <w:sz w:val="16"/>
                <w:szCs w:val="16"/>
              </w:rPr>
              <w:t xml:space="preserve"> </w:t>
            </w:r>
          </w:p>
          <w:p w14:paraId="7BBAF175" w14:textId="77777777" w:rsidR="00F95AC5" w:rsidRPr="00F95AC5" w:rsidRDefault="00F95AC5" w:rsidP="00F95AC5">
            <w:pPr>
              <w:widowControl w:val="0"/>
              <w:numPr>
                <w:ilvl w:val="0"/>
                <w:numId w:val="3"/>
              </w:numPr>
              <w:autoSpaceDE w:val="0"/>
              <w:autoSpaceDN w:val="0"/>
              <w:spacing w:line="276" w:lineRule="auto"/>
              <w:ind w:left="318" w:hanging="284"/>
              <w:jc w:val="both"/>
              <w:rPr>
                <w:rFonts w:ascii="Verdana" w:hAnsi="Verdana" w:cs="Arial"/>
              </w:rPr>
            </w:pPr>
            <w:r w:rsidRPr="00F95AC5">
              <w:rPr>
                <w:rFonts w:ascii="Verdana" w:hAnsi="Verdana" w:cs="Arial"/>
              </w:rPr>
              <w:t xml:space="preserve">CONSEJO DE ESTADO. Sección Tercera. Subsección A. Sentencia del 7 de febrero de 2025. </w:t>
            </w:r>
            <w:proofErr w:type="spellStart"/>
            <w:r w:rsidRPr="00F95AC5">
              <w:rPr>
                <w:rFonts w:ascii="Verdana" w:hAnsi="Verdana" w:cs="Arial"/>
              </w:rPr>
              <w:t>Exp</w:t>
            </w:r>
            <w:proofErr w:type="spellEnd"/>
            <w:r w:rsidRPr="00F95AC5">
              <w:rPr>
                <w:rFonts w:ascii="Verdana" w:hAnsi="Verdana" w:cs="Arial"/>
              </w:rPr>
              <w:t>.  70.250. C.P. José Roberto Sachica Mendéz</w:t>
            </w:r>
          </w:p>
        </w:tc>
      </w:tr>
    </w:tbl>
    <w:p w14:paraId="75BEF6F3" w14:textId="77777777" w:rsidR="00F95AC5" w:rsidRPr="00F95AC5" w:rsidRDefault="00F95AC5" w:rsidP="00F95AC5">
      <w:pPr>
        <w:widowControl w:val="0"/>
        <w:autoSpaceDE w:val="0"/>
        <w:autoSpaceDN w:val="0"/>
        <w:spacing w:after="0" w:line="276" w:lineRule="auto"/>
        <w:jc w:val="both"/>
        <w:rPr>
          <w:rFonts w:ascii="Verdana" w:hAnsi="Verdana" w:cs="Arial"/>
        </w:rPr>
      </w:pPr>
    </w:p>
    <w:p w14:paraId="3A14BED1" w14:textId="77777777" w:rsidR="00F95AC5" w:rsidRPr="00F95AC5" w:rsidRDefault="00F95AC5" w:rsidP="00F95AC5">
      <w:pPr>
        <w:numPr>
          <w:ilvl w:val="0"/>
          <w:numId w:val="1"/>
        </w:numPr>
        <w:tabs>
          <w:tab w:val="left" w:pos="142"/>
          <w:tab w:val="left" w:pos="284"/>
        </w:tabs>
        <w:spacing w:after="0" w:line="276" w:lineRule="auto"/>
        <w:jc w:val="both"/>
        <w:rPr>
          <w:rFonts w:ascii="Verdana" w:eastAsia="Century Gothic" w:hAnsi="Verdana" w:cs="Century Gothic"/>
          <w:b/>
          <w:bCs/>
        </w:rPr>
      </w:pPr>
      <w:r w:rsidRPr="00F95AC5">
        <w:rPr>
          <w:rFonts w:ascii="Verdana" w:eastAsia="Century Gothic" w:hAnsi="Verdana" w:cs="Century Gothic"/>
          <w:b/>
          <w:bCs/>
        </w:rPr>
        <w:t>Doctrina de la Agencia Nacional de Contratación Pública:</w:t>
      </w:r>
    </w:p>
    <w:p w14:paraId="48E91930" w14:textId="77777777" w:rsidR="00F95AC5" w:rsidRPr="00F95AC5" w:rsidRDefault="00F95AC5" w:rsidP="00F95AC5">
      <w:pPr>
        <w:widowControl w:val="0"/>
        <w:autoSpaceDE w:val="0"/>
        <w:autoSpaceDN w:val="0"/>
        <w:spacing w:after="0" w:line="276" w:lineRule="auto"/>
        <w:jc w:val="both"/>
        <w:rPr>
          <w:rFonts w:ascii="Verdana" w:hAnsi="Verdana" w:cs="Arial"/>
        </w:rPr>
      </w:pPr>
    </w:p>
    <w:p w14:paraId="3178284C" w14:textId="77777777" w:rsidR="00F95AC5" w:rsidRPr="00F95AC5" w:rsidRDefault="00F95AC5" w:rsidP="00F95AC5">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F95AC5">
        <w:rPr>
          <w:rFonts w:ascii="Verdana" w:hAnsi="Verdana" w:cs="Arial"/>
          <w:shd w:val="clear" w:color="auto" w:fill="FFFFFF"/>
          <w:lang w:val="es-ES"/>
        </w:rPr>
        <w:t>Esta Subdirección se ha pronunciado sobre el régimen de garantías en los Conceptos</w:t>
      </w:r>
      <w:r w:rsidRPr="00F95AC5">
        <w:rPr>
          <w:rFonts w:ascii="Verdana" w:hAnsi="Verdana" w:cs="Calibri"/>
          <w:shd w:val="clear" w:color="auto" w:fill="FFFFFF"/>
        </w:rPr>
        <w:t xml:space="preserve"> </w:t>
      </w:r>
      <w:r w:rsidRPr="00F95AC5">
        <w:rPr>
          <w:rFonts w:ascii="Verdana" w:hAnsi="Verdana" w:cs="Arial"/>
          <w:shd w:val="clear" w:color="auto" w:fill="FFFFFF"/>
          <w:lang w:val="es-ES"/>
        </w:rPr>
        <w:t xml:space="preserve">2201913000009075 del 9 de diciembre de 2019, C-080 del 8 de abril de 2021, C-525 del 27 de septiembre de 2021, C-567 del 08 de octubre del 2021, C-036 del 28 de febrero del 2022, C-126 de 25 de marzo de 2022, C-583 </w:t>
      </w:r>
      <w:r w:rsidRPr="00F95AC5">
        <w:rPr>
          <w:rFonts w:ascii="Verdana" w:hAnsi="Verdana" w:cs="Arial"/>
          <w:shd w:val="clear" w:color="auto" w:fill="FFFFFF"/>
          <w:lang w:val="es-ES"/>
        </w:rPr>
        <w:lastRenderedPageBreak/>
        <w:t>del 19 de octubre de 2022, C-584 del 26 de septiembre de 2022, C-712 del 13 de octubre de 2022 y C-845 del 7 de diciembre de 2022, C-036 del 31 de marzo de 2023, C-386 del 31 de enero de 2024, C-133 del 11 de julio de 2024, C-919 del 10 de diciembre de 2024 y C-055 del 30 de enero del 2025</w:t>
      </w:r>
      <w:r w:rsidRPr="00F95AC5">
        <w:rPr>
          <w:rFonts w:ascii="Verdana" w:hAnsi="Verdana"/>
        </w:rPr>
        <w:t>.</w:t>
      </w:r>
      <w:r w:rsidRPr="00F95AC5">
        <w:rPr>
          <w:rFonts w:ascii="Verdana" w:hAnsi="Verdana" w:cs="Arial"/>
          <w:shd w:val="clear" w:color="auto" w:fill="FFFFFF"/>
          <w:lang w:val="es-ES"/>
        </w:rPr>
        <w:t xml:space="preserve"> </w:t>
      </w:r>
      <w:r w:rsidRPr="00F95AC5">
        <w:rPr>
          <w:rFonts w:ascii="Verdana" w:hAnsi="Verdana" w:cs="Arial"/>
          <w:shd w:val="clear" w:color="auto" w:fill="FFFFFF"/>
        </w:rPr>
        <w:t>Es</w:t>
      </w:r>
      <w:r w:rsidRPr="00F95AC5">
        <w:rPr>
          <w:rFonts w:ascii="Verdana" w:hAnsi="Verdana"/>
        </w:rPr>
        <w:t>tos y otros conceptos se encuentran disponibles para consulta en el Sistema de relatoría de la Agencia, al cual se puede acceder a través del siguiente enlace:</w:t>
      </w:r>
      <w:r w:rsidRPr="00F95AC5">
        <w:rPr>
          <w:rFonts w:ascii="Verdana" w:hAnsi="Verdana" w:cs="Arial"/>
          <w:shd w:val="clear" w:color="auto" w:fill="FFFFFF"/>
        </w:rPr>
        <w:t xml:space="preserve"> </w:t>
      </w:r>
      <w:hyperlink r:id="rId13" w:history="1">
        <w:r w:rsidRPr="00F95AC5">
          <w:rPr>
            <w:rFonts w:ascii="Verdana" w:hAnsi="Verdana" w:cs="Arial"/>
            <w:color w:val="0563C1" w:themeColor="hyperlink"/>
            <w:u w:val="single"/>
            <w:shd w:val="clear" w:color="auto" w:fill="FFFFFF"/>
          </w:rPr>
          <w:t>https://relatoria.colombiacompra.gov.co/busqueda/conceptos</w:t>
        </w:r>
      </w:hyperlink>
      <w:r w:rsidRPr="00F95AC5">
        <w:rPr>
          <w:rFonts w:ascii="Verdana" w:hAnsi="Verdana" w:cs="Arial"/>
          <w:shd w:val="clear" w:color="auto" w:fill="FFFFFF"/>
        </w:rPr>
        <w:t>.</w:t>
      </w:r>
      <w:r w:rsidRPr="00F95AC5">
        <w:rPr>
          <w:rFonts w:ascii="Verdana" w:hAnsi="Verdana" w:cs="Arial"/>
          <w:color w:val="FF0000"/>
          <w:shd w:val="clear" w:color="auto" w:fill="FFFFFF"/>
        </w:rPr>
        <w:t xml:space="preserve"> </w:t>
      </w:r>
      <w:r w:rsidRPr="00F95AC5">
        <w:rPr>
          <w:rFonts w:ascii="Verdana" w:hAnsi="Verdana" w:cs="Arial"/>
          <w:color w:val="000000" w:themeColor="text1"/>
          <w:shd w:val="clear" w:color="auto" w:fill="FFFFFF"/>
        </w:rPr>
        <w:t>  </w:t>
      </w:r>
    </w:p>
    <w:p w14:paraId="69AEA7A0" w14:textId="77777777" w:rsidR="00F95AC5" w:rsidRPr="00F95AC5" w:rsidRDefault="00F95AC5" w:rsidP="00F95AC5">
      <w:pPr>
        <w:jc w:val="both"/>
        <w:rPr>
          <w:rFonts w:ascii="Verdana" w:hAnsi="Verdana"/>
        </w:rPr>
      </w:pPr>
      <w:r w:rsidRPr="00F95AC5">
        <w:rPr>
          <w:rFonts w:ascii="Verdana" w:hAnsi="Verdana"/>
        </w:rPr>
        <w:t xml:space="preserve">La sostenibilidad no es una opción, es una obligación. Por ello, la Agencia Nacional de Contratación Pública –Colombia Compra Eficiente– te invita a realizar el </w:t>
      </w:r>
      <w:r w:rsidRPr="00F95AC5">
        <w:rPr>
          <w:rFonts w:ascii="Verdana" w:hAnsi="Verdana"/>
          <w:b/>
          <w:bCs/>
        </w:rPr>
        <w:t>Curso de Contratación Pública Sostenible y Socialmente Responsable</w:t>
      </w:r>
      <w:r w:rsidRPr="00F95AC5">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F95AC5">
        <w:rPr>
          <w:rFonts w:ascii="Verdana" w:hAnsi="Verdana"/>
        </w:rPr>
        <w:br/>
      </w:r>
      <w:hyperlink r:id="rId14" w:tgtFrame="_new" w:history="1">
        <w:r w:rsidRPr="00F95AC5">
          <w:rPr>
            <w:rFonts w:ascii="Verdana" w:hAnsi="Verdana"/>
            <w:color w:val="0000FF"/>
            <w:u w:val="single"/>
          </w:rPr>
          <w:t>https://formacionvirtual.colombiacompra.gov.co/mod/page/view.php?id=3718</w:t>
        </w:r>
      </w:hyperlink>
    </w:p>
    <w:p w14:paraId="6C6191EB" w14:textId="77777777" w:rsidR="00F95AC5" w:rsidRPr="00F95AC5" w:rsidRDefault="00F95AC5" w:rsidP="00F95AC5">
      <w:pPr>
        <w:jc w:val="both"/>
        <w:rPr>
          <w:rFonts w:ascii="Verdana" w:hAnsi="Verdana"/>
        </w:rPr>
      </w:pPr>
      <w:r w:rsidRPr="00F95AC5">
        <w:rPr>
          <w:rFonts w:ascii="Verdana" w:hAnsi="Verdana"/>
        </w:rPr>
        <w:t xml:space="preserve">De otro lado, te contamos que esta Agencia ha da un paso decisivo en la estandarización y modernización del </w:t>
      </w:r>
      <w:r w:rsidRPr="00F95AC5">
        <w:rPr>
          <w:rFonts w:ascii="Verdana" w:hAnsi="Verdana"/>
          <w:b/>
          <w:bCs/>
        </w:rPr>
        <w:t>sector  social</w:t>
      </w:r>
      <w:r w:rsidRPr="00F95AC5">
        <w:rPr>
          <w:rFonts w:ascii="Verdana" w:hAnsi="Verdana"/>
        </w:rPr>
        <w:t xml:space="preserve"> con la expedición de las </w:t>
      </w:r>
      <w:r w:rsidRPr="00F95AC5">
        <w:rPr>
          <w:rFonts w:ascii="Verdana" w:hAnsi="Verdana"/>
          <w:b/>
          <w:bCs/>
        </w:rPr>
        <w:t>Resoluciones 539, 540, 541, 952 y 953 de 2025</w:t>
      </w:r>
      <w:r w:rsidRPr="00F95AC5">
        <w:rPr>
          <w:rFonts w:ascii="Verdana" w:hAnsi="Verdana"/>
        </w:rPr>
        <w:t xml:space="preserve">, </w:t>
      </w:r>
      <w:r w:rsidRPr="00F95AC5">
        <w:rPr>
          <w:rFonts w:ascii="Verdana" w:hAnsi="Verdana"/>
          <w:b/>
          <w:bCs/>
        </w:rPr>
        <w:t>mediante las cuales adoptó Documentos Tipo</w:t>
      </w:r>
      <w:r w:rsidRPr="00F95AC5">
        <w:rPr>
          <w:rFonts w:ascii="Verdana" w:hAnsi="Verdana"/>
        </w:rPr>
        <w:t xml:space="preserve"> para las modalidades de selección de</w:t>
      </w:r>
      <w:r w:rsidRPr="00F95AC5">
        <w:rPr>
          <w:rFonts w:ascii="Verdana" w:hAnsi="Verdana"/>
          <w:b/>
          <w:bCs/>
        </w:rPr>
        <w:t xml:space="preserve"> licitación pública (versión 2), selección abreviada de menor cuantía, mínima cuantía, consultoría e interventoría</w:t>
      </w:r>
      <w:r w:rsidRPr="00F95AC5">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F95AC5">
          <w:rPr>
            <w:rFonts w:ascii="Verdana" w:hAnsi="Verdana"/>
            <w:color w:val="0000FF"/>
            <w:u w:val="single"/>
          </w:rPr>
          <w:t>https://www.colombiacompra.gov.co/normativa-y-relatoria/documentos-tipo</w:t>
        </w:r>
      </w:hyperlink>
    </w:p>
    <w:p w14:paraId="7627DAAE" w14:textId="77777777" w:rsidR="00F95AC5" w:rsidRPr="00F95AC5" w:rsidRDefault="00F95AC5" w:rsidP="00F95AC5">
      <w:pPr>
        <w:jc w:val="both"/>
        <w:rPr>
          <w:rFonts w:ascii="Verdana" w:hAnsi="Verdana"/>
          <w:color w:val="000000"/>
          <w:lang w:val="es-ES_tradnl"/>
        </w:rPr>
      </w:pPr>
      <w:r w:rsidRPr="00F95AC5">
        <w:rPr>
          <w:rFonts w:ascii="Verdana" w:hAnsi="Verdana"/>
        </w:rPr>
        <w:t xml:space="preserve">Si quieres conocer más sobre la aplicación de Documentos Tipo puedes consultar la última versión de la </w:t>
      </w:r>
      <w:r w:rsidRPr="00F95AC5">
        <w:rPr>
          <w:rFonts w:ascii="Verdana" w:hAnsi="Verdana"/>
          <w:b/>
          <w:bCs/>
        </w:rPr>
        <w:t>Guía para la comprensión e implementación de los Documentos Tipo de obra pública de infraestructura de transporte</w:t>
      </w:r>
      <w:r w:rsidRPr="00F95AC5">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95AC5">
        <w:rPr>
          <w:rFonts w:ascii="Verdana" w:hAnsi="Verdana"/>
        </w:rPr>
        <w:br/>
      </w:r>
      <w:hyperlink r:id="rId16" w:tgtFrame="_new" w:history="1">
        <w:r w:rsidRPr="00F95AC5">
          <w:rPr>
            <w:rFonts w:ascii="Verdana" w:hAnsi="Verdana"/>
            <w:color w:val="0000FF"/>
            <w:u w:val="single"/>
          </w:rPr>
          <w:t>https://www.colombiacompra.gov.co/archivos/manual/guia-para-la-comprension-e-implementacion-de-los-documentos-tipo-de-obra-publica-de-</w:t>
        </w:r>
        <w:r w:rsidRPr="00F95AC5">
          <w:rPr>
            <w:rFonts w:ascii="Verdana" w:hAnsi="Verdana"/>
            <w:color w:val="0000FF"/>
            <w:u w:val="single"/>
          </w:rPr>
          <w:lastRenderedPageBreak/>
          <w:t>infraestructura-de-transporte-bajo-las-diferentes-modalidades-de-contratacion-vigentes</w:t>
        </w:r>
      </w:hyperlink>
    </w:p>
    <w:p w14:paraId="71FD3E38" w14:textId="77777777" w:rsidR="00F95AC5" w:rsidRPr="00F95AC5" w:rsidRDefault="00F95AC5" w:rsidP="00F95AC5">
      <w:pPr>
        <w:shd w:val="clear" w:color="auto" w:fill="FFFFFF"/>
        <w:spacing w:after="0" w:line="276" w:lineRule="auto"/>
        <w:jc w:val="both"/>
        <w:rPr>
          <w:rFonts w:ascii="Verdana" w:hAnsi="Verdana"/>
          <w:color w:val="467886"/>
          <w:u w:val="single"/>
        </w:rPr>
      </w:pPr>
      <w:r w:rsidRPr="00F95AC5">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B48D1AC" w14:textId="77777777" w:rsidR="00F95AC5" w:rsidRPr="00F95AC5" w:rsidRDefault="00F95AC5" w:rsidP="00F95AC5">
      <w:pPr>
        <w:spacing w:after="0"/>
        <w:jc w:val="both"/>
        <w:rPr>
          <w:rFonts w:ascii="Verdana" w:hAnsi="Verdana"/>
        </w:rPr>
      </w:pPr>
    </w:p>
    <w:p w14:paraId="53A0798B" w14:textId="77777777" w:rsidR="00F95AC5" w:rsidRPr="00F95AC5" w:rsidRDefault="00F95AC5" w:rsidP="00F95AC5">
      <w:pPr>
        <w:numPr>
          <w:ilvl w:val="0"/>
          <w:numId w:val="21"/>
        </w:numPr>
        <w:spacing w:after="0" w:line="240" w:lineRule="auto"/>
        <w:contextualSpacing/>
        <w:jc w:val="both"/>
        <w:rPr>
          <w:rFonts w:ascii="Verdana" w:eastAsia="Verdana" w:hAnsi="Verdana" w:cs="Verdana"/>
          <w:color w:val="4472C4" w:themeColor="accent1"/>
          <w:u w:val="single"/>
          <w:lang w:val="es-MX"/>
        </w:rPr>
      </w:pPr>
      <w:r w:rsidRPr="00F95AC5">
        <w:rPr>
          <w:rFonts w:ascii="Verdana" w:eastAsia="Verdana" w:hAnsi="Verdana" w:cs="Verdana"/>
          <w:lang w:val="es-MX"/>
        </w:rPr>
        <w:t xml:space="preserve">Línea nacional gratuita o servicio a la ciudadanía (Mesa de servicio): </w:t>
      </w:r>
      <w:r w:rsidRPr="00F95AC5">
        <w:rPr>
          <w:rFonts w:ascii="Verdana" w:hAnsi="Verdana"/>
          <w:color w:val="0000FF"/>
          <w:u w:val="single"/>
          <w:lang w:val="es-ES"/>
        </w:rPr>
        <w:t>01800 0520808</w:t>
      </w:r>
    </w:p>
    <w:p w14:paraId="4E639CF7" w14:textId="77777777" w:rsidR="00F95AC5" w:rsidRPr="00F95AC5" w:rsidRDefault="00F95AC5" w:rsidP="00F95AC5">
      <w:pPr>
        <w:numPr>
          <w:ilvl w:val="0"/>
          <w:numId w:val="21"/>
        </w:numPr>
        <w:spacing w:after="0"/>
        <w:contextualSpacing/>
        <w:rPr>
          <w:rFonts w:ascii="Verdana" w:eastAsia="Verdana" w:hAnsi="Verdana" w:cs="Verdana"/>
          <w:color w:val="4472C4" w:themeColor="accent1"/>
          <w:u w:val="single"/>
          <w:lang w:val="es-MX"/>
        </w:rPr>
      </w:pPr>
      <w:r w:rsidRPr="00F95AC5">
        <w:rPr>
          <w:rFonts w:ascii="Verdana" w:eastAsia="Verdana" w:hAnsi="Verdana" w:cs="Verdana"/>
          <w:lang w:val="es-MX"/>
        </w:rPr>
        <w:t>Línea en Bogotá (Mesa de servicio</w:t>
      </w:r>
      <w:proofErr w:type="gramStart"/>
      <w:r w:rsidRPr="00F95AC5">
        <w:rPr>
          <w:rFonts w:ascii="Verdana" w:eastAsia="Verdana" w:hAnsi="Verdana" w:cs="Verdana"/>
          <w:lang w:val="es-MX"/>
        </w:rPr>
        <w:t>):</w:t>
      </w:r>
      <w:r w:rsidRPr="00F95AC5">
        <w:rPr>
          <w:rFonts w:ascii="Verdana" w:hAnsi="Verdana"/>
          <w:color w:val="0000FF"/>
          <w:u w:val="single"/>
          <w:lang w:val="es-ES"/>
        </w:rPr>
        <w:t>+</w:t>
      </w:r>
      <w:proofErr w:type="gramEnd"/>
      <w:r w:rsidRPr="00F95AC5">
        <w:rPr>
          <w:rFonts w:ascii="Verdana" w:hAnsi="Verdana"/>
          <w:color w:val="0000FF"/>
          <w:u w:val="single"/>
          <w:lang w:val="es-ES"/>
        </w:rPr>
        <w:t>57 601 7456788</w:t>
      </w:r>
    </w:p>
    <w:p w14:paraId="5E8996E8" w14:textId="77777777" w:rsidR="00F95AC5" w:rsidRPr="00F95AC5" w:rsidRDefault="00F95AC5" w:rsidP="00F95AC5">
      <w:pPr>
        <w:numPr>
          <w:ilvl w:val="0"/>
          <w:numId w:val="21"/>
        </w:numPr>
        <w:spacing w:after="0"/>
        <w:contextualSpacing/>
        <w:rPr>
          <w:rFonts w:ascii="Verdana" w:eastAsia="Verdana" w:hAnsi="Verdana" w:cs="Verdana"/>
          <w:color w:val="0000FF"/>
          <w:u w:val="single"/>
          <w:lang w:val="es-MX"/>
        </w:rPr>
      </w:pPr>
      <w:r w:rsidRPr="00F95AC5">
        <w:rPr>
          <w:rFonts w:ascii="Verdana" w:eastAsia="Verdana" w:hAnsi="Verdana" w:cs="Verdana"/>
          <w:lang w:val="es-MX"/>
        </w:rPr>
        <w:t xml:space="preserve">Correo de radicación de correspondencia: </w:t>
      </w:r>
      <w:hyperlink r:id="rId17" w:history="1">
        <w:r w:rsidRPr="00F95AC5">
          <w:rPr>
            <w:rFonts w:ascii="Verdana" w:eastAsia="Verdana" w:hAnsi="Verdana" w:cs="Verdana"/>
            <w:color w:val="0000FF"/>
            <w:u w:val="single"/>
            <w:lang w:val="es-MX"/>
          </w:rPr>
          <w:t>ventanilladeradicacion@colombiacompra.gov.co</w:t>
        </w:r>
      </w:hyperlink>
    </w:p>
    <w:p w14:paraId="5F6F20B0" w14:textId="77777777" w:rsidR="00F95AC5" w:rsidRPr="00F95AC5" w:rsidRDefault="00F95AC5" w:rsidP="00F95AC5">
      <w:pPr>
        <w:numPr>
          <w:ilvl w:val="0"/>
          <w:numId w:val="21"/>
        </w:numPr>
        <w:spacing w:after="0"/>
        <w:contextualSpacing/>
        <w:rPr>
          <w:rFonts w:ascii="Verdana" w:eastAsia="Verdana" w:hAnsi="Verdana" w:cs="Verdana"/>
          <w:color w:val="0000FF"/>
          <w:u w:val="single"/>
          <w:lang w:val="es-MX"/>
        </w:rPr>
      </w:pPr>
      <w:r w:rsidRPr="00F95AC5">
        <w:rPr>
          <w:rFonts w:ascii="Verdana" w:eastAsia="Verdana" w:hAnsi="Verdana" w:cs="Verdana"/>
          <w:lang w:val="es-ES"/>
        </w:rPr>
        <w:t xml:space="preserve">Formulario web para PQRSD: </w:t>
      </w:r>
      <w:hyperlink r:id="rId18" w:history="1">
        <w:r w:rsidRPr="00F95AC5">
          <w:rPr>
            <w:rFonts w:ascii="Verdana" w:eastAsia="Verdana" w:hAnsi="Verdana" w:cs="Verdana"/>
            <w:color w:val="0000FF"/>
            <w:u w:val="single"/>
            <w:lang w:val="es-MX"/>
          </w:rPr>
          <w:t>https://www.colombiacompra.gov.co/pqrsd/informacion-importante-antes-de-formular-una-pqrsd</w:t>
        </w:r>
      </w:hyperlink>
    </w:p>
    <w:p w14:paraId="4545FB0B" w14:textId="77777777" w:rsidR="00F95AC5" w:rsidRPr="00F95AC5" w:rsidRDefault="00F95AC5" w:rsidP="00F95AC5">
      <w:pPr>
        <w:spacing w:after="0" w:line="240" w:lineRule="auto"/>
        <w:ind w:left="720"/>
        <w:jc w:val="both"/>
        <w:rPr>
          <w:rFonts w:ascii="Verdana" w:hAnsi="Verdana"/>
        </w:rPr>
      </w:pPr>
    </w:p>
    <w:p w14:paraId="28BCBF8C" w14:textId="77777777" w:rsidR="00F95AC5" w:rsidRPr="00F95AC5" w:rsidRDefault="00F95AC5" w:rsidP="00F95AC5">
      <w:pPr>
        <w:spacing w:after="0" w:line="276" w:lineRule="auto"/>
        <w:jc w:val="both"/>
        <w:rPr>
          <w:rFonts w:ascii="Verdana" w:hAnsi="Verdana"/>
        </w:rPr>
      </w:pPr>
      <w:r w:rsidRPr="00F95AC5">
        <w:rPr>
          <w:rFonts w:ascii="Verdana" w:hAnsi="Verdana"/>
        </w:rPr>
        <w:t xml:space="preserve">Evalúa el servicio que ofrece la Agencia por el canal de atención de PQRSD en el siguiente enlace: </w:t>
      </w:r>
      <w:hyperlink r:id="rId19" w:history="1">
        <w:r w:rsidRPr="00F95AC5">
          <w:rPr>
            <w:rFonts w:ascii="Verdana" w:hAnsi="Verdana"/>
            <w:color w:val="0000FF"/>
            <w:u w:val="single"/>
          </w:rPr>
          <w:t>https://forms.office.com/r/pPHyWVs2SZ</w:t>
        </w:r>
      </w:hyperlink>
      <w:r w:rsidRPr="00F95AC5">
        <w:rPr>
          <w:rFonts w:ascii="Verdana" w:hAnsi="Verdana"/>
        </w:rPr>
        <w:t xml:space="preserve"> .¡Ayúdanos a mejorar porque el compromiso es de todos!</w:t>
      </w:r>
    </w:p>
    <w:p w14:paraId="6C0D1C92" w14:textId="77777777" w:rsidR="00F95AC5" w:rsidRPr="00F95AC5" w:rsidRDefault="00F95AC5" w:rsidP="00F95AC5">
      <w:pPr>
        <w:spacing w:after="0" w:line="240" w:lineRule="auto"/>
        <w:rPr>
          <w:rFonts w:ascii="Verdana" w:hAnsi="Verdana"/>
        </w:rPr>
      </w:pPr>
    </w:p>
    <w:p w14:paraId="4E0E0E84" w14:textId="77777777" w:rsidR="00F95AC5" w:rsidRPr="00F95AC5" w:rsidRDefault="00F95AC5" w:rsidP="00F95AC5">
      <w:pPr>
        <w:spacing w:after="0" w:line="240" w:lineRule="auto"/>
        <w:jc w:val="both"/>
        <w:rPr>
          <w:rFonts w:ascii="Verdana" w:hAnsi="Verdana"/>
        </w:rPr>
      </w:pPr>
      <w:r w:rsidRPr="00F95AC5">
        <w:rPr>
          <w:rFonts w:ascii="Verdana" w:hAnsi="Verdana"/>
        </w:rPr>
        <w:t xml:space="preserve">Por último, lo invitamos a seguirnos en las redes sociales en las cuales se difunde información institucional: </w:t>
      </w:r>
    </w:p>
    <w:p w14:paraId="0C4FB300" w14:textId="77777777" w:rsidR="00F95AC5" w:rsidRPr="00F95AC5" w:rsidRDefault="00F95AC5" w:rsidP="00F95AC5">
      <w:pPr>
        <w:spacing w:after="0" w:line="240" w:lineRule="auto"/>
        <w:jc w:val="both"/>
        <w:rPr>
          <w:rFonts w:ascii="Verdana" w:hAnsi="Verdana"/>
        </w:rPr>
      </w:pPr>
    </w:p>
    <w:p w14:paraId="6892C0B1" w14:textId="77777777" w:rsidR="00F95AC5" w:rsidRPr="00F95AC5" w:rsidRDefault="00F95AC5" w:rsidP="00F95AC5">
      <w:pPr>
        <w:spacing w:after="0" w:line="240" w:lineRule="auto"/>
        <w:jc w:val="both"/>
        <w:rPr>
          <w:rFonts w:ascii="Verdana" w:hAnsi="Verdana"/>
        </w:rPr>
      </w:pPr>
      <w:r w:rsidRPr="00F95AC5">
        <w:rPr>
          <w:rFonts w:ascii="Verdana" w:hAnsi="Verdana"/>
        </w:rPr>
        <w:t xml:space="preserve">Twitter: </w:t>
      </w:r>
      <w:r w:rsidRPr="00F95AC5">
        <w:rPr>
          <w:rFonts w:ascii="Verdana" w:hAnsi="Verdana"/>
          <w:color w:val="0000FF"/>
          <w:u w:val="single"/>
        </w:rPr>
        <w:t>@colombiacompra</w:t>
      </w:r>
      <w:r w:rsidRPr="00F95AC5">
        <w:rPr>
          <w:rFonts w:ascii="Verdana" w:hAnsi="Verdana"/>
        </w:rPr>
        <w:t xml:space="preserve"> </w:t>
      </w:r>
    </w:p>
    <w:p w14:paraId="60F74142" w14:textId="77777777" w:rsidR="00F95AC5" w:rsidRPr="00F95AC5" w:rsidRDefault="00F95AC5" w:rsidP="00F95AC5">
      <w:pPr>
        <w:spacing w:after="0" w:line="240" w:lineRule="auto"/>
        <w:jc w:val="both"/>
        <w:rPr>
          <w:rFonts w:ascii="Verdana" w:hAnsi="Verdana"/>
        </w:rPr>
      </w:pPr>
      <w:r w:rsidRPr="00F95AC5">
        <w:rPr>
          <w:rFonts w:ascii="Verdana" w:hAnsi="Verdana"/>
        </w:rPr>
        <w:t xml:space="preserve">Facebook: </w:t>
      </w:r>
      <w:proofErr w:type="spellStart"/>
      <w:r w:rsidRPr="00F95AC5">
        <w:rPr>
          <w:rFonts w:ascii="Verdana" w:hAnsi="Verdana"/>
          <w:color w:val="0000FF"/>
          <w:u w:val="single"/>
        </w:rPr>
        <w:t>ColombiaCompraEficiente</w:t>
      </w:r>
      <w:proofErr w:type="spellEnd"/>
    </w:p>
    <w:p w14:paraId="088F5D97" w14:textId="77777777" w:rsidR="00F95AC5" w:rsidRPr="00F95AC5" w:rsidRDefault="00F95AC5" w:rsidP="00F95AC5">
      <w:pPr>
        <w:spacing w:after="0" w:line="240" w:lineRule="auto"/>
        <w:jc w:val="both"/>
        <w:rPr>
          <w:rFonts w:ascii="Verdana" w:hAnsi="Verdana"/>
        </w:rPr>
      </w:pPr>
      <w:r w:rsidRPr="00F95AC5">
        <w:rPr>
          <w:rFonts w:ascii="Verdana" w:hAnsi="Verdana"/>
        </w:rPr>
        <w:t xml:space="preserve">LinkedIn: </w:t>
      </w:r>
      <w:r w:rsidRPr="00F95AC5">
        <w:rPr>
          <w:rFonts w:ascii="Verdana" w:hAnsi="Verdana"/>
          <w:color w:val="0000FF"/>
          <w:u w:val="single"/>
        </w:rPr>
        <w:t>Agencia Nacional de Contratación Pública - Colombia Compra Eficiente</w:t>
      </w:r>
      <w:r w:rsidRPr="00F95AC5">
        <w:rPr>
          <w:rFonts w:ascii="Verdana" w:hAnsi="Verdana"/>
        </w:rPr>
        <w:t xml:space="preserve"> Instagram: </w:t>
      </w:r>
      <w:r w:rsidRPr="00F95AC5">
        <w:rPr>
          <w:rFonts w:ascii="Verdana" w:hAnsi="Verdana"/>
          <w:color w:val="0000FF"/>
          <w:u w:val="single"/>
        </w:rPr>
        <w:t>@colombiacompraeficiente_cce</w:t>
      </w:r>
    </w:p>
    <w:p w14:paraId="7F0630CF" w14:textId="77777777" w:rsidR="00F95AC5" w:rsidRPr="00F95AC5" w:rsidRDefault="00F95AC5" w:rsidP="00F95AC5">
      <w:pPr>
        <w:widowControl w:val="0"/>
        <w:autoSpaceDE w:val="0"/>
        <w:autoSpaceDN w:val="0"/>
        <w:spacing w:after="120" w:line="276" w:lineRule="auto"/>
        <w:jc w:val="both"/>
        <w:rPr>
          <w:rFonts w:ascii="Verdana" w:hAnsi="Verdana" w:cs="Arial"/>
          <w:color w:val="FF0000"/>
          <w:shd w:val="clear" w:color="auto" w:fill="FFFFFF"/>
          <w:lang w:val="es-ES_tradnl"/>
        </w:rPr>
      </w:pPr>
      <w:r w:rsidRPr="00F95AC5">
        <w:rPr>
          <w:rFonts w:ascii="Verdana" w:hAnsi="Verdana" w:cs="Arial"/>
          <w:color w:val="FF0000"/>
          <w:shd w:val="clear" w:color="auto" w:fill="FFFFFF"/>
          <w:lang w:val="es-ES_tradnl"/>
        </w:rPr>
        <w:t xml:space="preserve">        </w:t>
      </w:r>
    </w:p>
    <w:p w14:paraId="2B8B75ED" w14:textId="77777777" w:rsidR="00F95AC5" w:rsidRPr="00F95AC5" w:rsidRDefault="00F95AC5" w:rsidP="00F95AC5">
      <w:pPr>
        <w:widowControl w:val="0"/>
        <w:autoSpaceDE w:val="0"/>
        <w:autoSpaceDN w:val="0"/>
        <w:spacing w:after="0" w:line="276" w:lineRule="auto"/>
        <w:jc w:val="both"/>
        <w:rPr>
          <w:rFonts w:ascii="Verdana" w:hAnsi="Verdana" w:cs="Arial"/>
          <w:lang w:val="es-ES_tradnl"/>
        </w:rPr>
      </w:pPr>
      <w:r w:rsidRPr="00F95AC5">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037E156" w14:textId="77777777" w:rsidR="00F95AC5" w:rsidRPr="00F95AC5" w:rsidRDefault="00F95AC5" w:rsidP="00F95AC5">
      <w:pPr>
        <w:widowControl w:val="0"/>
        <w:autoSpaceDE w:val="0"/>
        <w:autoSpaceDN w:val="0"/>
        <w:spacing w:after="0" w:line="276" w:lineRule="auto"/>
        <w:jc w:val="both"/>
        <w:rPr>
          <w:rFonts w:ascii="Verdana" w:hAnsi="Verdana" w:cs="Arial"/>
          <w:lang w:val="es-ES_tradnl"/>
        </w:rPr>
      </w:pPr>
    </w:p>
    <w:p w14:paraId="1ACC6AB9" w14:textId="77777777" w:rsidR="00F95AC5" w:rsidRPr="00F95AC5" w:rsidRDefault="00F95AC5" w:rsidP="00F95AC5">
      <w:pPr>
        <w:spacing w:after="0" w:line="240" w:lineRule="auto"/>
        <w:rPr>
          <w:rFonts w:ascii="Verdana" w:hAnsi="Verdana" w:cs="Arial"/>
          <w:lang w:val="es-ES_tradnl" w:eastAsia="es-CO"/>
        </w:rPr>
      </w:pPr>
      <w:r w:rsidRPr="00F95AC5">
        <w:rPr>
          <w:rFonts w:ascii="Verdana" w:eastAsia="Times New Roman" w:hAnsi="Verdana" w:cs="Arial"/>
          <w:lang w:val="es-ES" w:eastAsia="es-CO"/>
        </w:rPr>
        <w:t>Atentamente,</w:t>
      </w:r>
      <w:r w:rsidRPr="00F95AC5">
        <w:rPr>
          <w:rFonts w:ascii="Verdana" w:hAnsi="Verdana" w:cs="Arial"/>
          <w:lang w:val="es-ES" w:eastAsia="es-CO"/>
        </w:rPr>
        <w:t xml:space="preserve"> </w:t>
      </w:r>
    </w:p>
    <w:bookmarkEnd w:id="0"/>
    <w:p w14:paraId="41330501" w14:textId="77777777" w:rsidR="00CE1C12" w:rsidRPr="00F21F0B" w:rsidRDefault="00CE1C12" w:rsidP="00CE1C12">
      <w:pPr>
        <w:spacing w:line="276" w:lineRule="auto"/>
        <w:jc w:val="center"/>
        <w:rPr>
          <w:rFonts w:ascii="Verdana" w:eastAsia="Calibri" w:hAnsi="Verdana" w:cs="Arial"/>
          <w:color w:val="000000"/>
          <w:lang w:val="es-ES_tradnl" w:eastAsia="es-CO"/>
        </w:rPr>
      </w:pPr>
      <w:r w:rsidRPr="00F21F0B">
        <w:rPr>
          <w:rFonts w:ascii="Century Gothic" w:hAnsi="Century Gothic"/>
          <w:noProof/>
        </w:rPr>
        <w:lastRenderedPageBreak/>
        <w:drawing>
          <wp:inline distT="0" distB="0" distL="0" distR="0" wp14:anchorId="30815F20" wp14:editId="6E2B11FC">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112"/>
        <w:tblW w:w="6521" w:type="dxa"/>
        <w:tblLook w:val="04A0" w:firstRow="1" w:lastRow="0" w:firstColumn="1" w:lastColumn="0" w:noHBand="0" w:noVBand="1"/>
      </w:tblPr>
      <w:tblGrid>
        <w:gridCol w:w="893"/>
        <w:gridCol w:w="5628"/>
      </w:tblGrid>
      <w:tr w:rsidR="00CE1C12" w:rsidRPr="00F21F0B" w14:paraId="3A2E4537" w14:textId="77777777" w:rsidTr="00E615C0">
        <w:trPr>
          <w:trHeight w:val="315"/>
        </w:trPr>
        <w:tc>
          <w:tcPr>
            <w:tcW w:w="893" w:type="dxa"/>
            <w:vAlign w:val="center"/>
            <w:hideMark/>
          </w:tcPr>
          <w:p w14:paraId="5D53D27A" w14:textId="77777777" w:rsidR="00CE1C12" w:rsidRPr="00F21F0B" w:rsidRDefault="00CE1C12"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3BE675C" w14:textId="77777777" w:rsidR="00CE1C12" w:rsidRPr="00F21F0B" w:rsidRDefault="00CE1C12" w:rsidP="00E615C0">
            <w:pPr>
              <w:spacing w:after="255" w:line="254" w:lineRule="auto"/>
              <w:contextualSpacing/>
              <w:rPr>
                <w:rFonts w:ascii="Verdana" w:eastAsia="Calibri" w:hAnsi="Verdana" w:cs="Times New Roman"/>
                <w:sz w:val="16"/>
                <w:szCs w:val="16"/>
              </w:rPr>
            </w:pPr>
            <w:r w:rsidRPr="00F21F0B">
              <w:rPr>
                <w:rFonts w:ascii="Verdana" w:eastAsia="Calibri" w:hAnsi="Verdana" w:cs="Times New Roman"/>
                <w:sz w:val="16"/>
                <w:szCs w:val="16"/>
              </w:rPr>
              <w:t>Tatiana Baquero Iguarán</w:t>
            </w:r>
          </w:p>
          <w:p w14:paraId="6A903AD7" w14:textId="77777777" w:rsidR="00CE1C12" w:rsidRPr="00F21F0B" w:rsidRDefault="00CE1C12" w:rsidP="00E615C0">
            <w:pPr>
              <w:spacing w:after="255" w:line="254" w:lineRule="auto"/>
              <w:contextualSpacing/>
              <w:rPr>
                <w:rFonts w:ascii="Verdana" w:hAnsi="Verdana"/>
                <w:sz w:val="16"/>
                <w:szCs w:val="16"/>
              </w:rPr>
            </w:pPr>
            <w:r w:rsidRPr="00F21F0B">
              <w:rPr>
                <w:rFonts w:ascii="Verdana" w:eastAsia="Calibri" w:hAnsi="Verdana" w:cs="Times New Roman"/>
                <w:sz w:val="16"/>
                <w:szCs w:val="16"/>
              </w:rPr>
              <w:t>Contratista de la Subdirección de Gestión Contractual</w:t>
            </w:r>
          </w:p>
        </w:tc>
      </w:tr>
      <w:tr w:rsidR="00CE1C12" w:rsidRPr="00F21F0B" w14:paraId="56AB8D1A" w14:textId="77777777" w:rsidTr="00E615C0">
        <w:trPr>
          <w:trHeight w:val="330"/>
        </w:trPr>
        <w:tc>
          <w:tcPr>
            <w:tcW w:w="893" w:type="dxa"/>
            <w:vAlign w:val="center"/>
            <w:hideMark/>
          </w:tcPr>
          <w:p w14:paraId="1C22132B" w14:textId="77777777" w:rsidR="00CE1C12" w:rsidRPr="00F21F0B" w:rsidRDefault="00CE1C12"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461756" w14:textId="77777777" w:rsidR="00CE1C12" w:rsidRPr="00F21F0B" w:rsidRDefault="00CE1C12" w:rsidP="00E615C0">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F21F0B">
              <w:rPr>
                <w:rFonts w:ascii="Verdana" w:eastAsia="Times New Roman" w:hAnsi="Verdana"/>
                <w:sz w:val="16"/>
                <w:szCs w:val="16"/>
                <w:lang w:eastAsia="es-ES_tradnl"/>
              </w:rPr>
              <w:t>Alejandro Sarmiento Cantillo</w:t>
            </w:r>
          </w:p>
          <w:p w14:paraId="35FA195B" w14:textId="77777777" w:rsidR="00CE1C12" w:rsidRPr="00F21F0B" w:rsidRDefault="00CE1C12" w:rsidP="00E615C0">
            <w:pPr>
              <w:spacing w:after="255" w:line="254" w:lineRule="auto"/>
              <w:contextualSpacing/>
              <w:textAlignment w:val="baseline"/>
              <w:rPr>
                <w:rFonts w:ascii="Verdana" w:eastAsia="Times New Roman" w:hAnsi="Verdana" w:cs="Segoe UI"/>
                <w:sz w:val="16"/>
                <w:szCs w:val="16"/>
                <w:lang w:eastAsia="es-ES_tradnl"/>
              </w:rPr>
            </w:pPr>
            <w:r w:rsidRPr="00F21F0B">
              <w:rPr>
                <w:rFonts w:ascii="Verdana" w:eastAsia="Times New Roman" w:hAnsi="Verdana"/>
                <w:sz w:val="16"/>
                <w:szCs w:val="16"/>
                <w:lang w:eastAsia="es-ES_tradnl"/>
              </w:rPr>
              <w:t>Gestor T1 ‒ 15 de la Subdirección de Gestión Contractual </w:t>
            </w:r>
          </w:p>
        </w:tc>
      </w:tr>
      <w:tr w:rsidR="00CE1C12" w:rsidRPr="00F21F0B" w14:paraId="01A41DDC" w14:textId="77777777" w:rsidTr="00E615C0">
        <w:trPr>
          <w:trHeight w:val="300"/>
        </w:trPr>
        <w:tc>
          <w:tcPr>
            <w:tcW w:w="893" w:type="dxa"/>
            <w:vAlign w:val="center"/>
            <w:hideMark/>
          </w:tcPr>
          <w:p w14:paraId="0E50FE82" w14:textId="77777777" w:rsidR="00CE1C12" w:rsidRPr="00F21F0B" w:rsidRDefault="00CE1C12"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4406F75" w14:textId="77777777" w:rsidR="00CE1C12" w:rsidRPr="00F21F0B" w:rsidRDefault="00CE1C12" w:rsidP="00E615C0">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val="pt-BR" w:eastAsia="es-ES"/>
              </w:rPr>
              <w:t xml:space="preserve">Carolina Quintero </w:t>
            </w:r>
            <w:proofErr w:type="spellStart"/>
            <w:r w:rsidRPr="00F21F0B">
              <w:rPr>
                <w:rFonts w:ascii="Verdana" w:eastAsia="Calibri" w:hAnsi="Verdana"/>
                <w:sz w:val="16"/>
                <w:szCs w:val="16"/>
                <w:lang w:val="pt-BR" w:eastAsia="es-ES"/>
              </w:rPr>
              <w:t>Gacharná</w:t>
            </w:r>
            <w:proofErr w:type="spellEnd"/>
          </w:p>
          <w:p w14:paraId="4700B81D" w14:textId="77777777" w:rsidR="00CE1C12" w:rsidRPr="00F21F0B" w:rsidRDefault="00CE1C12" w:rsidP="00E615C0">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eastAsia="es-ES"/>
              </w:rPr>
              <w:t>Subdirectora</w:t>
            </w:r>
            <w:r w:rsidRPr="00F21F0B">
              <w:rPr>
                <w:rFonts w:ascii="Verdana" w:eastAsia="Calibri" w:hAnsi="Verdana"/>
                <w:sz w:val="16"/>
                <w:szCs w:val="16"/>
                <w:lang w:val="pt-BR" w:eastAsia="es-ES"/>
              </w:rPr>
              <w:t xml:space="preserve"> de Gestión Contratual ANCP – CCE</w:t>
            </w:r>
          </w:p>
        </w:tc>
      </w:tr>
    </w:tbl>
    <w:p w14:paraId="101A34ED" w14:textId="77777777" w:rsidR="00CE1C12" w:rsidRPr="00F21F0B" w:rsidRDefault="00CE1C12" w:rsidP="00CE1C12">
      <w:pPr>
        <w:spacing w:after="0" w:line="240" w:lineRule="auto"/>
        <w:rPr>
          <w:rFonts w:ascii="Verdana" w:eastAsia="Times New Roman" w:hAnsi="Verdana" w:cs="Arial"/>
          <w:sz w:val="24"/>
          <w:szCs w:val="24"/>
          <w:lang w:eastAsia="es-ES"/>
        </w:rPr>
      </w:pPr>
    </w:p>
    <w:p w14:paraId="586D1DD2" w14:textId="77777777" w:rsidR="00CE1C12" w:rsidRPr="00F21F0B" w:rsidRDefault="00CE1C12" w:rsidP="00CE1C12">
      <w:pPr>
        <w:spacing w:after="0"/>
        <w:rPr>
          <w:rFonts w:ascii="Verdana" w:hAnsi="Verdana"/>
        </w:rPr>
      </w:pPr>
    </w:p>
    <w:p w14:paraId="6D1DEFB2" w14:textId="77777777" w:rsidR="00CE1C12" w:rsidRPr="00F21F0B" w:rsidRDefault="00CE1C12" w:rsidP="00CE1C12"/>
    <w:p w14:paraId="45BB037B" w14:textId="77777777" w:rsidR="004A479B" w:rsidRDefault="004A479B" w:rsidP="00131932">
      <w:pPr>
        <w:spacing w:after="0" w:line="240" w:lineRule="auto"/>
        <w:rPr>
          <w:rFonts w:ascii="Verdana" w:eastAsia="Geomanist Light" w:hAnsi="Verdana" w:cs="Arial"/>
          <w:color w:val="000000" w:themeColor="text1"/>
        </w:rPr>
      </w:pPr>
    </w:p>
    <w:sectPr w:rsidR="004A479B" w:rsidSect="00C44B4C">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1A0EA" w14:textId="77777777" w:rsidR="0041643D" w:rsidRPr="009B7987" w:rsidRDefault="0041643D" w:rsidP="00B30448">
      <w:pPr>
        <w:spacing w:after="0" w:line="240" w:lineRule="auto"/>
      </w:pPr>
      <w:r w:rsidRPr="009B7987">
        <w:separator/>
      </w:r>
    </w:p>
  </w:endnote>
  <w:endnote w:type="continuationSeparator" w:id="0">
    <w:p w14:paraId="2FBA9810" w14:textId="77777777" w:rsidR="0041643D" w:rsidRPr="009B7987" w:rsidRDefault="0041643D" w:rsidP="00B30448">
      <w:pPr>
        <w:spacing w:after="0" w:line="240" w:lineRule="auto"/>
      </w:pPr>
      <w:r w:rsidRPr="009B7987">
        <w:continuationSeparator/>
      </w:r>
    </w:p>
  </w:endnote>
  <w:endnote w:type="continuationNotice" w:id="1">
    <w:p w14:paraId="5228885D" w14:textId="77777777" w:rsidR="0041643D" w:rsidRPr="009B7987" w:rsidRDefault="004164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AA141" w14:textId="77777777" w:rsidR="0041643D" w:rsidRPr="009B7987" w:rsidRDefault="0041643D" w:rsidP="00B30448">
      <w:pPr>
        <w:spacing w:after="0" w:line="240" w:lineRule="auto"/>
      </w:pPr>
      <w:r w:rsidRPr="009B7987">
        <w:separator/>
      </w:r>
    </w:p>
  </w:footnote>
  <w:footnote w:type="continuationSeparator" w:id="0">
    <w:p w14:paraId="54889F20" w14:textId="77777777" w:rsidR="0041643D" w:rsidRPr="009B7987" w:rsidRDefault="0041643D" w:rsidP="00B30448">
      <w:pPr>
        <w:spacing w:after="0" w:line="240" w:lineRule="auto"/>
      </w:pPr>
      <w:r w:rsidRPr="009B7987">
        <w:continuationSeparator/>
      </w:r>
    </w:p>
  </w:footnote>
  <w:footnote w:type="continuationNotice" w:id="1">
    <w:p w14:paraId="70620439" w14:textId="77777777" w:rsidR="0041643D" w:rsidRPr="009B7987" w:rsidRDefault="0041643D">
      <w:pPr>
        <w:spacing w:after="0" w:line="240" w:lineRule="auto"/>
      </w:pPr>
    </w:p>
  </w:footnote>
  <w:footnote w:id="2">
    <w:p w14:paraId="026C162F" w14:textId="77777777" w:rsidR="00F95AC5" w:rsidRPr="007A2ACE" w:rsidRDefault="00F95AC5" w:rsidP="00F95AC5">
      <w:pPr>
        <w:pStyle w:val="Textonotapie"/>
        <w:ind w:firstLine="708"/>
        <w:jc w:val="both"/>
        <w:rPr>
          <w:rFonts w:ascii="Verdana" w:hAnsi="Verdana" w:cs="Arial"/>
          <w:color w:val="000000" w:themeColor="text1"/>
          <w:sz w:val="16"/>
          <w:szCs w:val="16"/>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lang w:val="pt-BR"/>
        </w:rPr>
        <w:t xml:space="preserve"> CORTE CONSTITUCIONAL. Sentencia C-452 de 1999. </w:t>
      </w:r>
      <w:r w:rsidRPr="007A2ACE">
        <w:rPr>
          <w:rFonts w:ascii="Verdana" w:hAnsi="Verdana" w:cs="Arial"/>
          <w:color w:val="000000" w:themeColor="text1"/>
          <w:sz w:val="16"/>
          <w:szCs w:val="16"/>
        </w:rPr>
        <w:t xml:space="preserve">M.P. Eduardo Cifuentes Muñoz. </w:t>
      </w:r>
    </w:p>
  </w:footnote>
  <w:footnote w:id="3">
    <w:p w14:paraId="079BBF67" w14:textId="77777777" w:rsidR="00F95AC5" w:rsidRPr="007A2ACE" w:rsidRDefault="00F95AC5" w:rsidP="00F95AC5">
      <w:pPr>
        <w:pStyle w:val="Textonotapie"/>
        <w:ind w:firstLine="708"/>
        <w:jc w:val="both"/>
        <w:rPr>
          <w:rFonts w:ascii="Verdana" w:hAnsi="Verdana" w:cs="Arial"/>
          <w:color w:val="000000" w:themeColor="text1"/>
          <w:sz w:val="16"/>
          <w:szCs w:val="16"/>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rPr>
        <w:t xml:space="preserve"> DROMI, José Roberto. La licitación pública. Buenos Aires: Ciudad Argentina, 1980. pp. 288-289.</w:t>
      </w:r>
    </w:p>
  </w:footnote>
  <w:footnote w:id="4">
    <w:p w14:paraId="7D0A79FB" w14:textId="77777777" w:rsidR="00F95AC5" w:rsidRPr="007A2ACE" w:rsidRDefault="00F95AC5" w:rsidP="00F95AC5">
      <w:pPr>
        <w:pStyle w:val="Textonotapie"/>
        <w:ind w:firstLine="708"/>
        <w:jc w:val="both"/>
        <w:rPr>
          <w:rFonts w:ascii="Verdana" w:hAnsi="Verdana" w:cs="Arial"/>
          <w:sz w:val="16"/>
          <w:szCs w:val="16"/>
        </w:rPr>
      </w:pPr>
      <w:r w:rsidRPr="007A2ACE">
        <w:rPr>
          <w:rStyle w:val="Refdenotaalpie"/>
          <w:rFonts w:ascii="Verdana" w:hAnsi="Verdana" w:cs="Arial"/>
          <w:sz w:val="16"/>
          <w:szCs w:val="16"/>
        </w:rPr>
        <w:footnoteRef/>
      </w:r>
      <w:r w:rsidRPr="007A2ACE">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15F67F6C" w14:textId="77777777" w:rsidR="00F95AC5" w:rsidRPr="007A2ACE" w:rsidRDefault="00F95AC5" w:rsidP="00F95AC5">
      <w:pPr>
        <w:pStyle w:val="Textonotapie"/>
        <w:ind w:firstLine="709"/>
        <w:jc w:val="both"/>
        <w:rPr>
          <w:rFonts w:ascii="Verdana" w:hAnsi="Verdana" w:cs="Arial"/>
          <w:color w:val="000000" w:themeColor="text1"/>
          <w:sz w:val="16"/>
          <w:szCs w:val="16"/>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rPr>
        <w:t xml:space="preserve"> ORDÓÑEZ ORDÓÑEZ, Andrés E. Seguro de cumplimiento de los contratos estatales en Colombia. Bogotá: Universidad Externado de Colombia, 2011. p. 44.</w:t>
      </w:r>
    </w:p>
  </w:footnote>
  <w:footnote w:id="6">
    <w:p w14:paraId="2C83167F" w14:textId="77777777" w:rsidR="00F95AC5" w:rsidRPr="007A2ACE" w:rsidRDefault="00F95AC5" w:rsidP="00F95AC5">
      <w:pPr>
        <w:pStyle w:val="Textonotapie"/>
        <w:ind w:firstLine="709"/>
        <w:jc w:val="both"/>
        <w:rPr>
          <w:rFonts w:ascii="Verdana" w:hAnsi="Verdana" w:cs="Arial"/>
          <w:color w:val="000000" w:themeColor="text1"/>
          <w:sz w:val="16"/>
          <w:szCs w:val="16"/>
          <w:lang w:val="es-ES"/>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7A2ACE">
        <w:rPr>
          <w:rFonts w:ascii="Verdana" w:hAnsi="Verdana" w:cs="Arial"/>
          <w:color w:val="000000" w:themeColor="text1"/>
          <w:sz w:val="16"/>
          <w:szCs w:val="16"/>
          <w:lang w:val="es-ES"/>
        </w:rPr>
        <w:t xml:space="preserve">Igualmente, el inciso primero del artículo 1071 </w:t>
      </w:r>
      <w:r w:rsidRPr="007A2ACE">
        <w:rPr>
          <w:rFonts w:ascii="Verdana" w:hAnsi="Verdana" w:cs="Arial"/>
          <w:i/>
          <w:iCs/>
          <w:color w:val="000000" w:themeColor="text1"/>
          <w:sz w:val="16"/>
          <w:szCs w:val="16"/>
          <w:lang w:val="es-ES"/>
        </w:rPr>
        <w:t>ibidem</w:t>
      </w:r>
      <w:r w:rsidRPr="007A2ACE">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3C02CBD2" w14:textId="77777777" w:rsidR="00F95AC5" w:rsidRPr="007A2ACE" w:rsidRDefault="00F95AC5" w:rsidP="00F95AC5">
      <w:pPr>
        <w:pStyle w:val="Textonotapie"/>
        <w:ind w:firstLine="709"/>
        <w:jc w:val="both"/>
        <w:rPr>
          <w:rFonts w:ascii="Verdana" w:hAnsi="Verdana" w:cs="Arial"/>
          <w:color w:val="000000" w:themeColor="text1"/>
          <w:sz w:val="16"/>
          <w:szCs w:val="16"/>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w:t>
      </w:r>
      <w:proofErr w:type="gramStart"/>
      <w:r w:rsidRPr="007A2ACE">
        <w:rPr>
          <w:rFonts w:ascii="Verdana" w:hAnsi="Verdana" w:cs="Arial"/>
          <w:color w:val="000000" w:themeColor="text1"/>
          <w:sz w:val="16"/>
          <w:szCs w:val="16"/>
        </w:rPr>
        <w:t>’“ (</w:t>
      </w:r>
      <w:proofErr w:type="gramEnd"/>
      <w:r w:rsidRPr="007A2ACE">
        <w:rPr>
          <w:rFonts w:ascii="Verdana" w:hAnsi="Verdana" w:cs="Arial"/>
          <w:color w:val="000000" w:themeColor="text1"/>
          <w:sz w:val="16"/>
          <w:szCs w:val="16"/>
        </w:rPr>
        <w:t>Cfr. STIGLITZ, Rubén S. Derecho de seguros. Tomo I. Tercera Edición. Buenos Aires: Abeledo – Perrot, 2001. p. 21).</w:t>
      </w:r>
    </w:p>
  </w:footnote>
  <w:footnote w:id="8">
    <w:p w14:paraId="52520E48"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rPr>
        <w:t xml:space="preserve"> </w:t>
      </w:r>
      <w:r w:rsidRPr="007A2ACE">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30FAB593"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1D14A4F1"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1. La Entidad Estatal debe exigir una garantía independiente para cada Etapa del Contrato o cada Periodo Contractual o cada unidad funcional en el caso de las Asociaciones </w:t>
      </w:r>
      <w:proofErr w:type="gramStart"/>
      <w:r w:rsidRPr="007A2ACE">
        <w:rPr>
          <w:rFonts w:ascii="Verdana" w:hAnsi="Verdana" w:cs="Arial"/>
          <w:color w:val="000000" w:themeColor="text1"/>
          <w:sz w:val="16"/>
          <w:szCs w:val="16"/>
          <w:lang w:val="es-CO"/>
        </w:rPr>
        <w:t>Público Privadas</w:t>
      </w:r>
      <w:proofErr w:type="gramEnd"/>
      <w:r w:rsidRPr="007A2ACE">
        <w:rPr>
          <w:rFonts w:ascii="Verdana" w:hAnsi="Verdana" w:cs="Arial"/>
          <w:color w:val="000000" w:themeColor="text1"/>
          <w:sz w:val="16"/>
          <w:szCs w:val="16"/>
          <w:lang w:val="es-CO"/>
        </w:rPr>
        <w:t xml:space="preserve">, cuya vigencia debe ser por lo menos la misma establecida para la Etapa del Contrato o Periodo Contractual respectivo. </w:t>
      </w:r>
    </w:p>
    <w:p w14:paraId="3C08718A"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2AF8999E"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1E2A1E1D"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9">
    <w:p w14:paraId="50D1FE99"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Style w:val="Refdenotaalpie"/>
          <w:rFonts w:ascii="Verdana" w:hAnsi="Verdana" w:cs="Arial"/>
          <w:color w:val="000000" w:themeColor="text1"/>
          <w:sz w:val="16"/>
          <w:szCs w:val="16"/>
        </w:rPr>
        <w:footnoteRef/>
      </w:r>
      <w:r w:rsidRPr="007A2ACE">
        <w:rPr>
          <w:rFonts w:ascii="Verdana" w:hAnsi="Verdana" w:cs="Arial"/>
          <w:color w:val="000000" w:themeColor="text1"/>
          <w:sz w:val="16"/>
          <w:szCs w:val="16"/>
        </w:rPr>
        <w:t xml:space="preserve"> </w:t>
      </w:r>
      <w:r w:rsidRPr="007A2ACE">
        <w:rPr>
          <w:rFonts w:ascii="Verdana" w:hAnsi="Verdana" w:cs="Arial"/>
          <w:color w:val="000000" w:themeColor="text1"/>
          <w:sz w:val="16"/>
          <w:szCs w:val="16"/>
          <w:lang w:val="es-CO"/>
        </w:rPr>
        <w:t xml:space="preserve">“Artículo </w:t>
      </w:r>
      <w:bookmarkStart w:id="4" w:name="_Hlk67919994"/>
      <w:r w:rsidRPr="007A2ACE">
        <w:rPr>
          <w:rFonts w:ascii="Verdana" w:hAnsi="Verdana" w:cs="Arial"/>
          <w:color w:val="000000" w:themeColor="text1"/>
          <w:sz w:val="16"/>
          <w:szCs w:val="16"/>
          <w:lang w:val="es-CO"/>
        </w:rPr>
        <w:t>2.2.1.2.3.1.7</w:t>
      </w:r>
      <w:bookmarkEnd w:id="4"/>
      <w:r w:rsidRPr="007A2ACE">
        <w:rPr>
          <w:rFonts w:ascii="Verdana" w:hAnsi="Verdana" w:cs="Arial"/>
          <w:color w:val="000000" w:themeColor="text1"/>
          <w:sz w:val="16"/>
          <w:szCs w:val="16"/>
          <w:lang w:val="es-CO"/>
        </w:rPr>
        <w:t xml:space="preserve">. Garantía de cumplimiento. La garantía de cumplimiento del contrato debe cubrir: </w:t>
      </w:r>
    </w:p>
    <w:p w14:paraId="23211909" w14:textId="77777777" w:rsidR="00F95AC5" w:rsidRPr="007A2ACE" w:rsidRDefault="00F95AC5" w:rsidP="00F95AC5">
      <w:pPr>
        <w:pStyle w:val="Textonotapie"/>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  </w:t>
      </w:r>
      <w:r w:rsidRPr="007A2ACE">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7CA45DC"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35E6EFB9"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3. Cumplimiento del contrato. Este amparo cubre a la Entidad Estatal de los perjuicios derivados de: </w:t>
      </w:r>
    </w:p>
    <w:p w14:paraId="77876E23" w14:textId="77777777" w:rsidR="00F95AC5" w:rsidRPr="007A2ACE" w:rsidRDefault="00F95AC5" w:rsidP="00F95AC5">
      <w:pPr>
        <w:pStyle w:val="Textonotapie"/>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  </w:t>
      </w:r>
      <w:r w:rsidRPr="007A2ACE">
        <w:rPr>
          <w:rFonts w:ascii="Verdana" w:hAnsi="Verdana" w:cs="Arial"/>
          <w:color w:val="000000" w:themeColor="text1"/>
          <w:sz w:val="16"/>
          <w:szCs w:val="16"/>
          <w:lang w:val="es-CO"/>
        </w:rPr>
        <w:tab/>
        <w:t xml:space="preserve">3.1. </w:t>
      </w:r>
      <w:bookmarkStart w:id="5" w:name="_Hlk67920056"/>
      <w:r w:rsidRPr="007A2ACE">
        <w:rPr>
          <w:rFonts w:ascii="Verdana" w:hAnsi="Verdana" w:cs="Arial"/>
          <w:color w:val="000000" w:themeColor="text1"/>
          <w:sz w:val="16"/>
          <w:szCs w:val="16"/>
          <w:lang w:val="es-CO"/>
        </w:rPr>
        <w:t xml:space="preserve">El incumplimiento total o parcial del contrato, cuando el incumplimiento es imputable al contratista; </w:t>
      </w:r>
    </w:p>
    <w:p w14:paraId="21991E11" w14:textId="77777777" w:rsidR="00F95AC5" w:rsidRPr="007A2ACE" w:rsidRDefault="00F95AC5" w:rsidP="00F95AC5">
      <w:pPr>
        <w:pStyle w:val="Textonotapie"/>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  </w:t>
      </w:r>
      <w:r w:rsidRPr="007A2ACE">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0A2334A4"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5"/>
    <w:p w14:paraId="03A72F7B"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3.4. El pago del valor de las multas y de la cláusula penal pecuniaria. </w:t>
      </w:r>
    </w:p>
    <w:p w14:paraId="3FD52221"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6E8B186A"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69347ED6"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1DF2B9FA"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03D56452"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2C764F9E"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r w:rsidRPr="007A2ACE">
        <w:rPr>
          <w:rFonts w:ascii="Verdana" w:hAnsi="Verdana" w:cs="Arial"/>
          <w:color w:val="000000" w:themeColor="text1"/>
          <w:sz w:val="16"/>
          <w:szCs w:val="16"/>
          <w:lang w:val="es-CO"/>
        </w:rPr>
        <w:t xml:space="preserve">8. </w:t>
      </w:r>
      <w:bookmarkStart w:id="6" w:name="_Hlk143267015"/>
      <w:r w:rsidRPr="007A2ACE">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6"/>
      <w:r w:rsidRPr="007A2ACE">
        <w:rPr>
          <w:rFonts w:ascii="Verdana" w:hAnsi="Verdana" w:cs="Arial"/>
          <w:color w:val="000000" w:themeColor="text1"/>
          <w:sz w:val="16"/>
          <w:szCs w:val="16"/>
          <w:lang w:val="es-CO"/>
        </w:rPr>
        <w:t>”.</w:t>
      </w:r>
    </w:p>
    <w:p w14:paraId="51D93238" w14:textId="77777777" w:rsidR="00F95AC5" w:rsidRPr="007A2ACE" w:rsidRDefault="00F95AC5" w:rsidP="00F95AC5">
      <w:pPr>
        <w:pStyle w:val="Textonotapie"/>
        <w:ind w:firstLine="708"/>
        <w:jc w:val="both"/>
        <w:rPr>
          <w:rFonts w:ascii="Verdana" w:hAnsi="Verdana" w:cs="Arial"/>
          <w:color w:val="000000" w:themeColor="text1"/>
          <w:sz w:val="16"/>
          <w:szCs w:val="16"/>
          <w:lang w:val="es-CO"/>
        </w:rPr>
      </w:pPr>
    </w:p>
  </w:footnote>
  <w:footnote w:id="10">
    <w:p w14:paraId="146875AC" w14:textId="77777777" w:rsidR="00F95AC5" w:rsidRPr="007A2ACE" w:rsidRDefault="00F95AC5" w:rsidP="00F95AC5">
      <w:pPr>
        <w:pStyle w:val="Textonotapie"/>
        <w:ind w:firstLine="708"/>
        <w:jc w:val="both"/>
        <w:rPr>
          <w:rFonts w:ascii="Verdana" w:eastAsia="Calibri" w:hAnsi="Verdana" w:cs="Arial"/>
          <w:color w:val="000000" w:themeColor="text1"/>
          <w:sz w:val="16"/>
          <w:szCs w:val="16"/>
          <w:lang w:val="es-ES_tradnl"/>
        </w:rPr>
      </w:pPr>
      <w:r w:rsidRPr="007A2ACE">
        <w:rPr>
          <w:rStyle w:val="Refdenotaalpie"/>
          <w:rFonts w:ascii="Verdana" w:hAnsi="Verdana"/>
          <w:color w:val="000000" w:themeColor="text1"/>
          <w:sz w:val="16"/>
          <w:szCs w:val="16"/>
        </w:rPr>
        <w:footnoteRef/>
      </w:r>
      <w:r w:rsidRPr="007A2ACE">
        <w:rPr>
          <w:rFonts w:ascii="Verdana" w:hAnsi="Verdana"/>
          <w:color w:val="000000" w:themeColor="text1"/>
          <w:sz w:val="16"/>
          <w:szCs w:val="16"/>
        </w:rPr>
        <w:t xml:space="preserve"> </w:t>
      </w:r>
      <w:r w:rsidRPr="007A2ACE">
        <w:rPr>
          <w:rFonts w:ascii="Verdana" w:eastAsia="Calibri" w:hAnsi="Verdana" w:cs="Arial"/>
          <w:color w:val="000000" w:themeColor="text1"/>
          <w:sz w:val="16"/>
          <w:szCs w:val="16"/>
          <w:lang w:val="es-ES_tradnl"/>
        </w:rPr>
        <w:t xml:space="preserve">Esta norma dispone que «Los contratos para construcción de edificios, celebrados con un empresario que se encarga de toda la obra por un precio único prefijado, se sujetan además a las reglas siguientes: </w:t>
      </w:r>
    </w:p>
    <w:p w14:paraId="06770D79" w14:textId="77777777" w:rsidR="00F95AC5" w:rsidRPr="007A2ACE" w:rsidRDefault="00F95AC5" w:rsidP="00F95AC5">
      <w:pPr>
        <w:pStyle w:val="Textonotapie"/>
        <w:ind w:firstLine="708"/>
        <w:jc w:val="both"/>
        <w:rPr>
          <w:rFonts w:ascii="Verdana" w:eastAsia="Calibri" w:hAnsi="Verdana" w:cs="Arial"/>
          <w:color w:val="000000" w:themeColor="text1"/>
          <w:sz w:val="16"/>
          <w:szCs w:val="16"/>
          <w:lang w:val="es-ES_tradnl"/>
        </w:rPr>
      </w:pPr>
      <w:r w:rsidRPr="007A2ACE">
        <w:rPr>
          <w:rFonts w:ascii="Verdana" w:eastAsia="Calibri" w:hAnsi="Verdana" w:cs="Arial"/>
          <w:color w:val="000000" w:themeColor="text1"/>
          <w:sz w:val="16"/>
          <w:szCs w:val="16"/>
          <w:lang w:val="es-ES_tradnl"/>
        </w:rPr>
        <w:t xml:space="preserve">[…] </w:t>
      </w:r>
    </w:p>
    <w:p w14:paraId="204C8119" w14:textId="77777777" w:rsidR="00F95AC5" w:rsidRPr="007A2ACE" w:rsidRDefault="00F95AC5" w:rsidP="00F95AC5">
      <w:pPr>
        <w:pStyle w:val="Textonotapie"/>
        <w:ind w:firstLine="708"/>
        <w:jc w:val="both"/>
        <w:rPr>
          <w:rFonts w:ascii="Verdana" w:hAnsi="Verdana"/>
          <w:color w:val="000000" w:themeColor="text1"/>
          <w:sz w:val="16"/>
          <w:szCs w:val="16"/>
        </w:rPr>
      </w:pPr>
      <w:r w:rsidRPr="007A2ACE">
        <w:rPr>
          <w:rFonts w:ascii="Verdana" w:eastAsia="Calibri" w:hAnsi="Verdana" w:cs="Arial"/>
          <w:color w:val="000000" w:themeColor="text1"/>
          <w:sz w:val="16"/>
          <w:szCs w:val="16"/>
          <w:lang w:val="es-ES_tradnl"/>
        </w:rPr>
        <w:t xml:space="preserve">»3. Si el edificio perece o amenaza ruina, en todo o parte, en los diez años subsiguientes a su entrega, por vicio de la construcción, o por vicio del suelo que el empresario o las personas empleadas por él hayan debido conocer </w:t>
      </w:r>
      <w:proofErr w:type="gramStart"/>
      <w:r w:rsidRPr="007A2ACE">
        <w:rPr>
          <w:rFonts w:ascii="Verdana" w:eastAsia="Calibri" w:hAnsi="Verdana" w:cs="Arial"/>
          <w:color w:val="000000" w:themeColor="text1"/>
          <w:sz w:val="16"/>
          <w:szCs w:val="16"/>
          <w:lang w:val="es-ES_tradnl"/>
        </w:rPr>
        <w:t>en razón de</w:t>
      </w:r>
      <w:proofErr w:type="gramEnd"/>
      <w:r w:rsidRPr="007A2ACE">
        <w:rPr>
          <w:rFonts w:ascii="Verdana" w:eastAsia="Calibri" w:hAnsi="Verdana" w:cs="Arial"/>
          <w:color w:val="000000" w:themeColor="text1"/>
          <w:sz w:val="16"/>
          <w:szCs w:val="16"/>
          <w:lang w:val="es-ES_tradnl"/>
        </w:rPr>
        <w:t xml:space="preserve"> su oficio, o por vicio de los materiales, será responsable el empresario; si los materiales han sido suministrados por el dueño, no habrá lugar a la responsabilidad del empresario sino en conformidad al artículo 2041,2057 inciso final […]».</w:t>
      </w:r>
    </w:p>
    <w:p w14:paraId="32016104" w14:textId="77777777" w:rsidR="00F95AC5" w:rsidRPr="007A2ACE" w:rsidRDefault="00F95AC5" w:rsidP="00F95AC5">
      <w:pPr>
        <w:pStyle w:val="Textonotapie"/>
        <w:ind w:firstLine="708"/>
        <w:jc w:val="both"/>
        <w:rPr>
          <w:rFonts w:ascii="Verdana" w:hAnsi="Verdana"/>
          <w:color w:val="000000" w:themeColor="text1"/>
          <w:sz w:val="16"/>
          <w:szCs w:val="16"/>
          <w:lang w:val="es-ES"/>
        </w:rPr>
      </w:pPr>
    </w:p>
  </w:footnote>
  <w:footnote w:id="11">
    <w:p w14:paraId="79F3B47C" w14:textId="77777777" w:rsidR="00F95AC5" w:rsidRPr="007A2ACE" w:rsidRDefault="00F95AC5" w:rsidP="00F95AC5">
      <w:pPr>
        <w:pStyle w:val="Textonotapie"/>
        <w:ind w:firstLine="709"/>
        <w:jc w:val="both"/>
        <w:rPr>
          <w:rFonts w:ascii="Verdana" w:hAnsi="Verdana" w:cs="Arial"/>
          <w:sz w:val="16"/>
          <w:szCs w:val="16"/>
          <w:lang w:val="es-CO"/>
        </w:rPr>
      </w:pPr>
      <w:r w:rsidRPr="007A2ACE">
        <w:rPr>
          <w:rStyle w:val="Refdenotaalpie"/>
          <w:rFonts w:ascii="Verdana" w:hAnsi="Verdana" w:cs="Arial"/>
          <w:sz w:val="16"/>
          <w:szCs w:val="16"/>
        </w:rPr>
        <w:footnoteRef/>
      </w:r>
      <w:r w:rsidRPr="007A2ACE">
        <w:rPr>
          <w:rFonts w:ascii="Verdana" w:hAnsi="Verdana" w:cs="Arial"/>
          <w:sz w:val="16"/>
          <w:szCs w:val="16"/>
        </w:rPr>
        <w:t xml:space="preserve"> Consejo de Estado, Sala de lo Contencioso Administrativo, Sección Tercera. Subsección C, Sentencia de 28 de febrero de 2020, Exp. 46852.</w:t>
      </w:r>
    </w:p>
  </w:footnote>
  <w:footnote w:id="12">
    <w:p w14:paraId="155FF7AE" w14:textId="77777777" w:rsidR="00F95AC5" w:rsidRPr="007A2ACE" w:rsidRDefault="00F95AC5" w:rsidP="00F95AC5">
      <w:pPr>
        <w:pStyle w:val="Textonotapie"/>
        <w:ind w:firstLine="709"/>
        <w:jc w:val="both"/>
        <w:rPr>
          <w:rFonts w:ascii="Verdana" w:hAnsi="Verdana" w:cs="Arial"/>
          <w:sz w:val="16"/>
          <w:szCs w:val="16"/>
          <w:lang w:val="es-CO"/>
        </w:rPr>
      </w:pPr>
      <w:r w:rsidRPr="007A2ACE">
        <w:rPr>
          <w:rStyle w:val="Refdenotaalpie"/>
          <w:rFonts w:ascii="Verdana" w:hAnsi="Verdana"/>
          <w:sz w:val="16"/>
          <w:szCs w:val="16"/>
        </w:rPr>
        <w:footnoteRef/>
      </w:r>
      <w:r w:rsidRPr="007A2ACE">
        <w:rPr>
          <w:rFonts w:ascii="Verdana" w:hAnsi="Verdana"/>
          <w:sz w:val="16"/>
          <w:szCs w:val="16"/>
        </w:rPr>
        <w:t xml:space="preserve"> </w:t>
      </w:r>
      <w:r w:rsidRPr="007A2ACE">
        <w:rPr>
          <w:rFonts w:ascii="Verdana" w:hAnsi="Verdana" w:cs="Arial"/>
          <w:sz w:val="16"/>
          <w:szCs w:val="16"/>
        </w:rPr>
        <w:t>Consejo de Estado, Sala de lo Contencioso Administrativo, Sección Tercera. Subsección A, Sentencia de 7 de febrero de 2025, Exp. 71.453. C.P: Fernando Alex</w:t>
      </w:r>
      <w:r>
        <w:rPr>
          <w:rFonts w:ascii="Verdana" w:hAnsi="Verdana" w:cs="Arial"/>
          <w:sz w:val="16"/>
          <w:szCs w:val="16"/>
        </w:rPr>
        <w:t>e</w:t>
      </w:r>
      <w:r w:rsidRPr="007A2ACE">
        <w:rPr>
          <w:rFonts w:ascii="Verdana" w:hAnsi="Verdana" w:cs="Arial"/>
          <w:sz w:val="16"/>
          <w:szCs w:val="16"/>
        </w:rPr>
        <w:t xml:space="preserve">i Pardo Flórez. </w:t>
      </w:r>
    </w:p>
  </w:footnote>
  <w:footnote w:id="13">
    <w:p w14:paraId="1DAD80CA" w14:textId="77777777" w:rsidR="00F95AC5" w:rsidRPr="001B6B65" w:rsidRDefault="00F95AC5" w:rsidP="00F95AC5">
      <w:pPr>
        <w:pStyle w:val="Textonotapie"/>
        <w:ind w:firstLine="709"/>
        <w:jc w:val="both"/>
        <w:rPr>
          <w:lang w:val="es-CO"/>
        </w:rPr>
      </w:pPr>
      <w:r>
        <w:rPr>
          <w:rStyle w:val="Refdenotaalpie"/>
        </w:rPr>
        <w:footnoteRef/>
      </w:r>
      <w:r>
        <w:t xml:space="preserve"> </w:t>
      </w:r>
      <w:r w:rsidRPr="00890DF3">
        <w:rPr>
          <w:rFonts w:ascii="Verdana" w:hAnsi="Verdana"/>
          <w:sz w:val="16"/>
          <w:szCs w:val="16"/>
        </w:rPr>
        <w:t>CONSEJO DE ESTADO. Sección Tercera. Subsección A. Sentencia del 7 de febrero de 2025. Exp.  70.250. C.P. José Roberto Sachica Mendéz</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07F9003D"/>
    <w:multiLevelType w:val="hybridMultilevel"/>
    <w:tmpl w:val="08BEC0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A71525A"/>
    <w:multiLevelType w:val="hybridMultilevel"/>
    <w:tmpl w:val="15C2FDDC"/>
    <w:lvl w:ilvl="0" w:tplc="2CE8409C">
      <w:start w:val="1"/>
      <w:numFmt w:val="lowerRoman"/>
      <w:lvlText w:val="%1."/>
      <w:lvlJc w:val="left"/>
      <w:pPr>
        <w:ind w:left="1080" w:hanging="720"/>
      </w:pPr>
      <w:rPr>
        <w:rFonts w:eastAsiaTheme="minorHAns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4F7488"/>
    <w:multiLevelType w:val="hybridMultilevel"/>
    <w:tmpl w:val="86785060"/>
    <w:lvl w:ilvl="0" w:tplc="A394079E">
      <w:start w:val="1"/>
      <w:numFmt w:val="lowerRoman"/>
      <w:lvlText w:val="%1)"/>
      <w:lvlJc w:val="left"/>
      <w:pPr>
        <w:ind w:left="1429" w:hanging="720"/>
      </w:pPr>
      <w:rPr>
        <w:rFonts w:hint="default"/>
        <w:color w:val="auto"/>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7"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F24194F"/>
    <w:multiLevelType w:val="hybridMultilevel"/>
    <w:tmpl w:val="EE46BB66"/>
    <w:lvl w:ilvl="0" w:tplc="676C32A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4"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6"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8"/>
  </w:num>
  <w:num w:numId="3" w16cid:durableId="679089576">
    <w:abstractNumId w:val="11"/>
  </w:num>
  <w:num w:numId="4" w16cid:durableId="893472101">
    <w:abstractNumId w:val="5"/>
  </w:num>
  <w:num w:numId="5" w16cid:durableId="1982299905">
    <w:abstractNumId w:val="20"/>
  </w:num>
  <w:num w:numId="6" w16cid:durableId="130758360">
    <w:abstractNumId w:val="14"/>
  </w:num>
  <w:num w:numId="7" w16cid:durableId="262541512">
    <w:abstractNumId w:val="19"/>
  </w:num>
  <w:num w:numId="8" w16cid:durableId="1947226218">
    <w:abstractNumId w:val="10"/>
  </w:num>
  <w:num w:numId="9" w16cid:durableId="1180706126">
    <w:abstractNumId w:val="13"/>
  </w:num>
  <w:num w:numId="10" w16cid:durableId="2097506960">
    <w:abstractNumId w:val="17"/>
  </w:num>
  <w:num w:numId="11" w16cid:durableId="1977490869">
    <w:abstractNumId w:val="16"/>
  </w:num>
  <w:num w:numId="12" w16cid:durableId="158663248">
    <w:abstractNumId w:val="15"/>
  </w:num>
  <w:num w:numId="13" w16cid:durableId="2024085788">
    <w:abstractNumId w:val="1"/>
  </w:num>
  <w:num w:numId="14" w16cid:durableId="1885099950">
    <w:abstractNumId w:val="9"/>
  </w:num>
  <w:num w:numId="15" w16cid:durableId="32047459">
    <w:abstractNumId w:val="6"/>
  </w:num>
  <w:num w:numId="16" w16cid:durableId="1192261824">
    <w:abstractNumId w:val="7"/>
  </w:num>
  <w:num w:numId="17" w16cid:durableId="482350753">
    <w:abstractNumId w:val="4"/>
  </w:num>
  <w:num w:numId="18" w16cid:durableId="1549225823">
    <w:abstractNumId w:val="12"/>
  </w:num>
  <w:num w:numId="19" w16cid:durableId="2088334113">
    <w:abstractNumId w:val="3"/>
  </w:num>
  <w:num w:numId="20" w16cid:durableId="1504280040">
    <w:abstractNumId w:val="2"/>
  </w:num>
  <w:num w:numId="21" w16cid:durableId="3903498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0F8"/>
    <w:rsid w:val="00002920"/>
    <w:rsid w:val="00002D55"/>
    <w:rsid w:val="00002FAD"/>
    <w:rsid w:val="0000399A"/>
    <w:rsid w:val="00004D0F"/>
    <w:rsid w:val="00004E59"/>
    <w:rsid w:val="00005225"/>
    <w:rsid w:val="000054DB"/>
    <w:rsid w:val="0000587D"/>
    <w:rsid w:val="000059AE"/>
    <w:rsid w:val="00005BB0"/>
    <w:rsid w:val="00005F0E"/>
    <w:rsid w:val="00006C8C"/>
    <w:rsid w:val="00006F59"/>
    <w:rsid w:val="0000721D"/>
    <w:rsid w:val="00007382"/>
    <w:rsid w:val="0001025F"/>
    <w:rsid w:val="0001155E"/>
    <w:rsid w:val="00011613"/>
    <w:rsid w:val="00011D3C"/>
    <w:rsid w:val="0001222D"/>
    <w:rsid w:val="00012EDA"/>
    <w:rsid w:val="00013B3F"/>
    <w:rsid w:val="00014981"/>
    <w:rsid w:val="00014B0D"/>
    <w:rsid w:val="00016280"/>
    <w:rsid w:val="00016311"/>
    <w:rsid w:val="0001672C"/>
    <w:rsid w:val="00016F04"/>
    <w:rsid w:val="00017870"/>
    <w:rsid w:val="00021068"/>
    <w:rsid w:val="00021595"/>
    <w:rsid w:val="000219D1"/>
    <w:rsid w:val="00021C3A"/>
    <w:rsid w:val="00021ED0"/>
    <w:rsid w:val="0002202D"/>
    <w:rsid w:val="00022C23"/>
    <w:rsid w:val="00023DF7"/>
    <w:rsid w:val="000267DD"/>
    <w:rsid w:val="000269C9"/>
    <w:rsid w:val="000273EA"/>
    <w:rsid w:val="00027B63"/>
    <w:rsid w:val="00027CA9"/>
    <w:rsid w:val="00030B3D"/>
    <w:rsid w:val="00030BC5"/>
    <w:rsid w:val="00030BFB"/>
    <w:rsid w:val="00031CE7"/>
    <w:rsid w:val="00031DA1"/>
    <w:rsid w:val="00031EAF"/>
    <w:rsid w:val="00033390"/>
    <w:rsid w:val="0003542E"/>
    <w:rsid w:val="00035453"/>
    <w:rsid w:val="000361EA"/>
    <w:rsid w:val="000365F5"/>
    <w:rsid w:val="000369C0"/>
    <w:rsid w:val="00037A8B"/>
    <w:rsid w:val="00040372"/>
    <w:rsid w:val="000408AD"/>
    <w:rsid w:val="00041123"/>
    <w:rsid w:val="00041469"/>
    <w:rsid w:val="0004180C"/>
    <w:rsid w:val="000419D7"/>
    <w:rsid w:val="00042468"/>
    <w:rsid w:val="00042C23"/>
    <w:rsid w:val="00042DD7"/>
    <w:rsid w:val="000442CC"/>
    <w:rsid w:val="000442DE"/>
    <w:rsid w:val="00044B24"/>
    <w:rsid w:val="00044BF7"/>
    <w:rsid w:val="00044C7C"/>
    <w:rsid w:val="0004508D"/>
    <w:rsid w:val="0004709D"/>
    <w:rsid w:val="000477ED"/>
    <w:rsid w:val="000504AA"/>
    <w:rsid w:val="000507DF"/>
    <w:rsid w:val="0005086B"/>
    <w:rsid w:val="00050C95"/>
    <w:rsid w:val="00050CAD"/>
    <w:rsid w:val="00050E81"/>
    <w:rsid w:val="0005142D"/>
    <w:rsid w:val="00051A3C"/>
    <w:rsid w:val="00051BE4"/>
    <w:rsid w:val="00051C6F"/>
    <w:rsid w:val="000526A8"/>
    <w:rsid w:val="00052D6C"/>
    <w:rsid w:val="00052EF1"/>
    <w:rsid w:val="0005420B"/>
    <w:rsid w:val="000551CB"/>
    <w:rsid w:val="0005620B"/>
    <w:rsid w:val="00057392"/>
    <w:rsid w:val="00057749"/>
    <w:rsid w:val="000577A2"/>
    <w:rsid w:val="000577D3"/>
    <w:rsid w:val="00057963"/>
    <w:rsid w:val="000579AB"/>
    <w:rsid w:val="000600CF"/>
    <w:rsid w:val="00060AE4"/>
    <w:rsid w:val="000622B9"/>
    <w:rsid w:val="00062BE5"/>
    <w:rsid w:val="00064721"/>
    <w:rsid w:val="000649A9"/>
    <w:rsid w:val="00065973"/>
    <w:rsid w:val="00065C6D"/>
    <w:rsid w:val="000665D3"/>
    <w:rsid w:val="00066646"/>
    <w:rsid w:val="00066C7A"/>
    <w:rsid w:val="00066CF1"/>
    <w:rsid w:val="00070AE1"/>
    <w:rsid w:val="0007144A"/>
    <w:rsid w:val="000716AB"/>
    <w:rsid w:val="00071AB8"/>
    <w:rsid w:val="00071C33"/>
    <w:rsid w:val="0007243A"/>
    <w:rsid w:val="000762C0"/>
    <w:rsid w:val="00076737"/>
    <w:rsid w:val="00076C2B"/>
    <w:rsid w:val="00076C73"/>
    <w:rsid w:val="00076F81"/>
    <w:rsid w:val="000779DE"/>
    <w:rsid w:val="000800B6"/>
    <w:rsid w:val="00081B03"/>
    <w:rsid w:val="00081B21"/>
    <w:rsid w:val="000828B3"/>
    <w:rsid w:val="000847A0"/>
    <w:rsid w:val="00084BFD"/>
    <w:rsid w:val="00085FFF"/>
    <w:rsid w:val="00087073"/>
    <w:rsid w:val="000875BD"/>
    <w:rsid w:val="000878E7"/>
    <w:rsid w:val="00087A3B"/>
    <w:rsid w:val="00087C01"/>
    <w:rsid w:val="000903E4"/>
    <w:rsid w:val="000906E3"/>
    <w:rsid w:val="00090B76"/>
    <w:rsid w:val="00091D73"/>
    <w:rsid w:val="000933B5"/>
    <w:rsid w:val="000933BC"/>
    <w:rsid w:val="00093544"/>
    <w:rsid w:val="00093D95"/>
    <w:rsid w:val="00094663"/>
    <w:rsid w:val="00095410"/>
    <w:rsid w:val="00095E48"/>
    <w:rsid w:val="00096637"/>
    <w:rsid w:val="00097285"/>
    <w:rsid w:val="000975EA"/>
    <w:rsid w:val="000A01C1"/>
    <w:rsid w:val="000A021A"/>
    <w:rsid w:val="000A1828"/>
    <w:rsid w:val="000A1D06"/>
    <w:rsid w:val="000A1F38"/>
    <w:rsid w:val="000A2030"/>
    <w:rsid w:val="000A37F5"/>
    <w:rsid w:val="000A413A"/>
    <w:rsid w:val="000A4F1E"/>
    <w:rsid w:val="000A5881"/>
    <w:rsid w:val="000A66A1"/>
    <w:rsid w:val="000A69FB"/>
    <w:rsid w:val="000A6F1B"/>
    <w:rsid w:val="000A7237"/>
    <w:rsid w:val="000B1085"/>
    <w:rsid w:val="000B1087"/>
    <w:rsid w:val="000B16CE"/>
    <w:rsid w:val="000B199A"/>
    <w:rsid w:val="000B1FF7"/>
    <w:rsid w:val="000B249A"/>
    <w:rsid w:val="000B2529"/>
    <w:rsid w:val="000B2B7C"/>
    <w:rsid w:val="000B2C39"/>
    <w:rsid w:val="000B381D"/>
    <w:rsid w:val="000B3DD4"/>
    <w:rsid w:val="000B4024"/>
    <w:rsid w:val="000B44BA"/>
    <w:rsid w:val="000B5313"/>
    <w:rsid w:val="000B5C65"/>
    <w:rsid w:val="000B61F6"/>
    <w:rsid w:val="000B6B86"/>
    <w:rsid w:val="000B6DAE"/>
    <w:rsid w:val="000B7CBB"/>
    <w:rsid w:val="000C02AD"/>
    <w:rsid w:val="000C060A"/>
    <w:rsid w:val="000C07B0"/>
    <w:rsid w:val="000C09DF"/>
    <w:rsid w:val="000C0AA8"/>
    <w:rsid w:val="000C18BD"/>
    <w:rsid w:val="000C1FC8"/>
    <w:rsid w:val="000C2F8D"/>
    <w:rsid w:val="000C36E1"/>
    <w:rsid w:val="000C3B86"/>
    <w:rsid w:val="000C410F"/>
    <w:rsid w:val="000C42A9"/>
    <w:rsid w:val="000C42C6"/>
    <w:rsid w:val="000C50D6"/>
    <w:rsid w:val="000C557B"/>
    <w:rsid w:val="000C5A85"/>
    <w:rsid w:val="000C5F29"/>
    <w:rsid w:val="000C5F48"/>
    <w:rsid w:val="000C66BF"/>
    <w:rsid w:val="000C7B6D"/>
    <w:rsid w:val="000C7C00"/>
    <w:rsid w:val="000D0372"/>
    <w:rsid w:val="000D0ADE"/>
    <w:rsid w:val="000D0AED"/>
    <w:rsid w:val="000D1A8F"/>
    <w:rsid w:val="000D1C36"/>
    <w:rsid w:val="000D2914"/>
    <w:rsid w:val="000D2E60"/>
    <w:rsid w:val="000D2F50"/>
    <w:rsid w:val="000D3275"/>
    <w:rsid w:val="000D3A1B"/>
    <w:rsid w:val="000D3B86"/>
    <w:rsid w:val="000D46DC"/>
    <w:rsid w:val="000D5008"/>
    <w:rsid w:val="000D570C"/>
    <w:rsid w:val="000D5A0F"/>
    <w:rsid w:val="000D5A32"/>
    <w:rsid w:val="000D5B1E"/>
    <w:rsid w:val="000D5D9B"/>
    <w:rsid w:val="000D5E3F"/>
    <w:rsid w:val="000D6532"/>
    <w:rsid w:val="000D6E33"/>
    <w:rsid w:val="000D6E9F"/>
    <w:rsid w:val="000E0622"/>
    <w:rsid w:val="000E07AA"/>
    <w:rsid w:val="000E1D6F"/>
    <w:rsid w:val="000E212B"/>
    <w:rsid w:val="000E23A5"/>
    <w:rsid w:val="000E2D0D"/>
    <w:rsid w:val="000E3381"/>
    <w:rsid w:val="000E3744"/>
    <w:rsid w:val="000E3CD9"/>
    <w:rsid w:val="000E481D"/>
    <w:rsid w:val="000E4DBF"/>
    <w:rsid w:val="000E4DF0"/>
    <w:rsid w:val="000E4DF2"/>
    <w:rsid w:val="000E5633"/>
    <w:rsid w:val="000E5B76"/>
    <w:rsid w:val="000E5BC6"/>
    <w:rsid w:val="000F0144"/>
    <w:rsid w:val="000F0807"/>
    <w:rsid w:val="000F0B3C"/>
    <w:rsid w:val="000F13D5"/>
    <w:rsid w:val="000F1960"/>
    <w:rsid w:val="000F1AD8"/>
    <w:rsid w:val="000F1C46"/>
    <w:rsid w:val="000F2F4C"/>
    <w:rsid w:val="000F34AB"/>
    <w:rsid w:val="000F38D9"/>
    <w:rsid w:val="000F3CED"/>
    <w:rsid w:val="000F414C"/>
    <w:rsid w:val="000F4205"/>
    <w:rsid w:val="000F4A4F"/>
    <w:rsid w:val="000F64FC"/>
    <w:rsid w:val="000F696E"/>
    <w:rsid w:val="000F718E"/>
    <w:rsid w:val="001001A1"/>
    <w:rsid w:val="001001F2"/>
    <w:rsid w:val="00100207"/>
    <w:rsid w:val="001002C5"/>
    <w:rsid w:val="001003C6"/>
    <w:rsid w:val="00100682"/>
    <w:rsid w:val="001010D3"/>
    <w:rsid w:val="00101C11"/>
    <w:rsid w:val="00102F4F"/>
    <w:rsid w:val="001034DD"/>
    <w:rsid w:val="0010360C"/>
    <w:rsid w:val="00104425"/>
    <w:rsid w:val="00104B4C"/>
    <w:rsid w:val="001050CB"/>
    <w:rsid w:val="001055A2"/>
    <w:rsid w:val="0010682A"/>
    <w:rsid w:val="00106C4C"/>
    <w:rsid w:val="001077DA"/>
    <w:rsid w:val="00107DEF"/>
    <w:rsid w:val="0011037E"/>
    <w:rsid w:val="00110404"/>
    <w:rsid w:val="001109E8"/>
    <w:rsid w:val="00110F73"/>
    <w:rsid w:val="00111565"/>
    <w:rsid w:val="00111E35"/>
    <w:rsid w:val="001128B4"/>
    <w:rsid w:val="00112EBD"/>
    <w:rsid w:val="001132C2"/>
    <w:rsid w:val="0011382D"/>
    <w:rsid w:val="00113AF2"/>
    <w:rsid w:val="00113C17"/>
    <w:rsid w:val="00114051"/>
    <w:rsid w:val="00114FDF"/>
    <w:rsid w:val="001159D9"/>
    <w:rsid w:val="0011650B"/>
    <w:rsid w:val="00116616"/>
    <w:rsid w:val="00116D1B"/>
    <w:rsid w:val="00116FC5"/>
    <w:rsid w:val="00117163"/>
    <w:rsid w:val="00117BBD"/>
    <w:rsid w:val="00117D0E"/>
    <w:rsid w:val="001200E6"/>
    <w:rsid w:val="001202DF"/>
    <w:rsid w:val="00120F1B"/>
    <w:rsid w:val="001212A2"/>
    <w:rsid w:val="001213E7"/>
    <w:rsid w:val="00122413"/>
    <w:rsid w:val="001224BA"/>
    <w:rsid w:val="001238BC"/>
    <w:rsid w:val="00124518"/>
    <w:rsid w:val="001248AB"/>
    <w:rsid w:val="00124981"/>
    <w:rsid w:val="00124B2E"/>
    <w:rsid w:val="00125D81"/>
    <w:rsid w:val="00126301"/>
    <w:rsid w:val="0012661F"/>
    <w:rsid w:val="00126966"/>
    <w:rsid w:val="001269B0"/>
    <w:rsid w:val="00126B24"/>
    <w:rsid w:val="00127234"/>
    <w:rsid w:val="001276C4"/>
    <w:rsid w:val="00127C68"/>
    <w:rsid w:val="00127D5B"/>
    <w:rsid w:val="0013016C"/>
    <w:rsid w:val="00131373"/>
    <w:rsid w:val="001314A0"/>
    <w:rsid w:val="00131932"/>
    <w:rsid w:val="00131A1F"/>
    <w:rsid w:val="00131A66"/>
    <w:rsid w:val="00131F9C"/>
    <w:rsid w:val="00132336"/>
    <w:rsid w:val="00132425"/>
    <w:rsid w:val="0013280A"/>
    <w:rsid w:val="0013343F"/>
    <w:rsid w:val="00133D14"/>
    <w:rsid w:val="001344F9"/>
    <w:rsid w:val="00135796"/>
    <w:rsid w:val="00135F76"/>
    <w:rsid w:val="001360E9"/>
    <w:rsid w:val="001360F4"/>
    <w:rsid w:val="001363C7"/>
    <w:rsid w:val="00136E87"/>
    <w:rsid w:val="00140793"/>
    <w:rsid w:val="00140CF6"/>
    <w:rsid w:val="0014195E"/>
    <w:rsid w:val="001422BD"/>
    <w:rsid w:val="001425E2"/>
    <w:rsid w:val="0014286D"/>
    <w:rsid w:val="0014340F"/>
    <w:rsid w:val="00143B8E"/>
    <w:rsid w:val="00143F21"/>
    <w:rsid w:val="0014420C"/>
    <w:rsid w:val="001446C3"/>
    <w:rsid w:val="001461A7"/>
    <w:rsid w:val="00146707"/>
    <w:rsid w:val="00146946"/>
    <w:rsid w:val="00146E7C"/>
    <w:rsid w:val="00150011"/>
    <w:rsid w:val="001513CE"/>
    <w:rsid w:val="00151465"/>
    <w:rsid w:val="00151AD8"/>
    <w:rsid w:val="00151E77"/>
    <w:rsid w:val="00153287"/>
    <w:rsid w:val="001538BE"/>
    <w:rsid w:val="00153C33"/>
    <w:rsid w:val="0015401B"/>
    <w:rsid w:val="00155198"/>
    <w:rsid w:val="00155EF1"/>
    <w:rsid w:val="00156192"/>
    <w:rsid w:val="00156E57"/>
    <w:rsid w:val="0015710D"/>
    <w:rsid w:val="00157338"/>
    <w:rsid w:val="00157DEB"/>
    <w:rsid w:val="001610BC"/>
    <w:rsid w:val="0016129F"/>
    <w:rsid w:val="00161847"/>
    <w:rsid w:val="00161E13"/>
    <w:rsid w:val="001629D8"/>
    <w:rsid w:val="00162B2A"/>
    <w:rsid w:val="00162B8D"/>
    <w:rsid w:val="00162F9F"/>
    <w:rsid w:val="00164803"/>
    <w:rsid w:val="00164AE0"/>
    <w:rsid w:val="00165BF5"/>
    <w:rsid w:val="00165F96"/>
    <w:rsid w:val="0016646A"/>
    <w:rsid w:val="00167C43"/>
    <w:rsid w:val="00170ECF"/>
    <w:rsid w:val="0017120C"/>
    <w:rsid w:val="00172422"/>
    <w:rsid w:val="001727D7"/>
    <w:rsid w:val="00172C96"/>
    <w:rsid w:val="00172DDC"/>
    <w:rsid w:val="00172F3A"/>
    <w:rsid w:val="00173477"/>
    <w:rsid w:val="0017414F"/>
    <w:rsid w:val="0017425A"/>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712"/>
    <w:rsid w:val="00177D99"/>
    <w:rsid w:val="00177E95"/>
    <w:rsid w:val="0018007F"/>
    <w:rsid w:val="001811FC"/>
    <w:rsid w:val="00182338"/>
    <w:rsid w:val="00182348"/>
    <w:rsid w:val="00183F50"/>
    <w:rsid w:val="00184BD9"/>
    <w:rsid w:val="00184ED6"/>
    <w:rsid w:val="00184F13"/>
    <w:rsid w:val="00184FD9"/>
    <w:rsid w:val="00185820"/>
    <w:rsid w:val="00186037"/>
    <w:rsid w:val="0018622D"/>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7205"/>
    <w:rsid w:val="0019793F"/>
    <w:rsid w:val="00197A9D"/>
    <w:rsid w:val="001A08E7"/>
    <w:rsid w:val="001A17D7"/>
    <w:rsid w:val="001A1FDD"/>
    <w:rsid w:val="001A2D8F"/>
    <w:rsid w:val="001A3D89"/>
    <w:rsid w:val="001A4A91"/>
    <w:rsid w:val="001A545B"/>
    <w:rsid w:val="001A54DA"/>
    <w:rsid w:val="001A5E69"/>
    <w:rsid w:val="001A6861"/>
    <w:rsid w:val="001A6FEC"/>
    <w:rsid w:val="001B08B5"/>
    <w:rsid w:val="001B143B"/>
    <w:rsid w:val="001B1532"/>
    <w:rsid w:val="001B1777"/>
    <w:rsid w:val="001B19C5"/>
    <w:rsid w:val="001B1B6D"/>
    <w:rsid w:val="001B1C93"/>
    <w:rsid w:val="001B21CA"/>
    <w:rsid w:val="001B28D5"/>
    <w:rsid w:val="001B28E4"/>
    <w:rsid w:val="001B2B67"/>
    <w:rsid w:val="001B35D4"/>
    <w:rsid w:val="001B4446"/>
    <w:rsid w:val="001B5A00"/>
    <w:rsid w:val="001B5F59"/>
    <w:rsid w:val="001B63A7"/>
    <w:rsid w:val="001B6810"/>
    <w:rsid w:val="001B6B65"/>
    <w:rsid w:val="001B6E89"/>
    <w:rsid w:val="001B7217"/>
    <w:rsid w:val="001B7D47"/>
    <w:rsid w:val="001C0125"/>
    <w:rsid w:val="001C1074"/>
    <w:rsid w:val="001C25F5"/>
    <w:rsid w:val="001C34D0"/>
    <w:rsid w:val="001C4249"/>
    <w:rsid w:val="001C4F27"/>
    <w:rsid w:val="001C6573"/>
    <w:rsid w:val="001C7D03"/>
    <w:rsid w:val="001D00BE"/>
    <w:rsid w:val="001D079B"/>
    <w:rsid w:val="001D0D32"/>
    <w:rsid w:val="001D1492"/>
    <w:rsid w:val="001D17C9"/>
    <w:rsid w:val="001D1AB9"/>
    <w:rsid w:val="001D1F20"/>
    <w:rsid w:val="001D1F7B"/>
    <w:rsid w:val="001D3795"/>
    <w:rsid w:val="001D4006"/>
    <w:rsid w:val="001D54BD"/>
    <w:rsid w:val="001D5786"/>
    <w:rsid w:val="001D5C72"/>
    <w:rsid w:val="001D626E"/>
    <w:rsid w:val="001D733B"/>
    <w:rsid w:val="001E00D1"/>
    <w:rsid w:val="001E0902"/>
    <w:rsid w:val="001E129D"/>
    <w:rsid w:val="001E1801"/>
    <w:rsid w:val="001E1A6F"/>
    <w:rsid w:val="001E1C73"/>
    <w:rsid w:val="001E1E05"/>
    <w:rsid w:val="001E22D2"/>
    <w:rsid w:val="001E2343"/>
    <w:rsid w:val="001E2588"/>
    <w:rsid w:val="001E3A17"/>
    <w:rsid w:val="001E3FCB"/>
    <w:rsid w:val="001E52DF"/>
    <w:rsid w:val="001E6BCB"/>
    <w:rsid w:val="001E760A"/>
    <w:rsid w:val="001E783B"/>
    <w:rsid w:val="001E7FBC"/>
    <w:rsid w:val="001F0822"/>
    <w:rsid w:val="001F08CB"/>
    <w:rsid w:val="001F0CB5"/>
    <w:rsid w:val="001F15F6"/>
    <w:rsid w:val="001F179C"/>
    <w:rsid w:val="001F24B7"/>
    <w:rsid w:val="001F2649"/>
    <w:rsid w:val="001F3496"/>
    <w:rsid w:val="001F41CA"/>
    <w:rsid w:val="001F4355"/>
    <w:rsid w:val="001F4819"/>
    <w:rsid w:val="001F5034"/>
    <w:rsid w:val="001F553B"/>
    <w:rsid w:val="001F61DE"/>
    <w:rsid w:val="001F7054"/>
    <w:rsid w:val="002000AA"/>
    <w:rsid w:val="00200CAA"/>
    <w:rsid w:val="00201502"/>
    <w:rsid w:val="00202C28"/>
    <w:rsid w:val="0020302A"/>
    <w:rsid w:val="002032A0"/>
    <w:rsid w:val="00203532"/>
    <w:rsid w:val="00203AE0"/>
    <w:rsid w:val="00204106"/>
    <w:rsid w:val="00204109"/>
    <w:rsid w:val="00204B68"/>
    <w:rsid w:val="00205041"/>
    <w:rsid w:val="0020524C"/>
    <w:rsid w:val="002059E3"/>
    <w:rsid w:val="002064CC"/>
    <w:rsid w:val="002100FF"/>
    <w:rsid w:val="002118D1"/>
    <w:rsid w:val="00211DCE"/>
    <w:rsid w:val="00212390"/>
    <w:rsid w:val="00212897"/>
    <w:rsid w:val="0021386A"/>
    <w:rsid w:val="00213C44"/>
    <w:rsid w:val="002147EE"/>
    <w:rsid w:val="00214815"/>
    <w:rsid w:val="00215516"/>
    <w:rsid w:val="002159D5"/>
    <w:rsid w:val="00215B64"/>
    <w:rsid w:val="00215C05"/>
    <w:rsid w:val="002161E3"/>
    <w:rsid w:val="00216DF5"/>
    <w:rsid w:val="00216EFA"/>
    <w:rsid w:val="0021798E"/>
    <w:rsid w:val="00217CA1"/>
    <w:rsid w:val="00217DEE"/>
    <w:rsid w:val="002203BF"/>
    <w:rsid w:val="00220C4C"/>
    <w:rsid w:val="00220E95"/>
    <w:rsid w:val="00221130"/>
    <w:rsid w:val="002217FE"/>
    <w:rsid w:val="0022180C"/>
    <w:rsid w:val="00221C72"/>
    <w:rsid w:val="00222104"/>
    <w:rsid w:val="002223E1"/>
    <w:rsid w:val="002225AB"/>
    <w:rsid w:val="002231B0"/>
    <w:rsid w:val="002234F5"/>
    <w:rsid w:val="002250D1"/>
    <w:rsid w:val="002267D2"/>
    <w:rsid w:val="00230839"/>
    <w:rsid w:val="00231ADB"/>
    <w:rsid w:val="00232178"/>
    <w:rsid w:val="00232248"/>
    <w:rsid w:val="00232D12"/>
    <w:rsid w:val="00233975"/>
    <w:rsid w:val="00233B8C"/>
    <w:rsid w:val="002353E3"/>
    <w:rsid w:val="00235F30"/>
    <w:rsid w:val="00236287"/>
    <w:rsid w:val="002363FF"/>
    <w:rsid w:val="00236D10"/>
    <w:rsid w:val="00236E3A"/>
    <w:rsid w:val="002407CE"/>
    <w:rsid w:val="002420A5"/>
    <w:rsid w:val="00242325"/>
    <w:rsid w:val="00243A38"/>
    <w:rsid w:val="00243B32"/>
    <w:rsid w:val="0024474F"/>
    <w:rsid w:val="00244761"/>
    <w:rsid w:val="002450F2"/>
    <w:rsid w:val="00245B7F"/>
    <w:rsid w:val="002469C2"/>
    <w:rsid w:val="00247BDE"/>
    <w:rsid w:val="00247DE2"/>
    <w:rsid w:val="00250244"/>
    <w:rsid w:val="002505DE"/>
    <w:rsid w:val="002514FA"/>
    <w:rsid w:val="00252503"/>
    <w:rsid w:val="00252ED7"/>
    <w:rsid w:val="0025393C"/>
    <w:rsid w:val="002549E7"/>
    <w:rsid w:val="00254A7A"/>
    <w:rsid w:val="00254EA4"/>
    <w:rsid w:val="00254FBD"/>
    <w:rsid w:val="0025509C"/>
    <w:rsid w:val="002552F8"/>
    <w:rsid w:val="0025575F"/>
    <w:rsid w:val="00256658"/>
    <w:rsid w:val="002571E3"/>
    <w:rsid w:val="002571E6"/>
    <w:rsid w:val="00260496"/>
    <w:rsid w:val="00260542"/>
    <w:rsid w:val="00260BAD"/>
    <w:rsid w:val="0026224C"/>
    <w:rsid w:val="00263FE0"/>
    <w:rsid w:val="00264C7C"/>
    <w:rsid w:val="002659B6"/>
    <w:rsid w:val="0026650F"/>
    <w:rsid w:val="00266DC3"/>
    <w:rsid w:val="0027029D"/>
    <w:rsid w:val="00270443"/>
    <w:rsid w:val="00270EE2"/>
    <w:rsid w:val="0027138C"/>
    <w:rsid w:val="00271D33"/>
    <w:rsid w:val="0027238A"/>
    <w:rsid w:val="00272787"/>
    <w:rsid w:val="00272826"/>
    <w:rsid w:val="00272A7B"/>
    <w:rsid w:val="00272C44"/>
    <w:rsid w:val="00273527"/>
    <w:rsid w:val="00273F6B"/>
    <w:rsid w:val="002747EF"/>
    <w:rsid w:val="00274B06"/>
    <w:rsid w:val="002751D6"/>
    <w:rsid w:val="002754D3"/>
    <w:rsid w:val="00275E5B"/>
    <w:rsid w:val="00276944"/>
    <w:rsid w:val="002769AE"/>
    <w:rsid w:val="002817A6"/>
    <w:rsid w:val="002821E8"/>
    <w:rsid w:val="00282E25"/>
    <w:rsid w:val="00282F1D"/>
    <w:rsid w:val="002833F3"/>
    <w:rsid w:val="00283A1D"/>
    <w:rsid w:val="00284203"/>
    <w:rsid w:val="0028455A"/>
    <w:rsid w:val="00285237"/>
    <w:rsid w:val="0028598F"/>
    <w:rsid w:val="00285E3F"/>
    <w:rsid w:val="0028610D"/>
    <w:rsid w:val="002862CC"/>
    <w:rsid w:val="00286BFE"/>
    <w:rsid w:val="00286C81"/>
    <w:rsid w:val="0028703E"/>
    <w:rsid w:val="0028709F"/>
    <w:rsid w:val="0028717B"/>
    <w:rsid w:val="00287524"/>
    <w:rsid w:val="00290119"/>
    <w:rsid w:val="0029040D"/>
    <w:rsid w:val="002906ED"/>
    <w:rsid w:val="002907C6"/>
    <w:rsid w:val="002908F8"/>
    <w:rsid w:val="00290B64"/>
    <w:rsid w:val="00291CB7"/>
    <w:rsid w:val="00291CE6"/>
    <w:rsid w:val="00292E91"/>
    <w:rsid w:val="002930AD"/>
    <w:rsid w:val="00293254"/>
    <w:rsid w:val="00295002"/>
    <w:rsid w:val="0029568E"/>
    <w:rsid w:val="00296133"/>
    <w:rsid w:val="002971C7"/>
    <w:rsid w:val="002971F2"/>
    <w:rsid w:val="0029767C"/>
    <w:rsid w:val="00297722"/>
    <w:rsid w:val="00297785"/>
    <w:rsid w:val="0029784A"/>
    <w:rsid w:val="00297E05"/>
    <w:rsid w:val="002A0444"/>
    <w:rsid w:val="002A0F8D"/>
    <w:rsid w:val="002A1311"/>
    <w:rsid w:val="002A1324"/>
    <w:rsid w:val="002A1377"/>
    <w:rsid w:val="002A211A"/>
    <w:rsid w:val="002A264B"/>
    <w:rsid w:val="002A4A82"/>
    <w:rsid w:val="002A4B33"/>
    <w:rsid w:val="002A5311"/>
    <w:rsid w:val="002A6E9B"/>
    <w:rsid w:val="002A6FBB"/>
    <w:rsid w:val="002A7BE9"/>
    <w:rsid w:val="002B0060"/>
    <w:rsid w:val="002B05D1"/>
    <w:rsid w:val="002B1933"/>
    <w:rsid w:val="002B20BD"/>
    <w:rsid w:val="002B2611"/>
    <w:rsid w:val="002B38D2"/>
    <w:rsid w:val="002B3A46"/>
    <w:rsid w:val="002B3F1C"/>
    <w:rsid w:val="002B4ED9"/>
    <w:rsid w:val="002B4EF4"/>
    <w:rsid w:val="002B57DA"/>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83D"/>
    <w:rsid w:val="002C401A"/>
    <w:rsid w:val="002C532B"/>
    <w:rsid w:val="002C657A"/>
    <w:rsid w:val="002C6680"/>
    <w:rsid w:val="002C6D15"/>
    <w:rsid w:val="002C72F4"/>
    <w:rsid w:val="002C7DC6"/>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7417"/>
    <w:rsid w:val="002D782B"/>
    <w:rsid w:val="002D7C4F"/>
    <w:rsid w:val="002E0D9C"/>
    <w:rsid w:val="002E1247"/>
    <w:rsid w:val="002E26E8"/>
    <w:rsid w:val="002E3AE6"/>
    <w:rsid w:val="002E3DD8"/>
    <w:rsid w:val="002E3ED8"/>
    <w:rsid w:val="002E5A01"/>
    <w:rsid w:val="002E5EA3"/>
    <w:rsid w:val="002E6108"/>
    <w:rsid w:val="002E6261"/>
    <w:rsid w:val="002E629D"/>
    <w:rsid w:val="002E717C"/>
    <w:rsid w:val="002E7533"/>
    <w:rsid w:val="002E7A61"/>
    <w:rsid w:val="002F00B8"/>
    <w:rsid w:val="002F0106"/>
    <w:rsid w:val="002F03C8"/>
    <w:rsid w:val="002F188D"/>
    <w:rsid w:val="002F18A5"/>
    <w:rsid w:val="002F317F"/>
    <w:rsid w:val="002F4347"/>
    <w:rsid w:val="002F51A2"/>
    <w:rsid w:val="002F5E95"/>
    <w:rsid w:val="002F63CA"/>
    <w:rsid w:val="002F67B4"/>
    <w:rsid w:val="002F6F73"/>
    <w:rsid w:val="002F7AA9"/>
    <w:rsid w:val="003004E3"/>
    <w:rsid w:val="00301974"/>
    <w:rsid w:val="00301C0D"/>
    <w:rsid w:val="00301D7B"/>
    <w:rsid w:val="00301E19"/>
    <w:rsid w:val="003023DE"/>
    <w:rsid w:val="00303DC4"/>
    <w:rsid w:val="00304676"/>
    <w:rsid w:val="00306BE7"/>
    <w:rsid w:val="00307E95"/>
    <w:rsid w:val="003103C5"/>
    <w:rsid w:val="003110A2"/>
    <w:rsid w:val="00311B66"/>
    <w:rsid w:val="00311F29"/>
    <w:rsid w:val="00312F9A"/>
    <w:rsid w:val="00313164"/>
    <w:rsid w:val="00314036"/>
    <w:rsid w:val="00314347"/>
    <w:rsid w:val="00314B3F"/>
    <w:rsid w:val="00314C4F"/>
    <w:rsid w:val="00314FAF"/>
    <w:rsid w:val="003162A5"/>
    <w:rsid w:val="00316591"/>
    <w:rsid w:val="00320C6D"/>
    <w:rsid w:val="003213A8"/>
    <w:rsid w:val="00321FA8"/>
    <w:rsid w:val="00321FFD"/>
    <w:rsid w:val="003224CD"/>
    <w:rsid w:val="00322E18"/>
    <w:rsid w:val="00323C3D"/>
    <w:rsid w:val="00323D1D"/>
    <w:rsid w:val="00323F8A"/>
    <w:rsid w:val="00324D73"/>
    <w:rsid w:val="00326011"/>
    <w:rsid w:val="0032643D"/>
    <w:rsid w:val="00326D02"/>
    <w:rsid w:val="00327069"/>
    <w:rsid w:val="00327812"/>
    <w:rsid w:val="00327AFB"/>
    <w:rsid w:val="00327BAF"/>
    <w:rsid w:val="00327D10"/>
    <w:rsid w:val="00332CB8"/>
    <w:rsid w:val="00333428"/>
    <w:rsid w:val="003350B6"/>
    <w:rsid w:val="0033548D"/>
    <w:rsid w:val="0033595E"/>
    <w:rsid w:val="0033601B"/>
    <w:rsid w:val="003364B6"/>
    <w:rsid w:val="0033764C"/>
    <w:rsid w:val="003378B9"/>
    <w:rsid w:val="00337DF3"/>
    <w:rsid w:val="00340039"/>
    <w:rsid w:val="003400D3"/>
    <w:rsid w:val="0034024F"/>
    <w:rsid w:val="00340A77"/>
    <w:rsid w:val="00340D39"/>
    <w:rsid w:val="00340DFB"/>
    <w:rsid w:val="00341941"/>
    <w:rsid w:val="0034207A"/>
    <w:rsid w:val="0034278F"/>
    <w:rsid w:val="00343B47"/>
    <w:rsid w:val="0034404F"/>
    <w:rsid w:val="00344311"/>
    <w:rsid w:val="00344ACC"/>
    <w:rsid w:val="00345F01"/>
    <w:rsid w:val="0034654F"/>
    <w:rsid w:val="00346B28"/>
    <w:rsid w:val="00347685"/>
    <w:rsid w:val="003509A5"/>
    <w:rsid w:val="003518A4"/>
    <w:rsid w:val="00351E21"/>
    <w:rsid w:val="00352327"/>
    <w:rsid w:val="00353B5A"/>
    <w:rsid w:val="00354062"/>
    <w:rsid w:val="00354405"/>
    <w:rsid w:val="00355A76"/>
    <w:rsid w:val="00355DEC"/>
    <w:rsid w:val="0035635F"/>
    <w:rsid w:val="00356E0F"/>
    <w:rsid w:val="003571ED"/>
    <w:rsid w:val="003607EE"/>
    <w:rsid w:val="00360BC8"/>
    <w:rsid w:val="00360E35"/>
    <w:rsid w:val="003617AE"/>
    <w:rsid w:val="0036215C"/>
    <w:rsid w:val="003630F7"/>
    <w:rsid w:val="0036332B"/>
    <w:rsid w:val="00363589"/>
    <w:rsid w:val="00363636"/>
    <w:rsid w:val="003651AC"/>
    <w:rsid w:val="003653AA"/>
    <w:rsid w:val="00366120"/>
    <w:rsid w:val="003661FF"/>
    <w:rsid w:val="003665A5"/>
    <w:rsid w:val="00366A0C"/>
    <w:rsid w:val="00367462"/>
    <w:rsid w:val="003677D5"/>
    <w:rsid w:val="0037034B"/>
    <w:rsid w:val="00370507"/>
    <w:rsid w:val="00370682"/>
    <w:rsid w:val="003718D8"/>
    <w:rsid w:val="00372A01"/>
    <w:rsid w:val="003733DF"/>
    <w:rsid w:val="003736F7"/>
    <w:rsid w:val="00373865"/>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4A59"/>
    <w:rsid w:val="003853B1"/>
    <w:rsid w:val="003853ED"/>
    <w:rsid w:val="00385450"/>
    <w:rsid w:val="0038628F"/>
    <w:rsid w:val="00386421"/>
    <w:rsid w:val="00387AA1"/>
    <w:rsid w:val="0039082A"/>
    <w:rsid w:val="00390C0F"/>
    <w:rsid w:val="0039101F"/>
    <w:rsid w:val="00391539"/>
    <w:rsid w:val="00392EDB"/>
    <w:rsid w:val="00392FAE"/>
    <w:rsid w:val="003931AA"/>
    <w:rsid w:val="00393EEE"/>
    <w:rsid w:val="00394084"/>
    <w:rsid w:val="00394D45"/>
    <w:rsid w:val="00395132"/>
    <w:rsid w:val="00395D99"/>
    <w:rsid w:val="003968DF"/>
    <w:rsid w:val="00397201"/>
    <w:rsid w:val="003976C3"/>
    <w:rsid w:val="00397A03"/>
    <w:rsid w:val="00397A64"/>
    <w:rsid w:val="003A099A"/>
    <w:rsid w:val="003A1372"/>
    <w:rsid w:val="003A2784"/>
    <w:rsid w:val="003A2B82"/>
    <w:rsid w:val="003A3927"/>
    <w:rsid w:val="003A3D2E"/>
    <w:rsid w:val="003A3FF7"/>
    <w:rsid w:val="003A43D1"/>
    <w:rsid w:val="003A6A51"/>
    <w:rsid w:val="003A6E29"/>
    <w:rsid w:val="003A70A6"/>
    <w:rsid w:val="003A7FEA"/>
    <w:rsid w:val="003B0BDB"/>
    <w:rsid w:val="003B0E88"/>
    <w:rsid w:val="003B106E"/>
    <w:rsid w:val="003B153F"/>
    <w:rsid w:val="003B17B0"/>
    <w:rsid w:val="003B1844"/>
    <w:rsid w:val="003B211E"/>
    <w:rsid w:val="003B24EA"/>
    <w:rsid w:val="003B2DA7"/>
    <w:rsid w:val="003B3AB7"/>
    <w:rsid w:val="003B3ABC"/>
    <w:rsid w:val="003B3CDD"/>
    <w:rsid w:val="003B3D8E"/>
    <w:rsid w:val="003B3FED"/>
    <w:rsid w:val="003B3FF1"/>
    <w:rsid w:val="003B4217"/>
    <w:rsid w:val="003B59A1"/>
    <w:rsid w:val="003B74F1"/>
    <w:rsid w:val="003B7541"/>
    <w:rsid w:val="003B7F07"/>
    <w:rsid w:val="003B7FCE"/>
    <w:rsid w:val="003C04EA"/>
    <w:rsid w:val="003C0F87"/>
    <w:rsid w:val="003C141E"/>
    <w:rsid w:val="003C1B83"/>
    <w:rsid w:val="003C210E"/>
    <w:rsid w:val="003C21B3"/>
    <w:rsid w:val="003C3503"/>
    <w:rsid w:val="003C40DE"/>
    <w:rsid w:val="003C4851"/>
    <w:rsid w:val="003C4C96"/>
    <w:rsid w:val="003C55E0"/>
    <w:rsid w:val="003C5E39"/>
    <w:rsid w:val="003C683A"/>
    <w:rsid w:val="003C70E7"/>
    <w:rsid w:val="003D0079"/>
    <w:rsid w:val="003D017D"/>
    <w:rsid w:val="003D04D6"/>
    <w:rsid w:val="003D10EC"/>
    <w:rsid w:val="003D14CE"/>
    <w:rsid w:val="003D215A"/>
    <w:rsid w:val="003D29B9"/>
    <w:rsid w:val="003D3500"/>
    <w:rsid w:val="003D37B6"/>
    <w:rsid w:val="003D3852"/>
    <w:rsid w:val="003D4172"/>
    <w:rsid w:val="003D503A"/>
    <w:rsid w:val="003D55F7"/>
    <w:rsid w:val="003D6505"/>
    <w:rsid w:val="003D71A6"/>
    <w:rsid w:val="003D7709"/>
    <w:rsid w:val="003E004C"/>
    <w:rsid w:val="003E0BAF"/>
    <w:rsid w:val="003E0E25"/>
    <w:rsid w:val="003E1409"/>
    <w:rsid w:val="003E16F2"/>
    <w:rsid w:val="003E32B7"/>
    <w:rsid w:val="003E4A52"/>
    <w:rsid w:val="003E78A9"/>
    <w:rsid w:val="003E7912"/>
    <w:rsid w:val="003F04E6"/>
    <w:rsid w:val="003F2CDD"/>
    <w:rsid w:val="003F5660"/>
    <w:rsid w:val="003F5717"/>
    <w:rsid w:val="003F5A39"/>
    <w:rsid w:val="003F5B56"/>
    <w:rsid w:val="003F5B9F"/>
    <w:rsid w:val="003F5C1A"/>
    <w:rsid w:val="003F6A6A"/>
    <w:rsid w:val="003F738D"/>
    <w:rsid w:val="003F7554"/>
    <w:rsid w:val="003F7845"/>
    <w:rsid w:val="003F7FA1"/>
    <w:rsid w:val="004006EA"/>
    <w:rsid w:val="00400B4E"/>
    <w:rsid w:val="0040130D"/>
    <w:rsid w:val="00402E56"/>
    <w:rsid w:val="00403634"/>
    <w:rsid w:val="00404592"/>
    <w:rsid w:val="00404B58"/>
    <w:rsid w:val="0040544F"/>
    <w:rsid w:val="00405537"/>
    <w:rsid w:val="0040625C"/>
    <w:rsid w:val="004069D2"/>
    <w:rsid w:val="004076FF"/>
    <w:rsid w:val="00411B17"/>
    <w:rsid w:val="0041222D"/>
    <w:rsid w:val="004124F2"/>
    <w:rsid w:val="00412E6F"/>
    <w:rsid w:val="00413C5C"/>
    <w:rsid w:val="0041413F"/>
    <w:rsid w:val="0041506B"/>
    <w:rsid w:val="0041567A"/>
    <w:rsid w:val="00415BAB"/>
    <w:rsid w:val="00415BCF"/>
    <w:rsid w:val="00416297"/>
    <w:rsid w:val="0041643D"/>
    <w:rsid w:val="00417083"/>
    <w:rsid w:val="0042057C"/>
    <w:rsid w:val="00420BDF"/>
    <w:rsid w:val="00421608"/>
    <w:rsid w:val="00421C23"/>
    <w:rsid w:val="0042261E"/>
    <w:rsid w:val="00422749"/>
    <w:rsid w:val="004233DC"/>
    <w:rsid w:val="00424049"/>
    <w:rsid w:val="00424888"/>
    <w:rsid w:val="004255D9"/>
    <w:rsid w:val="00425763"/>
    <w:rsid w:val="00425C3C"/>
    <w:rsid w:val="00427D1B"/>
    <w:rsid w:val="0043065A"/>
    <w:rsid w:val="004306AB"/>
    <w:rsid w:val="0043159D"/>
    <w:rsid w:val="0043171D"/>
    <w:rsid w:val="00432F78"/>
    <w:rsid w:val="004334A2"/>
    <w:rsid w:val="004335BC"/>
    <w:rsid w:val="00434723"/>
    <w:rsid w:val="00434729"/>
    <w:rsid w:val="0043568F"/>
    <w:rsid w:val="0043617B"/>
    <w:rsid w:val="00437D17"/>
    <w:rsid w:val="00437D2F"/>
    <w:rsid w:val="0044046D"/>
    <w:rsid w:val="004410D3"/>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CE1"/>
    <w:rsid w:val="00450FE8"/>
    <w:rsid w:val="00451D3D"/>
    <w:rsid w:val="0045213A"/>
    <w:rsid w:val="0045230E"/>
    <w:rsid w:val="004528FA"/>
    <w:rsid w:val="00452D67"/>
    <w:rsid w:val="00452E53"/>
    <w:rsid w:val="00454EDC"/>
    <w:rsid w:val="00455B00"/>
    <w:rsid w:val="00455B97"/>
    <w:rsid w:val="00456635"/>
    <w:rsid w:val="00456B8E"/>
    <w:rsid w:val="00456BFD"/>
    <w:rsid w:val="004575D5"/>
    <w:rsid w:val="004607D0"/>
    <w:rsid w:val="00460CE3"/>
    <w:rsid w:val="004612A4"/>
    <w:rsid w:val="004617D1"/>
    <w:rsid w:val="00461CEA"/>
    <w:rsid w:val="004624D2"/>
    <w:rsid w:val="004625C8"/>
    <w:rsid w:val="0046442A"/>
    <w:rsid w:val="00464BF1"/>
    <w:rsid w:val="00466078"/>
    <w:rsid w:val="0046626B"/>
    <w:rsid w:val="00466CC7"/>
    <w:rsid w:val="004676E4"/>
    <w:rsid w:val="00467AFF"/>
    <w:rsid w:val="00470183"/>
    <w:rsid w:val="004708C9"/>
    <w:rsid w:val="00470AC9"/>
    <w:rsid w:val="00470C48"/>
    <w:rsid w:val="0047139F"/>
    <w:rsid w:val="00471429"/>
    <w:rsid w:val="00471747"/>
    <w:rsid w:val="004722B1"/>
    <w:rsid w:val="00473A47"/>
    <w:rsid w:val="00473A4F"/>
    <w:rsid w:val="00473C0A"/>
    <w:rsid w:val="00473EEF"/>
    <w:rsid w:val="00474415"/>
    <w:rsid w:val="004745DB"/>
    <w:rsid w:val="00474BC1"/>
    <w:rsid w:val="0047630C"/>
    <w:rsid w:val="0047722F"/>
    <w:rsid w:val="00477459"/>
    <w:rsid w:val="00477CC9"/>
    <w:rsid w:val="0048026E"/>
    <w:rsid w:val="00480303"/>
    <w:rsid w:val="004807A9"/>
    <w:rsid w:val="00480A8A"/>
    <w:rsid w:val="004810E0"/>
    <w:rsid w:val="00481318"/>
    <w:rsid w:val="004813EE"/>
    <w:rsid w:val="00481835"/>
    <w:rsid w:val="00481E7B"/>
    <w:rsid w:val="00482CDC"/>
    <w:rsid w:val="00482FB0"/>
    <w:rsid w:val="00483B03"/>
    <w:rsid w:val="0048444C"/>
    <w:rsid w:val="00485058"/>
    <w:rsid w:val="00485702"/>
    <w:rsid w:val="004867EC"/>
    <w:rsid w:val="00486A37"/>
    <w:rsid w:val="00487662"/>
    <w:rsid w:val="004876C6"/>
    <w:rsid w:val="00487D23"/>
    <w:rsid w:val="00487D7B"/>
    <w:rsid w:val="00490770"/>
    <w:rsid w:val="00490F7A"/>
    <w:rsid w:val="00490FD5"/>
    <w:rsid w:val="00491241"/>
    <w:rsid w:val="00491813"/>
    <w:rsid w:val="00493278"/>
    <w:rsid w:val="00493855"/>
    <w:rsid w:val="004951D8"/>
    <w:rsid w:val="004952C1"/>
    <w:rsid w:val="00495BB8"/>
    <w:rsid w:val="00497575"/>
    <w:rsid w:val="004A078B"/>
    <w:rsid w:val="004A1116"/>
    <w:rsid w:val="004A12C0"/>
    <w:rsid w:val="004A169A"/>
    <w:rsid w:val="004A18C9"/>
    <w:rsid w:val="004A191A"/>
    <w:rsid w:val="004A1A70"/>
    <w:rsid w:val="004A3749"/>
    <w:rsid w:val="004A3DD5"/>
    <w:rsid w:val="004A4027"/>
    <w:rsid w:val="004A419E"/>
    <w:rsid w:val="004A4688"/>
    <w:rsid w:val="004A479B"/>
    <w:rsid w:val="004A59B5"/>
    <w:rsid w:val="004A6463"/>
    <w:rsid w:val="004A6B58"/>
    <w:rsid w:val="004B06C3"/>
    <w:rsid w:val="004B0917"/>
    <w:rsid w:val="004B0B09"/>
    <w:rsid w:val="004B128F"/>
    <w:rsid w:val="004B140F"/>
    <w:rsid w:val="004B182E"/>
    <w:rsid w:val="004B1DF3"/>
    <w:rsid w:val="004B21CF"/>
    <w:rsid w:val="004B2DE3"/>
    <w:rsid w:val="004B53F1"/>
    <w:rsid w:val="004B5D6E"/>
    <w:rsid w:val="004B60BA"/>
    <w:rsid w:val="004B6946"/>
    <w:rsid w:val="004B6D89"/>
    <w:rsid w:val="004B6E81"/>
    <w:rsid w:val="004C1004"/>
    <w:rsid w:val="004C136D"/>
    <w:rsid w:val="004C1606"/>
    <w:rsid w:val="004C1619"/>
    <w:rsid w:val="004C177F"/>
    <w:rsid w:val="004C1B59"/>
    <w:rsid w:val="004C2516"/>
    <w:rsid w:val="004C3C25"/>
    <w:rsid w:val="004C3EEA"/>
    <w:rsid w:val="004C4EA2"/>
    <w:rsid w:val="004C596B"/>
    <w:rsid w:val="004C5DEE"/>
    <w:rsid w:val="004C5E41"/>
    <w:rsid w:val="004C60E7"/>
    <w:rsid w:val="004C687C"/>
    <w:rsid w:val="004C7BDE"/>
    <w:rsid w:val="004D0090"/>
    <w:rsid w:val="004D0155"/>
    <w:rsid w:val="004D020F"/>
    <w:rsid w:val="004D03D1"/>
    <w:rsid w:val="004D11AF"/>
    <w:rsid w:val="004D2E58"/>
    <w:rsid w:val="004D41A2"/>
    <w:rsid w:val="004D4288"/>
    <w:rsid w:val="004D465F"/>
    <w:rsid w:val="004D502C"/>
    <w:rsid w:val="004D60A3"/>
    <w:rsid w:val="004D66D0"/>
    <w:rsid w:val="004D71CA"/>
    <w:rsid w:val="004E016A"/>
    <w:rsid w:val="004E0461"/>
    <w:rsid w:val="004E29B1"/>
    <w:rsid w:val="004E2F62"/>
    <w:rsid w:val="004E3F87"/>
    <w:rsid w:val="004E461B"/>
    <w:rsid w:val="004E477D"/>
    <w:rsid w:val="004E4908"/>
    <w:rsid w:val="004E4B70"/>
    <w:rsid w:val="004E5890"/>
    <w:rsid w:val="004E6DD3"/>
    <w:rsid w:val="004E79EF"/>
    <w:rsid w:val="004E7B33"/>
    <w:rsid w:val="004F0368"/>
    <w:rsid w:val="004F0D19"/>
    <w:rsid w:val="004F121B"/>
    <w:rsid w:val="004F140F"/>
    <w:rsid w:val="004F2811"/>
    <w:rsid w:val="004F299D"/>
    <w:rsid w:val="004F3326"/>
    <w:rsid w:val="004F590E"/>
    <w:rsid w:val="004F5966"/>
    <w:rsid w:val="004F60F4"/>
    <w:rsid w:val="004F62E8"/>
    <w:rsid w:val="004F67C3"/>
    <w:rsid w:val="004F6C17"/>
    <w:rsid w:val="004F7390"/>
    <w:rsid w:val="004F78F8"/>
    <w:rsid w:val="005001A5"/>
    <w:rsid w:val="00500CCD"/>
    <w:rsid w:val="005013AC"/>
    <w:rsid w:val="005019AA"/>
    <w:rsid w:val="00502ED0"/>
    <w:rsid w:val="005032E9"/>
    <w:rsid w:val="00503C3B"/>
    <w:rsid w:val="00503CE7"/>
    <w:rsid w:val="005040C9"/>
    <w:rsid w:val="005042DB"/>
    <w:rsid w:val="0050458E"/>
    <w:rsid w:val="00505928"/>
    <w:rsid w:val="00505CD6"/>
    <w:rsid w:val="00505FB1"/>
    <w:rsid w:val="005069B2"/>
    <w:rsid w:val="005069E5"/>
    <w:rsid w:val="00506AF3"/>
    <w:rsid w:val="0050741A"/>
    <w:rsid w:val="00510452"/>
    <w:rsid w:val="005108EC"/>
    <w:rsid w:val="00511F8F"/>
    <w:rsid w:val="00512D2F"/>
    <w:rsid w:val="00513291"/>
    <w:rsid w:val="00513EA4"/>
    <w:rsid w:val="0051411D"/>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15DB"/>
    <w:rsid w:val="00532288"/>
    <w:rsid w:val="005329DA"/>
    <w:rsid w:val="0053322F"/>
    <w:rsid w:val="00533D03"/>
    <w:rsid w:val="00533DBF"/>
    <w:rsid w:val="00534940"/>
    <w:rsid w:val="00535673"/>
    <w:rsid w:val="00535784"/>
    <w:rsid w:val="00535D6B"/>
    <w:rsid w:val="00536442"/>
    <w:rsid w:val="005374FE"/>
    <w:rsid w:val="0054053D"/>
    <w:rsid w:val="0054126C"/>
    <w:rsid w:val="00541368"/>
    <w:rsid w:val="005415DD"/>
    <w:rsid w:val="005423F3"/>
    <w:rsid w:val="005426DB"/>
    <w:rsid w:val="005442F1"/>
    <w:rsid w:val="00544A24"/>
    <w:rsid w:val="0054583C"/>
    <w:rsid w:val="00546227"/>
    <w:rsid w:val="005468E2"/>
    <w:rsid w:val="00546B8A"/>
    <w:rsid w:val="00546D83"/>
    <w:rsid w:val="00547333"/>
    <w:rsid w:val="00550113"/>
    <w:rsid w:val="0055019B"/>
    <w:rsid w:val="005504BE"/>
    <w:rsid w:val="0055082B"/>
    <w:rsid w:val="0055093A"/>
    <w:rsid w:val="00550E06"/>
    <w:rsid w:val="00550F00"/>
    <w:rsid w:val="00551ED7"/>
    <w:rsid w:val="0055211C"/>
    <w:rsid w:val="0055263A"/>
    <w:rsid w:val="005526EE"/>
    <w:rsid w:val="00552B57"/>
    <w:rsid w:val="00552E53"/>
    <w:rsid w:val="00553E34"/>
    <w:rsid w:val="00554109"/>
    <w:rsid w:val="005547B7"/>
    <w:rsid w:val="005551E9"/>
    <w:rsid w:val="0055680D"/>
    <w:rsid w:val="00560094"/>
    <w:rsid w:val="00560C62"/>
    <w:rsid w:val="00562A61"/>
    <w:rsid w:val="00562E78"/>
    <w:rsid w:val="005652D5"/>
    <w:rsid w:val="00567227"/>
    <w:rsid w:val="005707CC"/>
    <w:rsid w:val="00570BDC"/>
    <w:rsid w:val="00570C7B"/>
    <w:rsid w:val="00571C77"/>
    <w:rsid w:val="0057298F"/>
    <w:rsid w:val="00572BE5"/>
    <w:rsid w:val="00572D5B"/>
    <w:rsid w:val="00574614"/>
    <w:rsid w:val="00574A70"/>
    <w:rsid w:val="00574D35"/>
    <w:rsid w:val="00575C75"/>
    <w:rsid w:val="005770CF"/>
    <w:rsid w:val="00577904"/>
    <w:rsid w:val="00577922"/>
    <w:rsid w:val="0057793D"/>
    <w:rsid w:val="00577AC3"/>
    <w:rsid w:val="005815A8"/>
    <w:rsid w:val="00581915"/>
    <w:rsid w:val="00582C9F"/>
    <w:rsid w:val="00583431"/>
    <w:rsid w:val="005846C0"/>
    <w:rsid w:val="00584D04"/>
    <w:rsid w:val="00584D81"/>
    <w:rsid w:val="0058508F"/>
    <w:rsid w:val="0058567E"/>
    <w:rsid w:val="0058659E"/>
    <w:rsid w:val="00586831"/>
    <w:rsid w:val="005869EE"/>
    <w:rsid w:val="005872DD"/>
    <w:rsid w:val="00587CF2"/>
    <w:rsid w:val="00587D3A"/>
    <w:rsid w:val="00590346"/>
    <w:rsid w:val="00590BA2"/>
    <w:rsid w:val="00590CA7"/>
    <w:rsid w:val="00590E93"/>
    <w:rsid w:val="005915E1"/>
    <w:rsid w:val="00591C75"/>
    <w:rsid w:val="0059207C"/>
    <w:rsid w:val="00592D10"/>
    <w:rsid w:val="0059388B"/>
    <w:rsid w:val="00593A5F"/>
    <w:rsid w:val="00593DA3"/>
    <w:rsid w:val="0059404E"/>
    <w:rsid w:val="00594269"/>
    <w:rsid w:val="00595539"/>
    <w:rsid w:val="00597108"/>
    <w:rsid w:val="005976DB"/>
    <w:rsid w:val="005A2B66"/>
    <w:rsid w:val="005A30E1"/>
    <w:rsid w:val="005A3E82"/>
    <w:rsid w:val="005A41AE"/>
    <w:rsid w:val="005A4DB0"/>
    <w:rsid w:val="005A5597"/>
    <w:rsid w:val="005A57BF"/>
    <w:rsid w:val="005A639C"/>
    <w:rsid w:val="005A6AC2"/>
    <w:rsid w:val="005A795B"/>
    <w:rsid w:val="005A7A65"/>
    <w:rsid w:val="005A7B26"/>
    <w:rsid w:val="005A7B8E"/>
    <w:rsid w:val="005A7CF3"/>
    <w:rsid w:val="005B012B"/>
    <w:rsid w:val="005B05A6"/>
    <w:rsid w:val="005B0C87"/>
    <w:rsid w:val="005B0FE9"/>
    <w:rsid w:val="005B1657"/>
    <w:rsid w:val="005B2195"/>
    <w:rsid w:val="005B26C7"/>
    <w:rsid w:val="005B2D65"/>
    <w:rsid w:val="005B3877"/>
    <w:rsid w:val="005B3AC8"/>
    <w:rsid w:val="005B3B2B"/>
    <w:rsid w:val="005B3CC1"/>
    <w:rsid w:val="005B4002"/>
    <w:rsid w:val="005B45AB"/>
    <w:rsid w:val="005B4D8F"/>
    <w:rsid w:val="005B6551"/>
    <w:rsid w:val="005B71A8"/>
    <w:rsid w:val="005B744B"/>
    <w:rsid w:val="005C0A6F"/>
    <w:rsid w:val="005C0FA7"/>
    <w:rsid w:val="005C155F"/>
    <w:rsid w:val="005C1C0E"/>
    <w:rsid w:val="005C36E2"/>
    <w:rsid w:val="005C3B43"/>
    <w:rsid w:val="005C3E9E"/>
    <w:rsid w:val="005C400C"/>
    <w:rsid w:val="005C410C"/>
    <w:rsid w:val="005C4BF1"/>
    <w:rsid w:val="005C4BF2"/>
    <w:rsid w:val="005C5BED"/>
    <w:rsid w:val="005C5D86"/>
    <w:rsid w:val="005C6167"/>
    <w:rsid w:val="005C6ADB"/>
    <w:rsid w:val="005C6EE2"/>
    <w:rsid w:val="005C7A07"/>
    <w:rsid w:val="005C7DDC"/>
    <w:rsid w:val="005C7F7C"/>
    <w:rsid w:val="005D107D"/>
    <w:rsid w:val="005D123A"/>
    <w:rsid w:val="005D2506"/>
    <w:rsid w:val="005D3677"/>
    <w:rsid w:val="005D4E4C"/>
    <w:rsid w:val="005D5B5E"/>
    <w:rsid w:val="005D5C85"/>
    <w:rsid w:val="005D5CA0"/>
    <w:rsid w:val="005D69AB"/>
    <w:rsid w:val="005D72FC"/>
    <w:rsid w:val="005D7DFC"/>
    <w:rsid w:val="005E035A"/>
    <w:rsid w:val="005E0681"/>
    <w:rsid w:val="005E1218"/>
    <w:rsid w:val="005E1B6B"/>
    <w:rsid w:val="005E1F61"/>
    <w:rsid w:val="005E2281"/>
    <w:rsid w:val="005E236C"/>
    <w:rsid w:val="005E282F"/>
    <w:rsid w:val="005E351B"/>
    <w:rsid w:val="005E38A8"/>
    <w:rsid w:val="005E39F9"/>
    <w:rsid w:val="005E4828"/>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E27"/>
    <w:rsid w:val="005F4F41"/>
    <w:rsid w:val="005F566D"/>
    <w:rsid w:val="005F648F"/>
    <w:rsid w:val="005F68C3"/>
    <w:rsid w:val="005F7804"/>
    <w:rsid w:val="005F7D87"/>
    <w:rsid w:val="00601794"/>
    <w:rsid w:val="00601BBA"/>
    <w:rsid w:val="00601CE1"/>
    <w:rsid w:val="00601E94"/>
    <w:rsid w:val="006021B1"/>
    <w:rsid w:val="006026A6"/>
    <w:rsid w:val="006037C5"/>
    <w:rsid w:val="006040CE"/>
    <w:rsid w:val="006042E2"/>
    <w:rsid w:val="0060467D"/>
    <w:rsid w:val="0060585E"/>
    <w:rsid w:val="00605B9D"/>
    <w:rsid w:val="00605EA2"/>
    <w:rsid w:val="00606213"/>
    <w:rsid w:val="00606B57"/>
    <w:rsid w:val="00606B85"/>
    <w:rsid w:val="00607390"/>
    <w:rsid w:val="006076D8"/>
    <w:rsid w:val="00607E6D"/>
    <w:rsid w:val="0061061D"/>
    <w:rsid w:val="00611A3B"/>
    <w:rsid w:val="006120CA"/>
    <w:rsid w:val="00612389"/>
    <w:rsid w:val="00612446"/>
    <w:rsid w:val="00612570"/>
    <w:rsid w:val="00612871"/>
    <w:rsid w:val="00612929"/>
    <w:rsid w:val="00612A44"/>
    <w:rsid w:val="00612A8E"/>
    <w:rsid w:val="00613098"/>
    <w:rsid w:val="006134D9"/>
    <w:rsid w:val="006135DA"/>
    <w:rsid w:val="00613BDC"/>
    <w:rsid w:val="00615564"/>
    <w:rsid w:val="006155E2"/>
    <w:rsid w:val="00615F26"/>
    <w:rsid w:val="00616CCC"/>
    <w:rsid w:val="00617A81"/>
    <w:rsid w:val="00617DEC"/>
    <w:rsid w:val="00620579"/>
    <w:rsid w:val="006208AA"/>
    <w:rsid w:val="0062258F"/>
    <w:rsid w:val="00622732"/>
    <w:rsid w:val="00622E6D"/>
    <w:rsid w:val="00623BC7"/>
    <w:rsid w:val="00623E70"/>
    <w:rsid w:val="006241D0"/>
    <w:rsid w:val="00624425"/>
    <w:rsid w:val="00624665"/>
    <w:rsid w:val="00625434"/>
    <w:rsid w:val="0062576B"/>
    <w:rsid w:val="006259B0"/>
    <w:rsid w:val="00625C5F"/>
    <w:rsid w:val="00626032"/>
    <w:rsid w:val="00627149"/>
    <w:rsid w:val="00627643"/>
    <w:rsid w:val="00627788"/>
    <w:rsid w:val="006300CD"/>
    <w:rsid w:val="0063017E"/>
    <w:rsid w:val="00630EAE"/>
    <w:rsid w:val="006312D0"/>
    <w:rsid w:val="006318A4"/>
    <w:rsid w:val="00631D4F"/>
    <w:rsid w:val="00633496"/>
    <w:rsid w:val="006338D2"/>
    <w:rsid w:val="00633F92"/>
    <w:rsid w:val="0063435E"/>
    <w:rsid w:val="00634CB2"/>
    <w:rsid w:val="006357E2"/>
    <w:rsid w:val="00635FD8"/>
    <w:rsid w:val="00636651"/>
    <w:rsid w:val="0063686A"/>
    <w:rsid w:val="00636F7B"/>
    <w:rsid w:val="0064019C"/>
    <w:rsid w:val="00640288"/>
    <w:rsid w:val="006405AC"/>
    <w:rsid w:val="0064099D"/>
    <w:rsid w:val="006412CD"/>
    <w:rsid w:val="006413D8"/>
    <w:rsid w:val="00641B7B"/>
    <w:rsid w:val="00641C55"/>
    <w:rsid w:val="00641CF7"/>
    <w:rsid w:val="00641FCF"/>
    <w:rsid w:val="006421A5"/>
    <w:rsid w:val="00642405"/>
    <w:rsid w:val="00642645"/>
    <w:rsid w:val="006437E8"/>
    <w:rsid w:val="006438E0"/>
    <w:rsid w:val="00644BED"/>
    <w:rsid w:val="006455CB"/>
    <w:rsid w:val="00646FD5"/>
    <w:rsid w:val="006472F8"/>
    <w:rsid w:val="00647680"/>
    <w:rsid w:val="00647743"/>
    <w:rsid w:val="00650C12"/>
    <w:rsid w:val="006510C0"/>
    <w:rsid w:val="00651276"/>
    <w:rsid w:val="00652092"/>
    <w:rsid w:val="00652472"/>
    <w:rsid w:val="00652533"/>
    <w:rsid w:val="0065394E"/>
    <w:rsid w:val="00653B38"/>
    <w:rsid w:val="00654313"/>
    <w:rsid w:val="00656385"/>
    <w:rsid w:val="00656F19"/>
    <w:rsid w:val="0065761A"/>
    <w:rsid w:val="00657B04"/>
    <w:rsid w:val="00657BB7"/>
    <w:rsid w:val="00660552"/>
    <w:rsid w:val="00660DBE"/>
    <w:rsid w:val="00660EE5"/>
    <w:rsid w:val="00661113"/>
    <w:rsid w:val="0066127D"/>
    <w:rsid w:val="00661AAA"/>
    <w:rsid w:val="00661AB0"/>
    <w:rsid w:val="006623A4"/>
    <w:rsid w:val="0066351C"/>
    <w:rsid w:val="006635BF"/>
    <w:rsid w:val="00664693"/>
    <w:rsid w:val="00664DC0"/>
    <w:rsid w:val="006651CC"/>
    <w:rsid w:val="0066582B"/>
    <w:rsid w:val="006658DA"/>
    <w:rsid w:val="00665CA1"/>
    <w:rsid w:val="00667421"/>
    <w:rsid w:val="0066780E"/>
    <w:rsid w:val="00667A31"/>
    <w:rsid w:val="00667C52"/>
    <w:rsid w:val="00670702"/>
    <w:rsid w:val="006708EB"/>
    <w:rsid w:val="00670BC6"/>
    <w:rsid w:val="0067147C"/>
    <w:rsid w:val="00672A8A"/>
    <w:rsid w:val="00673263"/>
    <w:rsid w:val="00673F50"/>
    <w:rsid w:val="00674EEA"/>
    <w:rsid w:val="0067549D"/>
    <w:rsid w:val="006759B0"/>
    <w:rsid w:val="00676B52"/>
    <w:rsid w:val="00677012"/>
    <w:rsid w:val="006771EA"/>
    <w:rsid w:val="00680709"/>
    <w:rsid w:val="00680D0E"/>
    <w:rsid w:val="00680F00"/>
    <w:rsid w:val="00681550"/>
    <w:rsid w:val="00681580"/>
    <w:rsid w:val="006823A4"/>
    <w:rsid w:val="006825A6"/>
    <w:rsid w:val="006825B4"/>
    <w:rsid w:val="006829BA"/>
    <w:rsid w:val="00682AF2"/>
    <w:rsid w:val="00682E8A"/>
    <w:rsid w:val="00682FB7"/>
    <w:rsid w:val="006837DE"/>
    <w:rsid w:val="0068537F"/>
    <w:rsid w:val="00686104"/>
    <w:rsid w:val="00686334"/>
    <w:rsid w:val="00686C3A"/>
    <w:rsid w:val="00686EEB"/>
    <w:rsid w:val="00687628"/>
    <w:rsid w:val="00687CFE"/>
    <w:rsid w:val="0069035A"/>
    <w:rsid w:val="00690EB8"/>
    <w:rsid w:val="006915E5"/>
    <w:rsid w:val="00692401"/>
    <w:rsid w:val="006934CE"/>
    <w:rsid w:val="00693B7A"/>
    <w:rsid w:val="006941CC"/>
    <w:rsid w:val="006945D4"/>
    <w:rsid w:val="00694EC0"/>
    <w:rsid w:val="00695F56"/>
    <w:rsid w:val="0069758B"/>
    <w:rsid w:val="006A0A70"/>
    <w:rsid w:val="006A0B6C"/>
    <w:rsid w:val="006A1692"/>
    <w:rsid w:val="006A16E1"/>
    <w:rsid w:val="006A3293"/>
    <w:rsid w:val="006A36DF"/>
    <w:rsid w:val="006A3C8A"/>
    <w:rsid w:val="006A3E61"/>
    <w:rsid w:val="006A43ED"/>
    <w:rsid w:val="006A5213"/>
    <w:rsid w:val="006A54A8"/>
    <w:rsid w:val="006A6003"/>
    <w:rsid w:val="006A6737"/>
    <w:rsid w:val="006A6A82"/>
    <w:rsid w:val="006A7A5B"/>
    <w:rsid w:val="006B1E08"/>
    <w:rsid w:val="006B26B1"/>
    <w:rsid w:val="006B2E45"/>
    <w:rsid w:val="006B341B"/>
    <w:rsid w:val="006B3875"/>
    <w:rsid w:val="006B425B"/>
    <w:rsid w:val="006B545C"/>
    <w:rsid w:val="006B5AC8"/>
    <w:rsid w:val="006B5D32"/>
    <w:rsid w:val="006B758B"/>
    <w:rsid w:val="006B7BF8"/>
    <w:rsid w:val="006C0F11"/>
    <w:rsid w:val="006C12A7"/>
    <w:rsid w:val="006C23E1"/>
    <w:rsid w:val="006C25D5"/>
    <w:rsid w:val="006C25F9"/>
    <w:rsid w:val="006C262B"/>
    <w:rsid w:val="006C31C6"/>
    <w:rsid w:val="006C3A2D"/>
    <w:rsid w:val="006C4666"/>
    <w:rsid w:val="006C49BF"/>
    <w:rsid w:val="006C5E2A"/>
    <w:rsid w:val="006C61A9"/>
    <w:rsid w:val="006C63D7"/>
    <w:rsid w:val="006C6894"/>
    <w:rsid w:val="006C69D9"/>
    <w:rsid w:val="006C7535"/>
    <w:rsid w:val="006C76A6"/>
    <w:rsid w:val="006C796D"/>
    <w:rsid w:val="006D0525"/>
    <w:rsid w:val="006D08DC"/>
    <w:rsid w:val="006D2F09"/>
    <w:rsid w:val="006D2FD2"/>
    <w:rsid w:val="006D33E6"/>
    <w:rsid w:val="006D3DC0"/>
    <w:rsid w:val="006D40C4"/>
    <w:rsid w:val="006D4162"/>
    <w:rsid w:val="006D509D"/>
    <w:rsid w:val="006D5303"/>
    <w:rsid w:val="006D5C62"/>
    <w:rsid w:val="006D5E84"/>
    <w:rsid w:val="006D7A4C"/>
    <w:rsid w:val="006D7C99"/>
    <w:rsid w:val="006E0443"/>
    <w:rsid w:val="006E0694"/>
    <w:rsid w:val="006E0C50"/>
    <w:rsid w:val="006E0DCF"/>
    <w:rsid w:val="006E14D6"/>
    <w:rsid w:val="006E1647"/>
    <w:rsid w:val="006E2298"/>
    <w:rsid w:val="006E2F3A"/>
    <w:rsid w:val="006E310A"/>
    <w:rsid w:val="006E3C3E"/>
    <w:rsid w:val="006E3FBD"/>
    <w:rsid w:val="006E40C7"/>
    <w:rsid w:val="006E429F"/>
    <w:rsid w:val="006E47E0"/>
    <w:rsid w:val="006E549F"/>
    <w:rsid w:val="006E6F30"/>
    <w:rsid w:val="006E6FE9"/>
    <w:rsid w:val="006E7082"/>
    <w:rsid w:val="006E709F"/>
    <w:rsid w:val="006E7F73"/>
    <w:rsid w:val="006F030F"/>
    <w:rsid w:val="006F193C"/>
    <w:rsid w:val="006F1B58"/>
    <w:rsid w:val="006F27DC"/>
    <w:rsid w:val="006F2B89"/>
    <w:rsid w:val="006F337D"/>
    <w:rsid w:val="006F36F1"/>
    <w:rsid w:val="006F3B81"/>
    <w:rsid w:val="006F4D59"/>
    <w:rsid w:val="006F4F79"/>
    <w:rsid w:val="006F4F80"/>
    <w:rsid w:val="006F5532"/>
    <w:rsid w:val="006F62CC"/>
    <w:rsid w:val="006F644B"/>
    <w:rsid w:val="006F66C1"/>
    <w:rsid w:val="006F681D"/>
    <w:rsid w:val="006F731E"/>
    <w:rsid w:val="006F78E9"/>
    <w:rsid w:val="0070235F"/>
    <w:rsid w:val="00702BC3"/>
    <w:rsid w:val="00702FF3"/>
    <w:rsid w:val="007032AC"/>
    <w:rsid w:val="00703496"/>
    <w:rsid w:val="007036FE"/>
    <w:rsid w:val="00704614"/>
    <w:rsid w:val="00705A32"/>
    <w:rsid w:val="00705B37"/>
    <w:rsid w:val="0070658A"/>
    <w:rsid w:val="00706B65"/>
    <w:rsid w:val="007071AF"/>
    <w:rsid w:val="00707C1A"/>
    <w:rsid w:val="00710023"/>
    <w:rsid w:val="00710207"/>
    <w:rsid w:val="0071023D"/>
    <w:rsid w:val="00710530"/>
    <w:rsid w:val="007107BD"/>
    <w:rsid w:val="00710817"/>
    <w:rsid w:val="0071184B"/>
    <w:rsid w:val="00711E77"/>
    <w:rsid w:val="00712912"/>
    <w:rsid w:val="00713DA5"/>
    <w:rsid w:val="007140E6"/>
    <w:rsid w:val="007141DC"/>
    <w:rsid w:val="00714B04"/>
    <w:rsid w:val="00714F75"/>
    <w:rsid w:val="007155CE"/>
    <w:rsid w:val="007168A0"/>
    <w:rsid w:val="00716BC6"/>
    <w:rsid w:val="00716C95"/>
    <w:rsid w:val="00717762"/>
    <w:rsid w:val="007204DA"/>
    <w:rsid w:val="00721A63"/>
    <w:rsid w:val="00721DED"/>
    <w:rsid w:val="00721FF9"/>
    <w:rsid w:val="0072229E"/>
    <w:rsid w:val="00722CDB"/>
    <w:rsid w:val="0072337E"/>
    <w:rsid w:val="00723696"/>
    <w:rsid w:val="0072442F"/>
    <w:rsid w:val="0072541E"/>
    <w:rsid w:val="00725735"/>
    <w:rsid w:val="0072630D"/>
    <w:rsid w:val="00726A2A"/>
    <w:rsid w:val="00726F64"/>
    <w:rsid w:val="007271E9"/>
    <w:rsid w:val="007273BC"/>
    <w:rsid w:val="007275FD"/>
    <w:rsid w:val="007276E5"/>
    <w:rsid w:val="00730943"/>
    <w:rsid w:val="00731D5E"/>
    <w:rsid w:val="0073336A"/>
    <w:rsid w:val="00733D7A"/>
    <w:rsid w:val="00733E5A"/>
    <w:rsid w:val="00733F25"/>
    <w:rsid w:val="00734702"/>
    <w:rsid w:val="0073519A"/>
    <w:rsid w:val="00735D7C"/>
    <w:rsid w:val="00736395"/>
    <w:rsid w:val="00736459"/>
    <w:rsid w:val="0073685F"/>
    <w:rsid w:val="00737821"/>
    <w:rsid w:val="0074058F"/>
    <w:rsid w:val="00740A95"/>
    <w:rsid w:val="00740E86"/>
    <w:rsid w:val="00741175"/>
    <w:rsid w:val="007419FB"/>
    <w:rsid w:val="00742606"/>
    <w:rsid w:val="00744105"/>
    <w:rsid w:val="007441FF"/>
    <w:rsid w:val="00744EE8"/>
    <w:rsid w:val="007459F5"/>
    <w:rsid w:val="007467E4"/>
    <w:rsid w:val="00746ABA"/>
    <w:rsid w:val="00747569"/>
    <w:rsid w:val="00750238"/>
    <w:rsid w:val="0075023C"/>
    <w:rsid w:val="007518E3"/>
    <w:rsid w:val="007518E9"/>
    <w:rsid w:val="00751A1D"/>
    <w:rsid w:val="00752247"/>
    <w:rsid w:val="007523E7"/>
    <w:rsid w:val="007531CA"/>
    <w:rsid w:val="007541F0"/>
    <w:rsid w:val="00754252"/>
    <w:rsid w:val="00755FF9"/>
    <w:rsid w:val="0075761D"/>
    <w:rsid w:val="007577B1"/>
    <w:rsid w:val="0075784E"/>
    <w:rsid w:val="00757B55"/>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32EF"/>
    <w:rsid w:val="007645DD"/>
    <w:rsid w:val="00764AF9"/>
    <w:rsid w:val="007650AD"/>
    <w:rsid w:val="00765C6B"/>
    <w:rsid w:val="00765D18"/>
    <w:rsid w:val="0076640B"/>
    <w:rsid w:val="00766C72"/>
    <w:rsid w:val="00770C54"/>
    <w:rsid w:val="00771344"/>
    <w:rsid w:val="0077172A"/>
    <w:rsid w:val="00772613"/>
    <w:rsid w:val="00772B41"/>
    <w:rsid w:val="00772CED"/>
    <w:rsid w:val="00773EA1"/>
    <w:rsid w:val="00775215"/>
    <w:rsid w:val="00775748"/>
    <w:rsid w:val="00775D9A"/>
    <w:rsid w:val="007769BE"/>
    <w:rsid w:val="00776ACC"/>
    <w:rsid w:val="00777024"/>
    <w:rsid w:val="00777AE2"/>
    <w:rsid w:val="00777C71"/>
    <w:rsid w:val="00777D6B"/>
    <w:rsid w:val="00777F20"/>
    <w:rsid w:val="0078080B"/>
    <w:rsid w:val="00780C06"/>
    <w:rsid w:val="00781148"/>
    <w:rsid w:val="00781F98"/>
    <w:rsid w:val="0078265B"/>
    <w:rsid w:val="007829BF"/>
    <w:rsid w:val="00782E10"/>
    <w:rsid w:val="00784926"/>
    <w:rsid w:val="00784DB8"/>
    <w:rsid w:val="00784FDD"/>
    <w:rsid w:val="0078508F"/>
    <w:rsid w:val="00786448"/>
    <w:rsid w:val="007875D7"/>
    <w:rsid w:val="007906B2"/>
    <w:rsid w:val="0079134E"/>
    <w:rsid w:val="00791434"/>
    <w:rsid w:val="00791B73"/>
    <w:rsid w:val="007925F0"/>
    <w:rsid w:val="0079278E"/>
    <w:rsid w:val="00792DCA"/>
    <w:rsid w:val="00792E3C"/>
    <w:rsid w:val="007930C1"/>
    <w:rsid w:val="0079315D"/>
    <w:rsid w:val="007935D8"/>
    <w:rsid w:val="00793B45"/>
    <w:rsid w:val="00795706"/>
    <w:rsid w:val="007960E3"/>
    <w:rsid w:val="00796F7C"/>
    <w:rsid w:val="00797131"/>
    <w:rsid w:val="00797254"/>
    <w:rsid w:val="00797430"/>
    <w:rsid w:val="007A0F8D"/>
    <w:rsid w:val="007A1078"/>
    <w:rsid w:val="007A18E9"/>
    <w:rsid w:val="007A1C63"/>
    <w:rsid w:val="007A257D"/>
    <w:rsid w:val="007A2ACE"/>
    <w:rsid w:val="007A2CB0"/>
    <w:rsid w:val="007A343D"/>
    <w:rsid w:val="007A38CE"/>
    <w:rsid w:val="007A3F1C"/>
    <w:rsid w:val="007A40D6"/>
    <w:rsid w:val="007A4452"/>
    <w:rsid w:val="007A45ED"/>
    <w:rsid w:val="007A585D"/>
    <w:rsid w:val="007A5ACE"/>
    <w:rsid w:val="007A5C5C"/>
    <w:rsid w:val="007A6528"/>
    <w:rsid w:val="007A7724"/>
    <w:rsid w:val="007A7B48"/>
    <w:rsid w:val="007B064F"/>
    <w:rsid w:val="007B1342"/>
    <w:rsid w:val="007B18C6"/>
    <w:rsid w:val="007B20C2"/>
    <w:rsid w:val="007B25D5"/>
    <w:rsid w:val="007B2627"/>
    <w:rsid w:val="007B27E4"/>
    <w:rsid w:val="007B2910"/>
    <w:rsid w:val="007B301D"/>
    <w:rsid w:val="007B3264"/>
    <w:rsid w:val="007B35F6"/>
    <w:rsid w:val="007B3F87"/>
    <w:rsid w:val="007B404F"/>
    <w:rsid w:val="007B44A6"/>
    <w:rsid w:val="007B494E"/>
    <w:rsid w:val="007B4C5E"/>
    <w:rsid w:val="007B7462"/>
    <w:rsid w:val="007B7755"/>
    <w:rsid w:val="007B7B52"/>
    <w:rsid w:val="007C02A3"/>
    <w:rsid w:val="007C0C55"/>
    <w:rsid w:val="007C1507"/>
    <w:rsid w:val="007C2F60"/>
    <w:rsid w:val="007C31A2"/>
    <w:rsid w:val="007C3280"/>
    <w:rsid w:val="007C3716"/>
    <w:rsid w:val="007C4BF9"/>
    <w:rsid w:val="007C4D8D"/>
    <w:rsid w:val="007C5144"/>
    <w:rsid w:val="007C543E"/>
    <w:rsid w:val="007C5613"/>
    <w:rsid w:val="007C6138"/>
    <w:rsid w:val="007C6153"/>
    <w:rsid w:val="007C6849"/>
    <w:rsid w:val="007C6BC6"/>
    <w:rsid w:val="007C6C12"/>
    <w:rsid w:val="007C73B2"/>
    <w:rsid w:val="007D0435"/>
    <w:rsid w:val="007D116E"/>
    <w:rsid w:val="007D12A5"/>
    <w:rsid w:val="007D1B24"/>
    <w:rsid w:val="007D267F"/>
    <w:rsid w:val="007D3A3E"/>
    <w:rsid w:val="007D400A"/>
    <w:rsid w:val="007D4B0E"/>
    <w:rsid w:val="007D4DD2"/>
    <w:rsid w:val="007D5D0F"/>
    <w:rsid w:val="007D6EA8"/>
    <w:rsid w:val="007D7CBE"/>
    <w:rsid w:val="007E1247"/>
    <w:rsid w:val="007E1A44"/>
    <w:rsid w:val="007E2359"/>
    <w:rsid w:val="007E2419"/>
    <w:rsid w:val="007E3509"/>
    <w:rsid w:val="007E3FF5"/>
    <w:rsid w:val="007E4219"/>
    <w:rsid w:val="007E577E"/>
    <w:rsid w:val="007E635E"/>
    <w:rsid w:val="007E6A9C"/>
    <w:rsid w:val="007E6C0C"/>
    <w:rsid w:val="007E7300"/>
    <w:rsid w:val="007E767B"/>
    <w:rsid w:val="007F038C"/>
    <w:rsid w:val="007F0428"/>
    <w:rsid w:val="007F0F24"/>
    <w:rsid w:val="007F1755"/>
    <w:rsid w:val="007F179F"/>
    <w:rsid w:val="007F20E9"/>
    <w:rsid w:val="007F222B"/>
    <w:rsid w:val="007F2BF9"/>
    <w:rsid w:val="007F2CBC"/>
    <w:rsid w:val="007F3092"/>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87B"/>
    <w:rsid w:val="00801A0E"/>
    <w:rsid w:val="00803C65"/>
    <w:rsid w:val="008047E8"/>
    <w:rsid w:val="00804BC0"/>
    <w:rsid w:val="00804E4C"/>
    <w:rsid w:val="0080662C"/>
    <w:rsid w:val="008070B2"/>
    <w:rsid w:val="0080786D"/>
    <w:rsid w:val="00807D79"/>
    <w:rsid w:val="00810102"/>
    <w:rsid w:val="008102BC"/>
    <w:rsid w:val="008116F3"/>
    <w:rsid w:val="008117C4"/>
    <w:rsid w:val="0081222E"/>
    <w:rsid w:val="00812461"/>
    <w:rsid w:val="008125C2"/>
    <w:rsid w:val="008127E0"/>
    <w:rsid w:val="00812810"/>
    <w:rsid w:val="008130BE"/>
    <w:rsid w:val="0081398E"/>
    <w:rsid w:val="008149D8"/>
    <w:rsid w:val="00815089"/>
    <w:rsid w:val="00815714"/>
    <w:rsid w:val="00815A2A"/>
    <w:rsid w:val="00817220"/>
    <w:rsid w:val="0081788A"/>
    <w:rsid w:val="00817927"/>
    <w:rsid w:val="00817CFC"/>
    <w:rsid w:val="00817E82"/>
    <w:rsid w:val="00821D81"/>
    <w:rsid w:val="00822A52"/>
    <w:rsid w:val="00822DBF"/>
    <w:rsid w:val="008230D9"/>
    <w:rsid w:val="00823654"/>
    <w:rsid w:val="00823A90"/>
    <w:rsid w:val="00825C68"/>
    <w:rsid w:val="0082757E"/>
    <w:rsid w:val="0082769C"/>
    <w:rsid w:val="00827B6C"/>
    <w:rsid w:val="00827D77"/>
    <w:rsid w:val="00830561"/>
    <w:rsid w:val="00831115"/>
    <w:rsid w:val="0083249C"/>
    <w:rsid w:val="00832D42"/>
    <w:rsid w:val="008333A9"/>
    <w:rsid w:val="00833419"/>
    <w:rsid w:val="008342A5"/>
    <w:rsid w:val="00834984"/>
    <w:rsid w:val="00834B7C"/>
    <w:rsid w:val="00834BE2"/>
    <w:rsid w:val="00834EA4"/>
    <w:rsid w:val="00835049"/>
    <w:rsid w:val="008354B9"/>
    <w:rsid w:val="00835DCB"/>
    <w:rsid w:val="00836090"/>
    <w:rsid w:val="00836921"/>
    <w:rsid w:val="0083713A"/>
    <w:rsid w:val="00837237"/>
    <w:rsid w:val="008376C0"/>
    <w:rsid w:val="0084035D"/>
    <w:rsid w:val="008405F9"/>
    <w:rsid w:val="0084060B"/>
    <w:rsid w:val="0084139B"/>
    <w:rsid w:val="0084143B"/>
    <w:rsid w:val="008417D4"/>
    <w:rsid w:val="00841CDA"/>
    <w:rsid w:val="00842547"/>
    <w:rsid w:val="008427D3"/>
    <w:rsid w:val="008429CF"/>
    <w:rsid w:val="0084324C"/>
    <w:rsid w:val="00843695"/>
    <w:rsid w:val="008451F8"/>
    <w:rsid w:val="008453F2"/>
    <w:rsid w:val="008457D2"/>
    <w:rsid w:val="00846212"/>
    <w:rsid w:val="008468E0"/>
    <w:rsid w:val="00846DAF"/>
    <w:rsid w:val="0084767E"/>
    <w:rsid w:val="0084790F"/>
    <w:rsid w:val="00847BE7"/>
    <w:rsid w:val="00850EAB"/>
    <w:rsid w:val="00851C80"/>
    <w:rsid w:val="00851D70"/>
    <w:rsid w:val="008529B3"/>
    <w:rsid w:val="00852ADD"/>
    <w:rsid w:val="00853883"/>
    <w:rsid w:val="00854CF7"/>
    <w:rsid w:val="00854DA7"/>
    <w:rsid w:val="008557A0"/>
    <w:rsid w:val="008558D2"/>
    <w:rsid w:val="00856607"/>
    <w:rsid w:val="0085760D"/>
    <w:rsid w:val="008616A2"/>
    <w:rsid w:val="00861C6C"/>
    <w:rsid w:val="00861E6E"/>
    <w:rsid w:val="00863417"/>
    <w:rsid w:val="00863862"/>
    <w:rsid w:val="00863AAD"/>
    <w:rsid w:val="00864644"/>
    <w:rsid w:val="00866296"/>
    <w:rsid w:val="008665C7"/>
    <w:rsid w:val="00867387"/>
    <w:rsid w:val="008707A3"/>
    <w:rsid w:val="00870A36"/>
    <w:rsid w:val="008711AE"/>
    <w:rsid w:val="00871A36"/>
    <w:rsid w:val="00872F21"/>
    <w:rsid w:val="00873736"/>
    <w:rsid w:val="0087378E"/>
    <w:rsid w:val="008737DF"/>
    <w:rsid w:val="008755E7"/>
    <w:rsid w:val="00875E16"/>
    <w:rsid w:val="00877D03"/>
    <w:rsid w:val="00877E96"/>
    <w:rsid w:val="0088023D"/>
    <w:rsid w:val="008803CE"/>
    <w:rsid w:val="00880B09"/>
    <w:rsid w:val="00882077"/>
    <w:rsid w:val="008820D9"/>
    <w:rsid w:val="00883613"/>
    <w:rsid w:val="00883AF8"/>
    <w:rsid w:val="0088557F"/>
    <w:rsid w:val="00886393"/>
    <w:rsid w:val="00886579"/>
    <w:rsid w:val="008867B9"/>
    <w:rsid w:val="00886F19"/>
    <w:rsid w:val="00887865"/>
    <w:rsid w:val="00887B37"/>
    <w:rsid w:val="00890598"/>
    <w:rsid w:val="0089065A"/>
    <w:rsid w:val="00890DEB"/>
    <w:rsid w:val="00890DF3"/>
    <w:rsid w:val="0089177A"/>
    <w:rsid w:val="00891D7A"/>
    <w:rsid w:val="00891DFC"/>
    <w:rsid w:val="00892B98"/>
    <w:rsid w:val="008945D2"/>
    <w:rsid w:val="008959FC"/>
    <w:rsid w:val="0089605E"/>
    <w:rsid w:val="00896668"/>
    <w:rsid w:val="00896E9A"/>
    <w:rsid w:val="008A1D0E"/>
    <w:rsid w:val="008A25EA"/>
    <w:rsid w:val="008A276E"/>
    <w:rsid w:val="008A31C7"/>
    <w:rsid w:val="008A3215"/>
    <w:rsid w:val="008A3630"/>
    <w:rsid w:val="008A3B40"/>
    <w:rsid w:val="008A3E8B"/>
    <w:rsid w:val="008A47BE"/>
    <w:rsid w:val="008A4AEC"/>
    <w:rsid w:val="008A5609"/>
    <w:rsid w:val="008A6061"/>
    <w:rsid w:val="008A655C"/>
    <w:rsid w:val="008A6DD5"/>
    <w:rsid w:val="008A6DF0"/>
    <w:rsid w:val="008A6FA0"/>
    <w:rsid w:val="008A7FA9"/>
    <w:rsid w:val="008B15CE"/>
    <w:rsid w:val="008B1C8F"/>
    <w:rsid w:val="008B2570"/>
    <w:rsid w:val="008B2B19"/>
    <w:rsid w:val="008B2F40"/>
    <w:rsid w:val="008B2FCD"/>
    <w:rsid w:val="008B3627"/>
    <w:rsid w:val="008B3EAD"/>
    <w:rsid w:val="008B49B6"/>
    <w:rsid w:val="008B4EAB"/>
    <w:rsid w:val="008B56A0"/>
    <w:rsid w:val="008B5AA1"/>
    <w:rsid w:val="008B5E61"/>
    <w:rsid w:val="008B64CE"/>
    <w:rsid w:val="008B6D4B"/>
    <w:rsid w:val="008B7914"/>
    <w:rsid w:val="008C01BD"/>
    <w:rsid w:val="008C127A"/>
    <w:rsid w:val="008C18BD"/>
    <w:rsid w:val="008C1932"/>
    <w:rsid w:val="008C2559"/>
    <w:rsid w:val="008C2C21"/>
    <w:rsid w:val="008C2C7F"/>
    <w:rsid w:val="008C2F0D"/>
    <w:rsid w:val="008C500C"/>
    <w:rsid w:val="008C5D2A"/>
    <w:rsid w:val="008C6754"/>
    <w:rsid w:val="008C6C16"/>
    <w:rsid w:val="008C74FB"/>
    <w:rsid w:val="008C7AF4"/>
    <w:rsid w:val="008C7DA4"/>
    <w:rsid w:val="008D0210"/>
    <w:rsid w:val="008D033E"/>
    <w:rsid w:val="008D0851"/>
    <w:rsid w:val="008D0DEF"/>
    <w:rsid w:val="008D0FCD"/>
    <w:rsid w:val="008D1074"/>
    <w:rsid w:val="008D1079"/>
    <w:rsid w:val="008D2643"/>
    <w:rsid w:val="008D280F"/>
    <w:rsid w:val="008D318B"/>
    <w:rsid w:val="008D3994"/>
    <w:rsid w:val="008D3C3D"/>
    <w:rsid w:val="008D478E"/>
    <w:rsid w:val="008D534E"/>
    <w:rsid w:val="008D6A06"/>
    <w:rsid w:val="008D6E81"/>
    <w:rsid w:val="008D7739"/>
    <w:rsid w:val="008D7A64"/>
    <w:rsid w:val="008D7A92"/>
    <w:rsid w:val="008D7BFC"/>
    <w:rsid w:val="008E0302"/>
    <w:rsid w:val="008E1267"/>
    <w:rsid w:val="008E19FD"/>
    <w:rsid w:val="008E1C2F"/>
    <w:rsid w:val="008E22F8"/>
    <w:rsid w:val="008E30AB"/>
    <w:rsid w:val="008E39D8"/>
    <w:rsid w:val="008E4303"/>
    <w:rsid w:val="008E5D73"/>
    <w:rsid w:val="008E606F"/>
    <w:rsid w:val="008E6AD9"/>
    <w:rsid w:val="008E7746"/>
    <w:rsid w:val="008F022A"/>
    <w:rsid w:val="008F06FD"/>
    <w:rsid w:val="008F1172"/>
    <w:rsid w:val="008F27E3"/>
    <w:rsid w:val="008F3485"/>
    <w:rsid w:val="008F3AAC"/>
    <w:rsid w:val="008F3AC3"/>
    <w:rsid w:val="008F51FF"/>
    <w:rsid w:val="008F52FC"/>
    <w:rsid w:val="008F5DEF"/>
    <w:rsid w:val="008F678E"/>
    <w:rsid w:val="008F7C0A"/>
    <w:rsid w:val="00901DBB"/>
    <w:rsid w:val="00901E51"/>
    <w:rsid w:val="009026CB"/>
    <w:rsid w:val="00902876"/>
    <w:rsid w:val="009031ED"/>
    <w:rsid w:val="00903FB2"/>
    <w:rsid w:val="00904038"/>
    <w:rsid w:val="009041AF"/>
    <w:rsid w:val="009042AA"/>
    <w:rsid w:val="009049AB"/>
    <w:rsid w:val="009050B7"/>
    <w:rsid w:val="00905130"/>
    <w:rsid w:val="009053BD"/>
    <w:rsid w:val="00905728"/>
    <w:rsid w:val="009061B8"/>
    <w:rsid w:val="009064BF"/>
    <w:rsid w:val="009069B8"/>
    <w:rsid w:val="00906DA1"/>
    <w:rsid w:val="009078BD"/>
    <w:rsid w:val="009130CC"/>
    <w:rsid w:val="00913B37"/>
    <w:rsid w:val="00914683"/>
    <w:rsid w:val="00914861"/>
    <w:rsid w:val="009148D8"/>
    <w:rsid w:val="00914B5F"/>
    <w:rsid w:val="00914E71"/>
    <w:rsid w:val="0091504C"/>
    <w:rsid w:val="00915897"/>
    <w:rsid w:val="00915B44"/>
    <w:rsid w:val="00915CD5"/>
    <w:rsid w:val="00916093"/>
    <w:rsid w:val="009160E3"/>
    <w:rsid w:val="0091639C"/>
    <w:rsid w:val="00916D94"/>
    <w:rsid w:val="00916E99"/>
    <w:rsid w:val="0092002E"/>
    <w:rsid w:val="0092050A"/>
    <w:rsid w:val="00920EC6"/>
    <w:rsid w:val="0092101E"/>
    <w:rsid w:val="00922696"/>
    <w:rsid w:val="00923630"/>
    <w:rsid w:val="0092383B"/>
    <w:rsid w:val="00924119"/>
    <w:rsid w:val="00925120"/>
    <w:rsid w:val="009255FA"/>
    <w:rsid w:val="009262E4"/>
    <w:rsid w:val="009266D2"/>
    <w:rsid w:val="009274E2"/>
    <w:rsid w:val="00927D4E"/>
    <w:rsid w:val="009300F4"/>
    <w:rsid w:val="00930AC2"/>
    <w:rsid w:val="00930D2A"/>
    <w:rsid w:val="009312BF"/>
    <w:rsid w:val="00931680"/>
    <w:rsid w:val="00931B84"/>
    <w:rsid w:val="009322B2"/>
    <w:rsid w:val="009328DA"/>
    <w:rsid w:val="00932E7E"/>
    <w:rsid w:val="0093442D"/>
    <w:rsid w:val="009348F9"/>
    <w:rsid w:val="00934AFA"/>
    <w:rsid w:val="00934CD2"/>
    <w:rsid w:val="00934D3B"/>
    <w:rsid w:val="00937390"/>
    <w:rsid w:val="009375E5"/>
    <w:rsid w:val="00937BC5"/>
    <w:rsid w:val="00937D30"/>
    <w:rsid w:val="00941848"/>
    <w:rsid w:val="0094337A"/>
    <w:rsid w:val="009437F2"/>
    <w:rsid w:val="00943D4B"/>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2B84"/>
    <w:rsid w:val="00952D3A"/>
    <w:rsid w:val="00953D2D"/>
    <w:rsid w:val="00953EAF"/>
    <w:rsid w:val="0095426C"/>
    <w:rsid w:val="00955EE9"/>
    <w:rsid w:val="00956BF5"/>
    <w:rsid w:val="009571C2"/>
    <w:rsid w:val="009575C3"/>
    <w:rsid w:val="0095770C"/>
    <w:rsid w:val="009579AF"/>
    <w:rsid w:val="00957CC8"/>
    <w:rsid w:val="00957EE7"/>
    <w:rsid w:val="0096086A"/>
    <w:rsid w:val="00961453"/>
    <w:rsid w:val="009616D4"/>
    <w:rsid w:val="00961C92"/>
    <w:rsid w:val="00962150"/>
    <w:rsid w:val="0096238F"/>
    <w:rsid w:val="009632E5"/>
    <w:rsid w:val="00964166"/>
    <w:rsid w:val="009645AD"/>
    <w:rsid w:val="0096475C"/>
    <w:rsid w:val="0096546E"/>
    <w:rsid w:val="0096562A"/>
    <w:rsid w:val="00965865"/>
    <w:rsid w:val="00965C04"/>
    <w:rsid w:val="00966096"/>
    <w:rsid w:val="00966A13"/>
    <w:rsid w:val="00967473"/>
    <w:rsid w:val="00967730"/>
    <w:rsid w:val="00970D56"/>
    <w:rsid w:val="00970E50"/>
    <w:rsid w:val="00971074"/>
    <w:rsid w:val="009717C9"/>
    <w:rsid w:val="00971BE4"/>
    <w:rsid w:val="009725B2"/>
    <w:rsid w:val="009741A7"/>
    <w:rsid w:val="009747AA"/>
    <w:rsid w:val="00974B99"/>
    <w:rsid w:val="00974BCB"/>
    <w:rsid w:val="0097529C"/>
    <w:rsid w:val="009755B1"/>
    <w:rsid w:val="009758CD"/>
    <w:rsid w:val="00975AEF"/>
    <w:rsid w:val="00975BF2"/>
    <w:rsid w:val="0097616C"/>
    <w:rsid w:val="009763E4"/>
    <w:rsid w:val="0097649D"/>
    <w:rsid w:val="0097654D"/>
    <w:rsid w:val="009766B7"/>
    <w:rsid w:val="00977C23"/>
    <w:rsid w:val="00980A22"/>
    <w:rsid w:val="00980D85"/>
    <w:rsid w:val="009812EA"/>
    <w:rsid w:val="00981E09"/>
    <w:rsid w:val="00983094"/>
    <w:rsid w:val="00983599"/>
    <w:rsid w:val="009843DE"/>
    <w:rsid w:val="00984AED"/>
    <w:rsid w:val="0098544F"/>
    <w:rsid w:val="00985B04"/>
    <w:rsid w:val="00986A6D"/>
    <w:rsid w:val="00986BEF"/>
    <w:rsid w:val="00986FAC"/>
    <w:rsid w:val="00987298"/>
    <w:rsid w:val="00987B34"/>
    <w:rsid w:val="009906CE"/>
    <w:rsid w:val="009907AC"/>
    <w:rsid w:val="00991DF8"/>
    <w:rsid w:val="00992499"/>
    <w:rsid w:val="00992986"/>
    <w:rsid w:val="009936E2"/>
    <w:rsid w:val="00994B55"/>
    <w:rsid w:val="00995D86"/>
    <w:rsid w:val="00995FB2"/>
    <w:rsid w:val="0099781E"/>
    <w:rsid w:val="00997A68"/>
    <w:rsid w:val="00997E30"/>
    <w:rsid w:val="009A00EA"/>
    <w:rsid w:val="009A0587"/>
    <w:rsid w:val="009A0DA2"/>
    <w:rsid w:val="009A1F6B"/>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570A"/>
    <w:rsid w:val="009B7489"/>
    <w:rsid w:val="009B7987"/>
    <w:rsid w:val="009B7B0A"/>
    <w:rsid w:val="009C07C9"/>
    <w:rsid w:val="009C08D7"/>
    <w:rsid w:val="009C1866"/>
    <w:rsid w:val="009C1FDE"/>
    <w:rsid w:val="009C2A56"/>
    <w:rsid w:val="009C375C"/>
    <w:rsid w:val="009C4E0D"/>
    <w:rsid w:val="009C4F1B"/>
    <w:rsid w:val="009C503B"/>
    <w:rsid w:val="009C5816"/>
    <w:rsid w:val="009C61EA"/>
    <w:rsid w:val="009C62E0"/>
    <w:rsid w:val="009C63EC"/>
    <w:rsid w:val="009C7DAC"/>
    <w:rsid w:val="009D08A6"/>
    <w:rsid w:val="009D1915"/>
    <w:rsid w:val="009D1A01"/>
    <w:rsid w:val="009D1B69"/>
    <w:rsid w:val="009D1EB3"/>
    <w:rsid w:val="009D2ABF"/>
    <w:rsid w:val="009D3AD2"/>
    <w:rsid w:val="009D3E06"/>
    <w:rsid w:val="009D449C"/>
    <w:rsid w:val="009D5843"/>
    <w:rsid w:val="009D638D"/>
    <w:rsid w:val="009D6393"/>
    <w:rsid w:val="009E00CD"/>
    <w:rsid w:val="009E0885"/>
    <w:rsid w:val="009E1CC8"/>
    <w:rsid w:val="009E2164"/>
    <w:rsid w:val="009E2827"/>
    <w:rsid w:val="009E30D2"/>
    <w:rsid w:val="009E4885"/>
    <w:rsid w:val="009E508B"/>
    <w:rsid w:val="009E58E3"/>
    <w:rsid w:val="009E6471"/>
    <w:rsid w:val="009E6A00"/>
    <w:rsid w:val="009F03AB"/>
    <w:rsid w:val="009F0619"/>
    <w:rsid w:val="009F068A"/>
    <w:rsid w:val="009F08C5"/>
    <w:rsid w:val="009F0A85"/>
    <w:rsid w:val="009F1260"/>
    <w:rsid w:val="009F15CA"/>
    <w:rsid w:val="009F1B71"/>
    <w:rsid w:val="009F220A"/>
    <w:rsid w:val="009F36D6"/>
    <w:rsid w:val="009F4D9C"/>
    <w:rsid w:val="009F6575"/>
    <w:rsid w:val="009F6A44"/>
    <w:rsid w:val="009F7002"/>
    <w:rsid w:val="009F7ADC"/>
    <w:rsid w:val="00A0002A"/>
    <w:rsid w:val="00A0009A"/>
    <w:rsid w:val="00A00EF1"/>
    <w:rsid w:val="00A0236D"/>
    <w:rsid w:val="00A02985"/>
    <w:rsid w:val="00A02B2B"/>
    <w:rsid w:val="00A02C72"/>
    <w:rsid w:val="00A02FA8"/>
    <w:rsid w:val="00A03F1A"/>
    <w:rsid w:val="00A03F74"/>
    <w:rsid w:val="00A03F88"/>
    <w:rsid w:val="00A046BF"/>
    <w:rsid w:val="00A058CA"/>
    <w:rsid w:val="00A05A8D"/>
    <w:rsid w:val="00A05B25"/>
    <w:rsid w:val="00A05C04"/>
    <w:rsid w:val="00A06254"/>
    <w:rsid w:val="00A0682D"/>
    <w:rsid w:val="00A06842"/>
    <w:rsid w:val="00A06FC3"/>
    <w:rsid w:val="00A07459"/>
    <w:rsid w:val="00A079BB"/>
    <w:rsid w:val="00A07D78"/>
    <w:rsid w:val="00A07DB6"/>
    <w:rsid w:val="00A10972"/>
    <w:rsid w:val="00A11406"/>
    <w:rsid w:val="00A13205"/>
    <w:rsid w:val="00A132A1"/>
    <w:rsid w:val="00A15132"/>
    <w:rsid w:val="00A1554D"/>
    <w:rsid w:val="00A15792"/>
    <w:rsid w:val="00A158E3"/>
    <w:rsid w:val="00A1591A"/>
    <w:rsid w:val="00A16327"/>
    <w:rsid w:val="00A172E0"/>
    <w:rsid w:val="00A1769D"/>
    <w:rsid w:val="00A204DF"/>
    <w:rsid w:val="00A20751"/>
    <w:rsid w:val="00A20990"/>
    <w:rsid w:val="00A20D38"/>
    <w:rsid w:val="00A211C5"/>
    <w:rsid w:val="00A22119"/>
    <w:rsid w:val="00A221A3"/>
    <w:rsid w:val="00A223D5"/>
    <w:rsid w:val="00A23F41"/>
    <w:rsid w:val="00A24287"/>
    <w:rsid w:val="00A25547"/>
    <w:rsid w:val="00A25F76"/>
    <w:rsid w:val="00A3003E"/>
    <w:rsid w:val="00A3019C"/>
    <w:rsid w:val="00A31E14"/>
    <w:rsid w:val="00A330F7"/>
    <w:rsid w:val="00A3325E"/>
    <w:rsid w:val="00A33840"/>
    <w:rsid w:val="00A34276"/>
    <w:rsid w:val="00A34524"/>
    <w:rsid w:val="00A345B6"/>
    <w:rsid w:val="00A357A4"/>
    <w:rsid w:val="00A35CDF"/>
    <w:rsid w:val="00A36453"/>
    <w:rsid w:val="00A370B5"/>
    <w:rsid w:val="00A37970"/>
    <w:rsid w:val="00A37A68"/>
    <w:rsid w:val="00A37B0C"/>
    <w:rsid w:val="00A37CD5"/>
    <w:rsid w:val="00A37CE6"/>
    <w:rsid w:val="00A37D1C"/>
    <w:rsid w:val="00A37FFE"/>
    <w:rsid w:val="00A404BE"/>
    <w:rsid w:val="00A40ECF"/>
    <w:rsid w:val="00A41FEF"/>
    <w:rsid w:val="00A42476"/>
    <w:rsid w:val="00A42D9C"/>
    <w:rsid w:val="00A433CA"/>
    <w:rsid w:val="00A43A1A"/>
    <w:rsid w:val="00A43D48"/>
    <w:rsid w:val="00A43F3C"/>
    <w:rsid w:val="00A4415B"/>
    <w:rsid w:val="00A447A5"/>
    <w:rsid w:val="00A44EDA"/>
    <w:rsid w:val="00A45A27"/>
    <w:rsid w:val="00A45B83"/>
    <w:rsid w:val="00A4646E"/>
    <w:rsid w:val="00A467B3"/>
    <w:rsid w:val="00A468FD"/>
    <w:rsid w:val="00A46921"/>
    <w:rsid w:val="00A46C4F"/>
    <w:rsid w:val="00A47249"/>
    <w:rsid w:val="00A479D7"/>
    <w:rsid w:val="00A47BEC"/>
    <w:rsid w:val="00A47D34"/>
    <w:rsid w:val="00A47E3B"/>
    <w:rsid w:val="00A501C7"/>
    <w:rsid w:val="00A5058A"/>
    <w:rsid w:val="00A50905"/>
    <w:rsid w:val="00A513FD"/>
    <w:rsid w:val="00A51F1F"/>
    <w:rsid w:val="00A5254B"/>
    <w:rsid w:val="00A52B18"/>
    <w:rsid w:val="00A52BC1"/>
    <w:rsid w:val="00A52CEA"/>
    <w:rsid w:val="00A534A0"/>
    <w:rsid w:val="00A537EA"/>
    <w:rsid w:val="00A539AD"/>
    <w:rsid w:val="00A53E3E"/>
    <w:rsid w:val="00A540B2"/>
    <w:rsid w:val="00A5414D"/>
    <w:rsid w:val="00A54784"/>
    <w:rsid w:val="00A54A3E"/>
    <w:rsid w:val="00A556B7"/>
    <w:rsid w:val="00A56819"/>
    <w:rsid w:val="00A568AC"/>
    <w:rsid w:val="00A57302"/>
    <w:rsid w:val="00A6025F"/>
    <w:rsid w:val="00A60E9C"/>
    <w:rsid w:val="00A61196"/>
    <w:rsid w:val="00A6131E"/>
    <w:rsid w:val="00A616AF"/>
    <w:rsid w:val="00A616B5"/>
    <w:rsid w:val="00A61879"/>
    <w:rsid w:val="00A628B4"/>
    <w:rsid w:val="00A62E6A"/>
    <w:rsid w:val="00A63E4E"/>
    <w:rsid w:val="00A6444F"/>
    <w:rsid w:val="00A652FF"/>
    <w:rsid w:val="00A65A0D"/>
    <w:rsid w:val="00A65C27"/>
    <w:rsid w:val="00A65F3C"/>
    <w:rsid w:val="00A66FB3"/>
    <w:rsid w:val="00A709A3"/>
    <w:rsid w:val="00A71216"/>
    <w:rsid w:val="00A714A3"/>
    <w:rsid w:val="00A71819"/>
    <w:rsid w:val="00A71B8B"/>
    <w:rsid w:val="00A71FD3"/>
    <w:rsid w:val="00A75089"/>
    <w:rsid w:val="00A75EDC"/>
    <w:rsid w:val="00A80404"/>
    <w:rsid w:val="00A80548"/>
    <w:rsid w:val="00A8085F"/>
    <w:rsid w:val="00A80A3D"/>
    <w:rsid w:val="00A817A8"/>
    <w:rsid w:val="00A81D21"/>
    <w:rsid w:val="00A81E50"/>
    <w:rsid w:val="00A81F1C"/>
    <w:rsid w:val="00A82602"/>
    <w:rsid w:val="00A82DA0"/>
    <w:rsid w:val="00A83E49"/>
    <w:rsid w:val="00A8401C"/>
    <w:rsid w:val="00A8415A"/>
    <w:rsid w:val="00A841A6"/>
    <w:rsid w:val="00A84221"/>
    <w:rsid w:val="00A84B7A"/>
    <w:rsid w:val="00A85063"/>
    <w:rsid w:val="00A85EB9"/>
    <w:rsid w:val="00A86359"/>
    <w:rsid w:val="00A86FBC"/>
    <w:rsid w:val="00A879C5"/>
    <w:rsid w:val="00A902AD"/>
    <w:rsid w:val="00A9099E"/>
    <w:rsid w:val="00A91FB7"/>
    <w:rsid w:val="00A923AA"/>
    <w:rsid w:val="00A92714"/>
    <w:rsid w:val="00A9298F"/>
    <w:rsid w:val="00A92AA9"/>
    <w:rsid w:val="00A9301E"/>
    <w:rsid w:val="00A93B39"/>
    <w:rsid w:val="00A93E3A"/>
    <w:rsid w:val="00A94A7D"/>
    <w:rsid w:val="00A94AFA"/>
    <w:rsid w:val="00A95186"/>
    <w:rsid w:val="00A951AD"/>
    <w:rsid w:val="00A95675"/>
    <w:rsid w:val="00A961BD"/>
    <w:rsid w:val="00A96DFA"/>
    <w:rsid w:val="00A973B1"/>
    <w:rsid w:val="00AA027E"/>
    <w:rsid w:val="00AA1224"/>
    <w:rsid w:val="00AA14F2"/>
    <w:rsid w:val="00AA180B"/>
    <w:rsid w:val="00AA1D43"/>
    <w:rsid w:val="00AA206C"/>
    <w:rsid w:val="00AA20D7"/>
    <w:rsid w:val="00AA2358"/>
    <w:rsid w:val="00AA2469"/>
    <w:rsid w:val="00AA2CD7"/>
    <w:rsid w:val="00AA2FA4"/>
    <w:rsid w:val="00AA3301"/>
    <w:rsid w:val="00AA3360"/>
    <w:rsid w:val="00AA386B"/>
    <w:rsid w:val="00AA6384"/>
    <w:rsid w:val="00AA6B93"/>
    <w:rsid w:val="00AA7A06"/>
    <w:rsid w:val="00AA7A7F"/>
    <w:rsid w:val="00AB1984"/>
    <w:rsid w:val="00AB1CBB"/>
    <w:rsid w:val="00AB215B"/>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4DBE"/>
    <w:rsid w:val="00AD50F8"/>
    <w:rsid w:val="00AD55CF"/>
    <w:rsid w:val="00AD5CC1"/>
    <w:rsid w:val="00AD6F00"/>
    <w:rsid w:val="00AD719F"/>
    <w:rsid w:val="00AD7447"/>
    <w:rsid w:val="00AD7D36"/>
    <w:rsid w:val="00AE0DED"/>
    <w:rsid w:val="00AE1D05"/>
    <w:rsid w:val="00AE2780"/>
    <w:rsid w:val="00AE284A"/>
    <w:rsid w:val="00AE307E"/>
    <w:rsid w:val="00AE3450"/>
    <w:rsid w:val="00AE3E11"/>
    <w:rsid w:val="00AE40B3"/>
    <w:rsid w:val="00AE4BDC"/>
    <w:rsid w:val="00AE4CFD"/>
    <w:rsid w:val="00AE4EA6"/>
    <w:rsid w:val="00AE51FF"/>
    <w:rsid w:val="00AE55AD"/>
    <w:rsid w:val="00AE5D8F"/>
    <w:rsid w:val="00AE6259"/>
    <w:rsid w:val="00AE67D5"/>
    <w:rsid w:val="00AE7042"/>
    <w:rsid w:val="00AE78ED"/>
    <w:rsid w:val="00AE7AC2"/>
    <w:rsid w:val="00AE7EC9"/>
    <w:rsid w:val="00AF1117"/>
    <w:rsid w:val="00AF1555"/>
    <w:rsid w:val="00AF174E"/>
    <w:rsid w:val="00AF18BA"/>
    <w:rsid w:val="00AF1CA5"/>
    <w:rsid w:val="00AF228C"/>
    <w:rsid w:val="00AF2DB9"/>
    <w:rsid w:val="00AF2F61"/>
    <w:rsid w:val="00AF3928"/>
    <w:rsid w:val="00AF3B55"/>
    <w:rsid w:val="00AF3CF1"/>
    <w:rsid w:val="00AF3D62"/>
    <w:rsid w:val="00AF4146"/>
    <w:rsid w:val="00AF56FE"/>
    <w:rsid w:val="00AF6933"/>
    <w:rsid w:val="00AF6AC5"/>
    <w:rsid w:val="00AF76E6"/>
    <w:rsid w:val="00AF7809"/>
    <w:rsid w:val="00AF7F7B"/>
    <w:rsid w:val="00B00BDE"/>
    <w:rsid w:val="00B0104B"/>
    <w:rsid w:val="00B021E0"/>
    <w:rsid w:val="00B02A26"/>
    <w:rsid w:val="00B02AC5"/>
    <w:rsid w:val="00B03A30"/>
    <w:rsid w:val="00B03A35"/>
    <w:rsid w:val="00B049D7"/>
    <w:rsid w:val="00B04F99"/>
    <w:rsid w:val="00B057B6"/>
    <w:rsid w:val="00B05A7C"/>
    <w:rsid w:val="00B06361"/>
    <w:rsid w:val="00B063BC"/>
    <w:rsid w:val="00B0651D"/>
    <w:rsid w:val="00B06955"/>
    <w:rsid w:val="00B07BEA"/>
    <w:rsid w:val="00B07F41"/>
    <w:rsid w:val="00B102F9"/>
    <w:rsid w:val="00B11A87"/>
    <w:rsid w:val="00B11C80"/>
    <w:rsid w:val="00B12152"/>
    <w:rsid w:val="00B12858"/>
    <w:rsid w:val="00B12DCA"/>
    <w:rsid w:val="00B1328F"/>
    <w:rsid w:val="00B13ECB"/>
    <w:rsid w:val="00B1524F"/>
    <w:rsid w:val="00B15A54"/>
    <w:rsid w:val="00B15ECF"/>
    <w:rsid w:val="00B164C2"/>
    <w:rsid w:val="00B169CD"/>
    <w:rsid w:val="00B16C0A"/>
    <w:rsid w:val="00B17519"/>
    <w:rsid w:val="00B175E5"/>
    <w:rsid w:val="00B17AB5"/>
    <w:rsid w:val="00B17F60"/>
    <w:rsid w:val="00B2039A"/>
    <w:rsid w:val="00B20AC8"/>
    <w:rsid w:val="00B215D5"/>
    <w:rsid w:val="00B21636"/>
    <w:rsid w:val="00B225CB"/>
    <w:rsid w:val="00B22870"/>
    <w:rsid w:val="00B22A22"/>
    <w:rsid w:val="00B22AA6"/>
    <w:rsid w:val="00B23F4C"/>
    <w:rsid w:val="00B24233"/>
    <w:rsid w:val="00B246DD"/>
    <w:rsid w:val="00B248D8"/>
    <w:rsid w:val="00B24BA7"/>
    <w:rsid w:val="00B252FC"/>
    <w:rsid w:val="00B25CD9"/>
    <w:rsid w:val="00B268D0"/>
    <w:rsid w:val="00B269D3"/>
    <w:rsid w:val="00B27F44"/>
    <w:rsid w:val="00B301ED"/>
    <w:rsid w:val="00B30448"/>
    <w:rsid w:val="00B3048B"/>
    <w:rsid w:val="00B30C49"/>
    <w:rsid w:val="00B30D75"/>
    <w:rsid w:val="00B30DAD"/>
    <w:rsid w:val="00B31315"/>
    <w:rsid w:val="00B32383"/>
    <w:rsid w:val="00B3260E"/>
    <w:rsid w:val="00B32C4B"/>
    <w:rsid w:val="00B3407E"/>
    <w:rsid w:val="00B34C84"/>
    <w:rsid w:val="00B34D6A"/>
    <w:rsid w:val="00B35021"/>
    <w:rsid w:val="00B35749"/>
    <w:rsid w:val="00B35E8C"/>
    <w:rsid w:val="00B35EF5"/>
    <w:rsid w:val="00B3677F"/>
    <w:rsid w:val="00B3704D"/>
    <w:rsid w:val="00B37071"/>
    <w:rsid w:val="00B40162"/>
    <w:rsid w:val="00B4054D"/>
    <w:rsid w:val="00B40FDB"/>
    <w:rsid w:val="00B420B2"/>
    <w:rsid w:val="00B42800"/>
    <w:rsid w:val="00B42863"/>
    <w:rsid w:val="00B430F6"/>
    <w:rsid w:val="00B43511"/>
    <w:rsid w:val="00B4357F"/>
    <w:rsid w:val="00B439CD"/>
    <w:rsid w:val="00B43CDA"/>
    <w:rsid w:val="00B43CE6"/>
    <w:rsid w:val="00B45528"/>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3714"/>
    <w:rsid w:val="00B5402E"/>
    <w:rsid w:val="00B540E8"/>
    <w:rsid w:val="00B54681"/>
    <w:rsid w:val="00B55852"/>
    <w:rsid w:val="00B560A9"/>
    <w:rsid w:val="00B56866"/>
    <w:rsid w:val="00B56CC4"/>
    <w:rsid w:val="00B57A91"/>
    <w:rsid w:val="00B57C0C"/>
    <w:rsid w:val="00B604BB"/>
    <w:rsid w:val="00B6062A"/>
    <w:rsid w:val="00B60A96"/>
    <w:rsid w:val="00B60DD7"/>
    <w:rsid w:val="00B60EB6"/>
    <w:rsid w:val="00B60EE5"/>
    <w:rsid w:val="00B610D8"/>
    <w:rsid w:val="00B616A5"/>
    <w:rsid w:val="00B61B11"/>
    <w:rsid w:val="00B628BE"/>
    <w:rsid w:val="00B637FB"/>
    <w:rsid w:val="00B6386F"/>
    <w:rsid w:val="00B648BB"/>
    <w:rsid w:val="00B65D9B"/>
    <w:rsid w:val="00B66085"/>
    <w:rsid w:val="00B66E51"/>
    <w:rsid w:val="00B67346"/>
    <w:rsid w:val="00B6793A"/>
    <w:rsid w:val="00B67AC3"/>
    <w:rsid w:val="00B70880"/>
    <w:rsid w:val="00B71422"/>
    <w:rsid w:val="00B71486"/>
    <w:rsid w:val="00B71607"/>
    <w:rsid w:val="00B71EF7"/>
    <w:rsid w:val="00B72361"/>
    <w:rsid w:val="00B74AB0"/>
    <w:rsid w:val="00B74C4E"/>
    <w:rsid w:val="00B75345"/>
    <w:rsid w:val="00B76327"/>
    <w:rsid w:val="00B76400"/>
    <w:rsid w:val="00B76C3B"/>
    <w:rsid w:val="00B76C94"/>
    <w:rsid w:val="00B76D4E"/>
    <w:rsid w:val="00B76D6E"/>
    <w:rsid w:val="00B771AA"/>
    <w:rsid w:val="00B772D0"/>
    <w:rsid w:val="00B77961"/>
    <w:rsid w:val="00B80A99"/>
    <w:rsid w:val="00B80F4E"/>
    <w:rsid w:val="00B814CF"/>
    <w:rsid w:val="00B81A33"/>
    <w:rsid w:val="00B82B2D"/>
    <w:rsid w:val="00B83117"/>
    <w:rsid w:val="00B8319C"/>
    <w:rsid w:val="00B83E78"/>
    <w:rsid w:val="00B84953"/>
    <w:rsid w:val="00B90351"/>
    <w:rsid w:val="00B906F2"/>
    <w:rsid w:val="00B90D9B"/>
    <w:rsid w:val="00B91259"/>
    <w:rsid w:val="00B91B81"/>
    <w:rsid w:val="00B91FF0"/>
    <w:rsid w:val="00B92FFF"/>
    <w:rsid w:val="00B936F8"/>
    <w:rsid w:val="00B93C9E"/>
    <w:rsid w:val="00B93D2A"/>
    <w:rsid w:val="00B93DB6"/>
    <w:rsid w:val="00B9492E"/>
    <w:rsid w:val="00B95B63"/>
    <w:rsid w:val="00B96799"/>
    <w:rsid w:val="00B96DE5"/>
    <w:rsid w:val="00B96E99"/>
    <w:rsid w:val="00B97A76"/>
    <w:rsid w:val="00BA0166"/>
    <w:rsid w:val="00BA0584"/>
    <w:rsid w:val="00BA0755"/>
    <w:rsid w:val="00BA1E9D"/>
    <w:rsid w:val="00BA249D"/>
    <w:rsid w:val="00BA3C66"/>
    <w:rsid w:val="00BA4D00"/>
    <w:rsid w:val="00BA5665"/>
    <w:rsid w:val="00BA72D9"/>
    <w:rsid w:val="00BB0AB5"/>
    <w:rsid w:val="00BB195B"/>
    <w:rsid w:val="00BB1BBA"/>
    <w:rsid w:val="00BB204A"/>
    <w:rsid w:val="00BB31DF"/>
    <w:rsid w:val="00BB33E9"/>
    <w:rsid w:val="00BB34B7"/>
    <w:rsid w:val="00BB3BE4"/>
    <w:rsid w:val="00BB44DB"/>
    <w:rsid w:val="00BB57D3"/>
    <w:rsid w:val="00BB58EE"/>
    <w:rsid w:val="00BB64EC"/>
    <w:rsid w:val="00BB7589"/>
    <w:rsid w:val="00BB7E42"/>
    <w:rsid w:val="00BB7F95"/>
    <w:rsid w:val="00BC077E"/>
    <w:rsid w:val="00BC08C7"/>
    <w:rsid w:val="00BC0E57"/>
    <w:rsid w:val="00BC1F5F"/>
    <w:rsid w:val="00BC21BE"/>
    <w:rsid w:val="00BC2465"/>
    <w:rsid w:val="00BC3E36"/>
    <w:rsid w:val="00BC4CE8"/>
    <w:rsid w:val="00BC4D54"/>
    <w:rsid w:val="00BC5A52"/>
    <w:rsid w:val="00BC7632"/>
    <w:rsid w:val="00BC7C9E"/>
    <w:rsid w:val="00BD1E79"/>
    <w:rsid w:val="00BD23A5"/>
    <w:rsid w:val="00BD2937"/>
    <w:rsid w:val="00BD2AFC"/>
    <w:rsid w:val="00BD2CD4"/>
    <w:rsid w:val="00BD330C"/>
    <w:rsid w:val="00BD359B"/>
    <w:rsid w:val="00BD3663"/>
    <w:rsid w:val="00BD367F"/>
    <w:rsid w:val="00BD4871"/>
    <w:rsid w:val="00BD48A9"/>
    <w:rsid w:val="00BD5712"/>
    <w:rsid w:val="00BD581A"/>
    <w:rsid w:val="00BD5C02"/>
    <w:rsid w:val="00BD658C"/>
    <w:rsid w:val="00BD678A"/>
    <w:rsid w:val="00BD6819"/>
    <w:rsid w:val="00BD74AF"/>
    <w:rsid w:val="00BD7EC6"/>
    <w:rsid w:val="00BE063A"/>
    <w:rsid w:val="00BE0FF2"/>
    <w:rsid w:val="00BE1345"/>
    <w:rsid w:val="00BE18BC"/>
    <w:rsid w:val="00BE2147"/>
    <w:rsid w:val="00BE239E"/>
    <w:rsid w:val="00BE2743"/>
    <w:rsid w:val="00BE3B83"/>
    <w:rsid w:val="00BE3C67"/>
    <w:rsid w:val="00BE3CF7"/>
    <w:rsid w:val="00BE42FC"/>
    <w:rsid w:val="00BE6085"/>
    <w:rsid w:val="00BE66FC"/>
    <w:rsid w:val="00BE73FA"/>
    <w:rsid w:val="00BE7CE8"/>
    <w:rsid w:val="00BF00D1"/>
    <w:rsid w:val="00BF0353"/>
    <w:rsid w:val="00BF090A"/>
    <w:rsid w:val="00BF2001"/>
    <w:rsid w:val="00BF21E1"/>
    <w:rsid w:val="00BF2575"/>
    <w:rsid w:val="00BF31A0"/>
    <w:rsid w:val="00BF323A"/>
    <w:rsid w:val="00BF36C0"/>
    <w:rsid w:val="00BF396F"/>
    <w:rsid w:val="00BF3F0A"/>
    <w:rsid w:val="00BF4C06"/>
    <w:rsid w:val="00BF4E35"/>
    <w:rsid w:val="00BF5FB3"/>
    <w:rsid w:val="00BF6F82"/>
    <w:rsid w:val="00BF7343"/>
    <w:rsid w:val="00BF7B9B"/>
    <w:rsid w:val="00C00682"/>
    <w:rsid w:val="00C0083F"/>
    <w:rsid w:val="00C00976"/>
    <w:rsid w:val="00C00C33"/>
    <w:rsid w:val="00C01DCF"/>
    <w:rsid w:val="00C020CD"/>
    <w:rsid w:val="00C02DDE"/>
    <w:rsid w:val="00C0367B"/>
    <w:rsid w:val="00C04E51"/>
    <w:rsid w:val="00C05074"/>
    <w:rsid w:val="00C05AF9"/>
    <w:rsid w:val="00C060A3"/>
    <w:rsid w:val="00C060B0"/>
    <w:rsid w:val="00C063C9"/>
    <w:rsid w:val="00C06D2C"/>
    <w:rsid w:val="00C072F0"/>
    <w:rsid w:val="00C07344"/>
    <w:rsid w:val="00C074CE"/>
    <w:rsid w:val="00C079A3"/>
    <w:rsid w:val="00C07C1F"/>
    <w:rsid w:val="00C07C79"/>
    <w:rsid w:val="00C1000F"/>
    <w:rsid w:val="00C105CF"/>
    <w:rsid w:val="00C118A0"/>
    <w:rsid w:val="00C11A79"/>
    <w:rsid w:val="00C1211E"/>
    <w:rsid w:val="00C13607"/>
    <w:rsid w:val="00C137B1"/>
    <w:rsid w:val="00C13B43"/>
    <w:rsid w:val="00C15E81"/>
    <w:rsid w:val="00C160D6"/>
    <w:rsid w:val="00C174C9"/>
    <w:rsid w:val="00C176F1"/>
    <w:rsid w:val="00C1789E"/>
    <w:rsid w:val="00C17B6E"/>
    <w:rsid w:val="00C200BA"/>
    <w:rsid w:val="00C20748"/>
    <w:rsid w:val="00C20754"/>
    <w:rsid w:val="00C20C24"/>
    <w:rsid w:val="00C21378"/>
    <w:rsid w:val="00C220A5"/>
    <w:rsid w:val="00C22307"/>
    <w:rsid w:val="00C22BB2"/>
    <w:rsid w:val="00C22EAF"/>
    <w:rsid w:val="00C23150"/>
    <w:rsid w:val="00C24580"/>
    <w:rsid w:val="00C24908"/>
    <w:rsid w:val="00C250E8"/>
    <w:rsid w:val="00C2515F"/>
    <w:rsid w:val="00C2594D"/>
    <w:rsid w:val="00C25B30"/>
    <w:rsid w:val="00C25DCF"/>
    <w:rsid w:val="00C26AEA"/>
    <w:rsid w:val="00C276EC"/>
    <w:rsid w:val="00C27C0A"/>
    <w:rsid w:val="00C31713"/>
    <w:rsid w:val="00C31AD4"/>
    <w:rsid w:val="00C31C63"/>
    <w:rsid w:val="00C31E2D"/>
    <w:rsid w:val="00C32481"/>
    <w:rsid w:val="00C3394C"/>
    <w:rsid w:val="00C33F21"/>
    <w:rsid w:val="00C34581"/>
    <w:rsid w:val="00C34AD7"/>
    <w:rsid w:val="00C3516D"/>
    <w:rsid w:val="00C361A6"/>
    <w:rsid w:val="00C365C5"/>
    <w:rsid w:val="00C3670F"/>
    <w:rsid w:val="00C36E1A"/>
    <w:rsid w:val="00C371DF"/>
    <w:rsid w:val="00C37818"/>
    <w:rsid w:val="00C37EFC"/>
    <w:rsid w:val="00C37FF9"/>
    <w:rsid w:val="00C40126"/>
    <w:rsid w:val="00C40A24"/>
    <w:rsid w:val="00C41099"/>
    <w:rsid w:val="00C41425"/>
    <w:rsid w:val="00C41B4A"/>
    <w:rsid w:val="00C4204A"/>
    <w:rsid w:val="00C4213A"/>
    <w:rsid w:val="00C42C11"/>
    <w:rsid w:val="00C43ADB"/>
    <w:rsid w:val="00C44949"/>
    <w:rsid w:val="00C44B4C"/>
    <w:rsid w:val="00C450E3"/>
    <w:rsid w:val="00C45830"/>
    <w:rsid w:val="00C45C16"/>
    <w:rsid w:val="00C45C56"/>
    <w:rsid w:val="00C45CCD"/>
    <w:rsid w:val="00C45E2B"/>
    <w:rsid w:val="00C46734"/>
    <w:rsid w:val="00C50112"/>
    <w:rsid w:val="00C5105D"/>
    <w:rsid w:val="00C511F0"/>
    <w:rsid w:val="00C513C7"/>
    <w:rsid w:val="00C51639"/>
    <w:rsid w:val="00C53220"/>
    <w:rsid w:val="00C533A0"/>
    <w:rsid w:val="00C537E7"/>
    <w:rsid w:val="00C53E9D"/>
    <w:rsid w:val="00C5426B"/>
    <w:rsid w:val="00C54ADE"/>
    <w:rsid w:val="00C54C18"/>
    <w:rsid w:val="00C570C7"/>
    <w:rsid w:val="00C573DA"/>
    <w:rsid w:val="00C5772E"/>
    <w:rsid w:val="00C5781B"/>
    <w:rsid w:val="00C57DA8"/>
    <w:rsid w:val="00C616B4"/>
    <w:rsid w:val="00C621A7"/>
    <w:rsid w:val="00C62AA0"/>
    <w:rsid w:val="00C62BF2"/>
    <w:rsid w:val="00C62D1B"/>
    <w:rsid w:val="00C63892"/>
    <w:rsid w:val="00C638A6"/>
    <w:rsid w:val="00C63FB9"/>
    <w:rsid w:val="00C64266"/>
    <w:rsid w:val="00C647DF"/>
    <w:rsid w:val="00C66CE8"/>
    <w:rsid w:val="00C70074"/>
    <w:rsid w:val="00C70DF4"/>
    <w:rsid w:val="00C71252"/>
    <w:rsid w:val="00C7277F"/>
    <w:rsid w:val="00C73C07"/>
    <w:rsid w:val="00C74930"/>
    <w:rsid w:val="00C74B47"/>
    <w:rsid w:val="00C74D80"/>
    <w:rsid w:val="00C754BD"/>
    <w:rsid w:val="00C75D3A"/>
    <w:rsid w:val="00C761B5"/>
    <w:rsid w:val="00C769A9"/>
    <w:rsid w:val="00C774C9"/>
    <w:rsid w:val="00C77F1B"/>
    <w:rsid w:val="00C80987"/>
    <w:rsid w:val="00C80A3F"/>
    <w:rsid w:val="00C8180E"/>
    <w:rsid w:val="00C818A9"/>
    <w:rsid w:val="00C82436"/>
    <w:rsid w:val="00C82933"/>
    <w:rsid w:val="00C82BE2"/>
    <w:rsid w:val="00C83E9B"/>
    <w:rsid w:val="00C83EF2"/>
    <w:rsid w:val="00C84BBF"/>
    <w:rsid w:val="00C84BE9"/>
    <w:rsid w:val="00C85DEF"/>
    <w:rsid w:val="00C910F8"/>
    <w:rsid w:val="00C91106"/>
    <w:rsid w:val="00C9117B"/>
    <w:rsid w:val="00C91D19"/>
    <w:rsid w:val="00C93B58"/>
    <w:rsid w:val="00C93C2F"/>
    <w:rsid w:val="00C9437C"/>
    <w:rsid w:val="00C946E4"/>
    <w:rsid w:val="00C946FF"/>
    <w:rsid w:val="00C94A14"/>
    <w:rsid w:val="00C94CDA"/>
    <w:rsid w:val="00C9539C"/>
    <w:rsid w:val="00C95BED"/>
    <w:rsid w:val="00C96725"/>
    <w:rsid w:val="00C9782A"/>
    <w:rsid w:val="00C97A66"/>
    <w:rsid w:val="00CA007B"/>
    <w:rsid w:val="00CA0AA4"/>
    <w:rsid w:val="00CA15B0"/>
    <w:rsid w:val="00CA1D4C"/>
    <w:rsid w:val="00CA1D50"/>
    <w:rsid w:val="00CA1DAB"/>
    <w:rsid w:val="00CA20E0"/>
    <w:rsid w:val="00CA2598"/>
    <w:rsid w:val="00CA3347"/>
    <w:rsid w:val="00CA4A8D"/>
    <w:rsid w:val="00CA523D"/>
    <w:rsid w:val="00CA5AED"/>
    <w:rsid w:val="00CA6AD9"/>
    <w:rsid w:val="00CA6FDA"/>
    <w:rsid w:val="00CA77CF"/>
    <w:rsid w:val="00CA7896"/>
    <w:rsid w:val="00CA7B58"/>
    <w:rsid w:val="00CB0836"/>
    <w:rsid w:val="00CB1413"/>
    <w:rsid w:val="00CB2518"/>
    <w:rsid w:val="00CB255D"/>
    <w:rsid w:val="00CB3920"/>
    <w:rsid w:val="00CB4C4C"/>
    <w:rsid w:val="00CB5333"/>
    <w:rsid w:val="00CB6413"/>
    <w:rsid w:val="00CB696F"/>
    <w:rsid w:val="00CB6A00"/>
    <w:rsid w:val="00CB7097"/>
    <w:rsid w:val="00CB77F4"/>
    <w:rsid w:val="00CC0F1C"/>
    <w:rsid w:val="00CC299A"/>
    <w:rsid w:val="00CC3039"/>
    <w:rsid w:val="00CC32B7"/>
    <w:rsid w:val="00CC36DE"/>
    <w:rsid w:val="00CC4F99"/>
    <w:rsid w:val="00CC5CDC"/>
    <w:rsid w:val="00CC5FC3"/>
    <w:rsid w:val="00CC6369"/>
    <w:rsid w:val="00CC64E7"/>
    <w:rsid w:val="00CC65D6"/>
    <w:rsid w:val="00CC66EC"/>
    <w:rsid w:val="00CC73F3"/>
    <w:rsid w:val="00CC7B85"/>
    <w:rsid w:val="00CD081C"/>
    <w:rsid w:val="00CD093F"/>
    <w:rsid w:val="00CD14DA"/>
    <w:rsid w:val="00CD1B5A"/>
    <w:rsid w:val="00CD1E9C"/>
    <w:rsid w:val="00CD2083"/>
    <w:rsid w:val="00CD228A"/>
    <w:rsid w:val="00CD27DB"/>
    <w:rsid w:val="00CD2E70"/>
    <w:rsid w:val="00CD386B"/>
    <w:rsid w:val="00CD3D06"/>
    <w:rsid w:val="00CD4A09"/>
    <w:rsid w:val="00CD4C67"/>
    <w:rsid w:val="00CD4C7B"/>
    <w:rsid w:val="00CD5397"/>
    <w:rsid w:val="00CD5E93"/>
    <w:rsid w:val="00CD7BC7"/>
    <w:rsid w:val="00CE15AE"/>
    <w:rsid w:val="00CE1C12"/>
    <w:rsid w:val="00CE1CFC"/>
    <w:rsid w:val="00CE235A"/>
    <w:rsid w:val="00CE37A3"/>
    <w:rsid w:val="00CE3814"/>
    <w:rsid w:val="00CE56B7"/>
    <w:rsid w:val="00CE5EC7"/>
    <w:rsid w:val="00CE6660"/>
    <w:rsid w:val="00CE6855"/>
    <w:rsid w:val="00CE6B6F"/>
    <w:rsid w:val="00CE7033"/>
    <w:rsid w:val="00CE7075"/>
    <w:rsid w:val="00CE770A"/>
    <w:rsid w:val="00CF02A6"/>
    <w:rsid w:val="00CF05A6"/>
    <w:rsid w:val="00CF06CF"/>
    <w:rsid w:val="00CF101C"/>
    <w:rsid w:val="00CF15C5"/>
    <w:rsid w:val="00CF15FA"/>
    <w:rsid w:val="00CF2197"/>
    <w:rsid w:val="00CF2DC1"/>
    <w:rsid w:val="00CF2EE2"/>
    <w:rsid w:val="00CF3948"/>
    <w:rsid w:val="00CF3ACF"/>
    <w:rsid w:val="00CF441D"/>
    <w:rsid w:val="00CF4FCF"/>
    <w:rsid w:val="00CF4FDC"/>
    <w:rsid w:val="00CF56AF"/>
    <w:rsid w:val="00CF5BE0"/>
    <w:rsid w:val="00CF5BF1"/>
    <w:rsid w:val="00CF5EAF"/>
    <w:rsid w:val="00CF61CB"/>
    <w:rsid w:val="00CF666F"/>
    <w:rsid w:val="00CF686F"/>
    <w:rsid w:val="00CF6CA7"/>
    <w:rsid w:val="00CF6E7D"/>
    <w:rsid w:val="00D00175"/>
    <w:rsid w:val="00D00223"/>
    <w:rsid w:val="00D00DBF"/>
    <w:rsid w:val="00D0149B"/>
    <w:rsid w:val="00D01F5D"/>
    <w:rsid w:val="00D01FA9"/>
    <w:rsid w:val="00D03DBE"/>
    <w:rsid w:val="00D03EED"/>
    <w:rsid w:val="00D0538A"/>
    <w:rsid w:val="00D0597D"/>
    <w:rsid w:val="00D06274"/>
    <w:rsid w:val="00D066D8"/>
    <w:rsid w:val="00D075BD"/>
    <w:rsid w:val="00D07FB9"/>
    <w:rsid w:val="00D112EE"/>
    <w:rsid w:val="00D11949"/>
    <w:rsid w:val="00D11A69"/>
    <w:rsid w:val="00D12C98"/>
    <w:rsid w:val="00D12FFC"/>
    <w:rsid w:val="00D1484F"/>
    <w:rsid w:val="00D14BA0"/>
    <w:rsid w:val="00D14D7B"/>
    <w:rsid w:val="00D15081"/>
    <w:rsid w:val="00D1516D"/>
    <w:rsid w:val="00D158B0"/>
    <w:rsid w:val="00D1707A"/>
    <w:rsid w:val="00D202D1"/>
    <w:rsid w:val="00D21435"/>
    <w:rsid w:val="00D2242C"/>
    <w:rsid w:val="00D224FA"/>
    <w:rsid w:val="00D23033"/>
    <w:rsid w:val="00D23D7D"/>
    <w:rsid w:val="00D2402F"/>
    <w:rsid w:val="00D242E0"/>
    <w:rsid w:val="00D245C2"/>
    <w:rsid w:val="00D25660"/>
    <w:rsid w:val="00D258EB"/>
    <w:rsid w:val="00D25AEB"/>
    <w:rsid w:val="00D271CD"/>
    <w:rsid w:val="00D2723C"/>
    <w:rsid w:val="00D27DFD"/>
    <w:rsid w:val="00D30CFB"/>
    <w:rsid w:val="00D315CC"/>
    <w:rsid w:val="00D32067"/>
    <w:rsid w:val="00D327A3"/>
    <w:rsid w:val="00D33158"/>
    <w:rsid w:val="00D34C82"/>
    <w:rsid w:val="00D35182"/>
    <w:rsid w:val="00D36334"/>
    <w:rsid w:val="00D36550"/>
    <w:rsid w:val="00D373FA"/>
    <w:rsid w:val="00D379EC"/>
    <w:rsid w:val="00D41DE0"/>
    <w:rsid w:val="00D41E42"/>
    <w:rsid w:val="00D41F6B"/>
    <w:rsid w:val="00D42380"/>
    <w:rsid w:val="00D42C9B"/>
    <w:rsid w:val="00D4348D"/>
    <w:rsid w:val="00D436D7"/>
    <w:rsid w:val="00D44E42"/>
    <w:rsid w:val="00D44FC3"/>
    <w:rsid w:val="00D450E2"/>
    <w:rsid w:val="00D453D7"/>
    <w:rsid w:val="00D4552D"/>
    <w:rsid w:val="00D462D6"/>
    <w:rsid w:val="00D46609"/>
    <w:rsid w:val="00D474AB"/>
    <w:rsid w:val="00D4754E"/>
    <w:rsid w:val="00D50961"/>
    <w:rsid w:val="00D50A02"/>
    <w:rsid w:val="00D512A1"/>
    <w:rsid w:val="00D52AB4"/>
    <w:rsid w:val="00D52F26"/>
    <w:rsid w:val="00D531F5"/>
    <w:rsid w:val="00D538C1"/>
    <w:rsid w:val="00D538D5"/>
    <w:rsid w:val="00D54640"/>
    <w:rsid w:val="00D55455"/>
    <w:rsid w:val="00D559B5"/>
    <w:rsid w:val="00D56420"/>
    <w:rsid w:val="00D56A94"/>
    <w:rsid w:val="00D56C0C"/>
    <w:rsid w:val="00D5798B"/>
    <w:rsid w:val="00D60736"/>
    <w:rsid w:val="00D6170E"/>
    <w:rsid w:val="00D61B58"/>
    <w:rsid w:val="00D6307D"/>
    <w:rsid w:val="00D63632"/>
    <w:rsid w:val="00D63732"/>
    <w:rsid w:val="00D6405D"/>
    <w:rsid w:val="00D6568E"/>
    <w:rsid w:val="00D65893"/>
    <w:rsid w:val="00D658EC"/>
    <w:rsid w:val="00D6684E"/>
    <w:rsid w:val="00D6742A"/>
    <w:rsid w:val="00D67612"/>
    <w:rsid w:val="00D67B9B"/>
    <w:rsid w:val="00D71733"/>
    <w:rsid w:val="00D718AC"/>
    <w:rsid w:val="00D719A3"/>
    <w:rsid w:val="00D71E7A"/>
    <w:rsid w:val="00D72DE7"/>
    <w:rsid w:val="00D7302F"/>
    <w:rsid w:val="00D73BB2"/>
    <w:rsid w:val="00D74D14"/>
    <w:rsid w:val="00D74F3B"/>
    <w:rsid w:val="00D752E7"/>
    <w:rsid w:val="00D7574B"/>
    <w:rsid w:val="00D75E82"/>
    <w:rsid w:val="00D7610B"/>
    <w:rsid w:val="00D76270"/>
    <w:rsid w:val="00D769C5"/>
    <w:rsid w:val="00D76E76"/>
    <w:rsid w:val="00D80631"/>
    <w:rsid w:val="00D818EC"/>
    <w:rsid w:val="00D81A20"/>
    <w:rsid w:val="00D81F55"/>
    <w:rsid w:val="00D8321A"/>
    <w:rsid w:val="00D84A86"/>
    <w:rsid w:val="00D85152"/>
    <w:rsid w:val="00D85F2C"/>
    <w:rsid w:val="00D861BD"/>
    <w:rsid w:val="00D861C3"/>
    <w:rsid w:val="00D86D55"/>
    <w:rsid w:val="00D8789C"/>
    <w:rsid w:val="00D87B3F"/>
    <w:rsid w:val="00D9003D"/>
    <w:rsid w:val="00D90558"/>
    <w:rsid w:val="00D9082F"/>
    <w:rsid w:val="00D90C7E"/>
    <w:rsid w:val="00D914EB"/>
    <w:rsid w:val="00D91DE5"/>
    <w:rsid w:val="00D92783"/>
    <w:rsid w:val="00D94085"/>
    <w:rsid w:val="00D95824"/>
    <w:rsid w:val="00D96D4F"/>
    <w:rsid w:val="00DA1806"/>
    <w:rsid w:val="00DA1BD1"/>
    <w:rsid w:val="00DA212B"/>
    <w:rsid w:val="00DA3A76"/>
    <w:rsid w:val="00DA6D6D"/>
    <w:rsid w:val="00DA73C1"/>
    <w:rsid w:val="00DA770D"/>
    <w:rsid w:val="00DA7851"/>
    <w:rsid w:val="00DA7DC1"/>
    <w:rsid w:val="00DB00EE"/>
    <w:rsid w:val="00DB0132"/>
    <w:rsid w:val="00DB2754"/>
    <w:rsid w:val="00DB2D88"/>
    <w:rsid w:val="00DB3687"/>
    <w:rsid w:val="00DB38D1"/>
    <w:rsid w:val="00DB3DB9"/>
    <w:rsid w:val="00DB41CB"/>
    <w:rsid w:val="00DB509C"/>
    <w:rsid w:val="00DB50B9"/>
    <w:rsid w:val="00DB62AB"/>
    <w:rsid w:val="00DB681B"/>
    <w:rsid w:val="00DB7E24"/>
    <w:rsid w:val="00DC0445"/>
    <w:rsid w:val="00DC15DE"/>
    <w:rsid w:val="00DC2082"/>
    <w:rsid w:val="00DC225F"/>
    <w:rsid w:val="00DC238C"/>
    <w:rsid w:val="00DC2883"/>
    <w:rsid w:val="00DC2AEB"/>
    <w:rsid w:val="00DC2C48"/>
    <w:rsid w:val="00DC3505"/>
    <w:rsid w:val="00DC3D91"/>
    <w:rsid w:val="00DC46B5"/>
    <w:rsid w:val="00DC4B28"/>
    <w:rsid w:val="00DC4B5D"/>
    <w:rsid w:val="00DC525E"/>
    <w:rsid w:val="00DC535C"/>
    <w:rsid w:val="00DC5DCB"/>
    <w:rsid w:val="00DC6C0D"/>
    <w:rsid w:val="00DD074A"/>
    <w:rsid w:val="00DD0D70"/>
    <w:rsid w:val="00DD1941"/>
    <w:rsid w:val="00DD26A5"/>
    <w:rsid w:val="00DD2812"/>
    <w:rsid w:val="00DD34F2"/>
    <w:rsid w:val="00DD3C6B"/>
    <w:rsid w:val="00DD54ED"/>
    <w:rsid w:val="00DD62CF"/>
    <w:rsid w:val="00DD697F"/>
    <w:rsid w:val="00DD699C"/>
    <w:rsid w:val="00DD739F"/>
    <w:rsid w:val="00DD7631"/>
    <w:rsid w:val="00DD7762"/>
    <w:rsid w:val="00DD781E"/>
    <w:rsid w:val="00DD7A2C"/>
    <w:rsid w:val="00DD7F63"/>
    <w:rsid w:val="00DE0A1B"/>
    <w:rsid w:val="00DE1238"/>
    <w:rsid w:val="00DE1FFE"/>
    <w:rsid w:val="00DE2F9E"/>
    <w:rsid w:val="00DE31B1"/>
    <w:rsid w:val="00DE32E7"/>
    <w:rsid w:val="00DE3BB8"/>
    <w:rsid w:val="00DE40EB"/>
    <w:rsid w:val="00DE5117"/>
    <w:rsid w:val="00DE5648"/>
    <w:rsid w:val="00DE568A"/>
    <w:rsid w:val="00DE595E"/>
    <w:rsid w:val="00DE5A6F"/>
    <w:rsid w:val="00DE5CD9"/>
    <w:rsid w:val="00DE6A70"/>
    <w:rsid w:val="00DE70B5"/>
    <w:rsid w:val="00DE7113"/>
    <w:rsid w:val="00DF00F9"/>
    <w:rsid w:val="00DF0576"/>
    <w:rsid w:val="00DF153C"/>
    <w:rsid w:val="00DF1981"/>
    <w:rsid w:val="00DF1D07"/>
    <w:rsid w:val="00DF1E89"/>
    <w:rsid w:val="00DF2144"/>
    <w:rsid w:val="00DF285B"/>
    <w:rsid w:val="00DF2EA5"/>
    <w:rsid w:val="00DF310B"/>
    <w:rsid w:val="00DF3E47"/>
    <w:rsid w:val="00DF56E8"/>
    <w:rsid w:val="00DF6522"/>
    <w:rsid w:val="00DF6655"/>
    <w:rsid w:val="00DF6BAE"/>
    <w:rsid w:val="00DF6EB6"/>
    <w:rsid w:val="00DF7133"/>
    <w:rsid w:val="00DF722A"/>
    <w:rsid w:val="00DF764C"/>
    <w:rsid w:val="00DF7713"/>
    <w:rsid w:val="00DF7FBF"/>
    <w:rsid w:val="00E00BB4"/>
    <w:rsid w:val="00E00CAA"/>
    <w:rsid w:val="00E01441"/>
    <w:rsid w:val="00E01682"/>
    <w:rsid w:val="00E01D4A"/>
    <w:rsid w:val="00E02F4B"/>
    <w:rsid w:val="00E03D04"/>
    <w:rsid w:val="00E04332"/>
    <w:rsid w:val="00E043BB"/>
    <w:rsid w:val="00E04ECF"/>
    <w:rsid w:val="00E0502A"/>
    <w:rsid w:val="00E05902"/>
    <w:rsid w:val="00E0610A"/>
    <w:rsid w:val="00E067C4"/>
    <w:rsid w:val="00E06A36"/>
    <w:rsid w:val="00E07E68"/>
    <w:rsid w:val="00E10DD6"/>
    <w:rsid w:val="00E11DBD"/>
    <w:rsid w:val="00E12021"/>
    <w:rsid w:val="00E126B2"/>
    <w:rsid w:val="00E127E3"/>
    <w:rsid w:val="00E1319F"/>
    <w:rsid w:val="00E13E8F"/>
    <w:rsid w:val="00E14818"/>
    <w:rsid w:val="00E148E8"/>
    <w:rsid w:val="00E1610C"/>
    <w:rsid w:val="00E161ED"/>
    <w:rsid w:val="00E162BD"/>
    <w:rsid w:val="00E16660"/>
    <w:rsid w:val="00E16C78"/>
    <w:rsid w:val="00E16D73"/>
    <w:rsid w:val="00E17296"/>
    <w:rsid w:val="00E17833"/>
    <w:rsid w:val="00E17981"/>
    <w:rsid w:val="00E17CD2"/>
    <w:rsid w:val="00E17E36"/>
    <w:rsid w:val="00E201F2"/>
    <w:rsid w:val="00E20526"/>
    <w:rsid w:val="00E206D8"/>
    <w:rsid w:val="00E20A87"/>
    <w:rsid w:val="00E21C65"/>
    <w:rsid w:val="00E2307E"/>
    <w:rsid w:val="00E2352B"/>
    <w:rsid w:val="00E23E11"/>
    <w:rsid w:val="00E23E84"/>
    <w:rsid w:val="00E23F9B"/>
    <w:rsid w:val="00E24D23"/>
    <w:rsid w:val="00E26285"/>
    <w:rsid w:val="00E26649"/>
    <w:rsid w:val="00E2703D"/>
    <w:rsid w:val="00E271F9"/>
    <w:rsid w:val="00E27F0A"/>
    <w:rsid w:val="00E309B0"/>
    <w:rsid w:val="00E31DA8"/>
    <w:rsid w:val="00E32143"/>
    <w:rsid w:val="00E32397"/>
    <w:rsid w:val="00E326E9"/>
    <w:rsid w:val="00E33C43"/>
    <w:rsid w:val="00E345C2"/>
    <w:rsid w:val="00E34D99"/>
    <w:rsid w:val="00E352C3"/>
    <w:rsid w:val="00E35476"/>
    <w:rsid w:val="00E355C0"/>
    <w:rsid w:val="00E359A5"/>
    <w:rsid w:val="00E359ED"/>
    <w:rsid w:val="00E35C28"/>
    <w:rsid w:val="00E372F7"/>
    <w:rsid w:val="00E37DC0"/>
    <w:rsid w:val="00E37EC6"/>
    <w:rsid w:val="00E40432"/>
    <w:rsid w:val="00E40850"/>
    <w:rsid w:val="00E40D52"/>
    <w:rsid w:val="00E41187"/>
    <w:rsid w:val="00E411B3"/>
    <w:rsid w:val="00E41585"/>
    <w:rsid w:val="00E4212D"/>
    <w:rsid w:val="00E4220D"/>
    <w:rsid w:val="00E4231E"/>
    <w:rsid w:val="00E4254A"/>
    <w:rsid w:val="00E4279A"/>
    <w:rsid w:val="00E44AC7"/>
    <w:rsid w:val="00E45B2D"/>
    <w:rsid w:val="00E4614A"/>
    <w:rsid w:val="00E468F2"/>
    <w:rsid w:val="00E47A20"/>
    <w:rsid w:val="00E507A5"/>
    <w:rsid w:val="00E5084C"/>
    <w:rsid w:val="00E50871"/>
    <w:rsid w:val="00E50969"/>
    <w:rsid w:val="00E50AD9"/>
    <w:rsid w:val="00E50B4C"/>
    <w:rsid w:val="00E52063"/>
    <w:rsid w:val="00E53533"/>
    <w:rsid w:val="00E537ED"/>
    <w:rsid w:val="00E5384D"/>
    <w:rsid w:val="00E53F2E"/>
    <w:rsid w:val="00E54004"/>
    <w:rsid w:val="00E546C9"/>
    <w:rsid w:val="00E54BB9"/>
    <w:rsid w:val="00E54D3F"/>
    <w:rsid w:val="00E55F1F"/>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1FF1"/>
    <w:rsid w:val="00E7266C"/>
    <w:rsid w:val="00E72BB6"/>
    <w:rsid w:val="00E730AC"/>
    <w:rsid w:val="00E734CE"/>
    <w:rsid w:val="00E73D33"/>
    <w:rsid w:val="00E74651"/>
    <w:rsid w:val="00E74E14"/>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F34"/>
    <w:rsid w:val="00E848F0"/>
    <w:rsid w:val="00E84D1C"/>
    <w:rsid w:val="00E84D9C"/>
    <w:rsid w:val="00E8628F"/>
    <w:rsid w:val="00E86888"/>
    <w:rsid w:val="00E91475"/>
    <w:rsid w:val="00E92C96"/>
    <w:rsid w:val="00E942B8"/>
    <w:rsid w:val="00E944ED"/>
    <w:rsid w:val="00E945AF"/>
    <w:rsid w:val="00E94A0B"/>
    <w:rsid w:val="00E94A2C"/>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05D"/>
    <w:rsid w:val="00EA3106"/>
    <w:rsid w:val="00EA36FD"/>
    <w:rsid w:val="00EA3874"/>
    <w:rsid w:val="00EA51E8"/>
    <w:rsid w:val="00EA56F4"/>
    <w:rsid w:val="00EA5AB6"/>
    <w:rsid w:val="00EA612E"/>
    <w:rsid w:val="00EA761C"/>
    <w:rsid w:val="00EA76A0"/>
    <w:rsid w:val="00EA7D7F"/>
    <w:rsid w:val="00EB0810"/>
    <w:rsid w:val="00EB0B5F"/>
    <w:rsid w:val="00EB1CF7"/>
    <w:rsid w:val="00EB25C2"/>
    <w:rsid w:val="00EB2B6F"/>
    <w:rsid w:val="00EB2CAD"/>
    <w:rsid w:val="00EB2FA2"/>
    <w:rsid w:val="00EB3272"/>
    <w:rsid w:val="00EB37B2"/>
    <w:rsid w:val="00EB3FF9"/>
    <w:rsid w:val="00EB69A3"/>
    <w:rsid w:val="00EB7352"/>
    <w:rsid w:val="00EB769A"/>
    <w:rsid w:val="00EC02C3"/>
    <w:rsid w:val="00EC096E"/>
    <w:rsid w:val="00EC11E4"/>
    <w:rsid w:val="00EC14E1"/>
    <w:rsid w:val="00EC2428"/>
    <w:rsid w:val="00EC29DD"/>
    <w:rsid w:val="00EC2A3F"/>
    <w:rsid w:val="00EC2E64"/>
    <w:rsid w:val="00EC3A35"/>
    <w:rsid w:val="00EC3C52"/>
    <w:rsid w:val="00EC3E69"/>
    <w:rsid w:val="00EC41A7"/>
    <w:rsid w:val="00EC5554"/>
    <w:rsid w:val="00EC572B"/>
    <w:rsid w:val="00EC5B8E"/>
    <w:rsid w:val="00EC7356"/>
    <w:rsid w:val="00EC75F6"/>
    <w:rsid w:val="00ED0065"/>
    <w:rsid w:val="00ED1414"/>
    <w:rsid w:val="00ED17B5"/>
    <w:rsid w:val="00ED1D2D"/>
    <w:rsid w:val="00ED353D"/>
    <w:rsid w:val="00ED3DB2"/>
    <w:rsid w:val="00ED588C"/>
    <w:rsid w:val="00ED6852"/>
    <w:rsid w:val="00ED6E7A"/>
    <w:rsid w:val="00ED6EA1"/>
    <w:rsid w:val="00ED7A7F"/>
    <w:rsid w:val="00EE07AC"/>
    <w:rsid w:val="00EE0891"/>
    <w:rsid w:val="00EE1062"/>
    <w:rsid w:val="00EE17F2"/>
    <w:rsid w:val="00EE188A"/>
    <w:rsid w:val="00EE1B01"/>
    <w:rsid w:val="00EE1DB8"/>
    <w:rsid w:val="00EE2746"/>
    <w:rsid w:val="00EE3011"/>
    <w:rsid w:val="00EE4759"/>
    <w:rsid w:val="00EE4C20"/>
    <w:rsid w:val="00EE4F0E"/>
    <w:rsid w:val="00EE4F2D"/>
    <w:rsid w:val="00EE524C"/>
    <w:rsid w:val="00EE5BCC"/>
    <w:rsid w:val="00EE63A0"/>
    <w:rsid w:val="00EE6755"/>
    <w:rsid w:val="00EE6EFF"/>
    <w:rsid w:val="00EF00C3"/>
    <w:rsid w:val="00EF03DC"/>
    <w:rsid w:val="00EF0437"/>
    <w:rsid w:val="00EF0BFE"/>
    <w:rsid w:val="00EF135A"/>
    <w:rsid w:val="00EF2AC7"/>
    <w:rsid w:val="00EF3397"/>
    <w:rsid w:val="00EF40BF"/>
    <w:rsid w:val="00EF4557"/>
    <w:rsid w:val="00EF493F"/>
    <w:rsid w:val="00EF5575"/>
    <w:rsid w:val="00EF5947"/>
    <w:rsid w:val="00EF5E22"/>
    <w:rsid w:val="00EF60CA"/>
    <w:rsid w:val="00EF63C1"/>
    <w:rsid w:val="00EF6C2B"/>
    <w:rsid w:val="00F008BD"/>
    <w:rsid w:val="00F021A9"/>
    <w:rsid w:val="00F02C54"/>
    <w:rsid w:val="00F02D03"/>
    <w:rsid w:val="00F035DB"/>
    <w:rsid w:val="00F0448C"/>
    <w:rsid w:val="00F0466D"/>
    <w:rsid w:val="00F0498C"/>
    <w:rsid w:val="00F054D2"/>
    <w:rsid w:val="00F0553C"/>
    <w:rsid w:val="00F06BA7"/>
    <w:rsid w:val="00F071BA"/>
    <w:rsid w:val="00F1284F"/>
    <w:rsid w:val="00F136A4"/>
    <w:rsid w:val="00F1377B"/>
    <w:rsid w:val="00F13908"/>
    <w:rsid w:val="00F13C5E"/>
    <w:rsid w:val="00F14108"/>
    <w:rsid w:val="00F148D5"/>
    <w:rsid w:val="00F15445"/>
    <w:rsid w:val="00F1601A"/>
    <w:rsid w:val="00F160BF"/>
    <w:rsid w:val="00F1675C"/>
    <w:rsid w:val="00F16A3C"/>
    <w:rsid w:val="00F17428"/>
    <w:rsid w:val="00F20046"/>
    <w:rsid w:val="00F200B2"/>
    <w:rsid w:val="00F20CC1"/>
    <w:rsid w:val="00F20D22"/>
    <w:rsid w:val="00F21A58"/>
    <w:rsid w:val="00F2302A"/>
    <w:rsid w:val="00F23048"/>
    <w:rsid w:val="00F239CD"/>
    <w:rsid w:val="00F23DCC"/>
    <w:rsid w:val="00F24294"/>
    <w:rsid w:val="00F2477C"/>
    <w:rsid w:val="00F24EBB"/>
    <w:rsid w:val="00F27F06"/>
    <w:rsid w:val="00F314E8"/>
    <w:rsid w:val="00F316A2"/>
    <w:rsid w:val="00F323A2"/>
    <w:rsid w:val="00F3281E"/>
    <w:rsid w:val="00F332D4"/>
    <w:rsid w:val="00F33B57"/>
    <w:rsid w:val="00F33CA8"/>
    <w:rsid w:val="00F33D5C"/>
    <w:rsid w:val="00F35081"/>
    <w:rsid w:val="00F356D6"/>
    <w:rsid w:val="00F3785D"/>
    <w:rsid w:val="00F37D32"/>
    <w:rsid w:val="00F37D37"/>
    <w:rsid w:val="00F400E3"/>
    <w:rsid w:val="00F4021A"/>
    <w:rsid w:val="00F405F6"/>
    <w:rsid w:val="00F40876"/>
    <w:rsid w:val="00F43922"/>
    <w:rsid w:val="00F44642"/>
    <w:rsid w:val="00F454A2"/>
    <w:rsid w:val="00F45E89"/>
    <w:rsid w:val="00F47845"/>
    <w:rsid w:val="00F47B6C"/>
    <w:rsid w:val="00F50039"/>
    <w:rsid w:val="00F50411"/>
    <w:rsid w:val="00F50675"/>
    <w:rsid w:val="00F5071D"/>
    <w:rsid w:val="00F50BD6"/>
    <w:rsid w:val="00F50D08"/>
    <w:rsid w:val="00F50E16"/>
    <w:rsid w:val="00F513B2"/>
    <w:rsid w:val="00F51520"/>
    <w:rsid w:val="00F52140"/>
    <w:rsid w:val="00F521E4"/>
    <w:rsid w:val="00F52CCE"/>
    <w:rsid w:val="00F53151"/>
    <w:rsid w:val="00F535A9"/>
    <w:rsid w:val="00F53F92"/>
    <w:rsid w:val="00F54385"/>
    <w:rsid w:val="00F54442"/>
    <w:rsid w:val="00F5480F"/>
    <w:rsid w:val="00F552F7"/>
    <w:rsid w:val="00F553A7"/>
    <w:rsid w:val="00F554EB"/>
    <w:rsid w:val="00F5562D"/>
    <w:rsid w:val="00F566EA"/>
    <w:rsid w:val="00F567A4"/>
    <w:rsid w:val="00F57221"/>
    <w:rsid w:val="00F578EB"/>
    <w:rsid w:val="00F605BE"/>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4022"/>
    <w:rsid w:val="00F75481"/>
    <w:rsid w:val="00F76A4C"/>
    <w:rsid w:val="00F76AB3"/>
    <w:rsid w:val="00F816A4"/>
    <w:rsid w:val="00F81AE9"/>
    <w:rsid w:val="00F82C78"/>
    <w:rsid w:val="00F82E2E"/>
    <w:rsid w:val="00F83186"/>
    <w:rsid w:val="00F83601"/>
    <w:rsid w:val="00F837E6"/>
    <w:rsid w:val="00F8389A"/>
    <w:rsid w:val="00F83AE9"/>
    <w:rsid w:val="00F83EC8"/>
    <w:rsid w:val="00F843D4"/>
    <w:rsid w:val="00F8486E"/>
    <w:rsid w:val="00F84A40"/>
    <w:rsid w:val="00F84B50"/>
    <w:rsid w:val="00F84DBD"/>
    <w:rsid w:val="00F8516E"/>
    <w:rsid w:val="00F852E5"/>
    <w:rsid w:val="00F85C0D"/>
    <w:rsid w:val="00F85F28"/>
    <w:rsid w:val="00F8610D"/>
    <w:rsid w:val="00F86741"/>
    <w:rsid w:val="00F86796"/>
    <w:rsid w:val="00F878D0"/>
    <w:rsid w:val="00F87C5B"/>
    <w:rsid w:val="00F87FEA"/>
    <w:rsid w:val="00F90613"/>
    <w:rsid w:val="00F906F4"/>
    <w:rsid w:val="00F9136C"/>
    <w:rsid w:val="00F915F3"/>
    <w:rsid w:val="00F91800"/>
    <w:rsid w:val="00F91853"/>
    <w:rsid w:val="00F91987"/>
    <w:rsid w:val="00F9208E"/>
    <w:rsid w:val="00F92571"/>
    <w:rsid w:val="00F93B2F"/>
    <w:rsid w:val="00F93CAE"/>
    <w:rsid w:val="00F94482"/>
    <w:rsid w:val="00F95AC5"/>
    <w:rsid w:val="00F95CCE"/>
    <w:rsid w:val="00F9692D"/>
    <w:rsid w:val="00F978BE"/>
    <w:rsid w:val="00F97D7B"/>
    <w:rsid w:val="00FA0013"/>
    <w:rsid w:val="00FA0044"/>
    <w:rsid w:val="00FA0288"/>
    <w:rsid w:val="00FA0F71"/>
    <w:rsid w:val="00FA0FD1"/>
    <w:rsid w:val="00FA26BC"/>
    <w:rsid w:val="00FA390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37B7"/>
    <w:rsid w:val="00FB4048"/>
    <w:rsid w:val="00FB4629"/>
    <w:rsid w:val="00FB577F"/>
    <w:rsid w:val="00FB5E5D"/>
    <w:rsid w:val="00FB5FAC"/>
    <w:rsid w:val="00FB5FC4"/>
    <w:rsid w:val="00FB6A07"/>
    <w:rsid w:val="00FB6FB1"/>
    <w:rsid w:val="00FB7460"/>
    <w:rsid w:val="00FB7A10"/>
    <w:rsid w:val="00FC048B"/>
    <w:rsid w:val="00FC0F81"/>
    <w:rsid w:val="00FC3175"/>
    <w:rsid w:val="00FC3798"/>
    <w:rsid w:val="00FC4EE5"/>
    <w:rsid w:val="00FC59AF"/>
    <w:rsid w:val="00FC5DDB"/>
    <w:rsid w:val="00FC5F72"/>
    <w:rsid w:val="00FC62B5"/>
    <w:rsid w:val="00FC6D4E"/>
    <w:rsid w:val="00FC7073"/>
    <w:rsid w:val="00FC736F"/>
    <w:rsid w:val="00FD0CDB"/>
    <w:rsid w:val="00FD1FA7"/>
    <w:rsid w:val="00FD27E7"/>
    <w:rsid w:val="00FD2D42"/>
    <w:rsid w:val="00FD30B5"/>
    <w:rsid w:val="00FD3453"/>
    <w:rsid w:val="00FD39CF"/>
    <w:rsid w:val="00FD3F10"/>
    <w:rsid w:val="00FD49FB"/>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F0CF5"/>
    <w:rsid w:val="00FF0D6F"/>
    <w:rsid w:val="00FF0E9E"/>
    <w:rsid w:val="00FF1103"/>
    <w:rsid w:val="00FF1712"/>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NormalWebCar">
    <w:name w:val="Normal (Web) Car"/>
    <w:link w:val="NormalWeb"/>
    <w:uiPriority w:val="99"/>
    <w:rsid w:val="00002FAD"/>
    <w:rPr>
      <w:rFonts w:ascii="Times New Roman" w:hAnsi="Times New Roman" w:cs="Times New Roman"/>
      <w:sz w:val="24"/>
      <w:szCs w:val="24"/>
    </w:rPr>
  </w:style>
  <w:style w:type="table" w:customStyle="1" w:styleId="Tablaconcuadrcula112">
    <w:name w:val="Tabla con cuadrícula112"/>
    <w:basedOn w:val="Tablanormal"/>
    <w:next w:val="Tablaconcuadrcula"/>
    <w:uiPriority w:val="39"/>
    <w:qFormat/>
    <w:rsid w:val="00CE1C12"/>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47982003">
      <w:bodyDiv w:val="1"/>
      <w:marLeft w:val="0"/>
      <w:marRight w:val="0"/>
      <w:marTop w:val="0"/>
      <w:marBottom w:val="0"/>
      <w:divBdr>
        <w:top w:val="none" w:sz="0" w:space="0" w:color="auto"/>
        <w:left w:val="none" w:sz="0" w:space="0" w:color="auto"/>
        <w:bottom w:val="none" w:sz="0" w:space="0" w:color="auto"/>
        <w:right w:val="none" w:sz="0" w:space="0" w:color="auto"/>
      </w:divBdr>
    </w:div>
    <w:div w:id="662048332">
      <w:bodyDiv w:val="1"/>
      <w:marLeft w:val="0"/>
      <w:marRight w:val="0"/>
      <w:marTop w:val="0"/>
      <w:marBottom w:val="0"/>
      <w:divBdr>
        <w:top w:val="none" w:sz="0" w:space="0" w:color="auto"/>
        <w:left w:val="none" w:sz="0" w:space="0" w:color="auto"/>
        <w:bottom w:val="none" w:sz="0" w:space="0" w:color="auto"/>
        <w:right w:val="none" w:sz="0" w:space="0" w:color="auto"/>
      </w:divBdr>
    </w:div>
    <w:div w:id="673455433">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022464">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08246771">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390056">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7573224">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cdtvial@unicauca.edu.c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FDA4E-91F6-477C-A4AD-C29BF6003B4C}"/>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5712</Words>
  <Characters>31418</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37056</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cp:lastModifiedBy>
  <cp:revision>7</cp:revision>
  <dcterms:created xsi:type="dcterms:W3CDTF">2026-03-06T14:16:00Z</dcterms:created>
  <dcterms:modified xsi:type="dcterms:W3CDTF">2026-03-06T14:24:00Z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