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EAAA7" w14:textId="77777777" w:rsidR="0052659D" w:rsidRPr="0052659D" w:rsidRDefault="0052659D" w:rsidP="0052659D">
      <w:pPr>
        <w:spacing w:after="0" w:line="240" w:lineRule="auto"/>
        <w:jc w:val="both"/>
        <w:rPr>
          <w:rFonts w:ascii="Arial" w:eastAsia="Geomanist Light" w:hAnsi="Arial" w:cs="Arial"/>
          <w:b/>
          <w:bCs/>
          <w:color w:val="000000" w:themeColor="text1"/>
          <w:sz w:val="20"/>
          <w:szCs w:val="20"/>
          <w:lang w:val="es-MX"/>
        </w:rPr>
      </w:pPr>
      <w:bookmarkStart w:id="0" w:name="_Hlk94281581"/>
      <w:bookmarkStart w:id="1" w:name="_Hlk102489058"/>
      <w:bookmarkStart w:id="2" w:name="_Hlk34951122"/>
    </w:p>
    <w:p w14:paraId="77B5868E" w14:textId="77777777" w:rsidR="0052659D" w:rsidRPr="0052659D" w:rsidRDefault="0052659D" w:rsidP="0052659D">
      <w:pPr>
        <w:spacing w:after="0"/>
        <w:jc w:val="both"/>
        <w:rPr>
          <w:rFonts w:ascii="Arial" w:eastAsia="Geomanist Light" w:hAnsi="Arial" w:cs="Arial"/>
          <w:b/>
          <w:bCs/>
          <w:color w:val="000000" w:themeColor="text1"/>
          <w:lang w:val="es-MX"/>
        </w:rPr>
      </w:pPr>
      <w:r w:rsidRPr="0052659D">
        <w:rPr>
          <w:rFonts w:ascii="Arial" w:eastAsia="Geomanist Light" w:hAnsi="Arial" w:cs="Arial"/>
          <w:b/>
          <w:bCs/>
          <w:color w:val="000000" w:themeColor="text1"/>
          <w:lang w:val="es-MX"/>
        </w:rPr>
        <w:t xml:space="preserve">DOCUMENTOS TIPO – Agua potable y saneamiento básico – Matriz 1 – Experiencia – Actividad 2.1– Construcción, reposición, ampliación y optimización – Alcance   </w:t>
      </w:r>
    </w:p>
    <w:p w14:paraId="09F7F724" w14:textId="77777777" w:rsidR="0052659D" w:rsidRPr="0052659D" w:rsidRDefault="0052659D" w:rsidP="0052659D">
      <w:pPr>
        <w:spacing w:after="0" w:line="240" w:lineRule="auto"/>
        <w:jc w:val="both"/>
        <w:rPr>
          <w:rFonts w:ascii="Arial" w:eastAsia="Geomanist Light" w:hAnsi="Arial" w:cs="Arial"/>
          <w:b/>
          <w:bCs/>
          <w:color w:val="000000" w:themeColor="text1"/>
          <w:sz w:val="20"/>
          <w:szCs w:val="20"/>
          <w:lang w:val="es-MX"/>
        </w:rPr>
      </w:pPr>
    </w:p>
    <w:p w14:paraId="08D0D5CE" w14:textId="77777777" w:rsidR="0052659D" w:rsidRPr="0052659D" w:rsidRDefault="0052659D" w:rsidP="0052659D">
      <w:pPr>
        <w:spacing w:after="0" w:line="240" w:lineRule="auto"/>
        <w:jc w:val="both"/>
        <w:rPr>
          <w:rFonts w:ascii="Arial" w:eastAsia="Geomanist Light" w:hAnsi="Arial" w:cs="Arial"/>
          <w:color w:val="000000" w:themeColor="text1"/>
          <w:sz w:val="20"/>
          <w:szCs w:val="20"/>
        </w:rPr>
      </w:pPr>
      <w:r w:rsidRPr="0052659D">
        <w:rPr>
          <w:rFonts w:ascii="Arial" w:eastAsia="Geomanist Light" w:hAnsi="Arial" w:cs="Arial"/>
          <w:color w:val="000000" w:themeColor="text1"/>
          <w:sz w:val="20"/>
          <w:szCs w:val="20"/>
        </w:rPr>
        <w:t xml:space="preserve">El numeral 2.1 contempla los proyectos de construcción de alcantarillados sanitarios y/o pluviales y/o combinado (urbanos y/o rurales) y/u obras complementarias. Para esta actividad se determina como experiencia general que los proyectos correspondan o hayan contenido actividades de construcción de alcantarillado (sanitario y/o pluvial y/o combinado), por lo que gestiones como la reposición, la optimización o la ampliación no sirven para acreditar lo solicitado en la matriz. </w:t>
      </w:r>
    </w:p>
    <w:p w14:paraId="4EA6FC61" w14:textId="77777777" w:rsidR="0052659D" w:rsidRPr="0052659D" w:rsidRDefault="0052659D" w:rsidP="0052659D">
      <w:pPr>
        <w:spacing w:after="0" w:line="240" w:lineRule="auto"/>
        <w:jc w:val="both"/>
        <w:rPr>
          <w:rFonts w:ascii="Arial" w:eastAsia="Geomanist Light" w:hAnsi="Arial" w:cs="Arial"/>
          <w:color w:val="000000" w:themeColor="text1"/>
          <w:sz w:val="20"/>
          <w:szCs w:val="20"/>
        </w:rPr>
      </w:pPr>
    </w:p>
    <w:p w14:paraId="772CE615" w14:textId="77777777" w:rsidR="0052659D" w:rsidRPr="0052659D" w:rsidRDefault="0052659D" w:rsidP="0052659D">
      <w:pPr>
        <w:spacing w:after="0" w:line="240" w:lineRule="auto"/>
        <w:jc w:val="both"/>
        <w:rPr>
          <w:rFonts w:ascii="Arial" w:eastAsia="Geomanist Light" w:hAnsi="Arial" w:cs="Arial"/>
          <w:color w:val="000000" w:themeColor="text1"/>
          <w:sz w:val="20"/>
          <w:szCs w:val="20"/>
        </w:rPr>
      </w:pPr>
      <w:r w:rsidRPr="0052659D">
        <w:rPr>
          <w:rFonts w:ascii="Arial" w:eastAsia="Geomanist Light" w:hAnsi="Arial" w:cs="Arial"/>
          <w:color w:val="000000" w:themeColor="text1"/>
          <w:sz w:val="20"/>
          <w:szCs w:val="20"/>
        </w:rPr>
        <w:t>Nótese que la experiencia general solicitada alude concretamente a la “construcción”. Según su significado literal, construcción es “la acción y efecto de construir” y este es definido como “Hacer de nueva planta una obra de arquitectura o ingeniería, un monumento o en general cualquier obra pública”. Así, la construcción de alcantarillado (sanitario y/o pluvial y/o combinado) que trata el numeral 2.1 de la Matriz 1 aplica a toda obra de ingeniería nueva, que para el caso que nos ocupa corresponde a alcantarillados. Por ello, la experiencia a acreditar por parte del proponente debe dar cuenta de la actividad de construcción de estos.</w:t>
      </w:r>
    </w:p>
    <w:p w14:paraId="1083B376" w14:textId="77777777" w:rsidR="0052659D" w:rsidRPr="0052659D" w:rsidRDefault="0052659D" w:rsidP="0052659D">
      <w:pPr>
        <w:spacing w:after="0" w:line="240" w:lineRule="auto"/>
        <w:jc w:val="both"/>
        <w:rPr>
          <w:rFonts w:ascii="Arial" w:eastAsia="Geomanist Light" w:hAnsi="Arial" w:cs="Arial"/>
          <w:color w:val="000000" w:themeColor="text1"/>
          <w:sz w:val="20"/>
          <w:szCs w:val="20"/>
        </w:rPr>
      </w:pPr>
    </w:p>
    <w:p w14:paraId="278864D9" w14:textId="77777777" w:rsidR="0052659D" w:rsidRPr="0052659D" w:rsidRDefault="0052659D" w:rsidP="0052659D">
      <w:pPr>
        <w:spacing w:after="0" w:line="240" w:lineRule="auto"/>
        <w:jc w:val="both"/>
        <w:rPr>
          <w:rFonts w:ascii="Arial" w:eastAsia="Geomanist Light" w:hAnsi="Arial" w:cs="Arial"/>
          <w:color w:val="000000" w:themeColor="text1"/>
          <w:sz w:val="20"/>
          <w:szCs w:val="20"/>
        </w:rPr>
      </w:pPr>
      <w:r w:rsidRPr="0052659D">
        <w:rPr>
          <w:rFonts w:ascii="Arial" w:eastAsia="Geomanist Light" w:hAnsi="Arial" w:cs="Arial"/>
          <w:color w:val="000000" w:themeColor="text1"/>
          <w:sz w:val="20"/>
          <w:szCs w:val="20"/>
        </w:rPr>
        <w:t xml:space="preserve">En contraste, la reposición de una infraestructura tiene por objeto remplazar un activo que por sus condiciones ya no es apto para cumplir a cabalidad con su función, bien porque agotó su vida útil o porque no es eficiente en su operación y las condiciones de tecnología evidencian que el activo no es eficiente para la prestación del servicio público domiciliario de que se trate. Además, la optimización es el conjunto de acciones encaminadas a mejorar la capacidad, eficiencia y eficacia de la infraestructura componente del sistema de acueducto, alcantarillado y/o aseo, mediante su intervención parcial o total. Finalmente, Se denomina Ampliación de un sistema al conjunto de acciones y obras requeridas para aumentar su capacidad en una misma área de cobertura. </w:t>
      </w:r>
    </w:p>
    <w:p w14:paraId="3691AE67" w14:textId="77777777" w:rsidR="0052659D" w:rsidRPr="0052659D" w:rsidRDefault="0052659D" w:rsidP="0052659D">
      <w:pPr>
        <w:spacing w:after="0" w:line="240" w:lineRule="auto"/>
        <w:jc w:val="both"/>
        <w:rPr>
          <w:rFonts w:ascii="Arial" w:eastAsia="Geomanist Light" w:hAnsi="Arial" w:cs="Arial"/>
          <w:color w:val="000000" w:themeColor="text1"/>
          <w:sz w:val="20"/>
          <w:szCs w:val="20"/>
        </w:rPr>
      </w:pPr>
    </w:p>
    <w:p w14:paraId="0DDC6988" w14:textId="77777777" w:rsidR="0052659D" w:rsidRPr="0052659D" w:rsidRDefault="0052659D" w:rsidP="0052659D">
      <w:pPr>
        <w:spacing w:after="0"/>
        <w:jc w:val="both"/>
        <w:rPr>
          <w:rFonts w:ascii="Arial" w:eastAsia="Geomanist Light" w:hAnsi="Arial" w:cs="Arial"/>
          <w:b/>
          <w:bCs/>
          <w:color w:val="000000" w:themeColor="text1"/>
          <w:lang w:val="es-MX"/>
        </w:rPr>
      </w:pPr>
      <w:r w:rsidRPr="0052659D">
        <w:rPr>
          <w:rFonts w:ascii="Arial" w:eastAsia="Geomanist Light" w:hAnsi="Arial" w:cs="Arial"/>
          <w:b/>
          <w:bCs/>
          <w:color w:val="000000" w:themeColor="text1"/>
          <w:lang w:val="es-MX"/>
        </w:rPr>
        <w:t>EMPRESAS Y EMPRENDIMIENTOS DE MUJERES – Cargos directivos – Criterios diferenciales – Formato 12 – Diligenciamiento</w:t>
      </w:r>
    </w:p>
    <w:p w14:paraId="5BC93E27" w14:textId="77777777" w:rsidR="0052659D" w:rsidRPr="0052659D" w:rsidRDefault="0052659D" w:rsidP="0052659D">
      <w:pPr>
        <w:spacing w:after="0" w:line="240" w:lineRule="auto"/>
        <w:jc w:val="both"/>
        <w:rPr>
          <w:rFonts w:ascii="Arial" w:eastAsia="Geomanist Light" w:hAnsi="Arial" w:cs="Arial"/>
          <w:b/>
          <w:bCs/>
          <w:color w:val="000000" w:themeColor="text1"/>
          <w:sz w:val="20"/>
          <w:szCs w:val="20"/>
        </w:rPr>
      </w:pPr>
    </w:p>
    <w:p w14:paraId="52623D67"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bidi="es-ES"/>
        </w:rPr>
      </w:pPr>
      <w:r w:rsidRPr="0052659D">
        <w:rPr>
          <w:rFonts w:ascii="Arial" w:eastAsia="Calibri" w:hAnsi="Arial" w:cs="Arial"/>
          <w:bCs/>
          <w:color w:val="000000" w:themeColor="text1"/>
          <w:sz w:val="20"/>
          <w:szCs w:val="20"/>
          <w:lang w:bidi="es-ES"/>
        </w:rPr>
        <w:t xml:space="preserve">Tratándose del “Formato 12 – Acreditación emprendimiento y empresa de mujeres” de los documentos tipo para los procesos de licitación para obras de infraestructura de agua potable y saneamiento básico, la opción 2 indica que “En el siguiente cuadro señalamos de forma detallada la denominación de los cargos directivos que existen dentro de la persona jurídica, la identificación de las personas que ocuparon o ejercen los cargos del nivel directivo del Proponente y el tiempo de vinculación”. A continuación señala lo siguiente: “Conforme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1DDA6D17"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bidi="es-ES"/>
        </w:rPr>
      </w:pPr>
    </w:p>
    <w:p w14:paraId="5F97C892"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bidi="es-ES"/>
        </w:rPr>
      </w:pPr>
      <w:r w:rsidRPr="0052659D">
        <w:rPr>
          <w:rFonts w:ascii="Arial" w:eastAsia="Calibri" w:hAnsi="Arial" w:cs="Arial"/>
          <w:bCs/>
          <w:color w:val="000000" w:themeColor="text1"/>
          <w:sz w:val="20"/>
          <w:szCs w:val="20"/>
          <w:lang w:bidi="es-ES"/>
        </w:rPr>
        <w:t>El cuadro debe diligenciarse respecto a las personas que, independientemente de su sexo, tienen cargos del nivel directivo. Esto es importante para determinar si el porcentaje mayoritario es ocupado por mujeres. Por lo demás, el formato también señala que “Como soporte de esta declaración se anexa copia de (i) los respectivos documentos de identidad, (</w:t>
      </w:r>
      <w:proofErr w:type="spellStart"/>
      <w:r w:rsidRPr="0052659D">
        <w:rPr>
          <w:rFonts w:ascii="Arial" w:eastAsia="Calibri" w:hAnsi="Arial" w:cs="Arial"/>
          <w:bCs/>
          <w:color w:val="000000" w:themeColor="text1"/>
          <w:sz w:val="20"/>
          <w:szCs w:val="20"/>
          <w:lang w:bidi="es-ES"/>
        </w:rPr>
        <w:t>ii</w:t>
      </w:r>
      <w:proofErr w:type="spellEnd"/>
      <w:r w:rsidRPr="0052659D">
        <w:rPr>
          <w:rFonts w:ascii="Arial" w:eastAsia="Calibri" w:hAnsi="Arial" w:cs="Arial"/>
          <w:bCs/>
          <w:color w:val="000000" w:themeColor="text1"/>
          <w:sz w:val="20"/>
          <w:szCs w:val="20"/>
          <w:lang w:bidi="es-ES"/>
        </w:rPr>
        <w:t>) los contratos de trabajo o certificación laboral con las funciones y (</w:t>
      </w:r>
      <w:proofErr w:type="spellStart"/>
      <w:r w:rsidRPr="0052659D">
        <w:rPr>
          <w:rFonts w:ascii="Arial" w:eastAsia="Calibri" w:hAnsi="Arial" w:cs="Arial"/>
          <w:bCs/>
          <w:color w:val="000000" w:themeColor="text1"/>
          <w:sz w:val="20"/>
          <w:szCs w:val="20"/>
          <w:lang w:bidi="es-ES"/>
        </w:rPr>
        <w:t>iii</w:t>
      </w:r>
      <w:proofErr w:type="spellEnd"/>
      <w:r w:rsidRPr="0052659D">
        <w:rPr>
          <w:rFonts w:ascii="Arial" w:eastAsia="Calibri" w:hAnsi="Arial" w:cs="Arial"/>
          <w:bCs/>
          <w:color w:val="000000" w:themeColor="text1"/>
          <w:sz w:val="20"/>
          <w:szCs w:val="20"/>
          <w:lang w:bidi="es-ES"/>
        </w:rPr>
        <w:t>) el certificado de aportes al Sistema de Seguridad Social del último año en el que se demuestren los pagos realizados por el empleador, en relación con cada una de las personas que conforman el nivel directivo del Proponente”.</w:t>
      </w:r>
    </w:p>
    <w:p w14:paraId="5CF6723D"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bidi="es-ES"/>
        </w:rPr>
      </w:pPr>
    </w:p>
    <w:p w14:paraId="758968E5" w14:textId="77777777" w:rsidR="0052659D" w:rsidRPr="0052659D" w:rsidRDefault="0052659D" w:rsidP="0052659D">
      <w:pPr>
        <w:spacing w:after="0" w:line="240" w:lineRule="auto"/>
        <w:jc w:val="both"/>
        <w:rPr>
          <w:rFonts w:ascii="Arial" w:hAnsi="Arial" w:cs="Arial"/>
          <w:sz w:val="20"/>
          <w:szCs w:val="20"/>
        </w:rPr>
      </w:pPr>
      <w:r w:rsidRPr="0052659D">
        <w:rPr>
          <w:rFonts w:ascii="Arial" w:eastAsia="Calibri" w:hAnsi="Arial" w:cs="Arial"/>
          <w:bCs/>
          <w:color w:val="000000" w:themeColor="text1"/>
          <w:sz w:val="20"/>
          <w:szCs w:val="20"/>
          <w:lang w:bidi="es-ES"/>
        </w:rPr>
        <w:lastRenderedPageBreak/>
        <w:t>Por tanto, siempre que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 habrá lugar a los incentivos para el proponente. Lo anterior al margen de que los cargos ejercidos minoritariamente por hombres sean contratados a través de prestación de servicios, caso en el cual cotizan como independientes al sistema de seguridad social. En esta perspectiva, los documentos tipo recogen de manera armónica lo previsto en el Decreto 1082 del 2015, modificado por el Decreto 1860 de 2021</w:t>
      </w:r>
      <w:r w:rsidRPr="0052659D">
        <w:rPr>
          <w:rFonts w:ascii="Arial" w:hAnsi="Arial" w:cs="Arial"/>
          <w:sz w:val="20"/>
          <w:szCs w:val="20"/>
        </w:rPr>
        <w:t xml:space="preserve">. </w:t>
      </w:r>
    </w:p>
    <w:p w14:paraId="338A181F" w14:textId="77777777" w:rsidR="0052659D" w:rsidRPr="0052659D" w:rsidRDefault="0052659D" w:rsidP="0052659D">
      <w:pPr>
        <w:spacing w:after="0" w:line="240" w:lineRule="auto"/>
        <w:jc w:val="both"/>
        <w:rPr>
          <w:rFonts w:ascii="Arial" w:eastAsia="Calibri" w:hAnsi="Arial" w:cs="Arial"/>
          <w:b/>
          <w:bCs/>
          <w:color w:val="000000" w:themeColor="text1"/>
          <w:lang w:val="es-MX"/>
        </w:rPr>
      </w:pPr>
    </w:p>
    <w:p w14:paraId="53CC2BB6" w14:textId="77777777" w:rsidR="0052659D" w:rsidRPr="0052659D" w:rsidRDefault="0052659D" w:rsidP="0052659D">
      <w:pPr>
        <w:spacing w:after="0" w:line="240" w:lineRule="auto"/>
        <w:jc w:val="both"/>
        <w:rPr>
          <w:rFonts w:ascii="Arial" w:eastAsia="Calibri" w:hAnsi="Arial" w:cs="Arial"/>
          <w:b/>
          <w:bCs/>
          <w:color w:val="000000" w:themeColor="text1"/>
          <w:lang w:val="es-MX"/>
        </w:rPr>
      </w:pPr>
      <w:r w:rsidRPr="0052659D">
        <w:rPr>
          <w:rFonts w:ascii="Arial" w:eastAsia="Calibri" w:hAnsi="Arial" w:cs="Arial"/>
          <w:b/>
          <w:bCs/>
          <w:color w:val="000000" w:themeColor="text1"/>
          <w:lang w:val="es-MX"/>
        </w:rPr>
        <w:t>Capacidad residual – Documentos tipo – Saldo de contratos en ejecución – Terminación anticipada – Contratos en estado de liquidación</w:t>
      </w:r>
    </w:p>
    <w:p w14:paraId="5AB5C5C6" w14:textId="77777777" w:rsidR="0052659D" w:rsidRPr="0052659D" w:rsidRDefault="0052659D" w:rsidP="0052659D">
      <w:pPr>
        <w:spacing w:after="0" w:line="240" w:lineRule="auto"/>
        <w:jc w:val="both"/>
        <w:rPr>
          <w:rFonts w:ascii="Arial" w:eastAsia="Calibri" w:hAnsi="Arial" w:cs="Arial"/>
          <w:b/>
          <w:bCs/>
          <w:color w:val="000000" w:themeColor="text1"/>
          <w:sz w:val="20"/>
          <w:szCs w:val="20"/>
          <w:lang w:val="es-MX"/>
        </w:rPr>
      </w:pPr>
    </w:p>
    <w:p w14:paraId="0A7122E9"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val="es-MX"/>
        </w:rPr>
      </w:pPr>
      <w:r w:rsidRPr="0052659D">
        <w:rPr>
          <w:rFonts w:ascii="Arial" w:eastAsia="Calibri" w:hAnsi="Arial" w:cs="Arial"/>
          <w:bCs/>
          <w:color w:val="000000" w:themeColor="text1"/>
          <w:sz w:val="20"/>
          <w:szCs w:val="20"/>
          <w:lang w:val="es-MX"/>
        </w:rPr>
        <w:t xml:space="preserve">[…] el documento base está en armonía con la 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el artículo 2.2.1.1.1.6.4 del Decreto 1082 de 2015, en virtud del cual, para efectos de acreditar la capacidad residual del proponente, se requiere el listado de contratos de obra civiles en ejecución suscritos con entidades estatales y con entidades privadas. </w:t>
      </w:r>
    </w:p>
    <w:p w14:paraId="3155004A"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val="es-MX"/>
        </w:rPr>
      </w:pPr>
    </w:p>
    <w:p w14:paraId="24F8E0D7"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val="es-MX"/>
        </w:rPr>
      </w:pPr>
      <w:r w:rsidRPr="0052659D">
        <w:rPr>
          <w:rFonts w:ascii="Arial" w:eastAsia="Calibri" w:hAnsi="Arial" w:cs="Arial"/>
          <w:bCs/>
          <w:color w:val="000000" w:themeColor="text1"/>
          <w:sz w:val="20"/>
          <w:szCs w:val="20"/>
          <w:lang w:val="es-MX"/>
        </w:rPr>
        <w:t xml:space="preserve">De acuerdo con el inciso primero del artículo 11 de la Ley 1150 de 2007,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 (Énfasis fuera de texto). Esto quiere decir que los contratos cuyo plazo de ejecución ha terminado, sea de manera normal o de forma anticipada, entran en liquidación. </w:t>
      </w:r>
    </w:p>
    <w:p w14:paraId="7AD6564B"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val="es-MX"/>
        </w:rPr>
      </w:pPr>
    </w:p>
    <w:p w14:paraId="0BB97250" w14:textId="77777777" w:rsidR="0052659D" w:rsidRPr="0052659D" w:rsidRDefault="0052659D" w:rsidP="0052659D">
      <w:pPr>
        <w:spacing w:after="0" w:line="240" w:lineRule="auto"/>
        <w:jc w:val="both"/>
        <w:rPr>
          <w:rFonts w:ascii="Arial" w:eastAsia="Calibri" w:hAnsi="Arial" w:cs="Arial"/>
          <w:bCs/>
          <w:color w:val="000000" w:themeColor="text1"/>
          <w:sz w:val="20"/>
          <w:szCs w:val="20"/>
          <w:lang w:val="es-MX"/>
        </w:rPr>
      </w:pPr>
      <w:r w:rsidRPr="0052659D">
        <w:rPr>
          <w:rFonts w:ascii="Arial" w:eastAsia="Calibri" w:hAnsi="Arial" w:cs="Arial"/>
          <w:bCs/>
          <w:color w:val="000000" w:themeColor="text1"/>
          <w:sz w:val="20"/>
          <w:szCs w:val="20"/>
          <w:lang w:val="es-MX"/>
        </w:rPr>
        <w:t xml:space="preserve">La Guía para Determinar y Verificar la Capacidad Residual del Proponente en los Procesos de Contratación de Obra Pública, en armonía con el numeral II del literal E del numeral 3.10.2 del pliego de condiciones de los documentos tipo de licitación de obra pública para infraestructura de agua potable y saneamiento básico, dispone que “[…] No se entenderán como contratos en ejecución los que se encuentren en liquidación”. Por tanto, los contratos de obra terminados anticipadamente no son objeto de reporte ni verificación para efectos del “Formato 5 - Capacidad Residual”. </w:t>
      </w:r>
    </w:p>
    <w:p w14:paraId="745B0A84" w14:textId="77777777" w:rsidR="0052659D" w:rsidRDefault="0052659D" w:rsidP="00430959">
      <w:pPr>
        <w:spacing w:after="0"/>
        <w:rPr>
          <w:rFonts w:ascii="Arial" w:eastAsia="Geomanist Light" w:hAnsi="Arial" w:cs="Arial"/>
          <w:color w:val="000000" w:themeColor="text1"/>
          <w:lang w:val="es-MX"/>
        </w:rPr>
      </w:pPr>
    </w:p>
    <w:p w14:paraId="5B6E7384" w14:textId="77777777" w:rsidR="0052659D" w:rsidRDefault="0052659D" w:rsidP="00430959">
      <w:pPr>
        <w:spacing w:after="0"/>
        <w:rPr>
          <w:rFonts w:ascii="Arial" w:eastAsia="Geomanist Light" w:hAnsi="Arial" w:cs="Arial"/>
          <w:color w:val="000000" w:themeColor="text1"/>
          <w:lang w:val="es-MX"/>
        </w:rPr>
      </w:pPr>
    </w:p>
    <w:p w14:paraId="715F9056" w14:textId="77777777" w:rsidR="0052659D" w:rsidRDefault="0052659D" w:rsidP="00430959">
      <w:pPr>
        <w:spacing w:after="0"/>
        <w:rPr>
          <w:rFonts w:ascii="Arial" w:eastAsia="Geomanist Light" w:hAnsi="Arial" w:cs="Arial"/>
          <w:color w:val="000000" w:themeColor="text1"/>
          <w:lang w:val="es-MX"/>
        </w:rPr>
      </w:pPr>
    </w:p>
    <w:p w14:paraId="498FF09E" w14:textId="77777777" w:rsidR="0052659D" w:rsidRDefault="0052659D" w:rsidP="00430959">
      <w:pPr>
        <w:spacing w:after="0"/>
        <w:rPr>
          <w:rFonts w:ascii="Arial" w:eastAsia="Geomanist Light" w:hAnsi="Arial" w:cs="Arial"/>
          <w:color w:val="000000" w:themeColor="text1"/>
          <w:lang w:val="es-MX"/>
        </w:rPr>
      </w:pPr>
    </w:p>
    <w:p w14:paraId="61A34B89" w14:textId="77777777" w:rsidR="0052659D" w:rsidRDefault="0052659D" w:rsidP="00430959">
      <w:pPr>
        <w:spacing w:after="0"/>
        <w:rPr>
          <w:rFonts w:ascii="Arial" w:eastAsia="Geomanist Light" w:hAnsi="Arial" w:cs="Arial"/>
          <w:color w:val="000000" w:themeColor="text1"/>
          <w:lang w:val="es-MX"/>
        </w:rPr>
      </w:pPr>
    </w:p>
    <w:p w14:paraId="1A898C74" w14:textId="77777777" w:rsidR="0052659D" w:rsidRDefault="0052659D" w:rsidP="00430959">
      <w:pPr>
        <w:spacing w:after="0"/>
        <w:rPr>
          <w:rFonts w:ascii="Arial" w:eastAsia="Geomanist Light" w:hAnsi="Arial" w:cs="Arial"/>
          <w:color w:val="000000" w:themeColor="text1"/>
          <w:lang w:val="es-MX"/>
        </w:rPr>
      </w:pPr>
    </w:p>
    <w:p w14:paraId="457F0A0F" w14:textId="77777777" w:rsidR="0052659D" w:rsidRDefault="0052659D" w:rsidP="00430959">
      <w:pPr>
        <w:spacing w:after="0"/>
        <w:rPr>
          <w:rFonts w:ascii="Arial" w:eastAsia="Geomanist Light" w:hAnsi="Arial" w:cs="Arial"/>
          <w:color w:val="000000" w:themeColor="text1"/>
          <w:lang w:val="es-MX"/>
        </w:rPr>
      </w:pPr>
    </w:p>
    <w:p w14:paraId="7CE6C903" w14:textId="77777777" w:rsidR="0052659D" w:rsidRDefault="0052659D" w:rsidP="00430959">
      <w:pPr>
        <w:spacing w:after="0"/>
        <w:rPr>
          <w:rFonts w:ascii="Arial" w:eastAsia="Geomanist Light" w:hAnsi="Arial" w:cs="Arial"/>
          <w:color w:val="000000" w:themeColor="text1"/>
          <w:lang w:val="es-MX"/>
        </w:rPr>
      </w:pPr>
    </w:p>
    <w:p w14:paraId="55B768D2" w14:textId="77777777" w:rsidR="0052659D" w:rsidRDefault="0052659D" w:rsidP="00430959">
      <w:pPr>
        <w:spacing w:after="0"/>
        <w:rPr>
          <w:rFonts w:ascii="Arial" w:eastAsia="Geomanist Light" w:hAnsi="Arial" w:cs="Arial"/>
          <w:color w:val="000000" w:themeColor="text1"/>
          <w:lang w:val="es-MX"/>
        </w:rPr>
      </w:pPr>
    </w:p>
    <w:p w14:paraId="5D5C3BEC" w14:textId="77777777" w:rsidR="0052659D" w:rsidRDefault="0052659D" w:rsidP="00430959">
      <w:pPr>
        <w:spacing w:after="0"/>
        <w:rPr>
          <w:rFonts w:ascii="Arial" w:eastAsia="Geomanist Light" w:hAnsi="Arial" w:cs="Arial"/>
          <w:color w:val="000000" w:themeColor="text1"/>
          <w:lang w:val="es-MX"/>
        </w:rPr>
      </w:pPr>
    </w:p>
    <w:p w14:paraId="1150BE78" w14:textId="77777777" w:rsidR="0052659D" w:rsidRDefault="0052659D" w:rsidP="00430959">
      <w:pPr>
        <w:spacing w:after="0"/>
        <w:rPr>
          <w:rFonts w:ascii="Arial" w:eastAsia="Geomanist Light" w:hAnsi="Arial" w:cs="Arial"/>
          <w:color w:val="000000" w:themeColor="text1"/>
          <w:lang w:val="es-MX"/>
        </w:rPr>
      </w:pPr>
    </w:p>
    <w:p w14:paraId="7B55B423" w14:textId="77777777" w:rsidR="0052659D" w:rsidRDefault="0052659D" w:rsidP="00430959">
      <w:pPr>
        <w:spacing w:after="0"/>
        <w:rPr>
          <w:rFonts w:ascii="Arial" w:eastAsia="Geomanist Light" w:hAnsi="Arial" w:cs="Arial"/>
          <w:color w:val="000000" w:themeColor="text1"/>
          <w:lang w:val="es-MX"/>
        </w:rPr>
      </w:pPr>
    </w:p>
    <w:p w14:paraId="56BD10F4" w14:textId="61A7BEF5" w:rsidR="00430959" w:rsidRDefault="00430959" w:rsidP="00430959">
      <w:pPr>
        <w:spacing w:after="0"/>
        <w:rPr>
          <w:rFonts w:ascii="Arial" w:eastAsia="Geomanist Light" w:hAnsi="Arial" w:cs="Arial"/>
          <w:color w:val="201F1E"/>
          <w:lang w:val="es-MX"/>
        </w:rPr>
      </w:pPr>
      <w:r w:rsidRPr="0014412C">
        <w:rPr>
          <w:rFonts w:ascii="Arial" w:eastAsia="Geomanist Light" w:hAnsi="Arial" w:cs="Arial"/>
          <w:color w:val="000000" w:themeColor="text1"/>
          <w:lang w:val="es-MX"/>
        </w:rPr>
        <w:lastRenderedPageBreak/>
        <w:t>Bogotá D.C., </w:t>
      </w:r>
      <w:r w:rsidR="00DD3A60" w:rsidRPr="00DD3A60">
        <w:rPr>
          <w:rFonts w:ascii="Arial" w:eastAsia="Geomanist Light" w:hAnsi="Arial" w:cs="Arial"/>
          <w:color w:val="000000" w:themeColor="text1"/>
          <w:lang w:val="es-MX"/>
        </w:rPr>
        <w:t xml:space="preserve">04 de </w:t>
      </w:r>
      <w:proofErr w:type="gramStart"/>
      <w:r w:rsidR="00DD3A60" w:rsidRPr="00DD3A60">
        <w:rPr>
          <w:rFonts w:ascii="Arial" w:eastAsia="Geomanist Light" w:hAnsi="Arial" w:cs="Arial"/>
          <w:color w:val="000000" w:themeColor="text1"/>
          <w:lang w:val="es-MX"/>
        </w:rPr>
        <w:t>Agosto</w:t>
      </w:r>
      <w:proofErr w:type="gramEnd"/>
      <w:r w:rsidR="00DD3A60" w:rsidRPr="00DD3A60">
        <w:rPr>
          <w:rFonts w:ascii="Arial" w:eastAsia="Geomanist Light" w:hAnsi="Arial" w:cs="Arial"/>
          <w:color w:val="000000" w:themeColor="text1"/>
          <w:lang w:val="es-MX"/>
        </w:rPr>
        <w:t xml:space="preserve"> de 2023</w:t>
      </w:r>
      <w:r w:rsidRPr="0014412C">
        <w:rPr>
          <w:rFonts w:ascii="Arial" w:eastAsia="Geomanist Light" w:hAnsi="Arial" w:cs="Arial"/>
          <w:color w:val="201F1E"/>
          <w:lang w:val="es-MX"/>
        </w:rPr>
        <w:t xml:space="preserve"> </w:t>
      </w:r>
      <w:r w:rsidRPr="0014412C">
        <w:rPr>
          <w:rFonts w:ascii="Arial" w:eastAsia="Geomanist Light" w:hAnsi="Arial" w:cs="Arial"/>
          <w:color w:val="201F1E"/>
          <w:lang w:val="es-MX"/>
        </w:rPr>
        <w:cr/>
      </w:r>
    </w:p>
    <w:p w14:paraId="34C2E23E" w14:textId="0CBAC475" w:rsidR="00DD3A60" w:rsidRPr="0014412C" w:rsidRDefault="00A17233" w:rsidP="00A17233">
      <w:pPr>
        <w:spacing w:after="0"/>
        <w:jc w:val="right"/>
        <w:rPr>
          <w:rFonts w:ascii="Arial" w:eastAsia="Times New Roman" w:hAnsi="Arial" w:cs="Arial"/>
          <w:bCs/>
          <w:lang w:val="es-MX" w:eastAsia="es-ES"/>
        </w:rPr>
      </w:pPr>
      <w:r>
        <w:rPr>
          <w:rFonts w:ascii="Arial" w:eastAsia="Times New Roman" w:hAnsi="Arial" w:cs="Arial"/>
          <w:bCs/>
          <w:noProof/>
          <w:lang w:val="es-MX" w:eastAsia="es-ES"/>
        </w:rPr>
        <w:drawing>
          <wp:inline distT="0" distB="0" distL="0" distR="0" wp14:anchorId="69CC26EC" wp14:editId="7EF1BEF7">
            <wp:extent cx="2952115" cy="704850"/>
            <wp:effectExtent l="0" t="0" r="635" b="0"/>
            <wp:docPr id="16908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115" cy="704850"/>
                    </a:xfrm>
                    <a:prstGeom prst="rect">
                      <a:avLst/>
                    </a:prstGeom>
                    <a:noFill/>
                    <a:ln>
                      <a:noFill/>
                    </a:ln>
                  </pic:spPr>
                </pic:pic>
              </a:graphicData>
            </a:graphic>
          </wp:inline>
        </w:drawing>
      </w:r>
    </w:p>
    <w:p w14:paraId="2E403935" w14:textId="77777777" w:rsidR="00430959" w:rsidRPr="0014412C" w:rsidRDefault="00430959" w:rsidP="00430959">
      <w:pPr>
        <w:spacing w:after="0"/>
        <w:contextualSpacing/>
        <w:jc w:val="both"/>
        <w:rPr>
          <w:rFonts w:ascii="Arial" w:eastAsia="Calibri" w:hAnsi="Arial" w:cs="Arial"/>
          <w:lang w:val="es-ES_tradnl" w:eastAsia="es-ES_tradnl"/>
        </w:rPr>
      </w:pPr>
    </w:p>
    <w:p w14:paraId="70DF748D" w14:textId="77777777" w:rsidR="00430959" w:rsidRPr="0014412C" w:rsidRDefault="00430959" w:rsidP="00430959">
      <w:pPr>
        <w:contextualSpacing/>
        <w:jc w:val="both"/>
        <w:rPr>
          <w:rFonts w:ascii="Arial" w:eastAsia="Calibri" w:hAnsi="Arial" w:cs="Arial"/>
          <w:lang w:eastAsia="es-ES_tradnl"/>
        </w:rPr>
      </w:pPr>
      <w:r w:rsidRPr="0014412C">
        <w:rPr>
          <w:rFonts w:ascii="Arial" w:eastAsia="Calibri" w:hAnsi="Arial" w:cs="Arial"/>
          <w:lang w:eastAsia="es-ES_tradnl"/>
        </w:rPr>
        <w:t>Señor</w:t>
      </w:r>
    </w:p>
    <w:p w14:paraId="47873E4E" w14:textId="77777777" w:rsidR="00430959" w:rsidRPr="0014412C" w:rsidRDefault="00430959" w:rsidP="00430959">
      <w:pPr>
        <w:contextualSpacing/>
        <w:jc w:val="both"/>
        <w:rPr>
          <w:rFonts w:ascii="Arial" w:eastAsia="Calibri" w:hAnsi="Arial" w:cs="Arial"/>
          <w:b/>
          <w:lang w:eastAsia="es-ES_tradnl"/>
        </w:rPr>
      </w:pPr>
      <w:r w:rsidRPr="0014412C">
        <w:rPr>
          <w:rFonts w:ascii="Arial" w:eastAsia="Calibri" w:hAnsi="Arial" w:cs="Arial"/>
          <w:b/>
          <w:lang w:eastAsia="es-ES_tradnl"/>
        </w:rPr>
        <w:t>Juan Felipe Bonilla Quintana</w:t>
      </w:r>
    </w:p>
    <w:p w14:paraId="2A6E248F" w14:textId="77777777" w:rsidR="00430959" w:rsidRPr="0014412C" w:rsidRDefault="00430959" w:rsidP="00430959">
      <w:pPr>
        <w:contextualSpacing/>
        <w:jc w:val="both"/>
        <w:rPr>
          <w:rFonts w:ascii="Arial" w:eastAsia="Calibri" w:hAnsi="Arial" w:cs="Arial"/>
          <w:bCs/>
          <w:lang w:eastAsia="es-ES_tradnl"/>
        </w:rPr>
      </w:pPr>
      <w:r w:rsidRPr="0014412C">
        <w:rPr>
          <w:rFonts w:ascii="Arial" w:eastAsia="Calibri" w:hAnsi="Arial" w:cs="Arial"/>
          <w:bCs/>
          <w:lang w:eastAsia="es-ES_tradnl"/>
        </w:rPr>
        <w:t xml:space="preserve">Popayán, Cauca </w:t>
      </w:r>
    </w:p>
    <w:p w14:paraId="5E7D3CD7" w14:textId="77777777" w:rsidR="00430959" w:rsidRPr="0014412C" w:rsidRDefault="00430959" w:rsidP="00430959">
      <w:pPr>
        <w:contextualSpacing/>
        <w:jc w:val="both"/>
        <w:rPr>
          <w:rFonts w:ascii="Arial" w:eastAsia="Calibri" w:hAnsi="Arial" w:cs="Arial"/>
          <w:lang w:val="es-ES_tradnl" w:eastAsia="es-ES_tradnl"/>
        </w:rPr>
      </w:pPr>
    </w:p>
    <w:p w14:paraId="0593FB78" w14:textId="77777777" w:rsidR="00430959" w:rsidRPr="0014412C" w:rsidRDefault="00430959" w:rsidP="00430959">
      <w:pPr>
        <w:contextualSpacing/>
        <w:rPr>
          <w:rFonts w:ascii="Arial" w:eastAsia="Calibri" w:hAnsi="Arial" w:cs="Arial"/>
          <w:b/>
          <w:bCs/>
          <w:lang w:val="es-ES_tradnl" w:eastAsia="es-ES_tradnl"/>
        </w:rPr>
      </w:pPr>
    </w:p>
    <w:p w14:paraId="1922EBA2" w14:textId="77777777" w:rsidR="00430959" w:rsidRPr="0014412C" w:rsidRDefault="00430959" w:rsidP="00430959">
      <w:pPr>
        <w:ind w:left="2124" w:firstLine="570"/>
        <w:contextualSpacing/>
        <w:rPr>
          <w:rFonts w:ascii="Arial" w:eastAsia="Calibri" w:hAnsi="Arial" w:cs="Arial"/>
          <w:b/>
          <w:bCs/>
          <w:lang w:val="es-ES_tradnl" w:eastAsia="es-ES_tradnl"/>
        </w:rPr>
      </w:pPr>
      <w:r w:rsidRPr="0014412C">
        <w:rPr>
          <w:rFonts w:ascii="Arial" w:eastAsia="Calibri" w:hAnsi="Arial" w:cs="Arial"/>
          <w:b/>
          <w:bCs/>
          <w:lang w:val="es-ES_tradnl" w:eastAsia="es-ES_tradnl"/>
        </w:rPr>
        <w:t>Concepto C – 202 de 2023</w:t>
      </w:r>
    </w:p>
    <w:p w14:paraId="6BB672CD" w14:textId="77777777" w:rsidR="00430959" w:rsidRPr="0014412C" w:rsidRDefault="00430959" w:rsidP="00430959">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30959" w:rsidRPr="0014412C" w14:paraId="4CCEE584" w14:textId="77777777" w:rsidTr="00380D61">
        <w:tc>
          <w:tcPr>
            <w:tcW w:w="2689" w:type="dxa"/>
          </w:tcPr>
          <w:p w14:paraId="515F1137" w14:textId="77777777" w:rsidR="00430959" w:rsidRPr="0014412C" w:rsidRDefault="00430959" w:rsidP="00380D61">
            <w:pPr>
              <w:contextualSpacing/>
              <w:jc w:val="both"/>
              <w:rPr>
                <w:rFonts w:ascii="Arial" w:eastAsia="Calibri" w:hAnsi="Arial" w:cs="Arial"/>
                <w:lang w:val="es-ES_tradnl" w:eastAsia="es-ES_tradnl"/>
              </w:rPr>
            </w:pPr>
            <w:r w:rsidRPr="0014412C">
              <w:rPr>
                <w:rFonts w:ascii="Arial" w:eastAsia="Calibri" w:hAnsi="Arial" w:cs="Arial"/>
                <w:b/>
                <w:lang w:val="es-ES_tradnl" w:eastAsia="es-ES_tradnl"/>
              </w:rPr>
              <w:t>Temas:</w:t>
            </w:r>
            <w:r w:rsidRPr="0014412C">
              <w:rPr>
                <w:rFonts w:ascii="Arial" w:eastAsia="Calibri" w:hAnsi="Arial" w:cs="Arial"/>
                <w:lang w:val="es-ES_tradnl" w:eastAsia="es-ES_tradnl"/>
              </w:rPr>
              <w:t xml:space="preserve">                                      </w:t>
            </w:r>
          </w:p>
        </w:tc>
        <w:tc>
          <w:tcPr>
            <w:tcW w:w="6237" w:type="dxa"/>
          </w:tcPr>
          <w:p w14:paraId="472456CD" w14:textId="26E6F53F" w:rsidR="00430959" w:rsidRPr="0014412C" w:rsidRDefault="00430959" w:rsidP="00380D61">
            <w:pPr>
              <w:spacing w:after="120"/>
              <w:contextualSpacing/>
              <w:jc w:val="both"/>
              <w:rPr>
                <w:rFonts w:ascii="Arial" w:eastAsia="Calibri" w:hAnsi="Arial" w:cs="Arial"/>
                <w:bCs/>
                <w:lang w:val="es-MX" w:eastAsia="es-ES_tradnl"/>
              </w:rPr>
            </w:pPr>
            <w:r w:rsidRPr="0014412C">
              <w:rPr>
                <w:rFonts w:ascii="Arial" w:eastAsia="Calibri" w:hAnsi="Arial" w:cs="Arial"/>
                <w:bCs/>
                <w:lang w:val="es-ES_tradnl" w:eastAsia="es-ES_tradnl"/>
              </w:rPr>
              <w:t xml:space="preserve">DOCUMENTOS TIPO – Agua potable y saneamiento básico – Matriz 1 – Experiencia – Actividad 2.1– Construcción, reposición, ampliación y optimización – Alcance </w:t>
            </w:r>
            <w:r w:rsidRPr="0014412C">
              <w:rPr>
                <w:rFonts w:ascii="Arial" w:eastAsia="Calibri" w:hAnsi="Arial" w:cs="Arial"/>
                <w:bCs/>
                <w:lang w:val="es-MX" w:eastAsia="es-ES_tradnl"/>
              </w:rPr>
              <w:t>/ EMPRESAS Y EMPRENDIMIENTOS DE MUJERES – Cargos directivos – Criterios diferenciales – Formato 12 – Diligenciamiento / Capacidad residual – Documentos tipo – Saldo de contratos en ejecución – Terminación anticipada – Contratos en estado de liquidación</w:t>
            </w:r>
          </w:p>
          <w:p w14:paraId="5822DEEC" w14:textId="77777777" w:rsidR="00430959" w:rsidRPr="0014412C" w:rsidRDefault="00430959" w:rsidP="00380D61">
            <w:pPr>
              <w:spacing w:after="120"/>
              <w:contextualSpacing/>
              <w:jc w:val="both"/>
              <w:rPr>
                <w:rFonts w:ascii="Arial" w:eastAsia="Calibri" w:hAnsi="Arial" w:cs="Arial"/>
                <w:bCs/>
                <w:sz w:val="12"/>
                <w:szCs w:val="12"/>
                <w:lang w:val="es-ES_tradnl" w:eastAsia="es-ES_tradnl"/>
              </w:rPr>
            </w:pPr>
          </w:p>
        </w:tc>
      </w:tr>
      <w:tr w:rsidR="00430959" w:rsidRPr="0014412C" w14:paraId="55149CF7" w14:textId="77777777" w:rsidTr="00380D61">
        <w:trPr>
          <w:trHeight w:val="227"/>
        </w:trPr>
        <w:tc>
          <w:tcPr>
            <w:tcW w:w="2689" w:type="dxa"/>
          </w:tcPr>
          <w:p w14:paraId="3847D45E" w14:textId="77777777" w:rsidR="00430959" w:rsidRPr="0014412C" w:rsidRDefault="00430959" w:rsidP="00380D61">
            <w:pPr>
              <w:contextualSpacing/>
              <w:jc w:val="both"/>
              <w:rPr>
                <w:rFonts w:ascii="Arial" w:eastAsia="Calibri" w:hAnsi="Arial" w:cs="Arial"/>
                <w:b/>
                <w:lang w:val="es-ES_tradnl" w:eastAsia="es-ES_tradnl"/>
              </w:rPr>
            </w:pPr>
            <w:r w:rsidRPr="0014412C">
              <w:rPr>
                <w:rFonts w:ascii="Arial" w:eastAsia="Calibri" w:hAnsi="Arial" w:cs="Arial"/>
                <w:b/>
                <w:lang w:val="es-ES_tradnl" w:eastAsia="es-ES_tradnl"/>
              </w:rPr>
              <w:t>Radicación:</w:t>
            </w:r>
            <w:r w:rsidRPr="0014412C">
              <w:rPr>
                <w:rFonts w:ascii="Arial" w:eastAsia="Calibri" w:hAnsi="Arial" w:cs="Arial"/>
                <w:lang w:val="es-ES_tradnl" w:eastAsia="es-ES_tradnl"/>
              </w:rPr>
              <w:t xml:space="preserve">                             </w:t>
            </w:r>
          </w:p>
        </w:tc>
        <w:tc>
          <w:tcPr>
            <w:tcW w:w="6237" w:type="dxa"/>
          </w:tcPr>
          <w:p w14:paraId="36AAE4B4" w14:textId="77777777" w:rsidR="00430959" w:rsidRPr="0014412C" w:rsidRDefault="00430959" w:rsidP="00380D61">
            <w:pPr>
              <w:contextualSpacing/>
              <w:jc w:val="both"/>
              <w:rPr>
                <w:rFonts w:ascii="Arial" w:eastAsia="Calibri" w:hAnsi="Arial" w:cs="Arial"/>
                <w:lang w:val="es-ES_tradnl" w:eastAsia="es-ES_tradnl"/>
              </w:rPr>
            </w:pPr>
            <w:r w:rsidRPr="0014412C">
              <w:rPr>
                <w:rFonts w:ascii="Arial" w:eastAsia="Calibri" w:hAnsi="Arial" w:cs="Arial"/>
                <w:lang w:val="es-ES_tradnl" w:eastAsia="es-ES_tradnl"/>
              </w:rPr>
              <w:t>Respuesta a consulta P20230622012553</w:t>
            </w:r>
          </w:p>
        </w:tc>
      </w:tr>
    </w:tbl>
    <w:p w14:paraId="12D685D3" w14:textId="77777777" w:rsidR="00430959" w:rsidRPr="0014412C" w:rsidRDefault="00430959" w:rsidP="00430959">
      <w:pPr>
        <w:contextualSpacing/>
        <w:jc w:val="both"/>
        <w:rPr>
          <w:rFonts w:ascii="Arial" w:eastAsia="Calibri" w:hAnsi="Arial" w:cs="Arial"/>
          <w:lang w:val="es-ES_tradnl" w:eastAsia="es-ES_tradnl"/>
        </w:rPr>
      </w:pPr>
    </w:p>
    <w:p w14:paraId="4AD8BE2D" w14:textId="77777777" w:rsidR="00430959" w:rsidRPr="0014412C" w:rsidRDefault="00430959" w:rsidP="00430959">
      <w:pPr>
        <w:contextualSpacing/>
        <w:jc w:val="both"/>
        <w:rPr>
          <w:rFonts w:ascii="Arial" w:eastAsia="Calibri" w:hAnsi="Arial" w:cs="Arial"/>
          <w:lang w:val="es-ES_tradnl" w:eastAsia="es-ES_tradnl"/>
        </w:rPr>
      </w:pPr>
    </w:p>
    <w:p w14:paraId="7804ABF8" w14:textId="77777777" w:rsidR="00430959" w:rsidRPr="0014412C" w:rsidRDefault="00430959" w:rsidP="00430959">
      <w:pPr>
        <w:contextualSpacing/>
        <w:jc w:val="both"/>
        <w:rPr>
          <w:rFonts w:ascii="Arial" w:eastAsia="Calibri" w:hAnsi="Arial" w:cs="Arial"/>
          <w:lang w:val="es-ES" w:eastAsia="es-ES"/>
        </w:rPr>
      </w:pPr>
      <w:r w:rsidRPr="0014412C">
        <w:rPr>
          <w:rFonts w:ascii="Arial" w:eastAsia="Calibri" w:hAnsi="Arial" w:cs="Arial"/>
          <w:lang w:val="es-ES" w:eastAsia="es-ES"/>
        </w:rPr>
        <w:t xml:space="preserve">Respetado señor </w:t>
      </w:r>
      <w:r w:rsidRPr="0014412C">
        <w:rPr>
          <w:rFonts w:ascii="Arial" w:eastAsia="Times New Roman" w:hAnsi="Arial" w:cs="Arial"/>
          <w:lang w:eastAsia="es-ES"/>
        </w:rPr>
        <w:t>Bonilla Quintana</w:t>
      </w:r>
      <w:r w:rsidRPr="0014412C">
        <w:rPr>
          <w:rFonts w:ascii="Arial" w:eastAsia="Calibri" w:hAnsi="Arial" w:cs="Arial"/>
          <w:lang w:val="es-ES" w:eastAsia="es-ES"/>
        </w:rPr>
        <w:t>:</w:t>
      </w:r>
    </w:p>
    <w:p w14:paraId="66465150" w14:textId="77777777" w:rsidR="00430959" w:rsidRPr="0014412C" w:rsidRDefault="00430959" w:rsidP="00430959">
      <w:pPr>
        <w:spacing w:line="276" w:lineRule="auto"/>
        <w:contextualSpacing/>
        <w:jc w:val="both"/>
        <w:rPr>
          <w:rFonts w:ascii="Arial" w:eastAsia="Calibri" w:hAnsi="Arial" w:cs="Arial"/>
          <w:szCs w:val="24"/>
          <w:lang w:val="es-ES_tradnl" w:eastAsia="es-ES_tradnl"/>
        </w:rPr>
      </w:pPr>
    </w:p>
    <w:bookmarkEnd w:id="0"/>
    <w:bookmarkEnd w:id="1"/>
    <w:p w14:paraId="32AA4C98" w14:textId="77777777" w:rsidR="00430959" w:rsidRPr="0014412C" w:rsidRDefault="00430959" w:rsidP="00430959">
      <w:pPr>
        <w:spacing w:after="0" w:line="276" w:lineRule="auto"/>
        <w:jc w:val="both"/>
        <w:rPr>
          <w:rFonts w:ascii="Arial" w:eastAsia="Calibri" w:hAnsi="Arial" w:cs="Arial"/>
          <w:color w:val="000000" w:themeColor="text1"/>
          <w:lang w:val="es-ES_tradnl"/>
        </w:rPr>
      </w:pPr>
      <w:r w:rsidRPr="0014412C">
        <w:rPr>
          <w:rFonts w:ascii="Arial" w:eastAsia="Calibri" w:hAnsi="Arial" w:cs="Arial"/>
          <w:color w:val="000000" w:themeColor="text1"/>
          <w:lang w:val="es-ES_tradnl"/>
        </w:rPr>
        <w:t>En ejercicio de la competencia otorgada por el numeral 8 del artículo 11 y el numeral 5 del artículo 3 del Decreto Ley 4170 de 2011</w:t>
      </w:r>
      <w:bookmarkStart w:id="3" w:name="_Hlk99120496"/>
      <w:r w:rsidRPr="0014412C">
        <w:rPr>
          <w:rFonts w:ascii="Arial" w:eastAsia="Arial MT" w:hAnsi="Arial" w:cs="Arial"/>
          <w:lang w:val="es-ES"/>
        </w:rPr>
        <w:t xml:space="preserve">, </w:t>
      </w:r>
      <w:bookmarkEnd w:id="3"/>
      <w:r w:rsidRPr="0014412C">
        <w:rPr>
          <w:rFonts w:ascii="Arial" w:eastAsia="Calibri" w:hAnsi="Arial" w:cs="Arial"/>
          <w:color w:val="000000" w:themeColor="text1"/>
          <w:lang w:val="es-ES_tradnl"/>
        </w:rPr>
        <w:t>la Agencia Nacional de Contratación Pública – Colombia Compra Eficiente responde la consulta radicada el 22 de junio de 2023.</w:t>
      </w:r>
    </w:p>
    <w:p w14:paraId="4A493796" w14:textId="77777777" w:rsidR="00430959" w:rsidRPr="0014412C" w:rsidRDefault="00430959" w:rsidP="00430959">
      <w:pPr>
        <w:spacing w:after="0" w:line="276" w:lineRule="auto"/>
        <w:jc w:val="both"/>
        <w:rPr>
          <w:rFonts w:ascii="Arial" w:eastAsia="Calibri" w:hAnsi="Arial" w:cs="Arial"/>
          <w:b/>
          <w:color w:val="000000" w:themeColor="text1"/>
          <w:lang w:val="es-ES_tradnl"/>
        </w:rPr>
      </w:pPr>
    </w:p>
    <w:p w14:paraId="75E6638F" w14:textId="77777777" w:rsidR="00430959" w:rsidRPr="0014412C" w:rsidRDefault="00430959" w:rsidP="00430959">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14412C">
        <w:rPr>
          <w:rFonts w:ascii="Arial" w:eastAsia="Calibri" w:hAnsi="Arial" w:cs="Arial"/>
          <w:b/>
          <w:color w:val="000000" w:themeColor="text1"/>
          <w:lang w:val="es-ES_tradnl"/>
        </w:rPr>
        <w:t xml:space="preserve">Problemas planteados </w:t>
      </w:r>
    </w:p>
    <w:p w14:paraId="22865EA3" w14:textId="77777777" w:rsidR="00430959" w:rsidRPr="0014412C" w:rsidRDefault="00430959" w:rsidP="00430959">
      <w:pPr>
        <w:tabs>
          <w:tab w:val="left" w:pos="426"/>
        </w:tabs>
        <w:spacing w:after="0" w:line="276" w:lineRule="auto"/>
        <w:jc w:val="both"/>
        <w:rPr>
          <w:rFonts w:ascii="Arial" w:eastAsia="Calibri" w:hAnsi="Arial" w:cs="Arial"/>
          <w:b/>
          <w:color w:val="000000" w:themeColor="text1"/>
          <w:lang w:val="es-ES_tradnl"/>
        </w:rPr>
      </w:pPr>
    </w:p>
    <w:p w14:paraId="17E94618" w14:textId="54B853A7" w:rsidR="00430959" w:rsidRPr="0014412C" w:rsidRDefault="00430959" w:rsidP="00430959">
      <w:pPr>
        <w:spacing w:after="0" w:line="276" w:lineRule="auto"/>
        <w:jc w:val="both"/>
        <w:rPr>
          <w:rFonts w:ascii="Arial" w:hAnsi="Arial" w:cs="Arial"/>
          <w:color w:val="000000" w:themeColor="text1"/>
          <w:lang w:val="es-ES_tradnl"/>
        </w:rPr>
      </w:pPr>
      <w:r w:rsidRPr="0014412C">
        <w:rPr>
          <w:rFonts w:ascii="Arial" w:hAnsi="Arial" w:cs="Arial"/>
          <w:color w:val="000000" w:themeColor="text1"/>
          <w:lang w:val="es-ES_tradnl"/>
        </w:rPr>
        <w:t xml:space="preserve">Usted realiza las siguientes preguntas: i) “Dentro de la matriz de experiencia de los pliegos tipo de Infraestructura APSAB se encuentra la opción de solicitar en el literal 2.1: ‘PROYECTOS QUE CORRESPONDAN O HAYAN CONTENIDO ACTIVIDADES DE: CONSTRUCCION DE ALCANTARILLADO (SANITARIO Y/O PLUVIAL Y/O COMBINADO)’. Cuando un proponente cuente con un contrato que haya tenido como objeto ‘Reposición’, ‘Optimización’, ‘Ampliación’, entre otros (diferentes a construcción); teniendo en cuenta que las actividades a ejecutar pueden ser las mismas o muy similares a proyectos de "Construcción", como debe hacer la entidad para evaluar si la experiencia </w:t>
      </w:r>
      <w:r w:rsidRPr="0014412C">
        <w:rPr>
          <w:rFonts w:ascii="Arial" w:hAnsi="Arial" w:cs="Arial"/>
          <w:color w:val="000000" w:themeColor="text1"/>
          <w:lang w:val="es-ES_tradnl"/>
        </w:rPr>
        <w:lastRenderedPageBreak/>
        <w:t xml:space="preserve">con un objeto como los mencionados es válida para dicha clasificación en la matriz 1 de experiencia”, </w:t>
      </w:r>
      <w:bookmarkStart w:id="4" w:name="_Hlk139900998"/>
      <w:proofErr w:type="spellStart"/>
      <w:r w:rsidRPr="0014412C">
        <w:rPr>
          <w:rFonts w:ascii="Arial" w:hAnsi="Arial" w:cs="Arial"/>
          <w:color w:val="000000" w:themeColor="text1"/>
          <w:lang w:val="es-ES_tradnl"/>
        </w:rPr>
        <w:t>ii</w:t>
      </w:r>
      <w:proofErr w:type="spellEnd"/>
      <w:r w:rsidRPr="0014412C">
        <w:rPr>
          <w:rFonts w:ascii="Arial" w:hAnsi="Arial" w:cs="Arial"/>
          <w:color w:val="000000" w:themeColor="text1"/>
          <w:lang w:val="es-ES_tradnl"/>
        </w:rPr>
        <w:t>) “Teniendo en cuenta que el Formato 12 de vinculación de emprendimientos y empresas de mujeres, conforme a su normatividad permite aplicar por este puntaje para proponentes que tienen ‘por lo menos el cincuenta por ciento (50 %) de los empleos del nivel directivo de la persona jurídica han sido ejercidos por mujeres y estas han estado vinculadas laboralmente a la empresa durante al menos el último año anterior a la fecha de cierre del Proceso’, los cuales deben aportar ‘los contratos de trabajo o certificación laboral con las funciones y el certificado de aportes al Sistema de Seguridad Social. Si una empresa, según se evidencia en el certificado de existencia y representación legal, cuenta con representantes legales principales y suplentes hombres, y al actuar en calidad de socios manifiestan que no cuentan con contrato laboral ni se encuentran afiliados al sistema de seguridad social por parte de la empresa, deben ser reportados en dicho formato? En caso de respuesta afirmativa, ya que estos no se encuentran vinculados con contrato laboral ni afiliados, pierde el proponente la oportunidad de aplicar</w:t>
      </w:r>
      <w:r w:rsidR="004F3F3E">
        <w:rPr>
          <w:rFonts w:ascii="Arial" w:hAnsi="Arial" w:cs="Arial"/>
          <w:color w:val="000000" w:themeColor="text1"/>
          <w:lang w:val="es-ES_tradnl"/>
        </w:rPr>
        <w:t xml:space="preserve"> p</w:t>
      </w:r>
      <w:r w:rsidR="008E05CC">
        <w:rPr>
          <w:rFonts w:ascii="Arial" w:hAnsi="Arial" w:cs="Arial"/>
          <w:color w:val="000000" w:themeColor="text1"/>
          <w:lang w:val="es-ES_tradnl"/>
        </w:rPr>
        <w:t>or</w:t>
      </w:r>
      <w:r w:rsidRPr="0014412C">
        <w:rPr>
          <w:rFonts w:ascii="Arial" w:hAnsi="Arial" w:cs="Arial"/>
          <w:color w:val="000000" w:themeColor="text1"/>
          <w:lang w:val="es-ES_tradnl"/>
        </w:rPr>
        <w:t xml:space="preserve"> </w:t>
      </w:r>
      <w:r w:rsidR="00687A8B">
        <w:rPr>
          <w:rFonts w:ascii="Arial" w:hAnsi="Arial" w:cs="Arial"/>
          <w:color w:val="000000" w:themeColor="text1"/>
          <w:lang w:val="es-ES_tradnl"/>
        </w:rPr>
        <w:t xml:space="preserve">el </w:t>
      </w:r>
      <w:r w:rsidRPr="0014412C">
        <w:rPr>
          <w:rFonts w:ascii="Arial" w:hAnsi="Arial" w:cs="Arial"/>
          <w:color w:val="000000" w:themeColor="text1"/>
          <w:lang w:val="es-ES_tradnl"/>
        </w:rPr>
        <w:t>respectivo puntaje?”</w:t>
      </w:r>
      <w:bookmarkEnd w:id="4"/>
      <w:r w:rsidRPr="0014412C">
        <w:rPr>
          <w:rFonts w:ascii="Arial" w:hAnsi="Arial" w:cs="Arial"/>
          <w:color w:val="000000" w:themeColor="text1"/>
          <w:lang w:val="es-ES_tradnl"/>
        </w:rPr>
        <w:t xml:space="preserve"> y </w:t>
      </w:r>
      <w:bookmarkStart w:id="5" w:name="_Hlk139901654"/>
      <w:proofErr w:type="spellStart"/>
      <w:r w:rsidRPr="0014412C">
        <w:rPr>
          <w:rFonts w:ascii="Arial" w:hAnsi="Arial" w:cs="Arial"/>
          <w:color w:val="000000" w:themeColor="text1"/>
          <w:lang w:val="es-ES_tradnl"/>
        </w:rPr>
        <w:t>iii</w:t>
      </w:r>
      <w:proofErr w:type="spellEnd"/>
      <w:r w:rsidRPr="0014412C">
        <w:rPr>
          <w:rFonts w:ascii="Arial" w:hAnsi="Arial" w:cs="Arial"/>
          <w:color w:val="000000" w:themeColor="text1"/>
          <w:lang w:val="es-ES_tradnl"/>
        </w:rPr>
        <w:t xml:space="preserve">) “En caso de terminación de un contrato de obra previo a su fecha de vencimiento, el proponente debe retirarlo de su formato de saldo de contratos en ejecución? De ser así, en caso de requerirlo, cual deberá ser el soporte válido para presentar a la entidad de forma que se pueda verificar la terminación </w:t>
      </w:r>
      <w:proofErr w:type="gramStart"/>
      <w:r w:rsidRPr="0014412C">
        <w:rPr>
          <w:rFonts w:ascii="Arial" w:hAnsi="Arial" w:cs="Arial"/>
          <w:color w:val="000000" w:themeColor="text1"/>
          <w:lang w:val="es-ES_tradnl"/>
        </w:rPr>
        <w:t>del mismo</w:t>
      </w:r>
      <w:proofErr w:type="gramEnd"/>
      <w:r w:rsidRPr="0014412C">
        <w:rPr>
          <w:rFonts w:ascii="Arial" w:hAnsi="Arial" w:cs="Arial"/>
          <w:color w:val="000000" w:themeColor="text1"/>
          <w:lang w:val="es-ES_tradnl"/>
        </w:rPr>
        <w:t>?”</w:t>
      </w:r>
      <w:bookmarkEnd w:id="5"/>
      <w:r w:rsidRPr="0014412C">
        <w:rPr>
          <w:rFonts w:ascii="Arial" w:hAnsi="Arial" w:cs="Arial"/>
          <w:color w:val="000000" w:themeColor="text1"/>
          <w:lang w:val="es-ES_tradnl"/>
        </w:rPr>
        <w:t>.</w:t>
      </w:r>
    </w:p>
    <w:p w14:paraId="6B32C701" w14:textId="77777777" w:rsidR="00430959" w:rsidRPr="0014412C" w:rsidRDefault="00430959" w:rsidP="00430959">
      <w:pPr>
        <w:spacing w:after="0" w:line="276" w:lineRule="auto"/>
        <w:ind w:right="709"/>
        <w:jc w:val="both"/>
        <w:rPr>
          <w:rFonts w:ascii="Arial" w:hAnsi="Arial" w:cs="Arial"/>
          <w:color w:val="000000" w:themeColor="text1"/>
        </w:rPr>
      </w:pPr>
    </w:p>
    <w:p w14:paraId="16096BB9" w14:textId="77777777" w:rsidR="00430959" w:rsidRPr="0014412C" w:rsidRDefault="00430959" w:rsidP="00430959">
      <w:pPr>
        <w:pStyle w:val="Prrafodelista"/>
        <w:numPr>
          <w:ilvl w:val="0"/>
          <w:numId w:val="6"/>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14412C">
        <w:rPr>
          <w:rFonts w:ascii="Arial" w:eastAsia="Calibri" w:hAnsi="Arial" w:cs="Arial"/>
          <w:b/>
          <w:color w:val="000000" w:themeColor="text1"/>
          <w:lang w:val="es-ES_tradnl"/>
        </w:rPr>
        <w:t>Consideraciones</w:t>
      </w:r>
    </w:p>
    <w:p w14:paraId="02766384" w14:textId="77777777" w:rsidR="00430959" w:rsidRPr="0014412C" w:rsidRDefault="00430959" w:rsidP="00430959">
      <w:pPr>
        <w:spacing w:after="0" w:line="276" w:lineRule="auto"/>
        <w:jc w:val="both"/>
        <w:rPr>
          <w:rFonts w:ascii="Arial" w:eastAsia="Calibri" w:hAnsi="Arial" w:cs="Arial"/>
          <w:color w:val="000000" w:themeColor="text1"/>
          <w:lang w:val="es-ES"/>
        </w:rPr>
      </w:pPr>
    </w:p>
    <w:p w14:paraId="12D46120" w14:textId="77777777" w:rsidR="00430959" w:rsidRPr="0014412C" w:rsidRDefault="00430959" w:rsidP="00430959">
      <w:pPr>
        <w:spacing w:line="276" w:lineRule="auto"/>
        <w:jc w:val="both"/>
        <w:rPr>
          <w:rFonts w:ascii="Arial" w:hAnsi="Arial" w:cs="Arial"/>
          <w:color w:val="000000" w:themeColor="text1"/>
          <w:lang w:val="es-ES"/>
        </w:rPr>
      </w:pPr>
      <w:r w:rsidRPr="0014412C">
        <w:rPr>
          <w:rFonts w:ascii="Arial" w:eastAsia="Calibri" w:hAnsi="Arial" w:cs="Arial"/>
        </w:rPr>
        <w:t xml:space="preserve">Dentro de los límites de sus atribuciones, </w:t>
      </w:r>
      <w:r w:rsidRPr="0014412C">
        <w:rPr>
          <w:rFonts w:ascii="Arial" w:eastAsia="Calibri" w:hAnsi="Arial" w:cs="Arial"/>
          <w:lang w:val="es-ES"/>
        </w:rPr>
        <w:t>la Agencia resolverá la consulta conforme a las normas generales del sistema de compras públicas. Con este objetivo</w:t>
      </w:r>
      <w:r w:rsidRPr="0014412C">
        <w:rPr>
          <w:rFonts w:ascii="Arial" w:eastAsia="Calibri" w:hAnsi="Arial" w:cs="Arial"/>
          <w:color w:val="000000" w:themeColor="text1"/>
        </w:rPr>
        <w:t xml:space="preserve"> </w:t>
      </w:r>
      <w:r w:rsidRPr="0014412C">
        <w:rPr>
          <w:rFonts w:ascii="Arial" w:eastAsia="Calibri" w:hAnsi="Arial" w:cs="Arial"/>
          <w:color w:val="000000" w:themeColor="text1"/>
          <w:lang w:val="es-ES"/>
        </w:rPr>
        <w:t>se abordarán los siguientes temas</w:t>
      </w:r>
      <w:r w:rsidRPr="0014412C">
        <w:rPr>
          <w:rFonts w:ascii="Arial" w:hAnsi="Arial" w:cs="Arial"/>
          <w:color w:val="000000" w:themeColor="text1"/>
          <w:lang w:val="es-ES"/>
        </w:rPr>
        <w:t xml:space="preserve">: i) experiencia general para los proyectos de construcción de alcantarillados sanitarios y/o pluviales y/o combinado (urbanos y/o rurales) y/u obras complementarias, </w:t>
      </w:r>
      <w:proofErr w:type="spellStart"/>
      <w:r w:rsidRPr="0014412C">
        <w:rPr>
          <w:rFonts w:ascii="Arial" w:hAnsi="Arial" w:cs="Arial"/>
          <w:color w:val="000000" w:themeColor="text1"/>
          <w:lang w:val="es-ES"/>
        </w:rPr>
        <w:t>ii</w:t>
      </w:r>
      <w:proofErr w:type="spellEnd"/>
      <w:r w:rsidRPr="0014412C">
        <w:rPr>
          <w:rFonts w:ascii="Arial" w:hAnsi="Arial" w:cs="Arial"/>
          <w:color w:val="000000" w:themeColor="text1"/>
          <w:lang w:val="es-ES"/>
        </w:rPr>
        <w:t xml:space="preserve">) incentivos para empresas y emprendimientos de mujeres en el sistema de compras y contratación pública y </w:t>
      </w:r>
      <w:proofErr w:type="spellStart"/>
      <w:r w:rsidRPr="0014412C">
        <w:rPr>
          <w:rFonts w:ascii="Arial" w:hAnsi="Arial" w:cs="Arial"/>
          <w:color w:val="000000" w:themeColor="text1"/>
          <w:lang w:val="es-ES"/>
        </w:rPr>
        <w:t>iii</w:t>
      </w:r>
      <w:proofErr w:type="spellEnd"/>
      <w:r w:rsidRPr="0014412C">
        <w:rPr>
          <w:rFonts w:ascii="Arial" w:hAnsi="Arial" w:cs="Arial"/>
          <w:color w:val="000000" w:themeColor="text1"/>
          <w:lang w:val="es-ES"/>
        </w:rPr>
        <w:t xml:space="preserve">) capacidad residual como requisito habilitante. </w:t>
      </w:r>
    </w:p>
    <w:p w14:paraId="789EB582" w14:textId="77777777" w:rsidR="00430959" w:rsidRPr="0014412C" w:rsidRDefault="00430959" w:rsidP="00430959">
      <w:pPr>
        <w:spacing w:before="120" w:after="0" w:line="276" w:lineRule="auto"/>
        <w:ind w:firstLine="709"/>
        <w:jc w:val="both"/>
        <w:rPr>
          <w:rFonts w:ascii="Arial" w:hAnsi="Arial" w:cs="Arial"/>
          <w:color w:val="000000"/>
          <w:bdr w:val="none" w:sz="0" w:space="0" w:color="auto" w:frame="1"/>
        </w:rPr>
      </w:pPr>
      <w:r w:rsidRPr="0014412C">
        <w:rPr>
          <w:rFonts w:ascii="Arial" w:hAnsi="Arial" w:cs="Arial"/>
          <w:lang w:val="es-MX"/>
        </w:rPr>
        <w:t xml:space="preserve">La Agencia Nacional de Contratación Pública – Colombia Compra Eficiente, en los Conceptos  </w:t>
      </w:r>
      <w:r w:rsidRPr="0014412C">
        <w:rPr>
          <w:rFonts w:ascii="Arial" w:hAnsi="Arial" w:cs="Arial"/>
          <w:color w:val="000000"/>
          <w:bdr w:val="none" w:sz="0" w:space="0" w:color="auto" w:frame="1"/>
        </w:rPr>
        <w:t xml:space="preserve">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w:t>
      </w:r>
      <w:r w:rsidRPr="0014412C">
        <w:rPr>
          <w:rFonts w:ascii="Arial" w:hAnsi="Arial" w:cs="Arial"/>
          <w:color w:val="000000"/>
          <w:bdr w:val="none" w:sz="0" w:space="0" w:color="auto" w:frame="1"/>
        </w:rPr>
        <w:lastRenderedPageBreak/>
        <w:t>agosto de 2021, C-454 del 31 de agosto de 2021, C-502 del 21 de septiembre de 2021, C-526 del 27 de septiembre de 2021, C-605 del 2 de noviembre de 2021, C-665 del 23 de diciembre de 2021, C-735 del 28 de enero de 2022 y C-637 del 27 de septiembre de 2022,</w:t>
      </w:r>
      <w:r w:rsidRPr="0014412C">
        <w:rPr>
          <w:rFonts w:ascii="Arial" w:hAnsi="Arial" w:cs="Arial"/>
          <w:lang w:val="es-MX"/>
        </w:rPr>
        <w:t xml:space="preserve"> se ha pronunciado sobre la forma de establecer y acreditar la experiencia exigible en procesos de contratación adelantados con documentos tipo</w:t>
      </w:r>
      <w:r w:rsidRPr="0014412C">
        <w:rPr>
          <w:rFonts w:ascii="Arial" w:hAnsi="Arial" w:cs="Arial"/>
          <w:color w:val="000000"/>
          <w:bdr w:val="none" w:sz="0" w:space="0" w:color="auto" w:frame="1"/>
        </w:rPr>
        <w:t>.</w:t>
      </w:r>
    </w:p>
    <w:p w14:paraId="7BA6257F" w14:textId="77777777" w:rsidR="00430959" w:rsidRPr="0014412C" w:rsidRDefault="00430959" w:rsidP="00430959">
      <w:pPr>
        <w:spacing w:before="120" w:after="0" w:line="276" w:lineRule="auto"/>
        <w:ind w:firstLine="709"/>
        <w:jc w:val="both"/>
        <w:rPr>
          <w:rFonts w:ascii="Arial" w:eastAsia="Calibri" w:hAnsi="Arial" w:cs="Arial"/>
          <w:color w:val="000000" w:themeColor="text1"/>
          <w:lang w:val="es-ES"/>
        </w:rPr>
      </w:pPr>
      <w:r w:rsidRPr="0014412C">
        <w:rPr>
          <w:rFonts w:ascii="Arial" w:hAnsi="Arial" w:cs="Arial"/>
          <w:color w:val="000000"/>
          <w:bdr w:val="none" w:sz="0" w:space="0" w:color="auto" w:frame="1"/>
        </w:rPr>
        <w:t xml:space="preserve">Por otra parte, </w:t>
      </w:r>
      <w:r w:rsidRPr="0014412C">
        <w:rPr>
          <w:rFonts w:ascii="Arial" w:eastAsia="Calibri" w:hAnsi="Arial" w:cs="Arial"/>
          <w:lang w:val="es-ES_tradnl" w:eastAsia="es-ES_tradnl"/>
        </w:rPr>
        <w:t xml:space="preserve">se ha pronunciado sobre lo dispuesto en el artículo 32 de la Ley de Emprendimiento, alusivo a los criterios diferenciales para emprendimientos y empresas de mujeres, en los Conceptos </w:t>
      </w:r>
      <w:r w:rsidRPr="0014412C">
        <w:rPr>
          <w:rFonts w:ascii="Arial" w:eastAsia="Times New Roman" w:hAnsi="Arial" w:cs="Arial"/>
          <w:shd w:val="clear" w:color="auto" w:fill="FFFFFF"/>
          <w:lang w:eastAsia="es-ES_tradnl"/>
        </w:rPr>
        <w:t xml:space="preserve">C-029 de 21 de febrero de 2021, C-037 del 26 de febrero de 2021, C-141 del 8 de abril de 2021, C-114 del 13 de abril de 2015, C-031 del 1 de marzo de 2022, C-217 del 21 de abril de 2022, C-476 del 21 de junio de 2022, C-429 del 18 de julio de 2022, </w:t>
      </w:r>
      <w:r w:rsidRPr="0014412C">
        <w:rPr>
          <w:rFonts w:ascii="Arial" w:hAnsi="Arial" w:cs="Arial"/>
          <w:shd w:val="clear" w:color="auto" w:fill="FFFFFF"/>
        </w:rPr>
        <w:t>C-438 del 11 de julio de 2022, C-454 del 13 de julio de 2022, C-476 del 21 de junio de 2022, C-479 del 26 de julio de 2022, C-504 del 8 de agosto de 2022, C-509 de 8 de agosto de 2022, C-522 del 16 de agosto de 2022, C-533 de 25 de agosto de 2022, C-587 del 21 de septiembre de 2022, C-650 de 6 de octubre de 2022, C-698 de 24 de octubre de 2022, C-715 del 4 de noviembre de 2022, C-752 del 21 de diciembre de 2022, C-048 del 12 de abril de 2023 y C-058 del 10 de mayo de 2023.</w:t>
      </w:r>
    </w:p>
    <w:p w14:paraId="2FF98148" w14:textId="77777777" w:rsidR="00430959" w:rsidRPr="0014412C" w:rsidRDefault="00430959" w:rsidP="00430959">
      <w:pPr>
        <w:spacing w:before="120" w:after="0" w:line="276" w:lineRule="auto"/>
        <w:ind w:firstLine="709"/>
        <w:jc w:val="both"/>
        <w:rPr>
          <w:rFonts w:ascii="Arial" w:eastAsia="Calibri" w:hAnsi="Arial" w:cs="Arial"/>
          <w:color w:val="000000" w:themeColor="text1"/>
          <w:lang w:val="es-ES"/>
        </w:rPr>
      </w:pPr>
      <w:r w:rsidRPr="0014412C">
        <w:rPr>
          <w:rFonts w:ascii="Arial" w:eastAsia="Calibri" w:hAnsi="Arial" w:cs="Arial"/>
          <w:color w:val="000000" w:themeColor="text1"/>
          <w:lang w:val="es-ES"/>
        </w:rPr>
        <w:t xml:space="preserve">Finalmente, se ha pronunciado sobre la Capacidad Residual y la forma como esta debe acreditarse,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C-306 de 16 de mayo de 2022, C-351 de 23 de mayo de 2022, C-392 del 16 de junio de 2022, C-512 del 10 de agosto de 2022, C-536 del 22 de agosto de 2022, C-538 del 28 de agosto de 2022, C-567 del 2 de septiembre de 2022, C-549 del 31 de agosto de 2022, C-601 del 22 de septiembre de 2022, C-606 del 23 de septiembre de 2022, C-615 del 19 de agosto de 2022, C-656 del 10 de octubre de 2022. Asimismo, esta Agencia,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C- 663 del 30 de noviembre de 2021, C-692 del 28 de diciembre de 2021, C-306 de 16 de mayo de 2022, C-512 del 10 </w:t>
      </w:r>
      <w:r w:rsidRPr="0014412C">
        <w:rPr>
          <w:rFonts w:ascii="Arial" w:eastAsia="Calibri" w:hAnsi="Arial" w:cs="Arial"/>
          <w:color w:val="000000" w:themeColor="text1"/>
          <w:lang w:val="es-ES"/>
        </w:rPr>
        <w:lastRenderedPageBreak/>
        <w:t>de agosto de 2022, C-615 del 19 de agosto de 2020 y C-536 del 22 de agosto de 2022 analizó el rechazo de propuestas por falta de acreditación del requisito de capacidad residual en Procesos de Contratación adelantados con documentos tipo</w:t>
      </w:r>
      <w:r w:rsidRPr="0014412C">
        <w:rPr>
          <w:rStyle w:val="Refdenotaalpie"/>
          <w:rFonts w:ascii="Arial" w:eastAsia="Calibri" w:hAnsi="Arial" w:cs="Arial"/>
        </w:rPr>
        <w:footnoteReference w:id="1"/>
      </w:r>
      <w:r w:rsidRPr="0014412C">
        <w:rPr>
          <w:rFonts w:ascii="Arial" w:eastAsia="Calibri" w:hAnsi="Arial" w:cs="Arial"/>
          <w:color w:val="000000" w:themeColor="text1"/>
          <w:lang w:val="es-ES"/>
        </w:rPr>
        <w:t xml:space="preserve">. </w:t>
      </w:r>
      <w:r w:rsidRPr="0014412C">
        <w:rPr>
          <w:rFonts w:ascii="Arial" w:eastAsia="Calibri" w:hAnsi="Arial" w:cs="Arial"/>
          <w:color w:val="000000" w:themeColor="text1"/>
          <w:lang w:val="es-ES_tradnl"/>
        </w:rPr>
        <w:t xml:space="preserve">La tesis propuesta en estos conceptos se reitera a continuación y se complementa en lo pertinente de acuerdo con las preguntas realizadas. </w:t>
      </w:r>
    </w:p>
    <w:p w14:paraId="11E182A6" w14:textId="77777777" w:rsidR="00430959" w:rsidRPr="0014412C" w:rsidRDefault="00430959" w:rsidP="00430959">
      <w:pPr>
        <w:pStyle w:val="Sinespaciado"/>
        <w:widowControl w:val="0"/>
        <w:autoSpaceDE w:val="0"/>
        <w:autoSpaceDN w:val="0"/>
        <w:spacing w:line="276" w:lineRule="auto"/>
        <w:jc w:val="both"/>
        <w:rPr>
          <w:rFonts w:ascii="Arial" w:hAnsi="Arial" w:cs="Arial"/>
          <w:b/>
          <w:sz w:val="22"/>
        </w:rPr>
      </w:pPr>
    </w:p>
    <w:p w14:paraId="135DC577" w14:textId="77777777" w:rsidR="00430959" w:rsidRPr="0014412C" w:rsidRDefault="00430959" w:rsidP="00430959">
      <w:pPr>
        <w:spacing w:after="0" w:line="276" w:lineRule="auto"/>
        <w:contextualSpacing/>
        <w:jc w:val="both"/>
        <w:rPr>
          <w:rFonts w:ascii="Arial" w:eastAsia="Arial" w:hAnsi="Arial" w:cs="Arial"/>
          <w:b/>
          <w:bCs/>
          <w:lang w:val="es-ES_tradnl" w:eastAsia="es-ES_tradnl"/>
        </w:rPr>
      </w:pPr>
      <w:bookmarkStart w:id="6" w:name="_Hlk73970609"/>
      <w:r w:rsidRPr="0014412C">
        <w:rPr>
          <w:rFonts w:ascii="Arial" w:eastAsia="Arial" w:hAnsi="Arial" w:cs="Arial"/>
          <w:b/>
          <w:bCs/>
          <w:lang w:val="es-ES_tradnl" w:eastAsia="es-ES_tradnl"/>
        </w:rPr>
        <w:t xml:space="preserve">2.1. Documentos tipo de agua potable y saneamiento básico: </w:t>
      </w:r>
      <w:bookmarkStart w:id="7" w:name="_Hlk139902254"/>
      <w:r w:rsidRPr="0014412C">
        <w:rPr>
          <w:rFonts w:ascii="Arial" w:eastAsia="Arial" w:hAnsi="Arial" w:cs="Arial"/>
          <w:b/>
          <w:bCs/>
          <w:lang w:val="es-ES_tradnl" w:eastAsia="es-ES_tradnl"/>
        </w:rPr>
        <w:t>experiencia general para los proyectos de construcción de alcantarillados sanitarios y/o pluviales y/o combinado (urbanos y/o rurales) y/u obras complementarias</w:t>
      </w:r>
      <w:bookmarkEnd w:id="7"/>
      <w:r w:rsidRPr="0014412C">
        <w:rPr>
          <w:rFonts w:ascii="Arial" w:eastAsia="Arial" w:hAnsi="Arial" w:cs="Arial"/>
          <w:b/>
          <w:bCs/>
          <w:lang w:val="es-ES_tradnl" w:eastAsia="es-ES_tradnl"/>
        </w:rPr>
        <w:t xml:space="preserve"> </w:t>
      </w:r>
    </w:p>
    <w:p w14:paraId="0F6D31B0" w14:textId="77777777" w:rsidR="00430959" w:rsidRPr="0014412C" w:rsidRDefault="00430959" w:rsidP="00430959">
      <w:pPr>
        <w:spacing w:after="0" w:line="276" w:lineRule="auto"/>
        <w:contextualSpacing/>
        <w:jc w:val="both"/>
        <w:rPr>
          <w:rFonts w:ascii="Arial" w:eastAsia="Arial" w:hAnsi="Arial" w:cs="Arial"/>
          <w:b/>
          <w:bCs/>
          <w:lang w:val="es-ES_tradnl" w:eastAsia="es-ES_tradnl"/>
        </w:rPr>
      </w:pPr>
    </w:p>
    <w:p w14:paraId="6B17DD0A" w14:textId="77777777" w:rsidR="00430959" w:rsidRPr="0014412C" w:rsidRDefault="00430959" w:rsidP="00430959">
      <w:pPr>
        <w:widowControl w:val="0"/>
        <w:tabs>
          <w:tab w:val="left" w:pos="1134"/>
        </w:tabs>
        <w:autoSpaceDE w:val="0"/>
        <w:autoSpaceDN w:val="0"/>
        <w:spacing w:line="276" w:lineRule="auto"/>
        <w:jc w:val="both"/>
        <w:rPr>
          <w:rFonts w:ascii="Arial" w:hAnsi="Arial" w:cs="Arial"/>
          <w:lang w:val="es-MX"/>
        </w:rPr>
      </w:pPr>
      <w:bookmarkStart w:id="8" w:name="_Hlk138242918"/>
      <w:r w:rsidRPr="0014412C">
        <w:rPr>
          <w:rFonts w:ascii="Arial" w:hAnsi="Arial" w:cs="Arial"/>
          <w:color w:val="000000"/>
          <w:bdr w:val="none" w:sz="0" w:space="0" w:color="auto" w:frame="1"/>
        </w:rPr>
        <w:t>El artículo 1 de la Ley 2022 de 2020 otorgó a la Agencia Nacional de Contratación Pública – Colombia Compra Eficiente la competencia para adoptar los documentos tipo</w:t>
      </w:r>
      <w:r w:rsidRPr="0014412C">
        <w:rPr>
          <w:rFonts w:ascii="Arial" w:hAnsi="Arial" w:cs="Arial"/>
          <w:color w:val="000000"/>
          <w:bdr w:val="none" w:sz="0" w:space="0" w:color="auto" w:frame="1"/>
          <w:vertAlign w:val="superscript"/>
        </w:rPr>
        <w:footnoteReference w:id="2"/>
      </w:r>
      <w:r w:rsidRPr="0014412C">
        <w:rPr>
          <w:rFonts w:ascii="Arial" w:hAnsi="Arial" w:cs="Arial"/>
          <w:color w:val="000000"/>
          <w:bdr w:val="none" w:sz="0" w:space="0" w:color="auto" w:frame="1"/>
        </w:rPr>
        <w:t>. Asimismo, reiteró la obligatoriedad de su uso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w:t>
      </w:r>
      <w:r w:rsidRPr="0014412C">
        <w:rPr>
          <w:rFonts w:ascii="Arial" w:eastAsia="Calibri" w:hAnsi="Arial" w:cs="Arial"/>
          <w:lang w:val="es-MX"/>
        </w:rPr>
        <w:t xml:space="preserve"> o cuya modificación sea permitida por los mismos documentos tipo.</w:t>
      </w:r>
    </w:p>
    <w:p w14:paraId="0D87BA01" w14:textId="77777777" w:rsidR="00430959" w:rsidRPr="0014412C" w:rsidRDefault="00430959" w:rsidP="00430959">
      <w:pPr>
        <w:widowControl w:val="0"/>
        <w:tabs>
          <w:tab w:val="left" w:pos="1134"/>
        </w:tabs>
        <w:autoSpaceDE w:val="0"/>
        <w:autoSpaceDN w:val="0"/>
        <w:spacing w:before="120" w:line="276" w:lineRule="auto"/>
        <w:ind w:firstLine="709"/>
        <w:jc w:val="both"/>
        <w:rPr>
          <w:rFonts w:ascii="Arial" w:eastAsia="Calibri" w:hAnsi="Arial" w:cs="Arial"/>
        </w:rPr>
      </w:pPr>
      <w:r w:rsidRPr="0014412C">
        <w:rPr>
          <w:rFonts w:ascii="Arial" w:hAnsi="Arial" w:cs="Arial"/>
          <w:color w:val="000000"/>
          <w:bdr w:val="none" w:sz="0" w:space="0" w:color="auto" w:frame="1"/>
        </w:rPr>
        <w:t xml:space="preserve">Así, en desarrollo del artículo 1 de la Ley 2022 de 2020, esta Agencia expidió </w:t>
      </w:r>
      <w:r w:rsidRPr="0014412C">
        <w:rPr>
          <w:rFonts w:ascii="Arial" w:eastAsia="Calibri" w:hAnsi="Arial" w:cs="Arial"/>
          <w:lang w:val="es-MX"/>
        </w:rPr>
        <w:t>las Resoluciones 248 y 249 del 1 de diciembre de 2020, modificadas por las</w:t>
      </w:r>
      <w:r w:rsidRPr="0014412C">
        <w:rPr>
          <w:rFonts w:ascii="Arial" w:hAnsi="Arial" w:cs="Arial"/>
          <w:color w:val="0D0D0D" w:themeColor="text1" w:themeTint="F2"/>
        </w:rPr>
        <w:t xml:space="preserve"> Resoluciones 161 del 17 de junio de 2021, 173 del 30 de junio de 2021, 304 del 13 de octubre de 2021 y</w:t>
      </w:r>
      <w:r w:rsidRPr="0014412C">
        <w:rPr>
          <w:rFonts w:ascii="Arial" w:hAnsi="Arial" w:cs="Arial"/>
          <w:lang w:val="es-MX"/>
        </w:rPr>
        <w:t xml:space="preserve"> 275 </w:t>
      </w:r>
      <w:r w:rsidRPr="0014412C">
        <w:rPr>
          <w:rFonts w:ascii="Arial" w:hAnsi="Arial" w:cs="Arial"/>
          <w:lang w:val="es-MX"/>
        </w:rPr>
        <w:lastRenderedPageBreak/>
        <w:t>del 24 de junio de 2022</w:t>
      </w:r>
      <w:r w:rsidRPr="0014412C">
        <w:rPr>
          <w:rFonts w:ascii="Arial" w:eastAsia="Calibri" w:hAnsi="Arial" w:cs="Arial"/>
          <w:lang w:val="es-MX"/>
        </w:rPr>
        <w:t>.</w:t>
      </w:r>
      <w:r w:rsidRPr="0014412C">
        <w:rPr>
          <w:rFonts w:ascii="Arial" w:eastAsia="Calibri" w:hAnsi="Arial" w:cs="Arial"/>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2AF76519" w14:textId="77777777" w:rsidR="00430959" w:rsidRPr="0014412C" w:rsidRDefault="00430959" w:rsidP="00430959">
      <w:pPr>
        <w:spacing w:before="120" w:line="276" w:lineRule="auto"/>
        <w:ind w:firstLine="709"/>
        <w:jc w:val="both"/>
        <w:rPr>
          <w:rFonts w:ascii="Arial" w:eastAsia="Calibri" w:hAnsi="Arial" w:cs="Arial"/>
        </w:rPr>
      </w:pPr>
      <w:r w:rsidRPr="0014412C">
        <w:rPr>
          <w:rFonts w:ascii="Arial" w:eastAsia="Calibri" w:hAnsi="Arial" w:cs="Arial"/>
          <w:lang w:val="es-MX"/>
        </w:rPr>
        <w:t xml:space="preserve">Para la determinación de los requisitos mínimos de experiencia según la “Matriz 1 – Experiencia”, el numeral 3.5.1 del documento base de las resoluciones citadas prescribe que la entidad debe indicar </w:t>
      </w:r>
      <w:r w:rsidRPr="0014412C">
        <w:rPr>
          <w:rFonts w:ascii="Arial" w:eastAsia="Calibri" w:hAnsi="Arial" w:cs="Arial"/>
        </w:rPr>
        <w:t>la forma de análisis y establecimiento de las condiciones de experiencia, tanto general como específica. Además,</w:t>
      </w:r>
      <w:r w:rsidRPr="0014412C">
        <w:rPr>
          <w:rFonts w:ascii="Arial" w:eastAsia="Arial" w:hAnsi="Arial" w:cs="Arial"/>
          <w:szCs w:val="20"/>
        </w:rPr>
        <w:t xml:space="preserve"> </w:t>
      </w:r>
      <w:r w:rsidRPr="0014412C">
        <w:rPr>
          <w:rFonts w:ascii="Arial" w:eastAsia="Calibri" w:hAnsi="Arial" w:cs="Arial"/>
        </w:rPr>
        <w:t xml:space="preserve">deberá indicar el </w:t>
      </w:r>
      <w:r w:rsidRPr="0014412C">
        <w:rPr>
          <w:rFonts w:ascii="Arial" w:eastAsia="Calibri" w:hAnsi="Arial" w:cs="Arial"/>
          <w:iCs/>
        </w:rPr>
        <w:t>número de la actividad a contratar,</w:t>
      </w:r>
      <w:r w:rsidRPr="0014412C">
        <w:rPr>
          <w:rFonts w:ascii="Arial" w:eastAsia="Calibri" w:hAnsi="Arial" w:cs="Arial"/>
        </w:rPr>
        <w:t xml:space="preserve"> y transcribir textualmente lo señalado en la “Matriz 1 – Experiencia”. </w:t>
      </w:r>
    </w:p>
    <w:p w14:paraId="6FEE346A" w14:textId="77777777" w:rsidR="00430959" w:rsidRPr="0014412C" w:rsidRDefault="00430959" w:rsidP="00430959">
      <w:pPr>
        <w:spacing w:before="120" w:line="276" w:lineRule="auto"/>
        <w:ind w:firstLine="703"/>
        <w:jc w:val="both"/>
        <w:textAlignment w:val="baseline"/>
        <w:rPr>
          <w:rFonts w:ascii="Arial" w:eastAsia="Calibri" w:hAnsi="Arial" w:cs="Arial"/>
          <w:lang w:val="es-MX"/>
        </w:rPr>
      </w:pPr>
      <w:r w:rsidRPr="0014412C">
        <w:rPr>
          <w:rFonts w:ascii="Arial" w:eastAsia="Calibri" w:hAnsi="Arial" w:cs="Arial"/>
          <w:lang w:val="es-MX"/>
        </w:rPr>
        <w:t xml:space="preserve">Esta experiencia, conforme al numeral 3.5 del documento base, se acredita a través de: i) la información consignada en el RUP para aquellos que estén obligados a tenerlo, </w:t>
      </w:r>
      <w:proofErr w:type="spellStart"/>
      <w:r w:rsidRPr="0014412C">
        <w:rPr>
          <w:rFonts w:ascii="Arial" w:eastAsia="Calibri" w:hAnsi="Arial" w:cs="Arial"/>
          <w:lang w:val="es-MX"/>
        </w:rPr>
        <w:t>ii</w:t>
      </w:r>
      <w:proofErr w:type="spellEnd"/>
      <w:r w:rsidRPr="0014412C">
        <w:rPr>
          <w:rFonts w:ascii="Arial" w:eastAsia="Calibri" w:hAnsi="Arial" w:cs="Arial"/>
          <w:lang w:val="es-MX"/>
        </w:rPr>
        <w:t xml:space="preserve">) la presentación el “Formato 3 – Experiencia” para todos los proponentes y </w:t>
      </w:r>
      <w:proofErr w:type="spellStart"/>
      <w:r w:rsidRPr="0014412C">
        <w:rPr>
          <w:rFonts w:ascii="Arial" w:eastAsia="Calibri" w:hAnsi="Arial" w:cs="Arial"/>
          <w:lang w:val="es-MX"/>
        </w:rPr>
        <w:t>iii</w:t>
      </w:r>
      <w:proofErr w:type="spellEnd"/>
      <w:r w:rsidRPr="0014412C">
        <w:rPr>
          <w:rFonts w:ascii="Arial" w:eastAsia="Calibri" w:hAnsi="Arial" w:cs="Arial"/>
          <w:lang w:val="es-MX"/>
        </w:rPr>
        <w:t xml:space="preserve">) alguno de los documentos válidos para la acreditación de la experiencia señalados en el numeral 3.5.6 cuando se requiera la verificación de información del proponente adicional a la contenida en el RUP. </w:t>
      </w:r>
    </w:p>
    <w:p w14:paraId="205DB986" w14:textId="77777777" w:rsidR="00430959" w:rsidRPr="0014412C" w:rsidRDefault="00430959" w:rsidP="00430959">
      <w:pPr>
        <w:spacing w:before="120" w:line="276" w:lineRule="auto"/>
        <w:ind w:firstLine="703"/>
        <w:jc w:val="both"/>
        <w:textAlignment w:val="baseline"/>
        <w:rPr>
          <w:rFonts w:ascii="Arial" w:hAnsi="Arial" w:cs="Arial"/>
          <w:lang w:val="es-MX"/>
        </w:rPr>
      </w:pPr>
      <w:r w:rsidRPr="0014412C">
        <w:rPr>
          <w:rFonts w:ascii="Arial" w:hAnsi="Arial" w:cs="Arial"/>
          <w:lang w:val="es-MX"/>
        </w:rPr>
        <w:t xml:space="preserve">De acuerdo con </w:t>
      </w:r>
      <w:r w:rsidRPr="0014412C">
        <w:rPr>
          <w:rFonts w:ascii="Arial" w:hAnsi="Arial" w:cs="Arial"/>
        </w:rPr>
        <w:t>las condiciones fijadas en los documentos base, la acreditación del requisito habilitante de experiencia se aborda desde distintos criterios.</w:t>
      </w:r>
      <w:r w:rsidRPr="0014412C">
        <w:rPr>
          <w:rFonts w:ascii="Arial" w:hAnsi="Arial" w:cs="Arial"/>
          <w:color w:val="0D0D0D" w:themeColor="text1" w:themeTint="F2"/>
        </w:rPr>
        <w:t xml:space="preserve"> </w:t>
      </w:r>
      <w:r w:rsidRPr="0014412C">
        <w:rPr>
          <w:rFonts w:ascii="Arial" w:hAnsi="Arial" w:cs="Arial"/>
          <w:lang w:val="es-MX"/>
        </w:rPr>
        <w:t xml:space="preserve">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sin perjuicio de las modificaciones realizadas por la Resolución 275 del 24 de junio de 2022 sobre los incentivos para </w:t>
      </w:r>
      <w:proofErr w:type="spellStart"/>
      <w:r w:rsidRPr="0014412C">
        <w:rPr>
          <w:rFonts w:ascii="Arial" w:hAnsi="Arial" w:cs="Arial"/>
          <w:lang w:val="es-MX"/>
        </w:rPr>
        <w:t>Mipymes</w:t>
      </w:r>
      <w:proofErr w:type="spellEnd"/>
      <w:r w:rsidRPr="0014412C">
        <w:rPr>
          <w:rFonts w:ascii="Arial" w:hAnsi="Arial" w:cs="Arial"/>
          <w:lang w:val="es-MX"/>
        </w:rPr>
        <w:t xml:space="preserve">, empresas y emprendimientos de mujeres, los proponentes deben acreditar el cumplimiento de las condiciones fijadas con mínimo uno (1) y máximo cinco (5)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46A31CA0" w14:textId="77777777" w:rsidR="00430959" w:rsidRPr="0014412C" w:rsidRDefault="00430959" w:rsidP="00430959">
      <w:pPr>
        <w:spacing w:before="120" w:line="276" w:lineRule="auto"/>
        <w:ind w:firstLine="709"/>
        <w:jc w:val="both"/>
        <w:rPr>
          <w:rFonts w:ascii="Arial" w:eastAsia="Calibri" w:hAnsi="Arial" w:cs="Arial"/>
          <w:lang w:val="es-MX"/>
        </w:rPr>
      </w:pPr>
      <w:r w:rsidRPr="0014412C">
        <w:rPr>
          <w:rFonts w:ascii="Arial" w:hAnsi="Arial" w:cs="Arial"/>
          <w:lang w:val="es-MX"/>
        </w:rPr>
        <w:t>P</w:t>
      </w:r>
      <w:r w:rsidRPr="0014412C">
        <w:rPr>
          <w:rFonts w:ascii="Arial" w:hAnsi="Arial" w:cs="Arial"/>
        </w:rPr>
        <w:t xml:space="preserve">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14412C">
        <w:rPr>
          <w:rFonts w:ascii="Arial" w:hAnsi="Arial" w:cs="Arial"/>
        </w:rPr>
        <w:t>ii</w:t>
      </w:r>
      <w:proofErr w:type="spellEnd"/>
      <w:r w:rsidRPr="0014412C">
        <w:rPr>
          <w:rFonts w:ascii="Arial" w:hAnsi="Arial" w:cs="Arial"/>
        </w:rPr>
        <w:t xml:space="preserve">) la actividad a contratar y </w:t>
      </w:r>
      <w:proofErr w:type="spellStart"/>
      <w:r w:rsidRPr="0014412C">
        <w:rPr>
          <w:rFonts w:ascii="Arial" w:hAnsi="Arial" w:cs="Arial"/>
        </w:rPr>
        <w:t>iii</w:t>
      </w:r>
      <w:proofErr w:type="spellEnd"/>
      <w:r w:rsidRPr="0014412C">
        <w:rPr>
          <w:rFonts w:ascii="Arial" w:hAnsi="Arial" w:cs="Arial"/>
        </w:rPr>
        <w:t>) la cuantía del proceso de contratación.</w:t>
      </w:r>
    </w:p>
    <w:p w14:paraId="7A8E02E2" w14:textId="77777777" w:rsidR="00430959" w:rsidRPr="0014412C" w:rsidRDefault="00430959" w:rsidP="00430959">
      <w:pPr>
        <w:spacing w:before="120" w:line="276" w:lineRule="auto"/>
        <w:ind w:firstLine="709"/>
        <w:jc w:val="both"/>
        <w:rPr>
          <w:rFonts w:ascii="Arial" w:hAnsi="Arial" w:cs="Arial"/>
          <w:color w:val="0D0D0D" w:themeColor="text1" w:themeTint="F2"/>
          <w:lang w:val="es-MX"/>
        </w:rPr>
      </w:pPr>
      <w:r w:rsidRPr="0014412C">
        <w:rPr>
          <w:rFonts w:ascii="Arial" w:hAnsi="Arial" w:cs="Arial"/>
        </w:rPr>
        <w:lastRenderedPageBreak/>
        <w:t xml:space="preserve">En relación con el primer aspecto, la Matriz 1 </w:t>
      </w:r>
      <w:r w:rsidRPr="0014412C">
        <w:rPr>
          <w:rFonts w:ascii="Arial" w:hAnsi="Arial" w:cs="Arial"/>
          <w:color w:val="0D0D0D" w:themeColor="text1" w:themeTint="F2"/>
          <w:lang w:val="es-MX"/>
        </w:rPr>
        <w:t xml:space="preserve">–con los cambios de la Resolución </w:t>
      </w:r>
      <w:r w:rsidRPr="0014412C">
        <w:rPr>
          <w:rFonts w:ascii="Arial" w:eastAsia="Calibri" w:hAnsi="Arial" w:cs="Arial"/>
        </w:rPr>
        <w:t>173 del 30 de junio de 2021–</w:t>
      </w:r>
      <w:r w:rsidRPr="0014412C">
        <w:rPr>
          <w:rFonts w:ascii="Arial" w:hAnsi="Arial" w:cs="Arial"/>
          <w:color w:val="0D0D0D" w:themeColor="text1" w:themeTint="F2"/>
          <w:lang w:val="es-MX"/>
        </w:rPr>
        <w:t xml:space="preserve"> </w:t>
      </w:r>
      <w:r w:rsidRPr="0014412C">
        <w:rPr>
          <w:rFonts w:ascii="Arial" w:hAnsi="Arial" w:cs="Arial"/>
        </w:rPr>
        <w:t>está constituida por seis (6) tipos de obras de infraestructura de agua potable y saneamiento básico, a saber</w:t>
      </w:r>
      <w:r w:rsidRPr="0014412C">
        <w:rPr>
          <w:rFonts w:ascii="Arial" w:hAnsi="Arial" w:cs="Arial"/>
          <w:color w:val="0D0D0D" w:themeColor="text1" w:themeTint="F2"/>
          <w:lang w:val="es-MX"/>
        </w:rPr>
        <w:t xml:space="preserve">: </w:t>
      </w:r>
      <w:r w:rsidRPr="0014412C">
        <w:rPr>
          <w:rFonts w:ascii="Arial" w:eastAsia="Calibri" w:hAnsi="Arial" w:cs="Arial"/>
          <w:lang w:val="es-MX"/>
        </w:rPr>
        <w:t>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sidRPr="0014412C">
        <w:rPr>
          <w:rFonts w:ascii="Arial" w:hAnsi="Arial" w:cs="Arial"/>
          <w:lang w:val="es-MX"/>
        </w:rPr>
        <w:t xml:space="preserve">. </w:t>
      </w:r>
    </w:p>
    <w:p w14:paraId="3511935C" w14:textId="77777777" w:rsidR="00430959" w:rsidRPr="0014412C" w:rsidRDefault="00430959" w:rsidP="00430959">
      <w:pPr>
        <w:spacing w:before="120" w:line="276" w:lineRule="auto"/>
        <w:ind w:firstLine="709"/>
        <w:jc w:val="both"/>
        <w:rPr>
          <w:rFonts w:ascii="Arial" w:hAnsi="Arial" w:cs="Arial"/>
        </w:rPr>
      </w:pPr>
      <w:r w:rsidRPr="0014412C">
        <w:rPr>
          <w:rFonts w:ascii="Arial" w:hAnsi="Arial" w:cs="Arial"/>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7E4F029D" w14:textId="77777777" w:rsidR="00430959" w:rsidRPr="0014412C" w:rsidRDefault="00430959" w:rsidP="00430959">
      <w:pPr>
        <w:spacing w:before="120" w:line="276" w:lineRule="auto"/>
        <w:ind w:firstLine="709"/>
        <w:jc w:val="both"/>
        <w:rPr>
          <w:rFonts w:ascii="Arial" w:hAnsi="Arial" w:cs="Arial"/>
        </w:rPr>
      </w:pPr>
      <w:r w:rsidRPr="0014412C">
        <w:rPr>
          <w:rFonts w:ascii="Arial" w:eastAsia="Calibri" w:hAnsi="Arial" w:cs="Arial"/>
          <w:lang w:val="es-MX"/>
        </w:rPr>
        <w:t xml:space="preserve">Conforme con lo expuesto, para definir la experiencia exigible en un proceso de contratación de licitación de obra pública de agua potable y saneamiento básico se deben seguir los siguientes pasos: </w:t>
      </w:r>
    </w:p>
    <w:p w14:paraId="38244B34" w14:textId="77777777" w:rsidR="00430959" w:rsidRPr="0014412C" w:rsidRDefault="00430959" w:rsidP="00430959">
      <w:pPr>
        <w:numPr>
          <w:ilvl w:val="0"/>
          <w:numId w:val="7"/>
        </w:numPr>
        <w:tabs>
          <w:tab w:val="left" w:pos="1134"/>
        </w:tabs>
        <w:spacing w:before="120" w:after="0" w:line="276" w:lineRule="auto"/>
        <w:ind w:left="0" w:firstLine="851"/>
        <w:jc w:val="both"/>
        <w:rPr>
          <w:rFonts w:ascii="Arial" w:eastAsia="Calibri" w:hAnsi="Arial" w:cs="Arial"/>
          <w:lang w:val="es-MX"/>
        </w:rPr>
      </w:pPr>
      <w:r w:rsidRPr="0014412C">
        <w:rPr>
          <w:rFonts w:ascii="Arial" w:eastAsia="Calibri" w:hAnsi="Arial" w:cs="Arial"/>
          <w:lang w:val="es-MX"/>
        </w:rPr>
        <w:t>Identificar en la “Matriz 1 – Experiencia” el tipo de infraestructura sobre el cual recae la obra a ejecutar.</w:t>
      </w:r>
    </w:p>
    <w:p w14:paraId="6365E1A1" w14:textId="77777777" w:rsidR="00430959" w:rsidRPr="0014412C" w:rsidRDefault="00430959" w:rsidP="00430959">
      <w:pPr>
        <w:numPr>
          <w:ilvl w:val="0"/>
          <w:numId w:val="7"/>
        </w:numPr>
        <w:tabs>
          <w:tab w:val="left" w:pos="1134"/>
        </w:tabs>
        <w:spacing w:before="120" w:after="0" w:line="276" w:lineRule="auto"/>
        <w:ind w:left="0" w:firstLine="851"/>
        <w:jc w:val="both"/>
        <w:rPr>
          <w:rFonts w:ascii="Arial" w:eastAsia="Calibri" w:hAnsi="Arial" w:cs="Arial"/>
          <w:lang w:val="es-MX"/>
        </w:rPr>
      </w:pPr>
      <w:r w:rsidRPr="0014412C">
        <w:rPr>
          <w:rFonts w:ascii="Arial" w:eastAsia="Calibri" w:hAnsi="Arial" w:cs="Arial"/>
          <w:lang w:val="es-MX"/>
        </w:rPr>
        <w:t xml:space="preserve">Una vez definido el tipo de infraestructura, identificar la “actividad a contratar” acorde con la </w:t>
      </w:r>
      <w:r w:rsidRPr="0014412C">
        <w:rPr>
          <w:rFonts w:ascii="Arial" w:hAnsi="Arial" w:cs="Arial"/>
          <w:lang w:val="es-MX" w:eastAsia="es-ES"/>
        </w:rPr>
        <w:t>“</w:t>
      </w:r>
      <w:r w:rsidRPr="0014412C">
        <w:rPr>
          <w:rFonts w:ascii="Arial" w:hAnsi="Arial" w:cs="Arial"/>
          <w:bCs/>
          <w:lang w:val="es-ES_tradnl" w:eastAsia="es-ES"/>
        </w:rPr>
        <w:t>Matriz 1 - Experiencia</w:t>
      </w:r>
      <w:r w:rsidRPr="0014412C">
        <w:rPr>
          <w:rFonts w:ascii="Arial" w:hAnsi="Arial" w:cs="Arial"/>
          <w:lang w:val="es-MX" w:eastAsia="es-ES"/>
        </w:rPr>
        <w:t>”</w:t>
      </w:r>
      <w:r w:rsidRPr="0014412C">
        <w:rPr>
          <w:rFonts w:ascii="Arial" w:eastAsia="Calibri" w:hAnsi="Arial" w:cs="Arial"/>
          <w:lang w:val="es-MX"/>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568DD23A" w14:textId="77777777" w:rsidR="00430959" w:rsidRPr="0014412C" w:rsidRDefault="00430959" w:rsidP="00430959">
      <w:pPr>
        <w:widowControl w:val="0"/>
        <w:numPr>
          <w:ilvl w:val="0"/>
          <w:numId w:val="7"/>
        </w:numPr>
        <w:tabs>
          <w:tab w:val="left" w:pos="1134"/>
        </w:tabs>
        <w:autoSpaceDE w:val="0"/>
        <w:autoSpaceDN w:val="0"/>
        <w:spacing w:before="120" w:after="0" w:line="276" w:lineRule="auto"/>
        <w:ind w:left="0" w:firstLine="710"/>
        <w:jc w:val="both"/>
        <w:rPr>
          <w:rFonts w:ascii="Arial" w:eastAsia="Arial" w:hAnsi="Arial" w:cs="Arial"/>
          <w:color w:val="000000"/>
          <w:lang w:val="es-ES" w:eastAsia="es-ES" w:bidi="es-ES"/>
        </w:rPr>
      </w:pPr>
      <w:r w:rsidRPr="0014412C">
        <w:rPr>
          <w:rFonts w:ascii="Arial" w:eastAsia="Calibri" w:hAnsi="Arial" w:cs="Arial"/>
          <w:lang w:val="es-MX" w:eastAsia="es-ES" w:bidi="es-ES"/>
        </w:rPr>
        <w:t>Identificar el rango de cuantía en el cual se encuentra el proceso de contratación de acuerdo con el presupuesto oficial.</w:t>
      </w:r>
    </w:p>
    <w:p w14:paraId="19C6D4C3" w14:textId="77777777" w:rsidR="00430959" w:rsidRPr="0014412C" w:rsidRDefault="00430959" w:rsidP="00430959">
      <w:pPr>
        <w:widowControl w:val="0"/>
        <w:numPr>
          <w:ilvl w:val="0"/>
          <w:numId w:val="7"/>
        </w:numPr>
        <w:tabs>
          <w:tab w:val="left" w:pos="1134"/>
        </w:tabs>
        <w:autoSpaceDE w:val="0"/>
        <w:autoSpaceDN w:val="0"/>
        <w:spacing w:before="120" w:after="0" w:line="276" w:lineRule="auto"/>
        <w:ind w:left="0" w:firstLine="710"/>
        <w:jc w:val="both"/>
        <w:rPr>
          <w:rFonts w:ascii="Arial" w:eastAsia="Arial" w:hAnsi="Arial" w:cs="Arial"/>
          <w:color w:val="000000"/>
          <w:lang w:val="es-ES" w:eastAsia="es-ES" w:bidi="es-ES"/>
        </w:rPr>
      </w:pPr>
      <w:r w:rsidRPr="0014412C">
        <w:rPr>
          <w:rFonts w:ascii="Arial" w:eastAsia="Arial" w:hAnsi="Arial" w:cs="Arial"/>
          <w:color w:val="000000"/>
          <w:lang w:val="es-ES" w:eastAsia="es-ES" w:bidi="es-ES"/>
        </w:rPr>
        <w:t xml:space="preserve">Identificar la “Experiencia general” exigible acorde con la </w:t>
      </w:r>
      <w:r w:rsidRPr="0014412C">
        <w:rPr>
          <w:rFonts w:ascii="Arial" w:hAnsi="Arial" w:cs="Arial"/>
          <w:lang w:val="es-MX" w:eastAsia="es-ES"/>
        </w:rPr>
        <w:t>“</w:t>
      </w:r>
      <w:r w:rsidRPr="0014412C">
        <w:rPr>
          <w:rFonts w:ascii="Arial" w:hAnsi="Arial" w:cs="Arial"/>
          <w:bCs/>
          <w:lang w:val="es-ES_tradnl" w:eastAsia="es-ES"/>
        </w:rPr>
        <w:t>Matriz 1 - Experiencia</w:t>
      </w:r>
      <w:r w:rsidRPr="0014412C">
        <w:rPr>
          <w:rFonts w:ascii="Arial" w:hAnsi="Arial" w:cs="Arial"/>
          <w:lang w:val="es-MX" w:eastAsia="es-ES"/>
        </w:rPr>
        <w:t>”</w:t>
      </w:r>
      <w:r w:rsidRPr="0014412C">
        <w:rPr>
          <w:rFonts w:ascii="Arial" w:eastAsia="Arial" w:hAnsi="Arial" w:cs="Arial"/>
          <w:color w:val="000000"/>
          <w:lang w:val="es-ES" w:eastAsia="es-ES" w:bidi="es-ES"/>
        </w:rPr>
        <w:t>, teniendo en cuenta la actividad a contratar y el rango de la cuantía del proceso de contratación.</w:t>
      </w:r>
    </w:p>
    <w:p w14:paraId="7BDD0092" w14:textId="77777777" w:rsidR="00430959" w:rsidRPr="0014412C" w:rsidRDefault="00430959" w:rsidP="00430959">
      <w:pPr>
        <w:widowControl w:val="0"/>
        <w:numPr>
          <w:ilvl w:val="0"/>
          <w:numId w:val="7"/>
        </w:numPr>
        <w:tabs>
          <w:tab w:val="left" w:pos="1134"/>
        </w:tabs>
        <w:autoSpaceDE w:val="0"/>
        <w:autoSpaceDN w:val="0"/>
        <w:spacing w:before="120" w:after="0" w:line="276" w:lineRule="auto"/>
        <w:ind w:left="0" w:firstLine="710"/>
        <w:jc w:val="both"/>
        <w:rPr>
          <w:rFonts w:ascii="Arial" w:eastAsia="Arial" w:hAnsi="Arial" w:cs="Arial"/>
          <w:color w:val="000000"/>
          <w:lang w:val="es-ES" w:eastAsia="es-ES" w:bidi="es-ES"/>
        </w:rPr>
      </w:pPr>
      <w:r w:rsidRPr="0014412C">
        <w:rPr>
          <w:rFonts w:ascii="Arial" w:eastAsia="Arial" w:hAnsi="Arial" w:cs="Arial"/>
          <w:color w:val="000000"/>
          <w:lang w:val="es-ES" w:eastAsia="es-ES" w:bidi="es-ES"/>
        </w:rPr>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686BE908" w14:textId="77777777" w:rsidR="00430959" w:rsidRPr="0014412C" w:rsidRDefault="00430959" w:rsidP="00430959">
      <w:pPr>
        <w:spacing w:before="120" w:line="276" w:lineRule="auto"/>
        <w:ind w:firstLine="703"/>
        <w:jc w:val="both"/>
        <w:textAlignment w:val="baseline"/>
        <w:rPr>
          <w:rFonts w:ascii="Arial" w:eastAsia="Calibri" w:hAnsi="Arial" w:cs="Arial"/>
          <w:lang w:val="es-MX"/>
        </w:rPr>
      </w:pPr>
      <w:r w:rsidRPr="0014412C">
        <w:rPr>
          <w:rFonts w:ascii="Arial" w:eastAsia="Calibri" w:hAnsi="Arial" w:cs="Arial"/>
        </w:rPr>
        <w:t xml:space="preserve">Así las cosas, en la etapa de planeación, la entidad estatal debe identificar el tipo de obra de infraestructura y las actividades definidas en la “Matriz 1 – Experiencia” atendiendo </w:t>
      </w:r>
      <w:r w:rsidRPr="0014412C">
        <w:rPr>
          <w:rFonts w:ascii="Arial" w:eastAsia="Calibri" w:hAnsi="Arial" w:cs="Arial"/>
        </w:rPr>
        <w:lastRenderedPageBreak/>
        <w:t xml:space="preserve">el alcance del objeto a contratar. De esta manera, </w:t>
      </w:r>
      <w:r w:rsidRPr="0014412C">
        <w:rPr>
          <w:rFonts w:ascii="Arial" w:eastAsia="Calibri" w:hAnsi="Arial" w:cs="Arial"/>
          <w:lang w:val="es-MX"/>
        </w:rPr>
        <w:t xml:space="preserve">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0ED7CBD3"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Concretamente, </w:t>
      </w:r>
      <w:bookmarkStart w:id="9" w:name="_Hlk139899257"/>
      <w:r w:rsidRPr="0014412C">
        <w:rPr>
          <w:rFonts w:ascii="Arial" w:eastAsia="Calibri" w:hAnsi="Arial" w:cs="Arial"/>
          <w:bCs/>
        </w:rPr>
        <w:t xml:space="preserve">el numeral 2.1 contempla los proyectos de construcción de alcantarillados sanitarios y/o pluviales y/o combinado (urbanos y/o rurales) y/u obras complementarias. </w:t>
      </w:r>
      <w:r w:rsidRPr="0014412C">
        <w:rPr>
          <w:rFonts w:ascii="Arial" w:eastAsia="Calibri" w:hAnsi="Arial" w:cs="Arial"/>
          <w:color w:val="000000"/>
          <w:lang w:val="es-ES_tradnl" w:eastAsia="en-GB"/>
        </w:rPr>
        <w:t>Para esta actividad se determina como experiencia general que los proyectos correspondan o hayan contenido actividades de construcción de alcantarillado (sanitario y/o pluvial y/o combinado), por lo que gestiones como la reposición, la optimización o la ampliación no sirven para acreditar lo solicitado en la matriz.</w:t>
      </w:r>
      <w:r w:rsidRPr="0014412C">
        <w:rPr>
          <w:rFonts w:ascii="Arial" w:eastAsia="Calibri" w:hAnsi="Arial" w:cs="Arial"/>
          <w:bCs/>
        </w:rPr>
        <w:t xml:space="preserve"> </w:t>
      </w:r>
    </w:p>
    <w:p w14:paraId="07B3110F"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Por el contrario, </w:t>
      </w:r>
      <w:r w:rsidRPr="0014412C">
        <w:rPr>
          <w:rFonts w:ascii="Arial" w:eastAsia="Calibri" w:hAnsi="Arial" w:cs="Arial"/>
          <w:color w:val="000000"/>
          <w:lang w:val="es-ES_tradnl" w:eastAsia="en-GB"/>
        </w:rPr>
        <w:t>la reposición, la optimización o la ampliación</w:t>
      </w:r>
      <w:r w:rsidRPr="0014412C">
        <w:rPr>
          <w:rFonts w:ascii="Arial" w:eastAsia="Calibri" w:hAnsi="Arial" w:cs="Arial"/>
          <w:bCs/>
        </w:rPr>
        <w:t xml:space="preserve"> serían válidas respecto al numeral 2.2 de la matriz de experiencia de los documentos tipo de licitación para obra pública de agua potable y saneamiento básico. Este contempla proyectos de optimización y/o mejoramiento y/o rehabilitación y/o reforzamiento y/o reconstrucción y/o reposición de alcantarillados y/o redes de alcantarillado sanitarios y/o pluviales y/o combinado (urbanos y/o rurales), cuya experiencia general se acredita con proyectos que correspondan o hayan contenido actividades de ampliación y/u optimización y/o </w:t>
      </w:r>
      <w:r w:rsidRPr="0014412C">
        <w:rPr>
          <w:rFonts w:ascii="Arial" w:eastAsia="Calibri" w:hAnsi="Arial" w:cs="Arial"/>
          <w:bCs/>
          <w:i/>
          <w:iCs/>
        </w:rPr>
        <w:t>construcción</w:t>
      </w:r>
      <w:r w:rsidRPr="0014412C">
        <w:rPr>
          <w:rFonts w:ascii="Arial" w:eastAsia="Calibri" w:hAnsi="Arial" w:cs="Arial"/>
          <w:bCs/>
        </w:rPr>
        <w:t xml:space="preserve"> y/o mejoramiento y/o reposición y/o rehabilitación y/o reforzamiento y/o reconstrucción de alcantarillados (sanitarios y/o pluviales y/o combinado). </w:t>
      </w:r>
    </w:p>
    <w:p w14:paraId="7BA210C9"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Sobre este punto,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w:t>
      </w:r>
      <w:r w:rsidRPr="0014412C">
        <w:rPr>
          <w:rFonts w:ascii="Arial" w:eastAsia="Calibri" w:hAnsi="Arial" w:cs="Arial"/>
          <w:bCs/>
          <w:i/>
          <w:iCs/>
        </w:rPr>
        <w:t>ibidem</w:t>
      </w:r>
      <w:r w:rsidRPr="0014412C">
        <w:rPr>
          <w:rFonts w:ascii="Arial" w:eastAsia="Calibri" w:hAnsi="Arial" w:cs="Arial"/>
          <w:bCs/>
        </w:rPr>
        <w:t xml:space="preserve">, también prescribe que “Las palabras técnicas de toda ciencia o arte se tomarán en el sentido que les den los que profesan la misma ciencia o arte; a menos que aparezca claramente que se han formado en sentido diverso”. Conforme a lo anterior, para analizar la experiencia general señalada en el numeral 2.1 de la Matriz 1 deberán aplicarse estas pautas hermenéuticas, de manera que las palabras allí contenidas se entenderán en su sentido natural y obvio, y las palabras técnicas se tomarán en el sentido que les de la ciencia que la utiliza. </w:t>
      </w:r>
    </w:p>
    <w:p w14:paraId="136AF2E5"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Nótese que la experiencia general solicitada alude concretamente a la “construcción”. Según su significado literal, construcción es “la acción y efecto de construir” y este es definido como “Hacer de nueva planta una obra de arquitectura o ingeniería, un monumento o en general cualquier obra pública”. Así, la construcción de alcantarillado (sanitario y/o pluvial y/o combinado) que trata el numeral 2.1 de la Matriz 1 aplica a toda obra de ingeniería nueva, que para el caso que nos ocupa corresponde a alcantarillados. </w:t>
      </w:r>
      <w:r w:rsidRPr="0014412C">
        <w:rPr>
          <w:rFonts w:ascii="Arial" w:eastAsia="Calibri" w:hAnsi="Arial" w:cs="Arial"/>
          <w:bCs/>
        </w:rPr>
        <w:lastRenderedPageBreak/>
        <w:t>Por ello, la experiencia a acreditar por parte del proponente debe dar cuenta de la actividad de construcción de estos.</w:t>
      </w:r>
    </w:p>
    <w:p w14:paraId="08F5090C"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En contraste, la reposición de una infraestructura tiene por objeto remplazar un activo que por sus condiciones ya no es apto para cumplir a cabalidad con su función, bien porque agotó su vida útil o porque no es eficiente en su operación y las condiciones de tecnología evidencian que el activo no es eficiente para la prestación del servicio público domiciliario de que se trate. Además, la optimización es el conjunto de acciones encaminadas a mejorar la capacidad, eficiencia y eficacia de la infraestructura componente del sistema de acueducto, alcantarillado y/o aseo, mediante su intervención parcial o total. Finalmente, Se denomina Ampliación de un sistema al conjunto de acciones y obras requeridas para aumentar su capacidad en una misma área de cobertura. </w:t>
      </w:r>
    </w:p>
    <w:p w14:paraId="3B68BA45" w14:textId="77777777" w:rsidR="00430959" w:rsidRPr="0014412C" w:rsidRDefault="00430959" w:rsidP="00430959">
      <w:pPr>
        <w:spacing w:before="120" w:after="0" w:line="276" w:lineRule="auto"/>
        <w:ind w:firstLine="709"/>
        <w:jc w:val="both"/>
        <w:rPr>
          <w:rFonts w:ascii="Arial" w:hAnsi="Arial" w:cs="Arial"/>
        </w:rPr>
      </w:pPr>
      <w:r w:rsidRPr="0014412C">
        <w:rPr>
          <w:rFonts w:ascii="Arial" w:eastAsia="Calibri" w:hAnsi="Arial" w:cs="Arial"/>
          <w:bCs/>
        </w:rPr>
        <w:t>Desde el punto de vista técnico, la Agencia estima que no es posible acreditar la experiencia general de construcción de la actividad 2.1 con gestiones de reposición, optimización o ampliación como las del numeral 2.2, especialmente, cuando cada una de estas palabras tiene un alcance diferente</w:t>
      </w:r>
      <w:r w:rsidRPr="0014412C">
        <w:rPr>
          <w:rFonts w:ascii="Arial" w:eastAsia="Calibri" w:hAnsi="Arial" w:cs="Arial"/>
          <w:color w:val="000000"/>
          <w:lang w:val="es-ES_tradnl" w:eastAsia="en-GB"/>
        </w:rPr>
        <w:t xml:space="preserve">. Por tanto, estas tres (3) últimas no acreditan la experiencia general para los proyectos </w:t>
      </w:r>
      <w:r w:rsidRPr="0014412C">
        <w:rPr>
          <w:rFonts w:ascii="Arial" w:eastAsia="Calibri" w:hAnsi="Arial" w:cs="Arial"/>
          <w:bCs/>
        </w:rPr>
        <w:t xml:space="preserve">de construcción de alcantarillados sanitarios y/o pluviales y/o combinado (urbanos y/o rurales) y/u obras complementarias.  </w:t>
      </w:r>
    </w:p>
    <w:bookmarkEnd w:id="8"/>
    <w:bookmarkEnd w:id="9"/>
    <w:p w14:paraId="3BBEC9A6" w14:textId="77777777" w:rsidR="00430959" w:rsidRPr="0014412C" w:rsidRDefault="00430959" w:rsidP="00430959">
      <w:pPr>
        <w:pStyle w:val="Textoindependiente"/>
        <w:spacing w:after="0"/>
        <w:ind w:firstLine="709"/>
        <w:jc w:val="both"/>
        <w:rPr>
          <w:rFonts w:ascii="Arial" w:hAnsi="Arial" w:cs="Arial"/>
        </w:rPr>
      </w:pPr>
    </w:p>
    <w:p w14:paraId="214AC451" w14:textId="77777777" w:rsidR="00430959" w:rsidRPr="0014412C" w:rsidRDefault="00430959" w:rsidP="00430959">
      <w:pPr>
        <w:pStyle w:val="Sinespaciado"/>
        <w:widowControl w:val="0"/>
        <w:autoSpaceDE w:val="0"/>
        <w:autoSpaceDN w:val="0"/>
        <w:spacing w:line="276" w:lineRule="auto"/>
        <w:jc w:val="both"/>
        <w:rPr>
          <w:rFonts w:ascii="Arial" w:hAnsi="Arial" w:cs="Arial"/>
          <w:b/>
          <w:sz w:val="22"/>
        </w:rPr>
      </w:pPr>
      <w:r w:rsidRPr="0014412C">
        <w:rPr>
          <w:rFonts w:ascii="Arial" w:hAnsi="Arial" w:cs="Arial"/>
          <w:b/>
          <w:sz w:val="22"/>
        </w:rPr>
        <w:t xml:space="preserve">2.2. </w:t>
      </w:r>
      <w:bookmarkStart w:id="10" w:name="_Hlk139902297"/>
      <w:r w:rsidRPr="0014412C">
        <w:rPr>
          <w:rFonts w:ascii="Arial" w:hAnsi="Arial" w:cs="Arial"/>
          <w:b/>
          <w:sz w:val="22"/>
        </w:rPr>
        <w:t>Incentivos para empresas y emprendimientos de mujeres en el sistema de compras y contratación pública</w:t>
      </w:r>
      <w:bookmarkEnd w:id="10"/>
      <w:r w:rsidRPr="0014412C">
        <w:rPr>
          <w:rFonts w:ascii="Arial" w:hAnsi="Arial" w:cs="Arial"/>
          <w:b/>
          <w:sz w:val="22"/>
        </w:rPr>
        <w:t xml:space="preserve"> </w:t>
      </w:r>
      <w:bookmarkEnd w:id="6"/>
    </w:p>
    <w:p w14:paraId="4C5A1730" w14:textId="77777777" w:rsidR="00430959" w:rsidRPr="0014412C" w:rsidRDefault="00430959" w:rsidP="00430959">
      <w:pPr>
        <w:pStyle w:val="Sinespaciado"/>
        <w:spacing w:line="276" w:lineRule="auto"/>
        <w:jc w:val="both"/>
        <w:rPr>
          <w:rFonts w:ascii="Arial" w:hAnsi="Arial" w:cs="Arial"/>
          <w:sz w:val="22"/>
        </w:rPr>
      </w:pPr>
    </w:p>
    <w:p w14:paraId="37387C62" w14:textId="77777777" w:rsidR="00430959" w:rsidRPr="0014412C" w:rsidRDefault="00430959" w:rsidP="00430959">
      <w:pPr>
        <w:spacing w:after="120" w:line="276" w:lineRule="auto"/>
        <w:jc w:val="both"/>
        <w:rPr>
          <w:rFonts w:ascii="Arial" w:eastAsia="Calibri" w:hAnsi="Arial" w:cs="Arial"/>
          <w:lang w:val="es-ES_tradnl"/>
        </w:rPr>
      </w:pPr>
      <w:r w:rsidRPr="0014412C">
        <w:rPr>
          <w:rFonts w:ascii="Arial" w:eastAsia="Calibri" w:hAnsi="Arial" w:cs="Arial"/>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p w14:paraId="0D087D51" w14:textId="77777777" w:rsidR="00430959" w:rsidRPr="0014412C" w:rsidRDefault="00430959" w:rsidP="00430959">
      <w:pPr>
        <w:spacing w:after="120" w:line="276" w:lineRule="auto"/>
        <w:ind w:firstLine="709"/>
        <w:jc w:val="both"/>
        <w:rPr>
          <w:rFonts w:ascii="Arial" w:eastAsia="Calibri" w:hAnsi="Arial" w:cs="Arial"/>
          <w:lang w:val="es-ES_tradnl"/>
        </w:rPr>
      </w:pPr>
      <w:r w:rsidRPr="0014412C">
        <w:rPr>
          <w:rFonts w:ascii="Arial" w:eastAsia="Calibri" w:hAnsi="Arial" w:cs="Arial"/>
          <w:lang w:val="es-ES_tradnl"/>
        </w:rPr>
        <w:t>En cuanto a su contenido, como dispone el artículo 1, aquella “tiene por objeto establecer un marco regulatorio que propicie el emprendimiento y el crecimiento, consolidación y sostenibilidad de las empresas, con el fin de aumentar el bienestar social y generar equidad”</w:t>
      </w:r>
      <w:r w:rsidRPr="0014412C">
        <w:rPr>
          <w:rFonts w:ascii="Arial" w:eastAsia="Calibri" w:hAnsi="Arial" w:cs="Arial"/>
          <w:vertAlign w:val="superscript"/>
          <w:lang w:val="es-ES_tradnl"/>
        </w:rPr>
        <w:footnoteReference w:id="3"/>
      </w:r>
      <w:r w:rsidRPr="0014412C">
        <w:rPr>
          <w:rFonts w:ascii="Arial" w:eastAsia="Calibri" w:hAnsi="Arial" w:cs="Arial"/>
          <w:lang w:val="es-ES_tradnl"/>
        </w:rPr>
        <w:t xml:space="preserve">. Esto, a partir de “[…] un enfoque regionalizado </w:t>
      </w:r>
      <w:proofErr w:type="gramStart"/>
      <w:r w:rsidRPr="0014412C">
        <w:rPr>
          <w:rFonts w:ascii="Arial" w:eastAsia="Calibri" w:hAnsi="Arial" w:cs="Arial"/>
          <w:lang w:val="es-ES_tradnl"/>
        </w:rPr>
        <w:t>de acuerdo a</w:t>
      </w:r>
      <w:proofErr w:type="gramEnd"/>
      <w:r w:rsidRPr="0014412C">
        <w:rPr>
          <w:rFonts w:ascii="Arial" w:eastAsia="Calibri" w:hAnsi="Arial" w:cs="Arial"/>
          <w:lang w:val="es-ES_tradnl"/>
        </w:rPr>
        <w:t xml:space="preserve"> las realidades socioeconómicas de cada región”. En desarrollo de esta finalidad, se establecen medidas de apoyo para las micro, pequeñas y medianas empresas –</w:t>
      </w:r>
      <w:proofErr w:type="spellStart"/>
      <w:r w:rsidRPr="0014412C">
        <w:rPr>
          <w:rFonts w:ascii="Arial" w:eastAsia="Calibri" w:hAnsi="Arial" w:cs="Arial"/>
          <w:lang w:val="es-ES_tradnl"/>
        </w:rPr>
        <w:t>Mipyme</w:t>
      </w:r>
      <w:proofErr w:type="spellEnd"/>
      <w:r w:rsidRPr="0014412C">
        <w:rPr>
          <w:rFonts w:ascii="Arial" w:eastAsia="Calibri" w:hAnsi="Arial" w:cs="Arial"/>
          <w:lang w:val="es-ES_tradnl"/>
        </w:rPr>
        <w:t xml:space="preserve">–, mediante la </w:t>
      </w:r>
      <w:r w:rsidRPr="0014412C">
        <w:rPr>
          <w:rFonts w:ascii="Arial" w:eastAsia="Calibri" w:hAnsi="Arial" w:cs="Arial"/>
          <w:lang w:val="es-ES_tradnl"/>
        </w:rPr>
        <w:lastRenderedPageBreak/>
        <w:t>racionalización y simplificación de los trámites y tarifas</w:t>
      </w:r>
      <w:r w:rsidRPr="0014412C">
        <w:rPr>
          <w:rStyle w:val="Refdenotaalpie"/>
          <w:rFonts w:ascii="Arial" w:eastAsia="Calibri" w:hAnsi="Arial" w:cs="Arial"/>
          <w:lang w:val="es-ES_tradnl"/>
        </w:rPr>
        <w:footnoteReference w:id="4"/>
      </w:r>
      <w:r w:rsidRPr="0014412C">
        <w:rPr>
          <w:rFonts w:ascii="Arial" w:eastAsia="Calibri" w:hAnsi="Arial" w:cs="Arial"/>
          <w:lang w:val="es-ES_tradnl"/>
        </w:rPr>
        <w:t>, así como incentivos a favor de aquellas dentro del sistema de compras y contratación pública</w:t>
      </w:r>
      <w:r w:rsidRPr="0014412C">
        <w:rPr>
          <w:rStyle w:val="Refdenotaalpie"/>
          <w:rFonts w:ascii="Arial" w:eastAsia="Calibri" w:hAnsi="Arial" w:cs="Arial"/>
          <w:lang w:val="es-ES_tradnl"/>
        </w:rPr>
        <w:footnoteReference w:id="5"/>
      </w:r>
      <w:r w:rsidRPr="0014412C">
        <w:rPr>
          <w:rFonts w:ascii="Arial" w:eastAsia="Calibri" w:hAnsi="Arial" w:cs="Arial"/>
          <w:lang w:val="es-ES_tradnl"/>
        </w:rPr>
        <w:t>. También se consagran mecanismos de acceso al financiamiento</w:t>
      </w:r>
      <w:r w:rsidRPr="0014412C">
        <w:rPr>
          <w:rStyle w:val="Refdenotaalpie"/>
          <w:rFonts w:ascii="Arial" w:eastAsia="Calibri" w:hAnsi="Arial" w:cs="Arial"/>
          <w:lang w:val="es-ES_tradnl"/>
        </w:rPr>
        <w:footnoteReference w:id="6"/>
      </w:r>
      <w:r w:rsidRPr="0014412C">
        <w:rPr>
          <w:rFonts w:ascii="Arial" w:eastAsia="Calibri" w:hAnsi="Arial" w:cs="Arial"/>
          <w:lang w:val="es-ES_tradnl"/>
        </w:rPr>
        <w:t>, se unifican las fuentes de emprendimiento y de desarrollo empresarial, para fortalecer y promover los distintos sectores de la economía</w:t>
      </w:r>
      <w:r w:rsidRPr="0014412C">
        <w:rPr>
          <w:rStyle w:val="Refdenotaalpie"/>
          <w:rFonts w:ascii="Arial" w:eastAsia="Calibri" w:hAnsi="Arial" w:cs="Arial"/>
          <w:lang w:val="es-ES_tradnl"/>
        </w:rPr>
        <w:footnoteReference w:id="7"/>
      </w:r>
      <w:r w:rsidRPr="0014412C">
        <w:rPr>
          <w:rFonts w:ascii="Arial" w:eastAsia="Calibri" w:hAnsi="Arial" w:cs="Arial"/>
          <w:lang w:val="es-ES_tradnl"/>
        </w:rPr>
        <w:t xml:space="preserve"> y se prevén medidas de educación para el emprendimiento y la innovación</w:t>
      </w:r>
      <w:r w:rsidRPr="0014412C">
        <w:rPr>
          <w:rStyle w:val="Refdenotaalpie"/>
          <w:rFonts w:ascii="Arial" w:eastAsia="Calibri" w:hAnsi="Arial" w:cs="Arial"/>
          <w:lang w:val="es-ES_tradnl"/>
        </w:rPr>
        <w:footnoteReference w:id="8"/>
      </w:r>
      <w:r w:rsidRPr="0014412C">
        <w:rPr>
          <w:rFonts w:ascii="Arial" w:eastAsia="Calibri" w:hAnsi="Arial" w:cs="Arial"/>
          <w:lang w:val="es-ES_tradnl"/>
        </w:rPr>
        <w:t>.</w:t>
      </w:r>
    </w:p>
    <w:p w14:paraId="19BC4B5E" w14:textId="77777777" w:rsidR="00430959" w:rsidRPr="0014412C" w:rsidRDefault="00430959" w:rsidP="00430959">
      <w:pPr>
        <w:spacing w:after="120" w:line="276" w:lineRule="auto"/>
        <w:ind w:firstLine="709"/>
        <w:jc w:val="both"/>
        <w:rPr>
          <w:rFonts w:ascii="Arial" w:eastAsia="Calibri" w:hAnsi="Arial" w:cs="Arial"/>
          <w:lang w:val="es-ES_tradnl"/>
        </w:rPr>
      </w:pPr>
      <w:r w:rsidRPr="0014412C">
        <w:rPr>
          <w:rFonts w:ascii="Arial" w:eastAsia="Calibri" w:hAnsi="Arial"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14412C">
        <w:rPr>
          <w:rFonts w:ascii="Arial" w:eastAsia="Calibri" w:hAnsi="Arial" w:cs="Arial"/>
          <w:lang w:val="es-ES_tradnl"/>
        </w:rPr>
        <w:t>Mipyme</w:t>
      </w:r>
      <w:proofErr w:type="spellEnd"/>
      <w:r w:rsidRPr="0014412C">
        <w:rPr>
          <w:rFonts w:ascii="Arial" w:eastAsia="Calibri" w:hAnsi="Arial" w:cs="Arial"/>
          <w:lang w:val="es-ES_tradnl"/>
        </w:rPr>
        <w:t xml:space="preserve"> en el procedimiento de mínima cuantía, </w:t>
      </w:r>
      <w:proofErr w:type="spellStart"/>
      <w:r w:rsidRPr="0014412C">
        <w:rPr>
          <w:rFonts w:ascii="Arial" w:eastAsia="Calibri" w:hAnsi="Arial" w:cs="Arial"/>
          <w:lang w:val="es-ES_tradnl"/>
        </w:rPr>
        <w:t>ii</w:t>
      </w:r>
      <w:proofErr w:type="spellEnd"/>
      <w:r w:rsidRPr="0014412C">
        <w:rPr>
          <w:rFonts w:ascii="Arial" w:eastAsia="Calibri" w:hAnsi="Arial" w:cs="Arial"/>
          <w:lang w:val="es-ES_tradnl"/>
        </w:rPr>
        <w:t xml:space="preserve">) </w:t>
      </w:r>
      <w:r w:rsidRPr="0014412C">
        <w:rPr>
          <w:rFonts w:ascii="Arial" w:eastAsia="Calibri" w:hAnsi="Arial" w:cs="Arial"/>
          <w:i/>
          <w:lang w:val="es-ES_tradnl"/>
        </w:rPr>
        <w:t xml:space="preserve">criterios diferenciales para </w:t>
      </w:r>
      <w:proofErr w:type="spellStart"/>
      <w:r w:rsidRPr="0014412C">
        <w:rPr>
          <w:rFonts w:ascii="Arial" w:eastAsia="Calibri" w:hAnsi="Arial" w:cs="Arial"/>
          <w:i/>
          <w:lang w:val="es-ES_tradnl"/>
        </w:rPr>
        <w:t>Mipyme</w:t>
      </w:r>
      <w:proofErr w:type="spellEnd"/>
      <w:r w:rsidRPr="0014412C">
        <w:rPr>
          <w:rFonts w:ascii="Arial" w:eastAsia="Calibri" w:hAnsi="Arial" w:cs="Arial"/>
          <w:lang w:val="es-ES_tradnl"/>
        </w:rPr>
        <w:t xml:space="preserve"> en el sistema de compras públicas, </w:t>
      </w:r>
      <w:proofErr w:type="spellStart"/>
      <w:r w:rsidRPr="0014412C">
        <w:rPr>
          <w:rFonts w:ascii="Arial" w:eastAsia="Calibri" w:hAnsi="Arial" w:cs="Arial"/>
          <w:lang w:val="es-ES_tradnl"/>
        </w:rPr>
        <w:t>iii</w:t>
      </w:r>
      <w:proofErr w:type="spellEnd"/>
      <w:r w:rsidRPr="0014412C">
        <w:rPr>
          <w:rFonts w:ascii="Arial" w:eastAsia="Calibri" w:hAnsi="Arial" w:cs="Arial"/>
          <w:lang w:val="es-ES_tradnl"/>
        </w:rPr>
        <w:t xml:space="preserve">) </w:t>
      </w:r>
      <w:r w:rsidRPr="0014412C">
        <w:rPr>
          <w:rFonts w:ascii="Arial" w:eastAsia="Calibri" w:hAnsi="Arial" w:cs="Arial"/>
          <w:i/>
          <w:lang w:val="es-ES_tradnl"/>
        </w:rPr>
        <w:t>criterios diferenciales para emprendimientos y empresas de mujeres</w:t>
      </w:r>
      <w:r w:rsidRPr="0014412C">
        <w:rPr>
          <w:rFonts w:ascii="Arial" w:eastAsia="Calibri" w:hAnsi="Arial" w:cs="Arial"/>
          <w:lang w:val="es-ES_tradnl"/>
        </w:rPr>
        <w:t xml:space="preserve"> en el sistema de compras públicas, </w:t>
      </w:r>
      <w:proofErr w:type="spellStart"/>
      <w:r w:rsidRPr="0014412C">
        <w:rPr>
          <w:rFonts w:ascii="Arial" w:eastAsia="Calibri" w:hAnsi="Arial" w:cs="Arial"/>
          <w:lang w:val="es-ES_tradnl"/>
        </w:rPr>
        <w:t>iv</w:t>
      </w:r>
      <w:proofErr w:type="spellEnd"/>
      <w:r w:rsidRPr="0014412C">
        <w:rPr>
          <w:rFonts w:ascii="Arial" w:eastAsia="Calibri" w:hAnsi="Arial" w:cs="Arial"/>
          <w:lang w:val="es-ES_tradnl"/>
        </w:rPr>
        <w:t xml:space="preserve">) promoción del acceso de las </w:t>
      </w:r>
      <w:proofErr w:type="spellStart"/>
      <w:r w:rsidRPr="0014412C">
        <w:rPr>
          <w:rFonts w:ascii="Arial" w:eastAsia="Calibri" w:hAnsi="Arial" w:cs="Arial"/>
          <w:lang w:val="es-ES_tradnl"/>
        </w:rPr>
        <w:t>Mipyme</w:t>
      </w:r>
      <w:proofErr w:type="spellEnd"/>
      <w:r w:rsidRPr="0014412C">
        <w:rPr>
          <w:rFonts w:ascii="Arial" w:eastAsia="Calibri" w:hAnsi="Arial"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w:t>
      </w:r>
      <w:r w:rsidRPr="0014412C">
        <w:rPr>
          <w:rFonts w:ascii="Arial" w:eastAsia="Calibri" w:hAnsi="Arial" w:cs="Arial"/>
          <w:bCs/>
          <w:vertAlign w:val="superscript"/>
          <w:lang w:val="es-MX"/>
        </w:rPr>
        <w:footnoteReference w:id="9"/>
      </w:r>
      <w:r w:rsidRPr="0014412C">
        <w:rPr>
          <w:rFonts w:ascii="Arial" w:eastAsia="Calibri" w:hAnsi="Arial" w:cs="Arial"/>
          <w:lang w:val="es-ES_tradnl"/>
        </w:rPr>
        <w:t xml:space="preserve">.  </w:t>
      </w:r>
    </w:p>
    <w:p w14:paraId="67A41ECD" w14:textId="77777777" w:rsidR="00430959" w:rsidRPr="0014412C" w:rsidRDefault="00430959" w:rsidP="00430959">
      <w:pPr>
        <w:tabs>
          <w:tab w:val="left" w:pos="709"/>
        </w:tabs>
        <w:spacing w:after="120" w:line="276" w:lineRule="auto"/>
        <w:jc w:val="both"/>
        <w:rPr>
          <w:rFonts w:ascii="Arial" w:eastAsia="Calibri" w:hAnsi="Arial" w:cs="Arial"/>
          <w:bCs/>
        </w:rPr>
      </w:pPr>
      <w:r w:rsidRPr="0014412C">
        <w:rPr>
          <w:rFonts w:ascii="Arial" w:eastAsia="Calibri" w:hAnsi="Arial" w:cs="Arial"/>
          <w:bCs/>
        </w:rPr>
        <w:tab/>
        <w:t xml:space="preserve">Dentro del referido capítulo se encuentran </w:t>
      </w:r>
      <w:bookmarkStart w:id="12" w:name="_Hlk63848566"/>
      <w:r w:rsidRPr="0014412C">
        <w:rPr>
          <w:rFonts w:ascii="Arial" w:eastAsia="Calibri" w:hAnsi="Arial" w:cs="Arial"/>
          <w:bCs/>
        </w:rPr>
        <w:t>los artículos 31 y 32 de la Ley 2069 de 2020</w:t>
      </w:r>
      <w:bookmarkEnd w:id="12"/>
      <w:r w:rsidRPr="0014412C">
        <w:rPr>
          <w:rFonts w:ascii="Arial" w:eastAsia="Calibri" w:hAnsi="Arial" w:cs="Arial"/>
          <w:bCs/>
        </w:rPr>
        <w:t xml:space="preserve">, los cuales crean una serie de incentivos para las personas interesadas en celebrar contratos con el Estado. </w:t>
      </w:r>
      <w:r w:rsidRPr="0014412C">
        <w:rPr>
          <w:rFonts w:ascii="Arial" w:eastAsia="Calibri" w:hAnsi="Arial" w:cs="Arial"/>
          <w:bCs/>
          <w:lang w:val="es-ES_tradnl"/>
        </w:rPr>
        <w:t xml:space="preserve">Por un lado, el artículo 31 </w:t>
      </w:r>
      <w:r w:rsidRPr="0014412C">
        <w:rPr>
          <w:rFonts w:ascii="Arial" w:eastAsia="Calibri" w:hAnsi="Arial" w:cs="Arial"/>
          <w:bCs/>
        </w:rPr>
        <w:t xml:space="preserve">introduce criterios diferenciales para el acceso de las </w:t>
      </w:r>
      <w:proofErr w:type="spellStart"/>
      <w:r w:rsidRPr="0014412C">
        <w:rPr>
          <w:rFonts w:ascii="Arial" w:eastAsia="Calibri" w:hAnsi="Arial" w:cs="Arial"/>
          <w:bCs/>
        </w:rPr>
        <w:t>Mipyme</w:t>
      </w:r>
      <w:proofErr w:type="spellEnd"/>
      <w:r w:rsidRPr="0014412C">
        <w:rPr>
          <w:rFonts w:ascii="Arial" w:eastAsia="Calibri" w:hAnsi="Arial" w:cs="Arial"/>
          <w:bCs/>
        </w:rPr>
        <w:t xml:space="preserve"> al sistema de compras y contratación pública, estableciendo que “Las Entidades Estatales de acuerdo con el análisis de Sector podrán incluir, en los Documentos del Proceso, requisitos diferenciales y puntajes adicionales, en función del tamaño empresarial para la promoción del acceso de las MIPYMES al mercado de Compras Públicas”.  </w:t>
      </w:r>
    </w:p>
    <w:p w14:paraId="1E3E8D85" w14:textId="77777777" w:rsidR="00430959" w:rsidRPr="0014412C" w:rsidRDefault="00430959" w:rsidP="00430959">
      <w:pPr>
        <w:tabs>
          <w:tab w:val="left" w:pos="709"/>
        </w:tabs>
        <w:spacing w:after="120" w:line="276" w:lineRule="auto"/>
        <w:jc w:val="both"/>
        <w:rPr>
          <w:rFonts w:ascii="Arial" w:eastAsia="Calibri" w:hAnsi="Arial" w:cs="Arial"/>
          <w:bCs/>
        </w:rPr>
      </w:pPr>
      <w:r w:rsidRPr="0014412C">
        <w:rPr>
          <w:rFonts w:ascii="Arial" w:eastAsia="Calibri" w:hAnsi="Arial" w:cs="Arial"/>
          <w:bCs/>
        </w:rPr>
        <w:tab/>
        <w:t xml:space="preserve">Además, el inciso segundo y el parágrafo del </w:t>
      </w:r>
      <w:r w:rsidRPr="0014412C">
        <w:rPr>
          <w:rFonts w:ascii="Arial" w:eastAsia="Calibri" w:hAnsi="Arial" w:cs="Arial"/>
          <w:bCs/>
          <w:lang w:val="es-ES_tradnl"/>
        </w:rPr>
        <w:t xml:space="preserve">artículo 31 </w:t>
      </w:r>
      <w:r w:rsidRPr="0014412C">
        <w:rPr>
          <w:rFonts w:ascii="Arial" w:eastAsia="Calibri" w:hAnsi="Arial" w:cs="Arial"/>
          <w:bCs/>
        </w:rPr>
        <w:t xml:space="preserve">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w:t>
      </w:r>
      <w:r w:rsidRPr="0014412C">
        <w:rPr>
          <w:rFonts w:ascii="Arial" w:eastAsia="Calibri" w:hAnsi="Arial" w:cs="Arial"/>
          <w:bCs/>
        </w:rPr>
        <w:lastRenderedPageBreak/>
        <w:t>comerciales adquiridos con otros Estados”. Es decir, esta norma requiere el desarrollo reglamentario como una condición previa para su aplicación.</w:t>
      </w:r>
    </w:p>
    <w:p w14:paraId="60C7E222" w14:textId="77777777" w:rsidR="00430959" w:rsidRPr="0014412C" w:rsidRDefault="00430959" w:rsidP="00430959">
      <w:pPr>
        <w:tabs>
          <w:tab w:val="left" w:pos="709"/>
        </w:tabs>
        <w:spacing w:after="0" w:line="276" w:lineRule="auto"/>
        <w:jc w:val="both"/>
        <w:rPr>
          <w:rFonts w:ascii="Arial" w:eastAsia="Calibri" w:hAnsi="Arial" w:cs="Arial"/>
          <w:bCs/>
        </w:rPr>
      </w:pPr>
      <w:r w:rsidRPr="0014412C">
        <w:rPr>
          <w:rFonts w:ascii="Arial" w:eastAsia="Calibri" w:hAnsi="Arial" w:cs="Arial"/>
          <w:bCs/>
        </w:rPr>
        <w:tab/>
        <w:t xml:space="preserve">Por otra parte, el artículo 32 de la Ley 2069 de 2020 regula criterios diferenciales para los “emprendimientos y empresas de mujeres” en el sistema de compras y contratación pública. En relación con este aspecto, el inciso primero de la norma citada prescribe lo siguiente: </w:t>
      </w:r>
    </w:p>
    <w:p w14:paraId="6F3B22BE" w14:textId="77777777" w:rsidR="00430959" w:rsidRPr="0014412C" w:rsidRDefault="00430959" w:rsidP="00430959">
      <w:pPr>
        <w:tabs>
          <w:tab w:val="left" w:pos="709"/>
        </w:tabs>
        <w:spacing w:after="0" w:line="276" w:lineRule="auto"/>
        <w:jc w:val="both"/>
        <w:rPr>
          <w:rFonts w:ascii="Arial" w:eastAsia="Calibri" w:hAnsi="Arial" w:cs="Arial"/>
          <w:bCs/>
        </w:rPr>
      </w:pPr>
    </w:p>
    <w:p w14:paraId="4AB0BE8C" w14:textId="77777777" w:rsidR="00430959" w:rsidRPr="0014412C" w:rsidRDefault="00430959" w:rsidP="00430959">
      <w:pPr>
        <w:tabs>
          <w:tab w:val="left" w:pos="709"/>
        </w:tabs>
        <w:spacing w:after="0" w:line="240" w:lineRule="auto"/>
        <w:ind w:left="709" w:right="709"/>
        <w:jc w:val="both"/>
        <w:rPr>
          <w:rFonts w:ascii="Arial" w:eastAsia="Calibri" w:hAnsi="Arial" w:cs="Arial"/>
          <w:bCs/>
          <w:sz w:val="21"/>
          <w:szCs w:val="21"/>
        </w:rPr>
      </w:pPr>
      <w:r w:rsidRPr="0014412C">
        <w:rPr>
          <w:rFonts w:ascii="Arial" w:eastAsia="Calibri" w:hAnsi="Arial" w:cs="Arial"/>
          <w:bCs/>
          <w:sz w:val="21"/>
          <w:szCs w:val="21"/>
        </w:rPr>
        <w:t>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798ACD82" w14:textId="77777777" w:rsidR="00430959" w:rsidRPr="0014412C" w:rsidRDefault="00430959" w:rsidP="00430959">
      <w:pPr>
        <w:tabs>
          <w:tab w:val="left" w:pos="709"/>
        </w:tabs>
        <w:spacing w:after="0"/>
        <w:ind w:left="709" w:right="709"/>
        <w:jc w:val="both"/>
        <w:rPr>
          <w:rFonts w:ascii="Arial" w:eastAsia="Calibri" w:hAnsi="Arial" w:cs="Arial"/>
          <w:bCs/>
        </w:rPr>
      </w:pPr>
    </w:p>
    <w:p w14:paraId="5CFAED76" w14:textId="77777777" w:rsidR="00430959" w:rsidRPr="0014412C" w:rsidRDefault="00430959" w:rsidP="00430959">
      <w:pPr>
        <w:tabs>
          <w:tab w:val="left" w:pos="709"/>
        </w:tabs>
        <w:spacing w:after="120" w:line="276" w:lineRule="auto"/>
        <w:jc w:val="both"/>
        <w:rPr>
          <w:rFonts w:ascii="Arial" w:eastAsia="Calibri" w:hAnsi="Arial" w:cs="Arial"/>
          <w:bCs/>
        </w:rPr>
      </w:pPr>
      <w:r w:rsidRPr="0014412C">
        <w:rPr>
          <w:rFonts w:ascii="Arial" w:eastAsia="Calibri" w:hAnsi="Arial" w:cs="Arial"/>
          <w:bCs/>
        </w:rPr>
        <w:tab/>
        <w:t xml:space="preserve">El contraste con la norma analizada anteriormente salta a la vista. Por un lado, a diferencia del artículo 31 de la Ley de Emprendimiento, los “criterios diferenciales” del artículo 32 </w:t>
      </w:r>
      <w:proofErr w:type="spellStart"/>
      <w:r w:rsidRPr="0014412C">
        <w:rPr>
          <w:rFonts w:ascii="Arial" w:eastAsia="Calibri" w:hAnsi="Arial" w:cs="Arial"/>
          <w:bCs/>
          <w:i/>
          <w:iCs/>
        </w:rPr>
        <w:t>ibídem</w:t>
      </w:r>
      <w:proofErr w:type="spellEnd"/>
      <w:r w:rsidRPr="0014412C">
        <w:rPr>
          <w:rFonts w:ascii="Arial" w:eastAsia="Calibri" w:hAnsi="Arial"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competitivos que realicen las entidades estatales excluidas de la Ley 80 de 1993.     </w:t>
      </w:r>
    </w:p>
    <w:p w14:paraId="21749DD0" w14:textId="77777777" w:rsidR="00430959" w:rsidRPr="0014412C" w:rsidRDefault="00430959" w:rsidP="00430959">
      <w:pPr>
        <w:spacing w:after="120" w:line="276" w:lineRule="auto"/>
        <w:ind w:firstLine="709"/>
        <w:jc w:val="both"/>
        <w:rPr>
          <w:rFonts w:ascii="Arial" w:eastAsia="Calibri" w:hAnsi="Arial" w:cs="Arial"/>
          <w:lang w:val="es-ES_tradnl"/>
        </w:rPr>
      </w:pPr>
      <w:r w:rsidRPr="0014412C">
        <w:rPr>
          <w:rFonts w:ascii="Arial" w:eastAsia="Calibri" w:hAnsi="Arial" w:cs="Arial"/>
          <w:bCs/>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11D6F527" w14:textId="77777777" w:rsidR="00430959" w:rsidRPr="0014412C" w:rsidRDefault="00430959" w:rsidP="00430959">
      <w:pPr>
        <w:spacing w:after="120" w:line="276" w:lineRule="auto"/>
        <w:jc w:val="both"/>
        <w:rPr>
          <w:rFonts w:ascii="Arial" w:eastAsia="Calibri" w:hAnsi="Arial" w:cs="Arial"/>
          <w:lang w:val="es-ES_tradnl"/>
        </w:rPr>
      </w:pPr>
      <w:r w:rsidRPr="0014412C">
        <w:rPr>
          <w:rFonts w:ascii="Arial" w:eastAsia="Calibri" w:hAnsi="Arial" w:cs="Arial"/>
          <w:b/>
          <w:bCs/>
          <w:lang w:val="es-ES_tradnl"/>
        </w:rPr>
        <w:tab/>
      </w:r>
      <w:r w:rsidRPr="0014412C">
        <w:rPr>
          <w:rFonts w:ascii="Arial" w:eastAsia="Calibri" w:hAnsi="Arial" w:cs="Arial"/>
          <w:lang w:val="es-ES_tradnl"/>
        </w:rPr>
        <w:t>En este contexto, el Gobierno nacional expidió el Decreto 1860 del 24 de diciembre de 2021,</w:t>
      </w:r>
      <w:r w:rsidRPr="0014412C">
        <w:rPr>
          <w:rFonts w:ascii="Arial" w:hAnsi="Arial" w:cs="Arial"/>
        </w:rPr>
        <w:t xml:space="preserve"> </w:t>
      </w:r>
      <w:r w:rsidRPr="0014412C">
        <w:rPr>
          <w:rFonts w:ascii="Arial" w:eastAsia="Calibri" w:hAnsi="Arial" w:cs="Arial"/>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w:t>
      </w:r>
      <w:r w:rsidRPr="0014412C">
        <w:rPr>
          <w:rFonts w:ascii="Arial" w:eastAsia="Calibri" w:hAnsi="Arial" w:cs="Arial"/>
          <w:lang w:val="es-ES_tradnl"/>
        </w:rPr>
        <w:lastRenderedPageBreak/>
        <w:t>36–, realizando las adecuaciones requeridas para aplicar estas disposiciones, como indica el artículo 1 del Decreto 1860 de 2021</w:t>
      </w:r>
      <w:r w:rsidRPr="0014412C">
        <w:rPr>
          <w:rStyle w:val="Refdenotaalpie"/>
          <w:rFonts w:ascii="Arial" w:eastAsia="Calibri" w:hAnsi="Arial" w:cs="Arial"/>
          <w:lang w:val="es-ES_tradnl"/>
        </w:rPr>
        <w:footnoteReference w:id="10"/>
      </w:r>
      <w:r w:rsidRPr="0014412C">
        <w:rPr>
          <w:rFonts w:ascii="Arial" w:eastAsia="Calibri" w:hAnsi="Arial" w:cs="Arial"/>
          <w:lang w:val="es-ES_tradnl"/>
        </w:rPr>
        <w:t xml:space="preserve">.  </w:t>
      </w:r>
    </w:p>
    <w:p w14:paraId="7E87A2AB" w14:textId="77777777" w:rsidR="00430959" w:rsidRPr="0014412C" w:rsidRDefault="00430959" w:rsidP="00430959">
      <w:pPr>
        <w:spacing w:after="0" w:line="276" w:lineRule="auto"/>
        <w:ind w:firstLine="708"/>
        <w:jc w:val="both"/>
        <w:rPr>
          <w:rFonts w:ascii="Arial" w:eastAsia="Calibri" w:hAnsi="Arial" w:cs="Arial"/>
          <w:color w:val="000000" w:themeColor="text1"/>
          <w:lang w:val="es-ES_tradnl"/>
        </w:rPr>
      </w:pPr>
      <w:r w:rsidRPr="0014412C">
        <w:rPr>
          <w:rFonts w:ascii="Arial" w:eastAsia="Calibri" w:hAnsi="Arial" w:cs="Arial"/>
          <w:lang w:val="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empresas y emprendimientos de mujeres, a las que les aplican los criterios diferenciales. Para estos efectos, cada uno de los cuatro numerales de la norma establecen unas condiciones alternativas que definen los emprendimientos y empresas de mujeres a efectos de aplicar los criterios diferenciales. Para la consulta es relevante el numeral 2, cuyo tenor indica lo siguiente:   </w:t>
      </w:r>
      <w:r w:rsidRPr="0014412C">
        <w:rPr>
          <w:rFonts w:ascii="Arial" w:eastAsia="Calibri" w:hAnsi="Arial" w:cs="Arial"/>
          <w:color w:val="000000" w:themeColor="text1"/>
          <w:lang w:val="es-ES_tradnl"/>
        </w:rPr>
        <w:t xml:space="preserve">  </w:t>
      </w:r>
    </w:p>
    <w:p w14:paraId="34788198" w14:textId="77777777" w:rsidR="00430959" w:rsidRPr="0014412C" w:rsidRDefault="00430959" w:rsidP="00430959">
      <w:pPr>
        <w:spacing w:after="0" w:line="276" w:lineRule="auto"/>
        <w:jc w:val="both"/>
        <w:rPr>
          <w:rFonts w:ascii="Arial" w:eastAsia="Calibri" w:hAnsi="Arial" w:cs="Arial"/>
          <w:color w:val="000000" w:themeColor="text1"/>
          <w:lang w:val="es-ES_tradnl"/>
        </w:rPr>
      </w:pPr>
    </w:p>
    <w:p w14:paraId="0E106748" w14:textId="77777777" w:rsidR="00430959" w:rsidRPr="0014412C" w:rsidRDefault="00430959" w:rsidP="00430959">
      <w:pPr>
        <w:shd w:val="clear" w:color="auto" w:fill="FFFFFF"/>
        <w:spacing w:after="0" w:line="240" w:lineRule="auto"/>
        <w:ind w:left="709" w:right="709"/>
        <w:jc w:val="both"/>
        <w:textAlignment w:val="baseline"/>
        <w:rPr>
          <w:rFonts w:ascii="Arial" w:hAnsi="Arial" w:cs="Arial"/>
          <w:color w:val="000000" w:themeColor="text1"/>
          <w:sz w:val="21"/>
          <w:szCs w:val="21"/>
          <w:lang w:eastAsia="es-CO"/>
        </w:rPr>
      </w:pPr>
      <w:r w:rsidRPr="0014412C">
        <w:rPr>
          <w:rFonts w:ascii="Arial"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2656FE70" w14:textId="77777777" w:rsidR="00430959" w:rsidRPr="0014412C" w:rsidRDefault="00430959" w:rsidP="00430959">
      <w:pPr>
        <w:shd w:val="clear" w:color="auto" w:fill="FFFFFF"/>
        <w:spacing w:after="120" w:line="240" w:lineRule="auto"/>
        <w:ind w:left="709" w:right="709"/>
        <w:jc w:val="both"/>
        <w:textAlignment w:val="baseline"/>
        <w:rPr>
          <w:rFonts w:ascii="Arial" w:hAnsi="Arial" w:cs="Arial"/>
          <w:color w:val="000000" w:themeColor="text1"/>
          <w:sz w:val="21"/>
          <w:szCs w:val="21"/>
          <w:lang w:eastAsia="es-CO"/>
        </w:rPr>
      </w:pPr>
      <w:r w:rsidRPr="0014412C">
        <w:rPr>
          <w:rFonts w:ascii="Arial" w:hAnsi="Arial" w:cs="Arial"/>
          <w:color w:val="000000" w:themeColor="text1"/>
          <w:sz w:val="21"/>
          <w:szCs w:val="21"/>
          <w:lang w:eastAsia="es-CO"/>
        </w:rPr>
        <w:t>[…]</w:t>
      </w:r>
    </w:p>
    <w:p w14:paraId="726BDAE3" w14:textId="77777777" w:rsidR="00430959" w:rsidRPr="0014412C" w:rsidRDefault="00430959" w:rsidP="00430959">
      <w:pPr>
        <w:shd w:val="clear" w:color="auto" w:fill="FFFFFF"/>
        <w:spacing w:after="120" w:line="240" w:lineRule="auto"/>
        <w:ind w:left="709" w:right="709"/>
        <w:jc w:val="both"/>
        <w:textAlignment w:val="baseline"/>
        <w:rPr>
          <w:rFonts w:ascii="Arial" w:hAnsi="Arial" w:cs="Arial"/>
          <w:color w:val="000000" w:themeColor="text1"/>
          <w:sz w:val="21"/>
          <w:szCs w:val="21"/>
          <w:lang w:eastAsia="es-CO"/>
        </w:rPr>
      </w:pPr>
      <w:r w:rsidRPr="0014412C">
        <w:rPr>
          <w:rFonts w:ascii="Arial" w:hAnsi="Arial" w:cs="Arial"/>
          <w:color w:val="000000" w:themeColor="text1"/>
          <w:sz w:val="21"/>
          <w:szCs w:val="21"/>
          <w:lang w:eastAsia="es-CO"/>
        </w:rPr>
        <w:t xml:space="preserve">2. Cuando </w:t>
      </w:r>
      <w:bookmarkStart w:id="13" w:name="_Hlk139875505"/>
      <w:r w:rsidRPr="0014412C">
        <w:rPr>
          <w:rFonts w:ascii="Arial" w:hAnsi="Arial" w:cs="Arial"/>
          <w:color w:val="000000" w:themeColor="text1"/>
          <w:sz w:val="21"/>
          <w:szCs w:val="21"/>
          <w:lang w:eastAsia="es-CO"/>
        </w:rPr>
        <w:t xml:space="preserve">por lo menos el cincuenta por ciento (50%) de los empleos del nivel directivo de la persona jurídica sean ejercidos por </w:t>
      </w:r>
      <w:r w:rsidRPr="0014412C">
        <w:rPr>
          <w:rFonts w:ascii="Arial" w:hAnsi="Arial" w:cs="Arial"/>
          <w:i/>
          <w:iCs/>
          <w:color w:val="000000" w:themeColor="text1"/>
          <w:sz w:val="21"/>
          <w:szCs w:val="21"/>
          <w:u w:val="single"/>
          <w:lang w:eastAsia="es-CO"/>
        </w:rPr>
        <w:t>mujeres</w:t>
      </w:r>
      <w:r w:rsidRPr="0014412C">
        <w:rPr>
          <w:rFonts w:ascii="Arial" w:hAnsi="Arial" w:cs="Arial"/>
          <w:color w:val="000000" w:themeColor="text1"/>
          <w:sz w:val="21"/>
          <w:szCs w:val="21"/>
          <w:lang w:eastAsia="es-CO"/>
        </w:rPr>
        <w:t xml:space="preserve"> y éstas hayan estado </w:t>
      </w:r>
      <w:r w:rsidRPr="0014412C">
        <w:rPr>
          <w:rFonts w:ascii="Arial" w:hAnsi="Arial" w:cs="Arial"/>
          <w:i/>
          <w:iCs/>
          <w:color w:val="000000" w:themeColor="text1"/>
          <w:sz w:val="21"/>
          <w:szCs w:val="21"/>
          <w:u w:val="single"/>
          <w:lang w:eastAsia="es-CO"/>
        </w:rPr>
        <w:t>vinculadas laboralmente</w:t>
      </w:r>
      <w:r w:rsidRPr="0014412C">
        <w:rPr>
          <w:rFonts w:ascii="Arial" w:hAnsi="Arial" w:cs="Arial"/>
          <w:color w:val="000000" w:themeColor="text1"/>
          <w:sz w:val="21"/>
          <w:szCs w:val="21"/>
          <w:lang w:eastAsia="es-CO"/>
        </w:rPr>
        <w:t xml:space="preserve"> a la empresa durante al menos el último año anterior a la fecha de cierre del Proceso de Selección en el mismo cargo u otro del mismo nivel</w:t>
      </w:r>
      <w:bookmarkEnd w:id="13"/>
      <w:r w:rsidRPr="0014412C">
        <w:rPr>
          <w:rFonts w:ascii="Arial" w:hAnsi="Arial" w:cs="Arial"/>
          <w:color w:val="000000" w:themeColor="text1"/>
          <w:sz w:val="21"/>
          <w:szCs w:val="21"/>
          <w:lang w:eastAsia="es-CO"/>
        </w:rPr>
        <w:t xml:space="preserve">. </w:t>
      </w:r>
    </w:p>
    <w:p w14:paraId="2EB92C41" w14:textId="77777777" w:rsidR="00430959" w:rsidRPr="0014412C" w:rsidRDefault="00430959" w:rsidP="00430959">
      <w:pPr>
        <w:shd w:val="clear" w:color="auto" w:fill="FFFFFF"/>
        <w:spacing w:after="120" w:line="240" w:lineRule="auto"/>
        <w:ind w:left="709" w:right="709"/>
        <w:jc w:val="both"/>
        <w:textAlignment w:val="baseline"/>
        <w:rPr>
          <w:rFonts w:ascii="Arial" w:hAnsi="Arial" w:cs="Arial"/>
          <w:color w:val="000000" w:themeColor="text1"/>
          <w:sz w:val="21"/>
          <w:szCs w:val="21"/>
          <w:lang w:eastAsia="es-CO"/>
        </w:rPr>
      </w:pPr>
      <w:r w:rsidRPr="0014412C">
        <w:rPr>
          <w:rFonts w:ascii="Arial" w:hAnsi="Arial" w:cs="Arial"/>
          <w:color w:val="000000" w:themeColor="text1"/>
          <w:sz w:val="21"/>
          <w:szCs w:val="21"/>
          <w:lang w:eastAsia="es-CO"/>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p>
    <w:p w14:paraId="10E381C6" w14:textId="77777777" w:rsidR="00430959" w:rsidRPr="0014412C" w:rsidRDefault="00430959" w:rsidP="00430959">
      <w:pPr>
        <w:shd w:val="clear" w:color="auto" w:fill="FFFFFF"/>
        <w:spacing w:after="120" w:line="240" w:lineRule="auto"/>
        <w:ind w:left="709" w:right="709"/>
        <w:jc w:val="both"/>
        <w:textAlignment w:val="baseline"/>
        <w:rPr>
          <w:rFonts w:ascii="Arial" w:hAnsi="Arial" w:cs="Arial"/>
          <w:color w:val="000000" w:themeColor="text1"/>
          <w:sz w:val="21"/>
          <w:szCs w:val="21"/>
          <w:lang w:eastAsia="es-CO"/>
        </w:rPr>
      </w:pPr>
      <w:r w:rsidRPr="0014412C">
        <w:rPr>
          <w:rFonts w:ascii="Arial" w:hAnsi="Arial" w:cs="Arial"/>
          <w:color w:val="000000" w:themeColor="text1"/>
          <w:sz w:val="21"/>
          <w:szCs w:val="21"/>
          <w:lang w:eastAsia="es-CO"/>
        </w:rPr>
        <w:t xml:space="preserve">Esta circunstancia se acreditará mediante </w:t>
      </w:r>
      <w:bookmarkStart w:id="14" w:name="_Hlk139879186"/>
      <w:r w:rsidRPr="0014412C">
        <w:rPr>
          <w:rFonts w:ascii="Arial" w:hAnsi="Arial" w:cs="Arial"/>
          <w:color w:val="000000" w:themeColor="text1"/>
          <w:sz w:val="21"/>
          <w:szCs w:val="21"/>
          <w:lang w:eastAsia="es-CO"/>
        </w:rPr>
        <w:t>certificación expedida por el representante legal y el revisor fiscal, cuando exista de acuerdo con los requerimientos de ley, o el contador</w:t>
      </w:r>
      <w:bookmarkEnd w:id="14"/>
      <w:r w:rsidRPr="0014412C">
        <w:rPr>
          <w:rFonts w:ascii="Arial" w:hAnsi="Arial" w:cs="Arial"/>
          <w:color w:val="000000" w:themeColor="text1"/>
          <w:sz w:val="21"/>
          <w:szCs w:val="21"/>
          <w:lang w:eastAsia="es-CO"/>
        </w:rPr>
        <w:t xml:space="preserve">, donde se señale de manera detallada todas las personas que conforman los cargos de nivel directivo del proponente, el número de mujeres y el tiempo de vinculación. </w:t>
      </w:r>
    </w:p>
    <w:p w14:paraId="02F63956" w14:textId="77777777" w:rsidR="00430959" w:rsidRPr="0014412C" w:rsidRDefault="00430959" w:rsidP="00430959">
      <w:pPr>
        <w:shd w:val="clear" w:color="auto" w:fill="FFFFFF"/>
        <w:spacing w:after="0" w:line="240" w:lineRule="auto"/>
        <w:ind w:left="709" w:right="709"/>
        <w:jc w:val="both"/>
        <w:textAlignment w:val="baseline"/>
        <w:rPr>
          <w:rFonts w:ascii="Arial" w:hAnsi="Arial" w:cs="Arial"/>
          <w:color w:val="000000" w:themeColor="text1"/>
          <w:sz w:val="21"/>
          <w:szCs w:val="21"/>
          <w:lang w:eastAsia="es-CO"/>
        </w:rPr>
      </w:pPr>
      <w:r w:rsidRPr="0014412C">
        <w:rPr>
          <w:rFonts w:ascii="Arial" w:hAnsi="Arial" w:cs="Arial"/>
          <w:color w:val="000000" w:themeColor="text1"/>
          <w:sz w:val="21"/>
          <w:szCs w:val="21"/>
          <w:lang w:eastAsia="es-CO"/>
        </w:rPr>
        <w:t xml:space="preserve">La certificación deberá relacionar el nombre completo y el número de documento de identidad de cada una de las personas que conforman el nivel directivo del proponente. Como soporte, </w:t>
      </w:r>
      <w:bookmarkStart w:id="15" w:name="_Hlk139875803"/>
      <w:r w:rsidRPr="0014412C">
        <w:rPr>
          <w:rFonts w:ascii="Arial" w:hAnsi="Arial" w:cs="Arial"/>
          <w:color w:val="000000" w:themeColor="text1"/>
          <w:sz w:val="21"/>
          <w:szCs w:val="21"/>
          <w:lang w:eastAsia="es-CO"/>
        </w:rPr>
        <w:t xml:space="preserve">se anexará copia de los respectivos documentos de </w:t>
      </w:r>
      <w:r w:rsidRPr="0014412C">
        <w:rPr>
          <w:rFonts w:ascii="Arial" w:hAnsi="Arial" w:cs="Arial"/>
          <w:color w:val="000000" w:themeColor="text1"/>
          <w:sz w:val="21"/>
          <w:szCs w:val="21"/>
          <w:lang w:eastAsia="es-CO"/>
        </w:rPr>
        <w:lastRenderedPageBreak/>
        <w:t>identidad, copia de los contratos de trabajo o certificación laboral con las funciones, así como el certificado de aportes a seguridad social del último año en el que se demuestren los pagos realizados por el empleador</w:t>
      </w:r>
      <w:bookmarkEnd w:id="15"/>
      <w:r w:rsidRPr="0014412C">
        <w:rPr>
          <w:rFonts w:ascii="Arial" w:hAnsi="Arial" w:cs="Arial"/>
          <w:color w:val="000000" w:themeColor="text1"/>
          <w:sz w:val="21"/>
          <w:szCs w:val="21"/>
          <w:lang w:eastAsia="es-CO"/>
        </w:rPr>
        <w:t>. (Énfasis fuera de texto)</w:t>
      </w:r>
    </w:p>
    <w:p w14:paraId="3B0258C2" w14:textId="77777777" w:rsidR="00430959" w:rsidRPr="0014412C" w:rsidRDefault="00430959" w:rsidP="00430959">
      <w:pPr>
        <w:shd w:val="clear" w:color="auto" w:fill="FFFFFF"/>
        <w:spacing w:after="0" w:line="276" w:lineRule="auto"/>
        <w:ind w:left="709" w:right="709"/>
        <w:jc w:val="both"/>
        <w:textAlignment w:val="baseline"/>
        <w:rPr>
          <w:rFonts w:ascii="Arial" w:hAnsi="Arial" w:cs="Arial"/>
          <w:color w:val="000000" w:themeColor="text1"/>
          <w:lang w:eastAsia="es-CO"/>
        </w:rPr>
      </w:pPr>
    </w:p>
    <w:p w14:paraId="6413CD03" w14:textId="77777777" w:rsidR="00430959" w:rsidRPr="0014412C" w:rsidRDefault="00430959" w:rsidP="00430959">
      <w:pPr>
        <w:spacing w:after="0" w:line="276" w:lineRule="auto"/>
        <w:ind w:firstLine="708"/>
        <w:jc w:val="both"/>
        <w:rPr>
          <w:rFonts w:ascii="Arial" w:eastAsia="Calibri" w:hAnsi="Arial" w:cs="Arial"/>
          <w:lang w:val="es-ES_tradnl"/>
        </w:rPr>
      </w:pPr>
      <w:r w:rsidRPr="0014412C">
        <w:rPr>
          <w:rFonts w:ascii="Arial" w:eastAsia="Calibri" w:hAnsi="Arial" w:cs="Arial"/>
          <w:lang w:val="es-ES_tradnl"/>
        </w:rPr>
        <w:t xml:space="preserve">De acuerdo con el numeral citado, los empleos del nivel directivo de la persona jurídica deben pertenecer a </w:t>
      </w:r>
      <w:r w:rsidRPr="0014412C">
        <w:rPr>
          <w:rFonts w:ascii="Arial" w:eastAsia="Calibri" w:hAnsi="Arial" w:cs="Arial"/>
          <w:i/>
          <w:iCs/>
          <w:lang w:val="es-ES_tradnl"/>
        </w:rPr>
        <w:t>mujeres</w:t>
      </w:r>
      <w:r w:rsidRPr="0014412C">
        <w:rPr>
          <w:rFonts w:ascii="Arial" w:eastAsia="Calibri" w:hAnsi="Arial" w:cs="Arial"/>
          <w:lang w:val="es-ES_tradnl"/>
        </w:rPr>
        <w:t xml:space="preserve"> en el porcentaje y el plazo reglamentado en el decreto. Conforme al artículo 74 del Código Civil, “Son personas todos los individuos de la especie humana, cualquiera que sea su edad, sexo, estirpe o condición”. Esto significa que el numeral 2 del artículo 2.2.1.2.4.2.14 del Decreto 1082 de 2015 se enfoca en </w:t>
      </w:r>
      <w:r w:rsidRPr="0014412C">
        <w:rPr>
          <w:rFonts w:ascii="Arial" w:eastAsia="Calibri" w:hAnsi="Arial" w:cs="Arial"/>
          <w:i/>
          <w:iCs/>
          <w:lang w:val="es-ES_tradnl"/>
        </w:rPr>
        <w:t>personas naturales femeninas</w:t>
      </w:r>
      <w:r w:rsidRPr="0014412C">
        <w:rPr>
          <w:rFonts w:ascii="Arial" w:eastAsia="Calibri" w:hAnsi="Arial" w:cs="Arial"/>
          <w:lang w:val="es-ES_tradnl"/>
        </w:rPr>
        <w:t xml:space="preserve">. En este contexto, las </w:t>
      </w:r>
      <w:r w:rsidRPr="0014412C">
        <w:rPr>
          <w:rFonts w:ascii="Arial" w:eastAsia="Calibri" w:hAnsi="Arial" w:cs="Arial"/>
          <w:i/>
          <w:iCs/>
          <w:lang w:val="es-ES_tradnl"/>
        </w:rPr>
        <w:t>personas naturales masculinas</w:t>
      </w:r>
      <w:r w:rsidRPr="0014412C">
        <w:rPr>
          <w:rFonts w:ascii="Arial" w:eastAsia="Calibri" w:hAnsi="Arial" w:cs="Arial"/>
          <w:lang w:val="es-ES_tradnl"/>
        </w:rPr>
        <w:t xml:space="preserve"> no son destinatarios de los criterios diferenciales para empresas y emprendimientos de mujeres en el sistema de compras públicas. Para estos efectos, en el Concepto C-048 del 12 de abril de 2023, la Agencia estima que:</w:t>
      </w:r>
    </w:p>
    <w:p w14:paraId="66ACE852" w14:textId="77777777" w:rsidR="00430959" w:rsidRPr="0014412C" w:rsidRDefault="00430959" w:rsidP="00430959">
      <w:pPr>
        <w:spacing w:after="0" w:line="276" w:lineRule="auto"/>
        <w:ind w:firstLine="708"/>
        <w:jc w:val="both"/>
        <w:rPr>
          <w:rFonts w:ascii="Arial" w:eastAsia="Calibri" w:hAnsi="Arial" w:cs="Arial"/>
          <w:lang w:val="es-ES_tradnl"/>
        </w:rPr>
      </w:pPr>
    </w:p>
    <w:p w14:paraId="125971C6" w14:textId="77777777" w:rsidR="00430959" w:rsidRPr="0014412C" w:rsidRDefault="00430959" w:rsidP="00430959">
      <w:pPr>
        <w:spacing w:after="0" w:line="240" w:lineRule="auto"/>
        <w:ind w:left="709" w:right="709"/>
        <w:jc w:val="both"/>
        <w:rPr>
          <w:rFonts w:ascii="Arial" w:hAnsi="Arial" w:cs="Arial"/>
          <w:sz w:val="21"/>
          <w:szCs w:val="21"/>
        </w:rPr>
      </w:pPr>
      <w:r w:rsidRPr="0014412C">
        <w:rPr>
          <w:rFonts w:ascii="Arial" w:hAnsi="Arial" w:cs="Arial"/>
          <w:sz w:val="21"/>
          <w:szCs w:val="21"/>
        </w:rPr>
        <w:t xml:space="preserve">[…] partiendo de la concepción de la </w:t>
      </w:r>
      <w:r w:rsidRPr="0014412C">
        <w:rPr>
          <w:rFonts w:ascii="Arial" w:hAnsi="Arial" w:cs="Arial"/>
          <w:i/>
          <w:sz w:val="21"/>
          <w:szCs w:val="21"/>
        </w:rPr>
        <w:t>identidad de género</w:t>
      </w:r>
      <w:r w:rsidRPr="0014412C">
        <w:rPr>
          <w:rFonts w:ascii="Arial" w:hAnsi="Arial" w:cs="Arial"/>
          <w:sz w:val="21"/>
          <w:szCs w:val="21"/>
        </w:rPr>
        <w:t xml:space="preserve"> como una construcción individual, se precisa entonces que el componente </w:t>
      </w:r>
      <w:r w:rsidRPr="0014412C">
        <w:rPr>
          <w:rFonts w:ascii="Arial" w:hAnsi="Arial" w:cs="Arial"/>
          <w:i/>
          <w:sz w:val="21"/>
          <w:szCs w:val="21"/>
        </w:rPr>
        <w:t>“sexo”</w:t>
      </w:r>
      <w:r w:rsidRPr="0014412C">
        <w:rPr>
          <w:rFonts w:ascii="Arial" w:hAnsi="Arial" w:cs="Arial"/>
          <w:sz w:val="21"/>
          <w:szCs w:val="21"/>
        </w:rPr>
        <w:t xml:space="preserve"> que registra en la identificación de las personas, evolucionó en tal medida que la información consignada en este campo o ítem, por decirlo de alguna manera, debe entenderse como una decisión personal y no como una asignación ligada al sexo con el que se nace. Es por ello </w:t>
      </w:r>
      <w:proofErr w:type="gramStart"/>
      <w:r w:rsidRPr="0014412C">
        <w:rPr>
          <w:rFonts w:ascii="Arial" w:hAnsi="Arial" w:cs="Arial"/>
          <w:sz w:val="21"/>
          <w:szCs w:val="21"/>
        </w:rPr>
        <w:t>que</w:t>
      </w:r>
      <w:proofErr w:type="gramEnd"/>
      <w:r w:rsidRPr="0014412C">
        <w:rPr>
          <w:rFonts w:ascii="Arial" w:hAnsi="Arial" w:cs="Arial"/>
          <w:sz w:val="21"/>
          <w:szCs w:val="21"/>
        </w:rPr>
        <w:t xml:space="preserve"> las personas tienen la potestad de modificar su marcador de </w:t>
      </w:r>
      <w:r w:rsidRPr="0014412C">
        <w:rPr>
          <w:rFonts w:ascii="Arial" w:hAnsi="Arial" w:cs="Arial"/>
          <w:i/>
          <w:iCs/>
          <w:sz w:val="21"/>
          <w:szCs w:val="21"/>
        </w:rPr>
        <w:t>“</w:t>
      </w:r>
      <w:r w:rsidRPr="0014412C">
        <w:rPr>
          <w:rFonts w:ascii="Arial" w:hAnsi="Arial" w:cs="Arial"/>
          <w:i/>
          <w:sz w:val="21"/>
          <w:szCs w:val="21"/>
        </w:rPr>
        <w:t>sexo</w:t>
      </w:r>
      <w:r w:rsidRPr="0014412C">
        <w:rPr>
          <w:rFonts w:ascii="Arial" w:hAnsi="Arial" w:cs="Arial"/>
          <w:i/>
          <w:iCs/>
          <w:sz w:val="21"/>
          <w:szCs w:val="21"/>
        </w:rPr>
        <w:t>”</w:t>
      </w:r>
      <w:r w:rsidRPr="0014412C">
        <w:rPr>
          <w:rFonts w:ascii="Arial" w:hAnsi="Arial" w:cs="Arial"/>
          <w:sz w:val="21"/>
          <w:szCs w:val="21"/>
        </w:rPr>
        <w:t xml:space="preserve"> para que coincida con su identidad, en caso de que requiera hacer el tránsito formal hacia otro género. Sobre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p>
    <w:p w14:paraId="0C6E868F" w14:textId="77777777" w:rsidR="00430959" w:rsidRPr="0014412C" w:rsidRDefault="00430959" w:rsidP="00430959">
      <w:pPr>
        <w:spacing w:before="120" w:after="0" w:line="240" w:lineRule="auto"/>
        <w:ind w:left="709" w:right="709"/>
        <w:jc w:val="both"/>
        <w:rPr>
          <w:rFonts w:ascii="Arial" w:eastAsia="Calibri" w:hAnsi="Arial" w:cs="Arial"/>
          <w:color w:val="000000" w:themeColor="text1"/>
          <w:sz w:val="21"/>
          <w:szCs w:val="21"/>
        </w:rPr>
      </w:pPr>
      <w:r w:rsidRPr="0014412C">
        <w:rPr>
          <w:rFonts w:ascii="Arial" w:eastAsia="Calibri" w:hAnsi="Arial" w:cs="Arial"/>
          <w:color w:val="000000" w:themeColor="text1"/>
          <w:sz w:val="21"/>
          <w:szCs w:val="21"/>
        </w:rPr>
        <w:t xml:space="preserve">En línea con lo anterior, se resalta la importancia de la </w:t>
      </w:r>
      <w:r w:rsidRPr="0014412C">
        <w:rPr>
          <w:rFonts w:ascii="Arial" w:eastAsia="Calibri" w:hAnsi="Arial" w:cs="Arial"/>
          <w:i/>
          <w:color w:val="000000" w:themeColor="text1"/>
          <w:sz w:val="21"/>
          <w:szCs w:val="21"/>
        </w:rPr>
        <w:t>identidad de género</w:t>
      </w:r>
      <w:r w:rsidRPr="0014412C">
        <w:rPr>
          <w:rFonts w:ascii="Arial" w:eastAsia="Calibri" w:hAnsi="Arial" w:cs="Arial"/>
          <w:color w:val="000000" w:themeColor="text1"/>
          <w:sz w:val="21"/>
          <w:szCs w:val="21"/>
        </w:rPr>
        <w:t xml:space="preserve"> como derecho en virtud del cual las personas pueden identificarse conforme a sus propias consideraciones. Sin embargo, la acreditación de la condición de </w:t>
      </w:r>
      <w:r w:rsidRPr="0014412C">
        <w:rPr>
          <w:rFonts w:ascii="Arial" w:eastAsia="Calibri" w:hAnsi="Arial" w:cs="Arial"/>
          <w:i/>
          <w:iCs/>
          <w:color w:val="000000" w:themeColor="text1"/>
          <w:sz w:val="21"/>
          <w:szCs w:val="21"/>
        </w:rPr>
        <w:t>“</w:t>
      </w:r>
      <w:r w:rsidRPr="0014412C">
        <w:rPr>
          <w:rFonts w:ascii="Arial" w:eastAsia="Calibri" w:hAnsi="Arial" w:cs="Arial"/>
          <w:i/>
          <w:color w:val="000000" w:themeColor="text1"/>
          <w:sz w:val="21"/>
          <w:szCs w:val="21"/>
        </w:rPr>
        <w:t>mujer</w:t>
      </w:r>
      <w:r w:rsidRPr="0014412C">
        <w:rPr>
          <w:rFonts w:ascii="Arial" w:eastAsia="Calibri" w:hAnsi="Arial" w:cs="Arial"/>
          <w:i/>
          <w:iCs/>
          <w:color w:val="000000" w:themeColor="text1"/>
          <w:sz w:val="21"/>
          <w:szCs w:val="21"/>
        </w:rPr>
        <w:t>”</w:t>
      </w:r>
      <w:r w:rsidRPr="0014412C">
        <w:rPr>
          <w:rFonts w:ascii="Arial" w:eastAsia="Calibri" w:hAnsi="Arial" w:cs="Arial"/>
          <w:color w:val="000000" w:themeColor="text1"/>
          <w:sz w:val="21"/>
          <w:szCs w:val="21"/>
        </w:rPr>
        <w:t xml:space="preserve">, para efectos de ser tenidas en cuenta como emprendimientos y empresas de mujeres, se realiza en atención a la identidad de género que se desprende de lo indicado en el marcador </w:t>
      </w:r>
      <w:r w:rsidRPr="0014412C">
        <w:rPr>
          <w:rFonts w:ascii="Arial" w:eastAsia="Calibri" w:hAnsi="Arial" w:cs="Arial"/>
          <w:i/>
          <w:iCs/>
          <w:color w:val="000000" w:themeColor="text1"/>
          <w:sz w:val="21"/>
          <w:szCs w:val="21"/>
        </w:rPr>
        <w:t>“</w:t>
      </w:r>
      <w:r w:rsidRPr="0014412C">
        <w:rPr>
          <w:rFonts w:ascii="Arial" w:eastAsia="Calibri" w:hAnsi="Arial" w:cs="Arial"/>
          <w:i/>
          <w:color w:val="000000" w:themeColor="text1"/>
          <w:sz w:val="21"/>
          <w:szCs w:val="21"/>
        </w:rPr>
        <w:t>sexo</w:t>
      </w:r>
      <w:r w:rsidRPr="0014412C">
        <w:rPr>
          <w:rFonts w:ascii="Arial" w:eastAsia="Calibri" w:hAnsi="Arial" w:cs="Arial"/>
          <w:i/>
          <w:iCs/>
          <w:color w:val="000000" w:themeColor="text1"/>
          <w:sz w:val="21"/>
          <w:szCs w:val="21"/>
        </w:rPr>
        <w:t>”</w:t>
      </w:r>
      <w:r w:rsidRPr="0014412C">
        <w:rPr>
          <w:rFonts w:ascii="Arial" w:eastAsia="Calibri" w:hAnsi="Arial" w:cs="Arial"/>
          <w:color w:val="000000" w:themeColor="text1"/>
          <w:sz w:val="21"/>
          <w:szCs w:val="21"/>
        </w:rPr>
        <w:t xml:space="preserve"> establecido en los respectivos documentos de identificación de las personas, de conformidad con el artículo 2.2.1.2.4.2.14 del Decreto 1082 de 2015, introducido por el Decreto 1860 de 2021. De esta manera para acceder a tales criterios diferenciales se precisa no solo identificarse con el género femenino, sino que se requiere que dicha identidad de género coincida con lo indicado en el marcador de “sexo” del documento de identidad, el cual constituye una tarifa legal para efectos de acreditar las condiciones establecidas en el artículo 2.2.1.2.4.2.14. </w:t>
      </w:r>
    </w:p>
    <w:p w14:paraId="072CD652" w14:textId="77777777" w:rsidR="00430959" w:rsidRPr="0014412C" w:rsidRDefault="00430959" w:rsidP="00430959">
      <w:pPr>
        <w:spacing w:after="0" w:line="276" w:lineRule="auto"/>
        <w:jc w:val="both"/>
        <w:rPr>
          <w:rFonts w:ascii="Arial" w:eastAsia="Calibri" w:hAnsi="Arial" w:cs="Arial"/>
          <w:color w:val="000000" w:themeColor="text1"/>
        </w:rPr>
      </w:pPr>
    </w:p>
    <w:p w14:paraId="5E26CE5F" w14:textId="77777777" w:rsidR="00430959" w:rsidRPr="0014412C" w:rsidRDefault="00430959" w:rsidP="00430959">
      <w:pPr>
        <w:spacing w:after="120" w:line="276" w:lineRule="auto"/>
        <w:jc w:val="both"/>
        <w:rPr>
          <w:rFonts w:ascii="Arial" w:eastAsia="Calibri" w:hAnsi="Arial" w:cs="Arial"/>
          <w:bCs/>
          <w:color w:val="000000"/>
        </w:rPr>
      </w:pPr>
      <w:r w:rsidRPr="0014412C">
        <w:rPr>
          <w:rFonts w:ascii="Arial" w:eastAsia="Calibri" w:hAnsi="Arial" w:cs="Arial"/>
          <w:color w:val="000000" w:themeColor="text1"/>
        </w:rPr>
        <w:tab/>
        <w:t xml:space="preserve">En resumen, </w:t>
      </w:r>
      <w:r w:rsidRPr="0014412C">
        <w:rPr>
          <w:rFonts w:ascii="Arial" w:eastAsia="Calibri" w:hAnsi="Arial" w:cs="Arial"/>
          <w:lang w:val="es-ES_tradnl"/>
        </w:rPr>
        <w:t>el numeral 2 del artículo 2.2.1.2.4.2.14 del Decreto 1082 de 2015 requiere que</w:t>
      </w:r>
      <w:r w:rsidRPr="0014412C">
        <w:rPr>
          <w:rFonts w:ascii="Arial" w:eastAsia="Calibri" w:hAnsi="Arial" w:cs="Arial"/>
          <w:color w:val="000000" w:themeColor="text1"/>
        </w:rPr>
        <w:t xml:space="preserve"> “[…] por lo menos el cincuenta por ciento (50%) de los empleos del nivel directivo de la persona jurídica sean ejercidos por mujeres y éstas hayan estado vinculadas </w:t>
      </w:r>
      <w:r w:rsidRPr="0014412C">
        <w:rPr>
          <w:rFonts w:ascii="Arial" w:eastAsia="Calibri" w:hAnsi="Arial" w:cs="Arial"/>
          <w:color w:val="000000" w:themeColor="text1"/>
        </w:rPr>
        <w:lastRenderedPageBreak/>
        <w:t xml:space="preserve">laboralmente a la empresa durante al menos el último año anterior a la fecha de cierre del Proceso de Selección en el mismo cargo u otro del mismo nivel […]”. Esta norma sólo aplica cuando los empleos del nivel mencionado están ocupados mayoritariamente por </w:t>
      </w:r>
      <w:r w:rsidRPr="0014412C">
        <w:rPr>
          <w:rFonts w:ascii="Arial" w:eastAsia="Calibri" w:hAnsi="Arial" w:cs="Arial"/>
          <w:i/>
          <w:iCs/>
          <w:lang w:val="es-ES_tradnl"/>
        </w:rPr>
        <w:t>personas naturales femeninas</w:t>
      </w:r>
      <w:r w:rsidRPr="0014412C">
        <w:rPr>
          <w:rFonts w:ascii="Arial" w:eastAsia="Calibri" w:hAnsi="Arial" w:cs="Arial"/>
          <w:lang w:val="es-ES_tradnl"/>
        </w:rPr>
        <w:t>, siempre que estén en marco de una relación laboral por el tiempo definido en el reglamento. Para estos efectos, la norma dispone que a la certificación expedida por el representante legal y el revisor fiscal, cuando exista de acuerdo con los requerimientos de ley, o el contador, “[…] se anexará copia de los respectivos documentos de identidad, copia de los contratos de trabajo o certificación laboral con las funciones, así como el certificado de aportes a seguridad social del último año en el que se demuestren los pagos realizados por el empleador”.</w:t>
      </w:r>
      <w:r w:rsidRPr="0014412C">
        <w:rPr>
          <w:rFonts w:ascii="Arial" w:eastAsia="Calibri" w:hAnsi="Arial" w:cs="Arial"/>
          <w:color w:val="000000" w:themeColor="text1"/>
        </w:rPr>
        <w:t xml:space="preserve"> </w:t>
      </w:r>
    </w:p>
    <w:p w14:paraId="11C7F066"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tab/>
        <w:t xml:space="preserve">Por tanto, los incentivos para empresas y emprendimientos de mujeres no son aplicables para las personas jurídicas donde el más del 50% de los cargos del nivel directivo pertenezcan a </w:t>
      </w:r>
      <w:r w:rsidRPr="0014412C">
        <w:rPr>
          <w:rFonts w:ascii="Arial" w:eastAsia="Calibri" w:hAnsi="Arial" w:cs="Arial"/>
          <w:i/>
          <w:iCs/>
          <w:lang w:val="es-ES_tradnl"/>
        </w:rPr>
        <w:t>personas naturales masculinas</w:t>
      </w:r>
      <w:r w:rsidRPr="0014412C">
        <w:rPr>
          <w:rFonts w:ascii="Arial" w:eastAsia="Calibri" w:hAnsi="Arial" w:cs="Arial"/>
          <w:lang w:val="es-ES_tradnl"/>
        </w:rPr>
        <w:t>. En este caso, es irrelevante que tengan o no una relación laboral o el tiempo en el cargo, pues no se cumpliría con una de las condiciones exigidas en el numeral 2 del artículo 2.2.1.2.4.2.14 del Decreto 1082 de 2015. Si la vinculación se realiza mayoritariamente con</w:t>
      </w:r>
      <w:r w:rsidRPr="0014412C">
        <w:rPr>
          <w:rFonts w:ascii="Arial" w:eastAsia="Calibri" w:hAnsi="Arial" w:cs="Arial"/>
          <w:color w:val="000000" w:themeColor="text1"/>
        </w:rPr>
        <w:t xml:space="preserve"> </w:t>
      </w:r>
      <w:r w:rsidRPr="0014412C">
        <w:rPr>
          <w:rFonts w:ascii="Arial" w:eastAsia="Calibri" w:hAnsi="Arial" w:cs="Arial"/>
          <w:i/>
          <w:iCs/>
          <w:lang w:val="es-ES_tradnl"/>
        </w:rPr>
        <w:t>personas naturales femeninas</w:t>
      </w:r>
      <w:r w:rsidRPr="0014412C">
        <w:rPr>
          <w:rFonts w:ascii="Arial" w:eastAsia="Calibri" w:hAnsi="Arial" w:cs="Arial"/>
          <w:lang w:val="es-ES_tradnl"/>
        </w:rPr>
        <w:t xml:space="preserve">, los incentivos tampoco serán aplicables en caso de que sea menor a un año </w:t>
      </w:r>
      <w:r w:rsidRPr="0014412C">
        <w:rPr>
          <w:rFonts w:ascii="Arial" w:eastAsia="Calibri" w:hAnsi="Arial" w:cs="Arial"/>
          <w:color w:val="000000" w:themeColor="text1"/>
        </w:rPr>
        <w:t>anterior a la fecha de cierre del Proceso de Selección o cuando sea en el marco de contratos de prestación de servicios.</w:t>
      </w:r>
    </w:p>
    <w:p w14:paraId="3E5E4362"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tab/>
        <w:t xml:space="preserve">Tratándose del “Formato 12 – Acreditación emprendimiento y empresa de mujeres” de los documentos tipo para los procesos de licitación para obras de infraestructura de agua potable y saneamiento básico, la opción 2 indica que “En el siguiente cuadro señalamos de forma detallada la denominación de los cargos directivos que existen dentro de la persona jurídica, la identificación de las personas que ocuparon o ejercen los cargos del nivel directivo del Proponente y el tiempo de vinculación”. A continuación señala lo siguiente: “Conforme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414BE7A2"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tab/>
        <w:t>El cuadro debe diligenciarse respecto a las personas que, independientemente de su sexo, tienen cargos del nivel directivo. Esto es importante para determinar si el porcentaje mayoritario es ocupado por mujeres. Por lo demás, el formato también señala que “Como soporte de esta declaración se anexa copia de (i) los respectivos documentos de identidad, (</w:t>
      </w:r>
      <w:proofErr w:type="spellStart"/>
      <w:r w:rsidRPr="0014412C">
        <w:rPr>
          <w:rFonts w:ascii="Arial" w:eastAsia="Calibri" w:hAnsi="Arial" w:cs="Arial"/>
          <w:color w:val="000000" w:themeColor="text1"/>
        </w:rPr>
        <w:t>ii</w:t>
      </w:r>
      <w:proofErr w:type="spellEnd"/>
      <w:r w:rsidRPr="0014412C">
        <w:rPr>
          <w:rFonts w:ascii="Arial" w:eastAsia="Calibri" w:hAnsi="Arial" w:cs="Arial"/>
          <w:color w:val="000000" w:themeColor="text1"/>
        </w:rPr>
        <w:t>) los contratos de trabajo o certificación laboral con las funciones y (</w:t>
      </w:r>
      <w:proofErr w:type="spellStart"/>
      <w:r w:rsidRPr="0014412C">
        <w:rPr>
          <w:rFonts w:ascii="Arial" w:eastAsia="Calibri" w:hAnsi="Arial" w:cs="Arial"/>
          <w:color w:val="000000" w:themeColor="text1"/>
        </w:rPr>
        <w:t>iii</w:t>
      </w:r>
      <w:proofErr w:type="spellEnd"/>
      <w:r w:rsidRPr="0014412C">
        <w:rPr>
          <w:rFonts w:ascii="Arial" w:eastAsia="Calibri" w:hAnsi="Arial" w:cs="Arial"/>
          <w:color w:val="000000" w:themeColor="text1"/>
        </w:rPr>
        <w:t>) el certificado de aportes al Sistema de Seguridad Social del último año en el que se demuestren los pagos realizados por el empleador, en relación con cada una de las personas que conforman el nivel directivo del Proponente”.</w:t>
      </w:r>
    </w:p>
    <w:p w14:paraId="1802144F"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lastRenderedPageBreak/>
        <w:tab/>
        <w:t xml:space="preserve">Como se explicó </w:t>
      </w:r>
      <w:r w:rsidRPr="0014412C">
        <w:rPr>
          <w:rFonts w:ascii="Arial" w:eastAsia="Calibri" w:hAnsi="Arial" w:cs="Arial"/>
          <w:i/>
          <w:iCs/>
          <w:color w:val="000000" w:themeColor="text1"/>
        </w:rPr>
        <w:t>ut supra</w:t>
      </w:r>
      <w:r w:rsidRPr="0014412C">
        <w:rPr>
          <w:rFonts w:ascii="Arial" w:eastAsia="Calibri" w:hAnsi="Arial" w:cs="Arial"/>
          <w:color w:val="000000" w:themeColor="text1"/>
        </w:rPr>
        <w:t xml:space="preserve">, el cumplimiento de este requisito se valida fundamentalmente respecto a las mujeres que participan mayoritariamente en la dirección de la empresa conforme al porcentaje señalado. Esto en la medida que requieren vinculación laboral con la empresa durante al menos el último año anterior a la fecha de cierre del Proceso de Selección. Sin embargo, en la medida que los hombres no son destinatarios de las condiciones habilitantes y de los puntajes adicionales del artículo 2.2.1.2.4.2.15 del Decreto 1082 de 2015, es indiferente la forma y el tiempo de vinculación. </w:t>
      </w:r>
    </w:p>
    <w:p w14:paraId="22D1E81A" w14:textId="77777777" w:rsidR="00430959" w:rsidRPr="0014412C" w:rsidRDefault="00430959" w:rsidP="00430959">
      <w:pPr>
        <w:spacing w:after="0" w:line="276" w:lineRule="auto"/>
        <w:ind w:firstLine="708"/>
        <w:jc w:val="both"/>
        <w:rPr>
          <w:rFonts w:ascii="Arial" w:eastAsia="Calibri" w:hAnsi="Arial" w:cs="Arial"/>
          <w:color w:val="000000" w:themeColor="text1"/>
        </w:rPr>
      </w:pPr>
      <w:r w:rsidRPr="0014412C">
        <w:rPr>
          <w:rFonts w:ascii="Arial" w:eastAsia="Calibri" w:hAnsi="Arial" w:cs="Arial"/>
          <w:color w:val="000000" w:themeColor="text1"/>
        </w:rPr>
        <w:t xml:space="preserve">Por tanto, </w:t>
      </w:r>
      <w:r w:rsidRPr="0014412C">
        <w:rPr>
          <w:rFonts w:ascii="Arial" w:eastAsia="Calibri" w:hAnsi="Arial" w:cs="Arial"/>
          <w:lang w:val="es-ES_tradnl"/>
        </w:rPr>
        <w:t>siempre que</w:t>
      </w:r>
      <w:r w:rsidRPr="0014412C">
        <w:rPr>
          <w:rFonts w:ascii="Arial" w:eastAsia="Calibri" w:hAnsi="Arial" w:cs="Arial"/>
          <w:color w:val="000000" w:themeColor="text1"/>
        </w:rPr>
        <w:t xml:space="preserv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 habrá lugar a los incentivos para el proponente. Lo anterior al margen de que los cargos ejercidos minoritariamente por hombres sean contratados a través de prestación de servicios, caso en el cual cotizan como independientes al sistema de seguridad social. En esta perspectiva, los documentos tipo recogen de manera armónica lo previsto en el Decreto 1082 del 2015, modificado por el Decreto 1860 de 2021.</w:t>
      </w:r>
    </w:p>
    <w:p w14:paraId="69C1F945" w14:textId="77777777" w:rsidR="00430959" w:rsidRPr="0014412C" w:rsidRDefault="00430959" w:rsidP="00430959">
      <w:pPr>
        <w:spacing w:after="0" w:line="276" w:lineRule="auto"/>
        <w:ind w:firstLine="708"/>
        <w:jc w:val="both"/>
        <w:rPr>
          <w:rFonts w:ascii="Arial" w:eastAsia="Calibri" w:hAnsi="Arial" w:cs="Arial"/>
          <w:color w:val="000000" w:themeColor="text1"/>
        </w:rPr>
      </w:pPr>
      <w:r w:rsidRPr="0014412C">
        <w:rPr>
          <w:rFonts w:ascii="Arial" w:eastAsia="Calibri" w:hAnsi="Arial" w:cs="Arial"/>
          <w:color w:val="000000" w:themeColor="text1"/>
        </w:rPr>
        <w:t xml:space="preserve"> </w:t>
      </w:r>
    </w:p>
    <w:p w14:paraId="5184C560" w14:textId="77777777" w:rsidR="00430959" w:rsidRPr="0014412C" w:rsidRDefault="00430959" w:rsidP="00430959">
      <w:pPr>
        <w:tabs>
          <w:tab w:val="left" w:pos="426"/>
        </w:tabs>
        <w:spacing w:after="0"/>
        <w:jc w:val="both"/>
        <w:rPr>
          <w:rFonts w:ascii="Arial" w:eastAsia="Calibri" w:hAnsi="Arial" w:cs="Arial"/>
          <w:b/>
          <w:lang w:val="es-ES_tradnl"/>
        </w:rPr>
      </w:pPr>
      <w:r w:rsidRPr="0014412C">
        <w:rPr>
          <w:rFonts w:ascii="Arial" w:eastAsia="Calibri" w:hAnsi="Arial" w:cs="Arial"/>
          <w:b/>
          <w:lang w:val="es-ES_tradnl"/>
        </w:rPr>
        <w:t xml:space="preserve">2.3. </w:t>
      </w:r>
      <w:bookmarkStart w:id="16" w:name="_Hlk139902345"/>
      <w:r w:rsidRPr="0014412C">
        <w:rPr>
          <w:rFonts w:ascii="Arial" w:eastAsia="Calibri" w:hAnsi="Arial" w:cs="Arial"/>
          <w:b/>
          <w:lang w:val="es-ES_tradnl"/>
        </w:rPr>
        <w:t>Capacidad residual como requisito habilitante</w:t>
      </w:r>
      <w:bookmarkEnd w:id="16"/>
      <w:r w:rsidRPr="0014412C">
        <w:rPr>
          <w:rFonts w:ascii="Arial" w:eastAsia="Calibri" w:hAnsi="Arial" w:cs="Arial"/>
          <w:b/>
          <w:lang w:val="es-ES_tradnl"/>
        </w:rPr>
        <w:t>: Saldo de Contratos en Ejecución –SCE–</w:t>
      </w:r>
    </w:p>
    <w:p w14:paraId="6D94D0A2" w14:textId="77777777" w:rsidR="00430959" w:rsidRPr="0014412C" w:rsidRDefault="00430959" w:rsidP="00430959">
      <w:pPr>
        <w:spacing w:after="0"/>
        <w:ind w:right="709"/>
        <w:jc w:val="both"/>
        <w:rPr>
          <w:rFonts w:ascii="Arial" w:eastAsia="Calibri" w:hAnsi="Arial" w:cs="Arial"/>
          <w:lang w:val="es-ES_tradnl"/>
        </w:rPr>
      </w:pPr>
    </w:p>
    <w:p w14:paraId="0114D21D" w14:textId="77777777" w:rsidR="00430959" w:rsidRPr="0014412C" w:rsidRDefault="00430959" w:rsidP="00430959">
      <w:pPr>
        <w:spacing w:line="276" w:lineRule="auto"/>
        <w:jc w:val="both"/>
        <w:rPr>
          <w:rFonts w:ascii="Arial" w:hAnsi="Arial" w:cs="Arial"/>
          <w:color w:val="000000" w:themeColor="text1"/>
          <w:lang w:val="es-MX"/>
        </w:rPr>
      </w:pPr>
      <w:r w:rsidRPr="0014412C">
        <w:rPr>
          <w:rFonts w:ascii="Arial" w:hAnsi="Arial"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14412C">
        <w:rPr>
          <w:rFonts w:ascii="Arial" w:hAnsi="Arial" w:cs="Arial"/>
          <w:color w:val="000000" w:themeColor="text1"/>
          <w:szCs w:val="20"/>
          <w:vertAlign w:val="superscript"/>
          <w:lang w:val="es-MX"/>
        </w:rPr>
        <w:footnoteReference w:id="11"/>
      </w:r>
      <w:r w:rsidRPr="0014412C">
        <w:rPr>
          <w:rFonts w:ascii="Arial" w:hAnsi="Arial" w:cs="Arial"/>
          <w:color w:val="000000" w:themeColor="text1"/>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14412C">
        <w:rPr>
          <w:rFonts w:ascii="Arial" w:eastAsia="Calibri" w:hAnsi="Arial" w:cs="Arial"/>
          <w:color w:val="000000" w:themeColor="text1"/>
          <w:vertAlign w:val="superscript"/>
          <w:lang w:val="es-MX"/>
        </w:rPr>
        <w:footnoteReference w:id="12"/>
      </w:r>
      <w:r w:rsidRPr="0014412C">
        <w:rPr>
          <w:rFonts w:ascii="Arial" w:hAnsi="Arial" w:cs="Arial"/>
          <w:color w:val="000000" w:themeColor="text1"/>
          <w:lang w:val="es-MX"/>
        </w:rPr>
        <w:t>.</w:t>
      </w:r>
    </w:p>
    <w:p w14:paraId="16CD4E5F" w14:textId="77777777" w:rsidR="00430959" w:rsidRPr="0014412C" w:rsidRDefault="00430959" w:rsidP="00430959">
      <w:pPr>
        <w:spacing w:before="120" w:after="0" w:line="276" w:lineRule="auto"/>
        <w:ind w:firstLine="708"/>
        <w:jc w:val="both"/>
        <w:rPr>
          <w:rFonts w:ascii="Arial" w:hAnsi="Arial" w:cs="Arial"/>
          <w:color w:val="000000" w:themeColor="text1"/>
          <w:lang w:val="es-MX"/>
        </w:rPr>
      </w:pPr>
      <w:r w:rsidRPr="0014412C">
        <w:rPr>
          <w:rFonts w:ascii="Arial" w:hAnsi="Arial"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w:t>
      </w:r>
      <w:r w:rsidRPr="0014412C">
        <w:rPr>
          <w:rFonts w:ascii="Arial" w:hAnsi="Arial" w:cs="Arial"/>
          <w:color w:val="000000" w:themeColor="text1"/>
          <w:lang w:val="es-MX"/>
        </w:rPr>
        <w:lastRenderedPageBreak/>
        <w:t xml:space="preserve">interesados en participar en procesos de selección para contratos de obra deberá ser igual o superior al que la entidad ha establecido en los pliegos de condiciones, en los siguientes términos: </w:t>
      </w:r>
    </w:p>
    <w:p w14:paraId="5D444FF4" w14:textId="77777777" w:rsidR="00430959" w:rsidRPr="0014412C" w:rsidRDefault="00430959" w:rsidP="00430959">
      <w:pPr>
        <w:spacing w:after="0" w:line="276" w:lineRule="auto"/>
        <w:ind w:firstLine="708"/>
        <w:jc w:val="both"/>
        <w:rPr>
          <w:rFonts w:ascii="Arial" w:hAnsi="Arial" w:cs="Arial"/>
          <w:color w:val="000000" w:themeColor="text1"/>
          <w:lang w:val="es-MX"/>
        </w:rPr>
      </w:pPr>
    </w:p>
    <w:p w14:paraId="20BC26E3" w14:textId="77777777" w:rsidR="00430959" w:rsidRPr="0014412C" w:rsidRDefault="00430959" w:rsidP="00430959">
      <w:pPr>
        <w:spacing w:after="120" w:line="240" w:lineRule="auto"/>
        <w:ind w:left="709" w:right="709"/>
        <w:jc w:val="both"/>
        <w:rPr>
          <w:rFonts w:ascii="Arial" w:eastAsia="Calibri" w:hAnsi="Arial" w:cs="Arial"/>
          <w:color w:val="000000" w:themeColor="text1"/>
          <w:sz w:val="21"/>
          <w:szCs w:val="21"/>
          <w:lang w:val="es-MX"/>
        </w:rPr>
      </w:pPr>
      <w:r w:rsidRPr="0014412C">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D2C8929" w14:textId="77777777" w:rsidR="00430959" w:rsidRPr="0014412C" w:rsidRDefault="00430959" w:rsidP="00430959">
      <w:pPr>
        <w:spacing w:after="0" w:line="240" w:lineRule="auto"/>
        <w:ind w:left="708" w:right="709"/>
        <w:jc w:val="both"/>
        <w:rPr>
          <w:rFonts w:ascii="Arial" w:eastAsia="Calibri" w:hAnsi="Arial" w:cs="Arial"/>
          <w:color w:val="000000" w:themeColor="text1"/>
          <w:sz w:val="21"/>
          <w:szCs w:val="21"/>
          <w:lang w:val="es-MX"/>
        </w:rPr>
      </w:pPr>
      <w:r w:rsidRPr="0014412C">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096DAA9" w14:textId="77777777" w:rsidR="00430959" w:rsidRPr="0014412C" w:rsidRDefault="00430959" w:rsidP="00430959">
      <w:pPr>
        <w:spacing w:after="0" w:line="276" w:lineRule="auto"/>
        <w:ind w:right="709"/>
        <w:jc w:val="both"/>
        <w:rPr>
          <w:rFonts w:ascii="Arial" w:eastAsia="Calibri" w:hAnsi="Arial" w:cs="Arial"/>
          <w:color w:val="000000" w:themeColor="text1"/>
          <w:lang w:val="es-MX"/>
        </w:rPr>
      </w:pPr>
    </w:p>
    <w:p w14:paraId="164F6D79" w14:textId="77777777" w:rsidR="00430959" w:rsidRPr="0014412C" w:rsidRDefault="00430959" w:rsidP="00430959">
      <w:pPr>
        <w:spacing w:line="276" w:lineRule="auto"/>
        <w:ind w:firstLine="709"/>
        <w:jc w:val="both"/>
        <w:rPr>
          <w:rFonts w:ascii="Arial" w:eastAsia="Calibri" w:hAnsi="Arial" w:cs="Arial"/>
          <w:color w:val="000000" w:themeColor="text1"/>
        </w:rPr>
      </w:pPr>
      <w:r w:rsidRPr="0014412C">
        <w:rPr>
          <w:rFonts w:ascii="Arial" w:eastAsia="Calibri" w:hAnsi="Arial" w:cs="Arial"/>
          <w:color w:val="000000" w:themeColor="text1"/>
          <w:lang w:val="es-MX"/>
        </w:rPr>
        <w:t xml:space="preserve">De acuerdo con </w:t>
      </w:r>
      <w:r w:rsidRPr="0014412C">
        <w:rPr>
          <w:rFonts w:ascii="Arial" w:eastAsia="Calibri" w:hAnsi="Arial" w:cs="Arial"/>
          <w:color w:val="000000" w:themeColor="text1"/>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002779E7" w14:textId="77777777" w:rsidR="00430959" w:rsidRPr="0014412C" w:rsidRDefault="00430959" w:rsidP="00430959">
      <w:pPr>
        <w:spacing w:before="120" w:after="120" w:line="276" w:lineRule="auto"/>
        <w:ind w:firstLine="709"/>
        <w:jc w:val="both"/>
        <w:rPr>
          <w:rFonts w:ascii="Arial" w:eastAsia="Calibri" w:hAnsi="Arial" w:cs="Arial"/>
          <w:color w:val="000000" w:themeColor="text1"/>
          <w:lang w:val="es-MX"/>
        </w:rPr>
      </w:pPr>
      <w:r w:rsidRPr="0014412C">
        <w:rPr>
          <w:rFonts w:ascii="Arial" w:eastAsia="Calibri" w:hAnsi="Arial" w:cs="Arial"/>
          <w:color w:val="000000" w:themeColor="text1"/>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14412C">
        <w:rPr>
          <w:rFonts w:ascii="Arial" w:eastAsia="Calibri" w:hAnsi="Arial" w:cs="Arial"/>
          <w:color w:val="000000" w:themeColor="text1"/>
          <w:lang w:val="es-MX"/>
        </w:rPr>
        <w:t>ii</w:t>
      </w:r>
      <w:proofErr w:type="spellEnd"/>
      <w:r w:rsidRPr="0014412C">
        <w:rPr>
          <w:rFonts w:ascii="Arial" w:eastAsia="Calibri" w:hAnsi="Arial" w:cs="Arial"/>
          <w:color w:val="000000" w:themeColor="text1"/>
          <w:lang w:val="es-MX"/>
        </w:rPr>
        <w:t xml:space="preserve">) Capacidad Financiera –CF–, </w:t>
      </w:r>
      <w:proofErr w:type="spellStart"/>
      <w:r w:rsidRPr="0014412C">
        <w:rPr>
          <w:rFonts w:ascii="Arial" w:eastAsia="Calibri" w:hAnsi="Arial" w:cs="Arial"/>
          <w:color w:val="000000" w:themeColor="text1"/>
          <w:lang w:val="es-MX"/>
        </w:rPr>
        <w:t>iii</w:t>
      </w:r>
      <w:proofErr w:type="spellEnd"/>
      <w:r w:rsidRPr="0014412C">
        <w:rPr>
          <w:rFonts w:ascii="Arial" w:eastAsia="Calibri" w:hAnsi="Arial" w:cs="Arial"/>
          <w:color w:val="000000" w:themeColor="text1"/>
          <w:lang w:val="es-MX"/>
        </w:rPr>
        <w:t xml:space="preserve">) Capacidad Técnica –CT–, </w:t>
      </w:r>
      <w:proofErr w:type="spellStart"/>
      <w:r w:rsidRPr="0014412C">
        <w:rPr>
          <w:rFonts w:ascii="Arial" w:eastAsia="Calibri" w:hAnsi="Arial" w:cs="Arial"/>
          <w:color w:val="000000" w:themeColor="text1"/>
          <w:lang w:val="es-MX"/>
        </w:rPr>
        <w:t>iv</w:t>
      </w:r>
      <w:proofErr w:type="spellEnd"/>
      <w:r w:rsidRPr="0014412C">
        <w:rPr>
          <w:rFonts w:ascii="Arial" w:eastAsia="Calibri" w:hAnsi="Arial" w:cs="Arial"/>
          <w:color w:val="000000" w:themeColor="text1"/>
          <w:lang w:val="es-MX"/>
        </w:rPr>
        <w:t>) Capacidad de Organización y v) los Saldos de los Contratos en Ejecución –SCE–</w:t>
      </w:r>
    </w:p>
    <w:p w14:paraId="057C3637" w14:textId="77777777" w:rsidR="00430959" w:rsidRPr="0014412C" w:rsidRDefault="00430959" w:rsidP="00430959">
      <w:pPr>
        <w:spacing w:before="120" w:after="120" w:line="276" w:lineRule="auto"/>
        <w:ind w:firstLine="709"/>
        <w:jc w:val="both"/>
        <w:rPr>
          <w:rFonts w:ascii="Arial" w:hAnsi="Arial" w:cs="Arial"/>
          <w:szCs w:val="20"/>
          <w:lang w:val="es-MX"/>
        </w:rPr>
      </w:pPr>
      <w:r w:rsidRPr="0014412C">
        <w:rPr>
          <w:rFonts w:ascii="Arial" w:eastAsia="Calibri" w:hAnsi="Arial" w:cs="Arial"/>
          <w:color w:val="000000" w:themeColor="text1"/>
          <w:lang w:val="es-MX"/>
        </w:rPr>
        <w:t xml:space="preserve">De igual manera, </w:t>
      </w:r>
      <w:r w:rsidRPr="0014412C">
        <w:rPr>
          <w:rFonts w:ascii="Arial" w:hAnsi="Arial" w:cs="Arial"/>
          <w:szCs w:val="20"/>
          <w:lang w:val="es-MX"/>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14412C">
        <w:rPr>
          <w:rFonts w:ascii="Arial" w:hAnsi="Arial" w:cs="Arial"/>
          <w:szCs w:val="20"/>
          <w:lang w:val="es-MX"/>
        </w:rPr>
        <w:t>ii</w:t>
      </w:r>
      <w:proofErr w:type="spellEnd"/>
      <w:r w:rsidRPr="0014412C">
        <w:rPr>
          <w:rFonts w:ascii="Arial" w:hAnsi="Arial" w:cs="Arial"/>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14412C">
        <w:rPr>
          <w:rFonts w:ascii="Arial" w:hAnsi="Arial" w:cs="Arial"/>
          <w:szCs w:val="20"/>
          <w:lang w:val="es-MX"/>
        </w:rPr>
        <w:t>iii</w:t>
      </w:r>
      <w:proofErr w:type="spellEnd"/>
      <w:r w:rsidRPr="0014412C">
        <w:rPr>
          <w:rFonts w:ascii="Arial" w:hAnsi="Arial" w:cs="Arial"/>
          <w:szCs w:val="20"/>
          <w:lang w:val="es-MX"/>
        </w:rPr>
        <w:t>) el balance general auditado del año inmediatamente anterior y estado de resultados auditado del año en que haya obtenido el mayor ingreso operacional en los últimos cinco (5) años</w:t>
      </w:r>
      <w:r w:rsidRPr="0014412C">
        <w:rPr>
          <w:rFonts w:ascii="Arial" w:hAnsi="Arial" w:cs="Arial"/>
          <w:szCs w:val="20"/>
          <w:vertAlign w:val="superscript"/>
          <w:lang w:val="es-MX"/>
        </w:rPr>
        <w:footnoteReference w:id="13"/>
      </w:r>
      <w:r w:rsidRPr="0014412C">
        <w:rPr>
          <w:rFonts w:ascii="Arial" w:hAnsi="Arial" w:cs="Arial"/>
          <w:szCs w:val="20"/>
          <w:lang w:val="es-MX"/>
        </w:rPr>
        <w:t xml:space="preserve">. </w:t>
      </w:r>
    </w:p>
    <w:p w14:paraId="09387E4E" w14:textId="77777777" w:rsidR="00430959" w:rsidRPr="0014412C" w:rsidRDefault="00430959" w:rsidP="00430959">
      <w:pPr>
        <w:spacing w:before="120" w:after="120" w:line="276" w:lineRule="auto"/>
        <w:ind w:firstLine="709"/>
        <w:jc w:val="both"/>
        <w:rPr>
          <w:rFonts w:ascii="Arial" w:eastAsia="Calibri" w:hAnsi="Arial" w:cs="Arial"/>
          <w:bCs/>
          <w:color w:val="000000" w:themeColor="text1"/>
        </w:rPr>
      </w:pPr>
      <w:r w:rsidRPr="0014412C">
        <w:rPr>
          <w:rFonts w:ascii="Arial" w:hAnsi="Arial" w:cs="Arial"/>
          <w:color w:val="000000" w:themeColor="text1"/>
          <w:lang w:val="es-MX"/>
        </w:rPr>
        <w:lastRenderedPageBreak/>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5752192A" w14:textId="77777777" w:rsidR="00430959" w:rsidRPr="0014412C" w:rsidRDefault="00430959" w:rsidP="00430959">
      <w:pPr>
        <w:spacing w:line="276" w:lineRule="auto"/>
        <w:ind w:firstLine="709"/>
        <w:jc w:val="both"/>
        <w:rPr>
          <w:rFonts w:ascii="Arial" w:eastAsia="Calibri" w:hAnsi="Arial" w:cs="Arial"/>
          <w:bCs/>
          <w:color w:val="000000" w:themeColor="text1"/>
        </w:rPr>
      </w:pPr>
      <w:r w:rsidRPr="0014412C">
        <w:rPr>
          <w:rFonts w:ascii="Arial" w:eastAsia="Calibri" w:hAnsi="Arial" w:cs="Arial"/>
          <w:bCs/>
          <w:color w:val="000000" w:themeColor="text1"/>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039C34F8" w14:textId="77777777" w:rsidR="00430959" w:rsidRPr="0014412C" w:rsidRDefault="00430959" w:rsidP="00430959">
      <w:pPr>
        <w:spacing w:before="120" w:line="276" w:lineRule="auto"/>
        <w:ind w:firstLine="709"/>
        <w:jc w:val="both"/>
        <w:rPr>
          <w:rFonts w:ascii="Arial" w:eastAsia="Calibri" w:hAnsi="Arial" w:cs="Arial"/>
          <w:bCs/>
          <w:color w:val="000000" w:themeColor="text1"/>
        </w:rPr>
      </w:pPr>
      <w:r w:rsidRPr="0014412C">
        <w:rPr>
          <w:rFonts w:ascii="Arial" w:eastAsia="Calibri" w:hAnsi="Arial" w:cs="Arial"/>
          <w:bCs/>
          <w:color w:val="000000" w:themeColor="text1"/>
        </w:rPr>
        <w:t xml:space="preserve">En cuanto al segundo aspecto, sobre la validación de </w:t>
      </w:r>
      <w:bookmarkStart w:id="17" w:name="_Hlk68683272"/>
      <w:r w:rsidRPr="0014412C">
        <w:rPr>
          <w:rFonts w:ascii="Arial" w:eastAsia="Calibri" w:hAnsi="Arial" w:cs="Arial"/>
          <w:bCs/>
          <w:color w:val="000000" w:themeColor="text1"/>
        </w:rPr>
        <w:t>que cada proponente cumpla con la CRPC</w:t>
      </w:r>
      <w:bookmarkEnd w:id="17"/>
      <w:r w:rsidRPr="0014412C">
        <w:rPr>
          <w:rFonts w:ascii="Arial" w:eastAsia="Calibri" w:hAnsi="Arial" w:cs="Arial"/>
          <w:bCs/>
          <w:color w:val="000000" w:themeColor="text1"/>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14412C">
        <w:rPr>
          <w:rFonts w:ascii="Arial" w:eastAsia="Calibri" w:hAnsi="Arial" w:cs="Arial"/>
          <w:bCs/>
          <w:color w:val="000000" w:themeColor="text1"/>
        </w:rPr>
        <w:t>ii</w:t>
      </w:r>
      <w:proofErr w:type="spellEnd"/>
      <w:r w:rsidRPr="0014412C">
        <w:rPr>
          <w:rFonts w:ascii="Arial" w:eastAsia="Calibri" w:hAnsi="Arial" w:cs="Arial"/>
          <w:bCs/>
          <w:color w:val="000000" w:themeColor="text1"/>
        </w:rPr>
        <w:t xml:space="preserve">) capacidad financiera “CF”; </w:t>
      </w:r>
      <w:proofErr w:type="spellStart"/>
      <w:r w:rsidRPr="0014412C">
        <w:rPr>
          <w:rFonts w:ascii="Arial" w:eastAsia="Calibri" w:hAnsi="Arial" w:cs="Arial"/>
          <w:bCs/>
          <w:color w:val="000000" w:themeColor="text1"/>
        </w:rPr>
        <w:t>iii</w:t>
      </w:r>
      <w:proofErr w:type="spellEnd"/>
      <w:r w:rsidRPr="0014412C">
        <w:rPr>
          <w:rFonts w:ascii="Arial" w:eastAsia="Calibri" w:hAnsi="Arial" w:cs="Arial"/>
          <w:bCs/>
          <w:color w:val="000000" w:themeColor="text1"/>
        </w:rPr>
        <w:t xml:space="preserve">) capacidad técnica “CT”, </w:t>
      </w:r>
      <w:proofErr w:type="spellStart"/>
      <w:r w:rsidRPr="0014412C">
        <w:rPr>
          <w:rFonts w:ascii="Arial" w:eastAsia="Calibri" w:hAnsi="Arial" w:cs="Arial"/>
          <w:bCs/>
          <w:color w:val="000000" w:themeColor="text1"/>
        </w:rPr>
        <w:t>iv</w:t>
      </w:r>
      <w:proofErr w:type="spellEnd"/>
      <w:r w:rsidRPr="0014412C">
        <w:rPr>
          <w:rFonts w:ascii="Arial" w:eastAsia="Calibri" w:hAnsi="Arial" w:cs="Arial"/>
          <w:bCs/>
          <w:color w:val="000000" w:themeColor="text1"/>
        </w:rPr>
        <w:t>) capacidad de organización “CO”; y v) los saldos de los contratos en ejecución “SCE”, según la siguiente formula:</w:t>
      </w:r>
    </w:p>
    <w:p w14:paraId="1AA8BBA7" w14:textId="77777777" w:rsidR="00430959" w:rsidRPr="0014412C" w:rsidRDefault="00430959" w:rsidP="00430959">
      <w:pPr>
        <w:spacing w:line="276" w:lineRule="auto"/>
        <w:ind w:firstLine="709"/>
        <w:jc w:val="both"/>
        <w:rPr>
          <w:rFonts w:ascii="Arial" w:eastAsia="Calibri" w:hAnsi="Arial" w:cs="Arial"/>
          <w:bCs/>
          <w:color w:val="000000" w:themeColor="text1"/>
        </w:rPr>
      </w:pPr>
      <w:r w:rsidRPr="0014412C">
        <w:rPr>
          <w:rFonts w:ascii="Arial" w:eastAsia="Calibri" w:hAnsi="Arial" w:cs="Arial"/>
          <w:bCs/>
          <w:noProof/>
          <w:color w:val="000000" w:themeColor="text1"/>
        </w:rPr>
        <w:drawing>
          <wp:anchor distT="0" distB="0" distL="0" distR="0" simplePos="0" relativeHeight="251659264" behindDoc="0" locked="0" layoutInCell="1" allowOverlap="1" wp14:anchorId="4DA6F3A5" wp14:editId="18DDD58A">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1"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5633B9ED" w14:textId="77777777" w:rsidR="00430959" w:rsidRPr="0014412C" w:rsidRDefault="00430959" w:rsidP="00430959">
      <w:pPr>
        <w:spacing w:line="276" w:lineRule="auto"/>
        <w:jc w:val="both"/>
        <w:rPr>
          <w:rFonts w:ascii="Arial" w:eastAsia="Calibri" w:hAnsi="Arial" w:cs="Arial"/>
          <w:bCs/>
          <w:color w:val="000000" w:themeColor="text1"/>
          <w:lang w:val="es-MX"/>
        </w:rPr>
      </w:pPr>
    </w:p>
    <w:p w14:paraId="1970A526" w14:textId="77777777" w:rsidR="00430959" w:rsidRPr="0014412C" w:rsidRDefault="00430959" w:rsidP="00430959">
      <w:pPr>
        <w:spacing w:after="0" w:line="276" w:lineRule="auto"/>
        <w:ind w:firstLine="709"/>
        <w:jc w:val="both"/>
        <w:rPr>
          <w:rFonts w:ascii="Arial" w:hAnsi="Arial" w:cs="Arial"/>
          <w:i/>
          <w:iCs/>
        </w:rPr>
      </w:pPr>
      <w:r w:rsidRPr="0014412C">
        <w:rPr>
          <w:rFonts w:ascii="Arial" w:eastAsia="Calibri" w:hAnsi="Arial" w:cs="Arial"/>
          <w:bCs/>
          <w:color w:val="000000" w:themeColor="text1"/>
          <w:lang w:val="es-MX"/>
        </w:rPr>
        <w:t xml:space="preserve">Particularmente, </w:t>
      </w:r>
      <w:bookmarkStart w:id="18" w:name="_Hlk100139879"/>
      <w:r w:rsidRPr="0014412C">
        <w:rPr>
          <w:rFonts w:ascii="Arial" w:eastAsia="Calibri" w:hAnsi="Arial" w:cs="Arial"/>
          <w:bCs/>
          <w:color w:val="000000" w:themeColor="text1"/>
          <w:lang w:val="es-MX"/>
        </w:rPr>
        <w:t xml:space="preserve">respecto del factor de saldos de los contratos en ejecución </w:t>
      </w:r>
      <w:r w:rsidRPr="0014412C">
        <w:rPr>
          <w:rFonts w:ascii="Arial" w:eastAsia="Calibri" w:hAnsi="Arial" w:cs="Arial"/>
          <w:bCs/>
          <w:color w:val="000000" w:themeColor="text1"/>
        </w:rPr>
        <w:t>“SCE”,</w:t>
      </w:r>
      <w:r w:rsidRPr="0014412C">
        <w:rPr>
          <w:rFonts w:ascii="Arial" w:hAnsi="Arial" w:cs="Arial"/>
        </w:rPr>
        <w:t xml:space="preserve"> es necesario tener en cuenta que la Guía para Determinar y Verificar la Capacidad Residual del Proponente en los Procesos de Contratación de Obra Pública</w:t>
      </w:r>
      <w:r w:rsidRPr="0014412C">
        <w:rPr>
          <w:rFonts w:ascii="Arial" w:hAnsi="Arial" w:cs="Arial"/>
          <w:i/>
          <w:iCs/>
        </w:rPr>
        <w:t xml:space="preserve">, </w:t>
      </w:r>
      <w:r w:rsidRPr="0014412C">
        <w:rPr>
          <w:rFonts w:ascii="Arial" w:hAnsi="Arial" w:cs="Arial"/>
        </w:rPr>
        <w:t xml:space="preserve">define a este factor </w:t>
      </w:r>
      <w:r w:rsidRPr="0014412C">
        <w:rPr>
          <w:rFonts w:ascii="Arial" w:eastAsia="Calibri" w:hAnsi="Arial" w:cs="Arial"/>
          <w:bCs/>
          <w:color w:val="000000" w:themeColor="text1"/>
        </w:rPr>
        <w:t>como “la suma de los montos por ejecutar de los contratos en ejecución durante los 12 meses siguientes”</w:t>
      </w:r>
      <w:bookmarkEnd w:id="18"/>
      <w:r w:rsidRPr="0014412C">
        <w:rPr>
          <w:rFonts w:ascii="Arial" w:eastAsia="Calibri" w:hAnsi="Arial" w:cs="Arial"/>
          <w:bCs/>
          <w:color w:val="000000" w:themeColor="text1"/>
        </w:rPr>
        <w:t>. Asimismo, define los</w:t>
      </w:r>
      <w:r w:rsidRPr="0014412C">
        <w:rPr>
          <w:rFonts w:ascii="Arial" w:hAnsi="Arial" w:cs="Arial"/>
        </w:rPr>
        <w:t xml:space="preserve"> </w:t>
      </w:r>
      <w:bookmarkStart w:id="19" w:name="_Hlk78819022"/>
      <w:r w:rsidRPr="0014412C">
        <w:rPr>
          <w:rFonts w:ascii="Arial" w:hAnsi="Arial" w:cs="Arial"/>
          <w:i/>
          <w:iCs/>
        </w:rPr>
        <w:t>Contratos en Ejecución</w:t>
      </w:r>
      <w:r w:rsidRPr="0014412C">
        <w:rPr>
          <w:rFonts w:ascii="Arial" w:hAnsi="Arial" w:cs="Arial"/>
        </w:rPr>
        <w:t xml:space="preserve"> </w:t>
      </w:r>
      <w:bookmarkEnd w:id="19"/>
      <w:r w:rsidRPr="0014412C">
        <w:rPr>
          <w:rFonts w:ascii="Arial" w:hAnsi="Arial" w:cs="Arial"/>
        </w:rPr>
        <w:t xml:space="preserve">de la siguiente manera: </w:t>
      </w:r>
      <w:r w:rsidRPr="0014412C">
        <w:rPr>
          <w:rFonts w:ascii="Arial" w:hAnsi="Arial" w:cs="Arial"/>
          <w:i/>
          <w:iCs/>
        </w:rPr>
        <w:t xml:space="preserve"> </w:t>
      </w:r>
    </w:p>
    <w:p w14:paraId="117C5370" w14:textId="77777777" w:rsidR="00430959" w:rsidRPr="0014412C" w:rsidRDefault="00430959" w:rsidP="00430959">
      <w:pPr>
        <w:spacing w:after="0" w:line="276" w:lineRule="auto"/>
        <w:ind w:firstLine="709"/>
        <w:jc w:val="both"/>
        <w:rPr>
          <w:rFonts w:ascii="Arial" w:hAnsi="Arial" w:cs="Arial"/>
        </w:rPr>
      </w:pPr>
    </w:p>
    <w:p w14:paraId="69999EBE" w14:textId="77777777" w:rsidR="00430959" w:rsidRPr="0014412C" w:rsidRDefault="00430959" w:rsidP="00430959">
      <w:pPr>
        <w:spacing w:after="0" w:line="240" w:lineRule="auto"/>
        <w:ind w:left="709" w:right="709"/>
        <w:jc w:val="both"/>
        <w:rPr>
          <w:rFonts w:ascii="Arial" w:hAnsi="Arial" w:cs="Arial"/>
          <w:sz w:val="21"/>
          <w:szCs w:val="21"/>
        </w:rPr>
      </w:pPr>
      <w:r w:rsidRPr="0014412C">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456BBB8F" w14:textId="77777777" w:rsidR="00430959" w:rsidRPr="0014412C" w:rsidRDefault="00430959" w:rsidP="00430959">
      <w:pPr>
        <w:spacing w:after="0" w:line="276" w:lineRule="auto"/>
        <w:ind w:right="709"/>
        <w:jc w:val="both"/>
        <w:rPr>
          <w:rFonts w:ascii="Arial" w:hAnsi="Arial" w:cs="Arial"/>
        </w:rPr>
      </w:pPr>
    </w:p>
    <w:p w14:paraId="5107434D" w14:textId="77777777" w:rsidR="00430959" w:rsidRPr="0014412C" w:rsidRDefault="00430959" w:rsidP="00430959">
      <w:pPr>
        <w:spacing w:after="0" w:line="276" w:lineRule="auto"/>
        <w:ind w:firstLine="709"/>
        <w:jc w:val="both"/>
        <w:rPr>
          <w:rFonts w:ascii="Arial" w:hAnsi="Arial" w:cs="Arial"/>
          <w:szCs w:val="20"/>
          <w:lang w:val="es-MX"/>
        </w:rPr>
      </w:pPr>
      <w:bookmarkStart w:id="20" w:name="_Hlk100139912"/>
      <w:r w:rsidRPr="0014412C">
        <w:rPr>
          <w:rFonts w:ascii="Arial" w:hAnsi="Arial" w:cs="Arial"/>
        </w:rPr>
        <w:t>En este sentido, los saldos pendientes se derivan de las obligaciones que se encuentran en ejecución al momento de la presentación de la oferta y se refieren a contratos cuyo objeto sea la ejecución de obras civiles</w:t>
      </w:r>
      <w:bookmarkEnd w:id="20"/>
      <w:r w:rsidRPr="0014412C">
        <w:rPr>
          <w:rFonts w:ascii="Arial" w:hAnsi="Arial" w:cs="Arial"/>
        </w:rPr>
        <w:t xml:space="preserve">. </w:t>
      </w:r>
      <w:bookmarkStart w:id="21" w:name="_Hlk100139986"/>
      <w:r w:rsidRPr="0014412C">
        <w:rPr>
          <w:rFonts w:ascii="Arial" w:hAnsi="Arial" w:cs="Arial"/>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14412C">
        <w:rPr>
          <w:rFonts w:ascii="Arial" w:eastAsia="Calibri" w:hAnsi="Arial" w:cs="Arial"/>
          <w:bCs/>
          <w:color w:val="000000" w:themeColor="text1"/>
        </w:rPr>
        <w:t>“CRP”</w:t>
      </w:r>
      <w:r w:rsidRPr="0014412C">
        <w:rPr>
          <w:rFonts w:ascii="Arial" w:hAnsi="Arial" w:cs="Arial"/>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21"/>
      <w:r w:rsidRPr="0014412C">
        <w:rPr>
          <w:rFonts w:ascii="Arial" w:hAnsi="Arial" w:cs="Arial"/>
        </w:rPr>
        <w:t xml:space="preserve">. </w:t>
      </w:r>
      <w:r w:rsidRPr="0014412C">
        <w:rPr>
          <w:rFonts w:ascii="Arial" w:hAnsi="Arial" w:cs="Arial"/>
          <w:szCs w:val="20"/>
          <w:lang w:val="es-MX"/>
        </w:rPr>
        <w:t>Por lo demás, en dicha guía también se precisa que:</w:t>
      </w:r>
    </w:p>
    <w:p w14:paraId="1EADBF76" w14:textId="77777777" w:rsidR="00430959" w:rsidRPr="0014412C" w:rsidRDefault="00430959" w:rsidP="00430959">
      <w:pPr>
        <w:spacing w:after="0" w:line="276" w:lineRule="auto"/>
        <w:ind w:firstLine="709"/>
        <w:jc w:val="both"/>
        <w:rPr>
          <w:rFonts w:ascii="Arial" w:hAnsi="Arial" w:cs="Arial"/>
          <w:szCs w:val="20"/>
          <w:lang w:val="es-MX"/>
        </w:rPr>
      </w:pPr>
    </w:p>
    <w:p w14:paraId="0A96C738" w14:textId="77777777" w:rsidR="00430959" w:rsidRPr="0014412C" w:rsidRDefault="00430959" w:rsidP="00430959">
      <w:pPr>
        <w:spacing w:after="0" w:line="240" w:lineRule="auto"/>
        <w:ind w:left="709" w:right="709"/>
        <w:jc w:val="both"/>
        <w:rPr>
          <w:rFonts w:ascii="Arial" w:hAnsi="Arial" w:cs="Arial"/>
          <w:sz w:val="21"/>
          <w:szCs w:val="21"/>
        </w:rPr>
      </w:pPr>
      <w:bookmarkStart w:id="22" w:name="_Hlk100140013"/>
      <w:r w:rsidRPr="0014412C">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22"/>
      <w:r w:rsidRPr="0014412C">
        <w:rPr>
          <w:rFonts w:ascii="Arial" w:hAnsi="Arial" w:cs="Arial"/>
          <w:sz w:val="21"/>
          <w:szCs w:val="21"/>
        </w:rPr>
        <w:t>.</w:t>
      </w:r>
    </w:p>
    <w:p w14:paraId="55656F68" w14:textId="77777777" w:rsidR="00430959" w:rsidRPr="0014412C" w:rsidRDefault="00430959" w:rsidP="00430959">
      <w:pPr>
        <w:spacing w:after="120" w:line="240" w:lineRule="auto"/>
        <w:ind w:left="709" w:right="709"/>
        <w:jc w:val="both"/>
        <w:rPr>
          <w:rFonts w:ascii="Arial" w:hAnsi="Arial" w:cs="Arial"/>
          <w:sz w:val="21"/>
          <w:szCs w:val="21"/>
          <w:lang w:val="es-MX"/>
        </w:rPr>
      </w:pPr>
      <w:r w:rsidRPr="0014412C">
        <w:rPr>
          <w:rFonts w:ascii="Arial" w:hAnsi="Arial" w:cs="Arial"/>
          <w:sz w:val="21"/>
          <w:szCs w:val="21"/>
          <w:lang w:val="es-MX"/>
        </w:rPr>
        <w:t>[…]</w:t>
      </w:r>
    </w:p>
    <w:p w14:paraId="2F6FCE3C" w14:textId="77777777" w:rsidR="00430959" w:rsidRPr="0014412C" w:rsidRDefault="00430959" w:rsidP="00430959">
      <w:pPr>
        <w:spacing w:after="0" w:line="240" w:lineRule="auto"/>
        <w:ind w:left="709" w:right="709"/>
        <w:jc w:val="both"/>
        <w:rPr>
          <w:rFonts w:ascii="Arial" w:hAnsi="Arial" w:cs="Arial"/>
          <w:sz w:val="21"/>
          <w:szCs w:val="21"/>
        </w:rPr>
      </w:pPr>
      <w:r w:rsidRPr="0014412C">
        <w:rPr>
          <w:rFonts w:ascii="Arial" w:hAnsi="Arial"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14412C">
        <w:rPr>
          <w:rFonts w:ascii="Arial" w:hAnsi="Arial" w:cs="Arial"/>
          <w:sz w:val="21"/>
          <w:szCs w:val="21"/>
        </w:rPr>
        <w:t>. (Énfasis fuera de texto)</w:t>
      </w:r>
    </w:p>
    <w:p w14:paraId="6F47AB63" w14:textId="77777777" w:rsidR="00430959" w:rsidRPr="0014412C" w:rsidRDefault="00430959" w:rsidP="00430959">
      <w:pPr>
        <w:spacing w:after="0" w:line="276" w:lineRule="auto"/>
        <w:ind w:firstLine="709"/>
        <w:jc w:val="both"/>
        <w:rPr>
          <w:rFonts w:ascii="Arial" w:hAnsi="Arial" w:cs="Arial"/>
        </w:rPr>
      </w:pPr>
    </w:p>
    <w:p w14:paraId="2B86DBC5" w14:textId="77777777" w:rsidR="00430959" w:rsidRPr="0014412C" w:rsidRDefault="00430959" w:rsidP="00430959">
      <w:pPr>
        <w:spacing w:after="0" w:line="276" w:lineRule="auto"/>
        <w:ind w:firstLine="709"/>
        <w:jc w:val="both"/>
        <w:rPr>
          <w:rFonts w:ascii="Arial" w:hAnsi="Arial" w:cs="Arial"/>
        </w:rPr>
      </w:pPr>
      <w:r w:rsidRPr="0014412C">
        <w:rPr>
          <w:rFonts w:ascii="Arial" w:hAnsi="Arial" w:cs="Arial"/>
        </w:rPr>
        <w:t xml:space="preserve">De este modo, para acreditar el factor </w:t>
      </w:r>
      <w:r w:rsidRPr="0014412C">
        <w:rPr>
          <w:rFonts w:ascii="Arial" w:eastAsia="Calibri" w:hAnsi="Arial" w:cs="Arial"/>
          <w:bCs/>
          <w:color w:val="000000" w:themeColor="text1"/>
          <w:lang w:val="es-MX"/>
        </w:rPr>
        <w:t xml:space="preserve">saldos de los contratos en ejecución </w:t>
      </w:r>
      <w:r w:rsidRPr="0014412C">
        <w:rPr>
          <w:rFonts w:ascii="Arial" w:eastAsia="Calibri" w:hAnsi="Arial" w:cs="Arial"/>
          <w:bCs/>
          <w:color w:val="000000" w:themeColor="text1"/>
        </w:rPr>
        <w:t>“SCE”</w:t>
      </w:r>
      <w:r w:rsidRPr="0014412C">
        <w:rPr>
          <w:rFonts w:ascii="Arial" w:hAnsi="Arial" w:cs="Arial"/>
        </w:rPr>
        <w:t xml:space="preserve">  como lo establece la Guía, el proponente debe presentar la lista de contratos de obras civiles en ejecución, tanto a nivel nacional como internacional señalando: i) el valor del contrato; </w:t>
      </w:r>
      <w:proofErr w:type="spellStart"/>
      <w:r w:rsidRPr="0014412C">
        <w:rPr>
          <w:rFonts w:ascii="Arial" w:hAnsi="Arial" w:cs="Arial"/>
        </w:rPr>
        <w:t>ii</w:t>
      </w:r>
      <w:proofErr w:type="spellEnd"/>
      <w:r w:rsidRPr="0014412C">
        <w:rPr>
          <w:rFonts w:ascii="Arial" w:hAnsi="Arial" w:cs="Arial"/>
        </w:rPr>
        <w:t xml:space="preserve">) el plazo del contrato en meses; </w:t>
      </w:r>
      <w:proofErr w:type="spellStart"/>
      <w:r w:rsidRPr="0014412C">
        <w:rPr>
          <w:rFonts w:ascii="Arial" w:hAnsi="Arial" w:cs="Arial"/>
        </w:rPr>
        <w:t>iii</w:t>
      </w:r>
      <w:proofErr w:type="spellEnd"/>
      <w:r w:rsidRPr="0014412C">
        <w:rPr>
          <w:rFonts w:ascii="Arial" w:hAnsi="Arial" w:cs="Arial"/>
        </w:rPr>
        <w:t xml:space="preserve">) la fecha de inicio de las obras objeto del contrato (día, mes, año); </w:t>
      </w:r>
      <w:proofErr w:type="spellStart"/>
      <w:r w:rsidRPr="0014412C">
        <w:rPr>
          <w:rFonts w:ascii="Arial" w:hAnsi="Arial" w:cs="Arial"/>
        </w:rPr>
        <w:t>iv</w:t>
      </w:r>
      <w:proofErr w:type="spellEnd"/>
      <w:r w:rsidRPr="0014412C">
        <w:rPr>
          <w:rFonts w:ascii="Arial" w:hAnsi="Arial" w:cs="Arial"/>
        </w:rPr>
        <w:t xml:space="preserve">) si la obra la ejecuta un consorcio, unión temporal o sociedad </w:t>
      </w:r>
      <w:r w:rsidRPr="0014412C">
        <w:rPr>
          <w:rFonts w:ascii="Arial" w:hAnsi="Arial" w:cs="Arial"/>
        </w:rPr>
        <w:lastRenderedPageBreak/>
        <w:t xml:space="preserve">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14412C">
        <w:rPr>
          <w:rFonts w:ascii="Arial" w:eastAsia="Calibri" w:hAnsi="Arial" w:cs="Arial"/>
          <w:bCs/>
          <w:color w:val="000000" w:themeColor="text1"/>
        </w:rPr>
        <w:t xml:space="preserve">“SCE” </w:t>
      </w:r>
      <w:r w:rsidRPr="0014412C">
        <w:rPr>
          <w:rFonts w:ascii="Arial" w:hAnsi="Arial" w:cs="Arial"/>
        </w:rPr>
        <w:t xml:space="preserve">en los documentos tipo de licitación de obra pública para infraestructura de agua potable y saneamiento básico, </w:t>
      </w:r>
      <w:bookmarkStart w:id="23" w:name="_Hlk100140108"/>
      <w:r w:rsidRPr="0014412C">
        <w:rPr>
          <w:rFonts w:ascii="Arial" w:hAnsi="Arial" w:cs="Arial"/>
        </w:rPr>
        <w:t>el literal E del numeral 3.10.2 del documento base</w:t>
      </w:r>
      <w:bookmarkEnd w:id="23"/>
      <w:r w:rsidRPr="0014412C">
        <w:rPr>
          <w:rFonts w:ascii="Arial" w:hAnsi="Arial" w:cs="Arial"/>
        </w:rPr>
        <w:t xml:space="preserve"> señala lo siguiente:</w:t>
      </w:r>
    </w:p>
    <w:p w14:paraId="6FA9D022" w14:textId="77777777" w:rsidR="00430959" w:rsidRPr="0014412C" w:rsidRDefault="00430959" w:rsidP="00430959">
      <w:pPr>
        <w:spacing w:after="0" w:line="276" w:lineRule="auto"/>
        <w:ind w:firstLine="709"/>
        <w:jc w:val="both"/>
        <w:rPr>
          <w:rFonts w:ascii="Arial" w:hAnsi="Arial" w:cs="Arial"/>
        </w:rPr>
      </w:pPr>
    </w:p>
    <w:p w14:paraId="60A291B3" w14:textId="77777777" w:rsidR="00430959" w:rsidRPr="0014412C" w:rsidRDefault="00430959" w:rsidP="00430959">
      <w:pPr>
        <w:spacing w:after="0" w:line="240" w:lineRule="auto"/>
        <w:ind w:left="709" w:right="709"/>
        <w:jc w:val="both"/>
        <w:rPr>
          <w:rFonts w:ascii="Arial" w:eastAsia="Arial," w:hAnsi="Arial" w:cs="Arial"/>
          <w:sz w:val="21"/>
          <w:szCs w:val="21"/>
        </w:rPr>
      </w:pPr>
      <w:r w:rsidRPr="0014412C">
        <w:rPr>
          <w:rFonts w:ascii="Arial" w:hAnsi="Arial" w:cs="Arial"/>
          <w:sz w:val="21"/>
          <w:szCs w:val="21"/>
        </w:rPr>
        <w:t>Para</w:t>
      </w:r>
      <w:r w:rsidRPr="0014412C">
        <w:rPr>
          <w:rFonts w:ascii="Arial" w:eastAsia="Arial," w:hAnsi="Arial" w:cs="Arial"/>
          <w:sz w:val="21"/>
          <w:szCs w:val="21"/>
        </w:rPr>
        <w:t xml:space="preserve"> </w:t>
      </w:r>
      <w:r w:rsidRPr="0014412C">
        <w:rPr>
          <w:rFonts w:ascii="Arial" w:hAnsi="Arial" w:cs="Arial"/>
          <w:sz w:val="21"/>
          <w:szCs w:val="21"/>
        </w:rPr>
        <w:t>acreditar</w:t>
      </w:r>
      <w:r w:rsidRPr="0014412C">
        <w:rPr>
          <w:rFonts w:ascii="Arial" w:eastAsia="Arial," w:hAnsi="Arial" w:cs="Arial"/>
          <w:sz w:val="21"/>
          <w:szCs w:val="21"/>
        </w:rPr>
        <w:t xml:space="preserve"> </w:t>
      </w:r>
      <w:r w:rsidRPr="0014412C">
        <w:rPr>
          <w:rFonts w:ascii="Arial" w:hAnsi="Arial" w:cs="Arial"/>
          <w:sz w:val="21"/>
          <w:szCs w:val="21"/>
        </w:rPr>
        <w:t>el</w:t>
      </w:r>
      <w:r w:rsidRPr="0014412C">
        <w:rPr>
          <w:rFonts w:ascii="Arial" w:eastAsia="Arial," w:hAnsi="Arial" w:cs="Arial"/>
          <w:sz w:val="21"/>
          <w:szCs w:val="21"/>
        </w:rPr>
        <w:t xml:space="preserve"> </w:t>
      </w:r>
      <w:r w:rsidRPr="0014412C">
        <w:rPr>
          <w:rFonts w:ascii="Arial" w:hAnsi="Arial" w:cs="Arial"/>
          <w:sz w:val="21"/>
          <w:szCs w:val="21"/>
        </w:rPr>
        <w:t>factor</w:t>
      </w:r>
      <w:r w:rsidRPr="0014412C">
        <w:rPr>
          <w:rFonts w:ascii="Arial" w:eastAsia="Arial," w:hAnsi="Arial" w:cs="Arial"/>
          <w:sz w:val="21"/>
          <w:szCs w:val="21"/>
        </w:rPr>
        <w:t xml:space="preserve"> </w:t>
      </w:r>
      <w:r w:rsidRPr="0014412C">
        <w:rPr>
          <w:rFonts w:ascii="Arial" w:hAnsi="Arial" w:cs="Arial"/>
          <w:sz w:val="21"/>
          <w:szCs w:val="21"/>
        </w:rPr>
        <w:t>(SCE)</w:t>
      </w:r>
      <w:r w:rsidRPr="0014412C">
        <w:rPr>
          <w:rFonts w:ascii="Arial" w:eastAsia="Arial," w:hAnsi="Arial" w:cs="Arial"/>
          <w:sz w:val="21"/>
          <w:szCs w:val="21"/>
        </w:rPr>
        <w:t xml:space="preserve"> </w:t>
      </w:r>
      <w:r w:rsidRPr="0014412C">
        <w:rPr>
          <w:rFonts w:ascii="Arial" w:hAnsi="Arial" w:cs="Arial"/>
          <w:sz w:val="21"/>
          <w:szCs w:val="21"/>
        </w:rPr>
        <w:t>el</w:t>
      </w:r>
      <w:r w:rsidRPr="0014412C">
        <w:rPr>
          <w:rFonts w:ascii="Arial" w:eastAsia="Arial," w:hAnsi="Arial" w:cs="Arial"/>
          <w:sz w:val="21"/>
          <w:szCs w:val="21"/>
        </w:rPr>
        <w:t xml:space="preserve"> </w:t>
      </w:r>
      <w:r w:rsidRPr="0014412C">
        <w:rPr>
          <w:rFonts w:ascii="Arial" w:hAnsi="Arial" w:cs="Arial"/>
          <w:sz w:val="21"/>
          <w:szCs w:val="21"/>
        </w:rPr>
        <w:t>Proponente</w:t>
      </w:r>
      <w:r w:rsidRPr="0014412C">
        <w:rPr>
          <w:rFonts w:ascii="Arial" w:eastAsia="Arial," w:hAnsi="Arial" w:cs="Arial"/>
          <w:sz w:val="21"/>
          <w:szCs w:val="21"/>
        </w:rPr>
        <w:t xml:space="preserve"> </w:t>
      </w:r>
      <w:r w:rsidRPr="0014412C">
        <w:rPr>
          <w:rFonts w:ascii="Arial" w:hAnsi="Arial" w:cs="Arial"/>
          <w:sz w:val="21"/>
          <w:szCs w:val="21"/>
        </w:rPr>
        <w:t>tendrá</w:t>
      </w:r>
      <w:r w:rsidRPr="0014412C">
        <w:rPr>
          <w:rFonts w:ascii="Arial" w:eastAsia="Arial," w:hAnsi="Arial" w:cs="Arial"/>
          <w:sz w:val="21"/>
          <w:szCs w:val="21"/>
        </w:rPr>
        <w:t xml:space="preserve"> </w:t>
      </w:r>
      <w:r w:rsidRPr="0014412C">
        <w:rPr>
          <w:rFonts w:ascii="Arial" w:hAnsi="Arial" w:cs="Arial"/>
          <w:sz w:val="21"/>
          <w:szCs w:val="21"/>
        </w:rPr>
        <w:t>en</w:t>
      </w:r>
      <w:r w:rsidRPr="0014412C">
        <w:rPr>
          <w:rFonts w:ascii="Arial" w:eastAsia="Arial," w:hAnsi="Arial" w:cs="Arial"/>
          <w:sz w:val="21"/>
          <w:szCs w:val="21"/>
        </w:rPr>
        <w:t xml:space="preserve"> </w:t>
      </w:r>
      <w:r w:rsidRPr="0014412C">
        <w:rPr>
          <w:rFonts w:ascii="Arial" w:hAnsi="Arial" w:cs="Arial"/>
          <w:sz w:val="21"/>
          <w:szCs w:val="21"/>
        </w:rPr>
        <w:t>cuenta</w:t>
      </w:r>
      <w:r w:rsidRPr="0014412C">
        <w:rPr>
          <w:rFonts w:ascii="Arial" w:eastAsia="Arial," w:hAnsi="Arial" w:cs="Arial"/>
          <w:sz w:val="21"/>
          <w:szCs w:val="21"/>
        </w:rPr>
        <w:t xml:space="preserve"> </w:t>
      </w:r>
      <w:r w:rsidRPr="0014412C">
        <w:rPr>
          <w:rFonts w:ascii="Arial" w:hAnsi="Arial" w:cs="Arial"/>
          <w:sz w:val="21"/>
          <w:szCs w:val="21"/>
        </w:rPr>
        <w:t>lo</w:t>
      </w:r>
      <w:r w:rsidRPr="0014412C">
        <w:rPr>
          <w:rFonts w:ascii="Arial" w:eastAsia="Arial," w:hAnsi="Arial" w:cs="Arial"/>
          <w:sz w:val="21"/>
          <w:szCs w:val="21"/>
        </w:rPr>
        <w:t xml:space="preserve"> </w:t>
      </w:r>
      <w:r w:rsidRPr="0014412C">
        <w:rPr>
          <w:rFonts w:ascii="Arial" w:hAnsi="Arial" w:cs="Arial"/>
          <w:sz w:val="21"/>
          <w:szCs w:val="21"/>
        </w:rPr>
        <w:t>siguiente:</w:t>
      </w:r>
      <w:r w:rsidRPr="0014412C">
        <w:rPr>
          <w:rFonts w:ascii="Arial" w:eastAsia="Arial," w:hAnsi="Arial" w:cs="Arial"/>
          <w:sz w:val="21"/>
          <w:szCs w:val="21"/>
        </w:rPr>
        <w:t xml:space="preserve"> </w:t>
      </w:r>
    </w:p>
    <w:p w14:paraId="57BC68DA" w14:textId="77777777" w:rsidR="00430959" w:rsidRPr="0014412C" w:rsidRDefault="00430959" w:rsidP="00430959">
      <w:pPr>
        <w:spacing w:after="120" w:line="240" w:lineRule="auto"/>
        <w:ind w:right="709" w:firstLine="708"/>
        <w:jc w:val="both"/>
        <w:rPr>
          <w:rFonts w:ascii="Arial" w:eastAsia="Arial," w:hAnsi="Arial" w:cs="Arial"/>
          <w:sz w:val="21"/>
          <w:szCs w:val="21"/>
        </w:rPr>
      </w:pPr>
      <w:r w:rsidRPr="0014412C">
        <w:rPr>
          <w:rFonts w:ascii="Arial" w:eastAsia="Arial," w:hAnsi="Arial" w:cs="Arial"/>
          <w:sz w:val="21"/>
          <w:szCs w:val="21"/>
        </w:rPr>
        <w:t>[…]</w:t>
      </w:r>
    </w:p>
    <w:p w14:paraId="720F5174" w14:textId="77777777" w:rsidR="00430959" w:rsidRPr="0014412C" w:rsidRDefault="00430959" w:rsidP="00430959">
      <w:pPr>
        <w:spacing w:after="120" w:line="240" w:lineRule="auto"/>
        <w:ind w:left="709" w:right="709" w:hanging="425"/>
        <w:jc w:val="both"/>
        <w:rPr>
          <w:rFonts w:ascii="Arial" w:eastAsia="Arial" w:hAnsi="Arial" w:cs="Arial"/>
          <w:i/>
          <w:iCs/>
          <w:sz w:val="21"/>
          <w:szCs w:val="21"/>
          <w:lang w:val="es-MX"/>
        </w:rPr>
      </w:pPr>
      <w:r w:rsidRPr="0014412C">
        <w:rPr>
          <w:rFonts w:ascii="Arial" w:eastAsia="Arial" w:hAnsi="Arial" w:cs="Arial"/>
          <w:sz w:val="21"/>
          <w:szCs w:val="21"/>
          <w:lang w:val="es-MX"/>
        </w:rPr>
        <w:t xml:space="preserve">II.    </w:t>
      </w:r>
      <w:r w:rsidRPr="0014412C">
        <w:rPr>
          <w:rFonts w:ascii="Arial" w:eastAsia="Arial" w:hAnsi="Arial" w:cs="Arial"/>
          <w:sz w:val="21"/>
          <w:szCs w:val="21"/>
          <w:lang w:val="es-MX"/>
        </w:rPr>
        <w:tab/>
      </w:r>
      <w:r w:rsidRPr="0014412C">
        <w:rPr>
          <w:rFonts w:ascii="Arial" w:eastAsia="Arial" w:hAnsi="Arial" w:cs="Arial"/>
          <w:i/>
          <w:iCs/>
          <w:sz w:val="21"/>
          <w:szCs w:val="21"/>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w:t>
      </w:r>
      <w:bookmarkStart w:id="24" w:name="_Hlk139891482"/>
      <w:r w:rsidRPr="0014412C">
        <w:rPr>
          <w:rFonts w:ascii="Arial" w:eastAsia="Arial" w:hAnsi="Arial" w:cs="Arial"/>
          <w:i/>
          <w:iCs/>
          <w:sz w:val="21"/>
          <w:szCs w:val="21"/>
          <w:lang w:val="es-MX"/>
        </w:rPr>
        <w:t>No se entenderán como contratos en ejecución los que se encuentren en liquidación</w:t>
      </w:r>
      <w:bookmarkEnd w:id="24"/>
      <w:r w:rsidRPr="0014412C">
        <w:rPr>
          <w:rFonts w:ascii="Arial" w:eastAsia="Arial" w:hAnsi="Arial" w:cs="Arial"/>
          <w:i/>
          <w:iCs/>
          <w:sz w:val="21"/>
          <w:szCs w:val="21"/>
          <w:lang w:val="es-MX"/>
        </w:rPr>
        <w:t>.</w:t>
      </w:r>
    </w:p>
    <w:p w14:paraId="50B4BC4F" w14:textId="77777777" w:rsidR="00430959" w:rsidRPr="0014412C" w:rsidRDefault="00430959" w:rsidP="00430959">
      <w:pPr>
        <w:spacing w:after="120" w:line="240" w:lineRule="auto"/>
        <w:ind w:left="709" w:right="709" w:hanging="425"/>
        <w:jc w:val="both"/>
        <w:rPr>
          <w:rFonts w:ascii="Arial" w:eastAsia="Arial" w:hAnsi="Arial" w:cs="Arial"/>
          <w:sz w:val="21"/>
          <w:szCs w:val="21"/>
          <w:lang w:val="es-MX"/>
        </w:rPr>
      </w:pPr>
      <w:r w:rsidRPr="0014412C">
        <w:rPr>
          <w:rFonts w:ascii="Arial" w:eastAsia="Arial" w:hAnsi="Arial" w:cs="Arial"/>
          <w:sz w:val="21"/>
          <w:szCs w:val="21"/>
          <w:lang w:val="es-MX"/>
        </w:rPr>
        <w:t xml:space="preserve">III.  </w:t>
      </w:r>
      <w:r w:rsidRPr="0014412C">
        <w:rPr>
          <w:rFonts w:ascii="Arial" w:eastAsia="Arial" w:hAnsi="Arial" w:cs="Arial"/>
          <w:sz w:val="21"/>
          <w:szCs w:val="21"/>
          <w:lang w:val="es-MX"/>
        </w:rPr>
        <w:tab/>
        <w:t>Se tendrán en cuenta los contratos de obras civiles en ejecución suscritos por el proponente o por sociedades, consorcios o uniones temporales en los cuales el proponente tenga participación</w:t>
      </w:r>
    </w:p>
    <w:p w14:paraId="40A91591" w14:textId="77777777" w:rsidR="00430959" w:rsidRPr="0014412C" w:rsidRDefault="00430959" w:rsidP="00430959">
      <w:pPr>
        <w:spacing w:after="120" w:line="240" w:lineRule="auto"/>
        <w:ind w:left="709" w:right="709" w:hanging="425"/>
        <w:jc w:val="both"/>
        <w:rPr>
          <w:rFonts w:ascii="Arial" w:eastAsia="Arial" w:hAnsi="Arial" w:cs="Arial"/>
          <w:sz w:val="21"/>
          <w:szCs w:val="21"/>
          <w:lang w:val="es-MX"/>
        </w:rPr>
      </w:pPr>
      <w:r w:rsidRPr="0014412C">
        <w:rPr>
          <w:rFonts w:ascii="Arial" w:eastAsia="Arial" w:hAnsi="Arial" w:cs="Arial"/>
          <w:sz w:val="21"/>
          <w:szCs w:val="21"/>
          <w:lang w:val="es-MX"/>
        </w:rPr>
        <w:t xml:space="preserve">IV.  </w:t>
      </w:r>
      <w:bookmarkStart w:id="25" w:name="_Hlk100140218"/>
      <w:r w:rsidRPr="0014412C">
        <w:rPr>
          <w:rFonts w:ascii="Arial" w:eastAsia="Arial" w:hAnsi="Arial" w:cs="Arial"/>
          <w:sz w:val="21"/>
          <w:szCs w:val="21"/>
          <w:lang w:val="es-MX"/>
        </w:rPr>
        <w:tab/>
        <w:t>Si</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un</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contrato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se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encuentra</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suspendido,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el</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cálculo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del</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(SCE)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de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dicho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contrato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debe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efectuarse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asumiendo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que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lo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que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falta</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por</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ejecutar</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iniciara</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en</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la</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fecha de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presentación</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de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la</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oferta</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del</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Proceso de Contratación.</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Si</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el</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contrato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está</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suspendido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el</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Proponente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debe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informar</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el</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saldo</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pendiente</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por</w:t>
      </w:r>
      <w:r w:rsidRPr="0014412C">
        <w:rPr>
          <w:rFonts w:ascii="Arial" w:eastAsia="Arial," w:hAnsi="Arial" w:cs="Arial"/>
          <w:sz w:val="21"/>
          <w:szCs w:val="21"/>
          <w:lang w:val="es-MX"/>
        </w:rPr>
        <w:t xml:space="preserve"> </w:t>
      </w:r>
      <w:r w:rsidRPr="0014412C">
        <w:rPr>
          <w:rFonts w:ascii="Arial" w:eastAsia="Arial" w:hAnsi="Arial" w:cs="Arial"/>
          <w:sz w:val="21"/>
          <w:szCs w:val="21"/>
          <w:lang w:val="es-MX"/>
        </w:rPr>
        <w:t>ejecutar</w:t>
      </w:r>
      <w:bookmarkEnd w:id="25"/>
      <w:r w:rsidRPr="0014412C">
        <w:rPr>
          <w:rFonts w:ascii="Arial" w:eastAsia="Arial" w:hAnsi="Arial" w:cs="Arial"/>
          <w:sz w:val="21"/>
          <w:szCs w:val="21"/>
          <w:lang w:val="es-MX"/>
        </w:rPr>
        <w:t xml:space="preserve">. </w:t>
      </w:r>
    </w:p>
    <w:p w14:paraId="31AD209C" w14:textId="77777777" w:rsidR="00430959" w:rsidRPr="0014412C" w:rsidRDefault="00430959" w:rsidP="00430959">
      <w:pPr>
        <w:spacing w:after="0" w:line="240" w:lineRule="auto"/>
        <w:ind w:left="709" w:right="709" w:hanging="425"/>
        <w:jc w:val="both"/>
        <w:rPr>
          <w:rFonts w:ascii="Arial" w:eastAsia="Arial" w:hAnsi="Arial" w:cs="Arial"/>
          <w:sz w:val="21"/>
          <w:szCs w:val="21"/>
          <w:lang w:val="es-MX"/>
        </w:rPr>
      </w:pPr>
      <w:r w:rsidRPr="0014412C">
        <w:rPr>
          <w:rFonts w:ascii="Arial" w:eastAsia="Arial" w:hAnsi="Arial" w:cs="Arial"/>
          <w:sz w:val="21"/>
          <w:szCs w:val="21"/>
          <w:lang w:val="es-MX"/>
        </w:rPr>
        <w:t xml:space="preserve">V.  </w:t>
      </w:r>
      <w:bookmarkStart w:id="26" w:name="_Hlk100140164"/>
      <w:r w:rsidRPr="0014412C">
        <w:rPr>
          <w:rFonts w:ascii="Arial" w:eastAsia="Arial" w:hAnsi="Arial" w:cs="Arial"/>
          <w:sz w:val="21"/>
          <w:szCs w:val="21"/>
          <w:lang w:val="es-MX"/>
        </w:rPr>
        <w:tab/>
      </w:r>
      <w:r w:rsidRPr="0014412C">
        <w:rPr>
          <w:rFonts w:ascii="Arial" w:hAnsi="Arial" w:cs="Arial"/>
          <w:sz w:val="21"/>
          <w:szCs w:val="21"/>
        </w:rPr>
        <w:t>El</w:t>
      </w:r>
      <w:r w:rsidRPr="0014412C">
        <w:rPr>
          <w:rFonts w:ascii="Arial" w:eastAsia="Arial" w:hAnsi="Arial" w:cs="Arial"/>
          <w:sz w:val="21"/>
          <w:szCs w:val="21"/>
        </w:rPr>
        <w:t xml:space="preserve"> </w:t>
      </w:r>
      <w:r w:rsidRPr="0014412C">
        <w:rPr>
          <w:rFonts w:ascii="Arial" w:hAnsi="Arial" w:cs="Arial"/>
          <w:sz w:val="21"/>
          <w:szCs w:val="21"/>
        </w:rPr>
        <w:t>cálculo</w:t>
      </w:r>
      <w:r w:rsidRPr="0014412C">
        <w:rPr>
          <w:rFonts w:ascii="Arial" w:eastAsia="Arial" w:hAnsi="Arial" w:cs="Arial"/>
          <w:sz w:val="21"/>
          <w:szCs w:val="21"/>
        </w:rPr>
        <w:t xml:space="preserve"> </w:t>
      </w:r>
      <w:r w:rsidRPr="0014412C">
        <w:rPr>
          <w:rFonts w:ascii="Arial" w:hAnsi="Arial" w:cs="Arial"/>
          <w:sz w:val="21"/>
          <w:szCs w:val="21"/>
        </w:rPr>
        <w:t>del</w:t>
      </w:r>
      <w:r w:rsidRPr="0014412C">
        <w:rPr>
          <w:rFonts w:ascii="Arial" w:eastAsia="Arial" w:hAnsi="Arial" w:cs="Arial"/>
          <w:sz w:val="21"/>
          <w:szCs w:val="21"/>
        </w:rPr>
        <w:t xml:space="preserve"> </w:t>
      </w:r>
      <w:r w:rsidRPr="0014412C">
        <w:rPr>
          <w:rFonts w:ascii="Arial" w:hAnsi="Arial" w:cs="Arial"/>
          <w:sz w:val="21"/>
          <w:szCs w:val="21"/>
        </w:rPr>
        <w:t>factor</w:t>
      </w:r>
      <w:r w:rsidRPr="0014412C">
        <w:rPr>
          <w:rFonts w:ascii="Arial" w:eastAsia="Arial" w:hAnsi="Arial" w:cs="Arial"/>
          <w:sz w:val="21"/>
          <w:szCs w:val="21"/>
        </w:rPr>
        <w:t xml:space="preserve"> </w:t>
      </w:r>
      <w:r w:rsidRPr="0014412C">
        <w:rPr>
          <w:rFonts w:ascii="Arial" w:hAnsi="Arial" w:cs="Arial"/>
          <w:sz w:val="21"/>
          <w:szCs w:val="21"/>
        </w:rPr>
        <w:t>(SCE)</w:t>
      </w:r>
      <w:r w:rsidRPr="0014412C">
        <w:rPr>
          <w:rFonts w:ascii="Arial" w:eastAsia="Arial" w:hAnsi="Arial" w:cs="Arial"/>
          <w:sz w:val="21"/>
          <w:szCs w:val="21"/>
        </w:rPr>
        <w:t xml:space="preserve"> </w:t>
      </w:r>
      <w:r w:rsidRPr="0014412C">
        <w:rPr>
          <w:rFonts w:ascii="Arial" w:hAnsi="Arial" w:cs="Arial"/>
          <w:sz w:val="21"/>
          <w:szCs w:val="21"/>
        </w:rPr>
        <w:t>debe</w:t>
      </w:r>
      <w:r w:rsidRPr="0014412C">
        <w:rPr>
          <w:rFonts w:ascii="Arial" w:eastAsia="Arial" w:hAnsi="Arial" w:cs="Arial"/>
          <w:sz w:val="21"/>
          <w:szCs w:val="21"/>
        </w:rPr>
        <w:t xml:space="preserve"> </w:t>
      </w:r>
      <w:r w:rsidRPr="0014412C">
        <w:rPr>
          <w:rFonts w:ascii="Arial" w:hAnsi="Arial" w:cs="Arial"/>
          <w:sz w:val="21"/>
          <w:szCs w:val="21"/>
        </w:rPr>
        <w:t>hacerse</w:t>
      </w:r>
      <w:r w:rsidRPr="0014412C">
        <w:rPr>
          <w:rFonts w:ascii="Arial" w:eastAsia="Arial" w:hAnsi="Arial" w:cs="Arial"/>
          <w:sz w:val="21"/>
          <w:szCs w:val="21"/>
        </w:rPr>
        <w:t xml:space="preserve"> </w:t>
      </w:r>
      <w:r w:rsidRPr="0014412C">
        <w:rPr>
          <w:rFonts w:ascii="Arial" w:hAnsi="Arial" w:cs="Arial"/>
          <w:sz w:val="21"/>
          <w:szCs w:val="21"/>
        </w:rPr>
        <w:t>linealmente</w:t>
      </w:r>
      <w:r w:rsidRPr="0014412C">
        <w:rPr>
          <w:rFonts w:ascii="Arial" w:eastAsia="Arial" w:hAnsi="Arial" w:cs="Arial"/>
          <w:sz w:val="21"/>
          <w:szCs w:val="21"/>
        </w:rPr>
        <w:t xml:space="preserve"> </w:t>
      </w:r>
      <w:r w:rsidRPr="0014412C">
        <w:rPr>
          <w:rFonts w:ascii="Arial" w:hAnsi="Arial" w:cs="Arial"/>
          <w:sz w:val="21"/>
          <w:szCs w:val="21"/>
        </w:rPr>
        <w:t>calculando</w:t>
      </w:r>
      <w:r w:rsidRPr="0014412C">
        <w:rPr>
          <w:rFonts w:ascii="Arial" w:eastAsia="Arial" w:hAnsi="Arial" w:cs="Arial"/>
          <w:sz w:val="21"/>
          <w:szCs w:val="21"/>
        </w:rPr>
        <w:t xml:space="preserve"> </w:t>
      </w:r>
      <w:r w:rsidRPr="0014412C">
        <w:rPr>
          <w:rFonts w:ascii="Arial" w:hAnsi="Arial" w:cs="Arial"/>
          <w:sz w:val="21"/>
          <w:szCs w:val="21"/>
        </w:rPr>
        <w:t>una</w:t>
      </w:r>
      <w:r w:rsidRPr="0014412C">
        <w:rPr>
          <w:rFonts w:ascii="Arial" w:eastAsia="Arial" w:hAnsi="Arial" w:cs="Arial"/>
          <w:sz w:val="21"/>
          <w:szCs w:val="21"/>
        </w:rPr>
        <w:t xml:space="preserve"> </w:t>
      </w:r>
      <w:r w:rsidRPr="0014412C">
        <w:rPr>
          <w:rFonts w:ascii="Arial" w:hAnsi="Arial" w:cs="Arial"/>
          <w:sz w:val="21"/>
          <w:szCs w:val="21"/>
        </w:rPr>
        <w:t>ejecución</w:t>
      </w:r>
      <w:r w:rsidRPr="0014412C">
        <w:rPr>
          <w:rFonts w:ascii="Arial" w:eastAsia="Arial" w:hAnsi="Arial" w:cs="Arial"/>
          <w:sz w:val="21"/>
          <w:szCs w:val="21"/>
        </w:rPr>
        <w:t xml:space="preserve"> </w:t>
      </w:r>
      <w:r w:rsidRPr="0014412C">
        <w:rPr>
          <w:rFonts w:ascii="Arial" w:hAnsi="Arial" w:cs="Arial"/>
          <w:sz w:val="21"/>
          <w:szCs w:val="21"/>
        </w:rPr>
        <w:t>diaria</w:t>
      </w:r>
      <w:r w:rsidRPr="0014412C">
        <w:rPr>
          <w:rFonts w:ascii="Arial" w:eastAsia="Arial" w:hAnsi="Arial" w:cs="Arial"/>
          <w:sz w:val="21"/>
          <w:szCs w:val="21"/>
        </w:rPr>
        <w:t xml:space="preserve"> </w:t>
      </w:r>
      <w:r w:rsidRPr="0014412C">
        <w:rPr>
          <w:rFonts w:ascii="Arial" w:hAnsi="Arial" w:cs="Arial"/>
          <w:sz w:val="21"/>
          <w:szCs w:val="21"/>
        </w:rPr>
        <w:t>equivalente</w:t>
      </w:r>
      <w:r w:rsidRPr="0014412C">
        <w:rPr>
          <w:rFonts w:ascii="Arial" w:eastAsia="Arial" w:hAnsi="Arial" w:cs="Arial"/>
          <w:sz w:val="21"/>
          <w:szCs w:val="21"/>
        </w:rPr>
        <w:t xml:space="preserve"> </w:t>
      </w:r>
      <w:r w:rsidRPr="0014412C">
        <w:rPr>
          <w:rFonts w:ascii="Arial" w:hAnsi="Arial" w:cs="Arial"/>
          <w:sz w:val="21"/>
          <w:szCs w:val="21"/>
        </w:rPr>
        <w:t>al</w:t>
      </w:r>
      <w:r w:rsidRPr="0014412C">
        <w:rPr>
          <w:rFonts w:ascii="Arial" w:eastAsia="Arial" w:hAnsi="Arial" w:cs="Arial"/>
          <w:sz w:val="21"/>
          <w:szCs w:val="21"/>
        </w:rPr>
        <w:t xml:space="preserve"> </w:t>
      </w:r>
      <w:r w:rsidRPr="0014412C">
        <w:rPr>
          <w:rFonts w:ascii="Arial" w:hAnsi="Arial" w:cs="Arial"/>
          <w:sz w:val="21"/>
          <w:szCs w:val="21"/>
        </w:rPr>
        <w:t>valor</w:t>
      </w:r>
      <w:r w:rsidRPr="0014412C">
        <w:rPr>
          <w:rFonts w:ascii="Arial" w:eastAsia="Arial" w:hAnsi="Arial" w:cs="Arial"/>
          <w:sz w:val="21"/>
          <w:szCs w:val="21"/>
        </w:rPr>
        <w:t xml:space="preserve"> </w:t>
      </w:r>
      <w:r w:rsidRPr="0014412C">
        <w:rPr>
          <w:rFonts w:ascii="Arial" w:hAnsi="Arial" w:cs="Arial"/>
          <w:sz w:val="21"/>
          <w:szCs w:val="21"/>
        </w:rPr>
        <w:t>del</w:t>
      </w:r>
      <w:r w:rsidRPr="0014412C">
        <w:rPr>
          <w:rFonts w:ascii="Arial" w:eastAsia="Arial" w:hAnsi="Arial" w:cs="Arial"/>
          <w:sz w:val="21"/>
          <w:szCs w:val="21"/>
        </w:rPr>
        <w:t xml:space="preserve"> </w:t>
      </w:r>
      <w:r w:rsidRPr="0014412C">
        <w:rPr>
          <w:rFonts w:ascii="Arial" w:hAnsi="Arial" w:cs="Arial"/>
          <w:sz w:val="21"/>
          <w:szCs w:val="21"/>
        </w:rPr>
        <w:t>contrato</w:t>
      </w:r>
      <w:r w:rsidRPr="0014412C">
        <w:rPr>
          <w:rFonts w:ascii="Arial" w:eastAsia="Arial" w:hAnsi="Arial" w:cs="Arial"/>
          <w:sz w:val="21"/>
          <w:szCs w:val="21"/>
        </w:rPr>
        <w:t xml:space="preserve"> </w:t>
      </w:r>
      <w:r w:rsidRPr="0014412C">
        <w:rPr>
          <w:rFonts w:ascii="Arial" w:hAnsi="Arial" w:cs="Arial"/>
          <w:sz w:val="21"/>
          <w:szCs w:val="21"/>
        </w:rPr>
        <w:t>dividido</w:t>
      </w:r>
      <w:r w:rsidRPr="0014412C">
        <w:rPr>
          <w:rFonts w:ascii="Arial" w:eastAsia="Arial" w:hAnsi="Arial" w:cs="Arial"/>
          <w:sz w:val="21"/>
          <w:szCs w:val="21"/>
        </w:rPr>
        <w:t xml:space="preserve"> </w:t>
      </w:r>
      <w:r w:rsidRPr="0014412C">
        <w:rPr>
          <w:rFonts w:ascii="Arial" w:hAnsi="Arial" w:cs="Arial"/>
          <w:sz w:val="21"/>
          <w:szCs w:val="21"/>
        </w:rPr>
        <w:t>por</w:t>
      </w:r>
      <w:r w:rsidRPr="0014412C">
        <w:rPr>
          <w:rFonts w:ascii="Arial" w:eastAsia="Arial" w:hAnsi="Arial" w:cs="Arial"/>
          <w:sz w:val="21"/>
          <w:szCs w:val="21"/>
        </w:rPr>
        <w:t xml:space="preserve"> </w:t>
      </w:r>
      <w:r w:rsidRPr="0014412C">
        <w:rPr>
          <w:rFonts w:ascii="Arial" w:hAnsi="Arial" w:cs="Arial"/>
          <w:sz w:val="21"/>
          <w:szCs w:val="21"/>
        </w:rPr>
        <w:t>el</w:t>
      </w:r>
      <w:r w:rsidRPr="0014412C">
        <w:rPr>
          <w:rFonts w:ascii="Arial" w:eastAsia="Arial" w:hAnsi="Arial" w:cs="Arial"/>
          <w:sz w:val="21"/>
          <w:szCs w:val="21"/>
        </w:rPr>
        <w:t xml:space="preserve"> </w:t>
      </w:r>
      <w:r w:rsidRPr="0014412C">
        <w:rPr>
          <w:rFonts w:ascii="Arial" w:hAnsi="Arial" w:cs="Arial"/>
          <w:sz w:val="21"/>
          <w:szCs w:val="21"/>
        </w:rPr>
        <w:t>plazo</w:t>
      </w:r>
      <w:r w:rsidRPr="0014412C">
        <w:rPr>
          <w:rFonts w:ascii="Arial" w:eastAsia="Arial" w:hAnsi="Arial" w:cs="Arial"/>
          <w:sz w:val="21"/>
          <w:szCs w:val="21"/>
        </w:rPr>
        <w:t xml:space="preserve"> </w:t>
      </w:r>
      <w:r w:rsidRPr="0014412C">
        <w:rPr>
          <w:rFonts w:ascii="Arial" w:hAnsi="Arial" w:cs="Arial"/>
          <w:sz w:val="21"/>
          <w:szCs w:val="21"/>
        </w:rPr>
        <w:t>del</w:t>
      </w:r>
      <w:r w:rsidRPr="0014412C">
        <w:rPr>
          <w:rFonts w:ascii="Arial" w:eastAsia="Arial" w:hAnsi="Arial" w:cs="Arial"/>
          <w:sz w:val="21"/>
          <w:szCs w:val="21"/>
        </w:rPr>
        <w:t xml:space="preserve"> </w:t>
      </w:r>
      <w:r w:rsidRPr="0014412C">
        <w:rPr>
          <w:rFonts w:ascii="Arial" w:hAnsi="Arial" w:cs="Arial"/>
          <w:sz w:val="21"/>
          <w:szCs w:val="21"/>
        </w:rPr>
        <w:t>contrato</w:t>
      </w:r>
      <w:r w:rsidRPr="0014412C">
        <w:rPr>
          <w:rFonts w:ascii="Arial" w:eastAsia="Arial" w:hAnsi="Arial" w:cs="Arial"/>
          <w:sz w:val="21"/>
          <w:szCs w:val="21"/>
        </w:rPr>
        <w:t xml:space="preserve"> </w:t>
      </w:r>
      <w:r w:rsidRPr="0014412C">
        <w:rPr>
          <w:rFonts w:ascii="Arial" w:hAnsi="Arial" w:cs="Arial"/>
          <w:sz w:val="21"/>
          <w:szCs w:val="21"/>
        </w:rPr>
        <w:t>expresado</w:t>
      </w:r>
      <w:r w:rsidRPr="0014412C">
        <w:rPr>
          <w:rFonts w:ascii="Arial" w:eastAsia="Arial" w:hAnsi="Arial" w:cs="Arial"/>
          <w:sz w:val="21"/>
          <w:szCs w:val="21"/>
        </w:rPr>
        <w:t xml:space="preserve"> </w:t>
      </w:r>
      <w:r w:rsidRPr="0014412C">
        <w:rPr>
          <w:rFonts w:ascii="Arial" w:hAnsi="Arial" w:cs="Arial"/>
          <w:sz w:val="21"/>
          <w:szCs w:val="21"/>
        </w:rPr>
        <w:t>en</w:t>
      </w:r>
      <w:r w:rsidRPr="0014412C">
        <w:rPr>
          <w:rFonts w:ascii="Arial" w:eastAsia="Arial" w:hAnsi="Arial" w:cs="Arial"/>
          <w:sz w:val="21"/>
          <w:szCs w:val="21"/>
        </w:rPr>
        <w:t xml:space="preserve"> </w:t>
      </w:r>
      <w:r w:rsidRPr="0014412C">
        <w:rPr>
          <w:rFonts w:ascii="Arial" w:hAnsi="Arial" w:cs="Arial"/>
          <w:sz w:val="21"/>
          <w:szCs w:val="21"/>
        </w:rPr>
        <w:t>días.</w:t>
      </w:r>
      <w:r w:rsidRPr="0014412C">
        <w:rPr>
          <w:rFonts w:ascii="Arial" w:eastAsia="Arial" w:hAnsi="Arial" w:cs="Arial"/>
          <w:sz w:val="21"/>
          <w:szCs w:val="21"/>
        </w:rPr>
        <w:t xml:space="preserve"> </w:t>
      </w:r>
      <w:r w:rsidRPr="0014412C">
        <w:rPr>
          <w:rFonts w:ascii="Arial" w:hAnsi="Arial" w:cs="Arial"/>
          <w:sz w:val="21"/>
          <w:szCs w:val="21"/>
        </w:rPr>
        <w:t>Este</w:t>
      </w:r>
      <w:r w:rsidRPr="0014412C">
        <w:rPr>
          <w:rFonts w:ascii="Arial" w:eastAsia="Arial" w:hAnsi="Arial" w:cs="Arial"/>
          <w:sz w:val="21"/>
          <w:szCs w:val="21"/>
        </w:rPr>
        <w:t xml:space="preserve"> </w:t>
      </w:r>
      <w:r w:rsidRPr="0014412C">
        <w:rPr>
          <w:rFonts w:ascii="Arial" w:hAnsi="Arial" w:cs="Arial"/>
          <w:sz w:val="21"/>
          <w:szCs w:val="21"/>
        </w:rPr>
        <w:t>resultado</w:t>
      </w:r>
      <w:r w:rsidRPr="0014412C">
        <w:rPr>
          <w:rFonts w:ascii="Arial" w:eastAsia="Arial" w:hAnsi="Arial" w:cs="Arial"/>
          <w:sz w:val="21"/>
          <w:szCs w:val="21"/>
        </w:rPr>
        <w:t xml:space="preserve"> </w:t>
      </w:r>
      <w:r w:rsidRPr="0014412C">
        <w:rPr>
          <w:rFonts w:ascii="Arial" w:hAnsi="Arial" w:cs="Arial"/>
          <w:sz w:val="21"/>
          <w:szCs w:val="21"/>
        </w:rPr>
        <w:t>se</w:t>
      </w:r>
      <w:r w:rsidRPr="0014412C">
        <w:rPr>
          <w:rFonts w:ascii="Arial" w:eastAsia="Arial" w:hAnsi="Arial" w:cs="Arial"/>
          <w:sz w:val="21"/>
          <w:szCs w:val="21"/>
        </w:rPr>
        <w:t xml:space="preserve"> </w:t>
      </w:r>
      <w:r w:rsidRPr="0014412C">
        <w:rPr>
          <w:rFonts w:ascii="Arial" w:hAnsi="Arial" w:cs="Arial"/>
          <w:sz w:val="21"/>
          <w:szCs w:val="21"/>
        </w:rPr>
        <w:t>multiplica</w:t>
      </w:r>
      <w:r w:rsidRPr="0014412C">
        <w:rPr>
          <w:rFonts w:ascii="Arial" w:eastAsia="Arial" w:hAnsi="Arial" w:cs="Arial"/>
          <w:sz w:val="21"/>
          <w:szCs w:val="21"/>
        </w:rPr>
        <w:t xml:space="preserve"> </w:t>
      </w:r>
      <w:r w:rsidRPr="0014412C">
        <w:rPr>
          <w:rFonts w:ascii="Arial" w:hAnsi="Arial" w:cs="Arial"/>
          <w:sz w:val="21"/>
          <w:szCs w:val="21"/>
        </w:rPr>
        <w:t>por</w:t>
      </w:r>
      <w:r w:rsidRPr="0014412C">
        <w:rPr>
          <w:rFonts w:ascii="Arial" w:eastAsia="Arial" w:hAnsi="Arial" w:cs="Arial"/>
          <w:sz w:val="21"/>
          <w:szCs w:val="21"/>
        </w:rPr>
        <w:t xml:space="preserve"> </w:t>
      </w:r>
      <w:r w:rsidRPr="0014412C">
        <w:rPr>
          <w:rFonts w:ascii="Arial" w:hAnsi="Arial" w:cs="Arial"/>
          <w:sz w:val="21"/>
          <w:szCs w:val="21"/>
        </w:rPr>
        <w:t>el</w:t>
      </w:r>
      <w:r w:rsidRPr="0014412C">
        <w:rPr>
          <w:rFonts w:ascii="Arial" w:eastAsia="Arial" w:hAnsi="Arial" w:cs="Arial"/>
          <w:sz w:val="21"/>
          <w:szCs w:val="21"/>
        </w:rPr>
        <w:t xml:space="preserve"> </w:t>
      </w:r>
      <w:r w:rsidRPr="0014412C">
        <w:rPr>
          <w:rFonts w:ascii="Arial" w:hAnsi="Arial" w:cs="Arial"/>
          <w:sz w:val="21"/>
          <w:szCs w:val="21"/>
        </w:rPr>
        <w:t>número</w:t>
      </w:r>
      <w:r w:rsidRPr="0014412C">
        <w:rPr>
          <w:rFonts w:ascii="Arial" w:eastAsia="Arial" w:hAnsi="Arial" w:cs="Arial"/>
          <w:sz w:val="21"/>
          <w:szCs w:val="21"/>
        </w:rPr>
        <w:t xml:space="preserve"> </w:t>
      </w:r>
      <w:r w:rsidRPr="0014412C">
        <w:rPr>
          <w:rFonts w:ascii="Arial" w:hAnsi="Arial" w:cs="Arial"/>
          <w:sz w:val="21"/>
          <w:szCs w:val="21"/>
        </w:rPr>
        <w:t>de</w:t>
      </w:r>
      <w:r w:rsidRPr="0014412C">
        <w:rPr>
          <w:rFonts w:ascii="Arial" w:eastAsia="Arial" w:hAnsi="Arial" w:cs="Arial"/>
          <w:sz w:val="21"/>
          <w:szCs w:val="21"/>
        </w:rPr>
        <w:t xml:space="preserve"> </w:t>
      </w:r>
      <w:r w:rsidRPr="0014412C">
        <w:rPr>
          <w:rFonts w:ascii="Arial" w:hAnsi="Arial" w:cs="Arial"/>
          <w:sz w:val="21"/>
          <w:szCs w:val="21"/>
        </w:rPr>
        <w:t>días</w:t>
      </w:r>
      <w:r w:rsidRPr="0014412C">
        <w:rPr>
          <w:rFonts w:ascii="Arial" w:eastAsia="Arial" w:hAnsi="Arial" w:cs="Arial"/>
          <w:sz w:val="21"/>
          <w:szCs w:val="21"/>
        </w:rPr>
        <w:t xml:space="preserve"> </w:t>
      </w:r>
      <w:r w:rsidRPr="0014412C">
        <w:rPr>
          <w:rFonts w:ascii="Arial" w:hAnsi="Arial" w:cs="Arial"/>
          <w:sz w:val="21"/>
          <w:szCs w:val="21"/>
        </w:rPr>
        <w:t>pendientes</w:t>
      </w:r>
      <w:r w:rsidRPr="0014412C">
        <w:rPr>
          <w:rFonts w:ascii="Arial" w:eastAsia="Arial" w:hAnsi="Arial" w:cs="Arial"/>
          <w:sz w:val="21"/>
          <w:szCs w:val="21"/>
        </w:rPr>
        <w:t xml:space="preserve"> </w:t>
      </w:r>
      <w:r w:rsidRPr="0014412C">
        <w:rPr>
          <w:rFonts w:ascii="Arial" w:hAnsi="Arial" w:cs="Arial"/>
          <w:sz w:val="21"/>
          <w:szCs w:val="21"/>
        </w:rPr>
        <w:t>para</w:t>
      </w:r>
      <w:r w:rsidRPr="0014412C">
        <w:rPr>
          <w:rFonts w:ascii="Arial" w:eastAsia="Arial" w:hAnsi="Arial" w:cs="Arial"/>
          <w:sz w:val="21"/>
          <w:szCs w:val="21"/>
        </w:rPr>
        <w:t xml:space="preserve"> </w:t>
      </w:r>
      <w:r w:rsidRPr="0014412C">
        <w:rPr>
          <w:rFonts w:ascii="Arial" w:hAnsi="Arial" w:cs="Arial"/>
          <w:sz w:val="21"/>
          <w:szCs w:val="21"/>
        </w:rPr>
        <w:t>cumplir</w:t>
      </w:r>
      <w:r w:rsidRPr="0014412C">
        <w:rPr>
          <w:rFonts w:ascii="Arial" w:eastAsia="Arial" w:hAnsi="Arial" w:cs="Arial"/>
          <w:sz w:val="21"/>
          <w:szCs w:val="21"/>
        </w:rPr>
        <w:t xml:space="preserve"> </w:t>
      </w:r>
      <w:r w:rsidRPr="0014412C">
        <w:rPr>
          <w:rFonts w:ascii="Arial" w:hAnsi="Arial" w:cs="Arial"/>
          <w:sz w:val="21"/>
          <w:szCs w:val="21"/>
        </w:rPr>
        <w:t>el</w:t>
      </w:r>
      <w:r w:rsidRPr="0014412C">
        <w:rPr>
          <w:rFonts w:ascii="Arial" w:eastAsia="Arial" w:hAnsi="Arial" w:cs="Arial"/>
          <w:sz w:val="21"/>
          <w:szCs w:val="21"/>
        </w:rPr>
        <w:t xml:space="preserve"> </w:t>
      </w:r>
      <w:r w:rsidRPr="0014412C">
        <w:rPr>
          <w:rFonts w:ascii="Arial" w:hAnsi="Arial" w:cs="Arial"/>
          <w:sz w:val="21"/>
          <w:szCs w:val="21"/>
        </w:rPr>
        <w:t>plazo</w:t>
      </w:r>
      <w:r w:rsidRPr="0014412C">
        <w:rPr>
          <w:rFonts w:ascii="Arial" w:eastAsia="Arial" w:hAnsi="Arial" w:cs="Arial"/>
          <w:sz w:val="21"/>
          <w:szCs w:val="21"/>
        </w:rPr>
        <w:t xml:space="preserve"> </w:t>
      </w:r>
      <w:r w:rsidRPr="0014412C">
        <w:rPr>
          <w:rFonts w:ascii="Arial" w:hAnsi="Arial" w:cs="Arial"/>
          <w:sz w:val="21"/>
          <w:szCs w:val="21"/>
        </w:rPr>
        <w:t>del</w:t>
      </w:r>
      <w:r w:rsidRPr="0014412C">
        <w:rPr>
          <w:rFonts w:ascii="Arial" w:eastAsia="Arial" w:hAnsi="Arial" w:cs="Arial"/>
          <w:sz w:val="21"/>
          <w:szCs w:val="21"/>
        </w:rPr>
        <w:t xml:space="preserve"> </w:t>
      </w:r>
      <w:r w:rsidRPr="0014412C">
        <w:rPr>
          <w:rFonts w:ascii="Arial" w:hAnsi="Arial" w:cs="Arial"/>
          <w:sz w:val="21"/>
          <w:szCs w:val="21"/>
        </w:rPr>
        <w:t>contrato</w:t>
      </w:r>
      <w:r w:rsidRPr="0014412C">
        <w:rPr>
          <w:rFonts w:ascii="Arial" w:eastAsia="Arial" w:hAnsi="Arial" w:cs="Arial"/>
          <w:sz w:val="21"/>
          <w:szCs w:val="21"/>
        </w:rPr>
        <w:t xml:space="preserve"> </w:t>
      </w:r>
      <w:r w:rsidRPr="0014412C">
        <w:rPr>
          <w:rFonts w:ascii="Arial" w:hAnsi="Arial" w:cs="Arial"/>
          <w:sz w:val="21"/>
          <w:szCs w:val="21"/>
        </w:rPr>
        <w:t>y</w:t>
      </w:r>
      <w:r w:rsidRPr="0014412C">
        <w:rPr>
          <w:rFonts w:ascii="Arial" w:eastAsia="Arial" w:hAnsi="Arial" w:cs="Arial"/>
          <w:sz w:val="21"/>
          <w:szCs w:val="21"/>
        </w:rPr>
        <w:t xml:space="preserve"> </w:t>
      </w:r>
      <w:r w:rsidRPr="0014412C">
        <w:rPr>
          <w:rFonts w:ascii="Arial" w:hAnsi="Arial" w:cs="Arial"/>
          <w:sz w:val="21"/>
          <w:szCs w:val="21"/>
        </w:rPr>
        <w:t>si</w:t>
      </w:r>
      <w:r w:rsidRPr="0014412C">
        <w:rPr>
          <w:rFonts w:ascii="Arial" w:eastAsia="Arial" w:hAnsi="Arial" w:cs="Arial"/>
          <w:sz w:val="21"/>
          <w:szCs w:val="21"/>
        </w:rPr>
        <w:t xml:space="preserve"> </w:t>
      </w:r>
      <w:r w:rsidRPr="0014412C">
        <w:rPr>
          <w:rFonts w:ascii="Arial" w:hAnsi="Arial" w:cs="Arial"/>
          <w:sz w:val="21"/>
          <w:szCs w:val="21"/>
        </w:rPr>
        <w:t>el</w:t>
      </w:r>
      <w:r w:rsidRPr="0014412C">
        <w:rPr>
          <w:rFonts w:ascii="Arial" w:eastAsia="Arial" w:hAnsi="Arial" w:cs="Arial"/>
          <w:sz w:val="21"/>
          <w:szCs w:val="21"/>
        </w:rPr>
        <w:t xml:space="preserve"> </w:t>
      </w:r>
      <w:r w:rsidRPr="0014412C">
        <w:rPr>
          <w:rFonts w:ascii="Arial" w:hAnsi="Arial" w:cs="Arial"/>
          <w:sz w:val="21"/>
          <w:szCs w:val="21"/>
        </w:rPr>
        <w:t>contrato</w:t>
      </w:r>
      <w:r w:rsidRPr="0014412C">
        <w:rPr>
          <w:rFonts w:ascii="Arial" w:eastAsia="Arial" w:hAnsi="Arial" w:cs="Arial"/>
          <w:sz w:val="21"/>
          <w:szCs w:val="21"/>
        </w:rPr>
        <w:t xml:space="preserve"> </w:t>
      </w:r>
      <w:r w:rsidRPr="0014412C">
        <w:rPr>
          <w:rFonts w:ascii="Arial" w:hAnsi="Arial" w:cs="Arial"/>
          <w:sz w:val="21"/>
          <w:szCs w:val="21"/>
        </w:rPr>
        <w:t>es</w:t>
      </w:r>
      <w:r w:rsidRPr="0014412C">
        <w:rPr>
          <w:rFonts w:ascii="Arial" w:eastAsia="Arial" w:hAnsi="Arial" w:cs="Arial"/>
          <w:sz w:val="21"/>
          <w:szCs w:val="21"/>
        </w:rPr>
        <w:t xml:space="preserve"> </w:t>
      </w:r>
      <w:r w:rsidRPr="0014412C">
        <w:rPr>
          <w:rFonts w:ascii="Arial" w:hAnsi="Arial" w:cs="Arial"/>
          <w:sz w:val="21"/>
          <w:szCs w:val="21"/>
        </w:rPr>
        <w:t>ejecutado</w:t>
      </w:r>
      <w:r w:rsidRPr="0014412C">
        <w:rPr>
          <w:rFonts w:ascii="Arial" w:eastAsia="Arial" w:hAnsi="Arial" w:cs="Arial"/>
          <w:sz w:val="21"/>
          <w:szCs w:val="21"/>
        </w:rPr>
        <w:t xml:space="preserve"> </w:t>
      </w:r>
      <w:r w:rsidRPr="0014412C">
        <w:rPr>
          <w:rFonts w:ascii="Arial" w:hAnsi="Arial" w:cs="Arial"/>
          <w:sz w:val="21"/>
          <w:szCs w:val="21"/>
        </w:rPr>
        <w:t>por</w:t>
      </w:r>
      <w:r w:rsidRPr="0014412C">
        <w:rPr>
          <w:rFonts w:ascii="Arial" w:eastAsia="Arial" w:hAnsi="Arial" w:cs="Arial"/>
          <w:sz w:val="21"/>
          <w:szCs w:val="21"/>
        </w:rPr>
        <w:t xml:space="preserve"> </w:t>
      </w:r>
      <w:r w:rsidRPr="0014412C">
        <w:rPr>
          <w:rFonts w:ascii="Arial" w:hAnsi="Arial" w:cs="Arial"/>
          <w:sz w:val="21"/>
          <w:szCs w:val="21"/>
        </w:rPr>
        <w:t>una estructura plural</w:t>
      </w:r>
      <w:r w:rsidRPr="0014412C">
        <w:rPr>
          <w:rFonts w:ascii="Arial" w:eastAsia="Arial" w:hAnsi="Arial" w:cs="Arial"/>
          <w:sz w:val="21"/>
          <w:szCs w:val="21"/>
        </w:rPr>
        <w:t xml:space="preserve"> </w:t>
      </w:r>
      <w:r w:rsidRPr="0014412C">
        <w:rPr>
          <w:rFonts w:ascii="Arial" w:hAnsi="Arial" w:cs="Arial"/>
          <w:sz w:val="21"/>
          <w:szCs w:val="21"/>
        </w:rPr>
        <w:t>por</w:t>
      </w:r>
      <w:r w:rsidRPr="0014412C">
        <w:rPr>
          <w:rFonts w:ascii="Arial" w:eastAsia="Arial" w:hAnsi="Arial" w:cs="Arial"/>
          <w:sz w:val="21"/>
          <w:szCs w:val="21"/>
        </w:rPr>
        <w:t xml:space="preserve"> </w:t>
      </w:r>
      <w:r w:rsidRPr="0014412C">
        <w:rPr>
          <w:rFonts w:ascii="Arial" w:hAnsi="Arial" w:cs="Arial"/>
          <w:sz w:val="21"/>
          <w:szCs w:val="21"/>
        </w:rPr>
        <w:t>la</w:t>
      </w:r>
      <w:r w:rsidRPr="0014412C">
        <w:rPr>
          <w:rFonts w:ascii="Arial" w:eastAsia="Arial" w:hAnsi="Arial" w:cs="Arial"/>
          <w:sz w:val="21"/>
          <w:szCs w:val="21"/>
        </w:rPr>
        <w:t xml:space="preserve"> </w:t>
      </w:r>
      <w:r w:rsidRPr="0014412C">
        <w:rPr>
          <w:rFonts w:ascii="Arial" w:hAnsi="Arial" w:cs="Arial"/>
          <w:sz w:val="21"/>
          <w:szCs w:val="21"/>
        </w:rPr>
        <w:t>participación</w:t>
      </w:r>
      <w:r w:rsidRPr="0014412C">
        <w:rPr>
          <w:rFonts w:ascii="Arial" w:eastAsia="Arial" w:hAnsi="Arial" w:cs="Arial"/>
          <w:sz w:val="21"/>
          <w:szCs w:val="21"/>
        </w:rPr>
        <w:t xml:space="preserve"> </w:t>
      </w:r>
      <w:r w:rsidRPr="0014412C">
        <w:rPr>
          <w:rFonts w:ascii="Arial" w:hAnsi="Arial" w:cs="Arial"/>
          <w:sz w:val="21"/>
          <w:szCs w:val="21"/>
        </w:rPr>
        <w:t>del</w:t>
      </w:r>
      <w:r w:rsidRPr="0014412C">
        <w:rPr>
          <w:rFonts w:ascii="Arial" w:eastAsia="Arial" w:hAnsi="Arial" w:cs="Arial"/>
          <w:sz w:val="21"/>
          <w:szCs w:val="21"/>
        </w:rPr>
        <w:t xml:space="preserve"> </w:t>
      </w:r>
      <w:r w:rsidRPr="0014412C">
        <w:rPr>
          <w:rFonts w:ascii="Arial" w:hAnsi="Arial" w:cs="Arial"/>
          <w:sz w:val="21"/>
          <w:szCs w:val="21"/>
        </w:rPr>
        <w:t>Proponente</w:t>
      </w:r>
      <w:r w:rsidRPr="0014412C">
        <w:rPr>
          <w:rFonts w:ascii="Arial" w:eastAsia="Arial" w:hAnsi="Arial" w:cs="Arial"/>
          <w:sz w:val="21"/>
          <w:szCs w:val="21"/>
        </w:rPr>
        <w:t xml:space="preserve"> </w:t>
      </w:r>
      <w:r w:rsidRPr="0014412C">
        <w:rPr>
          <w:rFonts w:ascii="Arial" w:hAnsi="Arial" w:cs="Arial"/>
          <w:sz w:val="21"/>
          <w:szCs w:val="21"/>
        </w:rPr>
        <w:t>en</w:t>
      </w:r>
      <w:r w:rsidRPr="0014412C">
        <w:rPr>
          <w:rFonts w:ascii="Arial" w:eastAsia="Arial" w:hAnsi="Arial" w:cs="Arial"/>
          <w:sz w:val="21"/>
          <w:szCs w:val="21"/>
        </w:rPr>
        <w:t xml:space="preserve"> </w:t>
      </w:r>
      <w:r w:rsidRPr="0014412C">
        <w:rPr>
          <w:rFonts w:ascii="Arial" w:hAnsi="Arial" w:cs="Arial"/>
          <w:sz w:val="21"/>
          <w:szCs w:val="21"/>
        </w:rPr>
        <w:t>la respectiva estructura</w:t>
      </w:r>
      <w:bookmarkEnd w:id="26"/>
      <w:r w:rsidRPr="0014412C">
        <w:rPr>
          <w:rFonts w:ascii="Arial" w:hAnsi="Arial" w:cs="Arial"/>
          <w:sz w:val="21"/>
          <w:szCs w:val="21"/>
        </w:rPr>
        <w:t>. (Énfasis fuera de texto)</w:t>
      </w:r>
    </w:p>
    <w:p w14:paraId="59C8DEB5" w14:textId="77777777" w:rsidR="00430959" w:rsidRPr="0014412C" w:rsidRDefault="00430959" w:rsidP="00430959">
      <w:pPr>
        <w:spacing w:after="0" w:line="276" w:lineRule="auto"/>
        <w:contextualSpacing/>
        <w:jc w:val="both"/>
        <w:rPr>
          <w:rFonts w:ascii="Arial" w:eastAsia="Arial," w:hAnsi="Arial" w:cs="Arial"/>
          <w:lang w:val="es-MX"/>
        </w:rPr>
      </w:pPr>
    </w:p>
    <w:p w14:paraId="0A149E06" w14:textId="77777777" w:rsidR="00430959" w:rsidRPr="0014412C" w:rsidRDefault="00430959" w:rsidP="00430959">
      <w:pPr>
        <w:spacing w:after="120" w:line="276" w:lineRule="auto"/>
        <w:ind w:firstLine="708"/>
        <w:jc w:val="both"/>
        <w:rPr>
          <w:rFonts w:ascii="Arial" w:hAnsi="Arial" w:cs="Arial"/>
          <w:szCs w:val="20"/>
          <w:lang w:val="es-MX"/>
        </w:rPr>
      </w:pPr>
      <w:r w:rsidRPr="0014412C">
        <w:rPr>
          <w:rFonts w:ascii="Arial" w:eastAsia="Arial," w:hAnsi="Arial" w:cs="Arial"/>
        </w:rPr>
        <w:t xml:space="preserve">Como se aprecia, los apartados transcritos del documento base están en armonía con la </w:t>
      </w:r>
      <w:r w:rsidRPr="0014412C">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14412C">
        <w:rPr>
          <w:rFonts w:ascii="Arial" w:eastAsia="Calibri" w:hAnsi="Arial" w:cs="Arial"/>
          <w:color w:val="000000" w:themeColor="text1"/>
          <w:lang w:val="es-MX"/>
        </w:rPr>
        <w:t xml:space="preserve">el artículo 2.2.1.1.1.6.4 del Decreto 1082 de 2015, en virtud del cual, para efectos de </w:t>
      </w:r>
      <w:r w:rsidRPr="0014412C">
        <w:rPr>
          <w:rFonts w:ascii="Arial" w:hAnsi="Arial" w:cs="Arial"/>
          <w:szCs w:val="20"/>
          <w:lang w:val="es-MX"/>
        </w:rPr>
        <w:t xml:space="preserve">acreditar la capacidad residual del proponente, se requiere el listado de contratos de obra civiles en ejecución suscritos con entidades estatales y con entidades privadas. </w:t>
      </w:r>
    </w:p>
    <w:p w14:paraId="53FEFE9B" w14:textId="77777777" w:rsidR="00430959" w:rsidRPr="0014412C" w:rsidRDefault="00430959" w:rsidP="00430959">
      <w:pPr>
        <w:spacing w:after="120" w:line="276" w:lineRule="auto"/>
        <w:ind w:firstLine="709"/>
        <w:jc w:val="both"/>
        <w:rPr>
          <w:rFonts w:ascii="Arial" w:hAnsi="Arial" w:cs="Arial"/>
          <w:szCs w:val="20"/>
          <w:lang w:val="es-MX"/>
        </w:rPr>
      </w:pPr>
      <w:r w:rsidRPr="0014412C">
        <w:rPr>
          <w:rFonts w:ascii="Arial" w:hAnsi="Arial" w:cs="Arial"/>
          <w:szCs w:val="20"/>
          <w:lang w:val="es-MX"/>
        </w:rPr>
        <w:t xml:space="preserve">De acuerdo con el inciso primero del artículo 11 de la Ley 1150 de 2007, “La liquidación de los contratos se hará de mutuo acuerdo dentro del término fijado en los pliegos de condiciones o sus equivalentes, o dentro del que acuerden las partes para el </w:t>
      </w:r>
      <w:r w:rsidRPr="0014412C">
        <w:rPr>
          <w:rFonts w:ascii="Arial" w:hAnsi="Arial" w:cs="Arial"/>
          <w:szCs w:val="20"/>
          <w:lang w:val="es-MX"/>
        </w:rPr>
        <w:lastRenderedPageBreak/>
        <w:t xml:space="preserve">efecto. </w:t>
      </w:r>
      <w:r w:rsidRPr="0014412C">
        <w:rPr>
          <w:rFonts w:ascii="Arial" w:hAnsi="Arial" w:cs="Arial"/>
          <w:i/>
          <w:iCs/>
          <w:szCs w:val="20"/>
          <w:lang w:val="es-MX"/>
        </w:rPr>
        <w:t>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r w:rsidRPr="0014412C">
        <w:rPr>
          <w:rFonts w:ascii="Arial" w:hAnsi="Arial" w:cs="Arial"/>
          <w:szCs w:val="20"/>
          <w:lang w:val="es-MX"/>
        </w:rPr>
        <w:t xml:space="preserve">” (Énfasis fuera de texto). Esto quiere decir que los contratos cuyo plazo de ejecución ha terminado, sea de manera normal o de forma anticipada, entran en liquidación. </w:t>
      </w:r>
    </w:p>
    <w:p w14:paraId="787A6383" w14:textId="77777777" w:rsidR="00430959" w:rsidRPr="0014412C" w:rsidRDefault="00430959" w:rsidP="00430959">
      <w:pPr>
        <w:spacing w:after="0" w:line="276" w:lineRule="auto"/>
        <w:ind w:firstLine="708"/>
        <w:jc w:val="both"/>
        <w:rPr>
          <w:rFonts w:ascii="Arial" w:hAnsi="Arial" w:cs="Arial"/>
        </w:rPr>
      </w:pPr>
      <w:r w:rsidRPr="0014412C">
        <w:rPr>
          <w:rFonts w:ascii="Arial" w:eastAsia="Arial," w:hAnsi="Arial" w:cs="Arial"/>
        </w:rPr>
        <w:t xml:space="preserve">La </w:t>
      </w:r>
      <w:r w:rsidRPr="0014412C">
        <w:rPr>
          <w:rFonts w:ascii="Arial" w:hAnsi="Arial" w:cs="Arial"/>
        </w:rPr>
        <w:t>Guía para Determinar y Verificar la Capacidad Residual del Proponente en los Procesos de Contratación de Obra Pública, en armonía con el numeral II del literal E del numeral 3.10.2 del pliego de condiciones de los documentos tipo de licitación de obra pública para infraestructura de agua potable y saneamiento básico, dispone que “[…] No se entenderán como contratos en ejecución los que se encuentren en liquidación”. Por tanto, los contratos de obra terminados anticipadamente no son objeto de reporte ni verificación para efectos del “Formato 5 - Capacidad Residual”.</w:t>
      </w:r>
    </w:p>
    <w:p w14:paraId="0A488550" w14:textId="77777777" w:rsidR="00430959" w:rsidRPr="0014412C" w:rsidRDefault="00430959" w:rsidP="00430959">
      <w:pPr>
        <w:tabs>
          <w:tab w:val="left" w:pos="709"/>
        </w:tabs>
        <w:spacing w:after="0" w:line="276" w:lineRule="auto"/>
        <w:jc w:val="both"/>
        <w:rPr>
          <w:rFonts w:ascii="Arial" w:eastAsia="Calibri" w:hAnsi="Arial" w:cs="Arial"/>
          <w:bCs/>
          <w:color w:val="000000" w:themeColor="text1"/>
        </w:rPr>
      </w:pPr>
    </w:p>
    <w:p w14:paraId="1B2F171F" w14:textId="77777777" w:rsidR="00430959" w:rsidRPr="0014412C" w:rsidRDefault="00430959" w:rsidP="00430959">
      <w:pPr>
        <w:tabs>
          <w:tab w:val="left" w:pos="0"/>
        </w:tabs>
        <w:spacing w:after="0"/>
        <w:jc w:val="both"/>
        <w:rPr>
          <w:rFonts w:ascii="Arial" w:eastAsia="Calibri" w:hAnsi="Arial" w:cs="Arial"/>
          <w:b/>
          <w:color w:val="000000" w:themeColor="text1"/>
          <w:lang w:val="es-ES_tradnl"/>
        </w:rPr>
      </w:pPr>
      <w:r w:rsidRPr="0014412C">
        <w:rPr>
          <w:rFonts w:ascii="Arial" w:eastAsia="Calibri" w:hAnsi="Arial" w:cs="Arial"/>
          <w:b/>
          <w:color w:val="000000" w:themeColor="text1"/>
          <w:lang w:val="es-ES_tradnl"/>
        </w:rPr>
        <w:t>3. Respuestas</w:t>
      </w:r>
    </w:p>
    <w:p w14:paraId="7896B78E" w14:textId="77777777" w:rsidR="00430959" w:rsidRPr="0014412C" w:rsidRDefault="00430959" w:rsidP="00430959">
      <w:pPr>
        <w:spacing w:after="0" w:line="276" w:lineRule="auto"/>
        <w:jc w:val="both"/>
        <w:rPr>
          <w:rFonts w:ascii="Arial" w:hAnsi="Arial" w:cs="Arial"/>
          <w:color w:val="000000" w:themeColor="text1"/>
          <w:lang w:val="es-ES_tradnl"/>
        </w:rPr>
      </w:pPr>
    </w:p>
    <w:p w14:paraId="490CC4BC" w14:textId="77777777" w:rsidR="00430959" w:rsidRPr="0014412C" w:rsidRDefault="00430959" w:rsidP="00430959">
      <w:pPr>
        <w:spacing w:after="0" w:line="240" w:lineRule="auto"/>
        <w:ind w:left="709" w:right="709"/>
        <w:jc w:val="both"/>
        <w:rPr>
          <w:rFonts w:ascii="Arial" w:hAnsi="Arial" w:cs="Arial"/>
          <w:color w:val="000000" w:themeColor="text1"/>
          <w:sz w:val="21"/>
          <w:szCs w:val="21"/>
        </w:rPr>
      </w:pPr>
      <w:r w:rsidRPr="0014412C">
        <w:rPr>
          <w:rFonts w:ascii="Arial" w:hAnsi="Arial" w:cs="Arial"/>
          <w:color w:val="000000" w:themeColor="text1"/>
          <w:sz w:val="21"/>
          <w:szCs w:val="21"/>
          <w:lang w:val="es-ES_tradnl"/>
        </w:rPr>
        <w:t>i) “Dentro de la matriz de experiencia de los pliegos tipo de Infraestructura APSAB se encuentra la opción de solicitar en el literal 2.1: ‘PROYECTOS QUE CORRESPONDAN O HAYAN CONTENIDO ACTIVIDADES DE: CONSTRUCCION DE ALCANTARILLADO (SANITARIO Y/O PLUVIAL Y/O COMBINADO)’. Cuando un proponente cuente con un contrato que haya tenido como objeto ‘Reposición’, ‘Optimización’, ‘Ampliación’, entre otros (diferentes a construcción); teniendo en cuenta que las actividades a ejecutar pueden ser las mismas o muy similares a proyectos de "Construcción", como debe hacer la entidad para evaluar si la experiencia con un objeto como los mencionados es válida para dicha clasificación en la matriz 1 de experiencia”</w:t>
      </w:r>
      <w:r w:rsidRPr="0014412C">
        <w:rPr>
          <w:rFonts w:ascii="Arial" w:hAnsi="Arial" w:cs="Arial"/>
          <w:color w:val="000000" w:themeColor="text1"/>
          <w:sz w:val="21"/>
          <w:szCs w:val="21"/>
        </w:rPr>
        <w:t>.</w:t>
      </w:r>
    </w:p>
    <w:p w14:paraId="09E44DC5" w14:textId="77777777" w:rsidR="00430959" w:rsidRPr="0014412C" w:rsidRDefault="00430959" w:rsidP="00430959">
      <w:pPr>
        <w:spacing w:after="0" w:line="276" w:lineRule="auto"/>
        <w:jc w:val="both"/>
        <w:rPr>
          <w:rFonts w:ascii="Arial" w:hAnsi="Arial" w:cs="Arial"/>
          <w:color w:val="000000" w:themeColor="text1"/>
        </w:rPr>
      </w:pPr>
      <w:r w:rsidRPr="0014412C">
        <w:rPr>
          <w:rFonts w:ascii="Arial" w:hAnsi="Arial" w:cs="Arial"/>
          <w:color w:val="000000" w:themeColor="text1"/>
          <w:sz w:val="21"/>
          <w:szCs w:val="21"/>
        </w:rPr>
        <w:t xml:space="preserve"> </w:t>
      </w:r>
    </w:p>
    <w:p w14:paraId="16884082" w14:textId="77777777" w:rsidR="00430959" w:rsidRPr="0014412C" w:rsidRDefault="00430959" w:rsidP="00430959">
      <w:pPr>
        <w:spacing w:line="276" w:lineRule="auto"/>
        <w:jc w:val="both"/>
        <w:rPr>
          <w:rFonts w:ascii="Arial" w:eastAsia="Calibri" w:hAnsi="Arial" w:cs="Arial"/>
          <w:bCs/>
        </w:rPr>
      </w:pPr>
      <w:bookmarkStart w:id="27" w:name="_Hlk139908265"/>
      <w:r w:rsidRPr="0014412C">
        <w:rPr>
          <w:rFonts w:ascii="Arial" w:eastAsia="Calibri" w:hAnsi="Arial" w:cs="Arial"/>
          <w:bCs/>
        </w:rPr>
        <w:t xml:space="preserve">El numeral 2.1 contempla los proyectos de construcción de alcantarillados sanitarios y/o pluviales y/o combinado (urbanos y/o rurales) y/u obras complementarias. </w:t>
      </w:r>
      <w:r w:rsidRPr="0014412C">
        <w:rPr>
          <w:rFonts w:ascii="Arial" w:eastAsia="Calibri" w:hAnsi="Arial" w:cs="Arial"/>
          <w:color w:val="000000"/>
          <w:lang w:val="es-ES_tradnl" w:eastAsia="en-GB"/>
        </w:rPr>
        <w:t>Para esta actividad se determina como experiencia general que los proyectos correspondan o hayan contenido actividades de construcción de alcantarillado (sanitario y/o pluvial y/o combinado), por lo que gestiones como la reposición, la optimización o la ampliación no sirven para acreditar lo solicitado en la matriz.</w:t>
      </w:r>
      <w:r w:rsidRPr="0014412C">
        <w:rPr>
          <w:rFonts w:ascii="Arial" w:eastAsia="Calibri" w:hAnsi="Arial" w:cs="Arial"/>
          <w:bCs/>
        </w:rPr>
        <w:t xml:space="preserve"> </w:t>
      </w:r>
    </w:p>
    <w:p w14:paraId="041F68B6"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Por el contrario, </w:t>
      </w:r>
      <w:r w:rsidRPr="0014412C">
        <w:rPr>
          <w:rFonts w:ascii="Arial" w:eastAsia="Calibri" w:hAnsi="Arial" w:cs="Arial"/>
          <w:color w:val="000000"/>
          <w:lang w:val="es-ES_tradnl" w:eastAsia="en-GB"/>
        </w:rPr>
        <w:t>la reposición, la optimización o la ampliación</w:t>
      </w:r>
      <w:r w:rsidRPr="0014412C">
        <w:rPr>
          <w:rFonts w:ascii="Arial" w:eastAsia="Calibri" w:hAnsi="Arial" w:cs="Arial"/>
          <w:bCs/>
        </w:rPr>
        <w:t xml:space="preserve"> serían válidas respecto al numeral 2.2 de la matriz de experiencia de los documentos tipo de licitación para obra pública de agua potable y saneamiento básico. Este contempla proyectos de optimización y/o mejoramiento y/o rehabilitación y/o reforzamiento y/o reconstrucción y/o reposición de alcantarillados y/o redes de alcantarillado sanitarios y/o pluviales y/o combinado (urbanos y/o rurales), cuya experiencia general se acredita con proyectos que correspondan o hayan contenido actividades de ampliación y/u optimización y/o </w:t>
      </w:r>
      <w:r w:rsidRPr="0014412C">
        <w:rPr>
          <w:rFonts w:ascii="Arial" w:eastAsia="Calibri" w:hAnsi="Arial" w:cs="Arial"/>
          <w:bCs/>
          <w:i/>
          <w:iCs/>
        </w:rPr>
        <w:t>construcción</w:t>
      </w:r>
      <w:r w:rsidRPr="0014412C">
        <w:rPr>
          <w:rFonts w:ascii="Arial" w:eastAsia="Calibri" w:hAnsi="Arial" w:cs="Arial"/>
          <w:bCs/>
        </w:rPr>
        <w:t xml:space="preserve"> y/o mejoramiento y/o </w:t>
      </w:r>
      <w:r w:rsidRPr="0014412C">
        <w:rPr>
          <w:rFonts w:ascii="Arial" w:eastAsia="Calibri" w:hAnsi="Arial" w:cs="Arial"/>
          <w:bCs/>
        </w:rPr>
        <w:lastRenderedPageBreak/>
        <w:t xml:space="preserve">reposición y/o rehabilitación y/o reforzamiento y/o reconstrucción de alcantarillados (sanitarios y/o pluviales y/o combinado). </w:t>
      </w:r>
    </w:p>
    <w:p w14:paraId="4400CB69"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Sobre este punto,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w:t>
      </w:r>
      <w:r w:rsidRPr="0014412C">
        <w:rPr>
          <w:rFonts w:ascii="Arial" w:eastAsia="Calibri" w:hAnsi="Arial" w:cs="Arial"/>
          <w:bCs/>
          <w:i/>
          <w:iCs/>
        </w:rPr>
        <w:t>ibidem</w:t>
      </w:r>
      <w:r w:rsidRPr="0014412C">
        <w:rPr>
          <w:rFonts w:ascii="Arial" w:eastAsia="Calibri" w:hAnsi="Arial" w:cs="Arial"/>
          <w:bCs/>
        </w:rPr>
        <w:t xml:space="preserve">, también prescribe que “Las palabras técnicas de toda ciencia o arte se tomarán en el sentido que les den los que profesan la misma ciencia o arte; a menos que aparezca claramente que se han formado en sentido diverso”. Conforme a lo anterior, para analizar la experiencia general señalada en el numeral 2.1 de la Matriz 1 deberán aplicarse estas pautas hermenéuticas, de manera que las palabras allí contenidas se entenderán en su sentido natural y obvio, y las palabras técnicas se tomarán en el sentido que les de la ciencia que la utiliza. </w:t>
      </w:r>
    </w:p>
    <w:p w14:paraId="6D8844F2"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Nótese que la experiencia general solicitada alude concretamente a la “construcción”. Según su significado literal, construcción es “la acción y efecto de construir” y este es definido como “Hacer de nueva planta una obra de arquitectura o ingeniería, un monumento o en general cualquier obra pública”. Así, la construcción de alcantarillado (sanitario y/o pluvial y/o combinado) que trata el numeral 2.1 de la Matriz 1 aplica a toda obra de ingeniería nueva, que para el caso que nos ocupa corresponde a alcantarillados. Por ello, la experiencia a acreditar por parte del proponente debe dar cuenta de la actividad de construcción de estos.</w:t>
      </w:r>
    </w:p>
    <w:p w14:paraId="1FC9F4E6" w14:textId="77777777" w:rsidR="00430959" w:rsidRPr="0014412C" w:rsidRDefault="00430959" w:rsidP="00430959">
      <w:pPr>
        <w:spacing w:before="120" w:line="276" w:lineRule="auto"/>
        <w:ind w:firstLine="709"/>
        <w:jc w:val="both"/>
        <w:rPr>
          <w:rFonts w:ascii="Arial" w:eastAsia="Calibri" w:hAnsi="Arial" w:cs="Arial"/>
          <w:bCs/>
        </w:rPr>
      </w:pPr>
      <w:r w:rsidRPr="0014412C">
        <w:rPr>
          <w:rFonts w:ascii="Arial" w:eastAsia="Calibri" w:hAnsi="Arial" w:cs="Arial"/>
          <w:bCs/>
        </w:rPr>
        <w:t xml:space="preserve">En contraste, la reposición de una infraestructura tiene por objeto remplazar un activo que por sus condiciones ya no es apto para cumplir a cabalidad con su función, bien porque agotó su vida útil o porque no es eficiente en su operación y las condiciones de tecnología evidencian que el activo no es eficiente para la prestación del servicio público domiciliario de que se trate. Además, la optimización es el conjunto de acciones encaminadas a mejorar la capacidad, eficiencia y eficacia de la infraestructura componente del sistema de acueducto, alcantarillado y/o aseo, mediante su intervención parcial o total. Finalmente, Se denomina Ampliación de un sistema al conjunto de acciones y obras requeridas para aumentar su capacidad en una misma área de cobertura. </w:t>
      </w:r>
    </w:p>
    <w:p w14:paraId="21C4CE22" w14:textId="77777777" w:rsidR="00430959" w:rsidRPr="0014412C" w:rsidRDefault="00430959" w:rsidP="00430959">
      <w:pPr>
        <w:spacing w:before="120" w:after="0" w:line="276" w:lineRule="auto"/>
        <w:ind w:firstLine="709"/>
        <w:jc w:val="both"/>
        <w:rPr>
          <w:rFonts w:ascii="Arial" w:eastAsia="Calibri" w:hAnsi="Arial" w:cs="Arial"/>
          <w:bCs/>
        </w:rPr>
      </w:pPr>
      <w:r w:rsidRPr="0014412C">
        <w:rPr>
          <w:rFonts w:ascii="Arial" w:eastAsia="Calibri" w:hAnsi="Arial" w:cs="Arial"/>
          <w:bCs/>
        </w:rPr>
        <w:t>Desde el punto de vista técnico, la Agencia estima que no es posible acreditar la experiencia general de construcción de la actividad 2.1 con gestiones de reposición, optimización o ampliación como las del numeral 2.2, especialmente, cuando cada una de estas palabras tiene un alcance diferente</w:t>
      </w:r>
      <w:r w:rsidRPr="0014412C">
        <w:rPr>
          <w:rFonts w:ascii="Arial" w:eastAsia="Calibri" w:hAnsi="Arial" w:cs="Arial"/>
          <w:color w:val="000000"/>
          <w:lang w:val="es-ES_tradnl" w:eastAsia="en-GB"/>
        </w:rPr>
        <w:t xml:space="preserve">. Por tanto, estas tres (3) últimas no acreditan la experiencia general para los proyectos </w:t>
      </w:r>
      <w:r w:rsidRPr="0014412C">
        <w:rPr>
          <w:rFonts w:ascii="Arial" w:eastAsia="Calibri" w:hAnsi="Arial" w:cs="Arial"/>
          <w:bCs/>
        </w:rPr>
        <w:t xml:space="preserve">de construcción de alcantarillados sanitarios y/o pluviales y/o combinado (urbanos y/o rurales) y/u obras complementarias.  </w:t>
      </w:r>
    </w:p>
    <w:bookmarkEnd w:id="27"/>
    <w:p w14:paraId="1624B922" w14:textId="77777777" w:rsidR="00430959" w:rsidRPr="0014412C" w:rsidRDefault="00430959" w:rsidP="00430959">
      <w:pPr>
        <w:spacing w:after="0" w:line="276" w:lineRule="auto"/>
        <w:jc w:val="both"/>
        <w:rPr>
          <w:rFonts w:ascii="Arial" w:hAnsi="Arial" w:cs="Arial"/>
          <w:color w:val="000000" w:themeColor="text1"/>
          <w:lang w:val="es-ES_tradnl"/>
        </w:rPr>
      </w:pPr>
    </w:p>
    <w:p w14:paraId="19DF0B78" w14:textId="77777777" w:rsidR="00430959" w:rsidRPr="0014412C" w:rsidRDefault="00430959" w:rsidP="00430959">
      <w:pPr>
        <w:spacing w:after="0" w:line="240" w:lineRule="auto"/>
        <w:ind w:left="709" w:right="709"/>
        <w:jc w:val="both"/>
        <w:rPr>
          <w:rFonts w:ascii="Arial" w:hAnsi="Arial" w:cs="Arial"/>
          <w:color w:val="000000" w:themeColor="text1"/>
          <w:sz w:val="21"/>
          <w:szCs w:val="21"/>
          <w:lang w:val="es-ES_tradnl"/>
        </w:rPr>
      </w:pPr>
      <w:proofErr w:type="spellStart"/>
      <w:r w:rsidRPr="0014412C">
        <w:rPr>
          <w:rFonts w:ascii="Arial" w:hAnsi="Arial" w:cs="Arial"/>
          <w:color w:val="000000" w:themeColor="text1"/>
          <w:sz w:val="21"/>
          <w:szCs w:val="21"/>
          <w:lang w:val="es-ES_tradnl"/>
        </w:rPr>
        <w:lastRenderedPageBreak/>
        <w:t>ii</w:t>
      </w:r>
      <w:proofErr w:type="spellEnd"/>
      <w:r w:rsidRPr="0014412C">
        <w:rPr>
          <w:rFonts w:ascii="Arial" w:hAnsi="Arial" w:cs="Arial"/>
          <w:color w:val="000000" w:themeColor="text1"/>
          <w:sz w:val="21"/>
          <w:szCs w:val="21"/>
          <w:lang w:val="es-ES_tradnl"/>
        </w:rPr>
        <w:t>) “Teniendo en cuenta que el Formato 12 de vinculación de emprendimientos y empresas de mujeres, conforme a su normatividad permite aplicar por este puntaje para proponentes que tienen ‘por lo menos el cincuenta por ciento (50 %) de los empleos del nivel directivo de la persona jurídica han sido ejercidos por mujeres y estas han estado vinculadas laboralmente a la empresa durante al menos el último año anterior a la fecha de cierre del Proceso’, los cuales deben aportar ‘los contratos de trabajo o certificación laboral con las funciones y el certificado de aportes al Sistema de Seguridad Social. Si una empresa, según se evidencia en el certificado de existencia y representación legal, cuenta con representantes legales principales y suplentes hombres, y al actuar en calidad de socios manifiestan que no cuentan con contrato laboral ni se encuentran afiliados al sistema de seguridad social por parte de la empresa, deben ser reportados en dicho formato? En caso de respuesta afirmativa, ya que estos no se encuentran vinculados con contrato laboral ni afiliados, pierde el proponente la oportunidad de aplicar por el respectivo puntaje?”</w:t>
      </w:r>
      <w:r w:rsidRPr="0014412C">
        <w:rPr>
          <w:rFonts w:ascii="Arial" w:hAnsi="Arial" w:cs="Arial"/>
          <w:color w:val="000000" w:themeColor="text1"/>
          <w:sz w:val="21"/>
          <w:szCs w:val="21"/>
        </w:rPr>
        <w:t>.</w:t>
      </w:r>
    </w:p>
    <w:p w14:paraId="1CC7C453" w14:textId="77777777" w:rsidR="00430959" w:rsidRPr="0014412C" w:rsidRDefault="00430959" w:rsidP="00430959">
      <w:pPr>
        <w:spacing w:after="0" w:line="276" w:lineRule="auto"/>
        <w:jc w:val="both"/>
        <w:rPr>
          <w:rFonts w:ascii="Arial" w:hAnsi="Arial" w:cs="Arial"/>
          <w:color w:val="000000" w:themeColor="text1"/>
        </w:rPr>
      </w:pPr>
      <w:r w:rsidRPr="0014412C">
        <w:rPr>
          <w:rFonts w:ascii="Arial" w:hAnsi="Arial" w:cs="Arial"/>
          <w:color w:val="000000" w:themeColor="text1"/>
          <w:sz w:val="21"/>
          <w:szCs w:val="21"/>
        </w:rPr>
        <w:t xml:space="preserve"> </w:t>
      </w:r>
    </w:p>
    <w:p w14:paraId="36C373CD" w14:textId="77777777" w:rsidR="00430959" w:rsidRPr="0014412C" w:rsidRDefault="00430959" w:rsidP="00430959">
      <w:pPr>
        <w:spacing w:after="120" w:line="276" w:lineRule="auto"/>
        <w:jc w:val="both"/>
        <w:rPr>
          <w:rFonts w:ascii="Arial" w:eastAsia="Calibri" w:hAnsi="Arial" w:cs="Arial"/>
          <w:bCs/>
          <w:color w:val="000000"/>
        </w:rPr>
      </w:pPr>
      <w:bookmarkStart w:id="28" w:name="_Hlk139908424"/>
      <w:r w:rsidRPr="0014412C">
        <w:rPr>
          <w:rFonts w:ascii="Arial" w:eastAsia="Calibri" w:hAnsi="Arial" w:cs="Arial"/>
          <w:color w:val="000000" w:themeColor="text1"/>
          <w:lang w:val="es-ES"/>
        </w:rPr>
        <w:t xml:space="preserve">De acuerdo con la interpretación general de las normas del sistema de compras públicas, </w:t>
      </w:r>
      <w:r w:rsidRPr="0014412C">
        <w:rPr>
          <w:rFonts w:ascii="Arial" w:eastAsia="Calibri" w:hAnsi="Arial" w:cs="Arial"/>
          <w:lang w:val="es-ES_tradnl"/>
        </w:rPr>
        <w:t>el numeral 2 del artículo 2.2.1.2.4.2.14 del Decreto 1082 de 2015 requiere que</w:t>
      </w:r>
      <w:r w:rsidRPr="0014412C">
        <w:rPr>
          <w:rFonts w:ascii="Arial" w:eastAsia="Calibri" w:hAnsi="Arial" w:cs="Arial"/>
          <w:color w:val="000000" w:themeColor="text1"/>
        </w:rPr>
        <w:t xml:space="preserv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 Esta norma sólo aplica cuando los empleos del nivel mencionado están ocupados mayoritariamente por </w:t>
      </w:r>
      <w:r w:rsidRPr="0014412C">
        <w:rPr>
          <w:rFonts w:ascii="Arial" w:eastAsia="Calibri" w:hAnsi="Arial" w:cs="Arial"/>
          <w:i/>
          <w:iCs/>
          <w:lang w:val="es-ES_tradnl"/>
        </w:rPr>
        <w:t>personas naturales femeninas</w:t>
      </w:r>
      <w:r w:rsidRPr="0014412C">
        <w:rPr>
          <w:rFonts w:ascii="Arial" w:eastAsia="Calibri" w:hAnsi="Arial" w:cs="Arial"/>
          <w:lang w:val="es-ES_tradnl"/>
        </w:rPr>
        <w:t>, siempre que estén en marco de una relación laboral por el tiempo definido en el reglamento. Para estos efectos, la norma dispone que a la certificación expedida por el representante legal y el revisor fiscal, cuando exista de acuerdo con los requerimientos de ley, o el contador, “[…] se anexará copia de los respectivos documentos de identidad, copia de los contratos de trabajo o certificación laboral con las funciones, así como el certificado de aportes a seguridad social del último año en el que se demuestren los pagos realizados por el empleador”.</w:t>
      </w:r>
      <w:r w:rsidRPr="0014412C">
        <w:rPr>
          <w:rFonts w:ascii="Arial" w:eastAsia="Calibri" w:hAnsi="Arial" w:cs="Arial"/>
          <w:color w:val="000000" w:themeColor="text1"/>
        </w:rPr>
        <w:t xml:space="preserve"> </w:t>
      </w:r>
    </w:p>
    <w:p w14:paraId="033E5C8A"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tab/>
        <w:t xml:space="preserve">Por tanto, los incentivos para empresas y emprendimientos de mujeres no son aplicables para las personas jurídicas donde el más del 50% de los cargos del nivel directivo pertenezcan a </w:t>
      </w:r>
      <w:r w:rsidRPr="0014412C">
        <w:rPr>
          <w:rFonts w:ascii="Arial" w:eastAsia="Calibri" w:hAnsi="Arial" w:cs="Arial"/>
          <w:i/>
          <w:iCs/>
          <w:lang w:val="es-ES_tradnl"/>
        </w:rPr>
        <w:t>personas naturales masculinas</w:t>
      </w:r>
      <w:r w:rsidRPr="0014412C">
        <w:rPr>
          <w:rFonts w:ascii="Arial" w:eastAsia="Calibri" w:hAnsi="Arial" w:cs="Arial"/>
          <w:lang w:val="es-ES_tradnl"/>
        </w:rPr>
        <w:t>. En este caso, es irrelevante que tengan o no una relación laboral o el tiempo en el cargo, pues no se cumpliría con una de las condiciones exigidas en el numeral 2 del artículo 2.2.1.2.4.2.14 del Decreto 1082 de 2015. Si la vinculación se realiza mayoritariamente con</w:t>
      </w:r>
      <w:r w:rsidRPr="0014412C">
        <w:rPr>
          <w:rFonts w:ascii="Arial" w:eastAsia="Calibri" w:hAnsi="Arial" w:cs="Arial"/>
          <w:color w:val="000000" w:themeColor="text1"/>
        </w:rPr>
        <w:t xml:space="preserve"> </w:t>
      </w:r>
      <w:r w:rsidRPr="0014412C">
        <w:rPr>
          <w:rFonts w:ascii="Arial" w:eastAsia="Calibri" w:hAnsi="Arial" w:cs="Arial"/>
          <w:i/>
          <w:iCs/>
          <w:lang w:val="es-ES_tradnl"/>
        </w:rPr>
        <w:t>personas naturales femeninas</w:t>
      </w:r>
      <w:r w:rsidRPr="0014412C">
        <w:rPr>
          <w:rFonts w:ascii="Arial" w:eastAsia="Calibri" w:hAnsi="Arial" w:cs="Arial"/>
          <w:lang w:val="es-ES_tradnl"/>
        </w:rPr>
        <w:t xml:space="preserve">, los incentivos tampoco serán aplicables en caso de que sea menor a un año </w:t>
      </w:r>
      <w:r w:rsidRPr="0014412C">
        <w:rPr>
          <w:rFonts w:ascii="Arial" w:eastAsia="Calibri" w:hAnsi="Arial" w:cs="Arial"/>
          <w:color w:val="000000" w:themeColor="text1"/>
        </w:rPr>
        <w:t>anterior a la fecha de cierre del Proceso de Selección o cuando sea en el marco de contratos de prestación de servicios.</w:t>
      </w:r>
    </w:p>
    <w:p w14:paraId="0A70BE2D"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tab/>
        <w:t xml:space="preserve">Tratándose del “Formato 12 – Acreditación emprendimiento y empresa de mujeres” de los documentos tipo para los procesos de licitación para obras de infraestructura de agua </w:t>
      </w:r>
      <w:r w:rsidRPr="0014412C">
        <w:rPr>
          <w:rFonts w:ascii="Arial" w:eastAsia="Calibri" w:hAnsi="Arial" w:cs="Arial"/>
          <w:color w:val="000000" w:themeColor="text1"/>
        </w:rPr>
        <w:lastRenderedPageBreak/>
        <w:t xml:space="preserve">potable y saneamiento básico, la opción 2 indica que “En el siguiente cuadro señalamos de forma detallada la denominación de los cargos directivos que existen dentro de la persona jurídica, la identificación de las personas que ocuparon o ejercen los cargos del nivel directivo del Proponente y el tiempo de vinculación”. A continuación señala lo siguiente: “Conforme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223C85FD"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tab/>
        <w:t>El cuadro debe diligenciarse respecto a las personas que, independientemente de su sexo, tienen cargos del nivel directivo. Esto es importante para determinar si el porcentaje mayoritario es ocupado por mujeres. Por lo demás, el formato también señala que “Como soporte de esta declaración se anexa copia de (i) los respectivos documentos de identidad, (</w:t>
      </w:r>
      <w:proofErr w:type="spellStart"/>
      <w:r w:rsidRPr="0014412C">
        <w:rPr>
          <w:rFonts w:ascii="Arial" w:eastAsia="Calibri" w:hAnsi="Arial" w:cs="Arial"/>
          <w:color w:val="000000" w:themeColor="text1"/>
        </w:rPr>
        <w:t>ii</w:t>
      </w:r>
      <w:proofErr w:type="spellEnd"/>
      <w:r w:rsidRPr="0014412C">
        <w:rPr>
          <w:rFonts w:ascii="Arial" w:eastAsia="Calibri" w:hAnsi="Arial" w:cs="Arial"/>
          <w:color w:val="000000" w:themeColor="text1"/>
        </w:rPr>
        <w:t>) los contratos de trabajo o certificación laboral con las funciones y (</w:t>
      </w:r>
      <w:proofErr w:type="spellStart"/>
      <w:r w:rsidRPr="0014412C">
        <w:rPr>
          <w:rFonts w:ascii="Arial" w:eastAsia="Calibri" w:hAnsi="Arial" w:cs="Arial"/>
          <w:color w:val="000000" w:themeColor="text1"/>
        </w:rPr>
        <w:t>iii</w:t>
      </w:r>
      <w:proofErr w:type="spellEnd"/>
      <w:r w:rsidRPr="0014412C">
        <w:rPr>
          <w:rFonts w:ascii="Arial" w:eastAsia="Calibri" w:hAnsi="Arial" w:cs="Arial"/>
          <w:color w:val="000000" w:themeColor="text1"/>
        </w:rPr>
        <w:t>) el certificado de aportes al Sistema de Seguridad Social del último año en el que se demuestren los pagos realizados por el empleador, en relación con cada una de las personas que conforman el nivel directivo del Proponente”.</w:t>
      </w:r>
    </w:p>
    <w:p w14:paraId="06ED09E1" w14:textId="77777777" w:rsidR="00430959" w:rsidRPr="0014412C" w:rsidRDefault="00430959" w:rsidP="00430959">
      <w:pPr>
        <w:spacing w:after="120" w:line="276" w:lineRule="auto"/>
        <w:jc w:val="both"/>
        <w:rPr>
          <w:rFonts w:ascii="Arial" w:eastAsia="Calibri" w:hAnsi="Arial" w:cs="Arial"/>
          <w:color w:val="000000" w:themeColor="text1"/>
        </w:rPr>
      </w:pPr>
      <w:r w:rsidRPr="0014412C">
        <w:rPr>
          <w:rFonts w:ascii="Arial" w:eastAsia="Calibri" w:hAnsi="Arial" w:cs="Arial"/>
          <w:color w:val="000000" w:themeColor="text1"/>
        </w:rPr>
        <w:tab/>
        <w:t xml:space="preserve">Como se explicó </w:t>
      </w:r>
      <w:r w:rsidRPr="0014412C">
        <w:rPr>
          <w:rFonts w:ascii="Arial" w:eastAsia="Calibri" w:hAnsi="Arial" w:cs="Arial"/>
          <w:i/>
          <w:iCs/>
          <w:color w:val="000000" w:themeColor="text1"/>
        </w:rPr>
        <w:t>ut supra</w:t>
      </w:r>
      <w:r w:rsidRPr="0014412C">
        <w:rPr>
          <w:rFonts w:ascii="Arial" w:eastAsia="Calibri" w:hAnsi="Arial" w:cs="Arial"/>
          <w:color w:val="000000" w:themeColor="text1"/>
        </w:rPr>
        <w:t xml:space="preserve">, el cumplimiento de este requisito se valida fundamentalmente respecto a las mujeres que participan mayoritariamente en la dirección de la empresa conforme al porcentaje señalado. Esto en la medida que requieren vinculación laboral con la empresa durante al menos el último año anterior a la fecha de cierre del Proceso de Selección. Sin embargo, en la medida que los hombres no son destinatarios de las condiciones habilitantes y de los puntajes adicionales del artículo 2.2.1.2.4.2.15 del Decreto 1082 de 2015, es indiferente la forma y el tiempo de vinculación. </w:t>
      </w:r>
    </w:p>
    <w:p w14:paraId="4EA0B233" w14:textId="77777777" w:rsidR="00430959" w:rsidRPr="0014412C" w:rsidRDefault="00430959" w:rsidP="00430959">
      <w:pPr>
        <w:spacing w:after="0" w:line="276" w:lineRule="auto"/>
        <w:ind w:firstLine="708"/>
        <w:jc w:val="both"/>
        <w:rPr>
          <w:rFonts w:ascii="Arial" w:eastAsia="Calibri" w:hAnsi="Arial" w:cs="Arial"/>
          <w:color w:val="000000" w:themeColor="text1"/>
        </w:rPr>
      </w:pPr>
      <w:r w:rsidRPr="0014412C">
        <w:rPr>
          <w:rFonts w:ascii="Arial" w:eastAsia="Calibri" w:hAnsi="Arial" w:cs="Arial"/>
          <w:color w:val="000000" w:themeColor="text1"/>
        </w:rPr>
        <w:t xml:space="preserve">Por tanto, </w:t>
      </w:r>
      <w:r w:rsidRPr="0014412C">
        <w:rPr>
          <w:rFonts w:ascii="Arial" w:eastAsia="Calibri" w:hAnsi="Arial" w:cs="Arial"/>
          <w:lang w:val="es-ES_tradnl"/>
        </w:rPr>
        <w:t>siempre que</w:t>
      </w:r>
      <w:r w:rsidRPr="0014412C">
        <w:rPr>
          <w:rFonts w:ascii="Arial" w:eastAsia="Calibri" w:hAnsi="Arial" w:cs="Arial"/>
          <w:color w:val="000000" w:themeColor="text1"/>
        </w:rPr>
        <w:t xml:space="preserv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 habrá lugar a los incentivos para el proponente. Lo anterior al margen de que los cargos ejercidos minoritariamente por hombres sean contratados a través de prestación de servicios, caso en el cual cotizan como independientes al sistema de seguridad social. En esta perspectiva, los documentos tipo recogen de manera armónica lo previsto en el Decreto 1082 del 2015, modificado por el Decreto 1860 de 2021</w:t>
      </w:r>
      <w:r w:rsidRPr="0014412C">
        <w:rPr>
          <w:rFonts w:ascii="Arial" w:eastAsia="Calibri" w:hAnsi="Arial" w:cs="Arial"/>
          <w:bCs/>
        </w:rPr>
        <w:t xml:space="preserve">.  </w:t>
      </w:r>
    </w:p>
    <w:bookmarkEnd w:id="28"/>
    <w:p w14:paraId="05E12C3B" w14:textId="77777777" w:rsidR="00430959" w:rsidRPr="0014412C" w:rsidRDefault="00430959" w:rsidP="00430959">
      <w:pPr>
        <w:spacing w:after="0" w:line="276" w:lineRule="auto"/>
        <w:jc w:val="both"/>
        <w:rPr>
          <w:rFonts w:ascii="Arial" w:hAnsi="Arial" w:cs="Arial"/>
          <w:color w:val="000000" w:themeColor="text1"/>
          <w:lang w:val="es-ES_tradnl"/>
        </w:rPr>
      </w:pPr>
    </w:p>
    <w:p w14:paraId="2A6A7933" w14:textId="77777777" w:rsidR="00430959" w:rsidRPr="0014412C" w:rsidRDefault="00430959" w:rsidP="00430959">
      <w:pPr>
        <w:spacing w:after="0" w:line="240" w:lineRule="auto"/>
        <w:ind w:left="709" w:right="709"/>
        <w:jc w:val="both"/>
        <w:rPr>
          <w:rFonts w:ascii="Arial" w:hAnsi="Arial" w:cs="Arial"/>
          <w:color w:val="000000" w:themeColor="text1"/>
          <w:sz w:val="21"/>
          <w:szCs w:val="21"/>
        </w:rPr>
      </w:pPr>
      <w:proofErr w:type="spellStart"/>
      <w:r w:rsidRPr="0014412C">
        <w:rPr>
          <w:rFonts w:ascii="Arial" w:hAnsi="Arial" w:cs="Arial"/>
          <w:color w:val="000000" w:themeColor="text1"/>
          <w:sz w:val="21"/>
          <w:szCs w:val="21"/>
          <w:lang w:val="es-ES_tradnl"/>
        </w:rPr>
        <w:t>iii</w:t>
      </w:r>
      <w:proofErr w:type="spellEnd"/>
      <w:r w:rsidRPr="0014412C">
        <w:rPr>
          <w:rFonts w:ascii="Arial" w:hAnsi="Arial" w:cs="Arial"/>
          <w:color w:val="000000" w:themeColor="text1"/>
          <w:sz w:val="21"/>
          <w:szCs w:val="21"/>
          <w:lang w:val="es-ES_tradnl"/>
        </w:rPr>
        <w:t xml:space="preserve">) “En caso de terminación de un contrato de obra previo a su fecha de vencimiento, el proponente debe retirarlo de su formato de saldo de contratos en ejecución? De ser así, en caso de requerirlo, cual deberá ser el soporte válido para presentar a la entidad de forma que se pueda verificar la terminación </w:t>
      </w:r>
      <w:proofErr w:type="gramStart"/>
      <w:r w:rsidRPr="0014412C">
        <w:rPr>
          <w:rFonts w:ascii="Arial" w:hAnsi="Arial" w:cs="Arial"/>
          <w:color w:val="000000" w:themeColor="text1"/>
          <w:sz w:val="21"/>
          <w:szCs w:val="21"/>
          <w:lang w:val="es-ES_tradnl"/>
        </w:rPr>
        <w:t>del mismo</w:t>
      </w:r>
      <w:proofErr w:type="gramEnd"/>
      <w:r w:rsidRPr="0014412C">
        <w:rPr>
          <w:rFonts w:ascii="Arial" w:hAnsi="Arial" w:cs="Arial"/>
          <w:color w:val="000000" w:themeColor="text1"/>
          <w:sz w:val="21"/>
          <w:szCs w:val="21"/>
          <w:lang w:val="es-ES_tradnl"/>
        </w:rPr>
        <w:t>?”</w:t>
      </w:r>
      <w:r w:rsidRPr="0014412C">
        <w:rPr>
          <w:rFonts w:ascii="Arial" w:hAnsi="Arial" w:cs="Arial"/>
          <w:color w:val="000000" w:themeColor="text1"/>
          <w:sz w:val="21"/>
          <w:szCs w:val="21"/>
        </w:rPr>
        <w:t>.</w:t>
      </w:r>
    </w:p>
    <w:p w14:paraId="51B861FB" w14:textId="77777777" w:rsidR="00430959" w:rsidRPr="0014412C" w:rsidRDefault="00430959" w:rsidP="00430959">
      <w:pPr>
        <w:spacing w:after="0" w:line="276" w:lineRule="auto"/>
        <w:jc w:val="both"/>
        <w:rPr>
          <w:rFonts w:ascii="Arial" w:hAnsi="Arial" w:cs="Arial"/>
          <w:color w:val="000000" w:themeColor="text1"/>
        </w:rPr>
      </w:pPr>
      <w:r w:rsidRPr="0014412C">
        <w:rPr>
          <w:rFonts w:ascii="Arial" w:hAnsi="Arial" w:cs="Arial"/>
          <w:color w:val="000000" w:themeColor="text1"/>
          <w:sz w:val="21"/>
          <w:szCs w:val="21"/>
        </w:rPr>
        <w:lastRenderedPageBreak/>
        <w:t xml:space="preserve"> </w:t>
      </w:r>
    </w:p>
    <w:p w14:paraId="2993CCD3" w14:textId="77777777" w:rsidR="00430959" w:rsidRPr="0014412C" w:rsidRDefault="00430959" w:rsidP="00430959">
      <w:pPr>
        <w:spacing w:after="120" w:line="276" w:lineRule="auto"/>
        <w:jc w:val="both"/>
        <w:rPr>
          <w:rFonts w:ascii="Arial" w:hAnsi="Arial" w:cs="Arial"/>
          <w:szCs w:val="20"/>
          <w:lang w:val="es-MX"/>
        </w:rPr>
      </w:pPr>
      <w:r w:rsidRPr="0014412C">
        <w:rPr>
          <w:rFonts w:ascii="Arial" w:eastAsia="Calibri" w:hAnsi="Arial" w:cs="Arial"/>
          <w:color w:val="000000" w:themeColor="text1"/>
          <w:lang w:val="es-ES"/>
        </w:rPr>
        <w:t xml:space="preserve">Conforme a lo explicado en el presente oficio, </w:t>
      </w:r>
      <w:r w:rsidRPr="0014412C">
        <w:rPr>
          <w:rFonts w:ascii="Arial" w:eastAsia="Arial," w:hAnsi="Arial" w:cs="Arial"/>
        </w:rPr>
        <w:t xml:space="preserve">el documento base está en armonía con la </w:t>
      </w:r>
      <w:r w:rsidRPr="0014412C">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14412C">
        <w:rPr>
          <w:rFonts w:ascii="Arial" w:eastAsia="Calibri" w:hAnsi="Arial" w:cs="Arial"/>
          <w:color w:val="000000" w:themeColor="text1"/>
          <w:lang w:val="es-MX"/>
        </w:rPr>
        <w:t xml:space="preserve">el artículo 2.2.1.1.1.6.4 del Decreto 1082 de 2015, en virtud del cual, para efectos de </w:t>
      </w:r>
      <w:r w:rsidRPr="0014412C">
        <w:rPr>
          <w:rFonts w:ascii="Arial" w:hAnsi="Arial" w:cs="Arial"/>
          <w:szCs w:val="20"/>
          <w:lang w:val="es-MX"/>
        </w:rPr>
        <w:t xml:space="preserve">acreditar la capacidad residual del proponente, se requiere el listado de contratos de obra civiles en ejecución suscritos con entidades estatales y con entidades privadas. </w:t>
      </w:r>
    </w:p>
    <w:p w14:paraId="2625910C" w14:textId="77777777" w:rsidR="00430959" w:rsidRPr="0014412C" w:rsidRDefault="00430959" w:rsidP="00430959">
      <w:pPr>
        <w:spacing w:after="120" w:line="276" w:lineRule="auto"/>
        <w:ind w:firstLine="709"/>
        <w:jc w:val="both"/>
        <w:rPr>
          <w:rFonts w:ascii="Arial" w:hAnsi="Arial" w:cs="Arial"/>
          <w:szCs w:val="20"/>
          <w:lang w:val="es-MX"/>
        </w:rPr>
      </w:pPr>
      <w:r w:rsidRPr="0014412C">
        <w:rPr>
          <w:rFonts w:ascii="Arial" w:hAnsi="Arial" w:cs="Arial"/>
          <w:szCs w:val="20"/>
          <w:lang w:val="es-MX"/>
        </w:rPr>
        <w:t xml:space="preserve">De acuerdo con el inciso primero del artículo 11 de la Ley 1150 de 2007, “La liquidación de los contratos se hará de mutuo acuerdo dentro del término fijado en los pliegos de condiciones o sus equivalentes, o dentro del que acuerden las partes para el efecto. </w:t>
      </w:r>
      <w:r w:rsidRPr="0014412C">
        <w:rPr>
          <w:rFonts w:ascii="Arial" w:hAnsi="Arial" w:cs="Arial"/>
          <w:i/>
          <w:iCs/>
          <w:szCs w:val="20"/>
          <w:lang w:val="es-MX"/>
        </w:rPr>
        <w:t>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r w:rsidRPr="0014412C">
        <w:rPr>
          <w:rFonts w:ascii="Arial" w:hAnsi="Arial" w:cs="Arial"/>
          <w:szCs w:val="20"/>
          <w:lang w:val="es-MX"/>
        </w:rPr>
        <w:t xml:space="preserve">” (Énfasis fuera de texto). Esto quiere decir que los contratos cuyo plazo de ejecución ha terminado, sea de manera normal o de forma anticipada, entran en liquidación. </w:t>
      </w:r>
    </w:p>
    <w:p w14:paraId="0A3A3D66" w14:textId="77777777" w:rsidR="00430959" w:rsidRPr="0014412C" w:rsidRDefault="00430959" w:rsidP="00430959">
      <w:pPr>
        <w:spacing w:after="0" w:line="276" w:lineRule="auto"/>
        <w:ind w:firstLine="708"/>
        <w:jc w:val="both"/>
        <w:rPr>
          <w:rFonts w:ascii="Arial" w:hAnsi="Arial" w:cs="Arial"/>
        </w:rPr>
      </w:pPr>
      <w:r w:rsidRPr="0014412C">
        <w:rPr>
          <w:rFonts w:ascii="Arial" w:eastAsia="Arial," w:hAnsi="Arial" w:cs="Arial"/>
        </w:rPr>
        <w:t xml:space="preserve">La </w:t>
      </w:r>
      <w:r w:rsidRPr="0014412C">
        <w:rPr>
          <w:rFonts w:ascii="Arial" w:hAnsi="Arial" w:cs="Arial"/>
        </w:rPr>
        <w:t>Guía para Determinar y Verificar la Capacidad Residual del Proponente en los Procesos de Contratación de Obra Pública, en armonía con el numeral II del literal E del numeral 3.10.2 del pliego de condiciones de los documentos tipo de licitación de obra pública para infraestructura de agua potable y saneamiento básico, dispone que “[…] No se entenderán como contratos en ejecución los que se encuentren en liquidación”. Por tanto, los contratos de obra terminados anticipadamente no son objeto de reporte ni verificación para efectos del “Formato 5 - Capacidad Residual”</w:t>
      </w:r>
      <w:r w:rsidRPr="0014412C">
        <w:rPr>
          <w:rFonts w:ascii="Arial" w:eastAsia="Calibri" w:hAnsi="Arial" w:cs="Arial"/>
          <w:bCs/>
        </w:rPr>
        <w:t xml:space="preserve">.  </w:t>
      </w:r>
    </w:p>
    <w:p w14:paraId="775222D4" w14:textId="77777777" w:rsidR="00430959" w:rsidRPr="0014412C" w:rsidRDefault="00430959" w:rsidP="00430959">
      <w:pPr>
        <w:pStyle w:val="Textoindependiente"/>
        <w:jc w:val="both"/>
        <w:rPr>
          <w:rFonts w:ascii="Arial" w:hAnsi="Arial" w:cs="Arial"/>
          <w:lang w:val="es-ES"/>
        </w:rPr>
      </w:pPr>
    </w:p>
    <w:p w14:paraId="250F28BC" w14:textId="77777777" w:rsidR="00430959" w:rsidRPr="0014412C" w:rsidRDefault="00430959" w:rsidP="00430959">
      <w:pPr>
        <w:widowControl w:val="0"/>
        <w:autoSpaceDE w:val="0"/>
        <w:autoSpaceDN w:val="0"/>
        <w:spacing w:after="0" w:line="276" w:lineRule="auto"/>
        <w:jc w:val="both"/>
        <w:rPr>
          <w:rFonts w:ascii="Arial" w:hAnsi="Arial" w:cs="Arial"/>
          <w:color w:val="000000" w:themeColor="text1"/>
          <w:lang w:val="es-ES_tradnl" w:bidi="es-ES"/>
        </w:rPr>
      </w:pPr>
      <w:r w:rsidRPr="0014412C">
        <w:rPr>
          <w:rFonts w:ascii="Arial" w:hAnsi="Arial" w:cs="Arial"/>
          <w:color w:val="000000" w:themeColor="text1"/>
          <w:lang w:val="es-ES_tradnl"/>
        </w:rPr>
        <w:t>Este concepto tiene el alcance previsto en el artículo 28 del Código de Procedimiento Administrativo y de lo Contencioso Administrativo.</w:t>
      </w:r>
    </w:p>
    <w:p w14:paraId="519A88BE" w14:textId="77777777" w:rsidR="00430959" w:rsidRPr="0014412C" w:rsidRDefault="00430959" w:rsidP="00430959">
      <w:pPr>
        <w:widowControl w:val="0"/>
        <w:autoSpaceDE w:val="0"/>
        <w:autoSpaceDN w:val="0"/>
        <w:spacing w:after="0" w:line="276" w:lineRule="auto"/>
        <w:jc w:val="both"/>
        <w:rPr>
          <w:rFonts w:ascii="Arial" w:hAnsi="Arial" w:cs="Arial"/>
          <w:color w:val="000000" w:themeColor="text1"/>
          <w:lang w:val="es-ES_tradnl" w:bidi="es-ES"/>
        </w:rPr>
      </w:pPr>
    </w:p>
    <w:p w14:paraId="307CAFB3" w14:textId="77777777" w:rsidR="00430959" w:rsidRPr="0014412C" w:rsidRDefault="00430959" w:rsidP="00430959">
      <w:pPr>
        <w:tabs>
          <w:tab w:val="left" w:pos="426"/>
        </w:tabs>
        <w:spacing w:line="276" w:lineRule="auto"/>
        <w:jc w:val="both"/>
        <w:rPr>
          <w:rFonts w:ascii="Arial" w:eastAsia="Times New Roman" w:hAnsi="Arial" w:cs="Arial"/>
          <w:color w:val="000000" w:themeColor="text1"/>
        </w:rPr>
      </w:pPr>
      <w:r w:rsidRPr="0014412C">
        <w:rPr>
          <w:rFonts w:ascii="Arial" w:eastAsia="Times New Roman" w:hAnsi="Arial" w:cs="Arial"/>
          <w:color w:val="000000" w:themeColor="text1"/>
        </w:rPr>
        <w:t>Atentamente,</w:t>
      </w:r>
    </w:p>
    <w:p w14:paraId="3A6D353A" w14:textId="1370350E" w:rsidR="00430959" w:rsidRPr="0014412C" w:rsidRDefault="0076773E" w:rsidP="00430959">
      <w:pPr>
        <w:jc w:val="center"/>
        <w:rPr>
          <w:rFonts w:ascii="Arial" w:eastAsia="Times New Roman" w:hAnsi="Arial" w:cs="Arial"/>
          <w:lang w:eastAsia="es-CO"/>
        </w:rPr>
      </w:pPr>
      <w:r>
        <w:rPr>
          <w:rFonts w:ascii="Arial" w:hAnsi="Arial" w:cs="Arial"/>
          <w:noProof/>
          <w:lang w:eastAsia="es-CO"/>
        </w:rPr>
        <w:drawing>
          <wp:inline distT="0" distB="0" distL="0" distR="0" wp14:anchorId="52B02636" wp14:editId="4AB6D470">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30959" w:rsidRPr="0014412C" w14:paraId="55C04E8B" w14:textId="77777777" w:rsidTr="00380D61">
        <w:trPr>
          <w:trHeight w:val="409"/>
        </w:trPr>
        <w:tc>
          <w:tcPr>
            <w:tcW w:w="817" w:type="dxa"/>
            <w:tcBorders>
              <w:top w:val="nil"/>
              <w:left w:val="nil"/>
              <w:bottom w:val="nil"/>
              <w:right w:val="nil"/>
            </w:tcBorders>
            <w:vAlign w:val="center"/>
            <w:hideMark/>
          </w:tcPr>
          <w:p w14:paraId="0A9FCBB0"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F55DBB5"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Juan David Montoya Penagos</w:t>
            </w:r>
          </w:p>
          <w:p w14:paraId="0BDA6E26"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Contratista de la Subdirección de Gestión Contractual</w:t>
            </w:r>
          </w:p>
        </w:tc>
      </w:tr>
      <w:tr w:rsidR="00430959" w:rsidRPr="0014412C" w14:paraId="6D49C7E6" w14:textId="77777777" w:rsidTr="00380D61">
        <w:trPr>
          <w:trHeight w:val="409"/>
        </w:trPr>
        <w:tc>
          <w:tcPr>
            <w:tcW w:w="817" w:type="dxa"/>
            <w:tcBorders>
              <w:top w:val="nil"/>
              <w:left w:val="nil"/>
              <w:right w:val="nil"/>
            </w:tcBorders>
            <w:vAlign w:val="center"/>
          </w:tcPr>
          <w:p w14:paraId="4D9200D0" w14:textId="77777777" w:rsidR="00430959" w:rsidRPr="0014412C" w:rsidRDefault="00430959" w:rsidP="00380D61">
            <w:pPr>
              <w:jc w:val="both"/>
              <w:rPr>
                <w:rFonts w:ascii="Arial" w:hAnsi="Arial" w:cs="Arial"/>
                <w:sz w:val="16"/>
                <w:szCs w:val="16"/>
              </w:rPr>
            </w:pPr>
            <w:r w:rsidRPr="0014412C">
              <w:rPr>
                <w:rFonts w:ascii="Arial" w:hAnsi="Arial" w:cs="Arial"/>
                <w:sz w:val="16"/>
                <w:szCs w:val="16"/>
              </w:rPr>
              <w:lastRenderedPageBreak/>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5360EFD"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Diana Carolina Armenta Celis</w:t>
            </w:r>
          </w:p>
          <w:p w14:paraId="35EA0189"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Contratista de la Subdirección de Gestión Contractual</w:t>
            </w:r>
          </w:p>
        </w:tc>
      </w:tr>
      <w:tr w:rsidR="00430959" w:rsidRPr="0014412C" w14:paraId="592ED598" w14:textId="77777777" w:rsidTr="00380D61">
        <w:trPr>
          <w:trHeight w:val="389"/>
        </w:trPr>
        <w:tc>
          <w:tcPr>
            <w:tcW w:w="817" w:type="dxa"/>
            <w:tcBorders>
              <w:top w:val="nil"/>
              <w:left w:val="nil"/>
              <w:bottom w:val="nil"/>
              <w:right w:val="nil"/>
            </w:tcBorders>
            <w:vAlign w:val="center"/>
            <w:hideMark/>
          </w:tcPr>
          <w:p w14:paraId="4286A84F"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2F3ABF3"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 xml:space="preserve">Nohelia del Carmen </w:t>
            </w:r>
            <w:proofErr w:type="spellStart"/>
            <w:r w:rsidRPr="0014412C">
              <w:rPr>
                <w:rFonts w:ascii="Arial" w:hAnsi="Arial" w:cs="Arial"/>
                <w:sz w:val="16"/>
                <w:szCs w:val="16"/>
              </w:rPr>
              <w:t>Zawady</w:t>
            </w:r>
            <w:proofErr w:type="spellEnd"/>
            <w:r w:rsidRPr="0014412C">
              <w:rPr>
                <w:rFonts w:ascii="Arial" w:hAnsi="Arial" w:cs="Arial"/>
                <w:sz w:val="16"/>
                <w:szCs w:val="16"/>
              </w:rPr>
              <w:t xml:space="preserve"> Palacio</w:t>
            </w:r>
          </w:p>
          <w:p w14:paraId="19186D89" w14:textId="77777777" w:rsidR="00430959" w:rsidRPr="0014412C" w:rsidRDefault="00430959" w:rsidP="00380D61">
            <w:pPr>
              <w:spacing w:after="0" w:line="240" w:lineRule="auto"/>
              <w:jc w:val="both"/>
              <w:rPr>
                <w:rFonts w:ascii="Arial" w:hAnsi="Arial" w:cs="Arial"/>
                <w:sz w:val="16"/>
                <w:szCs w:val="16"/>
              </w:rPr>
            </w:pPr>
            <w:r w:rsidRPr="0014412C">
              <w:rPr>
                <w:rFonts w:ascii="Arial" w:hAnsi="Arial" w:cs="Arial"/>
                <w:sz w:val="16"/>
                <w:szCs w:val="16"/>
              </w:rPr>
              <w:t>Subdirectora de Gestión Contractual ANCP - CCE</w:t>
            </w:r>
          </w:p>
        </w:tc>
      </w:tr>
      <w:bookmarkEnd w:id="2"/>
    </w:tbl>
    <w:p w14:paraId="74C5043A" w14:textId="77777777" w:rsidR="00430959" w:rsidRPr="0014412C" w:rsidRDefault="00430959" w:rsidP="00430959">
      <w:pPr>
        <w:tabs>
          <w:tab w:val="left" w:pos="0"/>
        </w:tabs>
        <w:spacing w:line="276" w:lineRule="auto"/>
        <w:contextualSpacing/>
        <w:jc w:val="both"/>
        <w:rPr>
          <w:rFonts w:ascii="Arial" w:hAnsi="Arial" w:cs="Arial"/>
          <w:lang w:val="es-MX"/>
        </w:rPr>
      </w:pPr>
    </w:p>
    <w:p w14:paraId="4540275F" w14:textId="77777777" w:rsidR="00430959" w:rsidRPr="0014412C" w:rsidRDefault="00430959" w:rsidP="00430959">
      <w:pPr>
        <w:rPr>
          <w:rFonts w:ascii="Arial" w:hAnsi="Arial" w:cs="Arial"/>
        </w:rPr>
      </w:pPr>
    </w:p>
    <w:p w14:paraId="49333C8E" w14:textId="77777777" w:rsidR="00430959" w:rsidRPr="0014412C" w:rsidRDefault="00430959" w:rsidP="00430959">
      <w:pPr>
        <w:rPr>
          <w:rFonts w:ascii="Arial" w:hAnsi="Arial" w:cs="Arial"/>
        </w:rPr>
      </w:pPr>
      <w:r w:rsidRPr="0014412C">
        <w:rPr>
          <w:rFonts w:ascii="Arial" w:hAnsi="Arial" w:cs="Arial"/>
        </w:rPr>
        <w:t xml:space="preserve"> </w:t>
      </w:r>
    </w:p>
    <w:p w14:paraId="0F293BF4" w14:textId="4E630EB9" w:rsidR="00127233" w:rsidRPr="0014412C" w:rsidRDefault="00E245AB" w:rsidP="00DF5C97">
      <w:pPr>
        <w:rPr>
          <w:rFonts w:ascii="Arial" w:hAnsi="Arial" w:cs="Arial"/>
        </w:rPr>
      </w:pPr>
      <w:r w:rsidRPr="0014412C">
        <w:rPr>
          <w:rFonts w:ascii="Arial" w:hAnsi="Arial" w:cs="Arial"/>
        </w:rPr>
        <w:t xml:space="preserve"> </w:t>
      </w:r>
    </w:p>
    <w:sectPr w:rsidR="00127233" w:rsidRPr="0014412C"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FA71B" w14:textId="77777777" w:rsidR="000F2C26" w:rsidRDefault="000F2C26" w:rsidP="004A1847">
      <w:pPr>
        <w:spacing w:after="0" w:line="240" w:lineRule="auto"/>
      </w:pPr>
      <w:r>
        <w:separator/>
      </w:r>
    </w:p>
  </w:endnote>
  <w:endnote w:type="continuationSeparator" w:id="0">
    <w:p w14:paraId="239FFFF7" w14:textId="77777777" w:rsidR="000F2C26" w:rsidRDefault="000F2C2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w:altName w:val="Arial"/>
    <w:charset w:val="00"/>
    <w:family w:val="auto"/>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FBAF2" w14:textId="77777777" w:rsidR="000F2C26" w:rsidRDefault="000F2C26" w:rsidP="004A1847">
      <w:pPr>
        <w:spacing w:after="0" w:line="240" w:lineRule="auto"/>
      </w:pPr>
      <w:r>
        <w:separator/>
      </w:r>
    </w:p>
  </w:footnote>
  <w:footnote w:type="continuationSeparator" w:id="0">
    <w:p w14:paraId="1D78C4F2" w14:textId="77777777" w:rsidR="000F2C26" w:rsidRDefault="000F2C26" w:rsidP="004A1847">
      <w:pPr>
        <w:spacing w:after="0" w:line="240" w:lineRule="auto"/>
      </w:pPr>
      <w:r>
        <w:continuationSeparator/>
      </w:r>
    </w:p>
  </w:footnote>
  <w:footnote w:id="1">
    <w:p w14:paraId="7168D34F" w14:textId="77777777" w:rsidR="00430959" w:rsidRPr="00DE78EB" w:rsidRDefault="00430959" w:rsidP="00430959">
      <w:pPr>
        <w:pStyle w:val="Textonotapie"/>
        <w:ind w:firstLine="709"/>
        <w:jc w:val="both"/>
        <w:rPr>
          <w:rFonts w:ascii="Arial" w:hAnsi="Arial" w:cs="Arial"/>
          <w:sz w:val="16"/>
          <w:szCs w:val="16"/>
          <w:shd w:val="clear" w:color="auto" w:fill="E6E6E6"/>
        </w:rPr>
      </w:pPr>
      <w:r w:rsidRPr="00DE78EB">
        <w:rPr>
          <w:rStyle w:val="Refdenotaalpie"/>
          <w:rFonts w:ascii="Arial" w:hAnsi="Arial" w:cs="Arial"/>
          <w:sz w:val="16"/>
          <w:szCs w:val="16"/>
        </w:rPr>
        <w:footnoteRef/>
      </w:r>
      <w:r w:rsidRPr="00DE78EB">
        <w:rPr>
          <w:rFonts w:ascii="Arial" w:hAnsi="Arial"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DE78EB">
          <w:rPr>
            <w:rStyle w:val="Hipervnculo"/>
            <w:rFonts w:ascii="Arial" w:hAnsi="Arial" w:cs="Arial"/>
            <w:sz w:val="16"/>
            <w:szCs w:val="16"/>
          </w:rPr>
          <w:t>https://relatoria.colombiacompra.gov.co/busqueda/conceptos</w:t>
        </w:r>
      </w:hyperlink>
      <w:r w:rsidRPr="00DE78EB">
        <w:rPr>
          <w:rStyle w:val="Hipervnculo"/>
          <w:rFonts w:ascii="Arial" w:hAnsi="Arial" w:cs="Arial"/>
          <w:sz w:val="16"/>
          <w:szCs w:val="16"/>
        </w:rPr>
        <w:t xml:space="preserve">. </w:t>
      </w:r>
      <w:r w:rsidRPr="00DE78EB">
        <w:rPr>
          <w:rFonts w:ascii="Arial" w:hAnsi="Arial" w:cs="Arial"/>
          <w:sz w:val="16"/>
          <w:szCs w:val="16"/>
          <w:shd w:val="clear" w:color="auto" w:fill="E6E6E6"/>
        </w:rPr>
        <w:t xml:space="preserve"> </w:t>
      </w:r>
    </w:p>
  </w:footnote>
  <w:footnote w:id="2">
    <w:p w14:paraId="5D7F8026" w14:textId="77777777" w:rsidR="00430959" w:rsidRPr="00DE78EB" w:rsidRDefault="00430959" w:rsidP="00430959">
      <w:pPr>
        <w:pStyle w:val="Textonotapie"/>
        <w:ind w:firstLine="709"/>
        <w:jc w:val="both"/>
        <w:rPr>
          <w:rFonts w:ascii="Arial" w:hAnsi="Arial" w:cs="Arial"/>
          <w:sz w:val="16"/>
          <w:szCs w:val="16"/>
        </w:rPr>
      </w:pPr>
      <w:r w:rsidRPr="00DE78EB">
        <w:rPr>
          <w:rStyle w:val="Refdenotaalpie"/>
          <w:rFonts w:ascii="Arial" w:hAnsi="Arial" w:cs="Arial"/>
          <w:sz w:val="16"/>
          <w:szCs w:val="16"/>
        </w:rPr>
        <w:footnoteRef/>
      </w:r>
      <w:r w:rsidRPr="00DE78EB">
        <w:rPr>
          <w:rFonts w:ascii="Arial" w:hAnsi="Arial" w:cs="Arial"/>
          <w:sz w:val="16"/>
          <w:szCs w:val="16"/>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F6414C8" w14:textId="77777777" w:rsidR="00430959" w:rsidRPr="00DE78EB" w:rsidRDefault="00430959" w:rsidP="00430959">
      <w:pPr>
        <w:pStyle w:val="Textonotapie"/>
        <w:ind w:firstLine="709"/>
        <w:jc w:val="both"/>
        <w:rPr>
          <w:rFonts w:ascii="Arial" w:hAnsi="Arial" w:cs="Arial"/>
          <w:sz w:val="16"/>
          <w:szCs w:val="16"/>
        </w:rPr>
      </w:pPr>
      <w:r w:rsidRPr="00DE78EB">
        <w:rPr>
          <w:rFonts w:ascii="Arial" w:hAnsi="Arial"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D7E3AD6" w14:textId="77777777" w:rsidR="00430959" w:rsidRPr="00DE78EB" w:rsidRDefault="00430959" w:rsidP="00430959">
      <w:pPr>
        <w:pStyle w:val="Textonotapie"/>
        <w:ind w:firstLine="709"/>
        <w:jc w:val="both"/>
        <w:rPr>
          <w:rFonts w:ascii="Arial" w:hAnsi="Arial" w:cs="Arial"/>
          <w:sz w:val="16"/>
          <w:szCs w:val="16"/>
        </w:rPr>
      </w:pPr>
      <w:r w:rsidRPr="00DE78EB">
        <w:rPr>
          <w:rFonts w:ascii="Arial" w:hAnsi="Arial"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EA3F916" w14:textId="77777777" w:rsidR="00430959" w:rsidRPr="00DE78EB" w:rsidRDefault="00430959" w:rsidP="00430959">
      <w:pPr>
        <w:pStyle w:val="Textonotapie"/>
        <w:ind w:firstLine="709"/>
        <w:jc w:val="both"/>
        <w:rPr>
          <w:rFonts w:ascii="Arial" w:hAnsi="Arial" w:cs="Arial"/>
          <w:sz w:val="16"/>
          <w:szCs w:val="16"/>
        </w:rPr>
      </w:pPr>
      <w:r w:rsidRPr="00DE78EB">
        <w:rPr>
          <w:rFonts w:ascii="Arial" w:hAnsi="Arial"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397968F" w14:textId="77777777" w:rsidR="00430959" w:rsidRPr="00DE78EB" w:rsidRDefault="00430959" w:rsidP="00430959">
      <w:pPr>
        <w:pStyle w:val="Textonotapie"/>
        <w:ind w:firstLine="709"/>
        <w:jc w:val="both"/>
        <w:rPr>
          <w:rFonts w:ascii="Arial" w:hAnsi="Arial" w:cs="Arial"/>
          <w:sz w:val="16"/>
          <w:szCs w:val="16"/>
        </w:rPr>
      </w:pPr>
      <w:r w:rsidRPr="00DE78EB">
        <w:rPr>
          <w:rFonts w:ascii="Arial" w:hAnsi="Arial"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4977D66C" w14:textId="77777777" w:rsidR="00430959" w:rsidRPr="00DE78EB" w:rsidRDefault="00430959" w:rsidP="00430959">
      <w:pPr>
        <w:pStyle w:val="Textonotapie"/>
        <w:ind w:firstLine="708"/>
        <w:jc w:val="both"/>
        <w:rPr>
          <w:rFonts w:ascii="Arial" w:hAnsi="Arial" w:cs="Arial"/>
          <w:color w:val="44546A" w:themeColor="text2"/>
          <w:sz w:val="16"/>
          <w:szCs w:val="16"/>
          <w:u w:val="single"/>
        </w:rPr>
      </w:pPr>
      <w:r w:rsidRPr="00DE78EB">
        <w:rPr>
          <w:rStyle w:val="Refdenotaalpie"/>
          <w:rFonts w:ascii="Arial" w:hAnsi="Arial" w:cs="Arial"/>
          <w:sz w:val="16"/>
          <w:szCs w:val="16"/>
        </w:rPr>
        <w:footnoteRef/>
      </w:r>
      <w:r w:rsidRPr="00DE78EB">
        <w:rPr>
          <w:rFonts w:ascii="Arial" w:hAnsi="Arial" w:cs="Arial"/>
          <w:sz w:val="16"/>
          <w:szCs w:val="16"/>
        </w:rPr>
        <w:t xml:space="preserve"> Texto del Proyecto de Ley 122 de 2020 Cámara. Exposición de motivos. Consultado el 29 de diciembre de 2021 en la página web: </w:t>
      </w:r>
      <w:hyperlink r:id="rId2" w:history="1">
        <w:r w:rsidRPr="00DE78EB">
          <w:rPr>
            <w:rStyle w:val="Hipervnculo1"/>
            <w:rFonts w:ascii="Arial" w:hAnsi="Arial" w:cs="Arial"/>
            <w:color w:val="44546A" w:themeColor="text2"/>
            <w:sz w:val="16"/>
            <w:szCs w:val="16"/>
          </w:rPr>
          <w:t>http://leyes.senado.gov.co/proyectos/index.php/textos-radicados-senado/p-ley-2020-2021/1957-proyecto-de-ley-161-de-2020</w:t>
        </w:r>
      </w:hyperlink>
    </w:p>
  </w:footnote>
  <w:footnote w:id="4">
    <w:p w14:paraId="1569CB59" w14:textId="77777777" w:rsidR="00430959" w:rsidRPr="00DE78EB" w:rsidRDefault="00430959" w:rsidP="00430959">
      <w:pPr>
        <w:pStyle w:val="Textonotapie"/>
        <w:ind w:firstLine="709"/>
        <w:jc w:val="both"/>
        <w:rPr>
          <w:rFonts w:ascii="Arial" w:hAnsi="Arial" w:cs="Arial"/>
          <w:sz w:val="16"/>
          <w:szCs w:val="16"/>
          <w:lang w:val="es-ES"/>
        </w:rPr>
      </w:pPr>
      <w:r w:rsidRPr="00DE78EB">
        <w:rPr>
          <w:rStyle w:val="Refdenotaalpie"/>
          <w:rFonts w:ascii="Arial" w:hAnsi="Arial" w:cs="Arial"/>
          <w:sz w:val="16"/>
          <w:szCs w:val="16"/>
        </w:rPr>
        <w:footnoteRef/>
      </w:r>
      <w:r w:rsidRPr="00DE78EB">
        <w:rPr>
          <w:rFonts w:ascii="Arial" w:hAnsi="Arial" w:cs="Arial"/>
          <w:sz w:val="16"/>
          <w:szCs w:val="16"/>
        </w:rPr>
        <w:t xml:space="preserve"> </w:t>
      </w:r>
      <w:r w:rsidRPr="00DE78EB">
        <w:rPr>
          <w:rFonts w:ascii="Arial" w:hAnsi="Arial" w:cs="Arial"/>
          <w:sz w:val="16"/>
          <w:szCs w:val="16"/>
          <w:lang w:val="es-ES"/>
        </w:rPr>
        <w:t>Artículos 2 al 29.</w:t>
      </w:r>
    </w:p>
  </w:footnote>
  <w:footnote w:id="5">
    <w:p w14:paraId="16AACE35" w14:textId="77777777" w:rsidR="00430959" w:rsidRPr="00DE78EB" w:rsidRDefault="00430959" w:rsidP="00430959">
      <w:pPr>
        <w:pStyle w:val="Textonotapie"/>
        <w:ind w:firstLine="709"/>
        <w:jc w:val="both"/>
        <w:rPr>
          <w:rFonts w:ascii="Arial" w:hAnsi="Arial" w:cs="Arial"/>
          <w:sz w:val="16"/>
          <w:szCs w:val="16"/>
          <w:lang w:val="es-ES"/>
        </w:rPr>
      </w:pPr>
      <w:r w:rsidRPr="00DE78EB">
        <w:rPr>
          <w:rStyle w:val="Refdenotaalpie"/>
          <w:rFonts w:ascii="Arial" w:hAnsi="Arial" w:cs="Arial"/>
          <w:sz w:val="16"/>
          <w:szCs w:val="16"/>
        </w:rPr>
        <w:footnoteRef/>
      </w:r>
      <w:r w:rsidRPr="00DE78EB">
        <w:rPr>
          <w:rFonts w:ascii="Arial" w:hAnsi="Arial" w:cs="Arial"/>
          <w:sz w:val="16"/>
          <w:szCs w:val="16"/>
        </w:rPr>
        <w:t xml:space="preserve"> </w:t>
      </w:r>
      <w:r w:rsidRPr="00DE78EB">
        <w:rPr>
          <w:rFonts w:ascii="Arial" w:hAnsi="Arial" w:cs="Arial"/>
          <w:sz w:val="16"/>
          <w:szCs w:val="16"/>
          <w:lang w:val="es-ES"/>
        </w:rPr>
        <w:t>Artículos 30 al 36.</w:t>
      </w:r>
    </w:p>
  </w:footnote>
  <w:footnote w:id="6">
    <w:p w14:paraId="31B57590" w14:textId="77777777" w:rsidR="00430959" w:rsidRPr="00DE78EB" w:rsidRDefault="00430959" w:rsidP="00430959">
      <w:pPr>
        <w:pStyle w:val="Textonotapie"/>
        <w:ind w:firstLine="709"/>
        <w:jc w:val="both"/>
        <w:rPr>
          <w:rFonts w:ascii="Arial" w:hAnsi="Arial" w:cs="Arial"/>
          <w:sz w:val="16"/>
          <w:szCs w:val="16"/>
          <w:lang w:val="es-ES"/>
        </w:rPr>
      </w:pPr>
      <w:r w:rsidRPr="00DE78EB">
        <w:rPr>
          <w:rStyle w:val="Refdenotaalpie"/>
          <w:rFonts w:ascii="Arial" w:hAnsi="Arial" w:cs="Arial"/>
          <w:sz w:val="16"/>
          <w:szCs w:val="16"/>
        </w:rPr>
        <w:footnoteRef/>
      </w:r>
      <w:r w:rsidRPr="00DE78EB">
        <w:rPr>
          <w:rFonts w:ascii="Arial" w:hAnsi="Arial" w:cs="Arial"/>
          <w:sz w:val="16"/>
          <w:szCs w:val="16"/>
        </w:rPr>
        <w:t xml:space="preserve"> </w:t>
      </w:r>
      <w:r w:rsidRPr="00DE78EB">
        <w:rPr>
          <w:rFonts w:ascii="Arial" w:hAnsi="Arial" w:cs="Arial"/>
          <w:sz w:val="16"/>
          <w:szCs w:val="16"/>
          <w:lang w:val="es-ES"/>
        </w:rPr>
        <w:t>Artículos 37 al 45.</w:t>
      </w:r>
    </w:p>
  </w:footnote>
  <w:footnote w:id="7">
    <w:p w14:paraId="196BD288" w14:textId="77777777" w:rsidR="00430959" w:rsidRPr="00DE78EB" w:rsidRDefault="00430959" w:rsidP="00430959">
      <w:pPr>
        <w:pStyle w:val="Textonotapie"/>
        <w:ind w:firstLine="709"/>
        <w:jc w:val="both"/>
        <w:rPr>
          <w:rFonts w:ascii="Arial" w:hAnsi="Arial" w:cs="Arial"/>
          <w:sz w:val="16"/>
          <w:szCs w:val="16"/>
          <w:lang w:val="es-ES"/>
        </w:rPr>
      </w:pPr>
      <w:r w:rsidRPr="00DE78EB">
        <w:rPr>
          <w:rStyle w:val="Refdenotaalpie"/>
          <w:rFonts w:ascii="Arial" w:hAnsi="Arial" w:cs="Arial"/>
          <w:sz w:val="16"/>
          <w:szCs w:val="16"/>
        </w:rPr>
        <w:footnoteRef/>
      </w:r>
      <w:r w:rsidRPr="00DE78EB">
        <w:rPr>
          <w:rFonts w:ascii="Arial" w:hAnsi="Arial" w:cs="Arial"/>
          <w:sz w:val="16"/>
          <w:szCs w:val="16"/>
        </w:rPr>
        <w:t xml:space="preserve"> </w:t>
      </w:r>
      <w:r w:rsidRPr="00DE78EB">
        <w:rPr>
          <w:rFonts w:ascii="Arial" w:hAnsi="Arial" w:cs="Arial"/>
          <w:sz w:val="16"/>
          <w:szCs w:val="16"/>
          <w:lang w:val="es-ES"/>
        </w:rPr>
        <w:t>Artículos 46 al 73.</w:t>
      </w:r>
    </w:p>
  </w:footnote>
  <w:footnote w:id="8">
    <w:p w14:paraId="58786E3E" w14:textId="77777777" w:rsidR="00430959" w:rsidRPr="00DE78EB" w:rsidRDefault="00430959" w:rsidP="00430959">
      <w:pPr>
        <w:pStyle w:val="Textonotapie"/>
        <w:ind w:firstLine="709"/>
        <w:jc w:val="both"/>
        <w:rPr>
          <w:rFonts w:ascii="Arial" w:hAnsi="Arial" w:cs="Arial"/>
          <w:sz w:val="16"/>
          <w:szCs w:val="16"/>
          <w:lang w:val="es-ES"/>
        </w:rPr>
      </w:pPr>
      <w:r w:rsidRPr="00DE78EB">
        <w:rPr>
          <w:rStyle w:val="Refdenotaalpie"/>
          <w:rFonts w:ascii="Arial" w:hAnsi="Arial" w:cs="Arial"/>
          <w:sz w:val="16"/>
          <w:szCs w:val="16"/>
        </w:rPr>
        <w:footnoteRef/>
      </w:r>
      <w:r w:rsidRPr="00DE78EB">
        <w:rPr>
          <w:rFonts w:ascii="Arial" w:hAnsi="Arial" w:cs="Arial"/>
          <w:sz w:val="16"/>
          <w:szCs w:val="16"/>
        </w:rPr>
        <w:t xml:space="preserve"> </w:t>
      </w:r>
      <w:r w:rsidRPr="00DE78EB">
        <w:rPr>
          <w:rFonts w:ascii="Arial" w:hAnsi="Arial" w:cs="Arial"/>
          <w:sz w:val="16"/>
          <w:szCs w:val="16"/>
          <w:lang w:val="es-ES"/>
        </w:rPr>
        <w:t>Artículos 74 al 83.</w:t>
      </w:r>
    </w:p>
  </w:footnote>
  <w:footnote w:id="9">
    <w:p w14:paraId="1F2A1B44" w14:textId="77777777" w:rsidR="00430959" w:rsidRPr="00DE78EB" w:rsidRDefault="00430959" w:rsidP="00430959">
      <w:pPr>
        <w:pStyle w:val="Textonotapie"/>
        <w:ind w:firstLine="708"/>
        <w:jc w:val="both"/>
        <w:rPr>
          <w:rFonts w:ascii="Arial" w:hAnsi="Arial" w:cs="Arial"/>
          <w:sz w:val="16"/>
          <w:szCs w:val="16"/>
          <w:lang w:val="es-ES"/>
        </w:rPr>
      </w:pPr>
      <w:r w:rsidRPr="00DE78EB">
        <w:rPr>
          <w:rStyle w:val="Refdenotaalpie"/>
          <w:rFonts w:ascii="Arial" w:hAnsi="Arial" w:cs="Arial"/>
          <w:sz w:val="16"/>
          <w:szCs w:val="16"/>
        </w:rPr>
        <w:footnoteRef/>
      </w:r>
      <w:r w:rsidRPr="00DE78EB">
        <w:rPr>
          <w:rFonts w:ascii="Arial" w:hAnsi="Arial" w:cs="Arial"/>
          <w:sz w:val="16"/>
          <w:szCs w:val="16"/>
        </w:rPr>
        <w:t xml:space="preserve"> </w:t>
      </w:r>
      <w:bookmarkStart w:id="11" w:name="_Hlk63862868"/>
      <w:r w:rsidRPr="00DE78EB">
        <w:rPr>
          <w:rFonts w:ascii="Arial" w:hAnsi="Arial" w:cs="Arial"/>
          <w:sz w:val="16"/>
          <w:szCs w:val="16"/>
        </w:rPr>
        <w:t xml:space="preserve">CONGRESO DE LA REPÚBLICA. Gaceta No. 670 del 11 de agosto de 2020. Exposición de motivos del Proyecto de Ley No. 122 de 2020 Cámara. p. 13. </w:t>
      </w:r>
      <w:bookmarkEnd w:id="11"/>
    </w:p>
  </w:footnote>
  <w:footnote w:id="10">
    <w:p w14:paraId="2D64B1E8" w14:textId="77777777" w:rsidR="00430959" w:rsidRPr="00DE78EB" w:rsidRDefault="00430959" w:rsidP="00430959">
      <w:pPr>
        <w:pStyle w:val="Textonotapie"/>
        <w:ind w:firstLine="709"/>
        <w:jc w:val="both"/>
        <w:rPr>
          <w:rFonts w:ascii="Arial" w:hAnsi="Arial" w:cs="Arial"/>
          <w:sz w:val="16"/>
          <w:szCs w:val="16"/>
        </w:rPr>
      </w:pPr>
      <w:r w:rsidRPr="00DE78EB">
        <w:rPr>
          <w:rStyle w:val="Refdenotaalpie"/>
          <w:rFonts w:ascii="Arial" w:hAnsi="Arial" w:cs="Arial"/>
          <w:sz w:val="16"/>
          <w:szCs w:val="16"/>
        </w:rPr>
        <w:footnoteRef/>
      </w:r>
      <w:r w:rsidRPr="00DE78EB">
        <w:rPr>
          <w:rFonts w:ascii="Arial" w:hAnsi="Arial"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0B09DF96" w14:textId="77777777" w:rsidR="00430959" w:rsidRPr="00DE78EB" w:rsidRDefault="00430959" w:rsidP="00430959">
      <w:pPr>
        <w:pStyle w:val="Textonotapie"/>
        <w:ind w:firstLine="709"/>
        <w:jc w:val="both"/>
        <w:rPr>
          <w:rFonts w:ascii="Arial" w:eastAsia="Calibri" w:hAnsi="Arial" w:cs="Arial"/>
          <w:color w:val="000000" w:themeColor="text1"/>
          <w:sz w:val="16"/>
          <w:szCs w:val="16"/>
        </w:rPr>
      </w:pPr>
      <w:r w:rsidRPr="00DE78EB">
        <w:rPr>
          <w:rStyle w:val="Refdenotaalpie"/>
          <w:rFonts w:ascii="Arial" w:hAnsi="Arial" w:cs="Arial"/>
          <w:color w:val="000000" w:themeColor="text1"/>
          <w:sz w:val="16"/>
          <w:szCs w:val="16"/>
        </w:rPr>
        <w:footnoteRef/>
      </w:r>
      <w:r w:rsidRPr="00DE78EB">
        <w:rPr>
          <w:rFonts w:ascii="Arial" w:hAnsi="Arial" w:cs="Arial"/>
          <w:color w:val="000000" w:themeColor="text1"/>
          <w:sz w:val="16"/>
          <w:szCs w:val="16"/>
        </w:rPr>
        <w:t xml:space="preserve"> </w:t>
      </w:r>
      <w:r w:rsidRPr="00DE78EB">
        <w:rPr>
          <w:rFonts w:ascii="Arial" w:eastAsia="Calibri" w:hAnsi="Arial" w:cs="Arial"/>
          <w:color w:val="000000" w:themeColor="text1"/>
          <w:sz w:val="16"/>
          <w:szCs w:val="16"/>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14D329DA" w14:textId="77777777" w:rsidR="00430959" w:rsidRPr="00DE78EB" w:rsidRDefault="00430959" w:rsidP="00430959">
      <w:pPr>
        <w:pStyle w:val="Textonotapie"/>
        <w:ind w:firstLine="709"/>
        <w:jc w:val="both"/>
        <w:rPr>
          <w:rFonts w:ascii="Arial" w:eastAsia="Calibri" w:hAnsi="Arial" w:cs="Arial"/>
          <w:color w:val="000000" w:themeColor="text1"/>
          <w:sz w:val="16"/>
          <w:szCs w:val="16"/>
        </w:rPr>
      </w:pPr>
      <w:r w:rsidRPr="00DE78EB">
        <w:rPr>
          <w:rFonts w:ascii="Arial" w:eastAsia="Calibri" w:hAnsi="Arial" w:cs="Arial"/>
          <w:color w:val="000000" w:themeColor="text1"/>
          <w:sz w:val="16"/>
          <w:szCs w:val="16"/>
        </w:rPr>
        <w:t>[…]</w:t>
      </w:r>
    </w:p>
    <w:p w14:paraId="03F9580E" w14:textId="77777777" w:rsidR="00430959" w:rsidRPr="00DE78EB" w:rsidRDefault="00430959" w:rsidP="00430959">
      <w:pPr>
        <w:pStyle w:val="Textonotapie"/>
        <w:ind w:firstLine="709"/>
        <w:jc w:val="both"/>
        <w:rPr>
          <w:rFonts w:ascii="Arial" w:hAnsi="Arial" w:cs="Arial"/>
          <w:color w:val="000000" w:themeColor="text1"/>
          <w:sz w:val="16"/>
          <w:szCs w:val="16"/>
          <w:lang w:val="es-CO"/>
        </w:rPr>
      </w:pPr>
      <w:r w:rsidRPr="00DE78EB">
        <w:rPr>
          <w:rFonts w:ascii="Arial" w:eastAsia="Calibri" w:hAnsi="Arial" w:cs="Arial"/>
          <w:color w:val="000000" w:themeColor="text1"/>
          <w:sz w:val="16"/>
          <w:szCs w:val="16"/>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DE78EB">
        <w:rPr>
          <w:rFonts w:ascii="Arial" w:hAnsi="Arial" w:cs="Arial"/>
          <w:color w:val="000000" w:themeColor="text1"/>
          <w:sz w:val="16"/>
          <w:szCs w:val="16"/>
          <w:lang w:val="es-CO"/>
        </w:rPr>
        <w:t xml:space="preserve"> </w:t>
      </w:r>
    </w:p>
  </w:footnote>
  <w:footnote w:id="12">
    <w:p w14:paraId="0FB3CBFC" w14:textId="77777777" w:rsidR="00430959" w:rsidRPr="00DE78EB" w:rsidRDefault="00430959" w:rsidP="00430959">
      <w:pPr>
        <w:pStyle w:val="Textonotapie"/>
        <w:ind w:firstLine="709"/>
        <w:jc w:val="both"/>
        <w:rPr>
          <w:rFonts w:ascii="Arial" w:hAnsi="Arial" w:cs="Arial"/>
          <w:color w:val="000000" w:themeColor="text1"/>
          <w:sz w:val="16"/>
          <w:szCs w:val="16"/>
          <w:lang w:val="es-CO"/>
        </w:rPr>
      </w:pPr>
      <w:r w:rsidRPr="00DE78EB">
        <w:rPr>
          <w:rFonts w:ascii="Arial" w:eastAsia="Calibri" w:hAnsi="Arial" w:cs="Arial"/>
          <w:color w:val="000000" w:themeColor="text1"/>
          <w:sz w:val="16"/>
          <w:szCs w:val="16"/>
          <w:vertAlign w:val="superscript"/>
        </w:rPr>
        <w:footnoteRef/>
      </w:r>
      <w:r w:rsidRPr="00DE78EB">
        <w:rPr>
          <w:rFonts w:ascii="Arial" w:eastAsia="Calibri" w:hAnsi="Arial" w:cs="Arial"/>
          <w:color w:val="000000" w:themeColor="text1"/>
          <w:sz w:val="16"/>
          <w:szCs w:val="16"/>
          <w:vertAlign w:val="superscript"/>
        </w:rPr>
        <w:t xml:space="preserve"> </w:t>
      </w:r>
      <w:r w:rsidRPr="00DE78EB">
        <w:rPr>
          <w:rFonts w:ascii="Arial" w:eastAsia="Calibri" w:hAnsi="Arial" w:cs="Arial"/>
          <w:color w:val="000000" w:themeColor="text1"/>
          <w:sz w:val="16"/>
          <w:szCs w:val="16"/>
        </w:rPr>
        <w:t xml:space="preserve">Consejo de Estado. Sección Tercera. Sentencia del 26 de junio de 2003. Rad. 13.354. C.P: María Elena Giraldo Gómez. </w:t>
      </w:r>
    </w:p>
  </w:footnote>
  <w:footnote w:id="13">
    <w:p w14:paraId="7FA52D2D" w14:textId="77777777" w:rsidR="00430959" w:rsidRPr="00DE78EB" w:rsidRDefault="00430959" w:rsidP="00430959">
      <w:pPr>
        <w:pStyle w:val="NormalWeb"/>
        <w:shd w:val="clear" w:color="auto" w:fill="FFFFFF"/>
        <w:spacing w:before="0" w:beforeAutospacing="0" w:after="0" w:afterAutospacing="0"/>
        <w:ind w:firstLine="709"/>
        <w:jc w:val="both"/>
        <w:rPr>
          <w:rFonts w:ascii="Arial" w:hAnsi="Arial" w:cs="Arial"/>
          <w:sz w:val="16"/>
          <w:szCs w:val="16"/>
        </w:rPr>
      </w:pPr>
      <w:r w:rsidRPr="00DE78EB">
        <w:rPr>
          <w:rStyle w:val="Refdenotaalpie"/>
          <w:rFonts w:ascii="Arial" w:hAnsi="Arial" w:cs="Arial"/>
          <w:sz w:val="16"/>
          <w:szCs w:val="16"/>
          <w:lang w:val="es-MX"/>
        </w:rPr>
        <w:footnoteRef/>
      </w:r>
      <w:r w:rsidRPr="00DE78EB">
        <w:rPr>
          <w:rStyle w:val="Refdenotaalpie"/>
          <w:rFonts w:ascii="Arial" w:hAnsi="Arial" w:cs="Arial"/>
          <w:sz w:val="16"/>
          <w:szCs w:val="16"/>
          <w:lang w:val="es-MX"/>
        </w:rPr>
        <w:t xml:space="preserve"> </w:t>
      </w:r>
      <w:r w:rsidRPr="00DE78EB">
        <w:rPr>
          <w:rFonts w:ascii="Arial" w:hAnsi="Arial" w:cs="Arial"/>
          <w:sz w:val="16"/>
          <w:szCs w:val="16"/>
        </w:rPr>
        <w:t>«Artículo 2.2.1.1.1.6.4. Capacidad Residual: El interesado en celebrar contratos de obra pública con Entidades Estatales debe acreditar su Capacidad Residual o K de Contratación con los siguientes documentos:</w:t>
      </w:r>
    </w:p>
    <w:p w14:paraId="7EC3251C" w14:textId="77777777" w:rsidR="00430959" w:rsidRPr="00DE78EB" w:rsidRDefault="00430959" w:rsidP="00430959">
      <w:pPr>
        <w:shd w:val="clear" w:color="auto" w:fill="FFFFFF"/>
        <w:spacing w:after="0" w:line="240" w:lineRule="auto"/>
        <w:ind w:firstLine="708"/>
        <w:jc w:val="both"/>
        <w:rPr>
          <w:rFonts w:ascii="Arial" w:hAnsi="Arial" w:cs="Arial"/>
          <w:sz w:val="16"/>
          <w:szCs w:val="16"/>
        </w:rPr>
      </w:pPr>
      <w:r w:rsidRPr="00DE78EB">
        <w:rPr>
          <w:rFonts w:ascii="Arial" w:hAnsi="Arial" w:cs="Arial"/>
          <w:sz w:val="16"/>
          <w:szCs w:val="16"/>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F73967D" w14:textId="77777777" w:rsidR="00430959" w:rsidRPr="00DE78EB" w:rsidRDefault="00430959" w:rsidP="00430959">
      <w:pPr>
        <w:shd w:val="clear" w:color="auto" w:fill="FFFFFF"/>
        <w:spacing w:after="0" w:line="240" w:lineRule="auto"/>
        <w:ind w:firstLine="709"/>
        <w:jc w:val="both"/>
        <w:rPr>
          <w:rFonts w:ascii="Arial" w:hAnsi="Arial" w:cs="Arial"/>
          <w:sz w:val="16"/>
          <w:szCs w:val="16"/>
        </w:rPr>
      </w:pPr>
      <w:r w:rsidRPr="00DE78EB">
        <w:rPr>
          <w:rFonts w:ascii="Arial" w:hAnsi="Arial" w:cs="Arial"/>
          <w:sz w:val="16"/>
          <w:szCs w:val="16"/>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06101DE" w14:textId="77777777" w:rsidR="00430959" w:rsidRPr="00DE78EB" w:rsidRDefault="00430959" w:rsidP="00430959">
      <w:pPr>
        <w:shd w:val="clear" w:color="auto" w:fill="FFFFFF"/>
        <w:spacing w:after="0" w:line="240" w:lineRule="auto"/>
        <w:ind w:firstLine="709"/>
        <w:jc w:val="both"/>
        <w:rPr>
          <w:rFonts w:ascii="Arial" w:hAnsi="Arial" w:cs="Arial"/>
          <w:sz w:val="16"/>
          <w:szCs w:val="16"/>
        </w:rPr>
      </w:pPr>
      <w:r w:rsidRPr="00DE78EB">
        <w:rPr>
          <w:rFonts w:ascii="Arial" w:hAnsi="Arial" w:cs="Arial"/>
          <w:sz w:val="16"/>
          <w:szCs w:val="16"/>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947958595">
    <w:abstractNumId w:val="0"/>
  </w:num>
  <w:num w:numId="7" w16cid:durableId="909080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2F0F"/>
    <w:rsid w:val="000A683E"/>
    <w:rsid w:val="000B19B9"/>
    <w:rsid w:val="000D0334"/>
    <w:rsid w:val="000F2C26"/>
    <w:rsid w:val="000F6486"/>
    <w:rsid w:val="00125105"/>
    <w:rsid w:val="00127233"/>
    <w:rsid w:val="0014412C"/>
    <w:rsid w:val="001E4177"/>
    <w:rsid w:val="0022223E"/>
    <w:rsid w:val="002951A0"/>
    <w:rsid w:val="002962BC"/>
    <w:rsid w:val="002A093D"/>
    <w:rsid w:val="002A49AC"/>
    <w:rsid w:val="002A64FD"/>
    <w:rsid w:val="002C7A84"/>
    <w:rsid w:val="003448F4"/>
    <w:rsid w:val="003A779E"/>
    <w:rsid w:val="003D0F4D"/>
    <w:rsid w:val="003E0499"/>
    <w:rsid w:val="003F3941"/>
    <w:rsid w:val="00400548"/>
    <w:rsid w:val="00430959"/>
    <w:rsid w:val="004A1847"/>
    <w:rsid w:val="004A305D"/>
    <w:rsid w:val="004F21C4"/>
    <w:rsid w:val="004F3F3E"/>
    <w:rsid w:val="004F685F"/>
    <w:rsid w:val="0052659D"/>
    <w:rsid w:val="005566E8"/>
    <w:rsid w:val="00565F9C"/>
    <w:rsid w:val="00574867"/>
    <w:rsid w:val="005C5CDC"/>
    <w:rsid w:val="005D476C"/>
    <w:rsid w:val="006219F8"/>
    <w:rsid w:val="00665D70"/>
    <w:rsid w:val="00687A8B"/>
    <w:rsid w:val="00706C16"/>
    <w:rsid w:val="007143F4"/>
    <w:rsid w:val="00756841"/>
    <w:rsid w:val="007649AB"/>
    <w:rsid w:val="0076773E"/>
    <w:rsid w:val="007833AC"/>
    <w:rsid w:val="007B7171"/>
    <w:rsid w:val="007C3DC2"/>
    <w:rsid w:val="007E5497"/>
    <w:rsid w:val="00806F5F"/>
    <w:rsid w:val="00820278"/>
    <w:rsid w:val="008843B6"/>
    <w:rsid w:val="00891928"/>
    <w:rsid w:val="008A446D"/>
    <w:rsid w:val="008C3C5E"/>
    <w:rsid w:val="008E05CC"/>
    <w:rsid w:val="008F0EA7"/>
    <w:rsid w:val="00923EEF"/>
    <w:rsid w:val="009419F9"/>
    <w:rsid w:val="00961B09"/>
    <w:rsid w:val="00965334"/>
    <w:rsid w:val="0097093E"/>
    <w:rsid w:val="009C71FA"/>
    <w:rsid w:val="009C72E7"/>
    <w:rsid w:val="009D266B"/>
    <w:rsid w:val="00A17233"/>
    <w:rsid w:val="00A17F13"/>
    <w:rsid w:val="00A20739"/>
    <w:rsid w:val="00A33C78"/>
    <w:rsid w:val="00AB0ADB"/>
    <w:rsid w:val="00B72CD3"/>
    <w:rsid w:val="00B72FFF"/>
    <w:rsid w:val="00BD7F72"/>
    <w:rsid w:val="00C04FB3"/>
    <w:rsid w:val="00C330EB"/>
    <w:rsid w:val="00C754BE"/>
    <w:rsid w:val="00C92467"/>
    <w:rsid w:val="00CB6357"/>
    <w:rsid w:val="00CC1B26"/>
    <w:rsid w:val="00CF333C"/>
    <w:rsid w:val="00D36428"/>
    <w:rsid w:val="00D423A2"/>
    <w:rsid w:val="00D63AC2"/>
    <w:rsid w:val="00D7383B"/>
    <w:rsid w:val="00DA231B"/>
    <w:rsid w:val="00DD3A60"/>
    <w:rsid w:val="00DE78EB"/>
    <w:rsid w:val="00DF5C97"/>
    <w:rsid w:val="00E16408"/>
    <w:rsid w:val="00E20894"/>
    <w:rsid w:val="00E245AB"/>
    <w:rsid w:val="00E50AFE"/>
    <w:rsid w:val="00E771DC"/>
    <w:rsid w:val="00E8772A"/>
    <w:rsid w:val="00E90F6B"/>
    <w:rsid w:val="00E92C27"/>
    <w:rsid w:val="00EA0E3D"/>
    <w:rsid w:val="00EB3925"/>
    <w:rsid w:val="00EE1AA8"/>
    <w:rsid w:val="00F204AB"/>
    <w:rsid w:val="00F31EDC"/>
    <w:rsid w:val="00F5664F"/>
    <w:rsid w:val="00F76AFC"/>
    <w:rsid w:val="00FB5DD1"/>
    <w:rsid w:val="00FC2B5D"/>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430959"/>
    <w:pPr>
      <w:spacing w:line="240" w:lineRule="exact"/>
    </w:pPr>
    <w:rPr>
      <w:vertAlign w:val="superscript"/>
    </w:rPr>
  </w:style>
  <w:style w:type="paragraph" w:styleId="Sinespaciado">
    <w:name w:val="No Spacing"/>
    <w:aliases w:val="No Indent"/>
    <w:uiPriority w:val="3"/>
    <w:qFormat/>
    <w:rsid w:val="00430959"/>
    <w:pPr>
      <w:spacing w:after="0" w:line="240" w:lineRule="auto"/>
    </w:pPr>
    <w:rPr>
      <w:sz w:val="24"/>
      <w:lang w:val="es-MX"/>
    </w:rPr>
  </w:style>
  <w:style w:type="paragraph" w:styleId="NormalWeb">
    <w:name w:val="Normal (Web)"/>
    <w:basedOn w:val="Normal"/>
    <w:link w:val="NormalWebCar"/>
    <w:uiPriority w:val="99"/>
    <w:unhideWhenUsed/>
    <w:rsid w:val="0043095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430959"/>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30959"/>
    <w:rPr>
      <w:rFonts w:ascii="Geomanist Light" w:hAnsi="Geomanist Light"/>
      <w:lang w:val="es-ES"/>
    </w:rPr>
  </w:style>
  <w:style w:type="paragraph" w:styleId="Textoindependiente">
    <w:name w:val="Body Text"/>
    <w:basedOn w:val="Normal"/>
    <w:link w:val="TextoindependienteCar"/>
    <w:uiPriority w:val="99"/>
    <w:unhideWhenUsed/>
    <w:rsid w:val="00430959"/>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430959"/>
    <w:rPr>
      <w:rFonts w:eastAsiaTheme="minorEastAsia"/>
      <w:lang w:eastAsia="es-CO"/>
    </w:rPr>
  </w:style>
  <w:style w:type="character" w:customStyle="1" w:styleId="Hipervnculo1">
    <w:name w:val="Hipervínculo1"/>
    <w:basedOn w:val="Fuentedeprrafopredeter"/>
    <w:uiPriority w:val="99"/>
    <w:unhideWhenUsed/>
    <w:rsid w:val="00430959"/>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leyes.senado.gov.co/proyectos/index.php/textos-radicados-senado/p-ley-2020-2021/1957-proyecto-de-ley-161-de-2020"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B10BFE0F-8F3E-46D1-85DB-0938F12D6EE7}"/>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10624</Words>
  <Characters>58432</Characters>
  <Application>Microsoft Office Word</Application>
  <DocSecurity>0</DocSecurity>
  <Lines>486</Lines>
  <Paragraphs>137</Paragraphs>
  <ScaleCrop>false</ScaleCrop>
  <Company/>
  <LinksUpToDate>false</LinksUpToDate>
  <CharactersWithSpaces>68919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6</cp:revision>
  <cp:lastPrinted>2023-01-10T21:18:00Z</cp:lastPrinted>
  <dcterms:created xsi:type="dcterms:W3CDTF">2023-08-04T23:13:00Z</dcterms:created>
  <dcterms:modified xsi:type="dcterms:W3CDTF">2023-08-30T17:10:00Z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