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C5508" w14:textId="77777777" w:rsidR="00031490" w:rsidRDefault="00031490" w:rsidP="00031490">
      <w:pPr>
        <w:spacing w:after="0" w:line="240" w:lineRule="auto"/>
        <w:jc w:val="both"/>
        <w:rPr>
          <w:rFonts w:ascii="Verdana" w:eastAsia="Geomanist Light" w:hAnsi="Verdana" w:cs="Arial"/>
          <w:b/>
          <w:bCs/>
          <w:color w:val="000000"/>
          <w:lang w:val="es-MX"/>
        </w:rPr>
      </w:pPr>
      <w:bookmarkStart w:id="0" w:name="_Hlk143780582"/>
      <w:r w:rsidRPr="00F076AA">
        <w:rPr>
          <w:rFonts w:ascii="Verdana" w:eastAsia="Geomanist Light" w:hAnsi="Verdana" w:cs="Arial"/>
          <w:b/>
          <w:bCs/>
          <w:color w:val="000000"/>
          <w:lang w:val="es-MX"/>
        </w:rPr>
        <w:t xml:space="preserve">Entidades Descentralizadas </w:t>
      </w:r>
      <w:r>
        <w:rPr>
          <w:rFonts w:ascii="Verdana" w:eastAsia="Geomanist Light" w:hAnsi="Verdana" w:cs="Arial"/>
          <w:b/>
          <w:bCs/>
          <w:color w:val="000000"/>
          <w:lang w:val="es-MX"/>
        </w:rPr>
        <w:t xml:space="preserve">– Directas </w:t>
      </w:r>
      <w:r w:rsidRPr="00F076AA">
        <w:rPr>
          <w:rFonts w:ascii="Verdana" w:eastAsia="Geomanist Light" w:hAnsi="Verdana" w:cs="Arial"/>
          <w:b/>
          <w:bCs/>
          <w:color w:val="000000"/>
          <w:lang w:val="es-MX"/>
        </w:rPr>
        <w:t>–</w:t>
      </w:r>
      <w:r>
        <w:rPr>
          <w:rFonts w:ascii="Verdana" w:eastAsia="Geomanist Light" w:hAnsi="Verdana" w:cs="Arial"/>
          <w:b/>
          <w:bCs/>
          <w:color w:val="000000"/>
          <w:lang w:val="es-MX"/>
        </w:rPr>
        <w:t xml:space="preserve"> </w:t>
      </w:r>
      <w:r w:rsidRPr="00F076AA">
        <w:rPr>
          <w:rFonts w:ascii="Verdana" w:eastAsia="Geomanist Light" w:hAnsi="Verdana" w:cs="Arial"/>
          <w:b/>
          <w:bCs/>
          <w:color w:val="000000"/>
          <w:lang w:val="es-MX"/>
        </w:rPr>
        <w:t>Indirectas</w:t>
      </w:r>
      <w:r>
        <w:rPr>
          <w:rFonts w:ascii="Verdana" w:eastAsia="Geomanist Light" w:hAnsi="Verdana" w:cs="Arial"/>
          <w:b/>
          <w:bCs/>
          <w:color w:val="000000"/>
          <w:lang w:val="es-MX"/>
        </w:rPr>
        <w:t xml:space="preserve"> </w:t>
      </w:r>
      <w:r w:rsidRPr="00F076AA">
        <w:rPr>
          <w:rFonts w:ascii="Verdana" w:eastAsia="Geomanist Light" w:hAnsi="Verdana" w:cs="Arial"/>
          <w:b/>
          <w:bCs/>
          <w:color w:val="000000"/>
          <w:lang w:val="es-MX"/>
        </w:rPr>
        <w:t>–</w:t>
      </w:r>
      <w:r>
        <w:rPr>
          <w:rFonts w:ascii="Verdana" w:eastAsia="Geomanist Light" w:hAnsi="Verdana" w:cs="Arial"/>
          <w:b/>
          <w:bCs/>
          <w:color w:val="000000"/>
          <w:lang w:val="es-MX"/>
        </w:rPr>
        <w:t xml:space="preserve"> Noción </w:t>
      </w:r>
    </w:p>
    <w:p w14:paraId="3FD70593" w14:textId="77777777" w:rsidR="00031490" w:rsidRDefault="00031490" w:rsidP="00031490">
      <w:pPr>
        <w:spacing w:after="0" w:line="240" w:lineRule="auto"/>
        <w:jc w:val="both"/>
        <w:rPr>
          <w:rFonts w:ascii="Verdana" w:eastAsia="Geomanist Light" w:hAnsi="Verdana" w:cs="Arial"/>
          <w:b/>
          <w:bCs/>
          <w:color w:val="000000"/>
          <w:lang w:val="es-MX"/>
        </w:rPr>
      </w:pPr>
    </w:p>
    <w:p w14:paraId="36FDA0EF" w14:textId="77777777" w:rsidR="00031490" w:rsidRPr="00FA7C1F" w:rsidRDefault="00031490" w:rsidP="00031490">
      <w:pPr>
        <w:spacing w:after="0" w:line="240" w:lineRule="auto"/>
        <w:jc w:val="both"/>
        <w:rPr>
          <w:rFonts w:ascii="Verdana" w:eastAsia="Times New Roman" w:hAnsi="Verdana" w:cs="Arial"/>
          <w:bCs/>
          <w:sz w:val="20"/>
          <w:szCs w:val="20"/>
          <w:lang w:eastAsia="es-CO"/>
        </w:rPr>
      </w:pPr>
      <w:r w:rsidRPr="00FA7C1F">
        <w:rPr>
          <w:rFonts w:ascii="Verdana" w:eastAsia="Times New Roman" w:hAnsi="Verdana" w:cs="Arial"/>
          <w:bCs/>
          <w:sz w:val="20"/>
          <w:szCs w:val="20"/>
          <w:lang w:eastAsia="es-CO"/>
        </w:rPr>
        <w:t>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FA7C1F">
        <w:rPr>
          <w:rFonts w:ascii="Verdana" w:eastAsia="Times New Roman" w:hAnsi="Verdana" w:cs="Arial"/>
          <w:bCs/>
          <w:sz w:val="20"/>
          <w:szCs w:val="20"/>
          <w:vertAlign w:val="superscript"/>
          <w:lang w:eastAsia="es-CO"/>
        </w:rPr>
        <w:footnoteReference w:id="2"/>
      </w:r>
      <w:r w:rsidRPr="00FA7C1F">
        <w:rPr>
          <w:rFonts w:ascii="Verdana" w:eastAsia="Times New Roman" w:hAnsi="Verdana" w:cs="Arial"/>
          <w:bCs/>
          <w:sz w:val="20"/>
          <w:szCs w:val="20"/>
          <w:lang w:eastAsia="es-CO"/>
        </w:rPr>
        <w:t xml:space="preserve">. En el mismo sentido, la doctrina nacional ha señalado que, entidades descentralizadas indirectas o de segundo grado es el nombre que se ha dado en las personas jurídicas que nacen no de la ley, sino de la voluntad asociativa de los entes públicos. </w:t>
      </w:r>
    </w:p>
    <w:p w14:paraId="3B13C412" w14:textId="77777777" w:rsidR="00031490" w:rsidRDefault="00031490" w:rsidP="00031490">
      <w:pPr>
        <w:spacing w:after="0" w:line="240" w:lineRule="auto"/>
        <w:jc w:val="both"/>
        <w:rPr>
          <w:rFonts w:ascii="Verdana" w:eastAsia="Geomanist Light" w:hAnsi="Verdana" w:cs="Arial"/>
          <w:b/>
          <w:bCs/>
          <w:color w:val="000000"/>
          <w:lang w:val="es-MX"/>
        </w:rPr>
      </w:pPr>
    </w:p>
    <w:p w14:paraId="0055B8D1" w14:textId="77777777" w:rsidR="00031490" w:rsidRDefault="00031490" w:rsidP="00031490">
      <w:pPr>
        <w:spacing w:after="0" w:line="240" w:lineRule="auto"/>
        <w:jc w:val="both"/>
        <w:rPr>
          <w:rFonts w:ascii="Verdana" w:eastAsia="Geomanist Light" w:hAnsi="Verdana" w:cs="Arial"/>
          <w:color w:val="000000"/>
          <w:lang w:val="es-MX"/>
        </w:rPr>
      </w:pPr>
      <w:r w:rsidRPr="00F076AA">
        <w:rPr>
          <w:rFonts w:ascii="Verdana" w:eastAsia="Geomanist Light" w:hAnsi="Verdana" w:cs="Arial"/>
          <w:b/>
          <w:bCs/>
          <w:color w:val="000000"/>
          <w:lang w:val="es-MX"/>
        </w:rPr>
        <w:t>ESTATUTO GENERAL CONTRATACIÓN – Aplicación – Entidades Descentralizadas Indirectas con participación pública minoritaria</w:t>
      </w:r>
    </w:p>
    <w:p w14:paraId="739FC7F8" w14:textId="77777777" w:rsidR="00031490" w:rsidRPr="00FA7C1F" w:rsidRDefault="00031490" w:rsidP="00031490">
      <w:pPr>
        <w:spacing w:after="0" w:line="240" w:lineRule="auto"/>
        <w:jc w:val="both"/>
        <w:rPr>
          <w:rFonts w:ascii="Verdana" w:eastAsia="Geomanist Light" w:hAnsi="Verdana" w:cs="Arial"/>
          <w:color w:val="000000"/>
          <w:lang w:val="es-MX"/>
        </w:rPr>
      </w:pPr>
    </w:p>
    <w:p w14:paraId="53C76F14" w14:textId="77777777" w:rsidR="00031490" w:rsidRPr="00FA7C1F" w:rsidRDefault="00031490" w:rsidP="00031490">
      <w:pPr>
        <w:spacing w:after="0" w:line="240" w:lineRule="auto"/>
        <w:jc w:val="both"/>
        <w:rPr>
          <w:rFonts w:ascii="Verdana" w:eastAsia="Times New Roman" w:hAnsi="Verdana" w:cs="Arial"/>
          <w:sz w:val="20"/>
          <w:szCs w:val="20"/>
          <w:lang w:eastAsia="es-ES_tradnl"/>
        </w:rPr>
      </w:pPr>
      <w:r w:rsidRPr="00FA7C1F">
        <w:rPr>
          <w:rFonts w:ascii="Verdana" w:eastAsia="Geomanist Light" w:hAnsi="Verdana" w:cs="Arial"/>
          <w:color w:val="000000"/>
          <w:sz w:val="20"/>
          <w:szCs w:val="20"/>
          <w:lang w:val="es-MX"/>
        </w:rPr>
        <w:t xml:space="preserve">En cuanto a las entidades descentralizadas indirectas debe señalarse que, en virtud de la referencia genérica realizada a la misma por el literal a) del numeral 1 del artículo 2 de la Ley 80 de 1993, es posible afirmar que son definidas como entidades estatales, por lo que se encuentran sometidas al EGCAP.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se encuadran dentro de las entidades estatales sometidas al EGCAP de conformidad con lo establecido en el numeral 1 del artículo 2 de la Ley 80 de 1993, por lo que su contratación no está regida por dicho cuerpo normativo. </w:t>
      </w:r>
    </w:p>
    <w:p w14:paraId="24FD2F67" w14:textId="77777777" w:rsidR="00031490" w:rsidRDefault="00031490" w:rsidP="00031490">
      <w:pPr>
        <w:spacing w:after="0" w:line="240" w:lineRule="auto"/>
        <w:jc w:val="both"/>
        <w:rPr>
          <w:rFonts w:ascii="Verdana" w:eastAsia="Times New Roman" w:hAnsi="Verdana" w:cs="Arial"/>
          <w:lang w:eastAsia="es-ES_tradnl"/>
        </w:rPr>
      </w:pPr>
    </w:p>
    <w:p w14:paraId="201053CB" w14:textId="77777777" w:rsidR="00031490" w:rsidRPr="00F076AA" w:rsidRDefault="00031490" w:rsidP="00031490">
      <w:pPr>
        <w:spacing w:after="0" w:line="240" w:lineRule="auto"/>
        <w:jc w:val="both"/>
        <w:rPr>
          <w:rFonts w:ascii="Verdana" w:eastAsia="Times New Roman" w:hAnsi="Verdana" w:cs="Arial"/>
          <w:b/>
          <w:bCs/>
          <w:lang w:eastAsia="es-ES_tradnl"/>
        </w:rPr>
      </w:pPr>
      <w:r w:rsidRPr="00F076AA">
        <w:rPr>
          <w:rFonts w:ascii="Verdana" w:eastAsia="Times New Roman" w:hAnsi="Verdana" w:cs="Arial"/>
          <w:b/>
          <w:bCs/>
          <w:lang w:eastAsia="es-ES_tradnl"/>
        </w:rPr>
        <w:t xml:space="preserve">DOCUMENTOS TIPO – Fundamento normativo – Obligatoriedad – Ámbito de aplicación – Entidades sometidas  </w:t>
      </w:r>
    </w:p>
    <w:p w14:paraId="2D6B5044" w14:textId="77777777" w:rsidR="00031490" w:rsidRPr="00710507" w:rsidRDefault="00031490" w:rsidP="00031490">
      <w:pPr>
        <w:spacing w:after="0" w:line="240" w:lineRule="auto"/>
        <w:jc w:val="both"/>
        <w:rPr>
          <w:rFonts w:ascii="Verdana" w:eastAsia="Times New Roman" w:hAnsi="Verdana" w:cs="Arial"/>
          <w:b/>
          <w:bCs/>
          <w:sz w:val="20"/>
          <w:szCs w:val="20"/>
          <w:lang w:eastAsia="es-ES_tradnl"/>
        </w:rPr>
      </w:pPr>
    </w:p>
    <w:p w14:paraId="08F2F90E" w14:textId="77777777" w:rsidR="00031490" w:rsidRPr="00710507" w:rsidRDefault="00031490" w:rsidP="00031490">
      <w:pPr>
        <w:spacing w:after="0" w:line="240" w:lineRule="auto"/>
        <w:jc w:val="both"/>
        <w:rPr>
          <w:rFonts w:ascii="Verdana" w:eastAsia="Calibri" w:hAnsi="Verdana" w:cs="Arial"/>
          <w:sz w:val="20"/>
          <w:szCs w:val="20"/>
          <w:lang w:val="es-ES_tradnl" w:eastAsia="es-ES"/>
        </w:rPr>
      </w:pPr>
      <w:r w:rsidRPr="00710507">
        <w:rPr>
          <w:rFonts w:ascii="Verdana" w:eastAsia="Calibri" w:hAnsi="Verdana"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710507">
        <w:rPr>
          <w:rFonts w:ascii="Verdana" w:eastAsia="Calibri" w:hAnsi="Verdana" w:cs="Arial"/>
          <w:bCs/>
          <w:sz w:val="20"/>
          <w:szCs w:val="20"/>
          <w:lang w:val="es-ES_tradnl" w:eastAsia="es-ES_tradnl"/>
        </w:rPr>
        <w:t>EGCAP</w:t>
      </w:r>
      <w:r w:rsidRPr="00710507">
        <w:rPr>
          <w:rFonts w:ascii="Verdana" w:eastAsia="Calibri" w:hAnsi="Verdana" w:cs="Arial"/>
          <w:sz w:val="20"/>
          <w:szCs w:val="20"/>
          <w:lang w:val="es-ES_tradnl" w:eastAsia="es-ES"/>
        </w:rPr>
        <w:t xml:space="preserve">, se atribuyó a la </w:t>
      </w:r>
      <w:r w:rsidRPr="00710507">
        <w:rPr>
          <w:rFonts w:ascii="Verdana" w:eastAsia="Calibri" w:hAnsi="Verdana" w:cs="Arial"/>
          <w:sz w:val="20"/>
          <w:szCs w:val="20"/>
          <w:lang w:val="es-ES_tradnl" w:eastAsia="es-ES_tradnl"/>
        </w:rPr>
        <w:t xml:space="preserve">Agencia Nacional de Contratación Pública – Colombia Compra Eficiente la competencia para su expedición. </w:t>
      </w:r>
    </w:p>
    <w:p w14:paraId="6C4931F9" w14:textId="77777777" w:rsidR="00031490" w:rsidRPr="00710507" w:rsidRDefault="00031490" w:rsidP="00031490">
      <w:pPr>
        <w:spacing w:after="0" w:line="240" w:lineRule="auto"/>
        <w:jc w:val="both"/>
        <w:rPr>
          <w:rFonts w:ascii="Verdana" w:eastAsia="Calibri" w:hAnsi="Verdana" w:cs="Arial"/>
          <w:sz w:val="20"/>
          <w:szCs w:val="20"/>
          <w:lang w:val="es-ES_tradnl" w:eastAsia="es-ES"/>
        </w:rPr>
      </w:pPr>
    </w:p>
    <w:p w14:paraId="4F0F1DE2" w14:textId="77777777" w:rsidR="00031490" w:rsidRPr="00710507" w:rsidRDefault="00031490" w:rsidP="00031490">
      <w:pPr>
        <w:spacing w:after="0" w:line="240" w:lineRule="auto"/>
        <w:jc w:val="both"/>
        <w:rPr>
          <w:rFonts w:ascii="Verdana" w:eastAsia="Calibri" w:hAnsi="Verdana" w:cs="Arial"/>
          <w:sz w:val="20"/>
          <w:szCs w:val="20"/>
        </w:rPr>
      </w:pPr>
      <w:r w:rsidRPr="00710507">
        <w:rPr>
          <w:rFonts w:ascii="Verdana" w:eastAsia="Calibri" w:hAnsi="Verdana" w:cs="Arial"/>
          <w:sz w:val="20"/>
          <w:szCs w:val="20"/>
          <w:lang w:eastAsia="es-ES_tradnl"/>
        </w:rPr>
        <w:t xml:space="preserve">De acuerdo con lo expuesto, </w:t>
      </w:r>
      <w:r w:rsidRPr="00710507">
        <w:rPr>
          <w:rFonts w:ascii="Verdana" w:eastAsia="Calibri" w:hAnsi="Verdana" w:cs="Arial"/>
          <w:sz w:val="20"/>
          <w:szCs w:val="20"/>
          <w:bdr w:val="none" w:sz="0" w:space="0" w:color="auto" w:frame="1"/>
          <w:lang w:eastAsia="es-ES_tradnl"/>
        </w:rPr>
        <w:t xml:space="preserve">los Documentos Tipo adoptados son obligatorios para las Entidades Estatales regidas por el </w:t>
      </w:r>
      <w:r w:rsidRPr="00710507">
        <w:rPr>
          <w:rFonts w:ascii="Verdana" w:eastAsia="Calibri" w:hAnsi="Verdana" w:cs="Arial"/>
          <w:bCs/>
          <w:sz w:val="20"/>
          <w:szCs w:val="20"/>
          <w:lang w:val="es-ES_tradnl" w:eastAsia="es-ES_tradnl"/>
        </w:rPr>
        <w:t>EGCAP</w:t>
      </w:r>
      <w:r w:rsidRPr="00710507">
        <w:rPr>
          <w:rFonts w:ascii="Verdana" w:eastAsia="Calibri" w:hAnsi="Verdana"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p>
    <w:p w14:paraId="11FA4DD5" w14:textId="77777777" w:rsidR="00031490" w:rsidRPr="00871136" w:rsidRDefault="00031490" w:rsidP="00031490">
      <w:pPr>
        <w:spacing w:after="0" w:line="240" w:lineRule="auto"/>
        <w:jc w:val="both"/>
        <w:rPr>
          <w:rFonts w:ascii="Verdana" w:eastAsia="Times New Roman" w:hAnsi="Verdana" w:cs="Arial"/>
          <w:b/>
          <w:bCs/>
          <w:lang w:eastAsia="es-ES_tradnl"/>
        </w:rPr>
      </w:pPr>
    </w:p>
    <w:p w14:paraId="4A8898FA" w14:textId="77777777" w:rsidR="00031490" w:rsidRPr="007D0145" w:rsidRDefault="00031490" w:rsidP="00031490">
      <w:pPr>
        <w:spacing w:after="0" w:line="240" w:lineRule="auto"/>
        <w:jc w:val="both"/>
        <w:rPr>
          <w:rFonts w:ascii="Verdana" w:eastAsia="Calibri" w:hAnsi="Verdana" w:cs="Arial"/>
          <w:b/>
          <w:color w:val="000000"/>
          <w:szCs w:val="24"/>
          <w:lang w:val="es-ES_tradnl" w:eastAsia="es-ES_tradnl"/>
        </w:rPr>
      </w:pPr>
      <w:r w:rsidRPr="007D0145">
        <w:rPr>
          <w:rFonts w:ascii="Verdana" w:eastAsia="Calibri" w:hAnsi="Verdana" w:cs="Arial"/>
          <w:b/>
          <w:color w:val="000000"/>
          <w:szCs w:val="24"/>
          <w:lang w:val="es-ES_tradnl" w:eastAsia="es-ES_tradnl"/>
        </w:rPr>
        <w:t>LEY 2195 DE 2022 – Artículo 56 – Personas jurídicas de derecho privado – Documentos tipo – Estatuto General de Contratación de la Administración Pública</w:t>
      </w:r>
    </w:p>
    <w:p w14:paraId="75619C4A" w14:textId="77777777" w:rsidR="00031490" w:rsidRPr="007D0145" w:rsidRDefault="00031490" w:rsidP="00031490">
      <w:pPr>
        <w:spacing w:after="0" w:line="240" w:lineRule="auto"/>
        <w:jc w:val="both"/>
        <w:rPr>
          <w:rFonts w:ascii="Verdana" w:eastAsia="Calibri" w:hAnsi="Verdana" w:cs="Arial"/>
          <w:b/>
          <w:color w:val="000000"/>
          <w:szCs w:val="24"/>
          <w:lang w:val="es-ES_tradnl" w:eastAsia="es-ES_tradnl"/>
        </w:rPr>
      </w:pPr>
    </w:p>
    <w:p w14:paraId="3CB5AB2F" w14:textId="77777777" w:rsidR="00031490" w:rsidRPr="007D0145" w:rsidRDefault="00031490" w:rsidP="00031490">
      <w:pPr>
        <w:spacing w:after="0" w:line="240" w:lineRule="auto"/>
        <w:jc w:val="both"/>
        <w:rPr>
          <w:rFonts w:ascii="Verdana" w:eastAsia="Calibri" w:hAnsi="Verdana" w:cs="Arial"/>
          <w:bCs/>
          <w:color w:val="000000"/>
          <w:sz w:val="20"/>
          <w:lang w:val="es-ES_tradnl" w:eastAsia="es-ES_tradnl"/>
        </w:rPr>
      </w:pPr>
      <w:r w:rsidRPr="007D0145">
        <w:rPr>
          <w:rFonts w:ascii="Verdana" w:eastAsia="Calibri" w:hAnsi="Verdana" w:cs="Arial"/>
          <w:bCs/>
          <w:color w:val="000000"/>
          <w:sz w:val="20"/>
          <w:lang w:val="es-ES_tradnl" w:eastAsia="es-ES_tradnl"/>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2074FDEC" w14:textId="77777777" w:rsidR="00031490" w:rsidRPr="007D0145" w:rsidRDefault="00031490" w:rsidP="00031490">
      <w:pPr>
        <w:spacing w:after="0" w:line="276" w:lineRule="auto"/>
        <w:jc w:val="both"/>
        <w:rPr>
          <w:rFonts w:ascii="Verdana" w:eastAsia="Times New Roman" w:hAnsi="Verdana" w:cs="Arial"/>
          <w:noProof/>
          <w:color w:val="000000"/>
          <w:szCs w:val="24"/>
          <w:lang w:val="es-ES_tradnl" w:eastAsia="es-ES_tradnl"/>
        </w:rPr>
      </w:pPr>
    </w:p>
    <w:p w14:paraId="433E0407" w14:textId="77777777" w:rsidR="00031490" w:rsidRDefault="00031490" w:rsidP="00031490">
      <w:pPr>
        <w:tabs>
          <w:tab w:val="left" w:pos="0"/>
        </w:tabs>
        <w:spacing w:after="0" w:line="276" w:lineRule="auto"/>
        <w:jc w:val="both"/>
        <w:rPr>
          <w:rFonts w:ascii="Verdana" w:eastAsia="Calibri" w:hAnsi="Verdana" w:cs="Arial"/>
          <w:b/>
          <w:color w:val="000000"/>
          <w:szCs w:val="24"/>
          <w:lang w:val="es-ES_tradnl" w:eastAsia="es-ES_tradnl"/>
        </w:rPr>
      </w:pPr>
      <w:r w:rsidRPr="007D0145">
        <w:rPr>
          <w:rFonts w:ascii="Verdana" w:eastAsia="Calibri" w:hAnsi="Verdana" w:cs="Arial"/>
          <w:b/>
          <w:color w:val="000000"/>
          <w:szCs w:val="24"/>
          <w:lang w:val="es-ES_tradnl" w:eastAsia="es-ES_tradnl"/>
        </w:rPr>
        <w:t xml:space="preserve">LEY 2195 DE 2022 – Artículo 56 – Parágrafo – Excepciones </w:t>
      </w:r>
    </w:p>
    <w:p w14:paraId="3D2D4A59" w14:textId="77777777" w:rsidR="00031490" w:rsidRPr="007D0145" w:rsidRDefault="00031490" w:rsidP="00031490">
      <w:pPr>
        <w:tabs>
          <w:tab w:val="left" w:pos="0"/>
        </w:tabs>
        <w:spacing w:after="0" w:line="276" w:lineRule="auto"/>
        <w:jc w:val="both"/>
        <w:rPr>
          <w:rFonts w:ascii="Verdana" w:eastAsia="Calibri" w:hAnsi="Verdana" w:cs="Arial"/>
          <w:bCs/>
          <w:color w:val="000000"/>
          <w:szCs w:val="24"/>
          <w:lang w:val="es-ES_tradnl" w:eastAsia="es-ES_tradnl"/>
        </w:rPr>
      </w:pPr>
    </w:p>
    <w:p w14:paraId="0D8A0EF4" w14:textId="77777777" w:rsidR="00031490" w:rsidRDefault="00031490" w:rsidP="4A3D63EC">
      <w:pPr>
        <w:spacing w:after="0" w:line="240" w:lineRule="auto"/>
        <w:jc w:val="both"/>
        <w:rPr>
          <w:rFonts w:ascii="Arial" w:eastAsia="Times New Roman" w:hAnsi="Arial" w:cs="Arial"/>
          <w:noProof/>
          <w:color w:val="000000"/>
          <w:lang w:val="es-ES" w:eastAsia="es-ES"/>
        </w:rPr>
      </w:pPr>
      <w:r w:rsidRPr="4A3D63EC">
        <w:rPr>
          <w:rFonts w:ascii="Verdana" w:eastAsia="Calibri" w:hAnsi="Verdana" w:cs="Arial"/>
          <w:color w:val="000000" w:themeColor="text1"/>
          <w:sz w:val="20"/>
          <w:szCs w:val="20"/>
          <w:lang w:val="es-ES" w:eastAsia="es-ES"/>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w:t>
      </w:r>
    </w:p>
    <w:p w14:paraId="046C5939"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4BA7841F"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74847DBD"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19D8ABC1"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2841DAC4"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017247E8"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183D3353"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7EE6B8CA"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744C0737"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23BDCBE2"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43435D2A"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0A59F9B7"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38CD92B6"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4182108E"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35C1F985" w14:textId="77777777" w:rsidR="00031490" w:rsidRDefault="00031490" w:rsidP="00031490">
      <w:pPr>
        <w:spacing w:after="0" w:line="276" w:lineRule="auto"/>
        <w:jc w:val="both"/>
        <w:rPr>
          <w:rFonts w:ascii="Arial" w:eastAsia="Times New Roman" w:hAnsi="Arial" w:cs="Arial"/>
          <w:noProof/>
          <w:color w:val="000000"/>
          <w:szCs w:val="24"/>
          <w:lang w:val="es-ES_tradnl" w:eastAsia="es-ES_tradnl"/>
        </w:rPr>
      </w:pPr>
    </w:p>
    <w:p w14:paraId="6D8E264D" w14:textId="77777777" w:rsidR="00031490" w:rsidRPr="00871136" w:rsidRDefault="00031490" w:rsidP="00031490">
      <w:pPr>
        <w:spacing w:after="0" w:line="276" w:lineRule="auto"/>
        <w:jc w:val="both"/>
        <w:rPr>
          <w:rFonts w:ascii="Arial" w:eastAsia="Times New Roman" w:hAnsi="Arial" w:cs="Arial"/>
          <w:noProof/>
          <w:color w:val="000000"/>
          <w:szCs w:val="24"/>
          <w:lang w:val="es-ES_tradnl" w:eastAsia="es-ES_tradnl"/>
        </w:rPr>
      </w:pPr>
    </w:p>
    <w:bookmarkEnd w:id="0"/>
    <w:p w14:paraId="016040A7" w14:textId="3D10D822" w:rsidR="00031490" w:rsidRDefault="00031490" w:rsidP="00031490">
      <w:pPr>
        <w:spacing w:after="0" w:line="240" w:lineRule="auto"/>
        <w:rPr>
          <w:rFonts w:ascii="Verdana" w:eastAsia="Calibri" w:hAnsi="Verdana" w:cs="Arial"/>
          <w:lang w:val="es-MX" w:eastAsia="es-ES"/>
        </w:rPr>
      </w:pPr>
      <w:r w:rsidRPr="009322DA">
        <w:rPr>
          <w:rFonts w:ascii="Verdana" w:eastAsia="Geomanist Light" w:hAnsi="Verdana" w:cs="Arial"/>
          <w:lang w:val="es-MX"/>
        </w:rPr>
        <w:t>Bogotá D.C., </w:t>
      </w:r>
      <w:r w:rsidR="002C1EB2">
        <w:rPr>
          <w:rFonts w:ascii="Verdana" w:eastAsia="Geomanist Light" w:hAnsi="Verdana" w:cs="Arial"/>
          <w:lang w:val="es-MX"/>
        </w:rPr>
        <w:t>26 de marzo de 2025</w:t>
      </w:r>
    </w:p>
    <w:p w14:paraId="649CF0B3" w14:textId="77777777" w:rsidR="00031490" w:rsidRDefault="00031490" w:rsidP="00031490">
      <w:pPr>
        <w:spacing w:after="0" w:line="240" w:lineRule="auto"/>
        <w:rPr>
          <w:rFonts w:ascii="Verdana" w:eastAsia="Calibri" w:hAnsi="Verdana" w:cs="Arial"/>
          <w:lang w:val="es-ES" w:eastAsia="es-ES"/>
        </w:rPr>
      </w:pPr>
    </w:p>
    <w:p w14:paraId="21A46917" w14:textId="77777777" w:rsidR="002C1EB2" w:rsidRDefault="002C1EB2" w:rsidP="00031490">
      <w:pPr>
        <w:spacing w:after="0" w:line="240" w:lineRule="auto"/>
        <w:rPr>
          <w:rFonts w:ascii="Verdana" w:eastAsia="Calibri" w:hAnsi="Verdana" w:cs="Arial"/>
          <w:lang w:val="es-ES" w:eastAsia="es-ES"/>
        </w:rPr>
      </w:pPr>
    </w:p>
    <w:p w14:paraId="7B84D81F" w14:textId="461E0C78" w:rsidR="002C1EB2" w:rsidRDefault="002C1EB2" w:rsidP="002C1EB2">
      <w:pPr>
        <w:spacing w:after="0" w:line="240" w:lineRule="auto"/>
        <w:jc w:val="right"/>
        <w:rPr>
          <w:rFonts w:ascii="Verdana" w:eastAsia="Calibri" w:hAnsi="Verdana" w:cs="Arial"/>
          <w:lang w:val="es-ES" w:eastAsia="es-ES"/>
        </w:rPr>
      </w:pPr>
      <w:r w:rsidRPr="002C1EB2">
        <w:rPr>
          <w:rFonts w:ascii="Verdana" w:eastAsia="Calibri" w:hAnsi="Verdana" w:cs="Arial"/>
          <w:lang w:val="es-ES" w:eastAsia="es-ES"/>
        </w:rPr>
        <w:drawing>
          <wp:inline distT="0" distB="0" distL="0" distR="0" wp14:anchorId="09D14358" wp14:editId="3C114216">
            <wp:extent cx="3352825" cy="1085858"/>
            <wp:effectExtent l="0" t="0" r="0" b="0"/>
            <wp:docPr id="1666396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396848" name=""/>
                    <pic:cNvPicPr/>
                  </pic:nvPicPr>
                  <pic:blipFill>
                    <a:blip r:embed="rId10"/>
                    <a:stretch>
                      <a:fillRect/>
                    </a:stretch>
                  </pic:blipFill>
                  <pic:spPr>
                    <a:xfrm>
                      <a:off x="0" y="0"/>
                      <a:ext cx="3352825" cy="1085858"/>
                    </a:xfrm>
                    <a:prstGeom prst="rect">
                      <a:avLst/>
                    </a:prstGeom>
                  </pic:spPr>
                </pic:pic>
              </a:graphicData>
            </a:graphic>
          </wp:inline>
        </w:drawing>
      </w:r>
    </w:p>
    <w:p w14:paraId="73CAFF68" w14:textId="77777777" w:rsidR="00031490" w:rsidRPr="00172312" w:rsidRDefault="00031490" w:rsidP="00031490">
      <w:pPr>
        <w:spacing w:after="0" w:line="240" w:lineRule="auto"/>
        <w:rPr>
          <w:rFonts w:ascii="Verdana" w:hAnsi="Verdana"/>
        </w:rPr>
      </w:pPr>
      <w:r w:rsidRPr="00F95ECD">
        <w:rPr>
          <w:rFonts w:ascii="Verdana" w:eastAsia="Calibri" w:hAnsi="Verdana" w:cs="Arial"/>
          <w:lang w:val="es-ES" w:eastAsia="es-ES"/>
        </w:rPr>
        <w:t>Señor</w:t>
      </w:r>
    </w:p>
    <w:p w14:paraId="4DB5322A" w14:textId="77777777" w:rsidR="00031490" w:rsidRDefault="00031490" w:rsidP="00031490">
      <w:pPr>
        <w:spacing w:after="0" w:line="240" w:lineRule="auto"/>
        <w:rPr>
          <w:rFonts w:ascii="Verdana" w:eastAsia="Calibri" w:hAnsi="Verdana" w:cs="Arial"/>
          <w:b/>
          <w:bCs/>
          <w:lang w:eastAsia="es-ES_tradnl"/>
        </w:rPr>
      </w:pPr>
      <w:r>
        <w:rPr>
          <w:rFonts w:ascii="Verdana" w:eastAsia="Calibri" w:hAnsi="Verdana" w:cs="Arial"/>
          <w:b/>
          <w:bCs/>
          <w:lang w:eastAsia="es-ES_tradnl"/>
        </w:rPr>
        <w:t>Fredy Alberto Almeida Sierra</w:t>
      </w:r>
    </w:p>
    <w:p w14:paraId="3B5258FD" w14:textId="77777777" w:rsidR="00031490" w:rsidRPr="00FA7C1F" w:rsidRDefault="00031490" w:rsidP="00031490">
      <w:pPr>
        <w:spacing w:after="0" w:line="240" w:lineRule="auto"/>
        <w:rPr>
          <w:rFonts w:ascii="Verdana" w:eastAsia="Calibri" w:hAnsi="Verdana" w:cs="Arial"/>
          <w:lang w:eastAsia="es-ES_tradnl"/>
        </w:rPr>
      </w:pPr>
      <w:r w:rsidRPr="00FA7C1F">
        <w:rPr>
          <w:rFonts w:ascii="Verdana" w:eastAsia="Calibri" w:hAnsi="Verdana" w:cs="Arial"/>
          <w:lang w:eastAsia="es-ES_tradnl"/>
        </w:rPr>
        <w:t>Bucaramanga, Santander</w:t>
      </w:r>
    </w:p>
    <w:p w14:paraId="612CB2AE" w14:textId="77777777" w:rsidR="00031490" w:rsidRPr="00655054" w:rsidRDefault="00031490" w:rsidP="00031490">
      <w:pPr>
        <w:spacing w:after="0" w:line="240" w:lineRule="auto"/>
        <w:rPr>
          <w:rFonts w:ascii="Verdana" w:eastAsia="Calibri" w:hAnsi="Verdana" w:cs="Arial"/>
          <w:b/>
          <w:lang w:eastAsia="es-ES_tradnl"/>
        </w:rPr>
      </w:pPr>
    </w:p>
    <w:p w14:paraId="0ACFB613" w14:textId="77777777" w:rsidR="00031490" w:rsidRPr="00F95ECD" w:rsidRDefault="00031490" w:rsidP="0003149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31490" w:rsidRPr="00F95ECD" w14:paraId="51D12613" w14:textId="77777777" w:rsidTr="00575E6F">
        <w:trPr>
          <w:trHeight w:val="229"/>
        </w:trPr>
        <w:tc>
          <w:tcPr>
            <w:tcW w:w="2689" w:type="dxa"/>
          </w:tcPr>
          <w:p w14:paraId="5D88A9DA" w14:textId="77777777" w:rsidR="00031490" w:rsidRPr="00F95ECD" w:rsidRDefault="00031490" w:rsidP="00575E6F">
            <w:pPr>
              <w:jc w:val="both"/>
              <w:rPr>
                <w:rFonts w:ascii="Verdana" w:eastAsia="Calibri" w:hAnsi="Verdana" w:cs="Arial"/>
                <w:b/>
                <w:bCs/>
                <w:lang w:val="es-ES_tradnl" w:eastAsia="es-ES_tradnl"/>
              </w:rPr>
            </w:pPr>
          </w:p>
        </w:tc>
        <w:tc>
          <w:tcPr>
            <w:tcW w:w="6100" w:type="dxa"/>
          </w:tcPr>
          <w:p w14:paraId="5EE8FDD0" w14:textId="77777777" w:rsidR="00031490" w:rsidRPr="00F95ECD" w:rsidRDefault="00031490" w:rsidP="00575E6F">
            <w:pPr>
              <w:jc w:val="both"/>
              <w:rPr>
                <w:rFonts w:ascii="Verdana" w:eastAsia="Calibri" w:hAnsi="Verdana" w:cs="Arial"/>
                <w:b/>
                <w:bCs/>
                <w:lang w:val="es-ES" w:eastAsia="es-ES"/>
              </w:rPr>
            </w:pPr>
            <w:r w:rsidRPr="00F95ECD">
              <w:rPr>
                <w:rFonts w:ascii="Verdana" w:eastAsia="Calibri" w:hAnsi="Verdana" w:cs="Arial"/>
                <w:b/>
                <w:bCs/>
                <w:lang w:val="es-ES" w:eastAsia="es-ES"/>
              </w:rPr>
              <w:t>Concepto C-</w:t>
            </w:r>
            <w:r>
              <w:rPr>
                <w:rFonts w:ascii="Verdana" w:eastAsia="Calibri" w:hAnsi="Verdana" w:cs="Arial"/>
                <w:b/>
                <w:bCs/>
                <w:lang w:val="es-ES" w:eastAsia="es-ES"/>
              </w:rPr>
              <w:t>202</w:t>
            </w:r>
            <w:r w:rsidRPr="00F95ECD">
              <w:rPr>
                <w:rFonts w:ascii="Verdana" w:eastAsia="Calibri" w:hAnsi="Verdana" w:cs="Arial"/>
                <w:b/>
                <w:bCs/>
                <w:lang w:val="es-ES" w:eastAsia="es-ES"/>
              </w:rPr>
              <w:t xml:space="preserve"> de 202</w:t>
            </w:r>
            <w:r>
              <w:rPr>
                <w:rFonts w:ascii="Verdana" w:eastAsia="Calibri" w:hAnsi="Verdana" w:cs="Arial"/>
                <w:b/>
                <w:bCs/>
                <w:lang w:val="es-ES" w:eastAsia="es-ES"/>
              </w:rPr>
              <w:t>5</w:t>
            </w:r>
          </w:p>
          <w:p w14:paraId="2B5E0ACD" w14:textId="77777777" w:rsidR="00031490" w:rsidRPr="00F95ECD" w:rsidRDefault="00031490" w:rsidP="00575E6F">
            <w:pPr>
              <w:jc w:val="both"/>
              <w:rPr>
                <w:rFonts w:ascii="Verdana" w:eastAsia="Calibri" w:hAnsi="Verdana" w:cs="Arial"/>
                <w:b/>
                <w:bCs/>
                <w:lang w:val="es-ES" w:eastAsia="es-ES"/>
              </w:rPr>
            </w:pPr>
          </w:p>
        </w:tc>
      </w:tr>
      <w:tr w:rsidR="00031490" w:rsidRPr="00F95ECD" w14:paraId="5ECC5BE6" w14:textId="77777777" w:rsidTr="00575E6F">
        <w:trPr>
          <w:trHeight w:val="884"/>
        </w:trPr>
        <w:tc>
          <w:tcPr>
            <w:tcW w:w="2689" w:type="dxa"/>
          </w:tcPr>
          <w:p w14:paraId="5FAE8B4E" w14:textId="77777777" w:rsidR="00031490" w:rsidRPr="00F95ECD" w:rsidRDefault="00031490" w:rsidP="00575E6F">
            <w:pPr>
              <w:jc w:val="both"/>
              <w:rPr>
                <w:rFonts w:ascii="Verdana" w:eastAsia="Calibri" w:hAnsi="Verdana" w:cs="Arial"/>
                <w:lang w:val="es-ES_tradnl" w:eastAsia="es-ES_tradnl"/>
              </w:rPr>
            </w:pPr>
            <w:r w:rsidRPr="00F95ECD">
              <w:rPr>
                <w:rFonts w:ascii="Verdana" w:eastAsia="Calibri" w:hAnsi="Verdana" w:cs="Arial"/>
                <w:b/>
                <w:lang w:val="es-ES_tradnl" w:eastAsia="es-ES_tradnl"/>
              </w:rPr>
              <w:t>Temas:</w:t>
            </w:r>
            <w:r w:rsidRPr="00F95ECD">
              <w:rPr>
                <w:rFonts w:ascii="Verdana" w:eastAsia="Calibri" w:hAnsi="Verdana" w:cs="Arial"/>
                <w:lang w:val="es-ES_tradnl" w:eastAsia="es-ES_tradnl"/>
              </w:rPr>
              <w:t xml:space="preserve">                   </w:t>
            </w:r>
          </w:p>
        </w:tc>
        <w:tc>
          <w:tcPr>
            <w:tcW w:w="6100" w:type="dxa"/>
          </w:tcPr>
          <w:p w14:paraId="46231876" w14:textId="77777777" w:rsidR="00031490" w:rsidRDefault="00031490" w:rsidP="00575E6F">
            <w:pPr>
              <w:jc w:val="both"/>
              <w:rPr>
                <w:rFonts w:ascii="Verdana" w:eastAsia="Calibri" w:hAnsi="Verdana" w:cs="Arial"/>
                <w:color w:val="000000"/>
                <w:szCs w:val="24"/>
                <w:lang w:val="es-ES_tradnl" w:eastAsia="es-ES_tradnl"/>
              </w:rPr>
            </w:pPr>
            <w:r w:rsidRPr="00575E6F">
              <w:rPr>
                <w:rFonts w:ascii="Verdana" w:eastAsia="Geomanist Light" w:hAnsi="Verdana" w:cs="Arial"/>
                <w:color w:val="000000"/>
                <w:lang w:val="es-MX"/>
              </w:rPr>
              <w:t xml:space="preserve">Entidades Descentralizadas – Directas – Indirectas – Noción </w:t>
            </w:r>
            <w:r w:rsidRPr="00FA7C1F">
              <w:rPr>
                <w:rFonts w:ascii="Verdana" w:eastAsia="Geomanist Light" w:hAnsi="Verdana" w:cs="Arial"/>
                <w:color w:val="000000"/>
                <w:lang w:val="es-MX"/>
              </w:rPr>
              <w:t xml:space="preserve">/ ESTATUTO GENERAL CONTRATACIÓN – Aplicación – Entidades Descentralizadas Indirectas con participación pública minoritaria </w:t>
            </w:r>
            <w:r>
              <w:rPr>
                <w:rFonts w:ascii="Verdana" w:eastAsia="Geomanist Light" w:hAnsi="Verdana" w:cs="Arial"/>
                <w:color w:val="000000"/>
                <w:lang w:val="es-MX"/>
              </w:rPr>
              <w:t xml:space="preserve">/ </w:t>
            </w:r>
            <w:r w:rsidRPr="00FA7C1F">
              <w:rPr>
                <w:rFonts w:ascii="Verdana" w:eastAsia="Times New Roman" w:hAnsi="Verdana" w:cs="Arial"/>
                <w:lang w:eastAsia="es-ES_tradnl"/>
              </w:rPr>
              <w:t xml:space="preserve">DOCUMENTOS TIPO – Fundamento normativo – Obligatoriedad – Ámbito de aplicación – Entidades sometidas </w:t>
            </w:r>
            <w:r w:rsidRPr="00FA7C1F">
              <w:rPr>
                <w:rFonts w:ascii="Verdana" w:eastAsia="Calibri" w:hAnsi="Verdana" w:cs="Arial"/>
                <w:color w:val="000000"/>
                <w:szCs w:val="24"/>
                <w:lang w:val="es-ES_tradnl" w:eastAsia="es-ES_tradnl"/>
              </w:rPr>
              <w:t xml:space="preserve">/ LEY 2195 DE 2022 – Artículo 56 – Personas jurídicas de derecho privado – Documentos tipo – Estatuto General de Contratación de la Administración Pública / LEY 2195 DE 2022 – Artículo 56 – Parágrafo – Excepciones </w:t>
            </w:r>
          </w:p>
          <w:p w14:paraId="4B6E3AA3" w14:textId="77777777" w:rsidR="00031490" w:rsidRPr="00F95ECD" w:rsidRDefault="00031490" w:rsidP="00575E6F">
            <w:pPr>
              <w:jc w:val="both"/>
              <w:rPr>
                <w:rFonts w:ascii="Verdana" w:eastAsia="Calibri" w:hAnsi="Verdana" w:cs="Arial"/>
                <w:lang w:val="es-ES" w:eastAsia="es-ES"/>
              </w:rPr>
            </w:pPr>
          </w:p>
        </w:tc>
      </w:tr>
      <w:tr w:rsidR="00031490" w:rsidRPr="00F95ECD" w14:paraId="619BD094" w14:textId="77777777" w:rsidTr="00575E6F">
        <w:tc>
          <w:tcPr>
            <w:tcW w:w="2689" w:type="dxa"/>
          </w:tcPr>
          <w:p w14:paraId="60EE7AD7" w14:textId="77777777" w:rsidR="00031490" w:rsidRPr="00F95ECD" w:rsidRDefault="00031490" w:rsidP="00575E6F">
            <w:pPr>
              <w:jc w:val="both"/>
              <w:rPr>
                <w:rFonts w:ascii="Verdana" w:eastAsia="Calibri" w:hAnsi="Verdana" w:cs="Arial"/>
                <w:b/>
                <w:lang w:val="es-ES_tradnl" w:eastAsia="es-ES_tradnl"/>
              </w:rPr>
            </w:pPr>
            <w:r w:rsidRPr="00F95ECD">
              <w:rPr>
                <w:rFonts w:ascii="Verdana" w:eastAsia="Calibri" w:hAnsi="Verdana" w:cs="Arial"/>
                <w:b/>
                <w:lang w:val="es-ES_tradnl" w:eastAsia="es-ES_tradnl"/>
              </w:rPr>
              <w:t>Radicación:</w:t>
            </w:r>
            <w:r w:rsidRPr="00F95ECD">
              <w:rPr>
                <w:rFonts w:ascii="Verdana" w:eastAsia="Calibri" w:hAnsi="Verdana" w:cs="Arial"/>
                <w:lang w:val="es-ES_tradnl" w:eastAsia="es-ES_tradnl"/>
              </w:rPr>
              <w:t xml:space="preserve">               </w:t>
            </w:r>
          </w:p>
        </w:tc>
        <w:tc>
          <w:tcPr>
            <w:tcW w:w="6100" w:type="dxa"/>
          </w:tcPr>
          <w:p w14:paraId="37EB86B6" w14:textId="77777777" w:rsidR="00031490" w:rsidRPr="00F95ECD" w:rsidRDefault="00031490" w:rsidP="00575E6F">
            <w:pPr>
              <w:ind w:left="708" w:hanging="708"/>
              <w:jc w:val="both"/>
              <w:rPr>
                <w:rFonts w:ascii="Verdana" w:eastAsia="Calibri" w:hAnsi="Verdana" w:cs="Arial"/>
                <w:lang w:val="es-ES_tradnl" w:eastAsia="es-ES_tradnl"/>
              </w:rPr>
            </w:pPr>
            <w:r w:rsidRPr="00F95ECD">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367919">
              <w:rPr>
                <w:rFonts w:ascii="Verdana" w:eastAsia="Calibri" w:hAnsi="Verdana" w:cs="Arial"/>
                <w:lang w:val="es-ES_tradnl" w:eastAsia="es-ES_tradnl"/>
              </w:rPr>
              <w:t>P20250217001524</w:t>
            </w:r>
          </w:p>
        </w:tc>
      </w:tr>
    </w:tbl>
    <w:p w14:paraId="319D9D27" w14:textId="77777777" w:rsidR="00031490" w:rsidRPr="00F95ECD" w:rsidRDefault="00031490" w:rsidP="00031490">
      <w:pPr>
        <w:spacing w:after="0" w:line="240" w:lineRule="auto"/>
        <w:jc w:val="both"/>
        <w:rPr>
          <w:rFonts w:ascii="Verdana" w:eastAsia="Calibri" w:hAnsi="Verdana" w:cs="Arial"/>
          <w:lang w:val="es-ES_tradnl" w:eastAsia="es-ES_tradnl"/>
        </w:rPr>
      </w:pPr>
    </w:p>
    <w:p w14:paraId="06A29D6A" w14:textId="77777777" w:rsidR="00031490" w:rsidRPr="00367919" w:rsidRDefault="00031490" w:rsidP="00031490">
      <w:pPr>
        <w:spacing w:after="0" w:line="276" w:lineRule="auto"/>
        <w:jc w:val="both"/>
        <w:rPr>
          <w:rFonts w:ascii="Verdana" w:eastAsia="Calibri" w:hAnsi="Verdana" w:cs="Arial"/>
          <w:lang w:val="es-ES" w:eastAsia="es-ES"/>
        </w:rPr>
      </w:pPr>
      <w:r w:rsidRPr="00F95ECD">
        <w:rPr>
          <w:rFonts w:ascii="Verdana" w:eastAsia="Calibri" w:hAnsi="Verdana" w:cs="Arial"/>
          <w:lang w:val="es-ES" w:eastAsia="es-ES"/>
        </w:rPr>
        <w:t>Estimad</w:t>
      </w:r>
      <w:r>
        <w:rPr>
          <w:rFonts w:ascii="Verdana" w:eastAsia="Calibri" w:hAnsi="Verdana" w:cs="Arial"/>
          <w:lang w:val="es-ES" w:eastAsia="es-ES"/>
        </w:rPr>
        <w:t>o</w:t>
      </w:r>
      <w:r w:rsidRPr="00F95ECD">
        <w:rPr>
          <w:rFonts w:ascii="Verdana" w:eastAsia="Calibri" w:hAnsi="Verdana" w:cs="Arial"/>
          <w:lang w:val="es-ES" w:eastAsia="es-ES"/>
        </w:rPr>
        <w:t xml:space="preserve"> señor</w:t>
      </w:r>
      <w:r>
        <w:rPr>
          <w:rFonts w:ascii="Verdana" w:eastAsia="Calibri" w:hAnsi="Verdana" w:cs="Arial"/>
          <w:lang w:val="es-ES" w:eastAsia="es-ES"/>
        </w:rPr>
        <w:t xml:space="preserve"> </w:t>
      </w:r>
      <w:r w:rsidRPr="00FA7C1F">
        <w:rPr>
          <w:rFonts w:ascii="Verdana" w:eastAsia="Calibri" w:hAnsi="Verdana" w:cs="Arial"/>
          <w:lang w:eastAsia="es-ES_tradnl"/>
        </w:rPr>
        <w:t>Almeida Sierra</w:t>
      </w:r>
      <w:r w:rsidRPr="00367919">
        <w:rPr>
          <w:rFonts w:ascii="Verdana" w:eastAsia="Calibri" w:hAnsi="Verdana" w:cs="Arial"/>
          <w:lang w:val="es-ES" w:eastAsia="es-ES"/>
        </w:rPr>
        <w:t xml:space="preserve">: </w:t>
      </w:r>
    </w:p>
    <w:p w14:paraId="277DA07C" w14:textId="77777777" w:rsidR="00031490" w:rsidRPr="00F95ECD" w:rsidRDefault="00031490" w:rsidP="00031490">
      <w:pPr>
        <w:tabs>
          <w:tab w:val="left" w:pos="3768"/>
        </w:tabs>
        <w:spacing w:after="0" w:line="276" w:lineRule="auto"/>
        <w:jc w:val="both"/>
        <w:rPr>
          <w:rFonts w:ascii="Verdana" w:eastAsia="Calibri" w:hAnsi="Verdana" w:cs="Arial"/>
          <w:lang w:val="es-ES" w:eastAsia="es-ES"/>
        </w:rPr>
      </w:pPr>
      <w:r w:rsidRPr="00F95ECD">
        <w:rPr>
          <w:rFonts w:ascii="Verdana" w:eastAsia="Calibri" w:hAnsi="Verdana" w:cs="Arial"/>
          <w:lang w:val="es-ES" w:eastAsia="es-ES"/>
        </w:rPr>
        <w:tab/>
      </w:r>
    </w:p>
    <w:p w14:paraId="198278A3" w14:textId="77777777" w:rsidR="00031490" w:rsidRPr="00F95ECD" w:rsidRDefault="00031490" w:rsidP="00031490">
      <w:pPr>
        <w:spacing w:after="0" w:line="276" w:lineRule="auto"/>
        <w:jc w:val="both"/>
        <w:rPr>
          <w:rFonts w:ascii="Verdana" w:eastAsia="Calibri" w:hAnsi="Verdana" w:cs="Arial"/>
          <w:lang w:val="es-ES" w:eastAsia="es-ES"/>
        </w:rPr>
      </w:pPr>
      <w:r w:rsidRPr="00F95ECD">
        <w:rPr>
          <w:rFonts w:ascii="Verdana" w:eastAsia="Calibri" w:hAnsi="Verdana" w:cs="Arial"/>
          <w:lang w:val="es-ES" w:eastAsia="es-ES"/>
        </w:rPr>
        <w:t>En ejercicio de la competencia otorgada por los artículos 3, numeral 5º, y 11, numeral 8º, del Decreto Ley 4170 de 2011,</w:t>
      </w:r>
      <w:r w:rsidRPr="00F95ECD">
        <w:rPr>
          <w:rFonts w:ascii="Verdana" w:eastAsia="Arial MT" w:hAnsi="Verdana" w:cs="Arial MT"/>
          <w:lang w:val="es-ES" w:eastAsia="es-ES"/>
        </w:rPr>
        <w:t xml:space="preserve"> </w:t>
      </w:r>
      <w:r w:rsidRPr="00F95ECD">
        <w:rPr>
          <w:rFonts w:ascii="Verdana" w:hAnsi="Verdana" w:cs="Arial"/>
        </w:rPr>
        <w:t xml:space="preserve">así como lo establecido en el artículo 4 de la Resolución 1707 de 2018 expedida por esta Entidad, </w:t>
      </w:r>
      <w:r w:rsidRPr="00F95ECD">
        <w:rPr>
          <w:rFonts w:ascii="Verdana" w:eastAsia="Calibri" w:hAnsi="Verdana" w:cs="Arial"/>
          <w:lang w:val="es-ES" w:eastAsia="es-ES"/>
        </w:rPr>
        <w:t>la Agencia Nacional de Contratación Pública – Colombia Compra Eficiente– responde su solicitud de consulta</w:t>
      </w:r>
      <w:r>
        <w:rPr>
          <w:rFonts w:ascii="Verdana" w:eastAsia="Calibri" w:hAnsi="Verdana" w:cs="Arial"/>
          <w:lang w:val="es-ES" w:eastAsia="es-ES"/>
        </w:rPr>
        <w:t>, de fecha 14 de febrero de 2025,</w:t>
      </w:r>
      <w:r w:rsidRPr="00F95ECD">
        <w:rPr>
          <w:rFonts w:ascii="Verdana" w:eastAsia="Calibri" w:hAnsi="Verdana" w:cs="Arial"/>
          <w:lang w:val="es-ES" w:eastAsia="es-ES"/>
        </w:rPr>
        <w:t xml:space="preserve"> en la cual manifiesta lo siguiente: </w:t>
      </w:r>
    </w:p>
    <w:p w14:paraId="3D5AB28C" w14:textId="77777777" w:rsidR="00031490" w:rsidRPr="00F95ECD" w:rsidRDefault="00031490" w:rsidP="0003149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B807A93" w14:textId="77777777" w:rsidR="00031490" w:rsidRPr="00F46E82" w:rsidRDefault="00031490" w:rsidP="00640B2D">
      <w:pPr>
        <w:spacing w:after="0" w:line="240" w:lineRule="auto"/>
        <w:ind w:left="709" w:right="709"/>
        <w:jc w:val="both"/>
        <w:rPr>
          <w:rFonts w:ascii="Verdana" w:eastAsia="Century Gothic" w:hAnsi="Verdana" w:cs="Century Gothic"/>
          <w:sz w:val="21"/>
          <w:szCs w:val="21"/>
          <w:lang w:val="es-ES"/>
        </w:rPr>
      </w:pPr>
      <w:bookmarkStart w:id="1" w:name="_Hlk95313578"/>
      <w:r w:rsidRPr="00F46E82">
        <w:rPr>
          <w:rFonts w:ascii="Verdana" w:eastAsia="Century Gothic" w:hAnsi="Verdana" w:cs="Century Gothic"/>
          <w:sz w:val="21"/>
          <w:szCs w:val="21"/>
          <w:lang w:val="es-ES"/>
        </w:rPr>
        <w:t>“</w:t>
      </w:r>
      <w:r w:rsidRPr="00367919">
        <w:rPr>
          <w:rFonts w:ascii="Verdana" w:eastAsia="Century Gothic" w:hAnsi="Verdana" w:cs="Century Gothic"/>
          <w:sz w:val="21"/>
          <w:szCs w:val="21"/>
        </w:rPr>
        <w:t xml:space="preserve">Un fondo mixto, entidad </w:t>
      </w:r>
      <w:proofErr w:type="spellStart"/>
      <w:r w:rsidRPr="00367919">
        <w:rPr>
          <w:rFonts w:ascii="Verdana" w:eastAsia="Century Gothic" w:hAnsi="Verdana" w:cs="Century Gothic"/>
          <w:sz w:val="21"/>
          <w:szCs w:val="21"/>
        </w:rPr>
        <w:t>descentralziada</w:t>
      </w:r>
      <w:proofErr w:type="spellEnd"/>
      <w:r w:rsidRPr="00367919">
        <w:rPr>
          <w:rFonts w:ascii="Verdana" w:eastAsia="Century Gothic" w:hAnsi="Verdana" w:cs="Century Gothic"/>
          <w:sz w:val="21"/>
          <w:szCs w:val="21"/>
        </w:rPr>
        <w:t xml:space="preserve"> de segundo nivel, sin </w:t>
      </w:r>
      <w:proofErr w:type="spellStart"/>
      <w:r w:rsidRPr="00367919">
        <w:rPr>
          <w:rFonts w:ascii="Verdana" w:eastAsia="Century Gothic" w:hAnsi="Verdana" w:cs="Century Gothic"/>
          <w:sz w:val="21"/>
          <w:szCs w:val="21"/>
        </w:rPr>
        <w:t>animo</w:t>
      </w:r>
      <w:proofErr w:type="spellEnd"/>
      <w:r w:rsidRPr="00367919">
        <w:rPr>
          <w:rFonts w:ascii="Verdana" w:eastAsia="Century Gothic" w:hAnsi="Verdana" w:cs="Century Gothic"/>
          <w:sz w:val="21"/>
          <w:szCs w:val="21"/>
        </w:rPr>
        <w:t xml:space="preserve"> de lucro, firma convenio interadministrativo con una </w:t>
      </w:r>
      <w:proofErr w:type="spellStart"/>
      <w:r w:rsidRPr="00367919">
        <w:rPr>
          <w:rFonts w:ascii="Verdana" w:eastAsia="Century Gothic" w:hAnsi="Verdana" w:cs="Century Gothic"/>
          <w:sz w:val="21"/>
          <w:szCs w:val="21"/>
        </w:rPr>
        <w:t>Alcaldia</w:t>
      </w:r>
      <w:proofErr w:type="spellEnd"/>
      <w:r w:rsidRPr="00367919">
        <w:rPr>
          <w:rFonts w:ascii="Verdana" w:eastAsia="Century Gothic" w:hAnsi="Verdana" w:cs="Century Gothic"/>
          <w:sz w:val="21"/>
          <w:szCs w:val="21"/>
        </w:rPr>
        <w:t xml:space="preserve"> Municipal </w:t>
      </w:r>
      <w:r w:rsidRPr="00367919">
        <w:rPr>
          <w:rFonts w:ascii="Verdana" w:eastAsia="Century Gothic" w:hAnsi="Verdana" w:cs="Century Gothic"/>
          <w:sz w:val="21"/>
          <w:szCs w:val="21"/>
        </w:rPr>
        <w:lastRenderedPageBreak/>
        <w:t xml:space="preserve">para aunar esfuerzos en la </w:t>
      </w:r>
      <w:proofErr w:type="spellStart"/>
      <w:r w:rsidRPr="00367919">
        <w:rPr>
          <w:rFonts w:ascii="Verdana" w:eastAsia="Century Gothic" w:hAnsi="Verdana" w:cs="Century Gothic"/>
          <w:sz w:val="21"/>
          <w:szCs w:val="21"/>
        </w:rPr>
        <w:t>construccion</w:t>
      </w:r>
      <w:proofErr w:type="spellEnd"/>
      <w:r w:rsidRPr="00367919">
        <w:rPr>
          <w:rFonts w:ascii="Verdana" w:eastAsia="Century Gothic" w:hAnsi="Verdana" w:cs="Century Gothic"/>
          <w:sz w:val="21"/>
          <w:szCs w:val="21"/>
        </w:rPr>
        <w:t xml:space="preserve"> e </w:t>
      </w:r>
      <w:proofErr w:type="spellStart"/>
      <w:r w:rsidRPr="00367919">
        <w:rPr>
          <w:rFonts w:ascii="Verdana" w:eastAsia="Century Gothic" w:hAnsi="Verdana" w:cs="Century Gothic"/>
          <w:sz w:val="21"/>
          <w:szCs w:val="21"/>
        </w:rPr>
        <w:t>implmentacion</w:t>
      </w:r>
      <w:proofErr w:type="spellEnd"/>
      <w:r w:rsidRPr="00367919">
        <w:rPr>
          <w:rFonts w:ascii="Verdana" w:eastAsia="Century Gothic" w:hAnsi="Verdana" w:cs="Century Gothic"/>
          <w:sz w:val="21"/>
          <w:szCs w:val="21"/>
        </w:rPr>
        <w:t xml:space="preserve"> de un Plan Maestro de Alcantarillado, los contratos que el fondo adelante se deben realizar con pliegos tipo o con los procedimientos de su manual de </w:t>
      </w:r>
      <w:proofErr w:type="spellStart"/>
      <w:r w:rsidRPr="00367919">
        <w:rPr>
          <w:rFonts w:ascii="Verdana" w:eastAsia="Century Gothic" w:hAnsi="Verdana" w:cs="Century Gothic"/>
          <w:sz w:val="21"/>
          <w:szCs w:val="21"/>
        </w:rPr>
        <w:t>contratacion</w:t>
      </w:r>
      <w:proofErr w:type="spellEnd"/>
      <w:r w:rsidRPr="00367919">
        <w:rPr>
          <w:rFonts w:ascii="Verdana" w:eastAsia="Century Gothic" w:hAnsi="Verdana" w:cs="Century Gothic"/>
          <w:sz w:val="21"/>
          <w:szCs w:val="21"/>
        </w:rPr>
        <w:t xml:space="preserve">. Cual </w:t>
      </w:r>
      <w:proofErr w:type="spellStart"/>
      <w:r w:rsidRPr="00367919">
        <w:rPr>
          <w:rFonts w:ascii="Verdana" w:eastAsia="Century Gothic" w:hAnsi="Verdana" w:cs="Century Gothic"/>
          <w:sz w:val="21"/>
          <w:szCs w:val="21"/>
        </w:rPr>
        <w:t>seria</w:t>
      </w:r>
      <w:proofErr w:type="spellEnd"/>
      <w:r w:rsidRPr="00367919">
        <w:rPr>
          <w:rFonts w:ascii="Verdana" w:eastAsia="Century Gothic" w:hAnsi="Verdana" w:cs="Century Gothic"/>
          <w:sz w:val="21"/>
          <w:szCs w:val="21"/>
        </w:rPr>
        <w:t xml:space="preserve"> el fundamento </w:t>
      </w:r>
      <w:proofErr w:type="spellStart"/>
      <w:r w:rsidRPr="00367919">
        <w:rPr>
          <w:rFonts w:ascii="Verdana" w:eastAsia="Century Gothic" w:hAnsi="Verdana" w:cs="Century Gothic"/>
          <w:sz w:val="21"/>
          <w:szCs w:val="21"/>
        </w:rPr>
        <w:t>juridico</w:t>
      </w:r>
      <w:proofErr w:type="spellEnd"/>
      <w:r w:rsidRPr="00367919">
        <w:rPr>
          <w:rFonts w:ascii="Verdana" w:eastAsia="Century Gothic" w:hAnsi="Verdana" w:cs="Century Gothic"/>
          <w:sz w:val="21"/>
          <w:szCs w:val="21"/>
        </w:rPr>
        <w:t xml:space="preserve"> para adelantar estos contratos</w:t>
      </w:r>
      <w:r w:rsidRPr="00F46E82">
        <w:rPr>
          <w:rFonts w:ascii="Verdana" w:eastAsia="Century Gothic" w:hAnsi="Verdana" w:cs="Century Gothic"/>
          <w:sz w:val="21"/>
          <w:szCs w:val="21"/>
          <w:lang w:val="es-ES"/>
        </w:rPr>
        <w:t>”</w:t>
      </w:r>
      <w:bookmarkEnd w:id="1"/>
      <w:r w:rsidRPr="00F46E82">
        <w:rPr>
          <w:rFonts w:ascii="Verdana" w:eastAsia="Century Gothic" w:hAnsi="Verdana" w:cs="Century Gothic"/>
          <w:sz w:val="21"/>
          <w:szCs w:val="21"/>
          <w:lang w:val="es-ES"/>
        </w:rPr>
        <w:t xml:space="preserve">. (SIC) </w:t>
      </w:r>
    </w:p>
    <w:p w14:paraId="6AEB51CF" w14:textId="77777777" w:rsidR="00031490" w:rsidRPr="00655054" w:rsidRDefault="00031490" w:rsidP="00031490">
      <w:pPr>
        <w:spacing w:after="0" w:line="276" w:lineRule="auto"/>
        <w:ind w:left="709" w:right="709"/>
        <w:jc w:val="both"/>
        <w:rPr>
          <w:rFonts w:ascii="Verdana" w:hAnsi="Verdana" w:cs="Arial"/>
          <w:sz w:val="20"/>
          <w:szCs w:val="20"/>
          <w:shd w:val="clear" w:color="auto" w:fill="FFFFFF"/>
        </w:rPr>
      </w:pPr>
    </w:p>
    <w:p w14:paraId="60AE6E6E" w14:textId="77777777" w:rsidR="00031490" w:rsidRPr="00F95ECD" w:rsidRDefault="00031490" w:rsidP="00031490">
      <w:pPr>
        <w:spacing w:after="120" w:line="276" w:lineRule="auto"/>
        <w:jc w:val="both"/>
        <w:rPr>
          <w:rFonts w:ascii="Verdana" w:eastAsia="Calibri" w:hAnsi="Verdana" w:cs="Arial"/>
          <w:color w:val="000000"/>
          <w:lang w:val="es-ES_tradnl" w:eastAsia="es-ES_tradnl"/>
        </w:rPr>
      </w:pPr>
      <w:r w:rsidRPr="00F95EC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val="es-ES" w:eastAsia="es-ES"/>
        </w:rPr>
        <w:t xml:space="preserve">la Agencia Nacional de Contratación Pública – </w:t>
      </w:r>
      <w:r w:rsidRPr="00F95ECD">
        <w:rPr>
          <w:rFonts w:ascii="Verdana" w:eastAsia="Calibri" w:hAnsi="Verdana" w:cs="Arial"/>
          <w:color w:val="000000"/>
          <w:lang w:val="es-ES" w:eastAsia="es-ES"/>
        </w:rPr>
        <w:t>Colombia</w:t>
      </w:r>
      <w:r>
        <w:rPr>
          <w:rFonts w:ascii="Verdana" w:eastAsia="Calibri" w:hAnsi="Verdana" w:cs="Arial"/>
          <w:color w:val="000000"/>
          <w:lang w:val="es-ES" w:eastAsia="es-ES"/>
        </w:rPr>
        <w:t xml:space="preserve"> </w:t>
      </w:r>
      <w:r w:rsidRPr="00F95ECD">
        <w:rPr>
          <w:rFonts w:ascii="Verdana" w:eastAsia="Calibri" w:hAnsi="Verdana" w:cs="Arial"/>
          <w:color w:val="000000"/>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95ECD">
        <w:rPr>
          <w:rFonts w:ascii="Verdana" w:eastAsia="Calibri" w:hAnsi="Verdana" w:cs="Arial"/>
          <w:color w:val="000000"/>
          <w:lang w:val="es-ES_tradnl" w:eastAsia="es-ES_tradnl"/>
        </w:rPr>
        <w:tab/>
      </w:r>
    </w:p>
    <w:p w14:paraId="1ECF5219" w14:textId="77777777" w:rsidR="00031490" w:rsidRPr="00F95ECD" w:rsidRDefault="00031490" w:rsidP="00031490">
      <w:pPr>
        <w:spacing w:after="0" w:line="276" w:lineRule="auto"/>
        <w:ind w:firstLine="709"/>
        <w:jc w:val="both"/>
        <w:rPr>
          <w:rFonts w:ascii="Verdana" w:eastAsia="Calibri" w:hAnsi="Verdana" w:cs="Arial"/>
          <w:lang w:val="es-ES" w:eastAsia="es-ES"/>
        </w:rPr>
      </w:pPr>
      <w:r w:rsidRPr="00F95EC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 algu</w:t>
      </w:r>
      <w:r w:rsidRPr="00F95ECD">
        <w:rPr>
          <w:rFonts w:ascii="Verdana" w:eastAsia="Calibri" w:hAnsi="Verdana" w:cs="Arial"/>
          <w:lang w:val="es-ES" w:eastAsia="es-ES"/>
        </w:rPr>
        <w:t xml:space="preserve">nas consideraciones sobre las normas generales relacionadas con los problemas jurídicos de su consulta. </w:t>
      </w:r>
    </w:p>
    <w:p w14:paraId="128D3E49" w14:textId="77777777" w:rsidR="00031490" w:rsidRPr="00F95ECD" w:rsidRDefault="00031490" w:rsidP="00031490">
      <w:pPr>
        <w:spacing w:after="0" w:line="276" w:lineRule="auto"/>
        <w:ind w:firstLine="709"/>
        <w:jc w:val="both"/>
        <w:rPr>
          <w:rFonts w:ascii="Verdana" w:eastAsia="Calibri" w:hAnsi="Verdana" w:cs="Arial"/>
          <w:lang w:val="es-ES" w:eastAsia="es-ES"/>
        </w:rPr>
      </w:pPr>
    </w:p>
    <w:p w14:paraId="4F9B28A5" w14:textId="77777777" w:rsidR="00031490" w:rsidRPr="00663F37" w:rsidRDefault="00031490" w:rsidP="000314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63F37">
        <w:rPr>
          <w:rFonts w:ascii="Verdana" w:eastAsia="Century Gothic" w:hAnsi="Verdana" w:cs="Century Gothic"/>
          <w:b/>
          <w:bCs/>
        </w:rPr>
        <w:t>Problema planteado:</w:t>
      </w:r>
    </w:p>
    <w:p w14:paraId="0E732FA4" w14:textId="77777777" w:rsidR="00031490" w:rsidRPr="00663F37" w:rsidRDefault="00031490" w:rsidP="00031490">
      <w:pPr>
        <w:tabs>
          <w:tab w:val="left" w:pos="426"/>
        </w:tabs>
        <w:spacing w:after="0" w:line="276" w:lineRule="auto"/>
        <w:jc w:val="both"/>
        <w:rPr>
          <w:rFonts w:ascii="Verdana" w:eastAsia="Century Gothic" w:hAnsi="Verdana" w:cs="Century Gothic"/>
          <w:lang w:val="es-ES"/>
        </w:rPr>
      </w:pPr>
    </w:p>
    <w:p w14:paraId="73F7570E" w14:textId="77777777" w:rsidR="00031490" w:rsidRPr="007D0145" w:rsidRDefault="00031490" w:rsidP="00031490">
      <w:pPr>
        <w:spacing w:after="0"/>
        <w:jc w:val="both"/>
        <w:rPr>
          <w:rFonts w:ascii="Verdana" w:eastAsia="Century Gothic" w:hAnsi="Verdana" w:cs="Century Gothic"/>
        </w:rPr>
      </w:pPr>
      <w:r w:rsidRPr="00663F37">
        <w:rPr>
          <w:rFonts w:ascii="Verdana" w:eastAsia="Century Gothic" w:hAnsi="Verdana" w:cs="Century Gothic"/>
        </w:rPr>
        <w:t xml:space="preserve">De acuerdo con el contenido de su solicitud, esta Agencia resolverá los siguientes problemas jurídicos: </w:t>
      </w:r>
      <w:r w:rsidRPr="007D0145">
        <w:rPr>
          <w:rFonts w:ascii="Verdana" w:eastAsia="Century Gothic" w:hAnsi="Verdana" w:cs="Century Gothic"/>
        </w:rPr>
        <w:t xml:space="preserve">¿Cuál es el alcance del artículo 56 de la Ley 2195 de 2022 en la celebración de un convenio interadministrativo </w:t>
      </w:r>
      <w:r>
        <w:rPr>
          <w:rFonts w:ascii="Verdana" w:eastAsia="Century Gothic" w:hAnsi="Verdana" w:cs="Century Gothic"/>
        </w:rPr>
        <w:t xml:space="preserve">y sus contratos derivados </w:t>
      </w:r>
      <w:r w:rsidRPr="007D0145">
        <w:rPr>
          <w:rFonts w:ascii="Verdana" w:eastAsia="Century Gothic" w:hAnsi="Verdana" w:cs="Century Gothic"/>
        </w:rPr>
        <w:t>entre una entidad sometida al E</w:t>
      </w:r>
      <w:r>
        <w:rPr>
          <w:rFonts w:ascii="Verdana" w:eastAsia="Century Gothic" w:hAnsi="Verdana" w:cs="Century Gothic"/>
        </w:rPr>
        <w:t xml:space="preserve">statuto </w:t>
      </w:r>
      <w:r w:rsidRPr="007D0145">
        <w:rPr>
          <w:rFonts w:ascii="Verdana" w:eastAsia="Century Gothic" w:hAnsi="Verdana" w:cs="Century Gothic"/>
        </w:rPr>
        <w:t>G</w:t>
      </w:r>
      <w:r>
        <w:rPr>
          <w:rFonts w:ascii="Verdana" w:eastAsia="Century Gothic" w:hAnsi="Verdana" w:cs="Century Gothic"/>
        </w:rPr>
        <w:t xml:space="preserve">eneral de </w:t>
      </w:r>
      <w:r w:rsidRPr="007D0145">
        <w:rPr>
          <w:rFonts w:ascii="Verdana" w:eastAsia="Century Gothic" w:hAnsi="Verdana" w:cs="Century Gothic"/>
        </w:rPr>
        <w:t>C</w:t>
      </w:r>
      <w:r>
        <w:rPr>
          <w:rFonts w:ascii="Verdana" w:eastAsia="Century Gothic" w:hAnsi="Verdana" w:cs="Century Gothic"/>
        </w:rPr>
        <w:t xml:space="preserve">ontratación de la </w:t>
      </w:r>
      <w:r w:rsidRPr="007D0145">
        <w:rPr>
          <w:rFonts w:ascii="Verdana" w:eastAsia="Century Gothic" w:hAnsi="Verdana" w:cs="Century Gothic"/>
        </w:rPr>
        <w:t>A</w:t>
      </w:r>
      <w:r>
        <w:rPr>
          <w:rFonts w:ascii="Verdana" w:eastAsia="Century Gothic" w:hAnsi="Verdana" w:cs="Century Gothic"/>
        </w:rPr>
        <w:t xml:space="preserve">dministración </w:t>
      </w:r>
      <w:r w:rsidRPr="007D0145">
        <w:rPr>
          <w:rFonts w:ascii="Verdana" w:eastAsia="Century Gothic" w:hAnsi="Verdana" w:cs="Century Gothic"/>
        </w:rPr>
        <w:t>P</w:t>
      </w:r>
      <w:r>
        <w:rPr>
          <w:rFonts w:ascii="Verdana" w:eastAsia="Century Gothic" w:hAnsi="Verdana" w:cs="Century Gothic"/>
        </w:rPr>
        <w:t>ública</w:t>
      </w:r>
      <w:r w:rsidRPr="007D0145">
        <w:rPr>
          <w:rFonts w:ascii="Verdana" w:eastAsia="Century Gothic" w:hAnsi="Verdana" w:cs="Century Gothic"/>
        </w:rPr>
        <w:t xml:space="preserve"> y</w:t>
      </w:r>
      <w:r>
        <w:rPr>
          <w:rFonts w:ascii="Verdana" w:eastAsia="Century Gothic" w:hAnsi="Verdana" w:cs="Century Gothic"/>
        </w:rPr>
        <w:t xml:space="preserve"> una entidad descentralizada indirecta?</w:t>
      </w:r>
    </w:p>
    <w:p w14:paraId="72D3A1EE" w14:textId="77777777" w:rsidR="00031490" w:rsidRPr="00F95ECD" w:rsidRDefault="00031490" w:rsidP="00031490">
      <w:pPr>
        <w:spacing w:after="0" w:line="276" w:lineRule="auto"/>
        <w:jc w:val="both"/>
        <w:rPr>
          <w:rFonts w:ascii="Verdana" w:eastAsia="Calibri" w:hAnsi="Verdana" w:cs="Arial"/>
          <w:color w:val="7030A0"/>
          <w:lang w:val="es-ES"/>
        </w:rPr>
      </w:pPr>
    </w:p>
    <w:p w14:paraId="3BF80C64" w14:textId="77777777" w:rsidR="00031490" w:rsidRPr="00F95ECD" w:rsidRDefault="00031490" w:rsidP="000314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5ECD">
        <w:rPr>
          <w:rFonts w:ascii="Verdana" w:eastAsia="Century Gothic" w:hAnsi="Verdana" w:cs="Century Gothic"/>
          <w:b/>
          <w:bCs/>
        </w:rPr>
        <w:t>Respuesta:</w:t>
      </w:r>
    </w:p>
    <w:p w14:paraId="36002595" w14:textId="77777777" w:rsidR="00031490" w:rsidRPr="00F95ECD" w:rsidRDefault="00031490" w:rsidP="0003149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31490" w:rsidRPr="00F95ECD" w14:paraId="6683A7CA" w14:textId="77777777" w:rsidTr="00575E6F">
        <w:trPr>
          <w:trHeight w:val="7433"/>
        </w:trPr>
        <w:tc>
          <w:tcPr>
            <w:tcW w:w="8828" w:type="dxa"/>
            <w:shd w:val="clear" w:color="auto" w:fill="auto"/>
          </w:tcPr>
          <w:p w14:paraId="3EAE8305" w14:textId="77777777" w:rsidR="00031490" w:rsidRPr="00575E6F" w:rsidRDefault="00031490" w:rsidP="00575E6F">
            <w:pPr>
              <w:spacing w:line="276" w:lineRule="auto"/>
              <w:jc w:val="both"/>
              <w:rPr>
                <w:rFonts w:ascii="Verdana" w:eastAsia="Times New Roman" w:hAnsi="Verdana" w:cs="Arial"/>
                <w:color w:val="000000"/>
                <w:lang w:val="es-ES" w:eastAsia="es-ES_tradnl"/>
              </w:rPr>
            </w:pPr>
            <w:r>
              <w:rPr>
                <w:rFonts w:ascii="Verdana" w:eastAsia="Times New Roman" w:hAnsi="Verdana" w:cs="Arial"/>
                <w:color w:val="000000"/>
                <w:lang w:val="es-ES" w:eastAsia="es-ES_tradnl"/>
              </w:rPr>
              <w:lastRenderedPageBreak/>
              <w:t>L</w:t>
            </w:r>
            <w:r w:rsidRPr="00575E6F">
              <w:rPr>
                <w:rFonts w:ascii="Verdana" w:eastAsia="Times New Roman" w:hAnsi="Verdana" w:cs="Arial"/>
                <w:color w:val="000000"/>
                <w:lang w:val="es-ES" w:eastAsia="es-ES_tradnl"/>
              </w:rPr>
              <w:t xml:space="preserve">as entidades descentralizadas indirectas, en virtud de la referencia genérica realizada a la misma por el literal a) del numeral 1 del artículo 2 de la Ley 80 de 1993, es posible afirmar que son definidas como entidades estatales, por lo que se encuentran sometidas al EGCAP.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se encuadran dentro de las entidades estatales sometidas al EGCAP de conformidad con lo establecido en el numeral 1 del artículo 2 de la Ley 80 de 1993, por lo que su contratación no está regida por dicho cuerpo normativo. </w:t>
            </w:r>
          </w:p>
          <w:p w14:paraId="47E53201" w14:textId="77777777" w:rsidR="00031490" w:rsidRDefault="00031490" w:rsidP="00575E6F">
            <w:pPr>
              <w:spacing w:line="276" w:lineRule="auto"/>
              <w:jc w:val="both"/>
              <w:rPr>
                <w:rFonts w:ascii="Verdana" w:hAnsi="Verdana" w:cs="Arial"/>
                <w:bCs/>
                <w:color w:val="000000" w:themeColor="text1"/>
                <w:shd w:val="clear" w:color="auto" w:fill="FFFFFF"/>
                <w:lang w:val="es-ES_tradnl"/>
              </w:rPr>
            </w:pPr>
          </w:p>
          <w:p w14:paraId="3EBC2C60" w14:textId="77777777" w:rsidR="00031490" w:rsidRPr="007D0145" w:rsidRDefault="00031490" w:rsidP="00575E6F">
            <w:pPr>
              <w:spacing w:line="276" w:lineRule="auto"/>
              <w:jc w:val="both"/>
              <w:rPr>
                <w:rFonts w:ascii="Verdana" w:hAnsi="Verdana" w:cs="Arial"/>
                <w:color w:val="000000" w:themeColor="text1"/>
                <w:shd w:val="clear" w:color="auto" w:fill="FFFFFF"/>
                <w:lang w:val="es-ES_tradnl"/>
              </w:rPr>
            </w:pPr>
            <w:r w:rsidRPr="007D0145">
              <w:rPr>
                <w:rFonts w:ascii="Verdana" w:hAnsi="Verdana" w:cs="Arial"/>
                <w:bCs/>
                <w:color w:val="000000" w:themeColor="text1"/>
                <w:shd w:val="clear" w:color="auto" w:fill="FFFFFF"/>
                <w:lang w:val="es-ES_tradnl"/>
              </w:rPr>
              <w:t xml:space="preserve">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de la Ley 1882 de 2018 excluían del ámbito de aplicación de los documentos tipo la contratación de entidades estatales de régimen exceptuado, por lo general, sujetas al derecho privado. No obstante, este panorama ha variado con la expedición de la Ley 2195 de 2022, “Por medio de la cual se adoptan medidas en materia de transparencia, prevención y lucha contra la corrupción y se dictan otras disposiciones”. En efecto, </w:t>
            </w:r>
            <w:r w:rsidRPr="007D0145">
              <w:rPr>
                <w:rFonts w:ascii="Verdana" w:hAnsi="Verdana" w:cs="Arial"/>
                <w:color w:val="000000" w:themeColor="text1"/>
                <w:shd w:val="clear" w:color="auto" w:fill="FFFFFF"/>
                <w:lang w:val="es-ES_tradnl"/>
              </w:rPr>
              <w:t xml:space="preserve">en atención a lo dispuesto en los dos primeros incisos del artículo 56 de la Ley 2195 de 2022, cuando las entidades estatales regidas por el Estatuto General de Contratación de la Administración Pública suscriban convenios o contratos de cualquier índole con entidades estatales de régimen exceptuado, patrimonios autónomos, personas naturales o jurídicas de derecho privado, también deberán aplicar documentos tipo, y en general, las disposiciones del Estatuto General de Contratación de la Administración Pública. </w:t>
            </w:r>
          </w:p>
          <w:p w14:paraId="53FF3AD0" w14:textId="77777777" w:rsidR="00031490" w:rsidRPr="007D0145" w:rsidRDefault="00031490" w:rsidP="00575E6F">
            <w:pPr>
              <w:spacing w:line="276" w:lineRule="auto"/>
              <w:jc w:val="both"/>
              <w:rPr>
                <w:rFonts w:ascii="Verdana" w:hAnsi="Verdana" w:cs="Arial"/>
                <w:bCs/>
                <w:color w:val="000000" w:themeColor="text1"/>
                <w:shd w:val="clear" w:color="auto" w:fill="FFFFFF"/>
                <w:lang w:val="es-ES_tradnl"/>
              </w:rPr>
            </w:pPr>
          </w:p>
          <w:p w14:paraId="01801289" w14:textId="77777777" w:rsidR="00031490" w:rsidRPr="007D0145" w:rsidRDefault="00031490" w:rsidP="00575E6F">
            <w:pPr>
              <w:spacing w:line="276" w:lineRule="auto"/>
              <w:jc w:val="both"/>
              <w:rPr>
                <w:rFonts w:ascii="Verdana" w:hAnsi="Verdana" w:cs="Arial"/>
                <w:shd w:val="clear" w:color="auto" w:fill="FFFFFF"/>
                <w:lang w:val="es-ES_tradnl"/>
              </w:rPr>
            </w:pPr>
            <w:r w:rsidRPr="007D0145">
              <w:rPr>
                <w:rFonts w:ascii="Verdana" w:hAnsi="Verdana" w:cs="Arial"/>
                <w:color w:val="000000" w:themeColor="text1"/>
                <w:shd w:val="clear" w:color="auto" w:fill="FFFFFF"/>
                <w:lang w:val="es-ES_tradnl"/>
              </w:rPr>
              <w:t xml:space="preserve">De esta manera, la obligación de aplicar documentos tipo, y en general, las disposiciones del Estatuto General de Contratación de la Administración Pública se extienden no solamente a la celebración del contrato o convenio propiamente dicho, sino también a los compromisos contractuales derivados, según lo expresamente consagrado en el segundo inciso del artículo 56 de la ley citada. Esto implica que, si una entidad exceptuada, un patrimonio </w:t>
            </w:r>
            <w:r w:rsidRPr="007D0145">
              <w:rPr>
                <w:rFonts w:ascii="Verdana" w:hAnsi="Verdana" w:cs="Arial"/>
                <w:color w:val="000000" w:themeColor="text1"/>
                <w:shd w:val="clear" w:color="auto" w:fill="FFFFFF"/>
                <w:lang w:val="es-ES_tradnl"/>
              </w:rPr>
              <w:lastRenderedPageBreak/>
              <w:t xml:space="preserve">autónomo o una persona natural o jurídica de derecho privado, en cumplimiento de un compromiso asumido en el contrato celebrado con una entidad sometida al Estatuto General, debe contratar una obra o servicio cobijado por algún documento tipo, estará obligada a hacerlo aplicando los mencionados documentos tipo, además de adelantar el proceso de contratación y celebrar el contrato conforme al Estatuto General de Contratación de la Administración Pública. </w:t>
            </w:r>
            <w:bookmarkStart w:id="2" w:name="_Hlk109991456"/>
            <w:r w:rsidRPr="007D0145">
              <w:rPr>
                <w:rFonts w:ascii="Verdana" w:hAnsi="Verdana" w:cs="Arial"/>
                <w:shd w:val="clear" w:color="auto" w:fill="FFFFFF"/>
                <w:lang w:val="es-ES_tradnl"/>
              </w:rPr>
              <w:t xml:space="preserve">No obstante, se encuentran exceptuadas de dicha obligación </w:t>
            </w:r>
            <w:r w:rsidRPr="007D0145">
              <w:rPr>
                <w:rFonts w:ascii="Verdana" w:hAnsi="Verdana" w:cs="Arial"/>
                <w:shd w:val="clear" w:color="auto" w:fill="FFFFFF"/>
              </w:rPr>
              <w:t>las Instituciones de Educación Superior públicas, las empresas sociales del Estado, las sociedades de economía mixta y las empresas industriales y comerciales del Estado, únicamente en cuanto a la contratación de su giro ordinario</w:t>
            </w:r>
            <w:r w:rsidRPr="007D0145">
              <w:rPr>
                <w:rFonts w:ascii="Verdana" w:hAnsi="Verdana" w:cs="Arial"/>
                <w:shd w:val="clear" w:color="auto" w:fill="FFFFFF"/>
                <w:lang w:val="es-ES_tradnl"/>
              </w:rPr>
              <w:t>.</w:t>
            </w:r>
          </w:p>
          <w:bookmarkEnd w:id="2"/>
          <w:p w14:paraId="2953C47F" w14:textId="77777777" w:rsidR="00031490" w:rsidRPr="007D0145" w:rsidRDefault="00031490" w:rsidP="00575E6F">
            <w:pPr>
              <w:spacing w:line="276" w:lineRule="auto"/>
              <w:jc w:val="both"/>
              <w:rPr>
                <w:rFonts w:ascii="Verdana" w:eastAsia="Calibri" w:hAnsi="Verdana" w:cs="Arial"/>
                <w:bCs/>
                <w:color w:val="000000"/>
                <w:lang w:val="es-MX"/>
              </w:rPr>
            </w:pPr>
          </w:p>
          <w:p w14:paraId="0DA614DB" w14:textId="77777777" w:rsidR="00031490" w:rsidRDefault="00031490" w:rsidP="00575E6F">
            <w:pPr>
              <w:jc w:val="both"/>
              <w:rPr>
                <w:lang w:eastAsia="es-ES"/>
              </w:rPr>
            </w:pPr>
            <w:r w:rsidRPr="007D0145">
              <w:rPr>
                <w:rFonts w:ascii="Verdana" w:hAnsi="Verdana" w:cs="Arial"/>
                <w:bCs/>
                <w:color w:val="000000" w:themeColor="text1"/>
                <w:shd w:val="clear" w:color="auto" w:fill="FFFFFF"/>
                <w:lang w:val="es-ES_tradnl"/>
              </w:rPr>
              <w:t xml:space="preserve">En relación con </w:t>
            </w:r>
            <w:r w:rsidRPr="007D0145">
              <w:rPr>
                <w:rFonts w:ascii="Verdana" w:eastAsia="Calibri" w:hAnsi="Verdana" w:cs="Arial"/>
                <w:bCs/>
                <w:color w:val="000000" w:themeColor="text1"/>
                <w:lang w:val="es-ES_tradnl"/>
              </w:rPr>
              <w:t xml:space="preserve">las excepciones consagradas en el parágrafo del artículo 56 de la Ley 2195 de 2022, </w:t>
            </w:r>
            <w:r w:rsidRPr="007D0145">
              <w:rPr>
                <w:rFonts w:ascii="Verdana" w:hAnsi="Verdana" w:cs="Arial"/>
                <w:color w:val="000000" w:themeColor="text1"/>
                <w:shd w:val="clear" w:color="auto" w:fill="FFFFFF"/>
                <w:lang w:val="es-ES_tradnl"/>
              </w:rPr>
              <w:t xml:space="preserve">cada entidad pública debe hacer un ejercicio de subsunción a efectos de determinar si la noma en cita resulta aplicable, dada su naturaleza jurídica. </w:t>
            </w:r>
            <w:r w:rsidRPr="00F95ECD">
              <w:rPr>
                <w:lang w:eastAsia="es-ES"/>
              </w:rPr>
              <w:t xml:space="preserve"> </w:t>
            </w:r>
          </w:p>
          <w:p w14:paraId="377AD6EF" w14:textId="77777777" w:rsidR="00031490" w:rsidRDefault="00031490" w:rsidP="00575E6F">
            <w:pPr>
              <w:jc w:val="both"/>
              <w:rPr>
                <w:lang w:eastAsia="es-ES"/>
              </w:rPr>
            </w:pPr>
          </w:p>
          <w:p w14:paraId="7E9467F3" w14:textId="77777777" w:rsidR="00031490" w:rsidRDefault="00031490" w:rsidP="00640B2D">
            <w:pPr>
              <w:widowControl w:val="0"/>
              <w:autoSpaceDE w:val="0"/>
              <w:autoSpaceDN w:val="0"/>
              <w:spacing w:line="276" w:lineRule="auto"/>
              <w:jc w:val="both"/>
              <w:rPr>
                <w:rFonts w:ascii="Verdana" w:hAnsi="Verdana" w:cs="Arial"/>
              </w:rPr>
            </w:pPr>
            <w:r w:rsidRPr="00F525DE">
              <w:rPr>
                <w:rFonts w:ascii="Verdana" w:hAnsi="Verdana" w:cs="Arial"/>
              </w:rPr>
              <w:t xml:space="preserve">Al margen de la explicación precedente debe advertirse que el análisis requerido para resolver problemas específicos en torno a </w:t>
            </w:r>
            <w:r w:rsidRPr="00F525DE">
              <w:rPr>
                <w:rFonts w:ascii="Verdana" w:hAnsi="Verdana" w:cs="Arial"/>
                <w:bCs/>
              </w:rPr>
              <w:t>la contratación de las entidades estatales</w:t>
            </w:r>
            <w:r w:rsidRPr="00F525DE">
              <w:rPr>
                <w:rFonts w:ascii="Verdana" w:hAnsi="Verdana" w:cs="Arial"/>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E64C4A0" w14:textId="77777777" w:rsidR="00640B2D" w:rsidRPr="00F525DE" w:rsidRDefault="00640B2D" w:rsidP="00640B2D">
            <w:pPr>
              <w:widowControl w:val="0"/>
              <w:autoSpaceDE w:val="0"/>
              <w:autoSpaceDN w:val="0"/>
              <w:spacing w:line="276" w:lineRule="auto"/>
              <w:jc w:val="both"/>
              <w:rPr>
                <w:rFonts w:ascii="Verdana" w:hAnsi="Verdana" w:cs="Arial"/>
              </w:rPr>
            </w:pPr>
          </w:p>
          <w:p w14:paraId="1AD7DE9B" w14:textId="77777777" w:rsidR="00031490" w:rsidRPr="00D1558D" w:rsidRDefault="00031490" w:rsidP="00640B2D">
            <w:pPr>
              <w:widowControl w:val="0"/>
              <w:autoSpaceDE w:val="0"/>
              <w:autoSpaceDN w:val="0"/>
              <w:spacing w:line="276" w:lineRule="auto"/>
              <w:jc w:val="both"/>
              <w:rPr>
                <w:rFonts w:ascii="Verdana" w:hAnsi="Verdana" w:cs="Arial"/>
              </w:rPr>
            </w:pPr>
            <w:r w:rsidRPr="00F525DE">
              <w:rPr>
                <w:rFonts w:ascii="Verdana"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Pr>
                <w:rFonts w:ascii="Verdana" w:hAnsi="Verdana" w:cs="Arial"/>
              </w:rPr>
              <w:t>.</w:t>
            </w:r>
          </w:p>
        </w:tc>
      </w:tr>
    </w:tbl>
    <w:p w14:paraId="63C8D529" w14:textId="77777777" w:rsidR="00031490" w:rsidRPr="00F95ECD" w:rsidRDefault="00031490" w:rsidP="00031490">
      <w:pPr>
        <w:tabs>
          <w:tab w:val="left" w:pos="142"/>
          <w:tab w:val="left" w:pos="284"/>
        </w:tabs>
        <w:spacing w:after="0" w:line="276" w:lineRule="auto"/>
        <w:jc w:val="both"/>
        <w:rPr>
          <w:rFonts w:ascii="Verdana" w:eastAsia="Century Gothic" w:hAnsi="Verdana" w:cs="Century Gothic"/>
          <w:b/>
          <w:bCs/>
          <w:lang w:val="es-ES"/>
        </w:rPr>
      </w:pPr>
    </w:p>
    <w:p w14:paraId="2AA66B80" w14:textId="77777777" w:rsidR="00031490" w:rsidRPr="00F95ECD" w:rsidRDefault="00031490" w:rsidP="000314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5ECD">
        <w:rPr>
          <w:rFonts w:ascii="Verdana" w:eastAsia="Century Gothic" w:hAnsi="Verdana" w:cs="Century Gothic"/>
          <w:b/>
          <w:bCs/>
        </w:rPr>
        <w:lastRenderedPageBreak/>
        <w:t>Razones de la respuesta:</w:t>
      </w:r>
    </w:p>
    <w:p w14:paraId="4D76CCAA" w14:textId="77777777" w:rsidR="00031490" w:rsidRPr="00F95ECD" w:rsidRDefault="00031490" w:rsidP="00031490">
      <w:pPr>
        <w:spacing w:after="0" w:line="276" w:lineRule="auto"/>
        <w:jc w:val="both"/>
        <w:rPr>
          <w:rFonts w:ascii="Verdana" w:eastAsia="Calibri" w:hAnsi="Verdana" w:cs="Arial"/>
          <w:color w:val="7030A0"/>
          <w:lang w:val="es-ES"/>
        </w:rPr>
      </w:pPr>
    </w:p>
    <w:p w14:paraId="61967451" w14:textId="77777777" w:rsidR="00031490" w:rsidRPr="00F95ECD" w:rsidRDefault="00031490" w:rsidP="00031490">
      <w:pPr>
        <w:spacing w:after="0" w:line="276" w:lineRule="auto"/>
        <w:jc w:val="both"/>
        <w:rPr>
          <w:rFonts w:ascii="Verdana" w:eastAsia="Calibri" w:hAnsi="Verdana" w:cs="Arial"/>
          <w:lang w:val="es-ES"/>
        </w:rPr>
      </w:pPr>
      <w:r w:rsidRPr="00F95ECD">
        <w:rPr>
          <w:rFonts w:ascii="Verdana" w:eastAsia="Calibri" w:hAnsi="Verdana" w:cs="Arial"/>
          <w:lang w:val="es-ES"/>
        </w:rPr>
        <w:t xml:space="preserve">Lo anterior se sustenta en las siguientes consideraciones: </w:t>
      </w:r>
    </w:p>
    <w:p w14:paraId="63F92A1B" w14:textId="77777777" w:rsidR="00031490" w:rsidRDefault="00031490" w:rsidP="00031490">
      <w:pPr>
        <w:widowControl w:val="0"/>
        <w:autoSpaceDE w:val="0"/>
        <w:autoSpaceDN w:val="0"/>
        <w:spacing w:after="0" w:line="276" w:lineRule="auto"/>
        <w:jc w:val="both"/>
        <w:rPr>
          <w:rFonts w:ascii="Verdana" w:hAnsi="Verdana" w:cs="Arial"/>
          <w:lang w:val="es-ES"/>
        </w:rPr>
      </w:pPr>
    </w:p>
    <w:p w14:paraId="68D1301D" w14:textId="77777777" w:rsidR="00031490" w:rsidRPr="00FA7C1F" w:rsidRDefault="00031490" w:rsidP="00031490">
      <w:pPr>
        <w:spacing w:after="0" w:line="276" w:lineRule="auto"/>
        <w:jc w:val="both"/>
        <w:rPr>
          <w:rFonts w:ascii="Verdana" w:eastAsia="Times New Roman" w:hAnsi="Verdana" w:cs="Arial"/>
          <w:color w:val="000000"/>
          <w:lang w:val="es-ES" w:eastAsia="es-ES_tradnl"/>
        </w:rPr>
      </w:pPr>
      <w:r w:rsidRPr="00367919">
        <w:rPr>
          <w:rFonts w:ascii="Verdana" w:hAnsi="Verdana" w:cs="Arial"/>
          <w:lang w:val="es-ES"/>
        </w:rPr>
        <w:t>i)</w:t>
      </w:r>
      <w:r w:rsidRPr="00367919">
        <w:rPr>
          <w:rFonts w:ascii="Verdana" w:eastAsia="Calibri" w:hAnsi="Verdana" w:cs="Arial"/>
          <w:color w:val="000000"/>
        </w:rPr>
        <w:t xml:space="preserve"> </w:t>
      </w:r>
      <w:bookmarkStart w:id="3" w:name="_Hlk113524986"/>
      <w:r w:rsidRPr="00FA7C1F">
        <w:rPr>
          <w:rFonts w:ascii="Verdana" w:eastAsia="Times New Roman" w:hAnsi="Verdana" w:cs="Arial"/>
          <w:color w:val="000000"/>
          <w:lang w:val="es-ES" w:eastAsia="es-ES_tradnl"/>
        </w:rPr>
        <w:t xml:space="preserve">El ámbito de aplicación del Estatuto General de Contratación de la Administración Pública-EGCAP- se encuentra en gran medida determinado por lo dispuesto en el artículo 2 de la Ley 80 de 1993; dicha norma, consta de tres numerales a través de los cuales se encarga de establecer lo que se entiende por entidades estatales, servidores públicos y servicios, en el contexto del referido cuerpo normativo. </w:t>
      </w:r>
      <w:bookmarkEnd w:id="3"/>
      <w:r w:rsidRPr="00FA7C1F">
        <w:rPr>
          <w:rFonts w:ascii="Verdana" w:eastAsia="Times New Roman" w:hAnsi="Verdana" w:cs="Arial"/>
          <w:color w:val="000000"/>
          <w:lang w:val="es-ES" w:eastAsia="es-ES_tradnl"/>
        </w:rPr>
        <w:t>Al respecto, resulta particularmente relevante lo dispuesto en el literal a) del numeral 1, el cual reza lo siguiente:</w:t>
      </w:r>
    </w:p>
    <w:p w14:paraId="3C2FAE5D" w14:textId="77777777" w:rsidR="00031490" w:rsidRPr="00FA7C1F" w:rsidRDefault="00031490" w:rsidP="00031490">
      <w:pPr>
        <w:spacing w:after="0" w:line="276" w:lineRule="auto"/>
        <w:jc w:val="both"/>
        <w:rPr>
          <w:rFonts w:ascii="Verdana" w:eastAsia="Times New Roman" w:hAnsi="Verdana" w:cs="Arial"/>
          <w:color w:val="000000"/>
          <w:lang w:val="es-ES" w:eastAsia="es-ES_tradnl"/>
        </w:rPr>
      </w:pPr>
    </w:p>
    <w:p w14:paraId="0C40F9DC" w14:textId="77777777" w:rsidR="00031490" w:rsidRPr="00FA7C1F" w:rsidRDefault="00031490" w:rsidP="00031490">
      <w:pPr>
        <w:spacing w:after="0" w:line="240" w:lineRule="auto"/>
        <w:ind w:left="709" w:right="709"/>
        <w:jc w:val="both"/>
        <w:rPr>
          <w:rFonts w:ascii="Verdana" w:eastAsia="Times New Roman" w:hAnsi="Verdana" w:cs="Arial"/>
          <w:color w:val="000000"/>
          <w:sz w:val="20"/>
          <w:szCs w:val="20"/>
          <w:lang w:val="es-ES" w:eastAsia="es-ES_tradnl"/>
        </w:rPr>
      </w:pPr>
      <w:r w:rsidRPr="00FA7C1F">
        <w:rPr>
          <w:rFonts w:ascii="Verdana" w:eastAsia="Calibri" w:hAnsi="Verdana" w:cs="Arial"/>
          <w:color w:val="000000"/>
          <w:sz w:val="21"/>
          <w:szCs w:val="21"/>
        </w:rPr>
        <w:t>[...]</w:t>
      </w:r>
      <w:r w:rsidRPr="00FA7C1F">
        <w:rPr>
          <w:rFonts w:ascii="Verdana" w:eastAsia="Calibri" w:hAnsi="Verdana" w:cs="Arial"/>
          <w:i/>
          <w:iCs/>
          <w:color w:val="000000"/>
          <w:sz w:val="21"/>
          <w:szCs w:val="21"/>
        </w:rPr>
        <w:t xml:space="preserve"> </w:t>
      </w:r>
      <w:r w:rsidRPr="00FA7C1F">
        <w:rPr>
          <w:rFonts w:ascii="Verdana" w:eastAsia="Calibri" w:hAnsi="Verdana" w:cs="Arial"/>
          <w:b/>
          <w:bCs/>
          <w:color w:val="000000"/>
          <w:sz w:val="20"/>
          <w:szCs w:val="20"/>
        </w:rPr>
        <w:t xml:space="preserve">Artículo 2o. De la definición de entidades, servidores y servicios públicos. </w:t>
      </w:r>
      <w:r w:rsidRPr="00FA7C1F">
        <w:rPr>
          <w:rFonts w:ascii="Verdana" w:eastAsia="Calibri" w:hAnsi="Verdana" w:cs="Arial"/>
          <w:color w:val="000000"/>
          <w:sz w:val="20"/>
          <w:szCs w:val="20"/>
        </w:rPr>
        <w:t>Para los solos efectos de esta ley: </w:t>
      </w:r>
    </w:p>
    <w:p w14:paraId="33BE18C2" w14:textId="77777777" w:rsidR="00031490" w:rsidRPr="00FA7C1F" w:rsidRDefault="00031490" w:rsidP="00031490">
      <w:pPr>
        <w:spacing w:after="0" w:line="240" w:lineRule="auto"/>
        <w:ind w:left="709" w:right="709"/>
        <w:jc w:val="both"/>
        <w:rPr>
          <w:rFonts w:ascii="Verdana" w:eastAsia="Calibri" w:hAnsi="Verdana" w:cs="Arial"/>
          <w:color w:val="000000"/>
          <w:kern w:val="2"/>
          <w:sz w:val="20"/>
          <w:szCs w:val="20"/>
          <w14:ligatures w14:val="standardContextual"/>
        </w:rPr>
      </w:pPr>
      <w:r w:rsidRPr="00FA7C1F">
        <w:rPr>
          <w:rFonts w:ascii="Verdana" w:eastAsia="Calibri" w:hAnsi="Verdana" w:cs="Arial"/>
          <w:color w:val="000000"/>
          <w:kern w:val="2"/>
          <w:sz w:val="20"/>
          <w:szCs w:val="20"/>
          <w14:ligatures w14:val="standardContextual"/>
        </w:rPr>
        <w:t>1o. Se denominan entidades estatales: </w:t>
      </w:r>
    </w:p>
    <w:p w14:paraId="1EC887EC" w14:textId="77777777" w:rsidR="00031490" w:rsidRPr="00FA7C1F" w:rsidRDefault="00031490" w:rsidP="00031490">
      <w:pPr>
        <w:spacing w:after="0" w:line="240" w:lineRule="auto"/>
        <w:ind w:left="709" w:right="709"/>
        <w:jc w:val="both"/>
        <w:rPr>
          <w:rFonts w:ascii="Verdana" w:eastAsia="Calibri" w:hAnsi="Verdana" w:cs="Arial"/>
          <w:color w:val="000000"/>
          <w:kern w:val="2"/>
          <w:sz w:val="20"/>
          <w:szCs w:val="20"/>
          <w14:ligatures w14:val="standardContextual"/>
        </w:rPr>
      </w:pPr>
      <w:r w:rsidRPr="00FA7C1F">
        <w:rPr>
          <w:rFonts w:ascii="Verdana" w:eastAsia="Calibri" w:hAnsi="Verdana" w:cs="Arial"/>
          <w:color w:val="000000"/>
          <w:kern w:val="2"/>
          <w:sz w:val="20"/>
          <w:szCs w:val="20"/>
          <w14:ligatures w14:val="standardContextual"/>
        </w:rPr>
        <w:t>  </w:t>
      </w:r>
    </w:p>
    <w:p w14:paraId="0E131A1E" w14:textId="77777777" w:rsidR="00031490" w:rsidRPr="00FA7C1F" w:rsidRDefault="00031490" w:rsidP="00031490">
      <w:pPr>
        <w:spacing w:after="0" w:line="240" w:lineRule="auto"/>
        <w:ind w:left="709" w:right="709"/>
        <w:jc w:val="both"/>
        <w:rPr>
          <w:rFonts w:ascii="Verdana" w:eastAsia="Calibri" w:hAnsi="Verdana" w:cs="Arial"/>
          <w:color w:val="000000"/>
          <w:kern w:val="2"/>
          <w:sz w:val="21"/>
          <w:szCs w:val="21"/>
          <w14:ligatures w14:val="standardContextual"/>
        </w:rPr>
      </w:pPr>
      <w:r w:rsidRPr="00FA7C1F">
        <w:rPr>
          <w:rFonts w:ascii="Verdana" w:eastAsia="Calibri" w:hAnsi="Verdana" w:cs="Arial"/>
          <w:color w:val="000000"/>
          <w:kern w:val="2"/>
          <w:sz w:val="20"/>
          <w:szCs w:val="20"/>
          <w14:ligatures w14:val="standardContextual"/>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Pr="00FA7C1F">
        <w:rPr>
          <w:rFonts w:ascii="Verdana" w:eastAsia="Calibri" w:hAnsi="Verdana" w:cs="Arial"/>
          <w:i/>
          <w:iCs/>
          <w:color w:val="000000"/>
          <w:kern w:val="2"/>
          <w:sz w:val="20"/>
          <w:szCs w:val="20"/>
          <w14:ligatures w14:val="standardContextual"/>
        </w:rPr>
        <w:t>así como las entidades descentralizadas indirectas y las demás personas jurídicas en las que exista dicha participación pública mayoritaria, cualquiera sea la denominación que ellas adopten, en todos los órdenes y niveles </w:t>
      </w:r>
      <w:r w:rsidRPr="00FA7C1F">
        <w:rPr>
          <w:rFonts w:ascii="Verdana" w:eastAsia="Calibri" w:hAnsi="Verdana" w:cs="Arial"/>
          <w:color w:val="000000"/>
          <w:kern w:val="2"/>
          <w:sz w:val="21"/>
          <w:szCs w:val="21"/>
          <w14:ligatures w14:val="standardContextual"/>
        </w:rPr>
        <w:t>[...]</w:t>
      </w:r>
      <w:r w:rsidRPr="00FA7C1F">
        <w:rPr>
          <w:rFonts w:ascii="Verdana" w:eastAsia="Calibri" w:hAnsi="Verdana" w:cs="Arial"/>
          <w:i/>
          <w:iCs/>
          <w:color w:val="000000"/>
          <w:kern w:val="2"/>
          <w:sz w:val="21"/>
          <w:szCs w:val="21"/>
          <w14:ligatures w14:val="standardContextual"/>
        </w:rPr>
        <w:t xml:space="preserve"> </w:t>
      </w:r>
      <w:r w:rsidRPr="00FA7C1F">
        <w:rPr>
          <w:rFonts w:ascii="Verdana" w:eastAsia="Calibri" w:hAnsi="Verdana" w:cs="Arial"/>
          <w:color w:val="000000"/>
          <w:kern w:val="2"/>
          <w:sz w:val="21"/>
          <w:szCs w:val="21"/>
          <w14:ligatures w14:val="standardContextual"/>
        </w:rPr>
        <w:t xml:space="preserve">[Énfasis fuera de texto] </w:t>
      </w:r>
    </w:p>
    <w:p w14:paraId="0DDD98EA" w14:textId="77777777" w:rsidR="00031490" w:rsidRPr="00FA7C1F" w:rsidRDefault="00031490" w:rsidP="00031490">
      <w:pPr>
        <w:spacing w:after="0" w:line="276" w:lineRule="auto"/>
        <w:jc w:val="both"/>
        <w:rPr>
          <w:rFonts w:ascii="Verdana" w:eastAsia="Times New Roman" w:hAnsi="Verdana" w:cs="Arial"/>
          <w:color w:val="000000"/>
          <w:lang w:val="es-ES" w:eastAsia="es-ES_tradnl"/>
        </w:rPr>
      </w:pPr>
      <w:r w:rsidRPr="00FA7C1F">
        <w:rPr>
          <w:rFonts w:ascii="Verdana" w:eastAsia="Times New Roman" w:hAnsi="Verdana" w:cs="Arial"/>
          <w:color w:val="000000"/>
          <w:lang w:val="es-ES" w:eastAsia="es-ES_tradnl"/>
        </w:rPr>
        <w:t xml:space="preserve"> </w:t>
      </w:r>
      <w:r w:rsidRPr="00FA7C1F">
        <w:rPr>
          <w:rFonts w:ascii="Verdana" w:eastAsia="Times New Roman" w:hAnsi="Verdana" w:cs="Arial"/>
          <w:color w:val="000000"/>
          <w:lang w:val="es-ES" w:eastAsia="es-ES_tradnl"/>
        </w:rPr>
        <w:tab/>
      </w:r>
    </w:p>
    <w:p w14:paraId="093FFC56" w14:textId="77777777" w:rsidR="00031490" w:rsidRPr="00FA7C1F" w:rsidRDefault="00031490" w:rsidP="00031490">
      <w:pPr>
        <w:spacing w:after="120" w:line="276" w:lineRule="auto"/>
        <w:jc w:val="both"/>
        <w:rPr>
          <w:rFonts w:ascii="Verdana" w:eastAsia="Times New Roman" w:hAnsi="Verdana" w:cs="Arial"/>
          <w:color w:val="000000"/>
          <w:lang w:val="es-ES" w:eastAsia="es-ES_tradnl"/>
        </w:rPr>
      </w:pPr>
      <w:r w:rsidRPr="00FA7C1F">
        <w:rPr>
          <w:rFonts w:ascii="Verdana" w:eastAsia="Times New Roman" w:hAnsi="Verdana" w:cs="Arial"/>
          <w:color w:val="000000"/>
          <w:lang w:val="es-ES" w:eastAsia="es-ES_tradnl"/>
        </w:rPr>
        <w:tab/>
        <w:t>Conforme se aprecia, esta norma hace alusión a una serie de personas jurídicas públicas ubicadas en distintos órdenes y niveles de la Administración Pública, a efectos de predicar respecto a estas la calidad de entidades estatales. Dicha calidad, de conformidad con lo establecido en el artículo 1 de la Ley 80 de 1993, en principio, implica que el régimen contractual aplicable a los sujetos referidos en la norma sea el EGCAP</w:t>
      </w:r>
      <w:r w:rsidRPr="00FA7C1F">
        <w:rPr>
          <w:rFonts w:ascii="Verdana" w:eastAsia="Times New Roman" w:hAnsi="Verdana" w:cs="Arial"/>
          <w:color w:val="000000"/>
          <w:vertAlign w:val="superscript"/>
          <w:lang w:val="es-ES" w:eastAsia="es-ES_tradnl"/>
        </w:rPr>
        <w:footnoteReference w:id="3"/>
      </w:r>
      <w:r w:rsidRPr="00FA7C1F">
        <w:rPr>
          <w:rFonts w:ascii="Verdana" w:eastAsia="Times New Roman" w:hAnsi="Verdana" w:cs="Arial"/>
          <w:color w:val="000000"/>
          <w:lang w:val="es-ES" w:eastAsia="es-ES_tradnl"/>
        </w:rPr>
        <w:t xml:space="preserve">. </w:t>
      </w:r>
    </w:p>
    <w:p w14:paraId="76C032F9" w14:textId="77777777" w:rsidR="00031490" w:rsidRPr="00FA7C1F" w:rsidRDefault="00031490" w:rsidP="00031490">
      <w:pPr>
        <w:spacing w:after="120" w:line="276" w:lineRule="auto"/>
        <w:jc w:val="both"/>
        <w:rPr>
          <w:rFonts w:ascii="Verdana" w:eastAsia="Times New Roman" w:hAnsi="Verdana" w:cs="Arial"/>
          <w:color w:val="000000"/>
          <w:lang w:val="es-ES" w:eastAsia="es-ES_tradnl"/>
        </w:rPr>
      </w:pPr>
      <w:r w:rsidRPr="00FA7C1F">
        <w:rPr>
          <w:rFonts w:ascii="Verdana" w:eastAsia="Times New Roman" w:hAnsi="Verdana" w:cs="Arial"/>
          <w:color w:val="000000"/>
          <w:lang w:val="es-ES" w:eastAsia="es-ES_tradnl"/>
        </w:rPr>
        <w:tab/>
        <w:t xml:space="preserve"> </w:t>
      </w:r>
      <w:bookmarkStart w:id="4" w:name="_Hlk113525039"/>
      <w:r w:rsidRPr="00FA7C1F">
        <w:rPr>
          <w:rFonts w:ascii="Verdana" w:eastAsia="Times New Roman" w:hAnsi="Verdana" w:cs="Arial"/>
          <w:color w:val="000000"/>
          <w:lang w:val="es-ES" w:eastAsia="es-ES_tradnl"/>
        </w:rPr>
        <w:t xml:space="preserve">De acuerdo con lo anterior, resulta claro que entidades como la Nación, los departamentos, municipios, establecimientos públicos y asociaciones de municipios, obedecen a la noción de entidades estatales establecida por el literal </w:t>
      </w:r>
      <w:bookmarkStart w:id="5" w:name="_Hlk167866735"/>
      <w:r w:rsidRPr="00FA7C1F">
        <w:rPr>
          <w:rFonts w:ascii="Verdana" w:eastAsia="Times New Roman" w:hAnsi="Verdana" w:cs="Arial"/>
          <w:color w:val="000000"/>
          <w:lang w:val="es-ES" w:eastAsia="es-ES_tradnl"/>
        </w:rPr>
        <w:t xml:space="preserve">a) del numeral 1 del artículo 2 de la Ley 80 de 1993, de lo que se colige que se </w:t>
      </w:r>
      <w:r w:rsidRPr="00FA7C1F">
        <w:rPr>
          <w:rFonts w:ascii="Verdana" w:eastAsia="Times New Roman" w:hAnsi="Verdana" w:cs="Arial"/>
          <w:color w:val="000000"/>
          <w:lang w:val="es-ES" w:eastAsia="es-ES_tradnl"/>
        </w:rPr>
        <w:lastRenderedPageBreak/>
        <w:t>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w:t>
      </w:r>
      <w:bookmarkEnd w:id="5"/>
      <w:r w:rsidRPr="00FA7C1F">
        <w:rPr>
          <w:rFonts w:ascii="Verdana" w:eastAsia="Times New Roman" w:hAnsi="Verdana" w:cs="Arial"/>
          <w:color w:val="000000"/>
          <w:lang w:val="es-ES" w:eastAsia="es-ES_tradnl"/>
        </w:rPr>
        <w:t>ersonas jurídicas en las que exista una participación pública mayoritaria.</w:t>
      </w:r>
    </w:p>
    <w:p w14:paraId="46708274" w14:textId="77777777" w:rsidR="00031490" w:rsidRPr="00FA7C1F" w:rsidRDefault="00031490" w:rsidP="00031490">
      <w:pPr>
        <w:spacing w:after="0" w:line="276" w:lineRule="auto"/>
        <w:jc w:val="both"/>
        <w:rPr>
          <w:rFonts w:ascii="Verdana" w:eastAsia="Calibri" w:hAnsi="Verdana" w:cs="Arial"/>
          <w:color w:val="000000"/>
        </w:rPr>
      </w:pPr>
      <w:r w:rsidRPr="00FA7C1F">
        <w:rPr>
          <w:rFonts w:ascii="Verdana" w:eastAsia="Times New Roman" w:hAnsi="Verdana" w:cs="Arial"/>
          <w:color w:val="000000"/>
          <w:lang w:val="es-ES" w:eastAsia="es-ES_tradnl"/>
        </w:rPr>
        <w:tab/>
        <w:t>No obstante, sin perjuicio de lo dispuesto en los artículos 1 y 2 de la Ley 80 de 1993, la aplicabilidad del EGCAP a las empresas industriales comerciales del Estado, sociedades de economía mixta y entidades descentralizadas indirectas también está determinada por el artículo 14 de la Ley 1150 de 2007. Dicho precepto exceptúa a las referidas entidades de la aplicación del régimen contractual público en consideración a un criterio relativo al desarrollo de actividades comerciales en competencia con el sector privado o en mercados regulados.</w:t>
      </w:r>
      <w:bookmarkEnd w:id="4"/>
      <w:r w:rsidRPr="00FA7C1F">
        <w:rPr>
          <w:rFonts w:ascii="Verdana" w:eastAsia="Times New Roman" w:hAnsi="Verdana" w:cs="Arial"/>
          <w:color w:val="000000"/>
          <w:lang w:val="es-ES" w:eastAsia="es-ES_tradnl"/>
        </w:rPr>
        <w:t xml:space="preserve"> El texto de la norma es el siguiente:  </w:t>
      </w:r>
    </w:p>
    <w:p w14:paraId="654969B1" w14:textId="77777777" w:rsidR="00031490" w:rsidRPr="00FA7C1F" w:rsidRDefault="00031490" w:rsidP="00031490">
      <w:pPr>
        <w:spacing w:after="0" w:line="276" w:lineRule="auto"/>
        <w:jc w:val="both"/>
        <w:rPr>
          <w:rFonts w:ascii="Verdana" w:eastAsia="Calibri" w:hAnsi="Verdana" w:cs="Arial"/>
          <w:color w:val="000000"/>
        </w:rPr>
      </w:pPr>
    </w:p>
    <w:p w14:paraId="4C688510" w14:textId="77777777" w:rsidR="00031490" w:rsidRPr="00FA7C1F" w:rsidRDefault="00031490" w:rsidP="00031490">
      <w:pPr>
        <w:spacing w:after="0" w:line="240" w:lineRule="auto"/>
        <w:ind w:left="709" w:right="709"/>
        <w:jc w:val="both"/>
        <w:rPr>
          <w:rFonts w:ascii="Verdana" w:eastAsia="Calibri" w:hAnsi="Verdana" w:cs="Arial"/>
          <w:color w:val="000000"/>
          <w:sz w:val="21"/>
          <w:szCs w:val="21"/>
        </w:rPr>
      </w:pPr>
      <w:r w:rsidRPr="00FA7C1F">
        <w:rPr>
          <w:rFonts w:ascii="Verdana" w:eastAsia="Calibri" w:hAnsi="Verdana" w:cs="Arial"/>
          <w:color w:val="000000"/>
          <w:sz w:val="21"/>
          <w:szCs w:val="21"/>
        </w:rPr>
        <w:t>“</w:t>
      </w:r>
      <w:r w:rsidRPr="00FA7C1F">
        <w:rPr>
          <w:rFonts w:ascii="Verdana" w:eastAsia="Calibri" w:hAnsi="Verdana" w:cs="Arial"/>
          <w:color w:val="000000"/>
          <w:sz w:val="20"/>
          <w:szCs w:val="20"/>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00FA7C1F">
        <w:rPr>
          <w:rFonts w:ascii="Verdana" w:eastAsia="Calibri" w:hAnsi="Verdana" w:cs="Arial"/>
          <w:i/>
          <w:iCs/>
          <w:color w:val="000000"/>
          <w:sz w:val="20"/>
          <w:szCs w:val="20"/>
        </w:rPr>
        <w:t xml:space="preserve">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r w:rsidRPr="00FA7C1F">
        <w:rPr>
          <w:rFonts w:ascii="Verdana" w:eastAsia="Calibri" w:hAnsi="Verdana" w:cs="Arial"/>
          <w:color w:val="000000"/>
          <w:sz w:val="20"/>
          <w:szCs w:val="20"/>
        </w:rPr>
        <w:t>Se exceptúan los contratos de ciencia y tecnología, que se regirán por la Ley 29 de 1990 y las disposiciones normativas existentes.”[Énfasis fuera de texto]</w:t>
      </w:r>
    </w:p>
    <w:p w14:paraId="60C5A7E1" w14:textId="77777777" w:rsidR="00031490" w:rsidRPr="00FA7C1F" w:rsidRDefault="00031490" w:rsidP="00031490">
      <w:pPr>
        <w:spacing w:after="0" w:line="276" w:lineRule="auto"/>
        <w:jc w:val="both"/>
        <w:rPr>
          <w:rFonts w:ascii="Verdana" w:eastAsia="Calibri" w:hAnsi="Verdana" w:cs="Arial"/>
          <w:color w:val="000000"/>
        </w:rPr>
      </w:pPr>
    </w:p>
    <w:p w14:paraId="19C64040" w14:textId="77777777" w:rsidR="00031490" w:rsidRPr="00FA7C1F" w:rsidRDefault="00031490" w:rsidP="00031490">
      <w:pPr>
        <w:spacing w:after="120" w:line="276" w:lineRule="auto"/>
        <w:jc w:val="both"/>
        <w:rPr>
          <w:rFonts w:ascii="Verdana" w:eastAsia="Times New Roman" w:hAnsi="Verdana" w:cs="Arial"/>
          <w:color w:val="000000"/>
          <w:lang w:val="es-ES" w:eastAsia="es-ES_tradnl"/>
        </w:rPr>
      </w:pPr>
      <w:r w:rsidRPr="00FA7C1F">
        <w:rPr>
          <w:rFonts w:ascii="Verdana" w:eastAsia="Calibri" w:hAnsi="Verdana" w:cs="Arial"/>
          <w:color w:val="000000"/>
        </w:rPr>
        <w:tab/>
      </w:r>
      <w:bookmarkStart w:id="6" w:name="_Hlk113525097"/>
      <w:r w:rsidRPr="00FA7C1F">
        <w:rPr>
          <w:rFonts w:ascii="Verdana" w:eastAsia="Calibri" w:hAnsi="Verdana" w:cs="Arial"/>
          <w:color w:val="000000"/>
        </w:rPr>
        <w:t xml:space="preserve">En esta medida,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no estén en competencia ni desarrollen su actividad en mercados regulados están sometidas al EGCAP y las normas que lo complementan. En contraste, el régimen contractual de los mencionados tipos de entidades cuando se encuentren en competencia o en mercados regulados es el propio de tales actividades, esto es, por regla general, el derecho privado. De acuerdo con la jurisprudencia, la exclusión de estas últimas del EGCAP se justifica en el principio </w:t>
      </w:r>
      <w:r w:rsidRPr="00FA7C1F">
        <w:rPr>
          <w:rFonts w:ascii="Verdana" w:eastAsia="Calibri" w:hAnsi="Verdana" w:cs="Arial"/>
          <w:color w:val="000000"/>
        </w:rPr>
        <w:lastRenderedPageBreak/>
        <w:t>de igualdad, ya que, si el Estado desarrolla actividades de los particulares, debe actuar no solo desprovisto de poderes exorbitantes sino también con la misma eficacia y eficiencia que los sujetos de derecho privado.</w:t>
      </w:r>
      <w:r w:rsidRPr="00FA7C1F">
        <w:rPr>
          <w:rFonts w:ascii="Verdana" w:eastAsia="Calibri" w:hAnsi="Verdana" w:cs="Arial"/>
          <w:color w:val="000000"/>
          <w:vertAlign w:val="superscript"/>
        </w:rPr>
        <w:footnoteReference w:id="4"/>
      </w:r>
      <w:r w:rsidRPr="00FA7C1F">
        <w:rPr>
          <w:rFonts w:ascii="Verdana" w:eastAsia="Times New Roman" w:hAnsi="Verdana" w:cs="Arial"/>
          <w:color w:val="000000"/>
          <w:lang w:val="es-ES" w:eastAsia="es-ES_tradnl"/>
        </w:rPr>
        <w:t xml:space="preserve">  </w:t>
      </w:r>
    </w:p>
    <w:p w14:paraId="659BA519" w14:textId="77777777" w:rsidR="00031490" w:rsidRPr="00FA7C1F" w:rsidRDefault="00031490" w:rsidP="00031490">
      <w:pPr>
        <w:spacing w:after="120" w:line="276" w:lineRule="auto"/>
        <w:ind w:firstLine="708"/>
        <w:jc w:val="both"/>
        <w:rPr>
          <w:rFonts w:ascii="Verdana" w:eastAsia="Times New Roman" w:hAnsi="Verdana" w:cs="Arial"/>
          <w:color w:val="000000"/>
          <w:lang w:val="es-ES" w:eastAsia="es-ES_tradnl"/>
        </w:rPr>
      </w:pPr>
      <w:r w:rsidRPr="00FA7C1F">
        <w:rPr>
          <w:rFonts w:ascii="Verdana" w:eastAsia="Times New Roman" w:hAnsi="Verdana" w:cs="Arial"/>
          <w:color w:val="000000"/>
          <w:lang w:val="es-ES" w:eastAsia="es-ES_tradnl"/>
        </w:rPr>
        <w:t xml:space="preserve">En cuanto a las entidades descentralizadas indirectas debe señalarse que, en virtud de la referencia genérica realizada a la misma por el literal a) del numeral 1 del artículo 2 de la Ley 80 de 1993, es posible afirmar que son definidas como entidades estatales, por lo que se encuentran sometidas al EGCAP.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se encuadran dentro de las entidades estatales sometidas al EGCAP de conformidad con lo establecido en el numeral 1 del artículo 2 de la Ley 80 de 1993, por lo que su contratación no está regida por dicho cuerpo normativo. </w:t>
      </w:r>
    </w:p>
    <w:p w14:paraId="1F19A5B9" w14:textId="77777777" w:rsidR="00031490" w:rsidRPr="00FA7C1F" w:rsidRDefault="00031490" w:rsidP="00031490">
      <w:pPr>
        <w:spacing w:after="120" w:line="276" w:lineRule="auto"/>
        <w:ind w:firstLine="708"/>
        <w:jc w:val="both"/>
        <w:rPr>
          <w:rFonts w:ascii="Verdana" w:eastAsia="Times New Roman" w:hAnsi="Verdana" w:cs="Arial"/>
          <w:bCs/>
          <w:lang w:eastAsia="es-CO"/>
        </w:rPr>
      </w:pPr>
      <w:r w:rsidRPr="00FA7C1F">
        <w:rPr>
          <w:rFonts w:ascii="Verdana" w:eastAsia="Times New Roman" w:hAnsi="Verdana" w:cs="Arial"/>
          <w:color w:val="000000"/>
          <w:lang w:val="es-ES" w:eastAsia="es-ES_tradnl"/>
        </w:rPr>
        <w:t xml:space="preserve">En todo caso, debe destacarse que, aunque el literal a) del numeral 1 del artículo 2 de la Ley 80 de 1993 se refiera de manera expresa a las entidades descentralizadas indirectas, dicha categoría es aplicable a personas jurídicas de distinta naturaleza y régimen jurídico, creadas con la anuencia de entidades públicas. Contrario a lo que sucede con las entidades descentralizadas directas o de primer grado, las cuales son creadas por la ley, las entidades descentralizadas indirectas </w:t>
      </w:r>
      <w:r w:rsidRPr="00FA7C1F">
        <w:rPr>
          <w:rFonts w:ascii="Verdana" w:eastAsia="Times New Roman" w:hAnsi="Verdana" w:cs="Arial"/>
          <w:bCs/>
          <w:lang w:eastAsia="es-CO"/>
        </w:rPr>
        <w:t>surgen como producto de la voluntad asociativa de entidades estatales, conocidas como entidades descentralizadas indirectas o de segundo grado.</w:t>
      </w:r>
      <w:bookmarkEnd w:id="6"/>
      <w:r w:rsidRPr="00FA7C1F">
        <w:rPr>
          <w:rFonts w:ascii="Verdana" w:eastAsia="Times New Roman" w:hAnsi="Verdana" w:cs="Arial"/>
          <w:bCs/>
          <w:lang w:eastAsia="es-CO"/>
        </w:rPr>
        <w:t xml:space="preserve"> </w:t>
      </w:r>
    </w:p>
    <w:p w14:paraId="35F7646D" w14:textId="77777777" w:rsidR="00031490" w:rsidRPr="00FA7C1F" w:rsidRDefault="00031490" w:rsidP="00031490">
      <w:pPr>
        <w:spacing w:after="120" w:line="276" w:lineRule="auto"/>
        <w:ind w:firstLine="567"/>
        <w:jc w:val="both"/>
        <w:rPr>
          <w:rFonts w:ascii="Verdana" w:eastAsia="Times New Roman" w:hAnsi="Verdana" w:cs="Arial"/>
          <w:bCs/>
          <w:lang w:eastAsia="es-CO"/>
        </w:rPr>
      </w:pPr>
      <w:r w:rsidRPr="00FA7C1F">
        <w:rPr>
          <w:rFonts w:ascii="Verdana" w:eastAsia="Times New Roman" w:hAnsi="Verdana" w:cs="Arial"/>
          <w:bCs/>
          <w:lang w:eastAsia="es-CO"/>
        </w:rPr>
        <w:lastRenderedPageBreak/>
        <w:t>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FA7C1F">
        <w:rPr>
          <w:rFonts w:ascii="Verdana" w:eastAsia="Times New Roman" w:hAnsi="Verdana" w:cs="Arial"/>
          <w:bCs/>
          <w:vertAlign w:val="superscript"/>
          <w:lang w:eastAsia="es-CO"/>
        </w:rPr>
        <w:footnoteReference w:id="5"/>
      </w:r>
      <w:r w:rsidRPr="00FA7C1F">
        <w:rPr>
          <w:rFonts w:ascii="Verdana" w:eastAsia="Times New Roman" w:hAnsi="Verdana" w:cs="Arial"/>
          <w:bCs/>
          <w:lang w:eastAsia="es-CO"/>
        </w:rPr>
        <w:t>. En el mismo sentido, la doctrina nacional ha señalado que, entidades descentralizadas indirectas o de segundo grado es el nombre que se ha dado en las personas jurídicas que nacen no de la ley, sino de la voluntad asociativa de los entes públicos</w:t>
      </w:r>
      <w:r w:rsidRPr="00FA7C1F">
        <w:rPr>
          <w:rFonts w:ascii="Verdana" w:eastAsia="Times New Roman" w:hAnsi="Verdana" w:cs="Arial"/>
          <w:bCs/>
          <w:vertAlign w:val="superscript"/>
          <w:lang w:eastAsia="es-CO"/>
        </w:rPr>
        <w:footnoteReference w:id="6"/>
      </w:r>
      <w:r w:rsidRPr="00FA7C1F">
        <w:rPr>
          <w:rFonts w:ascii="Verdana" w:eastAsia="Times New Roman" w:hAnsi="Verdana" w:cs="Arial"/>
          <w:bCs/>
          <w:lang w:eastAsia="es-CO"/>
        </w:rPr>
        <w:t xml:space="preserve">. </w:t>
      </w:r>
    </w:p>
    <w:p w14:paraId="6ED4889B" w14:textId="77777777" w:rsidR="00031490" w:rsidRPr="00F46E82" w:rsidRDefault="00031490" w:rsidP="00031490">
      <w:pPr>
        <w:spacing w:after="120" w:line="276" w:lineRule="auto"/>
        <w:ind w:firstLine="567"/>
        <w:jc w:val="both"/>
        <w:rPr>
          <w:rFonts w:ascii="Verdana" w:eastAsia="Calibri" w:hAnsi="Verdana" w:cs="Arial"/>
          <w:color w:val="000000"/>
          <w:lang w:val="es-ES"/>
        </w:rPr>
      </w:pPr>
      <w:r w:rsidRPr="00FA7C1F">
        <w:rPr>
          <w:rFonts w:ascii="Verdana" w:eastAsia="Times New Roman" w:hAnsi="Verdana" w:cs="Arial"/>
          <w:bCs/>
          <w:lang w:eastAsia="es-CO"/>
        </w:rPr>
        <w:t xml:space="preserve">Al respecto, el parágrafo del artículo 49 </w:t>
      </w:r>
      <w:r w:rsidRPr="00FA7C1F">
        <w:rPr>
          <w:rFonts w:ascii="Verdana" w:eastAsia="Times New Roman" w:hAnsi="Verdana" w:cs="Arial"/>
          <w:bCs/>
          <w:i/>
          <w:iCs/>
          <w:lang w:eastAsia="es-CO"/>
        </w:rPr>
        <w:t>ibidem</w:t>
      </w:r>
      <w:r w:rsidRPr="00FA7C1F">
        <w:rPr>
          <w:rFonts w:ascii="Verdana" w:eastAsia="Times New Roman" w:hAnsi="Verdana" w:cs="Arial"/>
          <w:bCs/>
          <w:lang w:eastAsia="es-CO"/>
        </w:rPr>
        <w:t xml:space="preserve"> se refiere a las entidades descentralizadas indirectas, las filiales de empresas y comerciales del Estado y sociedades de economía mixta, señalando que su constitución debe realizarse con sujeción a lo dispuesto en la Ley 489 de 1998, con la autorización del gobierno nacional, de tratarse de entidades de ese orden, o del gobernador o alcalde, tratándose de entidades del orden departamental o municipal.</w:t>
      </w:r>
      <w:r w:rsidRPr="00367919">
        <w:rPr>
          <w:rFonts w:ascii="Century Gothic" w:eastAsia="Times New Roman" w:hAnsi="Century Gothic" w:cs="Arial"/>
          <w:bCs/>
          <w:lang w:eastAsia="es-CO"/>
        </w:rPr>
        <w:t xml:space="preserve"> </w:t>
      </w:r>
    </w:p>
    <w:p w14:paraId="6A89886F" w14:textId="77777777" w:rsidR="00031490" w:rsidRPr="00F95ECD" w:rsidRDefault="00031490" w:rsidP="00031490">
      <w:pPr>
        <w:spacing w:before="120" w:after="120" w:line="276" w:lineRule="auto"/>
        <w:jc w:val="both"/>
        <w:rPr>
          <w:rFonts w:ascii="Verdana" w:eastAsia="Calibri" w:hAnsi="Verdana" w:cs="Arial"/>
          <w:lang w:val="es-ES_tradnl" w:eastAsia="es-ES"/>
        </w:rPr>
      </w:pPr>
      <w:proofErr w:type="spellStart"/>
      <w:r>
        <w:rPr>
          <w:rFonts w:ascii="Verdana" w:eastAsia="Calibri" w:hAnsi="Verdana" w:cs="Times New Roman"/>
        </w:rPr>
        <w:t>ii</w:t>
      </w:r>
      <w:proofErr w:type="spellEnd"/>
      <w:r>
        <w:rPr>
          <w:rFonts w:ascii="Verdana" w:eastAsia="Calibri" w:hAnsi="Verdana" w:cs="Times New Roman"/>
        </w:rPr>
        <w:t xml:space="preserve">) </w:t>
      </w:r>
      <w:bookmarkStart w:id="7" w:name="_Hlk113022941"/>
      <w:r>
        <w:rPr>
          <w:rFonts w:ascii="Verdana" w:eastAsia="Calibri" w:hAnsi="Verdana" w:cs="Arial"/>
          <w:lang w:val="es-ES_tradnl" w:eastAsia="es-ES"/>
        </w:rPr>
        <w:t>L</w:t>
      </w:r>
      <w:r w:rsidRPr="00F95ECD">
        <w:rPr>
          <w:rFonts w:ascii="Verdana" w:eastAsia="Calibri" w:hAnsi="Verdana" w:cs="Arial"/>
          <w:lang w:val="es-ES_tradnl" w:eastAsia="es-ES"/>
        </w:rPr>
        <w:t xml:space="preserve">a </w:t>
      </w:r>
      <w:bookmarkStart w:id="8" w:name="_Hlk176876754"/>
      <w:r w:rsidRPr="00F95ECD">
        <w:rPr>
          <w:rFonts w:ascii="Verdana" w:eastAsia="Calibri" w:hAnsi="Verdana" w:cs="Arial"/>
          <w:lang w:val="es-ES_tradnl" w:eastAsia="es-ES"/>
        </w:rPr>
        <w:t>Ley 2022 de 2020, modificó el contenido del parágrafo 7 del artículo 2 de la Ley 1150 de 2007, que había sido adicionado por la Ley 1882 de 2018</w:t>
      </w:r>
      <w:bookmarkEnd w:id="8"/>
      <w:r w:rsidRPr="00F95ECD">
        <w:rPr>
          <w:rFonts w:ascii="Verdana" w:eastAsia="Calibri" w:hAnsi="Verdana" w:cs="Arial"/>
          <w:vertAlign w:val="superscript"/>
          <w:lang w:val="es-ES_tradnl" w:eastAsia="es-ES"/>
        </w:rPr>
        <w:footnoteReference w:id="7"/>
      </w:r>
      <w:r w:rsidRPr="00F95ECD">
        <w:rPr>
          <w:rFonts w:ascii="Verdana" w:eastAsia="Calibri" w:hAnsi="Verdana" w:cs="Arial"/>
          <w:lang w:val="es-ES_tradnl" w:eastAsia="es-ES"/>
        </w:rPr>
        <w:t xml:space="preserve">. Con </w:t>
      </w:r>
      <w:r w:rsidRPr="00F95ECD">
        <w:rPr>
          <w:rFonts w:ascii="Verdana" w:eastAsia="Calibri" w:hAnsi="Verdana" w:cs="Arial"/>
          <w:lang w:val="es-ES_tradnl" w:eastAsia="es-ES"/>
        </w:rPr>
        <w:lastRenderedPageBreak/>
        <w:t xml:space="preserve">esta modificación, si bien se mantuvo el mandato de aplicación obligatoria de los Documentos Tipo por parte de las entidades sometidas al </w:t>
      </w:r>
      <w:r w:rsidRPr="00F95ECD">
        <w:rPr>
          <w:rFonts w:ascii="Verdana" w:eastAsia="Calibri" w:hAnsi="Verdana" w:cs="Arial"/>
          <w:bCs/>
          <w:lang w:val="es-ES_tradnl" w:eastAsia="es-ES_tradnl"/>
        </w:rPr>
        <w:t>EGCAP</w:t>
      </w:r>
      <w:r w:rsidRPr="00F95ECD">
        <w:rPr>
          <w:rFonts w:ascii="Verdana" w:eastAsia="Calibri" w:hAnsi="Verdana" w:cs="Arial"/>
          <w:lang w:val="es-ES_tradnl" w:eastAsia="es-ES"/>
        </w:rPr>
        <w:t xml:space="preserve">, se atribuyó a la </w:t>
      </w:r>
      <w:r w:rsidRPr="00F95ECD">
        <w:rPr>
          <w:rFonts w:ascii="Verdana" w:eastAsia="Calibri" w:hAnsi="Verdana" w:cs="Arial"/>
          <w:lang w:val="es-ES_tradnl" w:eastAsia="es-ES_tradnl"/>
        </w:rPr>
        <w:t xml:space="preserve">Agencia Nacional de Contratación Pública – Colombia Compra Eficiente la competencia para su expedición. </w:t>
      </w:r>
    </w:p>
    <w:p w14:paraId="3943FA58" w14:textId="77777777" w:rsidR="00031490" w:rsidRPr="00F95ECD" w:rsidRDefault="00031490" w:rsidP="00031490">
      <w:pPr>
        <w:spacing w:after="120" w:line="276" w:lineRule="auto"/>
        <w:ind w:firstLine="709"/>
        <w:jc w:val="both"/>
        <w:rPr>
          <w:rFonts w:ascii="Verdana" w:hAnsi="Verdana" w:cs="Arial"/>
          <w:lang w:val="es-ES"/>
        </w:rPr>
      </w:pPr>
      <w:r w:rsidRPr="00F95ECD">
        <w:rPr>
          <w:rFonts w:ascii="Verdana" w:hAnsi="Verdana" w:cs="Arial"/>
          <w:lang w:val="es-ES"/>
        </w:rPr>
        <w:t>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w:t>
      </w:r>
      <w:r>
        <w:rPr>
          <w:rFonts w:ascii="Verdana" w:hAnsi="Verdana" w:cs="Arial"/>
          <w:lang w:val="es-ES"/>
        </w:rPr>
        <w:t>, pero también,</w:t>
      </w:r>
      <w:r w:rsidRPr="00F95ECD">
        <w:rPr>
          <w:rFonts w:ascii="Verdana" w:hAnsi="Verdana" w:cs="Arial"/>
          <w:lang w:val="es-ES"/>
        </w:rPr>
        <w:t xml:space="preserve"> para la celebración de convenios solidarios con Juntas de Acción Comunal</w:t>
      </w:r>
      <w:r>
        <w:rPr>
          <w:rFonts w:ascii="Verdana" w:hAnsi="Verdana" w:cs="Arial"/>
          <w:lang w:val="es-ES"/>
        </w:rPr>
        <w:t xml:space="preserve"> y para </w:t>
      </w:r>
      <w:r w:rsidRPr="00F95ECD">
        <w:rPr>
          <w:rFonts w:ascii="Verdana" w:hAnsi="Verdana" w:cs="Arial"/>
          <w:lang w:val="es-ES"/>
        </w:rPr>
        <w:t>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w:t>
      </w:r>
      <w:r>
        <w:rPr>
          <w:rFonts w:ascii="Verdana" w:hAnsi="Verdana" w:cs="Arial"/>
          <w:lang w:val="es-ES"/>
        </w:rPr>
        <w:t>,</w:t>
      </w:r>
      <w:r w:rsidRPr="00F95ECD">
        <w:rPr>
          <w:rFonts w:ascii="Verdana" w:hAnsi="Verdana" w:cs="Arial"/>
          <w:lang w:val="es-ES"/>
        </w:rPr>
        <w:t xml:space="preserve"> concurso de méritos</w:t>
      </w:r>
      <w:r>
        <w:rPr>
          <w:rFonts w:ascii="Verdana" w:hAnsi="Verdana" w:cs="Arial"/>
          <w:lang w:val="es-ES"/>
        </w:rPr>
        <w:t xml:space="preserve"> y contratación directa</w:t>
      </w:r>
      <w:r w:rsidRPr="00F95ECD">
        <w:rPr>
          <w:rFonts w:ascii="Verdana" w:hAnsi="Verdana" w:cs="Arial"/>
          <w:lang w:val="es-ES"/>
        </w:rPr>
        <w:t xml:space="preserve">. </w:t>
      </w:r>
    </w:p>
    <w:p w14:paraId="7FE7CAA5" w14:textId="77777777" w:rsidR="00031490" w:rsidRPr="00F95ECD" w:rsidRDefault="00031490" w:rsidP="00031490">
      <w:pPr>
        <w:spacing w:after="120" w:line="276" w:lineRule="auto"/>
        <w:ind w:firstLine="708"/>
        <w:jc w:val="both"/>
        <w:rPr>
          <w:rFonts w:ascii="Verdana" w:eastAsia="Calibri" w:hAnsi="Verdana" w:cs="Arial"/>
        </w:rPr>
      </w:pPr>
      <w:bookmarkStart w:id="9" w:name="_Hlk176861190"/>
      <w:bookmarkStart w:id="10" w:name="_Hlk176877108"/>
      <w:bookmarkEnd w:id="7"/>
      <w:r w:rsidRPr="00F95ECD">
        <w:rPr>
          <w:rFonts w:ascii="Verdana" w:eastAsia="Calibri" w:hAnsi="Verdana" w:cs="Arial"/>
          <w:lang w:eastAsia="es-ES_tradnl"/>
        </w:rPr>
        <w:t xml:space="preserve">De acuerdo con lo expuesto, </w:t>
      </w:r>
      <w:r w:rsidRPr="00F95ECD">
        <w:rPr>
          <w:rFonts w:ascii="Verdana" w:eastAsia="Calibri" w:hAnsi="Verdana" w:cs="Arial"/>
          <w:bdr w:val="none" w:sz="0" w:space="0" w:color="auto" w:frame="1"/>
          <w:lang w:eastAsia="es-ES_tradnl"/>
        </w:rPr>
        <w:t xml:space="preserve">los Documentos Tipo adoptados son obligatorios para las Entidades Estatales regidas por el </w:t>
      </w:r>
      <w:r w:rsidRPr="00F95ECD">
        <w:rPr>
          <w:rFonts w:ascii="Verdana" w:eastAsia="Calibri" w:hAnsi="Verdana" w:cs="Arial"/>
          <w:bCs/>
          <w:lang w:val="es-ES_tradnl" w:eastAsia="es-ES_tradnl"/>
        </w:rPr>
        <w:t>EGCAP</w:t>
      </w:r>
      <w:r w:rsidRPr="00F95ECD">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F95ECD">
        <w:rPr>
          <w:rFonts w:ascii="Verdana" w:eastAsia="Calibri" w:hAnsi="Verdana" w:cs="Arial"/>
          <w:bdr w:val="none" w:sz="0" w:space="0" w:color="auto" w:frame="1"/>
          <w:vertAlign w:val="superscript"/>
          <w:lang w:eastAsia="es-ES_tradnl"/>
        </w:rPr>
        <w:footnoteReference w:id="8"/>
      </w:r>
      <w:r w:rsidRPr="00F95ECD">
        <w:rPr>
          <w:rFonts w:ascii="Verdana" w:eastAsia="Calibri" w:hAnsi="Verdana" w:cs="Arial"/>
          <w:bdr w:val="none" w:sz="0" w:space="0" w:color="auto" w:frame="1"/>
          <w:lang w:eastAsia="es-ES_tradnl"/>
        </w:rPr>
        <w:t xml:space="preserve">. </w:t>
      </w:r>
      <w:r w:rsidRPr="00F95ECD">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7A56237C" w14:textId="77777777" w:rsidR="00031490" w:rsidRPr="00F95ECD" w:rsidRDefault="00031490" w:rsidP="00031490">
      <w:pPr>
        <w:spacing w:after="120" w:line="276" w:lineRule="auto"/>
        <w:ind w:firstLine="709"/>
        <w:jc w:val="both"/>
        <w:rPr>
          <w:rFonts w:ascii="Verdana" w:hAnsi="Verdana" w:cs="Arial"/>
          <w:lang w:val="es-ES"/>
        </w:rPr>
      </w:pPr>
      <w:r w:rsidRPr="00F95ECD">
        <w:rPr>
          <w:rFonts w:ascii="Verdana" w:eastAsia="Calibri" w:hAnsi="Verdana" w:cs="Arial"/>
          <w:shd w:val="clear" w:color="auto" w:fill="FFFFFF"/>
          <w:lang w:val="es-ES"/>
        </w:rPr>
        <w:lastRenderedPageBreak/>
        <w:t xml:space="preserve">En ese orden, </w:t>
      </w:r>
      <w:r w:rsidRPr="00F95ECD">
        <w:rPr>
          <w:rFonts w:ascii="Verdana" w:eastAsia="Calibri" w:hAnsi="Verdana" w:cs="Arial"/>
          <w:lang w:val="es-ES"/>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559C3C83" w14:textId="77777777" w:rsidR="00031490" w:rsidRPr="00F95ECD" w:rsidRDefault="00031490" w:rsidP="00031490">
      <w:pPr>
        <w:spacing w:after="120" w:line="276" w:lineRule="auto"/>
        <w:ind w:firstLine="708"/>
        <w:jc w:val="both"/>
        <w:rPr>
          <w:rFonts w:ascii="Verdana" w:hAnsi="Verdana" w:cs="Arial"/>
          <w:lang w:val="es-ES"/>
        </w:rPr>
      </w:pPr>
      <w:r w:rsidRPr="00F95ECD">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65CA6027" w14:textId="77777777" w:rsidR="00031490" w:rsidRPr="007D0145" w:rsidRDefault="00031490" w:rsidP="00031490">
      <w:pPr>
        <w:spacing w:after="120" w:line="276" w:lineRule="auto"/>
        <w:ind w:firstLine="708"/>
        <w:jc w:val="both"/>
        <w:rPr>
          <w:rFonts w:ascii="Verdana" w:eastAsia="Calibri" w:hAnsi="Verdana" w:cs="Arial"/>
          <w:bCs/>
          <w:lang w:val="es-ES_tradnl" w:eastAsia="es-ES_tradnl"/>
        </w:rPr>
      </w:pPr>
      <w:r w:rsidRPr="007D0145">
        <w:rPr>
          <w:rFonts w:ascii="Verdana" w:eastAsia="Calibri" w:hAnsi="Verdana" w:cs="Arial"/>
          <w:bCs/>
          <w:lang w:val="es-ES_tradnl" w:eastAsia="es-ES_tradnl"/>
        </w:rPr>
        <w:t xml:space="preserve">No obstante, este panorama ha variado con la reciente expedición de la Ley 2195 de 2022, </w:t>
      </w:r>
      <w:r>
        <w:rPr>
          <w:rFonts w:ascii="Verdana" w:eastAsia="Calibri" w:hAnsi="Verdana" w:cs="Arial"/>
          <w:bCs/>
          <w:lang w:val="es-ES_tradnl" w:eastAsia="es-ES_tradnl"/>
        </w:rPr>
        <w:t>“</w:t>
      </w:r>
      <w:r w:rsidRPr="007D0145">
        <w:rPr>
          <w:rFonts w:ascii="Verdana" w:eastAsia="Calibri" w:hAnsi="Verdana" w:cs="Arial"/>
          <w:bCs/>
          <w:lang w:val="es-ES_tradnl" w:eastAsia="es-ES_tradnl"/>
        </w:rPr>
        <w:t>Por medio de la cual se adoptan medidas en materia de transparencia, prevención y lucha contra la corrupción y se dictan otras disposiciones</w:t>
      </w:r>
      <w:r>
        <w:rPr>
          <w:rFonts w:ascii="Verdana" w:eastAsia="Calibri" w:hAnsi="Verdana" w:cs="Arial"/>
          <w:bCs/>
          <w:lang w:val="es-ES_tradnl" w:eastAsia="es-ES_tradnl"/>
        </w:rPr>
        <w:t>”</w:t>
      </w:r>
      <w:r w:rsidRPr="007D0145">
        <w:rPr>
          <w:rFonts w:ascii="Verdana" w:eastAsia="Calibri" w:hAnsi="Verdana" w:cs="Arial"/>
          <w:bCs/>
          <w:lang w:val="es-ES_tradnl" w:eastAsia="es-ES_tradnl"/>
        </w:rPr>
        <w:t xml:space="preserve">.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1FD7ADF5" w14:textId="77777777" w:rsidR="00031490" w:rsidRPr="007D0145" w:rsidRDefault="00031490" w:rsidP="00031490">
      <w:pPr>
        <w:spacing w:after="0" w:line="276" w:lineRule="auto"/>
        <w:ind w:firstLine="708"/>
        <w:jc w:val="both"/>
        <w:rPr>
          <w:rFonts w:ascii="Verdana" w:eastAsia="Calibri" w:hAnsi="Verdana" w:cs="Arial"/>
          <w:bCs/>
          <w:lang w:val="es-ES_tradnl" w:eastAsia="es-ES_tradnl"/>
        </w:rPr>
      </w:pPr>
      <w:r w:rsidRPr="007D0145">
        <w:rPr>
          <w:rFonts w:ascii="Verdana" w:eastAsia="Calibri" w:hAnsi="Verdana" w:cs="Arial"/>
          <w:bCs/>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30395829" w14:textId="77777777" w:rsidR="00031490" w:rsidRPr="00944229" w:rsidRDefault="00031490" w:rsidP="00031490">
      <w:pPr>
        <w:tabs>
          <w:tab w:val="left" w:pos="0"/>
        </w:tabs>
        <w:spacing w:after="0" w:line="276" w:lineRule="auto"/>
        <w:jc w:val="both"/>
        <w:rPr>
          <w:rFonts w:ascii="Arial" w:eastAsia="Calibri" w:hAnsi="Arial" w:cs="Arial"/>
          <w:bCs/>
          <w:szCs w:val="24"/>
          <w:lang w:val="es-ES_tradnl" w:eastAsia="es-ES_tradnl"/>
        </w:rPr>
      </w:pPr>
    </w:p>
    <w:p w14:paraId="22F7F3AA" w14:textId="77777777" w:rsidR="00031490" w:rsidRPr="007D0145" w:rsidRDefault="00031490" w:rsidP="00031490">
      <w:pPr>
        <w:tabs>
          <w:tab w:val="left" w:pos="0"/>
        </w:tabs>
        <w:spacing w:after="0" w:line="240" w:lineRule="auto"/>
        <w:ind w:left="709" w:right="709"/>
        <w:jc w:val="both"/>
        <w:rPr>
          <w:rFonts w:ascii="Verdana" w:eastAsia="Times New Roman" w:hAnsi="Verdana" w:cs="Arial"/>
          <w:sz w:val="21"/>
          <w:szCs w:val="21"/>
          <w:lang w:val="es-ES_tradnl" w:eastAsia="es-ES_tradnl"/>
        </w:rPr>
      </w:pPr>
      <w:r w:rsidRPr="00944229">
        <w:rPr>
          <w:rFonts w:ascii="Arial" w:eastAsia="Times New Roman" w:hAnsi="Arial" w:cs="Arial"/>
          <w:sz w:val="21"/>
          <w:szCs w:val="21"/>
          <w:lang w:val="es-ES_tradnl" w:eastAsia="es-ES_tradnl"/>
        </w:rPr>
        <w:t xml:space="preserve">Artículo 56. Aplicación de los documentos tipo a entidades de régimen especial. </w:t>
      </w:r>
      <w:r w:rsidRPr="007D0145">
        <w:rPr>
          <w:rFonts w:ascii="Verdana" w:eastAsia="Times New Roman" w:hAnsi="Verdana" w:cs="Arial"/>
          <w:sz w:val="21"/>
          <w:szCs w:val="21"/>
          <w:lang w:val="es-ES_tradnl" w:eastAsia="es-ES_tradnl"/>
        </w:rPr>
        <w:t xml:space="preserve">Para la adquisición de bienes, obras o servicios, las entidades estatales sometidas al Estatuto General de Contratación de la Administración Pública que celebren contratos o convenios interadministrativos o de cualquier otra índole, con otra entidad estatal o con patrimonios </w:t>
      </w:r>
      <w:r w:rsidRPr="007D0145">
        <w:rPr>
          <w:rFonts w:ascii="Verdana" w:eastAsia="Times New Roman" w:hAnsi="Verdana" w:cs="Arial"/>
          <w:sz w:val="21"/>
          <w:szCs w:val="21"/>
          <w:lang w:val="es-ES_tradnl" w:eastAsia="es-ES_tradnl"/>
        </w:rPr>
        <w:lastRenderedPageBreak/>
        <w:t xml:space="preserve">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1D4B8146" w14:textId="77777777" w:rsidR="00031490" w:rsidRPr="007D0145" w:rsidRDefault="00031490" w:rsidP="00031490">
      <w:pPr>
        <w:tabs>
          <w:tab w:val="left" w:pos="0"/>
        </w:tabs>
        <w:spacing w:after="0" w:line="240" w:lineRule="auto"/>
        <w:ind w:left="709" w:right="709"/>
        <w:jc w:val="both"/>
        <w:rPr>
          <w:rFonts w:ascii="Verdana" w:eastAsia="Times New Roman" w:hAnsi="Verdana" w:cs="Arial"/>
          <w:sz w:val="21"/>
          <w:szCs w:val="21"/>
          <w:lang w:val="es-ES_tradnl" w:eastAsia="es-ES_tradnl"/>
        </w:rPr>
      </w:pPr>
    </w:p>
    <w:p w14:paraId="74AB1CF7" w14:textId="77777777" w:rsidR="00031490" w:rsidRPr="007D0145" w:rsidRDefault="00031490" w:rsidP="00031490">
      <w:pPr>
        <w:tabs>
          <w:tab w:val="left" w:pos="0"/>
        </w:tabs>
        <w:spacing w:after="0" w:line="240" w:lineRule="auto"/>
        <w:ind w:left="709" w:right="709"/>
        <w:jc w:val="both"/>
        <w:rPr>
          <w:rFonts w:ascii="Verdana" w:eastAsia="Times New Roman" w:hAnsi="Verdana" w:cs="Arial"/>
          <w:sz w:val="21"/>
          <w:szCs w:val="21"/>
          <w:lang w:val="es-ES_tradnl" w:eastAsia="es-ES_tradnl"/>
        </w:rPr>
      </w:pPr>
      <w:r w:rsidRPr="007D0145">
        <w:rPr>
          <w:rFonts w:ascii="Verdana" w:eastAsia="Times New Roman" w:hAnsi="Verdana"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638314F5" w14:textId="77777777" w:rsidR="00031490" w:rsidRPr="007D0145" w:rsidRDefault="00031490" w:rsidP="00031490">
      <w:pPr>
        <w:tabs>
          <w:tab w:val="left" w:pos="0"/>
        </w:tabs>
        <w:spacing w:after="0" w:line="240" w:lineRule="auto"/>
        <w:ind w:left="709" w:right="709"/>
        <w:jc w:val="both"/>
        <w:rPr>
          <w:rFonts w:ascii="Verdana" w:eastAsia="Times New Roman" w:hAnsi="Verdana" w:cs="Arial"/>
          <w:sz w:val="21"/>
          <w:szCs w:val="21"/>
          <w:lang w:val="es-ES_tradnl" w:eastAsia="es-ES_tradnl"/>
        </w:rPr>
      </w:pPr>
    </w:p>
    <w:p w14:paraId="36C7E421" w14:textId="77777777" w:rsidR="00031490" w:rsidRPr="007D0145" w:rsidRDefault="00031490" w:rsidP="47238B89">
      <w:pPr>
        <w:spacing w:after="0" w:line="240" w:lineRule="auto"/>
        <w:ind w:left="709" w:right="709"/>
        <w:jc w:val="both"/>
        <w:rPr>
          <w:rFonts w:ascii="Verdana" w:eastAsia="Calibri" w:hAnsi="Verdana" w:cs="Arial"/>
          <w:sz w:val="21"/>
          <w:szCs w:val="21"/>
          <w:lang w:val="es-ES" w:eastAsia="es-ES"/>
        </w:rPr>
      </w:pPr>
      <w:r w:rsidRPr="47238B89">
        <w:rPr>
          <w:rFonts w:ascii="Verdana" w:eastAsia="Times New Roman" w:hAnsi="Verdana" w:cs="Arial"/>
          <w:sz w:val="21"/>
          <w:szCs w:val="21"/>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47238B89">
        <w:rPr>
          <w:rFonts w:ascii="Verdana" w:eastAsia="Times New Roman" w:hAnsi="Verdana" w:cs="Arial"/>
          <w:i/>
          <w:iCs/>
          <w:sz w:val="21"/>
          <w:szCs w:val="21"/>
          <w:lang w:val="es-ES" w:eastAsia="es-ES"/>
        </w:rPr>
        <w:t>giro ordinario</w:t>
      </w:r>
      <w:r w:rsidRPr="47238B89">
        <w:rPr>
          <w:rFonts w:ascii="Verdana" w:eastAsia="Times New Roman" w:hAnsi="Verdana" w:cs="Arial"/>
          <w:sz w:val="21"/>
          <w:szCs w:val="21"/>
          <w:lang w:val="es-ES" w:eastAsia="es-ES"/>
        </w:rPr>
        <w:t>. En estos casos, en los manuales de contratación de estas entidades, se fomentará como buena práctica la aplicación de los pliegos tipo.</w:t>
      </w:r>
    </w:p>
    <w:p w14:paraId="2D8799C2" w14:textId="77777777" w:rsidR="00031490" w:rsidRPr="00944229" w:rsidRDefault="00031490" w:rsidP="00031490">
      <w:pPr>
        <w:tabs>
          <w:tab w:val="left" w:pos="0"/>
        </w:tabs>
        <w:spacing w:after="0" w:line="276" w:lineRule="auto"/>
        <w:jc w:val="both"/>
        <w:rPr>
          <w:rFonts w:ascii="Arial" w:eastAsia="Calibri" w:hAnsi="Arial" w:cs="Arial"/>
          <w:bCs/>
          <w:szCs w:val="24"/>
          <w:lang w:val="es-ES_tradnl" w:eastAsia="es-ES_tradnl"/>
        </w:rPr>
      </w:pPr>
    </w:p>
    <w:p w14:paraId="4622842A" w14:textId="77777777" w:rsidR="00031490" w:rsidRPr="007D0145" w:rsidRDefault="00031490" w:rsidP="47238B89">
      <w:pPr>
        <w:spacing w:after="120" w:line="276" w:lineRule="auto"/>
        <w:jc w:val="both"/>
        <w:rPr>
          <w:rFonts w:ascii="Verdana" w:eastAsia="Calibri" w:hAnsi="Verdana" w:cs="Arial"/>
          <w:lang w:val="es-ES" w:eastAsia="es-ES"/>
        </w:rPr>
      </w:pPr>
      <w:r w:rsidRPr="00944229">
        <w:rPr>
          <w:rFonts w:ascii="Arial" w:eastAsia="Calibri" w:hAnsi="Arial" w:cs="Arial"/>
          <w:bCs/>
          <w:szCs w:val="24"/>
          <w:lang w:val="es-ES_tradnl" w:eastAsia="es-ES_tradnl"/>
        </w:rPr>
        <w:tab/>
      </w:r>
      <w:r w:rsidRPr="47238B89">
        <w:rPr>
          <w:rFonts w:ascii="Verdana" w:eastAsia="Calibri" w:hAnsi="Verdana" w:cs="Arial"/>
          <w:lang w:val="es-ES" w:eastAsia="es-ES"/>
        </w:rPr>
        <w:t xml:space="preserve">Las implicaciones de lo establecido en esta norma son variadas y se presentan en múltiples ámbitos de la actividad contractual de las entidades estatales, que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y fueron expuestos por esta Entidad entre otros, en los siguientes conceptos: Concepto C-066 de 2022, así como en los conceptos C-033 del 4 de marzo de 2022, C-049 del 07 de marzo de 2022, C-059 de 08 de marzo de 2022, C-065 del 9 de marzo de 2022, C-090 del 16 de marzo de 2022, C-087 del 17 de marzo de 2022, C-083 del 18 de marzo de 2022, C-160 del 05 de abril de 2022, C- 244 del 2 de mayo de 2022, C-269 del 6 de mayo de 2022, C-341 del 27 de mayo de 2022 y C-501 del 29 de julio de 2022. </w:t>
      </w:r>
    </w:p>
    <w:p w14:paraId="35350D2F" w14:textId="77777777" w:rsidR="00031490" w:rsidRPr="002E5E6C" w:rsidRDefault="00031490" w:rsidP="00031490">
      <w:pPr>
        <w:tabs>
          <w:tab w:val="left" w:pos="0"/>
        </w:tabs>
        <w:spacing w:after="120" w:line="276" w:lineRule="auto"/>
        <w:jc w:val="both"/>
        <w:rPr>
          <w:rFonts w:ascii="Verdana" w:eastAsia="Calibri" w:hAnsi="Verdana" w:cs="Arial"/>
          <w:bCs/>
          <w:lang w:val="es-ES_tradnl" w:eastAsia="es-ES_tradnl"/>
        </w:rPr>
      </w:pPr>
      <w:r w:rsidRPr="002E5E6C">
        <w:rPr>
          <w:rFonts w:ascii="Verdana" w:eastAsia="Calibri" w:hAnsi="Verdana" w:cs="Arial"/>
          <w:bCs/>
          <w:lang w:val="es-ES_tradnl" w:eastAsia="es-ES_tradnl"/>
        </w:rPr>
        <w:tab/>
        <w:t xml:space="preserve">Como se desprende de la frase inicial de la norma citada, es claro que 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w:t>
      </w:r>
      <w:r w:rsidRPr="002E5E6C">
        <w:rPr>
          <w:rFonts w:ascii="Verdana" w:eastAsia="Calibri" w:hAnsi="Verdana" w:cs="Arial"/>
          <w:bCs/>
          <w:lang w:val="es-ES_tradnl" w:eastAsia="es-ES_tradnl"/>
        </w:rPr>
        <w:lastRenderedPageBreak/>
        <w:t xml:space="preserve">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4F479A51" w14:textId="77777777" w:rsidR="00031490" w:rsidRPr="007D0145" w:rsidRDefault="00031490" w:rsidP="47238B89">
      <w:pPr>
        <w:spacing w:before="120" w:line="276" w:lineRule="auto"/>
        <w:jc w:val="both"/>
        <w:rPr>
          <w:rFonts w:ascii="Verdana" w:eastAsia="Calibri" w:hAnsi="Verdana" w:cs="Arial"/>
          <w:lang w:val="es-ES"/>
        </w:rPr>
      </w:pPr>
      <w:r w:rsidRPr="002E5E6C">
        <w:rPr>
          <w:rFonts w:ascii="Verdana" w:eastAsia="Calibri" w:hAnsi="Verdana" w:cs="Arial"/>
          <w:bCs/>
          <w:lang w:val="es-ES_tradnl" w:eastAsia="es-ES_tradnl"/>
        </w:rPr>
        <w:tab/>
      </w:r>
      <w:r w:rsidRPr="47238B89">
        <w:rPr>
          <w:rFonts w:ascii="Verdana" w:eastAsia="Calibri" w:hAnsi="Verdana" w:cs="Arial"/>
          <w:lang w:val="es-ES"/>
        </w:rPr>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08F7F1E4" w14:textId="77777777" w:rsidR="00031490" w:rsidRPr="007D0145" w:rsidRDefault="00031490" w:rsidP="47238B89">
      <w:pPr>
        <w:spacing w:before="120" w:line="276" w:lineRule="auto"/>
        <w:jc w:val="both"/>
        <w:rPr>
          <w:rFonts w:ascii="Verdana" w:eastAsia="Calibri" w:hAnsi="Verdana" w:cs="Arial"/>
          <w:lang w:val="es-ES"/>
        </w:rPr>
      </w:pPr>
      <w:r w:rsidRPr="007D0145">
        <w:rPr>
          <w:rFonts w:ascii="Verdana" w:eastAsia="Calibri" w:hAnsi="Verdana" w:cs="Arial"/>
          <w:bCs/>
          <w:lang w:val="es-ES_tradnl"/>
        </w:rPr>
        <w:tab/>
      </w:r>
      <w:r w:rsidRPr="47238B89">
        <w:rPr>
          <w:rFonts w:ascii="Verdana" w:eastAsia="Calibri" w:hAnsi="Verdana" w:cs="Arial"/>
          <w:lang w:val="es-ES"/>
        </w:rPr>
        <w:t xml:space="preserve">Antes de la expedición del artículo 56 </w:t>
      </w:r>
      <w:proofErr w:type="spellStart"/>
      <w:r w:rsidRPr="47238B89">
        <w:rPr>
          <w:rFonts w:ascii="Verdana" w:eastAsia="Calibri" w:hAnsi="Verdana" w:cs="Arial"/>
          <w:i/>
          <w:iCs/>
          <w:lang w:val="es-ES"/>
        </w:rPr>
        <w:t>ibídem</w:t>
      </w:r>
      <w:proofErr w:type="spellEnd"/>
      <w:r w:rsidRPr="47238B89">
        <w:rPr>
          <w:rFonts w:ascii="Verdana" w:eastAsia="Calibri" w:hAnsi="Verdana" w:cs="Arial"/>
          <w:i/>
          <w:iCs/>
          <w:lang w:val="es-ES"/>
        </w:rPr>
        <w:t>,</w:t>
      </w:r>
      <w:r w:rsidRPr="47238B89">
        <w:rPr>
          <w:rFonts w:ascii="Verdana" w:eastAsia="Calibri" w:hAnsi="Verdana" w:cs="Arial"/>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hubieren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2B0770DA" w14:textId="77777777" w:rsidR="00031490" w:rsidRPr="007D0145" w:rsidRDefault="00031490" w:rsidP="47238B89">
      <w:pPr>
        <w:spacing w:before="120" w:line="276" w:lineRule="auto"/>
        <w:jc w:val="both"/>
        <w:rPr>
          <w:rFonts w:ascii="Verdana" w:eastAsia="Calibri" w:hAnsi="Verdana" w:cs="Arial"/>
          <w:lang w:val="es-ES"/>
        </w:rPr>
      </w:pPr>
      <w:r w:rsidRPr="007D0145">
        <w:rPr>
          <w:rFonts w:ascii="Verdana" w:eastAsia="Calibri" w:hAnsi="Verdana" w:cs="Arial"/>
          <w:bCs/>
          <w:lang w:val="es-ES_tradnl"/>
        </w:rPr>
        <w:tab/>
      </w:r>
      <w:r w:rsidRPr="47238B89">
        <w:rPr>
          <w:rFonts w:ascii="Verdana" w:eastAsia="Calibri" w:hAnsi="Verdana" w:cs="Arial"/>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57811770" w14:textId="77777777" w:rsidR="00031490" w:rsidRPr="007D0145" w:rsidRDefault="00031490" w:rsidP="47238B89">
      <w:pPr>
        <w:spacing w:before="120" w:line="276" w:lineRule="auto"/>
        <w:jc w:val="both"/>
        <w:rPr>
          <w:rFonts w:ascii="Verdana" w:eastAsia="Calibri" w:hAnsi="Verdana" w:cs="Arial"/>
          <w:lang w:val="es-ES"/>
        </w:rPr>
      </w:pPr>
      <w:r w:rsidRPr="00E858D2">
        <w:rPr>
          <w:rFonts w:ascii="Arial" w:eastAsia="Calibri" w:hAnsi="Arial" w:cs="Arial"/>
          <w:bCs/>
          <w:lang w:val="es-ES_tradnl"/>
        </w:rPr>
        <w:lastRenderedPageBreak/>
        <w:tab/>
      </w:r>
      <w:r w:rsidRPr="47238B89">
        <w:rPr>
          <w:rFonts w:ascii="Verdana" w:eastAsia="Calibri" w:hAnsi="Verdana" w:cs="Arial"/>
          <w:lang w:val="es-ES"/>
        </w:rPr>
        <w:t xml:space="preserve">En este escenario, </w:t>
      </w:r>
      <w:bookmarkStart w:id="11" w:name="_Hlk99351345"/>
      <w:r w:rsidRPr="47238B89">
        <w:rPr>
          <w:rFonts w:ascii="Verdana" w:eastAsia="Calibri" w:hAnsi="Verdana" w:cs="Arial"/>
          <w:lang w:val="es-ES"/>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47238B89">
        <w:rPr>
          <w:rFonts w:ascii="Verdana" w:eastAsia="Calibri" w:hAnsi="Verdana" w:cs="Arial"/>
          <w:lang w:val="es-ES"/>
        </w:rPr>
        <w:t>ii</w:t>
      </w:r>
      <w:proofErr w:type="spellEnd"/>
      <w:r w:rsidRPr="47238B89">
        <w:rPr>
          <w:rFonts w:ascii="Verdana" w:eastAsia="Calibri" w:hAnsi="Verdana" w:cs="Arial"/>
          <w:lang w:val="es-ES"/>
        </w:rPr>
        <w:t xml:space="preserve">) patrimonios autónomos o </w:t>
      </w:r>
      <w:proofErr w:type="spellStart"/>
      <w:r w:rsidRPr="47238B89">
        <w:rPr>
          <w:rFonts w:ascii="Verdana" w:eastAsia="Calibri" w:hAnsi="Verdana" w:cs="Arial"/>
          <w:lang w:val="es-ES"/>
        </w:rPr>
        <w:t>iii</w:t>
      </w:r>
      <w:proofErr w:type="spellEnd"/>
      <w:r w:rsidRPr="47238B89">
        <w:rPr>
          <w:rFonts w:ascii="Verdana" w:eastAsia="Calibri" w:hAnsi="Verdana" w:cs="Arial"/>
          <w:lang w:val="es-ES"/>
        </w:rPr>
        <w:t xml:space="preserve">)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      </w:t>
      </w:r>
    </w:p>
    <w:bookmarkEnd w:id="11"/>
    <w:p w14:paraId="0E6CFF07" w14:textId="77777777" w:rsidR="00031490" w:rsidRPr="007D0145" w:rsidRDefault="00031490" w:rsidP="00031490">
      <w:pPr>
        <w:tabs>
          <w:tab w:val="left" w:pos="0"/>
        </w:tabs>
        <w:spacing w:after="120" w:line="276" w:lineRule="auto"/>
        <w:jc w:val="both"/>
        <w:rPr>
          <w:rFonts w:ascii="Verdana" w:eastAsia="Calibri" w:hAnsi="Verdana" w:cs="Arial"/>
          <w:lang w:val="es-ES" w:eastAsia="es-ES"/>
        </w:rPr>
      </w:pPr>
      <w:r w:rsidRPr="00F95ECD">
        <w:rPr>
          <w:rFonts w:ascii="Verdana" w:eastAsia="Calibri" w:hAnsi="Verdana" w:cs="Arial"/>
          <w:bCs/>
          <w:lang w:val="es-ES_tradnl" w:eastAsia="es-ES_tradnl"/>
        </w:rPr>
        <w:tab/>
      </w:r>
      <w:r w:rsidRPr="00580505">
        <w:rPr>
          <w:rFonts w:ascii="Verdana" w:eastAsia="Calibri" w:hAnsi="Verdana" w:cs="Arial"/>
          <w:lang w:val="es-ES" w:eastAsia="es-ES"/>
        </w:rPr>
        <w:t xml:space="preserve"> </w:t>
      </w:r>
      <w:r w:rsidRPr="007D0145">
        <w:rPr>
          <w:rFonts w:ascii="Verdana" w:eastAsia="Calibri" w:hAnsi="Verdana" w:cs="Arial"/>
          <w:lang w:val="es-ES" w:eastAsia="es-ES"/>
        </w:rPr>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06807322" w14:textId="77777777" w:rsidR="00031490" w:rsidRPr="00580505" w:rsidRDefault="00031490" w:rsidP="00031490">
      <w:pPr>
        <w:tabs>
          <w:tab w:val="left" w:pos="0"/>
        </w:tabs>
        <w:spacing w:after="120" w:line="276" w:lineRule="auto"/>
        <w:jc w:val="both"/>
        <w:rPr>
          <w:rFonts w:ascii="Verdana" w:eastAsia="Calibri" w:hAnsi="Verdana" w:cs="Arial"/>
          <w:lang w:val="es-ES" w:eastAsia="es-ES"/>
        </w:rPr>
      </w:pPr>
      <w:r w:rsidRPr="007D0145">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7D0145">
        <w:rPr>
          <w:rFonts w:ascii="Verdana" w:eastAsia="Calibri" w:hAnsi="Verdana" w:cs="Arial"/>
          <w:lang w:val="es-ES" w:eastAsia="es-ES"/>
        </w:rPr>
        <w:t>ejusdem</w:t>
      </w:r>
      <w:proofErr w:type="spellEnd"/>
      <w:r w:rsidRPr="007D0145">
        <w:rPr>
          <w:rFonts w:ascii="Verdana" w:eastAsia="Calibri" w:hAnsi="Verdana" w:cs="Arial"/>
          <w:lang w:val="es-ES" w:eastAsia="es-ES"/>
        </w:rPr>
        <w:t xml:space="preserve">, si, en efecto, deben subcontratar bienes, obras o servicios, en cumplimiento de un contrato o convenio </w:t>
      </w:r>
      <w:r>
        <w:rPr>
          <w:rFonts w:ascii="Verdana" w:eastAsia="Calibri" w:hAnsi="Verdana" w:cs="Arial"/>
          <w:lang w:val="es-ES" w:eastAsia="es-ES"/>
        </w:rPr>
        <w:t xml:space="preserve">interadministrativo o de cualquier otra índole, </w:t>
      </w:r>
      <w:r w:rsidRPr="007D0145">
        <w:rPr>
          <w:rFonts w:ascii="Verdana" w:eastAsia="Calibri" w:hAnsi="Verdana" w:cs="Arial"/>
          <w:lang w:val="es-ES" w:eastAsia="es-ES"/>
        </w:rPr>
        <w:t xml:space="preserve">con una entidad estatal </w:t>
      </w:r>
      <w:r w:rsidRPr="007D0145">
        <w:rPr>
          <w:rFonts w:ascii="Verdana" w:eastAsia="Calibri" w:hAnsi="Verdana" w:cs="Arial"/>
          <w:lang w:val="es-ES" w:eastAsia="es-ES"/>
        </w:rPr>
        <w:lastRenderedPageBreak/>
        <w:t>sometida a la Ley 80 de 1993, deberá adelantar el procedimiento de selección, así como celebrar el respectivo contrato, implementando los documentos tipo  y aplicando las disposiciones del EGCAP.</w:t>
      </w:r>
      <w:r w:rsidRPr="00580505">
        <w:rPr>
          <w:rFonts w:ascii="Verdana" w:eastAsia="Calibri" w:hAnsi="Verdana" w:cs="Arial"/>
          <w:lang w:val="es-ES" w:eastAsia="es-ES"/>
        </w:rPr>
        <w:t xml:space="preserve"> </w:t>
      </w:r>
    </w:p>
    <w:p w14:paraId="08CD8CB0" w14:textId="77777777" w:rsidR="00031490" w:rsidRDefault="00031490" w:rsidP="00031490">
      <w:pPr>
        <w:tabs>
          <w:tab w:val="left" w:pos="0"/>
        </w:tabs>
        <w:spacing w:after="0" w:line="276" w:lineRule="auto"/>
        <w:jc w:val="both"/>
        <w:rPr>
          <w:rFonts w:ascii="Verdana" w:eastAsia="Calibri" w:hAnsi="Verdana" w:cs="Arial"/>
          <w:lang w:val="es-ES" w:eastAsia="es-ES"/>
        </w:rPr>
      </w:pPr>
      <w:r>
        <w:rPr>
          <w:rFonts w:ascii="Arial" w:eastAsia="Calibri" w:hAnsi="Arial" w:cs="Arial"/>
          <w:bCs/>
          <w:color w:val="000000" w:themeColor="text1"/>
          <w:lang w:val="es-ES_tradnl"/>
        </w:rPr>
        <w:tab/>
      </w:r>
      <w:r w:rsidRPr="007D0145">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w:t>
      </w:r>
      <w:r>
        <w:rPr>
          <w:rFonts w:ascii="Verdana" w:eastAsia="Calibri" w:hAnsi="Verdana" w:cs="Arial"/>
          <w:lang w:val="es-ES" w:eastAsia="es-ES"/>
        </w:rPr>
        <w:t>“</w:t>
      </w:r>
      <w:r w:rsidRPr="007D0145">
        <w:rPr>
          <w:rFonts w:ascii="Verdana" w:eastAsia="Calibri" w:hAnsi="Verdana" w:cs="Arial"/>
          <w:lang w:val="es-ES" w:eastAsia="es-ES"/>
        </w:rPr>
        <w:t>[..] obligatoriedad de aplicar los documentos tipo, aun si son ejecutados con entidades de régimen especial</w:t>
      </w:r>
      <w:r>
        <w:rPr>
          <w:rFonts w:ascii="Verdana" w:eastAsia="Calibri" w:hAnsi="Verdana" w:cs="Arial"/>
          <w:lang w:val="es-ES" w:eastAsia="es-ES"/>
        </w:rPr>
        <w:t>”</w:t>
      </w:r>
      <w:r w:rsidRPr="007D0145">
        <w:rPr>
          <w:rFonts w:ascii="Verdana" w:eastAsia="Calibri" w:hAnsi="Verdana" w:cs="Arial"/>
          <w:lang w:val="es-ES" w:eastAsia="es-ES"/>
        </w:rPr>
        <w:t xml:space="preserve">, como uno de los propósitos de la Ley.  Conforme se indica en la justificación jurídica del proyecto ley, este: </w:t>
      </w:r>
    </w:p>
    <w:p w14:paraId="509AEB4B" w14:textId="77777777" w:rsidR="00031490" w:rsidRPr="007D0145" w:rsidRDefault="00031490" w:rsidP="00031490">
      <w:pPr>
        <w:tabs>
          <w:tab w:val="left" w:pos="0"/>
        </w:tabs>
        <w:spacing w:after="0" w:line="276" w:lineRule="auto"/>
        <w:jc w:val="both"/>
        <w:rPr>
          <w:rFonts w:ascii="Verdana" w:eastAsia="Calibri" w:hAnsi="Verdana" w:cs="Arial"/>
          <w:lang w:val="es-ES" w:eastAsia="es-ES"/>
        </w:rPr>
      </w:pPr>
    </w:p>
    <w:p w14:paraId="62416E4A" w14:textId="77777777" w:rsidR="00031490" w:rsidRPr="007D0145" w:rsidRDefault="00031490" w:rsidP="00031490">
      <w:pPr>
        <w:tabs>
          <w:tab w:val="left" w:pos="0"/>
        </w:tabs>
        <w:spacing w:after="0"/>
        <w:ind w:left="709" w:right="709"/>
        <w:jc w:val="both"/>
        <w:rPr>
          <w:rFonts w:ascii="Verdana" w:eastAsia="Calibri" w:hAnsi="Verdana" w:cs="Arial"/>
          <w:bCs/>
          <w:color w:val="000000" w:themeColor="text1"/>
          <w:sz w:val="21"/>
          <w:szCs w:val="21"/>
          <w:lang w:val="es-ES_tradnl"/>
        </w:rPr>
      </w:pPr>
      <w:r>
        <w:rPr>
          <w:rFonts w:ascii="Verdana" w:eastAsia="Calibri" w:hAnsi="Verdana" w:cs="Arial"/>
          <w:bCs/>
          <w:color w:val="000000" w:themeColor="text1"/>
          <w:sz w:val="21"/>
          <w:szCs w:val="21"/>
          <w:lang w:val="es-ES_tradnl"/>
        </w:rPr>
        <w:t>“</w:t>
      </w:r>
      <w:r w:rsidRPr="007D0145">
        <w:rPr>
          <w:rFonts w:ascii="Verdana" w:eastAsia="Calibri" w:hAnsi="Verdana" w:cs="Arial"/>
          <w:bCs/>
          <w:color w:val="000000" w:themeColor="text1"/>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Pr>
          <w:rFonts w:ascii="Verdana" w:eastAsia="Calibri" w:hAnsi="Verdana" w:cs="Arial"/>
          <w:bCs/>
          <w:color w:val="000000" w:themeColor="text1"/>
          <w:sz w:val="21"/>
          <w:szCs w:val="21"/>
          <w:lang w:val="es-ES_tradnl"/>
        </w:rPr>
        <w:t>”</w:t>
      </w:r>
      <w:r w:rsidRPr="007D0145">
        <w:rPr>
          <w:rStyle w:val="Refdenotaalpie"/>
          <w:rFonts w:ascii="Verdana" w:eastAsia="Calibri" w:hAnsi="Verdana" w:cs="Arial"/>
          <w:color w:val="000000" w:themeColor="text1"/>
          <w:sz w:val="21"/>
          <w:szCs w:val="21"/>
        </w:rPr>
        <w:footnoteReference w:id="9"/>
      </w:r>
      <w:r w:rsidRPr="007D0145">
        <w:rPr>
          <w:rFonts w:ascii="Verdana" w:eastAsia="Calibri" w:hAnsi="Verdana" w:cs="Arial"/>
          <w:bCs/>
          <w:color w:val="000000" w:themeColor="text1"/>
          <w:sz w:val="21"/>
          <w:szCs w:val="21"/>
          <w:lang w:val="es-ES_tradnl"/>
        </w:rPr>
        <w:t xml:space="preserve">. </w:t>
      </w:r>
    </w:p>
    <w:p w14:paraId="0331091E" w14:textId="77777777" w:rsidR="00031490" w:rsidRPr="00864E72" w:rsidRDefault="00031490" w:rsidP="00031490">
      <w:pPr>
        <w:tabs>
          <w:tab w:val="left" w:pos="0"/>
        </w:tabs>
        <w:spacing w:after="0" w:line="276" w:lineRule="auto"/>
        <w:jc w:val="both"/>
        <w:rPr>
          <w:rFonts w:ascii="Arial" w:eastAsia="Calibri" w:hAnsi="Arial" w:cs="Arial"/>
          <w:bCs/>
          <w:color w:val="000000" w:themeColor="text1"/>
          <w:lang w:val="es-ES_tradnl"/>
        </w:rPr>
      </w:pPr>
      <w:r w:rsidRPr="00864E72">
        <w:rPr>
          <w:rFonts w:ascii="Arial" w:eastAsia="Calibri" w:hAnsi="Arial" w:cs="Arial"/>
          <w:bCs/>
          <w:color w:val="000000" w:themeColor="text1"/>
          <w:lang w:val="es-ES_tradnl"/>
        </w:rPr>
        <w:tab/>
        <w:t xml:space="preserve"> </w:t>
      </w:r>
    </w:p>
    <w:p w14:paraId="0B377D86" w14:textId="77777777" w:rsidR="00031490" w:rsidRPr="007D0145" w:rsidRDefault="00031490" w:rsidP="47238B89">
      <w:pPr>
        <w:spacing w:after="120" w:line="276" w:lineRule="auto"/>
        <w:jc w:val="both"/>
        <w:rPr>
          <w:rFonts w:ascii="Verdana" w:eastAsia="Calibri" w:hAnsi="Verdana" w:cs="Arial"/>
          <w:color w:val="000000" w:themeColor="text1"/>
          <w:lang w:val="es-ES"/>
        </w:rPr>
      </w:pPr>
      <w:r w:rsidRPr="00864E72">
        <w:rPr>
          <w:rFonts w:ascii="Arial" w:eastAsia="Calibri" w:hAnsi="Arial" w:cs="Arial"/>
          <w:bCs/>
          <w:color w:val="000000" w:themeColor="text1"/>
          <w:lang w:val="es-ES_tradnl"/>
        </w:rPr>
        <w:tab/>
      </w:r>
      <w:r w:rsidRPr="47238B89">
        <w:rPr>
          <w:rFonts w:ascii="Verdana" w:eastAsia="Calibri" w:hAnsi="Verdana" w:cs="Arial"/>
          <w:color w:val="000000" w:themeColor="text1"/>
          <w:lang w:val="es-ES"/>
        </w:rPr>
        <w:t xml:space="preserve">De lo anterior se desprende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w:t>
      </w:r>
      <w:r w:rsidRPr="47238B89">
        <w:rPr>
          <w:rFonts w:ascii="Verdana" w:eastAsia="Calibri" w:hAnsi="Verdana" w:cs="Arial"/>
          <w:color w:val="000000" w:themeColor="text1"/>
          <w:lang w:val="es-ES"/>
        </w:rPr>
        <w:lastRenderedPageBreak/>
        <w:t xml:space="preserve">la subcontratación derivada de obras, bienes, obras o servicios, siempre que exista documento tipo en el sector en el que se adelanta la contratación.  </w:t>
      </w:r>
    </w:p>
    <w:p w14:paraId="6AD724F1" w14:textId="77777777" w:rsidR="00031490" w:rsidRPr="00F95ECD" w:rsidRDefault="00031490" w:rsidP="00031490">
      <w:pPr>
        <w:spacing w:after="120" w:line="276" w:lineRule="auto"/>
        <w:jc w:val="both"/>
        <w:rPr>
          <w:rFonts w:ascii="Verdana" w:eastAsia="Times New Roman" w:hAnsi="Verdana" w:cs="Arial"/>
          <w:lang w:eastAsia="es-ES_tradnl"/>
        </w:rPr>
      </w:pPr>
      <w:r w:rsidRPr="00F95ECD">
        <w:rPr>
          <w:rFonts w:ascii="Verdana" w:eastAsia="Calibri" w:hAnsi="Verdana" w:cs="Arial"/>
          <w:lang w:val="es-ES" w:eastAsia="es-ES"/>
        </w:rPr>
        <w:t xml:space="preserve"> </w:t>
      </w:r>
      <w:r>
        <w:rPr>
          <w:rFonts w:ascii="Verdana" w:eastAsia="Calibri" w:hAnsi="Verdana" w:cs="Arial"/>
          <w:bCs/>
          <w:lang w:val="es-ES_tradnl" w:eastAsia="es-ES_tradnl"/>
        </w:rPr>
        <w:tab/>
      </w:r>
      <w:r w:rsidRPr="00F95ECD">
        <w:rPr>
          <w:rFonts w:ascii="Verdana" w:eastAsia="Times New Roman" w:hAnsi="Verdana" w:cs="Arial"/>
          <w:lang w:eastAsia="es-ES_tradnl"/>
        </w:rPr>
        <w:t xml:space="preserve">De otra parte, </w:t>
      </w:r>
      <w:r w:rsidRPr="00F95ECD">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F95ECD">
        <w:rPr>
          <w:rFonts w:ascii="Verdana" w:eastAsia="Calibri" w:hAnsi="Verdana" w:cs="Arial"/>
          <w:bCs/>
          <w:i/>
          <w:iCs/>
          <w:lang w:val="es-ES_tradnl" w:eastAsia="es-ES_tradnl"/>
        </w:rPr>
        <w:t>giro ordinario</w:t>
      </w:r>
      <w:r w:rsidRPr="00F95ECD">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F95ECD">
        <w:rPr>
          <w:rFonts w:ascii="Verdana" w:eastAsia="Calibri" w:hAnsi="Verdana" w:cs="Arial"/>
          <w:bCs/>
          <w:lang w:val="es-ES_tradnl" w:eastAsia="es-ES_tradnl"/>
        </w:rPr>
        <w:t>ii</w:t>
      </w:r>
      <w:proofErr w:type="spellEnd"/>
      <w:r w:rsidRPr="00F95ECD">
        <w:rPr>
          <w:rFonts w:ascii="Verdana" w:eastAsia="Calibri" w:hAnsi="Verdana" w:cs="Arial"/>
          <w:bCs/>
          <w:lang w:val="es-ES_tradnl" w:eastAsia="es-ES_tradnl"/>
        </w:rPr>
        <w:t xml:space="preserve">) las </w:t>
      </w:r>
      <w:r w:rsidRPr="00F95ECD">
        <w:rPr>
          <w:rFonts w:ascii="Verdana" w:eastAsia="Calibri" w:hAnsi="Verdana" w:cs="Arial"/>
          <w:bCs/>
          <w:i/>
          <w:iCs/>
          <w:lang w:val="es-ES_tradnl" w:eastAsia="es-ES_tradnl"/>
        </w:rPr>
        <w:t>empresas sociales del Estado</w:t>
      </w:r>
      <w:r w:rsidRPr="00F95ECD">
        <w:rPr>
          <w:rFonts w:ascii="Verdana" w:eastAsia="Calibri" w:hAnsi="Verdana" w:cs="Arial"/>
          <w:bCs/>
          <w:lang w:val="es-ES_tradnl" w:eastAsia="es-ES_tradnl"/>
        </w:rPr>
        <w:t xml:space="preserve">, </w:t>
      </w:r>
      <w:proofErr w:type="spellStart"/>
      <w:r w:rsidRPr="00F95ECD">
        <w:rPr>
          <w:rFonts w:ascii="Verdana" w:eastAsia="Calibri" w:hAnsi="Verdana" w:cs="Arial"/>
          <w:bCs/>
          <w:lang w:val="es-ES_tradnl" w:eastAsia="es-ES_tradnl"/>
        </w:rPr>
        <w:t>iii</w:t>
      </w:r>
      <w:proofErr w:type="spellEnd"/>
      <w:r w:rsidRPr="00F95ECD">
        <w:rPr>
          <w:rFonts w:ascii="Verdana" w:eastAsia="Calibri" w:hAnsi="Verdana" w:cs="Arial"/>
          <w:bCs/>
          <w:lang w:val="es-ES_tradnl" w:eastAsia="es-ES_tradnl"/>
        </w:rPr>
        <w:t xml:space="preserve">) las sociedades de economía mixta y </w:t>
      </w:r>
      <w:proofErr w:type="spellStart"/>
      <w:r w:rsidRPr="00F95ECD">
        <w:rPr>
          <w:rFonts w:ascii="Verdana" w:eastAsia="Calibri" w:hAnsi="Verdana" w:cs="Arial"/>
          <w:bCs/>
          <w:lang w:val="es-ES_tradnl" w:eastAsia="es-ES_tradnl"/>
        </w:rPr>
        <w:t>iv</w:t>
      </w:r>
      <w:proofErr w:type="spellEnd"/>
      <w:r w:rsidRPr="00F95ECD">
        <w:rPr>
          <w:rFonts w:ascii="Verdana" w:eastAsia="Calibri" w:hAnsi="Verdana" w:cs="Arial"/>
          <w:bCs/>
          <w:lang w:val="es-ES_tradnl" w:eastAsia="es-ES_tradnl"/>
        </w:rPr>
        <w:t xml:space="preserve">) las empresas industriales y comerciales del Estado, únicamente, en la contratación relacionada con el </w:t>
      </w:r>
      <w:r w:rsidRPr="00F95ECD">
        <w:rPr>
          <w:rFonts w:ascii="Verdana" w:eastAsia="Calibri" w:hAnsi="Verdana" w:cs="Arial"/>
          <w:bCs/>
          <w:i/>
          <w:iCs/>
          <w:lang w:val="es-ES_tradnl" w:eastAsia="es-ES_tradnl"/>
        </w:rPr>
        <w:t>giro ordinario.</w:t>
      </w:r>
      <w:r w:rsidRPr="00F95ECD">
        <w:rPr>
          <w:rFonts w:ascii="Verdana" w:eastAsia="Calibri" w:hAnsi="Verdana" w:cs="Arial"/>
          <w:bCs/>
          <w:lang w:val="es-ES_tradnl" w:eastAsia="es-ES_tradnl"/>
        </w:rPr>
        <w:t xml:space="preserve"> Esto significa que, en la contratación asociada a su </w:t>
      </w:r>
      <w:r w:rsidRPr="00F95ECD">
        <w:rPr>
          <w:rFonts w:ascii="Verdana" w:eastAsia="Calibri" w:hAnsi="Verdana" w:cs="Arial"/>
          <w:bCs/>
          <w:i/>
          <w:iCs/>
          <w:lang w:val="es-ES_tradnl" w:eastAsia="es-ES_tradnl"/>
        </w:rPr>
        <w:t xml:space="preserve">giro ordinario, </w:t>
      </w:r>
      <w:r w:rsidRPr="00F95ECD">
        <w:rPr>
          <w:rFonts w:ascii="Verdana" w:eastAsia="Calibri" w:hAnsi="Verdana" w:cs="Arial"/>
          <w:bCs/>
          <w:lang w:val="es-ES_tradnl" w:eastAsia="es-ES_tradnl"/>
        </w:rPr>
        <w:t>estos tipos de entidades no tendrían que aplicar, de manera obligatoria, los Documentos Tipo, ni tampoco el EGCAP.</w:t>
      </w:r>
      <w:r w:rsidRPr="00F95ECD">
        <w:rPr>
          <w:rFonts w:ascii="Verdana" w:eastAsia="Times New Roman" w:hAnsi="Verdana" w:cs="Arial"/>
          <w:lang w:eastAsia="es-ES_tradnl"/>
        </w:rPr>
        <w:t xml:space="preserve"> Es decir, si Entidades Estatales exceptuadas pretenden ser adjudicatarias de estos contratos, no deben someterse a un proceso de selección en el que se apliquen Documentos Tipo expedidos por esta Agencia. </w:t>
      </w:r>
      <w:r>
        <w:rPr>
          <w:rFonts w:ascii="Verdana" w:eastAsia="Calibri" w:hAnsi="Verdana" w:cs="Arial"/>
          <w:bCs/>
          <w:lang w:val="es-ES_tradnl" w:eastAsia="es-ES_tradnl"/>
        </w:rPr>
        <w:t>D</w:t>
      </w:r>
      <w:r w:rsidRPr="00F95ECD">
        <w:rPr>
          <w:rFonts w:ascii="Verdana" w:eastAsia="Calibri" w:hAnsi="Verdana" w:cs="Arial"/>
          <w:bCs/>
          <w:lang w:val="es-ES_tradnl" w:eastAsia="es-ES_tradnl"/>
        </w:rPr>
        <w:t>ebe decirse que, en este caso, la norma se limita a fomentar la implementación de Documentos Tipo a modo de buena práctica contractual, en los casos en los que se estime conveniente.</w:t>
      </w:r>
    </w:p>
    <w:p w14:paraId="5AB12947" w14:textId="77777777" w:rsidR="00031490" w:rsidRPr="00F95ECD" w:rsidRDefault="00031490" w:rsidP="00031490">
      <w:pPr>
        <w:tabs>
          <w:tab w:val="left" w:pos="0"/>
        </w:tabs>
        <w:spacing w:after="120" w:line="276" w:lineRule="auto"/>
        <w:jc w:val="both"/>
        <w:rPr>
          <w:rFonts w:ascii="Verdana" w:eastAsia="Arial" w:hAnsi="Verdana" w:cs="Arial"/>
          <w:lang w:val="es-ES_tradnl" w:eastAsia="es-ES_tradnl"/>
        </w:rPr>
      </w:pPr>
      <w:r w:rsidRPr="00F95ECD">
        <w:rPr>
          <w:rFonts w:ascii="Verdana" w:eastAsia="Calibri" w:hAnsi="Verdana" w:cs="Arial"/>
          <w:bCs/>
          <w:lang w:val="es-ES_tradnl" w:eastAsia="es-ES_tradnl"/>
        </w:rPr>
        <w:tab/>
      </w:r>
      <w:r>
        <w:rPr>
          <w:rFonts w:ascii="Verdana" w:eastAsia="Calibri" w:hAnsi="Verdana" w:cs="Arial"/>
          <w:bCs/>
          <w:lang w:val="es-ES_tradnl" w:eastAsia="es-ES_tradnl"/>
        </w:rPr>
        <w:t>E</w:t>
      </w:r>
      <w:r w:rsidRPr="00F95ECD">
        <w:rPr>
          <w:rFonts w:ascii="Verdana" w:eastAsia="Calibri" w:hAnsi="Verdana" w:cs="Arial"/>
          <w:bCs/>
          <w:lang w:val="es-ES_tradnl" w:eastAsia="es-ES_tradnl"/>
        </w:rPr>
        <w:t xml:space="preserve">s importante tener en cuenta que cuando la norma se refiere a la contratación del </w:t>
      </w:r>
      <w:r w:rsidRPr="00F95ECD">
        <w:rPr>
          <w:rFonts w:ascii="Verdana" w:eastAsia="Calibri" w:hAnsi="Verdana" w:cs="Arial"/>
          <w:bCs/>
          <w:i/>
          <w:iCs/>
          <w:lang w:val="es-ES_tradnl" w:eastAsia="es-ES_tradnl"/>
        </w:rPr>
        <w:t>giro ordinario</w:t>
      </w:r>
      <w:r w:rsidRPr="00F95ECD">
        <w:rPr>
          <w:rFonts w:ascii="Verdana" w:eastAsia="Calibri" w:hAnsi="Verdana" w:cs="Arial"/>
          <w:bCs/>
          <w:lang w:val="es-ES_tradnl" w:eastAsia="es-ES_tradnl"/>
        </w:rPr>
        <w:t>, emplea un concepto jurídico indeterminado</w:t>
      </w:r>
      <w:r w:rsidRPr="00F95ECD">
        <w:rPr>
          <w:rFonts w:ascii="Verdana" w:eastAsia="Calibri" w:hAnsi="Verdana" w:cs="Arial"/>
          <w:vertAlign w:val="superscript"/>
          <w:lang w:eastAsia="es-ES_tradnl"/>
        </w:rPr>
        <w:footnoteReference w:id="10"/>
      </w:r>
      <w:r w:rsidRPr="00F95ECD">
        <w:rPr>
          <w:rFonts w:ascii="Verdana" w:eastAsia="Calibri" w:hAnsi="Verdana" w:cs="Arial"/>
          <w:bCs/>
          <w:lang w:val="es-ES_tradnl" w:eastAsia="es-ES_tradnl"/>
        </w:rPr>
        <w:t xml:space="preserve">. </w:t>
      </w:r>
      <w:r w:rsidRPr="00F95ECD">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F95ECD">
        <w:rPr>
          <w:rFonts w:ascii="Verdana" w:eastAsia="Arial" w:hAnsi="Verdana" w:cs="Arial"/>
          <w:i/>
          <w:iCs/>
          <w:lang w:val="es-ES_tradnl" w:eastAsia="es-ES_tradnl"/>
        </w:rPr>
        <w:t>giro ordinario</w:t>
      </w:r>
      <w:r w:rsidRPr="00F95ECD">
        <w:rPr>
          <w:rFonts w:ascii="Verdana" w:eastAsia="Arial" w:hAnsi="Verdana" w:cs="Arial"/>
          <w:lang w:val="es-ES_tradnl" w:eastAsia="es-ES_tradnl"/>
        </w:rPr>
        <w:t xml:space="preserve"> de sus negocios. </w:t>
      </w:r>
    </w:p>
    <w:p w14:paraId="59895D89" w14:textId="77777777" w:rsidR="00031490" w:rsidRPr="00F95ECD" w:rsidRDefault="00031490" w:rsidP="00031490">
      <w:pPr>
        <w:spacing w:after="120" w:line="276" w:lineRule="auto"/>
        <w:jc w:val="both"/>
        <w:rPr>
          <w:rFonts w:ascii="Verdana" w:eastAsia="Calibri" w:hAnsi="Verdana" w:cs="Arial"/>
          <w:lang w:val="es-ES" w:eastAsia="es-ES"/>
        </w:rPr>
      </w:pPr>
      <w:r w:rsidRPr="00F95ECD">
        <w:rPr>
          <w:rFonts w:ascii="Verdana" w:eastAsia="Calibri" w:hAnsi="Verdana" w:cs="Arial"/>
          <w:bCs/>
          <w:lang w:val="es-ES_tradnl" w:eastAsia="es-ES_tradnl"/>
        </w:rPr>
        <w:tab/>
      </w:r>
      <w:r w:rsidRPr="00F95ECD">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F95ECD">
        <w:rPr>
          <w:rFonts w:ascii="Verdana" w:eastAsia="Calibri" w:hAnsi="Verdana" w:cs="Arial"/>
          <w:i/>
          <w:lang w:val="es-ES" w:eastAsia="es-ES"/>
        </w:rPr>
        <w:t xml:space="preserve">giro ordinario </w:t>
      </w:r>
      <w:r w:rsidRPr="00F95ECD">
        <w:rPr>
          <w:rFonts w:ascii="Verdana" w:eastAsia="Calibri" w:hAnsi="Verdana" w:cs="Arial"/>
          <w:lang w:val="es-ES" w:eastAsia="es-ES"/>
        </w:rPr>
        <w:t xml:space="preserve">se usa para designar a la contratación directamente relacionada con los asuntos de la gestión habitual u ordinaria de los tipos de </w:t>
      </w:r>
      <w:r w:rsidRPr="00F95ECD">
        <w:rPr>
          <w:rFonts w:ascii="Verdana" w:eastAsia="Calibri" w:hAnsi="Verdana" w:cs="Arial"/>
          <w:lang w:val="es-ES" w:eastAsia="es-ES"/>
        </w:rPr>
        <w:lastRenderedPageBreak/>
        <w:t xml:space="preserve">entidades mencionadas en el parágrafo. No obstante, la determinación de las actividades que comprenden el </w:t>
      </w:r>
      <w:r w:rsidRPr="00F95ECD">
        <w:rPr>
          <w:rFonts w:ascii="Verdana" w:eastAsia="Calibri" w:hAnsi="Verdana" w:cs="Arial"/>
          <w:i/>
          <w:lang w:val="es-ES" w:eastAsia="es-ES"/>
        </w:rPr>
        <w:t>giro ordinario</w:t>
      </w:r>
      <w:r w:rsidRPr="00F95ECD">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F95ECD">
        <w:rPr>
          <w:rFonts w:ascii="Verdana" w:eastAsia="Calibri" w:hAnsi="Verdana" w:cs="Arial"/>
          <w:i/>
          <w:lang w:val="es-ES" w:eastAsia="es-ES"/>
        </w:rPr>
        <w:t>ejusdem</w:t>
      </w:r>
      <w:proofErr w:type="spellEnd"/>
      <w:r w:rsidRPr="00F95ECD">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05D63B52" w14:textId="77777777" w:rsidR="00031490" w:rsidRPr="00B4069A" w:rsidRDefault="00031490" w:rsidP="00031490">
      <w:pPr>
        <w:spacing w:before="120" w:after="120" w:line="276" w:lineRule="auto"/>
        <w:ind w:firstLine="709"/>
        <w:jc w:val="both"/>
        <w:rPr>
          <w:rFonts w:ascii="Verdana" w:eastAsia="Calibri" w:hAnsi="Verdana" w:cs="Arial"/>
          <w:bCs/>
          <w:color w:val="000000"/>
          <w:lang w:val="es-ES_tradnl" w:eastAsia="es-ES_tradnl"/>
        </w:rPr>
      </w:pPr>
      <w:r w:rsidRPr="007D0145">
        <w:rPr>
          <w:rFonts w:ascii="Verdana" w:eastAsia="Times New Roman" w:hAnsi="Verdana" w:cs="Arial"/>
          <w:bCs/>
          <w:color w:val="000000"/>
          <w:shd w:val="clear" w:color="auto" w:fill="FFFFFF"/>
          <w:lang w:val="es-ES_tradnl" w:eastAsia="es-ES_tradnl"/>
        </w:rPr>
        <w:t xml:space="preserve">En este orden de ideas, es pertinente indicar que </w:t>
      </w:r>
      <w:r w:rsidRPr="007D0145">
        <w:rPr>
          <w:rFonts w:ascii="Verdana" w:eastAsia="Calibri" w:hAnsi="Verdana" w:cs="Arial"/>
          <w:bCs/>
          <w:color w:val="000000"/>
          <w:lang w:val="es-ES_tradnl" w:eastAsia="es-ES_tradnl"/>
        </w:rPr>
        <w:t xml:space="preserve">las excepciones consagradas en el parágrafo del artículo 56 de la Ley 2195 de 2022 solo se aplican a los órganos del Estado cuya naturaleza jurídica coincida con la de las entidades allí indicadas de manera </w:t>
      </w:r>
      <w:r w:rsidRPr="007D0145">
        <w:rPr>
          <w:rFonts w:ascii="Verdana" w:eastAsia="Calibri" w:hAnsi="Verdana" w:cs="Arial"/>
          <w:bCs/>
          <w:i/>
          <w:iCs/>
          <w:color w:val="000000"/>
          <w:lang w:val="es-ES_tradnl" w:eastAsia="es-ES_tradnl"/>
        </w:rPr>
        <w:t>taxativa</w:t>
      </w:r>
      <w:r w:rsidRPr="007D0145">
        <w:rPr>
          <w:rFonts w:ascii="Verdana" w:eastAsia="Calibri" w:hAnsi="Verdana" w:cs="Arial"/>
          <w:bCs/>
          <w:color w:val="000000"/>
          <w:lang w:val="es-ES_tradnl" w:eastAsia="es-ES_tradnl"/>
        </w:rPr>
        <w:t xml:space="preserve">, esto es, a </w:t>
      </w:r>
      <w:r>
        <w:rPr>
          <w:rFonts w:ascii="Verdana" w:eastAsia="Calibri" w:hAnsi="Verdana" w:cs="Arial"/>
          <w:bCs/>
          <w:color w:val="000000"/>
          <w:lang w:val="es-ES_tradnl" w:eastAsia="es-ES_tradnl"/>
        </w:rPr>
        <w:t>“</w:t>
      </w:r>
      <w:r w:rsidRPr="007D0145">
        <w:rPr>
          <w:rFonts w:ascii="Verdana" w:eastAsia="Times New Roman" w:hAnsi="Verdana" w:cs="Arial"/>
          <w:color w:val="000000"/>
          <w:lang w:eastAsia="es-ES_tradnl"/>
        </w:rPr>
        <w:t xml:space="preserve">[…] </w:t>
      </w:r>
      <w:r w:rsidRPr="007D0145">
        <w:rPr>
          <w:rFonts w:ascii="Verdana" w:eastAsia="Calibri" w:hAnsi="Verdana" w:cs="Arial"/>
          <w:bCs/>
          <w:color w:val="000000"/>
          <w:lang w:val="es-ES_tradnl" w:eastAsia="es-ES_tradnl"/>
        </w:rPr>
        <w:t>las Instituciones de Educación Superior públicas, las empresas sociales del Estado, las sociedades de economía mixta y las empresas industriales y comerciales del Estado, únicamente en cuanto a la contratación de su giro ordinario</w:t>
      </w:r>
      <w:r>
        <w:rPr>
          <w:rFonts w:ascii="Verdana" w:eastAsia="Calibri" w:hAnsi="Verdana" w:cs="Arial"/>
          <w:bCs/>
          <w:color w:val="000000"/>
          <w:lang w:val="es-ES_tradnl" w:eastAsia="es-ES_tradnl"/>
        </w:rPr>
        <w:t>”</w:t>
      </w:r>
      <w:r w:rsidRPr="007D0145">
        <w:rPr>
          <w:rFonts w:ascii="Verdana" w:eastAsia="Calibri" w:hAnsi="Verdana" w:cs="Arial"/>
          <w:bCs/>
          <w:color w:val="000000"/>
          <w:lang w:val="es-ES_tradnl" w:eastAsia="es-ES_tradnl"/>
        </w:rPr>
        <w:t xml:space="preserve">. Por consiguiente, cada entidad estatal deberá analizar su naturaleza jurídica y hacer una interpretación restrictiva de este parágrafo, pues las excepciones deben leerse de manera acorde con dicho parámetro hermenéutico. </w:t>
      </w:r>
      <w:bookmarkEnd w:id="9"/>
      <w:bookmarkEnd w:id="10"/>
    </w:p>
    <w:p w14:paraId="06AE7782" w14:textId="77777777" w:rsidR="00031490" w:rsidRPr="00F525DE" w:rsidRDefault="00031490" w:rsidP="00031490">
      <w:pPr>
        <w:widowControl w:val="0"/>
        <w:autoSpaceDE w:val="0"/>
        <w:autoSpaceDN w:val="0"/>
        <w:spacing w:after="120" w:line="276" w:lineRule="auto"/>
        <w:ind w:firstLine="708"/>
        <w:jc w:val="both"/>
        <w:rPr>
          <w:rFonts w:ascii="Verdana" w:hAnsi="Verdana" w:cs="Arial"/>
        </w:rPr>
      </w:pPr>
      <w:r w:rsidRPr="00F525DE">
        <w:rPr>
          <w:rFonts w:ascii="Verdana" w:hAnsi="Verdana" w:cs="Arial"/>
        </w:rPr>
        <w:t xml:space="preserve">Al margen de la explicación precedente debe advertirse que el análisis requerido para resolver problemas específicos en torno a </w:t>
      </w:r>
      <w:r w:rsidRPr="00F525DE">
        <w:rPr>
          <w:rFonts w:ascii="Verdana" w:hAnsi="Verdana" w:cs="Arial"/>
          <w:bCs/>
        </w:rPr>
        <w:t>la contratación de las entidades estatales</w:t>
      </w:r>
      <w:r w:rsidRPr="00F525DE">
        <w:rPr>
          <w:rFonts w:ascii="Verdana" w:hAnsi="Verdana" w:cs="Arial"/>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E2B6AF9" w14:textId="77777777" w:rsidR="00031490" w:rsidRPr="00F525DE" w:rsidRDefault="00031490" w:rsidP="00031490">
      <w:pPr>
        <w:widowControl w:val="0"/>
        <w:autoSpaceDE w:val="0"/>
        <w:autoSpaceDN w:val="0"/>
        <w:spacing w:after="0" w:line="276" w:lineRule="auto"/>
        <w:ind w:firstLine="708"/>
        <w:jc w:val="both"/>
        <w:rPr>
          <w:rFonts w:ascii="Verdana" w:hAnsi="Verdana" w:cs="Arial"/>
        </w:rPr>
      </w:pPr>
      <w:r w:rsidRPr="00F525DE">
        <w:rPr>
          <w:rFonts w:ascii="Verdana" w:hAnsi="Verdana" w:cs="Ari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w:t>
      </w:r>
      <w:r w:rsidRPr="00F525DE">
        <w:rPr>
          <w:rFonts w:ascii="Verdana" w:hAnsi="Verdana" w:cs="Arial"/>
        </w:rPr>
        <w:lastRenderedPageBreak/>
        <w:t>sus actuaciones.</w:t>
      </w:r>
    </w:p>
    <w:p w14:paraId="12B3CDDE" w14:textId="77777777" w:rsidR="00031490" w:rsidRPr="00F95ECD" w:rsidRDefault="00031490" w:rsidP="00031490">
      <w:pPr>
        <w:widowControl w:val="0"/>
        <w:autoSpaceDE w:val="0"/>
        <w:autoSpaceDN w:val="0"/>
        <w:spacing w:after="0" w:line="276" w:lineRule="auto"/>
        <w:jc w:val="both"/>
        <w:rPr>
          <w:rFonts w:ascii="Verdana" w:hAnsi="Verdana" w:cs="Arial"/>
          <w:lang w:val="es-ES"/>
        </w:rPr>
      </w:pPr>
    </w:p>
    <w:p w14:paraId="16ED776C" w14:textId="77777777" w:rsidR="00031490" w:rsidRPr="00F95ECD" w:rsidRDefault="00031490" w:rsidP="000314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5ECD">
        <w:rPr>
          <w:rFonts w:ascii="Verdana" w:eastAsia="Century Gothic" w:hAnsi="Verdana" w:cs="Century Gothic"/>
          <w:b/>
          <w:bCs/>
        </w:rPr>
        <w:t>Referencias normativas, jurisprudenciales y otras fuentes:</w:t>
      </w:r>
    </w:p>
    <w:p w14:paraId="2F0B1F6F" w14:textId="77777777" w:rsidR="00031490" w:rsidRPr="00F95ECD" w:rsidRDefault="00031490" w:rsidP="0003149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31490" w:rsidRPr="00F95ECD" w14:paraId="71E62ED2" w14:textId="77777777" w:rsidTr="00575E6F">
        <w:trPr>
          <w:trHeight w:val="440"/>
        </w:trPr>
        <w:tc>
          <w:tcPr>
            <w:tcW w:w="8647" w:type="dxa"/>
          </w:tcPr>
          <w:p w14:paraId="58C1BDD0" w14:textId="77777777" w:rsidR="00031490" w:rsidRDefault="00031490" w:rsidP="00031490">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80 de 1993 – artículo 2</w:t>
            </w:r>
          </w:p>
          <w:p w14:paraId="1B9BC243" w14:textId="77777777" w:rsidR="00031490" w:rsidRPr="000B0B40" w:rsidRDefault="00031490" w:rsidP="00031490">
            <w:pPr>
              <w:pStyle w:val="Prrafodelista"/>
              <w:widowControl w:val="0"/>
              <w:numPr>
                <w:ilvl w:val="0"/>
                <w:numId w:val="17"/>
              </w:numPr>
              <w:autoSpaceDE w:val="0"/>
              <w:autoSpaceDN w:val="0"/>
              <w:spacing w:line="276" w:lineRule="auto"/>
              <w:jc w:val="both"/>
              <w:rPr>
                <w:rFonts w:ascii="Verdana" w:hAnsi="Verdana" w:cs="Arial"/>
              </w:rPr>
            </w:pPr>
            <w:r w:rsidRPr="000B0B40">
              <w:rPr>
                <w:rFonts w:ascii="Verdana" w:hAnsi="Verdana" w:cs="Arial"/>
              </w:rPr>
              <w:t>Ley 1150 de 2007 - artículo 14.</w:t>
            </w:r>
          </w:p>
          <w:p w14:paraId="417834D2" w14:textId="77777777" w:rsidR="00031490" w:rsidRPr="000B0B40" w:rsidRDefault="00031490" w:rsidP="00031490">
            <w:pPr>
              <w:pStyle w:val="Prrafodelista"/>
              <w:widowControl w:val="0"/>
              <w:numPr>
                <w:ilvl w:val="0"/>
                <w:numId w:val="17"/>
              </w:numPr>
              <w:autoSpaceDE w:val="0"/>
              <w:autoSpaceDN w:val="0"/>
              <w:spacing w:line="276" w:lineRule="auto"/>
              <w:jc w:val="both"/>
              <w:rPr>
                <w:rFonts w:ascii="Verdana" w:hAnsi="Verdana" w:cs="Arial"/>
              </w:rPr>
            </w:pPr>
            <w:r w:rsidRPr="000B0B40">
              <w:rPr>
                <w:rFonts w:ascii="Verdana" w:hAnsi="Verdana" w:cs="Arial"/>
              </w:rPr>
              <w:t xml:space="preserve">Ley 2022 de 202 – artículo 1. </w:t>
            </w:r>
          </w:p>
          <w:p w14:paraId="3B8F23C5" w14:textId="77777777" w:rsidR="00031490" w:rsidRPr="000B0B40" w:rsidRDefault="00031490" w:rsidP="00031490">
            <w:pPr>
              <w:pStyle w:val="Prrafodelista"/>
              <w:widowControl w:val="0"/>
              <w:numPr>
                <w:ilvl w:val="0"/>
                <w:numId w:val="17"/>
              </w:numPr>
              <w:autoSpaceDE w:val="0"/>
              <w:autoSpaceDN w:val="0"/>
              <w:spacing w:line="276" w:lineRule="auto"/>
              <w:jc w:val="both"/>
              <w:rPr>
                <w:rFonts w:ascii="Verdana" w:hAnsi="Verdana" w:cs="Arial"/>
              </w:rPr>
            </w:pPr>
            <w:r w:rsidRPr="000B0B40">
              <w:rPr>
                <w:rFonts w:ascii="Verdana" w:hAnsi="Verdana" w:cs="Arial"/>
              </w:rPr>
              <w:t>Constitución Política - artículo 209, 267.</w:t>
            </w:r>
          </w:p>
          <w:p w14:paraId="7D5C2157" w14:textId="77777777" w:rsidR="00031490" w:rsidRPr="000B0B40" w:rsidRDefault="00031490" w:rsidP="00031490">
            <w:pPr>
              <w:pStyle w:val="Prrafodelista"/>
              <w:widowControl w:val="0"/>
              <w:numPr>
                <w:ilvl w:val="0"/>
                <w:numId w:val="17"/>
              </w:numPr>
              <w:autoSpaceDE w:val="0"/>
              <w:autoSpaceDN w:val="0"/>
              <w:spacing w:line="276" w:lineRule="auto"/>
              <w:jc w:val="both"/>
              <w:rPr>
                <w:rFonts w:ascii="Verdana" w:hAnsi="Verdana" w:cs="Arial"/>
              </w:rPr>
            </w:pPr>
            <w:r w:rsidRPr="000B0B40">
              <w:rPr>
                <w:rFonts w:ascii="Verdana" w:hAnsi="Verdana" w:cs="Arial"/>
              </w:rPr>
              <w:t>Ley 489 de 1998 - artículo 68, 85, 86, 87, 93.</w:t>
            </w:r>
          </w:p>
          <w:p w14:paraId="52781292" w14:textId="77777777" w:rsidR="00031490" w:rsidRPr="000B0B40" w:rsidRDefault="00031490" w:rsidP="00031490">
            <w:pPr>
              <w:pStyle w:val="Prrafodelista"/>
              <w:widowControl w:val="0"/>
              <w:numPr>
                <w:ilvl w:val="0"/>
                <w:numId w:val="17"/>
              </w:numPr>
              <w:autoSpaceDE w:val="0"/>
              <w:autoSpaceDN w:val="0"/>
              <w:spacing w:line="276" w:lineRule="auto"/>
              <w:jc w:val="both"/>
              <w:rPr>
                <w:rFonts w:ascii="Verdana" w:hAnsi="Verdana" w:cs="Arial"/>
              </w:rPr>
            </w:pPr>
            <w:r w:rsidRPr="000B0B40">
              <w:rPr>
                <w:rFonts w:ascii="Verdana" w:hAnsi="Verdana" w:cs="Arial"/>
              </w:rPr>
              <w:t>Ley 80 de 1993 - artículo 2, numeral 1, literal a.</w:t>
            </w:r>
          </w:p>
          <w:p w14:paraId="636D5091" w14:textId="77777777" w:rsidR="00031490" w:rsidRPr="000B0B40" w:rsidRDefault="00031490" w:rsidP="00031490">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0B0B40">
              <w:rPr>
                <w:rFonts w:ascii="Verdana" w:hAnsi="Verdana" w:cs="Arial"/>
              </w:rPr>
              <w:t>Ley 2195 de 2022: Artículo 56.</w:t>
            </w:r>
          </w:p>
          <w:p w14:paraId="73B8A93C" w14:textId="77777777" w:rsidR="00031490" w:rsidRPr="000B0B40" w:rsidRDefault="00031490" w:rsidP="00031490">
            <w:pPr>
              <w:pStyle w:val="Prrafodelista"/>
              <w:widowControl w:val="0"/>
              <w:numPr>
                <w:ilvl w:val="0"/>
                <w:numId w:val="17"/>
              </w:numPr>
              <w:autoSpaceDE w:val="0"/>
              <w:autoSpaceDN w:val="0"/>
              <w:spacing w:line="276" w:lineRule="auto"/>
              <w:jc w:val="both"/>
              <w:rPr>
                <w:rFonts w:ascii="Verdana" w:hAnsi="Verdana" w:cs="Arial"/>
              </w:rPr>
            </w:pPr>
            <w:r w:rsidRPr="000B0B40">
              <w:rPr>
                <w:rFonts w:ascii="Verdana" w:hAnsi="Verdana" w:cs="Arial"/>
              </w:rPr>
              <w:t xml:space="preserve">Consejo de Estado. Sección Tercera, Sentencia del 19 de agosto de 2004 </w:t>
            </w:r>
            <w:proofErr w:type="spellStart"/>
            <w:r w:rsidRPr="000B0B40">
              <w:rPr>
                <w:rFonts w:ascii="Verdana" w:hAnsi="Verdana" w:cs="Arial"/>
              </w:rPr>
              <w:t>Exp</w:t>
            </w:r>
            <w:proofErr w:type="spellEnd"/>
            <w:r w:rsidRPr="000B0B40">
              <w:rPr>
                <w:rFonts w:ascii="Verdana" w:hAnsi="Verdana" w:cs="Arial"/>
              </w:rPr>
              <w:t xml:space="preserve">. 12.342, reiterada en sentencia de 6 de febrero de 2006, </w:t>
            </w:r>
            <w:proofErr w:type="spellStart"/>
            <w:r w:rsidRPr="000B0B40">
              <w:rPr>
                <w:rFonts w:ascii="Verdana" w:hAnsi="Verdana" w:cs="Arial"/>
              </w:rPr>
              <w:t>Exp</w:t>
            </w:r>
            <w:proofErr w:type="spellEnd"/>
            <w:r w:rsidRPr="000B0B40">
              <w:rPr>
                <w:rFonts w:ascii="Verdana" w:hAnsi="Verdana" w:cs="Arial"/>
              </w:rPr>
              <w:t>. 13.414.</w:t>
            </w:r>
          </w:p>
          <w:p w14:paraId="0E41457B" w14:textId="77777777" w:rsidR="00031490" w:rsidRPr="000B0B40" w:rsidRDefault="00031490" w:rsidP="00031490">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0B0B40">
              <w:rPr>
                <w:rFonts w:ascii="Verdana" w:hAnsi="Verdana" w:cs="Arial"/>
                <w:color w:val="000000" w:themeColor="text1"/>
              </w:rPr>
              <w:t xml:space="preserve">CONGRESO DE LA REPÚBLICA. Gaceta </w:t>
            </w:r>
            <w:proofErr w:type="spellStart"/>
            <w:r w:rsidRPr="000B0B40">
              <w:rPr>
                <w:rFonts w:ascii="Verdana" w:hAnsi="Verdana" w:cs="Arial"/>
                <w:color w:val="000000" w:themeColor="text1"/>
              </w:rPr>
              <w:t>Nº</w:t>
            </w:r>
            <w:proofErr w:type="spellEnd"/>
            <w:r w:rsidRPr="000B0B40">
              <w:rPr>
                <w:rFonts w:ascii="Verdana" w:hAnsi="Verdana" w:cs="Arial"/>
                <w:color w:val="000000" w:themeColor="text1"/>
              </w:rPr>
              <w:t xml:space="preserve"> 1677 del 23 de noviembre de 2021</w:t>
            </w:r>
          </w:p>
          <w:p w14:paraId="79133BB3" w14:textId="77777777" w:rsidR="00031490" w:rsidRPr="00F95ECD" w:rsidRDefault="00031490" w:rsidP="00031490">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p>
        </w:tc>
      </w:tr>
    </w:tbl>
    <w:p w14:paraId="269F249A" w14:textId="77777777" w:rsidR="00031490" w:rsidRPr="00F95ECD" w:rsidRDefault="00031490" w:rsidP="00031490">
      <w:pPr>
        <w:widowControl w:val="0"/>
        <w:autoSpaceDE w:val="0"/>
        <w:autoSpaceDN w:val="0"/>
        <w:spacing w:after="0" w:line="276" w:lineRule="auto"/>
        <w:jc w:val="both"/>
        <w:rPr>
          <w:rFonts w:ascii="Verdana" w:hAnsi="Verdana" w:cs="Arial"/>
        </w:rPr>
      </w:pPr>
    </w:p>
    <w:p w14:paraId="424BFA97" w14:textId="77777777" w:rsidR="00031490" w:rsidRPr="00F95ECD" w:rsidRDefault="00031490" w:rsidP="000314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5ECD">
        <w:rPr>
          <w:rFonts w:ascii="Verdana" w:eastAsia="Century Gothic" w:hAnsi="Verdana" w:cs="Century Gothic"/>
          <w:b/>
          <w:bCs/>
        </w:rPr>
        <w:t>Doctrina de la Agencia Nacional de Contratación Pública:</w:t>
      </w:r>
    </w:p>
    <w:p w14:paraId="77D95A1B" w14:textId="77777777" w:rsidR="00031490" w:rsidRPr="00FA7C1F" w:rsidRDefault="00031490" w:rsidP="00031490">
      <w:pPr>
        <w:widowControl w:val="0"/>
        <w:autoSpaceDE w:val="0"/>
        <w:autoSpaceDN w:val="0"/>
        <w:spacing w:after="0" w:line="276" w:lineRule="auto"/>
        <w:jc w:val="both"/>
        <w:rPr>
          <w:rFonts w:ascii="Verdana" w:eastAsia="Calibri" w:hAnsi="Verdana" w:cs="Arial"/>
          <w:shd w:val="clear" w:color="auto" w:fill="FFFFFF"/>
          <w:lang w:val="es-ES"/>
        </w:rPr>
      </w:pPr>
    </w:p>
    <w:p w14:paraId="6862A32F" w14:textId="77777777" w:rsidR="00031490" w:rsidRPr="00F95ECD" w:rsidRDefault="00031490" w:rsidP="00031490">
      <w:pPr>
        <w:tabs>
          <w:tab w:val="left" w:pos="426"/>
        </w:tabs>
        <w:spacing w:line="276" w:lineRule="auto"/>
        <w:jc w:val="both"/>
        <w:rPr>
          <w:rFonts w:ascii="Verdana" w:hAnsi="Verdana" w:cs="Arial"/>
        </w:rPr>
      </w:pPr>
      <w:r w:rsidRPr="00226C88">
        <w:rPr>
          <w:rFonts w:ascii="Verdana" w:eastAsia="Calibri" w:hAnsi="Verdana" w:cs="Arial"/>
          <w:shd w:val="clear" w:color="auto" w:fill="FFFFFF"/>
          <w:lang w:val="es-ES"/>
        </w:rPr>
        <w:t xml:space="preserve">La Agencia Nacional de Contratación Pública − Colombia Compra Eficiente se </w:t>
      </w:r>
      <w:r>
        <w:rPr>
          <w:rFonts w:ascii="Verdana" w:eastAsia="Calibri" w:hAnsi="Verdana" w:cs="Arial"/>
          <w:shd w:val="clear" w:color="auto" w:fill="FFFFFF"/>
          <w:lang w:val="es-ES"/>
        </w:rPr>
        <w:t xml:space="preserve">pronunció sobre </w:t>
      </w:r>
      <w:r w:rsidRPr="00FA7C1F">
        <w:rPr>
          <w:rFonts w:ascii="Verdana" w:eastAsia="Calibri" w:hAnsi="Verdana" w:cs="Arial"/>
          <w:shd w:val="clear" w:color="auto" w:fill="FFFFFF"/>
          <w:lang w:val="es-ES"/>
        </w:rPr>
        <w:t>el régimen de contratación de las entidades descentralizadas indirectas</w:t>
      </w:r>
      <w:r>
        <w:rPr>
          <w:rFonts w:ascii="Verdana" w:eastAsia="Calibri" w:hAnsi="Verdana" w:cs="Arial"/>
          <w:shd w:val="clear" w:color="auto" w:fill="FFFFFF"/>
          <w:lang w:val="es-ES"/>
        </w:rPr>
        <w:t>, entre otros,</w:t>
      </w:r>
      <w:r w:rsidRPr="00FA7C1F">
        <w:rPr>
          <w:rFonts w:ascii="Verdana" w:eastAsia="Calibri" w:hAnsi="Verdana" w:cs="Arial"/>
          <w:shd w:val="clear" w:color="auto" w:fill="FFFFFF"/>
          <w:lang w:val="es-ES"/>
        </w:rPr>
        <w:t xml:space="preserve"> en </w:t>
      </w:r>
      <w:r>
        <w:rPr>
          <w:rFonts w:ascii="Verdana" w:eastAsia="Calibri" w:hAnsi="Verdana" w:cs="Arial"/>
          <w:shd w:val="clear" w:color="auto" w:fill="FFFFFF"/>
          <w:lang w:val="es-ES"/>
        </w:rPr>
        <w:t>los</w:t>
      </w:r>
      <w:r w:rsidRPr="00FA7C1F">
        <w:rPr>
          <w:rFonts w:ascii="Verdana" w:eastAsia="Calibri" w:hAnsi="Verdana" w:cs="Arial"/>
          <w:shd w:val="clear" w:color="auto" w:fill="FFFFFF"/>
          <w:lang w:val="es-ES"/>
        </w:rPr>
        <w:t xml:space="preserve"> concepto</w:t>
      </w:r>
      <w:r>
        <w:rPr>
          <w:rFonts w:ascii="Verdana" w:eastAsia="Calibri" w:hAnsi="Verdana" w:cs="Arial"/>
          <w:shd w:val="clear" w:color="auto" w:fill="FFFFFF"/>
          <w:lang w:val="es-ES"/>
        </w:rPr>
        <w:t>s</w:t>
      </w:r>
      <w:r w:rsidRPr="00FA7C1F">
        <w:rPr>
          <w:rFonts w:ascii="Verdana" w:eastAsia="Calibri" w:hAnsi="Verdana" w:cs="Arial"/>
          <w:shd w:val="clear" w:color="auto" w:fill="FFFFFF"/>
          <w:lang w:val="es-ES"/>
        </w:rPr>
        <w:t xml:space="preserve"> C-486 del 13 de septiembre de 2021</w:t>
      </w:r>
      <w:r>
        <w:rPr>
          <w:rFonts w:ascii="Verdana" w:eastAsia="Calibri" w:hAnsi="Verdana" w:cs="Arial"/>
          <w:shd w:val="clear" w:color="auto" w:fill="FFFFFF"/>
          <w:lang w:val="es-ES"/>
        </w:rPr>
        <w:t>, C-562 del 7 de septiembre de 2022, C-081 del 5 de junio de 2024 y C-1037 del 5 de febrero de 2025</w:t>
      </w:r>
      <w:r w:rsidRPr="00FA7C1F">
        <w:rPr>
          <w:rFonts w:ascii="Verdana" w:eastAsia="Calibri" w:hAnsi="Verdana" w:cs="Arial"/>
          <w:shd w:val="clear" w:color="auto" w:fill="FFFFFF"/>
          <w:lang w:val="es-ES"/>
        </w:rPr>
        <w:t xml:space="preserve">. </w:t>
      </w:r>
    </w:p>
    <w:p w14:paraId="2B1B3923" w14:textId="116C490A" w:rsidR="00031490" w:rsidRPr="00F95ECD" w:rsidRDefault="00031490" w:rsidP="0003149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Fonts w:ascii="Verdana" w:eastAsia="Calibri" w:hAnsi="Verdana" w:cs="Arial"/>
          <w:lang w:val="es-ES" w:eastAsia="es-ES_tradnl"/>
        </w:rPr>
        <w:t xml:space="preserve">Por otra parte, la </w:t>
      </w:r>
      <w:r w:rsidRPr="00226C88">
        <w:rPr>
          <w:rFonts w:ascii="Verdana" w:eastAsia="Calibri" w:hAnsi="Verdana" w:cs="Arial"/>
          <w:shd w:val="clear" w:color="auto" w:fill="FFFFFF"/>
          <w:lang w:val="es-ES"/>
        </w:rPr>
        <w:t>Agencia Nacional de Contratación Pública − Colombia Compra Eficiente</w:t>
      </w:r>
      <w:r>
        <w:rPr>
          <w:rFonts w:ascii="Verdana" w:eastAsia="Calibri" w:hAnsi="Verdana" w:cs="Arial"/>
          <w:shd w:val="clear" w:color="auto" w:fill="FFFFFF"/>
          <w:lang w:val="es-ES"/>
        </w:rPr>
        <w:t>,</w:t>
      </w:r>
      <w:r w:rsidRPr="00226C88">
        <w:rPr>
          <w:rFonts w:ascii="Verdana" w:eastAsia="Calibri" w:hAnsi="Verdana" w:cs="Arial"/>
          <w:shd w:val="clear" w:color="auto" w:fill="FFFFFF"/>
          <w:lang w:val="es-ES"/>
        </w:rPr>
        <w:t xml:space="preserve"> </w:t>
      </w:r>
      <w:r w:rsidRPr="00F95ECD">
        <w:rPr>
          <w:rFonts w:ascii="Verdana" w:eastAsia="Times New Roman" w:hAnsi="Verdana" w:cs="Arial"/>
          <w:lang w:val="es-ES_tradnl" w:eastAsia="es-ES_tradnl"/>
        </w:rPr>
        <w:t xml:space="preserve">se ha pronunciado sobre </w:t>
      </w:r>
      <w:r w:rsidRPr="00F95ECD">
        <w:rPr>
          <w:rFonts w:ascii="Verdana" w:eastAsia="Times New Roman" w:hAnsi="Verdana" w:cs="Arial"/>
          <w:lang w:eastAsia="es-ES_tradnl"/>
        </w:rPr>
        <w:t>el alcance del artículo 56 de la Ley 2195 de 2022, específicamente, a partir del concepto C-066 del 28 de enero de 2022, cuya tesis se desarrolló y complementó los conceptos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C-532 del 22 de agosto de 2022, C-341 del 27 de mayo de 2022, C-382 del 27 de mayo de 2022, C-449 del 25 de julio de 2022, C-453 del 14 de julio de 2022,  C-488 del 29 de julio de 2022, C-494 del 28 de julio de 2022</w:t>
      </w:r>
      <w:r w:rsidR="00AB2537">
        <w:rPr>
          <w:rFonts w:ascii="Verdana" w:eastAsia="Times New Roman" w:hAnsi="Verdana" w:cs="Arial"/>
          <w:lang w:eastAsia="es-ES_tradnl"/>
        </w:rPr>
        <w:t xml:space="preserve">, </w:t>
      </w:r>
      <w:r w:rsidRPr="00F95ECD">
        <w:rPr>
          <w:rFonts w:ascii="Verdana" w:eastAsia="Times New Roman" w:hAnsi="Verdana" w:cs="Arial"/>
          <w:lang w:eastAsia="es-ES_tradnl"/>
        </w:rPr>
        <w:t>C-501 del 29 de julio de 2022</w:t>
      </w:r>
      <w:r w:rsidR="00AB2537">
        <w:rPr>
          <w:rFonts w:ascii="Verdana" w:eastAsia="Times New Roman" w:hAnsi="Verdana" w:cs="Arial"/>
          <w:lang w:eastAsia="es-ES_tradnl"/>
        </w:rPr>
        <w:t xml:space="preserve"> y C</w:t>
      </w:r>
      <w:r w:rsidR="00614399">
        <w:rPr>
          <w:rFonts w:ascii="Verdana" w:eastAsia="Times New Roman" w:hAnsi="Verdana" w:cs="Arial"/>
          <w:lang w:eastAsia="es-ES_tradnl"/>
        </w:rPr>
        <w:t>-</w:t>
      </w:r>
      <w:r w:rsidR="005A754B">
        <w:rPr>
          <w:rFonts w:ascii="Verdana" w:eastAsia="Times New Roman" w:hAnsi="Verdana" w:cs="Arial"/>
          <w:lang w:eastAsia="es-ES_tradnl"/>
        </w:rPr>
        <w:t xml:space="preserve">155 del 7 de marzo de </w:t>
      </w:r>
      <w:r w:rsidR="005A754B">
        <w:rPr>
          <w:rFonts w:ascii="Verdana" w:eastAsia="Times New Roman" w:hAnsi="Verdana" w:cs="Arial"/>
          <w:lang w:eastAsia="es-ES_tradnl"/>
        </w:rPr>
        <w:lastRenderedPageBreak/>
        <w:t>2025</w:t>
      </w:r>
      <w:r>
        <w:rPr>
          <w:rFonts w:ascii="Verdana" w:eastAsia="Times New Roman" w:hAnsi="Verdana" w:cs="Arial"/>
          <w:lang w:eastAsia="es-ES_tradnl"/>
        </w:rPr>
        <w:t xml:space="preserve">, entre otros. </w:t>
      </w:r>
      <w:r w:rsidRPr="00F95ECD">
        <w:rPr>
          <w:rStyle w:val="normaltextrun"/>
          <w:rFonts w:ascii="Verdana" w:hAnsi="Verdana" w:cs="Arial"/>
          <w:shd w:val="clear" w:color="auto" w:fill="FFFFFF"/>
          <w:lang w:val="es-ES"/>
        </w:rPr>
        <w:t>Es</w:t>
      </w:r>
      <w:r w:rsidRPr="00F95ECD">
        <w:rPr>
          <w:rFonts w:ascii="Verdana" w:hAnsi="Verdana"/>
        </w:rPr>
        <w:t>tos y otros conceptos se encuentran disponibles para consulta en el Sistema de relatoría de la Agencia, al cual se puede acceder a través del siguiente enlace:</w:t>
      </w:r>
      <w:r w:rsidRPr="00F95ECD">
        <w:rPr>
          <w:rStyle w:val="normaltextrun"/>
          <w:rFonts w:ascii="Verdana" w:hAnsi="Verdana" w:cs="Arial"/>
          <w:shd w:val="clear" w:color="auto" w:fill="FFFFFF"/>
          <w:lang w:val="es-ES"/>
        </w:rPr>
        <w:t xml:space="preserve"> </w:t>
      </w:r>
      <w:hyperlink r:id="rId11" w:history="1">
        <w:r w:rsidRPr="00F95ECD">
          <w:rPr>
            <w:rStyle w:val="Hipervnculo"/>
            <w:rFonts w:ascii="Verdana" w:hAnsi="Verdana" w:cs="Arial"/>
            <w:shd w:val="clear" w:color="auto" w:fill="FFFFFF"/>
            <w:lang w:val="es-ES"/>
          </w:rPr>
          <w:t>https://relatoria.colombiacompra.gov.co/busqueda/conceptos</w:t>
        </w:r>
      </w:hyperlink>
      <w:r w:rsidRPr="00F95ECD">
        <w:rPr>
          <w:rStyle w:val="normaltextrun"/>
          <w:rFonts w:ascii="Verdana" w:hAnsi="Verdana" w:cs="Arial"/>
          <w:color w:val="FF0000"/>
          <w:shd w:val="clear" w:color="auto" w:fill="FFFFFF"/>
          <w:lang w:val="es-ES"/>
        </w:rPr>
        <w:t xml:space="preserve">. </w:t>
      </w:r>
    </w:p>
    <w:p w14:paraId="4E6BBF3E" w14:textId="77777777" w:rsidR="00031490" w:rsidRDefault="00031490" w:rsidP="0003149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6948AF6" w14:textId="77777777" w:rsidR="00031490" w:rsidRPr="002415BA" w:rsidRDefault="00031490" w:rsidP="00031490">
      <w:pPr>
        <w:widowControl w:val="0"/>
        <w:autoSpaceDE w:val="0"/>
        <w:autoSpaceDN w:val="0"/>
        <w:spacing w:after="0" w:line="276" w:lineRule="auto"/>
        <w:jc w:val="both"/>
        <w:rPr>
          <w:rFonts w:ascii="Verdana" w:eastAsia="Aptos" w:hAnsi="Verdana" w:cs="Arial"/>
          <w:color w:val="FF0000"/>
          <w:shd w:val="clear" w:color="auto" w:fill="FFFFFF"/>
          <w:lang w:val="es-ES"/>
        </w:rPr>
      </w:pPr>
    </w:p>
    <w:p w14:paraId="5BA3C63F" w14:textId="77777777" w:rsidR="00031490" w:rsidRPr="00C865D4" w:rsidRDefault="00031490" w:rsidP="00031490">
      <w:pPr>
        <w:shd w:val="clear" w:color="auto" w:fill="FFFFFF"/>
        <w:spacing w:line="240" w:lineRule="auto"/>
        <w:jc w:val="both"/>
        <w:rPr>
          <w:rFonts w:ascii="Verdana" w:hAnsi="Verdana"/>
          <w:color w:val="212121"/>
        </w:rPr>
      </w:pPr>
      <w:r w:rsidRPr="00C865D4">
        <w:rPr>
          <w:rFonts w:ascii="Verdana" w:hAnsi="Verdana"/>
          <w:color w:val="000000"/>
        </w:rPr>
        <w:t>Te informamos que ya se encuentra disponible la </w:t>
      </w:r>
      <w:r w:rsidRPr="00C865D4">
        <w:rPr>
          <w:rFonts w:ascii="Verdana" w:hAnsi="Verdana"/>
          <w:b/>
          <w:bCs/>
          <w:color w:val="000000"/>
        </w:rPr>
        <w:t>Cartilla para incentivar y fortalecer el acceso a las compras y contratación pública de los pueblos y comunidades étnicas en Colombia.</w:t>
      </w:r>
      <w:r w:rsidRPr="00C865D4">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ooltip="Original URL:&#10;https://www.colombiacompra.gov.co/manuales-guias-y-pliegos-tipo/manuales-y-guias/cartilla-para-incentivar-y-fortalecer-el-acceso-las&#10;&#10;Click to follow link." w:history="1">
        <w:r w:rsidRPr="00C865D4">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34F958A5" w14:textId="77777777" w:rsidR="00031490" w:rsidRPr="00C865D4" w:rsidRDefault="00031490" w:rsidP="00031490">
      <w:pPr>
        <w:jc w:val="both"/>
        <w:rPr>
          <w:rFonts w:ascii="Verdana" w:hAnsi="Verdana"/>
          <w:color w:val="212121"/>
        </w:rPr>
      </w:pPr>
      <w:r w:rsidRPr="00C865D4">
        <w:rPr>
          <w:rFonts w:ascii="Verdana" w:hAnsi="Verdana"/>
          <w:color w:val="000000"/>
        </w:rPr>
        <w:t>De otra parte, te informamos que, con el objetivo de garantizar un conocimiento adecuado de las </w:t>
      </w:r>
      <w:r w:rsidRPr="00C865D4">
        <w:rPr>
          <w:rFonts w:ascii="Verdana" w:hAnsi="Verdana"/>
          <w:b/>
          <w:bCs/>
          <w:color w:val="000000"/>
        </w:rPr>
        <w:t>modificaciones y/o actualizaciones realizadas a los Documentos Tipo</w:t>
      </w:r>
      <w:r w:rsidRPr="00C865D4">
        <w:rPr>
          <w:rFonts w:ascii="Verdana" w:hAnsi="Verdana"/>
          <w:color w:val="000000"/>
        </w:rPr>
        <w:t>, hemos programado una serie de </w:t>
      </w:r>
      <w:r w:rsidRPr="00C865D4">
        <w:rPr>
          <w:rFonts w:ascii="Verdana" w:hAnsi="Verdana"/>
          <w:b/>
          <w:bCs/>
          <w:color w:val="000000"/>
        </w:rPr>
        <w:t>capacitaciones </w:t>
      </w:r>
      <w:r w:rsidRPr="00C865D4">
        <w:rPr>
          <w:rFonts w:ascii="Verdana" w:hAnsi="Verdana"/>
          <w:color w:val="000000"/>
        </w:rPr>
        <w:t>dirigidas a todos los actores involucrados en los procesos de selección. Podrás conocer la programación y realizar tu inscripción a estas capacitaciones a través del siguiente enlace: </w:t>
      </w:r>
      <w:hyperlink r:id="rId13" w:tooltip="Original URL:&#10;https://www.colombiacompra.gov.co/ciudadanos/calendario&#10;&#10;Click to follow link." w:history="1">
        <w:r w:rsidRPr="00C865D4">
          <w:rPr>
            <w:rFonts w:ascii="Verdana" w:hAnsi="Verdana"/>
            <w:color w:val="467886"/>
            <w:u w:val="single"/>
          </w:rPr>
          <w:t>Calendario | Colombia Compra Eficiente | Agencia Nacional de Contratación Pública</w:t>
        </w:r>
      </w:hyperlink>
    </w:p>
    <w:p w14:paraId="5CCA9226" w14:textId="77777777" w:rsidR="00031490" w:rsidRPr="00C865D4" w:rsidRDefault="00031490" w:rsidP="00031490">
      <w:pPr>
        <w:spacing w:after="0"/>
        <w:jc w:val="both"/>
        <w:rPr>
          <w:rFonts w:ascii="Verdana" w:hAnsi="Verdana"/>
          <w:color w:val="212121"/>
        </w:rPr>
      </w:pPr>
      <w:r w:rsidRPr="00C865D4">
        <w:rPr>
          <w:rFonts w:ascii="Verdana" w:hAnsi="Verdana"/>
          <w:color w:val="000000"/>
        </w:rPr>
        <w:t>También, te contamos que ya publicamos </w:t>
      </w:r>
      <w:r w:rsidRPr="00C865D4">
        <w:rPr>
          <w:rFonts w:ascii="Verdana" w:hAnsi="Verdana"/>
          <w:b/>
          <w:bCs/>
          <w:color w:val="000000"/>
        </w:rPr>
        <w:t>la nueva Guía de Contratación Pública Sostenible y Socialmente Responsable</w:t>
      </w:r>
      <w:r w:rsidRPr="00C865D4">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ooltip="Original URL:&#10;https://www.colombiacompra.gov.co/manuales-guias-y-pliegos-tipo/manuales-y-guias/guia-de-contratacion-publica-sostenible-y-socialmente&#10;&#10;Click to follow link." w:history="1">
        <w:r w:rsidRPr="00C865D4">
          <w:rPr>
            <w:rFonts w:ascii="Verdana" w:hAnsi="Verdana"/>
            <w:color w:val="467886"/>
            <w:u w:val="single"/>
          </w:rPr>
          <w:t>Guía de Contratación Pública Sostenible y Socialmente Responsable | Colombia Compra Eficiente | Agencia Nacional de Contratación Pública</w:t>
        </w:r>
      </w:hyperlink>
    </w:p>
    <w:p w14:paraId="62559E55" w14:textId="77777777" w:rsidR="00031490" w:rsidRPr="00C865D4" w:rsidRDefault="00031490" w:rsidP="00031490">
      <w:pPr>
        <w:spacing w:after="0"/>
        <w:jc w:val="both"/>
        <w:rPr>
          <w:rFonts w:ascii="Verdana" w:hAnsi="Verdana"/>
          <w:color w:val="212121"/>
        </w:rPr>
      </w:pPr>
    </w:p>
    <w:p w14:paraId="09A81D9D" w14:textId="77777777" w:rsidR="00031490" w:rsidRPr="00C865D4" w:rsidRDefault="00031490" w:rsidP="00031490">
      <w:pPr>
        <w:spacing w:after="0" w:line="240" w:lineRule="auto"/>
        <w:jc w:val="both"/>
        <w:rPr>
          <w:rFonts w:ascii="Calibri" w:eastAsia="Calibri" w:hAnsi="Calibri" w:cs="Times New Roman"/>
        </w:rPr>
      </w:pPr>
      <w:r w:rsidRPr="00C865D4">
        <w:rPr>
          <w:rFonts w:ascii="Verdana" w:hAnsi="Verdana"/>
        </w:rPr>
        <w:t xml:space="preserve">Por último, lo invitamos a seguirnos en las redes sociales en las cuales se difunde información institucional: </w:t>
      </w:r>
    </w:p>
    <w:p w14:paraId="1184D7BF" w14:textId="77777777" w:rsidR="00031490" w:rsidRDefault="00031490" w:rsidP="0003149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0556758" w14:textId="77777777" w:rsidR="00031490" w:rsidRDefault="00031490" w:rsidP="00031490">
      <w:pPr>
        <w:spacing w:after="0" w:line="240" w:lineRule="auto"/>
        <w:jc w:val="both"/>
        <w:rPr>
          <w:rFonts w:ascii="Verdana" w:hAnsi="Verdana"/>
        </w:rPr>
      </w:pPr>
      <w:r w:rsidRPr="003E2460">
        <w:rPr>
          <w:rFonts w:ascii="Verdana" w:hAnsi="Verdana"/>
        </w:rPr>
        <w:t>Por último, lo invitamos a seguirnos en las redes sociales en las cuales se difunde información institucional:</w:t>
      </w:r>
    </w:p>
    <w:p w14:paraId="576A7435" w14:textId="77777777" w:rsidR="00031490" w:rsidRPr="003E2460" w:rsidRDefault="00031490" w:rsidP="00031490">
      <w:pPr>
        <w:spacing w:after="0" w:line="240" w:lineRule="auto"/>
        <w:jc w:val="both"/>
        <w:rPr>
          <w:rFonts w:ascii="Verdana" w:hAnsi="Verdana"/>
        </w:rPr>
      </w:pPr>
    </w:p>
    <w:p w14:paraId="29F8FBE8" w14:textId="77777777" w:rsidR="00031490" w:rsidRPr="003E2460" w:rsidRDefault="00031490" w:rsidP="00031490">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FE4C746" w14:textId="77777777" w:rsidR="00031490" w:rsidRPr="003E2460" w:rsidRDefault="00031490" w:rsidP="00031490">
      <w:pPr>
        <w:spacing w:after="0" w:line="240" w:lineRule="auto"/>
        <w:jc w:val="both"/>
        <w:rPr>
          <w:rFonts w:ascii="Verdana" w:hAnsi="Verdana"/>
        </w:rPr>
      </w:pPr>
      <w:r w:rsidRPr="003E2460">
        <w:rPr>
          <w:rFonts w:ascii="Verdana" w:hAnsi="Verdana"/>
        </w:rPr>
        <w:lastRenderedPageBreak/>
        <w:t xml:space="preserve">Facebook: </w:t>
      </w:r>
      <w:proofErr w:type="spellStart"/>
      <w:r w:rsidRPr="003E2460">
        <w:rPr>
          <w:rStyle w:val="Hipervnculo"/>
          <w:rFonts w:ascii="Verdana" w:hAnsi="Verdana"/>
          <w:color w:val="4472C4" w:themeColor="accent1"/>
        </w:rPr>
        <w:t>ColombiaCompraEficiente</w:t>
      </w:r>
      <w:proofErr w:type="spellEnd"/>
    </w:p>
    <w:p w14:paraId="16BDBA06" w14:textId="77777777" w:rsidR="00031490" w:rsidRPr="003E2460" w:rsidRDefault="00031490" w:rsidP="00031490">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79639BF" w14:textId="77777777" w:rsidR="00031490" w:rsidRPr="00F95ECD" w:rsidRDefault="00031490" w:rsidP="0003149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9320564" w14:textId="77777777" w:rsidR="00031490" w:rsidRPr="00F95ECD" w:rsidRDefault="00031490" w:rsidP="00031490">
      <w:pPr>
        <w:widowControl w:val="0"/>
        <w:autoSpaceDE w:val="0"/>
        <w:autoSpaceDN w:val="0"/>
        <w:spacing w:after="0" w:line="276" w:lineRule="auto"/>
        <w:jc w:val="both"/>
        <w:rPr>
          <w:rFonts w:ascii="Verdana" w:hAnsi="Verdana" w:cs="Arial"/>
          <w:lang w:val="es-ES_tradnl"/>
        </w:rPr>
      </w:pPr>
      <w:r w:rsidRPr="00F95ECD">
        <w:rPr>
          <w:rFonts w:ascii="Verdana" w:hAnsi="Verdana" w:cs="Arial"/>
        </w:rPr>
        <w:t xml:space="preserve">Este concepto tiene el alcance previsto en el artículo 28 del Código de Procedimiento Administrativo y de lo Contencioso Administrativo </w:t>
      </w:r>
      <w:r w:rsidRPr="00F95ECD">
        <w:rPr>
          <w:rFonts w:ascii="Verdana" w:hAnsi="Verdana" w:cs="Arial"/>
          <w:lang w:val="es-ES_tradnl"/>
        </w:rPr>
        <w:t>y las expresiones aquí utilizadas con mayúscula inicial deben ser entendidas con el significado que les otorga el artículo 2.2.1.1.1.3.1. del Decreto 1082 de 2015.</w:t>
      </w:r>
    </w:p>
    <w:p w14:paraId="7F059F39" w14:textId="77777777" w:rsidR="00031490" w:rsidRPr="00F95ECD" w:rsidRDefault="00031490" w:rsidP="00031490">
      <w:pPr>
        <w:widowControl w:val="0"/>
        <w:autoSpaceDE w:val="0"/>
        <w:autoSpaceDN w:val="0"/>
        <w:spacing w:after="0" w:line="276" w:lineRule="auto"/>
        <w:jc w:val="both"/>
        <w:rPr>
          <w:rFonts w:ascii="Verdana" w:hAnsi="Verdana" w:cs="Arial"/>
        </w:rPr>
      </w:pPr>
    </w:p>
    <w:p w14:paraId="15BA3C01" w14:textId="77777777" w:rsidR="00031490" w:rsidRDefault="00031490" w:rsidP="00031490">
      <w:pPr>
        <w:spacing w:after="0" w:line="240" w:lineRule="auto"/>
        <w:rPr>
          <w:rFonts w:ascii="Verdana" w:hAnsi="Verdana" w:cs="Arial"/>
          <w:lang w:eastAsia="es-CO"/>
        </w:rPr>
      </w:pPr>
      <w:r w:rsidRPr="00F95ECD">
        <w:rPr>
          <w:rFonts w:ascii="Verdana" w:eastAsia="Times New Roman" w:hAnsi="Verdana" w:cs="Arial"/>
          <w:lang w:eastAsia="es-CO"/>
        </w:rPr>
        <w:t>Atentamente,</w:t>
      </w:r>
      <w:r w:rsidRPr="00F95ECD">
        <w:rPr>
          <w:rFonts w:ascii="Verdana" w:hAnsi="Verdana" w:cs="Arial"/>
          <w:lang w:eastAsia="es-CO"/>
        </w:rPr>
        <w:t xml:space="preserve"> </w:t>
      </w:r>
    </w:p>
    <w:p w14:paraId="2ABAE1F3" w14:textId="77777777" w:rsidR="00031490" w:rsidRDefault="00031490" w:rsidP="006F6550">
      <w:pPr>
        <w:spacing w:after="0" w:line="240" w:lineRule="auto"/>
        <w:rPr>
          <w:rFonts w:ascii="Verdana" w:hAnsi="Verdana" w:cs="Arial"/>
          <w:lang w:eastAsia="es-CO"/>
        </w:rPr>
      </w:pPr>
    </w:p>
    <w:p w14:paraId="5E7AE8B0" w14:textId="79816C8A" w:rsidR="00031490" w:rsidRPr="00F95ECD" w:rsidRDefault="006F6550" w:rsidP="00031490">
      <w:pPr>
        <w:spacing w:after="0" w:line="240" w:lineRule="auto"/>
        <w:jc w:val="center"/>
        <w:rPr>
          <w:rFonts w:ascii="Verdana" w:hAnsi="Verdana" w:cs="Arial"/>
          <w:lang w:eastAsia="es-CO"/>
        </w:rPr>
      </w:pPr>
      <w:r w:rsidRPr="004D5C25">
        <w:rPr>
          <w:rFonts w:ascii="Century Gothic" w:hAnsi="Century Gothic"/>
          <w:noProof/>
        </w:rPr>
        <w:drawing>
          <wp:inline distT="0" distB="0" distL="0" distR="0" wp14:anchorId="752DE04B" wp14:editId="7C02885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564"/>
      </w:tblGrid>
      <w:tr w:rsidR="00031490" w:rsidRPr="00F95ECD" w14:paraId="522107E6" w14:textId="77777777" w:rsidTr="47238B89">
        <w:trPr>
          <w:trHeight w:val="315"/>
        </w:trPr>
        <w:tc>
          <w:tcPr>
            <w:tcW w:w="893" w:type="dxa"/>
            <w:vAlign w:val="center"/>
            <w:hideMark/>
          </w:tcPr>
          <w:p w14:paraId="2C3D97BB" w14:textId="77777777" w:rsidR="00031490" w:rsidRPr="00F95ECD" w:rsidRDefault="00031490" w:rsidP="00575E6F">
            <w:pPr>
              <w:contextualSpacing/>
              <w:rPr>
                <w:rFonts w:ascii="Verdana" w:hAnsi="Verdana" w:cs="Arial"/>
                <w:sz w:val="16"/>
                <w:szCs w:val="16"/>
                <w:lang w:val="es-ES" w:eastAsia="es-ES"/>
              </w:rPr>
            </w:pPr>
            <w:r w:rsidRPr="00F95ECD">
              <w:rPr>
                <w:rFonts w:ascii="Verdana" w:hAnsi="Verdana" w:cs="Arial"/>
                <w:sz w:val="16"/>
                <w:szCs w:val="16"/>
                <w:lang w:val="es-ES" w:eastAsia="es-ES"/>
              </w:rPr>
              <w:t>Elaboró:</w:t>
            </w:r>
          </w:p>
        </w:tc>
        <w:tc>
          <w:tcPr>
            <w:tcW w:w="6564" w:type="dxa"/>
            <w:tcBorders>
              <w:top w:val="nil"/>
              <w:left w:val="nil"/>
              <w:bottom w:val="dotted" w:sz="4" w:space="0" w:color="7F7F7F" w:themeColor="text1" w:themeTint="80"/>
              <w:right w:val="nil"/>
            </w:tcBorders>
            <w:vAlign w:val="center"/>
            <w:hideMark/>
          </w:tcPr>
          <w:p w14:paraId="51F2BB12" w14:textId="77777777" w:rsidR="00031490" w:rsidRPr="00892E61" w:rsidRDefault="00031490" w:rsidP="00575E6F">
            <w:pPr>
              <w:contextualSpacing/>
              <w:rPr>
                <w:rStyle w:val="normaltextrun"/>
              </w:rPr>
            </w:pPr>
            <w:r w:rsidRPr="00892E61">
              <w:rPr>
                <w:rStyle w:val="normaltextrun"/>
              </w:rPr>
              <w:t>C</w:t>
            </w:r>
            <w:r w:rsidRPr="00892E61">
              <w:rPr>
                <w:rStyle w:val="normaltextrun"/>
                <w:rFonts w:ascii="Verdana" w:eastAsia="Arial" w:hAnsi="Verdana" w:cs="Arial"/>
                <w:sz w:val="16"/>
                <w:szCs w:val="16"/>
              </w:rPr>
              <w:t xml:space="preserve">arlos Mario </w:t>
            </w:r>
            <w:proofErr w:type="spellStart"/>
            <w:r w:rsidRPr="00892E61">
              <w:rPr>
                <w:rStyle w:val="normaltextrun"/>
                <w:rFonts w:ascii="Verdana" w:eastAsia="Arial" w:hAnsi="Verdana" w:cs="Arial"/>
                <w:sz w:val="16"/>
                <w:szCs w:val="16"/>
              </w:rPr>
              <w:t>Castrillon</w:t>
            </w:r>
            <w:proofErr w:type="spellEnd"/>
            <w:r w:rsidRPr="00892E61">
              <w:rPr>
                <w:rStyle w:val="normaltextrun"/>
                <w:rFonts w:ascii="Verdana" w:eastAsia="Arial" w:hAnsi="Verdana" w:cs="Arial"/>
                <w:sz w:val="16"/>
                <w:szCs w:val="16"/>
              </w:rPr>
              <w:t xml:space="preserve"> Endo</w:t>
            </w:r>
          </w:p>
          <w:p w14:paraId="67FF8F15" w14:textId="77777777" w:rsidR="00031490" w:rsidRPr="00F95ECD" w:rsidRDefault="00031490" w:rsidP="00575E6F">
            <w:pPr>
              <w:contextualSpacing/>
              <w:rPr>
                <w:rFonts w:ascii="Verdana" w:eastAsia="Arial" w:hAnsi="Verdana" w:cs="Arial"/>
                <w:sz w:val="16"/>
                <w:szCs w:val="16"/>
              </w:rPr>
            </w:pPr>
            <w:r w:rsidRPr="00F95ECD">
              <w:rPr>
                <w:rStyle w:val="normaltextrun"/>
                <w:rFonts w:ascii="Verdana" w:eastAsia="Arial" w:hAnsi="Verdana" w:cs="Arial"/>
                <w:sz w:val="16"/>
                <w:szCs w:val="16"/>
              </w:rPr>
              <w:t>Contratista de la Subdirección de Gestión Contractual</w:t>
            </w:r>
          </w:p>
        </w:tc>
      </w:tr>
      <w:tr w:rsidR="00031490" w:rsidRPr="00F95ECD" w14:paraId="21792634" w14:textId="77777777" w:rsidTr="47238B89">
        <w:trPr>
          <w:trHeight w:val="330"/>
        </w:trPr>
        <w:tc>
          <w:tcPr>
            <w:tcW w:w="893" w:type="dxa"/>
            <w:vAlign w:val="center"/>
            <w:hideMark/>
          </w:tcPr>
          <w:p w14:paraId="5838D247" w14:textId="77777777" w:rsidR="00031490" w:rsidRPr="00F95ECD" w:rsidRDefault="00031490" w:rsidP="00575E6F">
            <w:pPr>
              <w:contextualSpacing/>
              <w:rPr>
                <w:rFonts w:ascii="Verdana" w:hAnsi="Verdana" w:cs="Arial"/>
                <w:sz w:val="16"/>
                <w:szCs w:val="16"/>
                <w:lang w:val="es-ES" w:eastAsia="es-ES"/>
              </w:rPr>
            </w:pPr>
            <w:r w:rsidRPr="00F95ECD">
              <w:rPr>
                <w:rFonts w:ascii="Verdana" w:hAnsi="Verdana" w:cs="Arial"/>
                <w:sz w:val="16"/>
                <w:szCs w:val="16"/>
                <w:lang w:val="es-ES" w:eastAsia="es-ES"/>
              </w:rPr>
              <w:t>Revisó:</w:t>
            </w:r>
          </w:p>
        </w:tc>
        <w:tc>
          <w:tcPr>
            <w:tcW w:w="6564" w:type="dxa"/>
            <w:tcBorders>
              <w:top w:val="dotted" w:sz="4" w:space="0" w:color="7F7F7F" w:themeColor="text1" w:themeTint="80"/>
              <w:left w:val="nil"/>
              <w:bottom w:val="dotted" w:sz="4" w:space="0" w:color="7F7F7F" w:themeColor="text1" w:themeTint="80"/>
              <w:right w:val="nil"/>
            </w:tcBorders>
            <w:vAlign w:val="center"/>
            <w:hideMark/>
          </w:tcPr>
          <w:p w14:paraId="16E7D1D3" w14:textId="77777777" w:rsidR="00031490" w:rsidRDefault="00031490" w:rsidP="47238B89">
            <w:pPr>
              <w:textAlignment w:val="baseline"/>
              <w:rPr>
                <w:rFonts w:ascii="Verdana" w:eastAsia="Times New Roman" w:hAnsi="Verdana" w:cs="Segoe UI"/>
                <w:sz w:val="16"/>
                <w:szCs w:val="16"/>
                <w:lang w:val="es-ES" w:eastAsia="es-ES"/>
              </w:rPr>
            </w:pPr>
            <w:r w:rsidRPr="47238B89">
              <w:rPr>
                <w:rFonts w:ascii="Verdana" w:eastAsia="Times New Roman" w:hAnsi="Verdana" w:cs="Segoe UI"/>
                <w:sz w:val="16"/>
                <w:szCs w:val="16"/>
                <w:lang w:val="es-ES" w:eastAsia="es-ES"/>
              </w:rPr>
              <w:t xml:space="preserve">Adriana </w:t>
            </w:r>
            <w:proofErr w:type="spellStart"/>
            <w:r w:rsidRPr="47238B89">
              <w:rPr>
                <w:rFonts w:ascii="Verdana" w:eastAsia="Times New Roman" w:hAnsi="Verdana" w:cs="Segoe UI"/>
                <w:sz w:val="16"/>
                <w:szCs w:val="16"/>
                <w:lang w:val="es-ES" w:eastAsia="es-ES"/>
              </w:rPr>
              <w:t>Katerine</w:t>
            </w:r>
            <w:proofErr w:type="spellEnd"/>
            <w:r w:rsidRPr="47238B89">
              <w:rPr>
                <w:rFonts w:ascii="Verdana" w:eastAsia="Times New Roman" w:hAnsi="Verdana" w:cs="Segoe UI"/>
                <w:sz w:val="16"/>
                <w:szCs w:val="16"/>
                <w:lang w:val="es-ES" w:eastAsia="es-ES"/>
              </w:rPr>
              <w:t xml:space="preserve"> López </w:t>
            </w:r>
            <w:proofErr w:type="spellStart"/>
            <w:r w:rsidRPr="47238B89">
              <w:rPr>
                <w:rFonts w:ascii="Verdana" w:eastAsia="Times New Roman" w:hAnsi="Verdana" w:cs="Segoe UI"/>
                <w:sz w:val="16"/>
                <w:szCs w:val="16"/>
                <w:lang w:val="es-ES" w:eastAsia="es-ES"/>
              </w:rPr>
              <w:t>Rodriguez</w:t>
            </w:r>
            <w:proofErr w:type="spellEnd"/>
            <w:r w:rsidRPr="47238B89">
              <w:rPr>
                <w:rFonts w:ascii="Verdana" w:eastAsia="Times New Roman" w:hAnsi="Verdana" w:cs="Segoe UI"/>
                <w:sz w:val="16"/>
                <w:szCs w:val="16"/>
                <w:lang w:val="es-ES" w:eastAsia="es-ES"/>
              </w:rPr>
              <w:t xml:space="preserve"> </w:t>
            </w:r>
          </w:p>
          <w:p w14:paraId="566951EF" w14:textId="77777777" w:rsidR="00031490" w:rsidRPr="00F95ECD" w:rsidRDefault="00031490" w:rsidP="00575E6F">
            <w:pPr>
              <w:pStyle w:val="paragraph"/>
              <w:spacing w:before="0" w:beforeAutospacing="0" w:after="0" w:afterAutospacing="0"/>
              <w:contextualSpacing/>
              <w:textAlignment w:val="baseline"/>
              <w:rPr>
                <w:rFonts w:ascii="Verdana" w:hAnsi="Verdana" w:cs="Segoe UI"/>
                <w:sz w:val="16"/>
                <w:szCs w:val="16"/>
              </w:rPr>
            </w:pPr>
            <w:r w:rsidRPr="00454626">
              <w:rPr>
                <w:rFonts w:ascii="Verdana" w:hAnsi="Verdana" w:cs="Arial"/>
                <w:sz w:val="16"/>
                <w:szCs w:val="16"/>
                <w:lang w:val="es-ES_tradnl" w:eastAsia="es-ES_tradnl"/>
              </w:rPr>
              <w:t>Contratista de la Subdirección de Gestión Contractual </w:t>
            </w:r>
            <w:r w:rsidRPr="00F95ECD" w:rsidDel="002F2A1E">
              <w:rPr>
                <w:rStyle w:val="normaltextrun"/>
                <w:rFonts w:ascii="Verdana" w:hAnsi="Verdana" w:cs="Arial"/>
                <w:sz w:val="16"/>
                <w:szCs w:val="16"/>
                <w:lang w:val="es-ES"/>
              </w:rPr>
              <w:t xml:space="preserve"> </w:t>
            </w:r>
          </w:p>
        </w:tc>
      </w:tr>
      <w:tr w:rsidR="00031490" w:rsidRPr="00F95ECD" w14:paraId="6CD93C12" w14:textId="77777777" w:rsidTr="47238B89">
        <w:trPr>
          <w:trHeight w:val="300"/>
        </w:trPr>
        <w:tc>
          <w:tcPr>
            <w:tcW w:w="893" w:type="dxa"/>
            <w:vAlign w:val="center"/>
          </w:tcPr>
          <w:p w14:paraId="3FBB4D57" w14:textId="77777777" w:rsidR="00031490" w:rsidRPr="00F95ECD" w:rsidRDefault="00031490" w:rsidP="00575E6F">
            <w:pPr>
              <w:contextualSpacing/>
              <w:rPr>
                <w:rFonts w:ascii="Verdana" w:hAnsi="Verdana" w:cs="Arial"/>
                <w:sz w:val="16"/>
                <w:szCs w:val="16"/>
                <w:lang w:val="es-ES" w:eastAsia="es-ES"/>
              </w:rPr>
            </w:pPr>
            <w:r w:rsidRPr="00F95ECD">
              <w:rPr>
                <w:rFonts w:ascii="Verdana" w:hAnsi="Verdana" w:cs="Arial"/>
                <w:sz w:val="16"/>
                <w:szCs w:val="16"/>
                <w:lang w:val="es-ES" w:eastAsia="es-ES"/>
              </w:rPr>
              <w:t>Aprobó:</w:t>
            </w:r>
          </w:p>
        </w:tc>
        <w:tc>
          <w:tcPr>
            <w:tcW w:w="6564" w:type="dxa"/>
            <w:tcBorders>
              <w:top w:val="dotted" w:sz="4" w:space="0" w:color="7F7F7F" w:themeColor="text1" w:themeTint="80"/>
              <w:left w:val="nil"/>
              <w:bottom w:val="dotted" w:sz="4" w:space="0" w:color="7F7F7F" w:themeColor="text1" w:themeTint="80"/>
              <w:right w:val="nil"/>
            </w:tcBorders>
            <w:vAlign w:val="center"/>
          </w:tcPr>
          <w:p w14:paraId="0F92E224" w14:textId="77777777" w:rsidR="00031490" w:rsidRPr="00F95ECD" w:rsidRDefault="00031490" w:rsidP="00575E6F">
            <w:pPr>
              <w:contextualSpacing/>
              <w:rPr>
                <w:rFonts w:ascii="Verdana" w:eastAsia="Calibri" w:hAnsi="Verdana" w:cs="Arial"/>
                <w:sz w:val="16"/>
                <w:szCs w:val="16"/>
                <w:lang w:val="pt-BR" w:eastAsia="es-ES"/>
              </w:rPr>
            </w:pPr>
            <w:r w:rsidRPr="00F95ECD">
              <w:rPr>
                <w:rFonts w:ascii="Verdana" w:eastAsia="Calibri" w:hAnsi="Verdana" w:cs="Arial"/>
                <w:sz w:val="16"/>
                <w:szCs w:val="16"/>
                <w:lang w:val="pt-BR" w:eastAsia="es-ES"/>
              </w:rPr>
              <w:t xml:space="preserve">Carolina Quintero </w:t>
            </w:r>
            <w:proofErr w:type="spellStart"/>
            <w:r w:rsidRPr="00F95ECD">
              <w:rPr>
                <w:rFonts w:ascii="Verdana" w:eastAsia="Calibri" w:hAnsi="Verdana" w:cs="Arial"/>
                <w:sz w:val="16"/>
                <w:szCs w:val="16"/>
                <w:lang w:val="pt-BR" w:eastAsia="es-ES"/>
              </w:rPr>
              <w:t>Gacharná</w:t>
            </w:r>
            <w:proofErr w:type="spellEnd"/>
          </w:p>
          <w:p w14:paraId="10FA4943" w14:textId="77777777" w:rsidR="00031490" w:rsidRPr="00F95ECD" w:rsidRDefault="00031490" w:rsidP="00575E6F">
            <w:pPr>
              <w:contextualSpacing/>
              <w:rPr>
                <w:rFonts w:ascii="Verdana" w:eastAsia="Calibri" w:hAnsi="Verdana" w:cs="Arial"/>
                <w:sz w:val="16"/>
                <w:szCs w:val="16"/>
                <w:lang w:val="pt-BR" w:eastAsia="es-ES"/>
              </w:rPr>
            </w:pPr>
            <w:r w:rsidRPr="00F95ECD">
              <w:rPr>
                <w:rFonts w:ascii="Verdana" w:eastAsia="Calibri" w:hAnsi="Verdana" w:cs="Arial"/>
                <w:sz w:val="16"/>
                <w:szCs w:val="16"/>
                <w:lang w:eastAsia="es-ES"/>
              </w:rPr>
              <w:t>Subdirectora</w:t>
            </w:r>
            <w:r w:rsidRPr="00F95ECD">
              <w:rPr>
                <w:rFonts w:ascii="Verdana" w:eastAsia="Calibri" w:hAnsi="Verdana" w:cs="Arial"/>
                <w:sz w:val="16"/>
                <w:szCs w:val="16"/>
                <w:lang w:val="pt-BR" w:eastAsia="es-ES"/>
              </w:rPr>
              <w:t xml:space="preserve"> de Gestión </w:t>
            </w:r>
            <w:proofErr w:type="spellStart"/>
            <w:r w:rsidRPr="00F95ECD">
              <w:rPr>
                <w:rFonts w:ascii="Verdana" w:eastAsia="Calibri" w:hAnsi="Verdana" w:cs="Arial"/>
                <w:sz w:val="16"/>
                <w:szCs w:val="16"/>
                <w:lang w:val="pt-BR" w:eastAsia="es-ES"/>
              </w:rPr>
              <w:t>Contractual</w:t>
            </w:r>
            <w:proofErr w:type="spellEnd"/>
            <w:r w:rsidRPr="00F95ECD">
              <w:rPr>
                <w:rFonts w:ascii="Verdana" w:eastAsia="Calibri" w:hAnsi="Verdana" w:cs="Arial"/>
                <w:sz w:val="16"/>
                <w:szCs w:val="16"/>
                <w:lang w:val="pt-BR" w:eastAsia="es-ES"/>
              </w:rPr>
              <w:t xml:space="preserve"> ANCP – CCE</w:t>
            </w:r>
          </w:p>
        </w:tc>
      </w:tr>
    </w:tbl>
    <w:p w14:paraId="64E2693C" w14:textId="77777777" w:rsidR="00031490" w:rsidRPr="00F95ECD" w:rsidRDefault="00031490" w:rsidP="00031490">
      <w:pPr>
        <w:rPr>
          <w:rFonts w:ascii="Verdana" w:hAnsi="Verdana" w:cs="Arial"/>
          <w:lang w:eastAsia="es-ES"/>
        </w:rPr>
      </w:pPr>
    </w:p>
    <w:p w14:paraId="5CEC15CF" w14:textId="77777777" w:rsidR="00031490" w:rsidRPr="00F95ECD" w:rsidRDefault="00031490" w:rsidP="00031490">
      <w:pPr>
        <w:spacing w:after="0" w:line="240" w:lineRule="auto"/>
        <w:jc w:val="both"/>
        <w:textAlignment w:val="baseline"/>
        <w:rPr>
          <w:rFonts w:ascii="Verdana" w:eastAsia="Times New Roman" w:hAnsi="Verdana" w:cs="Segoe UI"/>
          <w:sz w:val="18"/>
          <w:szCs w:val="18"/>
          <w:lang w:eastAsia="es-CO"/>
        </w:rPr>
      </w:pPr>
    </w:p>
    <w:p w14:paraId="680D9F6E" w14:textId="77777777" w:rsidR="00031490" w:rsidRDefault="00031490" w:rsidP="00031490"/>
    <w:p w14:paraId="6DAA3B1D" w14:textId="77777777" w:rsidR="00031490" w:rsidRPr="00367919" w:rsidRDefault="00031490" w:rsidP="00031490"/>
    <w:p w14:paraId="36AAC6EA" w14:textId="77777777" w:rsidR="003D5B0D" w:rsidRPr="00FF6874" w:rsidRDefault="003D5B0D" w:rsidP="00FF6874"/>
    <w:sectPr w:rsidR="003D5B0D" w:rsidRPr="00FF687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E16A7" w14:textId="77777777" w:rsidR="00ED7384" w:rsidRDefault="00ED7384" w:rsidP="004A1847">
      <w:pPr>
        <w:spacing w:after="0" w:line="240" w:lineRule="auto"/>
      </w:pPr>
      <w:r>
        <w:separator/>
      </w:r>
    </w:p>
  </w:endnote>
  <w:endnote w:type="continuationSeparator" w:id="0">
    <w:p w14:paraId="696A9494" w14:textId="77777777" w:rsidR="00ED7384" w:rsidRDefault="00ED7384" w:rsidP="004A1847">
      <w:pPr>
        <w:spacing w:after="0" w:line="240" w:lineRule="auto"/>
      </w:pPr>
      <w:r>
        <w:continuationSeparator/>
      </w:r>
    </w:p>
  </w:endnote>
  <w:endnote w:type="continuationNotice" w:id="1">
    <w:p w14:paraId="694BB37A" w14:textId="77777777" w:rsidR="00F57BD4" w:rsidRDefault="00F57B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87FC" w14:textId="77777777" w:rsidR="004A1847" w:rsidRDefault="004A1847">
    <w:pPr>
      <w:pStyle w:val="Piedepgina"/>
    </w:pPr>
  </w:p>
  <w:p w14:paraId="760DA430"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460B6E2"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D54AFE1"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04EC11ED"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696FA" w14:textId="77777777" w:rsidR="00ED7384" w:rsidRDefault="00ED7384" w:rsidP="004A1847">
      <w:pPr>
        <w:spacing w:after="0" w:line="240" w:lineRule="auto"/>
      </w:pPr>
      <w:r>
        <w:separator/>
      </w:r>
    </w:p>
  </w:footnote>
  <w:footnote w:type="continuationSeparator" w:id="0">
    <w:p w14:paraId="23C40AA5" w14:textId="77777777" w:rsidR="00ED7384" w:rsidRDefault="00ED7384" w:rsidP="004A1847">
      <w:pPr>
        <w:spacing w:after="0" w:line="240" w:lineRule="auto"/>
      </w:pPr>
      <w:r>
        <w:continuationSeparator/>
      </w:r>
    </w:p>
  </w:footnote>
  <w:footnote w:type="continuationNotice" w:id="1">
    <w:p w14:paraId="2EB511E1" w14:textId="77777777" w:rsidR="00F57BD4" w:rsidRDefault="00F57BD4">
      <w:pPr>
        <w:spacing w:after="0" w:line="240" w:lineRule="auto"/>
      </w:pPr>
    </w:p>
  </w:footnote>
  <w:footnote w:id="2">
    <w:p w14:paraId="509DD0C1" w14:textId="77777777" w:rsidR="00031490" w:rsidRDefault="00031490" w:rsidP="0003149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Century Gothic" w:hAnsi="Century Gothic" w:cs="Arial"/>
          <w:sz w:val="16"/>
          <w:szCs w:val="19"/>
          <w:lang w:val="es-CO"/>
        </w:rPr>
        <w:t>CONSEJO DE ESTADO. Sala de Consulta y Servicio Civil del Consejo de Estado, Concepto 1291 de 2000.</w:t>
      </w:r>
      <w:r>
        <w:rPr>
          <w:rFonts w:ascii="Arial" w:hAnsi="Arial" w:cs="Arial"/>
          <w:sz w:val="19"/>
          <w:szCs w:val="19"/>
        </w:rPr>
        <w:t xml:space="preserve"> </w:t>
      </w:r>
    </w:p>
  </w:footnote>
  <w:footnote w:id="3">
    <w:p w14:paraId="515E5C78" w14:textId="77777777" w:rsidR="00031490" w:rsidRDefault="00031490" w:rsidP="00031490">
      <w:pPr>
        <w:spacing w:after="0" w:line="240" w:lineRule="auto"/>
        <w:ind w:firstLine="708"/>
        <w:jc w:val="both"/>
        <w:rPr>
          <w:rFonts w:ascii="Arial" w:eastAsia="Calibri"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Century Gothic" w:hAnsi="Century Gothic" w:cs="Arial"/>
          <w:sz w:val="16"/>
          <w:szCs w:val="19"/>
        </w:rPr>
        <w:t>Ley 80 de 1993: “Artículo 1o. Del objeto. La presente ley tiene por objeto disponer las reglas y principios que rigen los contratos de las entidades estatales”.</w:t>
      </w:r>
      <w:r>
        <w:rPr>
          <w:rFonts w:ascii="Arial" w:hAnsi="Arial" w:cs="Arial"/>
          <w:sz w:val="16"/>
          <w:szCs w:val="19"/>
        </w:rPr>
        <w:t xml:space="preserve"> </w:t>
      </w:r>
    </w:p>
  </w:footnote>
  <w:footnote w:id="4">
    <w:p w14:paraId="2C0E5810" w14:textId="77777777" w:rsidR="00031490" w:rsidRDefault="00031490" w:rsidP="00031490">
      <w:pPr>
        <w:spacing w:after="120" w:line="240" w:lineRule="auto"/>
        <w:ind w:firstLine="709"/>
        <w:jc w:val="both"/>
        <w:rPr>
          <w:rFonts w:ascii="Century Gothic" w:hAnsi="Century Gothic" w:cs="Arial"/>
          <w:sz w:val="16"/>
          <w:szCs w:val="19"/>
        </w:rPr>
      </w:pPr>
      <w:r>
        <w:rPr>
          <w:rStyle w:val="Refdenotaalpie"/>
          <w:rFonts w:ascii="Arial" w:hAnsi="Arial" w:cs="Arial"/>
          <w:sz w:val="19"/>
          <w:szCs w:val="19"/>
        </w:rPr>
        <w:footnoteRef/>
      </w:r>
      <w:r>
        <w:rPr>
          <w:rFonts w:ascii="Arial" w:hAnsi="Arial" w:cs="Arial"/>
          <w:sz w:val="19"/>
          <w:szCs w:val="19"/>
        </w:rPr>
        <w:t xml:space="preserve"> </w:t>
      </w:r>
      <w:r>
        <w:rPr>
          <w:rFonts w:ascii="Century Gothic" w:hAnsi="Century Gothic" w:cs="Arial"/>
          <w:sz w:val="16"/>
          <w:szCs w:val="19"/>
        </w:rPr>
        <w:t>Al respecto, se ha pronunciado el Alto Tribunal de lo contencioso administrativo señalando que: «La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3D5529F1" w14:textId="77777777" w:rsidR="00031490" w:rsidRDefault="00031490" w:rsidP="00031490">
      <w:pPr>
        <w:spacing w:after="120" w:line="240" w:lineRule="auto"/>
        <w:ind w:firstLine="709"/>
        <w:jc w:val="both"/>
        <w:rPr>
          <w:rFonts w:ascii="Century Gothic" w:hAnsi="Century Gothic" w:cs="Arial"/>
          <w:sz w:val="16"/>
          <w:szCs w:val="19"/>
        </w:rPr>
      </w:pPr>
      <w:r>
        <w:rPr>
          <w:rFonts w:ascii="Century Gothic" w:hAnsi="Century Gothic" w:cs="Arial"/>
          <w:sz w:val="16"/>
          <w:szCs w:val="19"/>
        </w:rPr>
        <w:t>“Se trata pues, de que sus actividades de explotación industrial o comercial se desarrollen con las mismas oportunidades y las mismas ventajas o desventajas que las adelantadas por aquellos, sin que</w:t>
      </w:r>
      <w:r>
        <w:rPr>
          <w:rFonts w:ascii="Arial" w:hAnsi="Arial" w:cs="Arial"/>
          <w:sz w:val="19"/>
          <w:szCs w:val="19"/>
        </w:rPr>
        <w:t xml:space="preserve"> </w:t>
      </w:r>
      <w:r>
        <w:rPr>
          <w:rFonts w:ascii="Century Gothic" w:hAnsi="Century Gothic" w:cs="Arial"/>
          <w:sz w:val="16"/>
          <w:szCs w:val="19"/>
        </w:rPr>
        <w:t>influya para nada su investidura de entidad estatal; que puedan actuar como particulares, frente a las exigencias de la economía y del mercado.</w:t>
      </w:r>
    </w:p>
    <w:p w14:paraId="0736CB03" w14:textId="77777777" w:rsidR="00031490" w:rsidRDefault="00031490" w:rsidP="00031490">
      <w:pPr>
        <w:spacing w:after="0" w:line="240" w:lineRule="auto"/>
        <w:ind w:firstLine="567"/>
        <w:jc w:val="both"/>
        <w:rPr>
          <w:rFonts w:ascii="Arial" w:hAnsi="Arial" w:cs="Arial"/>
          <w:sz w:val="19"/>
          <w:szCs w:val="19"/>
        </w:rPr>
      </w:pPr>
      <w:r>
        <w:rPr>
          <w:rFonts w:ascii="Century Gothic" w:hAnsi="Century Gothic" w:cs="Arial"/>
          <w:sz w:val="16"/>
          <w:szCs w:val="19"/>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Pr>
          <w:rFonts w:ascii="Century Gothic" w:eastAsia="Times New Roman" w:hAnsi="Century Gothic" w:cs="Arial"/>
          <w:sz w:val="16"/>
          <w:szCs w:val="19"/>
          <w:lang w:val="es-ES" w:eastAsia="es-ES_tradnl"/>
        </w:rPr>
        <w:t xml:space="preserve"> </w:t>
      </w:r>
      <w:r>
        <w:rPr>
          <w:rFonts w:ascii="Century Gothic" w:hAnsi="Century Gothic" w:cs="Arial"/>
          <w:sz w:val="16"/>
          <w:szCs w:val="19"/>
        </w:rPr>
        <w:t xml:space="preserve">CONSEJO DE ESTADO. Sección Tercera. Sentencia del 19 de agosto de 2004. </w:t>
      </w:r>
      <w:proofErr w:type="spellStart"/>
      <w:r>
        <w:rPr>
          <w:rFonts w:ascii="Century Gothic" w:hAnsi="Century Gothic" w:cs="Arial"/>
          <w:sz w:val="16"/>
          <w:szCs w:val="19"/>
        </w:rPr>
        <w:t>Exp</w:t>
      </w:r>
      <w:proofErr w:type="spellEnd"/>
      <w:r>
        <w:rPr>
          <w:rFonts w:ascii="Century Gothic" w:hAnsi="Century Gothic" w:cs="Arial"/>
          <w:sz w:val="16"/>
          <w:szCs w:val="19"/>
        </w:rPr>
        <w:t>. 12.342. C.P. Ramiro Saavedra Becerra.</w:t>
      </w:r>
    </w:p>
  </w:footnote>
  <w:footnote w:id="5">
    <w:p w14:paraId="5C16D801" w14:textId="77777777" w:rsidR="00031490" w:rsidRDefault="00031490" w:rsidP="0003149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Century Gothic" w:hAnsi="Century Gothic" w:cs="Arial"/>
          <w:sz w:val="16"/>
          <w:szCs w:val="19"/>
          <w:lang w:val="es-CO"/>
        </w:rPr>
        <w:t>CONSEJO DE ESTADO. Sala de Consulta y Servicio Civil del Consejo de Estado, Concepto 1291 de 2000.</w:t>
      </w:r>
      <w:r>
        <w:rPr>
          <w:rFonts w:ascii="Arial" w:hAnsi="Arial" w:cs="Arial"/>
          <w:sz w:val="19"/>
          <w:szCs w:val="19"/>
        </w:rPr>
        <w:t xml:space="preserve"> </w:t>
      </w:r>
    </w:p>
  </w:footnote>
  <w:footnote w:id="6">
    <w:p w14:paraId="736974C1" w14:textId="77777777" w:rsidR="00031490" w:rsidRDefault="00031490" w:rsidP="00031490">
      <w:pPr>
        <w:pStyle w:val="Textonotapie"/>
        <w:ind w:firstLine="708"/>
        <w:jc w:val="both"/>
        <w:rPr>
          <w:rFonts w:ascii="Arial" w:hAnsi="Arial" w:cs="Arial"/>
          <w:sz w:val="19"/>
          <w:szCs w:val="19"/>
        </w:rPr>
      </w:pPr>
    </w:p>
    <w:p w14:paraId="2FB0FA83" w14:textId="77777777" w:rsidR="00031490" w:rsidRDefault="00031490" w:rsidP="0003149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Century Gothic" w:hAnsi="Century Gothic" w:cs="Arial"/>
          <w:sz w:val="16"/>
          <w:szCs w:val="19"/>
          <w:lang w:val="es-CO"/>
        </w:rPr>
        <w:t>VIDAL PERDOMO, Jaime y MOLINA BETANCUR, Carlos. Derecho Administrativo. Decimoquinta edición. 2019, Legis Editores. pp. 168-169.</w:t>
      </w:r>
      <w:r>
        <w:rPr>
          <w:rFonts w:ascii="Arial" w:hAnsi="Arial" w:cs="Arial"/>
          <w:sz w:val="19"/>
          <w:szCs w:val="19"/>
        </w:rPr>
        <w:t xml:space="preserve"> </w:t>
      </w:r>
    </w:p>
  </w:footnote>
  <w:footnote w:id="7">
    <w:p w14:paraId="33874ABC" w14:textId="77777777" w:rsidR="00031490" w:rsidRPr="00114A51" w:rsidRDefault="00031490" w:rsidP="00031490">
      <w:pPr>
        <w:pStyle w:val="NormalWeb"/>
        <w:spacing w:before="0" w:beforeAutospacing="0" w:after="0" w:afterAutospacing="0"/>
        <w:ind w:firstLine="708"/>
        <w:contextualSpacing/>
        <w:jc w:val="both"/>
        <w:rPr>
          <w:rFonts w:ascii="Verdana" w:hAnsi="Verdana" w:cs="Arial"/>
          <w:color w:val="000000" w:themeColor="text1"/>
          <w:sz w:val="18"/>
          <w:szCs w:val="18"/>
        </w:rPr>
      </w:pPr>
      <w:r w:rsidRPr="00114A51">
        <w:rPr>
          <w:rStyle w:val="Refdenotaalpie"/>
          <w:rFonts w:ascii="Verdana" w:eastAsiaTheme="majorEastAsia" w:hAnsi="Verdana" w:cs="Arial"/>
          <w:color w:val="000000" w:themeColor="text1"/>
          <w:sz w:val="18"/>
          <w:szCs w:val="18"/>
        </w:rPr>
        <w:footnoteRef/>
      </w:r>
      <w:r w:rsidRPr="00114A51">
        <w:rPr>
          <w:rFonts w:ascii="Verdana" w:hAnsi="Verdana" w:cs="Arial"/>
          <w:color w:val="000000" w:themeColor="text1"/>
          <w:sz w:val="18"/>
          <w:szCs w:val="18"/>
        </w:rPr>
        <w:t xml:space="preserve"> Ley 2022 de 2020: “</w:t>
      </w:r>
      <w:r w:rsidRPr="00114A51">
        <w:rPr>
          <w:rStyle w:val="Textoennegrita"/>
          <w:rFonts w:ascii="Verdana" w:hAnsi="Verdana" w:cs="Arial"/>
          <w:color w:val="000000" w:themeColor="text1"/>
          <w:sz w:val="18"/>
          <w:szCs w:val="18"/>
        </w:rPr>
        <w:t xml:space="preserve">Artículo 1º. </w:t>
      </w:r>
      <w:r w:rsidRPr="00114A51">
        <w:rPr>
          <w:rFonts w:ascii="Verdana" w:hAnsi="Verdana" w:cs="Arial"/>
          <w:color w:val="000000" w:themeColor="text1"/>
          <w:sz w:val="18"/>
          <w:szCs w:val="18"/>
        </w:rPr>
        <w:t>Modifíquese el artículo 4º de la Ley 1882 de 2018, el cual quedará así:</w:t>
      </w:r>
    </w:p>
    <w:p w14:paraId="684ACB49" w14:textId="77777777" w:rsidR="00031490" w:rsidRPr="00114A51" w:rsidRDefault="00031490" w:rsidP="00031490">
      <w:pPr>
        <w:pStyle w:val="NormalWeb"/>
        <w:spacing w:before="0" w:beforeAutospacing="0" w:after="0" w:afterAutospacing="0"/>
        <w:ind w:firstLine="708"/>
        <w:contextualSpacing/>
        <w:jc w:val="both"/>
        <w:rPr>
          <w:rFonts w:ascii="Verdana" w:hAnsi="Verdana" w:cs="Arial"/>
          <w:color w:val="000000" w:themeColor="text1"/>
          <w:sz w:val="18"/>
          <w:szCs w:val="18"/>
        </w:rPr>
      </w:pPr>
      <w:r w:rsidRPr="00114A51">
        <w:rPr>
          <w:rStyle w:val="Textoennegrita"/>
          <w:rFonts w:ascii="Verdana" w:hAnsi="Verdana" w:cs="Arial"/>
          <w:color w:val="000000" w:themeColor="text1"/>
          <w:sz w:val="18"/>
          <w:szCs w:val="18"/>
        </w:rPr>
        <w:t xml:space="preserve">“Artículo 4º. </w:t>
      </w:r>
      <w:r w:rsidRPr="00114A51">
        <w:rPr>
          <w:rFonts w:ascii="Verdana" w:hAnsi="Verdana" w:cs="Arial"/>
          <w:color w:val="000000" w:themeColor="text1"/>
          <w:sz w:val="18"/>
          <w:szCs w:val="18"/>
        </w:rPr>
        <w:t>Adiciónese el siguiente parágrafo al artículo 2º de la Ley 1150 de 2007.</w:t>
      </w:r>
    </w:p>
    <w:p w14:paraId="1865AA2E" w14:textId="77777777" w:rsidR="00031490" w:rsidRPr="00114A51" w:rsidRDefault="00031490" w:rsidP="00031490">
      <w:pPr>
        <w:pStyle w:val="NormalWeb"/>
        <w:spacing w:before="0" w:beforeAutospacing="0" w:after="0" w:afterAutospacing="0"/>
        <w:ind w:firstLine="708"/>
        <w:contextualSpacing/>
        <w:jc w:val="both"/>
        <w:rPr>
          <w:rFonts w:ascii="Verdana" w:hAnsi="Verdana" w:cs="Arial"/>
          <w:color w:val="000000" w:themeColor="text1"/>
          <w:sz w:val="18"/>
          <w:szCs w:val="18"/>
        </w:rPr>
      </w:pPr>
      <w:r w:rsidRPr="00114A51">
        <w:rPr>
          <w:rStyle w:val="Textoennegrita"/>
          <w:rFonts w:ascii="Verdana" w:hAnsi="Verdana" w:cs="Arial"/>
          <w:color w:val="000000" w:themeColor="text1"/>
          <w:sz w:val="18"/>
          <w:szCs w:val="18"/>
        </w:rPr>
        <w:t xml:space="preserve">Parágrafo 7º. </w:t>
      </w:r>
      <w:r w:rsidRPr="00114A51">
        <w:rPr>
          <w:rFonts w:ascii="Verdana" w:hAnsi="Verdana" w:cs="Arial"/>
          <w:color w:val="000000" w:themeColor="text1"/>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F3E6774" w14:textId="77777777" w:rsidR="00031490" w:rsidRPr="00114A51" w:rsidRDefault="00031490" w:rsidP="00031490">
      <w:pPr>
        <w:pStyle w:val="NormalWeb"/>
        <w:spacing w:before="0" w:beforeAutospacing="0" w:after="0" w:afterAutospacing="0"/>
        <w:ind w:firstLine="708"/>
        <w:contextualSpacing/>
        <w:jc w:val="both"/>
        <w:rPr>
          <w:rFonts w:ascii="Verdana" w:hAnsi="Verdana" w:cs="Arial"/>
          <w:color w:val="000000" w:themeColor="text1"/>
          <w:sz w:val="18"/>
          <w:szCs w:val="18"/>
        </w:rPr>
      </w:pPr>
      <w:r w:rsidRPr="00114A51">
        <w:rPr>
          <w:rFonts w:ascii="Verdana" w:hAnsi="Verdana"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8137E37" w14:textId="77777777" w:rsidR="00031490" w:rsidRPr="00114A51" w:rsidRDefault="00031490" w:rsidP="00031490">
      <w:pPr>
        <w:pStyle w:val="NormalWeb"/>
        <w:spacing w:before="0" w:beforeAutospacing="0" w:after="0" w:afterAutospacing="0"/>
        <w:ind w:firstLine="708"/>
        <w:contextualSpacing/>
        <w:jc w:val="both"/>
        <w:rPr>
          <w:rFonts w:ascii="Verdana" w:hAnsi="Verdana" w:cs="Arial"/>
          <w:color w:val="000000" w:themeColor="text1"/>
          <w:sz w:val="18"/>
          <w:szCs w:val="18"/>
        </w:rPr>
      </w:pPr>
      <w:r w:rsidRPr="00114A51">
        <w:rPr>
          <w:rFonts w:ascii="Verdana" w:hAnsi="Verdana"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EDE0335" w14:textId="77777777" w:rsidR="00031490" w:rsidRPr="00114A51" w:rsidRDefault="00031490" w:rsidP="00031490">
      <w:pPr>
        <w:pStyle w:val="NormalWeb"/>
        <w:spacing w:before="0" w:beforeAutospacing="0" w:after="0" w:afterAutospacing="0"/>
        <w:ind w:firstLine="708"/>
        <w:contextualSpacing/>
        <w:jc w:val="both"/>
        <w:rPr>
          <w:rFonts w:ascii="Verdana" w:hAnsi="Verdana" w:cs="Arial"/>
          <w:color w:val="000000" w:themeColor="text1"/>
          <w:sz w:val="18"/>
          <w:szCs w:val="18"/>
        </w:rPr>
      </w:pPr>
      <w:r w:rsidRPr="00114A51">
        <w:rPr>
          <w:rFonts w:ascii="Verdana" w:hAnsi="Verdana"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62DF26E" w14:textId="77777777" w:rsidR="00031490" w:rsidRPr="00114A51" w:rsidRDefault="00031490" w:rsidP="00031490">
      <w:pPr>
        <w:pStyle w:val="NormalWeb"/>
        <w:spacing w:before="0" w:beforeAutospacing="0" w:after="0" w:afterAutospacing="0"/>
        <w:ind w:firstLine="708"/>
        <w:contextualSpacing/>
        <w:jc w:val="both"/>
        <w:rPr>
          <w:rFonts w:ascii="Verdana" w:hAnsi="Verdana" w:cs="Arial"/>
          <w:color w:val="000000" w:themeColor="text1"/>
          <w:sz w:val="18"/>
          <w:szCs w:val="18"/>
        </w:rPr>
      </w:pPr>
      <w:r w:rsidRPr="00114A51">
        <w:rPr>
          <w:rFonts w:ascii="Verdana" w:hAnsi="Verdana"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1BBA2833" w14:textId="77777777" w:rsidR="00031490" w:rsidRPr="00114A51" w:rsidRDefault="00031490" w:rsidP="00031490">
      <w:pPr>
        <w:pStyle w:val="Textonotapie"/>
        <w:ind w:firstLine="708"/>
        <w:contextualSpacing/>
        <w:jc w:val="both"/>
        <w:rPr>
          <w:rFonts w:ascii="Verdana" w:hAnsi="Verdana" w:cs="Arial"/>
          <w:color w:val="000000" w:themeColor="text1"/>
          <w:sz w:val="16"/>
          <w:szCs w:val="16"/>
        </w:rPr>
      </w:pPr>
      <w:r w:rsidRPr="00114A51">
        <w:rPr>
          <w:rStyle w:val="Refdenotaalpie"/>
          <w:rFonts w:ascii="Verdana" w:hAnsi="Verdana" w:cs="Arial"/>
          <w:color w:val="000000" w:themeColor="text1"/>
          <w:sz w:val="16"/>
          <w:szCs w:val="16"/>
        </w:rPr>
        <w:footnoteRef/>
      </w:r>
      <w:r w:rsidRPr="00114A51">
        <w:rPr>
          <w:rFonts w:ascii="Verdana" w:hAnsi="Verdana" w:cs="Arial"/>
          <w:color w:val="000000" w:themeColor="text1"/>
          <w:sz w:val="16"/>
          <w:szCs w:val="16"/>
        </w:rPr>
        <w:t xml:space="preserve"> Los Documentos Tipo expedidos por la Agencia Nacional de Contratación Pública – Colombia Compra Eficiente pueden ser consultados en el siguiente enlace: </w:t>
      </w:r>
      <w:hyperlink r:id="rId1" w:history="1">
        <w:r w:rsidRPr="00114A51">
          <w:rPr>
            <w:rStyle w:val="Hipervnculo"/>
            <w:rFonts w:ascii="Verdana" w:hAnsi="Verdana" w:cs="Arial"/>
            <w:color w:val="000000" w:themeColor="text1"/>
            <w:sz w:val="16"/>
            <w:szCs w:val="16"/>
          </w:rPr>
          <w:t>https://www.colombiacompra.gov.co/documentos-tipo/documentos-tipo</w:t>
        </w:r>
      </w:hyperlink>
      <w:r w:rsidRPr="00114A51">
        <w:rPr>
          <w:rFonts w:ascii="Verdana" w:hAnsi="Verdana" w:cs="Arial"/>
          <w:color w:val="000000" w:themeColor="text1"/>
          <w:sz w:val="16"/>
          <w:szCs w:val="16"/>
        </w:rPr>
        <w:t xml:space="preserve"> </w:t>
      </w:r>
    </w:p>
  </w:footnote>
  <w:footnote w:id="9">
    <w:p w14:paraId="4FA4F5E2" w14:textId="77777777" w:rsidR="00031490" w:rsidRPr="007D0145" w:rsidRDefault="00031490" w:rsidP="00031490">
      <w:pPr>
        <w:pStyle w:val="Textonotapie"/>
        <w:ind w:firstLine="709"/>
        <w:jc w:val="both"/>
        <w:rPr>
          <w:rFonts w:ascii="Verdana" w:hAnsi="Verdana" w:cs="Arial"/>
          <w:color w:val="000000" w:themeColor="text1"/>
          <w:sz w:val="19"/>
          <w:szCs w:val="19"/>
        </w:rPr>
      </w:pPr>
      <w:r w:rsidRPr="007D0145">
        <w:rPr>
          <w:rStyle w:val="Refdenotaalpie"/>
          <w:rFonts w:ascii="Verdana" w:hAnsi="Verdana" w:cs="Arial"/>
          <w:color w:val="000000" w:themeColor="text1"/>
          <w:sz w:val="19"/>
          <w:szCs w:val="19"/>
        </w:rPr>
        <w:footnoteRef/>
      </w:r>
      <w:r w:rsidRPr="007D0145">
        <w:rPr>
          <w:rFonts w:ascii="Verdana" w:hAnsi="Verdana" w:cs="Arial"/>
          <w:color w:val="000000" w:themeColor="text1"/>
          <w:sz w:val="19"/>
          <w:szCs w:val="19"/>
        </w:rPr>
        <w:t xml:space="preserve"> ». CONGRESO DE LA REPÚBLICA. Gaceta </w:t>
      </w:r>
      <w:proofErr w:type="spellStart"/>
      <w:r w:rsidRPr="007D0145">
        <w:rPr>
          <w:rFonts w:ascii="Verdana" w:hAnsi="Verdana" w:cs="Arial"/>
          <w:color w:val="000000" w:themeColor="text1"/>
          <w:sz w:val="19"/>
          <w:szCs w:val="19"/>
        </w:rPr>
        <w:t>Nº</w:t>
      </w:r>
      <w:proofErr w:type="spellEnd"/>
      <w:r w:rsidRPr="007D0145">
        <w:rPr>
          <w:rFonts w:ascii="Verdana" w:hAnsi="Verdana" w:cs="Arial"/>
          <w:color w:val="000000" w:themeColor="text1"/>
          <w:sz w:val="19"/>
          <w:szCs w:val="19"/>
        </w:rPr>
        <w:t xml:space="preserve"> 1677 del 23 de noviembre de 2021. Justificación jurídica del Proyecto de Ley No. 226 de 2021 Cámara. p. 15.</w:t>
      </w:r>
      <w:r w:rsidRPr="007D0145">
        <w:rPr>
          <w:rFonts w:ascii="Verdana" w:hAnsi="Verdana" w:cs="Arial"/>
          <w:color w:val="000000" w:themeColor="text1"/>
          <w:sz w:val="19"/>
          <w:szCs w:val="19"/>
        </w:rPr>
        <w:cr/>
      </w:r>
    </w:p>
  </w:footnote>
  <w:footnote w:id="10">
    <w:p w14:paraId="0679B247" w14:textId="77777777" w:rsidR="00031490" w:rsidRPr="00114A51" w:rsidRDefault="00031490" w:rsidP="00031490">
      <w:pPr>
        <w:pStyle w:val="Textonotapie"/>
        <w:ind w:firstLine="709"/>
        <w:contextualSpacing/>
        <w:jc w:val="both"/>
        <w:rPr>
          <w:rFonts w:ascii="Verdana" w:hAnsi="Verdana" w:cs="Arial"/>
          <w:color w:val="000000" w:themeColor="text1"/>
          <w:sz w:val="16"/>
          <w:szCs w:val="16"/>
          <w:lang w:val="es-ES"/>
        </w:rPr>
      </w:pPr>
      <w:r w:rsidRPr="00114A51">
        <w:rPr>
          <w:rStyle w:val="Refdenotaalpie"/>
          <w:rFonts w:ascii="Verdana" w:hAnsi="Verdana" w:cs="Arial"/>
          <w:color w:val="000000" w:themeColor="text1"/>
          <w:sz w:val="16"/>
          <w:szCs w:val="16"/>
        </w:rPr>
        <w:footnoteRef/>
      </w:r>
      <w:r w:rsidRPr="00114A51">
        <w:rPr>
          <w:rFonts w:ascii="Verdana" w:hAnsi="Verdana" w:cs="Arial"/>
          <w:color w:val="000000" w:themeColor="text1"/>
          <w:sz w:val="16"/>
          <w:szCs w:val="16"/>
        </w:rPr>
        <w:t xml:space="preserve"> </w:t>
      </w:r>
      <w:r w:rsidRPr="00114A51">
        <w:rPr>
          <w:rFonts w:ascii="Verdana" w:hAnsi="Verdana" w:cs="Arial"/>
          <w:color w:val="000000" w:themeColor="text1"/>
          <w:sz w:val="16"/>
          <w:szCs w:val="16"/>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114A51">
        <w:rPr>
          <w:rFonts w:ascii="Verdana" w:hAnsi="Verdana" w:cs="Arial"/>
          <w:color w:val="000000" w:themeColor="text1"/>
          <w:sz w:val="16"/>
          <w:szCs w:val="16"/>
          <w:lang w:val="es-ES"/>
        </w:rPr>
        <w:t>Civitas</w:t>
      </w:r>
      <w:proofErr w:type="spellEnd"/>
      <w:r w:rsidRPr="00114A51">
        <w:rPr>
          <w:rFonts w:ascii="Verdana" w:hAnsi="Verdana" w:cs="Arial"/>
          <w:color w:val="000000" w:themeColor="text1"/>
          <w:sz w:val="16"/>
          <w:szCs w:val="16"/>
          <w:lang w:val="es-ES"/>
        </w:rPr>
        <w:t>, 1983. pp. 33-34).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F2BD"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344DED4" w14:textId="77777777" w:rsidR="00756841" w:rsidRDefault="00756841">
    <w:pPr>
      <w:pStyle w:val="Encabezado"/>
    </w:pPr>
  </w:p>
  <w:p w14:paraId="24253E43" w14:textId="77777777" w:rsidR="00DC39FC" w:rsidRDefault="00DC39FC" w:rsidP="004A305D">
    <w:pPr>
      <w:spacing w:after="0"/>
      <w:rPr>
        <w:rFonts w:ascii="Verdana" w:hAnsi="Verdana"/>
        <w:b/>
        <w:bCs/>
      </w:rPr>
    </w:pPr>
  </w:p>
  <w:p w14:paraId="43D2629C" w14:textId="77777777" w:rsidR="004A305D" w:rsidRPr="00DC39FC" w:rsidRDefault="004A305D" w:rsidP="004A305D">
    <w:pPr>
      <w:spacing w:after="0"/>
      <w:rPr>
        <w:rFonts w:ascii="Verdana" w:hAnsi="Verdana"/>
        <w:b/>
        <w:bCs/>
      </w:rPr>
    </w:pPr>
    <w:r w:rsidRPr="00DC39FC">
      <w:rPr>
        <w:rFonts w:ascii="Verdana" w:hAnsi="Verdana"/>
        <w:b/>
        <w:bCs/>
      </w:rPr>
      <w:t>FORMATO PQRSD</w:t>
    </w:r>
  </w:p>
  <w:p w14:paraId="791DE571" w14:textId="77777777" w:rsidR="004A305D" w:rsidRPr="004A305D" w:rsidRDefault="004A305D" w:rsidP="00B01B1A">
    <w:pPr>
      <w:spacing w:after="0" w:line="120" w:lineRule="auto"/>
      <w:rPr>
        <w:rFonts w:ascii="Century Gothic" w:eastAsia="Geo" w:hAnsi="Century Gothic" w:cs="Geo"/>
        <w:sz w:val="16"/>
        <w:szCs w:val="16"/>
        <w:lang w:eastAsia="es-CO"/>
      </w:rPr>
    </w:pPr>
  </w:p>
  <w:p w14:paraId="0AF81A0A"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0031B1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95243624" o:spid="_x0000_i1025" type="#_x0000_t75" style="width:11.25pt;height:11.25pt;visibility:visible;mso-wrap-style:square">
            <v:imagedata r:id="rId1" o:title=""/>
          </v:shape>
        </w:pict>
      </mc:Choice>
      <mc:Fallback>
        <w:drawing>
          <wp:inline distT="0" distB="0" distL="0" distR="0" wp14:anchorId="173382DB" wp14:editId="173382DC">
            <wp:extent cx="142875" cy="142875"/>
            <wp:effectExtent l="0" t="0" r="0" b="0"/>
            <wp:docPr id="1995243624" name="Imagen 199524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7F3A51E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490"/>
    <w:rsid w:val="00046945"/>
    <w:rsid w:val="00061B2A"/>
    <w:rsid w:val="00082362"/>
    <w:rsid w:val="000A683E"/>
    <w:rsid w:val="000B19B9"/>
    <w:rsid w:val="000D0334"/>
    <w:rsid w:val="000F6486"/>
    <w:rsid w:val="00125105"/>
    <w:rsid w:val="00127233"/>
    <w:rsid w:val="001511A0"/>
    <w:rsid w:val="00192FD5"/>
    <w:rsid w:val="001E4177"/>
    <w:rsid w:val="001F7DC6"/>
    <w:rsid w:val="002421BB"/>
    <w:rsid w:val="0025796E"/>
    <w:rsid w:val="002707A2"/>
    <w:rsid w:val="002951A0"/>
    <w:rsid w:val="002962BC"/>
    <w:rsid w:val="002A093D"/>
    <w:rsid w:val="002A0DD0"/>
    <w:rsid w:val="002A49AC"/>
    <w:rsid w:val="002A64FD"/>
    <w:rsid w:val="002C1EB2"/>
    <w:rsid w:val="002C7A84"/>
    <w:rsid w:val="002E4FD9"/>
    <w:rsid w:val="00322A85"/>
    <w:rsid w:val="00324168"/>
    <w:rsid w:val="00343F8B"/>
    <w:rsid w:val="003448F4"/>
    <w:rsid w:val="00374F5E"/>
    <w:rsid w:val="00377E3E"/>
    <w:rsid w:val="00394E55"/>
    <w:rsid w:val="003A779E"/>
    <w:rsid w:val="003D0F4D"/>
    <w:rsid w:val="003D5B0D"/>
    <w:rsid w:val="003E0499"/>
    <w:rsid w:val="003F3941"/>
    <w:rsid w:val="00406575"/>
    <w:rsid w:val="00414C74"/>
    <w:rsid w:val="0042722E"/>
    <w:rsid w:val="0044528D"/>
    <w:rsid w:val="004A1847"/>
    <w:rsid w:val="004A305D"/>
    <w:rsid w:val="004F21C4"/>
    <w:rsid w:val="004F56EA"/>
    <w:rsid w:val="004F685F"/>
    <w:rsid w:val="00510368"/>
    <w:rsid w:val="005566E8"/>
    <w:rsid w:val="005735F1"/>
    <w:rsid w:val="00574867"/>
    <w:rsid w:val="00591460"/>
    <w:rsid w:val="005A754B"/>
    <w:rsid w:val="005B3816"/>
    <w:rsid w:val="005C3777"/>
    <w:rsid w:val="005C5CDC"/>
    <w:rsid w:val="005D476C"/>
    <w:rsid w:val="00614399"/>
    <w:rsid w:val="006219F8"/>
    <w:rsid w:val="00640B2D"/>
    <w:rsid w:val="00665D70"/>
    <w:rsid w:val="006900D9"/>
    <w:rsid w:val="006F6550"/>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47E1"/>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B2537"/>
    <w:rsid w:val="00B01B1A"/>
    <w:rsid w:val="00B34933"/>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C6FE9"/>
    <w:rsid w:val="00ED7384"/>
    <w:rsid w:val="00EE1AA8"/>
    <w:rsid w:val="00F31EDC"/>
    <w:rsid w:val="00F462B3"/>
    <w:rsid w:val="00F5664F"/>
    <w:rsid w:val="00F57BD4"/>
    <w:rsid w:val="00F666C4"/>
    <w:rsid w:val="00F76AFC"/>
    <w:rsid w:val="00FA47C0"/>
    <w:rsid w:val="00FB5DD1"/>
    <w:rsid w:val="00FC2B5D"/>
    <w:rsid w:val="00FF1449"/>
    <w:rsid w:val="00FF6874"/>
    <w:rsid w:val="47238B89"/>
    <w:rsid w:val="4A3D63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3149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31490"/>
    <w:rPr>
      <w:rFonts w:ascii="Geomanist Light" w:hAnsi="Geomanist Light"/>
      <w:lang w:val="es-ES"/>
    </w:rPr>
  </w:style>
  <w:style w:type="character" w:styleId="Textoennegrita">
    <w:name w:val="Strong"/>
    <w:basedOn w:val="Fuentedeprrafopredeter"/>
    <w:uiPriority w:val="22"/>
    <w:qFormat/>
    <w:rsid w:val="00031490"/>
    <w:rPr>
      <w:b/>
      <w:bCs/>
    </w:rPr>
  </w:style>
  <w:style w:type="character" w:customStyle="1" w:styleId="NormalWebCar">
    <w:name w:val="Normal (Web) Car"/>
    <w:link w:val="NormalWeb"/>
    <w:uiPriority w:val="99"/>
    <w:rsid w:val="0003149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b531b13d-89bf-4629-be1e-22fdf3dd34d4"/>
    <ds:schemaRef ds:uri="http://www.w3.org/XML/1998/namespac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8ae15d26-076e-464e-81a7-6f76a0fb3917"/>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402E81E-4738-4D2E-9E91-11C191E2E750}"/>
</file>

<file path=docProps/app.xml><?xml version="1.0" encoding="utf-8"?>
<Properties xmlns="http://schemas.openxmlformats.org/officeDocument/2006/extended-properties" xmlns:vt="http://schemas.openxmlformats.org/officeDocument/2006/docPropsVTypes">
  <Template>Normal</Template>
  <TotalTime>1</TotalTime>
  <Pages>21</Pages>
  <Words>7368</Words>
  <Characters>40525</Characters>
  <Application>Microsoft Office Word</Application>
  <DocSecurity>0</DocSecurity>
  <Lines>337</Lines>
  <Paragraphs>95</Paragraphs>
  <ScaleCrop>false</ScaleCrop>
  <Company/>
  <LinksUpToDate>false</LinksUpToDate>
  <CharactersWithSpaces>47798</CharactersWithSpaces>
  <SharedDoc>false</SharedDoc>
  <HLinks>
    <vt:vector size="30" baseType="variant">
      <vt:variant>
        <vt:i4>6422581</vt:i4>
      </vt:variant>
      <vt:variant>
        <vt:i4>9</vt:i4>
      </vt:variant>
      <vt:variant>
        <vt:i4>0</vt:i4>
      </vt:variant>
      <vt:variant>
        <vt:i4>5</vt:i4>
      </vt:variant>
      <vt:variant>
        <vt:lpwstr>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vt:lpwstr>
      </vt:variant>
      <vt:variant>
        <vt:lpwstr/>
      </vt:variant>
      <vt:variant>
        <vt:i4>6553647</vt:i4>
      </vt:variant>
      <vt:variant>
        <vt:i4>6</vt:i4>
      </vt:variant>
      <vt:variant>
        <vt:i4>0</vt:i4>
      </vt:variant>
      <vt:variant>
        <vt:i4>5</vt:i4>
      </vt:variant>
      <vt:variant>
        <vt:lpwstr>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vt:lpwstr>
      </vt:variant>
      <vt:variant>
        <vt:lpwstr/>
      </vt:variant>
      <vt:variant>
        <vt:i4>7143462</vt:i4>
      </vt:variant>
      <vt:variant>
        <vt:i4>3</vt:i4>
      </vt:variant>
      <vt:variant>
        <vt:i4>0</vt:i4>
      </vt:variant>
      <vt:variant>
        <vt:i4>5</vt:i4>
      </vt:variant>
      <vt:variant>
        <vt:lpwstr>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5</cp:revision>
  <cp:lastPrinted>2023-01-10T21:18:00Z</cp:lastPrinted>
  <dcterms:created xsi:type="dcterms:W3CDTF">2025-03-26T15:47:00Z</dcterms:created>
  <dcterms:modified xsi:type="dcterms:W3CDTF">2025-03-26T19:22:00Z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