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98293C" w:rsidR="0098293C" w:rsidP="0098293C" w:rsidRDefault="0098293C" w14:paraId="4AC9BCB2" w14:textId="77777777">
      <w:pPr>
        <w:spacing w:after="0" w:line="240" w:lineRule="auto"/>
        <w:jc w:val="both"/>
        <w:rPr>
          <w:rFonts w:ascii="Arial" w:hAnsi="Arial" w:eastAsia="Calibri" w:cs="Arial"/>
          <w:b/>
          <w:color w:val="000000"/>
          <w:sz w:val="16"/>
          <w:szCs w:val="16"/>
          <w:lang w:val="es-MX"/>
        </w:rPr>
      </w:pPr>
      <w:bookmarkStart w:name="_Hlk28946138" w:id="0"/>
      <w:bookmarkStart w:name="_Hlk29548183" w:id="1"/>
    </w:p>
    <w:bookmarkEnd w:id="0"/>
    <w:bookmarkEnd w:id="1"/>
    <w:p w:rsidRPr="0098293C" w:rsidR="0098293C" w:rsidP="0098293C" w:rsidRDefault="0098293C" w14:paraId="3858D666" w14:textId="77777777">
      <w:pPr>
        <w:spacing w:after="0" w:line="240" w:lineRule="auto"/>
        <w:jc w:val="both"/>
        <w:rPr>
          <w:rFonts w:ascii="Arial" w:hAnsi="Arial" w:eastAsia="Calibri" w:cs="Arial"/>
          <w:b/>
          <w:color w:val="000000"/>
          <w:lang w:val="es-ES_tradnl"/>
        </w:rPr>
      </w:pPr>
      <w:r w:rsidRPr="0098293C">
        <w:rPr>
          <w:rFonts w:ascii="Arial" w:hAnsi="Arial" w:eastAsia="Calibri" w:cs="Arial"/>
          <w:b/>
          <w:color w:val="000000"/>
          <w:lang w:val="es-ES_tradnl"/>
        </w:rPr>
        <w:t xml:space="preserve">CONSTITUCIÓN POLÍTICA </w:t>
      </w:r>
      <w:r w:rsidRPr="0098293C">
        <w:rPr>
          <w:rFonts w:ascii="Arial" w:hAnsi="Arial" w:eastAsia="Calibri" w:cs="Arial"/>
          <w:b/>
          <w:color w:val="000000"/>
          <w:lang w:val="es-MX"/>
        </w:rPr>
        <w:t xml:space="preserve">– </w:t>
      </w:r>
      <w:r w:rsidRPr="0098293C">
        <w:rPr>
          <w:rFonts w:ascii="Arial" w:hAnsi="Arial" w:eastAsia="Calibri" w:cs="Arial"/>
          <w:b/>
          <w:color w:val="000000"/>
          <w:lang w:val="es-ES_tradnl"/>
        </w:rPr>
        <w:t>Regímenes de contratación</w:t>
      </w:r>
    </w:p>
    <w:p w:rsidRPr="0098293C" w:rsidR="0098293C" w:rsidP="0098293C" w:rsidRDefault="0098293C" w14:paraId="4325E9CF" w14:textId="77777777">
      <w:pPr>
        <w:spacing w:after="0" w:line="240" w:lineRule="auto"/>
        <w:jc w:val="both"/>
        <w:rPr>
          <w:rFonts w:ascii="Arial" w:hAnsi="Arial" w:eastAsia="Calibri" w:cs="Arial"/>
          <w:color w:val="000000"/>
          <w:lang w:val="es-ES_tradnl"/>
        </w:rPr>
      </w:pPr>
    </w:p>
    <w:p w:rsidRPr="0098293C" w:rsidR="0098293C" w:rsidP="0098293C" w:rsidRDefault="004C4662" w14:paraId="2087937A" w14:textId="3C7FD7B1">
      <w:pPr>
        <w:spacing w:after="0" w:line="240" w:lineRule="auto"/>
        <w:jc w:val="both"/>
        <w:rPr>
          <w:rFonts w:ascii="Arial" w:hAnsi="Arial" w:eastAsia="Calibri" w:cs="Arial"/>
          <w:color w:val="000000"/>
          <w:sz w:val="20"/>
          <w:lang w:val="es-ES_tradnl"/>
        </w:rPr>
      </w:pPr>
      <w:r w:rsidRPr="004C4662">
        <w:rPr>
          <w:rFonts w:ascii="Arial" w:hAnsi="Arial" w:eastAsia="Calibri" w:cs="Arial"/>
          <w:color w:val="000000"/>
          <w:sz w:val="20"/>
          <w:lang w:val="es-ES_tradnl"/>
        </w:rPr>
        <w:t>La Constitución Política de 1991 establece tres (3) regímenes de contratación. El primero se fundamenta en la competencia prevista en el inciso final del artículo 150 superior, por el cual se faculta al Congreso de la República para expedir un Estatuto General de Contratación de la Administración Pública - EGCAP. El segundo se relaciona con la posibilidad de crear regímenes especiales, caso en el cual la Constitución los exceptúa directamente, como sucede con las universidades públicas y el Banco de la República –arts. 69 y 371–, o permite que la ley defina el régimen jurídico de determinados órganos del Estado, como en el caso de las entidades descentralizadas por servicios –art. 210– y las empresas de servicios públicos domiciliarios –art. 365–. Finalmente, el citado artículo 355 establece el régimen de los contratos con las ESAL, el cual –además de extenderse a los convenios de asociación en virtud de lo dispuesto en el artículo 96 de la Ley 489 de 1998– se desarrolló a través del Decreto 092 de 2017.</w:t>
      </w:r>
    </w:p>
    <w:p w:rsidRPr="0098293C" w:rsidR="0098293C" w:rsidP="0098293C" w:rsidRDefault="0098293C" w14:paraId="0C316AAB" w14:textId="77777777">
      <w:pPr>
        <w:spacing w:after="0" w:line="240" w:lineRule="auto"/>
        <w:jc w:val="both"/>
        <w:rPr>
          <w:rFonts w:ascii="Arial" w:hAnsi="Arial" w:eastAsia="Calibri" w:cs="Arial"/>
          <w:b/>
          <w:color w:val="000000"/>
          <w:lang w:val="es-ES_tradnl"/>
        </w:rPr>
      </w:pPr>
    </w:p>
    <w:p w:rsidRPr="0098293C" w:rsidR="0098293C" w:rsidP="0098293C" w:rsidRDefault="0098293C" w14:paraId="5ED5D033" w14:textId="77777777">
      <w:pPr>
        <w:spacing w:after="0" w:line="240" w:lineRule="auto"/>
        <w:jc w:val="both"/>
        <w:rPr>
          <w:rFonts w:ascii="Arial" w:hAnsi="Arial" w:eastAsia="Calibri" w:cs="Arial"/>
          <w:b/>
          <w:color w:val="000000"/>
          <w:lang w:val="es-ES_tradnl"/>
        </w:rPr>
      </w:pPr>
      <w:r w:rsidRPr="0098293C">
        <w:rPr>
          <w:rFonts w:ascii="Arial" w:hAnsi="Arial" w:eastAsia="Calibri" w:cs="Arial"/>
          <w:b/>
          <w:color w:val="000000"/>
          <w:lang w:val="es-ES_tradnl"/>
        </w:rPr>
        <w:t xml:space="preserve">CONSTITUCIÓN POLÍTICA </w:t>
      </w:r>
      <w:r w:rsidRPr="0098293C">
        <w:rPr>
          <w:rFonts w:ascii="Arial" w:hAnsi="Arial" w:eastAsia="Calibri" w:cs="Arial"/>
          <w:b/>
          <w:color w:val="000000"/>
          <w:lang w:val="es-MX"/>
        </w:rPr>
        <w:t xml:space="preserve">– </w:t>
      </w:r>
      <w:r w:rsidRPr="0098293C">
        <w:rPr>
          <w:rFonts w:ascii="Arial" w:hAnsi="Arial" w:eastAsia="Calibri" w:cs="Arial"/>
          <w:b/>
          <w:color w:val="000000"/>
          <w:lang w:val="es-ES_tradnl"/>
        </w:rPr>
        <w:t>Normas especiales – Régimen de contratación aplicable</w:t>
      </w:r>
    </w:p>
    <w:p w:rsidRPr="0098293C" w:rsidR="0098293C" w:rsidP="0098293C" w:rsidRDefault="0098293C" w14:paraId="4BA12991" w14:textId="77777777">
      <w:pPr>
        <w:spacing w:after="0" w:line="240" w:lineRule="auto"/>
        <w:jc w:val="both"/>
        <w:rPr>
          <w:rFonts w:ascii="Arial" w:hAnsi="Arial" w:eastAsia="Calibri" w:cs="Arial"/>
          <w:color w:val="000000"/>
          <w:lang w:val="es-ES_tradnl"/>
        </w:rPr>
      </w:pPr>
    </w:p>
    <w:p w:rsidRPr="0098293C" w:rsidR="0098293C" w:rsidP="0098293C" w:rsidRDefault="0098293C" w14:paraId="00C46EE1" w14:textId="2CE70F66">
      <w:pPr>
        <w:spacing w:after="0" w:line="240" w:lineRule="auto"/>
        <w:jc w:val="both"/>
        <w:rPr>
          <w:rFonts w:ascii="Arial" w:hAnsi="Arial" w:eastAsia="Calibri" w:cs="Arial"/>
          <w:color w:val="000000"/>
          <w:sz w:val="20"/>
          <w:lang w:val="es-ES_tradnl"/>
        </w:rPr>
      </w:pPr>
      <w:r w:rsidRPr="0098293C">
        <w:rPr>
          <w:rFonts w:ascii="Arial" w:hAnsi="Arial" w:eastAsia="Calibri" w:cs="Arial"/>
          <w:color w:val="000000"/>
          <w:sz w:val="20"/>
          <w:lang w:val="es-ES_tradnl"/>
        </w:rPr>
        <w:t xml:space="preserve">[…] </w:t>
      </w:r>
      <w:r w:rsidRPr="004C4662" w:rsidR="004C4662">
        <w:rPr>
          <w:rFonts w:ascii="Arial" w:hAnsi="Arial" w:eastAsia="Calibri" w:cs="Arial"/>
          <w:color w:val="000000"/>
          <w:sz w:val="20"/>
          <w:lang w:val="es-ES_tradnl"/>
        </w:rPr>
        <w:t xml:space="preserve">existen algunas disposiciones normativas que habilitan a diferentes entidades estatales para suscribir contratos o convenios en unos eventos en particular, como es el caso del artículo 3 de la Ley 1575 de 2012, sobre contratación con cuerpos de bomberos; el artículo 6 de la Ley 1551 de 2012 , en materia de convenios solidarios; o el de la norma objeto de la presente consulta, esto es, el parágrafo del artículo 8 de la Ley 1276 de 2009, modificado por el artículo 16 de la Ley 1850 de 2017, que se refiere a los convenios para el manejo de los denominados </w:t>
      </w:r>
      <w:r w:rsidRPr="004C4662" w:rsidR="004C4662">
        <w:rPr>
          <w:rFonts w:ascii="Arial" w:hAnsi="Arial" w:eastAsia="Calibri" w:cs="Arial"/>
          <w:i/>
          <w:iCs/>
          <w:color w:val="000000"/>
          <w:sz w:val="20"/>
          <w:lang w:val="es-ES_tradnl"/>
        </w:rPr>
        <w:t>Centros Vida, Centros de Bienestar del Anciano y Granjas del Adulto Mayor.</w:t>
      </w:r>
    </w:p>
    <w:p w:rsidRPr="0098293C" w:rsidR="0098293C" w:rsidP="0098293C" w:rsidRDefault="0098293C" w14:paraId="0ADE60FE" w14:textId="77777777">
      <w:pPr>
        <w:spacing w:after="0" w:line="240" w:lineRule="auto"/>
        <w:jc w:val="both"/>
        <w:rPr>
          <w:rFonts w:ascii="Arial" w:hAnsi="Arial" w:eastAsia="Calibri" w:cs="Arial"/>
          <w:color w:val="000000"/>
          <w:sz w:val="20"/>
          <w:lang w:val="es-ES_tradnl"/>
        </w:rPr>
      </w:pPr>
      <w:r w:rsidRPr="0098293C">
        <w:rPr>
          <w:rFonts w:ascii="Arial" w:hAnsi="Arial" w:eastAsia="Calibri" w:cs="Arial"/>
          <w:color w:val="000000"/>
          <w:sz w:val="20"/>
          <w:lang w:val="es-ES_tradnl"/>
        </w:rPr>
        <w:t>[…]</w:t>
      </w:r>
    </w:p>
    <w:p w:rsidRPr="0098293C" w:rsidR="0098293C" w:rsidP="0098293C" w:rsidRDefault="004C4662" w14:paraId="103BAD0B" w14:textId="1152B499">
      <w:pPr>
        <w:spacing w:after="0" w:line="240" w:lineRule="auto"/>
        <w:jc w:val="both"/>
        <w:rPr>
          <w:rFonts w:ascii="Arial" w:hAnsi="Arial" w:eastAsia="Calibri" w:cs="Arial"/>
          <w:color w:val="000000"/>
          <w:sz w:val="20"/>
          <w:lang w:val="es-ES_tradnl"/>
        </w:rPr>
      </w:pPr>
      <w:r w:rsidRPr="004C4662">
        <w:rPr>
          <w:rFonts w:ascii="Arial" w:hAnsi="Arial" w:eastAsia="Calibri" w:cs="Arial"/>
          <w:color w:val="000000"/>
          <w:sz w:val="20"/>
          <w:lang w:val="es-ES_tradnl"/>
        </w:rPr>
        <w:t>En relación con este tipo de normas, podría pensarse prima facie que establecen un régimen de contratación diferente a los tres (3) señalados y, en consecuencia, que no hay lugar a la aplicación de ninguno de estos en lo que respecta al trámite contractual, lo que, a su vez, generaría la duda sobre cuál es la regulación aplicable. Sin embargo, Agencia Nacional de Contratación Pública - Colombia Compra Eficiente considera que esas normas no contienen regímenes de contratación diferentes a los que dispuso la Constitución Política, lo que implica que los contratos o convenios a los que dichas normas se refieren tendrán que tramitarse teniendo en cuenta las disposiciones de alguno de esos tres regímenes de contratación: el que contiene el EGCAP, el que regula el Decreto 092 de 2017 o el régimen exceptuado que corresponde por la naturaleza de la entidad contratante –por ejemplo las empresas sociales del Estado o las instituciones educativas–. La aplicación de esos regímenes de contratación no es facultativa, pues en todo caso, dependerá de la remisión que hacen estas normas a un estatuto en particular –si lo hacen–, así como también de las particularidades del Proceso de Contratación y de la naturaleza jurídica de la entidad contratante o la de la persona jurídica con la que las entidades pretenden contratar.</w:t>
      </w:r>
    </w:p>
    <w:p w:rsidRPr="0098293C" w:rsidR="0098293C" w:rsidP="0098293C" w:rsidRDefault="0098293C" w14:paraId="5C6A49E3" w14:textId="77777777">
      <w:pPr>
        <w:spacing w:after="0" w:line="240" w:lineRule="auto"/>
        <w:jc w:val="both"/>
        <w:rPr>
          <w:rFonts w:ascii="Arial" w:hAnsi="Arial" w:eastAsia="Calibri" w:cs="Arial"/>
          <w:b/>
          <w:color w:val="000000"/>
          <w:lang w:val="es-ES_tradnl"/>
        </w:rPr>
      </w:pPr>
    </w:p>
    <w:p w:rsidRPr="0098293C" w:rsidR="0098293C" w:rsidP="0098293C" w:rsidRDefault="0098293C" w14:paraId="74A16536" w14:textId="77777777">
      <w:pPr>
        <w:spacing w:after="0" w:line="240" w:lineRule="auto"/>
        <w:jc w:val="both"/>
        <w:rPr>
          <w:rFonts w:ascii="Arial" w:hAnsi="Arial" w:eastAsia="Calibri" w:cs="Arial"/>
          <w:b/>
          <w:color w:val="000000"/>
          <w:lang w:val="es-ES_tradnl"/>
        </w:rPr>
      </w:pPr>
      <w:r w:rsidRPr="0098293C">
        <w:rPr>
          <w:rFonts w:ascii="Arial" w:hAnsi="Arial" w:eastAsia="Calibri" w:cs="Arial"/>
          <w:b/>
          <w:color w:val="000000"/>
          <w:lang w:val="es-ES_tradnl"/>
        </w:rPr>
        <w:t>CONVENIOS PARÁGRAFO ARTÍCULO 5 LEY 687 DE 2001 – Artículo 8 Ley 1276 de 2009 – Artículo 16 Ley 1850 de 2017 – Régimen de contratación aplicable</w:t>
      </w:r>
    </w:p>
    <w:p w:rsidRPr="0098293C" w:rsidR="0098293C" w:rsidP="0098293C" w:rsidRDefault="0098293C" w14:paraId="6EB4C5BF" w14:textId="77777777">
      <w:pPr>
        <w:spacing w:after="0" w:line="240" w:lineRule="auto"/>
        <w:jc w:val="both"/>
        <w:rPr>
          <w:rFonts w:ascii="Arial" w:hAnsi="Arial" w:eastAsia="Calibri" w:cs="Arial"/>
          <w:color w:val="000000"/>
          <w:szCs w:val="24"/>
          <w:lang w:val="es-ES_tradnl"/>
        </w:rPr>
      </w:pPr>
    </w:p>
    <w:p w:rsidR="004C4662" w:rsidP="004C4662" w:rsidRDefault="004C4662" w14:paraId="66E1B4EE" w14:textId="1DB346E6">
      <w:pPr>
        <w:spacing w:after="0" w:line="240" w:lineRule="auto"/>
        <w:jc w:val="both"/>
        <w:rPr>
          <w:rFonts w:ascii="Arial" w:hAnsi="Arial" w:eastAsia="Calibri" w:cs="Arial"/>
          <w:color w:val="000000"/>
          <w:sz w:val="20"/>
          <w:lang w:val="es-ES_tradnl"/>
        </w:rPr>
      </w:pPr>
      <w:r w:rsidRPr="004C4662">
        <w:rPr>
          <w:rFonts w:ascii="Arial" w:hAnsi="Arial" w:eastAsia="Calibri" w:cs="Arial"/>
          <w:color w:val="000000"/>
          <w:sz w:val="20"/>
          <w:lang w:val="es-ES_tradnl"/>
        </w:rPr>
        <w:t xml:space="preserve">Nótese que la norma citada autoriza a las entidades territoriales a celebrar “convenios con entidades reconocidas para el manejo de los Centros Vida, Centros de Bienestar del Anciano y Granjas para adulto mayor […]”, pero no establece la regulación contractual aplicable a ese tipo de convenios. Tal regulación tampoco se deriva de ninguno de los otros artículos de la Ley 1850 de 2017, así como no lo hacían el artículo 5 de la Ley 687 de 2001 o el artículo 8 de la Ley 1276 de 2009. De hecho, ninguna de estas tres leyes reguló la materia, omisión que se explica en el hecho que dichas normas </w:t>
      </w:r>
      <w:r w:rsidRPr="004C4662">
        <w:rPr>
          <w:rFonts w:ascii="Arial" w:hAnsi="Arial" w:eastAsia="Calibri" w:cs="Arial"/>
          <w:color w:val="000000"/>
          <w:sz w:val="20"/>
          <w:lang w:val="es-ES_tradnl"/>
        </w:rPr>
        <w:t>regulan la “estampilla pro-dotación y funcionamiento de los Centros de Bienestar del Anciano, instituciones y centros de vida para la tercera edad”, aspecto sustancialmente distinto de las normas que regulan la contratación con el Estado.</w:t>
      </w:r>
    </w:p>
    <w:p w:rsidRPr="004C4662" w:rsidR="004C4662" w:rsidP="004C4662" w:rsidRDefault="004C4662" w14:paraId="62AC31F2" w14:textId="77777777">
      <w:pPr>
        <w:spacing w:after="0" w:line="240" w:lineRule="auto"/>
        <w:jc w:val="both"/>
        <w:rPr>
          <w:rFonts w:ascii="Arial" w:hAnsi="Arial" w:eastAsia="Calibri" w:cs="Arial"/>
          <w:color w:val="000000"/>
          <w:sz w:val="20"/>
          <w:lang w:val="es-ES_tradnl"/>
        </w:rPr>
      </w:pPr>
    </w:p>
    <w:p w:rsidRPr="0098293C" w:rsidR="0098293C" w:rsidP="004C4662" w:rsidRDefault="004C4662" w14:paraId="6F06130A" w14:textId="7BE6EE84">
      <w:pPr>
        <w:spacing w:after="0" w:line="240" w:lineRule="auto"/>
        <w:jc w:val="both"/>
        <w:rPr>
          <w:rFonts w:ascii="Arial" w:hAnsi="Arial" w:eastAsia="Calibri" w:cs="Arial"/>
          <w:color w:val="000000"/>
          <w:sz w:val="20"/>
          <w:lang w:val="es-ES_tradnl"/>
        </w:rPr>
      </w:pPr>
      <w:r w:rsidRPr="004C4662">
        <w:rPr>
          <w:rFonts w:ascii="Arial" w:hAnsi="Arial" w:eastAsia="Calibri" w:cs="Arial"/>
          <w:color w:val="000000"/>
          <w:sz w:val="20"/>
          <w:lang w:val="es-ES_tradnl"/>
        </w:rPr>
        <w:t xml:space="preserve">Teniendo en cuenta la ausencia de regulación en las Leyes 687 de 2001, 1276 de 2009 y 1850 de 2017, y de acuerdo a las consideraciones expuestas en párrafos precedentes, Colombia Compra Eficiente considera que los convenios a los que se refieren las tres normas mencionadas </w:t>
      </w:r>
      <w:proofErr w:type="gramStart"/>
      <w:r w:rsidRPr="004C4662">
        <w:rPr>
          <w:rFonts w:ascii="Arial" w:hAnsi="Arial" w:eastAsia="Calibri" w:cs="Arial"/>
          <w:color w:val="000000"/>
          <w:sz w:val="20"/>
          <w:lang w:val="es-ES_tradnl"/>
        </w:rPr>
        <w:t>anteriormente,</w:t>
      </w:r>
      <w:proofErr w:type="gramEnd"/>
      <w:r w:rsidRPr="004C4662">
        <w:rPr>
          <w:rFonts w:ascii="Arial" w:hAnsi="Arial" w:eastAsia="Calibri" w:cs="Arial"/>
          <w:color w:val="000000"/>
          <w:sz w:val="20"/>
          <w:lang w:val="es-ES_tradnl"/>
        </w:rPr>
        <w:t xml:space="preserve"> están regulados por el EGCAP y, eventualmente, por las disposiciones especiales contenidas en el Decreto 092 del 2017. Lo anterior, siempre que el convenio sea suscrito con una ESAL y únicamente si se cumplen los otros requisitos que se derivan del contenido de dicho decreto, entre ellos, que no se genere una contraprestación directa a favor de la entidad y tampoco una relación conmutativa entre esta y la ESAL; así como también que el negocio jurídico tenga como objeto “impulsar programas y actividades de interés público de acuerdo con el Plan Nacional o los planes seccionales de Desarrollo, en los términos del artículo 355 de la Constitución Política”.</w:t>
      </w:r>
    </w:p>
    <w:p w:rsidRPr="0098293C" w:rsidR="0098293C" w:rsidP="0098293C" w:rsidRDefault="0098293C" w14:paraId="57154C76" w14:textId="77777777">
      <w:pPr>
        <w:spacing w:after="0" w:line="240" w:lineRule="auto"/>
        <w:jc w:val="both"/>
        <w:rPr>
          <w:rFonts w:ascii="Arial" w:hAnsi="Arial" w:eastAsia="Calibri" w:cs="Arial"/>
          <w:b/>
          <w:color w:val="000000"/>
          <w:lang w:val="es-ES_tradnl"/>
        </w:rPr>
      </w:pPr>
    </w:p>
    <w:p w:rsidRPr="0098293C" w:rsidR="0098293C" w:rsidP="0098293C" w:rsidRDefault="0098293C" w14:paraId="67231F02" w14:textId="77777777">
      <w:pPr>
        <w:spacing w:after="0" w:line="240" w:lineRule="auto"/>
        <w:jc w:val="both"/>
        <w:rPr>
          <w:rFonts w:ascii="Arial" w:hAnsi="Arial" w:eastAsia="Calibri" w:cs="Arial"/>
          <w:b/>
          <w:bCs/>
          <w:color w:val="000000"/>
          <w:lang w:val="es-MX"/>
        </w:rPr>
      </w:pPr>
      <w:r w:rsidRPr="0098293C">
        <w:rPr>
          <w:rFonts w:ascii="Arial" w:hAnsi="Arial" w:eastAsia="Calibri" w:cs="Arial"/>
          <w:b/>
          <w:bCs/>
          <w:color w:val="000000"/>
          <w:lang w:val="es-MX"/>
        </w:rPr>
        <w:t xml:space="preserve">CONTRATACIÓN CON ESAL – Contrato de colaboración – Objeto </w:t>
      </w:r>
      <w:r w:rsidRPr="0098293C">
        <w:rPr>
          <w:rFonts w:ascii="Arial" w:hAnsi="Arial" w:eastAsia="Arial" w:cs="Arial"/>
          <w:b/>
          <w:bCs/>
        </w:rPr>
        <w:t>– A</w:t>
      </w:r>
      <w:r w:rsidRPr="0098293C">
        <w:rPr>
          <w:rFonts w:ascii="Arial" w:hAnsi="Arial" w:eastAsia="Calibri" w:cs="Arial"/>
          <w:b/>
          <w:bCs/>
          <w:color w:val="000000"/>
          <w:lang w:val="es-MX"/>
        </w:rPr>
        <w:t xml:space="preserve">lcance </w:t>
      </w:r>
    </w:p>
    <w:p w:rsidRPr="0098293C" w:rsidR="0098293C" w:rsidP="0098293C" w:rsidRDefault="0098293C" w14:paraId="49698F41" w14:textId="77777777">
      <w:pPr>
        <w:spacing w:after="0" w:line="240" w:lineRule="auto"/>
        <w:jc w:val="both"/>
        <w:rPr>
          <w:rFonts w:ascii="Arial" w:hAnsi="Arial" w:eastAsia="Calibri" w:cs="Arial"/>
          <w:color w:val="000000"/>
          <w:sz w:val="20"/>
          <w:szCs w:val="20"/>
          <w:lang w:val="es-MX"/>
        </w:rPr>
      </w:pPr>
    </w:p>
    <w:p w:rsidRPr="0098293C" w:rsidR="0098293C" w:rsidP="0098293C" w:rsidRDefault="004C4662" w14:paraId="71A9904B" w14:textId="66EE5A8C">
      <w:pPr>
        <w:spacing w:after="0" w:line="240" w:lineRule="auto"/>
        <w:jc w:val="both"/>
        <w:rPr>
          <w:rFonts w:ascii="Arial" w:hAnsi="Arial" w:eastAsia="Calibri" w:cs="Arial"/>
          <w:color w:val="000000"/>
          <w:sz w:val="20"/>
          <w:szCs w:val="20"/>
          <w:lang w:val="es-MX"/>
        </w:rPr>
      </w:pPr>
      <w:r w:rsidRPr="004C4662">
        <w:rPr>
          <w:rFonts w:ascii="Arial" w:hAnsi="Arial" w:eastAsia="Calibri" w:cs="Arial"/>
          <w:color w:val="000000"/>
          <w:sz w:val="20"/>
          <w:szCs w:val="20"/>
          <w:lang w:val="es-MX"/>
        </w:rPr>
        <w:t>Los contratos de colaboración tienen como objeto promover acciones de fomento social en beneficio de los sectores más desprotegidos de la población, previstas en los planes de desarrollo, motivo por el cual no dan lugar a una contraprestación directa a favor de la entidad y tampoco a una relación conmutativa entre esta y la ESAL, toda vez que el beneficio real y directo lo reciben, en últimas, los terceros beneficiarios de este tipo de acciones de fomento. Para celebrar estos contratos, según lo establece el artículo 3 del Decreto 92 de 2017, por regla general, la entidad debe adelantar un proceso competitivo para seleccionar la entidad sin ánimo de lucro con la que contratará. En particular, debe verificar el cumplimiento de los siguientes requisitos: i) que el objeto del contrato corresponda a programas y actividades de interés público acordes con el Plan Nacional o Seccional de Desarrollo; y ii) que no haya una contraprestación directa a favor de la entidad estatal, es decir, que el programa o actividad a desarrollar esté dirigido al beneficio de la población en general, pues cuando se adquieren bienes o servicios o se ejecutan obras, en una relación conmutativa, las normas aplicables son las del EGCAP–. De lo anterior se desprende que solo cuando se reúnan estas condiciones, y se cuente con la autorización previa y escrita del representante legal de la entidad estatal, es procedente celebrar contratos de colaboración.</w:t>
      </w:r>
    </w:p>
    <w:p w:rsidRPr="0098293C" w:rsidR="0098293C" w:rsidP="0098293C" w:rsidRDefault="0098293C" w14:paraId="11118BBA" w14:textId="77777777">
      <w:pPr>
        <w:spacing w:after="0" w:line="240" w:lineRule="auto"/>
        <w:jc w:val="both"/>
        <w:rPr>
          <w:rFonts w:ascii="Arial" w:hAnsi="Arial" w:eastAsia="Calibri" w:cs="Arial"/>
          <w:b/>
          <w:color w:val="000000"/>
          <w:lang w:val="es-MX"/>
        </w:rPr>
      </w:pPr>
    </w:p>
    <w:p w:rsidRPr="0098293C" w:rsidR="0098293C" w:rsidP="0098293C" w:rsidRDefault="0098293C" w14:paraId="692A296C" w14:textId="77777777">
      <w:pPr>
        <w:spacing w:after="0" w:line="240" w:lineRule="auto"/>
        <w:jc w:val="both"/>
        <w:rPr>
          <w:rFonts w:ascii="Arial" w:hAnsi="Arial" w:eastAsia="Calibri" w:cs="Arial"/>
          <w:b/>
          <w:bCs/>
          <w:color w:val="000000"/>
          <w:lang w:val="es-MX"/>
        </w:rPr>
      </w:pPr>
      <w:r w:rsidRPr="0098293C">
        <w:rPr>
          <w:rFonts w:ascii="Arial" w:hAnsi="Arial" w:eastAsia="Calibri" w:cs="Arial"/>
          <w:b/>
          <w:bCs/>
          <w:color w:val="000000"/>
          <w:lang w:val="es-MX"/>
        </w:rPr>
        <w:t xml:space="preserve">CONTRATACIÓN CON ESAL – Convenios de asociación – Finalidad </w:t>
      </w:r>
      <w:r w:rsidRPr="0098293C">
        <w:rPr>
          <w:rFonts w:ascii="Arial" w:hAnsi="Arial" w:eastAsia="Arial" w:cs="Arial"/>
          <w:b/>
          <w:bCs/>
        </w:rPr>
        <w:t>– O</w:t>
      </w:r>
      <w:r w:rsidRPr="0098293C">
        <w:rPr>
          <w:rFonts w:ascii="Arial" w:hAnsi="Arial" w:eastAsia="Calibri" w:cs="Arial"/>
          <w:b/>
          <w:bCs/>
          <w:color w:val="000000"/>
          <w:lang w:val="es-MX"/>
        </w:rPr>
        <w:t xml:space="preserve">bjeto </w:t>
      </w:r>
    </w:p>
    <w:p w:rsidRPr="0098293C" w:rsidR="0098293C" w:rsidP="0098293C" w:rsidRDefault="0098293C" w14:paraId="1183FFAF" w14:textId="77777777">
      <w:pPr>
        <w:spacing w:after="0" w:line="240" w:lineRule="auto"/>
        <w:jc w:val="both"/>
        <w:rPr>
          <w:rFonts w:ascii="Arial" w:hAnsi="Arial" w:eastAsia="Calibri" w:cs="Arial"/>
          <w:bCs/>
          <w:color w:val="000000"/>
          <w:sz w:val="20"/>
          <w:szCs w:val="20"/>
          <w:lang w:val="es-MX"/>
        </w:rPr>
      </w:pPr>
    </w:p>
    <w:p w:rsidRPr="0098293C" w:rsidR="0098293C" w:rsidP="0098293C" w:rsidRDefault="004C4662" w14:paraId="0FF4A230" w14:textId="58E0534D">
      <w:pPr>
        <w:spacing w:after="0" w:line="240" w:lineRule="auto"/>
        <w:jc w:val="both"/>
        <w:rPr>
          <w:rFonts w:ascii="Arial" w:hAnsi="Arial" w:eastAsia="Calibri" w:cs="Arial"/>
          <w:color w:val="000000"/>
          <w:sz w:val="20"/>
          <w:szCs w:val="20"/>
          <w:lang w:val="es-MX"/>
        </w:rPr>
      </w:pPr>
      <w:r w:rsidRPr="004C4662">
        <w:rPr>
          <w:rFonts w:ascii="Arial" w:hAnsi="Arial" w:eastAsia="Calibri" w:cs="Arial"/>
          <w:color w:val="000000"/>
          <w:sz w:val="20"/>
          <w:szCs w:val="20"/>
          <w:lang w:val="es-MX"/>
        </w:rPr>
        <w:t>De otro lado, los convenios de asociación “[t]ienen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 Ley”. En estos convenios no existe contraprestación o pago, sino aportes, los cuales están dirigidos, exclusivamente, a lograr la ejecución del convenio y no a remunerar la actividad o actuaciones del asociado. De todos modos, la entidad debe adelantar un proceso competitivo, salvo cuando la ESAL comprometa recursos en dinero para la ejecución de estas actividades, en una proporción no inferior al 30% del valor total del convenio.</w:t>
      </w:r>
    </w:p>
    <w:p w:rsidRPr="0098293C" w:rsidR="0098293C" w:rsidP="0098293C" w:rsidRDefault="0098293C" w14:paraId="36FEB519" w14:textId="77777777">
      <w:pPr>
        <w:spacing w:after="0" w:line="240" w:lineRule="auto"/>
        <w:jc w:val="both"/>
        <w:rPr>
          <w:rFonts w:ascii="Arial" w:hAnsi="Arial" w:eastAsia="Calibri" w:cs="Arial"/>
          <w:b/>
          <w:color w:val="000000"/>
          <w:lang w:val="es-ES_tradnl"/>
        </w:rPr>
      </w:pPr>
    </w:p>
    <w:p w:rsidRPr="0098293C" w:rsidR="0098293C" w:rsidP="0098293C" w:rsidRDefault="0098293C" w14:paraId="6476599F" w14:textId="77777777">
      <w:pPr>
        <w:spacing w:after="0" w:line="240" w:lineRule="auto"/>
        <w:jc w:val="both"/>
        <w:rPr>
          <w:rFonts w:ascii="Arial" w:hAnsi="Arial" w:eastAsia="Calibri" w:cs="Arial"/>
          <w:color w:val="000000"/>
          <w:sz w:val="20"/>
          <w:szCs w:val="20"/>
          <w:lang w:val="es-MX"/>
        </w:rPr>
      </w:pPr>
    </w:p>
    <w:p w:rsidR="0098293C" w:rsidP="0098293C" w:rsidRDefault="0098293C" w14:paraId="31C578DD" w14:textId="77777777">
      <w:pPr>
        <w:spacing w:after="0" w:line="240" w:lineRule="auto"/>
        <w:jc w:val="both"/>
        <w:rPr>
          <w:rFonts w:ascii="Arial" w:hAnsi="Arial" w:eastAsia="Calibri" w:cs="Arial"/>
          <w:color w:val="000000"/>
          <w:sz w:val="20"/>
          <w:szCs w:val="20"/>
          <w:lang w:val="es-MX"/>
        </w:rPr>
      </w:pPr>
    </w:p>
    <w:p w:rsidR="009522A2" w:rsidP="0098293C" w:rsidRDefault="009522A2" w14:paraId="28CB762A" w14:textId="77777777">
      <w:pPr>
        <w:spacing w:after="0" w:line="240" w:lineRule="auto"/>
        <w:jc w:val="both"/>
        <w:rPr>
          <w:rFonts w:ascii="Arial" w:hAnsi="Arial" w:eastAsia="Calibri" w:cs="Arial"/>
          <w:color w:val="000000"/>
          <w:sz w:val="20"/>
          <w:szCs w:val="20"/>
          <w:lang w:val="es-MX"/>
        </w:rPr>
      </w:pPr>
    </w:p>
    <w:p w:rsidRPr="0098293C" w:rsidR="009522A2" w:rsidP="0098293C" w:rsidRDefault="009522A2" w14:paraId="47F3CFD8" w14:textId="77777777">
      <w:pPr>
        <w:spacing w:after="0" w:line="240" w:lineRule="auto"/>
        <w:jc w:val="both"/>
        <w:rPr>
          <w:rFonts w:ascii="Arial" w:hAnsi="Arial" w:eastAsia="Calibri" w:cs="Arial"/>
          <w:color w:val="000000"/>
          <w:sz w:val="20"/>
          <w:szCs w:val="20"/>
          <w:lang w:val="es-MX"/>
        </w:rPr>
      </w:pPr>
    </w:p>
    <w:p w:rsidRPr="0098293C" w:rsidR="0098293C" w:rsidP="0098293C" w:rsidRDefault="0098293C" w14:paraId="7FBA8FD2" w14:textId="77777777">
      <w:pPr>
        <w:spacing w:after="0" w:line="240" w:lineRule="auto"/>
        <w:jc w:val="both"/>
        <w:rPr>
          <w:rFonts w:ascii="Arial" w:hAnsi="Arial" w:eastAsia="Calibri" w:cs="Arial"/>
          <w:color w:val="000000"/>
          <w:sz w:val="20"/>
          <w:szCs w:val="20"/>
          <w:lang w:val="es-MX"/>
        </w:rPr>
      </w:pPr>
    </w:p>
    <w:p w:rsidRPr="0098293C" w:rsidR="0098293C" w:rsidP="00DE5E1E" w:rsidRDefault="000A1ABF" w14:paraId="4A7DAE96" w14:textId="4EB16579">
      <w:pPr>
        <w:spacing w:after="0" w:line="240" w:lineRule="auto"/>
        <w:jc w:val="right"/>
        <w:rPr>
          <w:rFonts w:ascii="Arial" w:hAnsi="Arial" w:eastAsia="Calibri" w:cs="Arial"/>
          <w:color w:val="000000"/>
          <w:szCs w:val="20"/>
          <w:lang w:val="es-MX"/>
        </w:rPr>
      </w:pPr>
      <w:r>
        <w:rPr>
          <w:rFonts w:ascii="Arial" w:hAnsi="Arial" w:eastAsia="Calibri" w:cs="Arial"/>
          <w:noProof/>
          <w:color w:val="000000"/>
          <w:szCs w:val="20"/>
          <w:lang w:val="es-MX"/>
        </w:rPr>
        <w:drawing>
          <wp:inline distT="0" distB="0" distL="0" distR="0" wp14:anchorId="068EAD06" wp14:editId="5281AA4D">
            <wp:extent cx="3162300" cy="890691"/>
            <wp:effectExtent l="0" t="0" r="0" b="5080"/>
            <wp:docPr id="1068685818"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8685818" name="Imagen 1" descr="Texto&#10;&#10;Descripción generada automáticamente"/>
                    <pic:cNvPicPr/>
                  </pic:nvPicPr>
                  <pic:blipFill>
                    <a:blip r:embed="rId10">
                      <a:extLst>
                        <a:ext uri="{28A0092B-C50C-407E-A947-70E740481C1C}">
                          <a14:useLocalDpi xmlns:a14="http://schemas.microsoft.com/office/drawing/2010/main" val="0"/>
                        </a:ext>
                      </a:extLst>
                    </a:blip>
                    <a:stretch>
                      <a:fillRect/>
                    </a:stretch>
                  </pic:blipFill>
                  <pic:spPr>
                    <a:xfrm>
                      <a:off x="0" y="0"/>
                      <a:ext cx="3180458" cy="895805"/>
                    </a:xfrm>
                    <a:prstGeom prst="rect">
                      <a:avLst/>
                    </a:prstGeom>
                  </pic:spPr>
                </pic:pic>
              </a:graphicData>
            </a:graphic>
          </wp:inline>
        </w:drawing>
      </w:r>
    </w:p>
    <w:p w:rsidRPr="0098293C" w:rsidR="0098293C" w:rsidP="0098293C" w:rsidRDefault="0098293C" w14:paraId="529F8B28" w14:textId="77777777">
      <w:pPr>
        <w:spacing w:after="0" w:line="240" w:lineRule="auto"/>
        <w:rPr>
          <w:rFonts w:ascii="Arial" w:hAnsi="Arial" w:eastAsia="Calibri" w:cs="Arial"/>
          <w:color w:val="000000"/>
          <w:szCs w:val="20"/>
          <w:lang w:val="es-MX"/>
        </w:rPr>
      </w:pPr>
    </w:p>
    <w:p w:rsidRPr="0098293C" w:rsidR="0098293C" w:rsidP="0098293C" w:rsidRDefault="0098293C" w14:paraId="4DAA4F21" w14:textId="77777777">
      <w:pPr>
        <w:spacing w:after="0" w:line="240" w:lineRule="auto"/>
        <w:rPr>
          <w:rFonts w:ascii="Arial" w:hAnsi="Arial" w:eastAsia="Calibri" w:cs="Arial"/>
          <w:color w:val="000000"/>
          <w:szCs w:val="20"/>
          <w:lang w:val="es-MX"/>
        </w:rPr>
      </w:pPr>
      <w:r w:rsidRPr="0098293C">
        <w:rPr>
          <w:rFonts w:ascii="Arial" w:hAnsi="Arial" w:eastAsia="Calibri" w:cs="Arial"/>
          <w:color w:val="000000"/>
          <w:szCs w:val="20"/>
          <w:lang w:val="es-MX"/>
        </w:rPr>
        <w:t>Señor</w:t>
      </w:r>
    </w:p>
    <w:p w:rsidRPr="0098293C" w:rsidR="0098293C" w:rsidP="0098293C" w:rsidRDefault="00610A41" w14:paraId="19AA7769" w14:textId="372C20B9">
      <w:pPr>
        <w:spacing w:after="0" w:line="240" w:lineRule="auto"/>
        <w:rPr>
          <w:rFonts w:ascii="Arial" w:hAnsi="Arial" w:eastAsia="Calibri" w:cs="Arial"/>
          <w:b/>
          <w:color w:val="000000"/>
          <w:szCs w:val="20"/>
          <w:lang w:val="es-MX"/>
        </w:rPr>
      </w:pPr>
      <w:r w:rsidRPr="0098293C">
        <w:rPr>
          <w:rFonts w:ascii="Arial" w:hAnsi="Arial" w:eastAsia="Calibri" w:cs="Arial"/>
          <w:b/>
          <w:color w:val="000000"/>
          <w:szCs w:val="20"/>
          <w:lang w:val="es-MX"/>
        </w:rPr>
        <w:t>Sebastián</w:t>
      </w:r>
      <w:r w:rsidRPr="0098293C" w:rsidR="0098293C">
        <w:rPr>
          <w:rFonts w:ascii="Arial" w:hAnsi="Arial" w:eastAsia="Calibri" w:cs="Arial"/>
          <w:b/>
          <w:color w:val="000000"/>
          <w:szCs w:val="20"/>
          <w:lang w:val="es-MX"/>
        </w:rPr>
        <w:t xml:space="preserve"> Castaño Quinchía</w:t>
      </w:r>
    </w:p>
    <w:p w:rsidRPr="0098293C" w:rsidR="0098293C" w:rsidP="0098293C" w:rsidRDefault="0098293C" w14:paraId="3BB3C97E" w14:textId="77777777">
      <w:pPr>
        <w:spacing w:after="0" w:line="240" w:lineRule="auto"/>
        <w:rPr>
          <w:rFonts w:ascii="Arial" w:hAnsi="Arial" w:eastAsia="Calibri" w:cs="Arial"/>
          <w:color w:val="000000"/>
          <w:szCs w:val="20"/>
          <w:lang w:val="es-MX"/>
        </w:rPr>
      </w:pPr>
      <w:r w:rsidRPr="0098293C">
        <w:rPr>
          <w:rFonts w:ascii="Arial" w:hAnsi="Arial" w:eastAsia="Calibri" w:cs="Arial"/>
          <w:color w:val="000000"/>
          <w:szCs w:val="20"/>
          <w:lang w:val="es-MX"/>
        </w:rPr>
        <w:t>Marulanda, Caldas</w:t>
      </w:r>
    </w:p>
    <w:p w:rsidRPr="0098293C" w:rsidR="0098293C" w:rsidP="0098293C" w:rsidRDefault="0098293C" w14:paraId="7B45B226" w14:textId="77777777">
      <w:pPr>
        <w:spacing w:after="0" w:line="240" w:lineRule="auto"/>
        <w:rPr>
          <w:rFonts w:ascii="Arial" w:hAnsi="Arial" w:eastAsia="Calibri" w:cs="Arial"/>
          <w:color w:val="000000"/>
          <w:szCs w:val="20"/>
          <w:lang w:val="es-MX"/>
        </w:rPr>
      </w:pPr>
    </w:p>
    <w:p w:rsidRPr="0098293C" w:rsidR="0098293C" w:rsidP="0098293C" w:rsidRDefault="0098293C" w14:paraId="3BD051AB" w14:textId="77777777">
      <w:pPr>
        <w:spacing w:after="0" w:line="240" w:lineRule="auto"/>
        <w:rPr>
          <w:rFonts w:ascii="Arial" w:hAnsi="Arial" w:eastAsia="Calibri" w:cs="Arial"/>
          <w:color w:val="000000"/>
          <w:szCs w:val="20"/>
          <w:lang w:val="es-MX"/>
        </w:rPr>
      </w:pPr>
    </w:p>
    <w:p w:rsidRPr="0098293C" w:rsidR="0098293C" w:rsidP="0098293C" w:rsidRDefault="0098293C" w14:paraId="41D9DC52" w14:textId="77777777">
      <w:pPr>
        <w:spacing w:after="0" w:line="240" w:lineRule="auto"/>
        <w:ind w:left="2124"/>
        <w:rPr>
          <w:rFonts w:ascii="Arial" w:hAnsi="Arial" w:eastAsia="Calibri" w:cs="Arial"/>
          <w:b/>
          <w:color w:val="000000"/>
          <w:lang w:val="es-MX"/>
        </w:rPr>
      </w:pPr>
      <w:r w:rsidRPr="0098293C">
        <w:rPr>
          <w:rFonts w:ascii="Arial" w:hAnsi="Arial" w:eastAsia="Calibri" w:cs="Arial"/>
          <w:b/>
          <w:color w:val="000000"/>
          <w:lang w:val="es-MX"/>
        </w:rPr>
        <w:t xml:space="preserve">         Concepto C – 203 de 2023</w:t>
      </w:r>
    </w:p>
    <w:p w:rsidRPr="0098293C" w:rsidR="0098293C" w:rsidP="0098293C" w:rsidRDefault="0098293C" w14:paraId="5DE60F67" w14:textId="77777777">
      <w:pPr>
        <w:spacing w:after="0" w:line="240" w:lineRule="auto"/>
        <w:rPr>
          <w:rFonts w:ascii="Arial" w:hAnsi="Arial" w:eastAsia="Calibri" w:cs="Arial"/>
          <w:color w:val="000000"/>
          <w:lang w:val="es-MX"/>
        </w:rPr>
      </w:pPr>
    </w:p>
    <w:tbl>
      <w:tblPr>
        <w:tblStyle w:val="Tablaconcuadrcula"/>
        <w:tblW w:w="892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237"/>
      </w:tblGrid>
      <w:tr w:rsidRPr="0098293C" w:rsidR="0098293C" w:rsidTr="00EF6EA9" w14:paraId="222E521C" w14:textId="77777777">
        <w:tc>
          <w:tcPr>
            <w:tcW w:w="2689" w:type="dxa"/>
            <w:hideMark/>
          </w:tcPr>
          <w:p w:rsidRPr="0098293C" w:rsidR="0098293C" w:rsidP="0098293C" w:rsidRDefault="0098293C" w14:paraId="5DE9C58C" w14:textId="77777777">
            <w:pPr>
              <w:rPr>
                <w:rFonts w:ascii="Arial" w:hAnsi="Arial" w:eastAsia="Calibri" w:cs="Arial"/>
                <w:color w:val="000000"/>
              </w:rPr>
            </w:pPr>
            <w:r w:rsidRPr="0098293C">
              <w:rPr>
                <w:rFonts w:ascii="Arial" w:hAnsi="Arial" w:eastAsia="Calibri" w:cs="Arial"/>
                <w:b/>
                <w:color w:val="000000"/>
              </w:rPr>
              <w:t>Temas:</w:t>
            </w:r>
            <w:r w:rsidRPr="0098293C">
              <w:rPr>
                <w:rFonts w:ascii="Arial" w:hAnsi="Arial" w:eastAsia="Calibri" w:cs="Arial"/>
                <w:color w:val="000000"/>
              </w:rPr>
              <w:t xml:space="preserve">           </w:t>
            </w:r>
          </w:p>
          <w:p w:rsidRPr="0098293C" w:rsidR="0098293C" w:rsidP="0098293C" w:rsidRDefault="0098293C" w14:paraId="6C4C719C" w14:textId="77777777">
            <w:pPr>
              <w:rPr>
                <w:rFonts w:ascii="Arial" w:hAnsi="Arial" w:eastAsia="Calibri" w:cs="Arial"/>
                <w:color w:val="000000"/>
              </w:rPr>
            </w:pPr>
            <w:r w:rsidRPr="0098293C">
              <w:rPr>
                <w:rFonts w:ascii="Arial" w:hAnsi="Arial" w:eastAsia="Calibri" w:cs="Arial"/>
                <w:color w:val="000000"/>
              </w:rPr>
              <w:t xml:space="preserve">                           </w:t>
            </w:r>
          </w:p>
        </w:tc>
        <w:tc>
          <w:tcPr>
            <w:tcW w:w="6237" w:type="dxa"/>
            <w:hideMark/>
          </w:tcPr>
          <w:p w:rsidRPr="0098293C" w:rsidR="0098293C" w:rsidP="0098293C" w:rsidRDefault="0098293C" w14:paraId="4BAF6123" w14:textId="77777777">
            <w:pPr>
              <w:spacing w:after="120"/>
              <w:jc w:val="both"/>
              <w:rPr>
                <w:rFonts w:ascii="Arial" w:hAnsi="Arial" w:eastAsia="Calibri" w:cs="Arial"/>
                <w:color w:val="000000"/>
                <w:highlight w:val="yellow"/>
              </w:rPr>
            </w:pPr>
            <w:r w:rsidRPr="0098293C">
              <w:rPr>
                <w:rFonts w:ascii="Arial" w:hAnsi="Arial" w:eastAsia="Calibri" w:cs="Arial"/>
                <w:color w:val="000000"/>
              </w:rPr>
              <w:t>CONSTITUCIÓN POLÍTICA – Regímenes de contratación / CONSTITUCIÓN POLÍTICA – Normas especiales – Régimen de contratación aplicable / CONVENIOS PARÁGRAFO ARTÍCULO 5 LEY 687 DE 2001 – Artículo 8 Ley 1276 de 2009 – Artículo 16 Ley 1850 de 2017 – Régimen de contratación aplicable / CONTRATACIÓN CON ESAL – Contrato de colaboración – Objeto – Alcance / CONTRATACIÓN CON ESAL – Convenios de asociación – Finalidad – Objeto</w:t>
            </w:r>
          </w:p>
        </w:tc>
      </w:tr>
      <w:tr w:rsidRPr="0098293C" w:rsidR="0098293C" w:rsidTr="00EF6EA9" w14:paraId="483F6E0C" w14:textId="77777777">
        <w:tc>
          <w:tcPr>
            <w:tcW w:w="2689" w:type="dxa"/>
          </w:tcPr>
          <w:p w:rsidRPr="0098293C" w:rsidR="0098293C" w:rsidP="0098293C" w:rsidRDefault="0098293C" w14:paraId="6610C034" w14:textId="77777777">
            <w:pPr>
              <w:rPr>
                <w:rFonts w:ascii="Arial" w:hAnsi="Arial" w:eastAsia="Calibri" w:cs="Arial"/>
                <w:b/>
                <w:color w:val="000000"/>
              </w:rPr>
            </w:pPr>
            <w:r w:rsidRPr="0098293C">
              <w:rPr>
                <w:rFonts w:ascii="Arial" w:hAnsi="Arial" w:eastAsia="Calibri" w:cs="Arial"/>
                <w:b/>
                <w:color w:val="000000"/>
              </w:rPr>
              <w:t>Radicación:</w:t>
            </w:r>
            <w:r w:rsidRPr="0098293C">
              <w:rPr>
                <w:rFonts w:ascii="Arial" w:hAnsi="Arial" w:eastAsia="Calibri" w:cs="Arial"/>
                <w:color w:val="000000"/>
              </w:rPr>
              <w:t xml:space="preserve">                              </w:t>
            </w:r>
          </w:p>
        </w:tc>
        <w:tc>
          <w:tcPr>
            <w:tcW w:w="6237" w:type="dxa"/>
          </w:tcPr>
          <w:p w:rsidRPr="0098293C" w:rsidR="0098293C" w:rsidP="0098293C" w:rsidRDefault="0098293C" w14:paraId="2BAA8866" w14:textId="77777777">
            <w:pPr>
              <w:spacing w:before="60"/>
              <w:jc w:val="both"/>
              <w:rPr>
                <w:rFonts w:ascii="Arial" w:hAnsi="Arial" w:eastAsia="Calibri" w:cs="Arial"/>
                <w:color w:val="000000"/>
              </w:rPr>
            </w:pPr>
            <w:r w:rsidRPr="0098293C">
              <w:rPr>
                <w:rFonts w:ascii="Arial" w:hAnsi="Arial" w:eastAsia="Calibri" w:cs="Arial"/>
                <w:color w:val="000000"/>
              </w:rPr>
              <w:t>Respuesta a consulta P20230505004002</w:t>
            </w:r>
          </w:p>
        </w:tc>
      </w:tr>
    </w:tbl>
    <w:p w:rsidRPr="0098293C" w:rsidR="0098293C" w:rsidP="0098293C" w:rsidRDefault="0098293C" w14:paraId="446D96A7" w14:textId="77777777">
      <w:pPr>
        <w:spacing w:after="0" w:line="240" w:lineRule="auto"/>
        <w:jc w:val="both"/>
        <w:rPr>
          <w:rFonts w:ascii="Arial" w:hAnsi="Arial" w:eastAsia="Calibri" w:cs="Arial"/>
          <w:color w:val="000000"/>
          <w:lang w:val="es-MX"/>
        </w:rPr>
      </w:pPr>
    </w:p>
    <w:p w:rsidRPr="0098293C" w:rsidR="0098293C" w:rsidP="0098293C" w:rsidRDefault="0098293C" w14:paraId="3B396BC5" w14:textId="77777777">
      <w:pPr>
        <w:spacing w:before="120" w:after="0" w:line="240" w:lineRule="auto"/>
        <w:rPr>
          <w:rFonts w:ascii="Arial" w:hAnsi="Arial" w:eastAsia="Calibri" w:cs="Arial"/>
          <w:color w:val="000000"/>
          <w:lang w:val="es-MX"/>
        </w:rPr>
      </w:pPr>
      <w:r w:rsidRPr="0098293C">
        <w:rPr>
          <w:rFonts w:ascii="Arial" w:hAnsi="Arial" w:eastAsia="Calibri" w:cs="Arial"/>
          <w:color w:val="000000"/>
          <w:lang w:val="es-MX"/>
        </w:rPr>
        <w:t>Estimado señor Castaño Quinchía:</w:t>
      </w:r>
    </w:p>
    <w:p w:rsidRPr="0098293C" w:rsidR="0098293C" w:rsidP="0098293C" w:rsidRDefault="0098293C" w14:paraId="24E83C02" w14:textId="77777777">
      <w:pPr>
        <w:spacing w:after="0" w:line="276" w:lineRule="auto"/>
        <w:ind w:right="51"/>
        <w:jc w:val="both"/>
        <w:rPr>
          <w:rFonts w:ascii="Arial" w:hAnsi="Arial" w:eastAsia="Calibri" w:cs="Arial"/>
          <w:color w:val="000000"/>
          <w:lang w:val="es-MX"/>
        </w:rPr>
      </w:pPr>
    </w:p>
    <w:p w:rsidRPr="0098293C" w:rsidR="0098293C" w:rsidP="0098293C" w:rsidRDefault="0098293C" w14:paraId="7C52F197" w14:textId="77777777">
      <w:pPr>
        <w:spacing w:after="0" w:line="276" w:lineRule="auto"/>
        <w:ind w:right="51"/>
        <w:jc w:val="both"/>
        <w:rPr>
          <w:rFonts w:ascii="Arial" w:hAnsi="Arial" w:eastAsia="Calibri" w:cs="Arial"/>
          <w:color w:val="000000"/>
          <w:lang w:val="es-MX"/>
        </w:rPr>
      </w:pPr>
      <w:r w:rsidRPr="0098293C">
        <w:rPr>
          <w:rFonts w:ascii="Arial" w:hAnsi="Arial" w:eastAsia="Calibri" w:cs="Arial"/>
          <w:color w:val="000000"/>
          <w:lang w:val="es-MX"/>
        </w:rPr>
        <w:t xml:space="preserve">En ejercicio de la competencia otorgada por el numeral 8 del artículo 11 y el numeral 5 del artículo 3 del Decreto Ley 4170 de 2011, la Agencia Nacional de Contratación Pública – Colombia Compra Eficiente responde su consulta del 5 de mayo del año 2023. </w:t>
      </w:r>
    </w:p>
    <w:p w:rsidRPr="0098293C" w:rsidR="0098293C" w:rsidP="0098293C" w:rsidRDefault="0098293C" w14:paraId="150B1808" w14:textId="77777777">
      <w:pPr>
        <w:tabs>
          <w:tab w:val="left" w:pos="284"/>
        </w:tabs>
        <w:spacing w:before="120" w:after="0" w:line="240" w:lineRule="auto"/>
        <w:contextualSpacing/>
        <w:jc w:val="both"/>
        <w:rPr>
          <w:rFonts w:ascii="Arial" w:hAnsi="Arial" w:eastAsia="Calibri" w:cs="Arial"/>
          <w:color w:val="000000"/>
          <w:lang w:val="es-MX"/>
        </w:rPr>
      </w:pPr>
    </w:p>
    <w:p w:rsidRPr="0098293C" w:rsidR="0098293C" w:rsidP="0098293C" w:rsidRDefault="0098293C" w14:paraId="65A5AD37" w14:textId="77777777">
      <w:pPr>
        <w:tabs>
          <w:tab w:val="left" w:pos="284"/>
        </w:tabs>
        <w:spacing w:after="0" w:line="240" w:lineRule="auto"/>
        <w:contextualSpacing/>
        <w:jc w:val="both"/>
        <w:rPr>
          <w:rFonts w:ascii="Arial" w:hAnsi="Arial" w:eastAsia="Calibri" w:cs="Arial"/>
          <w:b/>
          <w:color w:val="000000"/>
          <w:lang w:val="es-MX"/>
        </w:rPr>
      </w:pPr>
      <w:r w:rsidRPr="0098293C">
        <w:rPr>
          <w:rFonts w:ascii="Arial" w:hAnsi="Arial" w:eastAsia="Calibri" w:cs="Arial"/>
          <w:b/>
          <w:color w:val="000000"/>
          <w:lang w:val="es-MX"/>
        </w:rPr>
        <w:t>1.</w:t>
      </w:r>
      <w:r w:rsidRPr="0098293C">
        <w:rPr>
          <w:rFonts w:ascii="Arial" w:hAnsi="Arial" w:eastAsia="Calibri" w:cs="Arial"/>
          <w:color w:val="000000"/>
          <w:lang w:val="es-MX"/>
        </w:rPr>
        <w:t xml:space="preserve"> </w:t>
      </w:r>
      <w:r w:rsidRPr="0098293C">
        <w:rPr>
          <w:rFonts w:ascii="Arial" w:hAnsi="Arial" w:eastAsia="Calibri" w:cs="Arial"/>
          <w:b/>
          <w:color w:val="000000"/>
          <w:lang w:val="es-MX"/>
        </w:rPr>
        <w:t xml:space="preserve">Problema planteado </w:t>
      </w:r>
    </w:p>
    <w:p w:rsidRPr="0098293C" w:rsidR="0098293C" w:rsidP="0098293C" w:rsidRDefault="0098293C" w14:paraId="1FF30DAB" w14:textId="77777777">
      <w:pPr>
        <w:tabs>
          <w:tab w:val="left" w:pos="284"/>
        </w:tabs>
        <w:spacing w:before="120" w:after="0" w:line="240" w:lineRule="auto"/>
        <w:contextualSpacing/>
        <w:jc w:val="both"/>
        <w:rPr>
          <w:rFonts w:ascii="Arial" w:hAnsi="Arial" w:eastAsia="Calibri" w:cs="Arial"/>
          <w:b/>
          <w:color w:val="000000"/>
          <w:lang w:val="es-MX"/>
        </w:rPr>
      </w:pPr>
    </w:p>
    <w:p w:rsidRPr="0098293C" w:rsidR="0098293C" w:rsidP="0098293C" w:rsidRDefault="0098293C" w14:paraId="4A60282C" w14:textId="77777777">
      <w:pPr>
        <w:tabs>
          <w:tab w:val="left" w:pos="426"/>
        </w:tabs>
        <w:spacing w:after="0" w:line="276" w:lineRule="auto"/>
        <w:jc w:val="both"/>
        <w:rPr>
          <w:rFonts w:ascii="Arial" w:hAnsi="Arial" w:eastAsia="Calibri" w:cs="Arial"/>
          <w:color w:val="000000"/>
          <w:lang w:val="es-MX"/>
        </w:rPr>
      </w:pPr>
      <w:r w:rsidRPr="0098293C">
        <w:rPr>
          <w:rFonts w:ascii="Arial" w:hAnsi="Arial" w:eastAsia="Calibri" w:cs="Arial"/>
          <w:color w:val="000000"/>
          <w:lang w:val="es-MX"/>
        </w:rPr>
        <w:t>Usted realiza la siguiente pregunta:</w:t>
      </w:r>
      <w:r w:rsidRPr="0098293C">
        <w:rPr>
          <w:rFonts w:ascii="Arial" w:hAnsi="Arial" w:eastAsia="Calibri" w:cs="Arial"/>
          <w:sz w:val="24"/>
          <w:lang w:val="es-MX"/>
        </w:rPr>
        <w:t xml:space="preserve"> “</w:t>
      </w:r>
      <w:r w:rsidRPr="0098293C">
        <w:rPr>
          <w:rFonts w:ascii="Arial" w:hAnsi="Arial" w:eastAsia="Calibri" w:cs="Arial"/>
          <w:color w:val="000000"/>
          <w:lang w:val="es-MX"/>
        </w:rPr>
        <w:t>[q]uisiera saber si para la contratación estipulada en el parágrafo del artículo 5 de la ley 687 de 2001 se puede realizar de manera directa con una ESAL y por ende si se debe cumplir con todo lo reglamentado en el decreto 092 de 2017, en especial con las reglas contempladas en el artículo 5 del precitado decreto”.</w:t>
      </w:r>
    </w:p>
    <w:p w:rsidRPr="0098293C" w:rsidR="0098293C" w:rsidP="0098293C" w:rsidRDefault="0098293C" w14:paraId="65F1EBA9" w14:textId="77777777">
      <w:pPr>
        <w:tabs>
          <w:tab w:val="left" w:pos="426"/>
        </w:tabs>
        <w:spacing w:after="0" w:line="240" w:lineRule="auto"/>
        <w:jc w:val="both"/>
        <w:rPr>
          <w:rFonts w:ascii="Arial" w:hAnsi="Arial" w:eastAsia="Calibri" w:cs="Arial"/>
          <w:color w:val="000000"/>
          <w:lang w:val="es-MX"/>
        </w:rPr>
      </w:pPr>
    </w:p>
    <w:p w:rsidRPr="0098293C" w:rsidR="0098293C" w:rsidP="0098293C" w:rsidRDefault="0098293C" w14:paraId="0CEA9DC5" w14:textId="77777777">
      <w:pPr>
        <w:tabs>
          <w:tab w:val="left" w:pos="426"/>
        </w:tabs>
        <w:spacing w:after="0" w:line="240" w:lineRule="auto"/>
        <w:jc w:val="both"/>
        <w:rPr>
          <w:rFonts w:ascii="Arial" w:hAnsi="Arial" w:eastAsia="Calibri" w:cs="Arial"/>
          <w:b/>
          <w:color w:val="000000"/>
          <w:lang w:val="es-MX"/>
        </w:rPr>
      </w:pPr>
      <w:r w:rsidRPr="0098293C">
        <w:rPr>
          <w:rFonts w:ascii="Arial" w:hAnsi="Arial" w:eastAsia="Calibri" w:cs="Arial"/>
          <w:b/>
          <w:color w:val="000000"/>
          <w:lang w:val="es-MX"/>
        </w:rPr>
        <w:t>2.</w:t>
      </w:r>
      <w:r w:rsidRPr="0098293C">
        <w:rPr>
          <w:rFonts w:ascii="Arial" w:hAnsi="Arial" w:eastAsia="Calibri" w:cs="Arial"/>
          <w:color w:val="000000"/>
          <w:lang w:val="es-MX"/>
        </w:rPr>
        <w:t xml:space="preserve"> </w:t>
      </w:r>
      <w:r w:rsidRPr="0098293C">
        <w:rPr>
          <w:rFonts w:ascii="Arial" w:hAnsi="Arial" w:eastAsia="Calibri" w:cs="Arial"/>
          <w:b/>
          <w:color w:val="000000"/>
          <w:lang w:val="es-MX"/>
        </w:rPr>
        <w:t>Consideraciones</w:t>
      </w:r>
    </w:p>
    <w:p w:rsidRPr="0098293C" w:rsidR="0098293C" w:rsidP="0098293C" w:rsidRDefault="0098293C" w14:paraId="1FB34D35" w14:textId="77777777">
      <w:pPr>
        <w:tabs>
          <w:tab w:val="left" w:pos="284"/>
        </w:tabs>
        <w:spacing w:after="0" w:line="240" w:lineRule="auto"/>
        <w:contextualSpacing/>
        <w:jc w:val="both"/>
        <w:rPr>
          <w:rFonts w:ascii="Arial" w:hAnsi="Arial" w:eastAsia="Calibri" w:cs="Arial"/>
          <w:b/>
          <w:color w:val="000000"/>
          <w:lang w:val="es-MX"/>
        </w:rPr>
      </w:pPr>
    </w:p>
    <w:p w:rsidRPr="0098293C" w:rsidR="0098293C" w:rsidP="0098293C" w:rsidRDefault="0098293C" w14:paraId="3CA5BE66" w14:textId="77777777">
      <w:pPr>
        <w:spacing w:after="0" w:line="276" w:lineRule="auto"/>
        <w:jc w:val="both"/>
        <w:rPr>
          <w:rFonts w:ascii="Arial" w:hAnsi="Arial" w:eastAsia="Calibri" w:cs="Arial"/>
          <w:color w:val="000000"/>
          <w:lang w:val="es-MX"/>
        </w:rPr>
      </w:pPr>
      <w:r w:rsidRPr="0098293C">
        <w:rPr>
          <w:rFonts w:ascii="Arial" w:hAnsi="Arial" w:eastAsia="Calibri" w:cs="Arial"/>
          <w:color w:val="000000"/>
          <w:lang w:val="es-ES_tradnl"/>
        </w:rPr>
        <w:t xml:space="preserve">La Agencia Nacional de Contratación Pública – Colombia Compra Eficiente se pronunció sobre el fundamento de los regímenes de contratación y, particularmente, el alcance y la aplicación del Decreto 092 de 2017 a los convenios objeto de consulta, en los conceptos C-220, C-223 del 13 y el 29 de abril de 2020 y C-596 del 23 de octubre de 2021. Así mismo, </w:t>
      </w:r>
      <w:r w:rsidRPr="0098293C">
        <w:rPr>
          <w:rFonts w:ascii="Arial" w:hAnsi="Arial" w:eastAsia="Calibri" w:cs="Arial"/>
          <w:color w:val="000000"/>
          <w:lang w:val="es-ES_tradnl"/>
        </w:rPr>
        <w:t xml:space="preserve">esta entidad </w:t>
      </w:r>
      <w:r w:rsidRPr="0098293C">
        <w:rPr>
          <w:rFonts w:ascii="Arial" w:hAnsi="Arial" w:eastAsia="Calibri" w:cs="Arial"/>
          <w:color w:val="000000"/>
          <w:lang w:val="es-MX"/>
        </w:rPr>
        <w:t xml:space="preserve">se ha pronunciado en diferentes conceptos sobre la contratación con entidades privadas sin ánimo de lucro y de reconocida idoneidad –en adelante ESAL–, en los conceptos 4201912000008310 del 26 de diciembre de 2019, 4201912000007899 del 27 de diciembre de 2019, 4201912000007901 del 27 de diciembre de 2019, C-594 del 7 de septiembre de 2020, C-670 del 22 de noviembre de 2020, C-689 del 1 de diciembre de 2020, C-724 de 14 de diciembre de 2020, C-749 del 23 de diciembre de 2020, C-758 del 04 de enero de 2021, C-806 de 8 de febrero de 2021, C-364 de 26 de julio de 2021, C-379 de 20 de julio de 2021, C-537 del 27 de septiembre de 2021, C-021 del 22 de febrero de 2022, C-447 del 26 de julio del 2022, C-550 del 30 de agosto del 2022 y C-132 del 12 de abril de 2023. Igualmente, en los conceptos C-447 del 27 de julio de 2020, </w:t>
      </w:r>
      <w:r w:rsidRPr="0098293C">
        <w:rPr>
          <w:rFonts w:ascii="Arial" w:hAnsi="Arial" w:eastAsia="Calibri" w:cs="Arial"/>
          <w:bCs/>
          <w:color w:val="000000"/>
          <w:lang w:val="es-MX"/>
        </w:rPr>
        <w:t>C-594 del 7 de septiembre y C-758 de 4 de enero de 2021,</w:t>
      </w:r>
      <w:r w:rsidRPr="0098293C">
        <w:rPr>
          <w:rFonts w:ascii="Arial" w:hAnsi="Arial" w:eastAsia="Calibri" w:cs="Arial"/>
          <w:color w:val="000000"/>
          <w:lang w:val="es-MX"/>
        </w:rPr>
        <w:t xml:space="preserve"> estudió el alcance de los convenios regulados por el artículo 5 de la Ley 678 de 2001, </w:t>
      </w:r>
      <w:r w:rsidRPr="0098293C">
        <w:rPr>
          <w:rFonts w:ascii="Arial" w:hAnsi="Arial" w:eastAsia="Calibri" w:cs="Arial"/>
          <w:color w:val="000000"/>
          <w:lang w:val="es-ES_tradnl"/>
        </w:rPr>
        <w:t>modificado por el artículo 16 de la Ley 1850 de 2017.</w:t>
      </w:r>
      <w:r w:rsidRPr="0098293C">
        <w:rPr>
          <w:rFonts w:ascii="Arial" w:hAnsi="Arial" w:eastAsia="Calibri" w:cs="Arial"/>
          <w:color w:val="000000"/>
          <w:lang w:val="es-MX"/>
        </w:rPr>
        <w:t xml:space="preserve"> Las tesis propuestas, en lo pertinente, se reiteran a continuación y se complementan en lo que corresponde.</w:t>
      </w:r>
    </w:p>
    <w:p w:rsidRPr="0098293C" w:rsidR="0098293C" w:rsidP="0098293C" w:rsidRDefault="0098293C" w14:paraId="3D862838" w14:textId="77777777">
      <w:pPr>
        <w:spacing w:after="0" w:line="276" w:lineRule="auto"/>
        <w:jc w:val="both"/>
        <w:rPr>
          <w:rFonts w:ascii="Arial" w:hAnsi="Arial" w:eastAsia="Calibri" w:cs="Arial"/>
          <w:color w:val="000000"/>
          <w:lang w:val="es-MX"/>
        </w:rPr>
      </w:pPr>
    </w:p>
    <w:p w:rsidRPr="0098293C" w:rsidR="0098293C" w:rsidP="0098293C" w:rsidRDefault="0098293C" w14:paraId="5EC1CC07" w14:textId="77777777">
      <w:pPr>
        <w:spacing w:after="0" w:line="276" w:lineRule="auto"/>
        <w:jc w:val="both"/>
        <w:rPr>
          <w:rFonts w:ascii="Arial" w:hAnsi="Arial" w:eastAsia="Calibri" w:cs="Arial"/>
          <w:b/>
          <w:bCs/>
          <w:color w:val="000000"/>
          <w:lang w:val="es-MX"/>
        </w:rPr>
      </w:pPr>
      <w:r w:rsidRPr="0098293C">
        <w:rPr>
          <w:rFonts w:ascii="Arial" w:hAnsi="Arial" w:eastAsia="Calibri" w:cs="Arial"/>
          <w:b/>
          <w:bCs/>
          <w:color w:val="000000"/>
          <w:lang w:val="es-MX"/>
        </w:rPr>
        <w:t xml:space="preserve">2.1. Constitución Política de 1991: </w:t>
      </w:r>
      <w:r w:rsidRPr="0098293C">
        <w:rPr>
          <w:rFonts w:ascii="Arial" w:hAnsi="Arial" w:eastAsia="Calibri" w:cs="Arial"/>
          <w:b/>
          <w:bCs/>
          <w:color w:val="000000"/>
          <w:lang w:val="es-ES_tradnl"/>
        </w:rPr>
        <w:t>fundamento de los regímenes de contratación, alcance y aplicación del Decreto 092 de 2017</w:t>
      </w:r>
    </w:p>
    <w:p w:rsidRPr="0098293C" w:rsidR="0098293C" w:rsidP="0098293C" w:rsidRDefault="0098293C" w14:paraId="4BBD00A9" w14:textId="77777777">
      <w:pPr>
        <w:spacing w:after="0" w:line="276" w:lineRule="auto"/>
        <w:jc w:val="both"/>
        <w:rPr>
          <w:rFonts w:ascii="Arial" w:hAnsi="Arial" w:eastAsia="Calibri" w:cs="Arial"/>
          <w:color w:val="000000"/>
          <w:lang w:val="es-MX"/>
        </w:rPr>
      </w:pPr>
    </w:p>
    <w:p w:rsidRPr="0098293C" w:rsidR="0098293C" w:rsidP="0098293C" w:rsidRDefault="0098293C" w14:paraId="2CCF1E40" w14:textId="68E937AE">
      <w:pPr>
        <w:spacing w:after="0" w:line="276" w:lineRule="auto"/>
        <w:jc w:val="both"/>
        <w:rPr>
          <w:rFonts w:ascii="Arial" w:hAnsi="Arial" w:eastAsia="Calibri" w:cs="Arial"/>
          <w:color w:val="000000"/>
          <w:lang w:val="es-ES_tradnl"/>
        </w:rPr>
      </w:pPr>
      <w:r w:rsidRPr="0098293C">
        <w:rPr>
          <w:rFonts w:ascii="Arial" w:hAnsi="Arial" w:eastAsia="Calibri" w:cs="Arial"/>
          <w:color w:val="000000"/>
          <w:lang w:val="es-ES_tradnl"/>
        </w:rPr>
        <w:t xml:space="preserve">La Constitución Política de 1991 establece tres (3) regímenes de contratación. El </w:t>
      </w:r>
      <w:r w:rsidRPr="0098293C">
        <w:rPr>
          <w:rFonts w:ascii="Arial" w:hAnsi="Arial" w:eastAsia="Calibri" w:cs="Arial"/>
          <w:i/>
          <w:color w:val="000000"/>
          <w:lang w:val="es-ES_tradnl"/>
        </w:rPr>
        <w:t xml:space="preserve">primero </w:t>
      </w:r>
      <w:r w:rsidRPr="0098293C">
        <w:rPr>
          <w:rFonts w:ascii="Arial" w:hAnsi="Arial" w:eastAsia="Calibri" w:cs="Arial"/>
          <w:color w:val="000000"/>
          <w:lang w:val="es-ES_tradnl"/>
        </w:rPr>
        <w:t>se fundamenta en la competencia prevista en el inciso final del artículo 150 superior, por el cual se faculta al Congreso de la República para expedir un Estatuto General de Contratación de la Administración Pública</w:t>
      </w:r>
      <w:r w:rsidR="007648AD">
        <w:rPr>
          <w:rFonts w:ascii="Arial" w:hAnsi="Arial" w:eastAsia="Calibri" w:cs="Arial"/>
          <w:color w:val="000000"/>
          <w:lang w:val="es-ES_tradnl"/>
        </w:rPr>
        <w:t xml:space="preserve"> -</w:t>
      </w:r>
      <w:r w:rsidRPr="007648AD" w:rsidR="007648AD">
        <w:rPr>
          <w:rFonts w:ascii="Arial" w:hAnsi="Arial" w:eastAsia="Calibri" w:cs="Arial"/>
          <w:color w:val="000000"/>
          <w:lang w:val="es-ES_tradnl"/>
        </w:rPr>
        <w:t xml:space="preserve"> </w:t>
      </w:r>
      <w:r w:rsidRPr="0098293C" w:rsidR="007648AD">
        <w:rPr>
          <w:rFonts w:ascii="Arial" w:hAnsi="Arial" w:eastAsia="Calibri" w:cs="Arial"/>
          <w:color w:val="000000"/>
          <w:lang w:val="es-ES_tradnl"/>
        </w:rPr>
        <w:t>EGCAP</w:t>
      </w:r>
      <w:r w:rsidRPr="0098293C">
        <w:rPr>
          <w:rFonts w:ascii="Arial" w:hAnsi="Arial" w:eastAsia="Calibri" w:cs="Arial"/>
          <w:color w:val="000000"/>
          <w:lang w:val="es-ES_tradnl"/>
        </w:rPr>
        <w:t xml:space="preserve">. El </w:t>
      </w:r>
      <w:r w:rsidRPr="0098293C">
        <w:rPr>
          <w:rFonts w:ascii="Arial" w:hAnsi="Arial" w:eastAsia="Calibri" w:cs="Arial"/>
          <w:i/>
          <w:color w:val="000000"/>
          <w:lang w:val="es-ES_tradnl"/>
        </w:rPr>
        <w:t>segundo</w:t>
      </w:r>
      <w:r w:rsidRPr="0098293C">
        <w:rPr>
          <w:rFonts w:ascii="Arial" w:hAnsi="Arial" w:eastAsia="Calibri" w:cs="Arial"/>
          <w:color w:val="000000"/>
          <w:lang w:val="es-ES_tradnl"/>
        </w:rPr>
        <w:t xml:space="preserve"> se relaciona con la posibilidad de crear regímenes especiales, caso en el cual la Constitución los exceptúa directamente, como sucede con las universidades públicas y el Banco de la República –arts. 69 y 371–, o permite que la ley defina el régimen jurídico de determinados órganos del Estado, como en el caso de las entidades descentralizadas por servicios –art. 210– y las empresas de servicios públicos domiciliarios –art. 365–. Finalmente, el citado artículo 355 establece el régimen de los contratos con las ESAL, el cual –además de extenderse a los </w:t>
      </w:r>
      <w:r w:rsidRPr="0098293C">
        <w:rPr>
          <w:rFonts w:ascii="Arial" w:hAnsi="Arial" w:eastAsia="Calibri" w:cs="Arial"/>
          <w:i/>
          <w:iCs/>
          <w:color w:val="000000"/>
          <w:lang w:val="es-ES_tradnl"/>
        </w:rPr>
        <w:t>convenios de asociación</w:t>
      </w:r>
      <w:r w:rsidRPr="0098293C">
        <w:rPr>
          <w:rFonts w:ascii="Arial" w:hAnsi="Arial" w:eastAsia="Calibri" w:cs="Arial"/>
          <w:color w:val="000000"/>
          <w:lang w:val="es-ES_tradnl"/>
        </w:rPr>
        <w:t xml:space="preserve"> en virtud de lo dispuesto en el artículo 96 de la Ley 489 de 1998– se desarrolló a través del Decreto 092 de 2017. </w:t>
      </w:r>
    </w:p>
    <w:p w:rsidRPr="0098293C" w:rsidR="0098293C" w:rsidP="0098293C" w:rsidRDefault="0098293C" w14:paraId="20C84256" w14:textId="77777777">
      <w:pPr>
        <w:spacing w:before="120" w:after="0" w:line="276" w:lineRule="auto"/>
        <w:jc w:val="both"/>
        <w:rPr>
          <w:rFonts w:ascii="Arial" w:hAnsi="Arial" w:eastAsia="Calibri" w:cs="Arial"/>
          <w:color w:val="000000"/>
          <w:lang w:val="es-ES_tradnl"/>
        </w:rPr>
      </w:pPr>
      <w:r w:rsidRPr="0098293C">
        <w:rPr>
          <w:rFonts w:ascii="Arial" w:hAnsi="Arial" w:eastAsia="Calibri" w:cs="Arial"/>
          <w:color w:val="000000"/>
          <w:lang w:val="es-ES_tradnl"/>
        </w:rPr>
        <w:tab/>
      </w:r>
      <w:r w:rsidRPr="0098293C">
        <w:rPr>
          <w:rFonts w:ascii="Arial" w:hAnsi="Arial" w:eastAsia="Calibri" w:cs="Arial"/>
          <w:color w:val="000000"/>
          <w:lang w:val="es-ES_tradnl"/>
        </w:rPr>
        <w:t xml:space="preserve">Los primeros dos regímenes se caracterizan por la exhaustiva regulación de la actividad contractual. Los contratos sometidos al EGCAP, aunque se rigen por el derecho público, permiten la aplicación del derecho civil y comercial en los casos previstos en los artículos 13, 32 y 40 de la Ley 80 de 1993. Además, pese a la aplicación de las normas comunes sobre obligaciones y contratos en las entidades del régimen exceptuado, deben respetar los principios de la función administrativa, de la gestión fiscal y el régimen de inhabilidades e incompatibilidades, los cuales se concretan en los respectivos manuales de contratación –Ley 1150 de 2007, art. 13–. Sin embargo, en relación con la regulación de los </w:t>
      </w:r>
      <w:r w:rsidRPr="0098293C">
        <w:rPr>
          <w:rFonts w:ascii="Arial" w:hAnsi="Arial" w:eastAsia="Calibri" w:cs="Arial"/>
          <w:i/>
          <w:iCs/>
          <w:color w:val="000000"/>
          <w:lang w:val="es-ES_tradnl"/>
        </w:rPr>
        <w:t>contratos del art. 355 de la Constitución</w:t>
      </w:r>
      <w:r w:rsidRPr="0098293C">
        <w:rPr>
          <w:rFonts w:ascii="Arial" w:hAnsi="Arial" w:eastAsia="Calibri" w:cs="Arial"/>
          <w:color w:val="000000"/>
          <w:lang w:val="es-ES_tradnl"/>
        </w:rPr>
        <w:t xml:space="preserve"> y los </w:t>
      </w:r>
      <w:r w:rsidRPr="0098293C">
        <w:rPr>
          <w:rFonts w:ascii="Arial" w:hAnsi="Arial" w:eastAsia="Calibri" w:cs="Arial"/>
          <w:i/>
          <w:iCs/>
          <w:color w:val="000000"/>
          <w:lang w:val="es-ES_tradnl"/>
        </w:rPr>
        <w:t>convenios de asociación</w:t>
      </w:r>
      <w:r w:rsidRPr="0098293C">
        <w:rPr>
          <w:rFonts w:ascii="Arial" w:hAnsi="Arial" w:eastAsia="Calibri" w:cs="Arial"/>
          <w:color w:val="000000"/>
          <w:lang w:val="es-ES_tradnl"/>
        </w:rPr>
        <w:t xml:space="preserve">, los artículos 6, 7 y 8 del </w:t>
      </w:r>
      <w:bookmarkStart w:name="_Hlk38214426" w:id="2"/>
      <w:r w:rsidRPr="0098293C">
        <w:rPr>
          <w:rFonts w:ascii="Arial" w:hAnsi="Arial" w:eastAsia="Calibri" w:cs="Arial"/>
          <w:color w:val="000000"/>
          <w:lang w:val="es-ES_tradnl"/>
        </w:rPr>
        <w:t>Decreto 092 de 2017</w:t>
      </w:r>
      <w:bookmarkEnd w:id="2"/>
      <w:r w:rsidRPr="0098293C">
        <w:rPr>
          <w:rFonts w:ascii="Arial" w:hAnsi="Arial" w:eastAsia="Calibri" w:cs="Arial"/>
          <w:color w:val="000000"/>
          <w:lang w:val="es-ES_tradnl"/>
        </w:rPr>
        <w:t xml:space="preserve"> disponen lo siguiente:</w:t>
      </w:r>
    </w:p>
    <w:p w:rsidRPr="0098293C" w:rsidR="0098293C" w:rsidP="0098293C" w:rsidRDefault="0098293C" w14:paraId="3DA5A2DA" w14:textId="77777777">
      <w:pPr>
        <w:spacing w:after="0" w:line="240" w:lineRule="auto"/>
        <w:jc w:val="both"/>
        <w:rPr>
          <w:rFonts w:ascii="Arial" w:hAnsi="Arial" w:eastAsia="Calibri" w:cs="Arial"/>
          <w:color w:val="000000"/>
          <w:lang w:val="es-ES_tradnl"/>
        </w:rPr>
      </w:pPr>
    </w:p>
    <w:p w:rsidRPr="0098293C" w:rsidR="0098293C" w:rsidP="0098293C" w:rsidRDefault="00BF778C" w14:paraId="16655539" w14:textId="14418A58">
      <w:pPr>
        <w:spacing w:after="0" w:line="240" w:lineRule="auto"/>
        <w:ind w:left="709" w:right="709"/>
        <w:jc w:val="both"/>
        <w:rPr>
          <w:rFonts w:ascii="Arial" w:hAnsi="Arial" w:eastAsia="Calibri" w:cs="Arial"/>
          <w:color w:val="000000"/>
          <w:sz w:val="21"/>
          <w:szCs w:val="21"/>
          <w:lang w:val="es-ES_tradnl"/>
        </w:rPr>
      </w:pPr>
      <w:r>
        <w:rPr>
          <w:rFonts w:ascii="Arial" w:hAnsi="Arial" w:eastAsia="Calibri" w:cs="Arial"/>
          <w:color w:val="000000"/>
          <w:sz w:val="21"/>
          <w:szCs w:val="21"/>
          <w:lang w:val="es-ES_tradnl"/>
        </w:rPr>
        <w:t>“</w:t>
      </w:r>
      <w:r w:rsidRPr="0098293C" w:rsidR="0098293C">
        <w:rPr>
          <w:rFonts w:ascii="Arial" w:hAnsi="Arial" w:eastAsia="Calibri" w:cs="Arial"/>
          <w:color w:val="000000"/>
          <w:sz w:val="21"/>
          <w:szCs w:val="21"/>
          <w:lang w:val="es-ES_tradnl"/>
        </w:rPr>
        <w:t>Artículo 6°. Prohibiciones, inhabilidades e incompatibilidades. Las prohibiciones, inhabilidades e incompatibilidades establecidas en la Constitución y en las Leyes 80 de 1993, 1150 de 2007 y 1474 de 2011, y en las normas que las modifiquen, aclaren, adicionen o sustituyan, o en cualquier otra norma especial, son aplicables a la contratación a la que hace referencia el presente decreto</w:t>
      </w:r>
      <w:r>
        <w:rPr>
          <w:rFonts w:ascii="Arial" w:hAnsi="Arial" w:eastAsia="Calibri" w:cs="Arial"/>
          <w:color w:val="000000"/>
          <w:sz w:val="21"/>
          <w:szCs w:val="21"/>
          <w:lang w:val="es-ES_tradnl"/>
        </w:rPr>
        <w:t>”</w:t>
      </w:r>
      <w:r w:rsidRPr="0098293C" w:rsidR="0098293C">
        <w:rPr>
          <w:rFonts w:ascii="Arial" w:hAnsi="Arial" w:eastAsia="Calibri" w:cs="Arial"/>
          <w:color w:val="000000"/>
          <w:sz w:val="21"/>
          <w:szCs w:val="21"/>
          <w:lang w:val="es-ES_tradnl"/>
        </w:rPr>
        <w:t>.</w:t>
      </w:r>
    </w:p>
    <w:p w:rsidRPr="0098293C" w:rsidR="0098293C" w:rsidP="0098293C" w:rsidRDefault="0098293C" w14:paraId="48831EE2" w14:textId="77777777">
      <w:pPr>
        <w:spacing w:after="0" w:line="240" w:lineRule="auto"/>
        <w:ind w:left="709" w:right="709"/>
        <w:jc w:val="both"/>
        <w:rPr>
          <w:rFonts w:ascii="Arial" w:hAnsi="Arial" w:eastAsia="Calibri" w:cs="Arial"/>
          <w:color w:val="000000"/>
          <w:sz w:val="21"/>
          <w:szCs w:val="21"/>
          <w:lang w:val="es-ES_tradnl"/>
        </w:rPr>
      </w:pPr>
    </w:p>
    <w:p w:rsidRPr="0098293C" w:rsidR="0098293C" w:rsidP="0098293C" w:rsidRDefault="00BF778C" w14:paraId="6944A043" w14:textId="61C392FD">
      <w:pPr>
        <w:spacing w:after="0" w:line="240" w:lineRule="auto"/>
        <w:ind w:left="709" w:right="709"/>
        <w:jc w:val="both"/>
        <w:rPr>
          <w:rFonts w:ascii="Arial" w:hAnsi="Arial" w:eastAsia="Calibri" w:cs="Arial"/>
          <w:color w:val="000000"/>
          <w:sz w:val="21"/>
          <w:szCs w:val="21"/>
          <w:lang w:val="es-ES_tradnl"/>
        </w:rPr>
      </w:pPr>
      <w:r>
        <w:rPr>
          <w:rFonts w:ascii="Arial" w:hAnsi="Arial" w:eastAsia="Calibri" w:cs="Arial"/>
          <w:color w:val="000000"/>
          <w:sz w:val="21"/>
          <w:szCs w:val="21"/>
          <w:lang w:val="es-ES_tradnl"/>
        </w:rPr>
        <w:t>“</w:t>
      </w:r>
      <w:r w:rsidRPr="0098293C" w:rsidR="0098293C">
        <w:rPr>
          <w:rFonts w:ascii="Arial" w:hAnsi="Arial" w:eastAsia="Calibri" w:cs="Arial"/>
          <w:color w:val="000000"/>
          <w:sz w:val="21"/>
          <w:szCs w:val="21"/>
          <w:lang w:val="es-ES_tradnl"/>
        </w:rPr>
        <w:t>Artículo 7°. Aplicación de los principios de la contratación estatal. La contratación a la que hace referencia el presente decreto está sujeta a los principios de la contratación estatal y a las normas presupuestales aplicables […]</w:t>
      </w:r>
      <w:r>
        <w:rPr>
          <w:rFonts w:ascii="Arial" w:hAnsi="Arial" w:eastAsia="Calibri" w:cs="Arial"/>
          <w:color w:val="000000"/>
          <w:sz w:val="21"/>
          <w:szCs w:val="21"/>
          <w:lang w:val="es-ES_tradnl"/>
        </w:rPr>
        <w:t>”</w:t>
      </w:r>
    </w:p>
    <w:p w:rsidRPr="0098293C" w:rsidR="0098293C" w:rsidP="0098293C" w:rsidRDefault="0098293C" w14:paraId="08C51438" w14:textId="77777777">
      <w:pPr>
        <w:spacing w:after="0" w:line="240" w:lineRule="auto"/>
        <w:ind w:left="709" w:right="709"/>
        <w:jc w:val="both"/>
        <w:rPr>
          <w:rFonts w:ascii="Arial" w:hAnsi="Arial" w:eastAsia="Calibri" w:cs="Arial"/>
          <w:color w:val="000000"/>
          <w:sz w:val="21"/>
          <w:szCs w:val="21"/>
          <w:lang w:val="es-ES_tradnl"/>
        </w:rPr>
      </w:pPr>
    </w:p>
    <w:p w:rsidRPr="0098293C" w:rsidR="0098293C" w:rsidP="0098293C" w:rsidRDefault="00BF778C" w14:paraId="0BA54EB6" w14:textId="326C5EE7">
      <w:pPr>
        <w:spacing w:after="0" w:line="240" w:lineRule="auto"/>
        <w:ind w:left="709" w:right="709"/>
        <w:jc w:val="both"/>
        <w:rPr>
          <w:rFonts w:ascii="Arial" w:hAnsi="Arial" w:eastAsia="Calibri" w:cs="Arial"/>
          <w:color w:val="000000"/>
          <w:sz w:val="21"/>
          <w:szCs w:val="21"/>
          <w:lang w:val="es-ES_tradnl"/>
        </w:rPr>
      </w:pPr>
      <w:r>
        <w:rPr>
          <w:rFonts w:ascii="Arial" w:hAnsi="Arial" w:eastAsia="Calibri" w:cs="Arial"/>
          <w:color w:val="000000"/>
          <w:sz w:val="21"/>
          <w:szCs w:val="21"/>
          <w:lang w:val="es-ES_tradnl"/>
        </w:rPr>
        <w:t>“</w:t>
      </w:r>
      <w:r w:rsidRPr="0098293C" w:rsidR="0098293C">
        <w:rPr>
          <w:rFonts w:ascii="Arial" w:hAnsi="Arial" w:eastAsia="Calibri" w:cs="Arial"/>
          <w:color w:val="000000"/>
          <w:sz w:val="21"/>
          <w:szCs w:val="21"/>
          <w:lang w:val="es-ES_tradnl"/>
        </w:rPr>
        <w:t xml:space="preserve">Artículo 8°. Aplicación de normas generales del sistema de contratación pública. La contratación a la que hace referencia el presente decreto está sujeta </w:t>
      </w:r>
      <w:bookmarkStart w:name="_Hlk38206940" w:id="3"/>
      <w:r w:rsidRPr="0098293C" w:rsidR="0098293C">
        <w:rPr>
          <w:rFonts w:ascii="Arial" w:hAnsi="Arial" w:eastAsia="Calibri" w:cs="Arial"/>
          <w:color w:val="000000"/>
          <w:sz w:val="21"/>
          <w:szCs w:val="21"/>
          <w:lang w:val="es-ES_tradnl"/>
        </w:rPr>
        <w:t xml:space="preserve">a las </w:t>
      </w:r>
      <w:bookmarkStart w:name="_Hlk38633960" w:id="4"/>
      <w:r w:rsidRPr="0098293C" w:rsidR="0098293C">
        <w:rPr>
          <w:rFonts w:ascii="Arial" w:hAnsi="Arial" w:eastAsia="Calibri" w:cs="Arial"/>
          <w:color w:val="000000"/>
          <w:sz w:val="21"/>
          <w:szCs w:val="21"/>
          <w:lang w:val="es-ES_tradnl"/>
        </w:rPr>
        <w:t xml:space="preserve">normas generales </w:t>
      </w:r>
      <w:bookmarkStart w:name="_Hlk38275055" w:id="5"/>
      <w:r w:rsidRPr="0098293C" w:rsidR="0098293C">
        <w:rPr>
          <w:rFonts w:ascii="Arial" w:hAnsi="Arial" w:eastAsia="Calibri" w:cs="Arial"/>
          <w:color w:val="000000"/>
          <w:sz w:val="21"/>
          <w:szCs w:val="21"/>
          <w:lang w:val="es-ES_tradnl"/>
        </w:rPr>
        <w:t>aplicables a la contratación pública</w:t>
      </w:r>
      <w:bookmarkEnd w:id="3"/>
      <w:bookmarkEnd w:id="4"/>
      <w:r w:rsidRPr="0098293C" w:rsidR="0098293C">
        <w:rPr>
          <w:rFonts w:ascii="Arial" w:hAnsi="Arial" w:eastAsia="Calibri" w:cs="Arial"/>
          <w:color w:val="000000"/>
          <w:sz w:val="21"/>
          <w:szCs w:val="21"/>
          <w:lang w:val="es-ES_tradnl"/>
        </w:rPr>
        <w:t xml:space="preserve"> </w:t>
      </w:r>
      <w:bookmarkEnd w:id="5"/>
      <w:r w:rsidRPr="0098293C" w:rsidR="0098293C">
        <w:rPr>
          <w:rFonts w:ascii="Arial" w:hAnsi="Arial" w:eastAsia="Calibri" w:cs="Arial"/>
          <w:color w:val="000000"/>
          <w:sz w:val="21"/>
          <w:szCs w:val="21"/>
          <w:lang w:val="es-ES_tradnl"/>
        </w:rPr>
        <w:t>excepto en lo reglamentado en el presente decreto</w:t>
      </w:r>
      <w:r>
        <w:rPr>
          <w:rFonts w:ascii="Arial" w:hAnsi="Arial" w:eastAsia="Calibri" w:cs="Arial"/>
          <w:color w:val="000000"/>
          <w:sz w:val="21"/>
          <w:szCs w:val="21"/>
          <w:lang w:val="es-ES_tradnl"/>
        </w:rPr>
        <w:t>”</w:t>
      </w:r>
      <w:r w:rsidRPr="0098293C" w:rsidR="0098293C">
        <w:rPr>
          <w:rFonts w:ascii="Arial" w:hAnsi="Arial" w:eastAsia="Calibri" w:cs="Arial"/>
          <w:color w:val="000000"/>
          <w:sz w:val="21"/>
          <w:szCs w:val="21"/>
          <w:lang w:val="es-ES_tradnl"/>
        </w:rPr>
        <w:t xml:space="preserve">. </w:t>
      </w:r>
    </w:p>
    <w:p w:rsidRPr="0098293C" w:rsidR="0098293C" w:rsidP="0098293C" w:rsidRDefault="0098293C" w14:paraId="5FC94F97" w14:textId="77777777">
      <w:pPr>
        <w:spacing w:after="0" w:line="240" w:lineRule="auto"/>
        <w:ind w:left="709" w:right="709"/>
        <w:jc w:val="both"/>
        <w:rPr>
          <w:rFonts w:ascii="Arial" w:hAnsi="Arial" w:eastAsia="Calibri" w:cs="Arial"/>
          <w:color w:val="000000"/>
          <w:lang w:val="es-ES_tradnl"/>
        </w:rPr>
      </w:pPr>
    </w:p>
    <w:p w:rsidRPr="0098293C" w:rsidR="0098293C" w:rsidP="0098293C" w:rsidRDefault="0098293C" w14:paraId="48FF4BE4" w14:textId="77777777">
      <w:pPr>
        <w:spacing w:after="0" w:line="276" w:lineRule="auto"/>
        <w:jc w:val="both"/>
        <w:rPr>
          <w:rFonts w:ascii="Arial" w:hAnsi="Arial" w:eastAsia="Calibri" w:cs="Arial"/>
          <w:color w:val="000000"/>
          <w:lang w:val="es-ES_tradnl"/>
        </w:rPr>
      </w:pPr>
      <w:r w:rsidRPr="0098293C">
        <w:rPr>
          <w:rFonts w:ascii="Arial" w:hAnsi="Arial" w:eastAsia="Calibri" w:cs="Arial"/>
          <w:color w:val="000000"/>
          <w:lang w:val="es-ES_tradnl"/>
        </w:rPr>
        <w:tab/>
      </w:r>
      <w:r w:rsidRPr="0098293C">
        <w:rPr>
          <w:rFonts w:ascii="Arial" w:hAnsi="Arial" w:eastAsia="Calibri" w:cs="Arial"/>
          <w:color w:val="000000"/>
          <w:lang w:val="es-ES_tradnl"/>
        </w:rPr>
        <w:t xml:space="preserve">Las anteriores normas, integran las lagunas o vacíos normativos del Decreto 092 de 2017, y se aplican a todo lo que no esté expresamente regulado en él. Por ello no es posible aplicar ninguna de las disposiciones anteriormente citadas en temas como la competencia para celebrar los </w:t>
      </w:r>
      <w:r w:rsidRPr="0098293C">
        <w:rPr>
          <w:rFonts w:ascii="Arial" w:hAnsi="Arial" w:eastAsia="Calibri" w:cs="Arial"/>
          <w:i/>
          <w:iCs/>
          <w:color w:val="000000"/>
          <w:lang w:val="es-ES_tradnl"/>
        </w:rPr>
        <w:t xml:space="preserve">contratos del artículo 355 de la Constitución </w:t>
      </w:r>
      <w:r w:rsidRPr="0098293C">
        <w:rPr>
          <w:rFonts w:ascii="Arial" w:hAnsi="Arial" w:eastAsia="Calibri" w:cs="Arial"/>
          <w:color w:val="000000"/>
          <w:lang w:val="es-ES_tradnl"/>
        </w:rPr>
        <w:t xml:space="preserve">y la indelegabilidad de la autorización –art. 2–, la idoneidad de las ESAL –art. 3–, su registro en el SECOP –art. 9– y la inaplicación del registro único de proponentes –art. 10–. </w:t>
      </w:r>
    </w:p>
    <w:p w:rsidRPr="0098293C" w:rsidR="0098293C" w:rsidP="0098293C" w:rsidRDefault="0098293C" w14:paraId="050F4339" w14:textId="77777777">
      <w:pPr>
        <w:spacing w:before="120" w:after="0" w:line="276" w:lineRule="auto"/>
        <w:ind w:firstLine="709"/>
        <w:jc w:val="both"/>
        <w:rPr>
          <w:rFonts w:ascii="Arial" w:hAnsi="Arial" w:eastAsia="Calibri" w:cs="Arial"/>
          <w:color w:val="000000"/>
          <w:lang w:val="es-ES_tradnl"/>
        </w:rPr>
      </w:pPr>
      <w:r w:rsidRPr="0098293C">
        <w:rPr>
          <w:rFonts w:ascii="Arial" w:hAnsi="Arial" w:eastAsia="Calibri" w:cs="Arial"/>
          <w:color w:val="000000"/>
          <w:lang w:val="es-ES_tradnl"/>
        </w:rPr>
        <w:t>Por otro lado, existen algunas disposiciones normativas que habilitan a diferentes entidades estatales para suscribir contratos o convenios en unos eventos en particular, como es el caso del artículo 3 de la Ley 1575 de 2012</w:t>
      </w:r>
      <w:r w:rsidRPr="0098293C">
        <w:rPr>
          <w:rFonts w:ascii="Arial" w:hAnsi="Arial" w:eastAsia="Calibri" w:cs="Arial"/>
          <w:color w:val="000000"/>
          <w:vertAlign w:val="superscript"/>
          <w:lang w:val="es-ES_tradnl"/>
        </w:rPr>
        <w:footnoteReference w:id="2"/>
      </w:r>
      <w:r w:rsidRPr="0098293C">
        <w:rPr>
          <w:rFonts w:ascii="Arial" w:hAnsi="Arial" w:eastAsia="Calibri" w:cs="Arial"/>
          <w:color w:val="000000"/>
          <w:lang w:val="es-ES_tradnl"/>
        </w:rPr>
        <w:t>, sobre contratación con cuerpos de bomberos; el artículo 6 de la Ley 1551 de 2012</w:t>
      </w:r>
      <w:r w:rsidRPr="0098293C">
        <w:rPr>
          <w:rFonts w:ascii="Arial" w:hAnsi="Arial" w:eastAsia="Calibri" w:cs="Arial"/>
          <w:color w:val="000000"/>
          <w:vertAlign w:val="superscript"/>
          <w:lang w:val="es-ES_tradnl"/>
        </w:rPr>
        <w:footnoteReference w:id="3"/>
      </w:r>
      <w:r w:rsidRPr="0098293C">
        <w:rPr>
          <w:rFonts w:ascii="Arial" w:hAnsi="Arial" w:eastAsia="Calibri" w:cs="Arial"/>
          <w:color w:val="000000"/>
          <w:lang w:val="es-ES_tradnl"/>
        </w:rPr>
        <w:t xml:space="preserve">, en materia de convenios solidarios; o el </w:t>
      </w:r>
      <w:r w:rsidRPr="0098293C">
        <w:rPr>
          <w:rFonts w:ascii="Arial" w:hAnsi="Arial" w:eastAsia="Calibri" w:cs="Arial"/>
          <w:color w:val="000000"/>
          <w:lang w:val="es-ES_tradnl"/>
        </w:rPr>
        <w:t xml:space="preserve">de la norma objeto de la presente consulta, esto es, el parágrafo del artículo 8 de la Ley 1276 de 2009, modificado por el artículo 16 de la Ley 1850 de 2017, que se refiere a los convenios para el manejo de los denominados </w:t>
      </w:r>
      <w:r w:rsidRPr="0098293C">
        <w:rPr>
          <w:rFonts w:ascii="Arial" w:hAnsi="Arial" w:eastAsia="Calibri" w:cs="Arial"/>
          <w:i/>
          <w:color w:val="000000"/>
          <w:lang w:val="es-ES_tradnl"/>
        </w:rPr>
        <w:t>Centros Vida, Centros de Bienestar del Anciano y Granjas del Adulto Mayor</w:t>
      </w:r>
      <w:r w:rsidRPr="0098293C">
        <w:rPr>
          <w:rFonts w:ascii="Arial" w:hAnsi="Arial" w:eastAsia="Calibri" w:cs="Arial"/>
          <w:color w:val="000000"/>
          <w:lang w:val="es-ES_tradnl"/>
        </w:rPr>
        <w:t xml:space="preserve">. </w:t>
      </w:r>
    </w:p>
    <w:p w:rsidRPr="0098293C" w:rsidR="0098293C" w:rsidP="0098293C" w:rsidRDefault="0098293C" w14:paraId="35928992" w14:textId="77777777">
      <w:pPr>
        <w:spacing w:before="120" w:after="0" w:line="276" w:lineRule="auto"/>
        <w:ind w:firstLine="709"/>
        <w:jc w:val="both"/>
        <w:rPr>
          <w:rFonts w:ascii="Arial" w:hAnsi="Arial" w:eastAsia="Calibri" w:cs="Arial"/>
          <w:color w:val="000000"/>
          <w:lang w:val="es-ES_tradnl"/>
        </w:rPr>
      </w:pPr>
      <w:r w:rsidRPr="0098293C">
        <w:rPr>
          <w:rFonts w:ascii="Arial" w:hAnsi="Arial" w:eastAsia="Calibri" w:cs="Arial"/>
          <w:color w:val="000000"/>
          <w:lang w:val="es-ES_tradnl"/>
        </w:rPr>
        <w:t>Algunas de estas normas remiten directamente al estatuto aplicable, como ocurre con el artículo 6 de la Ley 1551 de 2012, cuyo numeral 16 remite al artículo 355 de la Constitución, esto es, al Decreto 092 de 2017, habida consideración de que este Decreto reguló ese artículo constitucional. Sin embargo, hay otras que no se refieren ni directa ni indirectamente al régimen contractual aplicable, como es el caso del referido parágrafo del artículo 8 de la Ley 1276 de 2009.</w:t>
      </w:r>
    </w:p>
    <w:p w:rsidRPr="0098293C" w:rsidR="0098293C" w:rsidP="0098293C" w:rsidRDefault="0098293C" w14:paraId="51B471CA" w14:textId="746D4A0A">
      <w:pPr>
        <w:spacing w:before="120" w:after="0" w:line="276" w:lineRule="auto"/>
        <w:ind w:firstLine="709"/>
        <w:jc w:val="both"/>
        <w:rPr>
          <w:rFonts w:ascii="Arial" w:hAnsi="Arial" w:eastAsia="Calibri" w:cs="Arial"/>
          <w:color w:val="000000"/>
          <w:lang w:val="es-ES_tradnl"/>
        </w:rPr>
      </w:pPr>
      <w:r w:rsidRPr="0098293C">
        <w:rPr>
          <w:rFonts w:ascii="Arial" w:hAnsi="Arial" w:eastAsia="Calibri" w:cs="Arial"/>
          <w:color w:val="000000"/>
          <w:lang w:val="es-ES_tradnl"/>
        </w:rPr>
        <w:t xml:space="preserve">En relación con este tipo de normas, podría pensarse </w:t>
      </w:r>
      <w:r w:rsidRPr="0098293C">
        <w:rPr>
          <w:rFonts w:ascii="Arial" w:hAnsi="Arial" w:eastAsia="Calibri" w:cs="Arial"/>
          <w:i/>
          <w:color w:val="000000"/>
          <w:lang w:val="es-ES_tradnl"/>
        </w:rPr>
        <w:t xml:space="preserve">prima facie </w:t>
      </w:r>
      <w:r w:rsidRPr="0098293C">
        <w:rPr>
          <w:rFonts w:ascii="Arial" w:hAnsi="Arial" w:eastAsia="Calibri" w:cs="Arial"/>
          <w:color w:val="000000"/>
          <w:lang w:val="es-ES_tradnl"/>
        </w:rPr>
        <w:t xml:space="preserve">que establecen un régimen de contratación diferente a los tres (3) señalados y, en consecuencia, que no hay lugar a la aplicación de ninguno de estos en lo que respecta al trámite contractual, lo que, a su vez, generaría la duda sobre cuál es la regulación aplicable. Sin embargo, </w:t>
      </w:r>
      <w:r w:rsidRPr="0098293C" w:rsidR="00EC05CA">
        <w:rPr>
          <w:rFonts w:ascii="Arial" w:hAnsi="Arial" w:eastAsia="Calibri" w:cs="Arial"/>
          <w:color w:val="000000"/>
          <w:lang w:val="es-ES_tradnl"/>
        </w:rPr>
        <w:t xml:space="preserve">Agencia Nacional de Contratación Pública </w:t>
      </w:r>
      <w:r w:rsidR="00EC05CA">
        <w:rPr>
          <w:rFonts w:ascii="Arial" w:hAnsi="Arial" w:eastAsia="Calibri" w:cs="Arial"/>
          <w:color w:val="000000"/>
          <w:lang w:val="es-ES_tradnl"/>
        </w:rPr>
        <w:t>-</w:t>
      </w:r>
      <w:r w:rsidRPr="0098293C">
        <w:rPr>
          <w:rFonts w:ascii="Arial" w:hAnsi="Arial" w:eastAsia="Calibri" w:cs="Arial"/>
          <w:color w:val="000000"/>
          <w:lang w:val="es-ES_tradnl"/>
        </w:rPr>
        <w:t xml:space="preserve"> Colombia Compra Eficiente considera que esas normas no contienen regímenes de contratación diferentes a los que dispuso la Constitución Política, lo que implica que los contratos o convenios a los que dichas normas se refieren tendrán que tramitarse teniendo en cuenta las disposiciones de alguno de esos tres regímenes de contratación: el que contiene el EGCAP, el que regula el Decreto 092 de 2017 o el régimen exceptuado que corresponde por la naturaleza de la entidad contratante –por ejemplo las empresas sociales del Estado o las instituciones educativas–. La aplicación de esos regímenes de contratación no es facultativa, pues en todo caso, dependerá de la remisión que hacen estas normas a un estatuto en particular –si lo hacen–, así como también de las particularidades del </w:t>
      </w:r>
      <w:r w:rsidR="00CF4213">
        <w:rPr>
          <w:rFonts w:ascii="Arial" w:hAnsi="Arial" w:eastAsia="Calibri" w:cs="Arial"/>
          <w:color w:val="000000"/>
          <w:lang w:val="es-ES_tradnl"/>
        </w:rPr>
        <w:t>P</w:t>
      </w:r>
      <w:r w:rsidRPr="0098293C">
        <w:rPr>
          <w:rFonts w:ascii="Arial" w:hAnsi="Arial" w:eastAsia="Calibri" w:cs="Arial"/>
          <w:color w:val="000000"/>
          <w:lang w:val="es-ES_tradnl"/>
        </w:rPr>
        <w:t xml:space="preserve">roceso de </w:t>
      </w:r>
      <w:r w:rsidR="00CF4213">
        <w:rPr>
          <w:rFonts w:ascii="Arial" w:hAnsi="Arial" w:eastAsia="Calibri" w:cs="Arial"/>
          <w:color w:val="000000"/>
          <w:lang w:val="es-ES_tradnl"/>
        </w:rPr>
        <w:t>C</w:t>
      </w:r>
      <w:r w:rsidRPr="0098293C">
        <w:rPr>
          <w:rFonts w:ascii="Arial" w:hAnsi="Arial" w:eastAsia="Calibri" w:cs="Arial"/>
          <w:color w:val="000000"/>
          <w:lang w:val="es-ES_tradnl"/>
        </w:rPr>
        <w:t>ontratación y de la naturaleza jurídica de la entidad contratante o la de la persona jurídica con la que las entidades pretenden contratar.</w:t>
      </w:r>
    </w:p>
    <w:p w:rsidRPr="0098293C" w:rsidR="0098293C" w:rsidP="0098293C" w:rsidRDefault="0098293C" w14:paraId="127E44BA" w14:textId="68A0F8D3">
      <w:pPr>
        <w:spacing w:before="120" w:after="0" w:line="276" w:lineRule="auto"/>
        <w:ind w:firstLine="709"/>
        <w:jc w:val="both"/>
        <w:rPr>
          <w:rFonts w:ascii="Arial" w:hAnsi="Arial" w:eastAsia="Calibri" w:cs="Arial"/>
          <w:color w:val="000000"/>
          <w:lang w:val="es-ES_tradnl"/>
        </w:rPr>
      </w:pPr>
      <w:r w:rsidRPr="0098293C">
        <w:rPr>
          <w:rFonts w:ascii="Arial" w:hAnsi="Arial" w:eastAsia="Calibri" w:cs="Arial"/>
          <w:color w:val="000000"/>
          <w:lang w:val="es-ES_tradnl"/>
        </w:rPr>
        <w:t xml:space="preserve">En ese sentido, la Agencia Nacional de Contratación Pública </w:t>
      </w:r>
      <w:r w:rsidR="00CF4213">
        <w:rPr>
          <w:rFonts w:ascii="Arial" w:hAnsi="Arial" w:eastAsia="Calibri" w:cs="Arial"/>
          <w:color w:val="000000"/>
          <w:lang w:val="es-ES_tradnl"/>
        </w:rPr>
        <w:t xml:space="preserve">– Colombia Compra Eficiente </w:t>
      </w:r>
      <w:r w:rsidRPr="0098293C">
        <w:rPr>
          <w:rFonts w:ascii="Arial" w:hAnsi="Arial" w:eastAsia="Calibri" w:cs="Arial"/>
          <w:color w:val="000000"/>
          <w:lang w:val="es-ES_tradnl"/>
        </w:rPr>
        <w:t>advierte que el artículo 8 de la Ley 1276 de 2009 disponía lo siguiente:</w:t>
      </w:r>
    </w:p>
    <w:p w:rsidRPr="0098293C" w:rsidR="0098293C" w:rsidP="0098293C" w:rsidRDefault="0098293C" w14:paraId="111F4E18" w14:textId="77777777">
      <w:pPr>
        <w:spacing w:after="0" w:line="240" w:lineRule="auto"/>
        <w:ind w:firstLine="708"/>
        <w:jc w:val="both"/>
        <w:rPr>
          <w:rFonts w:ascii="Arial" w:hAnsi="Arial" w:eastAsia="Calibri" w:cs="Arial"/>
          <w:color w:val="000000"/>
          <w:lang w:val="es-ES_tradnl"/>
        </w:rPr>
      </w:pPr>
    </w:p>
    <w:p w:rsidRPr="0098293C" w:rsidR="0098293C" w:rsidP="0098293C" w:rsidRDefault="0056665B" w14:paraId="79039CDF" w14:textId="1B4A0AC4">
      <w:pPr>
        <w:spacing w:after="120" w:line="240" w:lineRule="auto"/>
        <w:ind w:left="709" w:right="760"/>
        <w:jc w:val="both"/>
        <w:rPr>
          <w:rFonts w:ascii="Arial" w:hAnsi="Arial" w:eastAsia="Calibri" w:cs="Arial"/>
          <w:color w:val="000000"/>
          <w:sz w:val="21"/>
          <w:szCs w:val="21"/>
        </w:rPr>
      </w:pPr>
      <w:r>
        <w:rPr>
          <w:rFonts w:ascii="Arial" w:hAnsi="Arial" w:eastAsia="Calibri" w:cs="Arial"/>
          <w:color w:val="000000"/>
          <w:sz w:val="21"/>
          <w:szCs w:val="21"/>
        </w:rPr>
        <w:t>“</w:t>
      </w:r>
      <w:r w:rsidRPr="0098293C" w:rsidR="0098293C">
        <w:rPr>
          <w:rFonts w:ascii="Arial" w:hAnsi="Arial" w:eastAsia="Calibri" w:cs="Arial"/>
          <w:color w:val="000000"/>
          <w:sz w:val="21"/>
          <w:szCs w:val="21"/>
        </w:rPr>
        <w:t xml:space="preserve">Artículo 8o. &lt;Ver modificaciones a este artículo directamente en la ley 687 de 2001&gt; Modifícase el artículo 5o de la Ley 687 de 2001, el cual quedará así: Responsabilidad. El </w:t>
      </w:r>
      <w:proofErr w:type="gramStart"/>
      <w:r w:rsidRPr="0098293C" w:rsidR="0098293C">
        <w:rPr>
          <w:rFonts w:ascii="Arial" w:hAnsi="Arial" w:eastAsia="Calibri" w:cs="Arial"/>
          <w:color w:val="000000"/>
          <w:sz w:val="21"/>
          <w:szCs w:val="21"/>
        </w:rPr>
        <w:t>Alcalde</w:t>
      </w:r>
      <w:proofErr w:type="gramEnd"/>
      <w:r w:rsidRPr="0098293C" w:rsidR="0098293C">
        <w:rPr>
          <w:rFonts w:ascii="Arial" w:hAnsi="Arial" w:eastAsia="Calibri" w:cs="Arial"/>
          <w:color w:val="000000"/>
          <w:sz w:val="21"/>
          <w:szCs w:val="21"/>
        </w:rPr>
        <w:t xml:space="preserve"> municipal o distrital será el responsable del desarrollo de los programas que se deriven de la aplicación de los recursos de la estampilla y delegará en la dependencia afín con el manejo de los mismos, la </w:t>
      </w:r>
      <w:r w:rsidRPr="0098293C" w:rsidR="0098293C">
        <w:rPr>
          <w:rFonts w:ascii="Arial" w:hAnsi="Arial" w:eastAsia="Calibri" w:cs="Arial"/>
          <w:color w:val="000000"/>
          <w:sz w:val="21"/>
          <w:szCs w:val="21"/>
        </w:rPr>
        <w:t>ejecución de los proyectos que componen los Centros Vida y creará todos los sistemas de información que permitan un seguimiento completo a la gestión por estos realizada.</w:t>
      </w:r>
    </w:p>
    <w:p w:rsidRPr="0098293C" w:rsidR="0098293C" w:rsidP="0098293C" w:rsidRDefault="0098293C" w14:paraId="1AA61305" w14:textId="725329EB">
      <w:pPr>
        <w:spacing w:after="0" w:line="240" w:lineRule="auto"/>
        <w:ind w:left="709" w:right="760"/>
        <w:jc w:val="both"/>
        <w:rPr>
          <w:rFonts w:ascii="Arial" w:hAnsi="Arial" w:eastAsia="Calibri" w:cs="Arial"/>
          <w:color w:val="000000"/>
          <w:sz w:val="21"/>
          <w:szCs w:val="21"/>
        </w:rPr>
      </w:pPr>
      <w:r w:rsidRPr="0098293C">
        <w:rPr>
          <w:rFonts w:ascii="Arial" w:hAnsi="Arial" w:eastAsia="Calibri" w:cs="Arial"/>
          <w:color w:val="000000"/>
          <w:sz w:val="21"/>
          <w:szCs w:val="21"/>
        </w:rPr>
        <w:t xml:space="preserve">Parágrafo. </w:t>
      </w:r>
      <w:r w:rsidRPr="0098293C">
        <w:rPr>
          <w:rFonts w:ascii="Arial" w:hAnsi="Arial" w:eastAsia="Calibri" w:cs="Arial"/>
          <w:i/>
          <w:color w:val="000000"/>
          <w:sz w:val="21"/>
          <w:szCs w:val="21"/>
        </w:rPr>
        <w:t>Los distritos y municipios podrán suscribir convenios con entidades reconocidas para el manejo de los Centros Vida</w:t>
      </w:r>
      <w:r w:rsidRPr="0098293C">
        <w:rPr>
          <w:rFonts w:ascii="Arial" w:hAnsi="Arial" w:eastAsia="Calibri" w:cs="Arial"/>
          <w:color w:val="000000"/>
          <w:sz w:val="21"/>
          <w:szCs w:val="21"/>
        </w:rPr>
        <w:t>; no obstante, estos deberán prever dentro de su estructura administrativa la unidad encargada de su seguimiento y control como estrategia de una política pública orientada a mejorar las condiciones de vida de las personas de tercera edad</w:t>
      </w:r>
      <w:r w:rsidR="0056665B">
        <w:rPr>
          <w:rFonts w:ascii="Arial" w:hAnsi="Arial" w:eastAsia="Calibri" w:cs="Arial"/>
          <w:color w:val="000000"/>
          <w:sz w:val="21"/>
          <w:szCs w:val="21"/>
        </w:rPr>
        <w:t>”</w:t>
      </w:r>
      <w:r w:rsidRPr="0098293C">
        <w:rPr>
          <w:rFonts w:ascii="Arial" w:hAnsi="Arial" w:eastAsia="Calibri" w:cs="Arial"/>
          <w:color w:val="000000"/>
          <w:sz w:val="21"/>
          <w:szCs w:val="21"/>
        </w:rPr>
        <w:t>.</w:t>
      </w:r>
      <w:r w:rsidRPr="0098293C">
        <w:rPr>
          <w:rFonts w:ascii="Arial" w:hAnsi="Arial" w:eastAsia="Calibri" w:cs="Arial"/>
          <w:color w:val="000000"/>
          <w:sz w:val="21"/>
          <w:szCs w:val="21"/>
        </w:rPr>
        <w:br/>
      </w:r>
      <w:r w:rsidRPr="0098293C">
        <w:rPr>
          <w:rFonts w:ascii="Arial" w:hAnsi="Arial" w:eastAsia="Calibri" w:cs="Arial"/>
          <w:color w:val="000000"/>
          <w:sz w:val="21"/>
          <w:szCs w:val="21"/>
        </w:rPr>
        <w:t>(Cursivas propias)</w:t>
      </w:r>
    </w:p>
    <w:p w:rsidRPr="0098293C" w:rsidR="0098293C" w:rsidP="0098293C" w:rsidRDefault="0098293C" w14:paraId="703471F8" w14:textId="77777777">
      <w:pPr>
        <w:spacing w:after="0" w:line="240" w:lineRule="auto"/>
        <w:ind w:firstLine="709"/>
        <w:jc w:val="both"/>
        <w:rPr>
          <w:rFonts w:ascii="Arial" w:hAnsi="Arial" w:eastAsia="Calibri" w:cs="Arial"/>
          <w:color w:val="000000"/>
          <w:lang w:val="es-ES_tradnl"/>
        </w:rPr>
      </w:pPr>
    </w:p>
    <w:p w:rsidRPr="0098293C" w:rsidR="0098293C" w:rsidP="0098293C" w:rsidRDefault="0098293C" w14:paraId="2705180E" w14:textId="77777777">
      <w:pPr>
        <w:spacing w:after="0" w:line="276" w:lineRule="auto"/>
        <w:ind w:firstLine="709"/>
        <w:jc w:val="both"/>
        <w:rPr>
          <w:rFonts w:ascii="Arial" w:hAnsi="Arial" w:eastAsia="Calibri" w:cs="Arial"/>
          <w:color w:val="000000"/>
          <w:lang w:val="es-ES_tradnl"/>
        </w:rPr>
      </w:pPr>
      <w:r w:rsidRPr="0098293C">
        <w:rPr>
          <w:rFonts w:ascii="Arial" w:hAnsi="Arial" w:eastAsia="Calibri" w:cs="Arial"/>
          <w:color w:val="000000"/>
          <w:lang w:val="es-ES_tradnl"/>
        </w:rPr>
        <w:t xml:space="preserve">Esta norma, cuyo alcance se analiza para absolver la consulta, fue modificada por el artículo 16 de la Ley 1850 de 2017 vigente desde 19 de julio del año 2017. En consecuencia, el texto vigente de la norma </w:t>
      </w:r>
      <w:r w:rsidRPr="0098293C">
        <w:rPr>
          <w:rFonts w:ascii="Arial" w:hAnsi="Arial" w:eastAsia="Calibri" w:cs="Arial"/>
          <w:i/>
          <w:color w:val="000000"/>
          <w:lang w:val="es-ES_tradnl"/>
        </w:rPr>
        <w:t xml:space="preserve">sub examine </w:t>
      </w:r>
      <w:r w:rsidRPr="0098293C">
        <w:rPr>
          <w:rFonts w:ascii="Arial" w:hAnsi="Arial" w:eastAsia="Calibri" w:cs="Arial"/>
          <w:color w:val="000000"/>
          <w:lang w:val="es-ES_tradnl"/>
        </w:rPr>
        <w:t>es el siguiente:</w:t>
      </w:r>
    </w:p>
    <w:p w:rsidRPr="0098293C" w:rsidR="0098293C" w:rsidP="0098293C" w:rsidRDefault="0098293C" w14:paraId="0978865D" w14:textId="77777777">
      <w:pPr>
        <w:spacing w:after="0" w:line="240" w:lineRule="auto"/>
        <w:ind w:firstLine="709"/>
        <w:jc w:val="both"/>
        <w:rPr>
          <w:rFonts w:ascii="Arial" w:hAnsi="Arial" w:eastAsia="Calibri" w:cs="Arial"/>
          <w:color w:val="000000"/>
          <w:lang w:val="es-ES_tradnl"/>
        </w:rPr>
      </w:pPr>
    </w:p>
    <w:p w:rsidRPr="0098293C" w:rsidR="0098293C" w:rsidP="0098293C" w:rsidRDefault="00926C66" w14:paraId="6FC756E1" w14:textId="04418FD1">
      <w:pPr>
        <w:spacing w:after="120" w:line="240" w:lineRule="auto"/>
        <w:ind w:left="709" w:right="760"/>
        <w:jc w:val="both"/>
        <w:rPr>
          <w:rFonts w:ascii="Arial" w:hAnsi="Arial" w:eastAsia="Calibri" w:cs="Arial"/>
          <w:color w:val="000000"/>
          <w:sz w:val="21"/>
          <w:szCs w:val="21"/>
        </w:rPr>
      </w:pPr>
      <w:r>
        <w:rPr>
          <w:rFonts w:ascii="Arial" w:hAnsi="Arial" w:eastAsia="Calibri" w:cs="Arial"/>
          <w:color w:val="000000"/>
          <w:sz w:val="21"/>
          <w:szCs w:val="21"/>
        </w:rPr>
        <w:t>“</w:t>
      </w:r>
      <w:r w:rsidRPr="0098293C" w:rsidR="0098293C">
        <w:rPr>
          <w:rFonts w:ascii="Arial" w:hAnsi="Arial" w:eastAsia="Calibri" w:cs="Arial"/>
          <w:color w:val="000000"/>
          <w:sz w:val="21"/>
          <w:szCs w:val="21"/>
        </w:rPr>
        <w:t>Artículo 16. Modifícase el artículo 8o de la Ley 1276 de 2009. A través del cual se modifica el artículo 5o de la Ley 687 de 2001, el cual quedará así:</w:t>
      </w:r>
    </w:p>
    <w:p w:rsidRPr="0098293C" w:rsidR="0098293C" w:rsidP="0098293C" w:rsidRDefault="0098293C" w14:paraId="4D5CDF50" w14:textId="77777777">
      <w:pPr>
        <w:spacing w:after="120" w:line="240" w:lineRule="auto"/>
        <w:ind w:left="709" w:right="760"/>
        <w:jc w:val="both"/>
        <w:rPr>
          <w:rFonts w:ascii="Arial" w:hAnsi="Arial" w:eastAsia="Calibri" w:cs="Arial"/>
          <w:color w:val="000000"/>
          <w:sz w:val="21"/>
          <w:szCs w:val="21"/>
        </w:rPr>
      </w:pPr>
      <w:r w:rsidRPr="0098293C">
        <w:rPr>
          <w:rFonts w:ascii="Arial" w:hAnsi="Arial" w:eastAsia="Calibri" w:cs="Arial"/>
          <w:color w:val="000000"/>
          <w:sz w:val="21"/>
          <w:szCs w:val="21"/>
        </w:rPr>
        <w:t>Artículo 8o. Modifícase el artículo 5o de la Ley 687 de 2001, el cual quedará así: Responsabilidad. El Gobernador o el Alcalde municipal o Distrital será el responsable de sus recursos recaudados por la estampilla en el desarrollo de los programas que se deriven de su inversión en la respectiva jurisdicción, dando cumplimiento a lo relacionado en su plan de desarrollo para el grupo poblacional al que se refiere la presente ley, y delegará en la dependencia competente, la ejecución de los proyectos que componen los Centros Vida, Centros de Bienestar del Anciano y Granjas para adulto mayor, creando todos los sistemas de información que permitan un seguimiento completo de la gestión realizada por estos.</w:t>
      </w:r>
    </w:p>
    <w:p w:rsidRPr="0098293C" w:rsidR="0098293C" w:rsidP="0098293C" w:rsidRDefault="0098293C" w14:paraId="7EEFD75A" w14:textId="23E579D0">
      <w:pPr>
        <w:spacing w:after="0" w:line="240" w:lineRule="auto"/>
        <w:ind w:left="709" w:right="760"/>
        <w:jc w:val="both"/>
        <w:rPr>
          <w:rFonts w:ascii="Arial" w:hAnsi="Arial" w:eastAsia="Calibri" w:cs="Arial"/>
          <w:color w:val="000000"/>
        </w:rPr>
      </w:pPr>
      <w:r w:rsidRPr="0098293C">
        <w:rPr>
          <w:rFonts w:ascii="Arial" w:hAnsi="Arial" w:eastAsia="Calibri" w:cs="Arial"/>
          <w:color w:val="000000"/>
          <w:sz w:val="21"/>
          <w:szCs w:val="21"/>
        </w:rPr>
        <w:t xml:space="preserve">Parágrafo. </w:t>
      </w:r>
      <w:r w:rsidRPr="0098293C">
        <w:rPr>
          <w:rFonts w:ascii="Arial" w:hAnsi="Arial" w:eastAsia="Calibri" w:cs="Arial"/>
          <w:i/>
          <w:color w:val="000000"/>
          <w:sz w:val="21"/>
          <w:szCs w:val="21"/>
        </w:rPr>
        <w:t>La ejecución de los recursos en los departamentos, distritos y municipios se podrá realizar a través de convenios con entidades reconocidas para el manejo de los Centros Vida, Centros de Bienestar del Anciano y Granjas para adulto mayor</w:t>
      </w:r>
      <w:r w:rsidRPr="0098293C">
        <w:rPr>
          <w:rFonts w:ascii="Arial" w:hAnsi="Arial" w:eastAsia="Calibri" w:cs="Arial"/>
          <w:color w:val="000000"/>
          <w:sz w:val="21"/>
          <w:szCs w:val="21"/>
        </w:rPr>
        <w:t>, no obstante, estos deberán prever dentro de su estructura administrativa la unidad encargada de su seguimiento y control como estrategia de una política</w:t>
      </w:r>
      <w:r w:rsidRPr="0098293C">
        <w:rPr>
          <w:rFonts w:ascii="Arial" w:hAnsi="Arial" w:eastAsia="Calibri" w:cs="Arial"/>
          <w:color w:val="000000"/>
        </w:rPr>
        <w:t xml:space="preserve"> pública orientada a mejorar las condiciones de vida de las personas de tercera edad</w:t>
      </w:r>
      <w:r w:rsidR="00BE68D9">
        <w:rPr>
          <w:rFonts w:ascii="Arial" w:hAnsi="Arial" w:eastAsia="Calibri" w:cs="Arial"/>
          <w:color w:val="000000"/>
        </w:rPr>
        <w:t>”</w:t>
      </w:r>
      <w:r w:rsidRPr="0098293C">
        <w:rPr>
          <w:rFonts w:ascii="Arial" w:hAnsi="Arial" w:eastAsia="Calibri" w:cs="Arial"/>
          <w:color w:val="000000"/>
        </w:rPr>
        <w:t>. (Cursivas propias)</w:t>
      </w:r>
    </w:p>
    <w:p w:rsidRPr="0098293C" w:rsidR="0098293C" w:rsidP="0098293C" w:rsidRDefault="0098293C" w14:paraId="522588FC" w14:textId="77777777">
      <w:pPr>
        <w:spacing w:after="0" w:line="240" w:lineRule="auto"/>
        <w:jc w:val="both"/>
        <w:rPr>
          <w:rFonts w:ascii="Arial" w:hAnsi="Arial" w:eastAsia="Calibri" w:cs="Arial"/>
          <w:color w:val="000000"/>
          <w:lang w:val="es-ES_tradnl"/>
        </w:rPr>
      </w:pPr>
    </w:p>
    <w:p w:rsidRPr="0098293C" w:rsidR="0098293C" w:rsidP="0098293C" w:rsidRDefault="0098293C" w14:paraId="05051DF7" w14:textId="77777777">
      <w:pPr>
        <w:spacing w:after="0" w:line="276" w:lineRule="auto"/>
        <w:ind w:firstLine="708"/>
        <w:jc w:val="both"/>
        <w:rPr>
          <w:rFonts w:ascii="Arial" w:hAnsi="Arial" w:eastAsia="Calibri" w:cs="Arial"/>
          <w:color w:val="000000"/>
        </w:rPr>
      </w:pPr>
      <w:r w:rsidRPr="0098293C">
        <w:rPr>
          <w:rFonts w:ascii="Arial" w:hAnsi="Arial" w:eastAsia="Calibri" w:cs="Arial"/>
          <w:color w:val="000000"/>
          <w:lang w:val="es-ES_tradnl"/>
        </w:rPr>
        <w:t>Nótese que la norma citada autoriza a las entidades territoriales a celebrar “convenios con entidades reconocidas para el manejo de los Centros Vida,</w:t>
      </w:r>
      <w:r w:rsidRPr="0098293C">
        <w:rPr>
          <w:rFonts w:ascii="Calibri" w:hAnsi="Calibri" w:eastAsia="Calibri" w:cs="Arial"/>
          <w:sz w:val="24"/>
          <w:lang w:val="es-MX"/>
        </w:rPr>
        <w:t xml:space="preserve"> </w:t>
      </w:r>
      <w:r w:rsidRPr="0098293C">
        <w:rPr>
          <w:rFonts w:ascii="Arial" w:hAnsi="Arial" w:eastAsia="Calibri" w:cs="Arial"/>
          <w:color w:val="000000"/>
          <w:lang w:val="es-ES_tradnl"/>
        </w:rPr>
        <w:t>Centros de Bienestar del Anciano y Granjas para adulto mayor […]”, pero no establece la regulación contractual aplicable a ese tipo de convenios. Tal regulación tampoco se deriva de ninguno de los otros artículos de la Ley 1850 de 2017, así como no lo hacían el artículo 5 de la Ley 687 de 2001 o el artículo 8 de la Ley 1276 de 2009</w:t>
      </w:r>
      <w:r w:rsidRPr="0098293C">
        <w:rPr>
          <w:rFonts w:ascii="Arial" w:hAnsi="Arial" w:eastAsia="Calibri" w:cs="Arial"/>
          <w:color w:val="000000"/>
          <w:vertAlign w:val="superscript"/>
          <w:lang w:val="es-ES_tradnl"/>
        </w:rPr>
        <w:footnoteReference w:id="4"/>
      </w:r>
      <w:r w:rsidRPr="0098293C">
        <w:rPr>
          <w:rFonts w:ascii="Arial" w:hAnsi="Arial" w:eastAsia="Calibri" w:cs="Arial"/>
          <w:color w:val="000000"/>
          <w:lang w:val="es-ES_tradnl"/>
        </w:rPr>
        <w:t xml:space="preserve">. De hecho, ninguna de estas tres leyes reguló la materia, omisión que se explica en el hecho que dichas normas regulan </w:t>
      </w:r>
      <w:r w:rsidRPr="0098293C">
        <w:rPr>
          <w:rFonts w:ascii="Arial" w:hAnsi="Arial" w:eastAsia="Calibri" w:cs="Arial"/>
          <w:color w:val="000000"/>
        </w:rPr>
        <w:t xml:space="preserve">la </w:t>
      </w:r>
      <w:r w:rsidRPr="0098293C">
        <w:rPr>
          <w:rFonts w:ascii="Arial" w:hAnsi="Arial" w:eastAsia="Calibri" w:cs="Arial"/>
          <w:color w:val="000000"/>
        </w:rPr>
        <w:t>“estampilla pro-dotación y funcionamiento de los Centros de Bienestar del Anciano, instituciones y centros de vida para la tercera edad”, aspecto sustancialmente distinto de las normas que regulan la contratación con el Estado.</w:t>
      </w:r>
    </w:p>
    <w:p w:rsidRPr="0098293C" w:rsidR="0098293C" w:rsidP="0098293C" w:rsidRDefault="0098293C" w14:paraId="305B4E38" w14:textId="77777777">
      <w:pPr>
        <w:spacing w:before="120" w:after="0" w:line="276" w:lineRule="auto"/>
        <w:ind w:firstLine="709"/>
        <w:jc w:val="both"/>
        <w:rPr>
          <w:rFonts w:ascii="Arial" w:hAnsi="Arial" w:eastAsia="Calibri" w:cs="Arial"/>
          <w:color w:val="000000"/>
          <w:lang w:val="es-ES_tradnl"/>
        </w:rPr>
      </w:pPr>
      <w:r w:rsidRPr="0098293C">
        <w:rPr>
          <w:rFonts w:ascii="Arial" w:hAnsi="Arial" w:eastAsia="Calibri" w:cs="Arial"/>
          <w:color w:val="000000"/>
          <w:lang w:val="es-ES_tradnl"/>
        </w:rPr>
        <w:t xml:space="preserve">Teniendo en cuenta la ausencia de regulación en las Leyes 687 de 2001, 1276 de 2009 y 1850 de 2017, y de acuerdo a las consideraciones expuestas en párrafos precedentes, Colombia Compra Eficiente considera que los convenios a los que se refieren las tres normas mencionadas </w:t>
      </w:r>
      <w:proofErr w:type="gramStart"/>
      <w:r w:rsidRPr="0098293C">
        <w:rPr>
          <w:rFonts w:ascii="Arial" w:hAnsi="Arial" w:eastAsia="Calibri" w:cs="Arial"/>
          <w:color w:val="000000"/>
          <w:lang w:val="es-ES_tradnl"/>
        </w:rPr>
        <w:t>anteriormente,</w:t>
      </w:r>
      <w:proofErr w:type="gramEnd"/>
      <w:r w:rsidRPr="0098293C">
        <w:rPr>
          <w:rFonts w:ascii="Arial" w:hAnsi="Arial" w:eastAsia="Calibri" w:cs="Arial"/>
          <w:color w:val="000000"/>
          <w:lang w:val="es-ES_tradnl"/>
        </w:rPr>
        <w:t xml:space="preserve"> están regulados por el EGCAP y, eventualmente, por las disposiciones especiales contenidas en el Decreto 092 del 2017. Lo anterior, siempre que el convenio sea suscrito con una ESAL y únicamente si se cumplen los otros requisitos que se derivan del contenido de dicho decreto, entre ellos, que no se genere </w:t>
      </w:r>
      <w:r w:rsidRPr="0098293C">
        <w:rPr>
          <w:rFonts w:ascii="Arial" w:hAnsi="Arial" w:eastAsia="Calibri" w:cs="Arial"/>
          <w:color w:val="000000"/>
          <w:lang w:val="es-MX"/>
        </w:rPr>
        <w:t>una contraprestación directa a favor de la entidad y tampoco una relación conmutativa entre esta y la ESAL;</w:t>
      </w:r>
      <w:r w:rsidRPr="0098293C">
        <w:rPr>
          <w:rFonts w:ascii="Arial" w:hAnsi="Arial" w:eastAsia="Calibri" w:cs="Arial"/>
          <w:color w:val="000000"/>
          <w:lang w:val="es-ES_tradnl"/>
        </w:rPr>
        <w:t xml:space="preserve"> así como también que el negocio jurídico tenga como objeto “impulsar programas y actividades de interés público de acuerdo con el Plan Nacional o los planes seccionales de Desarrollo, en los términos del artículo 355 de la Constitución Política”.</w:t>
      </w:r>
    </w:p>
    <w:p w:rsidRPr="0098293C" w:rsidR="0098293C" w:rsidP="0098293C" w:rsidRDefault="0098293C" w14:paraId="39D48ABE" w14:textId="66461A48">
      <w:pPr>
        <w:spacing w:before="120" w:after="0" w:line="276" w:lineRule="auto"/>
        <w:ind w:firstLine="709"/>
        <w:jc w:val="both"/>
        <w:rPr>
          <w:rFonts w:ascii="Arial" w:hAnsi="Arial" w:eastAsia="Calibri" w:cs="Arial"/>
          <w:color w:val="000000"/>
          <w:lang w:val="es-ES_tradnl"/>
        </w:rPr>
      </w:pPr>
      <w:r w:rsidRPr="0098293C">
        <w:rPr>
          <w:rFonts w:ascii="Arial" w:hAnsi="Arial" w:eastAsia="Calibri" w:cs="Arial"/>
          <w:color w:val="000000"/>
          <w:lang w:val="es-ES_tradnl"/>
        </w:rPr>
        <w:t xml:space="preserve">Al respecto, la Agencia Nacional de Contratación Pública considera necesario hacer dos precisiones: </w:t>
      </w:r>
      <w:r w:rsidRPr="0098293C">
        <w:rPr>
          <w:rFonts w:ascii="Arial" w:hAnsi="Arial" w:eastAsia="Calibri" w:cs="Arial"/>
          <w:i/>
          <w:color w:val="000000"/>
          <w:lang w:val="es-ES_tradnl"/>
        </w:rPr>
        <w:t>por un lado</w:t>
      </w:r>
      <w:r w:rsidRPr="0098293C">
        <w:rPr>
          <w:rFonts w:ascii="Arial" w:hAnsi="Arial" w:eastAsia="Calibri" w:cs="Arial"/>
          <w:color w:val="000000"/>
          <w:lang w:val="es-ES_tradnl"/>
        </w:rPr>
        <w:t xml:space="preserve">, que los convenios referidos en las tres normas </w:t>
      </w:r>
      <w:proofErr w:type="gramStart"/>
      <w:r w:rsidRPr="0098293C">
        <w:rPr>
          <w:rFonts w:ascii="Arial" w:hAnsi="Arial" w:eastAsia="Calibri" w:cs="Arial"/>
          <w:i/>
          <w:color w:val="000000"/>
          <w:lang w:val="es-ES_tradnl"/>
        </w:rPr>
        <w:t>sub lite</w:t>
      </w:r>
      <w:proofErr w:type="gramEnd"/>
      <w:r w:rsidRPr="0098293C">
        <w:rPr>
          <w:rFonts w:ascii="Arial" w:hAnsi="Arial" w:eastAsia="Calibri" w:cs="Arial"/>
          <w:color w:val="000000"/>
          <w:lang w:val="es-ES_tradnl"/>
        </w:rPr>
        <w:t xml:space="preserve"> no podrán regularse por las disposiciones de los regímenes exceptuados del EGCAP –tercero de los regímenes constitucionales de contratación–, pues dichos convenios son suscritos por entidades territoriales únicamente, particularmente, los departamentos, los distritos y los municipios. Lo anterior debido a su competencia frente a la ejecución de los recursos de la estampilla enunciada en los párrafos precedentes; autoridades que se denominan “entidades estatales” para los fines de la contratación estatal, y cuyos </w:t>
      </w:r>
      <w:r w:rsidR="00A457DA">
        <w:rPr>
          <w:rFonts w:ascii="Arial" w:hAnsi="Arial" w:eastAsia="Calibri" w:cs="Arial"/>
          <w:color w:val="000000"/>
          <w:lang w:val="es-ES_tradnl"/>
        </w:rPr>
        <w:t>P</w:t>
      </w:r>
      <w:r w:rsidRPr="0098293C">
        <w:rPr>
          <w:rFonts w:ascii="Arial" w:hAnsi="Arial" w:eastAsia="Calibri" w:cs="Arial"/>
          <w:color w:val="000000"/>
          <w:lang w:val="es-ES_tradnl"/>
        </w:rPr>
        <w:t xml:space="preserve">rocesos </w:t>
      </w:r>
      <w:r w:rsidR="00A457DA">
        <w:rPr>
          <w:rFonts w:ascii="Arial" w:hAnsi="Arial" w:eastAsia="Calibri" w:cs="Arial"/>
          <w:color w:val="000000"/>
          <w:lang w:val="es-ES_tradnl"/>
        </w:rPr>
        <w:t>C</w:t>
      </w:r>
      <w:r w:rsidRPr="0098293C">
        <w:rPr>
          <w:rFonts w:ascii="Arial" w:hAnsi="Arial" w:eastAsia="Calibri" w:cs="Arial"/>
          <w:color w:val="000000"/>
          <w:lang w:val="es-ES_tradnl"/>
        </w:rPr>
        <w:t>ontractuales son regulados por el EGCAP, según los artículos 1 y 2 de la Ley 80 de 1993, que establecen lo siguiente:</w:t>
      </w:r>
    </w:p>
    <w:p w:rsidRPr="0098293C" w:rsidR="0098293C" w:rsidP="0098293C" w:rsidRDefault="0098293C" w14:paraId="29DB710B" w14:textId="77777777">
      <w:pPr>
        <w:spacing w:after="0" w:line="240" w:lineRule="auto"/>
        <w:ind w:firstLine="709"/>
        <w:jc w:val="both"/>
        <w:rPr>
          <w:rFonts w:ascii="Arial" w:hAnsi="Arial" w:eastAsia="Calibri" w:cs="Arial"/>
          <w:color w:val="000000"/>
          <w:sz w:val="20"/>
          <w:szCs w:val="20"/>
          <w:lang w:val="es-ES_tradnl"/>
        </w:rPr>
      </w:pPr>
    </w:p>
    <w:p w:rsidRPr="0098293C" w:rsidR="0098293C" w:rsidP="0098293C" w:rsidRDefault="00A457DA" w14:paraId="628C7A8D" w14:textId="5DDAD11E">
      <w:pPr>
        <w:spacing w:after="0" w:line="240" w:lineRule="auto"/>
        <w:ind w:left="709" w:right="709"/>
        <w:jc w:val="both"/>
        <w:rPr>
          <w:rFonts w:ascii="Arial" w:hAnsi="Arial" w:eastAsia="Calibri" w:cs="Arial"/>
          <w:color w:val="000000"/>
          <w:sz w:val="21"/>
          <w:szCs w:val="21"/>
        </w:rPr>
      </w:pPr>
      <w:r>
        <w:rPr>
          <w:rFonts w:ascii="Arial" w:hAnsi="Arial" w:eastAsia="Calibri" w:cs="Arial"/>
          <w:color w:val="000000"/>
          <w:sz w:val="21"/>
          <w:szCs w:val="21"/>
        </w:rPr>
        <w:t>“</w:t>
      </w:r>
      <w:r w:rsidRPr="0098293C" w:rsidR="0098293C">
        <w:rPr>
          <w:rFonts w:ascii="Arial" w:hAnsi="Arial" w:eastAsia="Calibri" w:cs="Arial"/>
          <w:color w:val="000000"/>
          <w:sz w:val="21"/>
          <w:szCs w:val="21"/>
        </w:rPr>
        <w:t xml:space="preserve">Artículo 1o. Del objeto. La presente ley tiene por objeto disponer las </w:t>
      </w:r>
      <w:r w:rsidRPr="0098293C" w:rsidR="0098293C">
        <w:rPr>
          <w:rFonts w:ascii="Arial" w:hAnsi="Arial" w:eastAsia="Calibri" w:cs="Arial"/>
          <w:i/>
          <w:color w:val="000000"/>
          <w:sz w:val="21"/>
          <w:szCs w:val="21"/>
        </w:rPr>
        <w:t>reglas y principios que rigen los contratos de las entidades estatales</w:t>
      </w:r>
      <w:r w:rsidRPr="0098293C" w:rsidR="0098293C">
        <w:rPr>
          <w:rFonts w:ascii="Arial" w:hAnsi="Arial" w:eastAsia="Calibri" w:cs="Arial"/>
          <w:color w:val="000000"/>
          <w:sz w:val="21"/>
          <w:szCs w:val="21"/>
        </w:rPr>
        <w:t>.</w:t>
      </w:r>
    </w:p>
    <w:p w:rsidRPr="0098293C" w:rsidR="0098293C" w:rsidP="0098293C" w:rsidRDefault="0098293C" w14:paraId="42465EF8" w14:textId="77777777">
      <w:pPr>
        <w:spacing w:after="0" w:line="240" w:lineRule="auto"/>
        <w:ind w:left="709" w:right="709"/>
        <w:jc w:val="both"/>
        <w:rPr>
          <w:rFonts w:ascii="Arial" w:hAnsi="Arial" w:eastAsia="Calibri" w:cs="Arial"/>
          <w:color w:val="000000"/>
          <w:sz w:val="21"/>
          <w:szCs w:val="21"/>
        </w:rPr>
      </w:pPr>
    </w:p>
    <w:p w:rsidRPr="0098293C" w:rsidR="0098293C" w:rsidP="0098293C" w:rsidRDefault="0098293C" w14:paraId="20B63194" w14:textId="77777777">
      <w:pPr>
        <w:spacing w:after="120" w:line="240" w:lineRule="auto"/>
        <w:ind w:left="709" w:right="709"/>
        <w:jc w:val="both"/>
        <w:rPr>
          <w:rFonts w:ascii="Arial" w:hAnsi="Arial" w:eastAsia="Calibri" w:cs="Arial"/>
          <w:color w:val="000000"/>
          <w:sz w:val="21"/>
          <w:szCs w:val="21"/>
        </w:rPr>
      </w:pPr>
      <w:r w:rsidRPr="0098293C">
        <w:rPr>
          <w:rFonts w:ascii="Arial" w:hAnsi="Arial" w:eastAsia="Calibri" w:cs="Arial"/>
          <w:color w:val="000000"/>
          <w:sz w:val="21"/>
          <w:szCs w:val="21"/>
        </w:rPr>
        <w:t>Artículo 2o. DE LA DEFINICIÓN DE ENTIDADES, SERVIDORES Y SERVICIOS PÚBLICOS. Para los solos efectos de esta ley:</w:t>
      </w:r>
    </w:p>
    <w:p w:rsidRPr="0098293C" w:rsidR="0098293C" w:rsidP="0098293C" w:rsidRDefault="0098293C" w14:paraId="0898BA4F" w14:textId="77777777">
      <w:pPr>
        <w:spacing w:after="120" w:line="240" w:lineRule="auto"/>
        <w:ind w:left="709" w:right="709"/>
        <w:jc w:val="both"/>
        <w:rPr>
          <w:rFonts w:ascii="Arial" w:hAnsi="Arial" w:eastAsia="Calibri" w:cs="Arial"/>
          <w:color w:val="000000"/>
          <w:sz w:val="21"/>
          <w:szCs w:val="21"/>
        </w:rPr>
      </w:pPr>
      <w:r w:rsidRPr="0098293C">
        <w:rPr>
          <w:rFonts w:ascii="Arial" w:hAnsi="Arial" w:eastAsia="Calibri" w:cs="Arial"/>
          <w:color w:val="000000"/>
          <w:sz w:val="21"/>
          <w:szCs w:val="21"/>
        </w:rPr>
        <w:t xml:space="preserve">1o. </w:t>
      </w:r>
      <w:r w:rsidRPr="0098293C">
        <w:rPr>
          <w:rFonts w:ascii="Arial" w:hAnsi="Arial" w:eastAsia="Calibri" w:cs="Arial"/>
          <w:i/>
          <w:color w:val="000000"/>
          <w:sz w:val="21"/>
          <w:szCs w:val="21"/>
        </w:rPr>
        <w:t>Se denominan entidades estatales</w:t>
      </w:r>
      <w:r w:rsidRPr="0098293C">
        <w:rPr>
          <w:rFonts w:ascii="Arial" w:hAnsi="Arial" w:eastAsia="Calibri" w:cs="Arial"/>
          <w:color w:val="000000"/>
          <w:sz w:val="21"/>
          <w:szCs w:val="21"/>
        </w:rPr>
        <w:t>:</w:t>
      </w:r>
    </w:p>
    <w:p w:rsidRPr="0098293C" w:rsidR="0098293C" w:rsidP="0098293C" w:rsidRDefault="0098293C" w14:paraId="66301D5F" w14:textId="4268F0AD">
      <w:pPr>
        <w:spacing w:after="0" w:line="240" w:lineRule="auto"/>
        <w:ind w:left="709" w:right="709"/>
        <w:jc w:val="both"/>
        <w:rPr>
          <w:rFonts w:ascii="Arial" w:hAnsi="Arial" w:eastAsia="Calibri" w:cs="Arial"/>
          <w:color w:val="000000"/>
          <w:sz w:val="21"/>
          <w:szCs w:val="21"/>
        </w:rPr>
      </w:pPr>
      <w:r w:rsidRPr="0098293C">
        <w:rPr>
          <w:rFonts w:ascii="Arial" w:hAnsi="Arial" w:eastAsia="Calibri" w:cs="Arial"/>
          <w:color w:val="000000"/>
          <w:sz w:val="21"/>
          <w:szCs w:val="21"/>
        </w:rPr>
        <w:t xml:space="preserve">a) La Nación, las regiones, </w:t>
      </w:r>
      <w:r w:rsidRPr="0098293C">
        <w:rPr>
          <w:rFonts w:ascii="Arial" w:hAnsi="Arial" w:eastAsia="Calibri" w:cs="Arial"/>
          <w:i/>
          <w:color w:val="000000"/>
          <w:sz w:val="21"/>
          <w:szCs w:val="21"/>
        </w:rPr>
        <w:t>los departamentos</w:t>
      </w:r>
      <w:r w:rsidRPr="0098293C">
        <w:rPr>
          <w:rFonts w:ascii="Arial" w:hAnsi="Arial" w:eastAsia="Calibri" w:cs="Arial"/>
          <w:color w:val="000000"/>
          <w:sz w:val="21"/>
          <w:szCs w:val="21"/>
        </w:rPr>
        <w:t xml:space="preserve">, las provincias, </w:t>
      </w:r>
      <w:r w:rsidRPr="0098293C">
        <w:rPr>
          <w:rFonts w:ascii="Arial" w:hAnsi="Arial" w:eastAsia="Calibri" w:cs="Arial"/>
          <w:i/>
          <w:color w:val="000000"/>
          <w:sz w:val="21"/>
          <w:szCs w:val="21"/>
        </w:rPr>
        <w:t>el distrito capital y los distritos especiales</w:t>
      </w:r>
      <w:r w:rsidRPr="0098293C">
        <w:rPr>
          <w:rFonts w:ascii="Arial" w:hAnsi="Arial" w:eastAsia="Calibri" w:cs="Arial"/>
          <w:color w:val="000000"/>
          <w:sz w:val="21"/>
          <w:szCs w:val="21"/>
        </w:rPr>
        <w:t xml:space="preserve">, las áreas metropolitanas, las asociaciones de municipios, los territorios indígenas y </w:t>
      </w:r>
      <w:r w:rsidRPr="0098293C">
        <w:rPr>
          <w:rFonts w:ascii="Arial" w:hAnsi="Arial" w:eastAsia="Calibri" w:cs="Arial"/>
          <w:i/>
          <w:color w:val="000000"/>
          <w:sz w:val="21"/>
          <w:szCs w:val="21"/>
        </w:rPr>
        <w:t>los municipios</w:t>
      </w:r>
      <w:r w:rsidRPr="0098293C">
        <w:rPr>
          <w:rFonts w:ascii="Arial" w:hAnsi="Arial" w:eastAsia="Calibri" w:cs="Arial"/>
          <w:color w:val="000000"/>
          <w:sz w:val="21"/>
          <w:szCs w:val="21"/>
        </w:rPr>
        <w:t xml:space="preserve">;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w:t>
      </w:r>
      <w:r w:rsidRPr="0098293C">
        <w:rPr>
          <w:rFonts w:ascii="Arial" w:hAnsi="Arial" w:eastAsia="Calibri" w:cs="Arial"/>
          <w:color w:val="000000"/>
          <w:sz w:val="21"/>
          <w:szCs w:val="21"/>
        </w:rPr>
        <w:t>cualquiera sea la denominación que ellas adopten, en todos los órdenes y niveles. […]</w:t>
      </w:r>
      <w:r w:rsidR="00A457DA">
        <w:rPr>
          <w:rFonts w:ascii="Arial" w:hAnsi="Arial" w:eastAsia="Calibri" w:cs="Arial"/>
          <w:color w:val="000000"/>
          <w:sz w:val="21"/>
          <w:szCs w:val="21"/>
        </w:rPr>
        <w:t>”</w:t>
      </w:r>
      <w:r w:rsidRPr="0098293C">
        <w:rPr>
          <w:rFonts w:ascii="Arial" w:hAnsi="Arial" w:eastAsia="Calibri" w:cs="Arial"/>
          <w:color w:val="000000"/>
          <w:sz w:val="21"/>
          <w:szCs w:val="21"/>
        </w:rPr>
        <w:t xml:space="preserve"> (Cursivas propias)</w:t>
      </w:r>
    </w:p>
    <w:p w:rsidRPr="0098293C" w:rsidR="0098293C" w:rsidP="0098293C" w:rsidRDefault="0098293C" w14:paraId="5EE3B9F3" w14:textId="77777777">
      <w:pPr>
        <w:spacing w:after="0" w:line="240" w:lineRule="auto"/>
        <w:jc w:val="both"/>
        <w:rPr>
          <w:rFonts w:ascii="Arial" w:hAnsi="Arial" w:eastAsia="Calibri" w:cs="Arial"/>
          <w:color w:val="000000"/>
          <w:lang w:val="es-ES_tradnl"/>
        </w:rPr>
      </w:pPr>
    </w:p>
    <w:p w:rsidRPr="0098293C" w:rsidR="0098293C" w:rsidP="0098293C" w:rsidRDefault="0098293C" w14:paraId="61618374" w14:textId="77777777">
      <w:pPr>
        <w:spacing w:after="120" w:line="276" w:lineRule="auto"/>
        <w:ind w:firstLine="708"/>
        <w:jc w:val="both"/>
        <w:rPr>
          <w:rFonts w:ascii="Arial" w:hAnsi="Arial" w:eastAsia="Calibri" w:cs="Arial"/>
          <w:color w:val="000000"/>
          <w:lang w:val="es-ES_tradnl"/>
        </w:rPr>
      </w:pPr>
      <w:r w:rsidRPr="0098293C">
        <w:rPr>
          <w:rFonts w:ascii="Arial" w:hAnsi="Arial" w:eastAsia="Calibri" w:cs="Arial"/>
          <w:i/>
          <w:color w:val="000000"/>
          <w:lang w:val="es-ES_tradnl"/>
        </w:rPr>
        <w:t>Por otro lado</w:t>
      </w:r>
      <w:r w:rsidRPr="0098293C">
        <w:rPr>
          <w:rFonts w:ascii="Arial" w:hAnsi="Arial" w:eastAsia="Calibri" w:cs="Arial"/>
          <w:iCs/>
          <w:color w:val="000000"/>
          <w:lang w:val="es-ES_tradnl"/>
        </w:rPr>
        <w:t>, el Decreto 0</w:t>
      </w:r>
      <w:r w:rsidRPr="0098293C">
        <w:rPr>
          <w:rFonts w:ascii="Arial" w:hAnsi="Arial" w:eastAsia="Calibri" w:cs="Arial"/>
          <w:color w:val="000000"/>
          <w:lang w:val="es-ES_tradnl"/>
        </w:rPr>
        <w:t xml:space="preserve">92 de 2017 también puede aplicarse a los convenios regulados por el artículo 5 de la Ley 687 de 2001, modificado por el artículo 8 de la Ley 1276 de 2009 y, posteriormente, por el artículo 16 de la Ley 1850 de 2017. En efecto, la aplicación de aquel Decreto resulta procedente y también necesaria, en aquellos eventos en los que el convenio se celebra con una ESAL, como se explicará más adelante. Es de resaltar que las tres normas mencionadas no contienen ninguna regulación procesal o sustantiva en materia de contratación estatal, esto es, no establecen las disposiciones que habrían de tenerse en cuenta en el trámite de contratación. </w:t>
      </w:r>
    </w:p>
    <w:p w:rsidRPr="0098293C" w:rsidR="0098293C" w:rsidP="0098293C" w:rsidRDefault="0098293C" w14:paraId="74FCF3B8" w14:textId="77777777">
      <w:pPr>
        <w:spacing w:after="0" w:line="276" w:lineRule="auto"/>
        <w:ind w:firstLine="709"/>
        <w:jc w:val="both"/>
        <w:rPr>
          <w:rFonts w:ascii="Arial" w:hAnsi="Arial" w:eastAsia="Calibri" w:cs="Arial"/>
          <w:color w:val="000000"/>
          <w:lang w:val="es-ES_tradnl"/>
        </w:rPr>
      </w:pPr>
      <w:r w:rsidRPr="0098293C">
        <w:rPr>
          <w:rFonts w:ascii="Arial" w:hAnsi="Arial" w:eastAsia="Calibri" w:cs="Arial"/>
          <w:color w:val="000000"/>
          <w:lang w:val="es-ES_tradnl"/>
        </w:rPr>
        <w:t>Incluso, el Ministerio de Salud y de la Protección Social, en documento sin fecha denominado “Orientaciones a las entidades territoriales para la aplicación de la Ley 1276 de 2009 y normas complementarias sobre la Estampilla para el Bienestar del Adulto Mayor”</w:t>
      </w:r>
      <w:r w:rsidRPr="0098293C">
        <w:rPr>
          <w:rFonts w:ascii="Arial" w:hAnsi="Arial" w:eastAsia="Calibri" w:cs="Arial"/>
          <w:color w:val="000000"/>
          <w:vertAlign w:val="superscript"/>
          <w:lang w:val="es-ES_tradnl"/>
        </w:rPr>
        <w:footnoteReference w:id="5"/>
      </w:r>
      <w:r w:rsidRPr="0098293C">
        <w:rPr>
          <w:rFonts w:ascii="Arial" w:hAnsi="Arial" w:eastAsia="Calibri" w:cs="Arial"/>
          <w:color w:val="000000"/>
          <w:lang w:val="es-ES_tradnl"/>
        </w:rPr>
        <w:t>, refiriéndose al régimen de contratación resaltó lo siguiente:</w:t>
      </w:r>
    </w:p>
    <w:p w:rsidRPr="0098293C" w:rsidR="0098293C" w:rsidP="0098293C" w:rsidRDefault="0098293C" w14:paraId="271EE058" w14:textId="77777777">
      <w:pPr>
        <w:spacing w:after="0" w:line="240" w:lineRule="auto"/>
        <w:ind w:firstLine="709"/>
        <w:jc w:val="both"/>
        <w:rPr>
          <w:rFonts w:ascii="Arial" w:hAnsi="Arial" w:eastAsia="Calibri" w:cs="Arial"/>
          <w:color w:val="000000"/>
          <w:lang w:val="es-ES_tradnl"/>
        </w:rPr>
      </w:pPr>
    </w:p>
    <w:p w:rsidRPr="0098293C" w:rsidR="0098293C" w:rsidP="0098293C" w:rsidRDefault="00774B83" w14:paraId="6691453E" w14:textId="1C666689">
      <w:pPr>
        <w:spacing w:after="0" w:line="240" w:lineRule="auto"/>
        <w:ind w:left="709" w:right="760"/>
        <w:jc w:val="both"/>
        <w:rPr>
          <w:rFonts w:ascii="Arial" w:hAnsi="Arial" w:eastAsia="Calibri" w:cs="Arial"/>
          <w:color w:val="000000"/>
          <w:sz w:val="21"/>
          <w:szCs w:val="21"/>
          <w:lang w:val="es-ES_tradnl"/>
        </w:rPr>
      </w:pPr>
      <w:r>
        <w:rPr>
          <w:rFonts w:ascii="Arial" w:hAnsi="Arial" w:eastAsia="Calibri" w:cs="Arial"/>
          <w:color w:val="000000"/>
          <w:sz w:val="21"/>
          <w:szCs w:val="21"/>
          <w:lang w:val="es-ES_tradnl"/>
        </w:rPr>
        <w:t>“</w:t>
      </w:r>
      <w:r w:rsidRPr="0098293C" w:rsidR="0098293C">
        <w:rPr>
          <w:rFonts w:ascii="Arial" w:hAnsi="Arial" w:eastAsia="Calibri" w:cs="Arial"/>
          <w:color w:val="000000"/>
          <w:sz w:val="21"/>
          <w:szCs w:val="21"/>
          <w:lang w:val="es-ES_tradnl"/>
        </w:rPr>
        <w:t xml:space="preserve">Los centros vida a que se refiere la Ley 1276 son de naturaleza pública, de creación distrital y municipal, razón por la cual la norma establece que una vez creados, la administración puede celebrar convenios para su manejo con entidades con experiencia en la materia, en cuyo caso debe efectuar el seguimiento y evaluación de los servicios prestados, a través de la instancia especialmente creada para esta función dentro de la estructura municipal (Parágrafo del art. 8º de la Ley 1276/09). </w:t>
      </w:r>
      <w:r w:rsidRPr="0098293C" w:rsidR="0098293C">
        <w:rPr>
          <w:rFonts w:ascii="Arial" w:hAnsi="Arial" w:eastAsia="Calibri" w:cs="Arial"/>
          <w:i/>
          <w:color w:val="000000"/>
          <w:sz w:val="21"/>
          <w:szCs w:val="21"/>
          <w:lang w:val="es-ES_tradnl"/>
        </w:rPr>
        <w:t>Estos convenios se rigen por la normatividad contractual vigente</w:t>
      </w:r>
      <w:r>
        <w:rPr>
          <w:rFonts w:ascii="Arial" w:hAnsi="Arial" w:eastAsia="Calibri" w:cs="Arial"/>
          <w:i/>
          <w:color w:val="000000"/>
          <w:sz w:val="21"/>
          <w:szCs w:val="21"/>
          <w:lang w:val="es-ES_tradnl"/>
        </w:rPr>
        <w:t>”</w:t>
      </w:r>
      <w:r w:rsidRPr="0098293C" w:rsidR="0098293C">
        <w:rPr>
          <w:rFonts w:ascii="Arial" w:hAnsi="Arial" w:eastAsia="Calibri" w:cs="Arial"/>
          <w:i/>
          <w:color w:val="000000"/>
          <w:sz w:val="21"/>
          <w:szCs w:val="21"/>
          <w:lang w:val="es-ES_tradnl"/>
        </w:rPr>
        <w:t xml:space="preserve">. </w:t>
      </w:r>
      <w:r w:rsidRPr="0098293C" w:rsidR="0098293C">
        <w:rPr>
          <w:rFonts w:ascii="Arial" w:hAnsi="Arial" w:eastAsia="Calibri" w:cs="Arial"/>
          <w:color w:val="000000"/>
          <w:sz w:val="21"/>
          <w:szCs w:val="21"/>
          <w:lang w:val="es-ES_tradnl"/>
        </w:rPr>
        <w:t>(Cursivas propias)</w:t>
      </w:r>
    </w:p>
    <w:p w:rsidRPr="0098293C" w:rsidR="0098293C" w:rsidP="0098293C" w:rsidRDefault="0098293C" w14:paraId="6E1A3AFB" w14:textId="77777777">
      <w:pPr>
        <w:spacing w:after="0" w:line="240" w:lineRule="auto"/>
        <w:ind w:firstLine="709"/>
        <w:jc w:val="both"/>
        <w:rPr>
          <w:rFonts w:ascii="Arial" w:hAnsi="Arial" w:eastAsia="Calibri" w:cs="Arial"/>
          <w:color w:val="000000"/>
          <w:lang w:val="es-ES_tradnl"/>
        </w:rPr>
      </w:pPr>
    </w:p>
    <w:p w:rsidRPr="0098293C" w:rsidR="0098293C" w:rsidP="0098293C" w:rsidRDefault="0098293C" w14:paraId="7F5598C1" w14:textId="77777777">
      <w:pPr>
        <w:spacing w:after="120" w:line="276" w:lineRule="auto"/>
        <w:ind w:firstLine="709"/>
        <w:jc w:val="both"/>
        <w:rPr>
          <w:rFonts w:ascii="Arial" w:hAnsi="Arial" w:eastAsia="Calibri" w:cs="Arial"/>
          <w:color w:val="000000"/>
          <w:lang w:val="es-ES_tradnl"/>
        </w:rPr>
      </w:pPr>
      <w:r w:rsidRPr="0098293C">
        <w:rPr>
          <w:rFonts w:ascii="Arial" w:hAnsi="Arial" w:eastAsia="Calibri" w:cs="Arial"/>
          <w:color w:val="000000"/>
          <w:lang w:val="es-ES_tradnl"/>
        </w:rPr>
        <w:t xml:space="preserve">Los convenios </w:t>
      </w:r>
      <w:r w:rsidRPr="0098293C">
        <w:rPr>
          <w:rFonts w:ascii="Arial" w:hAnsi="Arial" w:eastAsia="Calibri" w:cs="Arial"/>
          <w:i/>
          <w:color w:val="000000"/>
          <w:lang w:val="es-ES_tradnl"/>
        </w:rPr>
        <w:t xml:space="preserve">sub examine </w:t>
      </w:r>
      <w:r w:rsidRPr="0098293C">
        <w:rPr>
          <w:rFonts w:ascii="Arial" w:hAnsi="Arial" w:eastAsia="Calibri" w:cs="Arial"/>
          <w:color w:val="000000"/>
          <w:lang w:val="es-ES_tradnl"/>
        </w:rPr>
        <w:t>están regulados, entonces, por el EGCAP (</w:t>
      </w:r>
      <w:r w:rsidRPr="0098293C">
        <w:rPr>
          <w:rFonts w:ascii="Arial" w:hAnsi="Arial" w:eastAsia="Calibri" w:cs="Arial"/>
          <w:i/>
          <w:color w:val="000000"/>
          <w:lang w:val="es-ES_tradnl"/>
        </w:rPr>
        <w:t xml:space="preserve">infra </w:t>
      </w:r>
      <w:r w:rsidRPr="0098293C">
        <w:rPr>
          <w:rFonts w:ascii="Arial" w:hAnsi="Arial" w:eastAsia="Calibri" w:cs="Arial"/>
          <w:color w:val="000000"/>
          <w:lang w:val="es-ES_tradnl"/>
        </w:rPr>
        <w:t xml:space="preserve">num. </w:t>
      </w:r>
      <w:r w:rsidRPr="0098293C">
        <w:rPr>
          <w:rFonts w:ascii="Arial" w:hAnsi="Arial" w:eastAsia="Calibri" w:cs="Arial"/>
          <w:i/>
          <w:color w:val="000000"/>
          <w:lang w:val="es-ES_tradnl"/>
        </w:rPr>
        <w:t>i</w:t>
      </w:r>
      <w:r w:rsidRPr="0098293C">
        <w:rPr>
          <w:rFonts w:ascii="Arial" w:hAnsi="Arial" w:eastAsia="Calibri" w:cs="Arial"/>
          <w:color w:val="000000"/>
          <w:lang w:val="es-ES_tradnl"/>
        </w:rPr>
        <w:t>) o, eventualmente, por el Decreto 092 de 2018 (</w:t>
      </w:r>
      <w:r w:rsidRPr="0098293C">
        <w:rPr>
          <w:rFonts w:ascii="Arial" w:hAnsi="Arial" w:eastAsia="Calibri" w:cs="Arial"/>
          <w:i/>
          <w:color w:val="000000"/>
          <w:lang w:val="es-ES_tradnl"/>
        </w:rPr>
        <w:t xml:space="preserve">infra </w:t>
      </w:r>
      <w:r w:rsidRPr="0098293C">
        <w:rPr>
          <w:rFonts w:ascii="Arial" w:hAnsi="Arial" w:eastAsia="Calibri" w:cs="Arial"/>
          <w:color w:val="000000"/>
          <w:lang w:val="es-ES_tradnl"/>
        </w:rPr>
        <w:t xml:space="preserve">num. </w:t>
      </w:r>
      <w:r w:rsidRPr="0098293C">
        <w:rPr>
          <w:rFonts w:ascii="Arial" w:hAnsi="Arial" w:eastAsia="Calibri" w:cs="Arial"/>
          <w:i/>
          <w:color w:val="000000"/>
          <w:lang w:val="es-ES_tradnl"/>
        </w:rPr>
        <w:t>ii</w:t>
      </w:r>
      <w:r w:rsidRPr="0098293C">
        <w:rPr>
          <w:rFonts w:ascii="Arial" w:hAnsi="Arial" w:eastAsia="Calibri" w:cs="Arial"/>
          <w:color w:val="000000"/>
          <w:lang w:val="es-ES_tradnl"/>
        </w:rPr>
        <w:t>), siendo la aplicación de aquel la regla general, mientras que la de este último la excepción, dentro de los parámetros que pasarán a explicarse a continuación:</w:t>
      </w:r>
    </w:p>
    <w:p w:rsidRPr="0098293C" w:rsidR="0098293C" w:rsidP="00A17518" w:rsidRDefault="0098293C" w14:paraId="11D221C5" w14:textId="77777777">
      <w:pPr>
        <w:numPr>
          <w:ilvl w:val="0"/>
          <w:numId w:val="7"/>
        </w:numPr>
        <w:tabs>
          <w:tab w:val="left" w:pos="1134"/>
        </w:tabs>
        <w:spacing w:before="120" w:after="0" w:line="276" w:lineRule="auto"/>
        <w:ind w:left="0" w:firstLine="709"/>
        <w:contextualSpacing/>
        <w:jc w:val="both"/>
        <w:rPr>
          <w:rFonts w:ascii="Arial" w:hAnsi="Arial" w:eastAsia="Calibri" w:cs="Arial"/>
          <w:i/>
          <w:color w:val="000000"/>
          <w:lang w:val="es-ES_tradnl"/>
        </w:rPr>
      </w:pPr>
      <w:r w:rsidRPr="0098293C">
        <w:rPr>
          <w:rFonts w:ascii="Arial" w:hAnsi="Arial" w:eastAsia="Calibri" w:cs="Arial"/>
          <w:color w:val="000000"/>
          <w:lang w:val="es-MX"/>
        </w:rPr>
        <w:t xml:space="preserve">Los procedimientos contractuales mediante los cuales las entidades ejecutan recursos públicos y satisfacen el interés general deben regirse por la normativa de contratación pública ―Ley 80 de 1993, Ley 1150 de 2007, Decreto 1082 de 2015 y normas complementarias―, que contiene los principios, reglas y procedimientos que rigen los contratos de las entidades estatales. Como se explicó, el EGCAP se aplica a las entidades estatales relacionadas en el citado artículo 2 y demás normas que lo complementan, dentro de las cuales se encuentran mencionados los departamentos, distritos y municipios. </w:t>
      </w:r>
    </w:p>
    <w:p w:rsidRPr="0098293C" w:rsidR="0098293C" w:rsidP="0098293C" w:rsidRDefault="0098293C" w14:paraId="45664D92" w14:textId="77777777">
      <w:pPr>
        <w:spacing w:before="120" w:after="0" w:line="276" w:lineRule="auto"/>
        <w:ind w:firstLine="708"/>
        <w:jc w:val="both"/>
        <w:rPr>
          <w:rFonts w:ascii="Arial" w:hAnsi="Arial" w:eastAsia="Calibri" w:cs="Arial"/>
          <w:color w:val="000000"/>
          <w:lang w:val="es-MX"/>
        </w:rPr>
      </w:pPr>
      <w:r w:rsidRPr="0098293C">
        <w:rPr>
          <w:rFonts w:ascii="Arial" w:hAnsi="Arial" w:eastAsia="Calibri" w:cs="Arial"/>
          <w:color w:val="000000"/>
          <w:lang w:val="es-MX"/>
        </w:rPr>
        <w:t>En aplicación del EGCAP, los procedimientos de contratación se estructuran a partir de las modalidades de selección, y al hacer una revisión de las normas citadas se observa que contienen los procedimientos para adelantarlas y las reglas de cada modalidad: licitación pública, selección abreviada, concurso de méritos, contratación directa y mínima cuantía</w:t>
      </w:r>
      <w:r w:rsidRPr="0098293C">
        <w:rPr>
          <w:rFonts w:ascii="Arial" w:hAnsi="Arial" w:eastAsia="Calibri" w:cs="Arial"/>
          <w:color w:val="000000"/>
          <w:vertAlign w:val="superscript"/>
          <w:lang w:val="es-MX"/>
        </w:rPr>
        <w:footnoteReference w:id="6"/>
      </w:r>
      <w:r w:rsidRPr="0098293C">
        <w:rPr>
          <w:rFonts w:ascii="Arial" w:hAnsi="Arial" w:eastAsia="Calibri" w:cs="Arial"/>
          <w:color w:val="000000"/>
          <w:lang w:val="es-MX"/>
        </w:rPr>
        <w:t xml:space="preserve">. La exposición de motivos de la Ley 1150 de 2007 explica las razones por las cuales se establecieron las modalidades de selección: “A ese respecto es claro que las experiencias exitosas a nivel internacional demuestran que el criterio de distinción que debe gobernar un esquema contractual </w:t>
      </w:r>
      <w:proofErr w:type="gramStart"/>
      <w:r w:rsidRPr="0098293C">
        <w:rPr>
          <w:rFonts w:ascii="Arial" w:hAnsi="Arial" w:eastAsia="Calibri" w:cs="Arial"/>
          <w:color w:val="000000"/>
          <w:lang w:val="es-MX"/>
        </w:rPr>
        <w:t>eficiente,</w:t>
      </w:r>
      <w:proofErr w:type="gramEnd"/>
      <w:r w:rsidRPr="0098293C">
        <w:rPr>
          <w:rFonts w:ascii="Arial" w:hAnsi="Arial" w:eastAsia="Calibri" w:cs="Arial"/>
          <w:color w:val="000000"/>
          <w:lang w:val="es-MX"/>
        </w:rPr>
        <w:t xml:space="preserve"> es el de modular las modalidades de selección en razón a las características del objeto”. </w:t>
      </w:r>
    </w:p>
    <w:p w:rsidRPr="0098293C" w:rsidR="0098293C" w:rsidP="0098293C" w:rsidRDefault="0098293C" w14:paraId="00BAAD10" w14:textId="77777777">
      <w:pPr>
        <w:spacing w:before="120" w:after="0" w:line="276" w:lineRule="auto"/>
        <w:jc w:val="both"/>
        <w:rPr>
          <w:rFonts w:ascii="Arial" w:hAnsi="Arial" w:eastAsia="Calibri" w:cs="Arial"/>
          <w:color w:val="000000"/>
          <w:lang w:val="es-MX"/>
        </w:rPr>
      </w:pPr>
      <w:r w:rsidRPr="0098293C">
        <w:rPr>
          <w:rFonts w:ascii="Arial" w:hAnsi="Arial" w:eastAsia="Calibri" w:cs="Arial"/>
          <w:color w:val="000000"/>
          <w:lang w:val="es-MX"/>
        </w:rPr>
        <w:tab/>
      </w:r>
      <w:r w:rsidRPr="0098293C">
        <w:rPr>
          <w:rFonts w:ascii="Arial" w:hAnsi="Arial" w:eastAsia="Calibri" w:cs="Arial"/>
          <w:color w:val="000000"/>
          <w:lang w:val="es-MX"/>
        </w:rPr>
        <w:t>La determinación de la modalidad de selección del contratista para el caso de los convenios regulados en el parágrafo del artículo 16 de la Ley 1850 de 2017, que modificó el artículo 8 de la Ley 1276 de 2010, depende de las particularidades del caso, entre las que se resaltan la cuantía del contrato y el objeto del mismo, siendo una decisión que, en todo caso, le corresponde a la entidad contratante de manera autónoma, con apego a las directrices que establecen las Leyes 80 de 1993 y 1150 de 2007, así como las que contiene el Decreto 1082 de 2015, entre otras normas complementarias y reglamentarias.</w:t>
      </w:r>
    </w:p>
    <w:p w:rsidRPr="0098293C" w:rsidR="0098293C" w:rsidP="0098293C" w:rsidRDefault="0098293C" w14:paraId="148DFC2F" w14:textId="77777777">
      <w:pPr>
        <w:spacing w:before="120" w:after="0" w:line="276" w:lineRule="auto"/>
        <w:ind w:firstLine="708"/>
        <w:jc w:val="both"/>
        <w:rPr>
          <w:rFonts w:ascii="Arial" w:hAnsi="Arial" w:eastAsia="Calibri" w:cs="Arial"/>
          <w:color w:val="000000"/>
          <w:lang w:val="es-MX"/>
        </w:rPr>
      </w:pPr>
      <w:r w:rsidRPr="0098293C">
        <w:rPr>
          <w:rFonts w:ascii="Arial" w:hAnsi="Arial" w:eastAsia="Calibri" w:cs="Arial"/>
          <w:color w:val="000000"/>
          <w:lang w:val="es-MX"/>
        </w:rPr>
        <w:t>Lo anterior, claro está, cuando no se trate de un convenio interadministrativo, pues para este caso la modalidad es la contratación directa, de acuerdo con lo que establece el artículo 2.2.1.2.1.4.4. del Decreto 1082 de 2015, “Por medio del cual se expide el Decreto único reglamentario del sector administrativo de planeación nacional”</w:t>
      </w:r>
      <w:r w:rsidRPr="0098293C">
        <w:rPr>
          <w:rFonts w:ascii="Arial" w:hAnsi="Arial" w:eastAsia="Calibri" w:cs="Arial"/>
          <w:color w:val="000000"/>
          <w:vertAlign w:val="superscript"/>
          <w:lang w:val="es-MX"/>
        </w:rPr>
        <w:footnoteReference w:id="7"/>
      </w:r>
      <w:r w:rsidRPr="0098293C">
        <w:rPr>
          <w:rFonts w:ascii="Arial" w:hAnsi="Arial" w:eastAsia="Calibri" w:cs="Arial"/>
          <w:color w:val="000000"/>
          <w:lang w:val="es-MX"/>
        </w:rPr>
        <w:t xml:space="preserve">. En todo caso, hay que tener en cuenta que un contrato o convenio interadministrativo no está determinado por la modalidad de selección utilizada para celebrarlo. La Ley 1150 de 2007 establece que pueden celebrarse directamente, siempre que las obligaciones derivadas del mismo tengan relación directa con el objeto de la entidad ejecutora, señalado en la ley o en sus reglamentos, a menos que, según las excepciones previstas en dicha Ley, deba </w:t>
      </w:r>
      <w:r w:rsidRPr="0098293C">
        <w:rPr>
          <w:rFonts w:ascii="Arial" w:hAnsi="Arial" w:eastAsia="Calibri" w:cs="Arial"/>
          <w:color w:val="000000"/>
          <w:lang w:val="es-MX"/>
        </w:rPr>
        <w:t>adelantarse un procedimiento amplio</w:t>
      </w:r>
      <w:r w:rsidRPr="0098293C">
        <w:rPr>
          <w:rFonts w:ascii="Arial" w:hAnsi="Arial" w:eastAsia="Calibri" w:cs="Arial"/>
          <w:color w:val="000000"/>
          <w:vertAlign w:val="superscript"/>
          <w:lang w:val="es-MX"/>
        </w:rPr>
        <w:footnoteReference w:id="8"/>
      </w:r>
      <w:r w:rsidRPr="0098293C">
        <w:rPr>
          <w:rFonts w:ascii="Arial" w:hAnsi="Arial" w:eastAsia="Calibri" w:cs="Arial"/>
          <w:color w:val="000000"/>
          <w:lang w:val="es-MX"/>
        </w:rPr>
        <w:t>. Nótese que, en este caso, lo que cambia es la modalidad de selección y no la naturaleza de contrato interadministrativo.</w:t>
      </w:r>
    </w:p>
    <w:p w:rsidRPr="0098293C" w:rsidR="0098293C" w:rsidP="0098293C" w:rsidRDefault="0098293C" w14:paraId="2610417D" w14:textId="77777777">
      <w:pPr>
        <w:spacing w:before="120" w:after="0" w:line="276" w:lineRule="auto"/>
        <w:jc w:val="both"/>
        <w:rPr>
          <w:rFonts w:ascii="Arial" w:hAnsi="Arial" w:eastAsia="Calibri" w:cs="Arial"/>
          <w:color w:val="000000"/>
          <w:lang w:val="es-MX"/>
        </w:rPr>
      </w:pPr>
      <w:r w:rsidRPr="0098293C">
        <w:rPr>
          <w:rFonts w:ascii="Arial" w:hAnsi="Arial" w:eastAsia="Calibri" w:cs="Arial"/>
          <w:color w:val="000000"/>
          <w:lang w:val="es-MX"/>
        </w:rPr>
        <w:tab/>
      </w:r>
      <w:r w:rsidRPr="0098293C">
        <w:rPr>
          <w:rFonts w:ascii="Arial" w:hAnsi="Arial" w:eastAsia="Calibri" w:cs="Arial"/>
          <w:color w:val="000000"/>
          <w:lang w:val="es-MX"/>
        </w:rPr>
        <w:t>Si bien es cierto que los contratos o convenios interadministrativos están previstos en la Ley 80 de 1993, en la Ley 1150 de 2007 y en el Decreto 1082 de 2015, también lo es que esto no quiere decir que solo puedan celebrarse entre entidades estatales que apliquen el régimen de contratación allí previsto. Lo anterior por cuanto una entidad estatal de Ley 80 de 1993 puede celebrar esta clase de convenios con una entidad estatal de régimen especial y no por ello dejará de ser un contrato o convenio interadministrativo, caso en el cual su ejecución estará sometida a la Ley 80 de 1993</w:t>
      </w:r>
      <w:r w:rsidRPr="0098293C">
        <w:rPr>
          <w:rFonts w:ascii="Arial" w:hAnsi="Arial" w:eastAsia="Calibri" w:cs="Arial"/>
          <w:color w:val="000000"/>
          <w:vertAlign w:val="superscript"/>
          <w:lang w:val="es-MX"/>
        </w:rPr>
        <w:footnoteReference w:id="9"/>
      </w:r>
      <w:r w:rsidRPr="0098293C">
        <w:rPr>
          <w:rFonts w:ascii="Arial" w:hAnsi="Arial" w:eastAsia="Calibri" w:cs="Arial"/>
          <w:color w:val="000000"/>
          <w:lang w:val="es-MX"/>
        </w:rPr>
        <w:t>.</w:t>
      </w:r>
    </w:p>
    <w:p w:rsidRPr="0098293C" w:rsidR="0098293C" w:rsidP="0098293C" w:rsidRDefault="0098293C" w14:paraId="58AD100B" w14:textId="77777777">
      <w:pPr>
        <w:spacing w:before="120" w:after="120" w:line="276" w:lineRule="auto"/>
        <w:ind w:firstLine="709"/>
        <w:jc w:val="both"/>
        <w:rPr>
          <w:rFonts w:ascii="Arial" w:hAnsi="Arial" w:eastAsia="Calibri" w:cs="Arial"/>
          <w:color w:val="000000"/>
          <w:lang w:val="es-MX"/>
        </w:rPr>
      </w:pPr>
      <w:r w:rsidRPr="0098293C">
        <w:rPr>
          <w:rFonts w:ascii="Arial" w:hAnsi="Arial" w:eastAsia="Calibri" w:cs="Arial"/>
          <w:color w:val="000000"/>
          <w:lang w:val="es-MX"/>
        </w:rPr>
        <w:t xml:space="preserve">En ese sentido, los convenios interadministrativos se caracterizan por los sujetos que intervienen y por la modalidad de selección que la ley permite aplicar para su celebración, pues comporta un grado de excepcionalidad frente a las demás tipologías contractuales, donde los sujetos no están restringidos a una cualificación particular y aplican otras modalidades de selección. Por regla general, el Estatuto General de Contratación de la Administración Pública establece la contratación directa como la modalidad de selección aplicable para la celebración de los contratos interadministrativos. </w:t>
      </w:r>
    </w:p>
    <w:p w:rsidRPr="0098293C" w:rsidR="0098293C" w:rsidP="00A17518" w:rsidRDefault="0098293C" w14:paraId="024D5DF7" w14:textId="77777777">
      <w:pPr>
        <w:numPr>
          <w:ilvl w:val="0"/>
          <w:numId w:val="6"/>
        </w:numPr>
        <w:tabs>
          <w:tab w:val="left" w:pos="1134"/>
        </w:tabs>
        <w:spacing w:before="120" w:after="0" w:line="276" w:lineRule="auto"/>
        <w:ind w:left="0" w:firstLine="709"/>
        <w:contextualSpacing/>
        <w:jc w:val="both"/>
        <w:rPr>
          <w:rFonts w:ascii="Arial" w:hAnsi="Arial" w:eastAsia="Calibri" w:cs="Arial"/>
          <w:i/>
          <w:color w:val="000000"/>
          <w:lang w:val="es-ES_tradnl"/>
        </w:rPr>
      </w:pPr>
      <w:r w:rsidRPr="0098293C">
        <w:rPr>
          <w:rFonts w:ascii="Arial" w:hAnsi="Arial" w:eastAsia="Calibri" w:cs="Arial"/>
          <w:color w:val="000000"/>
          <w:lang w:val="es-MX"/>
        </w:rPr>
        <w:t>El artículo 355 de la Constitución Política prohíbe a las ramas y órganos del poder público decretar auxilios o donaciones en favor de personas naturales o jurídicas. Igualmente, establece que las entidades del orden nacional, departamental, distrital y municipal podrán, con sus propios recursos, contratar con ESAL con el fin de impulsar programas y actividades de interés público acordes con el plan nacional y los planes seccionales de desarrollo</w:t>
      </w:r>
      <w:r w:rsidRPr="0098293C">
        <w:rPr>
          <w:rFonts w:ascii="Arial" w:hAnsi="Arial" w:eastAsia="Calibri" w:cs="Arial"/>
          <w:color w:val="000000"/>
          <w:vertAlign w:val="superscript"/>
          <w:lang w:val="es-MX"/>
        </w:rPr>
        <w:footnoteReference w:id="10"/>
      </w:r>
      <w:r w:rsidRPr="0098293C">
        <w:rPr>
          <w:rFonts w:ascii="Arial" w:hAnsi="Arial" w:eastAsia="Calibri" w:cs="Arial"/>
          <w:color w:val="000000"/>
          <w:lang w:val="es-MX"/>
        </w:rPr>
        <w:t>.</w:t>
      </w:r>
    </w:p>
    <w:p w:rsidRPr="0098293C" w:rsidR="0098293C" w:rsidP="0098293C" w:rsidRDefault="0098293C" w14:paraId="6D1A6DFF" w14:textId="77777777">
      <w:pPr>
        <w:spacing w:before="120" w:after="0" w:line="276" w:lineRule="auto"/>
        <w:ind w:firstLine="708"/>
        <w:jc w:val="both"/>
        <w:rPr>
          <w:rFonts w:ascii="Arial" w:hAnsi="Arial" w:eastAsia="Calibri" w:cs="Arial"/>
          <w:color w:val="000000"/>
          <w:lang w:val="es-MX"/>
        </w:rPr>
      </w:pPr>
      <w:r w:rsidRPr="0098293C">
        <w:rPr>
          <w:rFonts w:ascii="Arial" w:hAnsi="Arial" w:eastAsia="Calibri" w:cs="Arial"/>
          <w:color w:val="000000"/>
          <w:lang w:val="es-MX"/>
        </w:rPr>
        <w:t xml:space="preserve">Por otra parte, la Ley 489 de 1998, en el artículo 96, permite a las entidades públicas en general, es decir, cualquiera sea su naturaleza y orden administrativo, asociarse con </w:t>
      </w:r>
      <w:r w:rsidRPr="0098293C">
        <w:rPr>
          <w:rFonts w:ascii="Arial" w:hAnsi="Arial" w:eastAsia="Calibri" w:cs="Arial"/>
          <w:color w:val="000000"/>
          <w:lang w:val="es-MX"/>
        </w:rPr>
        <w:t>personas jurídicas particulares, mediante la celebración de convenios de asociación o la creación de personas jurídicas</w:t>
      </w:r>
      <w:r w:rsidRPr="0098293C">
        <w:rPr>
          <w:rFonts w:ascii="Arial" w:hAnsi="Arial" w:eastAsia="Calibri" w:cs="Arial"/>
          <w:color w:val="000000"/>
          <w:sz w:val="21"/>
          <w:szCs w:val="21"/>
          <w:vertAlign w:val="superscript"/>
          <w:lang w:val="es-MX"/>
        </w:rPr>
        <w:footnoteReference w:id="11"/>
      </w:r>
      <w:r w:rsidRPr="0098293C">
        <w:rPr>
          <w:rFonts w:ascii="Arial" w:hAnsi="Arial" w:eastAsia="Calibri" w:cs="Arial"/>
          <w:color w:val="000000"/>
          <w:lang w:val="es-MX"/>
        </w:rPr>
        <w:t>. Ambas figuras tienen como fin desarrollar conjuntamente actividades relacionadas con los cometidos y funciones legales asignadas a la entidad.</w:t>
      </w:r>
    </w:p>
    <w:p w:rsidRPr="0098293C" w:rsidR="0098293C" w:rsidP="0098293C" w:rsidRDefault="0098293C" w14:paraId="29FAC25B" w14:textId="77777777">
      <w:pPr>
        <w:spacing w:after="0" w:line="276" w:lineRule="auto"/>
        <w:jc w:val="both"/>
        <w:rPr>
          <w:rFonts w:ascii="Arial" w:hAnsi="Arial" w:eastAsia="Calibri" w:cs="Arial"/>
          <w:b/>
          <w:bCs/>
          <w:color w:val="000000"/>
          <w:lang w:val="es-MX"/>
        </w:rPr>
      </w:pPr>
    </w:p>
    <w:p w:rsidRPr="0098293C" w:rsidR="0098293C" w:rsidP="0098293C" w:rsidRDefault="0098293C" w14:paraId="13FEEB10" w14:textId="77777777">
      <w:pPr>
        <w:spacing w:after="0" w:line="276" w:lineRule="auto"/>
        <w:jc w:val="both"/>
        <w:rPr>
          <w:rFonts w:ascii="Arial" w:hAnsi="Arial" w:eastAsia="Calibri" w:cs="Arial"/>
          <w:b/>
          <w:bCs/>
          <w:color w:val="000000"/>
          <w:lang w:val="es-MX"/>
        </w:rPr>
      </w:pPr>
      <w:r w:rsidRPr="0098293C">
        <w:rPr>
          <w:rFonts w:ascii="Arial" w:hAnsi="Arial" w:eastAsia="Calibri" w:cs="Arial"/>
          <w:b/>
          <w:bCs/>
          <w:color w:val="000000"/>
          <w:lang w:val="es-MX"/>
        </w:rPr>
        <w:t>2.2. Reglas para las contrataciones de las Entidades Estatales con las Entidades sin Ánimo de Lucro −ESAL−</w:t>
      </w:r>
    </w:p>
    <w:p w:rsidRPr="0098293C" w:rsidR="0098293C" w:rsidP="0098293C" w:rsidRDefault="0098293C" w14:paraId="358C7BA9" w14:textId="77777777">
      <w:pPr>
        <w:spacing w:after="0" w:line="276" w:lineRule="auto"/>
        <w:jc w:val="both"/>
        <w:rPr>
          <w:rFonts w:ascii="Arial" w:hAnsi="Arial" w:eastAsia="Calibri" w:cs="Arial"/>
          <w:color w:val="000000"/>
          <w:lang w:val="es-MX"/>
        </w:rPr>
      </w:pPr>
    </w:p>
    <w:p w:rsidRPr="0098293C" w:rsidR="0098293C" w:rsidP="0098293C" w:rsidRDefault="0098293C" w14:paraId="6970DABC" w14:textId="77777777">
      <w:pPr>
        <w:spacing w:after="0" w:line="276" w:lineRule="auto"/>
        <w:jc w:val="both"/>
        <w:rPr>
          <w:rFonts w:ascii="Arial" w:hAnsi="Arial" w:eastAsia="Calibri" w:cs="Arial"/>
          <w:color w:val="000000"/>
          <w:lang w:val="es-MX"/>
        </w:rPr>
      </w:pPr>
      <w:r w:rsidRPr="0098293C">
        <w:rPr>
          <w:rFonts w:ascii="Arial" w:hAnsi="Arial" w:eastAsia="Calibri" w:cs="Arial"/>
          <w:color w:val="000000"/>
          <w:lang w:val="es-MX"/>
        </w:rPr>
        <w:t xml:space="preserve">El Gobierno nacional, en desarrollo del artículo 355 de la Constitución, expidió el Decreto 092 de 2017, que dispone las reglas para las contrataciones que realicen las entidades estatales con las ESAL. El decreto regula dos eventos: i) los contratos de colaboración o de interés público con el fin impulsar programas y actividades de interés público de acuerdo con el Plan Nacional o los planes seccionales de desarrollo, en los términos del artículo 355 de la Constitución Política; y ii) los convenios de asociación, para el desarrollo conjunto de actividades relacionadas con las funciones de las entidades estatales, en desarrollo del artículo 96 de la Ley 489 de 1998. Los primeros están regulados en el artículo 2 del Decreto 92 de 2017, mientras que los segundos en los artículos 5, 6, 7 y 8 </w:t>
      </w:r>
      <w:r w:rsidRPr="0098293C">
        <w:rPr>
          <w:rFonts w:ascii="Arial" w:hAnsi="Arial" w:eastAsia="Calibri" w:cs="Arial"/>
          <w:i/>
          <w:iCs/>
          <w:color w:val="000000"/>
          <w:lang w:val="es-MX"/>
        </w:rPr>
        <w:t>ibidem</w:t>
      </w:r>
      <w:r w:rsidRPr="0098293C">
        <w:rPr>
          <w:rFonts w:ascii="Arial" w:hAnsi="Arial" w:eastAsia="Calibri" w:cs="Arial"/>
          <w:color w:val="000000"/>
          <w:lang w:val="es-MX"/>
        </w:rPr>
        <w:t xml:space="preserve">. Es posible diferenciar, pues, los </w:t>
      </w:r>
      <w:r w:rsidRPr="0098293C">
        <w:rPr>
          <w:rFonts w:ascii="Arial" w:hAnsi="Arial" w:eastAsia="Calibri" w:cs="Arial"/>
          <w:i/>
          <w:iCs/>
          <w:color w:val="000000"/>
          <w:lang w:val="es-MX"/>
        </w:rPr>
        <w:t>convenios de asociación</w:t>
      </w:r>
      <w:r w:rsidRPr="0098293C">
        <w:rPr>
          <w:rFonts w:ascii="Arial" w:hAnsi="Arial" w:eastAsia="Calibri" w:cs="Arial"/>
          <w:color w:val="000000"/>
          <w:lang w:val="es-MX"/>
        </w:rPr>
        <w:t xml:space="preserve">, regulados en el artículo 5, de los </w:t>
      </w:r>
      <w:r w:rsidRPr="0098293C">
        <w:rPr>
          <w:rFonts w:ascii="Arial" w:hAnsi="Arial" w:eastAsia="Calibri" w:cs="Arial"/>
          <w:i/>
          <w:iCs/>
          <w:color w:val="000000"/>
          <w:lang w:val="es-MX"/>
        </w:rPr>
        <w:t>contratos de colaboración</w:t>
      </w:r>
      <w:r w:rsidRPr="0098293C">
        <w:rPr>
          <w:rFonts w:ascii="Arial" w:hAnsi="Arial" w:eastAsia="Calibri" w:cs="Arial"/>
          <w:color w:val="000000"/>
          <w:lang w:val="es-MX"/>
        </w:rPr>
        <w:t>, establecidos en el artículo 2 del Decreto 92 de 2017</w:t>
      </w:r>
      <w:r w:rsidRPr="0098293C">
        <w:rPr>
          <w:rFonts w:ascii="Arial" w:hAnsi="Arial" w:eastAsia="Calibri" w:cs="Arial"/>
          <w:color w:val="000000"/>
          <w:vertAlign w:val="superscript"/>
          <w:lang w:val="es-MX"/>
        </w:rPr>
        <w:footnoteReference w:id="12"/>
      </w:r>
      <w:r w:rsidRPr="0098293C">
        <w:rPr>
          <w:rFonts w:ascii="Arial" w:hAnsi="Arial" w:eastAsia="Calibri" w:cs="Arial"/>
          <w:color w:val="000000"/>
          <w:lang w:val="es-MX"/>
        </w:rPr>
        <w:t xml:space="preserve">. </w:t>
      </w:r>
    </w:p>
    <w:p w:rsidRPr="0098293C" w:rsidR="0098293C" w:rsidP="0098293C" w:rsidRDefault="0098293C" w14:paraId="29843E0F" w14:textId="2A6B1685">
      <w:pPr>
        <w:spacing w:before="120" w:after="0" w:line="276" w:lineRule="auto"/>
        <w:ind w:firstLine="708"/>
        <w:jc w:val="both"/>
        <w:rPr>
          <w:rFonts w:ascii="Arial" w:hAnsi="Arial" w:eastAsia="Calibri" w:cs="Arial"/>
          <w:color w:val="000000"/>
          <w:lang w:val="es-MX"/>
        </w:rPr>
      </w:pPr>
      <w:r w:rsidRPr="0098293C">
        <w:rPr>
          <w:rFonts w:ascii="Arial" w:hAnsi="Arial" w:eastAsia="Calibri" w:cs="Arial"/>
          <w:color w:val="000000"/>
          <w:lang w:val="es-MX"/>
        </w:rPr>
        <w:t xml:space="preserve">Los </w:t>
      </w:r>
      <w:r w:rsidRPr="0098293C">
        <w:rPr>
          <w:rFonts w:ascii="Arial" w:hAnsi="Arial" w:eastAsia="Calibri" w:cs="Arial"/>
          <w:i/>
          <w:iCs/>
          <w:color w:val="000000"/>
          <w:lang w:val="es-MX"/>
        </w:rPr>
        <w:t xml:space="preserve">contratos de colaboración </w:t>
      </w:r>
      <w:r w:rsidRPr="0098293C">
        <w:rPr>
          <w:rFonts w:ascii="Arial" w:hAnsi="Arial" w:eastAsia="Calibri" w:cs="Arial"/>
          <w:color w:val="000000"/>
          <w:lang w:val="es-MX"/>
        </w:rPr>
        <w:t xml:space="preserve">tienen como objeto promover acciones de fomento social en beneficio de los sectores más desprotegidos de la población, previstas en los planes de desarrollo, motivo por el cual no dan lugar a una contraprestación directa a favor de la entidad y tampoco a una relación conmutativa entre esta y la ESAL, toda vez que el beneficio real y directo lo reciben, en últimas, los terceros beneficiarios de este tipo de acciones de fomento. Para celebrar estos contratos, según lo establece el artículo 3 del Decreto 92 de 2017, por regla general, la entidad debe adelantar un proceso competitivo para seleccionar la entidad sin ánimo de lucro con la que contratará. En particular, debe verificar el cumplimiento de los siguientes requisitos: i) que el objeto del contrato </w:t>
      </w:r>
      <w:r w:rsidRPr="0098293C">
        <w:rPr>
          <w:rFonts w:ascii="Arial" w:hAnsi="Arial" w:eastAsia="Calibri" w:cs="Arial"/>
          <w:color w:val="000000"/>
          <w:lang w:val="es-MX"/>
        </w:rPr>
        <w:t>corresponda a programas y actividades de interés público acordes con el Plan Nacional o Seccional de Desarrollo; y ii) que no haya una contraprestación directa a favor de la entidad estatal, es decir, que el programa o actividad a desarrollar esté dirigido al beneficio de la población en general, pues cuando se adquieren bienes o servicios o se ejecutan obras, en una relación conmutativa, las normas aplicables son las del EGCAP–. De lo anterior se desprende que solo cuando se reúnan estas condiciones, y se cuente con la autorización previa y escrita del representante legal de la entidad estatal, es procedente celebrar contratos de colaboración.</w:t>
      </w:r>
    </w:p>
    <w:p w:rsidRPr="0098293C" w:rsidR="0098293C" w:rsidP="0098293C" w:rsidRDefault="0098293C" w14:paraId="514D7E2B" w14:textId="77777777">
      <w:pPr>
        <w:spacing w:before="120" w:after="0" w:line="276" w:lineRule="auto"/>
        <w:ind w:firstLine="708"/>
        <w:jc w:val="both"/>
        <w:rPr>
          <w:rFonts w:ascii="Arial" w:hAnsi="Arial" w:eastAsia="Calibri" w:cs="Arial"/>
          <w:color w:val="000000"/>
          <w:lang w:val="es-MX"/>
        </w:rPr>
      </w:pPr>
      <w:r w:rsidRPr="0098293C">
        <w:rPr>
          <w:rFonts w:ascii="Arial" w:hAnsi="Arial" w:eastAsia="Calibri" w:cs="Arial"/>
          <w:color w:val="000000"/>
          <w:lang w:val="es-MX"/>
        </w:rPr>
        <w:t xml:space="preserve">De otro lado, los </w:t>
      </w:r>
      <w:r w:rsidRPr="0098293C">
        <w:rPr>
          <w:rFonts w:ascii="Arial" w:hAnsi="Arial" w:eastAsia="Calibri" w:cs="Arial"/>
          <w:i/>
          <w:iCs/>
          <w:color w:val="000000"/>
          <w:lang w:val="es-MX"/>
        </w:rPr>
        <w:t>convenios de asociación</w:t>
      </w:r>
      <w:r w:rsidRPr="0098293C">
        <w:rPr>
          <w:rFonts w:ascii="Arial" w:hAnsi="Arial" w:eastAsia="Calibri" w:cs="Arial"/>
          <w:color w:val="000000"/>
          <w:lang w:val="es-MX"/>
        </w:rPr>
        <w:t xml:space="preserve"> “[t]ienen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 Ley”</w:t>
      </w:r>
      <w:r w:rsidRPr="0098293C">
        <w:rPr>
          <w:rFonts w:ascii="Arial" w:hAnsi="Arial" w:eastAsia="Calibri" w:cs="Arial"/>
          <w:color w:val="000000"/>
          <w:vertAlign w:val="superscript"/>
          <w:lang w:val="es-MX"/>
        </w:rPr>
        <w:footnoteReference w:id="13"/>
      </w:r>
      <w:r w:rsidRPr="0098293C">
        <w:rPr>
          <w:rFonts w:ascii="Arial" w:hAnsi="Arial" w:eastAsia="Calibri" w:cs="Arial"/>
          <w:color w:val="000000"/>
          <w:lang w:val="es-MX"/>
        </w:rPr>
        <w:t xml:space="preserve">. En estos convenios no existe contraprestación o pago, sino aportes, los cuales están dirigidos, exclusivamente, a lograr la ejecución del convenio y no a remunerar la actividad o actuaciones del asociado. De todos modos, la entidad debe adelantar un proceso competitivo, salvo cuando la ESAL comprometa recursos en dinero para la ejecución de estas actividades, en una proporción no inferior al 30% del valor total del convenio. </w:t>
      </w:r>
    </w:p>
    <w:p w:rsidRPr="0098293C" w:rsidR="0098293C" w:rsidP="0098293C" w:rsidRDefault="0098293C" w14:paraId="24EE24B8" w14:textId="77777777">
      <w:pPr>
        <w:spacing w:before="120" w:after="0" w:line="276" w:lineRule="auto"/>
        <w:ind w:firstLine="708"/>
        <w:jc w:val="both"/>
        <w:rPr>
          <w:rFonts w:ascii="Arial" w:hAnsi="Arial" w:eastAsia="Calibri" w:cs="Arial"/>
          <w:color w:val="000000"/>
          <w:lang w:val="es-MX"/>
        </w:rPr>
      </w:pPr>
      <w:r w:rsidRPr="0098293C">
        <w:rPr>
          <w:rFonts w:ascii="Arial" w:hAnsi="Arial" w:eastAsia="Calibri" w:cs="Arial"/>
          <w:color w:val="000000"/>
          <w:lang w:val="es-MX"/>
        </w:rPr>
        <w:t xml:space="preserve">De conformidad con el inciso segundo del artículo 96 de la Ley 489 de 1998, en estos convenios debe determinarse “con precisión su objeto, término, obligaciones de las partes, aportes, coordinación y todos aquellos aspectos que se consideren pertinentes”, elementos dentro de los que resalta la exigencia de aportes, que debe interpretarse en el sentido de que las ESAL deben realizar aportes a los convenios que suscriban, los cuales pueden ser en dinero, en porcentajes inferiores o superiores al 30%, o en especie, los cuales deben servir al desarrollo de los objetivos comunes de la asociación. </w:t>
      </w:r>
    </w:p>
    <w:p w:rsidRPr="0098293C" w:rsidR="0098293C" w:rsidP="0098293C" w:rsidRDefault="0098293C" w14:paraId="5F036C4D" w14:textId="77777777">
      <w:pPr>
        <w:spacing w:before="120" w:after="0" w:line="276" w:lineRule="auto"/>
        <w:ind w:firstLine="708"/>
        <w:jc w:val="both"/>
        <w:rPr>
          <w:rFonts w:ascii="Arial" w:hAnsi="Arial" w:eastAsia="Calibri" w:cs="Arial"/>
          <w:color w:val="000000"/>
          <w:lang w:val="es-MX"/>
        </w:rPr>
      </w:pPr>
      <w:r w:rsidRPr="0098293C">
        <w:rPr>
          <w:rFonts w:ascii="Arial" w:hAnsi="Arial" w:eastAsia="Calibri" w:cs="Arial"/>
          <w:color w:val="000000"/>
          <w:lang w:val="es-MX"/>
        </w:rPr>
        <w:t xml:space="preserve">La normativa vigente no impide que varias entidades suscriban conjuntamente el convenio de asociación y tampoco que dos o más ESAL pueden hacerlo, a través de las figuras asociativas autorizadas por la ley, por ejemplo, la unión temporal o el consorcio. Sin embargo, como el artículo 96 de la Ley 489 de 1998 determina que el convenio busca el desarrollo conjunto de actividades en relación con los cometidos y funciones que la ley les asigna a las entidades estatales, lo cierto es que las funciones legales de las entidades estatales que suscriben conjuntamente el convenio deben coincidir. </w:t>
      </w:r>
    </w:p>
    <w:p w:rsidRPr="0098293C" w:rsidR="0098293C" w:rsidP="0098293C" w:rsidRDefault="0098293C" w14:paraId="215EAE6D" w14:textId="77777777">
      <w:pPr>
        <w:spacing w:before="120" w:after="0" w:line="276" w:lineRule="auto"/>
        <w:ind w:firstLine="708"/>
        <w:jc w:val="both"/>
        <w:rPr>
          <w:rFonts w:ascii="Arial" w:hAnsi="Arial" w:eastAsia="Calibri" w:cs="Arial"/>
          <w:color w:val="000000"/>
          <w:lang w:val="es-MX"/>
        </w:rPr>
      </w:pPr>
      <w:r w:rsidRPr="0098293C">
        <w:rPr>
          <w:rFonts w:ascii="Arial" w:hAnsi="Arial" w:eastAsia="Calibri" w:cs="Arial"/>
          <w:color w:val="000000"/>
          <w:lang w:val="es-MX"/>
        </w:rPr>
        <w:t xml:space="preserve">De igual forma, atendiendo a que los convenios de asociación “no estarán sujetos a competencia cuando la entidad sin ánimo de lucro comprometa recursos en dinero para la ejecución de esas actividades en una proporción no inferior al 30% del valor total del convenio”, la o las entidades deben asegurarse de que su contratista, es decir, una o varias </w:t>
      </w:r>
      <w:r w:rsidRPr="0098293C">
        <w:rPr>
          <w:rFonts w:ascii="Arial" w:hAnsi="Arial" w:eastAsia="Calibri" w:cs="Arial"/>
          <w:color w:val="000000"/>
          <w:lang w:val="es-MX"/>
        </w:rPr>
        <w:t>ESAL, aporten al menos el treinta por ciento del valor del convenio para celebrarlo directamente. Además, en atención al inciso 2 del artículo 5 del Decreto 92 de 2017, deben “asegurarse que no haya otras ESAL que ofrezcan su compromiso de recursos en dinero en una proporción no inferior al 30% del valor total del convenio. En caso de que la entidad encuentre que más de una ESAL le ofrece al menos el 30% de recursos en dinero para el convenio de asociación, debe seleccionar objetivamente con cual asociarse”</w:t>
      </w:r>
      <w:r w:rsidRPr="0098293C">
        <w:rPr>
          <w:rFonts w:ascii="Arial" w:hAnsi="Arial" w:eastAsia="Calibri" w:cs="Arial"/>
          <w:color w:val="000000"/>
          <w:vertAlign w:val="superscript"/>
          <w:lang w:val="es-MX"/>
        </w:rPr>
        <w:footnoteReference w:id="14"/>
      </w:r>
      <w:r w:rsidRPr="0098293C">
        <w:rPr>
          <w:rFonts w:ascii="Arial" w:hAnsi="Arial" w:eastAsia="Calibri" w:cs="Arial"/>
          <w:color w:val="000000"/>
          <w:lang w:val="es-MX"/>
        </w:rPr>
        <w:t>.</w:t>
      </w:r>
    </w:p>
    <w:p w:rsidRPr="0098293C" w:rsidR="0098293C" w:rsidP="0098293C" w:rsidRDefault="0098293C" w14:paraId="48564704" w14:textId="77777777">
      <w:pPr>
        <w:spacing w:before="120" w:after="0" w:line="276" w:lineRule="auto"/>
        <w:ind w:firstLine="708"/>
        <w:jc w:val="both"/>
        <w:rPr>
          <w:rFonts w:ascii="Arial" w:hAnsi="Arial" w:eastAsia="Calibri" w:cs="Arial"/>
          <w:color w:val="000000"/>
          <w:lang w:val="es-MX"/>
        </w:rPr>
      </w:pPr>
      <w:r w:rsidRPr="0098293C">
        <w:rPr>
          <w:rFonts w:ascii="Arial" w:hAnsi="Arial" w:eastAsia="Calibri" w:cs="Arial"/>
          <w:color w:val="000000"/>
          <w:lang w:val="es-MX"/>
        </w:rPr>
        <w:t xml:space="preserve">La noción “seleccionar de forma objetiva”, contenida en la disposición </w:t>
      </w:r>
      <w:r w:rsidRPr="0098293C">
        <w:rPr>
          <w:rFonts w:ascii="Arial" w:hAnsi="Arial" w:eastAsia="Calibri" w:cs="Arial"/>
          <w:i/>
          <w:iCs/>
          <w:color w:val="000000"/>
          <w:lang w:val="es-MX"/>
        </w:rPr>
        <w:t xml:space="preserve">sub examine </w:t>
      </w:r>
      <w:r w:rsidRPr="0098293C">
        <w:rPr>
          <w:rFonts w:ascii="Arial" w:hAnsi="Arial" w:eastAsia="Calibri" w:cs="Arial"/>
          <w:color w:val="000000"/>
          <w:lang w:val="es-MX"/>
        </w:rPr>
        <w:t>no puede ser entendida como una remisión a las Leyes 80 de 1993 y 1150 de 2007. A lo que se refiere la norma es a que la entidad estatal debe diseñar herramientas que permitan una comparación objetiva de las entidades sin ánimo de lucro para seleccionar objetivamente a aquella que tenga las mejores condiciones para alcanzar el resultado esperado con el proyecto de cooperación, por lo que los criterios que permitan una selección objetiva deben definirse en términos de la obtención de los objetivos del convenio de asociación. Sin perjuicio de lo anterior, la entidad puede decidir acudir a los procesos de selección de contratistas que establece el EGCAP o, incluso, al trámite que regula el inciso 2 del artículo 2 del Decreto 092 de 2017.</w:t>
      </w:r>
    </w:p>
    <w:p w:rsidRPr="0098293C" w:rsidR="0098293C" w:rsidP="0098293C" w:rsidRDefault="0098293C" w14:paraId="30EF3FDE" w14:textId="77777777">
      <w:pPr>
        <w:spacing w:before="120" w:after="0" w:line="276" w:lineRule="auto"/>
        <w:ind w:firstLine="708"/>
        <w:jc w:val="both"/>
        <w:rPr>
          <w:rFonts w:ascii="Arial" w:hAnsi="Arial" w:eastAsia="Calibri" w:cs="Arial"/>
          <w:color w:val="000000"/>
          <w:lang w:val="es-MX"/>
        </w:rPr>
      </w:pPr>
      <w:r w:rsidRPr="0098293C">
        <w:rPr>
          <w:rFonts w:ascii="Arial" w:hAnsi="Arial" w:eastAsia="Calibri" w:cs="Arial"/>
          <w:color w:val="000000"/>
          <w:lang w:val="es-MX"/>
        </w:rPr>
        <w:t>Las entidades estatales son autónomas en la configuración del proceso competitivo en desarrollo del artículo 5 del Decreto 092 de 2017. En todo caso, el proceso competitivo que definan las entidades estatales para sus convenios de asociación debe garantizar la libre concurrencia y la pluralidad de interesados y la comparación objetiva de las ofertas, por lo que este procedimiento puede ser análogo a otros donde existe competencia, como la licitación pública.</w:t>
      </w:r>
    </w:p>
    <w:p w:rsidRPr="0098293C" w:rsidR="0098293C" w:rsidP="0098293C" w:rsidRDefault="0098293C" w14:paraId="6571F233" w14:textId="77777777">
      <w:pPr>
        <w:spacing w:before="120" w:after="0" w:line="276" w:lineRule="auto"/>
        <w:ind w:firstLine="709"/>
        <w:jc w:val="both"/>
        <w:rPr>
          <w:rFonts w:ascii="Arial" w:hAnsi="Arial" w:eastAsia="Calibri" w:cs="Arial"/>
          <w:color w:val="000000"/>
          <w:lang w:val="es-MX"/>
        </w:rPr>
      </w:pPr>
      <w:r w:rsidRPr="0098293C">
        <w:rPr>
          <w:rFonts w:ascii="Arial" w:hAnsi="Arial" w:eastAsia="Calibri" w:cs="Arial"/>
          <w:color w:val="000000"/>
          <w:lang w:val="es-MX"/>
        </w:rPr>
        <w:t xml:space="preserve">Así las cosas, el Decreto 092 de 2017 resulta aplicable a los convenios regulados en el parágrafo del artículo 16 de la Ley 1850 de 2017, que modificó el artículo 8 de la Ley 1276 de 2010, únicamente en aquellos eventos en los que los entes territoriales “[…] contrata[n] con entidades privadas sin ánimo de lucro y de reconocida idoneidad […]”, de acuerdo con lo establecido en el artículo 1 del mencionado decreto </w:t>
      </w:r>
      <w:r w:rsidRPr="0098293C">
        <w:rPr>
          <w:rFonts w:ascii="Arial" w:hAnsi="Arial" w:eastAsia="Calibri" w:cs="Arial"/>
          <w:color w:val="000000"/>
          <w:lang w:val="es-ES_tradnl"/>
        </w:rPr>
        <w:t xml:space="preserve">y únicamente si se cumplen los otros requisitos que se derivan de su contenido, entre ellos, que no se genere </w:t>
      </w:r>
      <w:r w:rsidRPr="0098293C">
        <w:rPr>
          <w:rFonts w:ascii="Arial" w:hAnsi="Arial" w:eastAsia="Calibri" w:cs="Arial"/>
          <w:color w:val="000000"/>
          <w:lang w:val="es-MX"/>
        </w:rPr>
        <w:t xml:space="preserve">una contraprestación directa a favor de la entidad y tampoco una relación conmutativa entre esta y la ESAL. </w:t>
      </w:r>
    </w:p>
    <w:p w:rsidRPr="0098293C" w:rsidR="0098293C" w:rsidP="0098293C" w:rsidRDefault="0098293C" w14:paraId="5F658476" w14:textId="77777777">
      <w:pPr>
        <w:spacing w:before="120" w:after="0" w:line="276" w:lineRule="auto"/>
        <w:ind w:firstLine="708"/>
        <w:jc w:val="both"/>
        <w:rPr>
          <w:rFonts w:ascii="Arial" w:hAnsi="Arial" w:eastAsia="Calibri" w:cs="Arial"/>
          <w:color w:val="000000"/>
          <w:lang w:val="es-MX"/>
        </w:rPr>
      </w:pPr>
      <w:r w:rsidRPr="0098293C">
        <w:rPr>
          <w:rFonts w:ascii="Arial" w:hAnsi="Arial" w:eastAsia="Calibri" w:cs="Arial"/>
          <w:color w:val="000000"/>
          <w:lang w:val="es-MX"/>
        </w:rPr>
        <w:t xml:space="preserve">En esta hipótesis, las entidades territoriales cuentan con dos opciones: i) los contratos de colaboración o de interés público con el fin de impulsar programas y actividades de interés público de acuerdo con el Plan Nacional o los planes seccionales de desarrollo, en los términos del artículo 355 de la Constitución Política; y ii) los convenios de asociación, para el desarrollo conjunto de actividades relacionadas con las funciones de las </w:t>
      </w:r>
      <w:r w:rsidRPr="0098293C">
        <w:rPr>
          <w:rFonts w:ascii="Arial" w:hAnsi="Arial" w:eastAsia="Calibri" w:cs="Arial"/>
          <w:color w:val="000000"/>
          <w:lang w:val="es-MX"/>
        </w:rPr>
        <w:t>entidades estatales, en desarrollo del artículo 96 de la Ley 489 de 1998, teniendo en cuenta los parámetros explicados en este concepto.</w:t>
      </w:r>
    </w:p>
    <w:p w:rsidRPr="0098293C" w:rsidR="0098293C" w:rsidP="0098293C" w:rsidRDefault="0098293C" w14:paraId="54979F52" w14:textId="77777777">
      <w:pPr>
        <w:spacing w:before="12" w:after="0" w:line="240" w:lineRule="auto"/>
        <w:jc w:val="both"/>
        <w:rPr>
          <w:rFonts w:ascii="Arial" w:hAnsi="Arial" w:eastAsia="Calibri" w:cs="Arial"/>
          <w:bCs/>
          <w:color w:val="000000"/>
          <w:lang w:val="es-ES_tradnl"/>
        </w:rPr>
      </w:pPr>
    </w:p>
    <w:p w:rsidRPr="0098293C" w:rsidR="0098293C" w:rsidP="0098293C" w:rsidRDefault="0098293C" w14:paraId="57C801AD" w14:textId="77777777">
      <w:pPr>
        <w:tabs>
          <w:tab w:val="left" w:pos="284"/>
        </w:tabs>
        <w:spacing w:after="0" w:line="240" w:lineRule="auto"/>
        <w:contextualSpacing/>
        <w:jc w:val="both"/>
        <w:rPr>
          <w:rFonts w:ascii="Arial" w:hAnsi="Arial" w:eastAsia="Calibri" w:cs="Arial"/>
          <w:b/>
          <w:color w:val="000000"/>
          <w:lang w:val="es-MX"/>
        </w:rPr>
      </w:pPr>
      <w:r w:rsidRPr="0098293C">
        <w:rPr>
          <w:rFonts w:ascii="Arial" w:hAnsi="Arial" w:eastAsia="Calibri" w:cs="Arial"/>
          <w:b/>
          <w:color w:val="000000"/>
          <w:lang w:val="es-MX"/>
        </w:rPr>
        <w:t>3. Respuesta</w:t>
      </w:r>
    </w:p>
    <w:p w:rsidRPr="0098293C" w:rsidR="0098293C" w:rsidP="0098293C" w:rsidRDefault="0098293C" w14:paraId="2EF5317A" w14:textId="77777777">
      <w:pPr>
        <w:tabs>
          <w:tab w:val="left" w:pos="284"/>
        </w:tabs>
        <w:spacing w:before="120" w:after="0" w:line="276" w:lineRule="auto"/>
        <w:contextualSpacing/>
        <w:jc w:val="both"/>
        <w:rPr>
          <w:rFonts w:ascii="Arial" w:hAnsi="Arial" w:eastAsia="Calibri" w:cs="Arial"/>
          <w:b/>
          <w:color w:val="000000"/>
          <w:lang w:val="es-MX"/>
        </w:rPr>
      </w:pPr>
    </w:p>
    <w:p w:rsidRPr="0098293C" w:rsidR="0098293C" w:rsidP="0098293C" w:rsidRDefault="0098293C" w14:paraId="0F77D0D1" w14:textId="77777777">
      <w:pPr>
        <w:tabs>
          <w:tab w:val="left" w:pos="426"/>
        </w:tabs>
        <w:spacing w:after="0" w:line="240" w:lineRule="auto"/>
        <w:ind w:left="709" w:right="709"/>
        <w:jc w:val="both"/>
        <w:rPr>
          <w:rFonts w:ascii="Arial" w:hAnsi="Arial" w:eastAsia="Calibri" w:cs="Arial"/>
          <w:color w:val="000000"/>
          <w:sz w:val="21"/>
          <w:szCs w:val="21"/>
        </w:rPr>
      </w:pPr>
      <w:r w:rsidRPr="0098293C">
        <w:rPr>
          <w:rFonts w:ascii="Arial" w:hAnsi="Arial" w:eastAsia="Calibri" w:cs="Arial"/>
          <w:color w:val="000000"/>
          <w:sz w:val="21"/>
          <w:szCs w:val="21"/>
        </w:rPr>
        <w:t>“Quisiera saber si para la contratación estipulada en el parágrafo del artículo 5 de la ley 687 de 2001 se puede realizar de manera directa con una ESAL y por ende si se debe cumplir con todo lo reglamentado en el decreto 092 de 2017, en especial con las reglas contempladas en el artículo 5 del precitado decreto”.</w:t>
      </w:r>
    </w:p>
    <w:p w:rsidRPr="0098293C" w:rsidR="0098293C" w:rsidP="0098293C" w:rsidRDefault="0098293C" w14:paraId="02929DF3" w14:textId="77777777">
      <w:pPr>
        <w:tabs>
          <w:tab w:val="left" w:pos="709"/>
        </w:tabs>
        <w:spacing w:after="0" w:line="276" w:lineRule="auto"/>
        <w:jc w:val="both"/>
        <w:rPr>
          <w:rFonts w:ascii="Arial" w:hAnsi="Arial" w:eastAsia="Calibri" w:cs="Arial"/>
          <w:color w:val="000000"/>
          <w:lang w:val="es-ES_tradnl"/>
        </w:rPr>
      </w:pPr>
    </w:p>
    <w:p w:rsidRPr="0098293C" w:rsidR="0098293C" w:rsidP="0098293C" w:rsidRDefault="0098293C" w14:paraId="4DC21359" w14:textId="694BC867">
      <w:pPr>
        <w:tabs>
          <w:tab w:val="left" w:pos="709"/>
        </w:tabs>
        <w:spacing w:after="0" w:line="276" w:lineRule="auto"/>
        <w:jc w:val="both"/>
        <w:rPr>
          <w:rFonts w:ascii="Arial" w:hAnsi="Arial" w:eastAsia="Calibri" w:cs="Arial"/>
          <w:color w:val="000000"/>
        </w:rPr>
      </w:pPr>
      <w:r w:rsidRPr="0098293C">
        <w:rPr>
          <w:rFonts w:ascii="Arial" w:hAnsi="Arial" w:eastAsia="Calibri" w:cs="Arial"/>
          <w:color w:val="000000"/>
        </w:rPr>
        <w:t xml:space="preserve">La Agencia Colombia Compra Eficiente considera que los convenios que pueden celebrar los departamentos, distritos y municipios en los términos del artículo 8 de la Ley 1276 de 2009, modificado por el artículo 16 de la Ley 1850 de 2017, están regulados por el </w:t>
      </w:r>
      <w:r w:rsidRPr="0098293C" w:rsidR="003F737F">
        <w:rPr>
          <w:rFonts w:ascii="Arial" w:hAnsi="Arial" w:eastAsia="Calibri" w:cs="Arial"/>
          <w:color w:val="000000"/>
          <w:lang w:val="es-MX"/>
        </w:rPr>
        <w:t>EGCAP</w:t>
      </w:r>
      <w:r w:rsidRPr="0098293C">
        <w:rPr>
          <w:rFonts w:ascii="Arial" w:hAnsi="Arial" w:eastAsia="Calibri" w:cs="Arial"/>
          <w:color w:val="000000"/>
        </w:rPr>
        <w:t xml:space="preserve">, esto es, por la Ley 80 de 1993 y todas sus normas complementarias y reglamentarias. Eventualmente, estos convenios pueden estar regulados por las disposiciones especiales contenidas en el Decreto 092 del 2017, siempre que se den las condiciones para el efecto, esto es, que los convenios se celebren con entidades sin ánimo de lucro para los fines previstos en dicha norma. </w:t>
      </w:r>
    </w:p>
    <w:p w:rsidRPr="0098293C" w:rsidR="0098293C" w:rsidP="0098293C" w:rsidRDefault="0098293C" w14:paraId="296D0D49" w14:textId="77777777">
      <w:pPr>
        <w:spacing w:before="120" w:after="0" w:line="276" w:lineRule="auto"/>
        <w:ind w:firstLine="709"/>
        <w:jc w:val="both"/>
        <w:rPr>
          <w:rFonts w:ascii="Arial" w:hAnsi="Arial" w:eastAsia="Calibri" w:cs="Arial"/>
          <w:color w:val="000000"/>
          <w:lang w:val="es-MX"/>
        </w:rPr>
      </w:pPr>
      <w:r w:rsidRPr="0098293C">
        <w:rPr>
          <w:rFonts w:ascii="Arial" w:hAnsi="Arial" w:eastAsia="Calibri" w:cs="Arial"/>
          <w:color w:val="000000"/>
          <w:lang w:val="es-MX"/>
        </w:rPr>
        <w:t xml:space="preserve">Así las cosas, el Decreto 092 de 2017 resulta aplicable a los convenios regulados en el parágrafo del artículo 16 de la Ley 1850 de 2017, que modificó el artículo 8 de la Ley 1276 de 2010, únicamente en aquellos eventos en los que los entes territoriales “[…] contrata[n] con entidades privadas sin ánimo de lucro y de reconocida idoneidad […]”, de acuerdo con lo establecido en el artículo 1 del mencionado decreto </w:t>
      </w:r>
      <w:r w:rsidRPr="0098293C">
        <w:rPr>
          <w:rFonts w:ascii="Arial" w:hAnsi="Arial" w:eastAsia="Calibri" w:cs="Arial"/>
          <w:color w:val="000000"/>
          <w:lang w:val="es-ES_tradnl"/>
        </w:rPr>
        <w:t xml:space="preserve">y únicamente si se cumplen los otros requisitos que se derivan de su contenido, entre ellos, que no se genere </w:t>
      </w:r>
      <w:r w:rsidRPr="0098293C">
        <w:rPr>
          <w:rFonts w:ascii="Arial" w:hAnsi="Arial" w:eastAsia="Calibri" w:cs="Arial"/>
          <w:color w:val="000000"/>
          <w:lang w:val="es-MX"/>
        </w:rPr>
        <w:t xml:space="preserve">una contraprestación directa a favor de la entidad y tampoco una relación conmutativa entre esta y la ESAL. </w:t>
      </w:r>
    </w:p>
    <w:p w:rsidRPr="0098293C" w:rsidR="0098293C" w:rsidP="0098293C" w:rsidRDefault="0098293C" w14:paraId="57A36CBB" w14:textId="2D60C077">
      <w:pPr>
        <w:spacing w:before="120" w:after="0" w:line="276" w:lineRule="auto"/>
        <w:ind w:firstLine="708"/>
        <w:jc w:val="both"/>
        <w:rPr>
          <w:rFonts w:ascii="Arial" w:hAnsi="Arial" w:eastAsia="Calibri" w:cs="Arial"/>
          <w:color w:val="000000"/>
          <w:lang w:val="es-MX"/>
        </w:rPr>
      </w:pPr>
      <w:r w:rsidRPr="0098293C">
        <w:rPr>
          <w:rFonts w:ascii="Arial" w:hAnsi="Arial" w:eastAsia="Calibri" w:cs="Arial"/>
          <w:color w:val="000000"/>
          <w:lang w:val="es-MX"/>
        </w:rPr>
        <w:t xml:space="preserve">En </w:t>
      </w:r>
      <w:r w:rsidR="00115735">
        <w:rPr>
          <w:rFonts w:ascii="Arial" w:hAnsi="Arial" w:eastAsia="Calibri" w:cs="Arial"/>
          <w:color w:val="000000"/>
          <w:lang w:val="es-MX"/>
        </w:rPr>
        <w:t>conclusión</w:t>
      </w:r>
      <w:r w:rsidRPr="0098293C">
        <w:rPr>
          <w:rFonts w:ascii="Arial" w:hAnsi="Arial" w:eastAsia="Calibri" w:cs="Arial"/>
          <w:color w:val="000000"/>
          <w:lang w:val="es-MX"/>
        </w:rPr>
        <w:t xml:space="preserve">, las entidades territoriales cuentan con dos opciones: i) los contratos de colaboración o de interés público con el fin de impulsar programas y actividades de interés público de acuerdo con el Plan Nacional o los planes seccionales de desarrollo, en los términos del artículo 355 de la Constitución Política; y ii) </w:t>
      </w:r>
      <w:r w:rsidR="00115735">
        <w:rPr>
          <w:rFonts w:ascii="Arial" w:hAnsi="Arial" w:eastAsia="Calibri" w:cs="Arial"/>
          <w:color w:val="000000"/>
          <w:lang w:val="es-MX"/>
        </w:rPr>
        <w:t>e</w:t>
      </w:r>
      <w:r w:rsidRPr="005826AB" w:rsidR="00115735">
        <w:rPr>
          <w:rFonts w:ascii="Arial" w:hAnsi="Arial" w:eastAsia="Calibri" w:cs="Arial"/>
          <w:color w:val="000000"/>
          <w:lang w:val="es-MX"/>
        </w:rPr>
        <w:t>l artículo 96 de la Ley 489 de 1998, autoriza a las Entidades Estatales a celebrar negocios jurídicos con entidades sin ánimo de lucro para cumplir sus funciones. La misma Ley define estos negocios jurídicos como convenios de asociación y establece que deben celebrarse de conformidad con el artículo 355 de la Constitución Política</w:t>
      </w:r>
      <w:r w:rsidRPr="0098293C">
        <w:rPr>
          <w:rFonts w:ascii="Arial" w:hAnsi="Arial" w:eastAsia="Calibri" w:cs="Arial"/>
          <w:color w:val="000000"/>
          <w:lang w:val="es-MX"/>
        </w:rPr>
        <w:t>, teniendo en cuenta los parámetros explicados en este concepto.</w:t>
      </w:r>
    </w:p>
    <w:p w:rsidR="0098293C" w:rsidP="0098293C" w:rsidRDefault="0098293C" w14:paraId="338F1927" w14:textId="77777777">
      <w:pPr>
        <w:spacing w:after="0" w:line="240" w:lineRule="auto"/>
        <w:jc w:val="both"/>
        <w:rPr>
          <w:rFonts w:ascii="Arial" w:hAnsi="Arial" w:eastAsia="Calibri" w:cs="Arial"/>
          <w:color w:val="000000"/>
          <w:lang w:val="es-MX"/>
        </w:rPr>
      </w:pPr>
    </w:p>
    <w:p w:rsidR="00DE5E1E" w:rsidP="0098293C" w:rsidRDefault="00DE5E1E" w14:paraId="48D853C5" w14:textId="77777777">
      <w:pPr>
        <w:spacing w:after="0" w:line="240" w:lineRule="auto"/>
        <w:jc w:val="both"/>
        <w:rPr>
          <w:rFonts w:ascii="Arial" w:hAnsi="Arial" w:eastAsia="Calibri" w:cs="Arial"/>
          <w:color w:val="000000"/>
          <w:lang w:val="es-MX"/>
        </w:rPr>
      </w:pPr>
    </w:p>
    <w:p w:rsidR="00DE5E1E" w:rsidP="0098293C" w:rsidRDefault="00DE5E1E" w14:paraId="16ACE19D" w14:textId="77777777">
      <w:pPr>
        <w:spacing w:after="0" w:line="240" w:lineRule="auto"/>
        <w:jc w:val="both"/>
        <w:rPr>
          <w:rFonts w:ascii="Arial" w:hAnsi="Arial" w:eastAsia="Calibri" w:cs="Arial"/>
          <w:color w:val="000000"/>
          <w:lang w:val="es-MX"/>
        </w:rPr>
      </w:pPr>
    </w:p>
    <w:p w:rsidRPr="0098293C" w:rsidR="00DE5E1E" w:rsidP="0098293C" w:rsidRDefault="00DE5E1E" w14:paraId="4C5A3D95" w14:textId="77777777">
      <w:pPr>
        <w:spacing w:after="0" w:line="240" w:lineRule="auto"/>
        <w:jc w:val="both"/>
        <w:rPr>
          <w:rFonts w:ascii="Arial" w:hAnsi="Arial" w:eastAsia="Calibri" w:cs="Arial"/>
          <w:color w:val="000000"/>
          <w:lang w:val="es-MX"/>
        </w:rPr>
      </w:pPr>
    </w:p>
    <w:p w:rsidRPr="0098293C" w:rsidR="0098293C" w:rsidP="0098293C" w:rsidRDefault="0098293C" w14:paraId="13C4B122" w14:textId="73C46A92">
      <w:pPr>
        <w:spacing w:after="0" w:line="240" w:lineRule="auto"/>
        <w:jc w:val="both"/>
        <w:rPr>
          <w:rFonts w:ascii="Arial" w:hAnsi="Arial" w:eastAsia="Calibri" w:cs="Arial"/>
          <w:color w:val="000000"/>
          <w:lang w:val="es-MX"/>
        </w:rPr>
      </w:pPr>
      <w:r w:rsidRPr="0098293C">
        <w:rPr>
          <w:rFonts w:ascii="Arial" w:hAnsi="Arial" w:eastAsia="Calibri" w:cs="Arial"/>
          <w:color w:val="000000"/>
          <w:lang w:val="es-MX"/>
        </w:rPr>
        <w:t>Este concepto tiene el alcance previsto en el artículo 28 del Código de Procedimiento Administrativo y de lo Contencioso Administrativo</w:t>
      </w:r>
      <w:r w:rsidRPr="000C326C" w:rsidR="000C326C">
        <w:rPr>
          <w:color w:val="000000"/>
          <w:sz w:val="27"/>
          <w:szCs w:val="27"/>
        </w:rPr>
        <w:t xml:space="preserve"> </w:t>
      </w:r>
      <w:r w:rsidRPr="00F416A2" w:rsidR="000C326C">
        <w:rPr>
          <w:rFonts w:ascii="Arial" w:hAnsi="Arial" w:eastAsia="Calibri" w:cs="Arial"/>
          <w:color w:val="000000"/>
          <w:lang w:val="es-MX"/>
        </w:rPr>
        <w:t>y las expresiones aquí utilizadas con mayúscula inicial deben ser entendidas con el significado que les otorga el artículo 2.2.1.1.1.3.1. del Decreto 1082 de 2015.</w:t>
      </w:r>
    </w:p>
    <w:p w:rsidRPr="0098293C" w:rsidR="0098293C" w:rsidP="0098293C" w:rsidRDefault="0098293C" w14:paraId="7BCC0F29" w14:textId="77777777">
      <w:pPr>
        <w:spacing w:after="0" w:line="240" w:lineRule="auto"/>
        <w:jc w:val="both"/>
        <w:rPr>
          <w:rFonts w:ascii="Arial" w:hAnsi="Arial" w:eastAsia="Calibri" w:cs="Arial"/>
          <w:color w:val="000000"/>
          <w:lang w:val="es-MX"/>
        </w:rPr>
      </w:pPr>
    </w:p>
    <w:p w:rsidRPr="0098293C" w:rsidR="0098293C" w:rsidP="0098293C" w:rsidRDefault="0098293C" w14:paraId="5E6E7F5E" w14:textId="77777777">
      <w:pPr>
        <w:spacing w:after="0" w:line="240" w:lineRule="auto"/>
        <w:rPr>
          <w:rFonts w:ascii="Arial" w:hAnsi="Arial" w:eastAsia="Times New Roman" w:cs="Arial"/>
          <w:color w:val="000000"/>
          <w:lang w:val="es-MX" w:eastAsia="es-CO"/>
        </w:rPr>
      </w:pPr>
      <w:r w:rsidRPr="17EE125C" w:rsidR="0098293C">
        <w:rPr>
          <w:rFonts w:ascii="Arial" w:hAnsi="Arial" w:eastAsia="Times New Roman" w:cs="Arial"/>
          <w:color w:val="000000" w:themeColor="text1" w:themeTint="FF" w:themeShade="FF"/>
          <w:lang w:val="es-MX" w:eastAsia="es-CO"/>
        </w:rPr>
        <w:t>Atentamente,</w:t>
      </w:r>
    </w:p>
    <w:p w:rsidRPr="0098293C" w:rsidR="0098293C" w:rsidP="17EE125C" w:rsidRDefault="0098293C" w14:paraId="50193381" w14:textId="458A9D5E">
      <w:pPr>
        <w:pStyle w:val="Normal"/>
        <w:spacing w:after="0" w:line="276" w:lineRule="auto"/>
        <w:jc w:val="center"/>
      </w:pPr>
      <w:r w:rsidR="1CF2B02A">
        <w:drawing>
          <wp:inline wp14:editId="6A00BFA3" wp14:anchorId="0FE23F3F">
            <wp:extent cx="2743200" cy="1051560"/>
            <wp:effectExtent l="0" t="0" r="0" b="0"/>
            <wp:docPr id="362556044" name="" title=""/>
            <wp:cNvGraphicFramePr>
              <a:graphicFrameLocks noChangeAspect="1"/>
            </wp:cNvGraphicFramePr>
            <a:graphic>
              <a:graphicData uri="http://schemas.openxmlformats.org/drawingml/2006/picture">
                <pic:pic>
                  <pic:nvPicPr>
                    <pic:cNvPr id="0" name=""/>
                    <pic:cNvPicPr/>
                  </pic:nvPicPr>
                  <pic:blipFill>
                    <a:blip r:embed="Re946efcc8b984b1a">
                      <a:extLst>
                        <a:ext xmlns:a="http://schemas.openxmlformats.org/drawingml/2006/main" uri="{28A0092B-C50C-407E-A947-70E740481C1C}">
                          <a14:useLocalDpi val="0"/>
                        </a:ext>
                      </a:extLst>
                    </a:blip>
                    <a:stretch>
                      <a:fillRect/>
                    </a:stretch>
                  </pic:blipFill>
                  <pic:spPr>
                    <a:xfrm>
                      <a:off x="0" y="0"/>
                      <a:ext cx="2743200" cy="1051560"/>
                    </a:xfrm>
                    <a:prstGeom prst="rect">
                      <a:avLst/>
                    </a:prstGeom>
                  </pic:spPr>
                </pic:pic>
              </a:graphicData>
            </a:graphic>
          </wp:inline>
        </w:drawing>
      </w:r>
    </w:p>
    <w:p w:rsidRPr="0098293C" w:rsidR="0098293C" w:rsidP="0098293C" w:rsidRDefault="0098293C" w14:paraId="71D9CD74" w14:textId="77777777">
      <w:pPr>
        <w:spacing w:before="120" w:after="0" w:line="276" w:lineRule="auto"/>
        <w:jc w:val="center"/>
        <w:rPr>
          <w:rFonts w:ascii="Arial" w:hAnsi="Arial" w:eastAsia="Calibri" w:cs="Arial"/>
          <w:color w:val="000000"/>
          <w:sz w:val="18"/>
          <w:szCs w:val="20"/>
          <w:lang w:val="es-ES_tradnl" w:eastAsia="es-CO"/>
        </w:rPr>
      </w:pPr>
    </w:p>
    <w:tbl>
      <w:tblPr>
        <w:tblStyle w:val="Tablaconcuadrcula1"/>
        <w:tblpPr w:leftFromText="141" w:rightFromText="141" w:vertAnchor="text" w:horzAnchor="margin" w:tblpY="-79"/>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17"/>
        <w:gridCol w:w="4445"/>
      </w:tblGrid>
      <w:tr w:rsidRPr="0098293C" w:rsidR="0098293C" w:rsidTr="0098293C" w14:paraId="3F1E2C83" w14:textId="77777777">
        <w:trPr>
          <w:trHeight w:val="286"/>
        </w:trPr>
        <w:tc>
          <w:tcPr>
            <w:tcW w:w="817" w:type="dxa"/>
            <w:vAlign w:val="center"/>
          </w:tcPr>
          <w:p w:rsidRPr="0098293C" w:rsidR="0098293C" w:rsidP="0098293C" w:rsidRDefault="0098293C" w14:paraId="4BABC311" w14:textId="77777777">
            <w:pPr>
              <w:rPr>
                <w:rFonts w:ascii="Arial" w:hAnsi="Arial" w:eastAsia="Calibri" w:cs="Arial"/>
                <w:sz w:val="16"/>
                <w:szCs w:val="16"/>
                <w:lang w:val="es-MX"/>
              </w:rPr>
            </w:pPr>
            <w:r w:rsidRPr="0098293C">
              <w:rPr>
                <w:rFonts w:ascii="Arial" w:hAnsi="Arial" w:eastAsia="Calibri" w:cs="Arial"/>
                <w:sz w:val="16"/>
                <w:szCs w:val="16"/>
                <w:lang w:val="es-MX"/>
              </w:rPr>
              <w:t>Elaboró:</w:t>
            </w:r>
          </w:p>
        </w:tc>
        <w:tc>
          <w:tcPr>
            <w:tcW w:w="4445" w:type="dxa"/>
            <w:tcBorders>
              <w:bottom w:val="dotted" w:color="7F7F7F" w:sz="4" w:space="0"/>
            </w:tcBorders>
            <w:vAlign w:val="center"/>
          </w:tcPr>
          <w:p w:rsidRPr="0098293C" w:rsidR="0098293C" w:rsidP="0098293C" w:rsidRDefault="0098293C" w14:paraId="17673A9F" w14:textId="77777777">
            <w:pPr>
              <w:rPr>
                <w:rFonts w:ascii="Arial" w:hAnsi="Arial" w:eastAsia="Calibri" w:cs="Arial"/>
                <w:sz w:val="16"/>
                <w:szCs w:val="16"/>
                <w:lang w:val="es-MX"/>
              </w:rPr>
            </w:pPr>
            <w:r w:rsidRPr="0098293C">
              <w:rPr>
                <w:rFonts w:ascii="Arial" w:hAnsi="Arial" w:eastAsia="Calibri" w:cs="Arial"/>
                <w:sz w:val="16"/>
                <w:szCs w:val="16"/>
                <w:lang w:val="es-MX"/>
              </w:rPr>
              <w:t>Kevin Arlid Herrera Santa</w:t>
            </w:r>
          </w:p>
          <w:p w:rsidRPr="0098293C" w:rsidR="0098293C" w:rsidP="0098293C" w:rsidRDefault="0098293C" w14:paraId="6E409843" w14:textId="77777777">
            <w:pPr>
              <w:rPr>
                <w:rFonts w:ascii="Arial" w:hAnsi="Arial" w:eastAsia="Calibri" w:cs="Arial"/>
                <w:sz w:val="16"/>
                <w:szCs w:val="16"/>
                <w:lang w:val="es-MX"/>
              </w:rPr>
            </w:pPr>
            <w:r w:rsidRPr="0098293C">
              <w:rPr>
                <w:rFonts w:ascii="Arial" w:hAnsi="Arial" w:eastAsia="Calibri" w:cs="Arial"/>
                <w:sz w:val="16"/>
                <w:szCs w:val="16"/>
                <w:lang w:val="es-MX"/>
              </w:rPr>
              <w:t>Contratista de la Subdirección de Gestión Contractual</w:t>
            </w:r>
          </w:p>
        </w:tc>
      </w:tr>
      <w:tr w:rsidRPr="0098293C" w:rsidR="0098293C" w:rsidTr="0098293C" w14:paraId="5A4388F8" w14:textId="77777777">
        <w:trPr>
          <w:trHeight w:val="299"/>
        </w:trPr>
        <w:tc>
          <w:tcPr>
            <w:tcW w:w="817" w:type="dxa"/>
            <w:vAlign w:val="center"/>
          </w:tcPr>
          <w:p w:rsidRPr="0098293C" w:rsidR="0098293C" w:rsidP="0098293C" w:rsidRDefault="0098293C" w14:paraId="039E8645" w14:textId="77777777">
            <w:pPr>
              <w:rPr>
                <w:rFonts w:ascii="Arial" w:hAnsi="Arial" w:eastAsia="Calibri" w:cs="Arial"/>
                <w:sz w:val="16"/>
                <w:szCs w:val="16"/>
                <w:lang w:val="es-MX"/>
              </w:rPr>
            </w:pPr>
            <w:r w:rsidRPr="0098293C">
              <w:rPr>
                <w:rFonts w:ascii="Arial" w:hAnsi="Arial" w:eastAsia="Calibri" w:cs="Arial"/>
                <w:sz w:val="16"/>
                <w:szCs w:val="16"/>
                <w:lang w:val="es-MX"/>
              </w:rPr>
              <w:t>Revisó:</w:t>
            </w:r>
          </w:p>
        </w:tc>
        <w:tc>
          <w:tcPr>
            <w:tcW w:w="4445" w:type="dxa"/>
            <w:tcBorders>
              <w:top w:val="dotted" w:color="7F7F7F" w:sz="4" w:space="0"/>
              <w:bottom w:val="dotted" w:color="7F7F7F" w:sz="4" w:space="0"/>
            </w:tcBorders>
            <w:vAlign w:val="center"/>
          </w:tcPr>
          <w:p w:rsidRPr="0098293C" w:rsidR="0098293C" w:rsidP="0098293C" w:rsidRDefault="0098293C" w14:paraId="7391AF06" w14:textId="77777777">
            <w:pPr>
              <w:rPr>
                <w:rFonts w:ascii="Arial" w:hAnsi="Arial" w:eastAsia="Calibri" w:cs="Arial"/>
                <w:sz w:val="16"/>
                <w:szCs w:val="16"/>
                <w:lang w:val="es-MX"/>
              </w:rPr>
            </w:pPr>
            <w:r w:rsidRPr="0098293C">
              <w:rPr>
                <w:rFonts w:ascii="Arial" w:hAnsi="Arial" w:eastAsia="Calibri" w:cs="Arial"/>
                <w:sz w:val="16"/>
                <w:szCs w:val="16"/>
                <w:lang w:val="es-MX"/>
              </w:rPr>
              <w:t>Martha Alicia Romero Vargas</w:t>
            </w:r>
          </w:p>
          <w:p w:rsidRPr="0098293C" w:rsidR="0098293C" w:rsidP="0098293C" w:rsidRDefault="0098293C" w14:paraId="36F46E98" w14:textId="77777777">
            <w:pPr>
              <w:rPr>
                <w:rFonts w:ascii="Arial" w:hAnsi="Arial" w:eastAsia="Calibri" w:cs="Arial"/>
                <w:sz w:val="16"/>
                <w:szCs w:val="16"/>
                <w:lang w:val="es-MX"/>
              </w:rPr>
            </w:pPr>
            <w:r w:rsidRPr="0098293C">
              <w:rPr>
                <w:rFonts w:ascii="Arial" w:hAnsi="Arial" w:eastAsia="Calibri" w:cs="Arial"/>
                <w:sz w:val="16"/>
                <w:szCs w:val="16"/>
                <w:lang w:val="es-MX"/>
              </w:rPr>
              <w:t>Gestor T1-15 de la Subdirección de Gestión Contractual</w:t>
            </w:r>
          </w:p>
        </w:tc>
      </w:tr>
      <w:tr w:rsidRPr="0098293C" w:rsidR="0098293C" w:rsidTr="0098293C" w14:paraId="768E6171" w14:textId="77777777">
        <w:trPr>
          <w:trHeight w:val="272"/>
        </w:trPr>
        <w:tc>
          <w:tcPr>
            <w:tcW w:w="817" w:type="dxa"/>
            <w:vAlign w:val="center"/>
          </w:tcPr>
          <w:p w:rsidRPr="0098293C" w:rsidR="0098293C" w:rsidP="0098293C" w:rsidRDefault="0098293C" w14:paraId="6BEA846F" w14:textId="77777777">
            <w:pPr>
              <w:rPr>
                <w:rFonts w:ascii="Arial" w:hAnsi="Arial" w:eastAsia="Calibri" w:cs="Arial"/>
                <w:sz w:val="16"/>
                <w:szCs w:val="16"/>
                <w:lang w:val="es-MX"/>
              </w:rPr>
            </w:pPr>
            <w:r w:rsidRPr="0098293C">
              <w:rPr>
                <w:rFonts w:ascii="Arial" w:hAnsi="Arial" w:eastAsia="Calibri" w:cs="Arial"/>
                <w:sz w:val="16"/>
                <w:szCs w:val="16"/>
                <w:lang w:val="es-MX"/>
              </w:rPr>
              <w:t>Aprobó:</w:t>
            </w:r>
          </w:p>
        </w:tc>
        <w:tc>
          <w:tcPr>
            <w:tcW w:w="4445" w:type="dxa"/>
            <w:tcBorders>
              <w:top w:val="dotted" w:color="7F7F7F" w:sz="4" w:space="0"/>
              <w:bottom w:val="dotted" w:color="7F7F7F" w:sz="4" w:space="0"/>
            </w:tcBorders>
            <w:vAlign w:val="center"/>
          </w:tcPr>
          <w:p w:rsidRPr="0098293C" w:rsidR="0098293C" w:rsidP="0098293C" w:rsidRDefault="0098293C" w14:paraId="1EE77735" w14:textId="77777777">
            <w:pPr>
              <w:rPr>
                <w:rFonts w:ascii="Arial" w:hAnsi="Arial" w:eastAsia="Calibri" w:cs="Arial"/>
                <w:sz w:val="16"/>
                <w:szCs w:val="16"/>
                <w:lang w:val="es-MX"/>
              </w:rPr>
            </w:pPr>
            <w:r w:rsidRPr="0098293C">
              <w:rPr>
                <w:rFonts w:ascii="Arial" w:hAnsi="Arial" w:eastAsia="Calibri" w:cs="Arial"/>
                <w:sz w:val="16"/>
                <w:szCs w:val="16"/>
                <w:lang w:val="es-MX"/>
              </w:rPr>
              <w:t>Nohelia del Carmen Zawady Palacio</w:t>
            </w:r>
          </w:p>
          <w:p w:rsidRPr="0098293C" w:rsidR="0098293C" w:rsidP="0098293C" w:rsidRDefault="0098293C" w14:paraId="30D500D9" w14:textId="77777777">
            <w:pPr>
              <w:rPr>
                <w:rFonts w:ascii="Arial" w:hAnsi="Arial" w:eastAsia="Calibri" w:cs="Arial"/>
                <w:sz w:val="16"/>
                <w:szCs w:val="16"/>
                <w:lang w:val="es-MX"/>
              </w:rPr>
            </w:pPr>
            <w:r w:rsidRPr="0098293C">
              <w:rPr>
                <w:rFonts w:ascii="Arial" w:hAnsi="Arial" w:eastAsia="Calibri" w:cs="Arial"/>
                <w:sz w:val="16"/>
                <w:szCs w:val="16"/>
                <w:lang w:val="es-MX"/>
              </w:rPr>
              <w:t>Subdirectora de Gestión Contractual ANCP – CCE</w:t>
            </w:r>
          </w:p>
        </w:tc>
      </w:tr>
    </w:tbl>
    <w:p w:rsidRPr="0098293C" w:rsidR="0098293C" w:rsidP="0098293C" w:rsidRDefault="0098293C" w14:paraId="4F3D195F" w14:textId="77777777">
      <w:pPr>
        <w:spacing w:after="0" w:line="240" w:lineRule="auto"/>
        <w:rPr>
          <w:rFonts w:ascii="Arial" w:hAnsi="Arial" w:eastAsia="Times New Roman" w:cs="Arial"/>
          <w:color w:val="000000"/>
          <w:sz w:val="16"/>
          <w:szCs w:val="16"/>
          <w:lang w:val="es-MX" w:eastAsia="es-ES"/>
        </w:rPr>
      </w:pPr>
    </w:p>
    <w:p w:rsidRPr="00C330EB" w:rsidR="00E245AB" w:rsidP="00E245AB" w:rsidRDefault="00E245AB" w14:paraId="0465BA6D" w14:textId="77777777">
      <w:pPr>
        <w:spacing w:after="0"/>
        <w:rPr>
          <w:rFonts w:ascii="Century Gothic" w:hAnsi="Century Gothic"/>
        </w:rPr>
      </w:pPr>
    </w:p>
    <w:sectPr w:rsidRPr="00C330EB" w:rsidR="00E245AB" w:rsidSect="00923EEF">
      <w:headerReference w:type="default" r:id="rId12"/>
      <w:footerReference w:type="default" r:id="rId13"/>
      <w:pgSz w:w="12240" w:h="15840" w:orient="portrait" w:code="1"/>
      <w:pgMar w:top="1418" w:right="1701" w:bottom="1418" w:left="1701"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B8189F" w:rsidP="004A1847" w:rsidRDefault="00B8189F" w14:paraId="229B42CF" w14:textId="77777777">
      <w:pPr>
        <w:spacing w:after="0" w:line="240" w:lineRule="auto"/>
      </w:pPr>
      <w:r>
        <w:separator/>
      </w:r>
    </w:p>
  </w:endnote>
  <w:endnote w:type="continuationSeparator" w:id="0">
    <w:p w:rsidR="00B8189F" w:rsidP="004A1847" w:rsidRDefault="00B8189F" w14:paraId="01E51DEB" w14:textId="77777777">
      <w:pPr>
        <w:spacing w:after="0" w:line="240" w:lineRule="auto"/>
      </w:pPr>
      <w:r>
        <w:continuationSeparator/>
      </w:r>
    </w:p>
  </w:endnote>
  <w:endnote w:type="continuationNotice" w:id="1">
    <w:p w:rsidR="00B8189F" w:rsidRDefault="00B8189F" w14:paraId="5FA6919B"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panose1 w:val="02000503000000020004"/>
    <w:charset w:val="00"/>
    <w:family w:val="modern"/>
    <w:notTrueType/>
    <w:pitch w:val="variable"/>
    <w:sig w:usb0="A000002F" w:usb1="1000004A" w:usb2="00000000" w:usb3="00000000" w:csb0="00000193" w:csb1="00000000"/>
  </w:font>
  <w:font w:name="Geomanist">
    <w:panose1 w:val="02000503000000020004"/>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Geomanist Bold">
    <w:panose1 w:val="02000503000000020004"/>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4A1847" w:rsidRDefault="009419F9" w14:paraId="18911A32" w14:textId="3BA5BB2D">
    <w:pPr>
      <w:pStyle w:val="Piedepgina"/>
    </w:pPr>
    <w:r>
      <w:rPr>
        <w:noProof/>
      </w:rPr>
      <w:drawing>
        <wp:inline distT="0" distB="0" distL="0" distR="0" wp14:anchorId="600A8696" wp14:editId="357635FE">
          <wp:extent cx="5612130" cy="650240"/>
          <wp:effectExtent l="0" t="0" r="7620" b="0"/>
          <wp:docPr id="1013471023" name="Imagen 1013471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rPr>
      <w:drawing>
        <wp:anchor distT="0" distB="0" distL="114300" distR="114300" simplePos="0" relativeHeight="251658243" behindDoc="0" locked="0" layoutInCell="1" allowOverlap="1" wp14:anchorId="197AA269" wp14:editId="277B7D17">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4A0" w:firstRow="1" w:lastRow="0" w:firstColumn="1" w:lastColumn="0" w:noHBand="0" w:noVBand="1"/>
    </w:tblPr>
    <w:tblGrid>
      <w:gridCol w:w="1271"/>
      <w:gridCol w:w="2693"/>
      <w:gridCol w:w="2699"/>
      <w:gridCol w:w="2268"/>
    </w:tblGrid>
    <w:tr w:rsidRPr="00080DA3" w:rsidR="00FC2B5D" w:rsidTr="00B72CD3" w14:paraId="0534DA7F" w14:textId="77777777">
      <w:trPr>
        <w:trHeight w:val="229"/>
        <w:jc w:val="center"/>
      </w:trPr>
      <w:tc>
        <w:tcPr>
          <w:tcW w:w="1271" w:type="dxa"/>
          <w:tcBorders>
            <w:top w:val="dotted" w:color="808080" w:themeColor="background1" w:themeShade="80" w:sz="4" w:space="0"/>
            <w:left w:val="dotted" w:color="808080" w:themeColor="background1" w:themeShade="80" w:sz="4" w:space="0"/>
            <w:bottom w:val="dotted" w:color="808080" w:themeColor="background1" w:themeShade="80" w:sz="4" w:space="0"/>
          </w:tcBorders>
        </w:tcPr>
        <w:p w:rsidRPr="003F3941" w:rsidR="00FC2B5D" w:rsidP="006219F8" w:rsidRDefault="003F3941" w14:paraId="171D456F" w14:textId="62368336">
          <w:pPr>
            <w:pStyle w:val="Piedepgina"/>
            <w:jc w:val="center"/>
            <w:rPr>
              <w:rFonts w:ascii="Century Gothic" w:hAnsi="Century Gothic"/>
              <w:sz w:val="16"/>
              <w:szCs w:val="16"/>
            </w:rPr>
          </w:pPr>
          <w:r w:rsidRPr="003F3941">
            <w:rPr>
              <w:rFonts w:ascii="Century Gothic" w:hAnsi="Century Gothic"/>
              <w:sz w:val="16"/>
              <w:szCs w:val="16"/>
            </w:rPr>
            <w:t>VERSIÓN: 0</w:t>
          </w:r>
          <w:r w:rsidR="00B72CD3">
            <w:rPr>
              <w:rFonts w:ascii="Century Gothic" w:hAnsi="Century Gothic"/>
              <w:sz w:val="16"/>
              <w:szCs w:val="16"/>
            </w:rPr>
            <w:t>1</w:t>
          </w:r>
        </w:p>
      </w:tc>
      <w:tc>
        <w:tcPr>
          <w:tcW w:w="2693" w:type="dxa"/>
          <w:tcBorders>
            <w:top w:val="dotted" w:color="808080" w:themeColor="background1" w:themeShade="80" w:sz="4" w:space="0"/>
            <w:left w:val="dotted" w:color="808080" w:themeColor="background1" w:themeShade="80" w:sz="4" w:space="0"/>
            <w:bottom w:val="dotted" w:color="808080" w:themeColor="background1" w:themeShade="80" w:sz="4" w:space="0"/>
          </w:tcBorders>
        </w:tcPr>
        <w:p w:rsidRPr="003F3941" w:rsidR="00FC2B5D" w:rsidP="006219F8" w:rsidRDefault="003F3941" w14:paraId="10C74553" w14:textId="3F78C758">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hAnsi="Century Gothic" w:eastAsia="Geo" w:cs="Geo"/>
              <w:b/>
              <w:color w:val="000000"/>
              <w:sz w:val="16"/>
              <w:szCs w:val="16"/>
              <w:lang w:eastAsia="es-CO"/>
            </w:rPr>
            <w:t>CCE-</w:t>
          </w:r>
          <w:r w:rsidR="00B72CD3">
            <w:rPr>
              <w:rFonts w:ascii="Century Gothic" w:hAnsi="Century Gothic" w:eastAsia="Geo" w:cs="Geo"/>
              <w:b/>
              <w:color w:val="000000"/>
              <w:sz w:val="16"/>
              <w:szCs w:val="16"/>
              <w:lang w:eastAsia="es-CO"/>
            </w:rPr>
            <w:t>REC</w:t>
          </w:r>
          <w:r w:rsidRPr="003F3941">
            <w:rPr>
              <w:rFonts w:ascii="Century Gothic" w:hAnsi="Century Gothic" w:eastAsia="Geo" w:cs="Geo"/>
              <w:b/>
              <w:color w:val="000000"/>
              <w:sz w:val="16"/>
              <w:szCs w:val="16"/>
              <w:lang w:eastAsia="es-CO"/>
            </w:rPr>
            <w:t>-FM-</w:t>
          </w:r>
          <w:r w:rsidR="00CB6357">
            <w:rPr>
              <w:rFonts w:ascii="Century Gothic" w:hAnsi="Century Gothic" w:eastAsia="Geo" w:cs="Geo"/>
              <w:b/>
              <w:color w:val="000000"/>
              <w:sz w:val="16"/>
              <w:szCs w:val="16"/>
              <w:lang w:eastAsia="es-CO"/>
            </w:rPr>
            <w:t>13</w:t>
          </w:r>
        </w:p>
      </w:tc>
      <w:tc>
        <w:tcPr>
          <w:tcW w:w="2699" w:type="dxa"/>
          <w:tcBorders>
            <w:top w:val="dotted" w:color="808080" w:themeColor="background1" w:themeShade="80" w:sz="4" w:space="0"/>
            <w:left w:val="dotted" w:color="808080" w:themeColor="background1" w:themeShade="80" w:sz="4" w:space="0"/>
            <w:bottom w:val="dotted" w:color="808080" w:themeColor="background1" w:themeShade="80" w:sz="4" w:space="0"/>
          </w:tcBorders>
        </w:tcPr>
        <w:p w:rsidRPr="003F3941" w:rsidR="00FC2B5D" w:rsidP="00FC2B5D" w:rsidRDefault="003F3941" w14:paraId="5B51611F" w14:textId="5E0DB946">
          <w:pPr>
            <w:pStyle w:val="Piedepgina"/>
            <w:rPr>
              <w:rFonts w:ascii="Century Gothic" w:hAnsi="Century Gothic"/>
              <w:sz w:val="16"/>
              <w:szCs w:val="16"/>
            </w:rPr>
          </w:pPr>
          <w:r w:rsidRPr="003F3941">
            <w:rPr>
              <w:rFonts w:ascii="Century Gothic" w:hAnsi="Century Gothic"/>
              <w:sz w:val="16"/>
              <w:szCs w:val="16"/>
            </w:rPr>
            <w:t xml:space="preserve">FECHA: </w:t>
          </w:r>
          <w:r w:rsidR="00961B09">
            <w:rPr>
              <w:rFonts w:ascii="Century Gothic" w:hAnsi="Century Gothic"/>
              <w:sz w:val="16"/>
              <w:szCs w:val="16"/>
            </w:rPr>
            <w:t>15</w:t>
          </w:r>
          <w:r w:rsidRPr="003F3941">
            <w:rPr>
              <w:rFonts w:ascii="Century Gothic" w:hAnsi="Century Gothic"/>
              <w:sz w:val="16"/>
              <w:szCs w:val="16"/>
            </w:rPr>
            <w:t xml:space="preserve"> DE </w:t>
          </w:r>
          <w:r w:rsidR="00961B09">
            <w:rPr>
              <w:rFonts w:ascii="Century Gothic" w:hAnsi="Century Gothic"/>
              <w:sz w:val="16"/>
              <w:szCs w:val="16"/>
            </w:rPr>
            <w:t>JUNIO</w:t>
          </w:r>
          <w:r w:rsidRPr="003F3941">
            <w:rPr>
              <w:rFonts w:ascii="Century Gothic" w:hAnsi="Century Gothic"/>
              <w:sz w:val="16"/>
              <w:szCs w:val="16"/>
            </w:rPr>
            <w:t xml:space="preserve">  2023 </w:t>
          </w:r>
        </w:p>
      </w:tc>
      <w:tc>
        <w:tcPr>
          <w:tcW w:w="2268" w:type="dxa"/>
          <w:tcBorders>
            <w:top w:val="dotted" w:color="808080" w:themeColor="background1" w:themeShade="80" w:sz="4" w:space="0"/>
            <w:left w:val="dotted" w:color="808080" w:themeColor="background1" w:themeShade="80" w:sz="4" w:space="0"/>
            <w:bottom w:val="dotted" w:color="808080" w:themeColor="background1" w:themeShade="80" w:sz="4" w:space="0"/>
            <w:right w:val="dotted" w:color="808080" w:themeColor="background1" w:themeShade="80" w:sz="4" w:space="0"/>
          </w:tcBorders>
          <w:shd w:val="clear" w:color="auto" w:fill="auto"/>
        </w:tcPr>
        <w:p w:rsidRPr="003F3941" w:rsidR="00FC2B5D" w:rsidP="00820278" w:rsidRDefault="003F3941" w14:paraId="6C25E7A7" w14:textId="6039C9C7">
          <w:pPr>
            <w:pStyle w:val="Piedepgina"/>
            <w:rPr>
              <w:rFonts w:ascii="Century Gothic" w:hAnsi="Century Gothic"/>
              <w:sz w:val="16"/>
              <w:szCs w:val="16"/>
            </w:rPr>
          </w:pPr>
          <w:r w:rsidRPr="003F3941">
            <w:rPr>
              <w:rFonts w:ascii="Century Gothic" w:hAnsi="Century Gothic"/>
              <w:sz w:val="16"/>
              <w:szCs w:val="16"/>
            </w:rPr>
            <w:t xml:space="preserve">  PÁGINA </w:t>
          </w:r>
          <w:r w:rsidRPr="003F3941" w:rsidR="00FC2B5D">
            <w:rPr>
              <w:rFonts w:ascii="Century Gothic" w:hAnsi="Century Gothic"/>
              <w:b/>
              <w:bCs/>
              <w:sz w:val="16"/>
              <w:szCs w:val="16"/>
            </w:rPr>
            <w:fldChar w:fldCharType="begin"/>
          </w:r>
          <w:r w:rsidRPr="003F3941" w:rsidR="00FC2B5D">
            <w:rPr>
              <w:rFonts w:ascii="Century Gothic" w:hAnsi="Century Gothic"/>
              <w:b/>
              <w:bCs/>
              <w:sz w:val="16"/>
              <w:szCs w:val="16"/>
            </w:rPr>
            <w:instrText>PAGE  \* Arabic  \* MERGEFORMAT</w:instrText>
          </w:r>
          <w:r w:rsidRPr="003F3941" w:rsidR="00FC2B5D">
            <w:rPr>
              <w:rFonts w:ascii="Century Gothic" w:hAnsi="Century Gothic"/>
              <w:b/>
              <w:bCs/>
              <w:sz w:val="16"/>
              <w:szCs w:val="16"/>
            </w:rPr>
            <w:fldChar w:fldCharType="separate"/>
          </w:r>
          <w:r w:rsidRPr="003F3941">
            <w:rPr>
              <w:rFonts w:ascii="Century Gothic" w:hAnsi="Century Gothic"/>
              <w:b/>
              <w:bCs/>
              <w:sz w:val="16"/>
              <w:szCs w:val="16"/>
            </w:rPr>
            <w:t>1</w:t>
          </w:r>
          <w:r w:rsidRPr="003F3941" w:rsidR="00FC2B5D">
            <w:rPr>
              <w:rFonts w:ascii="Century Gothic" w:hAnsi="Century Gothic"/>
              <w:b/>
              <w:bCs/>
              <w:sz w:val="16"/>
              <w:szCs w:val="16"/>
            </w:rPr>
            <w:fldChar w:fldCharType="end"/>
          </w:r>
          <w:r w:rsidRPr="003F3941">
            <w:rPr>
              <w:rFonts w:ascii="Century Gothic" w:hAnsi="Century Gothic"/>
              <w:sz w:val="16"/>
              <w:szCs w:val="16"/>
            </w:rPr>
            <w:t xml:space="preserve"> DE </w:t>
          </w:r>
          <w:r w:rsidRPr="003F3941" w:rsidR="00FC2B5D">
            <w:rPr>
              <w:rFonts w:ascii="Century Gothic" w:hAnsi="Century Gothic"/>
              <w:b/>
              <w:bCs/>
              <w:sz w:val="16"/>
              <w:szCs w:val="16"/>
            </w:rPr>
            <w:fldChar w:fldCharType="begin"/>
          </w:r>
          <w:r w:rsidRPr="003F3941" w:rsidR="00FC2B5D">
            <w:rPr>
              <w:rFonts w:ascii="Century Gothic" w:hAnsi="Century Gothic"/>
              <w:b/>
              <w:bCs/>
              <w:sz w:val="16"/>
              <w:szCs w:val="16"/>
            </w:rPr>
            <w:instrText>NUMPAGES  \* Arabic  \* MERGEFORMAT</w:instrText>
          </w:r>
          <w:r w:rsidRPr="003F3941" w:rsidR="00FC2B5D">
            <w:rPr>
              <w:rFonts w:ascii="Century Gothic" w:hAnsi="Century Gothic"/>
              <w:b/>
              <w:bCs/>
              <w:sz w:val="16"/>
              <w:szCs w:val="16"/>
            </w:rPr>
            <w:fldChar w:fldCharType="separate"/>
          </w:r>
          <w:r w:rsidRPr="003F3941">
            <w:rPr>
              <w:rFonts w:ascii="Century Gothic" w:hAnsi="Century Gothic"/>
              <w:b/>
              <w:bCs/>
              <w:sz w:val="16"/>
              <w:szCs w:val="16"/>
            </w:rPr>
            <w:t>2</w:t>
          </w:r>
          <w:r w:rsidRPr="003F3941" w:rsidR="00FC2B5D">
            <w:rPr>
              <w:rFonts w:ascii="Century Gothic" w:hAnsi="Century Gothic"/>
              <w:b/>
              <w:bCs/>
              <w:sz w:val="16"/>
              <w:szCs w:val="16"/>
            </w:rPr>
            <w:fldChar w:fldCharType="end"/>
          </w:r>
        </w:p>
      </w:tc>
    </w:tr>
  </w:tbl>
  <w:p w:rsidR="006219F8" w:rsidP="003E0499" w:rsidRDefault="006219F8" w14:paraId="744661F5" w14:textId="3FCEADD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B8189F" w:rsidP="004A1847" w:rsidRDefault="00B8189F" w14:paraId="2F3520C9" w14:textId="77777777">
      <w:pPr>
        <w:spacing w:after="0" w:line="240" w:lineRule="auto"/>
      </w:pPr>
      <w:r>
        <w:separator/>
      </w:r>
    </w:p>
  </w:footnote>
  <w:footnote w:type="continuationSeparator" w:id="0">
    <w:p w:rsidR="00B8189F" w:rsidP="004A1847" w:rsidRDefault="00B8189F" w14:paraId="04297F03" w14:textId="77777777">
      <w:pPr>
        <w:spacing w:after="0" w:line="240" w:lineRule="auto"/>
      </w:pPr>
      <w:r>
        <w:continuationSeparator/>
      </w:r>
    </w:p>
  </w:footnote>
  <w:footnote w:type="continuationNotice" w:id="1">
    <w:p w:rsidR="00B8189F" w:rsidRDefault="00B8189F" w14:paraId="09F95BF5" w14:textId="77777777">
      <w:pPr>
        <w:spacing w:after="0" w:line="240" w:lineRule="auto"/>
      </w:pPr>
    </w:p>
  </w:footnote>
  <w:footnote w:id="2">
    <w:p w:rsidRPr="00AA67D4" w:rsidR="0098293C" w:rsidP="0098293C" w:rsidRDefault="0098293C" w14:paraId="61AC57D0" w14:textId="77777777">
      <w:pPr>
        <w:pStyle w:val="Textonotapie"/>
        <w:ind w:firstLine="708"/>
        <w:jc w:val="both"/>
        <w:rPr>
          <w:rFonts w:ascii="Arial" w:hAnsi="Arial" w:cs="Arial"/>
          <w:color w:val="000000"/>
          <w:sz w:val="19"/>
          <w:szCs w:val="19"/>
        </w:rPr>
      </w:pPr>
      <w:r w:rsidRPr="00AA67D4">
        <w:rPr>
          <w:rStyle w:val="Refdenotaalpie"/>
          <w:rFonts w:ascii="Arial" w:hAnsi="Arial" w:cs="Arial"/>
          <w:color w:val="000000"/>
          <w:sz w:val="19"/>
          <w:szCs w:val="19"/>
        </w:rPr>
        <w:footnoteRef/>
      </w:r>
      <w:r w:rsidRPr="00AA67D4">
        <w:rPr>
          <w:rFonts w:ascii="Arial" w:hAnsi="Arial" w:cs="Arial"/>
          <w:color w:val="000000"/>
          <w:sz w:val="19"/>
          <w:szCs w:val="19"/>
        </w:rPr>
        <w:t xml:space="preserve"> </w:t>
      </w:r>
      <w:r>
        <w:rPr>
          <w:rFonts w:ascii="Arial" w:hAnsi="Arial" w:cs="Arial"/>
          <w:color w:val="000000"/>
          <w:sz w:val="19"/>
          <w:szCs w:val="19"/>
        </w:rPr>
        <w:t>“</w:t>
      </w:r>
      <w:r w:rsidRPr="00AA67D4">
        <w:rPr>
          <w:rFonts w:ascii="Arial" w:hAnsi="Arial" w:cs="Arial"/>
          <w:color w:val="000000"/>
          <w:sz w:val="19"/>
          <w:szCs w:val="19"/>
        </w:rPr>
        <w:t>ARTÍCULO 3o. COMPETENCIAS DEL NIVEL NACIONAL Y TERRITORIAL. El servicio público esencial se prestará con fundamento en los principios de subsidiariedad, coordinación y concurrencia, en cumplimiento de lo dispuesto en el artículo 288 de la Constitución.</w:t>
      </w:r>
    </w:p>
    <w:p w:rsidRPr="00AA67D4" w:rsidR="0098293C" w:rsidP="0098293C" w:rsidRDefault="0098293C" w14:paraId="2BB1A5CC" w14:textId="77777777">
      <w:pPr>
        <w:pStyle w:val="Textonotapie"/>
        <w:ind w:firstLine="708"/>
        <w:jc w:val="both"/>
        <w:rPr>
          <w:rFonts w:ascii="Arial" w:hAnsi="Arial" w:cs="Arial"/>
          <w:color w:val="000000"/>
          <w:sz w:val="19"/>
          <w:szCs w:val="19"/>
        </w:rPr>
      </w:pPr>
      <w:r w:rsidRPr="00AA67D4">
        <w:rPr>
          <w:rFonts w:ascii="Arial" w:hAnsi="Arial" w:cs="Arial"/>
          <w:color w:val="000000"/>
          <w:sz w:val="19"/>
          <w:szCs w:val="19"/>
        </w:rPr>
        <w:t>[…]</w:t>
      </w:r>
    </w:p>
    <w:p w:rsidRPr="00AA67D4" w:rsidR="0098293C" w:rsidP="0098293C" w:rsidRDefault="0098293C" w14:paraId="593257C7" w14:textId="77777777">
      <w:pPr>
        <w:pStyle w:val="Textonotapie"/>
        <w:ind w:firstLine="708"/>
        <w:jc w:val="both"/>
        <w:rPr>
          <w:rFonts w:ascii="Arial" w:hAnsi="Arial" w:cs="Arial"/>
          <w:color w:val="000000"/>
          <w:sz w:val="19"/>
          <w:szCs w:val="19"/>
        </w:rPr>
      </w:pPr>
      <w:r w:rsidRPr="00AA67D4">
        <w:rPr>
          <w:rFonts w:ascii="Arial" w:hAnsi="Arial" w:cs="Arial"/>
          <w:color w:val="000000"/>
          <w:sz w:val="19"/>
          <w:szCs w:val="19"/>
        </w:rPr>
        <w:t xml:space="preserve">Es obligación de los distritos, con asiento en su respectiva jurisdicción y de los municipios la prestación del servicio público esencial a través de los cuerpos de bomberos oficiales o </w:t>
      </w:r>
      <w:r w:rsidRPr="00AA67D4">
        <w:rPr>
          <w:rFonts w:ascii="Arial" w:hAnsi="Arial" w:cs="Arial"/>
          <w:i/>
          <w:color w:val="000000"/>
          <w:sz w:val="19"/>
          <w:szCs w:val="19"/>
        </w:rPr>
        <w:t>mediante la celebración de contratos y/o convenios con los cuerpos de bomberos voluntarios</w:t>
      </w:r>
      <w:r w:rsidRPr="00AA67D4">
        <w:rPr>
          <w:rFonts w:ascii="Arial" w:hAnsi="Arial" w:cs="Arial"/>
          <w:color w:val="000000"/>
          <w:sz w:val="19"/>
          <w:szCs w:val="19"/>
        </w:rPr>
        <w:t>. […]</w:t>
      </w:r>
      <w:r>
        <w:rPr>
          <w:rFonts w:ascii="Arial" w:hAnsi="Arial" w:cs="Arial"/>
          <w:color w:val="000000"/>
          <w:sz w:val="19"/>
          <w:szCs w:val="19"/>
        </w:rPr>
        <w:t>”</w:t>
      </w:r>
      <w:r w:rsidRPr="00AA67D4">
        <w:rPr>
          <w:rFonts w:ascii="Arial" w:hAnsi="Arial" w:cs="Arial"/>
          <w:color w:val="000000"/>
          <w:sz w:val="19"/>
          <w:szCs w:val="19"/>
        </w:rPr>
        <w:t xml:space="preserve"> (Cursivas propias).</w:t>
      </w:r>
    </w:p>
    <w:p w:rsidRPr="00AA67D4" w:rsidR="0098293C" w:rsidP="0098293C" w:rsidRDefault="0098293C" w14:paraId="7B5E50DF" w14:textId="77777777">
      <w:pPr>
        <w:pStyle w:val="Textonotapie"/>
        <w:ind w:firstLine="708"/>
        <w:jc w:val="both"/>
        <w:rPr>
          <w:rFonts w:ascii="Arial" w:hAnsi="Arial" w:cs="Arial"/>
          <w:color w:val="000000"/>
          <w:sz w:val="16"/>
          <w:szCs w:val="16"/>
          <w:lang w:val="es-CO"/>
        </w:rPr>
      </w:pPr>
    </w:p>
  </w:footnote>
  <w:footnote w:id="3">
    <w:p w:rsidRPr="00AA67D4" w:rsidR="0098293C" w:rsidP="0098293C" w:rsidRDefault="0098293C" w14:paraId="6C516435" w14:textId="77777777">
      <w:pPr>
        <w:pStyle w:val="Textonotapie"/>
        <w:ind w:firstLine="708"/>
        <w:jc w:val="both"/>
        <w:rPr>
          <w:rFonts w:ascii="Arial" w:hAnsi="Arial" w:cs="Arial"/>
          <w:color w:val="000000"/>
          <w:sz w:val="19"/>
          <w:szCs w:val="19"/>
        </w:rPr>
      </w:pPr>
      <w:r w:rsidRPr="00AA67D4">
        <w:rPr>
          <w:rStyle w:val="Refdenotaalpie"/>
          <w:rFonts w:ascii="Arial" w:hAnsi="Arial" w:cs="Arial"/>
          <w:color w:val="000000"/>
          <w:sz w:val="19"/>
          <w:szCs w:val="19"/>
        </w:rPr>
        <w:footnoteRef/>
      </w:r>
      <w:r w:rsidRPr="00AA67D4">
        <w:rPr>
          <w:rFonts w:ascii="Arial" w:hAnsi="Arial" w:cs="Arial"/>
          <w:color w:val="000000"/>
          <w:sz w:val="19"/>
          <w:szCs w:val="19"/>
        </w:rPr>
        <w:t xml:space="preserve"> </w:t>
      </w:r>
      <w:r>
        <w:rPr>
          <w:rFonts w:ascii="Arial" w:hAnsi="Arial" w:cs="Arial"/>
          <w:color w:val="000000"/>
          <w:sz w:val="19"/>
          <w:szCs w:val="19"/>
        </w:rPr>
        <w:t>“</w:t>
      </w:r>
      <w:r w:rsidRPr="00AA67D4">
        <w:rPr>
          <w:rFonts w:ascii="Arial" w:hAnsi="Arial" w:cs="Arial"/>
          <w:color w:val="000000"/>
          <w:sz w:val="19"/>
          <w:szCs w:val="19"/>
        </w:rPr>
        <w:t>ARTÍCULO 6o. &lt;Ver modificaciones a este artículo directamente en la Ley 136 de 1994&gt; El artículo 3o de la Ley 136 de 1994 quedará así:</w:t>
      </w:r>
    </w:p>
    <w:p w:rsidRPr="00AA67D4" w:rsidR="0098293C" w:rsidP="0098293C" w:rsidRDefault="0098293C" w14:paraId="097E465C" w14:textId="77777777">
      <w:pPr>
        <w:pStyle w:val="Textonotapie"/>
        <w:ind w:firstLine="708"/>
        <w:jc w:val="both"/>
        <w:rPr>
          <w:rFonts w:ascii="Arial" w:hAnsi="Arial" w:cs="Arial"/>
          <w:color w:val="000000"/>
          <w:sz w:val="19"/>
          <w:szCs w:val="19"/>
        </w:rPr>
      </w:pPr>
    </w:p>
    <w:p w:rsidRPr="00AA67D4" w:rsidR="0098293C" w:rsidP="0098293C" w:rsidRDefault="0098293C" w14:paraId="4C5DE9B3" w14:textId="77777777">
      <w:pPr>
        <w:pStyle w:val="Textonotapie"/>
        <w:ind w:firstLine="708"/>
        <w:jc w:val="both"/>
        <w:rPr>
          <w:rFonts w:ascii="Arial" w:hAnsi="Arial" w:cs="Arial"/>
          <w:color w:val="000000"/>
          <w:sz w:val="19"/>
          <w:szCs w:val="19"/>
        </w:rPr>
      </w:pPr>
      <w:r w:rsidRPr="00AA67D4">
        <w:rPr>
          <w:rFonts w:ascii="Arial" w:hAnsi="Arial" w:cs="Arial"/>
          <w:color w:val="000000"/>
          <w:sz w:val="19"/>
          <w:szCs w:val="19"/>
        </w:rPr>
        <w:t>Artículo 3o. Funciones de los municipios. Corresponde al municipio:</w:t>
      </w:r>
    </w:p>
    <w:p w:rsidRPr="00AA67D4" w:rsidR="0098293C" w:rsidP="0098293C" w:rsidRDefault="0098293C" w14:paraId="49DB4D4C" w14:textId="77777777">
      <w:pPr>
        <w:pStyle w:val="Textonotapie"/>
        <w:ind w:firstLine="708"/>
        <w:jc w:val="both"/>
        <w:rPr>
          <w:rFonts w:ascii="Arial" w:hAnsi="Arial" w:cs="Arial"/>
          <w:color w:val="000000"/>
          <w:sz w:val="19"/>
          <w:szCs w:val="19"/>
        </w:rPr>
      </w:pPr>
      <w:r w:rsidRPr="00AA67D4">
        <w:rPr>
          <w:rFonts w:ascii="Arial" w:hAnsi="Arial" w:cs="Arial"/>
          <w:color w:val="000000"/>
          <w:sz w:val="19"/>
          <w:szCs w:val="19"/>
        </w:rPr>
        <w:t>[…]</w:t>
      </w:r>
    </w:p>
    <w:p w:rsidRPr="00AA67D4" w:rsidR="0098293C" w:rsidP="0098293C" w:rsidRDefault="0098293C" w14:paraId="7D312B35" w14:textId="77777777">
      <w:pPr>
        <w:pStyle w:val="Textonotapie"/>
        <w:ind w:firstLine="708"/>
        <w:jc w:val="both"/>
        <w:rPr>
          <w:rFonts w:ascii="Arial" w:hAnsi="Arial" w:cs="Arial"/>
          <w:color w:val="000000"/>
          <w:sz w:val="19"/>
          <w:szCs w:val="19"/>
        </w:rPr>
      </w:pPr>
      <w:r w:rsidRPr="00AA67D4">
        <w:rPr>
          <w:rFonts w:ascii="Arial" w:hAnsi="Arial" w:cs="Arial"/>
          <w:color w:val="000000"/>
          <w:sz w:val="19"/>
          <w:szCs w:val="19"/>
        </w:rPr>
        <w:t>16. En concordancia con lo establecido en el artículo 355 de la Constitución Política, los municipios y distritos podrán celebrar convenios solidarios con: los cabildos, las autoridades y organizaciones indígenas, los organismos de acción comunal y demás organizaciones civiles y asociaciones residentes en el territorio, para el desarrollo conjunto de programas y actividades establecidas por la Ley a los municipios y distritos, acorde con sus planes de desarrollo.</w:t>
      </w:r>
      <w:r>
        <w:rPr>
          <w:rFonts w:ascii="Arial" w:hAnsi="Arial" w:cs="Arial"/>
          <w:color w:val="000000"/>
          <w:sz w:val="19"/>
          <w:szCs w:val="19"/>
        </w:rPr>
        <w:t>”</w:t>
      </w:r>
    </w:p>
  </w:footnote>
  <w:footnote w:id="4">
    <w:p w:rsidRPr="00AA67D4" w:rsidR="0098293C" w:rsidP="0098293C" w:rsidRDefault="0098293C" w14:paraId="62537ED9" w14:textId="77777777">
      <w:pPr>
        <w:pStyle w:val="Textonotapie"/>
        <w:ind w:firstLine="708"/>
        <w:jc w:val="both"/>
        <w:rPr>
          <w:rFonts w:ascii="Arial" w:hAnsi="Arial" w:cs="Arial"/>
          <w:color w:val="000000"/>
          <w:sz w:val="19"/>
          <w:szCs w:val="19"/>
        </w:rPr>
      </w:pPr>
      <w:r w:rsidRPr="00AA67D4">
        <w:rPr>
          <w:rStyle w:val="Refdenotaalpie"/>
          <w:rFonts w:ascii="Arial" w:hAnsi="Arial" w:cs="Arial"/>
          <w:color w:val="000000"/>
          <w:sz w:val="19"/>
          <w:szCs w:val="19"/>
        </w:rPr>
        <w:footnoteRef/>
      </w:r>
      <w:r w:rsidRPr="00AA67D4">
        <w:rPr>
          <w:rFonts w:ascii="Arial" w:hAnsi="Arial" w:cs="Arial"/>
          <w:color w:val="000000"/>
          <w:sz w:val="19"/>
          <w:szCs w:val="19"/>
        </w:rPr>
        <w:t xml:space="preserve"> Estas normas hacen parte de los antecedentes legislativos de la norma en comento, así como también la Ley 48 1986.</w:t>
      </w:r>
    </w:p>
  </w:footnote>
  <w:footnote w:id="5">
    <w:p w:rsidRPr="009965C8" w:rsidR="0098293C" w:rsidP="0098293C" w:rsidRDefault="0098293C" w14:paraId="38362891" w14:textId="77777777">
      <w:pPr>
        <w:pStyle w:val="Textonotapie"/>
        <w:ind w:firstLine="708"/>
        <w:jc w:val="both"/>
        <w:rPr>
          <w:rFonts w:ascii="Arial" w:hAnsi="Arial" w:cs="Arial"/>
          <w:sz w:val="19"/>
          <w:szCs w:val="19"/>
          <w:lang w:val="es-CO"/>
        </w:rPr>
      </w:pPr>
      <w:r w:rsidRPr="009965C8">
        <w:rPr>
          <w:rStyle w:val="Refdenotaalpie"/>
          <w:rFonts w:ascii="Arial" w:hAnsi="Arial" w:cs="Arial"/>
          <w:sz w:val="19"/>
          <w:szCs w:val="19"/>
        </w:rPr>
        <w:footnoteRef/>
      </w:r>
      <w:r w:rsidRPr="009965C8">
        <w:rPr>
          <w:rFonts w:ascii="Arial" w:hAnsi="Arial" w:cs="Arial"/>
          <w:sz w:val="19"/>
          <w:szCs w:val="19"/>
        </w:rPr>
        <w:t xml:space="preserve"> Documento suscrito por la Oficina de Promoción Social del Ministerio de Salud y de la Protección Social. D</w:t>
      </w:r>
      <w:r>
        <w:rPr>
          <w:rFonts w:ascii="Arial" w:hAnsi="Arial" w:cs="Arial"/>
          <w:sz w:val="19"/>
          <w:szCs w:val="19"/>
        </w:rPr>
        <w:t>ocumento d</w:t>
      </w:r>
      <w:r w:rsidRPr="009965C8">
        <w:rPr>
          <w:rFonts w:ascii="Arial" w:hAnsi="Arial" w:cs="Arial"/>
          <w:sz w:val="19"/>
          <w:szCs w:val="19"/>
        </w:rPr>
        <w:t>isponible para consulta en</w:t>
      </w:r>
      <w:r>
        <w:rPr>
          <w:rFonts w:ascii="Arial" w:hAnsi="Arial" w:cs="Arial"/>
          <w:sz w:val="19"/>
          <w:szCs w:val="19"/>
        </w:rPr>
        <w:t xml:space="preserve"> (consultado el 13 de julio de 2020)</w:t>
      </w:r>
      <w:r w:rsidRPr="009965C8">
        <w:rPr>
          <w:rFonts w:ascii="Arial" w:hAnsi="Arial" w:cs="Arial"/>
          <w:sz w:val="19"/>
          <w:szCs w:val="19"/>
        </w:rPr>
        <w:t>: https://www.minsalud.gov.co/Documentos%20y%20Publicaciones/Alcances%20de%20la%20Ley%201276%20de%202009.pdf</w:t>
      </w:r>
    </w:p>
  </w:footnote>
  <w:footnote w:id="6">
    <w:p w:rsidRPr="00AA67D4" w:rsidR="0098293C" w:rsidP="0098293C" w:rsidRDefault="0098293C" w14:paraId="10BF256F" w14:textId="77777777">
      <w:pPr>
        <w:pStyle w:val="Textonotapie"/>
        <w:ind w:firstLine="709"/>
        <w:jc w:val="both"/>
        <w:rPr>
          <w:rFonts w:ascii="Arial" w:hAnsi="Arial" w:cs="Arial"/>
          <w:color w:val="000000"/>
          <w:sz w:val="19"/>
          <w:szCs w:val="19"/>
        </w:rPr>
      </w:pPr>
      <w:r w:rsidRPr="00AA67D4">
        <w:rPr>
          <w:rStyle w:val="Refdenotaalpie"/>
          <w:rFonts w:ascii="Arial" w:hAnsi="Arial" w:cs="Arial"/>
          <w:color w:val="000000"/>
          <w:sz w:val="19"/>
          <w:szCs w:val="19"/>
        </w:rPr>
        <w:footnoteRef/>
      </w:r>
      <w:r w:rsidRPr="00AA67D4">
        <w:rPr>
          <w:rFonts w:ascii="Arial" w:hAnsi="Arial" w:cs="Arial"/>
          <w:color w:val="000000"/>
          <w:sz w:val="19"/>
          <w:szCs w:val="19"/>
        </w:rPr>
        <w:t xml:space="preserve"> Ley 1150 de 2007: </w:t>
      </w:r>
      <w:r>
        <w:rPr>
          <w:rFonts w:ascii="Arial" w:hAnsi="Arial" w:cs="Arial"/>
          <w:color w:val="000000"/>
          <w:sz w:val="19"/>
          <w:szCs w:val="19"/>
        </w:rPr>
        <w:t>“</w:t>
      </w:r>
      <w:r w:rsidRPr="00AA67D4">
        <w:rPr>
          <w:rFonts w:ascii="Arial" w:hAnsi="Arial" w:cs="Arial"/>
          <w:color w:val="000000"/>
          <w:sz w:val="19"/>
          <w:szCs w:val="19"/>
        </w:rPr>
        <w:t>Artículo 2. De las modalidades de selección. La escogencia del contratista se efectuará con arreglo a las modalidades de selección de licitación pública, selección abreviada, concurso de méritos y contratación directa [...]</w:t>
      </w:r>
      <w:r>
        <w:rPr>
          <w:rFonts w:ascii="Arial" w:hAnsi="Arial" w:cs="Arial"/>
          <w:color w:val="000000"/>
          <w:sz w:val="19"/>
          <w:szCs w:val="19"/>
        </w:rPr>
        <w:t>”</w:t>
      </w:r>
      <w:r w:rsidRPr="00AA67D4">
        <w:rPr>
          <w:rFonts w:ascii="Arial" w:hAnsi="Arial" w:cs="Arial"/>
          <w:color w:val="000000"/>
          <w:sz w:val="19"/>
          <w:szCs w:val="19"/>
        </w:rPr>
        <w:t>.</w:t>
      </w:r>
    </w:p>
    <w:p w:rsidRPr="00AA67D4" w:rsidR="0098293C" w:rsidP="0098293C" w:rsidRDefault="0098293C" w14:paraId="100BD63D" w14:textId="77777777">
      <w:pPr>
        <w:pStyle w:val="Textonotapie"/>
        <w:ind w:firstLine="709"/>
        <w:jc w:val="both"/>
        <w:rPr>
          <w:rFonts w:ascii="Arial" w:hAnsi="Arial" w:cs="Arial"/>
          <w:color w:val="000000"/>
          <w:sz w:val="19"/>
          <w:szCs w:val="19"/>
          <w:lang w:val="es-ES"/>
        </w:rPr>
      </w:pPr>
    </w:p>
  </w:footnote>
  <w:footnote w:id="7">
    <w:p w:rsidRPr="00AA67D4" w:rsidR="0098293C" w:rsidP="0098293C" w:rsidRDefault="0098293C" w14:paraId="31269D81" w14:textId="77777777">
      <w:pPr>
        <w:pStyle w:val="Textonotapie"/>
        <w:ind w:firstLine="709"/>
        <w:jc w:val="both"/>
        <w:rPr>
          <w:rFonts w:ascii="Arial" w:hAnsi="Arial" w:cs="Arial"/>
          <w:color w:val="000000"/>
          <w:sz w:val="19"/>
          <w:szCs w:val="19"/>
        </w:rPr>
      </w:pPr>
      <w:r w:rsidRPr="00AA67D4">
        <w:rPr>
          <w:rStyle w:val="Refdenotaalpie"/>
          <w:rFonts w:ascii="Arial" w:hAnsi="Arial" w:cs="Arial"/>
          <w:color w:val="000000"/>
          <w:sz w:val="19"/>
          <w:szCs w:val="19"/>
        </w:rPr>
        <w:footnoteRef/>
      </w:r>
      <w:r w:rsidRPr="00AA67D4">
        <w:rPr>
          <w:rFonts w:ascii="Arial" w:hAnsi="Arial" w:cs="Arial"/>
          <w:color w:val="000000"/>
          <w:sz w:val="19"/>
          <w:szCs w:val="19"/>
        </w:rPr>
        <w:t xml:space="preserve"> Decreto 1082 de 2015: </w:t>
      </w:r>
      <w:r>
        <w:rPr>
          <w:rFonts w:ascii="Arial" w:hAnsi="Arial" w:cs="Arial"/>
          <w:color w:val="000000"/>
          <w:sz w:val="19"/>
          <w:szCs w:val="19"/>
        </w:rPr>
        <w:t>“</w:t>
      </w:r>
      <w:r w:rsidRPr="00AA67D4">
        <w:rPr>
          <w:rFonts w:ascii="Arial" w:hAnsi="Arial" w:cs="Arial"/>
          <w:color w:val="000000"/>
          <w:sz w:val="19"/>
          <w:szCs w:val="19"/>
        </w:rPr>
        <w:t xml:space="preserve">Artículo 2.2.1.2.1.4.4. Convenios o contratos interadministrativos. La modalidad de selección para la contratación entre Entidades Estatales es la contratación directa; </w:t>
      </w:r>
      <w:proofErr w:type="gramStart"/>
      <w:r w:rsidRPr="00AA67D4">
        <w:rPr>
          <w:rFonts w:ascii="Arial" w:hAnsi="Arial" w:cs="Arial"/>
          <w:color w:val="000000"/>
          <w:sz w:val="19"/>
          <w:szCs w:val="19"/>
        </w:rPr>
        <w:t>y</w:t>
      </w:r>
      <w:proofErr w:type="gramEnd"/>
      <w:r w:rsidRPr="00AA67D4">
        <w:rPr>
          <w:rFonts w:ascii="Arial" w:hAnsi="Arial" w:cs="Arial"/>
          <w:color w:val="000000"/>
          <w:sz w:val="19"/>
          <w:szCs w:val="19"/>
        </w:rPr>
        <w:t xml:space="preserve"> en consecuencia, le es aplicable lo establecido en el artículo 2.2.1.2.1.4.1 del presente decreto.</w:t>
      </w:r>
    </w:p>
    <w:p w:rsidRPr="00AA67D4" w:rsidR="0098293C" w:rsidP="0098293C" w:rsidRDefault="0098293C" w14:paraId="3175324F" w14:textId="77777777">
      <w:pPr>
        <w:pStyle w:val="Textonotapie"/>
        <w:ind w:firstLine="709"/>
        <w:jc w:val="both"/>
        <w:rPr>
          <w:rFonts w:ascii="Arial" w:hAnsi="Arial" w:cs="Arial"/>
          <w:color w:val="000000"/>
          <w:sz w:val="19"/>
          <w:szCs w:val="19"/>
        </w:rPr>
      </w:pPr>
      <w:r w:rsidRPr="00AA67D4">
        <w:rPr>
          <w:rFonts w:ascii="Arial" w:hAnsi="Arial" w:cs="Arial"/>
          <w:color w:val="000000"/>
          <w:sz w:val="19"/>
          <w:szCs w:val="19"/>
        </w:rPr>
        <w:t>Cuando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 Estatales</w:t>
      </w:r>
      <w:r>
        <w:rPr>
          <w:rFonts w:ascii="Arial" w:hAnsi="Arial" w:cs="Arial"/>
          <w:color w:val="000000"/>
          <w:sz w:val="19"/>
          <w:szCs w:val="19"/>
        </w:rPr>
        <w:t>”</w:t>
      </w:r>
      <w:r w:rsidRPr="00AA67D4">
        <w:rPr>
          <w:rFonts w:ascii="Arial" w:hAnsi="Arial" w:cs="Arial"/>
          <w:color w:val="000000"/>
          <w:sz w:val="19"/>
          <w:szCs w:val="19"/>
        </w:rPr>
        <w:t>.</w:t>
      </w:r>
    </w:p>
    <w:p w:rsidRPr="00AA67D4" w:rsidR="0098293C" w:rsidP="0098293C" w:rsidRDefault="0098293C" w14:paraId="7817CF5F" w14:textId="77777777">
      <w:pPr>
        <w:pStyle w:val="Textonotapie"/>
        <w:ind w:firstLine="709"/>
        <w:jc w:val="both"/>
        <w:rPr>
          <w:rFonts w:ascii="Arial" w:hAnsi="Arial" w:cs="Arial"/>
          <w:color w:val="000000"/>
          <w:sz w:val="16"/>
          <w:szCs w:val="16"/>
        </w:rPr>
      </w:pPr>
    </w:p>
  </w:footnote>
  <w:footnote w:id="8">
    <w:p w:rsidRPr="00AA67D4" w:rsidR="0098293C" w:rsidP="0098293C" w:rsidRDefault="0098293C" w14:paraId="447B6513" w14:textId="77777777">
      <w:pPr>
        <w:ind w:firstLine="709"/>
        <w:jc w:val="both"/>
        <w:rPr>
          <w:rFonts w:ascii="Arial" w:hAnsi="Arial" w:cs="Arial"/>
          <w:color w:val="000000"/>
          <w:sz w:val="19"/>
          <w:szCs w:val="19"/>
        </w:rPr>
      </w:pPr>
      <w:r w:rsidRPr="00AA67D4">
        <w:rPr>
          <w:rStyle w:val="Refdenotaalpie"/>
          <w:rFonts w:ascii="Arial" w:hAnsi="Arial" w:cs="Arial"/>
          <w:color w:val="000000"/>
          <w:sz w:val="19"/>
          <w:szCs w:val="19"/>
        </w:rPr>
        <w:footnoteRef/>
      </w:r>
      <w:r w:rsidRPr="00AA67D4">
        <w:rPr>
          <w:rStyle w:val="Refdenotaalpie"/>
          <w:rFonts w:ascii="Arial" w:hAnsi="Arial" w:cs="Arial"/>
          <w:color w:val="000000"/>
          <w:sz w:val="19"/>
          <w:szCs w:val="19"/>
        </w:rPr>
        <w:t xml:space="preserve"> </w:t>
      </w:r>
      <w:r w:rsidRPr="00AA67D4">
        <w:rPr>
          <w:rFonts w:ascii="Arial" w:hAnsi="Arial" w:cs="Arial"/>
          <w:color w:val="000000"/>
          <w:sz w:val="19"/>
          <w:szCs w:val="19"/>
        </w:rPr>
        <w:t xml:space="preserve">Ley 1150 de 2007: </w:t>
      </w:r>
      <w:r>
        <w:rPr>
          <w:rFonts w:ascii="Arial" w:hAnsi="Arial" w:cs="Arial"/>
          <w:color w:val="000000"/>
          <w:sz w:val="19"/>
          <w:szCs w:val="19"/>
        </w:rPr>
        <w:t>“</w:t>
      </w:r>
      <w:r w:rsidRPr="00AA67D4">
        <w:rPr>
          <w:rFonts w:ascii="Arial" w:hAnsi="Arial" w:cs="Arial"/>
          <w:color w:val="000000"/>
          <w:sz w:val="19"/>
          <w:szCs w:val="19"/>
        </w:rPr>
        <w:t>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 artículo</w:t>
      </w:r>
      <w:r>
        <w:rPr>
          <w:rFonts w:ascii="Arial" w:hAnsi="Arial" w:cs="Arial"/>
          <w:color w:val="000000"/>
          <w:sz w:val="19"/>
          <w:szCs w:val="19"/>
        </w:rPr>
        <w:t>”</w:t>
      </w:r>
      <w:r w:rsidRPr="00AA67D4">
        <w:rPr>
          <w:rFonts w:ascii="Arial" w:hAnsi="Arial" w:cs="Arial"/>
          <w:color w:val="000000"/>
          <w:sz w:val="19"/>
          <w:szCs w:val="19"/>
        </w:rPr>
        <w:t>.</w:t>
      </w:r>
    </w:p>
    <w:p w:rsidRPr="00AA67D4" w:rsidR="0098293C" w:rsidP="0098293C" w:rsidRDefault="0098293C" w14:paraId="4CE16397" w14:textId="77777777">
      <w:pPr>
        <w:ind w:firstLine="709"/>
        <w:jc w:val="both"/>
        <w:rPr>
          <w:rFonts w:ascii="Arial" w:hAnsi="Arial" w:cs="Arial"/>
          <w:color w:val="000000"/>
          <w:sz w:val="16"/>
          <w:szCs w:val="16"/>
        </w:rPr>
      </w:pPr>
    </w:p>
  </w:footnote>
  <w:footnote w:id="9">
    <w:p w:rsidRPr="00AA67D4" w:rsidR="0098293C" w:rsidP="00A17518" w:rsidRDefault="0098293C" w14:paraId="5DA44F45" w14:textId="278DECDA">
      <w:pPr>
        <w:ind w:firstLine="709"/>
        <w:jc w:val="both"/>
        <w:rPr>
          <w:rFonts w:ascii="Arial" w:hAnsi="Arial" w:cs="Arial"/>
          <w:color w:val="000000"/>
          <w:sz w:val="19"/>
          <w:szCs w:val="19"/>
        </w:rPr>
      </w:pPr>
      <w:r w:rsidRPr="00AA67D4">
        <w:rPr>
          <w:rStyle w:val="Refdenotaalpie"/>
          <w:rFonts w:ascii="Arial" w:hAnsi="Arial" w:cs="Arial"/>
          <w:color w:val="000000"/>
          <w:sz w:val="19"/>
          <w:szCs w:val="19"/>
        </w:rPr>
        <w:footnoteRef/>
      </w:r>
      <w:r w:rsidRPr="00AA67D4">
        <w:rPr>
          <w:rStyle w:val="Refdenotaalpie"/>
          <w:rFonts w:ascii="Arial" w:hAnsi="Arial" w:cs="Arial"/>
          <w:color w:val="000000"/>
          <w:sz w:val="19"/>
          <w:szCs w:val="19"/>
        </w:rPr>
        <w:t xml:space="preserve"> </w:t>
      </w:r>
      <w:r w:rsidRPr="00AA67D4">
        <w:rPr>
          <w:rFonts w:ascii="Arial" w:hAnsi="Arial" w:cs="Arial"/>
          <w:color w:val="000000"/>
          <w:sz w:val="19"/>
          <w:szCs w:val="19"/>
        </w:rPr>
        <w:t>Ley 1150 de 2007, artículo 2, literal 4, numeral c, modificada por el artículo 92 de la Ley 1474 de 2011.</w:t>
      </w:r>
    </w:p>
  </w:footnote>
  <w:footnote w:id="10">
    <w:p w:rsidRPr="00AA67D4" w:rsidR="0098293C" w:rsidP="0098293C" w:rsidRDefault="0098293C" w14:paraId="0381FDFC" w14:textId="77777777">
      <w:pPr>
        <w:pStyle w:val="Textonotapie"/>
        <w:ind w:firstLine="708"/>
        <w:jc w:val="both"/>
        <w:rPr>
          <w:rFonts w:ascii="Arial" w:hAnsi="Arial" w:cs="Arial"/>
          <w:color w:val="000000"/>
          <w:sz w:val="19"/>
          <w:szCs w:val="19"/>
        </w:rPr>
      </w:pPr>
      <w:r w:rsidRPr="00AA67D4">
        <w:rPr>
          <w:rStyle w:val="Refdenotaalpie"/>
          <w:rFonts w:ascii="Arial" w:hAnsi="Arial" w:cs="Arial"/>
          <w:color w:val="000000"/>
          <w:sz w:val="19"/>
          <w:szCs w:val="19"/>
        </w:rPr>
        <w:footnoteRef/>
      </w:r>
      <w:r w:rsidRPr="00AA67D4">
        <w:rPr>
          <w:rFonts w:ascii="Arial" w:hAnsi="Arial" w:cs="Arial"/>
          <w:color w:val="000000"/>
          <w:sz w:val="19"/>
          <w:szCs w:val="19"/>
        </w:rPr>
        <w:t xml:space="preserve"> Sobre esta norma consultar los conceptos del 8 de octubre de 2019, con radicado 2201913000007532, y del 20 de diciembre de 2019, cuyo radicado es el No. 4201913000008240.</w:t>
      </w:r>
    </w:p>
    <w:p w:rsidRPr="00AA67D4" w:rsidR="0098293C" w:rsidP="0098293C" w:rsidRDefault="0098293C" w14:paraId="2CF95FF3" w14:textId="77777777">
      <w:pPr>
        <w:pStyle w:val="Textonotapie"/>
        <w:ind w:firstLine="708"/>
        <w:jc w:val="both"/>
        <w:rPr>
          <w:rFonts w:ascii="Arial" w:hAnsi="Arial" w:cs="Arial"/>
          <w:color w:val="000000"/>
          <w:sz w:val="16"/>
          <w:szCs w:val="16"/>
          <w:lang w:val="es-ES"/>
        </w:rPr>
      </w:pPr>
    </w:p>
  </w:footnote>
  <w:footnote w:id="11">
    <w:p w:rsidRPr="00AA67D4" w:rsidR="0098293C" w:rsidP="0098293C" w:rsidRDefault="0098293C" w14:paraId="75E2B7FA" w14:textId="77777777">
      <w:pPr>
        <w:pStyle w:val="Textonotapie"/>
        <w:ind w:firstLine="708"/>
        <w:jc w:val="both"/>
        <w:rPr>
          <w:rFonts w:ascii="Arial" w:hAnsi="Arial" w:cs="Arial"/>
          <w:color w:val="000000"/>
          <w:sz w:val="19"/>
          <w:szCs w:val="19"/>
        </w:rPr>
      </w:pPr>
      <w:r w:rsidRPr="00AA67D4">
        <w:rPr>
          <w:rStyle w:val="Refdenotaalpie"/>
          <w:rFonts w:ascii="Arial" w:hAnsi="Arial" w:cs="Arial"/>
          <w:color w:val="000000"/>
          <w:sz w:val="19"/>
          <w:szCs w:val="19"/>
        </w:rPr>
        <w:footnoteRef/>
      </w:r>
      <w:r w:rsidRPr="00AA67D4">
        <w:rPr>
          <w:rFonts w:ascii="Arial" w:hAnsi="Arial" w:cs="Arial"/>
          <w:color w:val="000000"/>
          <w:sz w:val="19"/>
          <w:szCs w:val="19"/>
        </w:rPr>
        <w:t xml:space="preserve"> </w:t>
      </w:r>
      <w:r>
        <w:rPr>
          <w:rFonts w:ascii="Arial" w:hAnsi="Arial" w:cs="Arial"/>
          <w:color w:val="000000"/>
          <w:sz w:val="19"/>
          <w:szCs w:val="19"/>
        </w:rPr>
        <w:t>“</w:t>
      </w:r>
      <w:r w:rsidRPr="00AA67D4">
        <w:rPr>
          <w:rFonts w:ascii="Arial" w:hAnsi="Arial" w:cs="Arial"/>
          <w:color w:val="000000"/>
          <w:sz w:val="19"/>
          <w:szCs w:val="19"/>
        </w:rPr>
        <w:t>Articulo 96. Constitución de asociaciones y fundaciones para el cumplimiento de las actividades propias de las entidades públicas con participación de particulares. Las entidades estatales, cualquiera sea su naturaleza y orden administrativo podrán, con la observancia de los principios señalados en el artículo 209 de la Constitución, asociarse con personas jurídicas particulares, mediante la celebración de convenios de asociación o la creación de personas jurídicas, para el desarrollo conjunto de actividades en relación con los cometidos y funciones que les asigna a aquéllas la ley.</w:t>
      </w:r>
    </w:p>
    <w:p w:rsidRPr="00AA67D4" w:rsidR="0098293C" w:rsidP="0098293C" w:rsidRDefault="0098293C" w14:paraId="15B8F5B2" w14:textId="77777777">
      <w:pPr>
        <w:pStyle w:val="Textonotapie"/>
        <w:ind w:firstLine="708"/>
        <w:jc w:val="both"/>
        <w:rPr>
          <w:rFonts w:ascii="Arial" w:hAnsi="Arial" w:cs="Arial"/>
          <w:color w:val="000000"/>
          <w:sz w:val="19"/>
          <w:szCs w:val="19"/>
        </w:rPr>
      </w:pPr>
      <w:r w:rsidRPr="00AA67D4">
        <w:rPr>
          <w:rFonts w:ascii="Arial" w:hAnsi="Arial" w:cs="Arial"/>
          <w:color w:val="000000"/>
          <w:sz w:val="19"/>
          <w:szCs w:val="19"/>
        </w:rPr>
        <w:t>Los convenios de asociación a que se refiere el presente artículo se celebrarán de conformidad con lo dispuesto en el artículo 355 de la Constitución Política, en ellos se determinará con precisión su objeto, término, obligaciones de las partes, aportes, coordinación y todos aquellos aspectos que se consideren pertinentes</w:t>
      </w:r>
      <w:r>
        <w:rPr>
          <w:rFonts w:ascii="Arial" w:hAnsi="Arial" w:cs="Arial"/>
          <w:color w:val="000000"/>
          <w:sz w:val="19"/>
          <w:szCs w:val="19"/>
        </w:rPr>
        <w:t>”</w:t>
      </w:r>
      <w:r w:rsidRPr="00AA67D4">
        <w:rPr>
          <w:rFonts w:ascii="Arial" w:hAnsi="Arial" w:cs="Arial"/>
          <w:color w:val="000000"/>
          <w:sz w:val="19"/>
          <w:szCs w:val="19"/>
        </w:rPr>
        <w:t>.</w:t>
      </w:r>
    </w:p>
    <w:p w:rsidRPr="00AA67D4" w:rsidR="0098293C" w:rsidP="0098293C" w:rsidRDefault="0098293C" w14:paraId="73B67B83" w14:textId="77777777">
      <w:pPr>
        <w:pStyle w:val="Textonotapie"/>
        <w:ind w:firstLine="708"/>
        <w:jc w:val="both"/>
        <w:rPr>
          <w:rFonts w:ascii="Arial" w:hAnsi="Arial" w:cs="Arial"/>
          <w:color w:val="000000"/>
          <w:sz w:val="19"/>
          <w:szCs w:val="19"/>
          <w:lang w:val="es-CO"/>
        </w:rPr>
      </w:pPr>
    </w:p>
  </w:footnote>
  <w:footnote w:id="12">
    <w:p w:rsidRPr="00AA67D4" w:rsidR="0098293C" w:rsidP="0098293C" w:rsidRDefault="0098293C" w14:paraId="3AAD463A" w14:textId="77777777">
      <w:pPr>
        <w:pStyle w:val="Textonotapie"/>
        <w:ind w:firstLine="708"/>
        <w:jc w:val="both"/>
        <w:rPr>
          <w:rFonts w:ascii="Arial" w:hAnsi="Arial" w:cs="Arial"/>
          <w:color w:val="000000"/>
          <w:sz w:val="19"/>
          <w:szCs w:val="19"/>
        </w:rPr>
      </w:pPr>
      <w:r w:rsidRPr="00AA67D4">
        <w:rPr>
          <w:rStyle w:val="Refdenotaalpie"/>
          <w:rFonts w:ascii="Arial" w:hAnsi="Arial" w:cs="Arial"/>
          <w:color w:val="000000"/>
          <w:sz w:val="19"/>
          <w:szCs w:val="19"/>
        </w:rPr>
        <w:footnoteRef/>
      </w:r>
      <w:r w:rsidRPr="00AA67D4">
        <w:rPr>
          <w:rFonts w:ascii="Arial" w:hAnsi="Arial" w:cs="Arial"/>
          <w:color w:val="000000"/>
          <w:sz w:val="19"/>
          <w:szCs w:val="19"/>
        </w:rPr>
        <w:t xml:space="preserve"> En el concepto emitido el 5 de febrero de 2019, dentro del radicado No. 2201913000000663, se dijo: </w:t>
      </w:r>
      <w:r>
        <w:rPr>
          <w:rFonts w:ascii="Arial" w:hAnsi="Arial" w:cs="Arial"/>
          <w:color w:val="000000"/>
          <w:sz w:val="19"/>
          <w:szCs w:val="19"/>
        </w:rPr>
        <w:t>“</w:t>
      </w:r>
      <w:r w:rsidRPr="00AA67D4">
        <w:rPr>
          <w:rFonts w:ascii="Arial" w:hAnsi="Arial" w:cs="Arial"/>
          <w:color w:val="000000"/>
          <w:sz w:val="19"/>
          <w:szCs w:val="19"/>
        </w:rPr>
        <w:t>[l]os convenios de asociación del artículo 5 son distintos a los contratos de colaboración del artículo 2 del Decreto 092 de 2017</w:t>
      </w:r>
      <w:r>
        <w:rPr>
          <w:rFonts w:ascii="Arial" w:hAnsi="Arial" w:cs="Arial"/>
          <w:color w:val="000000"/>
          <w:sz w:val="19"/>
          <w:szCs w:val="19"/>
        </w:rPr>
        <w:t>”</w:t>
      </w:r>
      <w:r w:rsidRPr="00AA67D4">
        <w:rPr>
          <w:rFonts w:ascii="Arial" w:hAnsi="Arial" w:cs="Arial"/>
          <w:color w:val="000000"/>
          <w:sz w:val="19"/>
          <w:szCs w:val="19"/>
        </w:rPr>
        <w:t>.</w:t>
      </w:r>
    </w:p>
    <w:p w:rsidRPr="00AA67D4" w:rsidR="0098293C" w:rsidP="0098293C" w:rsidRDefault="0098293C" w14:paraId="246BFFCE" w14:textId="77777777">
      <w:pPr>
        <w:pStyle w:val="Textonotapie"/>
        <w:ind w:firstLine="708"/>
        <w:jc w:val="both"/>
        <w:rPr>
          <w:rFonts w:ascii="Arial" w:hAnsi="Arial" w:cs="Arial"/>
          <w:color w:val="000000"/>
          <w:sz w:val="16"/>
          <w:szCs w:val="16"/>
          <w:lang w:val="es-ES"/>
        </w:rPr>
      </w:pPr>
    </w:p>
  </w:footnote>
  <w:footnote w:id="13">
    <w:p w:rsidRPr="00AA67D4" w:rsidR="0098293C" w:rsidP="0098293C" w:rsidRDefault="0098293C" w14:paraId="5E41486B" w14:textId="77777777">
      <w:pPr>
        <w:pStyle w:val="Textonotapie"/>
        <w:ind w:firstLine="708"/>
        <w:jc w:val="both"/>
        <w:rPr>
          <w:rFonts w:ascii="Arial" w:hAnsi="Arial" w:cs="Arial"/>
          <w:color w:val="000000"/>
          <w:sz w:val="19"/>
          <w:szCs w:val="19"/>
        </w:rPr>
      </w:pPr>
      <w:r w:rsidRPr="00AA67D4">
        <w:rPr>
          <w:rStyle w:val="Refdenotaalpie"/>
          <w:rFonts w:ascii="Arial" w:hAnsi="Arial" w:cs="Arial"/>
          <w:color w:val="000000"/>
          <w:sz w:val="19"/>
          <w:szCs w:val="19"/>
        </w:rPr>
        <w:footnoteRef/>
      </w:r>
      <w:r w:rsidRPr="00AA67D4">
        <w:rPr>
          <w:rFonts w:ascii="Arial" w:hAnsi="Arial" w:cs="Arial"/>
          <w:color w:val="000000"/>
          <w:sz w:val="19"/>
          <w:szCs w:val="19"/>
        </w:rPr>
        <w:t xml:space="preserve"> Concepto del 3 de septiembre de 2019, emitido en el radicado No. 2201913000006512.</w:t>
      </w:r>
    </w:p>
    <w:p w:rsidRPr="00AA67D4" w:rsidR="0098293C" w:rsidP="0098293C" w:rsidRDefault="0098293C" w14:paraId="09840EC3" w14:textId="77777777">
      <w:pPr>
        <w:pStyle w:val="Textonotapie"/>
        <w:ind w:firstLine="708"/>
        <w:jc w:val="both"/>
        <w:rPr>
          <w:rFonts w:ascii="Arial" w:hAnsi="Arial" w:cs="Arial"/>
          <w:color w:val="000000"/>
          <w:sz w:val="19"/>
          <w:szCs w:val="19"/>
          <w:lang w:val="es-ES"/>
        </w:rPr>
      </w:pPr>
    </w:p>
  </w:footnote>
  <w:footnote w:id="14">
    <w:p w:rsidRPr="00AA67D4" w:rsidR="0098293C" w:rsidP="0098293C" w:rsidRDefault="0098293C" w14:paraId="2A36F2CF" w14:textId="77777777">
      <w:pPr>
        <w:pStyle w:val="Textonotapie"/>
        <w:ind w:firstLine="708"/>
        <w:jc w:val="both"/>
        <w:rPr>
          <w:rFonts w:ascii="Arial" w:hAnsi="Arial" w:cs="Arial"/>
          <w:color w:val="000000"/>
          <w:sz w:val="19"/>
          <w:szCs w:val="19"/>
        </w:rPr>
      </w:pPr>
      <w:r w:rsidRPr="00AA67D4">
        <w:rPr>
          <w:rStyle w:val="Refdenotaalpie"/>
          <w:rFonts w:ascii="Arial" w:hAnsi="Arial" w:cs="Arial"/>
          <w:color w:val="000000"/>
          <w:sz w:val="19"/>
          <w:szCs w:val="19"/>
        </w:rPr>
        <w:footnoteRef/>
      </w:r>
      <w:r w:rsidRPr="00AA67D4">
        <w:rPr>
          <w:rFonts w:ascii="Arial" w:hAnsi="Arial" w:cs="Arial"/>
          <w:color w:val="000000"/>
          <w:sz w:val="19"/>
          <w:szCs w:val="19"/>
        </w:rPr>
        <w:t xml:space="preserve"> Concepto del 19 de noviembre de 2019, emitido en el radicado No. 2201913000008611.</w:t>
      </w:r>
    </w:p>
    <w:p w:rsidRPr="00AA67D4" w:rsidR="0098293C" w:rsidP="0098293C" w:rsidRDefault="0098293C" w14:paraId="190DA9DF" w14:textId="77777777">
      <w:pPr>
        <w:pStyle w:val="Textonotapie"/>
        <w:ind w:firstLine="708"/>
        <w:jc w:val="both"/>
        <w:rPr>
          <w:rFonts w:ascii="Arial" w:hAnsi="Arial" w:cs="Arial"/>
          <w:color w:val="000000"/>
          <w:sz w:val="19"/>
          <w:szCs w:val="19"/>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756841" w:rsidRDefault="00961B09" w14:paraId="6ED12154" w14:textId="43B6B0B6">
    <w:pPr>
      <w:pStyle w:val="Encabezado"/>
    </w:pPr>
    <w:r>
      <w:rPr>
        <w:noProof/>
      </w:rPr>
      <w:drawing>
        <wp:anchor distT="0" distB="0" distL="114300" distR="114300" simplePos="0" relativeHeight="251658240" behindDoc="1" locked="0" layoutInCell="1" allowOverlap="1" wp14:anchorId="748FC4A6" wp14:editId="75ADBD22">
          <wp:simplePos x="0" y="0"/>
          <wp:positionH relativeFrom="margin">
            <wp:align>right</wp:align>
          </wp:positionH>
          <wp:positionV relativeFrom="margin">
            <wp:posOffset>-1135380</wp:posOffset>
          </wp:positionV>
          <wp:extent cx="1757045" cy="628650"/>
          <wp:effectExtent l="0" t="0" r="0" b="0"/>
          <wp:wrapNone/>
          <wp:docPr id="864305913" name="Imagen 864305913"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Pr="00852E0B" w:rsidR="002962BC">
      <w:rPr>
        <w:rFonts w:ascii="Geomanist Bold" w:hAnsi="Geomanist Bold"/>
        <w:b/>
        <w:bCs/>
        <w:noProof/>
        <w:color w:val="46589C"/>
        <w:sz w:val="24"/>
        <w:szCs w:val="24"/>
      </w:rPr>
      <w:drawing>
        <wp:anchor distT="0" distB="0" distL="114300" distR="114300" simplePos="0" relativeHeight="251658244" behindDoc="0" locked="0" layoutInCell="1" allowOverlap="1" wp14:anchorId="7E9042C1" wp14:editId="4CC480E9">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2" behindDoc="0" locked="0" layoutInCell="1" allowOverlap="1" wp14:anchorId="4F745D08" wp14:editId="59122E37">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FB5DD1">
      <w:rPr>
        <w:noProof/>
      </w:rPr>
      <w:drawing>
        <wp:anchor distT="0" distB="0" distL="114300" distR="114300" simplePos="0" relativeHeight="251658241" behindDoc="0" locked="0" layoutInCell="1" allowOverlap="1" wp14:anchorId="38EA71DA" wp14:editId="78EBA255">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910553655"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rsidR="00756841" w:rsidRDefault="00756841" w14:paraId="435F4D03" w14:textId="67DABC48">
    <w:pPr>
      <w:pStyle w:val="Encabezado"/>
    </w:pPr>
  </w:p>
  <w:p w:rsidR="00756841" w:rsidRDefault="00756841" w14:paraId="1BE2B9AE" w14:textId="4B94DB3B">
    <w:pPr>
      <w:pStyle w:val="Encabezado"/>
    </w:pPr>
  </w:p>
  <w:p w:rsidRPr="004A305D" w:rsidR="004A305D" w:rsidP="004A305D" w:rsidRDefault="004A305D" w14:paraId="7FE1230C" w14:textId="77777777">
    <w:pPr>
      <w:spacing w:after="0"/>
      <w:rPr>
        <w:rFonts w:ascii="Century Gothic" w:hAnsi="Century Gothic"/>
        <w:color w:val="002060"/>
        <w:sz w:val="16"/>
        <w:szCs w:val="16"/>
      </w:rPr>
    </w:pPr>
    <w:r w:rsidRPr="004A305D">
      <w:rPr>
        <w:rFonts w:ascii="Century Gothic" w:hAnsi="Century Gothic"/>
        <w:color w:val="002060"/>
        <w:sz w:val="16"/>
        <w:szCs w:val="16"/>
      </w:rPr>
      <w:t>FORMATO PQRSD</w:t>
    </w:r>
  </w:p>
  <w:p w:rsidRPr="004A305D" w:rsidR="004A305D" w:rsidP="004A305D" w:rsidRDefault="004A305D" w14:paraId="7B0A8834" w14:textId="37E5E717">
    <w:pPr>
      <w:pBdr>
        <w:top w:val="nil"/>
        <w:left w:val="nil"/>
        <w:bottom w:val="nil"/>
        <w:right w:val="nil"/>
        <w:between w:val="nil"/>
      </w:pBdr>
      <w:tabs>
        <w:tab w:val="center" w:pos="4419"/>
        <w:tab w:val="right" w:pos="8838"/>
        <w:tab w:val="center" w:pos="5400"/>
      </w:tabs>
      <w:spacing w:after="0"/>
      <w:rPr>
        <w:rFonts w:ascii="Century Gothic" w:hAnsi="Century Gothic" w:eastAsia="Geo" w:cs="Geo"/>
        <w:b/>
        <w:color w:val="002060"/>
        <w:sz w:val="16"/>
        <w:szCs w:val="16"/>
        <w:lang w:eastAsia="es-CO"/>
      </w:rPr>
    </w:pPr>
    <w:r w:rsidRPr="004A305D">
      <w:rPr>
        <w:rFonts w:ascii="Century Gothic" w:hAnsi="Century Gothic" w:eastAsia="Geo" w:cs="Geo"/>
        <w:b/>
        <w:color w:val="000000"/>
        <w:sz w:val="16"/>
        <w:szCs w:val="16"/>
        <w:lang w:eastAsia="es-CO"/>
      </w:rPr>
      <w:t xml:space="preserve">Código: </w:t>
    </w:r>
    <w:r w:rsidRPr="004A305D">
      <w:rPr>
        <w:rFonts w:ascii="Century Gothic" w:hAnsi="Century Gothic" w:eastAsia="Geo" w:cs="Geo"/>
        <w:bCs/>
        <w:color w:val="000000"/>
        <w:sz w:val="16"/>
        <w:szCs w:val="16"/>
        <w:lang w:eastAsia="es-CO"/>
      </w:rPr>
      <w:t>CCE-</w:t>
    </w:r>
    <w:r w:rsidR="00CB6357">
      <w:rPr>
        <w:rFonts w:ascii="Century Gothic" w:hAnsi="Century Gothic" w:eastAsia="Geo" w:cs="Geo"/>
        <w:bCs/>
        <w:color w:val="000000"/>
        <w:sz w:val="16"/>
        <w:szCs w:val="16"/>
        <w:lang w:eastAsia="es-CO"/>
      </w:rPr>
      <w:t>REC</w:t>
    </w:r>
    <w:r w:rsidRPr="004A305D">
      <w:rPr>
        <w:rFonts w:ascii="Century Gothic" w:hAnsi="Century Gothic" w:eastAsia="Geo" w:cs="Geo"/>
        <w:bCs/>
        <w:color w:val="000000"/>
        <w:sz w:val="16"/>
        <w:szCs w:val="16"/>
        <w:lang w:eastAsia="es-CO"/>
      </w:rPr>
      <w:t>-FM-</w:t>
    </w:r>
    <w:r w:rsidR="00CB6357">
      <w:rPr>
        <w:rFonts w:ascii="Century Gothic" w:hAnsi="Century Gothic" w:eastAsia="Geo" w:cs="Geo"/>
        <w:bCs/>
        <w:color w:val="000000"/>
        <w:sz w:val="16"/>
        <w:szCs w:val="16"/>
        <w:lang w:eastAsia="es-CO"/>
      </w:rPr>
      <w:t>13</w:t>
    </w:r>
  </w:p>
  <w:p w:rsidRPr="004A305D" w:rsidR="004A305D" w:rsidP="004A305D" w:rsidRDefault="004A305D" w14:paraId="5E18350A" w14:textId="3833E343">
    <w:pPr>
      <w:spacing w:after="0"/>
      <w:rPr>
        <w:rFonts w:ascii="Century Gothic" w:hAnsi="Century Gothic" w:eastAsia="Geo" w:cs="Geo"/>
        <w:sz w:val="16"/>
        <w:szCs w:val="16"/>
        <w:lang w:eastAsia="es-CO"/>
      </w:rPr>
    </w:pPr>
    <w:r w:rsidRPr="004A305D">
      <w:rPr>
        <w:rFonts w:ascii="Century Gothic" w:hAnsi="Century Gothic" w:eastAsia="Geo" w:cs="Geo"/>
        <w:b/>
        <w:color w:val="000000"/>
        <w:sz w:val="16"/>
        <w:szCs w:val="16"/>
        <w:lang w:eastAsia="es-CO"/>
      </w:rPr>
      <w:t>Versión</w:t>
    </w:r>
    <w:r w:rsidRPr="004A305D">
      <w:rPr>
        <w:rFonts w:ascii="Century Gothic" w:hAnsi="Century Gothic" w:eastAsia="Arial Nova" w:cs="Arial Nova"/>
        <w:b/>
        <w:color w:val="000000"/>
        <w:sz w:val="16"/>
        <w:szCs w:val="16"/>
        <w:lang w:eastAsia="es-CO"/>
      </w:rPr>
      <w:t xml:space="preserve">: </w:t>
    </w:r>
    <w:r w:rsidRPr="004A305D">
      <w:rPr>
        <w:rFonts w:ascii="Century Gothic" w:hAnsi="Century Gothic" w:eastAsia="Geo" w:cs="Geo"/>
        <w:sz w:val="16"/>
        <w:szCs w:val="16"/>
        <w:lang w:eastAsia="es-CO"/>
      </w:rPr>
      <w:t>0</w:t>
    </w:r>
    <w:r w:rsidR="00CB6357">
      <w:rPr>
        <w:rFonts w:ascii="Century Gothic" w:hAnsi="Century Gothic" w:eastAsia="Geo" w:cs="Geo"/>
        <w:sz w:val="16"/>
        <w:szCs w:val="16"/>
        <w:lang w:eastAsia="es-CO"/>
      </w:rPr>
      <w:t>1</w:t>
    </w:r>
    <w:r w:rsidRPr="004A305D">
      <w:rPr>
        <w:rFonts w:ascii="Century Gothic" w:hAnsi="Century Gothic" w:eastAsia="Geo" w:cs="Geo"/>
        <w:sz w:val="16"/>
        <w:szCs w:val="16"/>
        <w:lang w:eastAsia="es-CO"/>
      </w:rPr>
      <w:t xml:space="preserve"> DEL </w:t>
    </w:r>
    <w:r w:rsidR="00CB6357">
      <w:rPr>
        <w:rFonts w:ascii="Century Gothic" w:hAnsi="Century Gothic" w:eastAsia="Geo" w:cs="Geo"/>
        <w:sz w:val="16"/>
        <w:szCs w:val="16"/>
        <w:lang w:eastAsia="es-CO"/>
      </w:rPr>
      <w:t xml:space="preserve">15 </w:t>
    </w:r>
    <w:r w:rsidRPr="004A305D">
      <w:rPr>
        <w:rFonts w:ascii="Century Gothic" w:hAnsi="Century Gothic" w:eastAsia="Geo" w:cs="Geo"/>
        <w:sz w:val="16"/>
        <w:szCs w:val="16"/>
        <w:lang w:eastAsia="es-CO"/>
      </w:rPr>
      <w:t xml:space="preserve">DE </w:t>
    </w:r>
    <w:r w:rsidR="00961B09">
      <w:rPr>
        <w:rFonts w:ascii="Century Gothic" w:hAnsi="Century Gothic" w:eastAsia="Geo" w:cs="Geo"/>
        <w:sz w:val="16"/>
        <w:szCs w:val="16"/>
        <w:lang w:eastAsia="es-CO"/>
      </w:rPr>
      <w:t>JUNIO</w:t>
    </w:r>
    <w:r w:rsidRPr="004A305D">
      <w:rPr>
        <w:rFonts w:ascii="Century Gothic" w:hAnsi="Century Gothic" w:eastAsia="Geo" w:cs="Geo"/>
        <w:sz w:val="16"/>
        <w:szCs w:val="16"/>
        <w:lang w:eastAsia="es-CO"/>
      </w:rPr>
      <w:t xml:space="preserve"> DE 202</w:t>
    </w:r>
    <w:r w:rsidR="00961B09">
      <w:rPr>
        <w:rFonts w:ascii="Century Gothic" w:hAnsi="Century Gothic" w:eastAsia="Geo" w:cs="Geo"/>
        <w:sz w:val="16"/>
        <w:szCs w:val="16"/>
        <w:lang w:eastAsia="es-CO"/>
      </w:rPr>
      <w:t>3</w:t>
    </w:r>
  </w:p>
  <w:p w:rsidR="008A446D" w:rsidRDefault="008A446D" w14:paraId="1FD1C243" w14:textId="6D74A3CF">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30BDC"/>
    <w:multiLevelType w:val="hybridMultilevel"/>
    <w:tmpl w:val="734ED3EC"/>
    <w:lvl w:ilvl="0" w:tplc="834431CA">
      <w:numFmt w:val="bullet"/>
      <w:lvlText w:val="-"/>
      <w:lvlJc w:val="left"/>
      <w:pPr>
        <w:ind w:left="1080" w:hanging="360"/>
      </w:pPr>
      <w:rPr>
        <w:rFonts w:hint="default" w:ascii="Arial" w:hAnsi="Arial" w:eastAsia="Times New Roman" w:cs="Arial"/>
        <w:b/>
      </w:rPr>
    </w:lvl>
    <w:lvl w:ilvl="1" w:tplc="0C0A0003" w:tentative="1">
      <w:start w:val="1"/>
      <w:numFmt w:val="bullet"/>
      <w:lvlText w:val="o"/>
      <w:lvlJc w:val="left"/>
      <w:pPr>
        <w:ind w:left="1800" w:hanging="360"/>
      </w:pPr>
      <w:rPr>
        <w:rFonts w:hint="default" w:ascii="Courier New" w:hAnsi="Courier New" w:cs="Courier New"/>
      </w:rPr>
    </w:lvl>
    <w:lvl w:ilvl="2" w:tplc="0C0A0005" w:tentative="1">
      <w:start w:val="1"/>
      <w:numFmt w:val="bullet"/>
      <w:lvlText w:val=""/>
      <w:lvlJc w:val="left"/>
      <w:pPr>
        <w:ind w:left="2520" w:hanging="360"/>
      </w:pPr>
      <w:rPr>
        <w:rFonts w:hint="default" w:ascii="Wingdings" w:hAnsi="Wingdings"/>
      </w:rPr>
    </w:lvl>
    <w:lvl w:ilvl="3" w:tplc="0C0A0001" w:tentative="1">
      <w:start w:val="1"/>
      <w:numFmt w:val="bullet"/>
      <w:lvlText w:val=""/>
      <w:lvlJc w:val="left"/>
      <w:pPr>
        <w:ind w:left="3240" w:hanging="360"/>
      </w:pPr>
      <w:rPr>
        <w:rFonts w:hint="default" w:ascii="Symbol" w:hAnsi="Symbol"/>
      </w:rPr>
    </w:lvl>
    <w:lvl w:ilvl="4" w:tplc="0C0A0003" w:tentative="1">
      <w:start w:val="1"/>
      <w:numFmt w:val="bullet"/>
      <w:lvlText w:val="o"/>
      <w:lvlJc w:val="left"/>
      <w:pPr>
        <w:ind w:left="3960" w:hanging="360"/>
      </w:pPr>
      <w:rPr>
        <w:rFonts w:hint="default" w:ascii="Courier New" w:hAnsi="Courier New" w:cs="Courier New"/>
      </w:rPr>
    </w:lvl>
    <w:lvl w:ilvl="5" w:tplc="0C0A0005" w:tentative="1">
      <w:start w:val="1"/>
      <w:numFmt w:val="bullet"/>
      <w:lvlText w:val=""/>
      <w:lvlJc w:val="left"/>
      <w:pPr>
        <w:ind w:left="4680" w:hanging="360"/>
      </w:pPr>
      <w:rPr>
        <w:rFonts w:hint="default" w:ascii="Wingdings" w:hAnsi="Wingdings"/>
      </w:rPr>
    </w:lvl>
    <w:lvl w:ilvl="6" w:tplc="0C0A0001" w:tentative="1">
      <w:start w:val="1"/>
      <w:numFmt w:val="bullet"/>
      <w:lvlText w:val=""/>
      <w:lvlJc w:val="left"/>
      <w:pPr>
        <w:ind w:left="5400" w:hanging="360"/>
      </w:pPr>
      <w:rPr>
        <w:rFonts w:hint="default" w:ascii="Symbol" w:hAnsi="Symbol"/>
      </w:rPr>
    </w:lvl>
    <w:lvl w:ilvl="7" w:tplc="0C0A0003" w:tentative="1">
      <w:start w:val="1"/>
      <w:numFmt w:val="bullet"/>
      <w:lvlText w:val="o"/>
      <w:lvlJc w:val="left"/>
      <w:pPr>
        <w:ind w:left="6120" w:hanging="360"/>
      </w:pPr>
      <w:rPr>
        <w:rFonts w:hint="default" w:ascii="Courier New" w:hAnsi="Courier New" w:cs="Courier New"/>
      </w:rPr>
    </w:lvl>
    <w:lvl w:ilvl="8" w:tplc="0C0A0005" w:tentative="1">
      <w:start w:val="1"/>
      <w:numFmt w:val="bullet"/>
      <w:lvlText w:val=""/>
      <w:lvlJc w:val="left"/>
      <w:pPr>
        <w:ind w:left="6840" w:hanging="360"/>
      </w:pPr>
      <w:rPr>
        <w:rFonts w:hint="default" w:ascii="Wingdings" w:hAnsi="Wingdings"/>
      </w:rPr>
    </w:lvl>
  </w:abstractNum>
  <w:abstractNum w:abstractNumId="1" w15:restartNumberingAfterBreak="0">
    <w:nsid w:val="277E4908"/>
    <w:multiLevelType w:val="hybridMultilevel"/>
    <w:tmpl w:val="32E4C36E"/>
    <w:lvl w:ilvl="0" w:tplc="05363380">
      <w:start w:val="1"/>
      <w:numFmt w:val="lowerRoman"/>
      <w:lvlText w:val="%1)"/>
      <w:lvlJc w:val="left"/>
      <w:pPr>
        <w:ind w:left="1080" w:hanging="72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53FC3559"/>
    <w:multiLevelType w:val="hybridMultilevel"/>
    <w:tmpl w:val="7EF641E0"/>
    <w:lvl w:ilvl="0" w:tplc="97424340">
      <w:start w:val="2"/>
      <w:numFmt w:val="lowerRoman"/>
      <w:lvlText w:val="%1)"/>
      <w:lvlJc w:val="left"/>
      <w:pPr>
        <w:ind w:left="2137" w:hanging="720"/>
      </w:pPr>
      <w:rPr>
        <w:rFonts w:hint="default" w:eastAsiaTheme="minorHAnsi"/>
        <w:i/>
      </w:rPr>
    </w:lvl>
    <w:lvl w:ilvl="1" w:tplc="040A0019" w:tentative="1">
      <w:start w:val="1"/>
      <w:numFmt w:val="lowerLetter"/>
      <w:lvlText w:val="%2."/>
      <w:lvlJc w:val="left"/>
      <w:pPr>
        <w:ind w:left="2497" w:hanging="360"/>
      </w:pPr>
    </w:lvl>
    <w:lvl w:ilvl="2" w:tplc="040A001B" w:tentative="1">
      <w:start w:val="1"/>
      <w:numFmt w:val="lowerRoman"/>
      <w:lvlText w:val="%3."/>
      <w:lvlJc w:val="right"/>
      <w:pPr>
        <w:ind w:left="3217" w:hanging="180"/>
      </w:pPr>
    </w:lvl>
    <w:lvl w:ilvl="3" w:tplc="040A000F" w:tentative="1">
      <w:start w:val="1"/>
      <w:numFmt w:val="decimal"/>
      <w:lvlText w:val="%4."/>
      <w:lvlJc w:val="left"/>
      <w:pPr>
        <w:ind w:left="3937" w:hanging="360"/>
      </w:pPr>
    </w:lvl>
    <w:lvl w:ilvl="4" w:tplc="040A0019" w:tentative="1">
      <w:start w:val="1"/>
      <w:numFmt w:val="lowerLetter"/>
      <w:lvlText w:val="%5."/>
      <w:lvlJc w:val="left"/>
      <w:pPr>
        <w:ind w:left="4657" w:hanging="360"/>
      </w:pPr>
    </w:lvl>
    <w:lvl w:ilvl="5" w:tplc="040A001B" w:tentative="1">
      <w:start w:val="1"/>
      <w:numFmt w:val="lowerRoman"/>
      <w:lvlText w:val="%6."/>
      <w:lvlJc w:val="right"/>
      <w:pPr>
        <w:ind w:left="5377" w:hanging="180"/>
      </w:pPr>
    </w:lvl>
    <w:lvl w:ilvl="6" w:tplc="040A000F" w:tentative="1">
      <w:start w:val="1"/>
      <w:numFmt w:val="decimal"/>
      <w:lvlText w:val="%7."/>
      <w:lvlJc w:val="left"/>
      <w:pPr>
        <w:ind w:left="6097" w:hanging="360"/>
      </w:pPr>
    </w:lvl>
    <w:lvl w:ilvl="7" w:tplc="040A0019" w:tentative="1">
      <w:start w:val="1"/>
      <w:numFmt w:val="lowerLetter"/>
      <w:lvlText w:val="%8."/>
      <w:lvlJc w:val="left"/>
      <w:pPr>
        <w:ind w:left="6817" w:hanging="360"/>
      </w:pPr>
    </w:lvl>
    <w:lvl w:ilvl="8" w:tplc="040A001B" w:tentative="1">
      <w:start w:val="1"/>
      <w:numFmt w:val="lowerRoman"/>
      <w:lvlText w:val="%9."/>
      <w:lvlJc w:val="right"/>
      <w:pPr>
        <w:ind w:left="7537" w:hanging="180"/>
      </w:pPr>
    </w:lvl>
  </w:abstractNum>
  <w:num w:numId="1" w16cid:durableId="948779781">
    <w:abstractNumId w:val="3"/>
  </w:num>
  <w:num w:numId="2" w16cid:durableId="19822139">
    <w:abstractNumId w:val="0"/>
  </w:num>
  <w:num w:numId="3" w16cid:durableId="876742304">
    <w:abstractNumId w:val="2"/>
  </w:num>
  <w:num w:numId="4" w16cid:durableId="24518640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0"/>
  </w:num>
  <w:num w:numId="6" w16cid:durableId="2016611413">
    <w:abstractNumId w:val="4"/>
  </w:num>
  <w:num w:numId="7" w16cid:durableId="1516189508">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A1ABF"/>
    <w:rsid w:val="000A683E"/>
    <w:rsid w:val="000B19B9"/>
    <w:rsid w:val="000C326C"/>
    <w:rsid w:val="000D0334"/>
    <w:rsid w:val="000F6486"/>
    <w:rsid w:val="00115735"/>
    <w:rsid w:val="00124F12"/>
    <w:rsid w:val="00127233"/>
    <w:rsid w:val="001E4177"/>
    <w:rsid w:val="002951A0"/>
    <w:rsid w:val="002962BC"/>
    <w:rsid w:val="002A49AC"/>
    <w:rsid w:val="002A64FD"/>
    <w:rsid w:val="002C7A84"/>
    <w:rsid w:val="003A4783"/>
    <w:rsid w:val="003A779E"/>
    <w:rsid w:val="003D0F4D"/>
    <w:rsid w:val="003E0499"/>
    <w:rsid w:val="003F3941"/>
    <w:rsid w:val="003F737F"/>
    <w:rsid w:val="004A1847"/>
    <w:rsid w:val="004A305D"/>
    <w:rsid w:val="004C4662"/>
    <w:rsid w:val="004F21C4"/>
    <w:rsid w:val="004F685F"/>
    <w:rsid w:val="005566E8"/>
    <w:rsid w:val="0056665B"/>
    <w:rsid w:val="00574867"/>
    <w:rsid w:val="005C5CDC"/>
    <w:rsid w:val="005D476C"/>
    <w:rsid w:val="00610A41"/>
    <w:rsid w:val="006219F8"/>
    <w:rsid w:val="00665D70"/>
    <w:rsid w:val="00706C16"/>
    <w:rsid w:val="00756841"/>
    <w:rsid w:val="007648AD"/>
    <w:rsid w:val="007649AB"/>
    <w:rsid w:val="00774B83"/>
    <w:rsid w:val="007833AC"/>
    <w:rsid w:val="007B6FF1"/>
    <w:rsid w:val="007C3DC2"/>
    <w:rsid w:val="007E5497"/>
    <w:rsid w:val="00806F5F"/>
    <w:rsid w:val="00820278"/>
    <w:rsid w:val="008843B6"/>
    <w:rsid w:val="00891928"/>
    <w:rsid w:val="008A446D"/>
    <w:rsid w:val="008F0EA7"/>
    <w:rsid w:val="00923EEF"/>
    <w:rsid w:val="00926C66"/>
    <w:rsid w:val="009419F9"/>
    <w:rsid w:val="009522A2"/>
    <w:rsid w:val="00961B09"/>
    <w:rsid w:val="00965334"/>
    <w:rsid w:val="0097093E"/>
    <w:rsid w:val="0098293C"/>
    <w:rsid w:val="009C71FA"/>
    <w:rsid w:val="009C72E7"/>
    <w:rsid w:val="00A17518"/>
    <w:rsid w:val="00A17F13"/>
    <w:rsid w:val="00A20739"/>
    <w:rsid w:val="00A33C78"/>
    <w:rsid w:val="00A457DA"/>
    <w:rsid w:val="00AB0ADB"/>
    <w:rsid w:val="00AE5061"/>
    <w:rsid w:val="00AF6B70"/>
    <w:rsid w:val="00B524C6"/>
    <w:rsid w:val="00B72CD3"/>
    <w:rsid w:val="00B72FFF"/>
    <w:rsid w:val="00B8189F"/>
    <w:rsid w:val="00BD7F72"/>
    <w:rsid w:val="00BE68D9"/>
    <w:rsid w:val="00BF778C"/>
    <w:rsid w:val="00C330EB"/>
    <w:rsid w:val="00C63358"/>
    <w:rsid w:val="00C754BE"/>
    <w:rsid w:val="00CB6357"/>
    <w:rsid w:val="00CC1B26"/>
    <w:rsid w:val="00CF4213"/>
    <w:rsid w:val="00D423A2"/>
    <w:rsid w:val="00D63AC2"/>
    <w:rsid w:val="00D7383B"/>
    <w:rsid w:val="00DE5E1E"/>
    <w:rsid w:val="00E16408"/>
    <w:rsid w:val="00E20894"/>
    <w:rsid w:val="00E245AB"/>
    <w:rsid w:val="00E31C19"/>
    <w:rsid w:val="00E50AFE"/>
    <w:rsid w:val="00E771DC"/>
    <w:rsid w:val="00E8772A"/>
    <w:rsid w:val="00E90F6B"/>
    <w:rsid w:val="00E92C27"/>
    <w:rsid w:val="00EA0E3D"/>
    <w:rsid w:val="00EC05CA"/>
    <w:rsid w:val="00EE1AA8"/>
    <w:rsid w:val="00F1099C"/>
    <w:rsid w:val="00F31EDC"/>
    <w:rsid w:val="00F416A2"/>
    <w:rsid w:val="00F5664F"/>
    <w:rsid w:val="00F76AFC"/>
    <w:rsid w:val="00FB5DD1"/>
    <w:rsid w:val="00FC2B5D"/>
    <w:rsid w:val="00FF1449"/>
    <w:rsid w:val="00FF6747"/>
    <w:rsid w:val="17EE125C"/>
    <w:rsid w:val="1CF2B02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245AB"/>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4A1847"/>
  </w:style>
  <w:style w:type="paragraph" w:styleId="Default" w:customStyle="1">
    <w:name w:val="Default"/>
    <w:rsid w:val="006219F8"/>
    <w:pPr>
      <w:autoSpaceDE w:val="0"/>
      <w:autoSpaceDN w:val="0"/>
      <w:adjustRightInd w:val="0"/>
      <w:spacing w:after="0" w:line="240" w:lineRule="auto"/>
    </w:pPr>
    <w:rPr>
      <w:rFonts w:ascii="Arial" w:hAnsi="Arial" w:cs="Arial"/>
      <w:color w:val="000000"/>
      <w:sz w:val="24"/>
      <w:szCs w:val="24"/>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styleId="TextonotapieCar1" w:customStyle="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
    <w:basedOn w:val="Fuentedeprrafopredeter"/>
    <w:link w:val="Appelnotedebasde"/>
    <w:uiPriority w:val="99"/>
    <w:unhideWhenUsed/>
    <w:qFormat/>
    <w:rsid w:val="006219F8"/>
    <w:rPr>
      <w:vertAlign w:val="superscript"/>
    </w:rPr>
  </w:style>
  <w:style w:type="character" w:styleId="normaltextrun" w:customStyle="1">
    <w:name w:val="normaltextrun"/>
    <w:basedOn w:val="Fuentedeprrafopredeter"/>
    <w:rsid w:val="006219F8"/>
  </w:style>
  <w:style w:type="table" w:styleId="Tablaconcuadrcula">
    <w:name w:val="Table Grid"/>
    <w:basedOn w:val="Tablanormal"/>
    <w:uiPriority w:val="59"/>
    <w:rsid w:val="006219F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hAnsi="Geomanist" w:eastAsiaTheme="majorEastAsia" w:cstheme="majorBidi"/>
      <w:spacing w:val="-10"/>
      <w:kern w:val="28"/>
      <w:szCs w:val="56"/>
      <w:lang w:val="es-ES"/>
    </w:rPr>
  </w:style>
  <w:style w:type="character" w:styleId="TtuloCar" w:customStyle="1">
    <w:name w:val="Título Car"/>
    <w:basedOn w:val="Fuentedeprrafopredeter"/>
    <w:link w:val="Ttulo"/>
    <w:uiPriority w:val="10"/>
    <w:rsid w:val="005566E8"/>
    <w:rPr>
      <w:rFonts w:ascii="Geomanist" w:hAnsi="Geomanist" w:eastAsiaTheme="majorEastAsia" w:cstheme="majorBidi"/>
      <w:spacing w:val="-10"/>
      <w:kern w:val="28"/>
      <w:szCs w:val="56"/>
      <w:lang w:val="es-ES"/>
    </w:rPr>
  </w:style>
  <w:style w:type="table" w:styleId="Tablaconcuadrcula1" w:customStyle="1">
    <w:name w:val="Tabla con cuadrícula1"/>
    <w:basedOn w:val="Tablanormal"/>
    <w:next w:val="Tablaconcuadrcula"/>
    <w:uiPriority w:val="59"/>
    <w:rsid w:val="0098293C"/>
    <w:pPr>
      <w:spacing w:after="0" w:line="240" w:lineRule="auto"/>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Appelnotedebasde" w:customStyle="1">
    <w:name w:val="Appel note de bas de..."/>
    <w:basedOn w:val="Normal"/>
    <w:link w:val="Refdenotaalpie"/>
    <w:uiPriority w:val="99"/>
    <w:rsid w:val="0098293C"/>
    <w:pPr>
      <w:spacing w:line="240" w:lineRule="exact"/>
    </w:pPr>
    <w:rPr>
      <w:vertAlign w:val="superscript"/>
    </w:rPr>
  </w:style>
  <w:style w:type="paragraph" w:styleId="Revisin">
    <w:name w:val="Revision"/>
    <w:hidden/>
    <w:uiPriority w:val="99"/>
    <w:semiHidden/>
    <w:rsid w:val="00124F1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theme" Target="theme/theme1.xml" Id="rId1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ntTable" Target="fontTable.xml" Id="rId14" /><Relationship Type="http://schemas.openxmlformats.org/officeDocument/2006/relationships/image" Target="/media/image7.png" Id="Re946efcc8b984b1a" /></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7" ma:contentTypeDescription="Crear nuevo documento." ma:contentTypeScope="" ma:versionID="a34407833354fcfc312bad70d6c3459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b353d508bfaf3d48e66d044e463fff7"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82BE2DDB-049B-40B8-A1E8-15E3903E6128}"/>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cabc2350-70b2-4dba-bb42-96a3175f4d5a"/>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Andrés Felipe Ospina Acosta</dc:creator>
  <keywords/>
  <dc:description/>
  <lastModifiedBy>Kevin Arlid Herrera Santa</lastModifiedBy>
  <revision>8</revision>
  <lastPrinted>2023-01-10T21:18:00.0000000Z</lastPrinted>
  <dcterms:created xsi:type="dcterms:W3CDTF">2023-07-14T20:13:00.0000000Z</dcterms:created>
  <dcterms:modified xsi:type="dcterms:W3CDTF">2023-07-14T20:27:15.3653780Z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