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400B70"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400B70">
        <w:rPr>
          <w:rFonts w:ascii="Arial" w:hAnsi="Arial" w:cs="Arial"/>
          <w:bCs/>
          <w:color w:val="000000" w:themeColor="text1"/>
          <w:sz w:val="16"/>
          <w:szCs w:val="16"/>
          <w:lang w:val="es-ES_tradnl" w:eastAsia="es-ES"/>
        </w:rPr>
        <w:t>CCE-DES-FM-17</w:t>
      </w:r>
      <w:bookmarkEnd w:id="0"/>
      <w:bookmarkEnd w:id="1"/>
    </w:p>
    <w:p w14:paraId="55FBD910" w14:textId="77777777" w:rsidR="008536BB" w:rsidRPr="00400B70" w:rsidRDefault="008536BB" w:rsidP="00B95C30">
      <w:pPr>
        <w:spacing w:line="276" w:lineRule="auto"/>
        <w:jc w:val="both"/>
        <w:rPr>
          <w:rFonts w:ascii="Arial" w:hAnsi="Arial" w:cs="Arial"/>
          <w:noProof/>
          <w:color w:val="000000" w:themeColor="text1"/>
          <w:sz w:val="22"/>
          <w:lang w:val="es-ES_tradnl"/>
        </w:rPr>
      </w:pPr>
    </w:p>
    <w:p w14:paraId="72CC44DB" w14:textId="77777777" w:rsidR="00D92C14" w:rsidRPr="00400B70" w:rsidRDefault="00D92C14" w:rsidP="00D92C14">
      <w:pPr>
        <w:spacing w:after="120"/>
        <w:contextualSpacing/>
        <w:jc w:val="both"/>
        <w:rPr>
          <w:rFonts w:ascii="Arial" w:eastAsia="Calibri" w:hAnsi="Arial" w:cs="Arial"/>
          <w:b/>
          <w:bCs/>
          <w:color w:val="000000" w:themeColor="text1"/>
          <w:sz w:val="22"/>
          <w:szCs w:val="22"/>
          <w:lang w:val="es-ES_tradnl" w:eastAsia="en-US"/>
        </w:rPr>
      </w:pPr>
      <w:r w:rsidRPr="00400B70">
        <w:rPr>
          <w:rFonts w:ascii="Arial" w:eastAsia="Calibri" w:hAnsi="Arial" w:cs="Arial"/>
          <w:b/>
          <w:bCs/>
          <w:color w:val="000000" w:themeColor="text1"/>
          <w:sz w:val="22"/>
          <w:szCs w:val="22"/>
          <w:lang w:val="es-ES_tradnl" w:eastAsia="en-US"/>
        </w:rPr>
        <w:t>LEY DE GARANTÍAS ELECTORALES – Finalidad</w:t>
      </w:r>
    </w:p>
    <w:p w14:paraId="217A7DBF" w14:textId="77777777" w:rsidR="00D92C14" w:rsidRPr="00C61228" w:rsidRDefault="00D92C14" w:rsidP="00C61228">
      <w:pPr>
        <w:spacing w:after="120"/>
        <w:contextualSpacing/>
        <w:jc w:val="both"/>
        <w:rPr>
          <w:rFonts w:ascii="Arial" w:eastAsia="Calibri" w:hAnsi="Arial" w:cs="Arial"/>
          <w:color w:val="000000" w:themeColor="text1"/>
          <w:sz w:val="20"/>
          <w:szCs w:val="20"/>
          <w:lang w:val="es-ES_tradnl" w:eastAsia="en-US"/>
        </w:rPr>
      </w:pPr>
    </w:p>
    <w:p w14:paraId="33674FD6" w14:textId="7EC63E4F" w:rsidR="00C61228" w:rsidRPr="00C61228" w:rsidRDefault="00D92C14" w:rsidP="00C61228">
      <w:pPr>
        <w:tabs>
          <w:tab w:val="left" w:pos="426"/>
        </w:tabs>
        <w:spacing w:after="120"/>
        <w:jc w:val="both"/>
        <w:rPr>
          <w:rFonts w:ascii="Arial" w:hAnsi="Arial" w:cs="Arial"/>
          <w:bCs/>
          <w:color w:val="000000" w:themeColor="text1"/>
          <w:sz w:val="20"/>
          <w:szCs w:val="20"/>
          <w:lang w:val="es-ES_tradnl" w:eastAsia="es-CO"/>
        </w:rPr>
      </w:pPr>
      <w:r w:rsidRPr="00C61228">
        <w:rPr>
          <w:rFonts w:ascii="Arial" w:hAnsi="Arial" w:cs="Arial"/>
          <w:bCs/>
          <w:color w:val="000000" w:themeColor="text1"/>
          <w:sz w:val="20"/>
          <w:szCs w:val="20"/>
          <w:lang w:val="es-ES_tradnl" w:eastAsia="es-CO"/>
        </w:rPr>
        <w:t xml:space="preserve">[…] </w:t>
      </w:r>
      <w:r w:rsidR="00C61228" w:rsidRPr="00C61228">
        <w:rPr>
          <w:rFonts w:ascii="Arial" w:eastAsia="Calibri" w:hAnsi="Arial" w:cs="Arial"/>
          <w:bCs/>
          <w:color w:val="000000" w:themeColor="text1"/>
          <w:sz w:val="20"/>
          <w:szCs w:val="20"/>
          <w:lang w:val="es-ES_tradnl" w:eastAsia="en-US"/>
        </w:rPr>
        <w:t xml:space="preserve">el artículo 127 de la Constitución Política establece una prohibición contractual a los servidores públicos y, en cuanto a aspectos políticos, establece restricciones a ciertos empleados del Estado, incluso en época no electoral. </w:t>
      </w:r>
    </w:p>
    <w:p w14:paraId="7336C959" w14:textId="599FB11D" w:rsidR="00D92C14" w:rsidRPr="00C61228" w:rsidRDefault="00C61228" w:rsidP="00C61228">
      <w:pPr>
        <w:tabs>
          <w:tab w:val="left" w:pos="426"/>
        </w:tabs>
        <w:spacing w:after="120"/>
        <w:jc w:val="both"/>
        <w:rPr>
          <w:rFonts w:ascii="Arial" w:eastAsia="Calibri" w:hAnsi="Arial" w:cs="Arial"/>
          <w:bCs/>
          <w:color w:val="000000" w:themeColor="text1"/>
          <w:sz w:val="20"/>
          <w:szCs w:val="20"/>
          <w:lang w:val="es-ES_tradnl"/>
        </w:rPr>
      </w:pPr>
      <w:r w:rsidRPr="00C61228">
        <w:rPr>
          <w:rFonts w:ascii="Arial" w:hAnsi="Arial" w:cs="Arial"/>
          <w:bCs/>
          <w:color w:val="000000" w:themeColor="text1"/>
          <w:sz w:val="20"/>
          <w:szCs w:val="20"/>
          <w:lang w:val="es-ES_tradnl" w:eastAsia="es-CO"/>
        </w:rPr>
        <w:t>En el mismo sentido, 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17D747AE" w14:textId="77777777" w:rsidR="00D92C14" w:rsidRPr="00400B70" w:rsidRDefault="00D92C14" w:rsidP="00D92C14">
      <w:pPr>
        <w:tabs>
          <w:tab w:val="left" w:pos="426"/>
        </w:tabs>
        <w:jc w:val="both"/>
        <w:rPr>
          <w:rFonts w:ascii="Arial" w:eastAsia="Calibri" w:hAnsi="Arial" w:cs="Arial"/>
          <w:bCs/>
          <w:color w:val="000000" w:themeColor="text1"/>
          <w:sz w:val="20"/>
          <w:szCs w:val="20"/>
          <w:lang w:val="es-ES_tradnl" w:eastAsia="en-US"/>
        </w:rPr>
      </w:pPr>
    </w:p>
    <w:p w14:paraId="38E5AADD" w14:textId="77777777" w:rsidR="00D92C14" w:rsidRPr="00400B70" w:rsidRDefault="00D92C14" w:rsidP="00D92C14">
      <w:pPr>
        <w:tabs>
          <w:tab w:val="left" w:pos="426"/>
        </w:tabs>
        <w:jc w:val="both"/>
        <w:rPr>
          <w:rFonts w:ascii="Arial" w:eastAsia="Calibri" w:hAnsi="Arial" w:cs="Arial"/>
          <w:b/>
          <w:bCs/>
          <w:color w:val="000000" w:themeColor="text1"/>
          <w:sz w:val="22"/>
          <w:szCs w:val="22"/>
          <w:lang w:val="es-ES_tradnl" w:eastAsia="en-US"/>
        </w:rPr>
      </w:pPr>
      <w:bookmarkStart w:id="2" w:name="_Hlk77152637"/>
      <w:bookmarkStart w:id="3" w:name="_Hlk77157066"/>
      <w:r w:rsidRPr="00400B70">
        <w:rPr>
          <w:rFonts w:ascii="Arial" w:eastAsia="Calibri" w:hAnsi="Arial" w:cs="Arial"/>
          <w:b/>
          <w:bCs/>
          <w:color w:val="000000" w:themeColor="text1"/>
          <w:sz w:val="22"/>
          <w:szCs w:val="22"/>
          <w:lang w:val="es-ES_tradnl" w:eastAsia="en-US"/>
        </w:rPr>
        <w:t>LEY DE GARANTÍAS ELECTORALES ‒</w:t>
      </w:r>
      <w:bookmarkEnd w:id="2"/>
      <w:r w:rsidRPr="00400B70">
        <w:rPr>
          <w:rFonts w:ascii="Arial" w:eastAsia="Calibri" w:hAnsi="Arial" w:cs="Arial"/>
          <w:b/>
          <w:bCs/>
          <w:color w:val="000000" w:themeColor="text1"/>
          <w:sz w:val="22"/>
          <w:szCs w:val="22"/>
          <w:lang w:val="es-ES_tradnl" w:eastAsia="en-US"/>
        </w:rPr>
        <w:t xml:space="preserve"> Restricciones </w:t>
      </w:r>
      <w:bookmarkStart w:id="4" w:name="_Hlk77157034"/>
      <w:r w:rsidRPr="00400B70">
        <w:rPr>
          <w:rFonts w:ascii="Arial" w:eastAsia="Calibri" w:hAnsi="Arial" w:cs="Arial"/>
          <w:b/>
          <w:bCs/>
          <w:color w:val="000000" w:themeColor="text1"/>
          <w:sz w:val="22"/>
          <w:szCs w:val="22"/>
          <w:lang w:val="es-ES_tradnl" w:eastAsia="en-US"/>
        </w:rPr>
        <w:t xml:space="preserve">‒ </w:t>
      </w:r>
      <w:bookmarkEnd w:id="4"/>
      <w:r w:rsidRPr="00400B70">
        <w:rPr>
          <w:rFonts w:ascii="Arial" w:eastAsia="Calibri" w:hAnsi="Arial" w:cs="Arial"/>
          <w:b/>
          <w:bCs/>
          <w:color w:val="000000" w:themeColor="text1"/>
          <w:sz w:val="22"/>
          <w:szCs w:val="22"/>
          <w:lang w:val="es-ES_tradnl" w:eastAsia="en-US"/>
        </w:rPr>
        <w:t>Contratación</w:t>
      </w:r>
      <w:bookmarkStart w:id="5" w:name="_Hlk77153098"/>
      <w:r w:rsidRPr="00400B70">
        <w:rPr>
          <w:rFonts w:ascii="Arial" w:eastAsia="Calibri" w:hAnsi="Arial" w:cs="Arial"/>
          <w:b/>
          <w:bCs/>
          <w:color w:val="000000" w:themeColor="text1"/>
          <w:sz w:val="22"/>
          <w:szCs w:val="22"/>
          <w:lang w:val="es-ES_tradnl" w:eastAsia="en-US"/>
        </w:rPr>
        <w:t xml:space="preserve"> ‒ Tipos de elección</w:t>
      </w:r>
      <w:bookmarkEnd w:id="5"/>
      <w:r w:rsidRPr="00400B70">
        <w:rPr>
          <w:rFonts w:ascii="Arial" w:eastAsia="Calibri" w:hAnsi="Arial" w:cs="Arial"/>
          <w:b/>
          <w:bCs/>
          <w:color w:val="000000" w:themeColor="text1"/>
          <w:sz w:val="22"/>
          <w:szCs w:val="22"/>
          <w:lang w:val="es-ES_tradnl" w:eastAsia="en-US"/>
        </w:rPr>
        <w:t xml:space="preserve"> </w:t>
      </w:r>
    </w:p>
    <w:p w14:paraId="5DD8B328" w14:textId="77777777" w:rsidR="00D92C14" w:rsidRPr="00400B70" w:rsidRDefault="00D92C14" w:rsidP="00D92C14">
      <w:pPr>
        <w:tabs>
          <w:tab w:val="left" w:pos="426"/>
        </w:tabs>
        <w:jc w:val="both"/>
        <w:rPr>
          <w:rFonts w:ascii="Arial" w:eastAsia="Calibri" w:hAnsi="Arial" w:cs="Arial"/>
          <w:b/>
          <w:bCs/>
          <w:color w:val="000000" w:themeColor="text1"/>
          <w:sz w:val="20"/>
          <w:szCs w:val="20"/>
          <w:lang w:val="es-ES_tradnl" w:eastAsia="en-US"/>
        </w:rPr>
      </w:pPr>
    </w:p>
    <w:p w14:paraId="642A4A28" w14:textId="77777777" w:rsidR="00C61228" w:rsidRPr="00C61228" w:rsidRDefault="00C61228" w:rsidP="00C61228">
      <w:pPr>
        <w:spacing w:after="120"/>
        <w:jc w:val="both"/>
        <w:rPr>
          <w:rFonts w:ascii="Arial" w:eastAsia="Arial" w:hAnsi="Arial" w:cs="Arial"/>
          <w:color w:val="000000" w:themeColor="text1"/>
          <w:sz w:val="20"/>
          <w:szCs w:val="20"/>
          <w:lang w:val="es-ES_tradnl" w:eastAsia="es-ES" w:bidi="es-ES"/>
        </w:rPr>
      </w:pPr>
      <w:bookmarkStart w:id="6" w:name="_Hlk77165666"/>
      <w:bookmarkEnd w:id="3"/>
      <w:r w:rsidRPr="00C61228">
        <w:rPr>
          <w:rFonts w:ascii="Arial" w:eastAsia="Arial" w:hAnsi="Arial" w:cs="Arial"/>
          <w:color w:val="000000" w:themeColor="text1"/>
          <w:sz w:val="20"/>
          <w:szCs w:val="20"/>
          <w:lang w:val="es-ES_tradnl"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456BBCEC" w14:textId="3DB4BC11" w:rsidR="00C61228" w:rsidRPr="00C61228" w:rsidRDefault="00C61228" w:rsidP="00C61228">
      <w:pPr>
        <w:spacing w:after="120"/>
        <w:jc w:val="both"/>
        <w:rPr>
          <w:rFonts w:ascii="Arial" w:eastAsia="Calibri" w:hAnsi="Arial" w:cs="Arial"/>
          <w:color w:val="000000" w:themeColor="text1"/>
          <w:sz w:val="20"/>
          <w:szCs w:val="20"/>
          <w:lang w:val="es-ES_tradnl" w:eastAsia="en-US"/>
        </w:rPr>
      </w:pPr>
      <w:r w:rsidRPr="00C61228">
        <w:rPr>
          <w:rFonts w:ascii="Arial" w:eastAsia="Calibri" w:hAnsi="Arial" w:cs="Arial"/>
          <w:color w:val="000000" w:themeColor="text1"/>
          <w:sz w:val="20"/>
          <w:szCs w:val="20"/>
          <w:lang w:val="es-ES_tradnl" w:eastAsia="en-US"/>
        </w:rPr>
        <w:t xml:space="preserve">Por un lado, el artículo 33 de la Ley 996 de 2005 prohíbe </w:t>
      </w:r>
      <w:r w:rsidRPr="00C61228">
        <w:rPr>
          <w:rFonts w:ascii="Arial" w:eastAsia="Calibri" w:hAnsi="Arial" w:cs="Arial"/>
          <w:bCs/>
          <w:color w:val="000000" w:themeColor="text1"/>
          <w:sz w:val="20"/>
          <w:szCs w:val="20"/>
          <w:lang w:val="es-ES_tradnl" w:eastAsia="en-US"/>
        </w:rPr>
        <w:t xml:space="preserve">«[…] </w:t>
      </w:r>
      <w:r w:rsidRPr="00C61228">
        <w:rPr>
          <w:rFonts w:ascii="Arial" w:eastAsia="Calibri" w:hAnsi="Arial" w:cs="Arial"/>
          <w:color w:val="000000" w:themeColor="text1"/>
          <w:sz w:val="20"/>
          <w:szCs w:val="20"/>
          <w:lang w:val="es-ES_tradnl" w:eastAsia="en-US"/>
        </w:rPr>
        <w:t>la contratación directa por parte de todos los entes del Estado</w:t>
      </w:r>
      <w:r w:rsidRPr="00C61228">
        <w:rPr>
          <w:rFonts w:ascii="Arial" w:eastAsia="Calibri" w:hAnsi="Arial" w:cs="Arial"/>
          <w:bCs/>
          <w:color w:val="000000" w:themeColor="text1"/>
          <w:sz w:val="20"/>
          <w:szCs w:val="20"/>
          <w:lang w:val="es-ES_tradnl" w:eastAsia="en-US"/>
        </w:rPr>
        <w:t>»</w:t>
      </w:r>
      <w:r w:rsidRPr="00C61228">
        <w:rPr>
          <w:rFonts w:ascii="Arial" w:eastAsia="Calibri" w:hAnsi="Arial" w:cs="Arial"/>
          <w:color w:val="000000" w:themeColor="text1"/>
          <w:sz w:val="20"/>
          <w:szCs w:val="20"/>
          <w:lang w:val="es-ES_tradnl" w:eastAsia="en-US"/>
        </w:rPr>
        <w:t xml:space="preserve"> durante los cuatro (4) meses anteriores a las elecciones presidenciales, salvo </w:t>
      </w:r>
      <w:r w:rsidRPr="00C61228">
        <w:rPr>
          <w:rFonts w:ascii="Arial" w:eastAsia="Calibri" w:hAnsi="Arial" w:cs="Arial"/>
          <w:bCs/>
          <w:color w:val="000000" w:themeColor="text1"/>
          <w:sz w:val="20"/>
          <w:szCs w:val="20"/>
          <w:lang w:val="es-ES_tradnl" w:eastAsia="en-US"/>
        </w:rPr>
        <w:t xml:space="preserve">«[…] </w:t>
      </w:r>
      <w:r w:rsidRPr="00C61228">
        <w:rPr>
          <w:rFonts w:ascii="Arial" w:eastAsia="Calibri" w:hAnsi="Arial" w:cs="Arial"/>
          <w:color w:val="000000" w:themeColor="text1"/>
          <w:sz w:val="20"/>
          <w:szCs w:val="20"/>
          <w:lang w:val="es-ES_tradnl"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61228">
        <w:rPr>
          <w:rFonts w:ascii="Arial" w:eastAsia="Calibri" w:hAnsi="Arial" w:cs="Arial"/>
          <w:bCs/>
          <w:color w:val="000000" w:themeColor="text1"/>
          <w:sz w:val="20"/>
          <w:szCs w:val="20"/>
          <w:lang w:val="es-ES_tradnl" w:eastAsia="en-US"/>
        </w:rPr>
        <w:t>»</w:t>
      </w:r>
      <w:r w:rsidRPr="00C61228">
        <w:rPr>
          <w:rFonts w:ascii="Arial" w:eastAsia="Calibri" w:hAnsi="Arial" w:cs="Arial"/>
          <w:color w:val="000000" w:themeColor="text1"/>
          <w:sz w:val="20"/>
          <w:szCs w:val="20"/>
          <w:lang w:val="es-ES_tradnl" w:eastAsia="en-US"/>
        </w:rPr>
        <w:t>.</w:t>
      </w:r>
    </w:p>
    <w:p w14:paraId="0EF6CDE8" w14:textId="54534F53" w:rsidR="00A9366B" w:rsidRDefault="00C61228" w:rsidP="00C61228">
      <w:pPr>
        <w:tabs>
          <w:tab w:val="left" w:pos="426"/>
        </w:tabs>
        <w:jc w:val="both"/>
        <w:rPr>
          <w:rFonts w:ascii="Arial" w:eastAsia="Calibri" w:hAnsi="Arial" w:cs="Arial"/>
          <w:color w:val="000000" w:themeColor="text1"/>
          <w:sz w:val="20"/>
          <w:szCs w:val="20"/>
          <w:lang w:val="es-ES_tradnl" w:eastAsia="en-US"/>
        </w:rPr>
      </w:pPr>
      <w:r w:rsidRPr="00C61228">
        <w:rPr>
          <w:rFonts w:ascii="Arial" w:eastAsia="Calibri" w:hAnsi="Arial" w:cs="Arial"/>
          <w:color w:val="000000" w:themeColor="text1"/>
          <w:sz w:val="20"/>
          <w:szCs w:val="20"/>
          <w:lang w:val="es-ES_tradnl"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C61228">
        <w:rPr>
          <w:rFonts w:ascii="Arial" w:eastAsia="Calibri" w:hAnsi="Arial" w:cs="Arial"/>
          <w:bCs/>
          <w:color w:val="000000" w:themeColor="text1"/>
          <w:sz w:val="20"/>
          <w:szCs w:val="20"/>
          <w:lang w:val="es-ES_tradnl" w:eastAsia="en-US"/>
        </w:rPr>
        <w:t xml:space="preserve">«[…] </w:t>
      </w:r>
      <w:r w:rsidRPr="00C61228">
        <w:rPr>
          <w:rFonts w:ascii="Arial" w:eastAsia="Calibri" w:hAnsi="Arial" w:cs="Arial"/>
          <w:color w:val="000000" w:themeColor="text1"/>
          <w:sz w:val="20"/>
          <w:szCs w:val="20"/>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61228">
        <w:rPr>
          <w:rFonts w:ascii="Arial" w:eastAsia="Calibri" w:hAnsi="Arial" w:cs="Arial"/>
          <w:bCs/>
          <w:color w:val="000000" w:themeColor="text1"/>
          <w:sz w:val="20"/>
          <w:szCs w:val="20"/>
          <w:lang w:val="es-ES_tradnl" w:eastAsia="en-US"/>
        </w:rPr>
        <w:t>»</w:t>
      </w:r>
      <w:r w:rsidRPr="00C61228">
        <w:rPr>
          <w:rFonts w:ascii="Arial" w:eastAsia="Calibri" w:hAnsi="Arial" w:cs="Arial"/>
          <w:color w:val="000000" w:themeColor="text1"/>
          <w:sz w:val="20"/>
          <w:szCs w:val="20"/>
          <w:lang w:val="es-ES_tradnl" w:eastAsia="en-US"/>
        </w:rPr>
        <w:t>.</w:t>
      </w:r>
    </w:p>
    <w:p w14:paraId="1B17133F" w14:textId="77777777" w:rsidR="00C61228" w:rsidRPr="00C61228" w:rsidRDefault="00C61228" w:rsidP="00C61228">
      <w:pPr>
        <w:tabs>
          <w:tab w:val="left" w:pos="426"/>
        </w:tabs>
        <w:jc w:val="both"/>
        <w:rPr>
          <w:rFonts w:ascii="Arial" w:eastAsia="Arial" w:hAnsi="Arial" w:cs="Arial"/>
          <w:color w:val="000000" w:themeColor="text1"/>
          <w:sz w:val="20"/>
          <w:szCs w:val="20"/>
          <w:lang w:val="es-ES_tradnl" w:eastAsia="es-ES" w:bidi="es-ES"/>
        </w:rPr>
      </w:pPr>
    </w:p>
    <w:p w14:paraId="3278BB5E" w14:textId="5AA53533" w:rsidR="00D92C14" w:rsidRPr="00910945" w:rsidRDefault="00D92C14" w:rsidP="00D92C14">
      <w:pPr>
        <w:tabs>
          <w:tab w:val="left" w:pos="426"/>
        </w:tabs>
        <w:jc w:val="both"/>
        <w:rPr>
          <w:rFonts w:ascii="Arial" w:eastAsia="Calibri" w:hAnsi="Arial" w:cs="Arial"/>
          <w:b/>
          <w:bCs/>
          <w:color w:val="000000" w:themeColor="text1"/>
          <w:sz w:val="22"/>
          <w:szCs w:val="22"/>
          <w:lang w:val="es-ES_tradnl" w:eastAsia="en-US"/>
        </w:rPr>
      </w:pPr>
      <w:r w:rsidRPr="00910945">
        <w:rPr>
          <w:rFonts w:ascii="Arial" w:eastAsia="Calibri" w:hAnsi="Arial" w:cs="Arial"/>
          <w:b/>
          <w:bCs/>
          <w:color w:val="000000" w:themeColor="text1"/>
          <w:sz w:val="22"/>
          <w:szCs w:val="22"/>
          <w:lang w:val="es-ES_tradnl" w:eastAsia="en-US"/>
        </w:rPr>
        <w:t xml:space="preserve">LEY DE GARANTÍAS ELECTORALES ─ Prohibición artículo 33 ‒ </w:t>
      </w:r>
      <w:bookmarkEnd w:id="6"/>
      <w:r w:rsidRPr="00910945">
        <w:rPr>
          <w:rFonts w:ascii="Arial" w:eastAsia="Calibri" w:hAnsi="Arial" w:cs="Arial"/>
          <w:b/>
          <w:bCs/>
          <w:color w:val="000000" w:themeColor="text1"/>
          <w:sz w:val="22"/>
          <w:szCs w:val="22"/>
          <w:lang w:val="es-ES_tradnl" w:eastAsia="en-US"/>
        </w:rPr>
        <w:t xml:space="preserve">Contratación directa ‒ Alcance </w:t>
      </w:r>
    </w:p>
    <w:p w14:paraId="5CB8E594" w14:textId="77777777" w:rsidR="00D92C14" w:rsidRPr="00910945" w:rsidRDefault="00D92C14" w:rsidP="00D92C14">
      <w:pPr>
        <w:tabs>
          <w:tab w:val="left" w:pos="426"/>
        </w:tabs>
        <w:jc w:val="both"/>
        <w:rPr>
          <w:rFonts w:ascii="Arial" w:eastAsia="Calibri" w:hAnsi="Arial" w:cs="Arial"/>
          <w:noProof/>
          <w:color w:val="000000" w:themeColor="text1"/>
          <w:sz w:val="20"/>
          <w:szCs w:val="20"/>
          <w:lang w:val="es-ES_tradnl" w:eastAsia="en-US"/>
        </w:rPr>
      </w:pPr>
    </w:p>
    <w:p w14:paraId="3C4C5634" w14:textId="77777777" w:rsidR="00D92C14" w:rsidRPr="00910945" w:rsidRDefault="00D92C14" w:rsidP="00D92C14">
      <w:pPr>
        <w:jc w:val="both"/>
        <w:rPr>
          <w:rFonts w:ascii="Arial" w:hAnsi="Arial" w:cs="Arial"/>
          <w:bCs/>
          <w:color w:val="000000" w:themeColor="text1"/>
          <w:sz w:val="20"/>
          <w:szCs w:val="20"/>
          <w:lang w:val="es-ES_tradnl" w:eastAsia="x-none"/>
        </w:rPr>
      </w:pPr>
      <w:r w:rsidRPr="00910945">
        <w:rPr>
          <w:rFonts w:ascii="Arial" w:eastAsia="Calibri" w:hAnsi="Arial" w:cs="Arial"/>
          <w:noProof/>
          <w:color w:val="000000" w:themeColor="text1"/>
          <w:sz w:val="20"/>
          <w:szCs w:val="20"/>
          <w:lang w:val="es-ES_tradnl" w:eastAsia="en-US"/>
        </w:rPr>
        <w:t xml:space="preserve">[…] </w:t>
      </w:r>
      <w:r w:rsidRPr="00910945">
        <w:rPr>
          <w:rFonts w:ascii="Arial" w:hAnsi="Arial" w:cs="Arial"/>
          <w:bCs/>
          <w:color w:val="000000" w:themeColor="text1"/>
          <w:sz w:val="20"/>
          <w:szCs w:val="20"/>
          <w:lang w:val="es-ES_tradnl" w:eastAsia="x-none"/>
        </w:rPr>
        <w:t xml:space="preserve">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w:t>
      </w:r>
      <w:r w:rsidRPr="00910945">
        <w:rPr>
          <w:rFonts w:ascii="Arial" w:hAnsi="Arial" w:cs="Arial"/>
          <w:bCs/>
          <w:color w:val="000000" w:themeColor="text1"/>
          <w:sz w:val="20"/>
          <w:szCs w:val="20"/>
          <w:lang w:val="es-ES_tradnl" w:eastAsia="x-none"/>
        </w:rPr>
        <w:lastRenderedPageBreak/>
        <w:t>de sus etapas, ni permita la participación de una pluralidad de oferentes</w:t>
      </w:r>
      <w:r w:rsidRPr="00910945">
        <w:rPr>
          <w:rFonts w:ascii="Arial" w:hAnsi="Arial" w:cs="Arial"/>
          <w:color w:val="000000" w:themeColor="text1"/>
          <w:sz w:val="20"/>
          <w:szCs w:val="20"/>
          <w:vertAlign w:val="superscript"/>
          <w:lang w:val="es-ES_tradnl" w:eastAsia="x-none"/>
        </w:rPr>
        <w:t xml:space="preserve">. </w:t>
      </w:r>
      <w:r w:rsidRPr="00910945">
        <w:rPr>
          <w:rFonts w:ascii="Arial" w:hAnsi="Arial" w:cs="Arial"/>
          <w:bCs/>
          <w:color w:val="000000" w:themeColor="text1"/>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910945">
        <w:rPr>
          <w:rFonts w:ascii="Arial" w:hAnsi="Arial" w:cs="Arial"/>
          <w:color w:val="000000" w:themeColor="text1"/>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5793D0E5" w14:textId="77777777" w:rsidR="00D92C14" w:rsidRPr="00910945" w:rsidRDefault="00D92C14" w:rsidP="00D92C14">
      <w:pPr>
        <w:jc w:val="both"/>
        <w:rPr>
          <w:rFonts w:ascii="Arial" w:hAnsi="Arial" w:cs="Arial"/>
          <w:b/>
          <w:bCs/>
          <w:color w:val="000000" w:themeColor="text1"/>
          <w:sz w:val="20"/>
          <w:szCs w:val="20"/>
          <w:lang w:val="es-ES_tradnl" w:eastAsia="es-ES"/>
        </w:rPr>
      </w:pPr>
    </w:p>
    <w:p w14:paraId="5CC1D062" w14:textId="77777777" w:rsidR="00D92C14" w:rsidRPr="00910945" w:rsidRDefault="00D92C14" w:rsidP="00D92C14">
      <w:pPr>
        <w:shd w:val="clear" w:color="auto" w:fill="FFFFFF"/>
        <w:jc w:val="both"/>
        <w:rPr>
          <w:rFonts w:ascii="Arial" w:hAnsi="Arial" w:cs="Arial"/>
          <w:b/>
          <w:bCs/>
          <w:color w:val="000000" w:themeColor="text1"/>
          <w:sz w:val="22"/>
          <w:szCs w:val="22"/>
          <w:lang w:val="es-ES_tradnl" w:eastAsia="es-CO"/>
        </w:rPr>
      </w:pPr>
      <w:r w:rsidRPr="00910945">
        <w:rPr>
          <w:rFonts w:ascii="Arial" w:hAnsi="Arial" w:cs="Arial"/>
          <w:b/>
          <w:bCs/>
          <w:color w:val="000000" w:themeColor="text1"/>
          <w:sz w:val="22"/>
          <w:szCs w:val="22"/>
          <w:lang w:val="es-ES_tradnl" w:eastAsia="es-CO"/>
        </w:rPr>
        <w:t xml:space="preserve">LEY DE GARANTÍAS ELECTORALES </w:t>
      </w:r>
      <w:bookmarkStart w:id="7" w:name="_Hlk77022358"/>
      <w:r w:rsidRPr="00910945">
        <w:rPr>
          <w:rFonts w:ascii="Arial" w:hAnsi="Arial" w:cs="Arial"/>
          <w:b/>
          <w:bCs/>
          <w:color w:val="000000" w:themeColor="text1"/>
          <w:sz w:val="22"/>
          <w:szCs w:val="22"/>
          <w:lang w:val="es-ES_tradnl" w:eastAsia="es-CO"/>
        </w:rPr>
        <w:t>‒</w:t>
      </w:r>
      <w:bookmarkEnd w:id="7"/>
      <w:r w:rsidRPr="00910945">
        <w:rPr>
          <w:rFonts w:ascii="Arial" w:hAnsi="Arial" w:cs="Arial"/>
          <w:b/>
          <w:bCs/>
          <w:color w:val="000000" w:themeColor="text1"/>
          <w:sz w:val="22"/>
          <w:szCs w:val="22"/>
          <w:lang w:val="es-ES_tradnl" w:eastAsia="es-CO"/>
        </w:rPr>
        <w:t xml:space="preserve"> Excepciones</w:t>
      </w:r>
      <w:r w:rsidRPr="00910945">
        <w:rPr>
          <w:rFonts w:ascii="Arial" w:hAnsi="Arial" w:cs="Arial"/>
          <w:b/>
          <w:color w:val="000000" w:themeColor="text1"/>
          <w:sz w:val="22"/>
          <w:szCs w:val="22"/>
          <w:lang w:val="es-ES_tradnl" w:eastAsia="es-CO"/>
        </w:rPr>
        <w:t xml:space="preserve"> </w:t>
      </w:r>
    </w:p>
    <w:p w14:paraId="12642EB9" w14:textId="77777777" w:rsidR="00D92C14" w:rsidRPr="00910945" w:rsidRDefault="00D92C14" w:rsidP="00D92C14">
      <w:pPr>
        <w:shd w:val="clear" w:color="auto" w:fill="FFFFFF"/>
        <w:jc w:val="both"/>
        <w:rPr>
          <w:rFonts w:ascii="Arial" w:hAnsi="Arial" w:cs="Arial"/>
          <w:b/>
          <w:color w:val="000000" w:themeColor="text1"/>
          <w:sz w:val="22"/>
          <w:szCs w:val="22"/>
          <w:lang w:val="es-ES_tradnl" w:eastAsia="es-CO"/>
        </w:rPr>
      </w:pPr>
    </w:p>
    <w:p w14:paraId="286130FF" w14:textId="77777777" w:rsidR="00D92C14" w:rsidRPr="00910945" w:rsidRDefault="00D92C14" w:rsidP="00D92C14">
      <w:pPr>
        <w:tabs>
          <w:tab w:val="left" w:pos="426"/>
        </w:tabs>
        <w:jc w:val="both"/>
        <w:rPr>
          <w:rFonts w:ascii="Arial" w:eastAsia="Calibri" w:hAnsi="Arial" w:cs="Arial"/>
          <w:color w:val="000000" w:themeColor="text1"/>
          <w:sz w:val="20"/>
          <w:szCs w:val="20"/>
          <w:lang w:val="es-ES_tradnl" w:eastAsia="en-US"/>
        </w:rPr>
      </w:pPr>
      <w:r w:rsidRPr="00910945">
        <w:rPr>
          <w:rFonts w:ascii="Arial" w:hAnsi="Arial" w:cs="Arial"/>
          <w:color w:val="000000" w:themeColor="text1"/>
          <w:sz w:val="20"/>
          <w:szCs w:val="20"/>
          <w:lang w:val="es-ES_tradnl" w:eastAsia="x-none"/>
        </w:rPr>
        <w:t xml:space="preserve">[…] </w:t>
      </w:r>
      <w:r w:rsidRPr="00910945">
        <w:rPr>
          <w:rFonts w:ascii="Arial" w:hAnsi="Arial" w:cs="Arial"/>
          <w:bCs/>
          <w:color w:val="000000" w:themeColor="text1"/>
          <w:sz w:val="20"/>
          <w:szCs w:val="20"/>
          <w:lang w:val="es-ES_tradnl"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910945">
        <w:rPr>
          <w:rFonts w:ascii="Arial" w:hAnsi="Arial" w:cs="Arial"/>
          <w:bCs/>
          <w:color w:val="000000" w:themeColor="text1"/>
          <w:sz w:val="20"/>
          <w:szCs w:val="20"/>
          <w:lang w:val="es-ES_tradnl" w:eastAsia="x-none"/>
        </w:rPr>
        <w:t>ii</w:t>
      </w:r>
      <w:proofErr w:type="spellEnd"/>
      <w:r w:rsidRPr="00910945">
        <w:rPr>
          <w:rFonts w:ascii="Arial" w:hAnsi="Arial" w:cs="Arial"/>
          <w:bCs/>
          <w:color w:val="000000" w:themeColor="text1"/>
          <w:sz w:val="20"/>
          <w:szCs w:val="20"/>
          <w:lang w:val="es-ES_tradnl" w:eastAsia="x-none"/>
        </w:rPr>
        <w:t xml:space="preserve">) los contratos de crédito público; </w:t>
      </w:r>
      <w:proofErr w:type="spellStart"/>
      <w:r w:rsidRPr="00910945">
        <w:rPr>
          <w:rFonts w:ascii="Arial" w:hAnsi="Arial" w:cs="Arial"/>
          <w:bCs/>
          <w:color w:val="000000" w:themeColor="text1"/>
          <w:sz w:val="20"/>
          <w:szCs w:val="20"/>
          <w:lang w:val="es-ES_tradnl" w:eastAsia="x-none"/>
        </w:rPr>
        <w:t>iii</w:t>
      </w:r>
      <w:proofErr w:type="spellEnd"/>
      <w:r w:rsidRPr="00910945">
        <w:rPr>
          <w:rFonts w:ascii="Arial" w:hAnsi="Arial" w:cs="Arial"/>
          <w:bCs/>
          <w:color w:val="000000" w:themeColor="text1"/>
          <w:sz w:val="20"/>
          <w:szCs w:val="20"/>
          <w:lang w:val="es-ES_tradnl" w:eastAsia="x-none"/>
        </w:rPr>
        <w:t xml:space="preserve">) los requeridos para cubrir las emergencias educativas, sanitarias y desastres; </w:t>
      </w:r>
      <w:proofErr w:type="spellStart"/>
      <w:r w:rsidRPr="00910945">
        <w:rPr>
          <w:rFonts w:ascii="Arial" w:hAnsi="Arial" w:cs="Arial"/>
          <w:bCs/>
          <w:color w:val="000000" w:themeColor="text1"/>
          <w:sz w:val="20"/>
          <w:szCs w:val="20"/>
          <w:lang w:val="es-ES_tradnl" w:eastAsia="x-none"/>
        </w:rPr>
        <w:t>iv</w:t>
      </w:r>
      <w:proofErr w:type="spellEnd"/>
      <w:r w:rsidRPr="00910945">
        <w:rPr>
          <w:rFonts w:ascii="Arial" w:hAnsi="Arial" w:cs="Arial"/>
          <w:bCs/>
          <w:color w:val="000000" w:themeColor="text1"/>
          <w:sz w:val="20"/>
          <w:szCs w:val="20"/>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33A16C8C" w14:textId="77777777" w:rsidR="00D92C14" w:rsidRPr="00910945" w:rsidRDefault="00D92C14" w:rsidP="00D92C14">
      <w:pPr>
        <w:tabs>
          <w:tab w:val="left" w:pos="426"/>
        </w:tabs>
        <w:jc w:val="both"/>
        <w:rPr>
          <w:rFonts w:ascii="Arial" w:eastAsia="Calibri" w:hAnsi="Arial" w:cs="Arial"/>
          <w:noProof/>
          <w:color w:val="000000" w:themeColor="text1"/>
          <w:sz w:val="20"/>
          <w:szCs w:val="20"/>
          <w:lang w:val="es-ES_tradnl" w:eastAsia="en-US"/>
        </w:rPr>
      </w:pPr>
    </w:p>
    <w:p w14:paraId="52CDFC64" w14:textId="77777777" w:rsidR="00D92C14" w:rsidRPr="00910945" w:rsidRDefault="00D92C14" w:rsidP="00D92C14">
      <w:pPr>
        <w:jc w:val="both"/>
        <w:rPr>
          <w:rFonts w:ascii="Arial" w:hAnsi="Arial" w:cs="Arial"/>
          <w:b/>
          <w:color w:val="000000" w:themeColor="text1"/>
          <w:sz w:val="22"/>
          <w:szCs w:val="22"/>
          <w:lang w:val="es-ES_tradnl" w:eastAsia="es-CO"/>
        </w:rPr>
      </w:pPr>
      <w:r w:rsidRPr="00910945">
        <w:rPr>
          <w:rFonts w:ascii="Arial" w:hAnsi="Arial" w:cs="Arial"/>
          <w:b/>
          <w:bCs/>
          <w:color w:val="000000" w:themeColor="text1"/>
          <w:sz w:val="22"/>
          <w:szCs w:val="22"/>
          <w:lang w:val="es-ES_tradnl" w:eastAsia="es-CO"/>
        </w:rPr>
        <w:t xml:space="preserve">LEY DE GARANTÍAS ELECTORALES </w:t>
      </w:r>
      <w:bookmarkStart w:id="8" w:name="_Hlk77166669"/>
      <w:r w:rsidRPr="00910945">
        <w:rPr>
          <w:rFonts w:ascii="Arial" w:hAnsi="Arial" w:cs="Arial"/>
          <w:b/>
          <w:bCs/>
          <w:color w:val="000000" w:themeColor="text1"/>
          <w:sz w:val="22"/>
          <w:szCs w:val="22"/>
          <w:lang w:val="es-ES_tradnl" w:eastAsia="es-CO"/>
        </w:rPr>
        <w:t>‒</w:t>
      </w:r>
      <w:bookmarkEnd w:id="8"/>
      <w:r w:rsidRPr="00910945">
        <w:rPr>
          <w:rFonts w:ascii="Arial" w:hAnsi="Arial" w:cs="Arial"/>
          <w:b/>
          <w:bCs/>
          <w:color w:val="000000" w:themeColor="text1"/>
          <w:sz w:val="22"/>
          <w:szCs w:val="22"/>
          <w:lang w:val="es-ES_tradnl" w:eastAsia="es-CO"/>
        </w:rPr>
        <w:t xml:space="preserve"> </w:t>
      </w:r>
      <w:r w:rsidRPr="00910945">
        <w:rPr>
          <w:rFonts w:ascii="Arial" w:hAnsi="Arial" w:cs="Arial"/>
          <w:b/>
          <w:color w:val="000000" w:themeColor="text1"/>
          <w:sz w:val="22"/>
          <w:szCs w:val="22"/>
          <w:lang w:val="es-ES_tradnl" w:eastAsia="es-CO"/>
        </w:rPr>
        <w:t xml:space="preserve">Prohibición del artículo 33 </w:t>
      </w:r>
      <w:r w:rsidRPr="00910945">
        <w:rPr>
          <w:rFonts w:ascii="Arial" w:hAnsi="Arial" w:cs="Arial"/>
          <w:b/>
          <w:bCs/>
          <w:color w:val="000000" w:themeColor="text1"/>
          <w:sz w:val="22"/>
          <w:szCs w:val="22"/>
          <w:lang w:val="es-ES_tradnl" w:eastAsia="es-CO"/>
        </w:rPr>
        <w:t>‒ Destinatarios</w:t>
      </w:r>
    </w:p>
    <w:p w14:paraId="435877BF" w14:textId="77777777" w:rsidR="00D92C14" w:rsidRPr="00910945" w:rsidRDefault="00D92C14" w:rsidP="00D92C14">
      <w:pPr>
        <w:tabs>
          <w:tab w:val="left" w:pos="426"/>
        </w:tabs>
        <w:jc w:val="both"/>
        <w:rPr>
          <w:rFonts w:ascii="Arial" w:eastAsia="Calibri" w:hAnsi="Arial" w:cs="Arial"/>
          <w:noProof/>
          <w:color w:val="000000" w:themeColor="text1"/>
          <w:sz w:val="22"/>
          <w:szCs w:val="22"/>
          <w:lang w:val="es-ES_tradnl" w:eastAsia="en-US"/>
        </w:rPr>
      </w:pPr>
    </w:p>
    <w:p w14:paraId="33F6B80C" w14:textId="77777777" w:rsidR="00D92C14" w:rsidRPr="00910945" w:rsidRDefault="00D92C14" w:rsidP="00D92C14">
      <w:pPr>
        <w:tabs>
          <w:tab w:val="left" w:pos="426"/>
        </w:tabs>
        <w:jc w:val="both"/>
        <w:rPr>
          <w:rFonts w:ascii="Arial" w:hAnsi="Arial" w:cs="Arial"/>
          <w:bCs/>
          <w:color w:val="000000" w:themeColor="text1"/>
          <w:sz w:val="20"/>
          <w:szCs w:val="20"/>
          <w:lang w:val="es-ES_tradnl" w:eastAsia="x-none"/>
        </w:rPr>
      </w:pPr>
      <w:r w:rsidRPr="00910945">
        <w:rPr>
          <w:rFonts w:ascii="Arial" w:hAnsi="Arial" w:cs="Arial"/>
          <w:bCs/>
          <w:color w:val="000000" w:themeColor="text1"/>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910945">
        <w:rPr>
          <w:rFonts w:ascii="Arial" w:eastAsia="Calibri" w:hAnsi="Arial" w:cs="Arial"/>
          <w:color w:val="000000" w:themeColor="text1"/>
          <w:sz w:val="20"/>
          <w:szCs w:val="20"/>
          <w:lang w:val="es-ES_tradnl" w:eastAsia="en-US"/>
        </w:rPr>
        <w:t xml:space="preserve"> </w:t>
      </w:r>
      <w:r w:rsidRPr="00910945">
        <w:rPr>
          <w:rFonts w:ascii="Arial" w:hAnsi="Arial" w:cs="Arial"/>
          <w:bCs/>
          <w:color w:val="000000" w:themeColor="text1"/>
          <w:sz w:val="20"/>
          <w:szCs w:val="20"/>
          <w:lang w:val="es-ES_tradnl" w:eastAsia="x-none"/>
        </w:rPr>
        <w:t>En efecto, tal como lo ha sostenido el Consejo de Estado, el vocablo «todos» utilizado por el legislador comprende</w:t>
      </w:r>
      <w:r w:rsidRPr="00910945">
        <w:rPr>
          <w:rFonts w:ascii="Arial" w:eastAsia="Calibri" w:hAnsi="Arial" w:cs="Arial"/>
          <w:color w:val="000000" w:themeColor="text1"/>
          <w:sz w:val="20"/>
          <w:szCs w:val="20"/>
          <w:lang w:val="es-ES_tradnl" w:eastAsia="en-US"/>
        </w:rPr>
        <w:t xml:space="preserve"> </w:t>
      </w:r>
      <w:r w:rsidRPr="00910945">
        <w:rPr>
          <w:rFonts w:ascii="Arial" w:hAnsi="Arial" w:cs="Arial"/>
          <w:bCs/>
          <w:color w:val="000000" w:themeColor="text1"/>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4FFC9439" w14:textId="3A439821" w:rsidR="00C50168" w:rsidRPr="00910945" w:rsidRDefault="00C50168" w:rsidP="00C50168">
      <w:pPr>
        <w:jc w:val="both"/>
        <w:rPr>
          <w:rFonts w:ascii="Arial" w:eastAsia="Calibri" w:hAnsi="Arial" w:cs="Arial"/>
          <w:color w:val="000000" w:themeColor="text1"/>
          <w:sz w:val="20"/>
          <w:szCs w:val="20"/>
          <w:lang w:eastAsia="en-US"/>
        </w:rPr>
      </w:pPr>
    </w:p>
    <w:p w14:paraId="27CF41E0" w14:textId="4D7B0F63" w:rsidR="00C50168" w:rsidRPr="00400B70" w:rsidRDefault="00C50168" w:rsidP="00C50168">
      <w:pPr>
        <w:jc w:val="both"/>
        <w:rPr>
          <w:rFonts w:ascii="Arial" w:eastAsia="Calibri" w:hAnsi="Arial" w:cs="Arial"/>
          <w:b/>
          <w:color w:val="000000" w:themeColor="text1"/>
          <w:sz w:val="22"/>
          <w:szCs w:val="22"/>
          <w:lang w:val="es-ES_tradnl"/>
        </w:rPr>
      </w:pPr>
      <w:r w:rsidRPr="00400B70">
        <w:rPr>
          <w:rFonts w:ascii="Arial" w:eastAsia="Calibri" w:hAnsi="Arial" w:cs="Arial"/>
          <w:b/>
          <w:color w:val="000000" w:themeColor="text1"/>
          <w:sz w:val="22"/>
          <w:szCs w:val="22"/>
          <w:lang w:val="es-ES_tradnl"/>
        </w:rPr>
        <w:t>CONVENIOS DE ASOCIACIÓN – Entidades públicas – Cajas de compensación familiar – Decreto 1786 de 2021 – FO</w:t>
      </w:r>
      <w:r w:rsidR="00B87BC5" w:rsidRPr="00400B70">
        <w:rPr>
          <w:rFonts w:ascii="Arial" w:eastAsia="Calibri" w:hAnsi="Arial" w:cs="Arial"/>
          <w:b/>
          <w:color w:val="000000" w:themeColor="text1"/>
          <w:sz w:val="22"/>
          <w:szCs w:val="22"/>
          <w:lang w:val="es-ES_tradnl"/>
        </w:rPr>
        <w:t>N</w:t>
      </w:r>
      <w:r w:rsidRPr="00400B70">
        <w:rPr>
          <w:rFonts w:ascii="Arial" w:eastAsia="Calibri" w:hAnsi="Arial" w:cs="Arial"/>
          <w:b/>
          <w:color w:val="000000" w:themeColor="text1"/>
          <w:sz w:val="22"/>
          <w:szCs w:val="22"/>
          <w:lang w:val="es-ES_tradnl"/>
        </w:rPr>
        <w:t>I</w:t>
      </w:r>
      <w:r w:rsidR="00B87BC5" w:rsidRPr="00400B70">
        <w:rPr>
          <w:rFonts w:ascii="Arial" w:eastAsia="Calibri" w:hAnsi="Arial" w:cs="Arial"/>
          <w:b/>
          <w:color w:val="000000" w:themeColor="text1"/>
          <w:sz w:val="22"/>
          <w:szCs w:val="22"/>
          <w:lang w:val="es-ES_tradnl"/>
        </w:rPr>
        <w:t>Ñ</w:t>
      </w:r>
      <w:r w:rsidRPr="00400B70">
        <w:rPr>
          <w:rFonts w:ascii="Arial" w:eastAsia="Calibri" w:hAnsi="Arial" w:cs="Arial"/>
          <w:b/>
          <w:color w:val="000000" w:themeColor="text1"/>
          <w:sz w:val="22"/>
          <w:szCs w:val="22"/>
          <w:lang w:val="es-ES_tradnl"/>
        </w:rPr>
        <w:t>EZ – Fundamento normativo</w:t>
      </w:r>
    </w:p>
    <w:p w14:paraId="551EE8D1" w14:textId="31E17843" w:rsidR="00C50168" w:rsidRDefault="00C50168" w:rsidP="00C50168">
      <w:pPr>
        <w:jc w:val="both"/>
        <w:rPr>
          <w:rFonts w:ascii="Arial" w:eastAsia="Calibri" w:hAnsi="Arial" w:cs="Arial"/>
          <w:b/>
          <w:color w:val="000000" w:themeColor="text1"/>
          <w:sz w:val="22"/>
          <w:szCs w:val="22"/>
          <w:lang w:val="es-ES_tradnl"/>
        </w:rPr>
      </w:pPr>
    </w:p>
    <w:p w14:paraId="395AC4DA" w14:textId="4DC098A0" w:rsidR="005439B2" w:rsidRDefault="0049327C" w:rsidP="0049327C">
      <w:pPr>
        <w:spacing w:after="120"/>
        <w:jc w:val="both"/>
        <w:rPr>
          <w:rFonts w:ascii="Arial" w:eastAsia="Calibri" w:hAnsi="Arial" w:cs="Arial"/>
          <w:color w:val="000000" w:themeColor="text1"/>
          <w:sz w:val="20"/>
          <w:szCs w:val="20"/>
        </w:rPr>
      </w:pPr>
      <w:r w:rsidRPr="0049327C">
        <w:rPr>
          <w:rFonts w:ascii="Arial" w:eastAsia="Calibri" w:hAnsi="Arial" w:cs="Arial"/>
          <w:color w:val="000000" w:themeColor="text1"/>
          <w:sz w:val="20"/>
          <w:szCs w:val="20"/>
        </w:rPr>
        <w:t>El régimen de celebración de los convenios de asociación entre las entidades estatales y las cajas de compensación familiar –entendidas como ESAL– es el Decreto 092 de 2017. Concretamente, para los convenios regulados en el artículo 2.2.7.6.8 del Decreto 1072 de 2015, modificado en el Decreto 1786 de 2021, el procedimiento de selección y la tipología contractual corresponde a la del artículo 5 del Decreto 092 de 2017. En esta medida, la prohibición de contratación directa del artículo 33 de la Ley de Garantías aplica únicamente a los procedimientos no competitivos, que son los que implican una contratación directa. Como explica la Sala de Consulta y Servicio Civil del Consejo de Estado: «Para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p>
    <w:p w14:paraId="70AC0B70" w14:textId="133FB550" w:rsidR="0049327C" w:rsidRDefault="0049327C" w:rsidP="0049327C">
      <w:pPr>
        <w:spacing w:after="120"/>
        <w:jc w:val="both"/>
        <w:rPr>
          <w:rFonts w:ascii="Arial" w:eastAsia="Calibri" w:hAnsi="Arial" w:cs="Arial"/>
          <w:color w:val="000000" w:themeColor="text1"/>
          <w:sz w:val="20"/>
          <w:szCs w:val="20"/>
        </w:rPr>
      </w:pPr>
    </w:p>
    <w:p w14:paraId="0E1B67A7" w14:textId="4C641DE0" w:rsidR="0049327C" w:rsidRDefault="0049327C" w:rsidP="0049327C">
      <w:pPr>
        <w:spacing w:after="120"/>
        <w:jc w:val="both"/>
        <w:rPr>
          <w:rFonts w:ascii="Arial" w:eastAsia="Calibri" w:hAnsi="Arial" w:cs="Arial"/>
          <w:color w:val="000000" w:themeColor="text1"/>
          <w:sz w:val="20"/>
          <w:szCs w:val="20"/>
        </w:rPr>
      </w:pPr>
    </w:p>
    <w:p w14:paraId="37DAFAA9" w14:textId="66CEE887" w:rsidR="0049327C" w:rsidRDefault="0049327C" w:rsidP="0049327C">
      <w:pPr>
        <w:spacing w:after="120"/>
        <w:jc w:val="both"/>
        <w:rPr>
          <w:rFonts w:ascii="Arial" w:eastAsia="Calibri" w:hAnsi="Arial" w:cs="Arial"/>
          <w:color w:val="000000" w:themeColor="text1"/>
          <w:sz w:val="20"/>
          <w:szCs w:val="20"/>
        </w:rPr>
      </w:pPr>
    </w:p>
    <w:p w14:paraId="73A000F9" w14:textId="77777777" w:rsidR="00C96FC6" w:rsidRPr="0049327C" w:rsidRDefault="00C96FC6" w:rsidP="00C96FC6">
      <w:pPr>
        <w:widowControl w:val="0"/>
        <w:autoSpaceDE w:val="0"/>
        <w:autoSpaceDN w:val="0"/>
        <w:spacing w:before="94"/>
        <w:ind w:right="533"/>
        <w:jc w:val="right"/>
        <w:rPr>
          <w:rFonts w:ascii="Arial" w:eastAsia="Arial MT" w:hAnsi="Arial MT" w:cs="Arial MT"/>
          <w:b/>
          <w:sz w:val="18"/>
          <w:szCs w:val="22"/>
          <w:lang w:val="es-ES" w:eastAsia="en-US"/>
        </w:rPr>
      </w:pPr>
      <w:r w:rsidRPr="007D2BD2">
        <w:rPr>
          <w:rFonts w:ascii="Arial" w:eastAsia="Arial MT" w:hAnsi="Arial MT" w:cs="Arial MT"/>
          <w:b/>
          <w:color w:val="585858"/>
          <w:sz w:val="18"/>
          <w:szCs w:val="22"/>
          <w:lang w:val="es-ES" w:eastAsia="en-US"/>
        </w:rPr>
        <w:lastRenderedPageBreak/>
        <w:t>CCE-DES-FM-17</w:t>
      </w:r>
    </w:p>
    <w:p w14:paraId="2ABB79A8" w14:textId="181D81CB" w:rsidR="0049327C" w:rsidRDefault="0049327C" w:rsidP="0049327C">
      <w:pPr>
        <w:spacing w:after="120"/>
        <w:jc w:val="both"/>
        <w:rPr>
          <w:rFonts w:ascii="Arial" w:eastAsia="Calibri" w:hAnsi="Arial" w:cs="Arial"/>
          <w:color w:val="000000" w:themeColor="text1"/>
          <w:sz w:val="20"/>
          <w:szCs w:val="20"/>
        </w:rPr>
      </w:pPr>
    </w:p>
    <w:p w14:paraId="7E5127D6" w14:textId="030CCE70" w:rsidR="00C96FC6" w:rsidRDefault="00C96FC6" w:rsidP="00C96FC6">
      <w:pPr>
        <w:jc w:val="right"/>
      </w:pPr>
      <w:r>
        <w:fldChar w:fldCharType="begin"/>
      </w:r>
      <w:r>
        <w:instrText xml:space="preserve"> INCLUDEPICTURE "/var/folders/tb/0fmk9b510f57pz5rwhv8lnpw0000gp/T/com.microsoft.Word/WebArchiveCopyPasteTempFiles/page1image37241248" \* MERGEFORMATINET </w:instrText>
      </w:r>
      <w:r>
        <w:fldChar w:fldCharType="separate"/>
      </w:r>
      <w:r>
        <w:rPr>
          <w:noProof/>
        </w:rPr>
        <w:drawing>
          <wp:inline distT="0" distB="0" distL="0" distR="0" wp14:anchorId="63CE599F" wp14:editId="7F127B30">
            <wp:extent cx="2402840" cy="605790"/>
            <wp:effectExtent l="0" t="0" r="0" b="3810"/>
            <wp:docPr id="1" name="Imagen 1" descr="page1image3724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72412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840" cy="605790"/>
                    </a:xfrm>
                    <a:prstGeom prst="rect">
                      <a:avLst/>
                    </a:prstGeom>
                    <a:noFill/>
                    <a:ln>
                      <a:noFill/>
                    </a:ln>
                  </pic:spPr>
                </pic:pic>
              </a:graphicData>
            </a:graphic>
          </wp:inline>
        </w:drawing>
      </w:r>
      <w:r>
        <w:fldChar w:fldCharType="end"/>
      </w:r>
    </w:p>
    <w:p w14:paraId="3F091360" w14:textId="77777777" w:rsidR="00C96FC6" w:rsidRPr="0049327C" w:rsidRDefault="00C96FC6" w:rsidP="0049327C">
      <w:pPr>
        <w:spacing w:after="120"/>
        <w:jc w:val="both"/>
        <w:rPr>
          <w:rFonts w:ascii="Arial" w:eastAsia="Calibri" w:hAnsi="Arial" w:cs="Arial"/>
          <w:color w:val="000000" w:themeColor="text1"/>
          <w:sz w:val="20"/>
          <w:szCs w:val="20"/>
        </w:rPr>
      </w:pPr>
    </w:p>
    <w:p w14:paraId="0493090C" w14:textId="5FF0ACA8" w:rsidR="00C50168" w:rsidRPr="00910945" w:rsidRDefault="00C50168" w:rsidP="00C50168">
      <w:pPr>
        <w:jc w:val="both"/>
        <w:rPr>
          <w:rFonts w:ascii="Arial" w:eastAsia="Calibri" w:hAnsi="Arial" w:cs="Arial"/>
          <w:color w:val="000000" w:themeColor="text1"/>
          <w:sz w:val="22"/>
          <w:szCs w:val="22"/>
        </w:rPr>
      </w:pPr>
      <w:r w:rsidRPr="00910945">
        <w:rPr>
          <w:rFonts w:ascii="Arial" w:eastAsia="Calibri" w:hAnsi="Arial" w:cs="Arial"/>
          <w:color w:val="000000" w:themeColor="text1"/>
          <w:sz w:val="22"/>
          <w:szCs w:val="22"/>
        </w:rPr>
        <w:t>Señor</w:t>
      </w:r>
      <w:r w:rsidR="009F2C6F">
        <w:rPr>
          <w:rFonts w:ascii="Arial" w:eastAsia="Calibri" w:hAnsi="Arial" w:cs="Arial"/>
          <w:color w:val="000000" w:themeColor="text1"/>
          <w:sz w:val="22"/>
          <w:szCs w:val="22"/>
        </w:rPr>
        <w:t>es</w:t>
      </w:r>
    </w:p>
    <w:p w14:paraId="17CEBDF2" w14:textId="5AE71DEB" w:rsidR="00C50168" w:rsidRDefault="009F2C6F" w:rsidP="00C50168">
      <w:pPr>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 xml:space="preserve">Alcaldía de Montería </w:t>
      </w:r>
    </w:p>
    <w:p w14:paraId="6F739F9A" w14:textId="7F550A48" w:rsidR="009F2C6F" w:rsidRPr="009F2C6F" w:rsidRDefault="005439B2" w:rsidP="00C50168">
      <w:pPr>
        <w:jc w:val="both"/>
        <w:rPr>
          <w:rFonts w:ascii="Arial" w:eastAsia="Calibri" w:hAnsi="Arial" w:cs="Arial"/>
          <w:bCs/>
          <w:color w:val="000000" w:themeColor="text1"/>
          <w:sz w:val="22"/>
          <w:szCs w:val="22"/>
        </w:rPr>
      </w:pPr>
      <w:r w:rsidRPr="009F2C6F">
        <w:rPr>
          <w:rFonts w:ascii="Arial" w:eastAsia="Calibri" w:hAnsi="Arial" w:cs="Arial"/>
          <w:bCs/>
          <w:color w:val="000000" w:themeColor="text1"/>
          <w:sz w:val="22"/>
          <w:szCs w:val="22"/>
        </w:rPr>
        <w:t>Montería</w:t>
      </w:r>
      <w:r w:rsidR="009F2C6F" w:rsidRPr="009F2C6F">
        <w:rPr>
          <w:rFonts w:ascii="Arial" w:eastAsia="Calibri" w:hAnsi="Arial" w:cs="Arial"/>
          <w:bCs/>
          <w:color w:val="000000" w:themeColor="text1"/>
          <w:sz w:val="22"/>
          <w:szCs w:val="22"/>
        </w:rPr>
        <w:t xml:space="preserve">, </w:t>
      </w:r>
      <w:r w:rsidRPr="009F2C6F">
        <w:rPr>
          <w:rFonts w:ascii="Arial" w:eastAsia="Calibri" w:hAnsi="Arial" w:cs="Arial"/>
          <w:bCs/>
          <w:color w:val="000000" w:themeColor="text1"/>
          <w:sz w:val="22"/>
          <w:szCs w:val="22"/>
        </w:rPr>
        <w:t>Córdoba</w:t>
      </w:r>
      <w:r w:rsidR="009F2C6F" w:rsidRPr="009F2C6F">
        <w:rPr>
          <w:rFonts w:ascii="Arial" w:eastAsia="Calibri" w:hAnsi="Arial" w:cs="Arial"/>
          <w:bCs/>
          <w:color w:val="000000" w:themeColor="text1"/>
          <w:sz w:val="22"/>
          <w:szCs w:val="22"/>
        </w:rPr>
        <w:t xml:space="preserve"> </w:t>
      </w:r>
    </w:p>
    <w:p w14:paraId="1A4D2548" w14:textId="77777777" w:rsidR="00C50168" w:rsidRPr="00910945" w:rsidRDefault="00C50168" w:rsidP="00C50168">
      <w:pPr>
        <w:jc w:val="both"/>
        <w:rPr>
          <w:rFonts w:ascii="Arial" w:eastAsia="Calibri" w:hAnsi="Arial" w:cs="Arial"/>
          <w:color w:val="000000" w:themeColor="text1"/>
          <w:sz w:val="22"/>
          <w:szCs w:val="22"/>
        </w:rPr>
      </w:pPr>
    </w:p>
    <w:p w14:paraId="1C9BFC6C" w14:textId="77777777" w:rsidR="00C50168" w:rsidRPr="00910945" w:rsidRDefault="00C50168" w:rsidP="00C50168">
      <w:pPr>
        <w:jc w:val="both"/>
        <w:rPr>
          <w:rFonts w:ascii="Arial" w:eastAsia="Calibri" w:hAnsi="Arial" w:cs="Arial"/>
          <w:color w:val="000000" w:themeColor="text1"/>
          <w:sz w:val="22"/>
          <w:szCs w:val="22"/>
        </w:rPr>
      </w:pPr>
    </w:p>
    <w:p w14:paraId="272F76BB" w14:textId="0EB069D5" w:rsidR="00C50168" w:rsidRPr="00910945" w:rsidRDefault="00C50168" w:rsidP="00C50168">
      <w:pPr>
        <w:rPr>
          <w:rFonts w:ascii="Arial" w:eastAsia="Calibri" w:hAnsi="Arial" w:cs="Arial"/>
          <w:b/>
          <w:bCs/>
          <w:color w:val="000000" w:themeColor="text1"/>
          <w:sz w:val="22"/>
          <w:szCs w:val="22"/>
          <w:lang w:val="es-ES_tradnl"/>
        </w:rPr>
      </w:pPr>
      <w:r w:rsidRPr="00910945">
        <w:rPr>
          <w:rFonts w:ascii="Arial" w:eastAsia="Calibri" w:hAnsi="Arial" w:cs="Arial"/>
          <w:b/>
          <w:bCs/>
          <w:color w:val="000000" w:themeColor="text1"/>
          <w:sz w:val="22"/>
          <w:szCs w:val="22"/>
        </w:rPr>
        <w:t xml:space="preserve">                                            </w:t>
      </w:r>
      <w:r w:rsidRPr="00910945">
        <w:rPr>
          <w:rFonts w:ascii="Arial" w:eastAsia="Calibri" w:hAnsi="Arial" w:cs="Arial"/>
          <w:b/>
          <w:bCs/>
          <w:color w:val="000000" w:themeColor="text1"/>
          <w:sz w:val="22"/>
          <w:szCs w:val="22"/>
          <w:lang w:val="es-ES_tradnl"/>
        </w:rPr>
        <w:t>Concepto C</w:t>
      </w:r>
      <w:r w:rsidR="005439B2">
        <w:rPr>
          <w:rFonts w:ascii="Arial" w:eastAsia="Calibri" w:hAnsi="Arial" w:cs="Arial"/>
          <w:b/>
          <w:bCs/>
          <w:color w:val="000000" w:themeColor="text1"/>
          <w:sz w:val="22"/>
          <w:szCs w:val="22"/>
          <w:lang w:val="es-ES_tradnl"/>
        </w:rPr>
        <w:t>-</w:t>
      </w:r>
      <w:r w:rsidR="009F2C6F">
        <w:rPr>
          <w:rFonts w:ascii="Arial" w:eastAsia="Calibri" w:hAnsi="Arial" w:cs="Arial"/>
          <w:b/>
          <w:bCs/>
          <w:color w:val="000000" w:themeColor="text1"/>
          <w:sz w:val="22"/>
          <w:szCs w:val="22"/>
          <w:lang w:val="es-ES_tradnl"/>
        </w:rPr>
        <w:t>205</w:t>
      </w:r>
      <w:r w:rsidRPr="00910945">
        <w:rPr>
          <w:rFonts w:ascii="Arial" w:eastAsia="Calibri" w:hAnsi="Arial" w:cs="Arial"/>
          <w:b/>
          <w:bCs/>
          <w:color w:val="000000" w:themeColor="text1"/>
          <w:sz w:val="22"/>
          <w:szCs w:val="22"/>
          <w:lang w:val="es-ES_tradnl"/>
        </w:rPr>
        <w:t xml:space="preserve"> de 2022</w:t>
      </w:r>
    </w:p>
    <w:p w14:paraId="1BD594F9" w14:textId="77777777" w:rsidR="00B95C30" w:rsidRPr="00910945" w:rsidRDefault="00B95C30" w:rsidP="00B95C30">
      <w:pPr>
        <w:jc w:val="both"/>
        <w:rPr>
          <w:rFonts w:ascii="Arial" w:eastAsia="Calibri" w:hAnsi="Arial" w:cs="Arial"/>
          <w:color w:val="000000" w:themeColor="text1"/>
          <w:sz w:val="22"/>
          <w:lang w:val="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A36D47" w:rsidRPr="003D4FC2" w14:paraId="19DFC051" w14:textId="765F9007" w:rsidTr="00A36D47">
        <w:tc>
          <w:tcPr>
            <w:tcW w:w="2689" w:type="dxa"/>
          </w:tcPr>
          <w:p w14:paraId="6BC0D1AC" w14:textId="77777777" w:rsidR="00A36D47" w:rsidRPr="003D4FC2" w:rsidRDefault="00A36D47" w:rsidP="0015145A">
            <w:pPr>
              <w:jc w:val="both"/>
              <w:rPr>
                <w:rFonts w:ascii="Arial" w:eastAsia="Calibri" w:hAnsi="Arial" w:cs="Arial"/>
                <w:color w:val="000000" w:themeColor="text1"/>
                <w:sz w:val="22"/>
                <w:lang w:val="es-ES_tradnl"/>
              </w:rPr>
            </w:pPr>
            <w:r w:rsidRPr="003D4FC2">
              <w:rPr>
                <w:rFonts w:ascii="Arial" w:eastAsia="Calibri" w:hAnsi="Arial" w:cs="Arial"/>
                <w:b/>
                <w:color w:val="000000" w:themeColor="text1"/>
                <w:sz w:val="22"/>
                <w:lang w:val="es-ES_tradnl"/>
              </w:rPr>
              <w:t>Temas:</w:t>
            </w:r>
            <w:r w:rsidRPr="003D4FC2">
              <w:rPr>
                <w:rFonts w:ascii="Arial" w:eastAsia="Calibri" w:hAnsi="Arial" w:cs="Arial"/>
                <w:color w:val="000000" w:themeColor="text1"/>
                <w:sz w:val="22"/>
                <w:lang w:val="es-ES_tradnl"/>
              </w:rPr>
              <w:t xml:space="preserve">                                      </w:t>
            </w:r>
          </w:p>
        </w:tc>
        <w:tc>
          <w:tcPr>
            <w:tcW w:w="6237" w:type="dxa"/>
          </w:tcPr>
          <w:p w14:paraId="0E181A96" w14:textId="77777777" w:rsidR="00C61228" w:rsidRDefault="00A36D47" w:rsidP="0049327C">
            <w:pPr>
              <w:jc w:val="both"/>
              <w:rPr>
                <w:rFonts w:ascii="Arial" w:eastAsia="Calibri" w:hAnsi="Arial" w:cs="Arial"/>
                <w:color w:val="000000" w:themeColor="text1"/>
                <w:sz w:val="22"/>
                <w:szCs w:val="22"/>
                <w:lang w:val="es-ES_tradnl"/>
              </w:rPr>
            </w:pPr>
            <w:r w:rsidRPr="003D4FC2">
              <w:rPr>
                <w:rFonts w:ascii="Arial" w:eastAsia="Calibri" w:hAnsi="Arial" w:cs="Arial"/>
                <w:bCs/>
                <w:color w:val="000000" w:themeColor="text1"/>
                <w:sz w:val="22"/>
                <w:lang w:val="es-ES_tradnl"/>
              </w:rPr>
              <w:t xml:space="preserve">LEY DE GARANTÍAS ELECTORALES – Finalidad / LEY DE GARANTÍAS ELECTORALES ‒ Restricciones ‒ Contratación ‒ Tipos de elección / LEY DE GARANTÍAS ELECTORALES ─ Prohibición artículo 33 ‒ Contratación directa ‒ Alcance / </w:t>
            </w:r>
            <w:r w:rsidRPr="003D4FC2">
              <w:rPr>
                <w:rFonts w:ascii="Arial" w:hAnsi="Arial" w:cs="Arial"/>
                <w:bCs/>
                <w:color w:val="000000" w:themeColor="text1"/>
                <w:sz w:val="22"/>
                <w:lang w:val="es-ES_tradnl" w:eastAsia="es-CO"/>
              </w:rPr>
              <w:t>LEY DE GARANTÍAS ELECTORALES ‒ Excepciones</w:t>
            </w:r>
            <w:r w:rsidRPr="003D4FC2">
              <w:rPr>
                <w:rFonts w:ascii="Arial" w:hAnsi="Arial" w:cs="Arial"/>
                <w:color w:val="000000" w:themeColor="text1"/>
                <w:sz w:val="22"/>
                <w:lang w:val="es-ES_tradnl" w:eastAsia="es-CO"/>
              </w:rPr>
              <w:t xml:space="preserve"> / </w:t>
            </w:r>
            <w:r w:rsidRPr="003D4FC2">
              <w:rPr>
                <w:rFonts w:ascii="Arial" w:hAnsi="Arial" w:cs="Arial"/>
                <w:bCs/>
                <w:color w:val="000000" w:themeColor="text1"/>
                <w:sz w:val="22"/>
                <w:lang w:val="es-ES_tradnl" w:eastAsia="es-CO"/>
              </w:rPr>
              <w:t xml:space="preserve">LEY DE GARANTÍAS ELECTORALES ‒ </w:t>
            </w:r>
            <w:r w:rsidRPr="003D4FC2">
              <w:rPr>
                <w:rFonts w:ascii="Arial" w:hAnsi="Arial" w:cs="Arial"/>
                <w:color w:val="000000" w:themeColor="text1"/>
                <w:sz w:val="22"/>
                <w:lang w:val="es-ES_tradnl" w:eastAsia="es-CO"/>
              </w:rPr>
              <w:t xml:space="preserve">Prohibición del artículo 33 </w:t>
            </w:r>
            <w:r w:rsidRPr="003D4FC2">
              <w:rPr>
                <w:rFonts w:ascii="Arial" w:hAnsi="Arial" w:cs="Arial"/>
                <w:bCs/>
                <w:color w:val="000000" w:themeColor="text1"/>
                <w:sz w:val="22"/>
                <w:lang w:val="es-ES_tradnl" w:eastAsia="es-CO"/>
              </w:rPr>
              <w:t xml:space="preserve">‒ Destinatarios / </w:t>
            </w:r>
            <w:r w:rsidRPr="003D4FC2">
              <w:rPr>
                <w:rFonts w:ascii="Arial" w:eastAsia="Calibri" w:hAnsi="Arial" w:cs="Arial"/>
                <w:color w:val="000000" w:themeColor="text1"/>
                <w:sz w:val="22"/>
                <w:szCs w:val="22"/>
                <w:lang w:val="es-ES_tradnl"/>
              </w:rPr>
              <w:t>CONVENIOS DE ASOCIACIÓN – Entidades públicas – Cajas de compensación familiar – Decreto 1786 de 2021 – FONIÑEZ – Fundamento normativo</w:t>
            </w:r>
          </w:p>
          <w:p w14:paraId="5F389CAF" w14:textId="5474561B" w:rsidR="0049327C" w:rsidRPr="003D4FC2" w:rsidRDefault="0049327C" w:rsidP="0049327C">
            <w:pPr>
              <w:jc w:val="both"/>
              <w:rPr>
                <w:rFonts w:ascii="Arial" w:eastAsia="Calibri" w:hAnsi="Arial" w:cs="Arial"/>
                <w:color w:val="000000" w:themeColor="text1"/>
                <w:sz w:val="22"/>
                <w:szCs w:val="22"/>
                <w:lang w:val="es-ES_tradnl"/>
              </w:rPr>
            </w:pPr>
          </w:p>
        </w:tc>
        <w:tc>
          <w:tcPr>
            <w:tcW w:w="6237" w:type="dxa"/>
          </w:tcPr>
          <w:p w14:paraId="4B2565E3" w14:textId="77777777" w:rsidR="00A36D47" w:rsidRPr="003D4FC2" w:rsidRDefault="00A36D47" w:rsidP="00B117EC">
            <w:pPr>
              <w:jc w:val="both"/>
              <w:rPr>
                <w:rFonts w:ascii="Arial" w:eastAsia="Calibri" w:hAnsi="Arial" w:cs="Arial"/>
                <w:bCs/>
                <w:color w:val="000000" w:themeColor="text1"/>
                <w:sz w:val="22"/>
                <w:lang w:val="es-ES_tradnl"/>
              </w:rPr>
            </w:pPr>
          </w:p>
        </w:tc>
      </w:tr>
      <w:tr w:rsidR="00C50168" w:rsidRPr="003D4FC2" w14:paraId="2211B1AE" w14:textId="77777777" w:rsidTr="002C0EE4">
        <w:trPr>
          <w:gridAfter w:val="1"/>
          <w:wAfter w:w="6237" w:type="dxa"/>
          <w:trHeight w:val="391"/>
        </w:trPr>
        <w:tc>
          <w:tcPr>
            <w:tcW w:w="2689" w:type="dxa"/>
          </w:tcPr>
          <w:p w14:paraId="3CB5D473" w14:textId="77777777" w:rsidR="00C50168" w:rsidRPr="003D4FC2" w:rsidRDefault="00C50168" w:rsidP="003D4FC2">
            <w:pPr>
              <w:jc w:val="both"/>
              <w:rPr>
                <w:rFonts w:ascii="Arial" w:eastAsia="Calibri" w:hAnsi="Arial" w:cs="Arial"/>
                <w:color w:val="000000" w:themeColor="text1"/>
                <w:sz w:val="22"/>
                <w:szCs w:val="22"/>
                <w:lang w:val="es-ES_tradnl"/>
              </w:rPr>
            </w:pPr>
            <w:r w:rsidRPr="003D4FC2">
              <w:rPr>
                <w:rFonts w:ascii="Arial" w:eastAsia="Calibri" w:hAnsi="Arial" w:cs="Arial"/>
                <w:b/>
                <w:color w:val="000000" w:themeColor="text1"/>
                <w:sz w:val="22"/>
                <w:szCs w:val="22"/>
                <w:lang w:val="es-ES_tradnl"/>
              </w:rPr>
              <w:t>Radicación</w:t>
            </w:r>
            <w:r w:rsidRPr="003D4FC2">
              <w:rPr>
                <w:rFonts w:ascii="Arial" w:eastAsia="Calibri" w:hAnsi="Arial" w:cs="Arial"/>
                <w:color w:val="000000" w:themeColor="text1"/>
                <w:sz w:val="22"/>
                <w:szCs w:val="22"/>
                <w:lang w:val="es-ES_tradnl"/>
              </w:rPr>
              <w:t xml:space="preserve">:                              </w:t>
            </w:r>
          </w:p>
        </w:tc>
        <w:tc>
          <w:tcPr>
            <w:tcW w:w="6237" w:type="dxa"/>
          </w:tcPr>
          <w:p w14:paraId="00499625" w14:textId="0200F863" w:rsidR="00C50168" w:rsidRPr="003D4FC2" w:rsidRDefault="00C50168" w:rsidP="003D4FC2">
            <w:pPr>
              <w:jc w:val="both"/>
              <w:rPr>
                <w:rFonts w:ascii="Arial" w:eastAsia="Calibri" w:hAnsi="Arial" w:cs="Arial"/>
                <w:color w:val="000000" w:themeColor="text1"/>
                <w:sz w:val="22"/>
                <w:szCs w:val="22"/>
                <w:lang w:val="es-ES_tradnl"/>
              </w:rPr>
            </w:pPr>
            <w:r w:rsidRPr="003D4FC2">
              <w:rPr>
                <w:rFonts w:ascii="Arial" w:eastAsia="Calibri" w:hAnsi="Arial" w:cs="Arial"/>
                <w:color w:val="000000" w:themeColor="text1"/>
                <w:sz w:val="22"/>
                <w:szCs w:val="22"/>
                <w:lang w:val="es-ES_tradnl"/>
              </w:rPr>
              <w:t xml:space="preserve">Respuesta a consulta </w:t>
            </w:r>
            <w:r w:rsidR="009F2C6F" w:rsidRPr="003D4FC2">
              <w:rPr>
                <w:rFonts w:ascii="Arial" w:hAnsi="Arial" w:cs="Arial"/>
                <w:color w:val="000000" w:themeColor="text1"/>
                <w:sz w:val="22"/>
                <w:szCs w:val="22"/>
              </w:rPr>
              <w:t>P20220303002104</w:t>
            </w:r>
          </w:p>
        </w:tc>
      </w:tr>
    </w:tbl>
    <w:p w14:paraId="1BDA2872" w14:textId="77777777" w:rsidR="00C50168" w:rsidRPr="003D4FC2" w:rsidRDefault="00C50168" w:rsidP="00C50168">
      <w:pPr>
        <w:jc w:val="both"/>
        <w:rPr>
          <w:rFonts w:ascii="Arial" w:eastAsia="Calibri" w:hAnsi="Arial" w:cs="Arial"/>
          <w:color w:val="000000" w:themeColor="text1"/>
          <w:sz w:val="22"/>
          <w:lang w:val="es-ES_tradnl"/>
        </w:rPr>
      </w:pPr>
    </w:p>
    <w:p w14:paraId="1B4E632D" w14:textId="4B86541F" w:rsidR="00C50168" w:rsidRPr="003D4FC2" w:rsidRDefault="00C50168" w:rsidP="00C50168">
      <w:pPr>
        <w:jc w:val="both"/>
        <w:rPr>
          <w:rFonts w:ascii="Arial" w:eastAsia="Calibri" w:hAnsi="Arial" w:cs="Arial"/>
          <w:color w:val="000000" w:themeColor="text1"/>
          <w:sz w:val="22"/>
          <w:lang w:val="es-ES_tradnl"/>
        </w:rPr>
      </w:pPr>
      <w:r w:rsidRPr="003D4FC2">
        <w:rPr>
          <w:rFonts w:ascii="Arial" w:eastAsia="Calibri" w:hAnsi="Arial" w:cs="Arial"/>
          <w:color w:val="000000" w:themeColor="text1"/>
          <w:sz w:val="22"/>
          <w:lang w:val="es-ES_tradnl"/>
        </w:rPr>
        <w:t>Estimado</w:t>
      </w:r>
      <w:r w:rsidR="005439B2" w:rsidRPr="003D4FC2">
        <w:rPr>
          <w:rFonts w:ascii="Arial" w:eastAsia="Calibri" w:hAnsi="Arial" w:cs="Arial"/>
          <w:color w:val="000000" w:themeColor="text1"/>
          <w:sz w:val="22"/>
          <w:lang w:val="es-ES_tradnl"/>
        </w:rPr>
        <w:t>s</w:t>
      </w:r>
      <w:r w:rsidRPr="003D4FC2">
        <w:rPr>
          <w:rFonts w:ascii="Arial" w:eastAsia="Calibri" w:hAnsi="Arial" w:cs="Arial"/>
          <w:color w:val="000000" w:themeColor="text1"/>
          <w:sz w:val="22"/>
          <w:lang w:val="es-ES_tradnl"/>
        </w:rPr>
        <w:t xml:space="preserve"> </w:t>
      </w:r>
      <w:r w:rsidR="005439B2" w:rsidRPr="003D4FC2">
        <w:rPr>
          <w:rFonts w:ascii="Arial" w:eastAsia="Calibri" w:hAnsi="Arial" w:cs="Arial"/>
          <w:color w:val="000000" w:themeColor="text1"/>
          <w:sz w:val="22"/>
          <w:lang w:val="es-ES_tradnl"/>
        </w:rPr>
        <w:t>s</w:t>
      </w:r>
      <w:r w:rsidRPr="003D4FC2">
        <w:rPr>
          <w:rFonts w:ascii="Arial" w:eastAsia="Calibri" w:hAnsi="Arial" w:cs="Arial"/>
          <w:color w:val="000000" w:themeColor="text1"/>
          <w:sz w:val="22"/>
          <w:lang w:val="es-ES_tradnl"/>
        </w:rPr>
        <w:t>eñor</w:t>
      </w:r>
      <w:r w:rsidR="009F2C6F" w:rsidRPr="003D4FC2">
        <w:rPr>
          <w:rFonts w:ascii="Arial" w:eastAsia="Calibri" w:hAnsi="Arial" w:cs="Arial"/>
          <w:color w:val="000000" w:themeColor="text1"/>
          <w:sz w:val="22"/>
          <w:lang w:val="es-ES_tradnl"/>
        </w:rPr>
        <w:t>es</w:t>
      </w:r>
      <w:r w:rsidRPr="003D4FC2">
        <w:rPr>
          <w:rFonts w:ascii="Arial" w:eastAsia="Calibri" w:hAnsi="Arial" w:cs="Arial"/>
          <w:color w:val="000000" w:themeColor="text1"/>
          <w:sz w:val="22"/>
          <w:lang w:val="es-ES_tradnl"/>
        </w:rPr>
        <w:t xml:space="preserve"> </w:t>
      </w:r>
      <w:r w:rsidR="009F2C6F" w:rsidRPr="003D4FC2">
        <w:rPr>
          <w:rFonts w:ascii="Arial" w:eastAsia="Calibri" w:hAnsi="Arial" w:cs="Arial"/>
          <w:color w:val="000000" w:themeColor="text1"/>
          <w:sz w:val="22"/>
          <w:lang w:val="es-ES_tradnl"/>
        </w:rPr>
        <w:t>Alcaldía de Montería</w:t>
      </w:r>
      <w:r w:rsidRPr="003D4FC2">
        <w:rPr>
          <w:rFonts w:ascii="Arial" w:eastAsia="Calibri" w:hAnsi="Arial" w:cs="Arial"/>
          <w:color w:val="000000" w:themeColor="text1"/>
          <w:sz w:val="22"/>
          <w:lang w:val="es-ES_tradnl"/>
        </w:rPr>
        <w:t>:</w:t>
      </w:r>
    </w:p>
    <w:p w14:paraId="293F6CF2" w14:textId="77777777" w:rsidR="00C50168" w:rsidRPr="003D4FC2" w:rsidRDefault="00C50168" w:rsidP="00C50168">
      <w:pPr>
        <w:jc w:val="both"/>
        <w:rPr>
          <w:rFonts w:ascii="Arial" w:eastAsia="Calibri" w:hAnsi="Arial" w:cs="Arial"/>
          <w:color w:val="000000" w:themeColor="text1"/>
          <w:sz w:val="22"/>
          <w:lang w:val="es-ES_tradnl"/>
        </w:rPr>
      </w:pPr>
    </w:p>
    <w:p w14:paraId="01435137" w14:textId="114882D9" w:rsidR="00C50168" w:rsidRPr="003D4FC2" w:rsidRDefault="00C50168" w:rsidP="00C50168">
      <w:pPr>
        <w:spacing w:line="276" w:lineRule="auto"/>
        <w:jc w:val="both"/>
        <w:rPr>
          <w:rFonts w:ascii="Arial" w:eastAsia="Calibri" w:hAnsi="Arial" w:cs="Arial"/>
          <w:color w:val="000000" w:themeColor="text1"/>
          <w:sz w:val="22"/>
          <w:lang w:val="es-ES_tradnl"/>
        </w:rPr>
      </w:pPr>
      <w:r w:rsidRPr="003D4FC2">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a su consulta del </w:t>
      </w:r>
      <w:r w:rsidR="009A3C52">
        <w:rPr>
          <w:rFonts w:ascii="Arial" w:eastAsia="Calibri" w:hAnsi="Arial" w:cs="Arial"/>
          <w:color w:val="000000" w:themeColor="text1"/>
          <w:sz w:val="22"/>
          <w:lang w:val="es-ES_tradnl"/>
        </w:rPr>
        <w:t xml:space="preserve">3 </w:t>
      </w:r>
      <w:r w:rsidRPr="003D4FC2">
        <w:rPr>
          <w:rFonts w:ascii="Arial" w:eastAsia="Calibri" w:hAnsi="Arial" w:cs="Arial"/>
          <w:color w:val="000000" w:themeColor="text1"/>
          <w:sz w:val="22"/>
          <w:lang w:val="es-ES_tradnl"/>
        </w:rPr>
        <w:t xml:space="preserve">de </w:t>
      </w:r>
      <w:r w:rsidR="009A3C52">
        <w:rPr>
          <w:rFonts w:ascii="Arial" w:eastAsia="Calibri" w:hAnsi="Arial" w:cs="Arial"/>
          <w:color w:val="000000" w:themeColor="text1"/>
          <w:sz w:val="22"/>
          <w:lang w:val="es-ES_tradnl"/>
        </w:rPr>
        <w:t xml:space="preserve">marzo </w:t>
      </w:r>
      <w:r w:rsidRPr="003D4FC2">
        <w:rPr>
          <w:rFonts w:ascii="Arial" w:eastAsia="Calibri" w:hAnsi="Arial" w:cs="Arial"/>
          <w:color w:val="000000" w:themeColor="text1"/>
          <w:sz w:val="22"/>
          <w:lang w:val="es-ES_tradnl"/>
        </w:rPr>
        <w:t xml:space="preserve">de 2022. </w:t>
      </w:r>
    </w:p>
    <w:p w14:paraId="6153F413" w14:textId="77777777" w:rsidR="0064414A" w:rsidRPr="003D4FC2" w:rsidRDefault="0064414A" w:rsidP="00DF76A2">
      <w:pPr>
        <w:spacing w:line="276" w:lineRule="auto"/>
        <w:jc w:val="both"/>
        <w:rPr>
          <w:rFonts w:ascii="Arial" w:eastAsia="Calibri" w:hAnsi="Arial" w:cs="Arial"/>
          <w:b/>
          <w:color w:val="000000" w:themeColor="text1"/>
          <w:sz w:val="22"/>
          <w:lang w:val="es-ES_tradnl"/>
        </w:rPr>
      </w:pPr>
    </w:p>
    <w:p w14:paraId="7701FCC7" w14:textId="77777777" w:rsidR="00DD5B04" w:rsidRPr="003D4FC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D4FC2">
        <w:rPr>
          <w:rFonts w:ascii="Arial" w:eastAsia="Calibri" w:hAnsi="Arial" w:cs="Arial"/>
          <w:b/>
          <w:color w:val="000000" w:themeColor="text1"/>
          <w:sz w:val="22"/>
          <w:lang w:val="es-ES_tradnl"/>
        </w:rPr>
        <w:t xml:space="preserve">Problema planteado </w:t>
      </w:r>
    </w:p>
    <w:p w14:paraId="224B43D3" w14:textId="77777777" w:rsidR="00DD5B04" w:rsidRPr="003D4FC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610439A2" w:rsidR="00443B55" w:rsidRPr="003D4FC2" w:rsidRDefault="00DD5B04" w:rsidP="0099583D">
      <w:pPr>
        <w:spacing w:line="276" w:lineRule="auto"/>
        <w:jc w:val="both"/>
        <w:rPr>
          <w:rFonts w:ascii="Arial" w:hAnsi="Arial" w:cs="Arial"/>
          <w:color w:val="000000" w:themeColor="text1"/>
          <w:sz w:val="22"/>
          <w:lang w:val="es-ES_tradnl"/>
        </w:rPr>
      </w:pPr>
      <w:r w:rsidRPr="003D4FC2">
        <w:rPr>
          <w:rFonts w:ascii="Arial" w:hAnsi="Arial" w:cs="Arial"/>
          <w:color w:val="000000" w:themeColor="text1"/>
          <w:sz w:val="22"/>
          <w:lang w:val="es-ES_tradnl"/>
        </w:rPr>
        <w:t xml:space="preserve">Usted </w:t>
      </w:r>
      <w:r w:rsidR="00B422C0" w:rsidRPr="003D4FC2">
        <w:rPr>
          <w:rFonts w:ascii="Arial" w:hAnsi="Arial" w:cs="Arial"/>
          <w:color w:val="000000" w:themeColor="text1"/>
          <w:sz w:val="22"/>
          <w:lang w:val="es-ES_tradnl"/>
        </w:rPr>
        <w:t>formula</w:t>
      </w:r>
      <w:r w:rsidR="006D46A3" w:rsidRPr="003D4FC2">
        <w:rPr>
          <w:rFonts w:ascii="Arial" w:hAnsi="Arial" w:cs="Arial"/>
          <w:color w:val="000000" w:themeColor="text1"/>
          <w:sz w:val="22"/>
          <w:lang w:val="es-ES_tradnl"/>
        </w:rPr>
        <w:t xml:space="preserve"> la</w:t>
      </w:r>
      <w:r w:rsidR="003822A4" w:rsidRPr="003D4FC2">
        <w:rPr>
          <w:rFonts w:ascii="Arial" w:hAnsi="Arial" w:cs="Arial"/>
          <w:color w:val="000000" w:themeColor="text1"/>
          <w:sz w:val="22"/>
          <w:lang w:val="es-ES_tradnl"/>
        </w:rPr>
        <w:t>s</w:t>
      </w:r>
      <w:r w:rsidR="006D46A3" w:rsidRPr="003D4FC2">
        <w:rPr>
          <w:rFonts w:ascii="Arial" w:hAnsi="Arial" w:cs="Arial"/>
          <w:color w:val="000000" w:themeColor="text1"/>
          <w:sz w:val="22"/>
          <w:lang w:val="es-ES_tradnl"/>
        </w:rPr>
        <w:t xml:space="preserve"> siguiente</w:t>
      </w:r>
      <w:r w:rsidR="003822A4" w:rsidRPr="003D4FC2">
        <w:rPr>
          <w:rFonts w:ascii="Arial" w:hAnsi="Arial" w:cs="Arial"/>
          <w:color w:val="000000" w:themeColor="text1"/>
          <w:sz w:val="22"/>
          <w:lang w:val="es-ES_tradnl"/>
        </w:rPr>
        <w:t>s</w:t>
      </w:r>
      <w:r w:rsidR="006D46A3" w:rsidRPr="003D4FC2">
        <w:rPr>
          <w:rFonts w:ascii="Arial" w:hAnsi="Arial" w:cs="Arial"/>
          <w:color w:val="000000" w:themeColor="text1"/>
          <w:sz w:val="22"/>
          <w:lang w:val="es-ES_tradnl"/>
        </w:rPr>
        <w:t xml:space="preserve"> </w:t>
      </w:r>
      <w:r w:rsidR="00B46915" w:rsidRPr="003D4FC2">
        <w:rPr>
          <w:rFonts w:ascii="Arial" w:hAnsi="Arial" w:cs="Arial"/>
          <w:color w:val="000000" w:themeColor="text1"/>
          <w:sz w:val="22"/>
          <w:lang w:val="es-ES_tradnl"/>
        </w:rPr>
        <w:t>consulta</w:t>
      </w:r>
      <w:r w:rsidR="003822A4" w:rsidRPr="003D4FC2">
        <w:rPr>
          <w:rFonts w:ascii="Arial" w:hAnsi="Arial" w:cs="Arial"/>
          <w:color w:val="000000" w:themeColor="text1"/>
          <w:sz w:val="22"/>
          <w:lang w:val="es-ES_tradnl"/>
        </w:rPr>
        <w:t>s</w:t>
      </w:r>
      <w:r w:rsidR="00B422C0" w:rsidRPr="003D4FC2">
        <w:rPr>
          <w:rFonts w:ascii="Arial" w:hAnsi="Arial" w:cs="Arial"/>
          <w:color w:val="000000" w:themeColor="text1"/>
          <w:sz w:val="22"/>
          <w:lang w:val="es-ES_tradnl"/>
        </w:rPr>
        <w:t>:</w:t>
      </w:r>
      <w:r w:rsidR="007E18DF" w:rsidRPr="003D4FC2">
        <w:rPr>
          <w:rFonts w:ascii="Arial" w:hAnsi="Arial" w:cs="Arial"/>
          <w:color w:val="000000" w:themeColor="text1"/>
          <w:sz w:val="22"/>
          <w:lang w:val="es-ES_tradnl"/>
        </w:rPr>
        <w:t xml:space="preserve"> </w:t>
      </w:r>
    </w:p>
    <w:p w14:paraId="7686B8B0" w14:textId="77777777" w:rsidR="000E7E1A" w:rsidRPr="003D4FC2" w:rsidRDefault="000E7E1A" w:rsidP="000E7E1A">
      <w:pPr>
        <w:autoSpaceDE w:val="0"/>
        <w:autoSpaceDN w:val="0"/>
        <w:adjustRightInd w:val="0"/>
        <w:spacing w:line="276" w:lineRule="auto"/>
        <w:ind w:left="709" w:right="709"/>
        <w:jc w:val="both"/>
        <w:rPr>
          <w:rFonts w:ascii="Arial" w:hAnsi="Arial" w:cs="Arial"/>
          <w:color w:val="000000" w:themeColor="text1"/>
          <w:sz w:val="21"/>
          <w:szCs w:val="21"/>
          <w:lang w:val="es-ES_tradnl"/>
        </w:rPr>
      </w:pPr>
    </w:p>
    <w:p w14:paraId="2FE44994" w14:textId="4FAA3B70" w:rsidR="003822A4" w:rsidRPr="003D4FC2" w:rsidRDefault="003822A4" w:rsidP="003822A4">
      <w:pPr>
        <w:ind w:left="708" w:right="1467"/>
        <w:jc w:val="both"/>
        <w:rPr>
          <w:rFonts w:ascii="Arial" w:hAnsi="Arial" w:cs="Arial"/>
          <w:sz w:val="21"/>
          <w:szCs w:val="21"/>
        </w:rPr>
      </w:pPr>
      <w:r w:rsidRPr="003D4FC2">
        <w:rPr>
          <w:rFonts w:ascii="Arial" w:hAnsi="Arial" w:cs="Arial"/>
          <w:sz w:val="21"/>
          <w:szCs w:val="21"/>
        </w:rPr>
        <w:t>«1. ¿Las restricciones y limitaciones contempladas en la Ley de Garantías Electorales aplican para los convenios de asociación que celebran las entidades territoriales con las cajas de compensación familiar en virtud del artículo 2.2.7.6.7. del Decreto 1072 de 2015?</w:t>
      </w:r>
    </w:p>
    <w:p w14:paraId="50B72588" w14:textId="77777777" w:rsidR="009F2C6F" w:rsidRPr="003D4FC2" w:rsidRDefault="009F2C6F" w:rsidP="003822A4">
      <w:pPr>
        <w:ind w:left="708" w:right="1467"/>
        <w:jc w:val="both"/>
        <w:rPr>
          <w:rFonts w:ascii="Arial" w:hAnsi="Arial" w:cs="Arial"/>
          <w:sz w:val="21"/>
          <w:szCs w:val="21"/>
        </w:rPr>
      </w:pPr>
    </w:p>
    <w:p w14:paraId="63E785B6" w14:textId="1D27B730" w:rsidR="003822A4" w:rsidRPr="003D4FC2" w:rsidRDefault="003822A4" w:rsidP="003822A4">
      <w:pPr>
        <w:ind w:left="708" w:right="1467"/>
        <w:jc w:val="both"/>
        <w:rPr>
          <w:rFonts w:ascii="Arial" w:hAnsi="Arial" w:cs="Arial"/>
          <w:sz w:val="21"/>
          <w:szCs w:val="21"/>
        </w:rPr>
      </w:pPr>
      <w:r w:rsidRPr="003D4FC2">
        <w:rPr>
          <w:rFonts w:ascii="Arial" w:hAnsi="Arial" w:cs="Arial"/>
          <w:sz w:val="21"/>
          <w:szCs w:val="21"/>
        </w:rPr>
        <w:t xml:space="preserve">2. En el evento en que la respuesta al interrogante anterior sea afirmativa, ¿existe alguna otra alternativa, diferente a la suscripción de un convenio de asociación, que permita a las entidades territoriales y las </w:t>
      </w:r>
      <w:r w:rsidRPr="003D4FC2">
        <w:rPr>
          <w:rFonts w:ascii="Arial" w:hAnsi="Arial" w:cs="Arial"/>
          <w:sz w:val="21"/>
          <w:szCs w:val="21"/>
        </w:rPr>
        <w:lastRenderedPageBreak/>
        <w:t>cajas de compensación familiar ejecutar el programa de Jornada Escolar Complementaria durante el periodo de las limitaciones que impone la Ley de Garantías Electorales?</w:t>
      </w:r>
    </w:p>
    <w:p w14:paraId="17AB6BAE" w14:textId="77777777" w:rsidR="009F2C6F" w:rsidRPr="003D4FC2" w:rsidRDefault="009F2C6F" w:rsidP="003822A4">
      <w:pPr>
        <w:ind w:left="708" w:right="1467"/>
        <w:jc w:val="both"/>
        <w:rPr>
          <w:rFonts w:ascii="Arial" w:hAnsi="Arial" w:cs="Arial"/>
          <w:sz w:val="21"/>
          <w:szCs w:val="21"/>
        </w:rPr>
      </w:pPr>
    </w:p>
    <w:p w14:paraId="440173E1" w14:textId="77777777" w:rsidR="003822A4" w:rsidRPr="003D4FC2" w:rsidRDefault="003822A4" w:rsidP="003822A4">
      <w:pPr>
        <w:ind w:left="708" w:right="1467"/>
        <w:jc w:val="both"/>
        <w:rPr>
          <w:sz w:val="22"/>
          <w:szCs w:val="22"/>
        </w:rPr>
      </w:pPr>
      <w:r w:rsidRPr="003D4FC2">
        <w:rPr>
          <w:rFonts w:ascii="Arial" w:hAnsi="Arial" w:cs="Arial"/>
          <w:sz w:val="21"/>
          <w:szCs w:val="21"/>
        </w:rPr>
        <w:t>3. ¿Cuál es la naturaleza jurídica de los recursos que destinan las cajas de compensación para la ejecución del programa de Jornada Escolar Complementaria? ¿Son recursos públicos?»</w:t>
      </w:r>
      <w:r w:rsidRPr="003D4FC2">
        <w:rPr>
          <w:rFonts w:ascii="Arial" w:hAnsi="Arial" w:cs="Arial"/>
          <w:sz w:val="22"/>
          <w:szCs w:val="22"/>
        </w:rPr>
        <w:t xml:space="preserve"> </w:t>
      </w:r>
      <w:r w:rsidRPr="003D4FC2">
        <w:rPr>
          <w:sz w:val="22"/>
          <w:szCs w:val="22"/>
        </w:rPr>
        <w:t xml:space="preserve"> </w:t>
      </w:r>
    </w:p>
    <w:p w14:paraId="45F2BEC6" w14:textId="7D560BE5" w:rsidR="00A62DB2" w:rsidRPr="003D4FC2" w:rsidRDefault="00A62DB2" w:rsidP="00E965BC">
      <w:pPr>
        <w:jc w:val="both"/>
        <w:rPr>
          <w:rFonts w:ascii="Arial" w:hAnsi="Arial" w:cs="Arial"/>
          <w:color w:val="000000" w:themeColor="text1"/>
          <w:sz w:val="22"/>
          <w:lang w:val="es-ES_tradnl"/>
        </w:rPr>
      </w:pPr>
    </w:p>
    <w:p w14:paraId="4E86570E" w14:textId="7DC44C3C" w:rsidR="000A0DF7" w:rsidRPr="003D4FC2" w:rsidRDefault="000A0DF7" w:rsidP="000A0DF7">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D4FC2">
        <w:rPr>
          <w:rFonts w:ascii="Arial" w:eastAsia="Calibri" w:hAnsi="Arial" w:cs="Arial"/>
          <w:b/>
          <w:color w:val="000000" w:themeColor="text1"/>
          <w:sz w:val="22"/>
          <w:lang w:val="es-ES_tradnl"/>
        </w:rPr>
        <w:t>Consideraciones</w:t>
      </w:r>
    </w:p>
    <w:p w14:paraId="6EADA7B5" w14:textId="77777777" w:rsidR="009F2C6F" w:rsidRPr="003D4FC2" w:rsidRDefault="009F2C6F" w:rsidP="009F2C6F">
      <w:pPr>
        <w:pStyle w:val="Prrafodelista"/>
        <w:tabs>
          <w:tab w:val="left" w:pos="0"/>
          <w:tab w:val="left" w:pos="284"/>
        </w:tabs>
        <w:ind w:left="0"/>
        <w:jc w:val="both"/>
        <w:rPr>
          <w:rFonts w:ascii="Arial" w:eastAsia="Calibri" w:hAnsi="Arial" w:cs="Arial"/>
          <w:b/>
          <w:color w:val="000000" w:themeColor="text1"/>
          <w:sz w:val="22"/>
          <w:lang w:val="es-ES_tradnl"/>
        </w:rPr>
      </w:pPr>
    </w:p>
    <w:p w14:paraId="0B1F1C1E" w14:textId="7941DC80" w:rsidR="0090648C" w:rsidRPr="003D4FC2" w:rsidRDefault="00AE534E" w:rsidP="009F2C6F">
      <w:pPr>
        <w:spacing w:line="276" w:lineRule="auto"/>
        <w:jc w:val="both"/>
        <w:rPr>
          <w:rFonts w:ascii="Arial" w:eastAsia="Calibri" w:hAnsi="Arial" w:cs="Arial"/>
          <w:color w:val="000000" w:themeColor="text1"/>
          <w:sz w:val="22"/>
          <w:lang w:val="es-ES_tradnl"/>
        </w:rPr>
      </w:pPr>
      <w:r w:rsidRPr="003D4FC2">
        <w:rPr>
          <w:rFonts w:ascii="Arial" w:eastAsia="Calibri" w:hAnsi="Arial" w:cs="Arial"/>
          <w:color w:val="000000" w:themeColor="text1"/>
          <w:sz w:val="22"/>
          <w:szCs w:val="22"/>
          <w:lang w:val="es-ES_tradnl"/>
        </w:rPr>
        <w:t xml:space="preserve">Para responder la consulta, </w:t>
      </w:r>
      <w:r w:rsidR="007A4947" w:rsidRPr="003D4FC2">
        <w:rPr>
          <w:rFonts w:ascii="Arial" w:eastAsia="Calibri" w:hAnsi="Arial" w:cs="Arial"/>
          <w:color w:val="000000" w:themeColor="text1"/>
          <w:sz w:val="22"/>
          <w:szCs w:val="22"/>
          <w:lang w:val="es-ES_tradnl"/>
        </w:rPr>
        <w:t>se analizarán</w:t>
      </w:r>
      <w:r w:rsidR="000A0DF7" w:rsidRPr="003D4FC2">
        <w:rPr>
          <w:rFonts w:ascii="Arial" w:eastAsia="Calibri" w:hAnsi="Arial" w:cs="Arial"/>
          <w:color w:val="000000" w:themeColor="text1"/>
          <w:sz w:val="22"/>
          <w:szCs w:val="22"/>
          <w:lang w:val="es-ES_tradnl"/>
        </w:rPr>
        <w:t xml:space="preserve"> los</w:t>
      </w:r>
      <w:r w:rsidR="00EF44A6" w:rsidRPr="003D4FC2">
        <w:rPr>
          <w:rFonts w:ascii="Arial" w:eastAsia="Calibri" w:hAnsi="Arial" w:cs="Arial"/>
          <w:color w:val="000000" w:themeColor="text1"/>
          <w:sz w:val="22"/>
          <w:szCs w:val="22"/>
          <w:lang w:val="es-ES_tradnl"/>
        </w:rPr>
        <w:t xml:space="preserve"> siguientes temas:</w:t>
      </w:r>
      <w:r w:rsidR="000A0DF7" w:rsidRPr="003D4FC2">
        <w:rPr>
          <w:rFonts w:ascii="Arial" w:eastAsia="Calibri" w:hAnsi="Arial" w:cs="Arial"/>
          <w:color w:val="000000" w:themeColor="text1"/>
          <w:sz w:val="22"/>
          <w:szCs w:val="22"/>
          <w:lang w:val="es-ES_tradnl"/>
        </w:rPr>
        <w:t xml:space="preserve"> </w:t>
      </w:r>
      <w:r w:rsidR="00EF44A6" w:rsidRPr="003D4FC2">
        <w:rPr>
          <w:rFonts w:ascii="Arial" w:eastAsia="Calibri" w:hAnsi="Arial" w:cs="Arial"/>
          <w:color w:val="000000" w:themeColor="text1"/>
          <w:sz w:val="22"/>
          <w:szCs w:val="22"/>
          <w:lang w:val="es-ES_tradnl"/>
        </w:rPr>
        <w:t xml:space="preserve">i) </w:t>
      </w:r>
      <w:r w:rsidR="009F2C6F" w:rsidRPr="003D4FC2">
        <w:rPr>
          <w:rFonts w:ascii="Arial" w:eastAsia="Calibri" w:hAnsi="Arial" w:cs="Arial"/>
          <w:color w:val="000000" w:themeColor="text1"/>
          <w:sz w:val="22"/>
          <w:szCs w:val="22"/>
          <w:lang w:val="es-ES_tradnl"/>
        </w:rPr>
        <w:t xml:space="preserve">Alcance de la competencia consultiva de la Agencia Nacional de Contratación Pública – Colombia Compra Eficiente, </w:t>
      </w:r>
      <w:proofErr w:type="spellStart"/>
      <w:r w:rsidR="009F2C6F" w:rsidRPr="003D4FC2">
        <w:rPr>
          <w:rFonts w:ascii="Arial" w:eastAsia="Calibri" w:hAnsi="Arial" w:cs="Arial"/>
          <w:color w:val="000000" w:themeColor="text1"/>
          <w:sz w:val="22"/>
          <w:szCs w:val="22"/>
          <w:lang w:val="es-ES_tradnl"/>
        </w:rPr>
        <w:t>ii</w:t>
      </w:r>
      <w:proofErr w:type="spellEnd"/>
      <w:r w:rsidR="009F2C6F" w:rsidRPr="003D4FC2">
        <w:rPr>
          <w:rFonts w:ascii="Arial" w:eastAsia="Calibri" w:hAnsi="Arial" w:cs="Arial"/>
          <w:color w:val="000000" w:themeColor="text1"/>
          <w:sz w:val="22"/>
          <w:szCs w:val="22"/>
          <w:lang w:val="es-ES_tradnl"/>
        </w:rPr>
        <w:t xml:space="preserve">) </w:t>
      </w:r>
      <w:r w:rsidR="00FC3830" w:rsidRPr="003D4FC2">
        <w:rPr>
          <w:rFonts w:ascii="Arial" w:eastAsia="Calibri" w:hAnsi="Arial" w:cs="Arial"/>
          <w:color w:val="000000" w:themeColor="text1"/>
          <w:sz w:val="22"/>
          <w:szCs w:val="22"/>
          <w:lang w:val="es-ES_tradnl"/>
        </w:rPr>
        <w:t xml:space="preserve">alcance de las </w:t>
      </w:r>
      <w:r w:rsidR="00EE2295" w:rsidRPr="003D4FC2">
        <w:rPr>
          <w:rFonts w:ascii="Arial" w:eastAsia="Calibri" w:hAnsi="Arial" w:cs="Arial"/>
          <w:color w:val="000000" w:themeColor="text1"/>
          <w:sz w:val="22"/>
          <w:szCs w:val="22"/>
          <w:lang w:val="es-ES_tradnl"/>
        </w:rPr>
        <w:t>restricciones establecidas en</w:t>
      </w:r>
      <w:r w:rsidR="008B1475" w:rsidRPr="003D4FC2">
        <w:rPr>
          <w:rFonts w:ascii="Arial" w:eastAsia="Calibri" w:hAnsi="Arial" w:cs="Arial"/>
          <w:color w:val="000000" w:themeColor="text1"/>
          <w:sz w:val="22"/>
          <w:szCs w:val="22"/>
          <w:lang w:val="es-ES_tradnl"/>
        </w:rPr>
        <w:t xml:space="preserve"> la Ley</w:t>
      </w:r>
      <w:r w:rsidR="00EE2295" w:rsidRPr="003D4FC2">
        <w:rPr>
          <w:rFonts w:ascii="Arial" w:eastAsia="Calibri" w:hAnsi="Arial" w:cs="Arial"/>
          <w:color w:val="000000" w:themeColor="text1"/>
          <w:sz w:val="22"/>
          <w:szCs w:val="22"/>
          <w:lang w:val="es-ES_tradnl"/>
        </w:rPr>
        <w:t xml:space="preserve"> 996 de 2005</w:t>
      </w:r>
      <w:r w:rsidR="008B1475" w:rsidRPr="003D4FC2">
        <w:rPr>
          <w:rFonts w:ascii="Arial" w:eastAsia="Calibri" w:hAnsi="Arial" w:cs="Arial"/>
          <w:color w:val="000000" w:themeColor="text1"/>
          <w:sz w:val="22"/>
          <w:szCs w:val="22"/>
          <w:lang w:val="es-ES_tradnl"/>
        </w:rPr>
        <w:t xml:space="preserve"> </w:t>
      </w:r>
      <w:r w:rsidR="00EE2295" w:rsidRPr="003D4FC2">
        <w:rPr>
          <w:rFonts w:ascii="Arial" w:eastAsia="Calibri" w:hAnsi="Arial" w:cs="Arial"/>
          <w:color w:val="000000" w:themeColor="text1"/>
          <w:sz w:val="22"/>
          <w:szCs w:val="22"/>
          <w:lang w:val="es-ES_tradnl"/>
        </w:rPr>
        <w:t xml:space="preserve">–más conocida </w:t>
      </w:r>
      <w:r w:rsidR="00025E0C" w:rsidRPr="003D4FC2">
        <w:rPr>
          <w:rFonts w:ascii="Arial" w:eastAsia="Calibri" w:hAnsi="Arial" w:cs="Arial"/>
          <w:color w:val="000000" w:themeColor="text1"/>
          <w:sz w:val="22"/>
          <w:szCs w:val="22"/>
          <w:lang w:val="es-ES_tradnl"/>
        </w:rPr>
        <w:t xml:space="preserve">como </w:t>
      </w:r>
      <w:r w:rsidR="002D57DB" w:rsidRPr="003D4FC2">
        <w:rPr>
          <w:rFonts w:ascii="Arial" w:eastAsia="Calibri" w:hAnsi="Arial" w:cs="Arial"/>
          <w:color w:val="000000" w:themeColor="text1"/>
          <w:sz w:val="22"/>
          <w:szCs w:val="22"/>
          <w:lang w:val="es-ES_tradnl"/>
        </w:rPr>
        <w:t>«</w:t>
      </w:r>
      <w:r w:rsidR="004A2A99" w:rsidRPr="003D4FC2">
        <w:rPr>
          <w:rFonts w:ascii="Arial" w:eastAsia="Calibri" w:hAnsi="Arial" w:cs="Arial"/>
          <w:color w:val="000000" w:themeColor="text1"/>
          <w:sz w:val="22"/>
          <w:szCs w:val="22"/>
          <w:lang w:val="es-ES_tradnl"/>
        </w:rPr>
        <w:t xml:space="preserve">Ley </w:t>
      </w:r>
      <w:r w:rsidR="008B1475" w:rsidRPr="003D4FC2">
        <w:rPr>
          <w:rFonts w:ascii="Arial" w:eastAsia="Calibri" w:hAnsi="Arial" w:cs="Arial"/>
          <w:color w:val="000000" w:themeColor="text1"/>
          <w:sz w:val="22"/>
          <w:szCs w:val="22"/>
          <w:lang w:val="es-ES_tradnl"/>
        </w:rPr>
        <w:t>de Garantías Electorales</w:t>
      </w:r>
      <w:r w:rsidR="002D57DB" w:rsidRPr="003D4FC2">
        <w:rPr>
          <w:rFonts w:ascii="Arial" w:eastAsia="Calibri" w:hAnsi="Arial" w:cs="Arial"/>
          <w:color w:val="000000" w:themeColor="text1"/>
          <w:sz w:val="22"/>
          <w:szCs w:val="22"/>
          <w:lang w:val="es-ES_tradnl"/>
        </w:rPr>
        <w:t>»</w:t>
      </w:r>
      <w:r w:rsidR="004A2A99" w:rsidRPr="003D4FC2">
        <w:rPr>
          <w:rFonts w:ascii="Arial" w:eastAsia="Calibri" w:hAnsi="Arial" w:cs="Arial"/>
          <w:color w:val="000000" w:themeColor="text1"/>
          <w:sz w:val="22"/>
          <w:szCs w:val="22"/>
          <w:lang w:val="es-ES_tradnl"/>
        </w:rPr>
        <w:t xml:space="preserve">–, </w:t>
      </w:r>
      <w:proofErr w:type="spellStart"/>
      <w:r w:rsidR="004A2A99" w:rsidRPr="003D4FC2">
        <w:rPr>
          <w:rFonts w:ascii="Arial" w:eastAsia="Calibri" w:hAnsi="Arial" w:cs="Arial"/>
          <w:color w:val="000000" w:themeColor="text1"/>
          <w:sz w:val="22"/>
          <w:szCs w:val="22"/>
          <w:lang w:val="es-ES_tradnl"/>
        </w:rPr>
        <w:t>ii</w:t>
      </w:r>
      <w:r w:rsidR="00B7276A" w:rsidRPr="003D4FC2">
        <w:rPr>
          <w:rFonts w:ascii="Arial" w:eastAsia="Calibri" w:hAnsi="Arial" w:cs="Arial"/>
          <w:color w:val="000000" w:themeColor="text1"/>
          <w:sz w:val="22"/>
          <w:szCs w:val="22"/>
          <w:lang w:val="es-ES_tradnl"/>
        </w:rPr>
        <w:t>i</w:t>
      </w:r>
      <w:proofErr w:type="spellEnd"/>
      <w:r w:rsidR="004A2A99" w:rsidRPr="003D4FC2">
        <w:rPr>
          <w:rFonts w:ascii="Arial" w:eastAsia="Calibri" w:hAnsi="Arial" w:cs="Arial"/>
          <w:color w:val="000000" w:themeColor="text1"/>
          <w:sz w:val="22"/>
          <w:szCs w:val="22"/>
          <w:lang w:val="es-ES_tradnl"/>
        </w:rPr>
        <w:t>)</w:t>
      </w:r>
      <w:r w:rsidR="00DD4EE3" w:rsidRPr="003D4FC2">
        <w:rPr>
          <w:rFonts w:ascii="Arial" w:eastAsia="Calibri" w:hAnsi="Arial" w:cs="Arial"/>
          <w:color w:val="000000" w:themeColor="text1"/>
          <w:sz w:val="22"/>
          <w:szCs w:val="22"/>
          <w:lang w:val="es-ES_tradnl"/>
        </w:rPr>
        <w:t xml:space="preserve"> </w:t>
      </w:r>
      <w:r w:rsidR="00A12DED" w:rsidRPr="003D4FC2">
        <w:rPr>
          <w:rFonts w:ascii="Arial" w:eastAsia="Calibri" w:hAnsi="Arial" w:cs="Arial"/>
          <w:color w:val="000000" w:themeColor="text1"/>
          <w:sz w:val="22"/>
          <w:szCs w:val="22"/>
          <w:lang w:val="es-ES_tradnl"/>
        </w:rPr>
        <w:t>restricciones especiales aplicables</w:t>
      </w:r>
      <w:r w:rsidR="001251F7" w:rsidRPr="003D4FC2">
        <w:rPr>
          <w:rFonts w:ascii="Arial" w:eastAsia="Calibri" w:hAnsi="Arial" w:cs="Arial"/>
          <w:color w:val="000000" w:themeColor="text1"/>
          <w:sz w:val="22"/>
          <w:szCs w:val="22"/>
          <w:lang w:val="es-ES_tradnl"/>
        </w:rPr>
        <w:t xml:space="preserve"> </w:t>
      </w:r>
      <w:r w:rsidR="009312BE" w:rsidRPr="003D4FC2">
        <w:rPr>
          <w:rFonts w:ascii="Arial" w:eastAsia="Calibri" w:hAnsi="Arial" w:cs="Arial"/>
          <w:color w:val="000000" w:themeColor="text1"/>
          <w:sz w:val="22"/>
          <w:szCs w:val="22"/>
          <w:lang w:val="es-ES_tradnl"/>
        </w:rPr>
        <w:t>de cara a</w:t>
      </w:r>
      <w:r w:rsidR="001251F7" w:rsidRPr="003D4FC2">
        <w:rPr>
          <w:rFonts w:ascii="Arial" w:eastAsia="Calibri" w:hAnsi="Arial" w:cs="Arial"/>
          <w:color w:val="000000" w:themeColor="text1"/>
          <w:sz w:val="22"/>
          <w:szCs w:val="22"/>
          <w:lang w:val="es-ES_tradnl"/>
        </w:rPr>
        <w:t xml:space="preserve"> las</w:t>
      </w:r>
      <w:r w:rsidR="00A12DED" w:rsidRPr="003D4FC2">
        <w:rPr>
          <w:rFonts w:ascii="Arial" w:eastAsia="Calibri" w:hAnsi="Arial" w:cs="Arial"/>
          <w:color w:val="000000" w:themeColor="text1"/>
          <w:sz w:val="22"/>
          <w:szCs w:val="22"/>
          <w:lang w:val="es-ES_tradnl"/>
        </w:rPr>
        <w:t xml:space="preserve"> elecciones presidenciales</w:t>
      </w:r>
      <w:r w:rsidR="001251F7" w:rsidRPr="003D4FC2">
        <w:rPr>
          <w:rFonts w:ascii="Arial" w:eastAsia="Calibri" w:hAnsi="Arial" w:cs="Arial"/>
          <w:color w:val="000000" w:themeColor="text1"/>
          <w:sz w:val="22"/>
          <w:szCs w:val="22"/>
          <w:lang w:val="es-ES_tradnl"/>
        </w:rPr>
        <w:t xml:space="preserve">, </w:t>
      </w:r>
      <w:r w:rsidR="00DD4EE3" w:rsidRPr="003D4FC2">
        <w:rPr>
          <w:rFonts w:ascii="Arial" w:hAnsi="Arial" w:cs="Arial"/>
          <w:color w:val="000000" w:themeColor="text1"/>
          <w:sz w:val="22"/>
          <w:szCs w:val="22"/>
          <w:lang w:val="es-ES_tradnl" w:eastAsia="es-CO"/>
        </w:rPr>
        <w:t>y</w:t>
      </w:r>
      <w:r w:rsidR="00372051" w:rsidRPr="003D4FC2">
        <w:rPr>
          <w:rFonts w:ascii="Arial" w:hAnsi="Arial" w:cs="Arial"/>
          <w:color w:val="000000" w:themeColor="text1"/>
          <w:sz w:val="22"/>
          <w:szCs w:val="22"/>
          <w:lang w:val="es-ES_tradnl" w:eastAsia="es-CO"/>
        </w:rPr>
        <w:t xml:space="preserve"> </w:t>
      </w:r>
      <w:proofErr w:type="spellStart"/>
      <w:r w:rsidR="005F581C" w:rsidRPr="003D4FC2">
        <w:rPr>
          <w:rFonts w:ascii="Arial" w:hAnsi="Arial" w:cs="Arial"/>
          <w:color w:val="000000" w:themeColor="text1"/>
          <w:sz w:val="22"/>
          <w:szCs w:val="22"/>
          <w:lang w:val="es-ES_tradnl" w:eastAsia="es-CO"/>
        </w:rPr>
        <w:t>i</w:t>
      </w:r>
      <w:r w:rsidR="00B7276A" w:rsidRPr="003D4FC2">
        <w:rPr>
          <w:rFonts w:ascii="Arial" w:hAnsi="Arial" w:cs="Arial"/>
          <w:color w:val="000000" w:themeColor="text1"/>
          <w:sz w:val="22"/>
          <w:szCs w:val="22"/>
          <w:lang w:val="es-ES_tradnl" w:eastAsia="es-CO"/>
        </w:rPr>
        <w:t>v</w:t>
      </w:r>
      <w:proofErr w:type="spellEnd"/>
      <w:r w:rsidR="00B7276A" w:rsidRPr="003D4FC2">
        <w:rPr>
          <w:rFonts w:ascii="Arial" w:hAnsi="Arial" w:cs="Arial"/>
          <w:color w:val="000000" w:themeColor="text1"/>
          <w:sz w:val="22"/>
          <w:szCs w:val="22"/>
          <w:lang w:val="es-ES_tradnl" w:eastAsia="es-CO"/>
        </w:rPr>
        <w:t>)</w:t>
      </w:r>
      <w:r w:rsidR="00DD4EE3" w:rsidRPr="003D4FC2">
        <w:rPr>
          <w:rFonts w:ascii="Arial" w:hAnsi="Arial" w:cs="Arial"/>
          <w:color w:val="000000" w:themeColor="text1"/>
          <w:sz w:val="22"/>
          <w:szCs w:val="22"/>
          <w:lang w:val="es-ES_tradnl" w:eastAsia="es-CO"/>
        </w:rPr>
        <w:t xml:space="preserve"> restricciones de la Ley de Garantías en los contratos de colaboración y convenios de asociación con entida</w:t>
      </w:r>
      <w:r w:rsidR="00B117EC" w:rsidRPr="003D4FC2">
        <w:rPr>
          <w:rFonts w:ascii="Arial" w:hAnsi="Arial" w:cs="Arial"/>
          <w:color w:val="000000" w:themeColor="text1"/>
          <w:sz w:val="22"/>
          <w:szCs w:val="22"/>
          <w:lang w:val="es-ES_tradnl" w:eastAsia="es-CO"/>
        </w:rPr>
        <w:t>des privadas sin ánimo de lucro, haciendo un especial énfasis en la celebración de convenios con las cajas de compensación familiar en el marco del Decreto 1786 de 202</w:t>
      </w:r>
      <w:r w:rsidR="00711B2E" w:rsidRPr="003D4FC2">
        <w:rPr>
          <w:rFonts w:ascii="Arial" w:hAnsi="Arial" w:cs="Arial"/>
          <w:color w:val="000000" w:themeColor="text1"/>
          <w:sz w:val="22"/>
          <w:szCs w:val="22"/>
          <w:lang w:val="es-ES_tradnl" w:eastAsia="es-CO"/>
        </w:rPr>
        <w:t>1, el cual modificó el Decreto 1072 de 2015</w:t>
      </w:r>
      <w:r w:rsidR="00B117EC" w:rsidRPr="003D4FC2">
        <w:rPr>
          <w:rFonts w:ascii="Arial" w:hAnsi="Arial" w:cs="Arial"/>
          <w:color w:val="000000" w:themeColor="text1"/>
          <w:sz w:val="22"/>
          <w:szCs w:val="22"/>
          <w:lang w:val="es-ES_tradnl" w:eastAsia="es-CO"/>
        </w:rPr>
        <w:t xml:space="preserve">. </w:t>
      </w:r>
      <w:r w:rsidR="00DD4EE3" w:rsidRPr="003D4FC2">
        <w:rPr>
          <w:rFonts w:ascii="Arial" w:hAnsi="Arial" w:cs="Arial"/>
          <w:color w:val="000000" w:themeColor="text1"/>
          <w:sz w:val="22"/>
          <w:szCs w:val="22"/>
          <w:lang w:val="es-ES_tradnl" w:eastAsia="es-CO"/>
        </w:rPr>
        <w:t xml:space="preserve"> </w:t>
      </w:r>
    </w:p>
    <w:p w14:paraId="7DF3A8DD" w14:textId="7B560665" w:rsidR="000E7E1A" w:rsidRPr="003D4FC2" w:rsidRDefault="00A62DB2" w:rsidP="000E7E1A">
      <w:pPr>
        <w:spacing w:before="120" w:line="276" w:lineRule="auto"/>
        <w:ind w:firstLine="709"/>
        <w:jc w:val="both"/>
        <w:rPr>
          <w:rFonts w:ascii="Arial" w:eastAsia="Calibri" w:hAnsi="Arial" w:cs="Arial"/>
          <w:color w:val="000000" w:themeColor="text1"/>
          <w:sz w:val="22"/>
          <w:szCs w:val="22"/>
          <w:lang w:val="es-ES_tradnl"/>
        </w:rPr>
      </w:pPr>
      <w:r w:rsidRPr="003D4FC2">
        <w:rPr>
          <w:rFonts w:ascii="Arial" w:eastAsia="Calibri" w:hAnsi="Arial" w:cs="Arial"/>
          <w:color w:val="000000" w:themeColor="text1"/>
          <w:sz w:val="22"/>
          <w:szCs w:val="22"/>
          <w:lang w:val="es-ES_tradnl"/>
        </w:rPr>
        <w:t xml:space="preserve">En efecto, esta Agencia </w:t>
      </w:r>
      <w:r w:rsidRPr="003D4FC2">
        <w:rPr>
          <w:rFonts w:ascii="Arial" w:hAnsi="Arial" w:cs="Arial"/>
          <w:color w:val="000000" w:themeColor="text1"/>
          <w:sz w:val="22"/>
          <w:szCs w:val="22"/>
          <w:shd w:val="clear" w:color="auto" w:fill="FFFFFF"/>
        </w:rPr>
        <w:t xml:space="preserve">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C-337 del 13 de julio de 2021, C-350 del 16 de julio de 2021, C-352 del 27 de julio de 2021, C-374 del 16 de septiembre de 2021, </w:t>
      </w:r>
      <w:r w:rsidR="00505F58" w:rsidRPr="003D4FC2">
        <w:rPr>
          <w:rFonts w:ascii="Arial" w:hAnsi="Arial" w:cs="Arial"/>
          <w:color w:val="000000" w:themeColor="text1"/>
          <w:sz w:val="22"/>
          <w:szCs w:val="22"/>
          <w:shd w:val="clear" w:color="auto" w:fill="FFFFFF"/>
        </w:rPr>
        <w:t>C-381 del 2 de agosto de 2021</w:t>
      </w:r>
      <w:r w:rsidRPr="003D4FC2">
        <w:rPr>
          <w:rFonts w:ascii="Arial" w:hAnsi="Arial" w:cs="Arial"/>
          <w:color w:val="000000" w:themeColor="text1"/>
          <w:sz w:val="22"/>
          <w:szCs w:val="22"/>
          <w:shd w:val="clear" w:color="auto" w:fill="FFFFFF"/>
        </w:rPr>
        <w:t xml:space="preserve">,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C-674 del 6 de diciembre de 2021, </w:t>
      </w:r>
      <w:r w:rsidR="000E7E1A" w:rsidRPr="003D4FC2">
        <w:rPr>
          <w:rFonts w:ascii="Arial" w:eastAsia="Calibri" w:hAnsi="Arial" w:cs="Arial"/>
          <w:color w:val="000000" w:themeColor="text1"/>
          <w:sz w:val="22"/>
        </w:rPr>
        <w:t>681 del 7 de diciembre de 2021, C-686 del 21 de diciembre de 2021,</w:t>
      </w:r>
      <w:r w:rsidR="000E7E1A" w:rsidRPr="003D4FC2">
        <w:rPr>
          <w:rFonts w:ascii="Arial" w:hAnsi="Arial" w:cs="Arial"/>
          <w:color w:val="000000" w:themeColor="text1"/>
          <w:sz w:val="22"/>
          <w:szCs w:val="22"/>
          <w:shd w:val="clear" w:color="auto" w:fill="FFFFFF"/>
        </w:rPr>
        <w:t xml:space="preserve"> </w:t>
      </w:r>
      <w:r w:rsidRPr="003D4FC2">
        <w:rPr>
          <w:rFonts w:ascii="Arial" w:hAnsi="Arial" w:cs="Arial"/>
          <w:color w:val="000000" w:themeColor="text1"/>
          <w:sz w:val="22"/>
          <w:szCs w:val="22"/>
          <w:shd w:val="clear" w:color="auto" w:fill="FFFFFF"/>
        </w:rPr>
        <w:t>C-69</w:t>
      </w:r>
      <w:r w:rsidR="00505F58" w:rsidRPr="003D4FC2">
        <w:rPr>
          <w:rFonts w:ascii="Arial" w:hAnsi="Arial" w:cs="Arial"/>
          <w:color w:val="000000" w:themeColor="text1"/>
          <w:sz w:val="22"/>
          <w:szCs w:val="22"/>
          <w:shd w:val="clear" w:color="auto" w:fill="FFFFFF"/>
        </w:rPr>
        <w:t xml:space="preserve">5 del 22 de diciembre de 2021, </w:t>
      </w:r>
      <w:r w:rsidRPr="003D4FC2">
        <w:rPr>
          <w:rFonts w:ascii="Arial" w:hAnsi="Arial" w:cs="Arial"/>
          <w:color w:val="000000" w:themeColor="text1"/>
          <w:sz w:val="22"/>
          <w:szCs w:val="22"/>
          <w:shd w:val="clear" w:color="auto" w:fill="FFFFFF"/>
        </w:rPr>
        <w:t>C-723 del 28 de diciembre de 2021, C-726 de 24 de enero de 2022</w:t>
      </w:r>
      <w:r w:rsidR="000E7E1A" w:rsidRPr="003D4FC2">
        <w:rPr>
          <w:rFonts w:ascii="Arial" w:hAnsi="Arial" w:cs="Arial"/>
          <w:color w:val="000000" w:themeColor="text1"/>
          <w:sz w:val="22"/>
          <w:szCs w:val="22"/>
          <w:shd w:val="clear" w:color="auto" w:fill="FFFFFF"/>
        </w:rPr>
        <w:t>,</w:t>
      </w:r>
      <w:r w:rsidR="000E7E1A" w:rsidRPr="003D4FC2">
        <w:rPr>
          <w:rFonts w:ascii="Arial" w:eastAsia="Calibri" w:hAnsi="Arial" w:cs="Arial"/>
          <w:color w:val="000000" w:themeColor="text1"/>
          <w:sz w:val="22"/>
        </w:rPr>
        <w:t xml:space="preserve"> C-697 del 3 de enero de 2022, 002 del 15 de febrero de 2022, C-009 del 15 de febrero de 2022,</w:t>
      </w:r>
      <w:r w:rsidRPr="003D4FC2">
        <w:rPr>
          <w:rFonts w:ascii="Arial" w:hAnsi="Arial" w:cs="Arial"/>
          <w:color w:val="000000" w:themeColor="text1"/>
          <w:sz w:val="22"/>
          <w:szCs w:val="22"/>
          <w:shd w:val="clear" w:color="auto" w:fill="FFFFFF"/>
        </w:rPr>
        <w:t xml:space="preserve"> C-037 de 21 de </w:t>
      </w:r>
      <w:r w:rsidRPr="003D4FC2">
        <w:rPr>
          <w:rFonts w:ascii="Arial" w:hAnsi="Arial" w:cs="Arial"/>
          <w:color w:val="000000" w:themeColor="text1"/>
          <w:sz w:val="22"/>
          <w:szCs w:val="22"/>
          <w:shd w:val="clear" w:color="auto" w:fill="FFFFFF"/>
        </w:rPr>
        <w:lastRenderedPageBreak/>
        <w:t>enero de 2022</w:t>
      </w:r>
      <w:r w:rsidR="000E7E1A" w:rsidRPr="003D4FC2">
        <w:rPr>
          <w:rFonts w:ascii="Arial" w:hAnsi="Arial" w:cs="Arial"/>
          <w:color w:val="000000" w:themeColor="text1"/>
          <w:sz w:val="22"/>
          <w:szCs w:val="22"/>
          <w:shd w:val="clear" w:color="auto" w:fill="FFFFFF"/>
        </w:rPr>
        <w:t xml:space="preserve">, </w:t>
      </w:r>
      <w:r w:rsidR="000E7E1A" w:rsidRPr="003D4FC2">
        <w:rPr>
          <w:rFonts w:ascii="Arial" w:eastAsia="Calibri" w:hAnsi="Arial" w:cs="Arial"/>
          <w:color w:val="000000" w:themeColor="text1"/>
          <w:sz w:val="22"/>
        </w:rPr>
        <w:t>C-005 del 16 de febrero de  2022, C-014 del 18 de febrero de 2022, C- 022 del 21 de febrero de 2022, C-045 del 3 de marzo de 2022</w:t>
      </w:r>
      <w:r w:rsidR="00B117EC" w:rsidRPr="003D4FC2">
        <w:rPr>
          <w:rFonts w:ascii="Arial" w:eastAsia="Calibri" w:hAnsi="Arial" w:cs="Arial"/>
          <w:color w:val="000000" w:themeColor="text1"/>
          <w:sz w:val="22"/>
        </w:rPr>
        <w:t>, C-216 del 9 de marzo de 2022</w:t>
      </w:r>
      <w:r w:rsidRPr="003D4FC2">
        <w:rPr>
          <w:rFonts w:ascii="Arial" w:eastAsia="Calibri" w:hAnsi="Arial" w:cs="Arial"/>
          <w:color w:val="000000" w:themeColor="text1"/>
          <w:sz w:val="22"/>
          <w:szCs w:val="22"/>
          <w:lang w:val="es-ES_tradnl"/>
        </w:rPr>
        <w:t xml:space="preserve">. </w:t>
      </w:r>
      <w:r w:rsidR="000E7E1A" w:rsidRPr="003D4FC2">
        <w:rPr>
          <w:rFonts w:ascii="Arial" w:eastAsia="Calibri" w:hAnsi="Arial" w:cs="Arial"/>
          <w:color w:val="000000" w:themeColor="text1"/>
          <w:sz w:val="22"/>
        </w:rPr>
        <w:t>Finalmente, en los Conceptos C-296 de 22 de junio de 2021</w:t>
      </w:r>
      <w:r w:rsidR="00977991" w:rsidRPr="003D4FC2">
        <w:rPr>
          <w:rFonts w:ascii="Arial" w:eastAsia="Calibri" w:hAnsi="Arial" w:cs="Arial"/>
          <w:color w:val="000000" w:themeColor="text1"/>
          <w:sz w:val="22"/>
        </w:rPr>
        <w:t>,</w:t>
      </w:r>
      <w:r w:rsidR="000E7E1A" w:rsidRPr="003D4FC2">
        <w:rPr>
          <w:rFonts w:ascii="Arial" w:eastAsia="Calibri" w:hAnsi="Arial" w:cs="Arial"/>
          <w:color w:val="000000" w:themeColor="text1"/>
          <w:sz w:val="22"/>
        </w:rPr>
        <w:t xml:space="preserve"> C-391 del 11 de agosto de 2021</w:t>
      </w:r>
      <w:r w:rsidR="00977991" w:rsidRPr="003D4FC2">
        <w:rPr>
          <w:rFonts w:ascii="Arial" w:eastAsia="Calibri" w:hAnsi="Arial" w:cs="Arial"/>
          <w:color w:val="000000" w:themeColor="text1"/>
          <w:sz w:val="22"/>
        </w:rPr>
        <w:t xml:space="preserve"> y C-075 del </w:t>
      </w:r>
      <w:r w:rsidR="00784392" w:rsidRPr="003D4FC2">
        <w:rPr>
          <w:rFonts w:ascii="Arial" w:eastAsia="Calibri" w:hAnsi="Arial" w:cs="Arial"/>
          <w:color w:val="000000" w:themeColor="text1"/>
          <w:sz w:val="22"/>
        </w:rPr>
        <w:t>10 de marzo de 2022</w:t>
      </w:r>
      <w:r w:rsidR="000E7E1A" w:rsidRPr="003D4FC2">
        <w:rPr>
          <w:rFonts w:ascii="Arial" w:eastAsia="Calibri" w:hAnsi="Arial" w:cs="Arial"/>
          <w:color w:val="000000" w:themeColor="text1"/>
          <w:sz w:val="22"/>
        </w:rPr>
        <w:t xml:space="preserve"> se revisó la aplicación de la ley de garantías a los convenios asociativos del artículo 2.2.7.6.7 del Decreto 1072 de 2015 antes de la modificación del Decreto 1786 de 2021</w:t>
      </w:r>
      <w:r w:rsidR="00D02FA8" w:rsidRPr="003D4FC2">
        <w:rPr>
          <w:rStyle w:val="Refdenotaalpie"/>
          <w:rFonts w:ascii="Arial" w:eastAsia="Calibri" w:hAnsi="Arial" w:cs="Arial"/>
          <w:color w:val="000000" w:themeColor="text1"/>
          <w:sz w:val="22"/>
          <w:szCs w:val="22"/>
        </w:rPr>
        <w:footnoteReference w:id="2"/>
      </w:r>
      <w:r w:rsidR="000E7E1A" w:rsidRPr="003D4FC2">
        <w:rPr>
          <w:rFonts w:ascii="Arial" w:eastAsia="Calibri" w:hAnsi="Arial" w:cs="Arial"/>
          <w:color w:val="000000" w:themeColor="text1"/>
          <w:sz w:val="22"/>
        </w:rPr>
        <w:t>.</w:t>
      </w:r>
    </w:p>
    <w:p w14:paraId="1A992592" w14:textId="77777777" w:rsidR="009F2C6F" w:rsidRPr="003D4FC2" w:rsidRDefault="009F2C6F" w:rsidP="00B7276A">
      <w:pPr>
        <w:spacing w:line="276" w:lineRule="auto"/>
        <w:jc w:val="both"/>
        <w:rPr>
          <w:rFonts w:ascii="Arial" w:eastAsia="Calibri" w:hAnsi="Arial" w:cs="Arial"/>
          <w:color w:val="000000" w:themeColor="text1"/>
          <w:sz w:val="22"/>
          <w:lang w:val="es-ES_tradnl"/>
        </w:rPr>
      </w:pPr>
    </w:p>
    <w:p w14:paraId="487283B8" w14:textId="0E291A13" w:rsidR="009F2C6F" w:rsidRPr="003D4FC2" w:rsidRDefault="009F2C6F" w:rsidP="009F2C6F">
      <w:pPr>
        <w:spacing w:line="276" w:lineRule="auto"/>
        <w:jc w:val="both"/>
        <w:rPr>
          <w:rFonts w:ascii="Arial" w:eastAsia="Calibri" w:hAnsi="Arial" w:cs="Arial"/>
          <w:b/>
          <w:bCs/>
          <w:sz w:val="22"/>
          <w:szCs w:val="22"/>
        </w:rPr>
      </w:pPr>
      <w:r w:rsidRPr="003D4FC2">
        <w:rPr>
          <w:rFonts w:ascii="Arial" w:eastAsia="Calibri" w:hAnsi="Arial" w:cs="Arial"/>
          <w:b/>
          <w:bCs/>
          <w:sz w:val="22"/>
          <w:szCs w:val="22"/>
        </w:rPr>
        <w:t>2.1. Competencia consultiva de la Agencia Nacional de Contratación Pública – Colombia Compra Eficiente</w:t>
      </w:r>
    </w:p>
    <w:p w14:paraId="6C340614" w14:textId="77777777" w:rsidR="009F2C6F" w:rsidRPr="003D4FC2" w:rsidRDefault="009F2C6F" w:rsidP="009F2C6F">
      <w:pPr>
        <w:spacing w:line="276" w:lineRule="auto"/>
        <w:jc w:val="both"/>
        <w:rPr>
          <w:rFonts w:ascii="Arial" w:eastAsia="Calibri" w:hAnsi="Arial" w:cs="Arial"/>
          <w:b/>
          <w:bCs/>
          <w:sz w:val="22"/>
          <w:szCs w:val="22"/>
        </w:rPr>
      </w:pPr>
    </w:p>
    <w:p w14:paraId="22DA1E1C" w14:textId="77777777" w:rsidR="009F2C6F" w:rsidRPr="003D4FC2" w:rsidRDefault="009F2C6F" w:rsidP="009F2C6F">
      <w:pPr>
        <w:spacing w:line="276" w:lineRule="auto"/>
        <w:jc w:val="both"/>
        <w:rPr>
          <w:rFonts w:ascii="Arial" w:hAnsi="Arial" w:cs="Arial"/>
          <w:color w:val="000000"/>
          <w:sz w:val="22"/>
          <w:szCs w:val="22"/>
        </w:rPr>
      </w:pPr>
      <w:r w:rsidRPr="003D4FC2">
        <w:rPr>
          <w:rFonts w:ascii="Arial" w:hAnsi="Arial" w:cs="Arial"/>
          <w:color w:val="000000"/>
          <w:sz w:val="22"/>
          <w:szCs w:val="22"/>
          <w:shd w:val="clear" w:color="auto" w:fill="FFFFFF"/>
        </w:rPr>
        <w:t>Como en la consulta que se resuelve en esta oportunidad se hacen algunos comentarios a partir de un caso concreto, como son los programas de jornada escolar complementaria y los recursos que destinan las Cajas de Compensación Familiar para esos programas, en el presente aparte se tendrá como fundamento el concepto C-176 del 19 de abril de 2021 de esta Agencia, en el cual se analiza su función de interpretación de las normas contractuales y, con base en ello, aclarar la naturaleza de los conceptos expedidos por este organismo.  </w:t>
      </w:r>
    </w:p>
    <w:p w14:paraId="24C1E0EE" w14:textId="77777777" w:rsidR="009F2C6F" w:rsidRPr="003D4FC2" w:rsidRDefault="009F2C6F" w:rsidP="009F2C6F">
      <w:pPr>
        <w:spacing w:before="120" w:line="276" w:lineRule="auto"/>
        <w:ind w:firstLine="708"/>
        <w:jc w:val="both"/>
        <w:rPr>
          <w:rFonts w:ascii="Arial" w:hAnsi="Arial" w:cs="Arial"/>
          <w:color w:val="000000"/>
          <w:sz w:val="22"/>
          <w:szCs w:val="22"/>
        </w:rPr>
      </w:pPr>
      <w:r w:rsidRPr="003D4FC2">
        <w:rPr>
          <w:rFonts w:ascii="Arial" w:hAnsi="Arial" w:cs="Arial"/>
          <w:color w:val="000000"/>
          <w:sz w:val="22"/>
          <w:szCs w:val="22"/>
        </w:rPr>
        <w:t xml:space="preserve">Al respecto, </w:t>
      </w:r>
      <w:bookmarkStart w:id="9" w:name="_Hlk94773931"/>
      <w:r w:rsidRPr="003D4FC2">
        <w:rPr>
          <w:rFonts w:ascii="Arial" w:hAnsi="Arial" w:cs="Arial"/>
          <w:color w:val="000000"/>
          <w:sz w:val="22"/>
          <w:szCs w:val="22"/>
        </w:rPr>
        <w:t>es necesario tener en cuenta que esta Agencia sólo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r w:rsidRPr="003D4FC2">
        <w:rPr>
          <w:rFonts w:ascii="Arial" w:eastAsia="Calibri" w:hAnsi="Arial" w:cs="Arial"/>
          <w:color w:val="000000"/>
          <w:sz w:val="22"/>
          <w:szCs w:val="22"/>
        </w:rPr>
        <w:t xml:space="preserve"> </w:t>
      </w:r>
      <w:r w:rsidRPr="003D4FC2">
        <w:rPr>
          <w:rFonts w:ascii="Arial" w:hAnsi="Arial" w:cs="Arial"/>
          <w:color w:val="000000"/>
          <w:sz w:val="22"/>
          <w:szCs w:val="22"/>
          <w:shd w:val="clear" w:color="auto" w:fill="FFFFFF"/>
        </w:rPr>
        <w:t> </w:t>
      </w:r>
      <w:bookmarkEnd w:id="9"/>
    </w:p>
    <w:p w14:paraId="3CDECC40" w14:textId="77777777" w:rsidR="009F2C6F" w:rsidRPr="003D4FC2" w:rsidRDefault="009F2C6F" w:rsidP="009F2C6F">
      <w:pPr>
        <w:spacing w:before="120" w:line="276" w:lineRule="auto"/>
        <w:ind w:firstLine="708"/>
        <w:jc w:val="both"/>
        <w:rPr>
          <w:rFonts w:ascii="Arial" w:hAnsi="Arial" w:cs="Arial"/>
          <w:color w:val="000000"/>
          <w:sz w:val="22"/>
          <w:szCs w:val="22"/>
        </w:rPr>
      </w:pPr>
      <w:r w:rsidRPr="003D4FC2">
        <w:rPr>
          <w:rFonts w:ascii="Arial" w:hAnsi="Arial" w:cs="Arial"/>
          <w:color w:val="000000"/>
          <w:sz w:val="22"/>
          <w:szCs w:val="22"/>
        </w:rPr>
        <w:t>Por tanto, la competencia de esta Agencia se fija con límites claros, con el objeto de evitar que actúe como una instancia de validación de las actuaciones de las entidades sujetas a la Ley 80 de 1993 o de los demás participantes de la contratación pública</w:t>
      </w:r>
      <w:r w:rsidRPr="003D4FC2">
        <w:rPr>
          <w:rFonts w:ascii="Arial" w:hAnsi="Arial" w:cs="Arial"/>
          <w:color w:val="000000"/>
          <w:sz w:val="22"/>
          <w:szCs w:val="22"/>
          <w:vertAlign w:val="superscript"/>
        </w:rPr>
        <w:footnoteReference w:id="3"/>
      </w:r>
      <w:r w:rsidRPr="003D4FC2">
        <w:rPr>
          <w:rFonts w:ascii="Arial" w:hAnsi="Arial" w:cs="Arial"/>
          <w:color w:val="000000"/>
          <w:sz w:val="22"/>
          <w:szCs w:val="22"/>
        </w:rPr>
        <w:t xml:space="preserve">. Lo anterior, en la medida en que, para resolver una consulta de carácter particular, además de conocer un sinnúmero de detalles de la actuación administrativa, es necesario acceder al expediente y a los documentos del procedimiento contractual donde surge la inquietud; </w:t>
      </w:r>
      <w:r w:rsidRPr="003D4FC2">
        <w:rPr>
          <w:rFonts w:ascii="Arial" w:hAnsi="Arial" w:cs="Arial"/>
          <w:color w:val="000000"/>
          <w:sz w:val="22"/>
          <w:szCs w:val="22"/>
        </w:rPr>
        <w:lastRenderedPageBreak/>
        <w:t>razón por la cual, al no ser un órgano judicial, ni una entidad de vigilancia, inspección o control en materia contractual, carece de la facultad para desempeñar estas funciones.</w:t>
      </w:r>
      <w:r w:rsidRPr="003D4FC2">
        <w:rPr>
          <w:rFonts w:ascii="Arial" w:eastAsia="Calibri" w:hAnsi="Arial" w:cs="Arial"/>
          <w:color w:val="000000"/>
          <w:sz w:val="22"/>
          <w:szCs w:val="22"/>
        </w:rPr>
        <w:t> </w:t>
      </w:r>
    </w:p>
    <w:p w14:paraId="4A4E7928" w14:textId="77777777" w:rsidR="009F2C6F" w:rsidRPr="003D4FC2" w:rsidRDefault="009F2C6F" w:rsidP="009F2C6F">
      <w:pPr>
        <w:tabs>
          <w:tab w:val="left" w:pos="426"/>
        </w:tabs>
        <w:spacing w:before="120" w:line="276" w:lineRule="auto"/>
        <w:jc w:val="both"/>
        <w:rPr>
          <w:rFonts w:ascii="Arial" w:hAnsi="Arial" w:cs="Arial"/>
          <w:color w:val="000000"/>
          <w:sz w:val="22"/>
          <w:szCs w:val="22"/>
        </w:rPr>
      </w:pPr>
      <w:r w:rsidRPr="003D4FC2">
        <w:rPr>
          <w:rFonts w:ascii="Arial" w:hAnsi="Arial" w:cs="Arial"/>
          <w:color w:val="000000"/>
          <w:sz w:val="22"/>
          <w:szCs w:val="22"/>
        </w:rPr>
        <w:tab/>
      </w:r>
      <w:r w:rsidRPr="003D4FC2">
        <w:rPr>
          <w:rFonts w:ascii="Arial" w:hAnsi="Arial" w:cs="Arial"/>
          <w:color w:val="000000"/>
          <w:sz w:val="22"/>
          <w:szCs w:val="22"/>
        </w:rPr>
        <w:tab/>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3D4FC2">
        <w:rPr>
          <w:rFonts w:ascii="Arial" w:eastAsia="Calibri" w:hAnsi="Arial" w:cs="Arial"/>
          <w:bCs/>
          <w:color w:val="000000"/>
          <w:sz w:val="22"/>
          <w:szCs w:val="22"/>
        </w:rPr>
        <w:t> </w:t>
      </w:r>
    </w:p>
    <w:p w14:paraId="3F8ADF6E" w14:textId="77777777" w:rsidR="009F2C6F" w:rsidRPr="003D4FC2" w:rsidRDefault="009F2C6F" w:rsidP="009F2C6F">
      <w:pPr>
        <w:tabs>
          <w:tab w:val="left" w:pos="426"/>
        </w:tabs>
        <w:ind w:left="709" w:right="709"/>
        <w:jc w:val="both"/>
        <w:rPr>
          <w:rFonts w:ascii="Arial" w:hAnsi="Arial" w:cs="Arial"/>
          <w:color w:val="000000"/>
          <w:sz w:val="21"/>
          <w:szCs w:val="21"/>
        </w:rPr>
      </w:pPr>
    </w:p>
    <w:p w14:paraId="4DAA4804" w14:textId="77777777" w:rsidR="009F2C6F" w:rsidRPr="003D4FC2" w:rsidRDefault="009F2C6F" w:rsidP="009F2C6F">
      <w:pPr>
        <w:tabs>
          <w:tab w:val="left" w:pos="426"/>
        </w:tabs>
        <w:spacing w:after="120"/>
        <w:ind w:left="709" w:right="709"/>
        <w:jc w:val="both"/>
        <w:rPr>
          <w:rFonts w:ascii="Arial" w:eastAsia="Calibri" w:hAnsi="Arial" w:cs="Arial"/>
          <w:bCs/>
          <w:color w:val="000000"/>
          <w:sz w:val="21"/>
          <w:szCs w:val="21"/>
        </w:rPr>
      </w:pPr>
      <w:r w:rsidRPr="003D4FC2">
        <w:rPr>
          <w:rFonts w:ascii="Arial" w:hAnsi="Arial" w:cs="Arial"/>
          <w:sz w:val="21"/>
          <w:szCs w:val="21"/>
        </w:rPr>
        <w:t>«</w:t>
      </w:r>
      <w:r w:rsidRPr="003D4FC2">
        <w:rPr>
          <w:rFonts w:ascii="Arial" w:hAnsi="Arial" w:cs="Arial"/>
          <w:color w:val="000000"/>
          <w:sz w:val="21"/>
          <w:szCs w:val="21"/>
        </w:rPr>
        <w:t>Artículo 28. Alcance de los conceptos. Salvo disposición legal en contrario, los conceptos emitidos por las autoridades como respuestas a peticiones realizadas en ejercicio del derecho a formular consultas no serán de obligatorio cumplimiento o ejecución</w:t>
      </w:r>
      <w:r w:rsidRPr="003D4FC2">
        <w:rPr>
          <w:rFonts w:ascii="Arial" w:eastAsia="Calibri" w:hAnsi="Arial" w:cs="Arial"/>
          <w:bCs/>
          <w:color w:val="000000"/>
          <w:sz w:val="21"/>
          <w:szCs w:val="21"/>
        </w:rPr>
        <w:t>.</w:t>
      </w:r>
      <w:r w:rsidRPr="003D4FC2">
        <w:rPr>
          <w:rFonts w:ascii="Arial" w:hAnsi="Arial" w:cs="Arial"/>
          <w:sz w:val="21"/>
          <w:szCs w:val="21"/>
        </w:rPr>
        <w:t>»</w:t>
      </w:r>
      <w:r w:rsidRPr="003D4FC2">
        <w:rPr>
          <w:rFonts w:ascii="Arial" w:eastAsia="Calibri" w:hAnsi="Arial" w:cs="Arial"/>
          <w:bCs/>
          <w:color w:val="000000"/>
          <w:sz w:val="21"/>
          <w:szCs w:val="21"/>
        </w:rPr>
        <w:t> </w:t>
      </w:r>
    </w:p>
    <w:p w14:paraId="18999F1E" w14:textId="77777777" w:rsidR="009F2C6F" w:rsidRPr="003D4FC2" w:rsidRDefault="009F2C6F" w:rsidP="009F2C6F">
      <w:pPr>
        <w:tabs>
          <w:tab w:val="left" w:pos="426"/>
        </w:tabs>
        <w:ind w:left="709" w:right="709"/>
        <w:jc w:val="both"/>
        <w:rPr>
          <w:rFonts w:ascii="Arial" w:hAnsi="Arial" w:cs="Arial"/>
          <w:color w:val="000000"/>
          <w:sz w:val="21"/>
          <w:szCs w:val="21"/>
        </w:rPr>
      </w:pPr>
    </w:p>
    <w:p w14:paraId="5879F752" w14:textId="77777777" w:rsidR="009F2C6F" w:rsidRPr="003D4FC2" w:rsidRDefault="009F2C6F" w:rsidP="009F2C6F">
      <w:pPr>
        <w:tabs>
          <w:tab w:val="left" w:pos="426"/>
        </w:tabs>
        <w:spacing w:after="120" w:line="276" w:lineRule="auto"/>
        <w:jc w:val="both"/>
        <w:rPr>
          <w:rFonts w:ascii="Arial" w:hAnsi="Arial" w:cs="Arial"/>
          <w:color w:val="000000"/>
          <w:sz w:val="22"/>
          <w:szCs w:val="22"/>
        </w:rPr>
      </w:pPr>
      <w:r w:rsidRPr="003D4FC2">
        <w:rPr>
          <w:rFonts w:ascii="Arial" w:eastAsia="Calibri" w:hAnsi="Arial" w:cs="Arial"/>
          <w:bCs/>
          <w:color w:val="000000"/>
          <w:sz w:val="22"/>
          <w:szCs w:val="22"/>
        </w:rPr>
        <w:tab/>
      </w:r>
      <w:r w:rsidRPr="003D4FC2">
        <w:rPr>
          <w:rFonts w:ascii="Arial" w:eastAsia="Calibri" w:hAnsi="Arial" w:cs="Arial"/>
          <w:bCs/>
          <w:color w:val="000000"/>
          <w:sz w:val="22"/>
          <w:szCs w:val="22"/>
        </w:rPr>
        <w:tab/>
      </w:r>
      <w:r w:rsidRPr="003D4FC2">
        <w:rPr>
          <w:rFonts w:ascii="Arial" w:hAnsi="Arial" w:cs="Arial"/>
          <w:color w:val="000000"/>
          <w:sz w:val="22"/>
          <w:szCs w:val="22"/>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3D4FC2">
        <w:rPr>
          <w:rFonts w:ascii="Arial" w:eastAsia="Calibri" w:hAnsi="Arial" w:cs="Arial"/>
          <w:bCs/>
          <w:color w:val="000000"/>
          <w:sz w:val="22"/>
          <w:szCs w:val="22"/>
        </w:rPr>
        <w:t> </w:t>
      </w:r>
    </w:p>
    <w:p w14:paraId="5A11F22F" w14:textId="77777777" w:rsidR="009F2C6F" w:rsidRPr="003D4FC2" w:rsidRDefault="009F2C6F" w:rsidP="009F2C6F">
      <w:pPr>
        <w:spacing w:before="120" w:after="120" w:line="276" w:lineRule="auto"/>
        <w:ind w:firstLine="708"/>
        <w:jc w:val="both"/>
        <w:rPr>
          <w:rFonts w:ascii="Arial" w:hAnsi="Arial" w:cs="Arial"/>
          <w:color w:val="000000"/>
          <w:sz w:val="22"/>
          <w:szCs w:val="22"/>
        </w:rPr>
      </w:pPr>
      <w:r w:rsidRPr="003D4FC2">
        <w:rPr>
          <w:rFonts w:ascii="Arial" w:hAnsi="Arial" w:cs="Arial"/>
          <w:color w:val="000000"/>
          <w:sz w:val="22"/>
          <w:szCs w:val="22"/>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3D4FC2">
        <w:rPr>
          <w:rFonts w:ascii="Arial" w:eastAsia="Calibri" w:hAnsi="Arial" w:cs="Arial"/>
          <w:bCs/>
          <w:color w:val="000000"/>
          <w:sz w:val="22"/>
          <w:szCs w:val="22"/>
        </w:rPr>
        <w:t> </w:t>
      </w:r>
    </w:p>
    <w:p w14:paraId="7D84D667" w14:textId="77777777" w:rsidR="009F2C6F" w:rsidRPr="003D4FC2" w:rsidRDefault="009F2C6F" w:rsidP="009F2C6F">
      <w:pPr>
        <w:tabs>
          <w:tab w:val="left" w:pos="709"/>
        </w:tabs>
        <w:spacing w:before="120" w:line="276" w:lineRule="auto"/>
        <w:jc w:val="both"/>
        <w:rPr>
          <w:rFonts w:ascii="Arial" w:hAnsi="Arial" w:cs="Arial"/>
          <w:color w:val="000000"/>
          <w:sz w:val="22"/>
          <w:szCs w:val="22"/>
        </w:rPr>
      </w:pPr>
      <w:r w:rsidRPr="003D4FC2">
        <w:rPr>
          <w:rFonts w:ascii="Arial" w:hAnsi="Arial" w:cs="Arial"/>
          <w:color w:val="000000"/>
          <w:sz w:val="22"/>
          <w:szCs w:val="22"/>
          <w:shd w:val="clear" w:color="auto" w:fill="FFFFFF"/>
        </w:rPr>
        <w:tab/>
        <w:t>En concordancia con ello, es importante resaltar que e</w:t>
      </w:r>
      <w:r w:rsidRPr="003D4FC2">
        <w:rPr>
          <w:rFonts w:ascii="Arial" w:hAnsi="Arial" w:cs="Arial"/>
          <w:color w:val="000000"/>
          <w:sz w:val="22"/>
          <w:szCs w:val="22"/>
        </w:rPr>
        <w:t>sta posición es compartida por varias entidades públicas que ejercen similar función. Por ejemplo, la Procuraduría General de la Nación</w:t>
      </w:r>
      <w:r w:rsidRPr="003D4FC2">
        <w:rPr>
          <w:rFonts w:ascii="Arial" w:hAnsi="Arial" w:cs="Arial"/>
          <w:color w:val="000000"/>
          <w:sz w:val="22"/>
          <w:szCs w:val="22"/>
          <w:vertAlign w:val="superscript"/>
        </w:rPr>
        <w:footnoteReference w:id="4"/>
      </w:r>
      <w:r w:rsidRPr="003D4FC2">
        <w:rPr>
          <w:rFonts w:ascii="Arial" w:hAnsi="Arial" w:cs="Arial"/>
          <w:color w:val="000000"/>
          <w:sz w:val="22"/>
          <w:szCs w:val="22"/>
        </w:rPr>
        <w:t xml:space="preserve">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 la Contraloría General</w:t>
      </w:r>
      <w:r w:rsidRPr="003D4FC2">
        <w:rPr>
          <w:rFonts w:ascii="Arial" w:hAnsi="Arial" w:cs="Arial"/>
          <w:color w:val="000000"/>
          <w:sz w:val="22"/>
          <w:szCs w:val="22"/>
          <w:vertAlign w:val="superscript"/>
        </w:rPr>
        <w:footnoteReference w:id="5"/>
      </w:r>
      <w:r w:rsidRPr="003D4FC2">
        <w:rPr>
          <w:rFonts w:ascii="Arial" w:hAnsi="Arial" w:cs="Arial"/>
          <w:color w:val="000000"/>
          <w:sz w:val="22"/>
          <w:szCs w:val="22"/>
        </w:rPr>
        <w:t xml:space="preserve"> de la República precisó que los «[…] conceptos emitidos por la Oficina Jurídica de la Contraloría General de la </w:t>
      </w:r>
      <w:r w:rsidRPr="003D4FC2">
        <w:rPr>
          <w:rFonts w:ascii="Arial" w:hAnsi="Arial" w:cs="Arial"/>
          <w:color w:val="000000"/>
          <w:sz w:val="22"/>
          <w:szCs w:val="22"/>
        </w:rPr>
        <w:lastRenderedPageBreak/>
        <w:t>República, son orientaciones de carácter general que […] no son de obligatorio cumplimiento o ejecución, ni tienen el carácter de fuente normativa y sólo pueden ser utilizados para facilitar la interpretación y aplicación de las normas jurídicas vigentes […]».</w:t>
      </w:r>
      <w:r w:rsidRPr="003D4FC2">
        <w:rPr>
          <w:rFonts w:ascii="Arial" w:eastAsia="Calibri" w:hAnsi="Arial" w:cs="Arial"/>
          <w:bCs/>
          <w:color w:val="000000"/>
          <w:sz w:val="22"/>
          <w:szCs w:val="22"/>
        </w:rPr>
        <w:t> </w:t>
      </w:r>
    </w:p>
    <w:p w14:paraId="6C222BBF" w14:textId="77777777" w:rsidR="009F2C6F" w:rsidRPr="003D4FC2" w:rsidRDefault="009F2C6F" w:rsidP="009F2C6F">
      <w:pPr>
        <w:tabs>
          <w:tab w:val="left" w:pos="709"/>
        </w:tabs>
        <w:spacing w:before="120" w:after="120" w:line="276" w:lineRule="auto"/>
        <w:jc w:val="both"/>
        <w:rPr>
          <w:rFonts w:ascii="Arial" w:hAnsi="Arial" w:cs="Arial"/>
          <w:color w:val="000000"/>
          <w:sz w:val="22"/>
          <w:szCs w:val="22"/>
        </w:rPr>
      </w:pPr>
      <w:r w:rsidRPr="003D4FC2">
        <w:rPr>
          <w:rFonts w:ascii="Arial" w:eastAsia="Calibri" w:hAnsi="Arial" w:cs="Arial"/>
          <w:bCs/>
          <w:color w:val="000000"/>
          <w:sz w:val="22"/>
          <w:szCs w:val="22"/>
        </w:rPr>
        <w:tab/>
      </w:r>
      <w:r w:rsidRPr="003D4FC2">
        <w:rPr>
          <w:rFonts w:ascii="Arial" w:hAnsi="Arial" w:cs="Arial"/>
          <w:color w:val="000000"/>
          <w:sz w:val="22"/>
          <w:szCs w:val="22"/>
        </w:rPr>
        <w:t>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3D4FC2">
        <w:rPr>
          <w:rFonts w:ascii="Arial" w:hAnsi="Arial" w:cs="Arial"/>
          <w:color w:val="000000"/>
          <w:sz w:val="22"/>
          <w:szCs w:val="22"/>
          <w:vertAlign w:val="superscript"/>
        </w:rPr>
        <w:footnoteReference w:id="6"/>
      </w:r>
      <w:r w:rsidRPr="003D4FC2">
        <w:rPr>
          <w:rFonts w:ascii="Arial" w:hAnsi="Arial" w:cs="Arial"/>
          <w:color w:val="000000"/>
          <w:sz w:val="22"/>
          <w:szCs w:val="22"/>
        </w:rPr>
        <w:t xml:space="preserve">. </w:t>
      </w:r>
    </w:p>
    <w:p w14:paraId="75F521D0" w14:textId="77777777" w:rsidR="009F2C6F" w:rsidRPr="003D4FC2" w:rsidRDefault="009F2C6F" w:rsidP="009F2C6F">
      <w:pPr>
        <w:spacing w:before="120" w:after="120" w:line="276" w:lineRule="auto"/>
        <w:ind w:firstLine="709"/>
        <w:jc w:val="both"/>
        <w:rPr>
          <w:rFonts w:ascii="Arial" w:hAnsi="Arial" w:cs="Arial"/>
          <w:color w:val="000000"/>
          <w:sz w:val="22"/>
          <w:szCs w:val="22"/>
        </w:rPr>
      </w:pPr>
      <w:r w:rsidRPr="003D4FC2">
        <w:rPr>
          <w:rFonts w:ascii="Arial" w:hAnsi="Arial" w:cs="Arial"/>
          <w:color w:val="000000"/>
          <w:sz w:val="22"/>
          <w:szCs w:val="22"/>
        </w:rPr>
        <w:t xml:space="preserve">De este modo, 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581F2A43" w14:textId="77777777" w:rsidR="009F2C6F" w:rsidRPr="003D4FC2" w:rsidRDefault="009F2C6F" w:rsidP="009F2C6F">
      <w:pPr>
        <w:spacing w:line="276" w:lineRule="auto"/>
        <w:ind w:firstLine="708"/>
        <w:jc w:val="both"/>
        <w:rPr>
          <w:rFonts w:ascii="Arial" w:hAnsi="Arial" w:cs="Arial"/>
          <w:color w:val="000000"/>
          <w:sz w:val="22"/>
          <w:szCs w:val="22"/>
        </w:rPr>
      </w:pPr>
      <w:r w:rsidRPr="003D4FC2">
        <w:rPr>
          <w:rFonts w:ascii="Arial" w:hAnsi="Arial" w:cs="Arial"/>
          <w:color w:val="000000"/>
          <w:sz w:val="22"/>
          <w:szCs w:val="22"/>
        </w:rPr>
        <w:t xml:space="preserve">De todos modos, esto no significa, necesariamente, que el criterio de una u otra tenga prevalencia sobre la otra, ya que se trata de opiniones emitidas a título de concepto, pese a que entre las entidades exista jerarquía, o de la naturaleza y competencias que se prediquen de una y otra. Incluso, aun cuando los jueces interpreten con autoridad el sentido de la disposición normativa, el concepto emitido por la entidad no deja de ser un concepto y no adquiere efectos vinculantes, así coincida con el de la autoridad judicial, pues, en esa hipótesis, lo que vincula es la decisión del juez, no el concepto de la entidad que ejerció la función consultiva, pues, como se viene diciendo, dicha competencia se enmarca en el artículo 28 de la Ley 1437 de 2011. Así pues, como lo establece esta forma, los conceptos «no serán de obligatorio cumplimiento o ejecución». Por lo anterior, a continuación, la Agencia Nacional de Contratación Pública – Colombia Compra Eficiente hará una interpretación </w:t>
      </w:r>
      <w:r w:rsidRPr="003D4FC2">
        <w:rPr>
          <w:rFonts w:ascii="Arial" w:hAnsi="Arial" w:cs="Arial"/>
          <w:i/>
          <w:iCs/>
          <w:color w:val="000000"/>
          <w:sz w:val="22"/>
          <w:szCs w:val="22"/>
        </w:rPr>
        <w:t>en abstracto</w:t>
      </w:r>
      <w:r w:rsidRPr="003D4FC2">
        <w:rPr>
          <w:rFonts w:ascii="Arial" w:hAnsi="Arial" w:cs="Arial"/>
          <w:color w:val="000000"/>
          <w:sz w:val="22"/>
          <w:szCs w:val="22"/>
        </w:rPr>
        <w:t xml:space="preserve"> de los temas que se relacionan con el objeto de su consulta, con la salvedad –fundamentada en los comentarios que acaban de hacerse– de que la opinión consultiva de la Agencia no es vinculante en el procedimiento de selección particular.</w:t>
      </w:r>
    </w:p>
    <w:p w14:paraId="18CAC168" w14:textId="77777777" w:rsidR="007D5482" w:rsidRPr="003D4FC2" w:rsidRDefault="007D5482" w:rsidP="000A0DF7">
      <w:pPr>
        <w:spacing w:line="276" w:lineRule="auto"/>
        <w:jc w:val="both"/>
        <w:rPr>
          <w:rFonts w:ascii="Arial" w:eastAsia="Calibri" w:hAnsi="Arial" w:cs="Arial"/>
          <w:color w:val="000000" w:themeColor="text1"/>
          <w:sz w:val="22"/>
          <w:lang w:val="es-ES_tradnl"/>
        </w:rPr>
      </w:pPr>
    </w:p>
    <w:p w14:paraId="3702059E" w14:textId="1D7B9699" w:rsidR="000A0DF7" w:rsidRPr="003D4FC2" w:rsidRDefault="000A0DF7" w:rsidP="000A0DF7">
      <w:pPr>
        <w:tabs>
          <w:tab w:val="left" w:pos="426"/>
        </w:tabs>
        <w:spacing w:line="276" w:lineRule="auto"/>
        <w:jc w:val="both"/>
        <w:rPr>
          <w:rFonts w:ascii="Arial" w:eastAsia="Calibri" w:hAnsi="Arial" w:cs="Arial"/>
          <w:b/>
          <w:bCs/>
          <w:color w:val="000000" w:themeColor="text1"/>
          <w:sz w:val="22"/>
          <w:szCs w:val="22"/>
          <w:lang w:val="es-ES_tradnl" w:eastAsia="en-US"/>
        </w:rPr>
      </w:pPr>
      <w:r w:rsidRPr="003D4FC2">
        <w:rPr>
          <w:rFonts w:ascii="Arial" w:eastAsia="Calibri" w:hAnsi="Arial" w:cs="Arial"/>
          <w:b/>
          <w:bCs/>
          <w:color w:val="000000" w:themeColor="text1"/>
          <w:sz w:val="22"/>
          <w:szCs w:val="22"/>
          <w:lang w:val="es-ES_tradnl" w:eastAsia="en-US"/>
        </w:rPr>
        <w:t>2.</w:t>
      </w:r>
      <w:r w:rsidR="009F2C6F" w:rsidRPr="003D4FC2">
        <w:rPr>
          <w:rFonts w:ascii="Arial" w:eastAsia="Calibri" w:hAnsi="Arial" w:cs="Arial"/>
          <w:b/>
          <w:bCs/>
          <w:color w:val="000000" w:themeColor="text1"/>
          <w:sz w:val="22"/>
          <w:szCs w:val="22"/>
          <w:lang w:val="es-ES_tradnl" w:eastAsia="en-US"/>
        </w:rPr>
        <w:t>2</w:t>
      </w:r>
      <w:r w:rsidRPr="003D4FC2">
        <w:rPr>
          <w:rFonts w:ascii="Arial" w:eastAsia="Calibri" w:hAnsi="Arial" w:cs="Arial"/>
          <w:b/>
          <w:bCs/>
          <w:color w:val="000000" w:themeColor="text1"/>
          <w:sz w:val="22"/>
          <w:szCs w:val="22"/>
          <w:lang w:val="es-ES_tradnl" w:eastAsia="en-US"/>
        </w:rPr>
        <w:t>. Definición y finalidad de la Ley de Garantías Electorales: alcance de las restricciones</w:t>
      </w:r>
    </w:p>
    <w:p w14:paraId="639E4FD8" w14:textId="77777777" w:rsidR="000A0DF7" w:rsidRPr="003D4FC2" w:rsidRDefault="000A0DF7" w:rsidP="000A0DF7">
      <w:pPr>
        <w:tabs>
          <w:tab w:val="left" w:pos="426"/>
        </w:tabs>
        <w:spacing w:line="276" w:lineRule="auto"/>
        <w:ind w:firstLine="709"/>
        <w:jc w:val="both"/>
        <w:rPr>
          <w:rFonts w:ascii="Arial" w:eastAsia="Calibri" w:hAnsi="Arial" w:cs="Arial"/>
          <w:bCs/>
          <w:color w:val="000000" w:themeColor="text1"/>
          <w:sz w:val="16"/>
          <w:szCs w:val="16"/>
          <w:lang w:val="es-ES_tradnl" w:eastAsia="en-US"/>
        </w:rPr>
      </w:pPr>
    </w:p>
    <w:p w14:paraId="4B69FC51" w14:textId="39CD87DE" w:rsidR="000A0DF7" w:rsidRPr="003D4FC2" w:rsidRDefault="000A0DF7" w:rsidP="000A0DF7">
      <w:pPr>
        <w:tabs>
          <w:tab w:val="left" w:pos="426"/>
        </w:tabs>
        <w:spacing w:after="120" w:line="276" w:lineRule="auto"/>
        <w:jc w:val="both"/>
        <w:rPr>
          <w:rFonts w:ascii="Arial" w:hAnsi="Arial" w:cs="Arial"/>
          <w:bCs/>
          <w:color w:val="000000" w:themeColor="text1"/>
          <w:sz w:val="22"/>
          <w:szCs w:val="22"/>
          <w:lang w:val="es-ES_tradnl" w:eastAsia="es-CO"/>
        </w:rPr>
      </w:pPr>
      <w:r w:rsidRPr="003D4FC2">
        <w:rPr>
          <w:rFonts w:ascii="Arial" w:eastAsia="Calibri" w:hAnsi="Arial" w:cs="Arial"/>
          <w:bCs/>
          <w:color w:val="000000" w:themeColor="text1"/>
          <w:sz w:val="22"/>
          <w:szCs w:val="22"/>
          <w:lang w:val="es-ES_tradnl" w:eastAsia="en-US"/>
        </w:rPr>
        <w:lastRenderedPageBreak/>
        <w:t>El ordenamiento jurídico colombiano contempla previsiones claras para evitar la obtención de beneficios personales en asuntos propios de la administración pública</w:t>
      </w:r>
      <w:r w:rsidRPr="003D4FC2">
        <w:rPr>
          <w:rFonts w:ascii="Arial" w:eastAsia="Calibri" w:hAnsi="Arial" w:cs="Arial"/>
          <w:bCs/>
          <w:i/>
          <w:iCs/>
          <w:color w:val="000000" w:themeColor="text1"/>
          <w:sz w:val="22"/>
          <w:szCs w:val="22"/>
          <w:lang w:val="es-ES_tradnl" w:eastAsia="en-US"/>
        </w:rPr>
        <w:t xml:space="preserve">. </w:t>
      </w:r>
      <w:r w:rsidRPr="003D4FC2">
        <w:rPr>
          <w:rFonts w:ascii="Arial" w:eastAsia="Calibri" w:hAnsi="Arial" w:cs="Arial"/>
          <w:bCs/>
          <w:color w:val="000000" w:themeColor="text1"/>
          <w:sz w:val="22"/>
          <w:szCs w:val="22"/>
          <w:lang w:val="es-ES_tradnl" w:eastAsia="en-US"/>
        </w:rPr>
        <w:t>Por ejemplo, el artículo 127 de la Constitución Política establece una prohibición contractual a los servidores públicos y</w:t>
      </w:r>
      <w:r w:rsidR="00B24DE5" w:rsidRPr="003D4FC2">
        <w:rPr>
          <w:rFonts w:ascii="Arial" w:eastAsia="Calibri" w:hAnsi="Arial" w:cs="Arial"/>
          <w:bCs/>
          <w:color w:val="000000" w:themeColor="text1"/>
          <w:sz w:val="22"/>
          <w:szCs w:val="22"/>
          <w:lang w:val="es-ES_tradnl" w:eastAsia="en-US"/>
        </w:rPr>
        <w:t>,</w:t>
      </w:r>
      <w:r w:rsidRPr="003D4FC2">
        <w:rPr>
          <w:rFonts w:ascii="Arial" w:eastAsia="Calibri" w:hAnsi="Arial" w:cs="Arial"/>
          <w:bCs/>
          <w:color w:val="000000" w:themeColor="text1"/>
          <w:sz w:val="22"/>
          <w:szCs w:val="22"/>
          <w:lang w:val="es-ES_tradnl" w:eastAsia="en-US"/>
        </w:rPr>
        <w:t xml:space="preserve"> en cuanto a aspectos políticos</w:t>
      </w:r>
      <w:r w:rsidR="00B24DE5" w:rsidRPr="003D4FC2">
        <w:rPr>
          <w:rFonts w:ascii="Arial" w:eastAsia="Calibri" w:hAnsi="Arial" w:cs="Arial"/>
          <w:bCs/>
          <w:color w:val="000000" w:themeColor="text1"/>
          <w:sz w:val="22"/>
          <w:szCs w:val="22"/>
          <w:lang w:val="es-ES_tradnl" w:eastAsia="en-US"/>
        </w:rPr>
        <w:t xml:space="preserve">, </w:t>
      </w:r>
      <w:r w:rsidRPr="003D4FC2">
        <w:rPr>
          <w:rFonts w:ascii="Arial" w:eastAsia="Calibri" w:hAnsi="Arial" w:cs="Arial"/>
          <w:bCs/>
          <w:color w:val="000000" w:themeColor="text1"/>
          <w:sz w:val="22"/>
          <w:szCs w:val="22"/>
          <w:lang w:val="es-ES_tradnl" w:eastAsia="en-US"/>
        </w:rPr>
        <w:t>establece restricciones a ciertos empleados del Estado, incluso en época no electoral</w:t>
      </w:r>
      <w:r w:rsidRPr="003D4FC2">
        <w:rPr>
          <w:rStyle w:val="Refdenotaalpie"/>
          <w:rFonts w:ascii="Arial" w:eastAsia="Calibri" w:hAnsi="Arial" w:cs="Arial"/>
          <w:color w:val="000000" w:themeColor="text1"/>
        </w:rPr>
        <w:footnoteReference w:id="7"/>
      </w:r>
      <w:r w:rsidRPr="003D4FC2">
        <w:rPr>
          <w:rFonts w:ascii="Arial" w:eastAsia="Calibri" w:hAnsi="Arial" w:cs="Arial"/>
          <w:bCs/>
          <w:color w:val="000000" w:themeColor="text1"/>
          <w:sz w:val="22"/>
          <w:szCs w:val="22"/>
          <w:lang w:val="es-ES_tradnl" w:eastAsia="en-US"/>
        </w:rPr>
        <w:t xml:space="preserve">. </w:t>
      </w:r>
    </w:p>
    <w:p w14:paraId="3C018A04" w14:textId="77777777" w:rsidR="000A0DF7" w:rsidRPr="003D4FC2" w:rsidRDefault="000A0DF7" w:rsidP="000A0DF7">
      <w:pPr>
        <w:tabs>
          <w:tab w:val="left" w:pos="426"/>
        </w:tabs>
        <w:spacing w:line="276" w:lineRule="auto"/>
        <w:ind w:firstLine="709"/>
        <w:jc w:val="both"/>
        <w:rPr>
          <w:rFonts w:ascii="Arial" w:hAnsi="Arial" w:cs="Arial"/>
          <w:bCs/>
          <w:color w:val="000000" w:themeColor="text1"/>
          <w:sz w:val="22"/>
          <w:szCs w:val="22"/>
          <w:lang w:val="es-ES_tradnl" w:eastAsia="es-CO"/>
        </w:rPr>
      </w:pPr>
      <w:r w:rsidRPr="003D4FC2">
        <w:rPr>
          <w:rFonts w:ascii="Arial" w:hAnsi="Arial" w:cs="Arial"/>
          <w:bCs/>
          <w:color w:val="000000" w:themeColor="text1"/>
          <w:sz w:val="22"/>
          <w:szCs w:val="22"/>
          <w:lang w:val="es-ES_tradnl" w:eastAsia="es-CO"/>
        </w:rPr>
        <w:t>En el mismo sentido, 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3D4FC2">
        <w:rPr>
          <w:rStyle w:val="Refdenotaalpie"/>
          <w:rFonts w:ascii="Arial" w:hAnsi="Arial" w:cs="Arial"/>
          <w:color w:val="000000" w:themeColor="text1"/>
        </w:rPr>
        <w:footnoteReference w:id="8"/>
      </w:r>
      <w:r w:rsidRPr="003D4FC2">
        <w:rPr>
          <w:rFonts w:ascii="Arial" w:hAnsi="Arial" w:cs="Arial"/>
          <w:bCs/>
          <w:color w:val="000000" w:themeColor="text1"/>
          <w:sz w:val="22"/>
          <w:szCs w:val="22"/>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3D4FC2">
        <w:rPr>
          <w:rFonts w:ascii="Arial" w:eastAsia="Calibri" w:hAnsi="Arial" w:cs="Arial"/>
          <w:noProof/>
          <w:color w:val="000000" w:themeColor="text1"/>
          <w:sz w:val="22"/>
          <w:szCs w:val="22"/>
          <w:lang w:val="es-ES_tradnl" w:eastAsia="en-US"/>
        </w:rPr>
        <w:t xml:space="preserve"> </w:t>
      </w:r>
      <w:r w:rsidRPr="003D4FC2">
        <w:rPr>
          <w:rFonts w:ascii="Arial" w:hAnsi="Arial" w:cs="Arial"/>
          <w:bCs/>
          <w:color w:val="000000" w:themeColor="text1"/>
          <w:sz w:val="22"/>
          <w:szCs w:val="22"/>
          <w:lang w:val="es-ES_tradnl" w:eastAsia="es-CO"/>
        </w:rPr>
        <w:t>En armonía con lo anterior, la Corte Constitucional ha abordado la definición de la Ley de Garantías Electorales. De esta manera, explica que tiene como propósito:</w:t>
      </w:r>
    </w:p>
    <w:p w14:paraId="22188615" w14:textId="77777777" w:rsidR="000A0DF7" w:rsidRPr="003D4FC2" w:rsidRDefault="000A0DF7" w:rsidP="000A0DF7">
      <w:pPr>
        <w:ind w:right="709"/>
        <w:jc w:val="both"/>
        <w:rPr>
          <w:rFonts w:ascii="Arial" w:hAnsi="Arial" w:cs="Arial"/>
          <w:color w:val="000000" w:themeColor="text1"/>
          <w:sz w:val="21"/>
          <w:szCs w:val="21"/>
          <w:lang w:val="es-ES_tradnl" w:eastAsia="es-CO"/>
        </w:rPr>
      </w:pPr>
    </w:p>
    <w:p w14:paraId="21DCAA2C" w14:textId="77777777" w:rsidR="000A0DF7" w:rsidRPr="003D4FC2" w:rsidRDefault="000A0DF7" w:rsidP="000A0DF7">
      <w:pPr>
        <w:ind w:left="709" w:right="709"/>
        <w:jc w:val="both"/>
        <w:rPr>
          <w:rFonts w:ascii="Arial" w:hAnsi="Arial" w:cs="Arial"/>
          <w:bCs/>
          <w:color w:val="000000" w:themeColor="text1"/>
          <w:sz w:val="21"/>
          <w:szCs w:val="21"/>
          <w:lang w:val="es-ES_tradnl" w:eastAsia="es-CO"/>
        </w:rPr>
      </w:pPr>
      <w:r w:rsidRPr="003D4FC2">
        <w:rPr>
          <w:rFonts w:ascii="Arial" w:hAnsi="Arial" w:cs="Arial"/>
          <w:color w:val="000000" w:themeColor="text1"/>
          <w:sz w:val="21"/>
          <w:szCs w:val="21"/>
          <w:lang w:val="es-ES_tradnl" w:eastAsia="es-CO"/>
        </w:rPr>
        <w:t xml:space="preserve">[…] </w:t>
      </w:r>
      <w:r w:rsidRPr="003D4FC2">
        <w:rPr>
          <w:rFonts w:ascii="Arial" w:hAnsi="Arial" w:cs="Arial"/>
          <w:bCs/>
          <w:color w:val="000000" w:themeColor="text1"/>
          <w:sz w:val="21"/>
          <w:szCs w:val="21"/>
          <w:lang w:val="es-ES_tradnl" w:eastAsia="es-CO"/>
        </w:rPr>
        <w:t>la definición de reglas claras que permitan acceder a los canales de expresión democrática de manera efectiva e igualitaria. El objetivo de una ley de garantías es definir esas reglas.</w:t>
      </w:r>
    </w:p>
    <w:p w14:paraId="29792BF5" w14:textId="77777777" w:rsidR="000A0DF7" w:rsidRPr="003D4FC2" w:rsidRDefault="000A0DF7" w:rsidP="000A0DF7">
      <w:pPr>
        <w:spacing w:after="120"/>
        <w:ind w:left="709" w:right="709"/>
        <w:jc w:val="both"/>
        <w:rPr>
          <w:rFonts w:ascii="Arial" w:hAnsi="Arial" w:cs="Arial"/>
          <w:bCs/>
          <w:color w:val="000000" w:themeColor="text1"/>
          <w:sz w:val="21"/>
          <w:szCs w:val="21"/>
          <w:lang w:val="es-ES_tradnl" w:eastAsia="es-CO"/>
        </w:rPr>
      </w:pPr>
      <w:r w:rsidRPr="003D4FC2">
        <w:rPr>
          <w:rFonts w:ascii="Arial" w:hAnsi="Arial" w:cs="Arial"/>
          <w:bCs/>
          <w:color w:val="000000" w:themeColor="text1"/>
          <w:sz w:val="21"/>
          <w:szCs w:val="21"/>
          <w:lang w:val="es-ES_tradnl" w:eastAsia="es-CO"/>
        </w:rPr>
        <w:t xml:space="preserve">[…] </w:t>
      </w:r>
    </w:p>
    <w:p w14:paraId="289824E8" w14:textId="77777777" w:rsidR="000A0DF7" w:rsidRPr="003D4FC2" w:rsidRDefault="000A0DF7" w:rsidP="000A0DF7">
      <w:pPr>
        <w:ind w:left="709" w:right="709"/>
        <w:jc w:val="both"/>
        <w:rPr>
          <w:rFonts w:ascii="Arial" w:hAnsi="Arial" w:cs="Arial"/>
          <w:bCs/>
          <w:color w:val="000000" w:themeColor="text1"/>
          <w:sz w:val="21"/>
          <w:szCs w:val="21"/>
          <w:lang w:val="es-ES_tradnl" w:eastAsia="es-CO"/>
        </w:rPr>
      </w:pPr>
      <w:r w:rsidRPr="003D4FC2">
        <w:rPr>
          <w:rFonts w:ascii="Arial" w:hAnsi="Arial" w:cs="Arial"/>
          <w:bCs/>
          <w:color w:val="000000" w:themeColor="text1"/>
          <w:sz w:val="21"/>
          <w:szCs w:val="21"/>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3D4FC2">
        <w:rPr>
          <w:rStyle w:val="Refdenotaalpie"/>
          <w:rFonts w:ascii="Arial" w:eastAsiaTheme="minorHAnsi" w:hAnsi="Arial" w:cs="Arial"/>
          <w:color w:val="000000" w:themeColor="text1"/>
        </w:rPr>
        <w:footnoteReference w:id="9"/>
      </w:r>
    </w:p>
    <w:p w14:paraId="6FCC9605" w14:textId="77777777" w:rsidR="000A0DF7" w:rsidRPr="003D4FC2" w:rsidRDefault="000A0DF7" w:rsidP="000A0DF7">
      <w:pPr>
        <w:spacing w:line="276" w:lineRule="auto"/>
        <w:ind w:left="709" w:right="709"/>
        <w:jc w:val="both"/>
        <w:rPr>
          <w:rFonts w:ascii="Arial" w:hAnsi="Arial" w:cs="Arial"/>
          <w:bCs/>
          <w:color w:val="000000" w:themeColor="text1"/>
          <w:sz w:val="21"/>
          <w:szCs w:val="21"/>
          <w:lang w:val="es-ES_tradnl" w:eastAsia="es-CO"/>
        </w:rPr>
      </w:pPr>
    </w:p>
    <w:p w14:paraId="16A4316F" w14:textId="77777777" w:rsidR="000A0DF7" w:rsidRPr="003D4FC2" w:rsidRDefault="000A0DF7" w:rsidP="000A0DF7">
      <w:pPr>
        <w:spacing w:line="276" w:lineRule="auto"/>
        <w:ind w:firstLine="709"/>
        <w:jc w:val="both"/>
        <w:rPr>
          <w:rFonts w:ascii="Arial" w:hAnsi="Arial" w:cs="Arial"/>
          <w:bCs/>
          <w:color w:val="000000" w:themeColor="text1"/>
          <w:sz w:val="22"/>
          <w:szCs w:val="22"/>
          <w:lang w:val="es-ES_tradnl" w:eastAsia="es-CO"/>
        </w:rPr>
      </w:pPr>
      <w:r w:rsidRPr="003D4FC2">
        <w:rPr>
          <w:rFonts w:ascii="Arial" w:hAnsi="Arial" w:cs="Arial"/>
          <w:bCs/>
          <w:color w:val="000000" w:themeColor="text1"/>
          <w:sz w:val="22"/>
          <w:szCs w:val="22"/>
          <w:lang w:val="es-ES_tradnl" w:eastAsia="es-CO"/>
        </w:rPr>
        <w:t xml:space="preserve">En este contexto, la Ley de Garantías Electorales establece el marco jurídico para el desarrollo de las elecciones, procurando condiciones de igualdad y transparencia para </w:t>
      </w:r>
      <w:r w:rsidRPr="003D4FC2">
        <w:rPr>
          <w:rFonts w:ascii="Arial" w:hAnsi="Arial" w:cs="Arial"/>
          <w:bCs/>
          <w:color w:val="000000" w:themeColor="text1"/>
          <w:sz w:val="22"/>
          <w:szCs w:val="22"/>
          <w:lang w:val="es-ES_tradnl" w:eastAsia="es-CO"/>
        </w:rPr>
        <w:lastRenderedPageBreak/>
        <w:t>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4092D4A" w14:textId="77777777" w:rsidR="000A0DF7" w:rsidRPr="003D4FC2" w:rsidRDefault="000A0DF7" w:rsidP="000A0DF7">
      <w:pPr>
        <w:spacing w:line="276" w:lineRule="auto"/>
        <w:ind w:firstLine="709"/>
        <w:jc w:val="both"/>
        <w:rPr>
          <w:rFonts w:ascii="Arial" w:hAnsi="Arial" w:cs="Arial"/>
          <w:bCs/>
          <w:color w:val="000000" w:themeColor="text1"/>
          <w:sz w:val="22"/>
          <w:szCs w:val="22"/>
          <w:lang w:val="es-ES_tradnl" w:eastAsia="es-CO"/>
        </w:rPr>
      </w:pPr>
    </w:p>
    <w:p w14:paraId="5F1B520A" w14:textId="77777777" w:rsidR="000A0DF7" w:rsidRPr="003D4FC2" w:rsidRDefault="000A0DF7" w:rsidP="000A0DF7">
      <w:pPr>
        <w:spacing w:after="120"/>
        <w:ind w:left="709" w:right="709"/>
        <w:jc w:val="both"/>
        <w:rPr>
          <w:rFonts w:ascii="Arial" w:hAnsi="Arial" w:cs="Arial"/>
          <w:bCs/>
          <w:color w:val="000000" w:themeColor="text1"/>
          <w:sz w:val="21"/>
          <w:szCs w:val="21"/>
          <w:lang w:val="es-ES_tradnl" w:eastAsia="es-CO"/>
        </w:rPr>
      </w:pPr>
      <w:r w:rsidRPr="003D4FC2">
        <w:rPr>
          <w:rFonts w:ascii="Arial" w:hAnsi="Arial" w:cs="Arial"/>
          <w:bCs/>
          <w:color w:val="000000" w:themeColor="text1"/>
          <w:sz w:val="21"/>
          <w:szCs w:val="21"/>
          <w:lang w:val="es-ES_tradnl"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D4FC2">
        <w:rPr>
          <w:rFonts w:ascii="Arial" w:hAnsi="Arial" w:cs="Arial"/>
          <w:bCs/>
          <w:color w:val="000000" w:themeColor="text1"/>
          <w:sz w:val="21"/>
          <w:szCs w:val="21"/>
          <w:lang w:val="es-ES_tradnl" w:eastAsia="es-CO"/>
        </w:rPr>
        <w:t>legis</w:t>
      </w:r>
      <w:proofErr w:type="spellEnd"/>
      <w:r w:rsidRPr="003D4FC2">
        <w:rPr>
          <w:rFonts w:ascii="Arial" w:hAnsi="Arial" w:cs="Arial"/>
          <w:bCs/>
          <w:color w:val="000000" w:themeColor="text1"/>
          <w:sz w:val="21"/>
          <w:szCs w:val="21"/>
          <w:lang w:val="es-ES_tradnl"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6272186" w14:textId="77777777" w:rsidR="000A0DF7" w:rsidRPr="003D4FC2" w:rsidRDefault="000A0DF7" w:rsidP="000A0DF7">
      <w:pPr>
        <w:ind w:left="709" w:right="709"/>
        <w:jc w:val="both"/>
        <w:rPr>
          <w:rFonts w:ascii="Arial" w:hAnsi="Arial" w:cs="Arial"/>
          <w:bCs/>
          <w:color w:val="000000" w:themeColor="text1"/>
          <w:sz w:val="21"/>
          <w:szCs w:val="21"/>
          <w:lang w:val="es-ES_tradnl" w:eastAsia="es-CO"/>
        </w:rPr>
      </w:pPr>
      <w:r w:rsidRPr="003D4FC2">
        <w:rPr>
          <w:rFonts w:ascii="Arial" w:hAnsi="Arial" w:cs="Arial"/>
          <w:bCs/>
          <w:color w:val="000000" w:themeColor="text1"/>
          <w:sz w:val="21"/>
          <w:szCs w:val="21"/>
          <w:lang w:val="es-ES_tradnl" w:eastAsia="es-CO"/>
        </w:rPr>
        <w:t>La jurisprudencia de la Corte Constitucional</w:t>
      </w:r>
      <w:r w:rsidRPr="003D4FC2">
        <w:rPr>
          <w:rStyle w:val="Refdenotaalpie"/>
          <w:rFonts w:ascii="Arial" w:hAnsi="Arial" w:cs="Arial"/>
          <w:color w:val="000000" w:themeColor="text1"/>
        </w:rPr>
        <w:footnoteReference w:id="10"/>
      </w:r>
      <w:r w:rsidRPr="003D4FC2">
        <w:rPr>
          <w:rFonts w:ascii="Arial" w:hAnsi="Arial" w:cs="Arial"/>
          <w:bCs/>
          <w:color w:val="000000" w:themeColor="text1"/>
          <w:sz w:val="21"/>
          <w:szCs w:val="21"/>
          <w:lang w:val="es-ES_tradnl" w:eastAsia="es-CO"/>
        </w:rPr>
        <w:t> y del Consejo de Estado</w:t>
      </w:r>
      <w:r w:rsidRPr="003D4FC2">
        <w:rPr>
          <w:rStyle w:val="Refdenotaalpie"/>
          <w:rFonts w:ascii="Arial" w:hAnsi="Arial" w:cs="Arial"/>
          <w:color w:val="000000" w:themeColor="text1"/>
        </w:rPr>
        <w:footnoteReference w:id="11"/>
      </w:r>
      <w:r w:rsidRPr="003D4FC2">
        <w:rPr>
          <w:rFonts w:ascii="Arial" w:hAnsi="Arial" w:cs="Arial"/>
          <w:bCs/>
          <w:color w:val="000000" w:themeColor="text1"/>
          <w:sz w:val="21"/>
          <w:szCs w:val="21"/>
          <w:lang w:val="es-ES_tradnl"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3D4FC2">
        <w:rPr>
          <w:rStyle w:val="Refdenotaalpie"/>
          <w:rFonts w:ascii="Arial" w:hAnsi="Arial" w:cs="Arial"/>
          <w:color w:val="000000" w:themeColor="text1"/>
        </w:rPr>
        <w:footnoteReference w:id="12"/>
      </w:r>
      <w:r w:rsidRPr="003D4FC2">
        <w:rPr>
          <w:rFonts w:ascii="Arial" w:hAnsi="Arial" w:cs="Arial"/>
          <w:bCs/>
          <w:color w:val="000000" w:themeColor="text1"/>
          <w:sz w:val="21"/>
          <w:szCs w:val="21"/>
          <w:lang w:val="es-ES_tradnl" w:eastAsia="es-CO"/>
        </w:rPr>
        <w:t>.</w:t>
      </w:r>
    </w:p>
    <w:p w14:paraId="163DEDFF" w14:textId="77777777" w:rsidR="000A0DF7" w:rsidRPr="003D4FC2" w:rsidRDefault="000A0DF7" w:rsidP="000A0DF7">
      <w:pPr>
        <w:spacing w:line="276" w:lineRule="auto"/>
        <w:ind w:right="709"/>
        <w:jc w:val="both"/>
        <w:rPr>
          <w:rFonts w:ascii="Arial" w:hAnsi="Arial" w:cs="Arial"/>
          <w:bCs/>
          <w:color w:val="000000" w:themeColor="text1"/>
          <w:sz w:val="22"/>
          <w:szCs w:val="22"/>
          <w:lang w:val="es-ES_tradnl" w:eastAsia="es-CO"/>
        </w:rPr>
      </w:pPr>
    </w:p>
    <w:p w14:paraId="60DFFAB8" w14:textId="77777777" w:rsidR="000A0DF7" w:rsidRPr="003D4FC2" w:rsidRDefault="000A0DF7" w:rsidP="000A0DF7">
      <w:pPr>
        <w:spacing w:after="120" w:line="276" w:lineRule="auto"/>
        <w:jc w:val="both"/>
        <w:rPr>
          <w:rFonts w:ascii="Arial" w:eastAsia="Arial" w:hAnsi="Arial" w:cs="Arial"/>
          <w:color w:val="000000" w:themeColor="text1"/>
          <w:sz w:val="22"/>
          <w:szCs w:val="22"/>
          <w:lang w:val="es-ES_tradnl" w:eastAsia="es-ES" w:bidi="es-ES"/>
        </w:rPr>
      </w:pPr>
      <w:r w:rsidRPr="003D4FC2">
        <w:rPr>
          <w:rFonts w:ascii="Arial" w:hAnsi="Arial" w:cs="Arial"/>
          <w:bCs/>
          <w:color w:val="000000" w:themeColor="text1"/>
          <w:sz w:val="22"/>
          <w:szCs w:val="22"/>
          <w:lang w:val="es-ES_tradnl" w:eastAsia="es-CO"/>
        </w:rPr>
        <w:tab/>
        <w:t>De</w:t>
      </w:r>
      <w:r w:rsidRPr="003D4FC2">
        <w:rPr>
          <w:rFonts w:ascii="Arial" w:eastAsia="Arial" w:hAnsi="Arial" w:cs="Arial"/>
          <w:color w:val="000000" w:themeColor="text1"/>
          <w:sz w:val="22"/>
          <w:szCs w:val="22"/>
          <w:lang w:val="es-ES_tradnl"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0BA24FB2" w14:textId="77777777" w:rsidR="000A0DF7" w:rsidRPr="003D4FC2" w:rsidRDefault="000A0DF7" w:rsidP="000A0DF7">
      <w:pPr>
        <w:spacing w:after="120" w:line="276" w:lineRule="auto"/>
        <w:ind w:firstLine="708"/>
        <w:jc w:val="both"/>
        <w:rPr>
          <w:rFonts w:ascii="Arial" w:eastAsia="Calibri" w:hAnsi="Arial" w:cs="Arial"/>
          <w:color w:val="000000" w:themeColor="text1"/>
          <w:sz w:val="22"/>
          <w:szCs w:val="22"/>
          <w:lang w:val="es-ES_tradnl" w:eastAsia="en-US"/>
        </w:rPr>
      </w:pPr>
      <w:r w:rsidRPr="003D4FC2">
        <w:rPr>
          <w:rFonts w:ascii="Arial" w:eastAsia="Calibri" w:hAnsi="Arial" w:cs="Arial"/>
          <w:color w:val="000000" w:themeColor="text1"/>
          <w:sz w:val="22"/>
          <w:szCs w:val="22"/>
          <w:lang w:val="es-ES_tradnl" w:eastAsia="en-US"/>
        </w:rPr>
        <w:lastRenderedPageBreak/>
        <w:t xml:space="preserve">Por un lado, el artículo 33 de la Ley 996 de 2005 prohíbe </w:t>
      </w:r>
      <w:r w:rsidRPr="003D4FC2">
        <w:rPr>
          <w:rFonts w:ascii="Arial" w:eastAsia="Calibri" w:hAnsi="Arial" w:cs="Arial"/>
          <w:bCs/>
          <w:color w:val="000000" w:themeColor="text1"/>
          <w:sz w:val="22"/>
          <w:szCs w:val="22"/>
          <w:lang w:val="es-ES_tradnl" w:eastAsia="en-US"/>
        </w:rPr>
        <w:t xml:space="preserve">«[…] </w:t>
      </w:r>
      <w:r w:rsidRPr="003D4FC2">
        <w:rPr>
          <w:rFonts w:ascii="Arial" w:eastAsia="Calibri" w:hAnsi="Arial" w:cs="Arial"/>
          <w:color w:val="000000" w:themeColor="text1"/>
          <w:sz w:val="22"/>
          <w:szCs w:val="22"/>
          <w:lang w:val="es-ES_tradnl" w:eastAsia="en-US"/>
        </w:rPr>
        <w:t>la contratación directa por parte de todos los entes del Estado</w:t>
      </w:r>
      <w:r w:rsidRPr="003D4FC2">
        <w:rPr>
          <w:rFonts w:ascii="Arial" w:eastAsia="Calibri" w:hAnsi="Arial" w:cs="Arial"/>
          <w:bCs/>
          <w:color w:val="000000" w:themeColor="text1"/>
          <w:sz w:val="22"/>
          <w:szCs w:val="22"/>
          <w:lang w:val="es-ES_tradnl" w:eastAsia="en-US"/>
        </w:rPr>
        <w:t>»</w:t>
      </w:r>
      <w:r w:rsidRPr="003D4FC2">
        <w:rPr>
          <w:rFonts w:ascii="Arial" w:eastAsia="Calibri" w:hAnsi="Arial" w:cs="Arial"/>
          <w:color w:val="000000" w:themeColor="text1"/>
          <w:sz w:val="22"/>
          <w:szCs w:val="22"/>
          <w:lang w:val="es-ES_tradnl" w:eastAsia="en-US"/>
        </w:rPr>
        <w:t xml:space="preserve"> durante los cuatro (4) meses anteriores a las elecciones presidenciales, salvo </w:t>
      </w:r>
      <w:r w:rsidRPr="003D4FC2">
        <w:rPr>
          <w:rFonts w:ascii="Arial" w:eastAsia="Calibri" w:hAnsi="Arial" w:cs="Arial"/>
          <w:bCs/>
          <w:color w:val="000000" w:themeColor="text1"/>
          <w:sz w:val="22"/>
          <w:szCs w:val="22"/>
          <w:lang w:val="es-ES_tradnl" w:eastAsia="en-US"/>
        </w:rPr>
        <w:t xml:space="preserve">«[…] </w:t>
      </w:r>
      <w:r w:rsidRPr="003D4FC2">
        <w:rPr>
          <w:rFonts w:ascii="Arial" w:eastAsia="Calibri" w:hAnsi="Arial" w:cs="Arial"/>
          <w:color w:val="000000" w:themeColor="text1"/>
          <w:sz w:val="22"/>
          <w:szCs w:val="22"/>
          <w:lang w:val="es-ES_tradnl"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D4FC2">
        <w:rPr>
          <w:rFonts w:ascii="Arial" w:eastAsia="Calibri" w:hAnsi="Arial" w:cs="Arial"/>
          <w:bCs/>
          <w:color w:val="000000" w:themeColor="text1"/>
          <w:sz w:val="22"/>
          <w:szCs w:val="22"/>
          <w:lang w:val="es-ES_tradnl" w:eastAsia="en-US"/>
        </w:rPr>
        <w:t>»</w:t>
      </w:r>
      <w:r w:rsidRPr="003D4FC2">
        <w:rPr>
          <w:rStyle w:val="Refdenotaalpie"/>
          <w:rFonts w:ascii="Arial" w:eastAsia="Calibri" w:hAnsi="Arial" w:cs="Arial"/>
          <w:color w:val="000000" w:themeColor="text1"/>
        </w:rPr>
        <w:footnoteReference w:id="13"/>
      </w:r>
      <w:r w:rsidRPr="003D4FC2">
        <w:rPr>
          <w:rFonts w:ascii="Arial" w:eastAsia="Calibri" w:hAnsi="Arial" w:cs="Arial"/>
          <w:color w:val="000000" w:themeColor="text1"/>
          <w:sz w:val="22"/>
          <w:szCs w:val="22"/>
          <w:lang w:val="es-ES_tradnl" w:eastAsia="en-US"/>
        </w:rPr>
        <w:t>.</w:t>
      </w:r>
    </w:p>
    <w:p w14:paraId="6CD813E3" w14:textId="77777777" w:rsidR="000A0DF7" w:rsidRPr="003D4FC2" w:rsidRDefault="000A0DF7" w:rsidP="000A0DF7">
      <w:pPr>
        <w:widowControl w:val="0"/>
        <w:autoSpaceDE w:val="0"/>
        <w:autoSpaceDN w:val="0"/>
        <w:spacing w:line="276" w:lineRule="auto"/>
        <w:ind w:right="113" w:firstLine="708"/>
        <w:jc w:val="both"/>
        <w:rPr>
          <w:rFonts w:ascii="Arial" w:eastAsia="Arial" w:hAnsi="Arial" w:cs="Arial"/>
          <w:color w:val="000000" w:themeColor="text1"/>
          <w:sz w:val="22"/>
          <w:szCs w:val="22"/>
          <w:lang w:val="es-ES_tradnl" w:eastAsia="es-ES" w:bidi="es-ES"/>
        </w:rPr>
      </w:pPr>
      <w:r w:rsidRPr="003D4FC2">
        <w:rPr>
          <w:rFonts w:ascii="Arial" w:eastAsia="Calibri" w:hAnsi="Arial" w:cs="Arial"/>
          <w:color w:val="000000" w:themeColor="text1"/>
          <w:sz w:val="22"/>
          <w:szCs w:val="22"/>
          <w:lang w:val="es-ES_tradnl"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3D4FC2">
        <w:rPr>
          <w:rFonts w:ascii="Arial" w:eastAsia="Calibri" w:hAnsi="Arial" w:cs="Arial"/>
          <w:bCs/>
          <w:color w:val="000000" w:themeColor="text1"/>
          <w:sz w:val="22"/>
          <w:szCs w:val="22"/>
          <w:lang w:val="es-ES_tradnl" w:eastAsia="en-US"/>
        </w:rPr>
        <w:t xml:space="preserve">«[…] </w:t>
      </w:r>
      <w:r w:rsidRPr="003D4FC2">
        <w:rPr>
          <w:rFonts w:ascii="Arial" w:eastAsia="Calibri" w:hAnsi="Arial" w:cs="Arial"/>
          <w:color w:val="000000" w:themeColor="text1"/>
          <w:sz w:val="22"/>
          <w:szCs w:val="22"/>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D4FC2">
        <w:rPr>
          <w:rFonts w:ascii="Arial" w:eastAsia="Calibri" w:hAnsi="Arial" w:cs="Arial"/>
          <w:bCs/>
          <w:color w:val="000000" w:themeColor="text1"/>
          <w:sz w:val="19"/>
          <w:szCs w:val="19"/>
          <w:lang w:val="es-ES_tradnl" w:eastAsia="en-US"/>
        </w:rPr>
        <w:t>»</w:t>
      </w:r>
      <w:r w:rsidRPr="003D4FC2">
        <w:rPr>
          <w:rStyle w:val="Refdenotaalpie"/>
          <w:rFonts w:ascii="Arial" w:eastAsia="Calibri" w:hAnsi="Arial" w:cs="Arial"/>
          <w:color w:val="000000" w:themeColor="text1"/>
        </w:rPr>
        <w:footnoteReference w:id="14"/>
      </w:r>
      <w:r w:rsidRPr="003D4FC2">
        <w:rPr>
          <w:rFonts w:ascii="Arial" w:eastAsia="Calibri" w:hAnsi="Arial" w:cs="Arial"/>
          <w:color w:val="000000" w:themeColor="text1"/>
          <w:sz w:val="22"/>
          <w:szCs w:val="22"/>
          <w:lang w:val="es-ES_tradnl" w:eastAsia="en-US"/>
        </w:rPr>
        <w:t>.</w:t>
      </w:r>
      <w:r w:rsidRPr="003D4FC2">
        <w:rPr>
          <w:rFonts w:ascii="Arial" w:eastAsia="Arial" w:hAnsi="Arial" w:cs="Arial"/>
          <w:color w:val="000000" w:themeColor="text1"/>
          <w:sz w:val="22"/>
          <w:szCs w:val="22"/>
          <w:lang w:val="es-ES_tradnl"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87FDC75" w14:textId="77777777" w:rsidR="000A0DF7" w:rsidRPr="003D4FC2" w:rsidRDefault="000A0DF7" w:rsidP="000A0DF7">
      <w:pPr>
        <w:widowControl w:val="0"/>
        <w:autoSpaceDE w:val="0"/>
        <w:autoSpaceDN w:val="0"/>
        <w:ind w:left="805" w:right="812"/>
        <w:jc w:val="both"/>
        <w:rPr>
          <w:rFonts w:ascii="Arial" w:eastAsia="Arial" w:hAnsi="Arial" w:cs="Arial"/>
          <w:color w:val="000000" w:themeColor="text1"/>
          <w:sz w:val="22"/>
          <w:szCs w:val="22"/>
          <w:lang w:val="es-ES_tradnl" w:eastAsia="es-ES" w:bidi="es-ES"/>
        </w:rPr>
      </w:pPr>
    </w:p>
    <w:p w14:paraId="1C394B0C" w14:textId="77777777" w:rsidR="000A0DF7" w:rsidRPr="003D4FC2" w:rsidRDefault="000A0DF7" w:rsidP="000A0DF7">
      <w:pPr>
        <w:widowControl w:val="0"/>
        <w:autoSpaceDE w:val="0"/>
        <w:autoSpaceDN w:val="0"/>
        <w:ind w:left="709" w:right="709"/>
        <w:jc w:val="both"/>
        <w:rPr>
          <w:rFonts w:ascii="Arial" w:eastAsia="Arial" w:hAnsi="Arial" w:cs="Arial"/>
          <w:color w:val="000000" w:themeColor="text1"/>
          <w:sz w:val="21"/>
          <w:szCs w:val="21"/>
          <w:lang w:val="es-ES_tradnl" w:eastAsia="es-ES" w:bidi="es-ES"/>
        </w:rPr>
      </w:pPr>
      <w:r w:rsidRPr="003D4FC2">
        <w:rPr>
          <w:rFonts w:ascii="Arial" w:eastAsia="Arial" w:hAnsi="Arial" w:cs="Arial"/>
          <w:color w:val="000000" w:themeColor="text1"/>
          <w:sz w:val="21"/>
          <w:szCs w:val="21"/>
          <w:lang w:val="es-ES_tradnl" w:eastAsia="es-ES" w:bidi="es-ES"/>
        </w:rPr>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w:t>
      </w:r>
      <w:r w:rsidRPr="003D4FC2">
        <w:rPr>
          <w:rFonts w:ascii="Arial" w:eastAsia="Arial" w:hAnsi="Arial" w:cs="Arial"/>
          <w:color w:val="000000" w:themeColor="text1"/>
          <w:sz w:val="21"/>
          <w:szCs w:val="21"/>
          <w:lang w:val="es-ES_tradnl" w:eastAsia="es-ES" w:bidi="es-ES"/>
        </w:rPr>
        <w:lastRenderedPageBreak/>
        <w:t xml:space="preserve">excepciones, así como las del parágrafo del artículo 38. </w:t>
      </w:r>
      <w:r w:rsidRPr="003D4FC2">
        <w:rPr>
          <w:rFonts w:ascii="Arial" w:eastAsia="Arial" w:hAnsi="Arial" w:cs="Arial"/>
          <w:bCs/>
          <w:color w:val="000000" w:themeColor="text1"/>
          <w:sz w:val="21"/>
          <w:szCs w:val="21"/>
          <w:lang w:val="es-ES_tradnl" w:eastAsia="es-ES" w:bidi="es-ES"/>
        </w:rPr>
        <w:t>En cambio, para elecciones en general, excluyendo las correspondientes a Presidente de la República, a las autoridades territoriales allí mencionadas sólo se aplican las restricciones contenidas en el parágrafo del artículo 38</w:t>
      </w:r>
      <w:r w:rsidRPr="003D4FC2">
        <w:rPr>
          <w:rStyle w:val="Refdenotaalpie"/>
          <w:rFonts w:ascii="Arial" w:eastAsia="Arial" w:hAnsi="Arial" w:cs="Arial"/>
          <w:color w:val="000000" w:themeColor="text1"/>
        </w:rPr>
        <w:footnoteReference w:id="15"/>
      </w:r>
      <w:r w:rsidRPr="003D4FC2">
        <w:rPr>
          <w:rFonts w:ascii="Arial" w:eastAsia="Arial" w:hAnsi="Arial" w:cs="Arial"/>
          <w:bCs/>
          <w:color w:val="000000" w:themeColor="text1"/>
          <w:sz w:val="21"/>
          <w:szCs w:val="21"/>
          <w:lang w:val="es-ES_tradnl" w:eastAsia="es-ES" w:bidi="es-ES"/>
        </w:rPr>
        <w:t>.</w:t>
      </w:r>
    </w:p>
    <w:p w14:paraId="5D00DD54" w14:textId="77777777" w:rsidR="000A0DF7" w:rsidRPr="003D4FC2" w:rsidRDefault="000A0DF7" w:rsidP="000A0DF7">
      <w:pPr>
        <w:widowControl w:val="0"/>
        <w:autoSpaceDE w:val="0"/>
        <w:autoSpaceDN w:val="0"/>
        <w:spacing w:before="8"/>
        <w:rPr>
          <w:rFonts w:ascii="Arial" w:eastAsia="Arial" w:hAnsi="Arial" w:cs="Arial"/>
          <w:color w:val="000000" w:themeColor="text1"/>
          <w:sz w:val="22"/>
          <w:szCs w:val="22"/>
          <w:lang w:val="es-ES_tradnl" w:eastAsia="es-ES" w:bidi="es-ES"/>
        </w:rPr>
      </w:pPr>
    </w:p>
    <w:p w14:paraId="0537D4C8" w14:textId="77777777" w:rsidR="000A0DF7" w:rsidRPr="003D4FC2" w:rsidRDefault="000A0DF7" w:rsidP="000A0DF7">
      <w:pPr>
        <w:spacing w:after="120" w:line="276" w:lineRule="auto"/>
        <w:ind w:firstLine="709"/>
        <w:jc w:val="both"/>
        <w:rPr>
          <w:rFonts w:ascii="Arial" w:eastAsia="Arial" w:hAnsi="Arial" w:cs="Arial"/>
          <w:color w:val="000000" w:themeColor="text1"/>
          <w:sz w:val="22"/>
          <w:szCs w:val="22"/>
          <w:lang w:val="es-ES_tradnl" w:eastAsia="es-ES" w:bidi="es-ES"/>
        </w:rPr>
      </w:pPr>
      <w:r w:rsidRPr="003D4FC2">
        <w:rPr>
          <w:rFonts w:ascii="Arial" w:eastAsia="Arial" w:hAnsi="Arial" w:cs="Arial"/>
          <w:color w:val="000000" w:themeColor="text1"/>
          <w:sz w:val="22"/>
          <w:szCs w:val="22"/>
          <w:lang w:val="es-ES_tradnl" w:eastAsia="es-ES" w:bidi="es-ES"/>
        </w:rPr>
        <w:t xml:space="preserve">De lo anterior se desprende que la Ley 996 de 2005 establece dos (2) tipos de restricciones en materia de contratación, las cuales coinciden parcialmente. </w:t>
      </w:r>
      <w:r w:rsidRPr="003D4FC2">
        <w:rPr>
          <w:rFonts w:ascii="Arial" w:eastAsia="Arial" w:hAnsi="Arial" w:cs="Arial"/>
          <w:i/>
          <w:iCs/>
          <w:color w:val="000000" w:themeColor="text1"/>
          <w:sz w:val="22"/>
          <w:szCs w:val="22"/>
          <w:lang w:val="es-ES_tradnl" w:eastAsia="es-ES" w:bidi="es-ES"/>
        </w:rPr>
        <w:t>En primer lugar</w:t>
      </w:r>
      <w:r w:rsidRPr="003D4FC2">
        <w:rPr>
          <w:rFonts w:ascii="Arial" w:eastAsia="Arial" w:hAnsi="Arial" w:cs="Arial"/>
          <w:color w:val="000000" w:themeColor="text1"/>
          <w:sz w:val="22"/>
          <w:szCs w:val="22"/>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conforme al artículo 190 de la Constitución Política. Para estos efectos, la restricción se extenderá hasta la fecha en la que se realice la segunda vuelta. </w:t>
      </w:r>
      <w:r w:rsidRPr="003D4FC2">
        <w:rPr>
          <w:rFonts w:ascii="Arial" w:eastAsia="Arial" w:hAnsi="Arial" w:cs="Arial"/>
          <w:i/>
          <w:iCs/>
          <w:color w:val="000000" w:themeColor="text1"/>
          <w:sz w:val="22"/>
          <w:szCs w:val="22"/>
          <w:lang w:val="es-ES_tradnl" w:eastAsia="es-ES" w:bidi="es-ES"/>
        </w:rPr>
        <w:t>En segundo lugar</w:t>
      </w:r>
      <w:r w:rsidRPr="003D4FC2">
        <w:rPr>
          <w:rFonts w:ascii="Arial" w:eastAsia="Arial" w:hAnsi="Arial" w:cs="Arial"/>
          <w:color w:val="000000" w:themeColor="text1"/>
          <w:sz w:val="22"/>
          <w:szCs w:val="22"/>
          <w:lang w:val="es-ES_tradnl"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9EABA66" w14:textId="66FA4CF3" w:rsidR="000A0DF7" w:rsidRPr="003D4FC2" w:rsidRDefault="000A0DF7" w:rsidP="000A0DF7">
      <w:pPr>
        <w:spacing w:after="120" w:line="276" w:lineRule="auto"/>
        <w:ind w:firstLine="709"/>
        <w:jc w:val="both"/>
        <w:rPr>
          <w:rFonts w:ascii="Arial" w:eastAsia="Arial" w:hAnsi="Arial" w:cs="Arial"/>
          <w:color w:val="000000" w:themeColor="text1"/>
          <w:sz w:val="22"/>
          <w:szCs w:val="22"/>
          <w:lang w:val="es-ES_tradnl" w:eastAsia="es-ES" w:bidi="es-ES"/>
        </w:rPr>
      </w:pPr>
      <w:r w:rsidRPr="003D4FC2">
        <w:rPr>
          <w:rFonts w:ascii="Arial" w:eastAsia="Arial" w:hAnsi="Arial" w:cs="Arial"/>
          <w:color w:val="000000" w:themeColor="text1"/>
          <w:sz w:val="22"/>
          <w:szCs w:val="22"/>
          <w:lang w:val="es-ES_tradnl"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w:t>
      </w:r>
      <w:r w:rsidR="00B1029D" w:rsidRPr="003D4FC2">
        <w:rPr>
          <w:rFonts w:ascii="Arial" w:eastAsia="Arial" w:hAnsi="Arial" w:cs="Arial"/>
          <w:color w:val="000000" w:themeColor="text1"/>
          <w:sz w:val="22"/>
          <w:szCs w:val="22"/>
          <w:lang w:val="es-ES_tradnl" w:eastAsia="es-ES" w:bidi="es-ES"/>
        </w:rPr>
        <w:t>o</w:t>
      </w:r>
      <w:r w:rsidRPr="003D4FC2">
        <w:rPr>
          <w:rFonts w:ascii="Arial" w:eastAsia="Arial" w:hAnsi="Arial" w:cs="Arial"/>
          <w:color w:val="000000" w:themeColor="text1"/>
          <w:sz w:val="22"/>
          <w:szCs w:val="22"/>
          <w:lang w:val="es-ES_tradnl" w:eastAsia="es-ES" w:bidi="es-ES"/>
        </w:rPr>
        <w:t>lo deben aplicar las restricciones contenidas en el parágrafo del artículo 38.</w:t>
      </w:r>
    </w:p>
    <w:p w14:paraId="4CFDA84E" w14:textId="2CBB63E2" w:rsidR="000A0DF7" w:rsidRPr="003D4FC2" w:rsidRDefault="000A0DF7" w:rsidP="000A0DF7">
      <w:pPr>
        <w:spacing w:line="276" w:lineRule="auto"/>
        <w:ind w:firstLine="708"/>
        <w:jc w:val="both"/>
        <w:rPr>
          <w:rFonts w:ascii="Arial" w:eastAsia="Arial" w:hAnsi="Arial" w:cs="Arial"/>
          <w:color w:val="000000" w:themeColor="text1"/>
          <w:sz w:val="22"/>
          <w:szCs w:val="22"/>
          <w:lang w:val="es-ES_tradnl" w:eastAsia="es-ES" w:bidi="es-ES"/>
        </w:rPr>
      </w:pPr>
      <w:r w:rsidRPr="003D4FC2">
        <w:rPr>
          <w:rFonts w:ascii="Arial" w:eastAsia="Arial" w:hAnsi="Arial" w:cs="Arial"/>
          <w:color w:val="000000" w:themeColor="text1"/>
          <w:sz w:val="22"/>
          <w:szCs w:val="22"/>
          <w:lang w:val="es-ES_tradnl" w:eastAsia="es-ES" w:bidi="es-ES"/>
        </w:rPr>
        <w:t>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40919191" w14:textId="77777777" w:rsidR="00711C90" w:rsidRPr="003D4FC2" w:rsidRDefault="00711C90" w:rsidP="000A0DF7">
      <w:pPr>
        <w:spacing w:line="276" w:lineRule="auto"/>
        <w:jc w:val="both"/>
        <w:rPr>
          <w:rFonts w:ascii="Arial" w:hAnsi="Arial" w:cs="Arial"/>
          <w:b/>
          <w:color w:val="000000" w:themeColor="text1"/>
          <w:sz w:val="22"/>
          <w:szCs w:val="22"/>
          <w:lang w:val="es-ES_tradnl" w:eastAsia="es-CO"/>
        </w:rPr>
      </w:pPr>
    </w:p>
    <w:p w14:paraId="6F45B60C" w14:textId="77777777" w:rsidR="00711C90" w:rsidRPr="003D4FC2" w:rsidRDefault="00711C90" w:rsidP="000A0DF7">
      <w:pPr>
        <w:spacing w:line="276" w:lineRule="auto"/>
        <w:jc w:val="both"/>
        <w:rPr>
          <w:rFonts w:ascii="Arial" w:hAnsi="Arial" w:cs="Arial"/>
          <w:b/>
          <w:color w:val="000000" w:themeColor="text1"/>
          <w:sz w:val="22"/>
          <w:szCs w:val="22"/>
          <w:lang w:val="es-ES_tradnl" w:eastAsia="es-CO"/>
        </w:rPr>
      </w:pPr>
    </w:p>
    <w:p w14:paraId="293A280B" w14:textId="2B8A2F4F" w:rsidR="000A0DF7" w:rsidRPr="003D4FC2" w:rsidRDefault="000A0DF7" w:rsidP="000A0DF7">
      <w:pPr>
        <w:spacing w:line="276" w:lineRule="auto"/>
        <w:jc w:val="both"/>
        <w:rPr>
          <w:rFonts w:ascii="Arial" w:hAnsi="Arial" w:cs="Arial"/>
          <w:b/>
          <w:color w:val="000000" w:themeColor="text1"/>
          <w:sz w:val="22"/>
          <w:szCs w:val="22"/>
          <w:lang w:val="es-ES_tradnl" w:eastAsia="es-CO"/>
        </w:rPr>
      </w:pPr>
      <w:r w:rsidRPr="003D4FC2">
        <w:rPr>
          <w:rFonts w:ascii="Arial" w:hAnsi="Arial" w:cs="Arial"/>
          <w:b/>
          <w:color w:val="000000" w:themeColor="text1"/>
          <w:sz w:val="22"/>
          <w:szCs w:val="22"/>
          <w:lang w:val="es-ES_tradnl" w:eastAsia="es-CO"/>
        </w:rPr>
        <w:t>2.</w:t>
      </w:r>
      <w:r w:rsidR="00B7276A" w:rsidRPr="003D4FC2">
        <w:rPr>
          <w:rFonts w:ascii="Arial" w:hAnsi="Arial" w:cs="Arial"/>
          <w:b/>
          <w:color w:val="000000" w:themeColor="text1"/>
          <w:sz w:val="22"/>
          <w:szCs w:val="22"/>
          <w:lang w:val="es-ES_tradnl" w:eastAsia="es-CO"/>
        </w:rPr>
        <w:t>3</w:t>
      </w:r>
      <w:r w:rsidRPr="003D4FC2">
        <w:rPr>
          <w:rFonts w:ascii="Arial" w:hAnsi="Arial" w:cs="Arial"/>
          <w:b/>
          <w:color w:val="000000" w:themeColor="text1"/>
          <w:sz w:val="22"/>
          <w:szCs w:val="22"/>
          <w:lang w:val="es-ES_tradnl" w:eastAsia="es-CO"/>
        </w:rPr>
        <w:t xml:space="preserve">. </w:t>
      </w:r>
      <w:r w:rsidRPr="003D4FC2">
        <w:rPr>
          <w:rFonts w:ascii="Arial" w:hAnsi="Arial" w:cs="Arial"/>
          <w:b/>
          <w:bCs/>
          <w:color w:val="000000" w:themeColor="text1"/>
          <w:sz w:val="22"/>
          <w:szCs w:val="22"/>
          <w:lang w:val="es-ES_tradnl" w:eastAsia="es-CO"/>
        </w:rPr>
        <w:t>Restricciones en elecciones presidenciales</w:t>
      </w:r>
      <w:r w:rsidR="00B1029D" w:rsidRPr="003D4FC2">
        <w:rPr>
          <w:rFonts w:ascii="Arial" w:hAnsi="Arial" w:cs="Arial"/>
          <w:b/>
          <w:bCs/>
          <w:color w:val="000000" w:themeColor="text1"/>
          <w:sz w:val="22"/>
          <w:szCs w:val="22"/>
          <w:lang w:val="es-ES_tradnl" w:eastAsia="es-CO"/>
        </w:rPr>
        <w:t>: prohibición del artículo 33 de la Ley 996 de 2005</w:t>
      </w:r>
    </w:p>
    <w:p w14:paraId="371F0A02" w14:textId="77777777" w:rsidR="000A0DF7" w:rsidRPr="003D4FC2" w:rsidRDefault="000A0DF7" w:rsidP="000A0DF7">
      <w:pPr>
        <w:spacing w:line="276" w:lineRule="auto"/>
        <w:jc w:val="both"/>
        <w:rPr>
          <w:rFonts w:ascii="Arial" w:hAnsi="Arial" w:cs="Arial"/>
          <w:bCs/>
          <w:color w:val="000000" w:themeColor="text1"/>
          <w:sz w:val="22"/>
          <w:szCs w:val="22"/>
          <w:lang w:val="es-ES_tradnl" w:eastAsia="x-none"/>
        </w:rPr>
      </w:pPr>
    </w:p>
    <w:p w14:paraId="3CCFCAAA" w14:textId="77777777" w:rsidR="000A0DF7" w:rsidRPr="003D4FC2" w:rsidRDefault="000A0DF7" w:rsidP="000A0DF7">
      <w:pPr>
        <w:spacing w:line="276" w:lineRule="auto"/>
        <w:jc w:val="both"/>
        <w:rPr>
          <w:rFonts w:ascii="Arial" w:hAnsi="Arial" w:cs="Arial"/>
          <w:bCs/>
          <w:color w:val="000000" w:themeColor="text1"/>
          <w:sz w:val="22"/>
          <w:szCs w:val="22"/>
          <w:lang w:val="es-ES_tradnl" w:eastAsia="es-CO"/>
        </w:rPr>
      </w:pPr>
      <w:r w:rsidRPr="003D4FC2">
        <w:rPr>
          <w:rFonts w:ascii="Arial" w:hAnsi="Arial" w:cs="Arial"/>
          <w:bCs/>
          <w:color w:val="000000" w:themeColor="text1"/>
          <w:sz w:val="22"/>
          <w:szCs w:val="22"/>
          <w:lang w:val="es-ES_tradnl" w:eastAsia="x-none"/>
        </w:rPr>
        <w:t xml:space="preserve">El ámbito material de la prohibición contenida en el artículo 33 de la ley 996 de 2005 está delimitado por la expresión </w:t>
      </w:r>
      <w:r w:rsidRPr="003D4FC2">
        <w:rPr>
          <w:rFonts w:ascii="Arial" w:eastAsia="Calibri" w:hAnsi="Arial" w:cs="Arial"/>
          <w:bCs/>
          <w:color w:val="000000" w:themeColor="text1"/>
          <w:sz w:val="20"/>
          <w:szCs w:val="20"/>
          <w:lang w:val="es-ES_tradnl" w:eastAsia="en-US"/>
        </w:rPr>
        <w:t>«</w:t>
      </w:r>
      <w:r w:rsidRPr="003D4FC2">
        <w:rPr>
          <w:rFonts w:ascii="Arial" w:hAnsi="Arial" w:cs="Arial"/>
          <w:bCs/>
          <w:color w:val="000000" w:themeColor="text1"/>
          <w:sz w:val="22"/>
          <w:szCs w:val="22"/>
          <w:lang w:val="es-ES_tradnl" w:eastAsia="x-none"/>
        </w:rPr>
        <w:t>queda prohibida la contratación directa</w:t>
      </w:r>
      <w:r w:rsidRPr="003D4FC2">
        <w:rPr>
          <w:rFonts w:ascii="Arial" w:eastAsiaTheme="minorHAnsi" w:hAnsi="Arial" w:cs="Arial"/>
          <w:color w:val="000000" w:themeColor="text1"/>
          <w:sz w:val="20"/>
          <w:szCs w:val="20"/>
          <w:lang w:val="es-ES_tradnl" w:eastAsia="en-US"/>
        </w:rPr>
        <w:t>»</w:t>
      </w:r>
      <w:r w:rsidRPr="003D4FC2">
        <w:rPr>
          <w:rFonts w:ascii="Arial" w:hAnsi="Arial" w:cs="Arial"/>
          <w:bCs/>
          <w:color w:val="000000" w:themeColor="text1"/>
          <w:sz w:val="22"/>
          <w:szCs w:val="22"/>
          <w:lang w:val="es-ES_tradnl" w:eastAsia="x-none"/>
        </w:rPr>
        <w:t xml:space="preserve">. </w:t>
      </w:r>
      <w:r w:rsidRPr="003D4FC2">
        <w:rPr>
          <w:rFonts w:ascii="Arial" w:hAnsi="Arial" w:cs="Arial"/>
          <w:color w:val="000000" w:themeColor="text1"/>
          <w:sz w:val="22"/>
          <w:szCs w:val="22"/>
          <w:lang w:val="es-ES_tradnl" w:eastAsia="es-CO"/>
        </w:rPr>
        <w:t xml:space="preserve"> A propósito de esta restricción de la Ley de Garantías Electorales, la Sala de Consulta y Servicio Civil del Consejo de Estado ha considerado que:</w:t>
      </w:r>
    </w:p>
    <w:p w14:paraId="0A9EB0BB" w14:textId="77777777" w:rsidR="000A0DF7" w:rsidRPr="003D4FC2" w:rsidRDefault="000A0DF7" w:rsidP="000A0DF7">
      <w:pPr>
        <w:ind w:left="708" w:right="709"/>
        <w:jc w:val="both"/>
        <w:rPr>
          <w:rFonts w:ascii="Arial" w:eastAsiaTheme="minorHAnsi" w:hAnsi="Arial" w:cs="Arial"/>
          <w:color w:val="000000" w:themeColor="text1"/>
          <w:sz w:val="21"/>
          <w:szCs w:val="21"/>
          <w:lang w:val="es-ES_tradnl" w:eastAsia="en-US"/>
        </w:rPr>
      </w:pPr>
    </w:p>
    <w:p w14:paraId="04EEA8AA" w14:textId="77777777" w:rsidR="000A0DF7" w:rsidRPr="003D4FC2" w:rsidRDefault="000A0DF7" w:rsidP="000A0DF7">
      <w:pPr>
        <w:spacing w:after="120"/>
        <w:ind w:left="709" w:right="709"/>
        <w:jc w:val="both"/>
        <w:rPr>
          <w:rFonts w:ascii="Arial" w:eastAsiaTheme="minorHAnsi" w:hAnsi="Arial" w:cs="Arial"/>
          <w:color w:val="000000" w:themeColor="text1"/>
          <w:sz w:val="21"/>
          <w:szCs w:val="21"/>
          <w:lang w:val="es-ES_tradnl" w:eastAsia="en-US"/>
        </w:rPr>
      </w:pPr>
      <w:r w:rsidRPr="003D4FC2">
        <w:rPr>
          <w:rFonts w:ascii="Arial" w:eastAsiaTheme="minorHAnsi" w:hAnsi="Arial" w:cs="Arial"/>
          <w:color w:val="000000" w:themeColor="text1"/>
          <w:sz w:val="21"/>
          <w:szCs w:val="21"/>
          <w:lang w:val="es-ES_tradnl"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3D4FC2">
        <w:rPr>
          <w:rStyle w:val="Refdenotaalpie"/>
          <w:rFonts w:ascii="Arial" w:hAnsi="Arial" w:cs="Arial"/>
          <w:color w:val="000000" w:themeColor="text1"/>
        </w:rPr>
        <w:footnoteReference w:id="16"/>
      </w:r>
      <w:r w:rsidRPr="003D4FC2">
        <w:rPr>
          <w:rFonts w:ascii="Arial" w:eastAsiaTheme="minorHAnsi" w:hAnsi="Arial" w:cs="Arial"/>
          <w:color w:val="000000" w:themeColor="text1"/>
          <w:sz w:val="21"/>
          <w:szCs w:val="21"/>
          <w:lang w:val="es-ES_tradnl" w:eastAsia="en-US"/>
        </w:rPr>
        <w:t>.</w:t>
      </w:r>
    </w:p>
    <w:p w14:paraId="52C9341C" w14:textId="77777777" w:rsidR="000A0DF7" w:rsidRPr="003D4FC2" w:rsidRDefault="000A0DF7" w:rsidP="000A0DF7">
      <w:pPr>
        <w:ind w:left="708" w:right="709"/>
        <w:jc w:val="both"/>
        <w:rPr>
          <w:rFonts w:ascii="Arial" w:eastAsiaTheme="minorHAnsi" w:hAnsi="Arial" w:cs="Arial"/>
          <w:color w:val="000000" w:themeColor="text1"/>
          <w:sz w:val="21"/>
          <w:szCs w:val="21"/>
          <w:lang w:val="es-ES_tradnl" w:eastAsia="en-US"/>
        </w:rPr>
      </w:pPr>
      <w:r w:rsidRPr="003D4FC2">
        <w:rPr>
          <w:rFonts w:ascii="Arial" w:eastAsiaTheme="minorHAnsi" w:hAnsi="Arial" w:cs="Arial"/>
          <w:color w:val="000000" w:themeColor="text1"/>
          <w:sz w:val="21"/>
          <w:szCs w:val="21"/>
          <w:lang w:val="es-ES_tradnl" w:eastAsia="en-US"/>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3D4FC2">
        <w:rPr>
          <w:rStyle w:val="Refdenotaalpie"/>
          <w:rFonts w:ascii="Arial" w:hAnsi="Arial" w:cs="Arial"/>
          <w:color w:val="000000" w:themeColor="text1"/>
        </w:rPr>
        <w:footnoteReference w:id="17"/>
      </w:r>
      <w:r w:rsidRPr="003D4FC2">
        <w:rPr>
          <w:rFonts w:ascii="Arial" w:hAnsi="Arial" w:cs="Arial"/>
          <w:color w:val="000000" w:themeColor="text1"/>
          <w:sz w:val="21"/>
          <w:szCs w:val="21"/>
          <w:vertAlign w:val="superscript"/>
          <w:lang w:val="es-ES_tradnl" w:eastAsia="en-US"/>
        </w:rPr>
        <w:t>.</w:t>
      </w:r>
      <w:r w:rsidRPr="003D4FC2">
        <w:rPr>
          <w:rFonts w:ascii="Arial" w:eastAsiaTheme="minorHAnsi" w:hAnsi="Arial" w:cs="Arial"/>
          <w:color w:val="000000" w:themeColor="text1"/>
          <w:sz w:val="21"/>
          <w:szCs w:val="21"/>
          <w:lang w:val="es-ES_tradnl"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3D4FC2">
        <w:rPr>
          <w:rStyle w:val="Refdenotaalpie"/>
          <w:rFonts w:ascii="Arial" w:hAnsi="Arial" w:cs="Arial"/>
          <w:color w:val="000000" w:themeColor="text1"/>
        </w:rPr>
        <w:footnoteReference w:id="18"/>
      </w:r>
      <w:r w:rsidRPr="003D4FC2">
        <w:rPr>
          <w:rFonts w:ascii="Arial" w:eastAsiaTheme="minorHAnsi" w:hAnsi="Arial" w:cs="Arial"/>
          <w:color w:val="000000" w:themeColor="text1"/>
          <w:sz w:val="21"/>
          <w:szCs w:val="21"/>
          <w:lang w:val="es-ES_tradnl" w:eastAsia="en-US"/>
        </w:rPr>
        <w:t xml:space="preserve"> .</w:t>
      </w:r>
    </w:p>
    <w:p w14:paraId="0BE0F269" w14:textId="77777777" w:rsidR="000A0DF7" w:rsidRPr="003D4FC2" w:rsidRDefault="000A0DF7" w:rsidP="000A0DF7">
      <w:pPr>
        <w:shd w:val="clear" w:color="auto" w:fill="FFFFFF"/>
        <w:spacing w:line="276" w:lineRule="auto"/>
        <w:ind w:firstLine="709"/>
        <w:jc w:val="both"/>
        <w:rPr>
          <w:rFonts w:ascii="Arial" w:hAnsi="Arial" w:cs="Arial"/>
          <w:color w:val="000000" w:themeColor="text1"/>
          <w:sz w:val="22"/>
          <w:szCs w:val="22"/>
          <w:lang w:val="es-ES_tradnl" w:eastAsia="x-none"/>
        </w:rPr>
      </w:pPr>
    </w:p>
    <w:p w14:paraId="4FC0709F" w14:textId="62E380EF" w:rsidR="000A0DF7" w:rsidRPr="003D4FC2" w:rsidRDefault="00B1029D" w:rsidP="000A0DF7">
      <w:pPr>
        <w:spacing w:after="120" w:line="276" w:lineRule="auto"/>
        <w:ind w:firstLine="708"/>
        <w:jc w:val="both"/>
        <w:rPr>
          <w:rFonts w:ascii="Arial" w:hAnsi="Arial" w:cs="Arial"/>
          <w:bCs/>
          <w:color w:val="000000" w:themeColor="text1"/>
          <w:sz w:val="22"/>
          <w:szCs w:val="22"/>
          <w:lang w:val="es-ES_tradnl" w:eastAsia="x-none"/>
        </w:rPr>
      </w:pPr>
      <w:r w:rsidRPr="003D4FC2">
        <w:rPr>
          <w:rFonts w:ascii="Arial" w:hAnsi="Arial" w:cs="Arial"/>
          <w:color w:val="000000" w:themeColor="text1"/>
          <w:sz w:val="22"/>
          <w:szCs w:val="22"/>
          <w:lang w:val="es-ES_tradnl" w:eastAsia="x-none"/>
        </w:rPr>
        <w:t xml:space="preserve">De acuerdo con el citado concepto, la prohibición del artículo 33 de la Ley de Garantías Electorales se refiere a </w:t>
      </w:r>
      <w:r w:rsidRPr="003D4FC2">
        <w:rPr>
          <w:rFonts w:ascii="Arial" w:hAnsi="Arial" w:cs="Arial"/>
          <w:color w:val="000000" w:themeColor="text1"/>
          <w:sz w:val="19"/>
          <w:szCs w:val="19"/>
          <w:lang w:val="es-ES_tradnl" w:eastAsia="en-GB"/>
        </w:rPr>
        <w:t>«</w:t>
      </w:r>
      <w:r w:rsidRPr="003D4FC2">
        <w:rPr>
          <w:rFonts w:ascii="Arial" w:hAnsi="Arial" w:cs="Arial"/>
          <w:color w:val="000000" w:themeColor="text1"/>
          <w:sz w:val="22"/>
          <w:szCs w:val="22"/>
          <w:lang w:val="es-ES_tradnl" w:eastAsia="x-none"/>
        </w:rPr>
        <w:t>cualquier sistema que no implique convocatoria pública y posibilidad de pluralidad de oferentes</w:t>
      </w:r>
      <w:r w:rsidRPr="003D4FC2">
        <w:rPr>
          <w:rFonts w:ascii="Arial" w:hAnsi="Arial" w:cs="Arial"/>
          <w:color w:val="000000" w:themeColor="text1"/>
          <w:sz w:val="22"/>
          <w:szCs w:val="22"/>
          <w:lang w:val="es-ES_tradnl" w:eastAsia="en-GB"/>
        </w:rPr>
        <w:t>»</w:t>
      </w:r>
      <w:r w:rsidRPr="003D4FC2">
        <w:rPr>
          <w:rFonts w:ascii="Arial" w:hAnsi="Arial" w:cs="Arial"/>
          <w:color w:val="000000" w:themeColor="text1"/>
          <w:sz w:val="22"/>
          <w:szCs w:val="22"/>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3D4FC2">
        <w:rPr>
          <w:rStyle w:val="Refdenotaalpie"/>
          <w:rFonts w:ascii="Arial" w:hAnsi="Arial" w:cs="Arial"/>
          <w:color w:val="000000" w:themeColor="text1"/>
        </w:rPr>
        <w:footnoteReference w:id="19"/>
      </w:r>
      <w:r w:rsidRPr="003D4FC2">
        <w:rPr>
          <w:rFonts w:ascii="Arial" w:hAnsi="Arial" w:cs="Arial"/>
          <w:color w:val="000000" w:themeColor="text1"/>
          <w:sz w:val="22"/>
          <w:szCs w:val="22"/>
          <w:lang w:val="es-ES_tradnl" w:eastAsia="x-none"/>
        </w:rPr>
        <w:t xml:space="preserve"> y </w:t>
      </w:r>
      <w:r w:rsidRPr="003D4FC2">
        <w:rPr>
          <w:rFonts w:ascii="Arial" w:hAnsi="Arial" w:cs="Arial"/>
          <w:color w:val="000000" w:themeColor="text1"/>
          <w:sz w:val="22"/>
          <w:szCs w:val="22"/>
          <w:lang w:val="es-ES_tradnl" w:eastAsia="x-none"/>
        </w:rPr>
        <w:lastRenderedPageBreak/>
        <w:t>sistematizó las causales de contratación directa</w:t>
      </w:r>
      <w:r w:rsidRPr="003D4FC2">
        <w:rPr>
          <w:rStyle w:val="Refdenotaalpie"/>
          <w:rFonts w:ascii="Arial" w:hAnsi="Arial" w:cs="Arial"/>
          <w:color w:val="000000" w:themeColor="text1"/>
        </w:rPr>
        <w:footnoteReference w:id="20"/>
      </w:r>
      <w:r w:rsidRPr="003D4FC2">
        <w:rPr>
          <w:rFonts w:ascii="Arial" w:hAnsi="Arial" w:cs="Arial"/>
          <w:color w:val="000000" w:themeColor="text1"/>
          <w:sz w:val="22"/>
          <w:szCs w:val="22"/>
          <w:lang w:val="es-ES_tradnl" w:eastAsia="x-none"/>
        </w:rPr>
        <w:t xml:space="preserve">, </w:t>
      </w:r>
      <w:r w:rsidRPr="003D4FC2">
        <w:rPr>
          <w:rFonts w:ascii="Arial" w:eastAsiaTheme="minorHAnsi" w:hAnsi="Arial" w:cs="Arial"/>
          <w:color w:val="000000" w:themeColor="text1"/>
          <w:sz w:val="22"/>
          <w:lang w:eastAsia="x-none"/>
        </w:rPr>
        <w:t>además lo es con la posterior creación de la modalidad de mínima cuantía establecida actualmente en el numeral 5 del artículo 2 de la Ley 1150 de 2007, de acuerdo con las modificaciones realizadas por leyes posteriores.</w:t>
      </w:r>
    </w:p>
    <w:p w14:paraId="24AD72BC" w14:textId="77777777" w:rsidR="000A0DF7" w:rsidRPr="003D4FC2" w:rsidRDefault="000A0DF7" w:rsidP="000A0DF7">
      <w:pPr>
        <w:spacing w:after="120" w:line="276" w:lineRule="auto"/>
        <w:ind w:firstLine="708"/>
        <w:jc w:val="both"/>
        <w:rPr>
          <w:rFonts w:ascii="Arial" w:hAnsi="Arial" w:cs="Arial"/>
          <w:color w:val="000000" w:themeColor="text1"/>
          <w:sz w:val="22"/>
          <w:szCs w:val="22"/>
          <w:lang w:val="es-ES_tradnl" w:eastAsia="x-none"/>
        </w:rPr>
      </w:pPr>
      <w:r w:rsidRPr="003D4FC2">
        <w:rPr>
          <w:rFonts w:ascii="Arial" w:hAnsi="Arial" w:cs="Arial"/>
          <w:color w:val="000000" w:themeColor="text1"/>
          <w:sz w:val="22"/>
          <w:szCs w:val="22"/>
          <w:lang w:val="es-ES_tradnl" w:eastAsia="x-none"/>
        </w:rPr>
        <w:t xml:space="preserve">De esta forma, con fundamento en la evolución de la normativa sobre la contratación pública, se ha depurado la noción de </w:t>
      </w:r>
      <w:r w:rsidRPr="003D4FC2">
        <w:rPr>
          <w:rFonts w:ascii="Arial" w:hAnsi="Arial" w:cs="Arial"/>
          <w:color w:val="000000" w:themeColor="text1"/>
          <w:sz w:val="19"/>
          <w:szCs w:val="19"/>
          <w:lang w:val="es-ES_tradnl" w:eastAsia="en-GB"/>
        </w:rPr>
        <w:t>«</w:t>
      </w:r>
      <w:r w:rsidRPr="003D4FC2">
        <w:rPr>
          <w:rFonts w:ascii="Arial" w:hAnsi="Arial" w:cs="Arial"/>
          <w:color w:val="000000" w:themeColor="text1"/>
          <w:sz w:val="22"/>
          <w:szCs w:val="22"/>
          <w:lang w:val="es-ES_tradnl" w:eastAsia="x-none"/>
        </w:rPr>
        <w:t>contratación directa</w:t>
      </w:r>
      <w:r w:rsidRPr="003D4FC2">
        <w:rPr>
          <w:rFonts w:ascii="Arial" w:hAnsi="Arial" w:cs="Arial"/>
          <w:color w:val="000000" w:themeColor="text1"/>
          <w:sz w:val="22"/>
          <w:szCs w:val="22"/>
          <w:lang w:val="es-ES_tradnl" w:eastAsia="en-GB"/>
        </w:rPr>
        <w:t>»</w:t>
      </w:r>
      <w:r w:rsidRPr="003D4FC2">
        <w:rPr>
          <w:rFonts w:ascii="Arial" w:hAnsi="Arial" w:cs="Arial"/>
          <w:color w:val="000000" w:themeColor="text1"/>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3D4FC2">
        <w:rPr>
          <w:rStyle w:val="Refdenotaalpie"/>
          <w:rFonts w:ascii="Arial" w:hAnsi="Arial" w:cs="Arial"/>
          <w:color w:val="000000" w:themeColor="text1"/>
        </w:rPr>
        <w:footnoteReference w:id="21"/>
      </w:r>
      <w:r w:rsidRPr="003D4FC2">
        <w:rPr>
          <w:rFonts w:ascii="Arial" w:hAnsi="Arial" w:cs="Arial"/>
          <w:color w:val="000000" w:themeColor="text1"/>
          <w:sz w:val="22"/>
          <w:szCs w:val="22"/>
          <w:lang w:val="es-ES_tradnl" w:eastAsia="x-none"/>
        </w:rPr>
        <w:t>, han establecido sistemas de contratación que implican convocatoria pública y participación de varios oferentes</w:t>
      </w:r>
      <w:r w:rsidRPr="003D4FC2">
        <w:rPr>
          <w:rFonts w:ascii="Arial" w:hAnsi="Arial" w:cs="Arial"/>
          <w:color w:val="000000" w:themeColor="text1"/>
          <w:sz w:val="22"/>
          <w:szCs w:val="22"/>
          <w:lang w:val="es-ES_tradnl" w:eastAsia="en-GB"/>
        </w:rPr>
        <w:t>»</w:t>
      </w:r>
      <w:r w:rsidRPr="003D4FC2">
        <w:rPr>
          <w:rFonts w:ascii="Arial" w:hAnsi="Arial" w:cs="Arial"/>
          <w:color w:val="000000" w:themeColor="text1"/>
          <w:sz w:val="22"/>
          <w:szCs w:val="22"/>
          <w:lang w:val="es-ES_tradnl" w:eastAsia="x-none"/>
        </w:rPr>
        <w:t xml:space="preserve">. </w:t>
      </w:r>
    </w:p>
    <w:p w14:paraId="2D174A26" w14:textId="77777777" w:rsidR="000A0DF7" w:rsidRPr="003D4FC2" w:rsidRDefault="000A0DF7" w:rsidP="000A0DF7">
      <w:pPr>
        <w:spacing w:after="120" w:line="276" w:lineRule="auto"/>
        <w:ind w:firstLine="708"/>
        <w:jc w:val="both"/>
        <w:rPr>
          <w:rFonts w:ascii="Arial" w:hAnsi="Arial" w:cs="Arial"/>
          <w:bCs/>
          <w:color w:val="000000" w:themeColor="text1"/>
          <w:sz w:val="22"/>
          <w:szCs w:val="22"/>
          <w:lang w:val="es-ES_tradnl" w:eastAsia="es-CO"/>
        </w:rPr>
      </w:pPr>
      <w:r w:rsidRPr="003D4FC2">
        <w:rPr>
          <w:rFonts w:ascii="Arial" w:hAnsi="Arial" w:cs="Arial"/>
          <w:bCs/>
          <w:color w:val="000000" w:themeColor="text1"/>
          <w:sz w:val="22"/>
          <w:szCs w:val="22"/>
          <w:lang w:val="es-ES_tradnl" w:eastAsia="x-none"/>
        </w:rPr>
        <w:t>E</w:t>
      </w:r>
      <w:r w:rsidRPr="003D4FC2">
        <w:rPr>
          <w:rFonts w:ascii="Arial" w:hAnsi="Arial" w:cs="Arial"/>
          <w:color w:val="000000" w:themeColor="text1"/>
          <w:sz w:val="22"/>
          <w:szCs w:val="22"/>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3D4FC2">
        <w:rPr>
          <w:rStyle w:val="Refdenotaalpie"/>
          <w:rFonts w:ascii="Arial" w:hAnsi="Arial" w:cs="Arial"/>
          <w:color w:val="000000" w:themeColor="text1"/>
        </w:rPr>
        <w:footnoteReference w:id="22"/>
      </w:r>
      <w:r w:rsidRPr="003D4FC2">
        <w:rPr>
          <w:rFonts w:ascii="Arial" w:hAnsi="Arial" w:cs="Arial"/>
          <w:color w:val="000000" w:themeColor="text1"/>
          <w:sz w:val="22"/>
          <w:szCs w:val="22"/>
          <w:lang w:val="es-ES_tradnl" w:eastAsia="x-none"/>
        </w:rPr>
        <w:t xml:space="preserve">. </w:t>
      </w:r>
    </w:p>
    <w:p w14:paraId="718461F4" w14:textId="4CD64DBB" w:rsidR="000A0DF7" w:rsidRPr="003D4FC2" w:rsidRDefault="000A0DF7" w:rsidP="000A0DF7">
      <w:pPr>
        <w:spacing w:after="120" w:line="276" w:lineRule="auto"/>
        <w:ind w:firstLine="708"/>
        <w:jc w:val="both"/>
        <w:rPr>
          <w:rFonts w:ascii="Arial" w:hAnsi="Arial" w:cs="Arial"/>
          <w:bCs/>
          <w:color w:val="000000" w:themeColor="text1"/>
          <w:sz w:val="22"/>
          <w:szCs w:val="22"/>
          <w:lang w:val="es-ES_tradnl" w:eastAsia="es-CO"/>
        </w:rPr>
      </w:pPr>
      <w:r w:rsidRPr="003D4FC2">
        <w:rPr>
          <w:rFonts w:ascii="Arial" w:hAnsi="Arial" w:cs="Arial"/>
          <w:bCs/>
          <w:color w:val="000000" w:themeColor="text1"/>
          <w:sz w:val="22"/>
          <w:szCs w:val="22"/>
          <w:lang w:val="es-ES_tradnl"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w:t>
      </w:r>
      <w:r w:rsidR="00B1029D" w:rsidRPr="003D4FC2">
        <w:rPr>
          <w:rFonts w:ascii="Arial" w:hAnsi="Arial" w:cs="Arial"/>
          <w:bCs/>
          <w:color w:val="000000" w:themeColor="text1"/>
          <w:sz w:val="22"/>
          <w:szCs w:val="22"/>
          <w:lang w:val="es-ES_tradnl" w:eastAsia="es-CO"/>
        </w:rPr>
        <w:t>g</w:t>
      </w:r>
      <w:r w:rsidRPr="003D4FC2">
        <w:rPr>
          <w:rFonts w:ascii="Arial" w:hAnsi="Arial" w:cs="Arial"/>
          <w:bCs/>
          <w:color w:val="000000" w:themeColor="text1"/>
          <w:sz w:val="22"/>
          <w:szCs w:val="22"/>
          <w:lang w:val="es-ES_tradnl" w:eastAsia="es-CO"/>
        </w:rPr>
        <w:t>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EAEB8C9" w14:textId="77777777" w:rsidR="000A0DF7" w:rsidRPr="003D4FC2" w:rsidRDefault="000A0DF7" w:rsidP="000A0DF7">
      <w:pPr>
        <w:spacing w:after="120" w:line="276" w:lineRule="auto"/>
        <w:ind w:firstLine="708"/>
        <w:jc w:val="both"/>
        <w:rPr>
          <w:rFonts w:ascii="Arial" w:hAnsi="Arial" w:cs="Arial"/>
          <w:bCs/>
          <w:color w:val="000000" w:themeColor="text1"/>
          <w:sz w:val="22"/>
          <w:szCs w:val="22"/>
          <w:lang w:val="es-ES_tradnl" w:eastAsia="x-none"/>
        </w:rPr>
      </w:pPr>
      <w:r w:rsidRPr="003D4FC2">
        <w:rPr>
          <w:rFonts w:ascii="Arial" w:hAnsi="Arial" w:cs="Arial"/>
          <w:bCs/>
          <w:color w:val="000000" w:themeColor="text1"/>
          <w:sz w:val="22"/>
          <w:szCs w:val="22"/>
          <w:lang w:val="es-ES_tradnl"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w:t>
      </w:r>
      <w:r w:rsidRPr="003D4FC2">
        <w:rPr>
          <w:rFonts w:ascii="Arial" w:hAnsi="Arial" w:cs="Arial"/>
          <w:bCs/>
          <w:color w:val="000000" w:themeColor="text1"/>
          <w:sz w:val="22"/>
          <w:szCs w:val="22"/>
          <w:lang w:val="es-ES_tradnl" w:eastAsia="x-none"/>
        </w:rPr>
        <w:lastRenderedPageBreak/>
        <w:t>contratación utilizado por las entidades estatales que no incluya la convocatoria pública en alguna de sus etapas, ni permita la participación de una pluralidad de oferentes</w:t>
      </w:r>
      <w:r w:rsidRPr="003D4FC2">
        <w:rPr>
          <w:rStyle w:val="Refdenotaalpie"/>
          <w:rFonts w:ascii="Arial" w:hAnsi="Arial" w:cs="Arial"/>
          <w:color w:val="000000" w:themeColor="text1"/>
        </w:rPr>
        <w:footnoteReference w:id="23"/>
      </w:r>
      <w:r w:rsidRPr="003D4FC2">
        <w:rPr>
          <w:rFonts w:ascii="Arial" w:hAnsi="Arial" w:cs="Arial"/>
          <w:bCs/>
          <w:color w:val="000000" w:themeColor="text1"/>
          <w:sz w:val="22"/>
          <w:szCs w:val="22"/>
          <w:lang w:val="es-ES_tradnl" w:eastAsia="x-none"/>
        </w:rPr>
        <w:t>.</w:t>
      </w:r>
      <w:r w:rsidRPr="003D4FC2">
        <w:rPr>
          <w:rFonts w:ascii="Arial" w:hAnsi="Arial" w:cs="Arial"/>
          <w:color w:val="000000" w:themeColor="text1"/>
          <w:sz w:val="22"/>
          <w:szCs w:val="22"/>
          <w:vertAlign w:val="superscript"/>
          <w:lang w:val="es-ES_tradnl" w:eastAsia="x-none"/>
        </w:rPr>
        <w:t xml:space="preserve"> </w:t>
      </w:r>
    </w:p>
    <w:p w14:paraId="0FF3EDA2" w14:textId="070B232F" w:rsidR="000A0DF7" w:rsidRPr="003D4FC2" w:rsidRDefault="000A0DF7" w:rsidP="000A0DF7">
      <w:pPr>
        <w:spacing w:after="120" w:line="276" w:lineRule="auto"/>
        <w:ind w:firstLine="708"/>
        <w:jc w:val="both"/>
        <w:rPr>
          <w:rFonts w:ascii="Arial" w:hAnsi="Arial" w:cs="Arial"/>
          <w:color w:val="000000" w:themeColor="text1"/>
          <w:sz w:val="22"/>
          <w:szCs w:val="22"/>
          <w:lang w:val="es-ES_tradnl" w:eastAsia="x-none"/>
        </w:rPr>
      </w:pPr>
      <w:r w:rsidRPr="003D4FC2">
        <w:rPr>
          <w:rFonts w:ascii="Arial" w:hAnsi="Arial" w:cs="Arial"/>
          <w:bCs/>
          <w:color w:val="000000" w:themeColor="text1"/>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3D4FC2">
        <w:rPr>
          <w:rFonts w:ascii="Arial" w:hAnsi="Arial" w:cs="Arial"/>
          <w:color w:val="000000" w:themeColor="text1"/>
          <w:sz w:val="22"/>
          <w:szCs w:val="22"/>
          <w:lang w:val="es-ES_tradnl" w:eastAsia="x-none"/>
        </w:rPr>
        <w:t xml:space="preserve"> Por tanto, no son materia de la prohibición las demás modalidades de selección previstas en la Ley 1150 de 2007, es decir, la licitación pública, el concurso de méritos</w:t>
      </w:r>
      <w:r w:rsidR="00B1029D" w:rsidRPr="003D4FC2">
        <w:rPr>
          <w:rFonts w:ascii="Arial" w:hAnsi="Arial" w:cs="Arial"/>
          <w:color w:val="000000" w:themeColor="text1"/>
          <w:sz w:val="22"/>
          <w:szCs w:val="22"/>
          <w:lang w:val="es-ES_tradnl" w:eastAsia="x-none"/>
        </w:rPr>
        <w:t>,</w:t>
      </w:r>
      <w:r w:rsidRPr="003D4FC2">
        <w:rPr>
          <w:rFonts w:ascii="Arial" w:hAnsi="Arial" w:cs="Arial"/>
          <w:color w:val="000000" w:themeColor="text1"/>
          <w:sz w:val="22"/>
          <w:szCs w:val="22"/>
          <w:lang w:val="es-ES_tradnl" w:eastAsia="x-none"/>
        </w:rPr>
        <w:t xml:space="preserve"> la selección abreviada</w:t>
      </w:r>
      <w:r w:rsidR="00B1029D" w:rsidRPr="003D4FC2">
        <w:rPr>
          <w:rFonts w:ascii="Arial" w:hAnsi="Arial" w:cs="Arial"/>
          <w:color w:val="000000" w:themeColor="text1"/>
          <w:sz w:val="22"/>
          <w:szCs w:val="22"/>
          <w:lang w:val="es-ES_tradnl" w:eastAsia="x-none"/>
        </w:rPr>
        <w:t xml:space="preserve"> y la mínima cuantía</w:t>
      </w:r>
      <w:r w:rsidRPr="003D4FC2">
        <w:rPr>
          <w:rFonts w:ascii="Arial" w:hAnsi="Arial" w:cs="Arial"/>
          <w:color w:val="000000" w:themeColor="text1"/>
          <w:sz w:val="22"/>
          <w:szCs w:val="22"/>
          <w:lang w:val="es-ES_tradnl" w:eastAsia="x-none"/>
        </w:rPr>
        <w:t xml:space="preserve">, razón por la cual en ese período preelectoral de que trata la disposición las entidades públicas </w:t>
      </w:r>
      <w:r w:rsidR="00B1029D" w:rsidRPr="003D4FC2">
        <w:rPr>
          <w:rFonts w:ascii="Arial" w:hAnsi="Arial" w:cs="Arial"/>
          <w:color w:val="000000" w:themeColor="text1"/>
          <w:sz w:val="22"/>
          <w:szCs w:val="22"/>
          <w:lang w:val="es-ES_tradnl" w:eastAsia="x-none"/>
        </w:rPr>
        <w:t xml:space="preserve">PUEDEN </w:t>
      </w:r>
      <w:r w:rsidRPr="003D4FC2">
        <w:rPr>
          <w:rFonts w:ascii="Arial" w:hAnsi="Arial" w:cs="Arial"/>
          <w:color w:val="000000" w:themeColor="text1"/>
          <w:sz w:val="22"/>
          <w:szCs w:val="22"/>
          <w:lang w:val="es-ES_tradnl" w:eastAsia="x-none"/>
        </w:rPr>
        <w:t xml:space="preserve">seguir contratando bajo estos </w:t>
      </w:r>
      <w:r w:rsidR="004C033C" w:rsidRPr="003D4FC2">
        <w:rPr>
          <w:rFonts w:ascii="Arial" w:hAnsi="Arial" w:cs="Arial"/>
          <w:color w:val="000000" w:themeColor="text1"/>
          <w:sz w:val="22"/>
          <w:szCs w:val="22"/>
          <w:lang w:val="es-ES_tradnl" w:eastAsia="x-none"/>
        </w:rPr>
        <w:t>procedimientos</w:t>
      </w:r>
      <w:r w:rsidRPr="003D4FC2">
        <w:rPr>
          <w:rFonts w:ascii="Arial" w:hAnsi="Arial" w:cs="Arial"/>
          <w:color w:val="000000" w:themeColor="text1"/>
          <w:sz w:val="22"/>
          <w:szCs w:val="22"/>
          <w:lang w:val="es-ES_tradnl" w:eastAsia="x-none"/>
        </w:rPr>
        <w:t>.</w:t>
      </w:r>
    </w:p>
    <w:p w14:paraId="1BF02803" w14:textId="3338257F" w:rsidR="000A0DF7" w:rsidRPr="003D4FC2" w:rsidRDefault="000A0DF7" w:rsidP="000A0DF7">
      <w:pPr>
        <w:spacing w:after="120" w:line="276" w:lineRule="auto"/>
        <w:ind w:firstLine="708"/>
        <w:jc w:val="both"/>
        <w:rPr>
          <w:rFonts w:ascii="Arial" w:hAnsi="Arial" w:cs="Arial"/>
          <w:bCs/>
          <w:color w:val="000000" w:themeColor="text1"/>
          <w:sz w:val="22"/>
          <w:szCs w:val="22"/>
          <w:lang w:val="es-ES_tradnl" w:eastAsia="x-none"/>
        </w:rPr>
      </w:pPr>
      <w:r w:rsidRPr="003D4FC2">
        <w:rPr>
          <w:rFonts w:ascii="Arial" w:hAnsi="Arial" w:cs="Arial"/>
          <w:bCs/>
          <w:color w:val="000000" w:themeColor="text1"/>
          <w:sz w:val="22"/>
          <w:szCs w:val="22"/>
          <w:lang w:val="es-ES_tradnl"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00577458" w:rsidRPr="003D4FC2">
        <w:rPr>
          <w:rStyle w:val="Refdenotaalpie"/>
          <w:rFonts w:ascii="Arial" w:hAnsi="Arial" w:cs="Arial"/>
          <w:color w:val="000000" w:themeColor="text1"/>
        </w:rPr>
        <w:footnoteReference w:id="24"/>
      </w:r>
      <w:r w:rsidR="00A4495C" w:rsidRPr="003D4FC2">
        <w:rPr>
          <w:rFonts w:ascii="Arial" w:hAnsi="Arial" w:cs="Arial"/>
          <w:bCs/>
          <w:color w:val="000000" w:themeColor="text1"/>
          <w:sz w:val="22"/>
          <w:szCs w:val="22"/>
          <w:lang w:val="es-ES_tradnl" w:eastAsia="es-CO"/>
        </w:rPr>
        <w:t>. Esto</w:t>
      </w:r>
      <w:r w:rsidRPr="003D4FC2">
        <w:rPr>
          <w:rFonts w:ascii="Arial" w:hAnsi="Arial" w:cs="Arial"/>
          <w:bCs/>
          <w:color w:val="000000" w:themeColor="text1"/>
          <w:sz w:val="22"/>
          <w:szCs w:val="22"/>
          <w:lang w:val="es-ES_tradnl" w:eastAsia="es-CO"/>
        </w:rPr>
        <w:t xml:space="preserve"> sin que ello haga nugatoria la restricción de la contratación directa y siempre que cumplan los principios de planeación, transparencia y responsabilidad.</w:t>
      </w:r>
    </w:p>
    <w:p w14:paraId="673BAB7E" w14:textId="51517FD0" w:rsidR="000A0DF7" w:rsidRPr="003D4FC2" w:rsidRDefault="000A0DF7" w:rsidP="000A0DF7">
      <w:pPr>
        <w:spacing w:after="120" w:line="276" w:lineRule="auto"/>
        <w:ind w:firstLine="708"/>
        <w:jc w:val="both"/>
        <w:rPr>
          <w:rFonts w:ascii="Arial" w:hAnsi="Arial" w:cs="Arial"/>
          <w:bCs/>
          <w:color w:val="000000" w:themeColor="text1"/>
          <w:sz w:val="22"/>
          <w:szCs w:val="22"/>
          <w:lang w:val="es-ES_tradnl" w:eastAsia="es-CO"/>
        </w:rPr>
      </w:pPr>
      <w:r w:rsidRPr="003D4FC2">
        <w:rPr>
          <w:rFonts w:ascii="Arial" w:hAnsi="Arial" w:cs="Arial"/>
          <w:bCs/>
          <w:color w:val="000000" w:themeColor="text1"/>
          <w:sz w:val="22"/>
          <w:szCs w:val="22"/>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3D4FC2">
        <w:rPr>
          <w:rFonts w:ascii="Arial" w:hAnsi="Arial" w:cs="Arial"/>
          <w:bCs/>
          <w:color w:val="000000" w:themeColor="text1"/>
          <w:sz w:val="22"/>
          <w:szCs w:val="22"/>
          <w:lang w:val="es-ES_tradnl" w:eastAsia="x-none"/>
        </w:rPr>
        <w:t>ii</w:t>
      </w:r>
      <w:proofErr w:type="spellEnd"/>
      <w:r w:rsidRPr="003D4FC2">
        <w:rPr>
          <w:rFonts w:ascii="Arial" w:hAnsi="Arial" w:cs="Arial"/>
          <w:bCs/>
          <w:color w:val="000000" w:themeColor="text1"/>
          <w:sz w:val="22"/>
          <w:szCs w:val="22"/>
          <w:lang w:val="es-ES_tradnl" w:eastAsia="x-none"/>
        </w:rPr>
        <w:t xml:space="preserve">) los contratos de crédito público; </w:t>
      </w:r>
      <w:proofErr w:type="spellStart"/>
      <w:r w:rsidRPr="003D4FC2">
        <w:rPr>
          <w:rFonts w:ascii="Arial" w:hAnsi="Arial" w:cs="Arial"/>
          <w:bCs/>
          <w:color w:val="000000" w:themeColor="text1"/>
          <w:sz w:val="22"/>
          <w:szCs w:val="22"/>
          <w:lang w:val="es-ES_tradnl" w:eastAsia="x-none"/>
        </w:rPr>
        <w:t>iii</w:t>
      </w:r>
      <w:proofErr w:type="spellEnd"/>
      <w:r w:rsidRPr="003D4FC2">
        <w:rPr>
          <w:rFonts w:ascii="Arial" w:hAnsi="Arial" w:cs="Arial"/>
          <w:bCs/>
          <w:color w:val="000000" w:themeColor="text1"/>
          <w:sz w:val="22"/>
          <w:szCs w:val="22"/>
          <w:lang w:val="es-ES_tradnl" w:eastAsia="x-none"/>
        </w:rPr>
        <w:t xml:space="preserve">) los requeridos para cubrir las emergencias educativas, sanitarias y desastres; </w:t>
      </w:r>
      <w:proofErr w:type="spellStart"/>
      <w:r w:rsidRPr="003D4FC2">
        <w:rPr>
          <w:rFonts w:ascii="Arial" w:hAnsi="Arial" w:cs="Arial"/>
          <w:bCs/>
          <w:color w:val="000000" w:themeColor="text1"/>
          <w:sz w:val="22"/>
          <w:szCs w:val="22"/>
          <w:lang w:val="es-ES_tradnl" w:eastAsia="x-none"/>
        </w:rPr>
        <w:t>iv</w:t>
      </w:r>
      <w:proofErr w:type="spellEnd"/>
      <w:r w:rsidRPr="003D4FC2">
        <w:rPr>
          <w:rFonts w:ascii="Arial" w:hAnsi="Arial" w:cs="Arial"/>
          <w:bCs/>
          <w:color w:val="000000" w:themeColor="text1"/>
          <w:sz w:val="22"/>
          <w:szCs w:val="22"/>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3D4FC2">
        <w:rPr>
          <w:rFonts w:ascii="Arial" w:hAnsi="Arial" w:cs="Arial"/>
          <w:bCs/>
          <w:color w:val="000000" w:themeColor="text1"/>
          <w:sz w:val="22"/>
          <w:szCs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9827E3D" w14:textId="77777777" w:rsidR="00025E0C" w:rsidRPr="003D4FC2" w:rsidRDefault="000A0DF7" w:rsidP="00025E0C">
      <w:pPr>
        <w:spacing w:line="276" w:lineRule="auto"/>
        <w:ind w:firstLine="708"/>
        <w:jc w:val="both"/>
        <w:rPr>
          <w:rFonts w:ascii="Arial" w:hAnsi="Arial" w:cs="Arial"/>
          <w:bCs/>
          <w:color w:val="000000" w:themeColor="text1"/>
          <w:sz w:val="22"/>
          <w:szCs w:val="22"/>
          <w:lang w:val="es-ES_tradnl" w:eastAsia="x-none"/>
        </w:rPr>
      </w:pPr>
      <w:r w:rsidRPr="003D4FC2">
        <w:rPr>
          <w:rFonts w:ascii="Arial" w:hAnsi="Arial" w:cs="Arial"/>
          <w:bCs/>
          <w:color w:val="000000" w:themeColor="text1"/>
          <w:sz w:val="22"/>
          <w:szCs w:val="22"/>
          <w:lang w:val="es-ES_tradnl" w:eastAsia="x-none"/>
        </w:rPr>
        <w:t xml:space="preserve">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w:t>
      </w:r>
      <w:r w:rsidRPr="003D4FC2">
        <w:rPr>
          <w:rFonts w:ascii="Arial" w:hAnsi="Arial" w:cs="Arial"/>
          <w:bCs/>
          <w:color w:val="000000" w:themeColor="text1"/>
          <w:sz w:val="22"/>
          <w:szCs w:val="22"/>
          <w:lang w:val="es-ES_tradnl" w:eastAsia="x-none"/>
        </w:rPr>
        <w:lastRenderedPageBreak/>
        <w:t>ejecutivo, como son los inmersos en las excepciones para la prohibición de contratación»</w:t>
      </w:r>
      <w:r w:rsidRPr="003D4FC2">
        <w:rPr>
          <w:rStyle w:val="Refdenotaalpie"/>
          <w:rFonts w:ascii="Arial" w:eastAsiaTheme="minorHAnsi" w:hAnsi="Arial" w:cs="Arial"/>
          <w:color w:val="000000" w:themeColor="text1"/>
        </w:rPr>
        <w:footnoteReference w:id="25"/>
      </w:r>
      <w:r w:rsidRPr="003D4FC2">
        <w:rPr>
          <w:rFonts w:ascii="Arial" w:hAnsi="Arial" w:cs="Arial"/>
          <w:bCs/>
          <w:color w:val="000000" w:themeColor="text1"/>
          <w:sz w:val="22"/>
          <w:szCs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22FC5615" w14:textId="6197170A" w:rsidR="000A0DF7" w:rsidRPr="003D4FC2" w:rsidRDefault="000A0DF7" w:rsidP="00025E0C">
      <w:pPr>
        <w:spacing w:before="120" w:line="276" w:lineRule="auto"/>
        <w:ind w:firstLine="709"/>
        <w:jc w:val="both"/>
        <w:rPr>
          <w:rFonts w:ascii="Arial" w:hAnsi="Arial" w:cs="Arial"/>
          <w:bCs/>
          <w:color w:val="000000" w:themeColor="text1"/>
          <w:sz w:val="22"/>
          <w:szCs w:val="22"/>
          <w:lang w:val="es-ES_tradnl" w:eastAsia="x-none"/>
        </w:rPr>
      </w:pPr>
      <w:r w:rsidRPr="003D4FC2">
        <w:rPr>
          <w:rFonts w:ascii="Arial" w:hAnsi="Arial" w:cs="Arial"/>
          <w:bCs/>
          <w:color w:val="000000" w:themeColor="text1"/>
          <w:sz w:val="22"/>
          <w:szCs w:val="22"/>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3D4FC2">
        <w:rPr>
          <w:rFonts w:ascii="Arial" w:eastAsiaTheme="minorHAnsi" w:hAnsi="Arial" w:cs="Arial"/>
          <w:color w:val="000000" w:themeColor="text1"/>
          <w:szCs w:val="22"/>
          <w:lang w:val="es-ES_tradnl" w:eastAsia="en-US"/>
        </w:rPr>
        <w:t xml:space="preserve"> </w:t>
      </w:r>
      <w:r w:rsidRPr="003D4FC2">
        <w:rPr>
          <w:rFonts w:ascii="Arial" w:hAnsi="Arial" w:cs="Arial"/>
          <w:bCs/>
          <w:color w:val="000000" w:themeColor="text1"/>
          <w:sz w:val="22"/>
          <w:szCs w:val="22"/>
          <w:lang w:val="es-ES_tradnl" w:eastAsia="x-none"/>
        </w:rPr>
        <w:t>En efecto, tal como lo ha sostenido el Consejo de Estado, el vocablo «todos» utilizado por el legislador comprende</w:t>
      </w:r>
      <w:r w:rsidRPr="003D4FC2">
        <w:rPr>
          <w:rFonts w:ascii="Arial" w:eastAsiaTheme="minorHAnsi" w:hAnsi="Arial" w:cs="Arial"/>
          <w:color w:val="000000" w:themeColor="text1"/>
          <w:szCs w:val="22"/>
          <w:lang w:val="es-ES_tradnl" w:eastAsia="en-US"/>
        </w:rPr>
        <w:t xml:space="preserve"> </w:t>
      </w:r>
      <w:r w:rsidRPr="003D4FC2">
        <w:rPr>
          <w:rFonts w:ascii="Arial" w:hAnsi="Arial" w:cs="Arial"/>
          <w:bCs/>
          <w:color w:val="000000" w:themeColor="text1"/>
          <w:sz w:val="22"/>
          <w:szCs w:val="22"/>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00B34DF5" w:rsidRPr="003D4FC2">
        <w:rPr>
          <w:rFonts w:ascii="Arial" w:hAnsi="Arial" w:cs="Arial"/>
          <w:bCs/>
          <w:color w:val="000000" w:themeColor="text1"/>
          <w:sz w:val="22"/>
          <w:szCs w:val="22"/>
          <w:lang w:val="es-ES_tradnl" w:eastAsia="x-none"/>
        </w:rPr>
        <w:t>La Sala de Consulta y Servicio Civil de</w:t>
      </w:r>
      <w:r w:rsidRPr="003D4FC2">
        <w:rPr>
          <w:rFonts w:ascii="Arial" w:hAnsi="Arial" w:cs="Arial"/>
          <w:bCs/>
          <w:color w:val="000000" w:themeColor="text1"/>
          <w:sz w:val="22"/>
          <w:szCs w:val="22"/>
          <w:lang w:val="es-ES_tradnl" w:eastAsia="x-none"/>
        </w:rPr>
        <w:t xml:space="preserve">l Consejo de Estado, en Concepto 1727 de fecha 20 de febrero de 2006, consideró que: </w:t>
      </w:r>
    </w:p>
    <w:p w14:paraId="457F1E13" w14:textId="77777777" w:rsidR="000A0DF7" w:rsidRPr="003D4FC2" w:rsidRDefault="000A0DF7" w:rsidP="000A0DF7">
      <w:pPr>
        <w:spacing w:line="276" w:lineRule="auto"/>
        <w:ind w:firstLine="708"/>
        <w:jc w:val="both"/>
        <w:rPr>
          <w:rFonts w:ascii="Arial" w:hAnsi="Arial" w:cs="Arial"/>
          <w:bCs/>
          <w:color w:val="000000" w:themeColor="text1"/>
          <w:sz w:val="22"/>
          <w:szCs w:val="22"/>
          <w:lang w:val="es-ES_tradnl" w:eastAsia="x-none"/>
        </w:rPr>
      </w:pPr>
    </w:p>
    <w:p w14:paraId="38B18C74" w14:textId="77777777" w:rsidR="000A0DF7" w:rsidRPr="003D4FC2" w:rsidRDefault="000A0DF7" w:rsidP="000A0DF7">
      <w:pPr>
        <w:ind w:left="708" w:right="709"/>
        <w:jc w:val="both"/>
        <w:rPr>
          <w:rFonts w:ascii="Arial" w:hAnsi="Arial" w:cs="Arial"/>
          <w:bCs/>
          <w:color w:val="000000" w:themeColor="text1"/>
          <w:sz w:val="21"/>
          <w:szCs w:val="21"/>
          <w:lang w:val="es-ES_tradnl" w:eastAsia="es-CO"/>
        </w:rPr>
      </w:pPr>
      <w:r w:rsidRPr="003D4FC2">
        <w:rPr>
          <w:rFonts w:ascii="Arial" w:hAnsi="Arial" w:cs="Arial"/>
          <w:bCs/>
          <w:color w:val="000000" w:themeColor="text1"/>
          <w:sz w:val="21"/>
          <w:szCs w:val="21"/>
          <w:lang w:val="es-ES_tradnl"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3D4FC2">
        <w:rPr>
          <w:rStyle w:val="Refdenotaalpie"/>
          <w:rFonts w:ascii="Arial" w:hAnsi="Arial" w:cs="Arial"/>
          <w:color w:val="000000" w:themeColor="text1"/>
        </w:rPr>
        <w:footnoteReference w:id="26"/>
      </w:r>
      <w:r w:rsidRPr="003D4FC2">
        <w:rPr>
          <w:rFonts w:ascii="Arial" w:hAnsi="Arial" w:cs="Arial"/>
          <w:bCs/>
          <w:color w:val="000000" w:themeColor="text1"/>
          <w:sz w:val="21"/>
          <w:szCs w:val="21"/>
          <w:lang w:val="es-ES_tradnl" w:eastAsia="x-none"/>
        </w:rPr>
        <w:t>.</w:t>
      </w:r>
      <w:r w:rsidRPr="003D4FC2">
        <w:rPr>
          <w:rFonts w:ascii="Arial" w:hAnsi="Arial" w:cs="Arial"/>
          <w:bCs/>
          <w:color w:val="000000" w:themeColor="text1"/>
          <w:sz w:val="21"/>
          <w:szCs w:val="21"/>
          <w:lang w:val="es-ES_tradnl" w:eastAsia="es-CO"/>
        </w:rPr>
        <w:t xml:space="preserve"> </w:t>
      </w:r>
    </w:p>
    <w:p w14:paraId="0E6617E8" w14:textId="77777777" w:rsidR="000A0DF7" w:rsidRPr="003D4FC2" w:rsidRDefault="000A0DF7" w:rsidP="000A0DF7">
      <w:pPr>
        <w:spacing w:line="276" w:lineRule="auto"/>
        <w:ind w:firstLine="708"/>
        <w:jc w:val="both"/>
        <w:rPr>
          <w:rFonts w:ascii="Arial" w:hAnsi="Arial" w:cs="Arial"/>
          <w:bCs/>
          <w:color w:val="000000" w:themeColor="text1"/>
          <w:sz w:val="22"/>
          <w:szCs w:val="22"/>
          <w:lang w:val="es-ES_tradnl" w:eastAsia="es-CO"/>
        </w:rPr>
      </w:pPr>
    </w:p>
    <w:p w14:paraId="05998FAF" w14:textId="77777777" w:rsidR="000A0DF7" w:rsidRPr="003D4FC2" w:rsidRDefault="000A0DF7" w:rsidP="000A0DF7">
      <w:pPr>
        <w:spacing w:line="276" w:lineRule="auto"/>
        <w:ind w:firstLine="708"/>
        <w:jc w:val="both"/>
        <w:rPr>
          <w:rFonts w:ascii="Arial" w:hAnsi="Arial" w:cs="Arial"/>
          <w:bCs/>
          <w:color w:val="000000" w:themeColor="text1"/>
          <w:sz w:val="22"/>
          <w:szCs w:val="22"/>
          <w:lang w:val="es-ES_tradnl" w:eastAsia="x-none"/>
        </w:rPr>
      </w:pPr>
      <w:r w:rsidRPr="003D4FC2">
        <w:rPr>
          <w:rFonts w:ascii="Arial" w:eastAsiaTheme="minorHAnsi" w:hAnsi="Arial" w:cs="Arial"/>
          <w:color w:val="000000" w:themeColor="text1"/>
          <w:sz w:val="22"/>
          <w:szCs w:val="22"/>
          <w:lang w:val="es-ES_tradnl" w:eastAsia="en-US"/>
        </w:rPr>
        <w:t xml:space="preserve">Por lo tanto, la restricción prevista en la Ley 996 de 2005, </w:t>
      </w:r>
      <w:r w:rsidRPr="003D4FC2">
        <w:rPr>
          <w:rFonts w:ascii="Arial" w:hAnsi="Arial" w:cs="Arial"/>
          <w:bCs/>
          <w:color w:val="000000" w:themeColor="text1"/>
          <w:sz w:val="22"/>
          <w:szCs w:val="22"/>
          <w:lang w:val="es-ES_tradnl" w:eastAsia="x-none"/>
        </w:rPr>
        <w:t xml:space="preserve">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w:t>
      </w:r>
      <w:r w:rsidRPr="003D4FC2">
        <w:rPr>
          <w:rFonts w:ascii="Arial" w:hAnsi="Arial" w:cs="Arial"/>
          <w:bCs/>
          <w:color w:val="000000" w:themeColor="text1"/>
          <w:sz w:val="22"/>
          <w:szCs w:val="22"/>
          <w:lang w:val="es-ES_tradnl" w:eastAsia="x-none"/>
        </w:rPr>
        <w:lastRenderedPageBreak/>
        <w:t>tanto en la contratación regulada por la Ley 80 de 1993 como en la regida por normas especiales.</w:t>
      </w:r>
    </w:p>
    <w:p w14:paraId="3A7441E0" w14:textId="391CC3FD" w:rsidR="000A0DF7" w:rsidRPr="003D4FC2" w:rsidRDefault="000A0DF7" w:rsidP="000A0DF7">
      <w:pPr>
        <w:tabs>
          <w:tab w:val="left" w:pos="426"/>
        </w:tabs>
        <w:spacing w:line="276" w:lineRule="auto"/>
        <w:jc w:val="both"/>
        <w:rPr>
          <w:rFonts w:ascii="Arial" w:hAnsi="Arial" w:cs="Arial"/>
          <w:bCs/>
          <w:color w:val="000000" w:themeColor="text1"/>
          <w:sz w:val="22"/>
          <w:szCs w:val="22"/>
          <w:lang w:val="es-ES_tradnl" w:eastAsia="es-CO"/>
        </w:rPr>
      </w:pPr>
    </w:p>
    <w:p w14:paraId="4D079154" w14:textId="5027A355" w:rsidR="00C762D5" w:rsidRPr="003D4FC2" w:rsidRDefault="00C762D5" w:rsidP="00C762D5">
      <w:pPr>
        <w:spacing w:line="276" w:lineRule="auto"/>
        <w:jc w:val="both"/>
        <w:rPr>
          <w:rFonts w:ascii="Arial" w:eastAsia="Arial" w:hAnsi="Arial" w:cs="Arial"/>
          <w:b/>
          <w:bCs/>
          <w:color w:val="000000" w:themeColor="text1"/>
          <w:sz w:val="22"/>
          <w:szCs w:val="22"/>
          <w:lang w:val="es-ES" w:eastAsia="es-ES" w:bidi="es-ES"/>
        </w:rPr>
      </w:pPr>
      <w:r w:rsidRPr="003D4FC2">
        <w:rPr>
          <w:rFonts w:ascii="Arial" w:eastAsia="Arial" w:hAnsi="Arial" w:cs="Arial"/>
          <w:b/>
          <w:bCs/>
          <w:color w:val="000000" w:themeColor="text1"/>
          <w:sz w:val="22"/>
          <w:szCs w:val="22"/>
          <w:lang w:val="es-ES" w:eastAsia="es-ES" w:bidi="es-ES"/>
        </w:rPr>
        <w:t>2.</w:t>
      </w:r>
      <w:r w:rsidR="00B7276A" w:rsidRPr="003D4FC2">
        <w:rPr>
          <w:rFonts w:ascii="Arial" w:eastAsia="Arial" w:hAnsi="Arial" w:cs="Arial"/>
          <w:b/>
          <w:bCs/>
          <w:color w:val="000000" w:themeColor="text1"/>
          <w:sz w:val="22"/>
          <w:szCs w:val="22"/>
          <w:lang w:val="es-ES" w:eastAsia="es-ES" w:bidi="es-ES"/>
        </w:rPr>
        <w:t>4</w:t>
      </w:r>
      <w:r w:rsidRPr="003D4FC2">
        <w:rPr>
          <w:rFonts w:ascii="Arial" w:eastAsia="Arial" w:hAnsi="Arial" w:cs="Arial"/>
          <w:b/>
          <w:bCs/>
          <w:color w:val="000000" w:themeColor="text1"/>
          <w:sz w:val="22"/>
          <w:szCs w:val="22"/>
          <w:lang w:val="es-ES" w:eastAsia="es-ES" w:bidi="es-ES"/>
        </w:rPr>
        <w:t xml:space="preserve">. </w:t>
      </w:r>
      <w:bookmarkStart w:id="10" w:name="_Hlk93328413"/>
      <w:r w:rsidRPr="003D4FC2">
        <w:rPr>
          <w:rFonts w:ascii="Arial" w:eastAsia="Arial" w:hAnsi="Arial" w:cs="Arial"/>
          <w:b/>
          <w:bCs/>
          <w:color w:val="000000" w:themeColor="text1"/>
          <w:sz w:val="22"/>
          <w:szCs w:val="22"/>
          <w:lang w:val="es-ES" w:eastAsia="es-ES" w:bidi="es-ES"/>
        </w:rPr>
        <w:t>Restricciones de la Ley de Garantías en los contratos de colaboración y convenios de asociación con entidades privadas sin ánimo de lucro</w:t>
      </w:r>
      <w:bookmarkEnd w:id="10"/>
      <w:r w:rsidR="00B117EC" w:rsidRPr="003D4FC2">
        <w:rPr>
          <w:rFonts w:ascii="Arial" w:eastAsia="Arial" w:hAnsi="Arial" w:cs="Arial"/>
          <w:b/>
          <w:bCs/>
          <w:color w:val="000000" w:themeColor="text1"/>
          <w:sz w:val="22"/>
          <w:szCs w:val="22"/>
          <w:lang w:val="es-ES" w:eastAsia="es-ES" w:bidi="es-ES"/>
        </w:rPr>
        <w:t>: la celebración de convenios de cajas de compensación familiar</w:t>
      </w:r>
    </w:p>
    <w:p w14:paraId="365F3269" w14:textId="77777777" w:rsidR="00C762D5" w:rsidRPr="003D4FC2" w:rsidRDefault="00C762D5" w:rsidP="00C762D5">
      <w:pPr>
        <w:spacing w:line="276" w:lineRule="auto"/>
        <w:jc w:val="both"/>
        <w:rPr>
          <w:rFonts w:ascii="Arial" w:eastAsiaTheme="minorHAnsi" w:hAnsi="Arial" w:cs="Arial"/>
          <w:color w:val="000000" w:themeColor="text1"/>
          <w:sz w:val="22"/>
          <w:szCs w:val="22"/>
          <w:lang w:val="es-MX" w:eastAsia="en-US"/>
        </w:rPr>
      </w:pPr>
    </w:p>
    <w:p w14:paraId="7D1DB963" w14:textId="77777777" w:rsidR="00C762D5" w:rsidRPr="003D4FC2" w:rsidRDefault="00C762D5" w:rsidP="00C762D5">
      <w:pPr>
        <w:spacing w:after="120" w:line="276" w:lineRule="auto"/>
        <w:jc w:val="both"/>
        <w:rPr>
          <w:rFonts w:ascii="Arial" w:eastAsiaTheme="minorHAnsi" w:hAnsi="Arial" w:cs="Arial"/>
          <w:color w:val="000000" w:themeColor="text1"/>
          <w:sz w:val="22"/>
          <w:szCs w:val="22"/>
          <w:lang w:val="es-MX" w:eastAsia="en-US"/>
        </w:rPr>
      </w:pPr>
      <w:r w:rsidRPr="003D4FC2">
        <w:rPr>
          <w:rFonts w:ascii="Arial" w:eastAsiaTheme="minorHAnsi" w:hAnsi="Arial" w:cs="Arial"/>
          <w:color w:val="000000" w:themeColor="text1"/>
          <w:sz w:val="22"/>
          <w:szCs w:val="22"/>
          <w:lang w:val="es-MX" w:eastAsia="en-U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privadas sin ánimo de lucro –ESAL– con el fin de impulsar programas y actividades de interés público acordes con el plan nacional y los planes seccionales de desarrollo</w:t>
      </w:r>
      <w:r w:rsidRPr="003D4FC2">
        <w:rPr>
          <w:rFonts w:ascii="Arial" w:eastAsiaTheme="minorHAnsi" w:hAnsi="Arial" w:cs="Arial"/>
          <w:color w:val="000000" w:themeColor="text1"/>
          <w:sz w:val="22"/>
          <w:szCs w:val="22"/>
          <w:vertAlign w:val="superscript"/>
          <w:lang w:val="es-MX" w:eastAsia="en-US"/>
        </w:rPr>
        <w:footnoteReference w:id="27"/>
      </w:r>
      <w:r w:rsidRPr="003D4FC2">
        <w:rPr>
          <w:rFonts w:ascii="Arial" w:eastAsiaTheme="minorHAnsi" w:hAnsi="Arial" w:cs="Arial"/>
          <w:color w:val="000000" w:themeColor="text1"/>
          <w:sz w:val="22"/>
          <w:szCs w:val="22"/>
          <w:lang w:val="es-MX" w:eastAsia="en-US"/>
        </w:rPr>
        <w:t xml:space="preserve">. </w:t>
      </w:r>
      <w:r w:rsidRPr="003D4FC2">
        <w:rPr>
          <w:rFonts w:ascii="Arial" w:eastAsia="Calibri" w:hAnsi="Arial" w:cs="Arial"/>
          <w:color w:val="000000" w:themeColor="text1"/>
          <w:sz w:val="22"/>
          <w:szCs w:val="22"/>
          <w:lang w:val="es-MX" w:eastAsia="en-US"/>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3D4FC2">
        <w:rPr>
          <w:rFonts w:ascii="Arial" w:eastAsia="Calibri" w:hAnsi="Arial" w:cs="Arial"/>
          <w:color w:val="000000" w:themeColor="text1"/>
          <w:sz w:val="22"/>
          <w:szCs w:val="22"/>
          <w:vertAlign w:val="superscript"/>
          <w:lang w:val="es-MX" w:eastAsia="en-US"/>
        </w:rPr>
        <w:footnoteReference w:id="28"/>
      </w:r>
      <w:r w:rsidRPr="003D4FC2">
        <w:rPr>
          <w:rFonts w:ascii="Arial" w:eastAsia="Calibri" w:hAnsi="Arial" w:cs="Arial"/>
          <w:color w:val="000000" w:themeColor="text1"/>
          <w:sz w:val="22"/>
          <w:szCs w:val="22"/>
          <w:lang w:val="es-MX" w:eastAsia="en-US"/>
        </w:rPr>
        <w:t>. Ambas figuras tienen como fin desarrollar conjuntamente actividades relacionadas con los cometidos y funciones legales asignadas a la entidad.</w:t>
      </w:r>
    </w:p>
    <w:p w14:paraId="785E0399" w14:textId="2C11459D" w:rsidR="00C762D5" w:rsidRPr="003D4FC2" w:rsidRDefault="00C762D5" w:rsidP="00C762D5">
      <w:pPr>
        <w:spacing w:after="120" w:line="276" w:lineRule="auto"/>
        <w:ind w:firstLine="708"/>
        <w:jc w:val="both"/>
        <w:rPr>
          <w:rFonts w:ascii="Arial" w:eastAsia="Calibri" w:hAnsi="Arial" w:cs="Arial"/>
          <w:color w:val="000000" w:themeColor="text1"/>
          <w:sz w:val="22"/>
          <w:szCs w:val="22"/>
          <w:lang w:val="es-MX" w:eastAsia="en-US"/>
        </w:rPr>
      </w:pPr>
      <w:r w:rsidRPr="003D4FC2">
        <w:rPr>
          <w:rFonts w:ascii="Arial" w:eastAsiaTheme="minorHAnsi" w:hAnsi="Arial" w:cs="Arial"/>
          <w:color w:val="000000" w:themeColor="text1"/>
          <w:sz w:val="22"/>
          <w:szCs w:val="22"/>
          <w:lang w:val="es-MX" w:eastAsia="en-US"/>
        </w:rPr>
        <w:t>En desarrollo del artículo 355 de la Constitución, el Gobierno Nacional expidió el Decreto 92 de 2017, q</w:t>
      </w:r>
      <w:r w:rsidRPr="003D4FC2">
        <w:rPr>
          <w:rFonts w:ascii="Arial" w:eastAsia="Calibri" w:hAnsi="Arial" w:cs="Arial"/>
          <w:color w:val="000000" w:themeColor="text1"/>
          <w:sz w:val="22"/>
          <w:szCs w:val="22"/>
          <w:lang w:val="es-MX" w:eastAsia="en-US"/>
        </w:rPr>
        <w:t xml:space="preserve">ue dispone las reglas para las contrataciones que realicen las entidades estatales con las ESAL. El Decreto regula dos eventos: i) los </w:t>
      </w:r>
      <w:r w:rsidRPr="003D4FC2">
        <w:rPr>
          <w:rFonts w:ascii="Arial" w:eastAsia="Calibri" w:hAnsi="Arial" w:cs="Arial"/>
          <w:i/>
          <w:iCs/>
          <w:color w:val="000000" w:themeColor="text1"/>
          <w:sz w:val="22"/>
          <w:szCs w:val="22"/>
          <w:lang w:val="es-MX" w:eastAsia="en-US"/>
        </w:rPr>
        <w:t>contratos de colaboración</w:t>
      </w:r>
      <w:r w:rsidRPr="003D4FC2">
        <w:rPr>
          <w:rFonts w:ascii="Arial" w:eastAsia="Calibri" w:hAnsi="Arial" w:cs="Arial"/>
          <w:color w:val="000000" w:themeColor="text1"/>
          <w:sz w:val="22"/>
          <w:szCs w:val="22"/>
          <w:lang w:val="es-MX" w:eastAsia="en-US"/>
        </w:rPr>
        <w:t xml:space="preserve"> o de interés público</w:t>
      </w:r>
      <w:r w:rsidR="00711B2E" w:rsidRPr="003D4FC2">
        <w:rPr>
          <w:rFonts w:ascii="Arial" w:eastAsia="Calibri" w:hAnsi="Arial" w:cs="Arial"/>
          <w:color w:val="000000" w:themeColor="text1"/>
          <w:sz w:val="22"/>
          <w:szCs w:val="22"/>
          <w:lang w:val="es-MX" w:eastAsia="en-US"/>
        </w:rPr>
        <w:t>,</w:t>
      </w:r>
      <w:r w:rsidRPr="003D4FC2">
        <w:rPr>
          <w:rFonts w:ascii="Arial" w:eastAsia="Calibri" w:hAnsi="Arial" w:cs="Arial"/>
          <w:color w:val="000000" w:themeColor="text1"/>
          <w:sz w:val="22"/>
          <w:szCs w:val="22"/>
          <w:lang w:val="es-MX" w:eastAsia="en-US"/>
        </w:rPr>
        <w:t xml:space="preserve"> con el fin impulsar programas y actividades de interés público de acuerdo con el Plan Nacional o los planes seccionales de desarrollo, en los términos del artículo 355 de la Constitución Política; y ii) los </w:t>
      </w:r>
      <w:r w:rsidRPr="003D4FC2">
        <w:rPr>
          <w:rFonts w:ascii="Arial" w:eastAsia="Calibri" w:hAnsi="Arial" w:cs="Arial"/>
          <w:i/>
          <w:iCs/>
          <w:color w:val="000000" w:themeColor="text1"/>
          <w:sz w:val="22"/>
          <w:szCs w:val="22"/>
          <w:lang w:val="es-MX" w:eastAsia="en-US"/>
        </w:rPr>
        <w:t>convenios de asociación</w:t>
      </w:r>
      <w:r w:rsidRPr="003D4FC2">
        <w:rPr>
          <w:rFonts w:ascii="Arial" w:eastAsia="Calibri" w:hAnsi="Arial" w:cs="Arial"/>
          <w:color w:val="000000" w:themeColor="text1"/>
          <w:sz w:val="22"/>
          <w:szCs w:val="22"/>
          <w:lang w:val="es-MX" w:eastAsia="en-US"/>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3D4FC2">
        <w:rPr>
          <w:rFonts w:ascii="Arial" w:eastAsia="Calibri" w:hAnsi="Arial" w:cs="Arial"/>
          <w:i/>
          <w:iCs/>
          <w:color w:val="000000" w:themeColor="text1"/>
          <w:sz w:val="22"/>
          <w:szCs w:val="22"/>
          <w:lang w:val="es-MX" w:eastAsia="en-US"/>
        </w:rPr>
        <w:t>ibidem</w:t>
      </w:r>
      <w:r w:rsidRPr="003D4FC2">
        <w:rPr>
          <w:rFonts w:ascii="Arial" w:eastAsia="Calibri" w:hAnsi="Arial" w:cs="Arial"/>
          <w:color w:val="000000" w:themeColor="text1"/>
          <w:sz w:val="22"/>
          <w:szCs w:val="22"/>
          <w:lang w:val="es-MX" w:eastAsia="en-US"/>
        </w:rPr>
        <w:t xml:space="preserve">. Es posible diferenciar, pues, los </w:t>
      </w:r>
      <w:r w:rsidRPr="003D4FC2">
        <w:rPr>
          <w:rFonts w:ascii="Arial" w:eastAsia="Calibri" w:hAnsi="Arial" w:cs="Arial"/>
          <w:i/>
          <w:iCs/>
          <w:color w:val="000000" w:themeColor="text1"/>
          <w:sz w:val="22"/>
          <w:szCs w:val="22"/>
          <w:lang w:val="es-MX" w:eastAsia="en-US"/>
        </w:rPr>
        <w:t>convenios de asociación</w:t>
      </w:r>
      <w:r w:rsidRPr="003D4FC2">
        <w:rPr>
          <w:rFonts w:ascii="Arial" w:eastAsia="Calibri" w:hAnsi="Arial" w:cs="Arial"/>
          <w:color w:val="000000" w:themeColor="text1"/>
          <w:sz w:val="22"/>
          <w:szCs w:val="22"/>
          <w:lang w:val="es-MX" w:eastAsia="en-US"/>
        </w:rPr>
        <w:t xml:space="preserve">, regulados en el artículo 5, de los </w:t>
      </w:r>
      <w:r w:rsidRPr="003D4FC2">
        <w:rPr>
          <w:rFonts w:ascii="Arial" w:eastAsia="Calibri" w:hAnsi="Arial" w:cs="Arial"/>
          <w:i/>
          <w:iCs/>
          <w:color w:val="000000" w:themeColor="text1"/>
          <w:sz w:val="22"/>
          <w:szCs w:val="22"/>
          <w:lang w:val="es-MX" w:eastAsia="en-US"/>
        </w:rPr>
        <w:t>contratos de colaboración</w:t>
      </w:r>
      <w:r w:rsidRPr="003D4FC2">
        <w:rPr>
          <w:rFonts w:ascii="Arial" w:eastAsia="Calibri" w:hAnsi="Arial" w:cs="Arial"/>
          <w:color w:val="000000" w:themeColor="text1"/>
          <w:sz w:val="22"/>
          <w:szCs w:val="22"/>
          <w:lang w:val="es-MX" w:eastAsia="en-US"/>
        </w:rPr>
        <w:t>, establecidos en el artículo 2 del Decreto 92 de 2017</w:t>
      </w:r>
      <w:r w:rsidRPr="003D4FC2">
        <w:rPr>
          <w:rFonts w:ascii="Arial" w:eastAsia="Calibri" w:hAnsi="Arial" w:cs="Arial"/>
          <w:color w:val="000000" w:themeColor="text1"/>
          <w:sz w:val="22"/>
          <w:szCs w:val="22"/>
          <w:vertAlign w:val="superscript"/>
          <w:lang w:val="es-MX" w:eastAsia="en-US"/>
        </w:rPr>
        <w:footnoteReference w:id="29"/>
      </w:r>
      <w:r w:rsidRPr="003D4FC2">
        <w:rPr>
          <w:rFonts w:ascii="Arial" w:eastAsia="Calibri" w:hAnsi="Arial" w:cs="Arial"/>
          <w:color w:val="000000" w:themeColor="text1"/>
          <w:sz w:val="22"/>
          <w:szCs w:val="22"/>
          <w:lang w:val="es-MX" w:eastAsia="en-US"/>
        </w:rPr>
        <w:t xml:space="preserve">. </w:t>
      </w:r>
    </w:p>
    <w:p w14:paraId="49BCEF81" w14:textId="77777777" w:rsidR="00C762D5" w:rsidRPr="003D4FC2" w:rsidRDefault="00C762D5" w:rsidP="00C762D5">
      <w:pPr>
        <w:spacing w:after="120" w:line="276" w:lineRule="auto"/>
        <w:ind w:firstLine="708"/>
        <w:jc w:val="both"/>
        <w:rPr>
          <w:rFonts w:ascii="Arial" w:eastAsia="Calibri" w:hAnsi="Arial" w:cs="Arial"/>
          <w:color w:val="000000" w:themeColor="text1"/>
          <w:sz w:val="22"/>
          <w:szCs w:val="22"/>
          <w:lang w:val="es-MX" w:eastAsia="en-US"/>
        </w:rPr>
      </w:pPr>
      <w:r w:rsidRPr="003D4FC2">
        <w:rPr>
          <w:rFonts w:ascii="Arial" w:eastAsia="Calibri" w:hAnsi="Arial" w:cs="Arial"/>
          <w:color w:val="000000" w:themeColor="text1"/>
          <w:sz w:val="22"/>
          <w:szCs w:val="22"/>
          <w:lang w:val="es-MX" w:eastAsia="en-US"/>
        </w:rPr>
        <w:lastRenderedPageBreak/>
        <w:t xml:space="preserve">Los </w:t>
      </w:r>
      <w:r w:rsidRPr="003D4FC2">
        <w:rPr>
          <w:rFonts w:ascii="Arial" w:eastAsia="Calibri" w:hAnsi="Arial" w:cs="Arial"/>
          <w:i/>
          <w:iCs/>
          <w:color w:val="000000" w:themeColor="text1"/>
          <w:sz w:val="22"/>
          <w:szCs w:val="22"/>
          <w:lang w:val="es-MX" w:eastAsia="en-US"/>
        </w:rPr>
        <w:t xml:space="preserve">contratos de colaboración </w:t>
      </w:r>
      <w:r w:rsidRPr="003D4FC2">
        <w:rPr>
          <w:rFonts w:ascii="Arial" w:eastAsia="Calibri" w:hAnsi="Arial" w:cs="Arial"/>
          <w:color w:val="000000" w:themeColor="text1"/>
          <w:sz w:val="22"/>
          <w:szCs w:val="22"/>
          <w:lang w:val="es-MX" w:eastAsia="en-US"/>
        </w:rPr>
        <w:t>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703D097E" w14:textId="77777777" w:rsidR="00C762D5" w:rsidRPr="003D4FC2" w:rsidRDefault="00C762D5" w:rsidP="00C762D5">
      <w:pPr>
        <w:spacing w:after="120" w:line="276" w:lineRule="auto"/>
        <w:ind w:firstLine="708"/>
        <w:jc w:val="both"/>
        <w:rPr>
          <w:rFonts w:ascii="Arial" w:eastAsiaTheme="minorHAnsi" w:hAnsi="Arial" w:cs="Arial"/>
          <w:color w:val="000000" w:themeColor="text1"/>
          <w:sz w:val="22"/>
          <w:szCs w:val="22"/>
          <w:lang w:val="es-MX" w:eastAsia="en-US"/>
        </w:rPr>
      </w:pPr>
      <w:r w:rsidRPr="003D4FC2">
        <w:rPr>
          <w:rFonts w:ascii="Arial" w:eastAsiaTheme="minorHAnsi" w:hAnsi="Arial" w:cs="Arial"/>
          <w:color w:val="000000" w:themeColor="text1"/>
          <w:sz w:val="22"/>
          <w:szCs w:val="22"/>
          <w:lang w:val="es-MX" w:eastAsia="en-US"/>
        </w:rPr>
        <w:t xml:space="preserve">De otro lado, los </w:t>
      </w:r>
      <w:r w:rsidRPr="003D4FC2">
        <w:rPr>
          <w:rFonts w:ascii="Arial" w:eastAsiaTheme="minorHAnsi" w:hAnsi="Arial" w:cs="Arial"/>
          <w:i/>
          <w:iCs/>
          <w:color w:val="000000" w:themeColor="text1"/>
          <w:sz w:val="22"/>
          <w:szCs w:val="22"/>
          <w:lang w:val="es-MX" w:eastAsia="en-US"/>
        </w:rPr>
        <w:t>convenios de asociación</w:t>
      </w:r>
      <w:r w:rsidRPr="003D4FC2">
        <w:rPr>
          <w:rFonts w:ascii="Arial" w:eastAsiaTheme="minorHAnsi" w:hAnsi="Arial" w:cs="Arial"/>
          <w:color w:val="000000" w:themeColor="text1"/>
          <w:sz w:val="22"/>
          <w:szCs w:val="22"/>
          <w:lang w:val="es-MX" w:eastAsia="en-US"/>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D4FC2">
        <w:rPr>
          <w:rFonts w:ascii="Arial" w:eastAsiaTheme="minorHAnsi" w:hAnsi="Arial" w:cs="Arial"/>
          <w:color w:val="000000" w:themeColor="text1"/>
          <w:sz w:val="22"/>
          <w:szCs w:val="22"/>
          <w:vertAlign w:val="superscript"/>
          <w:lang w:val="es-MX" w:eastAsia="en-US"/>
        </w:rPr>
        <w:footnoteReference w:id="30"/>
      </w:r>
      <w:r w:rsidRPr="003D4FC2">
        <w:rPr>
          <w:rFonts w:ascii="Arial" w:eastAsiaTheme="minorHAnsi" w:hAnsi="Arial" w:cs="Arial"/>
          <w:color w:val="000000" w:themeColor="text1"/>
          <w:sz w:val="22"/>
          <w:szCs w:val="22"/>
          <w:lang w:val="es-MX" w:eastAsia="en-US"/>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70A21A9C" w14:textId="77777777" w:rsidR="00C762D5" w:rsidRPr="003D4FC2" w:rsidRDefault="00C762D5" w:rsidP="00C762D5">
      <w:pPr>
        <w:spacing w:after="120" w:line="276" w:lineRule="auto"/>
        <w:ind w:firstLine="708"/>
        <w:jc w:val="both"/>
        <w:rPr>
          <w:rFonts w:ascii="Arial" w:eastAsiaTheme="minorHAnsi" w:hAnsi="Arial" w:cs="Arial"/>
          <w:color w:val="000000" w:themeColor="text1"/>
          <w:sz w:val="22"/>
          <w:szCs w:val="22"/>
          <w:lang w:val="es-MX" w:eastAsia="en-US"/>
        </w:rPr>
      </w:pPr>
      <w:r w:rsidRPr="003D4FC2">
        <w:rPr>
          <w:rFonts w:ascii="Arial" w:eastAsiaTheme="minorHAnsi" w:hAnsi="Arial" w:cs="Arial"/>
          <w:color w:val="000000" w:themeColor="text1"/>
          <w:sz w:val="22"/>
          <w:szCs w:val="22"/>
          <w:lang w:val="es-MX" w:eastAsia="en-US"/>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15E3CBFC" w14:textId="16318EE2" w:rsidR="00C762D5" w:rsidRPr="003D4FC2" w:rsidRDefault="00C762D5" w:rsidP="00C762D5">
      <w:pPr>
        <w:spacing w:after="120" w:line="276" w:lineRule="auto"/>
        <w:ind w:firstLine="708"/>
        <w:jc w:val="both"/>
        <w:rPr>
          <w:rFonts w:ascii="Arial" w:eastAsia="Calibri" w:hAnsi="Arial" w:cs="Arial"/>
          <w:color w:val="000000" w:themeColor="text1"/>
          <w:sz w:val="22"/>
          <w:szCs w:val="22"/>
          <w:lang w:val="es-MX" w:eastAsia="en-US"/>
        </w:rPr>
      </w:pPr>
      <w:r w:rsidRPr="003D4FC2">
        <w:rPr>
          <w:rFonts w:ascii="Arial" w:eastAsiaTheme="minorHAnsi" w:hAnsi="Arial" w:cs="Arial"/>
          <w:color w:val="000000" w:themeColor="text1"/>
          <w:sz w:val="22"/>
          <w:szCs w:val="22"/>
          <w:lang w:val="es-MX" w:eastAsia="en-US"/>
        </w:rPr>
        <w:t>L</w:t>
      </w:r>
      <w:r w:rsidRPr="003D4FC2">
        <w:rPr>
          <w:rFonts w:ascii="Arial" w:eastAsia="Calibri" w:hAnsi="Arial" w:cs="Arial"/>
          <w:color w:val="000000" w:themeColor="text1"/>
          <w:sz w:val="22"/>
          <w:szCs w:val="22"/>
          <w:lang w:val="es-MX" w:eastAsia="en-US"/>
        </w:rPr>
        <w:t>a normativa vigente no impide que varias entidades suscriban conjuntamente el convenio de asociación ni tampoco que dos o más ESAL pueden hacerlo a través de las figuras asociativas autorizadas por la ley, por ejemplo, la unión temporal o el consorcio</w:t>
      </w:r>
      <w:r w:rsidRPr="003D4FC2">
        <w:rPr>
          <w:rFonts w:ascii="Arial" w:eastAsia="Calibri" w:hAnsi="Arial" w:cs="Arial"/>
          <w:color w:val="000000" w:themeColor="text1"/>
          <w:sz w:val="22"/>
          <w:szCs w:val="22"/>
          <w:vertAlign w:val="superscript"/>
          <w:lang w:val="es-MX" w:eastAsia="en-US"/>
        </w:rPr>
        <w:footnoteReference w:id="31"/>
      </w:r>
      <w:r w:rsidRPr="003D4FC2">
        <w:rPr>
          <w:rFonts w:ascii="Arial" w:eastAsia="Calibri" w:hAnsi="Arial" w:cs="Arial"/>
          <w:color w:val="000000" w:themeColor="text1"/>
          <w:sz w:val="22"/>
          <w:szCs w:val="22"/>
          <w:lang w:val="es-MX" w:eastAsia="en-US"/>
        </w:rPr>
        <w:t xml:space="preserve">. </w:t>
      </w:r>
      <w:r w:rsidRPr="003D4FC2">
        <w:rPr>
          <w:rFonts w:ascii="Arial" w:eastAsia="Calibri" w:hAnsi="Arial" w:cs="Arial"/>
          <w:color w:val="000000" w:themeColor="text1"/>
          <w:sz w:val="22"/>
          <w:szCs w:val="22"/>
          <w:lang w:val="es-MX" w:eastAsia="en-US"/>
        </w:rPr>
        <w:lastRenderedPageBreak/>
        <w:t xml:space="preserve">Sin embargo, comoquiera que el artículo 96 de la Ley 489 de 1998 determina que el convenio debe buscar el desarrollo conjunto de actividades relacionadas con los cometidos y funciones que la ley les asigna a las entidades estatales involucradas, es necesario que las funciones legales de las entidades estatales que suscriben conjuntamente el convenio coincidan de alguna de tal manera que, los cometidos funcionales de una y otra entidad se relacionen con el objeto del convenio.  </w:t>
      </w:r>
    </w:p>
    <w:p w14:paraId="5F153905" w14:textId="77777777" w:rsidR="00C762D5" w:rsidRPr="003D4FC2" w:rsidRDefault="00C762D5" w:rsidP="00C762D5">
      <w:pPr>
        <w:spacing w:after="120" w:line="276" w:lineRule="auto"/>
        <w:ind w:firstLine="708"/>
        <w:jc w:val="both"/>
        <w:rPr>
          <w:rFonts w:ascii="Arial" w:eastAsia="Calibri" w:hAnsi="Arial" w:cs="Arial"/>
          <w:color w:val="000000" w:themeColor="text1"/>
          <w:sz w:val="22"/>
          <w:szCs w:val="22"/>
          <w:lang w:val="es-MX" w:eastAsia="en-US"/>
        </w:rPr>
      </w:pPr>
      <w:r w:rsidRPr="003D4FC2">
        <w:rPr>
          <w:rFonts w:ascii="Arial" w:eastAsia="Calibri" w:hAnsi="Arial" w:cs="Arial"/>
          <w:color w:val="000000" w:themeColor="text1"/>
          <w:sz w:val="22"/>
          <w:szCs w:val="22"/>
          <w:lang w:val="es-MX" w:eastAsia="en-US"/>
        </w:rPr>
        <w:t>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del valor del convenio para celebrarlo directamente, pues 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3D4FC2">
        <w:rPr>
          <w:rFonts w:ascii="Arial" w:eastAsia="Calibri" w:hAnsi="Arial" w:cs="Arial"/>
          <w:color w:val="000000" w:themeColor="text1"/>
          <w:sz w:val="22"/>
          <w:szCs w:val="22"/>
          <w:vertAlign w:val="superscript"/>
          <w:lang w:val="es-MX" w:eastAsia="en-US"/>
        </w:rPr>
        <w:footnoteReference w:id="32"/>
      </w:r>
      <w:r w:rsidRPr="003D4FC2">
        <w:rPr>
          <w:rFonts w:ascii="Arial" w:eastAsia="Calibri" w:hAnsi="Arial" w:cs="Arial"/>
          <w:color w:val="000000" w:themeColor="text1"/>
          <w:sz w:val="22"/>
          <w:szCs w:val="22"/>
          <w:lang w:val="es-MX" w:eastAsia="en-US"/>
        </w:rPr>
        <w:t>.</w:t>
      </w:r>
    </w:p>
    <w:p w14:paraId="4C3950AE" w14:textId="77777777" w:rsidR="00C762D5" w:rsidRPr="003D4FC2" w:rsidRDefault="00C762D5" w:rsidP="00C762D5">
      <w:pPr>
        <w:spacing w:after="120" w:line="276" w:lineRule="auto"/>
        <w:ind w:firstLine="708"/>
        <w:jc w:val="both"/>
        <w:rPr>
          <w:rFonts w:ascii="Arial" w:eastAsiaTheme="minorHAnsi" w:hAnsi="Arial" w:cs="Arial"/>
          <w:color w:val="000000" w:themeColor="text1"/>
          <w:sz w:val="22"/>
          <w:szCs w:val="22"/>
          <w:lang w:val="es-MX" w:eastAsia="en-US"/>
        </w:rPr>
      </w:pPr>
      <w:r w:rsidRPr="003D4FC2">
        <w:rPr>
          <w:rFonts w:ascii="Arial" w:eastAsiaTheme="minorHAnsi" w:hAnsi="Arial" w:cs="Arial"/>
          <w:color w:val="000000" w:themeColor="text1"/>
          <w:sz w:val="22"/>
          <w:szCs w:val="22"/>
          <w:lang w:val="es-MX" w:eastAsia="en-US"/>
        </w:rPr>
        <w:t xml:space="preserve">La noción «seleccionar de forma objetiva», contenida en la disposición </w:t>
      </w:r>
      <w:r w:rsidRPr="003D4FC2">
        <w:rPr>
          <w:rFonts w:ascii="Arial" w:eastAsiaTheme="minorHAnsi" w:hAnsi="Arial" w:cs="Arial"/>
          <w:i/>
          <w:iCs/>
          <w:color w:val="000000" w:themeColor="text1"/>
          <w:sz w:val="22"/>
          <w:szCs w:val="22"/>
          <w:lang w:val="es-MX" w:eastAsia="en-US"/>
        </w:rPr>
        <w:t xml:space="preserve">sub examine </w:t>
      </w:r>
      <w:r w:rsidRPr="003D4FC2">
        <w:rPr>
          <w:rFonts w:ascii="Arial" w:eastAsiaTheme="minorHAnsi" w:hAnsi="Arial" w:cs="Arial"/>
          <w:color w:val="000000" w:themeColor="text1"/>
          <w:sz w:val="22"/>
          <w:szCs w:val="22"/>
          <w:lang w:val="es-MX" w:eastAsia="en-US"/>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4DD8F136" w14:textId="77777777" w:rsidR="00C762D5" w:rsidRPr="003D4FC2" w:rsidRDefault="00C762D5" w:rsidP="00C762D5">
      <w:pPr>
        <w:spacing w:after="120" w:line="276" w:lineRule="auto"/>
        <w:ind w:firstLine="708"/>
        <w:jc w:val="both"/>
        <w:textAlignment w:val="baseline"/>
        <w:rPr>
          <w:rFonts w:ascii="Arial" w:eastAsiaTheme="minorHAnsi" w:hAnsi="Arial" w:cs="Arial"/>
          <w:color w:val="000000" w:themeColor="text1"/>
          <w:sz w:val="22"/>
          <w:szCs w:val="22"/>
          <w:lang w:val="es-MX" w:eastAsia="en-US"/>
        </w:rPr>
      </w:pPr>
      <w:r w:rsidRPr="003D4FC2">
        <w:rPr>
          <w:rFonts w:ascii="Arial" w:eastAsia="Arial" w:hAnsi="Arial" w:cs="Arial"/>
          <w:color w:val="000000" w:themeColor="text1"/>
          <w:sz w:val="22"/>
          <w:szCs w:val="22"/>
          <w:lang w:val="es-ES" w:eastAsia="en-US"/>
        </w:rPr>
        <w:t xml:space="preserve">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w:t>
      </w:r>
      <w:r w:rsidRPr="003D4FC2">
        <w:rPr>
          <w:rFonts w:ascii="Arial" w:eastAsia="Arial" w:hAnsi="Arial" w:cs="Arial"/>
          <w:color w:val="000000" w:themeColor="text1"/>
          <w:sz w:val="22"/>
          <w:szCs w:val="22"/>
          <w:lang w:val="es-ES" w:eastAsia="en-US"/>
        </w:rPr>
        <w:lastRenderedPageBreak/>
        <w:t>las ofertas. Este procedimiento puede ser análogo a otros donde existe competencia, como la licitación pública</w:t>
      </w:r>
      <w:r w:rsidRPr="003D4FC2">
        <w:rPr>
          <w:rFonts w:ascii="Arial" w:eastAsiaTheme="minorHAnsi" w:hAnsi="Arial" w:cs="Arial"/>
          <w:color w:val="000000" w:themeColor="text1"/>
          <w:sz w:val="22"/>
          <w:szCs w:val="22"/>
          <w:lang w:val="es-MX" w:eastAsia="en-US"/>
        </w:rPr>
        <w:t>. </w:t>
      </w:r>
    </w:p>
    <w:p w14:paraId="16AA81D5" w14:textId="77777777" w:rsidR="00C762D5" w:rsidRPr="003D4FC2" w:rsidRDefault="00C762D5" w:rsidP="00C762D5">
      <w:pPr>
        <w:spacing w:after="120" w:line="276" w:lineRule="auto"/>
        <w:ind w:firstLine="709"/>
        <w:jc w:val="both"/>
        <w:rPr>
          <w:rFonts w:ascii="Arial" w:eastAsia="Calibri" w:hAnsi="Arial" w:cs="Arial"/>
          <w:color w:val="000000" w:themeColor="text1"/>
          <w:sz w:val="22"/>
          <w:szCs w:val="22"/>
          <w:lang w:val="es-MX" w:eastAsia="en-US"/>
        </w:rPr>
      </w:pPr>
      <w:r w:rsidRPr="003D4FC2">
        <w:rPr>
          <w:rFonts w:ascii="Arial" w:eastAsiaTheme="minorHAnsi" w:hAnsi="Arial" w:cs="Arial"/>
          <w:color w:val="000000" w:themeColor="text1"/>
          <w:sz w:val="22"/>
          <w:szCs w:val="22"/>
          <w:lang w:val="es-MX" w:eastAsia="en-US"/>
        </w:rPr>
        <w:t>Ahora bien, e</w:t>
      </w:r>
      <w:r w:rsidRPr="003D4FC2">
        <w:rPr>
          <w:rFonts w:ascii="Arial" w:eastAsia="Calibri" w:hAnsi="Arial" w:cs="Arial"/>
          <w:color w:val="000000" w:themeColor="text1"/>
          <w:sz w:val="22"/>
          <w:szCs w:val="22"/>
          <w:lang w:val="es-MX" w:eastAsia="en-US"/>
        </w:rPr>
        <w:t>l Consejo de Estado, en el Auto del 6 de agosto de 2019 de la Sección Tercera, Subsección A –Exp. 62.003–, estudió la solicitud de suspensión provisional</w:t>
      </w:r>
      <w:r w:rsidRPr="003D4FC2">
        <w:rPr>
          <w:rFonts w:ascii="Arial" w:eastAsia="Calibri" w:hAnsi="Arial" w:cs="Arial"/>
          <w:color w:val="000000" w:themeColor="text1"/>
          <w:sz w:val="22"/>
          <w:szCs w:val="22"/>
          <w:vertAlign w:val="superscript"/>
          <w:lang w:val="es-MX" w:eastAsia="en-US"/>
        </w:rPr>
        <w:footnoteReference w:id="33"/>
      </w:r>
      <w:r w:rsidRPr="003D4FC2">
        <w:rPr>
          <w:rFonts w:ascii="Arial" w:eastAsia="Calibri" w:hAnsi="Arial" w:cs="Arial"/>
          <w:color w:val="000000" w:themeColor="text1"/>
          <w:sz w:val="22"/>
          <w:szCs w:val="22"/>
          <w:lang w:val="es-MX" w:eastAsia="en-US"/>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w:t>
      </w:r>
      <w:r w:rsidRPr="003D4FC2">
        <w:rPr>
          <w:rFonts w:ascii="Arial" w:eastAsia="Calibri" w:hAnsi="Arial" w:cs="Arial"/>
          <w:i/>
          <w:iCs/>
          <w:color w:val="000000" w:themeColor="text1"/>
          <w:sz w:val="22"/>
          <w:szCs w:val="22"/>
          <w:lang w:val="es-MX" w:eastAsia="en-US"/>
        </w:rPr>
        <w:t>convenio de asociación</w:t>
      </w:r>
      <w:r w:rsidRPr="003D4FC2">
        <w:rPr>
          <w:rFonts w:ascii="Arial" w:eastAsia="Calibri" w:hAnsi="Arial" w:cs="Arial"/>
          <w:color w:val="000000" w:themeColor="text1"/>
          <w:sz w:val="22"/>
          <w:szCs w:val="22"/>
          <w:lang w:val="es-MX" w:eastAsia="en-US"/>
        </w:rPr>
        <w:t xml:space="preserve"> con ESAL de reconocida idoneidad para el cumplimiento de las funciones que la ley les asigna a las entidades públicas, debe aplicarse lo dispuesto en el artículo 5 del Decreto 092 de 2017. </w:t>
      </w:r>
    </w:p>
    <w:p w14:paraId="26437A5C" w14:textId="77777777" w:rsidR="00C762D5" w:rsidRPr="003D4FC2" w:rsidRDefault="00C762D5" w:rsidP="00C762D5">
      <w:pPr>
        <w:spacing w:after="120" w:line="276" w:lineRule="auto"/>
        <w:ind w:firstLine="708"/>
        <w:jc w:val="both"/>
        <w:rPr>
          <w:rFonts w:ascii="Arial" w:eastAsia="Calibri" w:hAnsi="Arial" w:cs="Arial"/>
          <w:color w:val="000000" w:themeColor="text1"/>
          <w:sz w:val="22"/>
          <w:szCs w:val="22"/>
          <w:lang w:val="es-MX" w:eastAsia="en-US"/>
        </w:rPr>
      </w:pPr>
      <w:r w:rsidRPr="003D4FC2">
        <w:rPr>
          <w:rFonts w:ascii="Arial" w:eastAsia="Calibri" w:hAnsi="Arial" w:cs="Arial"/>
          <w:color w:val="000000" w:themeColor="text1"/>
          <w:sz w:val="22"/>
          <w:szCs w:val="22"/>
          <w:lang w:val="es-MX" w:eastAsia="en-US"/>
        </w:rPr>
        <w:t>Para los convenios de asociación,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3D4FC2">
        <w:rPr>
          <w:rFonts w:ascii="Arial" w:eastAsiaTheme="minorHAnsi" w:hAnsi="Arial" w:cs="Arial"/>
          <w:color w:val="000000" w:themeColor="text1"/>
          <w:sz w:val="22"/>
          <w:szCs w:val="22"/>
          <w:vertAlign w:val="superscript"/>
          <w:lang w:val="es-MX" w:eastAsia="en-US"/>
        </w:rPr>
        <w:footnoteReference w:id="34"/>
      </w:r>
      <w:r w:rsidRPr="003D4FC2">
        <w:rPr>
          <w:rFonts w:ascii="Arial" w:eastAsia="Calibri" w:hAnsi="Arial" w:cs="Arial"/>
          <w:color w:val="000000" w:themeColor="text1"/>
          <w:sz w:val="22"/>
          <w:szCs w:val="22"/>
          <w:lang w:val="es-MX" w:eastAsia="en-US"/>
        </w:rPr>
        <w:t xml:space="preserve">, y siempre que la entidad estatal verifique previamente que no existe ninguna otra entidad sin ánimo de lucro que ofrezca aportes iguales o superiores al 30%. De hecho, en relación con la naturaleza y cuantía de los convenios, la norma anteriormente citada no prohíbe la celebración de convenios en que la ESAL aporte menos del 30% o cuando aporte recursos en especie: sólo indica que en esos casos la entidad estatal debe acudir al proceso competitivo para seleccionar a la entidad sin ánimo de lucro con la cual celebrará el respectivo convenio.  </w:t>
      </w:r>
    </w:p>
    <w:p w14:paraId="0FD5DBA7" w14:textId="412E1EF9" w:rsidR="004C7F4F" w:rsidRPr="003D4FC2" w:rsidRDefault="00BA63DB" w:rsidP="003D4FC2">
      <w:pPr>
        <w:spacing w:before="120" w:line="276" w:lineRule="auto"/>
        <w:ind w:firstLine="708"/>
        <w:jc w:val="both"/>
        <w:rPr>
          <w:rFonts w:ascii="Arial" w:eastAsia="Calibri" w:hAnsi="Arial" w:cs="Arial"/>
          <w:color w:val="000000" w:themeColor="text1"/>
          <w:sz w:val="22"/>
        </w:rPr>
      </w:pPr>
      <w:r w:rsidRPr="003D4FC2">
        <w:rPr>
          <w:rFonts w:ascii="Arial" w:eastAsia="Calibri" w:hAnsi="Arial" w:cs="Arial"/>
          <w:color w:val="000000" w:themeColor="text1"/>
          <w:sz w:val="22"/>
        </w:rPr>
        <w:t>Ahora bien, e</w:t>
      </w:r>
      <w:r w:rsidR="00962794" w:rsidRPr="003D4FC2">
        <w:rPr>
          <w:rFonts w:ascii="Arial" w:eastAsia="Calibri" w:hAnsi="Arial" w:cs="Arial"/>
          <w:color w:val="000000" w:themeColor="text1"/>
          <w:sz w:val="22"/>
        </w:rPr>
        <w:t>n la consulta</w:t>
      </w:r>
      <w:r w:rsidR="004B42BE" w:rsidRPr="003D4FC2">
        <w:rPr>
          <w:rFonts w:ascii="Arial" w:eastAsia="Calibri" w:hAnsi="Arial" w:cs="Arial"/>
          <w:color w:val="000000" w:themeColor="text1"/>
          <w:sz w:val="22"/>
        </w:rPr>
        <w:t xml:space="preserve"> se hace referencia al artículo 2.2.7.6.7 del Decreto 1072 de </w:t>
      </w:r>
      <w:r w:rsidR="00257D50" w:rsidRPr="003D4FC2">
        <w:rPr>
          <w:rFonts w:ascii="Arial" w:eastAsia="Calibri" w:hAnsi="Arial" w:cs="Arial"/>
          <w:color w:val="000000" w:themeColor="text1"/>
          <w:sz w:val="22"/>
        </w:rPr>
        <w:t>2015</w:t>
      </w:r>
      <w:r w:rsidR="00A91890" w:rsidRPr="003D4FC2">
        <w:rPr>
          <w:rStyle w:val="Refdenotaalpie"/>
          <w:rFonts w:ascii="Arial" w:eastAsia="Calibri" w:hAnsi="Arial" w:cs="Arial"/>
          <w:color w:val="000000" w:themeColor="text1"/>
          <w:sz w:val="22"/>
        </w:rPr>
        <w:footnoteReference w:id="35"/>
      </w:r>
      <w:r w:rsidR="00257D50" w:rsidRPr="003D4FC2">
        <w:rPr>
          <w:rFonts w:ascii="Arial" w:eastAsia="Calibri" w:hAnsi="Arial" w:cs="Arial"/>
          <w:color w:val="000000" w:themeColor="text1"/>
          <w:sz w:val="22"/>
        </w:rPr>
        <w:t>, norma que</w:t>
      </w:r>
      <w:r w:rsidRPr="003D4FC2">
        <w:rPr>
          <w:rFonts w:ascii="Arial" w:eastAsia="Calibri" w:hAnsi="Arial" w:cs="Arial"/>
          <w:color w:val="000000" w:themeColor="text1"/>
          <w:sz w:val="22"/>
        </w:rPr>
        <w:t xml:space="preserve"> regula los</w:t>
      </w:r>
      <w:r w:rsidR="00257D50" w:rsidRPr="003D4FC2">
        <w:rPr>
          <w:rFonts w:ascii="Arial" w:eastAsia="Calibri" w:hAnsi="Arial" w:cs="Arial"/>
          <w:color w:val="000000" w:themeColor="text1"/>
          <w:sz w:val="22"/>
        </w:rPr>
        <w:t xml:space="preserve"> </w:t>
      </w:r>
      <w:r w:rsidRPr="003D4FC2">
        <w:rPr>
          <w:rFonts w:ascii="Arial" w:eastAsia="Calibri" w:hAnsi="Arial" w:cs="Arial"/>
          <w:color w:val="000000" w:themeColor="text1"/>
          <w:sz w:val="22"/>
        </w:rPr>
        <w:t xml:space="preserve">planes operativos </w:t>
      </w:r>
      <w:r w:rsidR="00257D50" w:rsidRPr="003D4FC2">
        <w:rPr>
          <w:rFonts w:ascii="Arial" w:eastAsia="Calibri" w:hAnsi="Arial" w:cs="Arial"/>
          <w:color w:val="000000" w:themeColor="text1"/>
          <w:sz w:val="22"/>
        </w:rPr>
        <w:t xml:space="preserve">para la </w:t>
      </w:r>
      <w:r w:rsidRPr="003D4FC2">
        <w:rPr>
          <w:rFonts w:ascii="Arial" w:eastAsia="Calibri" w:hAnsi="Arial" w:cs="Arial"/>
          <w:color w:val="000000" w:themeColor="text1"/>
          <w:sz w:val="22"/>
        </w:rPr>
        <w:t>e</w:t>
      </w:r>
      <w:r w:rsidR="00257D50" w:rsidRPr="003D4FC2">
        <w:rPr>
          <w:rFonts w:ascii="Arial" w:eastAsia="Calibri" w:hAnsi="Arial" w:cs="Arial"/>
          <w:color w:val="000000" w:themeColor="text1"/>
          <w:sz w:val="22"/>
        </w:rPr>
        <w:t xml:space="preserve">jecución de los </w:t>
      </w:r>
      <w:r w:rsidRPr="003D4FC2">
        <w:rPr>
          <w:rFonts w:ascii="Arial" w:eastAsia="Calibri" w:hAnsi="Arial" w:cs="Arial"/>
          <w:color w:val="000000" w:themeColor="text1"/>
          <w:sz w:val="22"/>
        </w:rPr>
        <w:t>r</w:t>
      </w:r>
      <w:r w:rsidR="00257D50" w:rsidRPr="003D4FC2">
        <w:rPr>
          <w:rFonts w:ascii="Arial" w:eastAsia="Calibri" w:hAnsi="Arial" w:cs="Arial"/>
          <w:color w:val="000000" w:themeColor="text1"/>
          <w:sz w:val="22"/>
        </w:rPr>
        <w:t xml:space="preserve">ecursos del </w:t>
      </w:r>
      <w:r w:rsidR="00257D50" w:rsidRPr="003D4FC2">
        <w:rPr>
          <w:rFonts w:ascii="Arial" w:eastAsia="Calibri" w:hAnsi="Arial" w:cs="Arial"/>
          <w:color w:val="000000" w:themeColor="text1"/>
          <w:sz w:val="22"/>
        </w:rPr>
        <w:lastRenderedPageBreak/>
        <w:t>FONIÑEZ.</w:t>
      </w:r>
      <w:r w:rsidR="00E711B1" w:rsidRPr="003D4FC2">
        <w:rPr>
          <w:rFonts w:ascii="Arial" w:eastAsia="Calibri" w:hAnsi="Arial" w:cs="Arial"/>
          <w:color w:val="000000" w:themeColor="text1"/>
          <w:sz w:val="22"/>
        </w:rPr>
        <w:t xml:space="preserve"> Esta disposición </w:t>
      </w:r>
      <w:r w:rsidR="00713B3B" w:rsidRPr="003D4FC2">
        <w:rPr>
          <w:rFonts w:ascii="Arial" w:eastAsia="Calibri" w:hAnsi="Arial" w:cs="Arial"/>
          <w:color w:val="000000" w:themeColor="text1"/>
          <w:sz w:val="22"/>
        </w:rPr>
        <w:t>establece como deber de las cajas de compensación</w:t>
      </w:r>
      <w:r w:rsidR="00062F1A" w:rsidRPr="003D4FC2">
        <w:rPr>
          <w:rFonts w:ascii="Arial" w:eastAsia="Calibri" w:hAnsi="Arial" w:cs="Arial"/>
          <w:color w:val="000000" w:themeColor="text1"/>
          <w:sz w:val="22"/>
        </w:rPr>
        <w:t xml:space="preserve"> la elaboración de un plan operativo anual para la ejecución de unos </w:t>
      </w:r>
      <w:r w:rsidR="007B7878" w:rsidRPr="003D4FC2">
        <w:rPr>
          <w:rFonts w:ascii="Arial" w:eastAsia="Calibri" w:hAnsi="Arial" w:cs="Arial"/>
          <w:color w:val="000000" w:themeColor="text1"/>
          <w:sz w:val="22"/>
        </w:rPr>
        <w:t>recursos, que</w:t>
      </w:r>
      <w:r w:rsidRPr="003D4FC2">
        <w:rPr>
          <w:rFonts w:ascii="Arial" w:eastAsia="Calibri" w:hAnsi="Arial" w:cs="Arial"/>
          <w:color w:val="000000" w:themeColor="text1"/>
          <w:sz w:val="22"/>
        </w:rPr>
        <w:t xml:space="preserve"> debe</w:t>
      </w:r>
      <w:r w:rsidR="007B7878" w:rsidRPr="003D4FC2">
        <w:rPr>
          <w:rFonts w:ascii="Arial" w:eastAsia="Calibri" w:hAnsi="Arial" w:cs="Arial"/>
          <w:color w:val="000000" w:themeColor="text1"/>
          <w:sz w:val="22"/>
        </w:rPr>
        <w:t xml:space="preserve"> contempl</w:t>
      </w:r>
      <w:r w:rsidRPr="003D4FC2">
        <w:rPr>
          <w:rFonts w:ascii="Arial" w:eastAsia="Calibri" w:hAnsi="Arial" w:cs="Arial"/>
          <w:color w:val="000000" w:themeColor="text1"/>
          <w:sz w:val="22"/>
        </w:rPr>
        <w:t>ar</w:t>
      </w:r>
      <w:r w:rsidR="007B7878" w:rsidRPr="003D4FC2">
        <w:rPr>
          <w:rFonts w:ascii="Arial" w:eastAsia="Calibri" w:hAnsi="Arial" w:cs="Arial"/>
          <w:color w:val="000000" w:themeColor="text1"/>
          <w:sz w:val="22"/>
        </w:rPr>
        <w:t xml:space="preserve"> el desarrollo de programas </w:t>
      </w:r>
      <w:r w:rsidR="00DC6795" w:rsidRPr="003D4FC2">
        <w:rPr>
          <w:rFonts w:ascii="Arial" w:eastAsia="Calibri" w:hAnsi="Arial" w:cs="Arial"/>
          <w:color w:val="000000" w:themeColor="text1"/>
          <w:sz w:val="22"/>
        </w:rPr>
        <w:t xml:space="preserve">que contribuyan al </w:t>
      </w:r>
      <w:r w:rsidR="0024265C" w:rsidRPr="003D4FC2">
        <w:rPr>
          <w:rFonts w:ascii="Arial" w:eastAsia="Calibri" w:hAnsi="Arial" w:cs="Arial"/>
          <w:color w:val="000000" w:themeColor="text1"/>
          <w:sz w:val="22"/>
        </w:rPr>
        <w:t>desarrollo de la política educativa del Estado, el desarrollo integral de la primera infancia y la Política Nacional de Infancia y Adolescencia</w:t>
      </w:r>
      <w:r w:rsidR="009C5E5C" w:rsidRPr="003D4FC2">
        <w:rPr>
          <w:rFonts w:ascii="Arial" w:eastAsia="Calibri" w:hAnsi="Arial" w:cs="Arial"/>
          <w:color w:val="000000" w:themeColor="text1"/>
          <w:sz w:val="22"/>
        </w:rPr>
        <w:t xml:space="preserve">. En concordancia con esto, el artículo 2.2.7.6.8 del mismo decreto, </w:t>
      </w:r>
      <w:r w:rsidR="007850EC" w:rsidRPr="003D4FC2">
        <w:rPr>
          <w:rFonts w:ascii="Arial" w:eastAsia="Calibri" w:hAnsi="Arial" w:cs="Arial"/>
          <w:color w:val="000000" w:themeColor="text1"/>
          <w:sz w:val="22"/>
        </w:rPr>
        <w:t>establece qu</w:t>
      </w:r>
      <w:r w:rsidR="004C7F4F" w:rsidRPr="003D4FC2">
        <w:rPr>
          <w:rFonts w:ascii="Arial" w:eastAsia="Calibri" w:hAnsi="Arial" w:cs="Arial"/>
          <w:color w:val="000000" w:themeColor="text1"/>
          <w:sz w:val="22"/>
        </w:rPr>
        <w:t>e</w:t>
      </w:r>
      <w:r w:rsidR="004C7F4F" w:rsidRPr="003D4FC2">
        <w:t xml:space="preserve"> </w:t>
      </w:r>
      <w:r w:rsidR="004C7F4F" w:rsidRPr="003D4FC2">
        <w:rPr>
          <w:rFonts w:ascii="Arial" w:eastAsia="Calibri" w:hAnsi="Arial" w:cs="Arial"/>
          <w:color w:val="000000" w:themeColor="text1"/>
          <w:sz w:val="22"/>
        </w:rPr>
        <w:t>los programas financiados con cargo al FONIÑEZ se podrán ejecutar mediante convenios suscritos entre las cajas de compensación familiar y las entidades competentes del orden nacional, departamental, distrital o municipal</w:t>
      </w:r>
      <w:r w:rsidRPr="003D4FC2">
        <w:rPr>
          <w:rFonts w:ascii="Arial" w:eastAsia="Calibri" w:hAnsi="Arial" w:cs="Arial"/>
          <w:color w:val="000000" w:themeColor="text1"/>
          <w:sz w:val="22"/>
        </w:rPr>
        <w:t>.</w:t>
      </w:r>
      <w:r w:rsidR="004C7F4F" w:rsidRPr="003D4FC2">
        <w:rPr>
          <w:rFonts w:ascii="Arial" w:eastAsia="Calibri" w:hAnsi="Arial" w:cs="Arial"/>
          <w:color w:val="000000" w:themeColor="text1"/>
          <w:sz w:val="22"/>
        </w:rPr>
        <w:t xml:space="preserve"> </w:t>
      </w:r>
      <w:r w:rsidRPr="003D4FC2">
        <w:rPr>
          <w:rFonts w:ascii="Arial" w:eastAsia="Calibri" w:hAnsi="Arial" w:cs="Arial"/>
          <w:color w:val="000000" w:themeColor="text1"/>
          <w:sz w:val="22"/>
        </w:rPr>
        <w:t>E</w:t>
      </w:r>
      <w:r w:rsidR="004C7F4F" w:rsidRPr="003D4FC2">
        <w:rPr>
          <w:rFonts w:ascii="Arial" w:eastAsia="Calibri" w:hAnsi="Arial" w:cs="Arial"/>
          <w:color w:val="000000" w:themeColor="text1"/>
          <w:sz w:val="22"/>
        </w:rPr>
        <w:t xml:space="preserve">sta </w:t>
      </w:r>
      <w:r w:rsidRPr="003D4FC2">
        <w:rPr>
          <w:rFonts w:ascii="Arial" w:eastAsia="Calibri" w:hAnsi="Arial" w:cs="Arial"/>
          <w:color w:val="000000" w:themeColor="text1"/>
          <w:sz w:val="22"/>
        </w:rPr>
        <w:t xml:space="preserve">última </w:t>
      </w:r>
      <w:r w:rsidR="004C7F4F" w:rsidRPr="003D4FC2">
        <w:rPr>
          <w:rFonts w:ascii="Arial" w:eastAsia="Calibri" w:hAnsi="Arial" w:cs="Arial"/>
          <w:color w:val="000000" w:themeColor="text1"/>
          <w:sz w:val="22"/>
        </w:rPr>
        <w:t xml:space="preserve">norma indica: </w:t>
      </w:r>
    </w:p>
    <w:p w14:paraId="2E421CC1" w14:textId="05B2A002" w:rsidR="00962794" w:rsidRPr="003D4FC2" w:rsidRDefault="004C7F4F" w:rsidP="003D4FC2">
      <w:pPr>
        <w:spacing w:line="276" w:lineRule="auto"/>
        <w:jc w:val="both"/>
        <w:rPr>
          <w:rFonts w:ascii="Arial" w:eastAsia="Calibri" w:hAnsi="Arial" w:cs="Arial"/>
          <w:color w:val="000000" w:themeColor="text1"/>
          <w:sz w:val="22"/>
        </w:rPr>
      </w:pPr>
      <w:r w:rsidRPr="003D4FC2">
        <w:rPr>
          <w:rFonts w:ascii="Arial" w:eastAsia="Calibri" w:hAnsi="Arial" w:cs="Arial"/>
          <w:color w:val="000000" w:themeColor="text1"/>
          <w:sz w:val="22"/>
        </w:rPr>
        <w:t xml:space="preserve"> </w:t>
      </w:r>
    </w:p>
    <w:p w14:paraId="3955DE2C" w14:textId="77777777" w:rsidR="00962794" w:rsidRPr="003D4FC2" w:rsidRDefault="00962794" w:rsidP="00962794">
      <w:pPr>
        <w:shd w:val="clear" w:color="auto" w:fill="FFFFFF"/>
        <w:ind w:left="709" w:right="709"/>
        <w:jc w:val="both"/>
        <w:rPr>
          <w:rFonts w:ascii="Arial" w:hAnsi="Arial" w:cs="Arial"/>
          <w:color w:val="000000" w:themeColor="text1"/>
          <w:sz w:val="21"/>
          <w:szCs w:val="21"/>
          <w:lang w:val="es-ES" w:eastAsia="en-US"/>
        </w:rPr>
      </w:pPr>
      <w:r w:rsidRPr="003D4FC2">
        <w:rPr>
          <w:rFonts w:ascii="Arial" w:hAnsi="Arial" w:cs="Arial"/>
          <w:bCs/>
          <w:color w:val="000000" w:themeColor="text1"/>
          <w:sz w:val="21"/>
          <w:szCs w:val="21"/>
          <w:lang w:val="es-ES" w:eastAsia="en-US"/>
        </w:rPr>
        <w:t>ARTÍCULO 2.2.7.6.8. Convenios.</w:t>
      </w:r>
      <w:r w:rsidRPr="003D4FC2">
        <w:rPr>
          <w:rFonts w:ascii="Arial" w:hAnsi="Arial" w:cs="Arial"/>
          <w:color w:val="000000" w:themeColor="text1"/>
          <w:sz w:val="21"/>
          <w:szCs w:val="21"/>
          <w:lang w:val="es-ES" w:eastAsia="en-US"/>
        </w:rPr>
        <w:t xml:space="preserve"> Los programas financiados con cargo al FONIÑEZ se podrán ejecutar </w:t>
      </w:r>
      <w:r w:rsidRPr="003D4FC2">
        <w:rPr>
          <w:rFonts w:ascii="Arial" w:hAnsi="Arial" w:cs="Arial"/>
          <w:i/>
          <w:color w:val="000000" w:themeColor="text1"/>
          <w:sz w:val="21"/>
          <w:szCs w:val="21"/>
          <w:lang w:val="es-ES" w:eastAsia="en-US"/>
        </w:rPr>
        <w:t xml:space="preserve">mediante convenios suscritos entre las Cajas de Compensación Familiar y las entidades competentes del orden nacional, departamental, distrital o municipal, o entidades privadas idóneas para el desarrollo de estos, en los términos del régimen especial previsto en el numeral 3° del artículo </w:t>
      </w:r>
      <w:hyperlink r:id="rId12" w:anchor="41" w:history="1">
        <w:r w:rsidRPr="003D4FC2">
          <w:rPr>
            <w:rFonts w:ascii="Arial" w:hAnsi="Arial" w:cs="Arial"/>
            <w:i/>
            <w:color w:val="000000" w:themeColor="text1"/>
            <w:sz w:val="21"/>
            <w:szCs w:val="21"/>
            <w:lang w:val="es-ES" w:eastAsia="en-US"/>
          </w:rPr>
          <w:t>41</w:t>
        </w:r>
      </w:hyperlink>
      <w:r w:rsidRPr="003D4FC2">
        <w:rPr>
          <w:rFonts w:ascii="Arial" w:hAnsi="Arial" w:cs="Arial"/>
          <w:i/>
          <w:color w:val="000000" w:themeColor="text1"/>
          <w:sz w:val="21"/>
          <w:szCs w:val="21"/>
          <w:lang w:val="es-ES" w:eastAsia="en-US"/>
        </w:rPr>
        <w:t xml:space="preserve"> de la Ley 21 de 1982 y los numerales </w:t>
      </w:r>
      <w:hyperlink r:id="rId13" w:anchor="16.1" w:history="1">
        <w:r w:rsidRPr="003D4FC2">
          <w:rPr>
            <w:rFonts w:ascii="Arial" w:hAnsi="Arial" w:cs="Arial"/>
            <w:i/>
            <w:color w:val="000000" w:themeColor="text1"/>
            <w:sz w:val="21"/>
            <w:szCs w:val="21"/>
            <w:lang w:val="es-ES" w:eastAsia="en-US"/>
          </w:rPr>
          <w:t>1</w:t>
        </w:r>
      </w:hyperlink>
      <w:r w:rsidRPr="003D4FC2">
        <w:rPr>
          <w:rFonts w:ascii="Arial" w:hAnsi="Arial" w:cs="Arial"/>
          <w:i/>
          <w:color w:val="000000" w:themeColor="text1"/>
          <w:sz w:val="21"/>
          <w:szCs w:val="21"/>
          <w:lang w:val="es-ES" w:eastAsia="en-US"/>
        </w:rPr>
        <w:t xml:space="preserve">, </w:t>
      </w:r>
      <w:r w:rsidRPr="003D4FC2">
        <w:rPr>
          <w:rFonts w:ascii="Arial" w:hAnsi="Arial" w:cs="Arial"/>
          <w:i/>
          <w:color w:val="000000" w:themeColor="text1"/>
          <w:sz w:val="21"/>
          <w:szCs w:val="21"/>
        </w:rPr>
        <w:t xml:space="preserve">5 </w:t>
      </w:r>
      <w:r w:rsidRPr="003D4FC2">
        <w:rPr>
          <w:rFonts w:ascii="Arial" w:hAnsi="Arial" w:cs="Arial"/>
          <w:i/>
          <w:color w:val="000000" w:themeColor="text1"/>
          <w:sz w:val="21"/>
          <w:szCs w:val="21"/>
          <w:lang w:val="es-ES" w:eastAsia="en-US"/>
        </w:rPr>
        <w:t>y 6 del artículo 16 de la Ley 789 de 2002</w:t>
      </w:r>
      <w:r w:rsidRPr="003D4FC2">
        <w:rPr>
          <w:rFonts w:ascii="Arial" w:hAnsi="Arial" w:cs="Arial"/>
          <w:color w:val="000000" w:themeColor="text1"/>
          <w:sz w:val="21"/>
          <w:szCs w:val="21"/>
          <w:lang w:val="es-ES" w:eastAsia="en-US"/>
        </w:rPr>
        <w:t>.</w:t>
      </w:r>
    </w:p>
    <w:p w14:paraId="2E391175" w14:textId="77777777" w:rsidR="00962794" w:rsidRPr="003D4FC2" w:rsidRDefault="00962794" w:rsidP="00962794">
      <w:pPr>
        <w:shd w:val="clear" w:color="auto" w:fill="FFFFFF"/>
        <w:ind w:left="709" w:right="709"/>
        <w:jc w:val="both"/>
        <w:rPr>
          <w:rFonts w:ascii="Arial" w:hAnsi="Arial" w:cs="Arial"/>
          <w:color w:val="000000" w:themeColor="text1"/>
          <w:sz w:val="21"/>
          <w:szCs w:val="21"/>
          <w:lang w:val="es-ES" w:eastAsia="en-US"/>
        </w:rPr>
      </w:pPr>
      <w:r w:rsidRPr="003D4FC2">
        <w:rPr>
          <w:rFonts w:ascii="Arial" w:hAnsi="Arial" w:cs="Arial"/>
          <w:color w:val="000000" w:themeColor="text1"/>
          <w:sz w:val="21"/>
          <w:szCs w:val="21"/>
          <w:lang w:val="es-ES" w:eastAsia="en-US"/>
        </w:rPr>
        <w:t> </w:t>
      </w:r>
    </w:p>
    <w:p w14:paraId="0F4ADFD7" w14:textId="1386E6E6" w:rsidR="00962794" w:rsidRPr="003D4FC2" w:rsidRDefault="00962794" w:rsidP="00B117EC">
      <w:pPr>
        <w:shd w:val="clear" w:color="auto" w:fill="FFFFFF"/>
        <w:ind w:left="709" w:right="709"/>
        <w:jc w:val="both"/>
        <w:rPr>
          <w:rFonts w:ascii="Arial" w:hAnsi="Arial" w:cs="Arial"/>
          <w:color w:val="000000" w:themeColor="text1"/>
          <w:sz w:val="21"/>
          <w:szCs w:val="21"/>
          <w:lang w:val="es-ES" w:eastAsia="en-US"/>
        </w:rPr>
      </w:pPr>
      <w:r w:rsidRPr="003D4FC2">
        <w:rPr>
          <w:rFonts w:ascii="Arial" w:hAnsi="Arial" w:cs="Arial"/>
          <w:bCs/>
          <w:color w:val="000000" w:themeColor="text1"/>
          <w:sz w:val="21"/>
          <w:szCs w:val="21"/>
          <w:lang w:val="es-ES" w:eastAsia="en-US"/>
        </w:rPr>
        <w:t xml:space="preserve">PARÁGRAFO. </w:t>
      </w:r>
      <w:r w:rsidRPr="003D4FC2">
        <w:rPr>
          <w:rFonts w:ascii="Arial" w:hAnsi="Arial" w:cs="Arial"/>
          <w:color w:val="000000" w:themeColor="text1"/>
          <w:sz w:val="21"/>
          <w:szCs w:val="21"/>
          <w:lang w:val="es-ES" w:eastAsia="en-US"/>
        </w:rPr>
        <w:t>Los Programas de Atención Integral de la Primera Infancia y Jornada Escolar Complementaria, deberán ejecutarse con la aprobación del Consejo Directivo de las Cajas de Compensación. Los saldos de cada vigencia formarán parte del saldo inicial de la siguiente vigencia, previa aprobación del Consejo Directivo de las Cajas de Compensación Familiar</w:t>
      </w:r>
      <w:r w:rsidR="00711B2E" w:rsidRPr="003D4FC2">
        <w:rPr>
          <w:rFonts w:ascii="Arial" w:hAnsi="Arial" w:cs="Arial"/>
          <w:color w:val="000000" w:themeColor="text1"/>
          <w:sz w:val="21"/>
          <w:szCs w:val="21"/>
          <w:lang w:val="es-ES" w:eastAsia="en-US"/>
        </w:rPr>
        <w:t xml:space="preserve"> (énfasis fuera de texto).</w:t>
      </w:r>
    </w:p>
    <w:p w14:paraId="5ECB83BA" w14:textId="77777777" w:rsidR="00B117EC" w:rsidRPr="003D4FC2" w:rsidRDefault="00B117EC">
      <w:pPr>
        <w:shd w:val="clear" w:color="auto" w:fill="FFFFFF"/>
        <w:ind w:left="709" w:right="709"/>
        <w:jc w:val="both"/>
        <w:rPr>
          <w:rFonts w:ascii="Arial" w:hAnsi="Arial" w:cs="Arial"/>
          <w:color w:val="000000" w:themeColor="text1"/>
          <w:sz w:val="21"/>
          <w:szCs w:val="21"/>
          <w:lang w:val="es-ES" w:eastAsia="en-US"/>
        </w:rPr>
      </w:pPr>
    </w:p>
    <w:p w14:paraId="4679E97C" w14:textId="2A92A1AC" w:rsidR="00962794" w:rsidRPr="003D4FC2" w:rsidRDefault="004C7F4F" w:rsidP="003D4FC2">
      <w:pPr>
        <w:spacing w:line="276" w:lineRule="auto"/>
        <w:ind w:firstLine="708"/>
        <w:jc w:val="both"/>
        <w:rPr>
          <w:rFonts w:ascii="Arial" w:hAnsi="Arial" w:cs="Arial"/>
          <w:color w:val="000000" w:themeColor="text1"/>
          <w:sz w:val="21"/>
          <w:szCs w:val="21"/>
        </w:rPr>
      </w:pPr>
      <w:r w:rsidRPr="003D4FC2">
        <w:rPr>
          <w:rFonts w:ascii="Arial" w:eastAsia="Calibri" w:hAnsi="Arial" w:cs="Arial"/>
          <w:color w:val="000000" w:themeColor="text1"/>
          <w:sz w:val="22"/>
        </w:rPr>
        <w:t>Siguiendo las consideraciones realizadas por esta Agencia en los conceptos C-296 de 22 de junio de 2021</w:t>
      </w:r>
      <w:r w:rsidR="00840A8F" w:rsidRPr="003D4FC2">
        <w:rPr>
          <w:rFonts w:ascii="Arial" w:eastAsia="Calibri" w:hAnsi="Arial" w:cs="Arial"/>
          <w:color w:val="000000" w:themeColor="text1"/>
          <w:sz w:val="22"/>
        </w:rPr>
        <w:t>,</w:t>
      </w:r>
      <w:r w:rsidRPr="003D4FC2">
        <w:rPr>
          <w:rFonts w:ascii="Arial" w:eastAsia="Calibri" w:hAnsi="Arial" w:cs="Arial"/>
          <w:color w:val="000000" w:themeColor="text1"/>
          <w:sz w:val="22"/>
        </w:rPr>
        <w:t xml:space="preserve"> C-391 del 11 de agosto de 2021</w:t>
      </w:r>
      <w:r w:rsidR="00840A8F" w:rsidRPr="003D4FC2">
        <w:rPr>
          <w:rFonts w:ascii="Arial" w:eastAsia="Calibri" w:hAnsi="Arial" w:cs="Arial"/>
          <w:color w:val="000000" w:themeColor="text1"/>
          <w:sz w:val="22"/>
        </w:rPr>
        <w:t xml:space="preserve"> y C-075 del 10 de marzo de 2022</w:t>
      </w:r>
      <w:r w:rsidRPr="003D4FC2">
        <w:rPr>
          <w:rStyle w:val="Refdenotaalpie"/>
          <w:rFonts w:ascii="Arial" w:eastAsia="Calibri" w:hAnsi="Arial" w:cs="Arial"/>
          <w:color w:val="000000" w:themeColor="text1"/>
          <w:sz w:val="22"/>
        </w:rPr>
        <w:footnoteReference w:id="36"/>
      </w:r>
      <w:r w:rsidRPr="003D4FC2">
        <w:rPr>
          <w:rFonts w:ascii="Arial" w:eastAsia="Calibri" w:hAnsi="Arial" w:cs="Arial"/>
          <w:color w:val="000000" w:themeColor="text1"/>
          <w:sz w:val="22"/>
        </w:rPr>
        <w:t>, f</w:t>
      </w:r>
      <w:r w:rsidR="00962794" w:rsidRPr="003D4FC2">
        <w:rPr>
          <w:rFonts w:ascii="Arial" w:eastAsia="Calibri" w:hAnsi="Arial" w:cs="Arial"/>
          <w:color w:val="000000" w:themeColor="text1"/>
          <w:sz w:val="22"/>
        </w:rPr>
        <w:t>rente a las restricci</w:t>
      </w:r>
      <w:r w:rsidRPr="003D4FC2">
        <w:rPr>
          <w:rFonts w:ascii="Arial" w:eastAsia="Calibri" w:hAnsi="Arial" w:cs="Arial"/>
          <w:color w:val="000000" w:themeColor="text1"/>
          <w:sz w:val="22"/>
        </w:rPr>
        <w:t xml:space="preserve">ón </w:t>
      </w:r>
      <w:r w:rsidR="00962794" w:rsidRPr="003D4FC2">
        <w:rPr>
          <w:rFonts w:ascii="Arial" w:eastAsia="Calibri" w:hAnsi="Arial" w:cs="Arial"/>
          <w:color w:val="000000" w:themeColor="text1"/>
          <w:sz w:val="22"/>
        </w:rPr>
        <w:t>del artículo 33, la norma citada en el párrafo precedente no dispone si estos convenios de asociación corresponden a la modalidad de contratación directa</w:t>
      </w:r>
      <w:r w:rsidRPr="003D4FC2">
        <w:rPr>
          <w:rFonts w:ascii="Arial" w:eastAsia="Calibri" w:hAnsi="Arial" w:cs="Arial"/>
          <w:color w:val="000000" w:themeColor="text1"/>
          <w:sz w:val="22"/>
        </w:rPr>
        <w:t>.</w:t>
      </w:r>
      <w:r w:rsidR="00962794" w:rsidRPr="003D4FC2">
        <w:rPr>
          <w:rFonts w:ascii="Arial" w:eastAsia="Calibri" w:hAnsi="Arial" w:cs="Arial"/>
          <w:color w:val="000000" w:themeColor="text1"/>
          <w:sz w:val="22"/>
        </w:rPr>
        <w:t xml:space="preserve"> Al respecto, es necesario tener en cuenta, en primer lugar, que –de acuerdo con el artículo 39 de la Ley 21 de 1982– «</w:t>
      </w:r>
      <w:r w:rsidR="00962794" w:rsidRPr="003D4FC2">
        <w:rPr>
          <w:rFonts w:ascii="Arial" w:eastAsia="Calibri" w:hAnsi="Arial" w:cs="Arial"/>
          <w:i/>
          <w:iCs/>
          <w:color w:val="000000" w:themeColor="text1"/>
          <w:sz w:val="22"/>
        </w:rPr>
        <w:t xml:space="preserve">Las Cajas de Compensación Familiar son </w:t>
      </w:r>
      <w:bookmarkStart w:id="11" w:name="_Hlk75243639"/>
      <w:r w:rsidR="00962794" w:rsidRPr="003D4FC2">
        <w:rPr>
          <w:rFonts w:ascii="Arial" w:eastAsia="Calibri" w:hAnsi="Arial" w:cs="Arial"/>
          <w:i/>
          <w:iCs/>
          <w:color w:val="000000" w:themeColor="text1"/>
          <w:sz w:val="22"/>
        </w:rPr>
        <w:t>personas jurídicas de derecho privado sin ánimo de lucro</w:t>
      </w:r>
      <w:bookmarkEnd w:id="11"/>
      <w:r w:rsidR="00962794" w:rsidRPr="003D4FC2">
        <w:rPr>
          <w:rFonts w:ascii="Arial" w:eastAsia="Calibri" w:hAnsi="Arial" w:cs="Arial"/>
          <w:color w:val="000000" w:themeColor="text1"/>
          <w:sz w:val="22"/>
        </w:rPr>
        <w:t xml:space="preserve">, organizadas como corporaciones en la forma prevista en el Código Civil, cumplen funciones de seguridad social y se hallan sometidas al control y vigilancia del estado en la forma establecida por la Ley» (Énfasis fuera de texto). </w:t>
      </w:r>
      <w:bookmarkStart w:id="12" w:name="41"/>
      <w:r w:rsidR="00962794" w:rsidRPr="003D4FC2">
        <w:rPr>
          <w:rFonts w:ascii="Arial" w:eastAsia="Calibri" w:hAnsi="Arial" w:cs="Arial"/>
          <w:color w:val="000000" w:themeColor="text1"/>
          <w:sz w:val="22"/>
        </w:rPr>
        <w:t>En segundo lugar, el artículo 41, numeral 3, de la Ley 21 de 1982 dispone: «</w:t>
      </w:r>
      <w:r w:rsidR="00962794" w:rsidRPr="003D4FC2">
        <w:rPr>
          <w:rFonts w:ascii="Arial" w:hAnsi="Arial" w:cs="Arial"/>
          <w:bCs/>
          <w:color w:val="000000" w:themeColor="text1"/>
          <w:sz w:val="21"/>
          <w:szCs w:val="21"/>
        </w:rPr>
        <w:t>Artículo 41</w:t>
      </w:r>
      <w:r w:rsidR="00962794" w:rsidRPr="003D4FC2">
        <w:rPr>
          <w:rFonts w:ascii="Arial" w:hAnsi="Arial" w:cs="Arial"/>
          <w:b/>
          <w:bCs/>
          <w:color w:val="000000" w:themeColor="text1"/>
          <w:sz w:val="21"/>
          <w:szCs w:val="21"/>
        </w:rPr>
        <w:t>.</w:t>
      </w:r>
      <w:bookmarkEnd w:id="12"/>
      <w:r w:rsidR="00962794" w:rsidRPr="003D4FC2">
        <w:rPr>
          <w:rFonts w:ascii="Arial" w:hAnsi="Arial" w:cs="Arial"/>
          <w:color w:val="000000" w:themeColor="text1"/>
          <w:sz w:val="21"/>
          <w:szCs w:val="21"/>
        </w:rPr>
        <w:t> Las Cajas de Compensación Familiar tendrán entre otras, las siguientes funciones:</w:t>
      </w:r>
      <w:r w:rsidR="00962794" w:rsidRPr="003D4FC2">
        <w:rPr>
          <w:rFonts w:ascii="Arial" w:eastAsia="Calibri" w:hAnsi="Arial" w:cs="Arial"/>
          <w:color w:val="000000" w:themeColor="text1"/>
          <w:sz w:val="22"/>
        </w:rPr>
        <w:t xml:space="preserve"> […] </w:t>
      </w:r>
      <w:r w:rsidR="00962794" w:rsidRPr="003D4FC2">
        <w:rPr>
          <w:rFonts w:ascii="Arial" w:hAnsi="Arial" w:cs="Arial"/>
          <w:color w:val="000000" w:themeColor="text1"/>
          <w:sz w:val="21"/>
          <w:szCs w:val="21"/>
        </w:rPr>
        <w:t xml:space="preserve">3. Ejecutar, con otras Cajas, o mediante la vinculación con organismos y entidades públicas o privadas que </w:t>
      </w:r>
      <w:r w:rsidR="00962794" w:rsidRPr="003D4FC2">
        <w:rPr>
          <w:rFonts w:ascii="Arial" w:hAnsi="Arial" w:cs="Arial"/>
          <w:color w:val="000000" w:themeColor="text1"/>
          <w:sz w:val="21"/>
          <w:szCs w:val="21"/>
        </w:rPr>
        <w:lastRenderedPageBreak/>
        <w:t>desarrollen actividades de seguridad social, programas de servicios, dentro del orden de prioridades señalado por la Ley</w:t>
      </w:r>
      <w:r w:rsidR="00962794" w:rsidRPr="003D4FC2">
        <w:rPr>
          <w:rFonts w:ascii="Arial" w:eastAsia="Calibri" w:hAnsi="Arial" w:cs="Arial"/>
          <w:color w:val="000000" w:themeColor="text1"/>
          <w:sz w:val="22"/>
        </w:rPr>
        <w:t>»</w:t>
      </w:r>
      <w:r w:rsidR="00962794" w:rsidRPr="003D4FC2">
        <w:rPr>
          <w:rFonts w:ascii="Arial" w:hAnsi="Arial" w:cs="Arial"/>
          <w:color w:val="000000" w:themeColor="text1"/>
          <w:sz w:val="21"/>
          <w:szCs w:val="21"/>
        </w:rPr>
        <w:t>. Finalmente, los numerales 1, 5 y 6 del artículo 16 de la Ley 789 de 2002 establece otras funciones de las Cajas de Compensación Familiar, que prescriben:</w:t>
      </w:r>
    </w:p>
    <w:p w14:paraId="4DFF2498" w14:textId="77777777" w:rsidR="00962794" w:rsidRPr="003D4FC2" w:rsidRDefault="00962794" w:rsidP="00962794">
      <w:pPr>
        <w:spacing w:before="120" w:line="276" w:lineRule="auto"/>
        <w:ind w:firstLine="708"/>
        <w:jc w:val="both"/>
        <w:rPr>
          <w:rFonts w:ascii="Arial" w:hAnsi="Arial" w:cs="Arial"/>
          <w:color w:val="000000" w:themeColor="text1"/>
          <w:sz w:val="21"/>
          <w:szCs w:val="21"/>
        </w:rPr>
      </w:pPr>
    </w:p>
    <w:p w14:paraId="502BC04C" w14:textId="77777777" w:rsidR="00962794" w:rsidRPr="003D4FC2" w:rsidRDefault="00962794" w:rsidP="00962794">
      <w:pPr>
        <w:spacing w:line="270" w:lineRule="atLeast"/>
        <w:ind w:left="709" w:right="709"/>
        <w:jc w:val="both"/>
        <w:rPr>
          <w:rFonts w:ascii="Arial" w:hAnsi="Arial" w:cs="Arial"/>
          <w:color w:val="000000" w:themeColor="text1"/>
          <w:sz w:val="21"/>
          <w:szCs w:val="21"/>
          <w:lang w:val="es-ES" w:eastAsia="en-US"/>
        </w:rPr>
      </w:pPr>
      <w:bookmarkStart w:id="13" w:name="16"/>
      <w:r w:rsidRPr="003D4FC2">
        <w:rPr>
          <w:rFonts w:ascii="Arial" w:hAnsi="Arial" w:cs="Arial"/>
          <w:b/>
          <w:bCs/>
          <w:color w:val="000000" w:themeColor="text1"/>
          <w:sz w:val="21"/>
          <w:szCs w:val="21"/>
          <w:lang w:val="es-ES" w:eastAsia="en-US"/>
        </w:rPr>
        <w:t>ARTÍCULO 16. FUNCIONES DE LAS CAJAS DE COMPENSACIÓN.</w:t>
      </w:r>
      <w:bookmarkEnd w:id="13"/>
      <w:r w:rsidRPr="003D4FC2">
        <w:rPr>
          <w:rFonts w:ascii="Arial" w:hAnsi="Arial" w:cs="Arial"/>
          <w:color w:val="000000" w:themeColor="text1"/>
          <w:sz w:val="21"/>
          <w:szCs w:val="21"/>
          <w:lang w:val="es-ES" w:eastAsia="en-US"/>
        </w:rPr>
        <w:t> El artículo 41 de la Ley 21 de 1982 se adiciona, con las siguientes funciones:</w:t>
      </w:r>
    </w:p>
    <w:p w14:paraId="397CFEB9" w14:textId="77777777" w:rsidR="00962794" w:rsidRPr="003D4FC2" w:rsidRDefault="00962794" w:rsidP="00962794">
      <w:pPr>
        <w:spacing w:line="270" w:lineRule="atLeast"/>
        <w:ind w:left="709" w:right="709"/>
        <w:jc w:val="both"/>
        <w:rPr>
          <w:rFonts w:ascii="Arial" w:hAnsi="Arial" w:cs="Arial"/>
          <w:color w:val="000000" w:themeColor="text1"/>
          <w:sz w:val="21"/>
          <w:szCs w:val="21"/>
          <w:lang w:val="es-ES" w:eastAsia="en-US"/>
        </w:rPr>
      </w:pPr>
    </w:p>
    <w:p w14:paraId="0B44D441" w14:textId="77777777" w:rsidR="00962794" w:rsidRPr="003D4FC2" w:rsidRDefault="00962794" w:rsidP="00962794">
      <w:pPr>
        <w:spacing w:line="270" w:lineRule="atLeast"/>
        <w:ind w:left="709" w:right="709"/>
        <w:jc w:val="both"/>
        <w:rPr>
          <w:rFonts w:ascii="Arial" w:hAnsi="Arial" w:cs="Arial"/>
          <w:color w:val="000000" w:themeColor="text1"/>
          <w:sz w:val="21"/>
          <w:szCs w:val="21"/>
          <w:lang w:val="es-ES" w:eastAsia="en-US"/>
        </w:rPr>
      </w:pPr>
      <w:r w:rsidRPr="003D4FC2">
        <w:rPr>
          <w:rFonts w:ascii="Arial" w:hAnsi="Arial" w:cs="Arial"/>
          <w:color w:val="000000" w:themeColor="text1"/>
          <w:sz w:val="21"/>
          <w:szCs w:val="21"/>
          <w:lang w:val="es-ES" w:eastAsia="en-US"/>
        </w:rPr>
        <w:t>1. Ejecutar actividades relacionadas con sus servicios, la protección y la seguridad social directamente, o mediante alianzas estratégicas con otras Cajas de Compensación o a través de entidades especializadas públicas o privadas, conforme las disposiciones que regulen la materia.</w:t>
      </w:r>
    </w:p>
    <w:p w14:paraId="6A8F7B4E" w14:textId="77777777" w:rsidR="00962794" w:rsidRPr="003D4FC2" w:rsidRDefault="00962794" w:rsidP="00962794">
      <w:pPr>
        <w:spacing w:line="270" w:lineRule="atLeast"/>
        <w:ind w:left="709" w:right="709"/>
        <w:jc w:val="both"/>
        <w:rPr>
          <w:rFonts w:ascii="Arial" w:hAnsi="Arial" w:cs="Arial"/>
          <w:color w:val="000000" w:themeColor="text1"/>
          <w:sz w:val="21"/>
          <w:szCs w:val="21"/>
          <w:lang w:val="es-ES" w:eastAsia="en-US"/>
        </w:rPr>
      </w:pPr>
      <w:r w:rsidRPr="003D4FC2">
        <w:rPr>
          <w:rFonts w:ascii="Arial" w:hAnsi="Arial" w:cs="Arial"/>
          <w:color w:val="000000" w:themeColor="text1"/>
          <w:sz w:val="21"/>
          <w:szCs w:val="21"/>
          <w:lang w:val="es-ES" w:eastAsia="en-US"/>
        </w:rPr>
        <w:t>[…]</w:t>
      </w:r>
    </w:p>
    <w:p w14:paraId="1D7A5A4C" w14:textId="77777777" w:rsidR="00962794" w:rsidRPr="003D4FC2" w:rsidRDefault="00962794" w:rsidP="00962794">
      <w:pPr>
        <w:spacing w:line="270" w:lineRule="atLeast"/>
        <w:ind w:left="709" w:right="709"/>
        <w:jc w:val="both"/>
        <w:rPr>
          <w:rFonts w:ascii="Arial" w:hAnsi="Arial" w:cs="Arial"/>
          <w:color w:val="000000" w:themeColor="text1"/>
          <w:sz w:val="21"/>
          <w:szCs w:val="21"/>
          <w:lang w:val="es-ES" w:eastAsia="en-US"/>
        </w:rPr>
      </w:pPr>
      <w:r w:rsidRPr="003D4FC2">
        <w:rPr>
          <w:rFonts w:ascii="Arial" w:hAnsi="Arial" w:cs="Arial"/>
          <w:color w:val="000000" w:themeColor="text1"/>
          <w:sz w:val="21"/>
          <w:szCs w:val="21"/>
          <w:lang w:val="es-ES" w:eastAsia="en-US"/>
        </w:rPr>
        <w:t>5. Administrar, a través de los programas que a ellas corresponda, las actividades de subsidio en dinero; recreación social, deportes, turismo, centros recreativos y vacacionales; cultura, museos, bibliotecas y teatros; vivienda de interés social; créditos, jardines sociales o programas de atención integral para niños y niñas de 0 a 6 años; programas de jornada escolar complementaria; educación y capacitación; atención de la tercera edad y programas de nutrición materno-infantil y, en general, los programas que estén autorizados a la expedición de la presente ley, para lo cual podrán continuar operando con el sistema de subsidio a la oferta.</w:t>
      </w:r>
    </w:p>
    <w:p w14:paraId="79E6CBDB" w14:textId="77777777" w:rsidR="00962794" w:rsidRPr="003D4FC2" w:rsidRDefault="00962794" w:rsidP="00962794">
      <w:pPr>
        <w:spacing w:line="270" w:lineRule="atLeast"/>
        <w:ind w:left="709" w:right="709"/>
        <w:jc w:val="both"/>
        <w:rPr>
          <w:rFonts w:ascii="Arial" w:hAnsi="Arial" w:cs="Arial"/>
          <w:color w:val="000000" w:themeColor="text1"/>
          <w:sz w:val="21"/>
          <w:szCs w:val="21"/>
          <w:lang w:val="es-ES" w:eastAsia="en-US"/>
        </w:rPr>
      </w:pPr>
      <w:r w:rsidRPr="003D4FC2">
        <w:rPr>
          <w:rFonts w:ascii="Arial" w:hAnsi="Arial" w:cs="Arial"/>
          <w:color w:val="000000" w:themeColor="text1"/>
          <w:sz w:val="21"/>
          <w:szCs w:val="21"/>
          <w:lang w:val="es-ES" w:eastAsia="en-US"/>
        </w:rPr>
        <w:t>6. Administrar jardines sociales de atención integral a niños y niñas de 0 a 6 años a que se refiere el numeral anterior, propiedad de entidades territoriales públicas o privadas. En la destinación de estos recursos las cajas podrán atender niños cuyas familias no estén afiliadas a la Caja respectiva.</w:t>
      </w:r>
    </w:p>
    <w:p w14:paraId="26277DE2" w14:textId="77777777" w:rsidR="00962794" w:rsidRPr="003D4FC2" w:rsidRDefault="00962794" w:rsidP="00962794">
      <w:pPr>
        <w:spacing w:line="270" w:lineRule="atLeast"/>
        <w:ind w:left="709" w:right="709"/>
        <w:jc w:val="both"/>
        <w:rPr>
          <w:rFonts w:ascii="Arial" w:hAnsi="Arial" w:cs="Arial"/>
          <w:color w:val="000000" w:themeColor="text1"/>
          <w:sz w:val="21"/>
          <w:szCs w:val="21"/>
          <w:lang w:val="es-ES" w:eastAsia="en-US"/>
        </w:rPr>
      </w:pPr>
      <w:r w:rsidRPr="003D4FC2">
        <w:rPr>
          <w:rFonts w:ascii="Arial" w:hAnsi="Arial" w:cs="Arial"/>
          <w:color w:val="000000" w:themeColor="text1"/>
          <w:sz w:val="21"/>
          <w:szCs w:val="21"/>
          <w:lang w:val="es-ES" w:eastAsia="en-US"/>
        </w:rPr>
        <w:t>El Instituto Colombiano de Bienestar Familiar definirá de manera general los estándares de calidad que deberá cumplir la infraestructura de los jardines sociales para la atención integral de niños o niñas para que la entidad pueda ser habilitada.</w:t>
      </w:r>
    </w:p>
    <w:p w14:paraId="5414FB2D" w14:textId="77777777" w:rsidR="00962794" w:rsidRPr="003D4FC2" w:rsidRDefault="00962794" w:rsidP="00962794">
      <w:pPr>
        <w:spacing w:line="270" w:lineRule="atLeast"/>
        <w:ind w:left="709" w:right="709"/>
        <w:jc w:val="both"/>
        <w:rPr>
          <w:rFonts w:ascii="Arial" w:hAnsi="Arial" w:cs="Arial"/>
          <w:color w:val="000000" w:themeColor="text1"/>
          <w:sz w:val="21"/>
          <w:szCs w:val="21"/>
          <w:lang w:val="es-ES" w:eastAsia="en-US"/>
        </w:rPr>
      </w:pPr>
      <w:r w:rsidRPr="003D4FC2">
        <w:rPr>
          <w:rFonts w:ascii="Arial" w:hAnsi="Arial" w:cs="Arial"/>
          <w:color w:val="000000" w:themeColor="text1"/>
          <w:sz w:val="21"/>
          <w:szCs w:val="21"/>
          <w:lang w:val="es-ES" w:eastAsia="en-US"/>
        </w:rPr>
        <w:t>Cuando se trate de jardines de propiedad de entes territoriales, la forma de contratación de cada programa de estos Jardines será definida mediante convenio tripartito entre la respectiva Caja de Compensación Familiar, el Instituto Colombiano de Bienestar Familiar y el ejecutivo del ente territorial.</w:t>
      </w:r>
    </w:p>
    <w:p w14:paraId="43F4D067" w14:textId="77777777" w:rsidR="00962794" w:rsidRPr="003D4FC2" w:rsidRDefault="00962794" w:rsidP="003D4FC2">
      <w:pPr>
        <w:spacing w:line="276" w:lineRule="auto"/>
        <w:ind w:firstLine="708"/>
        <w:jc w:val="both"/>
        <w:rPr>
          <w:rFonts w:ascii="Arial" w:eastAsia="Calibri" w:hAnsi="Arial" w:cs="Arial"/>
          <w:color w:val="000000" w:themeColor="text1"/>
          <w:sz w:val="22"/>
        </w:rPr>
      </w:pPr>
    </w:p>
    <w:p w14:paraId="21EBDE34" w14:textId="5FC44C27" w:rsidR="00962794" w:rsidRPr="003D4FC2" w:rsidRDefault="00C018E1" w:rsidP="00962794">
      <w:pPr>
        <w:spacing w:after="120" w:line="276" w:lineRule="auto"/>
        <w:ind w:firstLine="709"/>
        <w:jc w:val="both"/>
        <w:rPr>
          <w:rFonts w:ascii="Arial" w:eastAsia="Calibri" w:hAnsi="Arial" w:cs="Arial"/>
          <w:color w:val="000000" w:themeColor="text1"/>
          <w:sz w:val="22"/>
        </w:rPr>
      </w:pPr>
      <w:r w:rsidRPr="003D4FC2">
        <w:rPr>
          <w:rFonts w:ascii="Arial" w:eastAsia="Calibri" w:hAnsi="Arial" w:cs="Arial"/>
          <w:color w:val="000000" w:themeColor="text1"/>
          <w:sz w:val="22"/>
        </w:rPr>
        <w:t>El</w:t>
      </w:r>
      <w:r w:rsidR="00962794" w:rsidRPr="003D4FC2">
        <w:rPr>
          <w:rFonts w:ascii="Arial" w:eastAsia="Calibri" w:hAnsi="Arial" w:cs="Arial"/>
          <w:color w:val="000000" w:themeColor="text1"/>
          <w:sz w:val="22"/>
        </w:rPr>
        <w:t xml:space="preserve"> régimen </w:t>
      </w:r>
      <w:r w:rsidRPr="003D4FC2">
        <w:rPr>
          <w:rFonts w:ascii="Arial" w:eastAsia="Calibri" w:hAnsi="Arial" w:cs="Arial"/>
          <w:color w:val="000000" w:themeColor="text1"/>
          <w:sz w:val="22"/>
        </w:rPr>
        <w:t xml:space="preserve">de celebración de los convenios de asociación entre </w:t>
      </w:r>
      <w:r w:rsidR="00344384" w:rsidRPr="003D4FC2">
        <w:rPr>
          <w:rFonts w:ascii="Arial" w:eastAsia="Calibri" w:hAnsi="Arial" w:cs="Arial"/>
          <w:color w:val="000000" w:themeColor="text1"/>
          <w:sz w:val="22"/>
        </w:rPr>
        <w:t>las</w:t>
      </w:r>
      <w:r w:rsidRPr="003D4FC2">
        <w:rPr>
          <w:rFonts w:ascii="Arial" w:eastAsia="Calibri" w:hAnsi="Arial" w:cs="Arial"/>
          <w:color w:val="000000" w:themeColor="text1"/>
          <w:sz w:val="22"/>
        </w:rPr>
        <w:t xml:space="preserve"> entidad</w:t>
      </w:r>
      <w:r w:rsidR="00344384" w:rsidRPr="003D4FC2">
        <w:rPr>
          <w:rFonts w:ascii="Arial" w:eastAsia="Calibri" w:hAnsi="Arial" w:cs="Arial"/>
          <w:color w:val="000000" w:themeColor="text1"/>
          <w:sz w:val="22"/>
        </w:rPr>
        <w:t>es</w:t>
      </w:r>
      <w:r w:rsidRPr="003D4FC2">
        <w:rPr>
          <w:rFonts w:ascii="Arial" w:eastAsia="Calibri" w:hAnsi="Arial" w:cs="Arial"/>
          <w:color w:val="000000" w:themeColor="text1"/>
          <w:sz w:val="22"/>
        </w:rPr>
        <w:t xml:space="preserve"> estatal</w:t>
      </w:r>
      <w:r w:rsidR="00344384" w:rsidRPr="003D4FC2">
        <w:rPr>
          <w:rFonts w:ascii="Arial" w:eastAsia="Calibri" w:hAnsi="Arial" w:cs="Arial"/>
          <w:color w:val="000000" w:themeColor="text1"/>
          <w:sz w:val="22"/>
        </w:rPr>
        <w:t>es</w:t>
      </w:r>
      <w:r w:rsidRPr="003D4FC2">
        <w:rPr>
          <w:rFonts w:ascii="Arial" w:eastAsia="Calibri" w:hAnsi="Arial" w:cs="Arial"/>
          <w:color w:val="000000" w:themeColor="text1"/>
          <w:sz w:val="22"/>
        </w:rPr>
        <w:t xml:space="preserve"> y </w:t>
      </w:r>
      <w:r w:rsidR="00344384" w:rsidRPr="003D4FC2">
        <w:rPr>
          <w:rFonts w:ascii="Arial" w:eastAsia="Calibri" w:hAnsi="Arial" w:cs="Arial"/>
          <w:color w:val="000000" w:themeColor="text1"/>
          <w:sz w:val="22"/>
        </w:rPr>
        <w:t>las</w:t>
      </w:r>
      <w:r w:rsidRPr="003D4FC2">
        <w:rPr>
          <w:rFonts w:ascii="Arial" w:eastAsia="Calibri" w:hAnsi="Arial" w:cs="Arial"/>
          <w:color w:val="000000" w:themeColor="text1"/>
          <w:sz w:val="22"/>
        </w:rPr>
        <w:t xml:space="preserve"> caja</w:t>
      </w:r>
      <w:r w:rsidR="00344384" w:rsidRPr="003D4FC2">
        <w:rPr>
          <w:rFonts w:ascii="Arial" w:eastAsia="Calibri" w:hAnsi="Arial" w:cs="Arial"/>
          <w:color w:val="000000" w:themeColor="text1"/>
          <w:sz w:val="22"/>
        </w:rPr>
        <w:t>s</w:t>
      </w:r>
      <w:r w:rsidRPr="003D4FC2">
        <w:rPr>
          <w:rFonts w:ascii="Arial" w:eastAsia="Calibri" w:hAnsi="Arial" w:cs="Arial"/>
          <w:color w:val="000000" w:themeColor="text1"/>
          <w:sz w:val="22"/>
        </w:rPr>
        <w:t xml:space="preserve"> de compensación familiar</w:t>
      </w:r>
      <w:r w:rsidR="00D04283" w:rsidRPr="003D4FC2">
        <w:rPr>
          <w:rFonts w:ascii="Arial" w:eastAsia="Calibri" w:hAnsi="Arial" w:cs="Arial"/>
          <w:color w:val="000000" w:themeColor="text1"/>
          <w:sz w:val="22"/>
        </w:rPr>
        <w:t xml:space="preserve"> –entendida</w:t>
      </w:r>
      <w:r w:rsidR="00344384" w:rsidRPr="003D4FC2">
        <w:rPr>
          <w:rFonts w:ascii="Arial" w:eastAsia="Calibri" w:hAnsi="Arial" w:cs="Arial"/>
          <w:color w:val="000000" w:themeColor="text1"/>
          <w:sz w:val="22"/>
        </w:rPr>
        <w:t>s</w:t>
      </w:r>
      <w:r w:rsidR="00D04283" w:rsidRPr="003D4FC2">
        <w:rPr>
          <w:rFonts w:ascii="Arial" w:eastAsia="Calibri" w:hAnsi="Arial" w:cs="Arial"/>
          <w:color w:val="000000" w:themeColor="text1"/>
          <w:sz w:val="22"/>
        </w:rPr>
        <w:t xml:space="preserve"> como ESAL–</w:t>
      </w:r>
      <w:r w:rsidRPr="003D4FC2">
        <w:rPr>
          <w:rFonts w:ascii="Arial" w:eastAsia="Calibri" w:hAnsi="Arial" w:cs="Arial"/>
          <w:color w:val="000000" w:themeColor="text1"/>
          <w:sz w:val="22"/>
        </w:rPr>
        <w:t xml:space="preserve"> </w:t>
      </w:r>
      <w:r w:rsidR="00D04283" w:rsidRPr="003D4FC2">
        <w:rPr>
          <w:rFonts w:ascii="Arial" w:eastAsia="Calibri" w:hAnsi="Arial" w:cs="Arial"/>
          <w:color w:val="000000" w:themeColor="text1"/>
          <w:sz w:val="22"/>
        </w:rPr>
        <w:t>es</w:t>
      </w:r>
      <w:r w:rsidR="00962794" w:rsidRPr="003D4FC2">
        <w:rPr>
          <w:rFonts w:ascii="Arial" w:eastAsia="Calibri" w:hAnsi="Arial" w:cs="Arial"/>
          <w:color w:val="000000" w:themeColor="text1"/>
          <w:sz w:val="22"/>
        </w:rPr>
        <w:t xml:space="preserve"> el Decreto </w:t>
      </w:r>
      <w:r w:rsidR="00697401" w:rsidRPr="003D4FC2">
        <w:rPr>
          <w:rFonts w:ascii="Arial" w:eastAsia="Calibri" w:hAnsi="Arial" w:cs="Arial"/>
          <w:color w:val="000000" w:themeColor="text1"/>
          <w:sz w:val="22"/>
        </w:rPr>
        <w:t>0</w:t>
      </w:r>
      <w:r w:rsidR="00962794" w:rsidRPr="003D4FC2">
        <w:rPr>
          <w:rFonts w:ascii="Arial" w:eastAsia="Calibri" w:hAnsi="Arial" w:cs="Arial"/>
          <w:color w:val="000000" w:themeColor="text1"/>
          <w:sz w:val="22"/>
        </w:rPr>
        <w:t xml:space="preserve">92 de 2017. </w:t>
      </w:r>
      <w:r w:rsidR="00B7654F" w:rsidRPr="003D4FC2">
        <w:rPr>
          <w:rFonts w:ascii="Arial" w:eastAsia="Calibri" w:hAnsi="Arial" w:cs="Arial"/>
          <w:color w:val="000000" w:themeColor="text1"/>
          <w:sz w:val="22"/>
        </w:rPr>
        <w:t>Concretamente</w:t>
      </w:r>
      <w:r w:rsidR="00962794" w:rsidRPr="003D4FC2">
        <w:rPr>
          <w:rFonts w:ascii="Arial" w:eastAsia="Calibri" w:hAnsi="Arial" w:cs="Arial"/>
          <w:color w:val="000000" w:themeColor="text1"/>
          <w:sz w:val="22"/>
        </w:rPr>
        <w:t xml:space="preserve">, </w:t>
      </w:r>
      <w:bookmarkStart w:id="14" w:name="_Hlk75262876"/>
      <w:r w:rsidR="00B7654F" w:rsidRPr="003D4FC2">
        <w:rPr>
          <w:rFonts w:ascii="Arial" w:eastAsia="Calibri" w:hAnsi="Arial" w:cs="Arial"/>
          <w:color w:val="000000" w:themeColor="text1"/>
          <w:sz w:val="22"/>
        </w:rPr>
        <w:t>para</w:t>
      </w:r>
      <w:r w:rsidR="00962794" w:rsidRPr="003D4FC2">
        <w:rPr>
          <w:rFonts w:ascii="Arial" w:eastAsia="Calibri" w:hAnsi="Arial" w:cs="Arial"/>
          <w:color w:val="000000" w:themeColor="text1"/>
          <w:sz w:val="22"/>
        </w:rPr>
        <w:t xml:space="preserve"> los convenios regulados en el artículo 2.2.7.6.8 del Decreto 1072 de 2015</w:t>
      </w:r>
      <w:r w:rsidR="007209A2" w:rsidRPr="003D4FC2">
        <w:rPr>
          <w:rFonts w:ascii="Arial" w:eastAsia="Calibri" w:hAnsi="Arial" w:cs="Arial"/>
          <w:color w:val="000000" w:themeColor="text1"/>
          <w:sz w:val="22"/>
        </w:rPr>
        <w:t>,</w:t>
      </w:r>
      <w:r w:rsidR="00962794" w:rsidRPr="003D4FC2">
        <w:rPr>
          <w:rFonts w:ascii="Arial" w:eastAsia="Calibri" w:hAnsi="Arial" w:cs="Arial"/>
          <w:color w:val="000000" w:themeColor="text1"/>
          <w:sz w:val="22"/>
        </w:rPr>
        <w:t xml:space="preserve"> modificado en el Decreto 1786 de 2021</w:t>
      </w:r>
      <w:r w:rsidR="007209A2" w:rsidRPr="003D4FC2">
        <w:rPr>
          <w:rFonts w:ascii="Arial" w:eastAsia="Calibri" w:hAnsi="Arial" w:cs="Arial"/>
          <w:color w:val="000000" w:themeColor="text1"/>
          <w:sz w:val="22"/>
        </w:rPr>
        <w:t>,</w:t>
      </w:r>
      <w:r w:rsidR="00962794" w:rsidRPr="003D4FC2">
        <w:rPr>
          <w:rFonts w:ascii="Arial" w:eastAsia="Calibri" w:hAnsi="Arial" w:cs="Arial"/>
          <w:color w:val="000000" w:themeColor="text1"/>
          <w:sz w:val="22"/>
        </w:rPr>
        <w:t xml:space="preserve"> el procedimiento de selección y la tipología contractual corresponde a la del artículo 5 del Decreto </w:t>
      </w:r>
      <w:r w:rsidR="00B7654F" w:rsidRPr="003D4FC2">
        <w:rPr>
          <w:rFonts w:ascii="Arial" w:eastAsia="Calibri" w:hAnsi="Arial" w:cs="Arial"/>
          <w:color w:val="000000" w:themeColor="text1"/>
          <w:sz w:val="22"/>
        </w:rPr>
        <w:t>0</w:t>
      </w:r>
      <w:r w:rsidR="00962794" w:rsidRPr="003D4FC2">
        <w:rPr>
          <w:rFonts w:ascii="Arial" w:eastAsia="Calibri" w:hAnsi="Arial" w:cs="Arial"/>
          <w:color w:val="000000" w:themeColor="text1"/>
          <w:sz w:val="22"/>
        </w:rPr>
        <w:t>92 de 2017. En esta medida, la prohibición de contratación directa del artículo 33 de la Ley de Garantías aplica únicamente a los procedimientos no competitivos</w:t>
      </w:r>
      <w:bookmarkEnd w:id="14"/>
      <w:r w:rsidR="00962794" w:rsidRPr="003D4FC2">
        <w:rPr>
          <w:rFonts w:ascii="Arial" w:eastAsia="Calibri" w:hAnsi="Arial" w:cs="Arial"/>
          <w:color w:val="000000" w:themeColor="text1"/>
          <w:sz w:val="22"/>
        </w:rPr>
        <w:t xml:space="preserve">, que son los que implican una contratación directa. Como explica la Sala de Consulta y Servicio Civil del Consejo de </w:t>
      </w:r>
      <w:r w:rsidR="00962794" w:rsidRPr="003D4FC2">
        <w:rPr>
          <w:rFonts w:ascii="Arial" w:eastAsia="Calibri" w:hAnsi="Arial" w:cs="Arial"/>
          <w:color w:val="000000" w:themeColor="text1"/>
          <w:sz w:val="22"/>
        </w:rPr>
        <w:lastRenderedPageBreak/>
        <w:t>Estado:</w:t>
      </w:r>
      <w:r w:rsidR="00962794" w:rsidRPr="003D4FC2">
        <w:rPr>
          <w:rFonts w:ascii="Arial" w:eastAsia="Calibri" w:hAnsi="Arial" w:cs="Arial"/>
          <w:color w:val="000000" w:themeColor="text1"/>
          <w:sz w:val="21"/>
          <w:szCs w:val="21"/>
        </w:rPr>
        <w:t xml:space="preserve"> </w:t>
      </w:r>
      <w:r w:rsidR="00962794" w:rsidRPr="003D4FC2">
        <w:rPr>
          <w:rFonts w:ascii="Arial" w:eastAsia="Calibri" w:hAnsi="Arial" w:cs="Arial"/>
          <w:color w:val="000000" w:themeColor="text1"/>
          <w:sz w:val="22"/>
          <w:szCs w:val="22"/>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00962794" w:rsidRPr="003D4FC2">
        <w:rPr>
          <w:rStyle w:val="Refdenotaalpie"/>
          <w:rFonts w:ascii="Arial" w:eastAsia="Calibri" w:hAnsi="Arial" w:cs="Arial"/>
          <w:color w:val="000000" w:themeColor="text1"/>
          <w:sz w:val="22"/>
          <w:szCs w:val="22"/>
        </w:rPr>
        <w:footnoteReference w:id="37"/>
      </w:r>
      <w:r w:rsidR="00962794" w:rsidRPr="003D4FC2">
        <w:rPr>
          <w:rFonts w:ascii="Arial" w:eastAsia="Calibri" w:hAnsi="Arial" w:cs="Arial"/>
          <w:color w:val="000000" w:themeColor="text1"/>
          <w:sz w:val="22"/>
          <w:szCs w:val="22"/>
        </w:rPr>
        <w:t>.</w:t>
      </w:r>
    </w:p>
    <w:p w14:paraId="31FF2974" w14:textId="77777777" w:rsidR="00962794" w:rsidRPr="003D4FC2" w:rsidRDefault="00962794" w:rsidP="00962794">
      <w:pPr>
        <w:spacing w:after="120" w:line="276" w:lineRule="auto"/>
        <w:jc w:val="both"/>
        <w:rPr>
          <w:rFonts w:ascii="Arial" w:eastAsia="Calibri" w:hAnsi="Arial" w:cs="Arial"/>
          <w:color w:val="000000" w:themeColor="text1"/>
          <w:sz w:val="22"/>
        </w:rPr>
      </w:pPr>
      <w:r w:rsidRPr="003D4FC2">
        <w:rPr>
          <w:rFonts w:ascii="Arial" w:eastAsia="Calibri" w:hAnsi="Arial" w:cs="Arial"/>
          <w:color w:val="000000" w:themeColor="text1"/>
          <w:sz w:val="22"/>
        </w:rPr>
        <w:tab/>
        <w:t xml:space="preserve">En contraste, la restricción del artículo 33 no aplicaría a los convenios de asociación que celebren las entidades estatales y las ESAL bajo el procedimiento </w:t>
      </w:r>
      <w:r w:rsidRPr="003D4FC2">
        <w:rPr>
          <w:rFonts w:ascii="Arial" w:eastAsia="Calibri" w:hAnsi="Arial" w:cs="Arial"/>
          <w:i/>
          <w:iCs/>
          <w:color w:val="000000" w:themeColor="text1"/>
          <w:sz w:val="22"/>
        </w:rPr>
        <w:t>competitivo</w:t>
      </w:r>
      <w:r w:rsidRPr="003D4FC2">
        <w:rPr>
          <w:rFonts w:ascii="Arial" w:eastAsia="Calibri" w:hAnsi="Arial" w:cs="Arial"/>
          <w:color w:val="000000" w:themeColor="text1"/>
          <w:sz w:val="22"/>
        </w:rPr>
        <w:t xml:space="preserve">, pues este supone la pluralidad de oferentes y la selección objetiva del contratista. </w:t>
      </w:r>
      <w:r w:rsidRPr="003D4FC2">
        <w:rPr>
          <w:rFonts w:ascii="Arial" w:eastAsia="Calibri" w:hAnsi="Arial" w:cs="Arial"/>
          <w:color w:val="000000" w:themeColor="text1"/>
          <w:sz w:val="22"/>
          <w:szCs w:val="22"/>
          <w:lang w:val="es-MX" w:eastAsia="en-US"/>
        </w:rPr>
        <w:t>De otra parte, en cuanto a la restricción del parágrafo del artículo 38 de la Ley de 996 de 2005, conforme se explicó</w:t>
      </w:r>
      <w:r w:rsidRPr="003D4FC2">
        <w:rPr>
          <w:rFonts w:ascii="Arial" w:eastAsia="Calibri" w:hAnsi="Arial" w:cs="Arial"/>
          <w:i/>
          <w:iCs/>
          <w:color w:val="000000" w:themeColor="text1"/>
          <w:sz w:val="22"/>
          <w:szCs w:val="22"/>
          <w:lang w:val="es-MX" w:eastAsia="en-US"/>
        </w:rPr>
        <w:t xml:space="preserve"> ut supra,</w:t>
      </w:r>
      <w:r w:rsidRPr="003D4FC2">
        <w:rPr>
          <w:rFonts w:ascii="Arial" w:eastAsia="Calibri" w:hAnsi="Arial" w:cs="Arial"/>
          <w:color w:val="000000" w:themeColor="text1"/>
          <w:sz w:val="22"/>
          <w:szCs w:val="22"/>
          <w:lang w:val="es-MX" w:eastAsia="en-US"/>
        </w:rPr>
        <w:t xml:space="preserve"> se reitera, la misma solo aplica a convenios interadministrativos, es decir, a aquellos en los que ambos extremos de la relación contractual están conformados por entidades estatales. Esto significa que esta restricción no es aplicable a la celebración de </w:t>
      </w:r>
      <w:r w:rsidRPr="003D4FC2">
        <w:rPr>
          <w:rFonts w:ascii="Arial" w:eastAsia="Calibri" w:hAnsi="Arial" w:cs="Arial"/>
          <w:i/>
          <w:iCs/>
          <w:color w:val="000000" w:themeColor="text1"/>
          <w:sz w:val="22"/>
          <w:szCs w:val="22"/>
          <w:lang w:val="es-MX" w:eastAsia="en-US"/>
        </w:rPr>
        <w:t>convenios de asociación</w:t>
      </w:r>
      <w:r w:rsidRPr="003D4FC2">
        <w:rPr>
          <w:rFonts w:ascii="Arial" w:eastAsia="Calibri" w:hAnsi="Arial" w:cs="Arial"/>
          <w:color w:val="000000" w:themeColor="text1"/>
          <w:sz w:val="22"/>
          <w:szCs w:val="22"/>
          <w:lang w:val="es-MX" w:eastAsia="en-US"/>
        </w:rPr>
        <w:t xml:space="preserve">, ya que este tipo de acuerdos son celebrados entre entidades estatales y ESALES, es decir, que no cumplen con el criterio orgánico que determina la calidad de interadministrativo. </w:t>
      </w:r>
    </w:p>
    <w:p w14:paraId="73FE28B9" w14:textId="527DC7BB" w:rsidR="00C762D5" w:rsidRPr="003D4FC2" w:rsidRDefault="00962794" w:rsidP="00962794">
      <w:pPr>
        <w:spacing w:before="120" w:line="276" w:lineRule="auto"/>
        <w:ind w:firstLine="709"/>
        <w:jc w:val="both"/>
        <w:rPr>
          <w:rFonts w:ascii="Arial" w:eastAsia="Calibri" w:hAnsi="Arial" w:cs="Arial"/>
          <w:color w:val="000000" w:themeColor="text1"/>
          <w:sz w:val="22"/>
          <w:szCs w:val="22"/>
          <w:lang w:val="es-ES_tradnl" w:eastAsia="en-US"/>
        </w:rPr>
      </w:pPr>
      <w:r w:rsidRPr="003D4FC2">
        <w:rPr>
          <w:rFonts w:ascii="Arial" w:eastAsia="Calibri" w:hAnsi="Arial" w:cs="Arial"/>
          <w:color w:val="000000" w:themeColor="text1"/>
          <w:sz w:val="22"/>
          <w:szCs w:val="22"/>
          <w:lang w:val="es-ES_tradnl" w:eastAsia="en-US"/>
        </w:rPr>
        <w:t xml:space="preserve">De esta manera, en lo relativo a la celebración de convenios de asociación en vigencia de la restricción del artículo 33 de la Ley de Garantías, se concluye que, esto solo será posible cuando dicho tipo de acuerdos se realicen a través de la modalidad </w:t>
      </w:r>
      <w:r w:rsidRPr="003D4FC2">
        <w:rPr>
          <w:rFonts w:ascii="Arial" w:eastAsia="Calibri" w:hAnsi="Arial" w:cs="Arial"/>
          <w:i/>
          <w:iCs/>
          <w:color w:val="000000" w:themeColor="text1"/>
          <w:sz w:val="22"/>
          <w:szCs w:val="22"/>
          <w:lang w:val="es-ES_tradnl" w:eastAsia="en-US"/>
        </w:rPr>
        <w:t>competitiva</w:t>
      </w:r>
      <w:r w:rsidRPr="003D4FC2">
        <w:rPr>
          <w:rFonts w:ascii="Arial" w:eastAsia="Calibri" w:hAnsi="Arial" w:cs="Arial"/>
          <w:color w:val="000000" w:themeColor="text1"/>
          <w:sz w:val="22"/>
          <w:szCs w:val="22"/>
          <w:lang w:val="es-ES_tradnl" w:eastAsia="en-US"/>
        </w:rPr>
        <w:t xml:space="preserve">, mientras que la celebración de este tipo de convenios en la modalidad </w:t>
      </w:r>
      <w:r w:rsidRPr="003D4FC2">
        <w:rPr>
          <w:rFonts w:ascii="Arial" w:eastAsia="Calibri" w:hAnsi="Arial" w:cs="Arial"/>
          <w:i/>
          <w:iCs/>
          <w:color w:val="000000" w:themeColor="text1"/>
          <w:sz w:val="22"/>
          <w:szCs w:val="22"/>
          <w:lang w:val="es-ES_tradnl" w:eastAsia="en-US"/>
        </w:rPr>
        <w:t>no competitiva</w:t>
      </w:r>
      <w:r w:rsidRPr="003D4FC2">
        <w:rPr>
          <w:rFonts w:ascii="Arial" w:eastAsia="Calibri" w:hAnsi="Arial" w:cs="Arial"/>
          <w:color w:val="000000" w:themeColor="text1"/>
          <w:sz w:val="22"/>
          <w:szCs w:val="22"/>
          <w:lang w:val="es-ES_tradnl" w:eastAsia="en-US"/>
        </w:rPr>
        <w:t xml:space="preserve"> sí estaría prohibida durante el periodo de aplicación de esta restricción. De igual forma, es posible concluir que, la celebración de </w:t>
      </w:r>
      <w:r w:rsidRPr="003D4FC2">
        <w:rPr>
          <w:rFonts w:ascii="Arial" w:eastAsia="Calibri" w:hAnsi="Arial" w:cs="Arial"/>
          <w:i/>
          <w:iCs/>
          <w:color w:val="000000" w:themeColor="text1"/>
          <w:sz w:val="22"/>
          <w:szCs w:val="22"/>
          <w:lang w:val="es-ES_tradnl" w:eastAsia="en-US"/>
        </w:rPr>
        <w:t>convenios de asociación</w:t>
      </w:r>
      <w:r w:rsidRPr="003D4FC2">
        <w:rPr>
          <w:rFonts w:ascii="Arial" w:eastAsia="Calibri" w:hAnsi="Arial" w:cs="Arial"/>
          <w:color w:val="000000" w:themeColor="text1"/>
          <w:sz w:val="22"/>
          <w:szCs w:val="22"/>
          <w:lang w:val="es-ES_tradnl" w:eastAsia="en-US"/>
        </w:rPr>
        <w:t xml:space="preserve">, </w:t>
      </w:r>
      <w:r w:rsidRPr="003D4FC2">
        <w:rPr>
          <w:rFonts w:ascii="Arial" w:eastAsia="Calibri" w:hAnsi="Arial" w:cs="Arial"/>
          <w:i/>
          <w:iCs/>
          <w:color w:val="000000" w:themeColor="text1"/>
          <w:sz w:val="22"/>
          <w:szCs w:val="22"/>
          <w:lang w:val="es-ES_tradnl" w:eastAsia="en-US"/>
        </w:rPr>
        <w:t xml:space="preserve">per se, </w:t>
      </w:r>
      <w:r w:rsidRPr="003D4FC2">
        <w:rPr>
          <w:rFonts w:ascii="Arial" w:eastAsia="Calibri" w:hAnsi="Arial" w:cs="Arial"/>
          <w:color w:val="000000" w:themeColor="text1"/>
          <w:sz w:val="22"/>
          <w:szCs w:val="22"/>
          <w:lang w:val="es-ES_tradnl" w:eastAsia="en-US"/>
        </w:rPr>
        <w:t>no está prohibida por la restricción del parágrafo del artículo 38 de la Ley 2069 de 2020, la cual solo es aplicable a convenios interadministrativos.</w:t>
      </w:r>
    </w:p>
    <w:p w14:paraId="3ED84034" w14:textId="77777777" w:rsidR="004F0A4B" w:rsidRPr="003D4FC2" w:rsidRDefault="004F0A4B" w:rsidP="000A0DF7">
      <w:pPr>
        <w:tabs>
          <w:tab w:val="left" w:pos="0"/>
        </w:tabs>
        <w:jc w:val="both"/>
        <w:rPr>
          <w:rFonts w:ascii="Arial" w:eastAsia="Calibri" w:hAnsi="Arial" w:cs="Arial"/>
          <w:b/>
          <w:color w:val="000000" w:themeColor="text1"/>
          <w:sz w:val="22"/>
          <w:lang w:val="es-ES_tradnl"/>
        </w:rPr>
      </w:pPr>
    </w:p>
    <w:p w14:paraId="05F5364A" w14:textId="16BCE618" w:rsidR="000A0DF7" w:rsidRPr="003D4FC2" w:rsidRDefault="000A0DF7" w:rsidP="000A0DF7">
      <w:pPr>
        <w:tabs>
          <w:tab w:val="left" w:pos="0"/>
        </w:tabs>
        <w:jc w:val="both"/>
        <w:rPr>
          <w:rFonts w:ascii="Arial" w:eastAsia="Calibri" w:hAnsi="Arial" w:cs="Arial"/>
          <w:b/>
          <w:color w:val="000000" w:themeColor="text1"/>
          <w:sz w:val="22"/>
          <w:lang w:val="es-ES_tradnl"/>
        </w:rPr>
      </w:pPr>
      <w:r w:rsidRPr="003D4FC2">
        <w:rPr>
          <w:rFonts w:ascii="Arial" w:eastAsia="Calibri" w:hAnsi="Arial" w:cs="Arial"/>
          <w:b/>
          <w:color w:val="000000" w:themeColor="text1"/>
          <w:sz w:val="22"/>
          <w:lang w:val="es-ES_tradnl"/>
        </w:rPr>
        <w:t>3. Respuesta</w:t>
      </w:r>
    </w:p>
    <w:p w14:paraId="2B3071BA" w14:textId="77777777" w:rsidR="000A0DF7" w:rsidRPr="003D4FC2" w:rsidRDefault="000A0DF7" w:rsidP="000A0DF7">
      <w:pPr>
        <w:tabs>
          <w:tab w:val="left" w:pos="0"/>
        </w:tabs>
        <w:jc w:val="both"/>
        <w:rPr>
          <w:rFonts w:ascii="Arial" w:eastAsia="Calibri" w:hAnsi="Arial" w:cs="Arial"/>
          <w:color w:val="000000" w:themeColor="text1"/>
          <w:sz w:val="21"/>
          <w:szCs w:val="21"/>
          <w:lang w:val="es-ES_tradnl"/>
        </w:rPr>
      </w:pPr>
    </w:p>
    <w:p w14:paraId="73997C53" w14:textId="0C195E12" w:rsidR="00874ACF" w:rsidRPr="003D4FC2" w:rsidRDefault="00874ACF" w:rsidP="00874ACF">
      <w:pPr>
        <w:ind w:left="708" w:right="1467"/>
        <w:jc w:val="both"/>
        <w:rPr>
          <w:rFonts w:ascii="Arial" w:hAnsi="Arial" w:cs="Arial"/>
          <w:sz w:val="21"/>
          <w:szCs w:val="21"/>
        </w:rPr>
      </w:pPr>
      <w:r w:rsidRPr="003D4FC2">
        <w:rPr>
          <w:rFonts w:ascii="Arial" w:hAnsi="Arial" w:cs="Arial"/>
          <w:sz w:val="21"/>
          <w:szCs w:val="21"/>
        </w:rPr>
        <w:t>«1. ¿Las restricciones y limitaciones contempladas en la Ley de Garantías Electorales aplican para los convenios de asociación que celebran las entidades territoriales con las cajas de compensación familiar en virtud del artículo 2.2.7.6.7. del Decreto 1072 de 2015?»</w:t>
      </w:r>
      <w:r w:rsidRPr="003D4FC2">
        <w:rPr>
          <w:rFonts w:ascii="Arial" w:hAnsi="Arial" w:cs="Arial"/>
          <w:sz w:val="22"/>
          <w:szCs w:val="22"/>
        </w:rPr>
        <w:t xml:space="preserve"> </w:t>
      </w:r>
      <w:r w:rsidRPr="003D4FC2">
        <w:rPr>
          <w:sz w:val="22"/>
          <w:szCs w:val="22"/>
        </w:rPr>
        <w:t xml:space="preserve"> </w:t>
      </w:r>
    </w:p>
    <w:p w14:paraId="39AC92C4" w14:textId="77777777" w:rsidR="00303974" w:rsidRPr="003D4FC2" w:rsidRDefault="00303974" w:rsidP="00303974">
      <w:pPr>
        <w:spacing w:line="276" w:lineRule="auto"/>
        <w:jc w:val="both"/>
        <w:rPr>
          <w:rFonts w:ascii="Arial" w:hAnsi="Arial" w:cs="Arial"/>
          <w:color w:val="000000" w:themeColor="text1"/>
          <w:sz w:val="22"/>
          <w:szCs w:val="22"/>
          <w:lang w:val="es-ES"/>
        </w:rPr>
      </w:pPr>
    </w:p>
    <w:p w14:paraId="75FFDF5F" w14:textId="565100B3" w:rsidR="00962794" w:rsidRPr="003D4FC2" w:rsidRDefault="00874ACF" w:rsidP="00962794">
      <w:pPr>
        <w:spacing w:after="120" w:line="276" w:lineRule="auto"/>
        <w:jc w:val="both"/>
        <w:rPr>
          <w:rFonts w:ascii="Arial" w:eastAsia="Calibri" w:hAnsi="Arial" w:cs="Arial"/>
          <w:color w:val="000000" w:themeColor="text1"/>
          <w:sz w:val="22"/>
        </w:rPr>
      </w:pPr>
      <w:r w:rsidRPr="003D4FC2">
        <w:rPr>
          <w:rFonts w:ascii="Arial" w:eastAsia="Calibri" w:hAnsi="Arial" w:cs="Arial"/>
          <w:color w:val="000000" w:themeColor="text1"/>
          <w:sz w:val="22"/>
        </w:rPr>
        <w:t>De acuerdo con lo expresado anteriormente, e</w:t>
      </w:r>
      <w:r w:rsidR="00D30F1A" w:rsidRPr="003D4FC2">
        <w:rPr>
          <w:rFonts w:ascii="Arial" w:eastAsia="Calibri" w:hAnsi="Arial" w:cs="Arial"/>
          <w:color w:val="000000" w:themeColor="text1"/>
          <w:sz w:val="22"/>
        </w:rPr>
        <w:t xml:space="preserve">l régimen de celebración de los convenios de asociación entre las entidades estatales y las cajas de compensación familiar –entendidas como ESAL– es el Decreto 092 de 2017. Concretamente, para los convenios regulados en </w:t>
      </w:r>
      <w:r w:rsidR="001724F5" w:rsidRPr="003D4FC2">
        <w:rPr>
          <w:rFonts w:ascii="Arial" w:eastAsia="Calibri" w:hAnsi="Arial" w:cs="Arial"/>
          <w:color w:val="000000" w:themeColor="text1"/>
          <w:sz w:val="22"/>
        </w:rPr>
        <w:t>los</w:t>
      </w:r>
      <w:r w:rsidR="00D30F1A" w:rsidRPr="003D4FC2">
        <w:rPr>
          <w:rFonts w:ascii="Arial" w:eastAsia="Calibri" w:hAnsi="Arial" w:cs="Arial"/>
          <w:color w:val="000000" w:themeColor="text1"/>
          <w:sz w:val="22"/>
        </w:rPr>
        <w:t xml:space="preserve"> artículo</w:t>
      </w:r>
      <w:r w:rsidR="001724F5" w:rsidRPr="003D4FC2">
        <w:rPr>
          <w:rFonts w:ascii="Arial" w:eastAsia="Calibri" w:hAnsi="Arial" w:cs="Arial"/>
          <w:color w:val="000000" w:themeColor="text1"/>
          <w:sz w:val="22"/>
        </w:rPr>
        <w:t xml:space="preserve"> 2.2.7.6.7 y </w:t>
      </w:r>
      <w:r w:rsidR="00D30F1A" w:rsidRPr="003D4FC2">
        <w:rPr>
          <w:rFonts w:ascii="Arial" w:eastAsia="Calibri" w:hAnsi="Arial" w:cs="Arial"/>
          <w:color w:val="000000" w:themeColor="text1"/>
          <w:sz w:val="22"/>
        </w:rPr>
        <w:t xml:space="preserve"> 2.2.7.6.8 del Decreto 1072 de 2015, modificado en el Decreto 1786 de 2021, el procedimiento de selección y la tipología contractual corresponde a la del artículo 5 del Decreto 092 de 2017.</w:t>
      </w:r>
      <w:r w:rsidR="00962794" w:rsidRPr="003D4FC2">
        <w:rPr>
          <w:rFonts w:ascii="Arial" w:eastAsia="Calibri" w:hAnsi="Arial" w:cs="Arial"/>
          <w:color w:val="000000" w:themeColor="text1"/>
          <w:sz w:val="22"/>
        </w:rPr>
        <w:t xml:space="preserve"> En esta medida, la prohibición de contratación directa </w:t>
      </w:r>
      <w:r w:rsidR="00962794" w:rsidRPr="003D4FC2">
        <w:rPr>
          <w:rFonts w:ascii="Arial" w:eastAsia="Calibri" w:hAnsi="Arial" w:cs="Arial"/>
          <w:color w:val="000000" w:themeColor="text1"/>
          <w:sz w:val="22"/>
        </w:rPr>
        <w:lastRenderedPageBreak/>
        <w:t>del artículo 33 de la Ley de Garantías aplica únicamente a los procedimientos no competitivos, que son los que implican una contratación directa. Como explica la Sala de Consulta y Servicio Civil del Consejo de Estado:</w:t>
      </w:r>
      <w:r w:rsidR="00962794" w:rsidRPr="003D4FC2">
        <w:rPr>
          <w:rFonts w:ascii="Arial" w:eastAsia="Calibri" w:hAnsi="Arial" w:cs="Arial"/>
          <w:color w:val="000000" w:themeColor="text1"/>
          <w:sz w:val="21"/>
          <w:szCs w:val="21"/>
        </w:rPr>
        <w:t xml:space="preserve"> </w:t>
      </w:r>
      <w:r w:rsidR="00962794" w:rsidRPr="003D4FC2">
        <w:rPr>
          <w:rFonts w:ascii="Arial" w:eastAsia="Calibri" w:hAnsi="Arial" w:cs="Arial"/>
          <w:color w:val="000000" w:themeColor="text1"/>
          <w:sz w:val="22"/>
          <w:szCs w:val="22"/>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00962794" w:rsidRPr="003D4FC2">
        <w:rPr>
          <w:rStyle w:val="Refdenotaalpie"/>
          <w:rFonts w:ascii="Arial" w:eastAsia="Calibri" w:hAnsi="Arial" w:cs="Arial"/>
          <w:color w:val="000000" w:themeColor="text1"/>
          <w:sz w:val="22"/>
          <w:szCs w:val="22"/>
        </w:rPr>
        <w:footnoteReference w:id="38"/>
      </w:r>
      <w:r w:rsidR="00962794" w:rsidRPr="003D4FC2">
        <w:rPr>
          <w:rFonts w:ascii="Arial" w:eastAsia="Calibri" w:hAnsi="Arial" w:cs="Arial"/>
          <w:color w:val="000000" w:themeColor="text1"/>
          <w:sz w:val="22"/>
          <w:szCs w:val="22"/>
        </w:rPr>
        <w:t>.</w:t>
      </w:r>
    </w:p>
    <w:p w14:paraId="7429294F" w14:textId="77777777" w:rsidR="00962794" w:rsidRPr="003D4FC2" w:rsidRDefault="00962794" w:rsidP="00962794">
      <w:pPr>
        <w:spacing w:after="120" w:line="276" w:lineRule="auto"/>
        <w:jc w:val="both"/>
        <w:rPr>
          <w:rFonts w:ascii="Arial" w:eastAsia="Calibri" w:hAnsi="Arial" w:cs="Arial"/>
          <w:color w:val="000000" w:themeColor="text1"/>
          <w:sz w:val="22"/>
        </w:rPr>
      </w:pPr>
      <w:r w:rsidRPr="003D4FC2">
        <w:rPr>
          <w:rFonts w:ascii="Arial" w:eastAsia="Calibri" w:hAnsi="Arial" w:cs="Arial"/>
          <w:color w:val="000000" w:themeColor="text1"/>
          <w:sz w:val="22"/>
        </w:rPr>
        <w:tab/>
        <w:t xml:space="preserve">En contraste, la restricción del artículo 33 no aplicaría a los convenios de asociación que celebren las entidades estatales y las ESAL bajo el procedimiento </w:t>
      </w:r>
      <w:r w:rsidRPr="003D4FC2">
        <w:rPr>
          <w:rFonts w:ascii="Arial" w:eastAsia="Calibri" w:hAnsi="Arial" w:cs="Arial"/>
          <w:i/>
          <w:iCs/>
          <w:color w:val="000000" w:themeColor="text1"/>
          <w:sz w:val="22"/>
        </w:rPr>
        <w:t>competitivo</w:t>
      </w:r>
      <w:r w:rsidRPr="003D4FC2">
        <w:rPr>
          <w:rFonts w:ascii="Arial" w:eastAsia="Calibri" w:hAnsi="Arial" w:cs="Arial"/>
          <w:color w:val="000000" w:themeColor="text1"/>
          <w:sz w:val="22"/>
        </w:rPr>
        <w:t xml:space="preserve">, pues este supone la pluralidad de oferentes y la selección objetiva del contratista. </w:t>
      </w:r>
      <w:r w:rsidRPr="003D4FC2">
        <w:rPr>
          <w:rFonts w:ascii="Arial" w:eastAsia="Calibri" w:hAnsi="Arial" w:cs="Arial"/>
          <w:color w:val="000000" w:themeColor="text1"/>
          <w:sz w:val="22"/>
          <w:szCs w:val="22"/>
          <w:lang w:val="es-MX" w:eastAsia="en-US"/>
        </w:rPr>
        <w:t>De otra parte, en cuanto a la restricción del parágrafo del artículo 38 de la Ley de 996 de 2005, conforme se explicó</w:t>
      </w:r>
      <w:r w:rsidRPr="003D4FC2">
        <w:rPr>
          <w:rFonts w:ascii="Arial" w:eastAsia="Calibri" w:hAnsi="Arial" w:cs="Arial"/>
          <w:i/>
          <w:iCs/>
          <w:color w:val="000000" w:themeColor="text1"/>
          <w:sz w:val="22"/>
          <w:szCs w:val="22"/>
          <w:lang w:val="es-MX" w:eastAsia="en-US"/>
        </w:rPr>
        <w:t xml:space="preserve"> ut supra,</w:t>
      </w:r>
      <w:r w:rsidRPr="003D4FC2">
        <w:rPr>
          <w:rFonts w:ascii="Arial" w:eastAsia="Calibri" w:hAnsi="Arial" w:cs="Arial"/>
          <w:color w:val="000000" w:themeColor="text1"/>
          <w:sz w:val="22"/>
          <w:szCs w:val="22"/>
          <w:lang w:val="es-MX" w:eastAsia="en-US"/>
        </w:rPr>
        <w:t xml:space="preserve"> se reitera, la misma solo aplica a convenios interadministrativos, es decir, a aquellos en los que ambos extremos de la relación contractual están conformados por entidades estatales. Esto significa que esta restricción no es aplicable a la celebración de </w:t>
      </w:r>
      <w:r w:rsidRPr="003D4FC2">
        <w:rPr>
          <w:rFonts w:ascii="Arial" w:eastAsia="Calibri" w:hAnsi="Arial" w:cs="Arial"/>
          <w:i/>
          <w:iCs/>
          <w:color w:val="000000" w:themeColor="text1"/>
          <w:sz w:val="22"/>
          <w:szCs w:val="22"/>
          <w:lang w:val="es-MX" w:eastAsia="en-US"/>
        </w:rPr>
        <w:t>convenios de asociación</w:t>
      </w:r>
      <w:r w:rsidRPr="003D4FC2">
        <w:rPr>
          <w:rFonts w:ascii="Arial" w:eastAsia="Calibri" w:hAnsi="Arial" w:cs="Arial"/>
          <w:color w:val="000000" w:themeColor="text1"/>
          <w:sz w:val="22"/>
          <w:szCs w:val="22"/>
          <w:lang w:val="es-MX" w:eastAsia="en-US"/>
        </w:rPr>
        <w:t xml:space="preserve">, ya que este tipo de acuerdos son celebrados entre entidades estatales y ESALES, es decir, que no cumplen con el criterio orgánico que determina la calidad de interadministrativo. </w:t>
      </w:r>
    </w:p>
    <w:p w14:paraId="6DFFCF4D" w14:textId="3851CD0C" w:rsidR="00B117EC" w:rsidRDefault="00962794" w:rsidP="00B117EC">
      <w:pPr>
        <w:spacing w:line="276" w:lineRule="auto"/>
        <w:ind w:firstLine="709"/>
        <w:jc w:val="both"/>
        <w:rPr>
          <w:rFonts w:ascii="Arial" w:eastAsia="Calibri" w:hAnsi="Arial" w:cs="Arial"/>
          <w:color w:val="000000" w:themeColor="text1"/>
          <w:sz w:val="22"/>
          <w:szCs w:val="22"/>
          <w:lang w:val="es-ES_tradnl" w:eastAsia="en-US"/>
        </w:rPr>
      </w:pPr>
      <w:r w:rsidRPr="003D4FC2">
        <w:rPr>
          <w:rFonts w:ascii="Arial" w:eastAsia="Calibri" w:hAnsi="Arial" w:cs="Arial"/>
          <w:color w:val="000000" w:themeColor="text1"/>
          <w:sz w:val="22"/>
          <w:szCs w:val="22"/>
          <w:lang w:val="es-ES_tradnl" w:eastAsia="en-US"/>
        </w:rPr>
        <w:t xml:space="preserve">De esta manera, en lo relativo a la celebración de convenios de asociación en vigencia de la restricción del artículo 33 de la Ley de Garantías, se concluye que, esto solo será posible cuando dicho tipo de acuerdos se realicen a través de la modalidad </w:t>
      </w:r>
      <w:r w:rsidRPr="003D4FC2">
        <w:rPr>
          <w:rFonts w:ascii="Arial" w:eastAsia="Calibri" w:hAnsi="Arial" w:cs="Arial"/>
          <w:i/>
          <w:iCs/>
          <w:color w:val="000000" w:themeColor="text1"/>
          <w:sz w:val="22"/>
          <w:szCs w:val="22"/>
          <w:lang w:val="es-ES_tradnl" w:eastAsia="en-US"/>
        </w:rPr>
        <w:t>competitiva</w:t>
      </w:r>
      <w:r w:rsidRPr="003D4FC2">
        <w:rPr>
          <w:rFonts w:ascii="Arial" w:eastAsia="Calibri" w:hAnsi="Arial" w:cs="Arial"/>
          <w:color w:val="000000" w:themeColor="text1"/>
          <w:sz w:val="22"/>
          <w:szCs w:val="22"/>
          <w:lang w:val="es-ES_tradnl" w:eastAsia="en-US"/>
        </w:rPr>
        <w:t xml:space="preserve">, mientras que la celebración de este tipo de convenios en la modalidad </w:t>
      </w:r>
      <w:r w:rsidRPr="003D4FC2">
        <w:rPr>
          <w:rFonts w:ascii="Arial" w:eastAsia="Calibri" w:hAnsi="Arial" w:cs="Arial"/>
          <w:i/>
          <w:iCs/>
          <w:color w:val="000000" w:themeColor="text1"/>
          <w:sz w:val="22"/>
          <w:szCs w:val="22"/>
          <w:lang w:val="es-ES_tradnl" w:eastAsia="en-US"/>
        </w:rPr>
        <w:t>no competitiva</w:t>
      </w:r>
      <w:r w:rsidRPr="003D4FC2">
        <w:rPr>
          <w:rFonts w:ascii="Arial" w:eastAsia="Calibri" w:hAnsi="Arial" w:cs="Arial"/>
          <w:color w:val="000000" w:themeColor="text1"/>
          <w:sz w:val="22"/>
          <w:szCs w:val="22"/>
          <w:lang w:val="es-ES_tradnl" w:eastAsia="en-US"/>
        </w:rPr>
        <w:t xml:space="preserve"> sí estaría prohibida durante el periodo de aplicación de esta restricción. De igual forma, es posible concluir que, la celebración de </w:t>
      </w:r>
      <w:r w:rsidRPr="003D4FC2">
        <w:rPr>
          <w:rFonts w:ascii="Arial" w:eastAsia="Calibri" w:hAnsi="Arial" w:cs="Arial"/>
          <w:i/>
          <w:iCs/>
          <w:color w:val="000000" w:themeColor="text1"/>
          <w:sz w:val="22"/>
          <w:szCs w:val="22"/>
          <w:lang w:val="es-ES_tradnl" w:eastAsia="en-US"/>
        </w:rPr>
        <w:t>convenios de asociación</w:t>
      </w:r>
      <w:r w:rsidRPr="003D4FC2">
        <w:rPr>
          <w:rFonts w:ascii="Arial" w:eastAsia="Calibri" w:hAnsi="Arial" w:cs="Arial"/>
          <w:color w:val="000000" w:themeColor="text1"/>
          <w:sz w:val="22"/>
          <w:szCs w:val="22"/>
          <w:lang w:val="es-ES_tradnl" w:eastAsia="en-US"/>
        </w:rPr>
        <w:t xml:space="preserve">, </w:t>
      </w:r>
      <w:r w:rsidRPr="003D4FC2">
        <w:rPr>
          <w:rFonts w:ascii="Arial" w:eastAsia="Calibri" w:hAnsi="Arial" w:cs="Arial"/>
          <w:i/>
          <w:iCs/>
          <w:color w:val="000000" w:themeColor="text1"/>
          <w:sz w:val="22"/>
          <w:szCs w:val="22"/>
          <w:lang w:val="es-ES_tradnl" w:eastAsia="en-US"/>
        </w:rPr>
        <w:t xml:space="preserve">per se, </w:t>
      </w:r>
      <w:r w:rsidRPr="003D4FC2">
        <w:rPr>
          <w:rFonts w:ascii="Arial" w:eastAsia="Calibri" w:hAnsi="Arial" w:cs="Arial"/>
          <w:color w:val="000000" w:themeColor="text1"/>
          <w:sz w:val="22"/>
          <w:szCs w:val="22"/>
          <w:lang w:val="es-ES_tradnl" w:eastAsia="en-US"/>
        </w:rPr>
        <w:t>no está prohibida por la restricción del parágrafo del artículo 38 de la Ley 2069 de 2020, la cual solo es aplicable a convenios interadministrativos.</w:t>
      </w:r>
    </w:p>
    <w:p w14:paraId="35341AA1" w14:textId="77777777" w:rsidR="00874ACF" w:rsidRDefault="00874ACF" w:rsidP="00B117EC">
      <w:pPr>
        <w:spacing w:line="276" w:lineRule="auto"/>
        <w:ind w:firstLine="709"/>
        <w:jc w:val="both"/>
        <w:rPr>
          <w:rFonts w:ascii="Arial" w:eastAsia="Calibri" w:hAnsi="Arial" w:cs="Arial"/>
          <w:color w:val="000000" w:themeColor="text1"/>
          <w:sz w:val="22"/>
          <w:szCs w:val="22"/>
          <w:lang w:val="es-ES_tradnl" w:eastAsia="en-US"/>
        </w:rPr>
      </w:pPr>
    </w:p>
    <w:p w14:paraId="44F0F5AE" w14:textId="77777777" w:rsidR="00874ACF" w:rsidRDefault="00874ACF">
      <w:pPr>
        <w:ind w:left="708" w:right="1467"/>
        <w:jc w:val="both"/>
        <w:rPr>
          <w:rFonts w:ascii="Arial" w:hAnsi="Arial" w:cs="Arial"/>
          <w:sz w:val="21"/>
          <w:szCs w:val="21"/>
        </w:rPr>
      </w:pPr>
      <w:r w:rsidRPr="00FD64D5">
        <w:rPr>
          <w:rFonts w:ascii="Arial" w:hAnsi="Arial" w:cs="Arial"/>
          <w:sz w:val="21"/>
          <w:szCs w:val="21"/>
        </w:rPr>
        <w:t>«2. En el evento en que la respuesta al interrogante anterior sea afirmativa, ¿existe alguna otra alternativa, diferente a la suscripción de un convenio de asociación, que permita a las entidades territoriales y las cajas de compensación familiar ejecutar el programa de Jornada Escolar Complementaria durante el periodo de las limitaciones que impone la Ley de Garantías Electorales?»</w:t>
      </w:r>
      <w:r>
        <w:rPr>
          <w:rFonts w:ascii="Arial" w:hAnsi="Arial" w:cs="Arial"/>
          <w:sz w:val="22"/>
          <w:szCs w:val="22"/>
        </w:rPr>
        <w:t xml:space="preserve"> </w:t>
      </w:r>
      <w:r w:rsidRPr="00FD64D5">
        <w:rPr>
          <w:sz w:val="22"/>
          <w:szCs w:val="22"/>
        </w:rPr>
        <w:t xml:space="preserve"> </w:t>
      </w:r>
    </w:p>
    <w:p w14:paraId="6B0DF457" w14:textId="77777777" w:rsidR="00874ACF" w:rsidRPr="00FD64D5" w:rsidRDefault="00874ACF">
      <w:pPr>
        <w:ind w:left="708" w:right="1467"/>
        <w:jc w:val="both"/>
        <w:rPr>
          <w:rFonts w:ascii="Arial" w:hAnsi="Arial" w:cs="Arial"/>
          <w:sz w:val="21"/>
          <w:szCs w:val="21"/>
        </w:rPr>
      </w:pPr>
    </w:p>
    <w:p w14:paraId="1163AF89" w14:textId="77777777" w:rsidR="00874ACF" w:rsidRDefault="00874ACF">
      <w:pPr>
        <w:ind w:left="708" w:right="1467"/>
        <w:jc w:val="both"/>
        <w:rPr>
          <w:sz w:val="22"/>
          <w:szCs w:val="22"/>
        </w:rPr>
      </w:pPr>
      <w:r w:rsidRPr="00FD64D5">
        <w:rPr>
          <w:rFonts w:ascii="Arial" w:hAnsi="Arial" w:cs="Arial"/>
          <w:sz w:val="21"/>
          <w:szCs w:val="21"/>
        </w:rPr>
        <w:t>«3. ¿Cuál es la naturaleza jurídica de los recursos que destinan las cajas de compensación para la ejecución del programa de Jornada Escolar Complementaria? ¿Son recursos públicos?»</w:t>
      </w:r>
      <w:r>
        <w:rPr>
          <w:rFonts w:ascii="Arial" w:hAnsi="Arial" w:cs="Arial"/>
          <w:sz w:val="22"/>
          <w:szCs w:val="22"/>
        </w:rPr>
        <w:t xml:space="preserve"> </w:t>
      </w:r>
      <w:r w:rsidRPr="00FD64D5">
        <w:rPr>
          <w:sz w:val="22"/>
          <w:szCs w:val="22"/>
        </w:rPr>
        <w:t xml:space="preserve"> </w:t>
      </w:r>
    </w:p>
    <w:p w14:paraId="6C99020F" w14:textId="3FED707B" w:rsidR="00874ACF" w:rsidRDefault="00874ACF" w:rsidP="009C5B5F">
      <w:pPr>
        <w:spacing w:line="276" w:lineRule="auto"/>
        <w:jc w:val="both"/>
        <w:rPr>
          <w:rFonts w:ascii="Arial" w:eastAsia="Calibri" w:hAnsi="Arial" w:cs="Arial"/>
          <w:color w:val="000000" w:themeColor="text1"/>
          <w:sz w:val="22"/>
          <w:szCs w:val="22"/>
          <w:lang w:val="es-ES_tradnl" w:eastAsia="en-US"/>
        </w:rPr>
      </w:pPr>
    </w:p>
    <w:p w14:paraId="4ECB6EFA" w14:textId="4980D7D8" w:rsidR="00910945" w:rsidRDefault="009C5B5F" w:rsidP="003D4FC2">
      <w:pPr>
        <w:spacing w:before="120" w:line="276" w:lineRule="auto"/>
        <w:ind w:firstLine="708"/>
        <w:jc w:val="both"/>
        <w:rPr>
          <w:rFonts w:ascii="Arial" w:hAnsi="Arial" w:cs="Arial"/>
          <w:sz w:val="22"/>
          <w:szCs w:val="22"/>
        </w:rPr>
      </w:pPr>
      <w:r>
        <w:rPr>
          <w:rFonts w:ascii="Arial" w:eastAsia="Calibri" w:hAnsi="Arial" w:cs="Arial"/>
          <w:color w:val="000000" w:themeColor="text1"/>
          <w:sz w:val="22"/>
          <w:szCs w:val="22"/>
          <w:lang w:val="es-ES_tradnl" w:eastAsia="en-US"/>
        </w:rPr>
        <w:lastRenderedPageBreak/>
        <w:t xml:space="preserve">Respecto a las preguntas dos y tres, </w:t>
      </w:r>
      <w:r w:rsidR="00494963" w:rsidRPr="004934DA">
        <w:rPr>
          <w:rFonts w:ascii="Arial" w:hAnsi="Arial" w:cs="Arial"/>
          <w:sz w:val="22"/>
          <w:szCs w:val="22"/>
        </w:rPr>
        <w:t xml:space="preserve">es necesario </w:t>
      </w:r>
      <w:r w:rsidR="00494963">
        <w:rPr>
          <w:rFonts w:ascii="Arial" w:hAnsi="Arial" w:cs="Arial"/>
          <w:sz w:val="22"/>
          <w:szCs w:val="22"/>
        </w:rPr>
        <w:t>resaltar y reiterar</w:t>
      </w:r>
      <w:r w:rsidR="00494963" w:rsidRPr="004934DA">
        <w:rPr>
          <w:rFonts w:ascii="Arial" w:hAnsi="Arial" w:cs="Arial"/>
          <w:sz w:val="22"/>
          <w:szCs w:val="22"/>
        </w:rPr>
        <w:t xml:space="preserve"> que esta Agencia s</w:t>
      </w:r>
      <w:r w:rsidR="00494963">
        <w:rPr>
          <w:rFonts w:ascii="Arial" w:hAnsi="Arial" w:cs="Arial"/>
          <w:sz w:val="22"/>
          <w:szCs w:val="22"/>
        </w:rPr>
        <w:t>ó</w:t>
      </w:r>
      <w:r w:rsidR="00494963" w:rsidRPr="004934DA">
        <w:rPr>
          <w:rFonts w:ascii="Arial" w:hAnsi="Arial" w:cs="Arial"/>
          <w:sz w:val="22"/>
          <w:szCs w:val="22"/>
        </w:rPr>
        <w:t xml:space="preserve">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 </w:t>
      </w:r>
      <w:r w:rsidR="00494963">
        <w:rPr>
          <w:rFonts w:ascii="Arial" w:hAnsi="Arial" w:cs="Arial"/>
          <w:sz w:val="22"/>
          <w:szCs w:val="22"/>
        </w:rPr>
        <w:t>Por tanto, no es posible realizar manifestación alguna sobre las particularidades de un determinado proceso de selección, como el relacionado en su consulta.</w:t>
      </w:r>
    </w:p>
    <w:p w14:paraId="6EE545AB" w14:textId="77777777" w:rsidR="006459D3" w:rsidRPr="00494963" w:rsidRDefault="006459D3" w:rsidP="003D4FC2">
      <w:pPr>
        <w:spacing w:line="276" w:lineRule="auto"/>
        <w:ind w:firstLine="708"/>
        <w:jc w:val="both"/>
        <w:rPr>
          <w:rFonts w:ascii="Arial" w:hAnsi="Arial" w:cs="Arial"/>
          <w:sz w:val="22"/>
          <w:szCs w:val="22"/>
        </w:rPr>
      </w:pPr>
    </w:p>
    <w:p w14:paraId="0A7BABD1" w14:textId="27250C6D" w:rsidR="000A0DF7" w:rsidRPr="00910945" w:rsidRDefault="000A0DF7" w:rsidP="00B117EC">
      <w:pPr>
        <w:spacing w:line="276" w:lineRule="auto"/>
        <w:jc w:val="both"/>
        <w:rPr>
          <w:rFonts w:ascii="Arial" w:eastAsia="Calibri" w:hAnsi="Arial" w:cs="Arial"/>
          <w:color w:val="000000" w:themeColor="text1"/>
          <w:sz w:val="22"/>
          <w:szCs w:val="22"/>
          <w:lang w:val="es-ES_tradnl" w:eastAsia="en-US"/>
        </w:rPr>
      </w:pPr>
      <w:r w:rsidRPr="00400B7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57B169D" w14:textId="77777777" w:rsidR="000A0DF7" w:rsidRPr="00400B70"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B6487EF" w14:textId="4366C819" w:rsidR="0025336C" w:rsidRPr="00400B70" w:rsidRDefault="000A0DF7" w:rsidP="0025336C">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00B70">
        <w:rPr>
          <w:rFonts w:ascii="Arial" w:hAnsi="Arial" w:cs="Arial"/>
          <w:color w:val="000000" w:themeColor="text1"/>
          <w:sz w:val="22"/>
          <w:szCs w:val="22"/>
          <w:lang w:val="es-ES_tradnl"/>
        </w:rPr>
        <w:t>Atentamente,</w:t>
      </w:r>
    </w:p>
    <w:p w14:paraId="396D9EE7" w14:textId="7BF08780" w:rsidR="008E4688" w:rsidRPr="007825AE" w:rsidRDefault="00EC53E8" w:rsidP="008E4688">
      <w:pPr>
        <w:jc w:val="center"/>
        <w:rPr>
          <w:rFonts w:ascii="Arial" w:hAnsi="Arial" w:cs="Arial"/>
          <w:sz w:val="18"/>
          <w:szCs w:val="20"/>
          <w:lang w:val="es-ES" w:eastAsia="es-CO"/>
        </w:rPr>
      </w:pPr>
      <w:r w:rsidRPr="009000E4">
        <w:rPr>
          <w:rFonts w:ascii="Arial" w:hAnsi="Arial" w:cs="Arial"/>
          <w:noProof/>
          <w:lang w:val="es-ES_tradnl" w:eastAsia="es-CO"/>
        </w:rPr>
        <w:drawing>
          <wp:inline distT="0" distB="0" distL="0" distR="0" wp14:anchorId="77B52E2E" wp14:editId="7CB981E2">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3D75E3E7" w14:textId="77777777" w:rsidR="008E4688" w:rsidRPr="007825AE" w:rsidRDefault="008E4688" w:rsidP="008E4688">
      <w:pPr>
        <w:jc w:val="center"/>
        <w:rPr>
          <w:rFonts w:ascii="Arial" w:hAnsi="Arial" w:cs="Arial"/>
          <w:sz w:val="18"/>
          <w:szCs w:val="20"/>
          <w:lang w:val="es-ES"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E4688" w:rsidRPr="007825AE" w14:paraId="228F4436" w14:textId="77777777" w:rsidTr="001B7450">
        <w:trPr>
          <w:trHeight w:val="315"/>
        </w:trPr>
        <w:tc>
          <w:tcPr>
            <w:tcW w:w="812" w:type="dxa"/>
            <w:vAlign w:val="center"/>
            <w:hideMark/>
          </w:tcPr>
          <w:p w14:paraId="6EB4E28B"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C63CF3B"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Camilo Perdomo Villamil</w:t>
            </w:r>
          </w:p>
          <w:p w14:paraId="0C11D118"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Contratista de la Subdirección de Gestión Contractual</w:t>
            </w:r>
          </w:p>
        </w:tc>
      </w:tr>
      <w:tr w:rsidR="008E4688" w:rsidRPr="007825AE" w14:paraId="34E0C9C3" w14:textId="77777777" w:rsidTr="001B7450">
        <w:trPr>
          <w:trHeight w:val="330"/>
        </w:trPr>
        <w:tc>
          <w:tcPr>
            <w:tcW w:w="812" w:type="dxa"/>
            <w:vAlign w:val="center"/>
            <w:hideMark/>
          </w:tcPr>
          <w:p w14:paraId="6D3891D3"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3F2D0F"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Alejandro Sarmiento Cantillo</w:t>
            </w:r>
          </w:p>
          <w:p w14:paraId="48B07762"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Gestor T1-15 de la Subdirección de Gestión Contractual</w:t>
            </w:r>
          </w:p>
        </w:tc>
      </w:tr>
      <w:tr w:rsidR="008E4688" w:rsidRPr="007825AE" w14:paraId="7019E126" w14:textId="77777777" w:rsidTr="001B7450">
        <w:trPr>
          <w:trHeight w:val="300"/>
        </w:trPr>
        <w:tc>
          <w:tcPr>
            <w:tcW w:w="812" w:type="dxa"/>
            <w:vAlign w:val="center"/>
            <w:hideMark/>
          </w:tcPr>
          <w:p w14:paraId="2EA90B8B"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62C94D6"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Jorge Augusto Tirado Navarro</w:t>
            </w:r>
          </w:p>
          <w:p w14:paraId="17569835" w14:textId="77777777" w:rsidR="008E4688" w:rsidRPr="007825AE" w:rsidRDefault="008E4688" w:rsidP="001B7450">
            <w:pPr>
              <w:rPr>
                <w:rFonts w:ascii="Arial" w:hAnsi="Arial" w:cs="Arial"/>
                <w:sz w:val="16"/>
                <w:szCs w:val="16"/>
                <w:lang w:val="es-ES" w:eastAsia="es-ES"/>
              </w:rPr>
            </w:pPr>
            <w:r w:rsidRPr="007825AE">
              <w:rPr>
                <w:rFonts w:ascii="Arial" w:hAnsi="Arial" w:cs="Arial"/>
                <w:sz w:val="16"/>
                <w:szCs w:val="16"/>
                <w:lang w:val="es-ES" w:eastAsia="es-ES"/>
              </w:rPr>
              <w:t>Subdirector de Gestión Contractual ANCP – CCE</w:t>
            </w:r>
          </w:p>
        </w:tc>
      </w:tr>
    </w:tbl>
    <w:p w14:paraId="2BDF5BFA" w14:textId="77777777" w:rsidR="008E4688" w:rsidRPr="007825AE" w:rsidRDefault="008E4688" w:rsidP="008E4688"/>
    <w:p w14:paraId="725DB761" w14:textId="5335B235" w:rsidR="62C4790C" w:rsidRDefault="62C4790C" w:rsidP="62C4790C"/>
    <w:sectPr w:rsidR="62C4790C" w:rsidSect="005D791B">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029CB" w14:textId="77777777" w:rsidR="00221ECE" w:rsidRDefault="00221ECE">
      <w:r>
        <w:separator/>
      </w:r>
    </w:p>
  </w:endnote>
  <w:endnote w:type="continuationSeparator" w:id="0">
    <w:p w14:paraId="10E4D917" w14:textId="77777777" w:rsidR="00221ECE" w:rsidRDefault="00221ECE">
      <w:r>
        <w:continuationSeparator/>
      </w:r>
    </w:p>
  </w:endnote>
  <w:endnote w:type="continuationNotice" w:id="1">
    <w:p w14:paraId="77A489EE" w14:textId="77777777" w:rsidR="00221ECE" w:rsidRDefault="00221E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panose1 w:val="020B0604020202020204"/>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5145A" w:rsidRDefault="0015145A" w:rsidP="00322937">
    <w:pPr>
      <w:pStyle w:val="Sinespaciado"/>
      <w:jc w:val="right"/>
      <w:rPr>
        <w:rFonts w:ascii="Arial" w:hAnsi="Arial" w:cs="Arial"/>
        <w:sz w:val="18"/>
        <w:szCs w:val="18"/>
      </w:rPr>
    </w:pPr>
  </w:p>
  <w:p w14:paraId="7A3785F3" w14:textId="3E56AC19" w:rsidR="0015145A" w:rsidRPr="008217B7" w:rsidRDefault="0015145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36D47">
      <w:rPr>
        <w:rFonts w:ascii="Arial" w:hAnsi="Arial" w:cs="Arial"/>
        <w:b/>
        <w:bCs/>
        <w:noProof/>
        <w:color w:val="7F7F7F" w:themeColor="text1" w:themeTint="80"/>
        <w:sz w:val="16"/>
        <w:szCs w:val="16"/>
      </w:rPr>
      <w:t>23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36D47">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p>
  <w:p w14:paraId="48FC6A04" w14:textId="5FD1A7C9" w:rsidR="0015145A" w:rsidRDefault="0015145A"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5145A" w:rsidRDefault="0015145A" w:rsidP="007B0854">
    <w:pPr>
      <w:pStyle w:val="Piedepgina"/>
      <w:jc w:val="center"/>
      <w:rPr>
        <w:lang w:val="es-ES"/>
      </w:rPr>
    </w:pPr>
  </w:p>
  <w:p w14:paraId="6C0EFC49" w14:textId="77777777" w:rsidR="0015145A" w:rsidRPr="007B0854" w:rsidRDefault="0015145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54B43" w14:textId="77777777" w:rsidR="00221ECE" w:rsidRDefault="00221ECE">
      <w:r>
        <w:separator/>
      </w:r>
    </w:p>
  </w:footnote>
  <w:footnote w:type="continuationSeparator" w:id="0">
    <w:p w14:paraId="2F2AFF6F" w14:textId="77777777" w:rsidR="00221ECE" w:rsidRDefault="00221ECE">
      <w:r>
        <w:continuationSeparator/>
      </w:r>
    </w:p>
  </w:footnote>
  <w:footnote w:type="continuationNotice" w:id="1">
    <w:p w14:paraId="5AAF9D07" w14:textId="77777777" w:rsidR="00221ECE" w:rsidRDefault="00221ECE"/>
  </w:footnote>
  <w:footnote w:id="2">
    <w:p w14:paraId="13F56817" w14:textId="16B8ADF3" w:rsidR="00D02FA8" w:rsidRPr="003D4FC2" w:rsidRDefault="00D02FA8" w:rsidP="00910945">
      <w:pPr>
        <w:pStyle w:val="Textonotapie"/>
        <w:ind w:firstLine="709"/>
        <w:jc w:val="both"/>
        <w:rPr>
          <w:rStyle w:val="Hipervnculo"/>
          <w:rFonts w:ascii="Arial" w:hAnsi="Arial" w:cs="Arial"/>
          <w:color w:val="0E63A8" w:themeColor="text2"/>
          <w:sz w:val="16"/>
          <w:szCs w:val="16"/>
          <w:lang w:val="es-ES"/>
        </w:rPr>
      </w:pPr>
      <w:r w:rsidRPr="003D4FC2">
        <w:rPr>
          <w:rStyle w:val="Refdenotaalpie"/>
          <w:rFonts w:ascii="Arial" w:hAnsi="Arial" w:cs="Arial"/>
          <w:sz w:val="16"/>
          <w:szCs w:val="16"/>
        </w:rPr>
        <w:footnoteRef/>
      </w:r>
      <w:r w:rsidRPr="003D4FC2">
        <w:rPr>
          <w:rFonts w:ascii="Arial" w:hAnsi="Arial" w:cs="Arial"/>
          <w:sz w:val="16"/>
          <w:szCs w:val="16"/>
        </w:rPr>
        <w:t xml:space="preserve"> </w:t>
      </w:r>
      <w:r w:rsidRPr="003D4FC2">
        <w:rPr>
          <w:rFonts w:ascii="Arial" w:hAnsi="Arial" w:cs="Arial"/>
          <w:sz w:val="16"/>
          <w:szCs w:val="16"/>
          <w:lang w:val="es-ES"/>
        </w:rPr>
        <w:t>Estos conceptos usted puede consultarlos en el siguiente sitio web:</w:t>
      </w:r>
      <w:r w:rsidRPr="003D4FC2">
        <w:rPr>
          <w:rFonts w:ascii="Arial" w:hAnsi="Arial" w:cs="Arial"/>
          <w:color w:val="0E63A8" w:themeColor="text2"/>
          <w:sz w:val="16"/>
          <w:szCs w:val="16"/>
          <w:lang w:val="es-ES"/>
        </w:rPr>
        <w:t xml:space="preserve"> </w:t>
      </w:r>
      <w:hyperlink r:id="rId1" w:history="1">
        <w:r w:rsidRPr="003D4FC2">
          <w:rPr>
            <w:rStyle w:val="Hipervnculo"/>
            <w:rFonts w:ascii="Arial" w:hAnsi="Arial" w:cs="Arial"/>
            <w:color w:val="0E63A8" w:themeColor="text2"/>
            <w:sz w:val="16"/>
            <w:szCs w:val="16"/>
            <w:lang w:val="es-ES"/>
          </w:rPr>
          <w:t>https://relatoria.colombiacompra.gov.co/busqueda/conceptos</w:t>
        </w:r>
      </w:hyperlink>
    </w:p>
    <w:p w14:paraId="2F742B95" w14:textId="77777777" w:rsidR="00B7276A" w:rsidRPr="003D4FC2" w:rsidRDefault="00B7276A" w:rsidP="00910945">
      <w:pPr>
        <w:pStyle w:val="Textonotapie"/>
        <w:ind w:firstLine="709"/>
        <w:jc w:val="both"/>
        <w:rPr>
          <w:rFonts w:ascii="Arial" w:hAnsi="Arial" w:cs="Arial"/>
          <w:sz w:val="16"/>
          <w:szCs w:val="16"/>
          <w:lang w:val="es-ES"/>
        </w:rPr>
      </w:pPr>
    </w:p>
  </w:footnote>
  <w:footnote w:id="3">
    <w:p w14:paraId="3EA5365D" w14:textId="77777777" w:rsidR="009F2C6F" w:rsidRPr="003D4FC2" w:rsidRDefault="009F2C6F" w:rsidP="009F2C6F">
      <w:pPr>
        <w:pStyle w:val="Textonotapie"/>
        <w:ind w:firstLine="709"/>
        <w:jc w:val="both"/>
        <w:rPr>
          <w:rFonts w:ascii="Arial" w:hAnsi="Arial" w:cs="Arial"/>
          <w:sz w:val="16"/>
          <w:szCs w:val="16"/>
          <w:lang w:val="es-ES"/>
        </w:rPr>
      </w:pPr>
      <w:r w:rsidRPr="003D4FC2">
        <w:rPr>
          <w:rStyle w:val="Refdenotaalpie"/>
          <w:rFonts w:ascii="Arial" w:hAnsi="Arial" w:cs="Arial"/>
          <w:sz w:val="16"/>
          <w:szCs w:val="16"/>
        </w:rPr>
        <w:footnoteRef/>
      </w:r>
      <w:r w:rsidRPr="003D4FC2">
        <w:rPr>
          <w:rFonts w:ascii="Arial" w:hAnsi="Arial" w:cs="Arial"/>
          <w:sz w:val="16"/>
          <w:szCs w:val="16"/>
        </w:rPr>
        <w:t xml:space="preserve"> </w:t>
      </w:r>
      <w:r w:rsidRPr="003D4FC2">
        <w:rPr>
          <w:rFonts w:ascii="Arial" w:hAnsi="Arial" w:cs="Arial"/>
          <w:color w:val="000000"/>
          <w:sz w:val="16"/>
          <w:szCs w:val="16"/>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4">
    <w:p w14:paraId="606AD55F" w14:textId="77777777" w:rsidR="009F2C6F" w:rsidRPr="003D4FC2" w:rsidRDefault="009F2C6F" w:rsidP="009F2C6F">
      <w:pPr>
        <w:pStyle w:val="Textonotapie"/>
        <w:ind w:firstLine="709"/>
        <w:jc w:val="both"/>
        <w:rPr>
          <w:rFonts w:ascii="Arial" w:hAnsi="Arial" w:cs="Arial"/>
          <w:color w:val="000000"/>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w:t>
      </w:r>
      <w:r w:rsidRPr="003D4FC2">
        <w:rPr>
          <w:rFonts w:ascii="Arial" w:hAnsi="Arial" w:cs="Arial"/>
          <w:color w:val="000000"/>
          <w:sz w:val="16"/>
          <w:szCs w:val="16"/>
        </w:rPr>
        <w:t>Procuraduría General de la Nación. Concepto del 15 de octubre de 2014. Procuraduría Delegada para Asuntos Disciplinarios. Radicado PAD C-114-2014.</w:t>
      </w:r>
    </w:p>
    <w:p w14:paraId="7D88964B" w14:textId="77777777" w:rsidR="009F2C6F" w:rsidRPr="003D4FC2" w:rsidRDefault="009F2C6F" w:rsidP="009F2C6F">
      <w:pPr>
        <w:pStyle w:val="Textonotapie"/>
        <w:ind w:firstLine="709"/>
        <w:jc w:val="both"/>
        <w:rPr>
          <w:rFonts w:ascii="Arial" w:hAnsi="Arial" w:cs="Arial"/>
          <w:sz w:val="16"/>
          <w:szCs w:val="16"/>
          <w:lang w:val="es-ES"/>
        </w:rPr>
      </w:pPr>
    </w:p>
  </w:footnote>
  <w:footnote w:id="5">
    <w:p w14:paraId="7BFAB3F4" w14:textId="77777777" w:rsidR="009F2C6F" w:rsidRPr="003D4FC2" w:rsidRDefault="009F2C6F" w:rsidP="009F2C6F">
      <w:pPr>
        <w:pStyle w:val="Textonotapie"/>
        <w:ind w:firstLine="709"/>
        <w:jc w:val="both"/>
        <w:rPr>
          <w:rFonts w:ascii="Arial" w:hAnsi="Arial" w:cs="Arial"/>
          <w:color w:val="000000"/>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w:t>
      </w:r>
      <w:r w:rsidRPr="003D4FC2">
        <w:rPr>
          <w:rFonts w:ascii="Arial" w:hAnsi="Arial" w:cs="Arial"/>
          <w:color w:val="000000"/>
          <w:sz w:val="16"/>
          <w:szCs w:val="16"/>
        </w:rPr>
        <w:t>Contraloría General de la República. Oficina Jurídica. Concepto 80112-OJ-008 2017.</w:t>
      </w:r>
    </w:p>
    <w:p w14:paraId="5BD68975" w14:textId="77777777" w:rsidR="009F2C6F" w:rsidRPr="003D4FC2" w:rsidRDefault="009F2C6F" w:rsidP="009F2C6F">
      <w:pPr>
        <w:pStyle w:val="Textonotapie"/>
        <w:ind w:firstLine="709"/>
        <w:jc w:val="both"/>
        <w:rPr>
          <w:rFonts w:ascii="Arial" w:hAnsi="Arial" w:cs="Arial"/>
          <w:sz w:val="16"/>
          <w:szCs w:val="16"/>
          <w:lang w:val="es-ES"/>
        </w:rPr>
      </w:pPr>
    </w:p>
  </w:footnote>
  <w:footnote w:id="6">
    <w:p w14:paraId="5064240C" w14:textId="77777777" w:rsidR="009F2C6F" w:rsidRPr="003D4FC2" w:rsidRDefault="009F2C6F" w:rsidP="009F2C6F">
      <w:pPr>
        <w:pStyle w:val="Textonotapie"/>
        <w:ind w:firstLine="709"/>
        <w:jc w:val="both"/>
        <w:rPr>
          <w:rFonts w:ascii="Arial" w:hAnsi="Arial" w:cs="Arial"/>
          <w:sz w:val="16"/>
          <w:szCs w:val="16"/>
          <w:lang w:val="es-ES"/>
        </w:rPr>
      </w:pPr>
      <w:r w:rsidRPr="003D4FC2">
        <w:rPr>
          <w:rStyle w:val="Refdenotaalpie"/>
          <w:rFonts w:ascii="Arial" w:hAnsi="Arial" w:cs="Arial"/>
          <w:sz w:val="16"/>
          <w:szCs w:val="16"/>
        </w:rPr>
        <w:footnoteRef/>
      </w:r>
      <w:r w:rsidRPr="003D4FC2">
        <w:rPr>
          <w:rFonts w:ascii="Arial" w:hAnsi="Arial" w:cs="Arial"/>
          <w:sz w:val="16"/>
          <w:szCs w:val="16"/>
        </w:rPr>
        <w:t xml:space="preserve"> </w:t>
      </w:r>
      <w:r w:rsidRPr="003D4FC2">
        <w:rPr>
          <w:rFonts w:ascii="Arial" w:hAnsi="Arial" w:cs="Arial"/>
          <w:color w:val="000000"/>
          <w:sz w:val="16"/>
          <w:szCs w:val="16"/>
        </w:rPr>
        <w:t>ARBOLEDA PERDOMO, Enrique José. Comentarios al Nuevo Código de Procedimiento Administrativo y de lo Contencioso Administrativo (2ª ed.). Editorial Legis. Bogotá. 2012. p. 59</w:t>
      </w:r>
    </w:p>
  </w:footnote>
  <w:footnote w:id="7">
    <w:p w14:paraId="70689536" w14:textId="77777777" w:rsidR="0015145A" w:rsidRPr="003D4FC2" w:rsidRDefault="0015145A" w:rsidP="00910945">
      <w:pPr>
        <w:pStyle w:val="Textonotapie"/>
        <w:ind w:firstLine="709"/>
        <w:jc w:val="both"/>
        <w:rPr>
          <w:rFonts w:ascii="Arial" w:hAnsi="Arial" w:cs="Arial"/>
          <w:sz w:val="16"/>
          <w:szCs w:val="16"/>
        </w:rPr>
      </w:pPr>
    </w:p>
    <w:p w14:paraId="08FF955D" w14:textId="75CDBA14" w:rsidR="0015145A" w:rsidRPr="003D4FC2" w:rsidRDefault="0015145A" w:rsidP="00910945">
      <w:pPr>
        <w:pStyle w:val="Textonotapie"/>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011D44B" w14:textId="77777777" w:rsidR="0015145A" w:rsidRPr="003D4FC2" w:rsidRDefault="0015145A" w:rsidP="00910945">
      <w:pPr>
        <w:pStyle w:val="Textonotapie"/>
        <w:ind w:firstLine="709"/>
        <w:jc w:val="both"/>
        <w:rPr>
          <w:rFonts w:ascii="Arial" w:hAnsi="Arial" w:cs="Arial"/>
          <w:sz w:val="16"/>
          <w:szCs w:val="16"/>
        </w:rPr>
      </w:pPr>
      <w:r w:rsidRPr="003D4FC2">
        <w:rPr>
          <w:rFonts w:ascii="Arial" w:hAnsi="Arial"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570A3456" w14:textId="77777777" w:rsidR="0015145A" w:rsidRPr="003D4FC2" w:rsidRDefault="0015145A" w:rsidP="00910945">
      <w:pPr>
        <w:pStyle w:val="Textonotapie"/>
        <w:ind w:firstLine="709"/>
        <w:jc w:val="both"/>
        <w:rPr>
          <w:rFonts w:ascii="Arial" w:hAnsi="Arial" w:cs="Arial"/>
          <w:sz w:val="16"/>
          <w:szCs w:val="16"/>
        </w:rPr>
      </w:pPr>
    </w:p>
  </w:footnote>
  <w:footnote w:id="8">
    <w:p w14:paraId="3D86A115" w14:textId="5EFBF1BF" w:rsidR="0015145A" w:rsidRPr="003D4FC2" w:rsidRDefault="0015145A" w:rsidP="00910945">
      <w:pPr>
        <w:pStyle w:val="Textonotapie"/>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Gaceta del Congreso de la República No. 71 del 2005.</w:t>
      </w:r>
    </w:p>
    <w:p w14:paraId="02761883" w14:textId="77777777" w:rsidR="0015145A" w:rsidRPr="003D4FC2" w:rsidRDefault="0015145A" w:rsidP="00910945">
      <w:pPr>
        <w:pStyle w:val="Textonotapie"/>
        <w:ind w:firstLine="709"/>
        <w:jc w:val="both"/>
        <w:rPr>
          <w:rFonts w:ascii="Arial" w:hAnsi="Arial" w:cs="Arial"/>
          <w:sz w:val="16"/>
          <w:szCs w:val="16"/>
        </w:rPr>
      </w:pPr>
    </w:p>
  </w:footnote>
  <w:footnote w:id="9">
    <w:p w14:paraId="5A57FC91" w14:textId="55D04638" w:rsidR="0015145A" w:rsidRPr="003D4FC2" w:rsidRDefault="0015145A" w:rsidP="00910945">
      <w:pPr>
        <w:pStyle w:val="Textonotapie"/>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Corte Constitucional</w:t>
      </w:r>
      <w:r w:rsidR="00B1029D" w:rsidRPr="003D4FC2">
        <w:rPr>
          <w:rFonts w:ascii="Arial" w:hAnsi="Arial" w:cs="Arial"/>
          <w:sz w:val="16"/>
          <w:szCs w:val="16"/>
        </w:rPr>
        <w:t>.</w:t>
      </w:r>
      <w:r w:rsidRPr="003D4FC2">
        <w:rPr>
          <w:rFonts w:ascii="Arial" w:hAnsi="Arial" w:cs="Arial"/>
          <w:sz w:val="16"/>
          <w:szCs w:val="16"/>
        </w:rPr>
        <w:t xml:space="preserve"> Sentencia C- 1153 de 2005, M.P. Marco Gerardo Monroy Cabra.</w:t>
      </w:r>
    </w:p>
  </w:footnote>
  <w:footnote w:id="10">
    <w:p w14:paraId="2120875D" w14:textId="77777777" w:rsidR="0015145A" w:rsidRPr="003D4FC2" w:rsidRDefault="0015145A" w:rsidP="00910945">
      <w:pPr>
        <w:pStyle w:val="Textonotapie"/>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77F5C915" w14:textId="77777777" w:rsidR="0015145A" w:rsidRPr="003D4FC2" w:rsidRDefault="0015145A" w:rsidP="00910945">
      <w:pPr>
        <w:pStyle w:val="Textonotapie"/>
        <w:ind w:firstLine="709"/>
        <w:jc w:val="both"/>
        <w:rPr>
          <w:rFonts w:ascii="Arial" w:hAnsi="Arial" w:cs="Arial"/>
          <w:sz w:val="16"/>
          <w:szCs w:val="16"/>
        </w:rPr>
      </w:pPr>
    </w:p>
  </w:footnote>
  <w:footnote w:id="11">
    <w:p w14:paraId="2B3023B7" w14:textId="178F22B5" w:rsidR="0015145A" w:rsidRPr="003D4FC2" w:rsidRDefault="0015145A" w:rsidP="00910945">
      <w:pPr>
        <w:pStyle w:val="Textonotapie"/>
        <w:ind w:firstLine="709"/>
        <w:jc w:val="both"/>
        <w:rPr>
          <w:rFonts w:ascii="Arial" w:hAnsi="Arial" w:cs="Arial"/>
          <w:sz w:val="16"/>
          <w:szCs w:val="16"/>
          <w:lang w:val="es-CO"/>
        </w:rPr>
      </w:pPr>
      <w:r w:rsidRPr="003D4FC2">
        <w:rPr>
          <w:rStyle w:val="Refdenotaalpie"/>
          <w:rFonts w:ascii="Arial" w:hAnsi="Arial" w:cs="Arial"/>
          <w:sz w:val="16"/>
          <w:szCs w:val="16"/>
        </w:rPr>
        <w:footnoteRef/>
      </w:r>
      <w:r w:rsidRPr="003D4FC2">
        <w:rPr>
          <w:rFonts w:ascii="Arial" w:hAnsi="Arial" w:cs="Arial"/>
          <w:sz w:val="16"/>
          <w:szCs w:val="16"/>
          <w:lang w:val="es-CO"/>
        </w:rPr>
        <w:t xml:space="preserve"> Consejo de Estado</w:t>
      </w:r>
      <w:r w:rsidR="00B1029D" w:rsidRPr="003D4FC2">
        <w:rPr>
          <w:rFonts w:ascii="Arial" w:hAnsi="Arial" w:cs="Arial"/>
          <w:sz w:val="16"/>
          <w:szCs w:val="16"/>
          <w:lang w:val="es-CO"/>
        </w:rPr>
        <w:t>.</w:t>
      </w:r>
      <w:r w:rsidRPr="003D4FC2">
        <w:rPr>
          <w:rFonts w:ascii="Arial" w:hAnsi="Arial" w:cs="Arial"/>
          <w:sz w:val="16"/>
          <w:szCs w:val="16"/>
          <w:lang w:val="es-CO"/>
        </w:rPr>
        <w:t xml:space="preserve">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70D6EB56" w14:textId="77777777" w:rsidR="0015145A" w:rsidRPr="003D4FC2" w:rsidRDefault="0015145A" w:rsidP="00910945">
      <w:pPr>
        <w:pStyle w:val="Textonotapie"/>
        <w:ind w:firstLine="709"/>
        <w:jc w:val="both"/>
        <w:rPr>
          <w:rFonts w:ascii="Arial" w:hAnsi="Arial" w:cs="Arial"/>
          <w:sz w:val="16"/>
          <w:szCs w:val="16"/>
          <w:lang w:val="es-CO"/>
        </w:rPr>
      </w:pPr>
    </w:p>
  </w:footnote>
  <w:footnote w:id="12">
    <w:p w14:paraId="000F2381" w14:textId="77777777" w:rsidR="0015145A" w:rsidRPr="003D4FC2" w:rsidRDefault="0015145A" w:rsidP="00910945">
      <w:pPr>
        <w:pStyle w:val="Textonotapie"/>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Consejo de Estado, Sala de Consulta y Servicio Civil de fecha 24 de julio de 2013, radicado 2166, Consejero Ponente: Álvaro Namén Vargas.  </w:t>
      </w:r>
    </w:p>
  </w:footnote>
  <w:footnote w:id="13">
    <w:p w14:paraId="5FD1B6A5" w14:textId="77777777" w:rsidR="0015145A" w:rsidRPr="003D4FC2" w:rsidRDefault="0015145A" w:rsidP="00910945">
      <w:pPr>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w:t>
      </w:r>
      <w:r w:rsidRPr="003D4FC2">
        <w:rPr>
          <w:rFonts w:ascii="Arial" w:eastAsia="Calibri" w:hAnsi="Arial" w:cs="Arial"/>
          <w:bCs/>
          <w:color w:val="000000"/>
          <w:sz w:val="16"/>
          <w:szCs w:val="16"/>
        </w:rPr>
        <w:t>«</w:t>
      </w:r>
      <w:r w:rsidRPr="003D4FC2">
        <w:rPr>
          <w:rFonts w:ascii="Arial" w:hAnsi="Arial"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B58CD49" w14:textId="77777777" w:rsidR="0015145A" w:rsidRPr="003D4FC2" w:rsidRDefault="0015145A" w:rsidP="00910945">
      <w:pPr>
        <w:ind w:firstLine="709"/>
        <w:jc w:val="both"/>
        <w:rPr>
          <w:rFonts w:ascii="Arial" w:hAnsi="Arial" w:cs="Arial"/>
          <w:sz w:val="16"/>
          <w:szCs w:val="16"/>
        </w:rPr>
      </w:pPr>
      <w:r w:rsidRPr="003D4FC2">
        <w:rPr>
          <w:rFonts w:ascii="Arial" w:eastAsia="Calibri" w:hAnsi="Arial" w:cs="Arial"/>
          <w:bCs/>
          <w:color w:val="000000"/>
          <w:sz w:val="16"/>
          <w:szCs w:val="16"/>
        </w:rPr>
        <w:t>»</w:t>
      </w:r>
      <w:r w:rsidRPr="003D4FC2">
        <w:rPr>
          <w:rFonts w:ascii="Arial" w:hAnsi="Arial" w:cs="Arial"/>
          <w:sz w:val="16"/>
          <w:szCs w:val="16"/>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D4FC2">
        <w:rPr>
          <w:rFonts w:ascii="Arial" w:eastAsia="Calibri" w:hAnsi="Arial" w:cs="Arial"/>
          <w:bCs/>
          <w:color w:val="000000"/>
          <w:sz w:val="16"/>
          <w:szCs w:val="16"/>
        </w:rPr>
        <w:t>»</w:t>
      </w:r>
      <w:r w:rsidRPr="003D4FC2">
        <w:rPr>
          <w:rFonts w:ascii="Arial" w:hAnsi="Arial" w:cs="Arial"/>
          <w:sz w:val="16"/>
          <w:szCs w:val="16"/>
        </w:rPr>
        <w:t>.</w:t>
      </w:r>
    </w:p>
    <w:p w14:paraId="68C81580" w14:textId="77777777" w:rsidR="0015145A" w:rsidRPr="003D4FC2" w:rsidRDefault="0015145A" w:rsidP="00910945">
      <w:pPr>
        <w:ind w:firstLine="709"/>
        <w:jc w:val="both"/>
        <w:rPr>
          <w:rFonts w:ascii="Arial" w:hAnsi="Arial" w:cs="Arial"/>
          <w:sz w:val="16"/>
          <w:szCs w:val="16"/>
        </w:rPr>
      </w:pPr>
    </w:p>
  </w:footnote>
  <w:footnote w:id="14">
    <w:p w14:paraId="5EEDC13D" w14:textId="77777777" w:rsidR="0015145A" w:rsidRPr="003D4FC2" w:rsidRDefault="0015145A" w:rsidP="00910945">
      <w:pPr>
        <w:pStyle w:val="NormalWeb"/>
        <w:spacing w:before="0" w:beforeAutospacing="0" w:after="0" w:afterAutospacing="0"/>
        <w:ind w:firstLine="709"/>
        <w:jc w:val="both"/>
        <w:rPr>
          <w:rFonts w:ascii="Arial" w:hAnsi="Arial" w:cs="Arial"/>
          <w:sz w:val="16"/>
          <w:szCs w:val="16"/>
          <w:lang w:val="es-MX"/>
        </w:rPr>
      </w:pPr>
      <w:r w:rsidRPr="003D4FC2">
        <w:rPr>
          <w:rStyle w:val="Refdenotaalpie"/>
          <w:rFonts w:ascii="Arial" w:hAnsi="Arial" w:cs="Arial"/>
          <w:sz w:val="16"/>
          <w:szCs w:val="16"/>
        </w:rPr>
        <w:footnoteRef/>
      </w:r>
      <w:r w:rsidRPr="003D4FC2">
        <w:rPr>
          <w:rFonts w:ascii="Arial" w:hAnsi="Arial" w:cs="Arial"/>
          <w:sz w:val="16"/>
          <w:szCs w:val="16"/>
        </w:rPr>
        <w:t xml:space="preserve"> </w:t>
      </w:r>
      <w:r w:rsidRPr="003D4FC2">
        <w:rPr>
          <w:rFonts w:ascii="Arial" w:eastAsia="Calibri" w:hAnsi="Arial" w:cs="Arial"/>
          <w:bCs/>
          <w:color w:val="000000"/>
          <w:sz w:val="16"/>
          <w:szCs w:val="16"/>
        </w:rPr>
        <w:t>«</w:t>
      </w:r>
      <w:r w:rsidRPr="003D4FC2">
        <w:rPr>
          <w:rFonts w:ascii="Arial" w:hAnsi="Arial" w:cs="Arial"/>
          <w:sz w:val="16"/>
          <w:szCs w:val="16"/>
          <w:lang w:val="es-MX"/>
        </w:rPr>
        <w:t>Artículo 38. Prohibiciones para los servidores públicos. A los empleados del Estado les está prohibido:</w:t>
      </w:r>
    </w:p>
    <w:p w14:paraId="621B3705" w14:textId="77777777" w:rsidR="0015145A" w:rsidRPr="003D4FC2" w:rsidRDefault="0015145A" w:rsidP="00910945">
      <w:pPr>
        <w:pStyle w:val="NormalWeb"/>
        <w:spacing w:before="0" w:beforeAutospacing="0" w:after="0" w:afterAutospacing="0"/>
        <w:ind w:firstLine="709"/>
        <w:jc w:val="both"/>
        <w:rPr>
          <w:rFonts w:ascii="Arial" w:hAnsi="Arial" w:cs="Arial"/>
          <w:sz w:val="16"/>
          <w:szCs w:val="16"/>
          <w:lang w:val="es-MX"/>
        </w:rPr>
      </w:pPr>
      <w:r w:rsidRPr="003D4FC2">
        <w:rPr>
          <w:rFonts w:ascii="Arial" w:eastAsia="Calibri" w:hAnsi="Arial" w:cs="Arial"/>
          <w:bCs/>
          <w:color w:val="000000"/>
          <w:sz w:val="16"/>
          <w:szCs w:val="16"/>
        </w:rPr>
        <w:t>»</w:t>
      </w:r>
      <w:r w:rsidRPr="003D4FC2">
        <w:rPr>
          <w:rFonts w:ascii="Arial" w:hAnsi="Arial" w:cs="Arial"/>
          <w:sz w:val="16"/>
          <w:szCs w:val="16"/>
          <w:lang w:val="es-MX"/>
        </w:rPr>
        <w:t xml:space="preserve"> […]</w:t>
      </w:r>
    </w:p>
    <w:p w14:paraId="491AB04E" w14:textId="77777777" w:rsidR="0015145A" w:rsidRPr="003D4FC2" w:rsidRDefault="0015145A" w:rsidP="00910945">
      <w:pPr>
        <w:ind w:firstLine="709"/>
        <w:jc w:val="both"/>
        <w:rPr>
          <w:rFonts w:ascii="Arial" w:hAnsi="Arial" w:cs="Arial"/>
          <w:sz w:val="16"/>
          <w:szCs w:val="16"/>
          <w:lang w:val="es-MX"/>
        </w:rPr>
      </w:pPr>
      <w:r w:rsidRPr="003D4FC2">
        <w:rPr>
          <w:rFonts w:ascii="Arial" w:eastAsia="Calibri" w:hAnsi="Arial" w:cs="Arial"/>
          <w:bCs/>
          <w:color w:val="000000"/>
          <w:sz w:val="16"/>
          <w:szCs w:val="16"/>
        </w:rPr>
        <w:t>»</w:t>
      </w:r>
      <w:r w:rsidRPr="003D4FC2">
        <w:rPr>
          <w:rStyle w:val="baj"/>
          <w:rFonts w:ascii="Arial" w:hAnsi="Arial" w:cs="Arial"/>
          <w:sz w:val="16"/>
          <w:szCs w:val="16"/>
          <w:lang w:val="es-MX"/>
        </w:rPr>
        <w:t xml:space="preserve"> Parágrafo.</w:t>
      </w:r>
      <w:r w:rsidRPr="003D4FC2">
        <w:rPr>
          <w:rFonts w:ascii="Arial" w:hAnsi="Arial"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D4FC2">
        <w:rPr>
          <w:rFonts w:ascii="Arial" w:eastAsia="Calibri" w:hAnsi="Arial" w:cs="Arial"/>
          <w:bCs/>
          <w:color w:val="000000"/>
          <w:sz w:val="16"/>
          <w:szCs w:val="16"/>
        </w:rPr>
        <w:t>»</w:t>
      </w:r>
      <w:r w:rsidRPr="003D4FC2">
        <w:rPr>
          <w:rFonts w:ascii="Arial" w:hAnsi="Arial" w:cs="Arial"/>
          <w:sz w:val="16"/>
          <w:szCs w:val="16"/>
          <w:lang w:val="es-MX"/>
        </w:rPr>
        <w:t>.</w:t>
      </w:r>
    </w:p>
    <w:p w14:paraId="1FEA72FC" w14:textId="77777777" w:rsidR="0015145A" w:rsidRPr="003D4FC2" w:rsidRDefault="0015145A" w:rsidP="00910945">
      <w:pPr>
        <w:ind w:firstLine="709"/>
        <w:jc w:val="both"/>
        <w:rPr>
          <w:rFonts w:ascii="Arial" w:hAnsi="Arial" w:cs="Arial"/>
          <w:sz w:val="16"/>
          <w:szCs w:val="16"/>
          <w:lang w:val="es-MX"/>
        </w:rPr>
      </w:pPr>
    </w:p>
  </w:footnote>
  <w:footnote w:id="15">
    <w:p w14:paraId="0049EE70" w14:textId="77777777" w:rsidR="0015145A" w:rsidRPr="003D4FC2" w:rsidRDefault="0015145A" w:rsidP="00910945">
      <w:pPr>
        <w:ind w:firstLine="709"/>
        <w:jc w:val="both"/>
        <w:rPr>
          <w:rFonts w:ascii="Arial" w:hAnsi="Arial" w:cs="Arial"/>
          <w:sz w:val="16"/>
          <w:szCs w:val="16"/>
          <w:lang w:val="es-ES"/>
        </w:rPr>
      </w:pPr>
      <w:r w:rsidRPr="003D4FC2">
        <w:rPr>
          <w:rStyle w:val="Refdenotaalpie"/>
          <w:rFonts w:ascii="Arial" w:hAnsi="Arial" w:cs="Arial"/>
          <w:sz w:val="16"/>
          <w:szCs w:val="16"/>
        </w:rPr>
        <w:footnoteRef/>
      </w:r>
      <w:r w:rsidRPr="003D4FC2">
        <w:rPr>
          <w:rFonts w:ascii="Arial" w:hAnsi="Arial" w:cs="Arial"/>
          <w:sz w:val="16"/>
          <w:szCs w:val="16"/>
        </w:rPr>
        <w:t xml:space="preserve"> Consejo de Estado. Sala de Consulta y Servicio Civil. Concepto del 17 de febrero de 2015. C.P. William Zambrano Cetina. Radicación No. 11001-03-06-000-2015-00164-00(2269).</w:t>
      </w:r>
    </w:p>
  </w:footnote>
  <w:footnote w:id="16">
    <w:p w14:paraId="2F4CFDB4" w14:textId="77777777" w:rsidR="0015145A" w:rsidRPr="003D4FC2" w:rsidRDefault="0015145A" w:rsidP="00910945">
      <w:pPr>
        <w:pStyle w:val="Textonotapie"/>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w:t>
      </w:r>
      <w:r w:rsidRPr="003D4FC2">
        <w:rPr>
          <w:rFonts w:ascii="Arial" w:hAnsi="Arial" w:cs="Arial"/>
          <w:sz w:val="16"/>
          <w:szCs w:val="16"/>
          <w:lang w:val="es-ES"/>
        </w:rPr>
        <w:t xml:space="preserve">[25] </w:t>
      </w:r>
      <w:r w:rsidRPr="003D4FC2">
        <w:rPr>
          <w:rFonts w:ascii="Arial" w:hAnsi="Arial" w:cs="Arial"/>
          <w:sz w:val="16"/>
          <w:szCs w:val="16"/>
        </w:rPr>
        <w:t>Cfr. Consejo de Estado. Sección Tercera. Sentencia de 3 de diciembre de 2007. Radicados: 24.715, 25.206, 25.409, 24.524, 27.834, 25.410, 26.105, 28.244, 31.447 -acumulados-».</w:t>
      </w:r>
    </w:p>
    <w:p w14:paraId="37ADB304" w14:textId="77777777" w:rsidR="0015145A" w:rsidRPr="003D4FC2" w:rsidRDefault="0015145A" w:rsidP="00910945">
      <w:pPr>
        <w:pStyle w:val="Textonotapie"/>
        <w:ind w:firstLine="709"/>
        <w:jc w:val="both"/>
        <w:rPr>
          <w:rFonts w:ascii="Arial" w:hAnsi="Arial" w:cs="Arial"/>
          <w:sz w:val="16"/>
          <w:szCs w:val="16"/>
        </w:rPr>
      </w:pPr>
    </w:p>
  </w:footnote>
  <w:footnote w:id="17">
    <w:p w14:paraId="1DB97367" w14:textId="77777777" w:rsidR="0015145A" w:rsidRPr="003D4FC2" w:rsidRDefault="0015145A" w:rsidP="00910945">
      <w:pPr>
        <w:pStyle w:val="Textonotapie"/>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w:t>
      </w:r>
      <w:r w:rsidRPr="003D4FC2">
        <w:rPr>
          <w:rFonts w:ascii="Arial" w:hAnsi="Arial" w:cs="Arial"/>
          <w:sz w:val="16"/>
          <w:szCs w:val="16"/>
          <w:lang w:val="es-ES"/>
        </w:rPr>
        <w:t xml:space="preserve">[26] </w:t>
      </w:r>
      <w:r w:rsidRPr="003D4FC2">
        <w:rPr>
          <w:rFonts w:ascii="Arial" w:hAnsi="Arial" w:cs="Arial"/>
          <w:sz w:val="16"/>
          <w:szCs w:val="16"/>
        </w:rPr>
        <w:t>Al respecto ver el concepto 1712 de 2 de febrero de 2006. Consejo de Estado Sala de Consulta y Servicio Civil».</w:t>
      </w:r>
    </w:p>
    <w:p w14:paraId="6E8CECD0" w14:textId="77777777" w:rsidR="0015145A" w:rsidRPr="003D4FC2" w:rsidRDefault="0015145A" w:rsidP="00910945">
      <w:pPr>
        <w:pStyle w:val="Textonotapie"/>
        <w:ind w:firstLine="709"/>
        <w:jc w:val="both"/>
        <w:rPr>
          <w:rFonts w:ascii="Arial" w:hAnsi="Arial" w:cs="Arial"/>
          <w:sz w:val="16"/>
          <w:szCs w:val="16"/>
        </w:rPr>
      </w:pPr>
    </w:p>
  </w:footnote>
  <w:footnote w:id="18">
    <w:p w14:paraId="2F65E2D2" w14:textId="77777777" w:rsidR="0015145A" w:rsidRPr="003D4FC2" w:rsidRDefault="0015145A" w:rsidP="00910945">
      <w:pPr>
        <w:pStyle w:val="Textonotapie"/>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Consejo de Estado. Sala de Consulta y Servicio Civil. Concepto del 2 de septiembre de 2013. Radicación número: 11001-03-06-000-2013-00412-00 (2168). Consejero Ponente: Álvaro Namén Vargas.</w:t>
      </w:r>
    </w:p>
    <w:p w14:paraId="72BB647C" w14:textId="77777777" w:rsidR="0015145A" w:rsidRPr="003D4FC2" w:rsidRDefault="0015145A" w:rsidP="00910945">
      <w:pPr>
        <w:pStyle w:val="Textonotapie"/>
        <w:ind w:firstLine="709"/>
        <w:jc w:val="both"/>
        <w:rPr>
          <w:rFonts w:ascii="Arial" w:hAnsi="Arial" w:cs="Arial"/>
          <w:sz w:val="16"/>
          <w:szCs w:val="16"/>
        </w:rPr>
      </w:pPr>
    </w:p>
  </w:footnote>
  <w:footnote w:id="19">
    <w:p w14:paraId="675DABFF" w14:textId="77777777" w:rsidR="00B1029D" w:rsidRPr="003D4FC2" w:rsidRDefault="00B1029D" w:rsidP="00910945">
      <w:pPr>
        <w:pStyle w:val="Textonotapie"/>
        <w:ind w:firstLine="709"/>
        <w:jc w:val="both"/>
        <w:rPr>
          <w:rFonts w:ascii="Arial" w:hAnsi="Arial" w:cs="Arial"/>
          <w:sz w:val="16"/>
          <w:szCs w:val="16"/>
          <w:lang w:val="es-ES"/>
        </w:rPr>
      </w:pPr>
      <w:r w:rsidRPr="003D4FC2">
        <w:rPr>
          <w:rStyle w:val="Refdenotaalpie"/>
          <w:rFonts w:ascii="Arial" w:hAnsi="Arial" w:cs="Arial"/>
          <w:sz w:val="16"/>
          <w:szCs w:val="16"/>
        </w:rPr>
        <w:footnoteRef/>
      </w:r>
      <w:r w:rsidRPr="003D4FC2">
        <w:rPr>
          <w:rFonts w:ascii="Arial" w:hAnsi="Arial" w:cs="Arial"/>
          <w:sz w:val="16"/>
          <w:szCs w:val="16"/>
        </w:rPr>
        <w:t xml:space="preserve"> </w:t>
      </w:r>
      <w:r w:rsidRPr="003D4FC2">
        <w:rPr>
          <w:rFonts w:ascii="Arial" w:hAnsi="Arial" w:cs="Arial"/>
          <w:sz w:val="16"/>
          <w:szCs w:val="16"/>
          <w:lang w:val="es-ES"/>
        </w:rPr>
        <w:t xml:space="preserve">Artículo 2. </w:t>
      </w:r>
    </w:p>
    <w:p w14:paraId="0F9C546B" w14:textId="77777777" w:rsidR="00B1029D" w:rsidRPr="003D4FC2" w:rsidRDefault="00B1029D" w:rsidP="00910945">
      <w:pPr>
        <w:pStyle w:val="Textonotapie"/>
        <w:ind w:firstLine="709"/>
        <w:jc w:val="both"/>
        <w:rPr>
          <w:rFonts w:ascii="Arial" w:hAnsi="Arial" w:cs="Arial"/>
          <w:sz w:val="16"/>
          <w:szCs w:val="16"/>
          <w:lang w:val="es-ES"/>
        </w:rPr>
      </w:pPr>
    </w:p>
  </w:footnote>
  <w:footnote w:id="20">
    <w:p w14:paraId="7B5F4D3B" w14:textId="77777777" w:rsidR="00B1029D" w:rsidRPr="003D4FC2" w:rsidRDefault="00B1029D" w:rsidP="00910945">
      <w:pPr>
        <w:pStyle w:val="Textonotapie"/>
        <w:ind w:firstLine="709"/>
        <w:jc w:val="both"/>
        <w:rPr>
          <w:rFonts w:ascii="Arial" w:hAnsi="Arial" w:cs="Arial"/>
          <w:sz w:val="16"/>
          <w:szCs w:val="16"/>
          <w:lang w:val="es-ES"/>
        </w:rPr>
      </w:pPr>
      <w:r w:rsidRPr="003D4FC2">
        <w:rPr>
          <w:rStyle w:val="Refdenotaalpie"/>
          <w:rFonts w:ascii="Arial" w:hAnsi="Arial" w:cs="Arial"/>
          <w:sz w:val="16"/>
          <w:szCs w:val="16"/>
        </w:rPr>
        <w:footnoteRef/>
      </w:r>
      <w:r w:rsidRPr="003D4FC2">
        <w:rPr>
          <w:rFonts w:ascii="Arial" w:hAnsi="Arial" w:cs="Arial"/>
          <w:sz w:val="16"/>
          <w:szCs w:val="16"/>
        </w:rPr>
        <w:t xml:space="preserve"> </w:t>
      </w:r>
      <w:r w:rsidRPr="003D4FC2">
        <w:rPr>
          <w:rFonts w:ascii="Arial" w:hAnsi="Arial" w:cs="Arial"/>
          <w:i/>
          <w:sz w:val="16"/>
          <w:szCs w:val="16"/>
          <w:lang w:val="es-ES"/>
        </w:rPr>
        <w:t>Ídem</w:t>
      </w:r>
      <w:r w:rsidRPr="003D4FC2">
        <w:rPr>
          <w:rFonts w:ascii="Arial" w:hAnsi="Arial" w:cs="Arial"/>
          <w:sz w:val="16"/>
          <w:szCs w:val="16"/>
          <w:lang w:val="es-ES"/>
        </w:rPr>
        <w:t>.</w:t>
      </w:r>
    </w:p>
    <w:p w14:paraId="1222D1C3" w14:textId="77777777" w:rsidR="00B1029D" w:rsidRPr="003D4FC2" w:rsidRDefault="00B1029D" w:rsidP="00910945">
      <w:pPr>
        <w:pStyle w:val="Textonotapie"/>
        <w:ind w:firstLine="709"/>
        <w:jc w:val="both"/>
        <w:rPr>
          <w:rFonts w:ascii="Arial" w:hAnsi="Arial" w:cs="Arial"/>
          <w:sz w:val="16"/>
          <w:szCs w:val="16"/>
          <w:lang w:val="es-ES"/>
        </w:rPr>
      </w:pPr>
    </w:p>
  </w:footnote>
  <w:footnote w:id="21">
    <w:p w14:paraId="3C630D01" w14:textId="77777777" w:rsidR="0015145A" w:rsidRPr="003D4FC2" w:rsidRDefault="0015145A" w:rsidP="00910945">
      <w:pPr>
        <w:pStyle w:val="Textonotapie"/>
        <w:ind w:firstLine="709"/>
        <w:jc w:val="both"/>
        <w:rPr>
          <w:rFonts w:ascii="Arial" w:hAnsi="Arial" w:cs="Arial"/>
          <w:sz w:val="16"/>
          <w:szCs w:val="16"/>
          <w:lang w:val="es-ES"/>
        </w:rPr>
      </w:pPr>
      <w:r w:rsidRPr="003D4FC2">
        <w:rPr>
          <w:rStyle w:val="Refdenotaalpie"/>
          <w:rFonts w:ascii="Arial" w:hAnsi="Arial" w:cs="Arial"/>
          <w:sz w:val="16"/>
          <w:szCs w:val="16"/>
        </w:rPr>
        <w:footnoteRef/>
      </w:r>
      <w:r w:rsidRPr="003D4FC2">
        <w:rPr>
          <w:rStyle w:val="Refdenotaalpie"/>
          <w:rFonts w:ascii="Arial" w:hAnsi="Arial" w:cs="Arial"/>
          <w:sz w:val="16"/>
          <w:szCs w:val="16"/>
        </w:rPr>
        <w:t xml:space="preserve"> </w:t>
      </w:r>
      <w:r w:rsidRPr="003D4FC2">
        <w:rPr>
          <w:rFonts w:ascii="Arial" w:hAnsi="Arial" w:cs="Arial"/>
          <w:sz w:val="16"/>
          <w:szCs w:val="16"/>
          <w:lang w:val="es-ES"/>
        </w:rPr>
        <w:t xml:space="preserve">«[…] A este respecto, cabe recordar que el artículo 860 del Código de Comercio regula la licitación en el derecho privado». </w:t>
      </w:r>
    </w:p>
    <w:p w14:paraId="3EF6A319" w14:textId="77777777" w:rsidR="0015145A" w:rsidRPr="003D4FC2" w:rsidRDefault="0015145A" w:rsidP="00910945">
      <w:pPr>
        <w:pStyle w:val="Textonotapie"/>
        <w:ind w:firstLine="709"/>
        <w:jc w:val="both"/>
        <w:rPr>
          <w:rFonts w:ascii="Arial" w:hAnsi="Arial" w:cs="Arial"/>
          <w:sz w:val="16"/>
          <w:szCs w:val="16"/>
          <w:lang w:val="es-ES"/>
        </w:rPr>
      </w:pPr>
    </w:p>
  </w:footnote>
  <w:footnote w:id="22">
    <w:p w14:paraId="0AEF54F6" w14:textId="4404C804" w:rsidR="0015145A" w:rsidRPr="003D4FC2" w:rsidRDefault="0015145A" w:rsidP="00910945">
      <w:pPr>
        <w:shd w:val="clear" w:color="auto" w:fill="FFFFFF"/>
        <w:ind w:firstLine="709"/>
        <w:jc w:val="both"/>
        <w:rPr>
          <w:rFonts w:ascii="Arial" w:hAnsi="Arial" w:cs="Arial"/>
          <w:sz w:val="16"/>
          <w:szCs w:val="16"/>
          <w:lang w:val="es-ES"/>
        </w:rPr>
      </w:pPr>
      <w:r w:rsidRPr="003D4FC2">
        <w:rPr>
          <w:rStyle w:val="Refdenotaalpie"/>
          <w:rFonts w:ascii="Arial" w:hAnsi="Arial" w:cs="Arial"/>
          <w:sz w:val="16"/>
          <w:szCs w:val="16"/>
        </w:rPr>
        <w:footnoteRef/>
      </w:r>
      <w:r w:rsidRPr="003D4FC2">
        <w:rPr>
          <w:rStyle w:val="Refdenotaalpie"/>
          <w:rFonts w:ascii="Arial" w:hAnsi="Arial" w:cs="Arial"/>
          <w:sz w:val="16"/>
          <w:szCs w:val="16"/>
        </w:rPr>
        <w:t xml:space="preserve"> </w:t>
      </w:r>
      <w:r w:rsidRPr="003D4FC2">
        <w:rPr>
          <w:rFonts w:ascii="Arial" w:hAnsi="Arial" w:cs="Arial"/>
          <w:sz w:val="16"/>
          <w:szCs w:val="16"/>
          <w:lang w:val="es-ES"/>
        </w:rPr>
        <w:t>Consejo de Estado. Sala de Consulta y Servicio Civil, Concepto de 8 de mayo de 2018. Radicación Número: 11001-03-06-000-2018-00095-00(2382). Consejero Ponente: Álvaro Namén Vargas.</w:t>
      </w:r>
    </w:p>
  </w:footnote>
  <w:footnote w:id="23">
    <w:p w14:paraId="1A9B0DCD" w14:textId="5733175F" w:rsidR="0015145A" w:rsidRPr="003D4FC2" w:rsidRDefault="0015145A" w:rsidP="00910945">
      <w:pPr>
        <w:pStyle w:val="Textonotapie"/>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Consejo de Estado. Sala de Consulta y Servicio Civil. Concepto del 08 de mayo de 2018. Exp. 2.382. C.P. Álvaro Namén Vargas.</w:t>
      </w:r>
    </w:p>
    <w:p w14:paraId="5E1468E2" w14:textId="77777777" w:rsidR="0015145A" w:rsidRPr="003D4FC2" w:rsidRDefault="0015145A" w:rsidP="00910945">
      <w:pPr>
        <w:pStyle w:val="Textonotapie"/>
        <w:ind w:firstLine="709"/>
        <w:jc w:val="both"/>
        <w:rPr>
          <w:rFonts w:ascii="Arial" w:hAnsi="Arial" w:cs="Arial"/>
          <w:sz w:val="16"/>
          <w:szCs w:val="16"/>
        </w:rPr>
      </w:pPr>
    </w:p>
  </w:footnote>
  <w:footnote w:id="24">
    <w:p w14:paraId="0C034C89" w14:textId="31002C90" w:rsidR="0015145A" w:rsidRPr="003D4FC2" w:rsidRDefault="0015145A" w:rsidP="00910945">
      <w:pPr>
        <w:pStyle w:val="Textonotapie"/>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Cfr. Concepto C-757 del 30 de diciembre de 2021.</w:t>
      </w:r>
    </w:p>
  </w:footnote>
  <w:footnote w:id="25">
    <w:p w14:paraId="496D404C" w14:textId="6B92591B" w:rsidR="0015145A" w:rsidRPr="003D4FC2" w:rsidRDefault="0015145A" w:rsidP="00910945">
      <w:pPr>
        <w:pStyle w:val="Textonotapie"/>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687155C5" w14:textId="77777777" w:rsidR="0015145A" w:rsidRPr="003D4FC2" w:rsidRDefault="0015145A" w:rsidP="00910945">
      <w:pPr>
        <w:pStyle w:val="Textonotapie"/>
        <w:ind w:firstLine="709"/>
        <w:jc w:val="both"/>
        <w:rPr>
          <w:rFonts w:ascii="Arial" w:hAnsi="Arial" w:cs="Arial"/>
          <w:sz w:val="16"/>
          <w:szCs w:val="16"/>
        </w:rPr>
      </w:pPr>
    </w:p>
  </w:footnote>
  <w:footnote w:id="26">
    <w:p w14:paraId="1B7FF0C3" w14:textId="3A86F7B8" w:rsidR="0015145A" w:rsidRPr="003D4FC2" w:rsidRDefault="0015145A" w:rsidP="00910945">
      <w:pPr>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66DA1DA4" w14:textId="77777777" w:rsidR="0015145A" w:rsidRPr="003D4FC2" w:rsidRDefault="0015145A" w:rsidP="00910945">
      <w:pPr>
        <w:ind w:firstLine="709"/>
        <w:jc w:val="both"/>
        <w:rPr>
          <w:rFonts w:ascii="Arial" w:hAnsi="Arial" w:cs="Arial"/>
          <w:sz w:val="16"/>
          <w:szCs w:val="16"/>
        </w:rPr>
      </w:pPr>
    </w:p>
  </w:footnote>
  <w:footnote w:id="27">
    <w:p w14:paraId="786D30EC" w14:textId="6065EE15" w:rsidR="00C762D5" w:rsidRDefault="00C762D5" w:rsidP="00910945">
      <w:pPr>
        <w:pStyle w:val="Textonotapie"/>
        <w:ind w:firstLine="708"/>
        <w:jc w:val="both"/>
        <w:rPr>
          <w:rFonts w:ascii="Arial" w:hAnsi="Arial" w:cs="Arial"/>
          <w:color w:val="000000" w:themeColor="text1"/>
          <w:sz w:val="16"/>
          <w:szCs w:val="16"/>
        </w:rPr>
      </w:pPr>
      <w:r w:rsidRPr="003D4FC2">
        <w:rPr>
          <w:rStyle w:val="Refdenotaalpie"/>
          <w:rFonts w:ascii="Arial" w:hAnsi="Arial" w:cs="Arial"/>
          <w:color w:val="000000" w:themeColor="text1"/>
          <w:sz w:val="16"/>
          <w:szCs w:val="16"/>
        </w:rPr>
        <w:footnoteRef/>
      </w:r>
      <w:r w:rsidRPr="003D4FC2">
        <w:rPr>
          <w:rFonts w:ascii="Arial" w:hAnsi="Arial" w:cs="Arial"/>
          <w:color w:val="000000" w:themeColor="text1"/>
          <w:sz w:val="16"/>
          <w:szCs w:val="16"/>
        </w:rPr>
        <w:t xml:space="preserve"> Sobre esta norma consultar los conceptos del 8 de octubre de 2019, con radicado 2201913000007532, y del 20 de diciembre de 2019, cuyo radicado es el No. 4201913000008240.</w:t>
      </w:r>
    </w:p>
    <w:p w14:paraId="416B820E" w14:textId="77777777" w:rsidR="00711C90" w:rsidRPr="003D4FC2" w:rsidRDefault="00711C90" w:rsidP="00910945">
      <w:pPr>
        <w:pStyle w:val="Textonotapie"/>
        <w:ind w:firstLine="708"/>
        <w:jc w:val="both"/>
        <w:rPr>
          <w:rFonts w:ascii="Arial" w:hAnsi="Arial" w:cs="Arial"/>
          <w:color w:val="000000" w:themeColor="text1"/>
          <w:sz w:val="16"/>
          <w:szCs w:val="16"/>
        </w:rPr>
      </w:pPr>
    </w:p>
  </w:footnote>
  <w:footnote w:id="28">
    <w:p w14:paraId="0FFAC759" w14:textId="77777777" w:rsidR="00C762D5" w:rsidRPr="003D4FC2" w:rsidRDefault="00C762D5" w:rsidP="00910945">
      <w:pPr>
        <w:pStyle w:val="Textonotapie"/>
        <w:ind w:firstLine="708"/>
        <w:jc w:val="both"/>
        <w:rPr>
          <w:rFonts w:ascii="Arial" w:hAnsi="Arial" w:cs="Arial"/>
          <w:color w:val="000000" w:themeColor="text1"/>
          <w:sz w:val="16"/>
          <w:szCs w:val="16"/>
        </w:rPr>
      </w:pPr>
      <w:r w:rsidRPr="003D4FC2">
        <w:rPr>
          <w:rStyle w:val="Refdenotaalpie"/>
          <w:rFonts w:ascii="Arial" w:hAnsi="Arial" w:cs="Arial"/>
          <w:color w:val="000000" w:themeColor="text1"/>
          <w:sz w:val="16"/>
          <w:szCs w:val="16"/>
        </w:rPr>
        <w:footnoteRef/>
      </w:r>
      <w:r w:rsidRPr="003D4FC2">
        <w:rPr>
          <w:rFonts w:ascii="Arial" w:hAnsi="Arial" w:cs="Arial"/>
          <w:color w:val="000000" w:themeColor="text1"/>
          <w:sz w:val="16"/>
          <w:szCs w:val="16"/>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22BE4D51" w14:textId="77777777" w:rsidR="00C762D5" w:rsidRPr="003D4FC2" w:rsidRDefault="00C762D5" w:rsidP="00910945">
      <w:pPr>
        <w:pStyle w:val="Textonotapie"/>
        <w:ind w:firstLine="708"/>
        <w:jc w:val="both"/>
        <w:rPr>
          <w:rFonts w:ascii="Arial" w:hAnsi="Arial" w:cs="Arial"/>
          <w:color w:val="000000" w:themeColor="text1"/>
          <w:sz w:val="16"/>
          <w:szCs w:val="16"/>
        </w:rPr>
      </w:pPr>
      <w:r w:rsidRPr="003D4FC2">
        <w:rPr>
          <w:rFonts w:ascii="Arial" w:hAnsi="Arial" w:cs="Arial"/>
          <w:color w:val="000000" w:themeColor="text1"/>
          <w:sz w:val="16"/>
          <w:szCs w:val="16"/>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29">
    <w:p w14:paraId="79A8E7CD" w14:textId="77777777" w:rsidR="00C762D5" w:rsidRPr="003D4FC2" w:rsidRDefault="00C762D5" w:rsidP="00910945">
      <w:pPr>
        <w:pStyle w:val="Textonotapie"/>
        <w:ind w:firstLine="708"/>
        <w:rPr>
          <w:rFonts w:ascii="Arial" w:hAnsi="Arial" w:cs="Arial"/>
          <w:color w:val="000000" w:themeColor="text1"/>
          <w:sz w:val="16"/>
          <w:szCs w:val="16"/>
        </w:rPr>
      </w:pPr>
      <w:r w:rsidRPr="003D4FC2">
        <w:rPr>
          <w:rStyle w:val="Refdenotaalpie"/>
          <w:rFonts w:ascii="Arial" w:hAnsi="Arial" w:cs="Arial"/>
          <w:color w:val="000000" w:themeColor="text1"/>
          <w:sz w:val="16"/>
          <w:szCs w:val="16"/>
        </w:rPr>
        <w:footnoteRef/>
      </w:r>
      <w:r w:rsidRPr="003D4FC2">
        <w:rPr>
          <w:rFonts w:ascii="Arial" w:hAnsi="Arial" w:cs="Arial"/>
          <w:color w:val="000000" w:themeColor="text1"/>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30">
    <w:p w14:paraId="5FD19955" w14:textId="77777777" w:rsidR="00C762D5" w:rsidRPr="003D4FC2" w:rsidRDefault="00C762D5" w:rsidP="00910945">
      <w:pPr>
        <w:pStyle w:val="Textonotapie"/>
        <w:ind w:firstLine="708"/>
        <w:rPr>
          <w:rFonts w:ascii="Arial" w:hAnsi="Arial" w:cs="Arial"/>
          <w:color w:val="000000" w:themeColor="text1"/>
          <w:sz w:val="16"/>
          <w:szCs w:val="16"/>
        </w:rPr>
      </w:pPr>
      <w:r w:rsidRPr="003D4FC2">
        <w:rPr>
          <w:rStyle w:val="Refdenotaalpie"/>
          <w:rFonts w:ascii="Arial" w:hAnsi="Arial" w:cs="Arial"/>
          <w:color w:val="000000" w:themeColor="text1"/>
          <w:sz w:val="16"/>
          <w:szCs w:val="16"/>
        </w:rPr>
        <w:footnoteRef/>
      </w:r>
      <w:r w:rsidRPr="003D4FC2">
        <w:rPr>
          <w:rFonts w:ascii="Arial" w:hAnsi="Arial" w:cs="Arial"/>
          <w:color w:val="000000" w:themeColor="text1"/>
          <w:sz w:val="16"/>
          <w:szCs w:val="16"/>
        </w:rPr>
        <w:t xml:space="preserve"> Concepto del 3 de septiembre de 2019, emitido en el radicado No. 2201913000006512.</w:t>
      </w:r>
    </w:p>
  </w:footnote>
  <w:footnote w:id="31">
    <w:p w14:paraId="06F44772" w14:textId="77777777" w:rsidR="00C762D5" w:rsidRPr="003D4FC2" w:rsidRDefault="00C762D5" w:rsidP="00910945">
      <w:pPr>
        <w:pStyle w:val="Textonotapie"/>
        <w:ind w:firstLine="708"/>
        <w:jc w:val="both"/>
        <w:rPr>
          <w:rFonts w:ascii="Arial" w:hAnsi="Arial" w:cs="Arial"/>
          <w:color w:val="000000" w:themeColor="text1"/>
          <w:sz w:val="16"/>
          <w:szCs w:val="16"/>
        </w:rPr>
      </w:pPr>
      <w:r w:rsidRPr="003D4FC2">
        <w:rPr>
          <w:rStyle w:val="Refdenotaalpie"/>
          <w:rFonts w:ascii="Arial" w:hAnsi="Arial" w:cs="Arial"/>
          <w:color w:val="000000" w:themeColor="text1"/>
          <w:sz w:val="16"/>
          <w:szCs w:val="16"/>
        </w:rPr>
        <w:footnoteRef/>
      </w:r>
      <w:r w:rsidRPr="003D4FC2">
        <w:rPr>
          <w:rFonts w:ascii="Arial" w:hAnsi="Arial" w:cs="Arial"/>
          <w:color w:val="000000" w:themeColor="text1"/>
          <w:sz w:val="16"/>
          <w:szCs w:val="16"/>
        </w:rPr>
        <w:t xml:space="preserve"> El numeral 16.9 de la Circular Externa Única de Colombia Compra Eficiente determina:</w:t>
      </w:r>
    </w:p>
    <w:p w14:paraId="646593AA" w14:textId="77777777" w:rsidR="00C762D5" w:rsidRPr="003D4FC2" w:rsidRDefault="00C762D5" w:rsidP="00910945">
      <w:pPr>
        <w:pStyle w:val="Textonotapie"/>
        <w:ind w:firstLine="708"/>
        <w:jc w:val="both"/>
        <w:rPr>
          <w:rFonts w:ascii="Arial" w:hAnsi="Arial" w:cs="Arial"/>
          <w:color w:val="000000" w:themeColor="text1"/>
          <w:sz w:val="16"/>
          <w:szCs w:val="16"/>
        </w:rPr>
      </w:pPr>
      <w:r w:rsidRPr="003D4FC2">
        <w:rPr>
          <w:rFonts w:ascii="Arial" w:hAnsi="Arial" w:cs="Arial"/>
          <w:color w:val="000000" w:themeColor="text1"/>
          <w:sz w:val="16"/>
          <w:szCs w:val="16"/>
        </w:rPr>
        <w:t>«16.9 Uniones temporales y consorcios conformados por entidades sin ánimo de lucro.</w:t>
      </w:r>
    </w:p>
    <w:p w14:paraId="27DEC3E4" w14:textId="77777777" w:rsidR="00C762D5" w:rsidRPr="003D4FC2" w:rsidRDefault="00C762D5" w:rsidP="00910945">
      <w:pPr>
        <w:pStyle w:val="Textonotapie"/>
        <w:ind w:firstLine="708"/>
        <w:jc w:val="both"/>
        <w:rPr>
          <w:rFonts w:ascii="Arial" w:hAnsi="Arial" w:cs="Arial"/>
          <w:color w:val="000000" w:themeColor="text1"/>
          <w:sz w:val="16"/>
          <w:szCs w:val="16"/>
        </w:rPr>
      </w:pPr>
      <w:r w:rsidRPr="003D4FC2">
        <w:rPr>
          <w:rFonts w:ascii="Arial" w:hAnsi="Arial" w:cs="Arial"/>
          <w:color w:val="000000" w:themeColor="text1"/>
          <w:sz w:val="16"/>
          <w:szCs w:val="16"/>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280DC138" w14:textId="77777777" w:rsidR="00C762D5" w:rsidRPr="003D4FC2" w:rsidRDefault="00C762D5" w:rsidP="00910945">
      <w:pPr>
        <w:pStyle w:val="Textonotapie"/>
        <w:ind w:firstLine="708"/>
        <w:jc w:val="both"/>
        <w:rPr>
          <w:rFonts w:ascii="Arial" w:hAnsi="Arial" w:cs="Arial"/>
          <w:color w:val="000000" w:themeColor="text1"/>
          <w:sz w:val="16"/>
          <w:szCs w:val="16"/>
        </w:rPr>
      </w:pPr>
    </w:p>
  </w:footnote>
  <w:footnote w:id="32">
    <w:p w14:paraId="32BA4E72" w14:textId="77777777" w:rsidR="00C762D5" w:rsidRPr="003D4FC2" w:rsidRDefault="00C762D5" w:rsidP="00910945">
      <w:pPr>
        <w:pStyle w:val="Textonotapie"/>
        <w:ind w:firstLine="708"/>
        <w:jc w:val="both"/>
        <w:rPr>
          <w:rFonts w:ascii="Arial" w:hAnsi="Arial" w:cs="Arial"/>
          <w:color w:val="000000" w:themeColor="text1"/>
          <w:sz w:val="16"/>
          <w:szCs w:val="16"/>
          <w:lang w:val="es-ES"/>
        </w:rPr>
      </w:pPr>
      <w:r w:rsidRPr="003D4FC2">
        <w:rPr>
          <w:rStyle w:val="Refdenotaalpie"/>
          <w:rFonts w:ascii="Arial" w:hAnsi="Arial" w:cs="Arial"/>
          <w:color w:val="000000" w:themeColor="text1"/>
          <w:sz w:val="16"/>
          <w:szCs w:val="16"/>
        </w:rPr>
        <w:footnoteRef/>
      </w:r>
      <w:r w:rsidRPr="003D4FC2">
        <w:rPr>
          <w:rFonts w:ascii="Arial" w:hAnsi="Arial" w:cs="Arial"/>
          <w:color w:val="000000" w:themeColor="text1"/>
          <w:sz w:val="16"/>
          <w:szCs w:val="16"/>
        </w:rPr>
        <w:t xml:space="preserve"> Concepto del 19 de noviembre de 2019, emitido en el radicado No. 2201913000008611.</w:t>
      </w:r>
    </w:p>
  </w:footnote>
  <w:footnote w:id="33">
    <w:p w14:paraId="306041BC" w14:textId="22684BCF" w:rsidR="00C762D5" w:rsidRDefault="00C762D5" w:rsidP="00910945">
      <w:pPr>
        <w:pStyle w:val="Textonotapie"/>
        <w:ind w:firstLine="708"/>
        <w:jc w:val="both"/>
        <w:rPr>
          <w:rFonts w:ascii="Arial" w:hAnsi="Arial" w:cs="Arial"/>
          <w:color w:val="000000" w:themeColor="text1"/>
          <w:sz w:val="16"/>
          <w:szCs w:val="16"/>
        </w:rPr>
      </w:pPr>
      <w:r w:rsidRPr="003D4FC2">
        <w:rPr>
          <w:rStyle w:val="Refdenotaalpie"/>
          <w:rFonts w:ascii="Arial" w:hAnsi="Arial" w:cs="Arial"/>
          <w:color w:val="000000" w:themeColor="text1"/>
          <w:sz w:val="16"/>
          <w:szCs w:val="16"/>
        </w:rPr>
        <w:footnoteRef/>
      </w:r>
      <w:r w:rsidRPr="003D4FC2">
        <w:rPr>
          <w:rFonts w:ascii="Arial" w:hAnsi="Arial" w:cs="Arial"/>
          <w:color w:val="000000" w:themeColor="text1"/>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16311367" w14:textId="77777777" w:rsidR="006459D3" w:rsidRPr="003D4FC2" w:rsidRDefault="006459D3" w:rsidP="00910945">
      <w:pPr>
        <w:pStyle w:val="Textonotapie"/>
        <w:ind w:firstLine="708"/>
        <w:jc w:val="both"/>
        <w:rPr>
          <w:rFonts w:ascii="Arial" w:hAnsi="Arial" w:cs="Arial"/>
          <w:color w:val="000000" w:themeColor="text1"/>
          <w:sz w:val="16"/>
          <w:szCs w:val="16"/>
        </w:rPr>
      </w:pPr>
    </w:p>
  </w:footnote>
  <w:footnote w:id="34">
    <w:p w14:paraId="77C6865C" w14:textId="77777777" w:rsidR="00C762D5" w:rsidRPr="003D4FC2" w:rsidRDefault="00C762D5" w:rsidP="00910945">
      <w:pPr>
        <w:pStyle w:val="Textonotapie"/>
        <w:ind w:firstLine="708"/>
        <w:jc w:val="both"/>
        <w:rPr>
          <w:rFonts w:ascii="Arial" w:hAnsi="Arial" w:cs="Arial"/>
          <w:color w:val="000000" w:themeColor="text1"/>
          <w:sz w:val="16"/>
          <w:szCs w:val="16"/>
        </w:rPr>
      </w:pPr>
      <w:r w:rsidRPr="003D4FC2">
        <w:rPr>
          <w:rStyle w:val="Refdenotaalpie"/>
          <w:rFonts w:ascii="Arial" w:hAnsi="Arial" w:cs="Arial"/>
          <w:color w:val="000000" w:themeColor="text1"/>
          <w:sz w:val="16"/>
          <w:szCs w:val="16"/>
        </w:rPr>
        <w:footnoteRef/>
      </w:r>
      <w:r w:rsidRPr="003D4FC2">
        <w:rPr>
          <w:rFonts w:ascii="Arial" w:hAnsi="Arial" w:cs="Arial"/>
          <w:color w:val="000000" w:themeColor="text1"/>
          <w:sz w:val="16"/>
          <w:szCs w:val="16"/>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35">
    <w:p w14:paraId="341C144E" w14:textId="77777777" w:rsidR="00A91890" w:rsidRPr="003D4FC2" w:rsidRDefault="00A91890" w:rsidP="003D4FC2">
      <w:pPr>
        <w:pStyle w:val="Textonotapie"/>
        <w:ind w:firstLine="708"/>
        <w:jc w:val="both"/>
        <w:rPr>
          <w:rFonts w:ascii="Arial" w:hAnsi="Arial" w:cs="Arial"/>
          <w:sz w:val="16"/>
          <w:szCs w:val="16"/>
        </w:rPr>
      </w:pPr>
    </w:p>
    <w:p w14:paraId="7E20B3DD" w14:textId="7AC9FB1D" w:rsidR="00A91890" w:rsidRPr="003D4FC2" w:rsidRDefault="00A91890" w:rsidP="003D4FC2">
      <w:pPr>
        <w:pStyle w:val="Textonotapie"/>
        <w:spacing w:after="120"/>
        <w:ind w:firstLine="709"/>
        <w:jc w:val="both"/>
        <w:rPr>
          <w:rFonts w:ascii="Arial" w:hAnsi="Arial" w:cs="Arial"/>
          <w:sz w:val="16"/>
          <w:szCs w:val="16"/>
        </w:rPr>
      </w:pPr>
      <w:r w:rsidRPr="003D4FC2">
        <w:rPr>
          <w:rStyle w:val="Refdenotaalpie"/>
          <w:rFonts w:ascii="Arial" w:hAnsi="Arial" w:cs="Arial"/>
          <w:sz w:val="16"/>
          <w:szCs w:val="16"/>
        </w:rPr>
        <w:footnoteRef/>
      </w:r>
      <w:r w:rsidRPr="003D4FC2">
        <w:rPr>
          <w:rFonts w:ascii="Arial" w:hAnsi="Arial" w:cs="Arial"/>
          <w:sz w:val="16"/>
          <w:szCs w:val="16"/>
        </w:rPr>
        <w:t xml:space="preserve"> Decreto 1072 de 2015. «Artículo 2.2.7.6.7. Planes Operativos para la Ejecución de los Recursos del FONIÑEZ. Las Cajas de Compensación Familiar deberán elaborar un Plan Operativo Anual para la ejecución de los recursos del FONIÑEZ, el cual deberá ser aprobado por el Consejo Directivo de cada Caja. Los programas que desarrollen las Cajas de Compensación Familiar con cargo a los recursos del FONIÑEZ, contribuirán con el desarrollo de la política educativa, de la política de Estado para el Desarrollo Integral de Primera Infancia y la Política Nacional de Infancia y Adolescencia, en cumplimiento de los objetivos planteados en el presente Capítulo.  </w:t>
      </w:r>
    </w:p>
    <w:p w14:paraId="266553AC" w14:textId="2B70EFF3" w:rsidR="00A91890" w:rsidRPr="003D4FC2" w:rsidRDefault="00A91890" w:rsidP="003D4FC2">
      <w:pPr>
        <w:pStyle w:val="Textonotapie"/>
        <w:ind w:firstLine="708"/>
        <w:jc w:val="both"/>
        <w:rPr>
          <w:rFonts w:ascii="Arial" w:hAnsi="Arial" w:cs="Arial"/>
          <w:sz w:val="16"/>
          <w:szCs w:val="16"/>
        </w:rPr>
      </w:pPr>
      <w:r w:rsidRPr="003D4FC2">
        <w:rPr>
          <w:rFonts w:ascii="Arial" w:hAnsi="Arial" w:cs="Arial"/>
          <w:sz w:val="16"/>
          <w:szCs w:val="16"/>
        </w:rPr>
        <w:t xml:space="preserve">»Las Cajas de Compensación Familiar presentarán a la Superintendencia del Subsidio Familiar en las condiciones que esa entidad establezca, informes trimestrales, las coberturas por grupos de edad, los programas desarrollados; y un informe acumulado anual que incluya de manera adicional los resultados obtenidos en los programas implementados, así como un análisis de los aspectos que se deben mejorar en el plan operativo del año siguiente.  </w:t>
      </w:r>
    </w:p>
    <w:p w14:paraId="22F5A30B" w14:textId="54C883B1" w:rsidR="00A91890" w:rsidRPr="003D4FC2" w:rsidRDefault="00A91890" w:rsidP="003D4FC2">
      <w:pPr>
        <w:pStyle w:val="Textonotapie"/>
        <w:ind w:firstLine="708"/>
        <w:jc w:val="both"/>
        <w:rPr>
          <w:rFonts w:ascii="Arial" w:hAnsi="Arial" w:cs="Arial"/>
          <w:sz w:val="16"/>
          <w:szCs w:val="16"/>
        </w:rPr>
      </w:pPr>
      <w:r w:rsidRPr="003D4FC2">
        <w:rPr>
          <w:rFonts w:ascii="Arial" w:hAnsi="Arial" w:cs="Arial"/>
          <w:sz w:val="16"/>
          <w:szCs w:val="16"/>
        </w:rPr>
        <w:t xml:space="preserve">»La Superintendencia del Subsidio Familiar remitirá esta información consolidada a la Comisión Intersectorial para la Atención Integral de la Primera Infancia en lo referido a los programas de Atención Integral a la Primera Infancia, y al Ministerio de Educación Nacional en lo que concierne a Jornada Escolar Complementaria, en los tiempos que la mencionada Superintendencia establezca para tal fin». </w:t>
      </w:r>
    </w:p>
    <w:p w14:paraId="35228DC4" w14:textId="7C460687" w:rsidR="00A91890" w:rsidRDefault="00A91890" w:rsidP="003D4FC2">
      <w:pPr>
        <w:pStyle w:val="Textonotapie"/>
        <w:ind w:firstLine="708"/>
      </w:pPr>
      <w:r>
        <w:t xml:space="preserve">   </w:t>
      </w:r>
    </w:p>
  </w:footnote>
  <w:footnote w:id="36">
    <w:p w14:paraId="4BB758F9" w14:textId="77777777" w:rsidR="004C7F4F" w:rsidRPr="001B7450" w:rsidRDefault="004C7F4F" w:rsidP="004C7F4F">
      <w:pPr>
        <w:pStyle w:val="Textonotapie"/>
        <w:ind w:firstLine="708"/>
        <w:rPr>
          <w:rFonts w:ascii="Arial" w:hAnsi="Arial" w:cs="Arial"/>
          <w:sz w:val="16"/>
          <w:szCs w:val="16"/>
        </w:rPr>
      </w:pPr>
      <w:r w:rsidRPr="001B7450">
        <w:rPr>
          <w:rStyle w:val="Refdenotaalpie"/>
          <w:rFonts w:ascii="Arial" w:hAnsi="Arial" w:cs="Arial"/>
          <w:sz w:val="16"/>
          <w:szCs w:val="16"/>
        </w:rPr>
        <w:footnoteRef/>
      </w:r>
      <w:r w:rsidRPr="001B7450">
        <w:rPr>
          <w:rFonts w:ascii="Arial" w:hAnsi="Arial" w:cs="Arial"/>
          <w:sz w:val="16"/>
          <w:szCs w:val="16"/>
        </w:rPr>
        <w:t xml:space="preserve"> Disponible en</w:t>
      </w:r>
      <w:r w:rsidRPr="001B7450">
        <w:rPr>
          <w:rFonts w:ascii="Arial" w:hAnsi="Arial" w:cs="Arial"/>
          <w:color w:val="000000" w:themeColor="text1"/>
          <w:sz w:val="16"/>
          <w:szCs w:val="16"/>
        </w:rPr>
        <w:t xml:space="preserve">: </w:t>
      </w:r>
      <w:hyperlink r:id="rId2" w:history="1">
        <w:r w:rsidRPr="001B7450">
          <w:rPr>
            <w:rStyle w:val="Hipervnculo"/>
            <w:rFonts w:ascii="Arial" w:hAnsi="Arial" w:cs="Arial"/>
            <w:color w:val="000000" w:themeColor="text1"/>
            <w:sz w:val="16"/>
            <w:szCs w:val="16"/>
          </w:rPr>
          <w:t>https://relatoria.colombiacompra.gov.co/ficha/C-296%20del%202021</w:t>
        </w:r>
      </w:hyperlink>
      <w:r w:rsidRPr="001B7450">
        <w:rPr>
          <w:rFonts w:ascii="Arial" w:hAnsi="Arial" w:cs="Arial"/>
          <w:sz w:val="16"/>
          <w:szCs w:val="16"/>
        </w:rPr>
        <w:t>.</w:t>
      </w:r>
    </w:p>
    <w:p w14:paraId="53DD1555" w14:textId="77777777" w:rsidR="004C7F4F" w:rsidRPr="001B7450" w:rsidRDefault="004C7F4F" w:rsidP="004C7F4F">
      <w:pPr>
        <w:pStyle w:val="Textonotapie"/>
        <w:ind w:firstLine="708"/>
        <w:rPr>
          <w:rFonts w:ascii="Arial" w:hAnsi="Arial" w:cs="Arial"/>
          <w:sz w:val="16"/>
          <w:szCs w:val="16"/>
          <w:lang w:val="es-CO"/>
        </w:rPr>
      </w:pPr>
    </w:p>
  </w:footnote>
  <w:footnote w:id="37">
    <w:p w14:paraId="5250BA16" w14:textId="77777777" w:rsidR="00962794" w:rsidRPr="003D4FC2" w:rsidRDefault="00962794" w:rsidP="00910945">
      <w:pPr>
        <w:pStyle w:val="Textonotapie"/>
        <w:ind w:firstLine="708"/>
        <w:jc w:val="both"/>
        <w:rPr>
          <w:rFonts w:ascii="Arial" w:hAnsi="Arial" w:cs="Arial"/>
          <w:sz w:val="16"/>
          <w:szCs w:val="16"/>
          <w:lang w:val="es-CO"/>
        </w:rPr>
      </w:pPr>
      <w:r w:rsidRPr="003D4FC2">
        <w:rPr>
          <w:rStyle w:val="Refdenotaalpie"/>
          <w:rFonts w:ascii="Arial" w:hAnsi="Arial" w:cs="Arial"/>
          <w:sz w:val="16"/>
          <w:szCs w:val="16"/>
        </w:rPr>
        <w:footnoteRef/>
      </w:r>
      <w:r w:rsidRPr="003D4FC2">
        <w:rPr>
          <w:rFonts w:ascii="Arial" w:hAnsi="Arial" w:cs="Arial"/>
          <w:sz w:val="16"/>
          <w:szCs w:val="16"/>
        </w:rPr>
        <w:t xml:space="preserve"> </w:t>
      </w:r>
      <w:r w:rsidRPr="003D4FC2">
        <w:rPr>
          <w:rFonts w:ascii="Arial" w:hAnsi="Arial" w:cs="Arial"/>
          <w:sz w:val="16"/>
          <w:szCs w:val="16"/>
          <w:lang w:val="es-CO"/>
        </w:rPr>
        <w:t>CONSEJO DE ESTADO. Sala de Consulta y Servicio Civil. Concepto del 8 de mayo de 2018. Rad. 2382. C.P. Álvaro Namén Vargas.</w:t>
      </w:r>
    </w:p>
    <w:p w14:paraId="7DFFCA1C" w14:textId="77777777" w:rsidR="00962794" w:rsidRPr="003D4FC2" w:rsidRDefault="00962794" w:rsidP="00910945">
      <w:pPr>
        <w:pStyle w:val="Textonotapie"/>
        <w:ind w:firstLine="708"/>
        <w:jc w:val="both"/>
        <w:rPr>
          <w:rFonts w:ascii="Arial" w:hAnsi="Arial" w:cs="Arial"/>
          <w:sz w:val="16"/>
          <w:szCs w:val="16"/>
          <w:lang w:val="es-ES"/>
        </w:rPr>
      </w:pPr>
    </w:p>
  </w:footnote>
  <w:footnote w:id="38">
    <w:p w14:paraId="1278A56C" w14:textId="3222B494" w:rsidR="00962794" w:rsidRPr="003D4FC2" w:rsidRDefault="00962794" w:rsidP="00962794">
      <w:pPr>
        <w:pStyle w:val="Textonotapie"/>
        <w:ind w:firstLine="708"/>
        <w:jc w:val="both"/>
        <w:rPr>
          <w:rFonts w:ascii="Arial" w:hAnsi="Arial" w:cs="Arial"/>
          <w:sz w:val="16"/>
          <w:szCs w:val="16"/>
          <w:lang w:val="es-ES"/>
        </w:rPr>
      </w:pPr>
      <w:r w:rsidRPr="003D4FC2">
        <w:rPr>
          <w:rStyle w:val="Refdenotaalpie"/>
          <w:rFonts w:ascii="Arial" w:hAnsi="Arial" w:cs="Arial"/>
          <w:sz w:val="16"/>
          <w:szCs w:val="16"/>
        </w:rPr>
        <w:footnoteRef/>
      </w:r>
      <w:r w:rsidRPr="003D4FC2">
        <w:rPr>
          <w:rFonts w:ascii="Arial" w:hAnsi="Arial" w:cs="Arial"/>
          <w:sz w:val="16"/>
          <w:szCs w:val="16"/>
        </w:rPr>
        <w:t xml:space="preserve"> CONSEJO DE ESTADO. Sala de Consulta y Servicio Civil. Concepto del 8 de mayo de 2018. Rad. 2382.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5145A" w:rsidRDefault="0015145A">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124379124">
    <w:abstractNumId w:val="9"/>
  </w:num>
  <w:num w:numId="2" w16cid:durableId="1613052188">
    <w:abstractNumId w:val="7"/>
  </w:num>
  <w:num w:numId="3" w16cid:durableId="647365430">
    <w:abstractNumId w:val="12"/>
  </w:num>
  <w:num w:numId="4" w16cid:durableId="1006784926">
    <w:abstractNumId w:val="16"/>
  </w:num>
  <w:num w:numId="5" w16cid:durableId="1357923359">
    <w:abstractNumId w:val="20"/>
  </w:num>
  <w:num w:numId="6" w16cid:durableId="787941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2383205">
    <w:abstractNumId w:val="18"/>
  </w:num>
  <w:num w:numId="8" w16cid:durableId="429816029">
    <w:abstractNumId w:val="0"/>
  </w:num>
  <w:num w:numId="9" w16cid:durableId="165244783">
    <w:abstractNumId w:val="3"/>
  </w:num>
  <w:num w:numId="10" w16cid:durableId="1997419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15370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9271991">
    <w:abstractNumId w:val="8"/>
  </w:num>
  <w:num w:numId="13" w16cid:durableId="1948200142">
    <w:abstractNumId w:val="11"/>
  </w:num>
  <w:num w:numId="14" w16cid:durableId="1558473592">
    <w:abstractNumId w:val="6"/>
  </w:num>
  <w:num w:numId="15" w16cid:durableId="118883665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2311590">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2702273">
    <w:abstractNumId w:val="22"/>
  </w:num>
  <w:num w:numId="18" w16cid:durableId="1225070050">
    <w:abstractNumId w:val="13"/>
  </w:num>
  <w:num w:numId="19" w16cid:durableId="327371196">
    <w:abstractNumId w:val="2"/>
  </w:num>
  <w:num w:numId="20" w16cid:durableId="444613897">
    <w:abstractNumId w:val="23"/>
  </w:num>
  <w:num w:numId="21" w16cid:durableId="1544058985">
    <w:abstractNumId w:val="14"/>
  </w:num>
  <w:num w:numId="22" w16cid:durableId="692533828">
    <w:abstractNumId w:val="5"/>
  </w:num>
  <w:num w:numId="23" w16cid:durableId="719939161">
    <w:abstractNumId w:val="4"/>
  </w:num>
  <w:num w:numId="24" w16cid:durableId="1443375194">
    <w:abstractNumId w:val="21"/>
  </w:num>
  <w:num w:numId="25" w16cid:durableId="1283927417">
    <w:abstractNumId w:val="17"/>
  </w:num>
  <w:num w:numId="26" w16cid:durableId="833841812">
    <w:abstractNumId w:val="24"/>
  </w:num>
  <w:num w:numId="27" w16cid:durableId="786449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EED"/>
    <w:rsid w:val="00001FFD"/>
    <w:rsid w:val="00002027"/>
    <w:rsid w:val="000020FE"/>
    <w:rsid w:val="00002173"/>
    <w:rsid w:val="00002916"/>
    <w:rsid w:val="000031A3"/>
    <w:rsid w:val="000031A8"/>
    <w:rsid w:val="00003C5C"/>
    <w:rsid w:val="000040D7"/>
    <w:rsid w:val="00004556"/>
    <w:rsid w:val="000051AF"/>
    <w:rsid w:val="0000572B"/>
    <w:rsid w:val="000059D3"/>
    <w:rsid w:val="00005B6D"/>
    <w:rsid w:val="0000600A"/>
    <w:rsid w:val="00006081"/>
    <w:rsid w:val="00007750"/>
    <w:rsid w:val="000077FD"/>
    <w:rsid w:val="00007E37"/>
    <w:rsid w:val="00010C40"/>
    <w:rsid w:val="00010C50"/>
    <w:rsid w:val="00010CE6"/>
    <w:rsid w:val="000112B4"/>
    <w:rsid w:val="00011DCC"/>
    <w:rsid w:val="000120B3"/>
    <w:rsid w:val="00012532"/>
    <w:rsid w:val="00012B9E"/>
    <w:rsid w:val="00012FBA"/>
    <w:rsid w:val="00013C6B"/>
    <w:rsid w:val="0001406B"/>
    <w:rsid w:val="000143F8"/>
    <w:rsid w:val="00014624"/>
    <w:rsid w:val="00015B44"/>
    <w:rsid w:val="00016081"/>
    <w:rsid w:val="000165AC"/>
    <w:rsid w:val="00016651"/>
    <w:rsid w:val="00016739"/>
    <w:rsid w:val="000168A1"/>
    <w:rsid w:val="000171A2"/>
    <w:rsid w:val="00017B65"/>
    <w:rsid w:val="00020158"/>
    <w:rsid w:val="000207E0"/>
    <w:rsid w:val="000209E2"/>
    <w:rsid w:val="00020F8F"/>
    <w:rsid w:val="00021464"/>
    <w:rsid w:val="000215A6"/>
    <w:rsid w:val="00021A95"/>
    <w:rsid w:val="00022223"/>
    <w:rsid w:val="0002256F"/>
    <w:rsid w:val="00023DAE"/>
    <w:rsid w:val="0002427B"/>
    <w:rsid w:val="0002465F"/>
    <w:rsid w:val="00024896"/>
    <w:rsid w:val="00025600"/>
    <w:rsid w:val="00025D0A"/>
    <w:rsid w:val="00025E0C"/>
    <w:rsid w:val="000263A5"/>
    <w:rsid w:val="000263F0"/>
    <w:rsid w:val="00026407"/>
    <w:rsid w:val="00026608"/>
    <w:rsid w:val="00027787"/>
    <w:rsid w:val="000278D2"/>
    <w:rsid w:val="00030FF6"/>
    <w:rsid w:val="00031158"/>
    <w:rsid w:val="00031364"/>
    <w:rsid w:val="000315E1"/>
    <w:rsid w:val="000319F3"/>
    <w:rsid w:val="0003236E"/>
    <w:rsid w:val="0003339A"/>
    <w:rsid w:val="0003370C"/>
    <w:rsid w:val="00033D07"/>
    <w:rsid w:val="000341F2"/>
    <w:rsid w:val="00035046"/>
    <w:rsid w:val="000351F2"/>
    <w:rsid w:val="00036D53"/>
    <w:rsid w:val="00036E03"/>
    <w:rsid w:val="00037553"/>
    <w:rsid w:val="000406DB"/>
    <w:rsid w:val="0004094D"/>
    <w:rsid w:val="00041029"/>
    <w:rsid w:val="000411C6"/>
    <w:rsid w:val="0004149B"/>
    <w:rsid w:val="0004234D"/>
    <w:rsid w:val="00042961"/>
    <w:rsid w:val="00042C25"/>
    <w:rsid w:val="00042D03"/>
    <w:rsid w:val="00042F9C"/>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A08"/>
    <w:rsid w:val="000526F0"/>
    <w:rsid w:val="0005273D"/>
    <w:rsid w:val="00052B79"/>
    <w:rsid w:val="00052EA0"/>
    <w:rsid w:val="000536A7"/>
    <w:rsid w:val="000536E3"/>
    <w:rsid w:val="00053896"/>
    <w:rsid w:val="0005474D"/>
    <w:rsid w:val="00055CB9"/>
    <w:rsid w:val="00056F66"/>
    <w:rsid w:val="0005702F"/>
    <w:rsid w:val="00061010"/>
    <w:rsid w:val="0006120E"/>
    <w:rsid w:val="00061D06"/>
    <w:rsid w:val="00062407"/>
    <w:rsid w:val="00062CDD"/>
    <w:rsid w:val="00062F1A"/>
    <w:rsid w:val="000635D9"/>
    <w:rsid w:val="00063C5F"/>
    <w:rsid w:val="00063F7D"/>
    <w:rsid w:val="000640AF"/>
    <w:rsid w:val="00064940"/>
    <w:rsid w:val="00064CAE"/>
    <w:rsid w:val="00064DB7"/>
    <w:rsid w:val="00064FA7"/>
    <w:rsid w:val="00065195"/>
    <w:rsid w:val="0006536C"/>
    <w:rsid w:val="00066813"/>
    <w:rsid w:val="00066D62"/>
    <w:rsid w:val="0006764C"/>
    <w:rsid w:val="00067A2D"/>
    <w:rsid w:val="00070325"/>
    <w:rsid w:val="00070AF1"/>
    <w:rsid w:val="000714DE"/>
    <w:rsid w:val="0007254F"/>
    <w:rsid w:val="00072CEB"/>
    <w:rsid w:val="00073C30"/>
    <w:rsid w:val="00073F80"/>
    <w:rsid w:val="00074305"/>
    <w:rsid w:val="000744D0"/>
    <w:rsid w:val="00074B2A"/>
    <w:rsid w:val="00074EEE"/>
    <w:rsid w:val="000753D5"/>
    <w:rsid w:val="00075B3E"/>
    <w:rsid w:val="00076456"/>
    <w:rsid w:val="0007779B"/>
    <w:rsid w:val="000777E7"/>
    <w:rsid w:val="0007790A"/>
    <w:rsid w:val="0008017B"/>
    <w:rsid w:val="000808C5"/>
    <w:rsid w:val="00080ACD"/>
    <w:rsid w:val="000811ED"/>
    <w:rsid w:val="00081D62"/>
    <w:rsid w:val="00082B74"/>
    <w:rsid w:val="00083099"/>
    <w:rsid w:val="00083452"/>
    <w:rsid w:val="00083EDC"/>
    <w:rsid w:val="000842B0"/>
    <w:rsid w:val="000842BE"/>
    <w:rsid w:val="000844E7"/>
    <w:rsid w:val="00084B97"/>
    <w:rsid w:val="0008510E"/>
    <w:rsid w:val="000856DE"/>
    <w:rsid w:val="00085F17"/>
    <w:rsid w:val="00085FB0"/>
    <w:rsid w:val="00085FB3"/>
    <w:rsid w:val="0008686B"/>
    <w:rsid w:val="00086B2A"/>
    <w:rsid w:val="00086ED2"/>
    <w:rsid w:val="00087D59"/>
    <w:rsid w:val="000914D6"/>
    <w:rsid w:val="00091569"/>
    <w:rsid w:val="0009217E"/>
    <w:rsid w:val="00092A2C"/>
    <w:rsid w:val="00092CDB"/>
    <w:rsid w:val="00092DCA"/>
    <w:rsid w:val="00093630"/>
    <w:rsid w:val="00093B65"/>
    <w:rsid w:val="00094121"/>
    <w:rsid w:val="000942EB"/>
    <w:rsid w:val="00095813"/>
    <w:rsid w:val="00095B70"/>
    <w:rsid w:val="0009617E"/>
    <w:rsid w:val="0009628D"/>
    <w:rsid w:val="0009670F"/>
    <w:rsid w:val="00097342"/>
    <w:rsid w:val="000979CF"/>
    <w:rsid w:val="000A03C8"/>
    <w:rsid w:val="000A05F2"/>
    <w:rsid w:val="000A06C4"/>
    <w:rsid w:val="000A0861"/>
    <w:rsid w:val="000A0DF7"/>
    <w:rsid w:val="000A0ED1"/>
    <w:rsid w:val="000A1179"/>
    <w:rsid w:val="000A12DB"/>
    <w:rsid w:val="000A17C8"/>
    <w:rsid w:val="000A1B74"/>
    <w:rsid w:val="000A20D7"/>
    <w:rsid w:val="000A2128"/>
    <w:rsid w:val="000A236C"/>
    <w:rsid w:val="000A2C39"/>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419B"/>
    <w:rsid w:val="000B4D46"/>
    <w:rsid w:val="000B5781"/>
    <w:rsid w:val="000B5CB1"/>
    <w:rsid w:val="000B633F"/>
    <w:rsid w:val="000B6D08"/>
    <w:rsid w:val="000C0185"/>
    <w:rsid w:val="000C01D5"/>
    <w:rsid w:val="000C063D"/>
    <w:rsid w:val="000C0F81"/>
    <w:rsid w:val="000C128D"/>
    <w:rsid w:val="000C179F"/>
    <w:rsid w:val="000C17A3"/>
    <w:rsid w:val="000C1D4B"/>
    <w:rsid w:val="000C2DC4"/>
    <w:rsid w:val="000C3260"/>
    <w:rsid w:val="000C3B77"/>
    <w:rsid w:val="000C3F6D"/>
    <w:rsid w:val="000C4720"/>
    <w:rsid w:val="000C4F49"/>
    <w:rsid w:val="000C5828"/>
    <w:rsid w:val="000C5861"/>
    <w:rsid w:val="000C5BDE"/>
    <w:rsid w:val="000C639D"/>
    <w:rsid w:val="000C6946"/>
    <w:rsid w:val="000C6C31"/>
    <w:rsid w:val="000C6DBC"/>
    <w:rsid w:val="000C6F79"/>
    <w:rsid w:val="000C7476"/>
    <w:rsid w:val="000C7711"/>
    <w:rsid w:val="000C7AA2"/>
    <w:rsid w:val="000D02BB"/>
    <w:rsid w:val="000D0462"/>
    <w:rsid w:val="000D053D"/>
    <w:rsid w:val="000D0ED2"/>
    <w:rsid w:val="000D127B"/>
    <w:rsid w:val="000D1CEB"/>
    <w:rsid w:val="000D2563"/>
    <w:rsid w:val="000D25BF"/>
    <w:rsid w:val="000D3282"/>
    <w:rsid w:val="000D3FDC"/>
    <w:rsid w:val="000D490B"/>
    <w:rsid w:val="000D4E38"/>
    <w:rsid w:val="000D50DB"/>
    <w:rsid w:val="000D53F2"/>
    <w:rsid w:val="000D6288"/>
    <w:rsid w:val="000D7541"/>
    <w:rsid w:val="000D75E1"/>
    <w:rsid w:val="000D79F4"/>
    <w:rsid w:val="000E0259"/>
    <w:rsid w:val="000E047D"/>
    <w:rsid w:val="000E0A36"/>
    <w:rsid w:val="000E22CF"/>
    <w:rsid w:val="000E27B9"/>
    <w:rsid w:val="000E2977"/>
    <w:rsid w:val="000E2CC0"/>
    <w:rsid w:val="000E30AC"/>
    <w:rsid w:val="000E36C2"/>
    <w:rsid w:val="000E39A2"/>
    <w:rsid w:val="000E39E8"/>
    <w:rsid w:val="000E3B46"/>
    <w:rsid w:val="000E3E11"/>
    <w:rsid w:val="000E4596"/>
    <w:rsid w:val="000E5768"/>
    <w:rsid w:val="000E5843"/>
    <w:rsid w:val="000E6139"/>
    <w:rsid w:val="000E6BE1"/>
    <w:rsid w:val="000E7E0B"/>
    <w:rsid w:val="000E7E1A"/>
    <w:rsid w:val="000E7E48"/>
    <w:rsid w:val="000F0136"/>
    <w:rsid w:val="000F0772"/>
    <w:rsid w:val="000F078A"/>
    <w:rsid w:val="000F122D"/>
    <w:rsid w:val="000F1450"/>
    <w:rsid w:val="000F14E8"/>
    <w:rsid w:val="000F1BBD"/>
    <w:rsid w:val="000F290F"/>
    <w:rsid w:val="000F3061"/>
    <w:rsid w:val="000F4403"/>
    <w:rsid w:val="000F459A"/>
    <w:rsid w:val="000F4702"/>
    <w:rsid w:val="000F480B"/>
    <w:rsid w:val="000F4DFC"/>
    <w:rsid w:val="000F4E17"/>
    <w:rsid w:val="000F6578"/>
    <w:rsid w:val="000F7E8F"/>
    <w:rsid w:val="000F7FBB"/>
    <w:rsid w:val="001000FB"/>
    <w:rsid w:val="00100314"/>
    <w:rsid w:val="00100A9E"/>
    <w:rsid w:val="00100F6A"/>
    <w:rsid w:val="00101850"/>
    <w:rsid w:val="00102605"/>
    <w:rsid w:val="00102686"/>
    <w:rsid w:val="00102745"/>
    <w:rsid w:val="00103795"/>
    <w:rsid w:val="00103915"/>
    <w:rsid w:val="00103EA0"/>
    <w:rsid w:val="00104F1C"/>
    <w:rsid w:val="001051E5"/>
    <w:rsid w:val="00105A74"/>
    <w:rsid w:val="00105ACB"/>
    <w:rsid w:val="00105AEF"/>
    <w:rsid w:val="00106259"/>
    <w:rsid w:val="001068EB"/>
    <w:rsid w:val="0010741E"/>
    <w:rsid w:val="001078CE"/>
    <w:rsid w:val="0011044C"/>
    <w:rsid w:val="00110F61"/>
    <w:rsid w:val="001111BD"/>
    <w:rsid w:val="00111325"/>
    <w:rsid w:val="0011165A"/>
    <w:rsid w:val="001116C6"/>
    <w:rsid w:val="00111B2B"/>
    <w:rsid w:val="00112774"/>
    <w:rsid w:val="00112B2E"/>
    <w:rsid w:val="00113003"/>
    <w:rsid w:val="00113062"/>
    <w:rsid w:val="00113705"/>
    <w:rsid w:val="00113975"/>
    <w:rsid w:val="00113CFC"/>
    <w:rsid w:val="00113FEA"/>
    <w:rsid w:val="00114A22"/>
    <w:rsid w:val="00114E9D"/>
    <w:rsid w:val="00114ED2"/>
    <w:rsid w:val="0011507B"/>
    <w:rsid w:val="0011627A"/>
    <w:rsid w:val="001162D6"/>
    <w:rsid w:val="00116328"/>
    <w:rsid w:val="00116334"/>
    <w:rsid w:val="001163CF"/>
    <w:rsid w:val="001174C9"/>
    <w:rsid w:val="0011764D"/>
    <w:rsid w:val="001176F2"/>
    <w:rsid w:val="00117716"/>
    <w:rsid w:val="00117AB4"/>
    <w:rsid w:val="00117E69"/>
    <w:rsid w:val="001204D2"/>
    <w:rsid w:val="00121103"/>
    <w:rsid w:val="0012180F"/>
    <w:rsid w:val="00121BAB"/>
    <w:rsid w:val="00121E3C"/>
    <w:rsid w:val="00122B23"/>
    <w:rsid w:val="00122B7E"/>
    <w:rsid w:val="0012340B"/>
    <w:rsid w:val="00123FB5"/>
    <w:rsid w:val="0012400F"/>
    <w:rsid w:val="001249DC"/>
    <w:rsid w:val="001251F7"/>
    <w:rsid w:val="0012572D"/>
    <w:rsid w:val="00125BED"/>
    <w:rsid w:val="00125C59"/>
    <w:rsid w:val="00125D4F"/>
    <w:rsid w:val="00125DDE"/>
    <w:rsid w:val="00126812"/>
    <w:rsid w:val="00127004"/>
    <w:rsid w:val="00127AF2"/>
    <w:rsid w:val="00127EDC"/>
    <w:rsid w:val="00127F6D"/>
    <w:rsid w:val="00130355"/>
    <w:rsid w:val="00130365"/>
    <w:rsid w:val="00130A28"/>
    <w:rsid w:val="00131B5A"/>
    <w:rsid w:val="00132809"/>
    <w:rsid w:val="00132B94"/>
    <w:rsid w:val="00132C30"/>
    <w:rsid w:val="00132EFD"/>
    <w:rsid w:val="00133AED"/>
    <w:rsid w:val="001345B0"/>
    <w:rsid w:val="00134E09"/>
    <w:rsid w:val="00135DB9"/>
    <w:rsid w:val="0013695C"/>
    <w:rsid w:val="00136BF7"/>
    <w:rsid w:val="001378B9"/>
    <w:rsid w:val="00137FFA"/>
    <w:rsid w:val="00140109"/>
    <w:rsid w:val="0014029B"/>
    <w:rsid w:val="00140464"/>
    <w:rsid w:val="00140A4F"/>
    <w:rsid w:val="001413AB"/>
    <w:rsid w:val="00141DBF"/>
    <w:rsid w:val="001429DA"/>
    <w:rsid w:val="00142E3A"/>
    <w:rsid w:val="00142EFD"/>
    <w:rsid w:val="00142F55"/>
    <w:rsid w:val="00144335"/>
    <w:rsid w:val="0014502F"/>
    <w:rsid w:val="00145282"/>
    <w:rsid w:val="001453B0"/>
    <w:rsid w:val="001454D9"/>
    <w:rsid w:val="00145D8E"/>
    <w:rsid w:val="00146083"/>
    <w:rsid w:val="001462F7"/>
    <w:rsid w:val="001467CA"/>
    <w:rsid w:val="00147F35"/>
    <w:rsid w:val="00150005"/>
    <w:rsid w:val="00150BE7"/>
    <w:rsid w:val="0015145A"/>
    <w:rsid w:val="001518D7"/>
    <w:rsid w:val="00151AEB"/>
    <w:rsid w:val="00151B99"/>
    <w:rsid w:val="001521B2"/>
    <w:rsid w:val="0015237F"/>
    <w:rsid w:val="00152EDD"/>
    <w:rsid w:val="00153491"/>
    <w:rsid w:val="0015361C"/>
    <w:rsid w:val="0015372F"/>
    <w:rsid w:val="00153BFB"/>
    <w:rsid w:val="0015407E"/>
    <w:rsid w:val="0015448E"/>
    <w:rsid w:val="00154A6F"/>
    <w:rsid w:val="001552BD"/>
    <w:rsid w:val="00155D08"/>
    <w:rsid w:val="001560D3"/>
    <w:rsid w:val="00156BE5"/>
    <w:rsid w:val="00157232"/>
    <w:rsid w:val="00157A58"/>
    <w:rsid w:val="00160401"/>
    <w:rsid w:val="00160D4E"/>
    <w:rsid w:val="00160DF9"/>
    <w:rsid w:val="00161DDA"/>
    <w:rsid w:val="00161E62"/>
    <w:rsid w:val="00161F1C"/>
    <w:rsid w:val="0016200B"/>
    <w:rsid w:val="00162013"/>
    <w:rsid w:val="001625C8"/>
    <w:rsid w:val="00163102"/>
    <w:rsid w:val="00163BCF"/>
    <w:rsid w:val="00163D7A"/>
    <w:rsid w:val="00164281"/>
    <w:rsid w:val="00164ACE"/>
    <w:rsid w:val="00165703"/>
    <w:rsid w:val="001662D8"/>
    <w:rsid w:val="0016685F"/>
    <w:rsid w:val="001669F1"/>
    <w:rsid w:val="0016712F"/>
    <w:rsid w:val="00167503"/>
    <w:rsid w:val="001676A9"/>
    <w:rsid w:val="00167A15"/>
    <w:rsid w:val="00167A50"/>
    <w:rsid w:val="00167DF5"/>
    <w:rsid w:val="00170001"/>
    <w:rsid w:val="00172198"/>
    <w:rsid w:val="001724F5"/>
    <w:rsid w:val="00172612"/>
    <w:rsid w:val="00172817"/>
    <w:rsid w:val="001734E3"/>
    <w:rsid w:val="001742BF"/>
    <w:rsid w:val="00175567"/>
    <w:rsid w:val="00175E49"/>
    <w:rsid w:val="0017649F"/>
    <w:rsid w:val="0017655D"/>
    <w:rsid w:val="00177B7C"/>
    <w:rsid w:val="001805C1"/>
    <w:rsid w:val="00180A2E"/>
    <w:rsid w:val="001813AF"/>
    <w:rsid w:val="001829CD"/>
    <w:rsid w:val="00182F01"/>
    <w:rsid w:val="00184082"/>
    <w:rsid w:val="00184E10"/>
    <w:rsid w:val="00184F27"/>
    <w:rsid w:val="0018519B"/>
    <w:rsid w:val="00185966"/>
    <w:rsid w:val="00185A2D"/>
    <w:rsid w:val="00185AFE"/>
    <w:rsid w:val="00185CA2"/>
    <w:rsid w:val="00185E78"/>
    <w:rsid w:val="001866C3"/>
    <w:rsid w:val="00186B78"/>
    <w:rsid w:val="00187177"/>
    <w:rsid w:val="00187ABD"/>
    <w:rsid w:val="00190117"/>
    <w:rsid w:val="001904E3"/>
    <w:rsid w:val="0019087A"/>
    <w:rsid w:val="00191C5A"/>
    <w:rsid w:val="00191CEB"/>
    <w:rsid w:val="00191E63"/>
    <w:rsid w:val="001923E3"/>
    <w:rsid w:val="00192531"/>
    <w:rsid w:val="00192D68"/>
    <w:rsid w:val="00192DF7"/>
    <w:rsid w:val="0019388B"/>
    <w:rsid w:val="00193B9A"/>
    <w:rsid w:val="001940ED"/>
    <w:rsid w:val="001946AE"/>
    <w:rsid w:val="001946D5"/>
    <w:rsid w:val="00194E8C"/>
    <w:rsid w:val="001962EC"/>
    <w:rsid w:val="001963DD"/>
    <w:rsid w:val="001965DB"/>
    <w:rsid w:val="00196D01"/>
    <w:rsid w:val="00196DC9"/>
    <w:rsid w:val="00196E95"/>
    <w:rsid w:val="00197C09"/>
    <w:rsid w:val="001A0236"/>
    <w:rsid w:val="001A0AF8"/>
    <w:rsid w:val="001A18D5"/>
    <w:rsid w:val="001A1A38"/>
    <w:rsid w:val="001A1BE0"/>
    <w:rsid w:val="001A1D4A"/>
    <w:rsid w:val="001A3011"/>
    <w:rsid w:val="001A4A9B"/>
    <w:rsid w:val="001A4DAF"/>
    <w:rsid w:val="001A4E37"/>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255B"/>
    <w:rsid w:val="001B3C8A"/>
    <w:rsid w:val="001B449C"/>
    <w:rsid w:val="001B4546"/>
    <w:rsid w:val="001B4AA2"/>
    <w:rsid w:val="001B4ADE"/>
    <w:rsid w:val="001B5EF8"/>
    <w:rsid w:val="001B615D"/>
    <w:rsid w:val="001B61E9"/>
    <w:rsid w:val="001B6791"/>
    <w:rsid w:val="001B731A"/>
    <w:rsid w:val="001C07C6"/>
    <w:rsid w:val="001C19CD"/>
    <w:rsid w:val="001C22D5"/>
    <w:rsid w:val="001C250A"/>
    <w:rsid w:val="001C2515"/>
    <w:rsid w:val="001C26FB"/>
    <w:rsid w:val="001C2BE4"/>
    <w:rsid w:val="001C33C1"/>
    <w:rsid w:val="001C3E30"/>
    <w:rsid w:val="001C3E5C"/>
    <w:rsid w:val="001C5072"/>
    <w:rsid w:val="001C5B2A"/>
    <w:rsid w:val="001C600B"/>
    <w:rsid w:val="001C6306"/>
    <w:rsid w:val="001C65AA"/>
    <w:rsid w:val="001C6898"/>
    <w:rsid w:val="001C6DD8"/>
    <w:rsid w:val="001C702D"/>
    <w:rsid w:val="001C7C7B"/>
    <w:rsid w:val="001D068D"/>
    <w:rsid w:val="001D12D1"/>
    <w:rsid w:val="001D15DF"/>
    <w:rsid w:val="001D2973"/>
    <w:rsid w:val="001D30F3"/>
    <w:rsid w:val="001D31A0"/>
    <w:rsid w:val="001D338E"/>
    <w:rsid w:val="001D426C"/>
    <w:rsid w:val="001D56E9"/>
    <w:rsid w:val="001D5EE1"/>
    <w:rsid w:val="001D70EF"/>
    <w:rsid w:val="001D796A"/>
    <w:rsid w:val="001D7A84"/>
    <w:rsid w:val="001D7C79"/>
    <w:rsid w:val="001E003B"/>
    <w:rsid w:val="001E1CC4"/>
    <w:rsid w:val="001E1D38"/>
    <w:rsid w:val="001E28A0"/>
    <w:rsid w:val="001E4258"/>
    <w:rsid w:val="001E4963"/>
    <w:rsid w:val="001E5AEF"/>
    <w:rsid w:val="001E5D6A"/>
    <w:rsid w:val="001E6644"/>
    <w:rsid w:val="001E6A94"/>
    <w:rsid w:val="001E70FB"/>
    <w:rsid w:val="001E780A"/>
    <w:rsid w:val="001F0FA0"/>
    <w:rsid w:val="001F1349"/>
    <w:rsid w:val="001F1863"/>
    <w:rsid w:val="001F2356"/>
    <w:rsid w:val="001F2A68"/>
    <w:rsid w:val="001F3BF5"/>
    <w:rsid w:val="001F4773"/>
    <w:rsid w:val="001F4E6F"/>
    <w:rsid w:val="001F5008"/>
    <w:rsid w:val="001F51A9"/>
    <w:rsid w:val="001F56AA"/>
    <w:rsid w:val="001F58AA"/>
    <w:rsid w:val="001F5A4E"/>
    <w:rsid w:val="001F5EF6"/>
    <w:rsid w:val="001F657F"/>
    <w:rsid w:val="001F6F17"/>
    <w:rsid w:val="001F6FB6"/>
    <w:rsid w:val="001F72BB"/>
    <w:rsid w:val="001F7978"/>
    <w:rsid w:val="001F7A0E"/>
    <w:rsid w:val="0020002B"/>
    <w:rsid w:val="0020022E"/>
    <w:rsid w:val="0020054E"/>
    <w:rsid w:val="00201AC4"/>
    <w:rsid w:val="00201F1E"/>
    <w:rsid w:val="00202950"/>
    <w:rsid w:val="0020299B"/>
    <w:rsid w:val="00202D50"/>
    <w:rsid w:val="00202E44"/>
    <w:rsid w:val="002037AA"/>
    <w:rsid w:val="00203FE3"/>
    <w:rsid w:val="002042D8"/>
    <w:rsid w:val="002043FB"/>
    <w:rsid w:val="00204515"/>
    <w:rsid w:val="00204BF5"/>
    <w:rsid w:val="00204E6B"/>
    <w:rsid w:val="002053EF"/>
    <w:rsid w:val="002058D4"/>
    <w:rsid w:val="00205D9F"/>
    <w:rsid w:val="0020632A"/>
    <w:rsid w:val="0020697F"/>
    <w:rsid w:val="00210D5C"/>
    <w:rsid w:val="002110EB"/>
    <w:rsid w:val="00211338"/>
    <w:rsid w:val="00211388"/>
    <w:rsid w:val="0021148C"/>
    <w:rsid w:val="00211694"/>
    <w:rsid w:val="0021201A"/>
    <w:rsid w:val="00212D27"/>
    <w:rsid w:val="00212E0C"/>
    <w:rsid w:val="002138FE"/>
    <w:rsid w:val="00213A1F"/>
    <w:rsid w:val="00213C63"/>
    <w:rsid w:val="00213EC5"/>
    <w:rsid w:val="00214502"/>
    <w:rsid w:val="00214741"/>
    <w:rsid w:val="0021539A"/>
    <w:rsid w:val="00215852"/>
    <w:rsid w:val="00215853"/>
    <w:rsid w:val="00215B8E"/>
    <w:rsid w:val="00216264"/>
    <w:rsid w:val="002176B6"/>
    <w:rsid w:val="0021792D"/>
    <w:rsid w:val="00217DB8"/>
    <w:rsid w:val="002202CE"/>
    <w:rsid w:val="0022032A"/>
    <w:rsid w:val="00220B2D"/>
    <w:rsid w:val="0022194E"/>
    <w:rsid w:val="00221ECE"/>
    <w:rsid w:val="002220B1"/>
    <w:rsid w:val="002221CE"/>
    <w:rsid w:val="00222BE8"/>
    <w:rsid w:val="00223102"/>
    <w:rsid w:val="002232CB"/>
    <w:rsid w:val="00224022"/>
    <w:rsid w:val="00224A66"/>
    <w:rsid w:val="00226055"/>
    <w:rsid w:val="0022613F"/>
    <w:rsid w:val="00226236"/>
    <w:rsid w:val="002270C9"/>
    <w:rsid w:val="00227A8B"/>
    <w:rsid w:val="0023146B"/>
    <w:rsid w:val="002315A0"/>
    <w:rsid w:val="0023161C"/>
    <w:rsid w:val="00231748"/>
    <w:rsid w:val="00231EC7"/>
    <w:rsid w:val="002324A5"/>
    <w:rsid w:val="00232E15"/>
    <w:rsid w:val="00233079"/>
    <w:rsid w:val="00233769"/>
    <w:rsid w:val="0023382C"/>
    <w:rsid w:val="00233977"/>
    <w:rsid w:val="00233C58"/>
    <w:rsid w:val="00233C71"/>
    <w:rsid w:val="0023434C"/>
    <w:rsid w:val="002343B3"/>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1ED1"/>
    <w:rsid w:val="0024265C"/>
    <w:rsid w:val="00242D62"/>
    <w:rsid w:val="002430BF"/>
    <w:rsid w:val="002430D0"/>
    <w:rsid w:val="002431D7"/>
    <w:rsid w:val="00243C4B"/>
    <w:rsid w:val="00244058"/>
    <w:rsid w:val="00245718"/>
    <w:rsid w:val="00245DD8"/>
    <w:rsid w:val="00245E07"/>
    <w:rsid w:val="00247610"/>
    <w:rsid w:val="00247712"/>
    <w:rsid w:val="00247949"/>
    <w:rsid w:val="00250EC6"/>
    <w:rsid w:val="002515C7"/>
    <w:rsid w:val="00251866"/>
    <w:rsid w:val="00251A9F"/>
    <w:rsid w:val="00251D8D"/>
    <w:rsid w:val="00252492"/>
    <w:rsid w:val="00252B35"/>
    <w:rsid w:val="0025316D"/>
    <w:rsid w:val="0025336C"/>
    <w:rsid w:val="00253A02"/>
    <w:rsid w:val="00253A8F"/>
    <w:rsid w:val="00253B81"/>
    <w:rsid w:val="002547CB"/>
    <w:rsid w:val="002554DE"/>
    <w:rsid w:val="00255575"/>
    <w:rsid w:val="00255E11"/>
    <w:rsid w:val="00256835"/>
    <w:rsid w:val="002569F0"/>
    <w:rsid w:val="00256E1A"/>
    <w:rsid w:val="00256ECF"/>
    <w:rsid w:val="00257730"/>
    <w:rsid w:val="00257999"/>
    <w:rsid w:val="00257D50"/>
    <w:rsid w:val="002604AA"/>
    <w:rsid w:val="0026129B"/>
    <w:rsid w:val="00261560"/>
    <w:rsid w:val="0026157A"/>
    <w:rsid w:val="00261715"/>
    <w:rsid w:val="00261CF9"/>
    <w:rsid w:val="00261EC0"/>
    <w:rsid w:val="0026231B"/>
    <w:rsid w:val="00263101"/>
    <w:rsid w:val="002631D1"/>
    <w:rsid w:val="00263201"/>
    <w:rsid w:val="00263224"/>
    <w:rsid w:val="002634CA"/>
    <w:rsid w:val="00263A37"/>
    <w:rsid w:val="00263A8A"/>
    <w:rsid w:val="0026478A"/>
    <w:rsid w:val="0026480D"/>
    <w:rsid w:val="00264A13"/>
    <w:rsid w:val="002653A6"/>
    <w:rsid w:val="00265F9D"/>
    <w:rsid w:val="00265FD3"/>
    <w:rsid w:val="002661F1"/>
    <w:rsid w:val="00266209"/>
    <w:rsid w:val="00266DB6"/>
    <w:rsid w:val="002710FA"/>
    <w:rsid w:val="002711A4"/>
    <w:rsid w:val="00271F13"/>
    <w:rsid w:val="0027278E"/>
    <w:rsid w:val="00272CC8"/>
    <w:rsid w:val="0027482E"/>
    <w:rsid w:val="00274DB5"/>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4C"/>
    <w:rsid w:val="0028663B"/>
    <w:rsid w:val="00286CEC"/>
    <w:rsid w:val="002870F9"/>
    <w:rsid w:val="002871A9"/>
    <w:rsid w:val="00287505"/>
    <w:rsid w:val="0029043A"/>
    <w:rsid w:val="00290781"/>
    <w:rsid w:val="00290D27"/>
    <w:rsid w:val="00290DD0"/>
    <w:rsid w:val="002910A6"/>
    <w:rsid w:val="00291784"/>
    <w:rsid w:val="002920DF"/>
    <w:rsid w:val="0029273C"/>
    <w:rsid w:val="002929BB"/>
    <w:rsid w:val="00292E33"/>
    <w:rsid w:val="00292FF2"/>
    <w:rsid w:val="00294368"/>
    <w:rsid w:val="00294B78"/>
    <w:rsid w:val="00295416"/>
    <w:rsid w:val="00295949"/>
    <w:rsid w:val="0029624A"/>
    <w:rsid w:val="00296311"/>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58BB"/>
    <w:rsid w:val="002A6AFB"/>
    <w:rsid w:val="002A733D"/>
    <w:rsid w:val="002A774A"/>
    <w:rsid w:val="002A78F3"/>
    <w:rsid w:val="002A7E5C"/>
    <w:rsid w:val="002A7F6D"/>
    <w:rsid w:val="002B057F"/>
    <w:rsid w:val="002B1342"/>
    <w:rsid w:val="002B1F83"/>
    <w:rsid w:val="002B2008"/>
    <w:rsid w:val="002B2368"/>
    <w:rsid w:val="002B27C8"/>
    <w:rsid w:val="002B2A7F"/>
    <w:rsid w:val="002B3043"/>
    <w:rsid w:val="002B330B"/>
    <w:rsid w:val="002B39BE"/>
    <w:rsid w:val="002B438C"/>
    <w:rsid w:val="002B48DB"/>
    <w:rsid w:val="002B4B34"/>
    <w:rsid w:val="002B541A"/>
    <w:rsid w:val="002B5EAB"/>
    <w:rsid w:val="002B6407"/>
    <w:rsid w:val="002B6416"/>
    <w:rsid w:val="002B6459"/>
    <w:rsid w:val="002B680A"/>
    <w:rsid w:val="002B7014"/>
    <w:rsid w:val="002B73B0"/>
    <w:rsid w:val="002C0E93"/>
    <w:rsid w:val="002C24B4"/>
    <w:rsid w:val="002C26CF"/>
    <w:rsid w:val="002C28A6"/>
    <w:rsid w:val="002C2B3A"/>
    <w:rsid w:val="002C2B87"/>
    <w:rsid w:val="002C37FA"/>
    <w:rsid w:val="002C3CF4"/>
    <w:rsid w:val="002C441A"/>
    <w:rsid w:val="002C4969"/>
    <w:rsid w:val="002C4A73"/>
    <w:rsid w:val="002C4B84"/>
    <w:rsid w:val="002C4C0C"/>
    <w:rsid w:val="002C4C48"/>
    <w:rsid w:val="002C5016"/>
    <w:rsid w:val="002C5C2F"/>
    <w:rsid w:val="002C5C87"/>
    <w:rsid w:val="002C5D0F"/>
    <w:rsid w:val="002C60B9"/>
    <w:rsid w:val="002C6706"/>
    <w:rsid w:val="002C6F77"/>
    <w:rsid w:val="002C704D"/>
    <w:rsid w:val="002D0845"/>
    <w:rsid w:val="002D0933"/>
    <w:rsid w:val="002D0CE3"/>
    <w:rsid w:val="002D19BB"/>
    <w:rsid w:val="002D1A9B"/>
    <w:rsid w:val="002D20F8"/>
    <w:rsid w:val="002D22BD"/>
    <w:rsid w:val="002D22C5"/>
    <w:rsid w:val="002D241F"/>
    <w:rsid w:val="002D302A"/>
    <w:rsid w:val="002D3355"/>
    <w:rsid w:val="002D36C6"/>
    <w:rsid w:val="002D37C1"/>
    <w:rsid w:val="002D3822"/>
    <w:rsid w:val="002D43CA"/>
    <w:rsid w:val="002D444B"/>
    <w:rsid w:val="002D4A45"/>
    <w:rsid w:val="002D4B42"/>
    <w:rsid w:val="002D4B43"/>
    <w:rsid w:val="002D57DB"/>
    <w:rsid w:val="002D5A1B"/>
    <w:rsid w:val="002D65BC"/>
    <w:rsid w:val="002D6A45"/>
    <w:rsid w:val="002D6B56"/>
    <w:rsid w:val="002D7D88"/>
    <w:rsid w:val="002E03E8"/>
    <w:rsid w:val="002E055C"/>
    <w:rsid w:val="002E063F"/>
    <w:rsid w:val="002E1050"/>
    <w:rsid w:val="002E107C"/>
    <w:rsid w:val="002E107E"/>
    <w:rsid w:val="002E1459"/>
    <w:rsid w:val="002E18E5"/>
    <w:rsid w:val="002E1953"/>
    <w:rsid w:val="002E1F40"/>
    <w:rsid w:val="002E2CB5"/>
    <w:rsid w:val="002E2D7D"/>
    <w:rsid w:val="002E32D0"/>
    <w:rsid w:val="002E3D76"/>
    <w:rsid w:val="002E40A1"/>
    <w:rsid w:val="002E48EC"/>
    <w:rsid w:val="002E4B44"/>
    <w:rsid w:val="002E4ECB"/>
    <w:rsid w:val="002E4F23"/>
    <w:rsid w:val="002E57B7"/>
    <w:rsid w:val="002E5999"/>
    <w:rsid w:val="002E5E8E"/>
    <w:rsid w:val="002E635A"/>
    <w:rsid w:val="002E6D68"/>
    <w:rsid w:val="002E7847"/>
    <w:rsid w:val="002F0073"/>
    <w:rsid w:val="002F0E20"/>
    <w:rsid w:val="002F167F"/>
    <w:rsid w:val="002F1C67"/>
    <w:rsid w:val="002F240B"/>
    <w:rsid w:val="002F26B7"/>
    <w:rsid w:val="002F2F50"/>
    <w:rsid w:val="002F33EC"/>
    <w:rsid w:val="002F34E3"/>
    <w:rsid w:val="002F3601"/>
    <w:rsid w:val="002F37F2"/>
    <w:rsid w:val="002F45F6"/>
    <w:rsid w:val="002F5A6F"/>
    <w:rsid w:val="002F6411"/>
    <w:rsid w:val="002F692F"/>
    <w:rsid w:val="002F7B66"/>
    <w:rsid w:val="00300CB4"/>
    <w:rsid w:val="00300E24"/>
    <w:rsid w:val="00302ED6"/>
    <w:rsid w:val="0030303A"/>
    <w:rsid w:val="003033BA"/>
    <w:rsid w:val="00303926"/>
    <w:rsid w:val="00303974"/>
    <w:rsid w:val="00303C19"/>
    <w:rsid w:val="00304200"/>
    <w:rsid w:val="003043A3"/>
    <w:rsid w:val="00304BD4"/>
    <w:rsid w:val="0030500A"/>
    <w:rsid w:val="003052EB"/>
    <w:rsid w:val="00305FCB"/>
    <w:rsid w:val="003060BC"/>
    <w:rsid w:val="003063C3"/>
    <w:rsid w:val="00306435"/>
    <w:rsid w:val="00306616"/>
    <w:rsid w:val="003069DC"/>
    <w:rsid w:val="00306B44"/>
    <w:rsid w:val="00307C44"/>
    <w:rsid w:val="003100AF"/>
    <w:rsid w:val="00310196"/>
    <w:rsid w:val="0031088E"/>
    <w:rsid w:val="00310D01"/>
    <w:rsid w:val="00311376"/>
    <w:rsid w:val="00311A1F"/>
    <w:rsid w:val="00311B47"/>
    <w:rsid w:val="00311D52"/>
    <w:rsid w:val="00312015"/>
    <w:rsid w:val="00312190"/>
    <w:rsid w:val="003123CC"/>
    <w:rsid w:val="003125E0"/>
    <w:rsid w:val="0031271D"/>
    <w:rsid w:val="003132BB"/>
    <w:rsid w:val="00313337"/>
    <w:rsid w:val="00313447"/>
    <w:rsid w:val="00313748"/>
    <w:rsid w:val="00313EA3"/>
    <w:rsid w:val="00315365"/>
    <w:rsid w:val="00315457"/>
    <w:rsid w:val="00315C55"/>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86E"/>
    <w:rsid w:val="00325D98"/>
    <w:rsid w:val="0032682A"/>
    <w:rsid w:val="00327781"/>
    <w:rsid w:val="00327A5C"/>
    <w:rsid w:val="0033092C"/>
    <w:rsid w:val="00330E4A"/>
    <w:rsid w:val="0033112A"/>
    <w:rsid w:val="0033122A"/>
    <w:rsid w:val="003315AC"/>
    <w:rsid w:val="00331932"/>
    <w:rsid w:val="00332382"/>
    <w:rsid w:val="00332453"/>
    <w:rsid w:val="0033251B"/>
    <w:rsid w:val="00332F8C"/>
    <w:rsid w:val="00333A88"/>
    <w:rsid w:val="00333BC9"/>
    <w:rsid w:val="00335B15"/>
    <w:rsid w:val="00335B21"/>
    <w:rsid w:val="00335D3F"/>
    <w:rsid w:val="00336104"/>
    <w:rsid w:val="0033660B"/>
    <w:rsid w:val="00336729"/>
    <w:rsid w:val="0033726D"/>
    <w:rsid w:val="0033746A"/>
    <w:rsid w:val="00337CA8"/>
    <w:rsid w:val="00340D3F"/>
    <w:rsid w:val="0034174B"/>
    <w:rsid w:val="0034177C"/>
    <w:rsid w:val="00341EBD"/>
    <w:rsid w:val="0034204E"/>
    <w:rsid w:val="003420E9"/>
    <w:rsid w:val="00342345"/>
    <w:rsid w:val="00342C27"/>
    <w:rsid w:val="00342F14"/>
    <w:rsid w:val="003430C8"/>
    <w:rsid w:val="003432C8"/>
    <w:rsid w:val="003434B3"/>
    <w:rsid w:val="00343536"/>
    <w:rsid w:val="00343EFB"/>
    <w:rsid w:val="00344026"/>
    <w:rsid w:val="0034437F"/>
    <w:rsid w:val="00344384"/>
    <w:rsid w:val="00344760"/>
    <w:rsid w:val="003454E8"/>
    <w:rsid w:val="00345574"/>
    <w:rsid w:val="0034680A"/>
    <w:rsid w:val="00346C62"/>
    <w:rsid w:val="00347202"/>
    <w:rsid w:val="003474A1"/>
    <w:rsid w:val="0034778E"/>
    <w:rsid w:val="00347A5A"/>
    <w:rsid w:val="003501E2"/>
    <w:rsid w:val="00351E10"/>
    <w:rsid w:val="00352091"/>
    <w:rsid w:val="003533F4"/>
    <w:rsid w:val="003536F6"/>
    <w:rsid w:val="00353DD5"/>
    <w:rsid w:val="00354CAC"/>
    <w:rsid w:val="00355131"/>
    <w:rsid w:val="0035585E"/>
    <w:rsid w:val="00355C52"/>
    <w:rsid w:val="00355F74"/>
    <w:rsid w:val="003560DB"/>
    <w:rsid w:val="003564DB"/>
    <w:rsid w:val="00356F87"/>
    <w:rsid w:val="00360CE8"/>
    <w:rsid w:val="00360CF3"/>
    <w:rsid w:val="00361A59"/>
    <w:rsid w:val="00363348"/>
    <w:rsid w:val="00363857"/>
    <w:rsid w:val="00363D59"/>
    <w:rsid w:val="003640F7"/>
    <w:rsid w:val="003649F8"/>
    <w:rsid w:val="00365D3A"/>
    <w:rsid w:val="003664FF"/>
    <w:rsid w:val="00366BD2"/>
    <w:rsid w:val="00366F1C"/>
    <w:rsid w:val="003670B8"/>
    <w:rsid w:val="00367519"/>
    <w:rsid w:val="003704A3"/>
    <w:rsid w:val="003706F2"/>
    <w:rsid w:val="0037124F"/>
    <w:rsid w:val="0037162B"/>
    <w:rsid w:val="00372051"/>
    <w:rsid w:val="003722B3"/>
    <w:rsid w:val="003722E6"/>
    <w:rsid w:val="00372808"/>
    <w:rsid w:val="00373827"/>
    <w:rsid w:val="0037401C"/>
    <w:rsid w:val="0037453B"/>
    <w:rsid w:val="00374D49"/>
    <w:rsid w:val="0037507B"/>
    <w:rsid w:val="00375C7C"/>
    <w:rsid w:val="00376182"/>
    <w:rsid w:val="00377027"/>
    <w:rsid w:val="00377135"/>
    <w:rsid w:val="00377FEF"/>
    <w:rsid w:val="00380272"/>
    <w:rsid w:val="003805DB"/>
    <w:rsid w:val="0038152A"/>
    <w:rsid w:val="003822A4"/>
    <w:rsid w:val="00382BAD"/>
    <w:rsid w:val="0038333E"/>
    <w:rsid w:val="003835FD"/>
    <w:rsid w:val="00383632"/>
    <w:rsid w:val="00384DF1"/>
    <w:rsid w:val="00384FF3"/>
    <w:rsid w:val="0038512F"/>
    <w:rsid w:val="00386456"/>
    <w:rsid w:val="003865A9"/>
    <w:rsid w:val="00387BD8"/>
    <w:rsid w:val="0039092B"/>
    <w:rsid w:val="00390C01"/>
    <w:rsid w:val="00390C57"/>
    <w:rsid w:val="00390F32"/>
    <w:rsid w:val="0039135E"/>
    <w:rsid w:val="00392A0C"/>
    <w:rsid w:val="0039319C"/>
    <w:rsid w:val="00393498"/>
    <w:rsid w:val="00393577"/>
    <w:rsid w:val="00393C2B"/>
    <w:rsid w:val="00393CAE"/>
    <w:rsid w:val="00394178"/>
    <w:rsid w:val="003945F4"/>
    <w:rsid w:val="0039471F"/>
    <w:rsid w:val="00394EB5"/>
    <w:rsid w:val="003953B4"/>
    <w:rsid w:val="0039615F"/>
    <w:rsid w:val="003966A0"/>
    <w:rsid w:val="00396A29"/>
    <w:rsid w:val="00397FF0"/>
    <w:rsid w:val="003A0878"/>
    <w:rsid w:val="003A1561"/>
    <w:rsid w:val="003A1D25"/>
    <w:rsid w:val="003A22A2"/>
    <w:rsid w:val="003A22E9"/>
    <w:rsid w:val="003A2447"/>
    <w:rsid w:val="003A2AA1"/>
    <w:rsid w:val="003A31A5"/>
    <w:rsid w:val="003A329A"/>
    <w:rsid w:val="003A3603"/>
    <w:rsid w:val="003A3851"/>
    <w:rsid w:val="003A39DD"/>
    <w:rsid w:val="003A4199"/>
    <w:rsid w:val="003A4A8E"/>
    <w:rsid w:val="003A563C"/>
    <w:rsid w:val="003A581E"/>
    <w:rsid w:val="003A6160"/>
    <w:rsid w:val="003A65A5"/>
    <w:rsid w:val="003A6812"/>
    <w:rsid w:val="003A68F4"/>
    <w:rsid w:val="003A72F5"/>
    <w:rsid w:val="003A74FC"/>
    <w:rsid w:val="003A78E5"/>
    <w:rsid w:val="003B0341"/>
    <w:rsid w:val="003B1AF1"/>
    <w:rsid w:val="003B1DAF"/>
    <w:rsid w:val="003B1E57"/>
    <w:rsid w:val="003B2E90"/>
    <w:rsid w:val="003B2EF3"/>
    <w:rsid w:val="003B34B5"/>
    <w:rsid w:val="003B4A4D"/>
    <w:rsid w:val="003B534F"/>
    <w:rsid w:val="003B5391"/>
    <w:rsid w:val="003B58CE"/>
    <w:rsid w:val="003B65D7"/>
    <w:rsid w:val="003B65E0"/>
    <w:rsid w:val="003B6BD4"/>
    <w:rsid w:val="003B6F4D"/>
    <w:rsid w:val="003B6FE7"/>
    <w:rsid w:val="003B7ED6"/>
    <w:rsid w:val="003C0012"/>
    <w:rsid w:val="003C095A"/>
    <w:rsid w:val="003C0D1F"/>
    <w:rsid w:val="003C116A"/>
    <w:rsid w:val="003C1AF4"/>
    <w:rsid w:val="003C1C9C"/>
    <w:rsid w:val="003C1CB8"/>
    <w:rsid w:val="003C22DA"/>
    <w:rsid w:val="003C2550"/>
    <w:rsid w:val="003C287F"/>
    <w:rsid w:val="003C31A1"/>
    <w:rsid w:val="003C3339"/>
    <w:rsid w:val="003C375A"/>
    <w:rsid w:val="003C4D9F"/>
    <w:rsid w:val="003C5247"/>
    <w:rsid w:val="003C55EC"/>
    <w:rsid w:val="003C622C"/>
    <w:rsid w:val="003C6505"/>
    <w:rsid w:val="003C73C7"/>
    <w:rsid w:val="003C7CFB"/>
    <w:rsid w:val="003D050B"/>
    <w:rsid w:val="003D0750"/>
    <w:rsid w:val="003D0B98"/>
    <w:rsid w:val="003D0C38"/>
    <w:rsid w:val="003D0C3C"/>
    <w:rsid w:val="003D0DE5"/>
    <w:rsid w:val="003D0F46"/>
    <w:rsid w:val="003D1351"/>
    <w:rsid w:val="003D21C1"/>
    <w:rsid w:val="003D3B15"/>
    <w:rsid w:val="003D3B2E"/>
    <w:rsid w:val="003D4101"/>
    <w:rsid w:val="003D484D"/>
    <w:rsid w:val="003D49CB"/>
    <w:rsid w:val="003D4FC2"/>
    <w:rsid w:val="003D6B8F"/>
    <w:rsid w:val="003D6F7A"/>
    <w:rsid w:val="003D7209"/>
    <w:rsid w:val="003D7566"/>
    <w:rsid w:val="003D7FB3"/>
    <w:rsid w:val="003E006D"/>
    <w:rsid w:val="003E0224"/>
    <w:rsid w:val="003E067E"/>
    <w:rsid w:val="003E09BB"/>
    <w:rsid w:val="003E159D"/>
    <w:rsid w:val="003E20EA"/>
    <w:rsid w:val="003E210C"/>
    <w:rsid w:val="003E2F55"/>
    <w:rsid w:val="003E3239"/>
    <w:rsid w:val="003E34DB"/>
    <w:rsid w:val="003E3833"/>
    <w:rsid w:val="003E3AF9"/>
    <w:rsid w:val="003E4A70"/>
    <w:rsid w:val="003E4C48"/>
    <w:rsid w:val="003E4CD9"/>
    <w:rsid w:val="003E52C2"/>
    <w:rsid w:val="003E54B3"/>
    <w:rsid w:val="003E5780"/>
    <w:rsid w:val="003E57F7"/>
    <w:rsid w:val="003E5B9F"/>
    <w:rsid w:val="003E6072"/>
    <w:rsid w:val="003E67DE"/>
    <w:rsid w:val="003E6AB6"/>
    <w:rsid w:val="003E6E0B"/>
    <w:rsid w:val="003E71CD"/>
    <w:rsid w:val="003E72F0"/>
    <w:rsid w:val="003E78DA"/>
    <w:rsid w:val="003E7A8B"/>
    <w:rsid w:val="003F060E"/>
    <w:rsid w:val="003F0F7F"/>
    <w:rsid w:val="003F115C"/>
    <w:rsid w:val="003F155A"/>
    <w:rsid w:val="003F2B26"/>
    <w:rsid w:val="003F300D"/>
    <w:rsid w:val="003F31C0"/>
    <w:rsid w:val="003F391F"/>
    <w:rsid w:val="003F4599"/>
    <w:rsid w:val="003F45E1"/>
    <w:rsid w:val="003F4F6C"/>
    <w:rsid w:val="003F559E"/>
    <w:rsid w:val="003F6181"/>
    <w:rsid w:val="003F662E"/>
    <w:rsid w:val="003F6BFC"/>
    <w:rsid w:val="003F7343"/>
    <w:rsid w:val="00400002"/>
    <w:rsid w:val="00400054"/>
    <w:rsid w:val="004004EA"/>
    <w:rsid w:val="00400B70"/>
    <w:rsid w:val="00400C41"/>
    <w:rsid w:val="004016A3"/>
    <w:rsid w:val="00401B31"/>
    <w:rsid w:val="00401EEA"/>
    <w:rsid w:val="0040202B"/>
    <w:rsid w:val="00402DE1"/>
    <w:rsid w:val="00402EEB"/>
    <w:rsid w:val="004037C2"/>
    <w:rsid w:val="00404041"/>
    <w:rsid w:val="004047DF"/>
    <w:rsid w:val="00404B43"/>
    <w:rsid w:val="00404C61"/>
    <w:rsid w:val="00405487"/>
    <w:rsid w:val="00405B8A"/>
    <w:rsid w:val="0040602B"/>
    <w:rsid w:val="00406359"/>
    <w:rsid w:val="00406599"/>
    <w:rsid w:val="00406DF5"/>
    <w:rsid w:val="00406F35"/>
    <w:rsid w:val="00407A7A"/>
    <w:rsid w:val="00407ABC"/>
    <w:rsid w:val="00407F1E"/>
    <w:rsid w:val="004101CA"/>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0ECA"/>
    <w:rsid w:val="0042158C"/>
    <w:rsid w:val="00421BD2"/>
    <w:rsid w:val="00421E00"/>
    <w:rsid w:val="00421F51"/>
    <w:rsid w:val="00421FCB"/>
    <w:rsid w:val="00422DCA"/>
    <w:rsid w:val="00423F9F"/>
    <w:rsid w:val="00425845"/>
    <w:rsid w:val="00425C43"/>
    <w:rsid w:val="00425D70"/>
    <w:rsid w:val="00425DD1"/>
    <w:rsid w:val="00426058"/>
    <w:rsid w:val="004266A1"/>
    <w:rsid w:val="004273FA"/>
    <w:rsid w:val="004275A7"/>
    <w:rsid w:val="00430186"/>
    <w:rsid w:val="00430682"/>
    <w:rsid w:val="00431017"/>
    <w:rsid w:val="00431C0B"/>
    <w:rsid w:val="0043269A"/>
    <w:rsid w:val="00432B3C"/>
    <w:rsid w:val="00432C6D"/>
    <w:rsid w:val="004333C2"/>
    <w:rsid w:val="00434787"/>
    <w:rsid w:val="00434C13"/>
    <w:rsid w:val="00435703"/>
    <w:rsid w:val="00435BD5"/>
    <w:rsid w:val="00436156"/>
    <w:rsid w:val="00436323"/>
    <w:rsid w:val="0043676B"/>
    <w:rsid w:val="0043683F"/>
    <w:rsid w:val="00436F40"/>
    <w:rsid w:val="004370FA"/>
    <w:rsid w:val="00440096"/>
    <w:rsid w:val="004403DD"/>
    <w:rsid w:val="00440CF3"/>
    <w:rsid w:val="00440DB0"/>
    <w:rsid w:val="00440DD6"/>
    <w:rsid w:val="00440DDC"/>
    <w:rsid w:val="00440FAD"/>
    <w:rsid w:val="00441291"/>
    <w:rsid w:val="00441E04"/>
    <w:rsid w:val="004420AB"/>
    <w:rsid w:val="004422D6"/>
    <w:rsid w:val="004427AC"/>
    <w:rsid w:val="00442C7D"/>
    <w:rsid w:val="00442D4D"/>
    <w:rsid w:val="004435DF"/>
    <w:rsid w:val="0044374D"/>
    <w:rsid w:val="00443B55"/>
    <w:rsid w:val="00443D27"/>
    <w:rsid w:val="0044414B"/>
    <w:rsid w:val="004445EB"/>
    <w:rsid w:val="0044478A"/>
    <w:rsid w:val="0044500B"/>
    <w:rsid w:val="004454E8"/>
    <w:rsid w:val="00446037"/>
    <w:rsid w:val="0044642F"/>
    <w:rsid w:val="004473C9"/>
    <w:rsid w:val="0044772C"/>
    <w:rsid w:val="00447D53"/>
    <w:rsid w:val="00450846"/>
    <w:rsid w:val="00451A52"/>
    <w:rsid w:val="0045271D"/>
    <w:rsid w:val="00452755"/>
    <w:rsid w:val="00452803"/>
    <w:rsid w:val="004529A6"/>
    <w:rsid w:val="004529C6"/>
    <w:rsid w:val="00452EAD"/>
    <w:rsid w:val="004533A8"/>
    <w:rsid w:val="004533D1"/>
    <w:rsid w:val="004534D1"/>
    <w:rsid w:val="00454548"/>
    <w:rsid w:val="00454717"/>
    <w:rsid w:val="00455004"/>
    <w:rsid w:val="00455047"/>
    <w:rsid w:val="00455354"/>
    <w:rsid w:val="0045558D"/>
    <w:rsid w:val="00455AA5"/>
    <w:rsid w:val="00455B70"/>
    <w:rsid w:val="00455BD3"/>
    <w:rsid w:val="00456970"/>
    <w:rsid w:val="00456BB1"/>
    <w:rsid w:val="00456CD4"/>
    <w:rsid w:val="00456D08"/>
    <w:rsid w:val="00456DDB"/>
    <w:rsid w:val="00457031"/>
    <w:rsid w:val="00457EDF"/>
    <w:rsid w:val="00460915"/>
    <w:rsid w:val="00460946"/>
    <w:rsid w:val="004614A9"/>
    <w:rsid w:val="00461E97"/>
    <w:rsid w:val="0046268F"/>
    <w:rsid w:val="0046284F"/>
    <w:rsid w:val="00462B10"/>
    <w:rsid w:val="00462C04"/>
    <w:rsid w:val="0046320A"/>
    <w:rsid w:val="004632E2"/>
    <w:rsid w:val="004638E2"/>
    <w:rsid w:val="00464030"/>
    <w:rsid w:val="004647F8"/>
    <w:rsid w:val="004647FB"/>
    <w:rsid w:val="00465347"/>
    <w:rsid w:val="00465677"/>
    <w:rsid w:val="00466616"/>
    <w:rsid w:val="00466A0C"/>
    <w:rsid w:val="00466A53"/>
    <w:rsid w:val="004673A8"/>
    <w:rsid w:val="0046753A"/>
    <w:rsid w:val="00467CA9"/>
    <w:rsid w:val="00467D4E"/>
    <w:rsid w:val="0047098A"/>
    <w:rsid w:val="00470A6A"/>
    <w:rsid w:val="00470D73"/>
    <w:rsid w:val="00470D92"/>
    <w:rsid w:val="00471DF7"/>
    <w:rsid w:val="00471FD5"/>
    <w:rsid w:val="00472450"/>
    <w:rsid w:val="004734CF"/>
    <w:rsid w:val="004737EA"/>
    <w:rsid w:val="00473BD9"/>
    <w:rsid w:val="00474665"/>
    <w:rsid w:val="00475C5A"/>
    <w:rsid w:val="00475C78"/>
    <w:rsid w:val="00475C9C"/>
    <w:rsid w:val="0047676B"/>
    <w:rsid w:val="0047773C"/>
    <w:rsid w:val="00477C5F"/>
    <w:rsid w:val="00477D59"/>
    <w:rsid w:val="00477F7E"/>
    <w:rsid w:val="00480050"/>
    <w:rsid w:val="004800E5"/>
    <w:rsid w:val="0048011C"/>
    <w:rsid w:val="004808DE"/>
    <w:rsid w:val="00481AC4"/>
    <w:rsid w:val="00481DC1"/>
    <w:rsid w:val="00482507"/>
    <w:rsid w:val="0048268A"/>
    <w:rsid w:val="00482E12"/>
    <w:rsid w:val="004835CA"/>
    <w:rsid w:val="004836F8"/>
    <w:rsid w:val="004836FE"/>
    <w:rsid w:val="00484F0F"/>
    <w:rsid w:val="00484F40"/>
    <w:rsid w:val="0048540C"/>
    <w:rsid w:val="00485BA7"/>
    <w:rsid w:val="00485D18"/>
    <w:rsid w:val="004861B4"/>
    <w:rsid w:val="00486BD0"/>
    <w:rsid w:val="00486D00"/>
    <w:rsid w:val="00487263"/>
    <w:rsid w:val="0048734F"/>
    <w:rsid w:val="004877B4"/>
    <w:rsid w:val="0048785D"/>
    <w:rsid w:val="0049029D"/>
    <w:rsid w:val="0049030C"/>
    <w:rsid w:val="004903C0"/>
    <w:rsid w:val="004907FA"/>
    <w:rsid w:val="0049114B"/>
    <w:rsid w:val="004912A8"/>
    <w:rsid w:val="00491577"/>
    <w:rsid w:val="0049196A"/>
    <w:rsid w:val="0049196E"/>
    <w:rsid w:val="00491B54"/>
    <w:rsid w:val="0049241A"/>
    <w:rsid w:val="00492C1F"/>
    <w:rsid w:val="00492E4C"/>
    <w:rsid w:val="0049327C"/>
    <w:rsid w:val="00493664"/>
    <w:rsid w:val="004938E1"/>
    <w:rsid w:val="00493E04"/>
    <w:rsid w:val="004940E3"/>
    <w:rsid w:val="00494269"/>
    <w:rsid w:val="00494963"/>
    <w:rsid w:val="0049530F"/>
    <w:rsid w:val="00496664"/>
    <w:rsid w:val="00496786"/>
    <w:rsid w:val="0049695B"/>
    <w:rsid w:val="00496D8F"/>
    <w:rsid w:val="00497463"/>
    <w:rsid w:val="004A054C"/>
    <w:rsid w:val="004A08D1"/>
    <w:rsid w:val="004A16C1"/>
    <w:rsid w:val="004A1CE2"/>
    <w:rsid w:val="004A1DF9"/>
    <w:rsid w:val="004A24BC"/>
    <w:rsid w:val="004A2A99"/>
    <w:rsid w:val="004A33AD"/>
    <w:rsid w:val="004A34D2"/>
    <w:rsid w:val="004A4301"/>
    <w:rsid w:val="004A4D93"/>
    <w:rsid w:val="004A58EE"/>
    <w:rsid w:val="004A59B7"/>
    <w:rsid w:val="004A5C13"/>
    <w:rsid w:val="004A6051"/>
    <w:rsid w:val="004A623B"/>
    <w:rsid w:val="004A6334"/>
    <w:rsid w:val="004A65AC"/>
    <w:rsid w:val="004A6A04"/>
    <w:rsid w:val="004A6A52"/>
    <w:rsid w:val="004B02CF"/>
    <w:rsid w:val="004B0A44"/>
    <w:rsid w:val="004B0F0B"/>
    <w:rsid w:val="004B1A5A"/>
    <w:rsid w:val="004B2197"/>
    <w:rsid w:val="004B298A"/>
    <w:rsid w:val="004B42BE"/>
    <w:rsid w:val="004B50CB"/>
    <w:rsid w:val="004B578D"/>
    <w:rsid w:val="004B5BE7"/>
    <w:rsid w:val="004B5E2D"/>
    <w:rsid w:val="004B6C07"/>
    <w:rsid w:val="004B74D3"/>
    <w:rsid w:val="004B788E"/>
    <w:rsid w:val="004B78E1"/>
    <w:rsid w:val="004B7E5D"/>
    <w:rsid w:val="004C033C"/>
    <w:rsid w:val="004C1033"/>
    <w:rsid w:val="004C13E9"/>
    <w:rsid w:val="004C1F58"/>
    <w:rsid w:val="004C2180"/>
    <w:rsid w:val="004C22F7"/>
    <w:rsid w:val="004C2310"/>
    <w:rsid w:val="004C2B27"/>
    <w:rsid w:val="004C3929"/>
    <w:rsid w:val="004C5212"/>
    <w:rsid w:val="004C580A"/>
    <w:rsid w:val="004C5EF0"/>
    <w:rsid w:val="004C64C9"/>
    <w:rsid w:val="004C6862"/>
    <w:rsid w:val="004C7226"/>
    <w:rsid w:val="004C74C9"/>
    <w:rsid w:val="004C7915"/>
    <w:rsid w:val="004C7D70"/>
    <w:rsid w:val="004C7F4F"/>
    <w:rsid w:val="004D02F9"/>
    <w:rsid w:val="004D03FE"/>
    <w:rsid w:val="004D0446"/>
    <w:rsid w:val="004D06A3"/>
    <w:rsid w:val="004D0F95"/>
    <w:rsid w:val="004D106A"/>
    <w:rsid w:val="004D1C7E"/>
    <w:rsid w:val="004D245A"/>
    <w:rsid w:val="004D2F4A"/>
    <w:rsid w:val="004D31EE"/>
    <w:rsid w:val="004D36AF"/>
    <w:rsid w:val="004D3BD1"/>
    <w:rsid w:val="004D4A03"/>
    <w:rsid w:val="004D4BA1"/>
    <w:rsid w:val="004D4EC1"/>
    <w:rsid w:val="004D584D"/>
    <w:rsid w:val="004D5A7E"/>
    <w:rsid w:val="004D5ED1"/>
    <w:rsid w:val="004D6120"/>
    <w:rsid w:val="004D636B"/>
    <w:rsid w:val="004D6826"/>
    <w:rsid w:val="004D6E7F"/>
    <w:rsid w:val="004E023F"/>
    <w:rsid w:val="004E0546"/>
    <w:rsid w:val="004E0742"/>
    <w:rsid w:val="004E0C64"/>
    <w:rsid w:val="004E0EBC"/>
    <w:rsid w:val="004E0F6B"/>
    <w:rsid w:val="004E1545"/>
    <w:rsid w:val="004E1F1C"/>
    <w:rsid w:val="004E24CE"/>
    <w:rsid w:val="004E2A35"/>
    <w:rsid w:val="004E40CE"/>
    <w:rsid w:val="004E5736"/>
    <w:rsid w:val="004E5A3C"/>
    <w:rsid w:val="004E5B36"/>
    <w:rsid w:val="004E5D5D"/>
    <w:rsid w:val="004E5DAD"/>
    <w:rsid w:val="004E6045"/>
    <w:rsid w:val="004E6F43"/>
    <w:rsid w:val="004E7200"/>
    <w:rsid w:val="004E7437"/>
    <w:rsid w:val="004E7497"/>
    <w:rsid w:val="004E787E"/>
    <w:rsid w:val="004F0960"/>
    <w:rsid w:val="004F0A4B"/>
    <w:rsid w:val="004F0A5C"/>
    <w:rsid w:val="004F163F"/>
    <w:rsid w:val="004F18A0"/>
    <w:rsid w:val="004F1A08"/>
    <w:rsid w:val="004F2B64"/>
    <w:rsid w:val="004F2D2A"/>
    <w:rsid w:val="004F31B8"/>
    <w:rsid w:val="004F375E"/>
    <w:rsid w:val="004F3764"/>
    <w:rsid w:val="004F3DB4"/>
    <w:rsid w:val="004F3EEF"/>
    <w:rsid w:val="004F4A8C"/>
    <w:rsid w:val="004F5180"/>
    <w:rsid w:val="004F57C9"/>
    <w:rsid w:val="004F5930"/>
    <w:rsid w:val="004F5970"/>
    <w:rsid w:val="004F5F0C"/>
    <w:rsid w:val="004F5F46"/>
    <w:rsid w:val="004F6121"/>
    <w:rsid w:val="004F6161"/>
    <w:rsid w:val="004F66BC"/>
    <w:rsid w:val="004F6B63"/>
    <w:rsid w:val="004F6C26"/>
    <w:rsid w:val="004F7AC9"/>
    <w:rsid w:val="0050062F"/>
    <w:rsid w:val="00500E74"/>
    <w:rsid w:val="0050160F"/>
    <w:rsid w:val="0050275F"/>
    <w:rsid w:val="0050284E"/>
    <w:rsid w:val="0050306F"/>
    <w:rsid w:val="005047A0"/>
    <w:rsid w:val="00504A78"/>
    <w:rsid w:val="00505DCB"/>
    <w:rsid w:val="00505F58"/>
    <w:rsid w:val="005075CA"/>
    <w:rsid w:val="00507B06"/>
    <w:rsid w:val="00507B79"/>
    <w:rsid w:val="00507BF1"/>
    <w:rsid w:val="0051047A"/>
    <w:rsid w:val="0051074C"/>
    <w:rsid w:val="00510CB7"/>
    <w:rsid w:val="00510DE9"/>
    <w:rsid w:val="00510F21"/>
    <w:rsid w:val="005111E2"/>
    <w:rsid w:val="00511231"/>
    <w:rsid w:val="0051197C"/>
    <w:rsid w:val="005126ED"/>
    <w:rsid w:val="00512C4F"/>
    <w:rsid w:val="00513042"/>
    <w:rsid w:val="0051334F"/>
    <w:rsid w:val="00513399"/>
    <w:rsid w:val="00513AF2"/>
    <w:rsid w:val="00514575"/>
    <w:rsid w:val="00514C03"/>
    <w:rsid w:val="00514D67"/>
    <w:rsid w:val="0051522A"/>
    <w:rsid w:val="00515515"/>
    <w:rsid w:val="00515EA6"/>
    <w:rsid w:val="0051635C"/>
    <w:rsid w:val="00516C5B"/>
    <w:rsid w:val="00517612"/>
    <w:rsid w:val="0051782E"/>
    <w:rsid w:val="00517CFB"/>
    <w:rsid w:val="00517F85"/>
    <w:rsid w:val="00520235"/>
    <w:rsid w:val="00520899"/>
    <w:rsid w:val="00520922"/>
    <w:rsid w:val="005209FC"/>
    <w:rsid w:val="005212D7"/>
    <w:rsid w:val="00521A30"/>
    <w:rsid w:val="005224E5"/>
    <w:rsid w:val="00523496"/>
    <w:rsid w:val="00523903"/>
    <w:rsid w:val="005239B6"/>
    <w:rsid w:val="00523C45"/>
    <w:rsid w:val="0052413E"/>
    <w:rsid w:val="00524165"/>
    <w:rsid w:val="005246E7"/>
    <w:rsid w:val="00524B08"/>
    <w:rsid w:val="00524C38"/>
    <w:rsid w:val="00524FD2"/>
    <w:rsid w:val="00525172"/>
    <w:rsid w:val="00525621"/>
    <w:rsid w:val="00525EDB"/>
    <w:rsid w:val="00526431"/>
    <w:rsid w:val="00527064"/>
    <w:rsid w:val="00527532"/>
    <w:rsid w:val="00527703"/>
    <w:rsid w:val="00527DEB"/>
    <w:rsid w:val="00527E57"/>
    <w:rsid w:val="00527F2C"/>
    <w:rsid w:val="00530405"/>
    <w:rsid w:val="00530522"/>
    <w:rsid w:val="005305E5"/>
    <w:rsid w:val="00530CBA"/>
    <w:rsid w:val="00530F38"/>
    <w:rsid w:val="00531F26"/>
    <w:rsid w:val="00532299"/>
    <w:rsid w:val="005323DA"/>
    <w:rsid w:val="0053277C"/>
    <w:rsid w:val="005327C0"/>
    <w:rsid w:val="00533101"/>
    <w:rsid w:val="00533CA9"/>
    <w:rsid w:val="00533EA7"/>
    <w:rsid w:val="005346AD"/>
    <w:rsid w:val="00534EFB"/>
    <w:rsid w:val="00534F60"/>
    <w:rsid w:val="005357F1"/>
    <w:rsid w:val="00536053"/>
    <w:rsid w:val="00536985"/>
    <w:rsid w:val="005369E6"/>
    <w:rsid w:val="00537079"/>
    <w:rsid w:val="005371AC"/>
    <w:rsid w:val="00537672"/>
    <w:rsid w:val="0053772F"/>
    <w:rsid w:val="00537B77"/>
    <w:rsid w:val="00540C4C"/>
    <w:rsid w:val="00541469"/>
    <w:rsid w:val="00541571"/>
    <w:rsid w:val="00541B1F"/>
    <w:rsid w:val="0054275A"/>
    <w:rsid w:val="005428B8"/>
    <w:rsid w:val="00542BD7"/>
    <w:rsid w:val="00543084"/>
    <w:rsid w:val="00543584"/>
    <w:rsid w:val="005439B2"/>
    <w:rsid w:val="00543A9E"/>
    <w:rsid w:val="0054413A"/>
    <w:rsid w:val="00544288"/>
    <w:rsid w:val="005446BB"/>
    <w:rsid w:val="005448C8"/>
    <w:rsid w:val="00544DA5"/>
    <w:rsid w:val="00544F43"/>
    <w:rsid w:val="00545E30"/>
    <w:rsid w:val="00545EA3"/>
    <w:rsid w:val="005465E8"/>
    <w:rsid w:val="00546C2A"/>
    <w:rsid w:val="00546C9B"/>
    <w:rsid w:val="005476A5"/>
    <w:rsid w:val="00547BF6"/>
    <w:rsid w:val="00547FB3"/>
    <w:rsid w:val="00551098"/>
    <w:rsid w:val="00551598"/>
    <w:rsid w:val="0055162B"/>
    <w:rsid w:val="00551BFF"/>
    <w:rsid w:val="00551D68"/>
    <w:rsid w:val="00551DFF"/>
    <w:rsid w:val="005525C9"/>
    <w:rsid w:val="00552B3E"/>
    <w:rsid w:val="00552FB2"/>
    <w:rsid w:val="00554D57"/>
    <w:rsid w:val="005551AA"/>
    <w:rsid w:val="00555D01"/>
    <w:rsid w:val="005564CA"/>
    <w:rsid w:val="005568EA"/>
    <w:rsid w:val="00557140"/>
    <w:rsid w:val="00557984"/>
    <w:rsid w:val="00557CFB"/>
    <w:rsid w:val="00560C87"/>
    <w:rsid w:val="00560F51"/>
    <w:rsid w:val="00561249"/>
    <w:rsid w:val="0056182B"/>
    <w:rsid w:val="00561AF3"/>
    <w:rsid w:val="00561E0B"/>
    <w:rsid w:val="00562141"/>
    <w:rsid w:val="00562891"/>
    <w:rsid w:val="00562D86"/>
    <w:rsid w:val="00563210"/>
    <w:rsid w:val="00564704"/>
    <w:rsid w:val="00564712"/>
    <w:rsid w:val="005657A8"/>
    <w:rsid w:val="00565952"/>
    <w:rsid w:val="00566866"/>
    <w:rsid w:val="005670A5"/>
    <w:rsid w:val="00567285"/>
    <w:rsid w:val="00567723"/>
    <w:rsid w:val="0056772D"/>
    <w:rsid w:val="00567AB8"/>
    <w:rsid w:val="00570A26"/>
    <w:rsid w:val="00570CFD"/>
    <w:rsid w:val="00571872"/>
    <w:rsid w:val="0057221F"/>
    <w:rsid w:val="00572539"/>
    <w:rsid w:val="00572E46"/>
    <w:rsid w:val="00573355"/>
    <w:rsid w:val="0057337D"/>
    <w:rsid w:val="00573450"/>
    <w:rsid w:val="00573504"/>
    <w:rsid w:val="00573BA3"/>
    <w:rsid w:val="00573C8C"/>
    <w:rsid w:val="005745F3"/>
    <w:rsid w:val="00574708"/>
    <w:rsid w:val="00574D81"/>
    <w:rsid w:val="005756AA"/>
    <w:rsid w:val="0057696F"/>
    <w:rsid w:val="00576C37"/>
    <w:rsid w:val="00576E5C"/>
    <w:rsid w:val="00577458"/>
    <w:rsid w:val="005774FE"/>
    <w:rsid w:val="0058040C"/>
    <w:rsid w:val="00580937"/>
    <w:rsid w:val="00580D6D"/>
    <w:rsid w:val="005812E4"/>
    <w:rsid w:val="005813DE"/>
    <w:rsid w:val="00581768"/>
    <w:rsid w:val="00581796"/>
    <w:rsid w:val="00581B45"/>
    <w:rsid w:val="0058239C"/>
    <w:rsid w:val="00582480"/>
    <w:rsid w:val="00582805"/>
    <w:rsid w:val="0058290E"/>
    <w:rsid w:val="00582CAB"/>
    <w:rsid w:val="00582D08"/>
    <w:rsid w:val="00582FA6"/>
    <w:rsid w:val="0058375E"/>
    <w:rsid w:val="005840B1"/>
    <w:rsid w:val="00584233"/>
    <w:rsid w:val="005842D0"/>
    <w:rsid w:val="005845FB"/>
    <w:rsid w:val="00585128"/>
    <w:rsid w:val="005855AE"/>
    <w:rsid w:val="00585829"/>
    <w:rsid w:val="00585C52"/>
    <w:rsid w:val="00585CA8"/>
    <w:rsid w:val="00586412"/>
    <w:rsid w:val="005864B9"/>
    <w:rsid w:val="005866C4"/>
    <w:rsid w:val="00590F1A"/>
    <w:rsid w:val="00591C03"/>
    <w:rsid w:val="00591D9E"/>
    <w:rsid w:val="00591E2A"/>
    <w:rsid w:val="005923C4"/>
    <w:rsid w:val="00593EA2"/>
    <w:rsid w:val="00593F75"/>
    <w:rsid w:val="005940A0"/>
    <w:rsid w:val="0059429A"/>
    <w:rsid w:val="00594462"/>
    <w:rsid w:val="00594CBE"/>
    <w:rsid w:val="00594DE2"/>
    <w:rsid w:val="005950CB"/>
    <w:rsid w:val="00596AF7"/>
    <w:rsid w:val="00596CCE"/>
    <w:rsid w:val="00597B2F"/>
    <w:rsid w:val="005A1976"/>
    <w:rsid w:val="005A2120"/>
    <w:rsid w:val="005A2501"/>
    <w:rsid w:val="005A2C80"/>
    <w:rsid w:val="005A3066"/>
    <w:rsid w:val="005A3B35"/>
    <w:rsid w:val="005A3C4B"/>
    <w:rsid w:val="005A3C85"/>
    <w:rsid w:val="005A3E5A"/>
    <w:rsid w:val="005A4399"/>
    <w:rsid w:val="005A43F3"/>
    <w:rsid w:val="005A496F"/>
    <w:rsid w:val="005A4A56"/>
    <w:rsid w:val="005A5608"/>
    <w:rsid w:val="005A5A3D"/>
    <w:rsid w:val="005A6035"/>
    <w:rsid w:val="005A6B75"/>
    <w:rsid w:val="005A6E00"/>
    <w:rsid w:val="005A718A"/>
    <w:rsid w:val="005A7209"/>
    <w:rsid w:val="005A7752"/>
    <w:rsid w:val="005A7885"/>
    <w:rsid w:val="005B12B2"/>
    <w:rsid w:val="005B143B"/>
    <w:rsid w:val="005B150B"/>
    <w:rsid w:val="005B19BD"/>
    <w:rsid w:val="005B1E45"/>
    <w:rsid w:val="005B21C4"/>
    <w:rsid w:val="005B2A28"/>
    <w:rsid w:val="005B3621"/>
    <w:rsid w:val="005B4948"/>
    <w:rsid w:val="005B501D"/>
    <w:rsid w:val="005B54CC"/>
    <w:rsid w:val="005B74AD"/>
    <w:rsid w:val="005B7551"/>
    <w:rsid w:val="005B7E96"/>
    <w:rsid w:val="005C0429"/>
    <w:rsid w:val="005C084F"/>
    <w:rsid w:val="005C0EE9"/>
    <w:rsid w:val="005C12DB"/>
    <w:rsid w:val="005C16A8"/>
    <w:rsid w:val="005C1716"/>
    <w:rsid w:val="005C1954"/>
    <w:rsid w:val="005C1C0B"/>
    <w:rsid w:val="005C2011"/>
    <w:rsid w:val="005C3DCB"/>
    <w:rsid w:val="005C3EA3"/>
    <w:rsid w:val="005C4161"/>
    <w:rsid w:val="005C44DE"/>
    <w:rsid w:val="005C4E6D"/>
    <w:rsid w:val="005C5011"/>
    <w:rsid w:val="005C5241"/>
    <w:rsid w:val="005C529E"/>
    <w:rsid w:val="005C57BA"/>
    <w:rsid w:val="005C5C52"/>
    <w:rsid w:val="005C5D3D"/>
    <w:rsid w:val="005C5F05"/>
    <w:rsid w:val="005C6186"/>
    <w:rsid w:val="005C7B9B"/>
    <w:rsid w:val="005C7E45"/>
    <w:rsid w:val="005C7F3E"/>
    <w:rsid w:val="005D06D3"/>
    <w:rsid w:val="005D0C3B"/>
    <w:rsid w:val="005D1051"/>
    <w:rsid w:val="005D1606"/>
    <w:rsid w:val="005D18D1"/>
    <w:rsid w:val="005D2044"/>
    <w:rsid w:val="005D2917"/>
    <w:rsid w:val="005D2EB2"/>
    <w:rsid w:val="005D2F48"/>
    <w:rsid w:val="005D3B32"/>
    <w:rsid w:val="005D464B"/>
    <w:rsid w:val="005D466F"/>
    <w:rsid w:val="005D49F0"/>
    <w:rsid w:val="005D51F7"/>
    <w:rsid w:val="005D51FA"/>
    <w:rsid w:val="005D53E8"/>
    <w:rsid w:val="005D577C"/>
    <w:rsid w:val="005D5A9D"/>
    <w:rsid w:val="005D6651"/>
    <w:rsid w:val="005D691D"/>
    <w:rsid w:val="005D6A72"/>
    <w:rsid w:val="005D6F38"/>
    <w:rsid w:val="005D72AD"/>
    <w:rsid w:val="005D7516"/>
    <w:rsid w:val="005D791B"/>
    <w:rsid w:val="005D7CF2"/>
    <w:rsid w:val="005D7EB1"/>
    <w:rsid w:val="005D7F1C"/>
    <w:rsid w:val="005D7F92"/>
    <w:rsid w:val="005E0297"/>
    <w:rsid w:val="005E09B0"/>
    <w:rsid w:val="005E0D7B"/>
    <w:rsid w:val="005E1595"/>
    <w:rsid w:val="005E1F1D"/>
    <w:rsid w:val="005E273D"/>
    <w:rsid w:val="005E2FD1"/>
    <w:rsid w:val="005E3278"/>
    <w:rsid w:val="005E3365"/>
    <w:rsid w:val="005E363B"/>
    <w:rsid w:val="005E3736"/>
    <w:rsid w:val="005E3A24"/>
    <w:rsid w:val="005E5AAC"/>
    <w:rsid w:val="005E6E1D"/>
    <w:rsid w:val="005F1044"/>
    <w:rsid w:val="005F1E4E"/>
    <w:rsid w:val="005F305B"/>
    <w:rsid w:val="005F3081"/>
    <w:rsid w:val="005F3361"/>
    <w:rsid w:val="005F3B47"/>
    <w:rsid w:val="005F40A5"/>
    <w:rsid w:val="005F4481"/>
    <w:rsid w:val="005F47AC"/>
    <w:rsid w:val="005F49AF"/>
    <w:rsid w:val="005F4A58"/>
    <w:rsid w:val="005F54DF"/>
    <w:rsid w:val="005F581C"/>
    <w:rsid w:val="005F5888"/>
    <w:rsid w:val="005F5984"/>
    <w:rsid w:val="005F5EAB"/>
    <w:rsid w:val="005F6CE2"/>
    <w:rsid w:val="005F6F24"/>
    <w:rsid w:val="005F72E9"/>
    <w:rsid w:val="005F765D"/>
    <w:rsid w:val="005F76AE"/>
    <w:rsid w:val="005F7797"/>
    <w:rsid w:val="005F780B"/>
    <w:rsid w:val="00600473"/>
    <w:rsid w:val="0060139A"/>
    <w:rsid w:val="006013C9"/>
    <w:rsid w:val="00601689"/>
    <w:rsid w:val="0060218C"/>
    <w:rsid w:val="00602B45"/>
    <w:rsid w:val="00603499"/>
    <w:rsid w:val="006035F5"/>
    <w:rsid w:val="00603CC2"/>
    <w:rsid w:val="00604537"/>
    <w:rsid w:val="006047D1"/>
    <w:rsid w:val="00604A55"/>
    <w:rsid w:val="00604D4E"/>
    <w:rsid w:val="00604E3E"/>
    <w:rsid w:val="00605AC3"/>
    <w:rsid w:val="00606908"/>
    <w:rsid w:val="00606B13"/>
    <w:rsid w:val="00607996"/>
    <w:rsid w:val="00607A37"/>
    <w:rsid w:val="00607E0A"/>
    <w:rsid w:val="00607E9F"/>
    <w:rsid w:val="0061085E"/>
    <w:rsid w:val="00611398"/>
    <w:rsid w:val="00612322"/>
    <w:rsid w:val="006123C0"/>
    <w:rsid w:val="00612DF1"/>
    <w:rsid w:val="006130D4"/>
    <w:rsid w:val="00613191"/>
    <w:rsid w:val="006133F9"/>
    <w:rsid w:val="006134B3"/>
    <w:rsid w:val="00613DE1"/>
    <w:rsid w:val="0061401F"/>
    <w:rsid w:val="00614166"/>
    <w:rsid w:val="00614817"/>
    <w:rsid w:val="006149CC"/>
    <w:rsid w:val="0061535F"/>
    <w:rsid w:val="006157A9"/>
    <w:rsid w:val="0061584D"/>
    <w:rsid w:val="0061591D"/>
    <w:rsid w:val="00615C46"/>
    <w:rsid w:val="00615ED0"/>
    <w:rsid w:val="0061604C"/>
    <w:rsid w:val="00616B1C"/>
    <w:rsid w:val="00616C2B"/>
    <w:rsid w:val="00616D7F"/>
    <w:rsid w:val="0061708E"/>
    <w:rsid w:val="006177DB"/>
    <w:rsid w:val="006178D1"/>
    <w:rsid w:val="00620719"/>
    <w:rsid w:val="006212C9"/>
    <w:rsid w:val="0062183A"/>
    <w:rsid w:val="00621C06"/>
    <w:rsid w:val="00621D0C"/>
    <w:rsid w:val="00622470"/>
    <w:rsid w:val="00622725"/>
    <w:rsid w:val="00622F49"/>
    <w:rsid w:val="006231AA"/>
    <w:rsid w:val="00623482"/>
    <w:rsid w:val="00623AC2"/>
    <w:rsid w:val="00623D46"/>
    <w:rsid w:val="00623EBC"/>
    <w:rsid w:val="006244CF"/>
    <w:rsid w:val="006266D7"/>
    <w:rsid w:val="0062698D"/>
    <w:rsid w:val="00626D42"/>
    <w:rsid w:val="00626EE3"/>
    <w:rsid w:val="006274AD"/>
    <w:rsid w:val="00627519"/>
    <w:rsid w:val="00627532"/>
    <w:rsid w:val="00627652"/>
    <w:rsid w:val="006302AA"/>
    <w:rsid w:val="006310C3"/>
    <w:rsid w:val="0063143E"/>
    <w:rsid w:val="0063161E"/>
    <w:rsid w:val="00631BB5"/>
    <w:rsid w:val="00631DD0"/>
    <w:rsid w:val="006323D3"/>
    <w:rsid w:val="00633DBF"/>
    <w:rsid w:val="00634122"/>
    <w:rsid w:val="00634261"/>
    <w:rsid w:val="00635D25"/>
    <w:rsid w:val="00635E00"/>
    <w:rsid w:val="00635E32"/>
    <w:rsid w:val="006360FC"/>
    <w:rsid w:val="006364DB"/>
    <w:rsid w:val="006365DE"/>
    <w:rsid w:val="00636BE4"/>
    <w:rsid w:val="00636F88"/>
    <w:rsid w:val="0063732C"/>
    <w:rsid w:val="00637802"/>
    <w:rsid w:val="00637836"/>
    <w:rsid w:val="00637C26"/>
    <w:rsid w:val="00637F44"/>
    <w:rsid w:val="00641078"/>
    <w:rsid w:val="00641242"/>
    <w:rsid w:val="00642A32"/>
    <w:rsid w:val="006433D5"/>
    <w:rsid w:val="00643412"/>
    <w:rsid w:val="0064414A"/>
    <w:rsid w:val="006445C1"/>
    <w:rsid w:val="006459D3"/>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971"/>
    <w:rsid w:val="00654A38"/>
    <w:rsid w:val="00655301"/>
    <w:rsid w:val="00655371"/>
    <w:rsid w:val="0065548D"/>
    <w:rsid w:val="00655507"/>
    <w:rsid w:val="00656C4B"/>
    <w:rsid w:val="006573EA"/>
    <w:rsid w:val="0066073F"/>
    <w:rsid w:val="00661029"/>
    <w:rsid w:val="0066135A"/>
    <w:rsid w:val="00661A38"/>
    <w:rsid w:val="0066272D"/>
    <w:rsid w:val="00662E58"/>
    <w:rsid w:val="00662F39"/>
    <w:rsid w:val="006635A0"/>
    <w:rsid w:val="00664351"/>
    <w:rsid w:val="00665968"/>
    <w:rsid w:val="00665BF7"/>
    <w:rsid w:val="00666178"/>
    <w:rsid w:val="0066639E"/>
    <w:rsid w:val="00666473"/>
    <w:rsid w:val="00666754"/>
    <w:rsid w:val="00666C72"/>
    <w:rsid w:val="00666E6C"/>
    <w:rsid w:val="0066707F"/>
    <w:rsid w:val="006671DB"/>
    <w:rsid w:val="00667ED8"/>
    <w:rsid w:val="0067064C"/>
    <w:rsid w:val="00670B20"/>
    <w:rsid w:val="00670BA4"/>
    <w:rsid w:val="00670E12"/>
    <w:rsid w:val="00670F27"/>
    <w:rsid w:val="0067105C"/>
    <w:rsid w:val="00671B38"/>
    <w:rsid w:val="00672E80"/>
    <w:rsid w:val="0067333F"/>
    <w:rsid w:val="006739E4"/>
    <w:rsid w:val="00673ECF"/>
    <w:rsid w:val="0067426B"/>
    <w:rsid w:val="006749F5"/>
    <w:rsid w:val="00674A1B"/>
    <w:rsid w:val="00674F1C"/>
    <w:rsid w:val="0067519F"/>
    <w:rsid w:val="006754F8"/>
    <w:rsid w:val="00676127"/>
    <w:rsid w:val="00676866"/>
    <w:rsid w:val="00676AED"/>
    <w:rsid w:val="00677E9C"/>
    <w:rsid w:val="00677F26"/>
    <w:rsid w:val="00677F92"/>
    <w:rsid w:val="006800EE"/>
    <w:rsid w:val="00680297"/>
    <w:rsid w:val="006802A7"/>
    <w:rsid w:val="006811C9"/>
    <w:rsid w:val="006812CE"/>
    <w:rsid w:val="006826C1"/>
    <w:rsid w:val="00682C89"/>
    <w:rsid w:val="006832B8"/>
    <w:rsid w:val="006837B2"/>
    <w:rsid w:val="00683800"/>
    <w:rsid w:val="00684462"/>
    <w:rsid w:val="006846D7"/>
    <w:rsid w:val="0068482E"/>
    <w:rsid w:val="00684C8A"/>
    <w:rsid w:val="00684CF5"/>
    <w:rsid w:val="0068553E"/>
    <w:rsid w:val="00685E7B"/>
    <w:rsid w:val="00686551"/>
    <w:rsid w:val="006866B4"/>
    <w:rsid w:val="00686CAB"/>
    <w:rsid w:val="00686E4D"/>
    <w:rsid w:val="0068717F"/>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401"/>
    <w:rsid w:val="00697665"/>
    <w:rsid w:val="006979BF"/>
    <w:rsid w:val="00697C9A"/>
    <w:rsid w:val="00697E68"/>
    <w:rsid w:val="00697FC1"/>
    <w:rsid w:val="006A0274"/>
    <w:rsid w:val="006A0FDD"/>
    <w:rsid w:val="006A103E"/>
    <w:rsid w:val="006A21BC"/>
    <w:rsid w:val="006A27BC"/>
    <w:rsid w:val="006A2A43"/>
    <w:rsid w:val="006A2BEE"/>
    <w:rsid w:val="006A2BF1"/>
    <w:rsid w:val="006A2F9A"/>
    <w:rsid w:val="006A34E4"/>
    <w:rsid w:val="006A3A5A"/>
    <w:rsid w:val="006A44CF"/>
    <w:rsid w:val="006A457D"/>
    <w:rsid w:val="006A4C06"/>
    <w:rsid w:val="006A55EE"/>
    <w:rsid w:val="006A575B"/>
    <w:rsid w:val="006A59DE"/>
    <w:rsid w:val="006A5A3C"/>
    <w:rsid w:val="006A64C6"/>
    <w:rsid w:val="006A6655"/>
    <w:rsid w:val="006A6B6B"/>
    <w:rsid w:val="006A6BF9"/>
    <w:rsid w:val="006A7CB5"/>
    <w:rsid w:val="006A7FD0"/>
    <w:rsid w:val="006B00E4"/>
    <w:rsid w:val="006B025C"/>
    <w:rsid w:val="006B08ED"/>
    <w:rsid w:val="006B0BFD"/>
    <w:rsid w:val="006B1AE2"/>
    <w:rsid w:val="006B2534"/>
    <w:rsid w:val="006B2CB2"/>
    <w:rsid w:val="006B347D"/>
    <w:rsid w:val="006B3E19"/>
    <w:rsid w:val="006B4488"/>
    <w:rsid w:val="006B49FC"/>
    <w:rsid w:val="006B50C4"/>
    <w:rsid w:val="006B53AE"/>
    <w:rsid w:val="006B58B4"/>
    <w:rsid w:val="006B67AC"/>
    <w:rsid w:val="006B786A"/>
    <w:rsid w:val="006B7E4E"/>
    <w:rsid w:val="006C003A"/>
    <w:rsid w:val="006C107C"/>
    <w:rsid w:val="006C2454"/>
    <w:rsid w:val="006C2551"/>
    <w:rsid w:val="006C37CA"/>
    <w:rsid w:val="006C40D2"/>
    <w:rsid w:val="006C4273"/>
    <w:rsid w:val="006C4BBD"/>
    <w:rsid w:val="006C50FA"/>
    <w:rsid w:val="006C5B15"/>
    <w:rsid w:val="006C5D32"/>
    <w:rsid w:val="006C5DCB"/>
    <w:rsid w:val="006C6475"/>
    <w:rsid w:val="006C6C54"/>
    <w:rsid w:val="006C70C4"/>
    <w:rsid w:val="006C741F"/>
    <w:rsid w:val="006D04DA"/>
    <w:rsid w:val="006D080E"/>
    <w:rsid w:val="006D10F6"/>
    <w:rsid w:val="006D1544"/>
    <w:rsid w:val="006D1688"/>
    <w:rsid w:val="006D1DD3"/>
    <w:rsid w:val="006D1FF3"/>
    <w:rsid w:val="006D2410"/>
    <w:rsid w:val="006D2C65"/>
    <w:rsid w:val="006D32C6"/>
    <w:rsid w:val="006D3491"/>
    <w:rsid w:val="006D360E"/>
    <w:rsid w:val="006D3697"/>
    <w:rsid w:val="006D39D2"/>
    <w:rsid w:val="006D3F2A"/>
    <w:rsid w:val="006D41A9"/>
    <w:rsid w:val="006D4370"/>
    <w:rsid w:val="006D46A3"/>
    <w:rsid w:val="006D5DAB"/>
    <w:rsid w:val="006D62E0"/>
    <w:rsid w:val="006D658F"/>
    <w:rsid w:val="006D6A12"/>
    <w:rsid w:val="006D6F4D"/>
    <w:rsid w:val="006D712D"/>
    <w:rsid w:val="006D741C"/>
    <w:rsid w:val="006D7687"/>
    <w:rsid w:val="006D784A"/>
    <w:rsid w:val="006D7CF3"/>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2BA2"/>
    <w:rsid w:val="006F36EA"/>
    <w:rsid w:val="006F3C27"/>
    <w:rsid w:val="006F4147"/>
    <w:rsid w:val="006F4315"/>
    <w:rsid w:val="006F4CB0"/>
    <w:rsid w:val="006F4F78"/>
    <w:rsid w:val="006F547E"/>
    <w:rsid w:val="006F5CCF"/>
    <w:rsid w:val="006F6F04"/>
    <w:rsid w:val="006F71F5"/>
    <w:rsid w:val="00700610"/>
    <w:rsid w:val="00700B9C"/>
    <w:rsid w:val="0070138A"/>
    <w:rsid w:val="0070157E"/>
    <w:rsid w:val="007030D4"/>
    <w:rsid w:val="00703262"/>
    <w:rsid w:val="00703279"/>
    <w:rsid w:val="00703B18"/>
    <w:rsid w:val="00703B61"/>
    <w:rsid w:val="00703E11"/>
    <w:rsid w:val="00704102"/>
    <w:rsid w:val="0070437C"/>
    <w:rsid w:val="0070461C"/>
    <w:rsid w:val="00704A8C"/>
    <w:rsid w:val="00705631"/>
    <w:rsid w:val="00705692"/>
    <w:rsid w:val="00705818"/>
    <w:rsid w:val="00705F62"/>
    <w:rsid w:val="007074DB"/>
    <w:rsid w:val="0070773F"/>
    <w:rsid w:val="007078BD"/>
    <w:rsid w:val="00707ED3"/>
    <w:rsid w:val="007101B7"/>
    <w:rsid w:val="00710668"/>
    <w:rsid w:val="007110F4"/>
    <w:rsid w:val="007112B1"/>
    <w:rsid w:val="0071130F"/>
    <w:rsid w:val="007119F3"/>
    <w:rsid w:val="00711B2E"/>
    <w:rsid w:val="00711C90"/>
    <w:rsid w:val="00712714"/>
    <w:rsid w:val="007129AB"/>
    <w:rsid w:val="00712B63"/>
    <w:rsid w:val="00713526"/>
    <w:rsid w:val="007136E4"/>
    <w:rsid w:val="00713B3B"/>
    <w:rsid w:val="00713FC5"/>
    <w:rsid w:val="00714DCA"/>
    <w:rsid w:val="00714F38"/>
    <w:rsid w:val="007159F5"/>
    <w:rsid w:val="00715BBF"/>
    <w:rsid w:val="00715C29"/>
    <w:rsid w:val="00715CBD"/>
    <w:rsid w:val="00715EAA"/>
    <w:rsid w:val="00716CAD"/>
    <w:rsid w:val="00716F18"/>
    <w:rsid w:val="00717363"/>
    <w:rsid w:val="00717786"/>
    <w:rsid w:val="00717ACB"/>
    <w:rsid w:val="007209A2"/>
    <w:rsid w:val="0072138B"/>
    <w:rsid w:val="00721BFF"/>
    <w:rsid w:val="00723475"/>
    <w:rsid w:val="007236C4"/>
    <w:rsid w:val="007242A2"/>
    <w:rsid w:val="00724635"/>
    <w:rsid w:val="00724F21"/>
    <w:rsid w:val="00725134"/>
    <w:rsid w:val="00725359"/>
    <w:rsid w:val="0072544A"/>
    <w:rsid w:val="0072554B"/>
    <w:rsid w:val="00725AFD"/>
    <w:rsid w:val="00725B8C"/>
    <w:rsid w:val="00725E6A"/>
    <w:rsid w:val="00726603"/>
    <w:rsid w:val="00727B1D"/>
    <w:rsid w:val="00727DDC"/>
    <w:rsid w:val="00730CD6"/>
    <w:rsid w:val="00730F74"/>
    <w:rsid w:val="0073114B"/>
    <w:rsid w:val="0073196D"/>
    <w:rsid w:val="007319FA"/>
    <w:rsid w:val="00732151"/>
    <w:rsid w:val="0073223D"/>
    <w:rsid w:val="007338C5"/>
    <w:rsid w:val="00734952"/>
    <w:rsid w:val="00734990"/>
    <w:rsid w:val="00734FF5"/>
    <w:rsid w:val="00735B78"/>
    <w:rsid w:val="00735DA7"/>
    <w:rsid w:val="007368B4"/>
    <w:rsid w:val="007370F9"/>
    <w:rsid w:val="007378E0"/>
    <w:rsid w:val="00737D92"/>
    <w:rsid w:val="00740529"/>
    <w:rsid w:val="00740876"/>
    <w:rsid w:val="00741358"/>
    <w:rsid w:val="00741626"/>
    <w:rsid w:val="00742332"/>
    <w:rsid w:val="00742886"/>
    <w:rsid w:val="00742DD2"/>
    <w:rsid w:val="00742F60"/>
    <w:rsid w:val="00743095"/>
    <w:rsid w:val="007437C6"/>
    <w:rsid w:val="007440CB"/>
    <w:rsid w:val="007441A2"/>
    <w:rsid w:val="00744E80"/>
    <w:rsid w:val="00745035"/>
    <w:rsid w:val="0074531C"/>
    <w:rsid w:val="00745547"/>
    <w:rsid w:val="007459D0"/>
    <w:rsid w:val="00745A1E"/>
    <w:rsid w:val="00745F81"/>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20F0"/>
    <w:rsid w:val="007522E8"/>
    <w:rsid w:val="00753BAC"/>
    <w:rsid w:val="00753E9B"/>
    <w:rsid w:val="00754A0B"/>
    <w:rsid w:val="007552DB"/>
    <w:rsid w:val="00755920"/>
    <w:rsid w:val="00755B08"/>
    <w:rsid w:val="00755DD0"/>
    <w:rsid w:val="007563D0"/>
    <w:rsid w:val="0075647A"/>
    <w:rsid w:val="0075666A"/>
    <w:rsid w:val="00756A2F"/>
    <w:rsid w:val="007573E1"/>
    <w:rsid w:val="0075749E"/>
    <w:rsid w:val="00757722"/>
    <w:rsid w:val="00757B2D"/>
    <w:rsid w:val="00757BAD"/>
    <w:rsid w:val="00757D62"/>
    <w:rsid w:val="00760021"/>
    <w:rsid w:val="00760561"/>
    <w:rsid w:val="00760867"/>
    <w:rsid w:val="00760C6E"/>
    <w:rsid w:val="00760EB6"/>
    <w:rsid w:val="007616DB"/>
    <w:rsid w:val="00761939"/>
    <w:rsid w:val="00761AB7"/>
    <w:rsid w:val="00761C64"/>
    <w:rsid w:val="00761CE6"/>
    <w:rsid w:val="0076228A"/>
    <w:rsid w:val="00762440"/>
    <w:rsid w:val="00762499"/>
    <w:rsid w:val="007629B7"/>
    <w:rsid w:val="00762E60"/>
    <w:rsid w:val="0076308E"/>
    <w:rsid w:val="007634AD"/>
    <w:rsid w:val="00763E0E"/>
    <w:rsid w:val="0076445F"/>
    <w:rsid w:val="00764EC5"/>
    <w:rsid w:val="00765BCA"/>
    <w:rsid w:val="00766A4A"/>
    <w:rsid w:val="00766ECC"/>
    <w:rsid w:val="007672F3"/>
    <w:rsid w:val="007677B5"/>
    <w:rsid w:val="007678B1"/>
    <w:rsid w:val="00767F6E"/>
    <w:rsid w:val="00770093"/>
    <w:rsid w:val="007703DB"/>
    <w:rsid w:val="00770632"/>
    <w:rsid w:val="00770690"/>
    <w:rsid w:val="007708A8"/>
    <w:rsid w:val="00772100"/>
    <w:rsid w:val="00772275"/>
    <w:rsid w:val="00772752"/>
    <w:rsid w:val="007731FA"/>
    <w:rsid w:val="007734E4"/>
    <w:rsid w:val="0077380D"/>
    <w:rsid w:val="00773BC8"/>
    <w:rsid w:val="0077466F"/>
    <w:rsid w:val="007752B7"/>
    <w:rsid w:val="007759A8"/>
    <w:rsid w:val="00775C27"/>
    <w:rsid w:val="00775D98"/>
    <w:rsid w:val="00776DBF"/>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2D6"/>
    <w:rsid w:val="00784392"/>
    <w:rsid w:val="00784FC4"/>
    <w:rsid w:val="007850EC"/>
    <w:rsid w:val="00785353"/>
    <w:rsid w:val="00785BBB"/>
    <w:rsid w:val="00786937"/>
    <w:rsid w:val="00786FAD"/>
    <w:rsid w:val="007870D7"/>
    <w:rsid w:val="0078754B"/>
    <w:rsid w:val="00787D90"/>
    <w:rsid w:val="00787F5E"/>
    <w:rsid w:val="00790164"/>
    <w:rsid w:val="00790A24"/>
    <w:rsid w:val="00790A37"/>
    <w:rsid w:val="00790A60"/>
    <w:rsid w:val="00790D86"/>
    <w:rsid w:val="0079146D"/>
    <w:rsid w:val="007918DF"/>
    <w:rsid w:val="00791C32"/>
    <w:rsid w:val="00791FF0"/>
    <w:rsid w:val="007923D0"/>
    <w:rsid w:val="007930D3"/>
    <w:rsid w:val="007936F2"/>
    <w:rsid w:val="0079381F"/>
    <w:rsid w:val="00793A57"/>
    <w:rsid w:val="00793B2E"/>
    <w:rsid w:val="007948F5"/>
    <w:rsid w:val="00795647"/>
    <w:rsid w:val="007963F6"/>
    <w:rsid w:val="007968B8"/>
    <w:rsid w:val="00796DC8"/>
    <w:rsid w:val="00796E80"/>
    <w:rsid w:val="0079744F"/>
    <w:rsid w:val="007979AD"/>
    <w:rsid w:val="00797A9C"/>
    <w:rsid w:val="007A00FA"/>
    <w:rsid w:val="007A0EAB"/>
    <w:rsid w:val="007A2341"/>
    <w:rsid w:val="007A2754"/>
    <w:rsid w:val="007A2932"/>
    <w:rsid w:val="007A38A1"/>
    <w:rsid w:val="007A3BBE"/>
    <w:rsid w:val="007A4766"/>
    <w:rsid w:val="007A4947"/>
    <w:rsid w:val="007A5747"/>
    <w:rsid w:val="007A5947"/>
    <w:rsid w:val="007A595F"/>
    <w:rsid w:val="007A5C22"/>
    <w:rsid w:val="007A5DB3"/>
    <w:rsid w:val="007A717B"/>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3DA"/>
    <w:rsid w:val="007B5428"/>
    <w:rsid w:val="007B57FF"/>
    <w:rsid w:val="007B59B7"/>
    <w:rsid w:val="007B5C40"/>
    <w:rsid w:val="007B6C64"/>
    <w:rsid w:val="007B6EC8"/>
    <w:rsid w:val="007B6F81"/>
    <w:rsid w:val="007B7878"/>
    <w:rsid w:val="007B7DD4"/>
    <w:rsid w:val="007B7EA2"/>
    <w:rsid w:val="007C097D"/>
    <w:rsid w:val="007C0AF2"/>
    <w:rsid w:val="007C11CE"/>
    <w:rsid w:val="007C1672"/>
    <w:rsid w:val="007C29A0"/>
    <w:rsid w:val="007C2F60"/>
    <w:rsid w:val="007C312A"/>
    <w:rsid w:val="007C338A"/>
    <w:rsid w:val="007C34A9"/>
    <w:rsid w:val="007C3570"/>
    <w:rsid w:val="007C3F3B"/>
    <w:rsid w:val="007C4241"/>
    <w:rsid w:val="007C425E"/>
    <w:rsid w:val="007C51A1"/>
    <w:rsid w:val="007C55FF"/>
    <w:rsid w:val="007C5A87"/>
    <w:rsid w:val="007C5DA2"/>
    <w:rsid w:val="007C6339"/>
    <w:rsid w:val="007C753F"/>
    <w:rsid w:val="007C7C43"/>
    <w:rsid w:val="007C7F0D"/>
    <w:rsid w:val="007D06E3"/>
    <w:rsid w:val="007D1134"/>
    <w:rsid w:val="007D17F0"/>
    <w:rsid w:val="007D23F7"/>
    <w:rsid w:val="007D2566"/>
    <w:rsid w:val="007D2BD2"/>
    <w:rsid w:val="007D2C18"/>
    <w:rsid w:val="007D2D74"/>
    <w:rsid w:val="007D3693"/>
    <w:rsid w:val="007D3C6D"/>
    <w:rsid w:val="007D42D3"/>
    <w:rsid w:val="007D481A"/>
    <w:rsid w:val="007D4D52"/>
    <w:rsid w:val="007D4ED0"/>
    <w:rsid w:val="007D5482"/>
    <w:rsid w:val="007D5648"/>
    <w:rsid w:val="007D58C5"/>
    <w:rsid w:val="007D5DE8"/>
    <w:rsid w:val="007D6FE9"/>
    <w:rsid w:val="007D7CFC"/>
    <w:rsid w:val="007E0812"/>
    <w:rsid w:val="007E18DF"/>
    <w:rsid w:val="007E22B2"/>
    <w:rsid w:val="007E2C36"/>
    <w:rsid w:val="007E3309"/>
    <w:rsid w:val="007E350D"/>
    <w:rsid w:val="007E3ACA"/>
    <w:rsid w:val="007E564D"/>
    <w:rsid w:val="007E5C4A"/>
    <w:rsid w:val="007E64D4"/>
    <w:rsid w:val="007E66E9"/>
    <w:rsid w:val="007E69F2"/>
    <w:rsid w:val="007E7432"/>
    <w:rsid w:val="007E74BF"/>
    <w:rsid w:val="007F063B"/>
    <w:rsid w:val="007F14D3"/>
    <w:rsid w:val="007F1D9D"/>
    <w:rsid w:val="007F1E28"/>
    <w:rsid w:val="007F1F63"/>
    <w:rsid w:val="007F22A0"/>
    <w:rsid w:val="007F2903"/>
    <w:rsid w:val="007F2F90"/>
    <w:rsid w:val="007F3320"/>
    <w:rsid w:val="007F382B"/>
    <w:rsid w:val="007F3AC1"/>
    <w:rsid w:val="007F4976"/>
    <w:rsid w:val="007F52AF"/>
    <w:rsid w:val="007F561C"/>
    <w:rsid w:val="007F5A56"/>
    <w:rsid w:val="007F616E"/>
    <w:rsid w:val="007F6B46"/>
    <w:rsid w:val="007F72CB"/>
    <w:rsid w:val="007F736A"/>
    <w:rsid w:val="007F7635"/>
    <w:rsid w:val="007F785F"/>
    <w:rsid w:val="007F7961"/>
    <w:rsid w:val="007F7AF6"/>
    <w:rsid w:val="007F7B36"/>
    <w:rsid w:val="007F7E36"/>
    <w:rsid w:val="007F7F8E"/>
    <w:rsid w:val="00800E6D"/>
    <w:rsid w:val="008014D9"/>
    <w:rsid w:val="0080150F"/>
    <w:rsid w:val="0080153A"/>
    <w:rsid w:val="00801A2A"/>
    <w:rsid w:val="00802041"/>
    <w:rsid w:val="008022C9"/>
    <w:rsid w:val="008024F9"/>
    <w:rsid w:val="00802605"/>
    <w:rsid w:val="008027F1"/>
    <w:rsid w:val="00802F9E"/>
    <w:rsid w:val="00803700"/>
    <w:rsid w:val="00803D9D"/>
    <w:rsid w:val="00804C3F"/>
    <w:rsid w:val="008059C6"/>
    <w:rsid w:val="00805AD7"/>
    <w:rsid w:val="00805BD6"/>
    <w:rsid w:val="00805DE3"/>
    <w:rsid w:val="00805F78"/>
    <w:rsid w:val="00807C35"/>
    <w:rsid w:val="00807F35"/>
    <w:rsid w:val="00807F69"/>
    <w:rsid w:val="008100F7"/>
    <w:rsid w:val="00810206"/>
    <w:rsid w:val="00811561"/>
    <w:rsid w:val="0081166C"/>
    <w:rsid w:val="00811898"/>
    <w:rsid w:val="00811CDC"/>
    <w:rsid w:val="008124D8"/>
    <w:rsid w:val="0081250A"/>
    <w:rsid w:val="00813A7B"/>
    <w:rsid w:val="00813F04"/>
    <w:rsid w:val="00814C2C"/>
    <w:rsid w:val="0081513E"/>
    <w:rsid w:val="00815DA5"/>
    <w:rsid w:val="00816221"/>
    <w:rsid w:val="00817063"/>
    <w:rsid w:val="00817500"/>
    <w:rsid w:val="0081766B"/>
    <w:rsid w:val="00817D03"/>
    <w:rsid w:val="00820705"/>
    <w:rsid w:val="00820BA7"/>
    <w:rsid w:val="00820CBF"/>
    <w:rsid w:val="00820DBC"/>
    <w:rsid w:val="00820FA8"/>
    <w:rsid w:val="008212FD"/>
    <w:rsid w:val="00821489"/>
    <w:rsid w:val="008217B7"/>
    <w:rsid w:val="0082239B"/>
    <w:rsid w:val="008227CD"/>
    <w:rsid w:val="0082292E"/>
    <w:rsid w:val="00822D06"/>
    <w:rsid w:val="00822EC4"/>
    <w:rsid w:val="0082348D"/>
    <w:rsid w:val="008235ED"/>
    <w:rsid w:val="00823624"/>
    <w:rsid w:val="008236BE"/>
    <w:rsid w:val="008241CE"/>
    <w:rsid w:val="008251BA"/>
    <w:rsid w:val="00825240"/>
    <w:rsid w:val="00825B43"/>
    <w:rsid w:val="00826F71"/>
    <w:rsid w:val="00827CC0"/>
    <w:rsid w:val="00831026"/>
    <w:rsid w:val="0083119B"/>
    <w:rsid w:val="008315FD"/>
    <w:rsid w:val="00831BAE"/>
    <w:rsid w:val="00831DB1"/>
    <w:rsid w:val="00832216"/>
    <w:rsid w:val="00832321"/>
    <w:rsid w:val="00832CD0"/>
    <w:rsid w:val="00833430"/>
    <w:rsid w:val="0083382A"/>
    <w:rsid w:val="00833FD4"/>
    <w:rsid w:val="00834128"/>
    <w:rsid w:val="0083417F"/>
    <w:rsid w:val="00835143"/>
    <w:rsid w:val="0083569B"/>
    <w:rsid w:val="00835741"/>
    <w:rsid w:val="0083622D"/>
    <w:rsid w:val="00836E74"/>
    <w:rsid w:val="00836EAB"/>
    <w:rsid w:val="00836FDF"/>
    <w:rsid w:val="00837673"/>
    <w:rsid w:val="00837937"/>
    <w:rsid w:val="00837D82"/>
    <w:rsid w:val="00840893"/>
    <w:rsid w:val="00840A8F"/>
    <w:rsid w:val="00840E88"/>
    <w:rsid w:val="008417E8"/>
    <w:rsid w:val="008418BE"/>
    <w:rsid w:val="008423EC"/>
    <w:rsid w:val="008429A6"/>
    <w:rsid w:val="00843615"/>
    <w:rsid w:val="00843698"/>
    <w:rsid w:val="008439E4"/>
    <w:rsid w:val="00843A4B"/>
    <w:rsid w:val="00843AAC"/>
    <w:rsid w:val="00843B57"/>
    <w:rsid w:val="00843B60"/>
    <w:rsid w:val="00843D33"/>
    <w:rsid w:val="008440DF"/>
    <w:rsid w:val="008444F0"/>
    <w:rsid w:val="00844D4F"/>
    <w:rsid w:val="00845AE3"/>
    <w:rsid w:val="008466A0"/>
    <w:rsid w:val="00847535"/>
    <w:rsid w:val="00847B6D"/>
    <w:rsid w:val="00850172"/>
    <w:rsid w:val="0085092D"/>
    <w:rsid w:val="00850C6C"/>
    <w:rsid w:val="00850C79"/>
    <w:rsid w:val="00850D82"/>
    <w:rsid w:val="00850F79"/>
    <w:rsid w:val="0085100B"/>
    <w:rsid w:val="00852C43"/>
    <w:rsid w:val="0085304C"/>
    <w:rsid w:val="008536BB"/>
    <w:rsid w:val="00853A3C"/>
    <w:rsid w:val="008548CA"/>
    <w:rsid w:val="00854ACB"/>
    <w:rsid w:val="00856B9F"/>
    <w:rsid w:val="00856C06"/>
    <w:rsid w:val="0085790B"/>
    <w:rsid w:val="008579B9"/>
    <w:rsid w:val="00857C95"/>
    <w:rsid w:val="00857E78"/>
    <w:rsid w:val="00860AEF"/>
    <w:rsid w:val="00860B18"/>
    <w:rsid w:val="00860D5E"/>
    <w:rsid w:val="0086122C"/>
    <w:rsid w:val="00861310"/>
    <w:rsid w:val="0086136D"/>
    <w:rsid w:val="00861F53"/>
    <w:rsid w:val="0086289E"/>
    <w:rsid w:val="008629CB"/>
    <w:rsid w:val="00862E11"/>
    <w:rsid w:val="0086394E"/>
    <w:rsid w:val="00863F8A"/>
    <w:rsid w:val="00863FE3"/>
    <w:rsid w:val="00864241"/>
    <w:rsid w:val="0086468A"/>
    <w:rsid w:val="008650BE"/>
    <w:rsid w:val="0086633B"/>
    <w:rsid w:val="00866495"/>
    <w:rsid w:val="00866881"/>
    <w:rsid w:val="00866931"/>
    <w:rsid w:val="00866AAA"/>
    <w:rsid w:val="00867512"/>
    <w:rsid w:val="008678A3"/>
    <w:rsid w:val="00867C13"/>
    <w:rsid w:val="00867C1D"/>
    <w:rsid w:val="0087033C"/>
    <w:rsid w:val="00870C8D"/>
    <w:rsid w:val="008715ED"/>
    <w:rsid w:val="008717D8"/>
    <w:rsid w:val="00871E3C"/>
    <w:rsid w:val="00872CC1"/>
    <w:rsid w:val="00872F97"/>
    <w:rsid w:val="00873149"/>
    <w:rsid w:val="00873E79"/>
    <w:rsid w:val="00874607"/>
    <w:rsid w:val="00874915"/>
    <w:rsid w:val="00874ACD"/>
    <w:rsid w:val="00874ACF"/>
    <w:rsid w:val="00874B89"/>
    <w:rsid w:val="00875403"/>
    <w:rsid w:val="00875434"/>
    <w:rsid w:val="00875C1F"/>
    <w:rsid w:val="00876215"/>
    <w:rsid w:val="0087646C"/>
    <w:rsid w:val="00876815"/>
    <w:rsid w:val="00877932"/>
    <w:rsid w:val="00880744"/>
    <w:rsid w:val="008808C7"/>
    <w:rsid w:val="0088106B"/>
    <w:rsid w:val="0088107D"/>
    <w:rsid w:val="008815D1"/>
    <w:rsid w:val="00881E64"/>
    <w:rsid w:val="00882E39"/>
    <w:rsid w:val="008850EB"/>
    <w:rsid w:val="00885228"/>
    <w:rsid w:val="0088680C"/>
    <w:rsid w:val="00886DF2"/>
    <w:rsid w:val="00886FB9"/>
    <w:rsid w:val="00887057"/>
    <w:rsid w:val="00887080"/>
    <w:rsid w:val="00887563"/>
    <w:rsid w:val="00887C79"/>
    <w:rsid w:val="0089091B"/>
    <w:rsid w:val="0089107B"/>
    <w:rsid w:val="008913CC"/>
    <w:rsid w:val="008914AE"/>
    <w:rsid w:val="008919CF"/>
    <w:rsid w:val="00891BB6"/>
    <w:rsid w:val="00891EDC"/>
    <w:rsid w:val="00891F84"/>
    <w:rsid w:val="008928EC"/>
    <w:rsid w:val="00892B7C"/>
    <w:rsid w:val="00892E5D"/>
    <w:rsid w:val="008935CF"/>
    <w:rsid w:val="0089425E"/>
    <w:rsid w:val="0089436B"/>
    <w:rsid w:val="00894436"/>
    <w:rsid w:val="0089494C"/>
    <w:rsid w:val="00894BB1"/>
    <w:rsid w:val="00894C4E"/>
    <w:rsid w:val="008951D0"/>
    <w:rsid w:val="00895828"/>
    <w:rsid w:val="0089582D"/>
    <w:rsid w:val="008959C6"/>
    <w:rsid w:val="0089606D"/>
    <w:rsid w:val="00896129"/>
    <w:rsid w:val="00896316"/>
    <w:rsid w:val="00896873"/>
    <w:rsid w:val="0089774F"/>
    <w:rsid w:val="00897875"/>
    <w:rsid w:val="00897B8F"/>
    <w:rsid w:val="008A00D9"/>
    <w:rsid w:val="008A07D5"/>
    <w:rsid w:val="008A187A"/>
    <w:rsid w:val="008A1FB7"/>
    <w:rsid w:val="008A229A"/>
    <w:rsid w:val="008A2A23"/>
    <w:rsid w:val="008A2AF5"/>
    <w:rsid w:val="008A2B5A"/>
    <w:rsid w:val="008A3F9D"/>
    <w:rsid w:val="008A4799"/>
    <w:rsid w:val="008A5474"/>
    <w:rsid w:val="008A5C9A"/>
    <w:rsid w:val="008A6005"/>
    <w:rsid w:val="008A614F"/>
    <w:rsid w:val="008A6273"/>
    <w:rsid w:val="008A6A55"/>
    <w:rsid w:val="008A6DF0"/>
    <w:rsid w:val="008A6F6E"/>
    <w:rsid w:val="008A7888"/>
    <w:rsid w:val="008A796E"/>
    <w:rsid w:val="008B0862"/>
    <w:rsid w:val="008B088C"/>
    <w:rsid w:val="008B1475"/>
    <w:rsid w:val="008B1BF5"/>
    <w:rsid w:val="008B2332"/>
    <w:rsid w:val="008B263F"/>
    <w:rsid w:val="008B3045"/>
    <w:rsid w:val="008B47A6"/>
    <w:rsid w:val="008B672C"/>
    <w:rsid w:val="008C065F"/>
    <w:rsid w:val="008C0743"/>
    <w:rsid w:val="008C0B4C"/>
    <w:rsid w:val="008C11F0"/>
    <w:rsid w:val="008C1DBA"/>
    <w:rsid w:val="008C24E7"/>
    <w:rsid w:val="008C2500"/>
    <w:rsid w:val="008C2CAC"/>
    <w:rsid w:val="008C2D70"/>
    <w:rsid w:val="008C3C57"/>
    <w:rsid w:val="008C3E2A"/>
    <w:rsid w:val="008C45A3"/>
    <w:rsid w:val="008C45BD"/>
    <w:rsid w:val="008C4B19"/>
    <w:rsid w:val="008C62D4"/>
    <w:rsid w:val="008C6B89"/>
    <w:rsid w:val="008D18AA"/>
    <w:rsid w:val="008D18E2"/>
    <w:rsid w:val="008D1A2A"/>
    <w:rsid w:val="008D1ADE"/>
    <w:rsid w:val="008D27C5"/>
    <w:rsid w:val="008D2D6A"/>
    <w:rsid w:val="008D35D9"/>
    <w:rsid w:val="008D3B79"/>
    <w:rsid w:val="008D3B85"/>
    <w:rsid w:val="008D417D"/>
    <w:rsid w:val="008D462D"/>
    <w:rsid w:val="008D4645"/>
    <w:rsid w:val="008D560B"/>
    <w:rsid w:val="008D6084"/>
    <w:rsid w:val="008D63B5"/>
    <w:rsid w:val="008D64AC"/>
    <w:rsid w:val="008D66CA"/>
    <w:rsid w:val="008D69B1"/>
    <w:rsid w:val="008D7338"/>
    <w:rsid w:val="008D785E"/>
    <w:rsid w:val="008E0012"/>
    <w:rsid w:val="008E0952"/>
    <w:rsid w:val="008E0DF7"/>
    <w:rsid w:val="008E0FAD"/>
    <w:rsid w:val="008E11E4"/>
    <w:rsid w:val="008E1252"/>
    <w:rsid w:val="008E1347"/>
    <w:rsid w:val="008E16E0"/>
    <w:rsid w:val="008E1C15"/>
    <w:rsid w:val="008E1C9A"/>
    <w:rsid w:val="008E2709"/>
    <w:rsid w:val="008E28BD"/>
    <w:rsid w:val="008E30C4"/>
    <w:rsid w:val="008E331C"/>
    <w:rsid w:val="008E38B4"/>
    <w:rsid w:val="008E3BA4"/>
    <w:rsid w:val="008E44AB"/>
    <w:rsid w:val="008E4688"/>
    <w:rsid w:val="008E4F5E"/>
    <w:rsid w:val="008E5179"/>
    <w:rsid w:val="008E57FE"/>
    <w:rsid w:val="008E6598"/>
    <w:rsid w:val="008E7214"/>
    <w:rsid w:val="008E7884"/>
    <w:rsid w:val="008E7D6E"/>
    <w:rsid w:val="008F1056"/>
    <w:rsid w:val="008F2E8D"/>
    <w:rsid w:val="008F361D"/>
    <w:rsid w:val="008F387B"/>
    <w:rsid w:val="008F3DD9"/>
    <w:rsid w:val="008F42F1"/>
    <w:rsid w:val="008F4814"/>
    <w:rsid w:val="008F4DA6"/>
    <w:rsid w:val="008F538E"/>
    <w:rsid w:val="008F5A20"/>
    <w:rsid w:val="008F5ABA"/>
    <w:rsid w:val="008F67B9"/>
    <w:rsid w:val="008F71AB"/>
    <w:rsid w:val="008F7905"/>
    <w:rsid w:val="008F7989"/>
    <w:rsid w:val="00900890"/>
    <w:rsid w:val="0090103E"/>
    <w:rsid w:val="0090106D"/>
    <w:rsid w:val="00901369"/>
    <w:rsid w:val="0090156E"/>
    <w:rsid w:val="00901F1D"/>
    <w:rsid w:val="009020B3"/>
    <w:rsid w:val="009028E8"/>
    <w:rsid w:val="00902E5C"/>
    <w:rsid w:val="00902F36"/>
    <w:rsid w:val="0090363E"/>
    <w:rsid w:val="009046E5"/>
    <w:rsid w:val="009047C5"/>
    <w:rsid w:val="0090648C"/>
    <w:rsid w:val="00906ECE"/>
    <w:rsid w:val="0090700A"/>
    <w:rsid w:val="00910683"/>
    <w:rsid w:val="00910764"/>
    <w:rsid w:val="00910945"/>
    <w:rsid w:val="00910E00"/>
    <w:rsid w:val="009116CE"/>
    <w:rsid w:val="00911714"/>
    <w:rsid w:val="00911774"/>
    <w:rsid w:val="00911D04"/>
    <w:rsid w:val="00911EFF"/>
    <w:rsid w:val="009126F0"/>
    <w:rsid w:val="00912DEF"/>
    <w:rsid w:val="009136D4"/>
    <w:rsid w:val="00914B9A"/>
    <w:rsid w:val="00914C3F"/>
    <w:rsid w:val="00914F33"/>
    <w:rsid w:val="00915FCE"/>
    <w:rsid w:val="00916AFE"/>
    <w:rsid w:val="00916FC8"/>
    <w:rsid w:val="009170D3"/>
    <w:rsid w:val="00917258"/>
    <w:rsid w:val="0091759C"/>
    <w:rsid w:val="00920026"/>
    <w:rsid w:val="009203E2"/>
    <w:rsid w:val="00920F61"/>
    <w:rsid w:val="00921304"/>
    <w:rsid w:val="00921395"/>
    <w:rsid w:val="00921805"/>
    <w:rsid w:val="00921E63"/>
    <w:rsid w:val="009232B9"/>
    <w:rsid w:val="00923396"/>
    <w:rsid w:val="00923B36"/>
    <w:rsid w:val="00923F56"/>
    <w:rsid w:val="00925346"/>
    <w:rsid w:val="00925743"/>
    <w:rsid w:val="0092579F"/>
    <w:rsid w:val="0092643A"/>
    <w:rsid w:val="00926EF7"/>
    <w:rsid w:val="00927E8D"/>
    <w:rsid w:val="00927F23"/>
    <w:rsid w:val="00930144"/>
    <w:rsid w:val="009307CD"/>
    <w:rsid w:val="00930C72"/>
    <w:rsid w:val="009312BE"/>
    <w:rsid w:val="0093133D"/>
    <w:rsid w:val="00931365"/>
    <w:rsid w:val="00931451"/>
    <w:rsid w:val="009314FA"/>
    <w:rsid w:val="0093194F"/>
    <w:rsid w:val="00931BF3"/>
    <w:rsid w:val="00931C55"/>
    <w:rsid w:val="00931D27"/>
    <w:rsid w:val="00933333"/>
    <w:rsid w:val="0093349A"/>
    <w:rsid w:val="009338BA"/>
    <w:rsid w:val="00933FCB"/>
    <w:rsid w:val="00934CEC"/>
    <w:rsid w:val="00934E69"/>
    <w:rsid w:val="00935E70"/>
    <w:rsid w:val="0093609A"/>
    <w:rsid w:val="00937401"/>
    <w:rsid w:val="009376FB"/>
    <w:rsid w:val="00937D6B"/>
    <w:rsid w:val="00940477"/>
    <w:rsid w:val="00940876"/>
    <w:rsid w:val="00940A53"/>
    <w:rsid w:val="00940F3C"/>
    <w:rsid w:val="009410E0"/>
    <w:rsid w:val="00941FA9"/>
    <w:rsid w:val="00942089"/>
    <w:rsid w:val="009444B4"/>
    <w:rsid w:val="00944644"/>
    <w:rsid w:val="00945623"/>
    <w:rsid w:val="00945C62"/>
    <w:rsid w:val="00946A24"/>
    <w:rsid w:val="009470D4"/>
    <w:rsid w:val="00947337"/>
    <w:rsid w:val="00947E6E"/>
    <w:rsid w:val="00947E93"/>
    <w:rsid w:val="0095025D"/>
    <w:rsid w:val="009509DA"/>
    <w:rsid w:val="009512FA"/>
    <w:rsid w:val="009516A9"/>
    <w:rsid w:val="00951E57"/>
    <w:rsid w:val="009524DB"/>
    <w:rsid w:val="00952505"/>
    <w:rsid w:val="00953018"/>
    <w:rsid w:val="009533E2"/>
    <w:rsid w:val="00953554"/>
    <w:rsid w:val="0095385A"/>
    <w:rsid w:val="0095416F"/>
    <w:rsid w:val="0095780A"/>
    <w:rsid w:val="009578C3"/>
    <w:rsid w:val="009579E4"/>
    <w:rsid w:val="00957AA4"/>
    <w:rsid w:val="00957ACB"/>
    <w:rsid w:val="00957F27"/>
    <w:rsid w:val="00960156"/>
    <w:rsid w:val="00960BDB"/>
    <w:rsid w:val="0096105C"/>
    <w:rsid w:val="0096147D"/>
    <w:rsid w:val="00961D53"/>
    <w:rsid w:val="00961E5F"/>
    <w:rsid w:val="009625C6"/>
    <w:rsid w:val="00962794"/>
    <w:rsid w:val="00962980"/>
    <w:rsid w:val="009629B5"/>
    <w:rsid w:val="00962A50"/>
    <w:rsid w:val="00963347"/>
    <w:rsid w:val="0096409A"/>
    <w:rsid w:val="00964138"/>
    <w:rsid w:val="009648D6"/>
    <w:rsid w:val="00964A0B"/>
    <w:rsid w:val="00964B3F"/>
    <w:rsid w:val="00964C98"/>
    <w:rsid w:val="00967100"/>
    <w:rsid w:val="00971441"/>
    <w:rsid w:val="009715D4"/>
    <w:rsid w:val="0097179A"/>
    <w:rsid w:val="00972105"/>
    <w:rsid w:val="00972490"/>
    <w:rsid w:val="009732A4"/>
    <w:rsid w:val="009739CC"/>
    <w:rsid w:val="00973C05"/>
    <w:rsid w:val="0097494E"/>
    <w:rsid w:val="00974999"/>
    <w:rsid w:val="00974B58"/>
    <w:rsid w:val="00975445"/>
    <w:rsid w:val="009761ED"/>
    <w:rsid w:val="0097764C"/>
    <w:rsid w:val="00977991"/>
    <w:rsid w:val="0098022F"/>
    <w:rsid w:val="009808BE"/>
    <w:rsid w:val="00980EAB"/>
    <w:rsid w:val="00980F26"/>
    <w:rsid w:val="00981042"/>
    <w:rsid w:val="009810DE"/>
    <w:rsid w:val="00981B91"/>
    <w:rsid w:val="00981DFC"/>
    <w:rsid w:val="009822D7"/>
    <w:rsid w:val="009827E6"/>
    <w:rsid w:val="00982F84"/>
    <w:rsid w:val="0098427D"/>
    <w:rsid w:val="00984567"/>
    <w:rsid w:val="00984E90"/>
    <w:rsid w:val="00985102"/>
    <w:rsid w:val="009854BC"/>
    <w:rsid w:val="00985D08"/>
    <w:rsid w:val="0098606C"/>
    <w:rsid w:val="009865D5"/>
    <w:rsid w:val="00986DF4"/>
    <w:rsid w:val="00986E96"/>
    <w:rsid w:val="009876F2"/>
    <w:rsid w:val="00987C77"/>
    <w:rsid w:val="00987FED"/>
    <w:rsid w:val="00990345"/>
    <w:rsid w:val="00990701"/>
    <w:rsid w:val="00990E2B"/>
    <w:rsid w:val="0099119C"/>
    <w:rsid w:val="0099137A"/>
    <w:rsid w:val="009917A5"/>
    <w:rsid w:val="00992043"/>
    <w:rsid w:val="0099211C"/>
    <w:rsid w:val="0099349E"/>
    <w:rsid w:val="00993B78"/>
    <w:rsid w:val="00993DBE"/>
    <w:rsid w:val="00995119"/>
    <w:rsid w:val="0099531F"/>
    <w:rsid w:val="009953AD"/>
    <w:rsid w:val="0099583D"/>
    <w:rsid w:val="00996020"/>
    <w:rsid w:val="0099642F"/>
    <w:rsid w:val="00996992"/>
    <w:rsid w:val="00996E1E"/>
    <w:rsid w:val="00997148"/>
    <w:rsid w:val="00997392"/>
    <w:rsid w:val="0099747C"/>
    <w:rsid w:val="0099771C"/>
    <w:rsid w:val="009A01E4"/>
    <w:rsid w:val="009A0917"/>
    <w:rsid w:val="009A0A33"/>
    <w:rsid w:val="009A1351"/>
    <w:rsid w:val="009A2435"/>
    <w:rsid w:val="009A35DC"/>
    <w:rsid w:val="009A38AB"/>
    <w:rsid w:val="009A3A0D"/>
    <w:rsid w:val="009A3C52"/>
    <w:rsid w:val="009A3D47"/>
    <w:rsid w:val="009A4D63"/>
    <w:rsid w:val="009A5356"/>
    <w:rsid w:val="009A5468"/>
    <w:rsid w:val="009A5D99"/>
    <w:rsid w:val="009A608C"/>
    <w:rsid w:val="009A6FDF"/>
    <w:rsid w:val="009A715F"/>
    <w:rsid w:val="009A76D6"/>
    <w:rsid w:val="009B0E0F"/>
    <w:rsid w:val="009B1DA0"/>
    <w:rsid w:val="009B2374"/>
    <w:rsid w:val="009B2E29"/>
    <w:rsid w:val="009B3163"/>
    <w:rsid w:val="009B422F"/>
    <w:rsid w:val="009B46BC"/>
    <w:rsid w:val="009B4D1A"/>
    <w:rsid w:val="009B4D85"/>
    <w:rsid w:val="009B502F"/>
    <w:rsid w:val="009B558B"/>
    <w:rsid w:val="009B5F29"/>
    <w:rsid w:val="009B61D7"/>
    <w:rsid w:val="009B6A34"/>
    <w:rsid w:val="009B6D21"/>
    <w:rsid w:val="009B78ED"/>
    <w:rsid w:val="009C078B"/>
    <w:rsid w:val="009C181C"/>
    <w:rsid w:val="009C1A44"/>
    <w:rsid w:val="009C1C7F"/>
    <w:rsid w:val="009C1EC7"/>
    <w:rsid w:val="009C28A2"/>
    <w:rsid w:val="009C3239"/>
    <w:rsid w:val="009C37CE"/>
    <w:rsid w:val="009C3828"/>
    <w:rsid w:val="009C3AD3"/>
    <w:rsid w:val="009C3AF4"/>
    <w:rsid w:val="009C3D2C"/>
    <w:rsid w:val="009C3DB7"/>
    <w:rsid w:val="009C3FEE"/>
    <w:rsid w:val="009C4987"/>
    <w:rsid w:val="009C4FDE"/>
    <w:rsid w:val="009C523F"/>
    <w:rsid w:val="009C59BF"/>
    <w:rsid w:val="009C5B5F"/>
    <w:rsid w:val="009C5E4F"/>
    <w:rsid w:val="009C5E5C"/>
    <w:rsid w:val="009C5F64"/>
    <w:rsid w:val="009C5F82"/>
    <w:rsid w:val="009C60EA"/>
    <w:rsid w:val="009C6BFC"/>
    <w:rsid w:val="009C70F8"/>
    <w:rsid w:val="009C78A3"/>
    <w:rsid w:val="009C7E68"/>
    <w:rsid w:val="009D00D7"/>
    <w:rsid w:val="009D0156"/>
    <w:rsid w:val="009D05DA"/>
    <w:rsid w:val="009D11F6"/>
    <w:rsid w:val="009D131C"/>
    <w:rsid w:val="009D1A14"/>
    <w:rsid w:val="009D1E2A"/>
    <w:rsid w:val="009D1FA0"/>
    <w:rsid w:val="009D23A4"/>
    <w:rsid w:val="009D2562"/>
    <w:rsid w:val="009D2BDF"/>
    <w:rsid w:val="009D3736"/>
    <w:rsid w:val="009D3EC2"/>
    <w:rsid w:val="009D4529"/>
    <w:rsid w:val="009D5CFD"/>
    <w:rsid w:val="009D604F"/>
    <w:rsid w:val="009D61BB"/>
    <w:rsid w:val="009D6410"/>
    <w:rsid w:val="009D65B8"/>
    <w:rsid w:val="009D6856"/>
    <w:rsid w:val="009D68BB"/>
    <w:rsid w:val="009D7056"/>
    <w:rsid w:val="009D70C2"/>
    <w:rsid w:val="009D75A0"/>
    <w:rsid w:val="009D7ADB"/>
    <w:rsid w:val="009D7B33"/>
    <w:rsid w:val="009E06C3"/>
    <w:rsid w:val="009E0703"/>
    <w:rsid w:val="009E1035"/>
    <w:rsid w:val="009E16DA"/>
    <w:rsid w:val="009E1CD4"/>
    <w:rsid w:val="009E2391"/>
    <w:rsid w:val="009E34A5"/>
    <w:rsid w:val="009E35FE"/>
    <w:rsid w:val="009E41A0"/>
    <w:rsid w:val="009E476A"/>
    <w:rsid w:val="009E4E05"/>
    <w:rsid w:val="009E56FF"/>
    <w:rsid w:val="009E5CB1"/>
    <w:rsid w:val="009E5E56"/>
    <w:rsid w:val="009E61EA"/>
    <w:rsid w:val="009E6990"/>
    <w:rsid w:val="009E6FEE"/>
    <w:rsid w:val="009F00B9"/>
    <w:rsid w:val="009F060F"/>
    <w:rsid w:val="009F0781"/>
    <w:rsid w:val="009F0850"/>
    <w:rsid w:val="009F1BDF"/>
    <w:rsid w:val="009F1EAE"/>
    <w:rsid w:val="009F2C6F"/>
    <w:rsid w:val="009F311F"/>
    <w:rsid w:val="009F369D"/>
    <w:rsid w:val="009F36FE"/>
    <w:rsid w:val="009F4990"/>
    <w:rsid w:val="009F4F25"/>
    <w:rsid w:val="009F59C2"/>
    <w:rsid w:val="009F7263"/>
    <w:rsid w:val="009F76EA"/>
    <w:rsid w:val="009F78EB"/>
    <w:rsid w:val="009F7F32"/>
    <w:rsid w:val="009F7FEB"/>
    <w:rsid w:val="00A003D5"/>
    <w:rsid w:val="00A010FD"/>
    <w:rsid w:val="00A0111D"/>
    <w:rsid w:val="00A014B5"/>
    <w:rsid w:val="00A01852"/>
    <w:rsid w:val="00A0188B"/>
    <w:rsid w:val="00A01E73"/>
    <w:rsid w:val="00A023E7"/>
    <w:rsid w:val="00A02B88"/>
    <w:rsid w:val="00A03160"/>
    <w:rsid w:val="00A036AC"/>
    <w:rsid w:val="00A0385E"/>
    <w:rsid w:val="00A03C54"/>
    <w:rsid w:val="00A03DE5"/>
    <w:rsid w:val="00A041BC"/>
    <w:rsid w:val="00A0447F"/>
    <w:rsid w:val="00A046D2"/>
    <w:rsid w:val="00A04A54"/>
    <w:rsid w:val="00A05587"/>
    <w:rsid w:val="00A05732"/>
    <w:rsid w:val="00A05B4B"/>
    <w:rsid w:val="00A05FED"/>
    <w:rsid w:val="00A066C3"/>
    <w:rsid w:val="00A06754"/>
    <w:rsid w:val="00A069E0"/>
    <w:rsid w:val="00A06E4A"/>
    <w:rsid w:val="00A06EE8"/>
    <w:rsid w:val="00A070E9"/>
    <w:rsid w:val="00A078FB"/>
    <w:rsid w:val="00A1036D"/>
    <w:rsid w:val="00A1069F"/>
    <w:rsid w:val="00A10ACA"/>
    <w:rsid w:val="00A10D08"/>
    <w:rsid w:val="00A11E78"/>
    <w:rsid w:val="00A120A7"/>
    <w:rsid w:val="00A12355"/>
    <w:rsid w:val="00A125D9"/>
    <w:rsid w:val="00A127D2"/>
    <w:rsid w:val="00A12DED"/>
    <w:rsid w:val="00A13C44"/>
    <w:rsid w:val="00A13CF5"/>
    <w:rsid w:val="00A143EC"/>
    <w:rsid w:val="00A149E8"/>
    <w:rsid w:val="00A1500F"/>
    <w:rsid w:val="00A151AD"/>
    <w:rsid w:val="00A15621"/>
    <w:rsid w:val="00A15670"/>
    <w:rsid w:val="00A157A0"/>
    <w:rsid w:val="00A1585B"/>
    <w:rsid w:val="00A15C19"/>
    <w:rsid w:val="00A15FE9"/>
    <w:rsid w:val="00A16052"/>
    <w:rsid w:val="00A167AC"/>
    <w:rsid w:val="00A16809"/>
    <w:rsid w:val="00A17769"/>
    <w:rsid w:val="00A17941"/>
    <w:rsid w:val="00A17C11"/>
    <w:rsid w:val="00A17EA2"/>
    <w:rsid w:val="00A20264"/>
    <w:rsid w:val="00A208E4"/>
    <w:rsid w:val="00A20997"/>
    <w:rsid w:val="00A20B29"/>
    <w:rsid w:val="00A213DD"/>
    <w:rsid w:val="00A21454"/>
    <w:rsid w:val="00A216CE"/>
    <w:rsid w:val="00A22025"/>
    <w:rsid w:val="00A22498"/>
    <w:rsid w:val="00A22571"/>
    <w:rsid w:val="00A2298D"/>
    <w:rsid w:val="00A24560"/>
    <w:rsid w:val="00A25B0F"/>
    <w:rsid w:val="00A25BBB"/>
    <w:rsid w:val="00A26363"/>
    <w:rsid w:val="00A27207"/>
    <w:rsid w:val="00A27FB6"/>
    <w:rsid w:val="00A30121"/>
    <w:rsid w:val="00A30368"/>
    <w:rsid w:val="00A3043A"/>
    <w:rsid w:val="00A30E02"/>
    <w:rsid w:val="00A30F6A"/>
    <w:rsid w:val="00A3157B"/>
    <w:rsid w:val="00A31C3E"/>
    <w:rsid w:val="00A342DF"/>
    <w:rsid w:val="00A34538"/>
    <w:rsid w:val="00A34677"/>
    <w:rsid w:val="00A3540F"/>
    <w:rsid w:val="00A35587"/>
    <w:rsid w:val="00A3559E"/>
    <w:rsid w:val="00A35630"/>
    <w:rsid w:val="00A35692"/>
    <w:rsid w:val="00A35914"/>
    <w:rsid w:val="00A36189"/>
    <w:rsid w:val="00A36D47"/>
    <w:rsid w:val="00A37E73"/>
    <w:rsid w:val="00A37FB6"/>
    <w:rsid w:val="00A40781"/>
    <w:rsid w:val="00A409E2"/>
    <w:rsid w:val="00A40F08"/>
    <w:rsid w:val="00A4104A"/>
    <w:rsid w:val="00A41081"/>
    <w:rsid w:val="00A411CA"/>
    <w:rsid w:val="00A42080"/>
    <w:rsid w:val="00A42096"/>
    <w:rsid w:val="00A426F3"/>
    <w:rsid w:val="00A4271D"/>
    <w:rsid w:val="00A42FDF"/>
    <w:rsid w:val="00A430A9"/>
    <w:rsid w:val="00A431FE"/>
    <w:rsid w:val="00A4324A"/>
    <w:rsid w:val="00A439E5"/>
    <w:rsid w:val="00A43C3E"/>
    <w:rsid w:val="00A4495C"/>
    <w:rsid w:val="00A4497A"/>
    <w:rsid w:val="00A44BE8"/>
    <w:rsid w:val="00A44C96"/>
    <w:rsid w:val="00A44CDD"/>
    <w:rsid w:val="00A44F54"/>
    <w:rsid w:val="00A45EC5"/>
    <w:rsid w:val="00A45F9B"/>
    <w:rsid w:val="00A46574"/>
    <w:rsid w:val="00A500B1"/>
    <w:rsid w:val="00A513C8"/>
    <w:rsid w:val="00A52478"/>
    <w:rsid w:val="00A52A53"/>
    <w:rsid w:val="00A52EE5"/>
    <w:rsid w:val="00A53037"/>
    <w:rsid w:val="00A532B9"/>
    <w:rsid w:val="00A5351D"/>
    <w:rsid w:val="00A53AC2"/>
    <w:rsid w:val="00A53B95"/>
    <w:rsid w:val="00A53E79"/>
    <w:rsid w:val="00A54031"/>
    <w:rsid w:val="00A5426D"/>
    <w:rsid w:val="00A5471D"/>
    <w:rsid w:val="00A54FC2"/>
    <w:rsid w:val="00A55122"/>
    <w:rsid w:val="00A55CEA"/>
    <w:rsid w:val="00A563BD"/>
    <w:rsid w:val="00A56DE7"/>
    <w:rsid w:val="00A57EB2"/>
    <w:rsid w:val="00A60065"/>
    <w:rsid w:val="00A6009E"/>
    <w:rsid w:val="00A60265"/>
    <w:rsid w:val="00A60B1F"/>
    <w:rsid w:val="00A60BF3"/>
    <w:rsid w:val="00A6155D"/>
    <w:rsid w:val="00A61C60"/>
    <w:rsid w:val="00A6202C"/>
    <w:rsid w:val="00A62335"/>
    <w:rsid w:val="00A62589"/>
    <w:rsid w:val="00A62AD0"/>
    <w:rsid w:val="00A62C3A"/>
    <w:rsid w:val="00A62DB2"/>
    <w:rsid w:val="00A62FD9"/>
    <w:rsid w:val="00A6319C"/>
    <w:rsid w:val="00A6326A"/>
    <w:rsid w:val="00A63812"/>
    <w:rsid w:val="00A63DF7"/>
    <w:rsid w:val="00A644CC"/>
    <w:rsid w:val="00A6454D"/>
    <w:rsid w:val="00A64CA9"/>
    <w:rsid w:val="00A64F18"/>
    <w:rsid w:val="00A64F2F"/>
    <w:rsid w:val="00A65EDE"/>
    <w:rsid w:val="00A6611E"/>
    <w:rsid w:val="00A668BA"/>
    <w:rsid w:val="00A66FA7"/>
    <w:rsid w:val="00A67E16"/>
    <w:rsid w:val="00A67EB1"/>
    <w:rsid w:val="00A67F7F"/>
    <w:rsid w:val="00A703CC"/>
    <w:rsid w:val="00A70C5C"/>
    <w:rsid w:val="00A710A2"/>
    <w:rsid w:val="00A71EA7"/>
    <w:rsid w:val="00A71F57"/>
    <w:rsid w:val="00A726DD"/>
    <w:rsid w:val="00A730AD"/>
    <w:rsid w:val="00A73741"/>
    <w:rsid w:val="00A73855"/>
    <w:rsid w:val="00A73D64"/>
    <w:rsid w:val="00A74216"/>
    <w:rsid w:val="00A744B4"/>
    <w:rsid w:val="00A751E3"/>
    <w:rsid w:val="00A75504"/>
    <w:rsid w:val="00A75FD7"/>
    <w:rsid w:val="00A76357"/>
    <w:rsid w:val="00A77168"/>
    <w:rsid w:val="00A7723B"/>
    <w:rsid w:val="00A7793C"/>
    <w:rsid w:val="00A77D21"/>
    <w:rsid w:val="00A77FDE"/>
    <w:rsid w:val="00A80085"/>
    <w:rsid w:val="00A8043B"/>
    <w:rsid w:val="00A80703"/>
    <w:rsid w:val="00A80DA0"/>
    <w:rsid w:val="00A81323"/>
    <w:rsid w:val="00A81E43"/>
    <w:rsid w:val="00A820CB"/>
    <w:rsid w:val="00A82342"/>
    <w:rsid w:val="00A82454"/>
    <w:rsid w:val="00A83BEF"/>
    <w:rsid w:val="00A84443"/>
    <w:rsid w:val="00A8487F"/>
    <w:rsid w:val="00A849A3"/>
    <w:rsid w:val="00A84A0E"/>
    <w:rsid w:val="00A85709"/>
    <w:rsid w:val="00A86E0B"/>
    <w:rsid w:val="00A90F12"/>
    <w:rsid w:val="00A913C7"/>
    <w:rsid w:val="00A91890"/>
    <w:rsid w:val="00A91DAA"/>
    <w:rsid w:val="00A93101"/>
    <w:rsid w:val="00A9366B"/>
    <w:rsid w:val="00A9413E"/>
    <w:rsid w:val="00A94281"/>
    <w:rsid w:val="00A94293"/>
    <w:rsid w:val="00A9496E"/>
    <w:rsid w:val="00A949F0"/>
    <w:rsid w:val="00A94BDE"/>
    <w:rsid w:val="00A94CD7"/>
    <w:rsid w:val="00A94FCA"/>
    <w:rsid w:val="00A95E4C"/>
    <w:rsid w:val="00A96998"/>
    <w:rsid w:val="00A96C60"/>
    <w:rsid w:val="00A9740B"/>
    <w:rsid w:val="00A9766C"/>
    <w:rsid w:val="00A977F8"/>
    <w:rsid w:val="00A979DB"/>
    <w:rsid w:val="00A97C93"/>
    <w:rsid w:val="00AA08E7"/>
    <w:rsid w:val="00AA0A06"/>
    <w:rsid w:val="00AA1351"/>
    <w:rsid w:val="00AA184C"/>
    <w:rsid w:val="00AA19F8"/>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B32"/>
    <w:rsid w:val="00AB2216"/>
    <w:rsid w:val="00AB358D"/>
    <w:rsid w:val="00AB37A1"/>
    <w:rsid w:val="00AB3BAD"/>
    <w:rsid w:val="00AB3CFD"/>
    <w:rsid w:val="00AB410C"/>
    <w:rsid w:val="00AB4244"/>
    <w:rsid w:val="00AB49BC"/>
    <w:rsid w:val="00AB4DEE"/>
    <w:rsid w:val="00AB4E32"/>
    <w:rsid w:val="00AB5649"/>
    <w:rsid w:val="00AB5C19"/>
    <w:rsid w:val="00AB6534"/>
    <w:rsid w:val="00AB724B"/>
    <w:rsid w:val="00AB726C"/>
    <w:rsid w:val="00AB72B4"/>
    <w:rsid w:val="00AB7B86"/>
    <w:rsid w:val="00AC02AA"/>
    <w:rsid w:val="00AC0537"/>
    <w:rsid w:val="00AC0A84"/>
    <w:rsid w:val="00AC1508"/>
    <w:rsid w:val="00AC2A0B"/>
    <w:rsid w:val="00AC2BEE"/>
    <w:rsid w:val="00AC2E53"/>
    <w:rsid w:val="00AC484F"/>
    <w:rsid w:val="00AC4B20"/>
    <w:rsid w:val="00AC56F2"/>
    <w:rsid w:val="00AC71C3"/>
    <w:rsid w:val="00AC7AC6"/>
    <w:rsid w:val="00AD09F7"/>
    <w:rsid w:val="00AD1EFA"/>
    <w:rsid w:val="00AD2072"/>
    <w:rsid w:val="00AD2DBD"/>
    <w:rsid w:val="00AD2FBF"/>
    <w:rsid w:val="00AD31F5"/>
    <w:rsid w:val="00AD33AC"/>
    <w:rsid w:val="00AD340E"/>
    <w:rsid w:val="00AD455D"/>
    <w:rsid w:val="00AD463C"/>
    <w:rsid w:val="00AD4F60"/>
    <w:rsid w:val="00AD5044"/>
    <w:rsid w:val="00AD5114"/>
    <w:rsid w:val="00AD6236"/>
    <w:rsid w:val="00AD69D5"/>
    <w:rsid w:val="00AD6CF7"/>
    <w:rsid w:val="00AD7619"/>
    <w:rsid w:val="00AD7770"/>
    <w:rsid w:val="00AD7BE4"/>
    <w:rsid w:val="00AE04B0"/>
    <w:rsid w:val="00AE1772"/>
    <w:rsid w:val="00AE1990"/>
    <w:rsid w:val="00AE249C"/>
    <w:rsid w:val="00AE25C0"/>
    <w:rsid w:val="00AE25E8"/>
    <w:rsid w:val="00AE2AD4"/>
    <w:rsid w:val="00AE2CA7"/>
    <w:rsid w:val="00AE2F1D"/>
    <w:rsid w:val="00AE4C81"/>
    <w:rsid w:val="00AE534E"/>
    <w:rsid w:val="00AE586F"/>
    <w:rsid w:val="00AE6582"/>
    <w:rsid w:val="00AE6DC5"/>
    <w:rsid w:val="00AE6E4D"/>
    <w:rsid w:val="00AE7686"/>
    <w:rsid w:val="00AE799A"/>
    <w:rsid w:val="00AF041E"/>
    <w:rsid w:val="00AF0E81"/>
    <w:rsid w:val="00AF117A"/>
    <w:rsid w:val="00AF15A7"/>
    <w:rsid w:val="00AF16CA"/>
    <w:rsid w:val="00AF186E"/>
    <w:rsid w:val="00AF19DF"/>
    <w:rsid w:val="00AF1D41"/>
    <w:rsid w:val="00AF26CF"/>
    <w:rsid w:val="00AF2CC5"/>
    <w:rsid w:val="00AF344D"/>
    <w:rsid w:val="00AF39B3"/>
    <w:rsid w:val="00AF4402"/>
    <w:rsid w:val="00AF4639"/>
    <w:rsid w:val="00AF4E92"/>
    <w:rsid w:val="00AF554B"/>
    <w:rsid w:val="00AF5C9B"/>
    <w:rsid w:val="00AF5CED"/>
    <w:rsid w:val="00AF5D53"/>
    <w:rsid w:val="00AF5E2D"/>
    <w:rsid w:val="00AF644B"/>
    <w:rsid w:val="00AF69EB"/>
    <w:rsid w:val="00AF6CA6"/>
    <w:rsid w:val="00AF6EB6"/>
    <w:rsid w:val="00AF7796"/>
    <w:rsid w:val="00AF7EA2"/>
    <w:rsid w:val="00B011A7"/>
    <w:rsid w:val="00B011A9"/>
    <w:rsid w:val="00B01BAF"/>
    <w:rsid w:val="00B024ED"/>
    <w:rsid w:val="00B026B8"/>
    <w:rsid w:val="00B02B49"/>
    <w:rsid w:val="00B02EB3"/>
    <w:rsid w:val="00B02FCB"/>
    <w:rsid w:val="00B033F8"/>
    <w:rsid w:val="00B03C1E"/>
    <w:rsid w:val="00B04259"/>
    <w:rsid w:val="00B043FA"/>
    <w:rsid w:val="00B04400"/>
    <w:rsid w:val="00B04835"/>
    <w:rsid w:val="00B053A0"/>
    <w:rsid w:val="00B05A55"/>
    <w:rsid w:val="00B05DE1"/>
    <w:rsid w:val="00B06595"/>
    <w:rsid w:val="00B06C81"/>
    <w:rsid w:val="00B07439"/>
    <w:rsid w:val="00B10109"/>
    <w:rsid w:val="00B1029D"/>
    <w:rsid w:val="00B10776"/>
    <w:rsid w:val="00B1085E"/>
    <w:rsid w:val="00B10FD1"/>
    <w:rsid w:val="00B1125B"/>
    <w:rsid w:val="00B117EC"/>
    <w:rsid w:val="00B11E1D"/>
    <w:rsid w:val="00B11F65"/>
    <w:rsid w:val="00B1219D"/>
    <w:rsid w:val="00B12735"/>
    <w:rsid w:val="00B12F44"/>
    <w:rsid w:val="00B13C48"/>
    <w:rsid w:val="00B13E35"/>
    <w:rsid w:val="00B13EC0"/>
    <w:rsid w:val="00B14102"/>
    <w:rsid w:val="00B14D32"/>
    <w:rsid w:val="00B1557C"/>
    <w:rsid w:val="00B155DC"/>
    <w:rsid w:val="00B15766"/>
    <w:rsid w:val="00B15E4A"/>
    <w:rsid w:val="00B1666A"/>
    <w:rsid w:val="00B1686D"/>
    <w:rsid w:val="00B16B4F"/>
    <w:rsid w:val="00B16BF7"/>
    <w:rsid w:val="00B17129"/>
    <w:rsid w:val="00B1741D"/>
    <w:rsid w:val="00B17447"/>
    <w:rsid w:val="00B1771D"/>
    <w:rsid w:val="00B1773E"/>
    <w:rsid w:val="00B17B91"/>
    <w:rsid w:val="00B20209"/>
    <w:rsid w:val="00B203C9"/>
    <w:rsid w:val="00B2088D"/>
    <w:rsid w:val="00B208FF"/>
    <w:rsid w:val="00B20943"/>
    <w:rsid w:val="00B22E22"/>
    <w:rsid w:val="00B22F5F"/>
    <w:rsid w:val="00B231D9"/>
    <w:rsid w:val="00B23813"/>
    <w:rsid w:val="00B23FD9"/>
    <w:rsid w:val="00B24342"/>
    <w:rsid w:val="00B24591"/>
    <w:rsid w:val="00B245D5"/>
    <w:rsid w:val="00B245EF"/>
    <w:rsid w:val="00B2464D"/>
    <w:rsid w:val="00B24C36"/>
    <w:rsid w:val="00B24DE5"/>
    <w:rsid w:val="00B24F94"/>
    <w:rsid w:val="00B25126"/>
    <w:rsid w:val="00B25A52"/>
    <w:rsid w:val="00B25FC3"/>
    <w:rsid w:val="00B263B3"/>
    <w:rsid w:val="00B27875"/>
    <w:rsid w:val="00B30001"/>
    <w:rsid w:val="00B3008D"/>
    <w:rsid w:val="00B3050F"/>
    <w:rsid w:val="00B30E11"/>
    <w:rsid w:val="00B30EAE"/>
    <w:rsid w:val="00B30EEB"/>
    <w:rsid w:val="00B31423"/>
    <w:rsid w:val="00B31EE2"/>
    <w:rsid w:val="00B323E0"/>
    <w:rsid w:val="00B32DC0"/>
    <w:rsid w:val="00B3346C"/>
    <w:rsid w:val="00B335E4"/>
    <w:rsid w:val="00B33C23"/>
    <w:rsid w:val="00B345B4"/>
    <w:rsid w:val="00B348B1"/>
    <w:rsid w:val="00B34A28"/>
    <w:rsid w:val="00B34BE2"/>
    <w:rsid w:val="00B34DF5"/>
    <w:rsid w:val="00B34E51"/>
    <w:rsid w:val="00B35046"/>
    <w:rsid w:val="00B35B6A"/>
    <w:rsid w:val="00B36114"/>
    <w:rsid w:val="00B36D2B"/>
    <w:rsid w:val="00B37171"/>
    <w:rsid w:val="00B37657"/>
    <w:rsid w:val="00B37AFD"/>
    <w:rsid w:val="00B37B07"/>
    <w:rsid w:val="00B4046F"/>
    <w:rsid w:val="00B406B3"/>
    <w:rsid w:val="00B40A36"/>
    <w:rsid w:val="00B40F3D"/>
    <w:rsid w:val="00B41D39"/>
    <w:rsid w:val="00B422C0"/>
    <w:rsid w:val="00B4231D"/>
    <w:rsid w:val="00B426CA"/>
    <w:rsid w:val="00B426E1"/>
    <w:rsid w:val="00B4387A"/>
    <w:rsid w:val="00B44746"/>
    <w:rsid w:val="00B44854"/>
    <w:rsid w:val="00B44BA5"/>
    <w:rsid w:val="00B458D0"/>
    <w:rsid w:val="00B46915"/>
    <w:rsid w:val="00B46A84"/>
    <w:rsid w:val="00B471FE"/>
    <w:rsid w:val="00B4792C"/>
    <w:rsid w:val="00B50CAE"/>
    <w:rsid w:val="00B512AD"/>
    <w:rsid w:val="00B5196C"/>
    <w:rsid w:val="00B51D2C"/>
    <w:rsid w:val="00B525CB"/>
    <w:rsid w:val="00B52697"/>
    <w:rsid w:val="00B537EA"/>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29"/>
    <w:rsid w:val="00B63CB2"/>
    <w:rsid w:val="00B64246"/>
    <w:rsid w:val="00B64EDB"/>
    <w:rsid w:val="00B65010"/>
    <w:rsid w:val="00B65938"/>
    <w:rsid w:val="00B65C8A"/>
    <w:rsid w:val="00B65CE2"/>
    <w:rsid w:val="00B660AD"/>
    <w:rsid w:val="00B66109"/>
    <w:rsid w:val="00B66349"/>
    <w:rsid w:val="00B663F4"/>
    <w:rsid w:val="00B66CB4"/>
    <w:rsid w:val="00B67903"/>
    <w:rsid w:val="00B67FBF"/>
    <w:rsid w:val="00B70832"/>
    <w:rsid w:val="00B71376"/>
    <w:rsid w:val="00B71617"/>
    <w:rsid w:val="00B716D7"/>
    <w:rsid w:val="00B72110"/>
    <w:rsid w:val="00B7276A"/>
    <w:rsid w:val="00B72B91"/>
    <w:rsid w:val="00B73019"/>
    <w:rsid w:val="00B7315F"/>
    <w:rsid w:val="00B7323A"/>
    <w:rsid w:val="00B7353B"/>
    <w:rsid w:val="00B737FB"/>
    <w:rsid w:val="00B73E5D"/>
    <w:rsid w:val="00B73EF3"/>
    <w:rsid w:val="00B7423D"/>
    <w:rsid w:val="00B74D05"/>
    <w:rsid w:val="00B75893"/>
    <w:rsid w:val="00B7654F"/>
    <w:rsid w:val="00B777FA"/>
    <w:rsid w:val="00B77850"/>
    <w:rsid w:val="00B7796B"/>
    <w:rsid w:val="00B80BFD"/>
    <w:rsid w:val="00B80C72"/>
    <w:rsid w:val="00B81586"/>
    <w:rsid w:val="00B81964"/>
    <w:rsid w:val="00B81BCE"/>
    <w:rsid w:val="00B81E6F"/>
    <w:rsid w:val="00B82123"/>
    <w:rsid w:val="00B8225B"/>
    <w:rsid w:val="00B82BB5"/>
    <w:rsid w:val="00B83182"/>
    <w:rsid w:val="00B839F0"/>
    <w:rsid w:val="00B84769"/>
    <w:rsid w:val="00B848D0"/>
    <w:rsid w:val="00B851E4"/>
    <w:rsid w:val="00B854CE"/>
    <w:rsid w:val="00B85681"/>
    <w:rsid w:val="00B857EB"/>
    <w:rsid w:val="00B86162"/>
    <w:rsid w:val="00B86877"/>
    <w:rsid w:val="00B8695D"/>
    <w:rsid w:val="00B86E66"/>
    <w:rsid w:val="00B873BA"/>
    <w:rsid w:val="00B8746F"/>
    <w:rsid w:val="00B8760D"/>
    <w:rsid w:val="00B87706"/>
    <w:rsid w:val="00B87BC5"/>
    <w:rsid w:val="00B90A49"/>
    <w:rsid w:val="00B90A73"/>
    <w:rsid w:val="00B90E0D"/>
    <w:rsid w:val="00B91B8E"/>
    <w:rsid w:val="00B91DFA"/>
    <w:rsid w:val="00B92531"/>
    <w:rsid w:val="00B92618"/>
    <w:rsid w:val="00B92751"/>
    <w:rsid w:val="00B92B69"/>
    <w:rsid w:val="00B92CC6"/>
    <w:rsid w:val="00B935C9"/>
    <w:rsid w:val="00B93E3D"/>
    <w:rsid w:val="00B95464"/>
    <w:rsid w:val="00B95C30"/>
    <w:rsid w:val="00B95E3D"/>
    <w:rsid w:val="00B9691F"/>
    <w:rsid w:val="00B96EEC"/>
    <w:rsid w:val="00B97392"/>
    <w:rsid w:val="00B97669"/>
    <w:rsid w:val="00B976C7"/>
    <w:rsid w:val="00BA0B40"/>
    <w:rsid w:val="00BA0C54"/>
    <w:rsid w:val="00BA0E5F"/>
    <w:rsid w:val="00BA1382"/>
    <w:rsid w:val="00BA15E3"/>
    <w:rsid w:val="00BA1A8C"/>
    <w:rsid w:val="00BA20D8"/>
    <w:rsid w:val="00BA2140"/>
    <w:rsid w:val="00BA22FC"/>
    <w:rsid w:val="00BA290F"/>
    <w:rsid w:val="00BA2C2A"/>
    <w:rsid w:val="00BA2F30"/>
    <w:rsid w:val="00BA3982"/>
    <w:rsid w:val="00BA3BF9"/>
    <w:rsid w:val="00BA3F04"/>
    <w:rsid w:val="00BA4771"/>
    <w:rsid w:val="00BA5027"/>
    <w:rsid w:val="00BA59F2"/>
    <w:rsid w:val="00BA63DB"/>
    <w:rsid w:val="00BA665B"/>
    <w:rsid w:val="00BA6FE8"/>
    <w:rsid w:val="00BA732D"/>
    <w:rsid w:val="00BA7370"/>
    <w:rsid w:val="00BA778B"/>
    <w:rsid w:val="00BA7E10"/>
    <w:rsid w:val="00BB0888"/>
    <w:rsid w:val="00BB0DF1"/>
    <w:rsid w:val="00BB0E81"/>
    <w:rsid w:val="00BB0E9B"/>
    <w:rsid w:val="00BB19CD"/>
    <w:rsid w:val="00BB2841"/>
    <w:rsid w:val="00BB300F"/>
    <w:rsid w:val="00BB32C9"/>
    <w:rsid w:val="00BB35C5"/>
    <w:rsid w:val="00BB4C8E"/>
    <w:rsid w:val="00BB57ED"/>
    <w:rsid w:val="00BB65C3"/>
    <w:rsid w:val="00BB662E"/>
    <w:rsid w:val="00BB67A9"/>
    <w:rsid w:val="00BB6C01"/>
    <w:rsid w:val="00BB7198"/>
    <w:rsid w:val="00BB7942"/>
    <w:rsid w:val="00BB7A1E"/>
    <w:rsid w:val="00BB7CD1"/>
    <w:rsid w:val="00BC0F33"/>
    <w:rsid w:val="00BC14A7"/>
    <w:rsid w:val="00BC17CC"/>
    <w:rsid w:val="00BC2898"/>
    <w:rsid w:val="00BC2928"/>
    <w:rsid w:val="00BC29BD"/>
    <w:rsid w:val="00BC2BB1"/>
    <w:rsid w:val="00BC34A3"/>
    <w:rsid w:val="00BC3FF9"/>
    <w:rsid w:val="00BC44B8"/>
    <w:rsid w:val="00BC4834"/>
    <w:rsid w:val="00BC4944"/>
    <w:rsid w:val="00BC4A97"/>
    <w:rsid w:val="00BC4E15"/>
    <w:rsid w:val="00BC5A25"/>
    <w:rsid w:val="00BC5FDD"/>
    <w:rsid w:val="00BC68B4"/>
    <w:rsid w:val="00BC6C4E"/>
    <w:rsid w:val="00BC73A7"/>
    <w:rsid w:val="00BC7BC1"/>
    <w:rsid w:val="00BD0140"/>
    <w:rsid w:val="00BD02CC"/>
    <w:rsid w:val="00BD088E"/>
    <w:rsid w:val="00BD0F18"/>
    <w:rsid w:val="00BD194C"/>
    <w:rsid w:val="00BD2063"/>
    <w:rsid w:val="00BD33D9"/>
    <w:rsid w:val="00BD38C5"/>
    <w:rsid w:val="00BD3DEA"/>
    <w:rsid w:val="00BD3E97"/>
    <w:rsid w:val="00BD40E4"/>
    <w:rsid w:val="00BD4385"/>
    <w:rsid w:val="00BD4550"/>
    <w:rsid w:val="00BD52FE"/>
    <w:rsid w:val="00BD5FD5"/>
    <w:rsid w:val="00BD62CF"/>
    <w:rsid w:val="00BD67B2"/>
    <w:rsid w:val="00BD68E2"/>
    <w:rsid w:val="00BD6A55"/>
    <w:rsid w:val="00BD6C11"/>
    <w:rsid w:val="00BD76E5"/>
    <w:rsid w:val="00BD78FE"/>
    <w:rsid w:val="00BD7D10"/>
    <w:rsid w:val="00BD7D8A"/>
    <w:rsid w:val="00BE0149"/>
    <w:rsid w:val="00BE0767"/>
    <w:rsid w:val="00BE12D7"/>
    <w:rsid w:val="00BE1372"/>
    <w:rsid w:val="00BE1775"/>
    <w:rsid w:val="00BE18DA"/>
    <w:rsid w:val="00BE26C0"/>
    <w:rsid w:val="00BE3442"/>
    <w:rsid w:val="00BE37CD"/>
    <w:rsid w:val="00BE47B2"/>
    <w:rsid w:val="00BE488E"/>
    <w:rsid w:val="00BE48C7"/>
    <w:rsid w:val="00BE48F2"/>
    <w:rsid w:val="00BE4C4F"/>
    <w:rsid w:val="00BE4F66"/>
    <w:rsid w:val="00BE5238"/>
    <w:rsid w:val="00BE6074"/>
    <w:rsid w:val="00BE7257"/>
    <w:rsid w:val="00BF020D"/>
    <w:rsid w:val="00BF0609"/>
    <w:rsid w:val="00BF0B16"/>
    <w:rsid w:val="00BF0E64"/>
    <w:rsid w:val="00BF0EE8"/>
    <w:rsid w:val="00BF1DD2"/>
    <w:rsid w:val="00BF23A3"/>
    <w:rsid w:val="00BF2A7E"/>
    <w:rsid w:val="00BF3331"/>
    <w:rsid w:val="00BF3A45"/>
    <w:rsid w:val="00BF436F"/>
    <w:rsid w:val="00BF5C05"/>
    <w:rsid w:val="00BF6FC6"/>
    <w:rsid w:val="00BF7C52"/>
    <w:rsid w:val="00BF7F99"/>
    <w:rsid w:val="00C00713"/>
    <w:rsid w:val="00C009A0"/>
    <w:rsid w:val="00C018E1"/>
    <w:rsid w:val="00C01912"/>
    <w:rsid w:val="00C01F74"/>
    <w:rsid w:val="00C02558"/>
    <w:rsid w:val="00C0285F"/>
    <w:rsid w:val="00C02F35"/>
    <w:rsid w:val="00C03305"/>
    <w:rsid w:val="00C03515"/>
    <w:rsid w:val="00C03738"/>
    <w:rsid w:val="00C037A6"/>
    <w:rsid w:val="00C043F5"/>
    <w:rsid w:val="00C044E3"/>
    <w:rsid w:val="00C04607"/>
    <w:rsid w:val="00C04BDB"/>
    <w:rsid w:val="00C052C6"/>
    <w:rsid w:val="00C05A61"/>
    <w:rsid w:val="00C05FEE"/>
    <w:rsid w:val="00C06CCF"/>
    <w:rsid w:val="00C06F3F"/>
    <w:rsid w:val="00C0794D"/>
    <w:rsid w:val="00C10688"/>
    <w:rsid w:val="00C10E78"/>
    <w:rsid w:val="00C114A0"/>
    <w:rsid w:val="00C1159D"/>
    <w:rsid w:val="00C1233E"/>
    <w:rsid w:val="00C123F6"/>
    <w:rsid w:val="00C12475"/>
    <w:rsid w:val="00C12FB3"/>
    <w:rsid w:val="00C138BC"/>
    <w:rsid w:val="00C13BFD"/>
    <w:rsid w:val="00C13D85"/>
    <w:rsid w:val="00C14639"/>
    <w:rsid w:val="00C14E82"/>
    <w:rsid w:val="00C14FF6"/>
    <w:rsid w:val="00C15A85"/>
    <w:rsid w:val="00C1637C"/>
    <w:rsid w:val="00C1641B"/>
    <w:rsid w:val="00C165FC"/>
    <w:rsid w:val="00C1684D"/>
    <w:rsid w:val="00C17109"/>
    <w:rsid w:val="00C17492"/>
    <w:rsid w:val="00C176D5"/>
    <w:rsid w:val="00C17D24"/>
    <w:rsid w:val="00C2082C"/>
    <w:rsid w:val="00C20EB0"/>
    <w:rsid w:val="00C21004"/>
    <w:rsid w:val="00C21005"/>
    <w:rsid w:val="00C220B6"/>
    <w:rsid w:val="00C22D7C"/>
    <w:rsid w:val="00C22DDE"/>
    <w:rsid w:val="00C2338B"/>
    <w:rsid w:val="00C233CE"/>
    <w:rsid w:val="00C23639"/>
    <w:rsid w:val="00C237DD"/>
    <w:rsid w:val="00C238F4"/>
    <w:rsid w:val="00C23A99"/>
    <w:rsid w:val="00C245EE"/>
    <w:rsid w:val="00C24AE1"/>
    <w:rsid w:val="00C24B8D"/>
    <w:rsid w:val="00C24BD7"/>
    <w:rsid w:val="00C25813"/>
    <w:rsid w:val="00C27143"/>
    <w:rsid w:val="00C272CE"/>
    <w:rsid w:val="00C27490"/>
    <w:rsid w:val="00C27D37"/>
    <w:rsid w:val="00C30945"/>
    <w:rsid w:val="00C309E8"/>
    <w:rsid w:val="00C3188F"/>
    <w:rsid w:val="00C31EEA"/>
    <w:rsid w:val="00C32017"/>
    <w:rsid w:val="00C32571"/>
    <w:rsid w:val="00C325CD"/>
    <w:rsid w:val="00C3322E"/>
    <w:rsid w:val="00C332AD"/>
    <w:rsid w:val="00C337F5"/>
    <w:rsid w:val="00C33B90"/>
    <w:rsid w:val="00C34161"/>
    <w:rsid w:val="00C34B5F"/>
    <w:rsid w:val="00C358D4"/>
    <w:rsid w:val="00C35AAA"/>
    <w:rsid w:val="00C365C6"/>
    <w:rsid w:val="00C366F4"/>
    <w:rsid w:val="00C36785"/>
    <w:rsid w:val="00C36D17"/>
    <w:rsid w:val="00C3711C"/>
    <w:rsid w:val="00C37256"/>
    <w:rsid w:val="00C37A7B"/>
    <w:rsid w:val="00C37FFE"/>
    <w:rsid w:val="00C40B50"/>
    <w:rsid w:val="00C41348"/>
    <w:rsid w:val="00C419E3"/>
    <w:rsid w:val="00C419F4"/>
    <w:rsid w:val="00C41E6A"/>
    <w:rsid w:val="00C42093"/>
    <w:rsid w:val="00C42247"/>
    <w:rsid w:val="00C439BE"/>
    <w:rsid w:val="00C4494B"/>
    <w:rsid w:val="00C4539B"/>
    <w:rsid w:val="00C45466"/>
    <w:rsid w:val="00C454EB"/>
    <w:rsid w:val="00C455C1"/>
    <w:rsid w:val="00C4581D"/>
    <w:rsid w:val="00C45FE3"/>
    <w:rsid w:val="00C46269"/>
    <w:rsid w:val="00C47472"/>
    <w:rsid w:val="00C500F0"/>
    <w:rsid w:val="00C50168"/>
    <w:rsid w:val="00C504A7"/>
    <w:rsid w:val="00C506C9"/>
    <w:rsid w:val="00C50A16"/>
    <w:rsid w:val="00C51C9A"/>
    <w:rsid w:val="00C51FA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28"/>
    <w:rsid w:val="00C612C4"/>
    <w:rsid w:val="00C619A1"/>
    <w:rsid w:val="00C61B46"/>
    <w:rsid w:val="00C62027"/>
    <w:rsid w:val="00C621FC"/>
    <w:rsid w:val="00C62370"/>
    <w:rsid w:val="00C62BBB"/>
    <w:rsid w:val="00C6305F"/>
    <w:rsid w:val="00C6325B"/>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D3B"/>
    <w:rsid w:val="00C70012"/>
    <w:rsid w:val="00C71C91"/>
    <w:rsid w:val="00C71E2A"/>
    <w:rsid w:val="00C733BA"/>
    <w:rsid w:val="00C760DC"/>
    <w:rsid w:val="00C762D5"/>
    <w:rsid w:val="00C767D6"/>
    <w:rsid w:val="00C76931"/>
    <w:rsid w:val="00C802F2"/>
    <w:rsid w:val="00C8082B"/>
    <w:rsid w:val="00C812CE"/>
    <w:rsid w:val="00C81A88"/>
    <w:rsid w:val="00C81D46"/>
    <w:rsid w:val="00C82298"/>
    <w:rsid w:val="00C82A80"/>
    <w:rsid w:val="00C833B4"/>
    <w:rsid w:val="00C838B0"/>
    <w:rsid w:val="00C83D95"/>
    <w:rsid w:val="00C84284"/>
    <w:rsid w:val="00C84B35"/>
    <w:rsid w:val="00C84E33"/>
    <w:rsid w:val="00C85FFC"/>
    <w:rsid w:val="00C861FC"/>
    <w:rsid w:val="00C86C87"/>
    <w:rsid w:val="00C87F29"/>
    <w:rsid w:val="00C9005E"/>
    <w:rsid w:val="00C90111"/>
    <w:rsid w:val="00C9038E"/>
    <w:rsid w:val="00C9077B"/>
    <w:rsid w:val="00C90CA9"/>
    <w:rsid w:val="00C90F88"/>
    <w:rsid w:val="00C915F2"/>
    <w:rsid w:val="00C917B1"/>
    <w:rsid w:val="00C9193C"/>
    <w:rsid w:val="00C91AB6"/>
    <w:rsid w:val="00C91B77"/>
    <w:rsid w:val="00C920E2"/>
    <w:rsid w:val="00C926E0"/>
    <w:rsid w:val="00C93765"/>
    <w:rsid w:val="00C93877"/>
    <w:rsid w:val="00C93D8C"/>
    <w:rsid w:val="00C93E07"/>
    <w:rsid w:val="00C946CC"/>
    <w:rsid w:val="00C959BD"/>
    <w:rsid w:val="00C95DFE"/>
    <w:rsid w:val="00C95F44"/>
    <w:rsid w:val="00C96201"/>
    <w:rsid w:val="00C96D1B"/>
    <w:rsid w:val="00C96FC6"/>
    <w:rsid w:val="00C97106"/>
    <w:rsid w:val="00C978D4"/>
    <w:rsid w:val="00C979B3"/>
    <w:rsid w:val="00CA0031"/>
    <w:rsid w:val="00CA00DE"/>
    <w:rsid w:val="00CA0413"/>
    <w:rsid w:val="00CA043A"/>
    <w:rsid w:val="00CA0CBA"/>
    <w:rsid w:val="00CA0E51"/>
    <w:rsid w:val="00CA0E81"/>
    <w:rsid w:val="00CA1691"/>
    <w:rsid w:val="00CA25D0"/>
    <w:rsid w:val="00CA2738"/>
    <w:rsid w:val="00CA2798"/>
    <w:rsid w:val="00CA2D2E"/>
    <w:rsid w:val="00CA2D98"/>
    <w:rsid w:val="00CA41E7"/>
    <w:rsid w:val="00CA4A99"/>
    <w:rsid w:val="00CA5520"/>
    <w:rsid w:val="00CA5812"/>
    <w:rsid w:val="00CA5BD4"/>
    <w:rsid w:val="00CA5C14"/>
    <w:rsid w:val="00CA76FC"/>
    <w:rsid w:val="00CA781A"/>
    <w:rsid w:val="00CA7E7B"/>
    <w:rsid w:val="00CB0236"/>
    <w:rsid w:val="00CB1969"/>
    <w:rsid w:val="00CB19E3"/>
    <w:rsid w:val="00CB1B20"/>
    <w:rsid w:val="00CB2AE8"/>
    <w:rsid w:val="00CB2C3A"/>
    <w:rsid w:val="00CB2D38"/>
    <w:rsid w:val="00CB39CD"/>
    <w:rsid w:val="00CB4137"/>
    <w:rsid w:val="00CB4378"/>
    <w:rsid w:val="00CB44BD"/>
    <w:rsid w:val="00CB52D0"/>
    <w:rsid w:val="00CB5578"/>
    <w:rsid w:val="00CB5671"/>
    <w:rsid w:val="00CB591C"/>
    <w:rsid w:val="00CB5943"/>
    <w:rsid w:val="00CB61B3"/>
    <w:rsid w:val="00CB6F83"/>
    <w:rsid w:val="00CB72AE"/>
    <w:rsid w:val="00CC00CD"/>
    <w:rsid w:val="00CC0579"/>
    <w:rsid w:val="00CC0723"/>
    <w:rsid w:val="00CC0AF3"/>
    <w:rsid w:val="00CC0BC6"/>
    <w:rsid w:val="00CC0E68"/>
    <w:rsid w:val="00CC0EEA"/>
    <w:rsid w:val="00CC1780"/>
    <w:rsid w:val="00CC194E"/>
    <w:rsid w:val="00CC21AC"/>
    <w:rsid w:val="00CC232E"/>
    <w:rsid w:val="00CC2514"/>
    <w:rsid w:val="00CC2D34"/>
    <w:rsid w:val="00CC2F69"/>
    <w:rsid w:val="00CC315F"/>
    <w:rsid w:val="00CC390A"/>
    <w:rsid w:val="00CC3D38"/>
    <w:rsid w:val="00CC40C3"/>
    <w:rsid w:val="00CC4E5D"/>
    <w:rsid w:val="00CC50AE"/>
    <w:rsid w:val="00CC5FFE"/>
    <w:rsid w:val="00CC61B7"/>
    <w:rsid w:val="00CC61CA"/>
    <w:rsid w:val="00CC69EC"/>
    <w:rsid w:val="00CC71D3"/>
    <w:rsid w:val="00CC7414"/>
    <w:rsid w:val="00CC743D"/>
    <w:rsid w:val="00CC7A62"/>
    <w:rsid w:val="00CD050A"/>
    <w:rsid w:val="00CD1017"/>
    <w:rsid w:val="00CD205D"/>
    <w:rsid w:val="00CD2A22"/>
    <w:rsid w:val="00CD2B50"/>
    <w:rsid w:val="00CD3172"/>
    <w:rsid w:val="00CD3E1C"/>
    <w:rsid w:val="00CD405C"/>
    <w:rsid w:val="00CD4506"/>
    <w:rsid w:val="00CD520B"/>
    <w:rsid w:val="00CD5831"/>
    <w:rsid w:val="00CD592E"/>
    <w:rsid w:val="00CD5982"/>
    <w:rsid w:val="00CD5A1A"/>
    <w:rsid w:val="00CD7EFA"/>
    <w:rsid w:val="00CE020E"/>
    <w:rsid w:val="00CE0566"/>
    <w:rsid w:val="00CE0B60"/>
    <w:rsid w:val="00CE1CD4"/>
    <w:rsid w:val="00CE2761"/>
    <w:rsid w:val="00CE28FC"/>
    <w:rsid w:val="00CE2C18"/>
    <w:rsid w:val="00CE314E"/>
    <w:rsid w:val="00CE38BF"/>
    <w:rsid w:val="00CE3D5C"/>
    <w:rsid w:val="00CE3E09"/>
    <w:rsid w:val="00CE3E14"/>
    <w:rsid w:val="00CE4176"/>
    <w:rsid w:val="00CE44C7"/>
    <w:rsid w:val="00CE53B7"/>
    <w:rsid w:val="00CE53CC"/>
    <w:rsid w:val="00CE5829"/>
    <w:rsid w:val="00CE65A7"/>
    <w:rsid w:val="00CE68FE"/>
    <w:rsid w:val="00CE697B"/>
    <w:rsid w:val="00CE69CC"/>
    <w:rsid w:val="00CE6A78"/>
    <w:rsid w:val="00CE6EC4"/>
    <w:rsid w:val="00CE7F26"/>
    <w:rsid w:val="00CF0A8D"/>
    <w:rsid w:val="00CF1226"/>
    <w:rsid w:val="00CF1ABB"/>
    <w:rsid w:val="00CF1BCA"/>
    <w:rsid w:val="00CF1E1D"/>
    <w:rsid w:val="00CF24FE"/>
    <w:rsid w:val="00CF287F"/>
    <w:rsid w:val="00CF2F00"/>
    <w:rsid w:val="00CF35D0"/>
    <w:rsid w:val="00CF3B57"/>
    <w:rsid w:val="00CF3DD5"/>
    <w:rsid w:val="00CF3FF9"/>
    <w:rsid w:val="00CF481B"/>
    <w:rsid w:val="00CF4AF7"/>
    <w:rsid w:val="00CF4D20"/>
    <w:rsid w:val="00CF4D64"/>
    <w:rsid w:val="00CF73F8"/>
    <w:rsid w:val="00CF7928"/>
    <w:rsid w:val="00CF7CA2"/>
    <w:rsid w:val="00D00911"/>
    <w:rsid w:val="00D00A8E"/>
    <w:rsid w:val="00D00DE0"/>
    <w:rsid w:val="00D00F79"/>
    <w:rsid w:val="00D012B1"/>
    <w:rsid w:val="00D012BF"/>
    <w:rsid w:val="00D01760"/>
    <w:rsid w:val="00D02FA8"/>
    <w:rsid w:val="00D030BD"/>
    <w:rsid w:val="00D0368E"/>
    <w:rsid w:val="00D0393E"/>
    <w:rsid w:val="00D03AC3"/>
    <w:rsid w:val="00D03D2D"/>
    <w:rsid w:val="00D03E7B"/>
    <w:rsid w:val="00D0401A"/>
    <w:rsid w:val="00D04283"/>
    <w:rsid w:val="00D046C1"/>
    <w:rsid w:val="00D047E0"/>
    <w:rsid w:val="00D04B9F"/>
    <w:rsid w:val="00D04FFB"/>
    <w:rsid w:val="00D055FE"/>
    <w:rsid w:val="00D058E9"/>
    <w:rsid w:val="00D0612A"/>
    <w:rsid w:val="00D06E6B"/>
    <w:rsid w:val="00D06F14"/>
    <w:rsid w:val="00D07315"/>
    <w:rsid w:val="00D07FA1"/>
    <w:rsid w:val="00D1060D"/>
    <w:rsid w:val="00D10E7C"/>
    <w:rsid w:val="00D11182"/>
    <w:rsid w:val="00D1137B"/>
    <w:rsid w:val="00D11807"/>
    <w:rsid w:val="00D119AA"/>
    <w:rsid w:val="00D11DB3"/>
    <w:rsid w:val="00D12D82"/>
    <w:rsid w:val="00D12F77"/>
    <w:rsid w:val="00D1306E"/>
    <w:rsid w:val="00D134CD"/>
    <w:rsid w:val="00D14B5F"/>
    <w:rsid w:val="00D14E13"/>
    <w:rsid w:val="00D14F23"/>
    <w:rsid w:val="00D14FFE"/>
    <w:rsid w:val="00D160F6"/>
    <w:rsid w:val="00D16740"/>
    <w:rsid w:val="00D16A8B"/>
    <w:rsid w:val="00D16E39"/>
    <w:rsid w:val="00D172A4"/>
    <w:rsid w:val="00D1771A"/>
    <w:rsid w:val="00D17951"/>
    <w:rsid w:val="00D17AD8"/>
    <w:rsid w:val="00D207C8"/>
    <w:rsid w:val="00D2104A"/>
    <w:rsid w:val="00D21BB5"/>
    <w:rsid w:val="00D21FFC"/>
    <w:rsid w:val="00D223B6"/>
    <w:rsid w:val="00D223E8"/>
    <w:rsid w:val="00D224E1"/>
    <w:rsid w:val="00D22DC8"/>
    <w:rsid w:val="00D22F78"/>
    <w:rsid w:val="00D233A6"/>
    <w:rsid w:val="00D2477B"/>
    <w:rsid w:val="00D2522A"/>
    <w:rsid w:val="00D2531C"/>
    <w:rsid w:val="00D2553E"/>
    <w:rsid w:val="00D25B7E"/>
    <w:rsid w:val="00D25E64"/>
    <w:rsid w:val="00D26FFB"/>
    <w:rsid w:val="00D27266"/>
    <w:rsid w:val="00D2742F"/>
    <w:rsid w:val="00D2754F"/>
    <w:rsid w:val="00D2777A"/>
    <w:rsid w:val="00D277C5"/>
    <w:rsid w:val="00D279D9"/>
    <w:rsid w:val="00D3011D"/>
    <w:rsid w:val="00D305EC"/>
    <w:rsid w:val="00D30F1A"/>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5A"/>
    <w:rsid w:val="00D41093"/>
    <w:rsid w:val="00D416D5"/>
    <w:rsid w:val="00D41858"/>
    <w:rsid w:val="00D422DB"/>
    <w:rsid w:val="00D42303"/>
    <w:rsid w:val="00D42AC2"/>
    <w:rsid w:val="00D431BC"/>
    <w:rsid w:val="00D4498E"/>
    <w:rsid w:val="00D4515F"/>
    <w:rsid w:val="00D451E8"/>
    <w:rsid w:val="00D46185"/>
    <w:rsid w:val="00D4641D"/>
    <w:rsid w:val="00D466C9"/>
    <w:rsid w:val="00D46FAA"/>
    <w:rsid w:val="00D47275"/>
    <w:rsid w:val="00D50689"/>
    <w:rsid w:val="00D51064"/>
    <w:rsid w:val="00D511DC"/>
    <w:rsid w:val="00D517F6"/>
    <w:rsid w:val="00D51E15"/>
    <w:rsid w:val="00D52411"/>
    <w:rsid w:val="00D52B7E"/>
    <w:rsid w:val="00D52E2F"/>
    <w:rsid w:val="00D52F59"/>
    <w:rsid w:val="00D53445"/>
    <w:rsid w:val="00D53E3E"/>
    <w:rsid w:val="00D54620"/>
    <w:rsid w:val="00D55904"/>
    <w:rsid w:val="00D5616F"/>
    <w:rsid w:val="00D56CBC"/>
    <w:rsid w:val="00D57861"/>
    <w:rsid w:val="00D57940"/>
    <w:rsid w:val="00D57E9C"/>
    <w:rsid w:val="00D60327"/>
    <w:rsid w:val="00D61384"/>
    <w:rsid w:val="00D61526"/>
    <w:rsid w:val="00D61F81"/>
    <w:rsid w:val="00D6276C"/>
    <w:rsid w:val="00D62BE6"/>
    <w:rsid w:val="00D62BFC"/>
    <w:rsid w:val="00D63286"/>
    <w:rsid w:val="00D63766"/>
    <w:rsid w:val="00D63912"/>
    <w:rsid w:val="00D63923"/>
    <w:rsid w:val="00D63A42"/>
    <w:rsid w:val="00D6451B"/>
    <w:rsid w:val="00D64B57"/>
    <w:rsid w:val="00D651A1"/>
    <w:rsid w:val="00D6528F"/>
    <w:rsid w:val="00D65DEA"/>
    <w:rsid w:val="00D66579"/>
    <w:rsid w:val="00D676D3"/>
    <w:rsid w:val="00D67B06"/>
    <w:rsid w:val="00D67BC7"/>
    <w:rsid w:val="00D701F1"/>
    <w:rsid w:val="00D705D3"/>
    <w:rsid w:val="00D709C2"/>
    <w:rsid w:val="00D70E00"/>
    <w:rsid w:val="00D70F7C"/>
    <w:rsid w:val="00D7145B"/>
    <w:rsid w:val="00D715AC"/>
    <w:rsid w:val="00D71851"/>
    <w:rsid w:val="00D718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957"/>
    <w:rsid w:val="00D81A7B"/>
    <w:rsid w:val="00D8223C"/>
    <w:rsid w:val="00D82B57"/>
    <w:rsid w:val="00D82CE5"/>
    <w:rsid w:val="00D830C9"/>
    <w:rsid w:val="00D831E3"/>
    <w:rsid w:val="00D8342C"/>
    <w:rsid w:val="00D85494"/>
    <w:rsid w:val="00D8582C"/>
    <w:rsid w:val="00D85D61"/>
    <w:rsid w:val="00D8616D"/>
    <w:rsid w:val="00D86757"/>
    <w:rsid w:val="00D8711B"/>
    <w:rsid w:val="00D87384"/>
    <w:rsid w:val="00D90650"/>
    <w:rsid w:val="00D90683"/>
    <w:rsid w:val="00D90B2A"/>
    <w:rsid w:val="00D91483"/>
    <w:rsid w:val="00D915C8"/>
    <w:rsid w:val="00D91F06"/>
    <w:rsid w:val="00D92C14"/>
    <w:rsid w:val="00D9310B"/>
    <w:rsid w:val="00D931F3"/>
    <w:rsid w:val="00D9326A"/>
    <w:rsid w:val="00D93726"/>
    <w:rsid w:val="00D93F3E"/>
    <w:rsid w:val="00D9405B"/>
    <w:rsid w:val="00D94942"/>
    <w:rsid w:val="00D95145"/>
    <w:rsid w:val="00D951DA"/>
    <w:rsid w:val="00D96594"/>
    <w:rsid w:val="00D967CB"/>
    <w:rsid w:val="00D968D4"/>
    <w:rsid w:val="00D96EE0"/>
    <w:rsid w:val="00D97BD1"/>
    <w:rsid w:val="00D97DAD"/>
    <w:rsid w:val="00DA06B8"/>
    <w:rsid w:val="00DA14A9"/>
    <w:rsid w:val="00DA1F4B"/>
    <w:rsid w:val="00DA286D"/>
    <w:rsid w:val="00DA2969"/>
    <w:rsid w:val="00DA29B7"/>
    <w:rsid w:val="00DA337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4BE"/>
    <w:rsid w:val="00DB3165"/>
    <w:rsid w:val="00DB4292"/>
    <w:rsid w:val="00DB5023"/>
    <w:rsid w:val="00DB66A7"/>
    <w:rsid w:val="00DB6E46"/>
    <w:rsid w:val="00DB7117"/>
    <w:rsid w:val="00DB7760"/>
    <w:rsid w:val="00DB7DD4"/>
    <w:rsid w:val="00DC00B4"/>
    <w:rsid w:val="00DC0954"/>
    <w:rsid w:val="00DC0DF8"/>
    <w:rsid w:val="00DC0F91"/>
    <w:rsid w:val="00DC15BA"/>
    <w:rsid w:val="00DC18CD"/>
    <w:rsid w:val="00DC1A68"/>
    <w:rsid w:val="00DC2653"/>
    <w:rsid w:val="00DC30B8"/>
    <w:rsid w:val="00DC3CD2"/>
    <w:rsid w:val="00DC478F"/>
    <w:rsid w:val="00DC4D08"/>
    <w:rsid w:val="00DC5ACA"/>
    <w:rsid w:val="00DC62E5"/>
    <w:rsid w:val="00DC6795"/>
    <w:rsid w:val="00DC6D70"/>
    <w:rsid w:val="00DC6F33"/>
    <w:rsid w:val="00DC7349"/>
    <w:rsid w:val="00DD0D6A"/>
    <w:rsid w:val="00DD14D8"/>
    <w:rsid w:val="00DD1599"/>
    <w:rsid w:val="00DD1B03"/>
    <w:rsid w:val="00DD1C4A"/>
    <w:rsid w:val="00DD1E43"/>
    <w:rsid w:val="00DD20A7"/>
    <w:rsid w:val="00DD2A62"/>
    <w:rsid w:val="00DD2F2F"/>
    <w:rsid w:val="00DD2F7A"/>
    <w:rsid w:val="00DD3885"/>
    <w:rsid w:val="00DD44D1"/>
    <w:rsid w:val="00DD4EE3"/>
    <w:rsid w:val="00DD4F78"/>
    <w:rsid w:val="00DD51C3"/>
    <w:rsid w:val="00DD5808"/>
    <w:rsid w:val="00DD5946"/>
    <w:rsid w:val="00DD5B04"/>
    <w:rsid w:val="00DD5DAE"/>
    <w:rsid w:val="00DD5EC6"/>
    <w:rsid w:val="00DD605F"/>
    <w:rsid w:val="00DD72A0"/>
    <w:rsid w:val="00DD735D"/>
    <w:rsid w:val="00DE0159"/>
    <w:rsid w:val="00DE064A"/>
    <w:rsid w:val="00DE082D"/>
    <w:rsid w:val="00DE0FEE"/>
    <w:rsid w:val="00DE1410"/>
    <w:rsid w:val="00DE2038"/>
    <w:rsid w:val="00DE20C6"/>
    <w:rsid w:val="00DE2926"/>
    <w:rsid w:val="00DE3119"/>
    <w:rsid w:val="00DE3FF0"/>
    <w:rsid w:val="00DE4105"/>
    <w:rsid w:val="00DE41C4"/>
    <w:rsid w:val="00DE4853"/>
    <w:rsid w:val="00DE5189"/>
    <w:rsid w:val="00DE64DE"/>
    <w:rsid w:val="00DE7108"/>
    <w:rsid w:val="00DE78D1"/>
    <w:rsid w:val="00DE78FF"/>
    <w:rsid w:val="00DF0263"/>
    <w:rsid w:val="00DF04F1"/>
    <w:rsid w:val="00DF0EB4"/>
    <w:rsid w:val="00DF158B"/>
    <w:rsid w:val="00DF193C"/>
    <w:rsid w:val="00DF1E36"/>
    <w:rsid w:val="00DF236B"/>
    <w:rsid w:val="00DF2A91"/>
    <w:rsid w:val="00DF3889"/>
    <w:rsid w:val="00DF3CC9"/>
    <w:rsid w:val="00DF4076"/>
    <w:rsid w:val="00DF4451"/>
    <w:rsid w:val="00DF49FF"/>
    <w:rsid w:val="00DF4A0E"/>
    <w:rsid w:val="00DF4FFB"/>
    <w:rsid w:val="00DF5236"/>
    <w:rsid w:val="00DF6051"/>
    <w:rsid w:val="00DF651F"/>
    <w:rsid w:val="00DF670E"/>
    <w:rsid w:val="00DF6F43"/>
    <w:rsid w:val="00DF7420"/>
    <w:rsid w:val="00DF752F"/>
    <w:rsid w:val="00DF76A2"/>
    <w:rsid w:val="00E00B7A"/>
    <w:rsid w:val="00E01FDD"/>
    <w:rsid w:val="00E02186"/>
    <w:rsid w:val="00E026BB"/>
    <w:rsid w:val="00E027C5"/>
    <w:rsid w:val="00E02B52"/>
    <w:rsid w:val="00E03124"/>
    <w:rsid w:val="00E031C3"/>
    <w:rsid w:val="00E03951"/>
    <w:rsid w:val="00E03DB8"/>
    <w:rsid w:val="00E03F17"/>
    <w:rsid w:val="00E03F20"/>
    <w:rsid w:val="00E0420C"/>
    <w:rsid w:val="00E04EDD"/>
    <w:rsid w:val="00E05E70"/>
    <w:rsid w:val="00E064BC"/>
    <w:rsid w:val="00E06975"/>
    <w:rsid w:val="00E06EA3"/>
    <w:rsid w:val="00E07225"/>
    <w:rsid w:val="00E076B4"/>
    <w:rsid w:val="00E07B55"/>
    <w:rsid w:val="00E10579"/>
    <w:rsid w:val="00E109DD"/>
    <w:rsid w:val="00E11229"/>
    <w:rsid w:val="00E114CA"/>
    <w:rsid w:val="00E11FE2"/>
    <w:rsid w:val="00E1397F"/>
    <w:rsid w:val="00E13AB8"/>
    <w:rsid w:val="00E1482E"/>
    <w:rsid w:val="00E16382"/>
    <w:rsid w:val="00E1699C"/>
    <w:rsid w:val="00E16E75"/>
    <w:rsid w:val="00E1746D"/>
    <w:rsid w:val="00E2012A"/>
    <w:rsid w:val="00E205A2"/>
    <w:rsid w:val="00E20B11"/>
    <w:rsid w:val="00E20BA4"/>
    <w:rsid w:val="00E228EE"/>
    <w:rsid w:val="00E2302A"/>
    <w:rsid w:val="00E23137"/>
    <w:rsid w:val="00E23621"/>
    <w:rsid w:val="00E23980"/>
    <w:rsid w:val="00E241E9"/>
    <w:rsid w:val="00E257C3"/>
    <w:rsid w:val="00E25CB3"/>
    <w:rsid w:val="00E25DA4"/>
    <w:rsid w:val="00E26237"/>
    <w:rsid w:val="00E26CB8"/>
    <w:rsid w:val="00E26D16"/>
    <w:rsid w:val="00E26F99"/>
    <w:rsid w:val="00E26FCF"/>
    <w:rsid w:val="00E27165"/>
    <w:rsid w:val="00E27367"/>
    <w:rsid w:val="00E275D9"/>
    <w:rsid w:val="00E27988"/>
    <w:rsid w:val="00E3044A"/>
    <w:rsid w:val="00E30BEB"/>
    <w:rsid w:val="00E30E49"/>
    <w:rsid w:val="00E3174A"/>
    <w:rsid w:val="00E31A4A"/>
    <w:rsid w:val="00E31C96"/>
    <w:rsid w:val="00E32912"/>
    <w:rsid w:val="00E33238"/>
    <w:rsid w:val="00E3344A"/>
    <w:rsid w:val="00E33B29"/>
    <w:rsid w:val="00E33B62"/>
    <w:rsid w:val="00E3403D"/>
    <w:rsid w:val="00E344BD"/>
    <w:rsid w:val="00E34E6C"/>
    <w:rsid w:val="00E353E2"/>
    <w:rsid w:val="00E36345"/>
    <w:rsid w:val="00E36C86"/>
    <w:rsid w:val="00E36CEB"/>
    <w:rsid w:val="00E372C5"/>
    <w:rsid w:val="00E37387"/>
    <w:rsid w:val="00E37A28"/>
    <w:rsid w:val="00E403BC"/>
    <w:rsid w:val="00E40430"/>
    <w:rsid w:val="00E40690"/>
    <w:rsid w:val="00E40AEB"/>
    <w:rsid w:val="00E4143A"/>
    <w:rsid w:val="00E424C8"/>
    <w:rsid w:val="00E42518"/>
    <w:rsid w:val="00E4251D"/>
    <w:rsid w:val="00E43D00"/>
    <w:rsid w:val="00E43D0B"/>
    <w:rsid w:val="00E443B4"/>
    <w:rsid w:val="00E445E4"/>
    <w:rsid w:val="00E457CB"/>
    <w:rsid w:val="00E45D47"/>
    <w:rsid w:val="00E45DE4"/>
    <w:rsid w:val="00E45E63"/>
    <w:rsid w:val="00E469D6"/>
    <w:rsid w:val="00E46BBC"/>
    <w:rsid w:val="00E4759C"/>
    <w:rsid w:val="00E50A7B"/>
    <w:rsid w:val="00E50B0B"/>
    <w:rsid w:val="00E50E1F"/>
    <w:rsid w:val="00E510FE"/>
    <w:rsid w:val="00E516C0"/>
    <w:rsid w:val="00E516C7"/>
    <w:rsid w:val="00E51E25"/>
    <w:rsid w:val="00E5205B"/>
    <w:rsid w:val="00E521AE"/>
    <w:rsid w:val="00E529A3"/>
    <w:rsid w:val="00E53A21"/>
    <w:rsid w:val="00E53BCA"/>
    <w:rsid w:val="00E53BF4"/>
    <w:rsid w:val="00E53DE2"/>
    <w:rsid w:val="00E53F02"/>
    <w:rsid w:val="00E54534"/>
    <w:rsid w:val="00E548C3"/>
    <w:rsid w:val="00E54C5A"/>
    <w:rsid w:val="00E54F27"/>
    <w:rsid w:val="00E55FF1"/>
    <w:rsid w:val="00E56090"/>
    <w:rsid w:val="00E565B9"/>
    <w:rsid w:val="00E56E7B"/>
    <w:rsid w:val="00E5733B"/>
    <w:rsid w:val="00E5756C"/>
    <w:rsid w:val="00E57811"/>
    <w:rsid w:val="00E57D1A"/>
    <w:rsid w:val="00E601BE"/>
    <w:rsid w:val="00E60B5F"/>
    <w:rsid w:val="00E60F87"/>
    <w:rsid w:val="00E613AE"/>
    <w:rsid w:val="00E61429"/>
    <w:rsid w:val="00E61ABB"/>
    <w:rsid w:val="00E61FD7"/>
    <w:rsid w:val="00E623E6"/>
    <w:rsid w:val="00E626B8"/>
    <w:rsid w:val="00E630C0"/>
    <w:rsid w:val="00E63107"/>
    <w:rsid w:val="00E6312C"/>
    <w:rsid w:val="00E634E6"/>
    <w:rsid w:val="00E63DCE"/>
    <w:rsid w:val="00E6453E"/>
    <w:rsid w:val="00E64700"/>
    <w:rsid w:val="00E64BD8"/>
    <w:rsid w:val="00E65020"/>
    <w:rsid w:val="00E65074"/>
    <w:rsid w:val="00E65E70"/>
    <w:rsid w:val="00E66087"/>
    <w:rsid w:val="00E6655E"/>
    <w:rsid w:val="00E66D79"/>
    <w:rsid w:val="00E66FF9"/>
    <w:rsid w:val="00E6706F"/>
    <w:rsid w:val="00E67155"/>
    <w:rsid w:val="00E67856"/>
    <w:rsid w:val="00E679C8"/>
    <w:rsid w:val="00E70314"/>
    <w:rsid w:val="00E711B1"/>
    <w:rsid w:val="00E724E7"/>
    <w:rsid w:val="00E7289D"/>
    <w:rsid w:val="00E72B41"/>
    <w:rsid w:val="00E72EFE"/>
    <w:rsid w:val="00E7347B"/>
    <w:rsid w:val="00E73792"/>
    <w:rsid w:val="00E73D03"/>
    <w:rsid w:val="00E74040"/>
    <w:rsid w:val="00E7471C"/>
    <w:rsid w:val="00E7498A"/>
    <w:rsid w:val="00E7514E"/>
    <w:rsid w:val="00E75B57"/>
    <w:rsid w:val="00E76537"/>
    <w:rsid w:val="00E77784"/>
    <w:rsid w:val="00E77AF5"/>
    <w:rsid w:val="00E823F9"/>
    <w:rsid w:val="00E82C1F"/>
    <w:rsid w:val="00E83671"/>
    <w:rsid w:val="00E840EE"/>
    <w:rsid w:val="00E84A71"/>
    <w:rsid w:val="00E84DC3"/>
    <w:rsid w:val="00E85786"/>
    <w:rsid w:val="00E86556"/>
    <w:rsid w:val="00E86D35"/>
    <w:rsid w:val="00E86DC2"/>
    <w:rsid w:val="00E86E32"/>
    <w:rsid w:val="00E86F2E"/>
    <w:rsid w:val="00E8732E"/>
    <w:rsid w:val="00E9011F"/>
    <w:rsid w:val="00E906EB"/>
    <w:rsid w:val="00E90A66"/>
    <w:rsid w:val="00E919FB"/>
    <w:rsid w:val="00E91BF6"/>
    <w:rsid w:val="00E9241E"/>
    <w:rsid w:val="00E92460"/>
    <w:rsid w:val="00E925D7"/>
    <w:rsid w:val="00E92E62"/>
    <w:rsid w:val="00E93804"/>
    <w:rsid w:val="00E9429D"/>
    <w:rsid w:val="00E95434"/>
    <w:rsid w:val="00E96467"/>
    <w:rsid w:val="00E965BC"/>
    <w:rsid w:val="00E966DA"/>
    <w:rsid w:val="00E96948"/>
    <w:rsid w:val="00E9737B"/>
    <w:rsid w:val="00E9744A"/>
    <w:rsid w:val="00E97A3F"/>
    <w:rsid w:val="00E97F0A"/>
    <w:rsid w:val="00EA0100"/>
    <w:rsid w:val="00EA0BCE"/>
    <w:rsid w:val="00EA2744"/>
    <w:rsid w:val="00EA37B9"/>
    <w:rsid w:val="00EA39F7"/>
    <w:rsid w:val="00EA3DC2"/>
    <w:rsid w:val="00EA3F20"/>
    <w:rsid w:val="00EA434E"/>
    <w:rsid w:val="00EA4757"/>
    <w:rsid w:val="00EA560B"/>
    <w:rsid w:val="00EA5669"/>
    <w:rsid w:val="00EA5CC6"/>
    <w:rsid w:val="00EA63EF"/>
    <w:rsid w:val="00EB0A89"/>
    <w:rsid w:val="00EB0C53"/>
    <w:rsid w:val="00EB1573"/>
    <w:rsid w:val="00EB184F"/>
    <w:rsid w:val="00EB1910"/>
    <w:rsid w:val="00EB291E"/>
    <w:rsid w:val="00EB2D83"/>
    <w:rsid w:val="00EB2E97"/>
    <w:rsid w:val="00EB3416"/>
    <w:rsid w:val="00EB3A93"/>
    <w:rsid w:val="00EB3B54"/>
    <w:rsid w:val="00EB4AE1"/>
    <w:rsid w:val="00EB52F4"/>
    <w:rsid w:val="00EB5694"/>
    <w:rsid w:val="00EB5779"/>
    <w:rsid w:val="00EB5D2F"/>
    <w:rsid w:val="00EB67F1"/>
    <w:rsid w:val="00EB72CD"/>
    <w:rsid w:val="00EB749A"/>
    <w:rsid w:val="00EB76B6"/>
    <w:rsid w:val="00EB7D8A"/>
    <w:rsid w:val="00EC05E2"/>
    <w:rsid w:val="00EC08AC"/>
    <w:rsid w:val="00EC0E84"/>
    <w:rsid w:val="00EC16E2"/>
    <w:rsid w:val="00EC1CE7"/>
    <w:rsid w:val="00EC2510"/>
    <w:rsid w:val="00EC26F1"/>
    <w:rsid w:val="00EC3C94"/>
    <w:rsid w:val="00EC44DF"/>
    <w:rsid w:val="00EC4FB9"/>
    <w:rsid w:val="00EC5393"/>
    <w:rsid w:val="00EC53E8"/>
    <w:rsid w:val="00EC5741"/>
    <w:rsid w:val="00EC5DA3"/>
    <w:rsid w:val="00EC6014"/>
    <w:rsid w:val="00EC6B3E"/>
    <w:rsid w:val="00EC73DE"/>
    <w:rsid w:val="00EC7637"/>
    <w:rsid w:val="00EC7CF2"/>
    <w:rsid w:val="00ED046C"/>
    <w:rsid w:val="00ED053A"/>
    <w:rsid w:val="00ED19B4"/>
    <w:rsid w:val="00ED1F03"/>
    <w:rsid w:val="00ED2D27"/>
    <w:rsid w:val="00ED3198"/>
    <w:rsid w:val="00ED3347"/>
    <w:rsid w:val="00ED3438"/>
    <w:rsid w:val="00ED3441"/>
    <w:rsid w:val="00ED3860"/>
    <w:rsid w:val="00ED3954"/>
    <w:rsid w:val="00ED43A2"/>
    <w:rsid w:val="00ED4967"/>
    <w:rsid w:val="00ED5140"/>
    <w:rsid w:val="00ED538C"/>
    <w:rsid w:val="00ED5771"/>
    <w:rsid w:val="00ED585E"/>
    <w:rsid w:val="00ED587F"/>
    <w:rsid w:val="00ED5964"/>
    <w:rsid w:val="00ED623F"/>
    <w:rsid w:val="00ED63A5"/>
    <w:rsid w:val="00ED66FE"/>
    <w:rsid w:val="00ED69BA"/>
    <w:rsid w:val="00ED6D1A"/>
    <w:rsid w:val="00ED72E9"/>
    <w:rsid w:val="00ED732E"/>
    <w:rsid w:val="00ED77F0"/>
    <w:rsid w:val="00ED7C60"/>
    <w:rsid w:val="00ED7FBC"/>
    <w:rsid w:val="00EE0253"/>
    <w:rsid w:val="00EE0297"/>
    <w:rsid w:val="00EE1258"/>
    <w:rsid w:val="00EE13DA"/>
    <w:rsid w:val="00EE1668"/>
    <w:rsid w:val="00EE1EDB"/>
    <w:rsid w:val="00EE2295"/>
    <w:rsid w:val="00EE24E2"/>
    <w:rsid w:val="00EE366D"/>
    <w:rsid w:val="00EE3BB0"/>
    <w:rsid w:val="00EE4CDF"/>
    <w:rsid w:val="00EE5454"/>
    <w:rsid w:val="00EE59B5"/>
    <w:rsid w:val="00EE5FB7"/>
    <w:rsid w:val="00EE6783"/>
    <w:rsid w:val="00EE7B54"/>
    <w:rsid w:val="00EE7C47"/>
    <w:rsid w:val="00EE7C88"/>
    <w:rsid w:val="00EE7C8B"/>
    <w:rsid w:val="00EF0209"/>
    <w:rsid w:val="00EF0508"/>
    <w:rsid w:val="00EF0EA4"/>
    <w:rsid w:val="00EF1E97"/>
    <w:rsid w:val="00EF2436"/>
    <w:rsid w:val="00EF2547"/>
    <w:rsid w:val="00EF27CE"/>
    <w:rsid w:val="00EF2B2B"/>
    <w:rsid w:val="00EF2E1C"/>
    <w:rsid w:val="00EF2FD6"/>
    <w:rsid w:val="00EF326A"/>
    <w:rsid w:val="00EF427A"/>
    <w:rsid w:val="00EF44A6"/>
    <w:rsid w:val="00EF45DF"/>
    <w:rsid w:val="00EF48A3"/>
    <w:rsid w:val="00EF4952"/>
    <w:rsid w:val="00EF498F"/>
    <w:rsid w:val="00EF4A42"/>
    <w:rsid w:val="00EF510C"/>
    <w:rsid w:val="00EF55C4"/>
    <w:rsid w:val="00EF57BC"/>
    <w:rsid w:val="00EF6784"/>
    <w:rsid w:val="00EF688A"/>
    <w:rsid w:val="00EF6A03"/>
    <w:rsid w:val="00EF6DC2"/>
    <w:rsid w:val="00EF7506"/>
    <w:rsid w:val="00EF78AB"/>
    <w:rsid w:val="00EF7BF4"/>
    <w:rsid w:val="00F0030F"/>
    <w:rsid w:val="00F0057D"/>
    <w:rsid w:val="00F00674"/>
    <w:rsid w:val="00F01657"/>
    <w:rsid w:val="00F01E67"/>
    <w:rsid w:val="00F02744"/>
    <w:rsid w:val="00F02926"/>
    <w:rsid w:val="00F02BFD"/>
    <w:rsid w:val="00F02D25"/>
    <w:rsid w:val="00F03A4A"/>
    <w:rsid w:val="00F03C3D"/>
    <w:rsid w:val="00F0435D"/>
    <w:rsid w:val="00F04580"/>
    <w:rsid w:val="00F04ECA"/>
    <w:rsid w:val="00F04F8B"/>
    <w:rsid w:val="00F06E19"/>
    <w:rsid w:val="00F06F84"/>
    <w:rsid w:val="00F07286"/>
    <w:rsid w:val="00F07585"/>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D67"/>
    <w:rsid w:val="00F14EA9"/>
    <w:rsid w:val="00F15505"/>
    <w:rsid w:val="00F15BFF"/>
    <w:rsid w:val="00F16B79"/>
    <w:rsid w:val="00F16E4F"/>
    <w:rsid w:val="00F17244"/>
    <w:rsid w:val="00F204CC"/>
    <w:rsid w:val="00F213A0"/>
    <w:rsid w:val="00F217F7"/>
    <w:rsid w:val="00F21D54"/>
    <w:rsid w:val="00F21EF4"/>
    <w:rsid w:val="00F223B3"/>
    <w:rsid w:val="00F23113"/>
    <w:rsid w:val="00F2319C"/>
    <w:rsid w:val="00F23255"/>
    <w:rsid w:val="00F23393"/>
    <w:rsid w:val="00F23759"/>
    <w:rsid w:val="00F238B4"/>
    <w:rsid w:val="00F24644"/>
    <w:rsid w:val="00F25947"/>
    <w:rsid w:val="00F262D6"/>
    <w:rsid w:val="00F26F33"/>
    <w:rsid w:val="00F2748A"/>
    <w:rsid w:val="00F300A8"/>
    <w:rsid w:val="00F302C6"/>
    <w:rsid w:val="00F30400"/>
    <w:rsid w:val="00F3079E"/>
    <w:rsid w:val="00F33968"/>
    <w:rsid w:val="00F3399B"/>
    <w:rsid w:val="00F33F4B"/>
    <w:rsid w:val="00F346ED"/>
    <w:rsid w:val="00F34945"/>
    <w:rsid w:val="00F34E1E"/>
    <w:rsid w:val="00F34F5B"/>
    <w:rsid w:val="00F3570C"/>
    <w:rsid w:val="00F363A4"/>
    <w:rsid w:val="00F36765"/>
    <w:rsid w:val="00F368FF"/>
    <w:rsid w:val="00F37026"/>
    <w:rsid w:val="00F37068"/>
    <w:rsid w:val="00F37385"/>
    <w:rsid w:val="00F375D8"/>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612"/>
    <w:rsid w:val="00F45921"/>
    <w:rsid w:val="00F45B91"/>
    <w:rsid w:val="00F4613E"/>
    <w:rsid w:val="00F46639"/>
    <w:rsid w:val="00F46DBB"/>
    <w:rsid w:val="00F4753C"/>
    <w:rsid w:val="00F476FD"/>
    <w:rsid w:val="00F50183"/>
    <w:rsid w:val="00F50D92"/>
    <w:rsid w:val="00F51765"/>
    <w:rsid w:val="00F51A51"/>
    <w:rsid w:val="00F51BC6"/>
    <w:rsid w:val="00F51CB4"/>
    <w:rsid w:val="00F52324"/>
    <w:rsid w:val="00F52950"/>
    <w:rsid w:val="00F52C9D"/>
    <w:rsid w:val="00F533F1"/>
    <w:rsid w:val="00F53D10"/>
    <w:rsid w:val="00F55679"/>
    <w:rsid w:val="00F561E3"/>
    <w:rsid w:val="00F565E6"/>
    <w:rsid w:val="00F56772"/>
    <w:rsid w:val="00F56AFA"/>
    <w:rsid w:val="00F575E2"/>
    <w:rsid w:val="00F579FF"/>
    <w:rsid w:val="00F600E0"/>
    <w:rsid w:val="00F605EC"/>
    <w:rsid w:val="00F60F60"/>
    <w:rsid w:val="00F612CE"/>
    <w:rsid w:val="00F6133C"/>
    <w:rsid w:val="00F624A7"/>
    <w:rsid w:val="00F62AB6"/>
    <w:rsid w:val="00F6478E"/>
    <w:rsid w:val="00F65A3C"/>
    <w:rsid w:val="00F66039"/>
    <w:rsid w:val="00F66282"/>
    <w:rsid w:val="00F6639E"/>
    <w:rsid w:val="00F670E9"/>
    <w:rsid w:val="00F67AF1"/>
    <w:rsid w:val="00F67D8B"/>
    <w:rsid w:val="00F701C5"/>
    <w:rsid w:val="00F707E3"/>
    <w:rsid w:val="00F70961"/>
    <w:rsid w:val="00F70A8F"/>
    <w:rsid w:val="00F70B3A"/>
    <w:rsid w:val="00F70E36"/>
    <w:rsid w:val="00F71397"/>
    <w:rsid w:val="00F72389"/>
    <w:rsid w:val="00F72516"/>
    <w:rsid w:val="00F72A1E"/>
    <w:rsid w:val="00F72FB4"/>
    <w:rsid w:val="00F735E5"/>
    <w:rsid w:val="00F73E80"/>
    <w:rsid w:val="00F7469C"/>
    <w:rsid w:val="00F7492E"/>
    <w:rsid w:val="00F74945"/>
    <w:rsid w:val="00F749A3"/>
    <w:rsid w:val="00F74AE8"/>
    <w:rsid w:val="00F769CC"/>
    <w:rsid w:val="00F76C11"/>
    <w:rsid w:val="00F77021"/>
    <w:rsid w:val="00F77E61"/>
    <w:rsid w:val="00F77E9A"/>
    <w:rsid w:val="00F80221"/>
    <w:rsid w:val="00F807F6"/>
    <w:rsid w:val="00F80C81"/>
    <w:rsid w:val="00F81265"/>
    <w:rsid w:val="00F815AC"/>
    <w:rsid w:val="00F8187D"/>
    <w:rsid w:val="00F81AA6"/>
    <w:rsid w:val="00F83B33"/>
    <w:rsid w:val="00F83CAE"/>
    <w:rsid w:val="00F840BF"/>
    <w:rsid w:val="00F8427A"/>
    <w:rsid w:val="00F843DF"/>
    <w:rsid w:val="00F84899"/>
    <w:rsid w:val="00F85585"/>
    <w:rsid w:val="00F859F0"/>
    <w:rsid w:val="00F85CC1"/>
    <w:rsid w:val="00F86280"/>
    <w:rsid w:val="00F86B5D"/>
    <w:rsid w:val="00F875E1"/>
    <w:rsid w:val="00F87634"/>
    <w:rsid w:val="00F87C13"/>
    <w:rsid w:val="00F87C5A"/>
    <w:rsid w:val="00F87E29"/>
    <w:rsid w:val="00F87F18"/>
    <w:rsid w:val="00F87F68"/>
    <w:rsid w:val="00F90C4D"/>
    <w:rsid w:val="00F9167D"/>
    <w:rsid w:val="00F91CB2"/>
    <w:rsid w:val="00F927E8"/>
    <w:rsid w:val="00F9289C"/>
    <w:rsid w:val="00F93D5B"/>
    <w:rsid w:val="00F93DBC"/>
    <w:rsid w:val="00F93E41"/>
    <w:rsid w:val="00F94644"/>
    <w:rsid w:val="00F952E4"/>
    <w:rsid w:val="00F9537B"/>
    <w:rsid w:val="00F963FC"/>
    <w:rsid w:val="00F965CA"/>
    <w:rsid w:val="00F97107"/>
    <w:rsid w:val="00F97141"/>
    <w:rsid w:val="00F97CF1"/>
    <w:rsid w:val="00FA015F"/>
    <w:rsid w:val="00FA0160"/>
    <w:rsid w:val="00FA0FAC"/>
    <w:rsid w:val="00FA10F7"/>
    <w:rsid w:val="00FA1DA2"/>
    <w:rsid w:val="00FA2589"/>
    <w:rsid w:val="00FA3414"/>
    <w:rsid w:val="00FA347A"/>
    <w:rsid w:val="00FA3CDE"/>
    <w:rsid w:val="00FA3EDB"/>
    <w:rsid w:val="00FA49B7"/>
    <w:rsid w:val="00FA5043"/>
    <w:rsid w:val="00FA6569"/>
    <w:rsid w:val="00FA6F8B"/>
    <w:rsid w:val="00FA727C"/>
    <w:rsid w:val="00FA7788"/>
    <w:rsid w:val="00FA7A30"/>
    <w:rsid w:val="00FB033F"/>
    <w:rsid w:val="00FB0507"/>
    <w:rsid w:val="00FB12E3"/>
    <w:rsid w:val="00FB1570"/>
    <w:rsid w:val="00FB193B"/>
    <w:rsid w:val="00FB1E5B"/>
    <w:rsid w:val="00FB1FBC"/>
    <w:rsid w:val="00FB27B7"/>
    <w:rsid w:val="00FB2A6A"/>
    <w:rsid w:val="00FB35E3"/>
    <w:rsid w:val="00FB4893"/>
    <w:rsid w:val="00FB4C98"/>
    <w:rsid w:val="00FB4CE3"/>
    <w:rsid w:val="00FB534D"/>
    <w:rsid w:val="00FB5373"/>
    <w:rsid w:val="00FB583C"/>
    <w:rsid w:val="00FB630E"/>
    <w:rsid w:val="00FB6738"/>
    <w:rsid w:val="00FB67AD"/>
    <w:rsid w:val="00FB691B"/>
    <w:rsid w:val="00FB6BE6"/>
    <w:rsid w:val="00FB731C"/>
    <w:rsid w:val="00FB7628"/>
    <w:rsid w:val="00FB77C9"/>
    <w:rsid w:val="00FC05A0"/>
    <w:rsid w:val="00FC0811"/>
    <w:rsid w:val="00FC1196"/>
    <w:rsid w:val="00FC13D1"/>
    <w:rsid w:val="00FC15EB"/>
    <w:rsid w:val="00FC162C"/>
    <w:rsid w:val="00FC18DC"/>
    <w:rsid w:val="00FC2477"/>
    <w:rsid w:val="00FC2AC4"/>
    <w:rsid w:val="00FC2CAC"/>
    <w:rsid w:val="00FC2F73"/>
    <w:rsid w:val="00FC30FA"/>
    <w:rsid w:val="00FC341C"/>
    <w:rsid w:val="00FC3830"/>
    <w:rsid w:val="00FC3A9B"/>
    <w:rsid w:val="00FC3AE1"/>
    <w:rsid w:val="00FC3DFC"/>
    <w:rsid w:val="00FC3EF4"/>
    <w:rsid w:val="00FC431B"/>
    <w:rsid w:val="00FC434C"/>
    <w:rsid w:val="00FC472C"/>
    <w:rsid w:val="00FC4FDF"/>
    <w:rsid w:val="00FC5CF4"/>
    <w:rsid w:val="00FC5D64"/>
    <w:rsid w:val="00FC6097"/>
    <w:rsid w:val="00FC61A4"/>
    <w:rsid w:val="00FC6A39"/>
    <w:rsid w:val="00FC76A9"/>
    <w:rsid w:val="00FC79AB"/>
    <w:rsid w:val="00FC7BE7"/>
    <w:rsid w:val="00FC7DAC"/>
    <w:rsid w:val="00FC7F00"/>
    <w:rsid w:val="00FD005D"/>
    <w:rsid w:val="00FD023A"/>
    <w:rsid w:val="00FD04AE"/>
    <w:rsid w:val="00FD0CCF"/>
    <w:rsid w:val="00FD0DFA"/>
    <w:rsid w:val="00FD128D"/>
    <w:rsid w:val="00FD1606"/>
    <w:rsid w:val="00FD1890"/>
    <w:rsid w:val="00FD1994"/>
    <w:rsid w:val="00FD29F3"/>
    <w:rsid w:val="00FD3508"/>
    <w:rsid w:val="00FD393C"/>
    <w:rsid w:val="00FD3AFF"/>
    <w:rsid w:val="00FD43BB"/>
    <w:rsid w:val="00FD48CD"/>
    <w:rsid w:val="00FD4AF3"/>
    <w:rsid w:val="00FD798D"/>
    <w:rsid w:val="00FE141E"/>
    <w:rsid w:val="00FE144E"/>
    <w:rsid w:val="00FE1768"/>
    <w:rsid w:val="00FE24F4"/>
    <w:rsid w:val="00FE2560"/>
    <w:rsid w:val="00FE3016"/>
    <w:rsid w:val="00FE35D0"/>
    <w:rsid w:val="00FE3730"/>
    <w:rsid w:val="00FE40EA"/>
    <w:rsid w:val="00FE42ED"/>
    <w:rsid w:val="00FE4E06"/>
    <w:rsid w:val="00FE55A7"/>
    <w:rsid w:val="00FE5C5A"/>
    <w:rsid w:val="00FE6432"/>
    <w:rsid w:val="00FE6D66"/>
    <w:rsid w:val="00FE72A0"/>
    <w:rsid w:val="00FE76F9"/>
    <w:rsid w:val="00FE784E"/>
    <w:rsid w:val="00FF0050"/>
    <w:rsid w:val="00FF045F"/>
    <w:rsid w:val="00FF13D4"/>
    <w:rsid w:val="00FF2053"/>
    <w:rsid w:val="00FF3B37"/>
    <w:rsid w:val="00FF3CC7"/>
    <w:rsid w:val="00FF3D6F"/>
    <w:rsid w:val="00FF4810"/>
    <w:rsid w:val="00FF4BD8"/>
    <w:rsid w:val="00FF4D11"/>
    <w:rsid w:val="00FF5214"/>
    <w:rsid w:val="00FF53DC"/>
    <w:rsid w:val="00FF596E"/>
    <w:rsid w:val="00FF5B59"/>
    <w:rsid w:val="00FF5BFD"/>
    <w:rsid w:val="00FF5DBF"/>
    <w:rsid w:val="00FF6095"/>
    <w:rsid w:val="00FF62FE"/>
    <w:rsid w:val="00FF6553"/>
    <w:rsid w:val="00FF7A39"/>
    <w:rsid w:val="1D1A3614"/>
    <w:rsid w:val="62C4790C"/>
    <w:rsid w:val="659F297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FC6"/>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A4271D"/>
    <w:rPr>
      <w:color w:val="808080"/>
    </w:rPr>
  </w:style>
  <w:style w:type="paragraph" w:styleId="Revisin">
    <w:name w:val="Revision"/>
    <w:hidden/>
    <w:uiPriority w:val="99"/>
    <w:semiHidden/>
    <w:rsid w:val="008815D1"/>
    <w:pPr>
      <w:spacing w:after="0" w:line="240" w:lineRule="auto"/>
    </w:pPr>
    <w:rPr>
      <w:rFonts w:ascii="Times New Roman" w:eastAsia="Times New Roman" w:hAnsi="Times New Roman" w:cs="Times New Roman"/>
      <w:sz w:val="24"/>
      <w:szCs w:val="24"/>
      <w:lang w:eastAsia="es-ES_tradnl"/>
    </w:rPr>
  </w:style>
  <w:style w:type="paragraph" w:customStyle="1" w:styleId="Style1">
    <w:name w:val="Style 1"/>
    <w:uiPriority w:val="99"/>
    <w:rsid w:val="00C1749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customStyle="1" w:styleId="CharacterStyle1">
    <w:name w:val="Character Style 1"/>
    <w:uiPriority w:val="99"/>
    <w:rsid w:val="00C17492"/>
    <w:rPr>
      <w:sz w:val="20"/>
      <w:szCs w:val="20"/>
    </w:rPr>
  </w:style>
  <w:style w:type="paragraph" w:customStyle="1" w:styleId="Style4">
    <w:name w:val="Style 4"/>
    <w:uiPriority w:val="99"/>
    <w:rsid w:val="00213EC5"/>
    <w:pPr>
      <w:widowControl w:val="0"/>
      <w:autoSpaceDE w:val="0"/>
      <w:autoSpaceDN w:val="0"/>
      <w:spacing w:before="288" w:after="0" w:line="240" w:lineRule="auto"/>
      <w:jc w:val="both"/>
    </w:pPr>
    <w:rPr>
      <w:rFonts w:ascii="Times New Roman" w:eastAsia="Times New Roman" w:hAnsi="Times New Roman" w:cs="Times New Roman"/>
      <w:sz w:val="24"/>
      <w:szCs w:val="24"/>
      <w:lang w:val="en-US" w:eastAsia="es-ES"/>
    </w:rPr>
  </w:style>
  <w:style w:type="character" w:styleId="Refdenotaalfinal">
    <w:name w:val="endnote reference"/>
    <w:basedOn w:val="Fuentedeprrafopredeter"/>
    <w:uiPriority w:val="99"/>
    <w:semiHidden/>
    <w:unhideWhenUsed/>
    <w:rsid w:val="006A5A3C"/>
    <w:rPr>
      <w:vertAlign w:val="superscript"/>
    </w:rPr>
  </w:style>
  <w:style w:type="table" w:customStyle="1" w:styleId="Tablaconcuadrcula12">
    <w:name w:val="Tabla con cuadrícula12"/>
    <w:basedOn w:val="Tablanormal"/>
    <w:next w:val="Tablaconcuadrcula"/>
    <w:uiPriority w:val="59"/>
    <w:rsid w:val="00253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qFormat/>
    <w:rsid w:val="008E4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502140">
      <w:bodyDiv w:val="1"/>
      <w:marLeft w:val="0"/>
      <w:marRight w:val="0"/>
      <w:marTop w:val="0"/>
      <w:marBottom w:val="0"/>
      <w:divBdr>
        <w:top w:val="none" w:sz="0" w:space="0" w:color="auto"/>
        <w:left w:val="none" w:sz="0" w:space="0" w:color="auto"/>
        <w:bottom w:val="none" w:sz="0" w:space="0" w:color="auto"/>
        <w:right w:val="none" w:sz="0" w:space="0" w:color="auto"/>
      </w:divBdr>
      <w:divsChild>
        <w:div w:id="1779519250">
          <w:marLeft w:val="0"/>
          <w:marRight w:val="0"/>
          <w:marTop w:val="0"/>
          <w:marBottom w:val="0"/>
          <w:divBdr>
            <w:top w:val="none" w:sz="0" w:space="0" w:color="auto"/>
            <w:left w:val="none" w:sz="0" w:space="0" w:color="auto"/>
            <w:bottom w:val="none" w:sz="0" w:space="0" w:color="auto"/>
            <w:right w:val="none" w:sz="0" w:space="0" w:color="auto"/>
          </w:divBdr>
          <w:divsChild>
            <w:div w:id="1734890087">
              <w:marLeft w:val="0"/>
              <w:marRight w:val="0"/>
              <w:marTop w:val="0"/>
              <w:marBottom w:val="0"/>
              <w:divBdr>
                <w:top w:val="none" w:sz="0" w:space="0" w:color="auto"/>
                <w:left w:val="none" w:sz="0" w:space="0" w:color="auto"/>
                <w:bottom w:val="none" w:sz="0" w:space="0" w:color="auto"/>
                <w:right w:val="none" w:sz="0" w:space="0" w:color="auto"/>
              </w:divBdr>
              <w:divsChild>
                <w:div w:id="6784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138">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576617">
      <w:bodyDiv w:val="1"/>
      <w:marLeft w:val="0"/>
      <w:marRight w:val="0"/>
      <w:marTop w:val="0"/>
      <w:marBottom w:val="0"/>
      <w:divBdr>
        <w:top w:val="none" w:sz="0" w:space="0" w:color="auto"/>
        <w:left w:val="none" w:sz="0" w:space="0" w:color="auto"/>
        <w:bottom w:val="none" w:sz="0" w:space="0" w:color="auto"/>
        <w:right w:val="none" w:sz="0" w:space="0" w:color="auto"/>
      </w:divBdr>
    </w:div>
    <w:div w:id="28727430">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90463">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41194916">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4459391">
      <w:bodyDiv w:val="1"/>
      <w:marLeft w:val="0"/>
      <w:marRight w:val="0"/>
      <w:marTop w:val="0"/>
      <w:marBottom w:val="0"/>
      <w:divBdr>
        <w:top w:val="none" w:sz="0" w:space="0" w:color="auto"/>
        <w:left w:val="none" w:sz="0" w:space="0" w:color="auto"/>
        <w:bottom w:val="none" w:sz="0" w:space="0" w:color="auto"/>
        <w:right w:val="none" w:sz="0" w:space="0" w:color="auto"/>
      </w:divBdr>
    </w:div>
    <w:div w:id="19169670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0820502">
      <w:bodyDiv w:val="1"/>
      <w:marLeft w:val="0"/>
      <w:marRight w:val="0"/>
      <w:marTop w:val="0"/>
      <w:marBottom w:val="0"/>
      <w:divBdr>
        <w:top w:val="none" w:sz="0" w:space="0" w:color="auto"/>
        <w:left w:val="none" w:sz="0" w:space="0" w:color="auto"/>
        <w:bottom w:val="none" w:sz="0" w:space="0" w:color="auto"/>
        <w:right w:val="none" w:sz="0" w:space="0" w:color="auto"/>
      </w:divBdr>
      <w:divsChild>
        <w:div w:id="853305251">
          <w:marLeft w:val="0"/>
          <w:marRight w:val="0"/>
          <w:marTop w:val="0"/>
          <w:marBottom w:val="0"/>
          <w:divBdr>
            <w:top w:val="none" w:sz="0" w:space="0" w:color="auto"/>
            <w:left w:val="none" w:sz="0" w:space="0" w:color="auto"/>
            <w:bottom w:val="none" w:sz="0" w:space="0" w:color="auto"/>
            <w:right w:val="none" w:sz="0" w:space="0" w:color="auto"/>
          </w:divBdr>
          <w:divsChild>
            <w:div w:id="1393885802">
              <w:marLeft w:val="0"/>
              <w:marRight w:val="0"/>
              <w:marTop w:val="0"/>
              <w:marBottom w:val="0"/>
              <w:divBdr>
                <w:top w:val="none" w:sz="0" w:space="0" w:color="auto"/>
                <w:left w:val="none" w:sz="0" w:space="0" w:color="auto"/>
                <w:bottom w:val="none" w:sz="0" w:space="0" w:color="auto"/>
                <w:right w:val="none" w:sz="0" w:space="0" w:color="auto"/>
              </w:divBdr>
              <w:divsChild>
                <w:div w:id="6531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716642">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40013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79266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843138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6877285">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9011270">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222371">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35495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2335">
      <w:bodyDiv w:val="1"/>
      <w:marLeft w:val="0"/>
      <w:marRight w:val="0"/>
      <w:marTop w:val="0"/>
      <w:marBottom w:val="0"/>
      <w:divBdr>
        <w:top w:val="none" w:sz="0" w:space="0" w:color="auto"/>
        <w:left w:val="none" w:sz="0" w:space="0" w:color="auto"/>
        <w:bottom w:val="none" w:sz="0" w:space="0" w:color="auto"/>
        <w:right w:val="none" w:sz="0" w:space="0" w:color="auto"/>
      </w:divBdr>
    </w:div>
    <w:div w:id="580720910">
      <w:bodyDiv w:val="1"/>
      <w:marLeft w:val="0"/>
      <w:marRight w:val="0"/>
      <w:marTop w:val="0"/>
      <w:marBottom w:val="0"/>
      <w:divBdr>
        <w:top w:val="none" w:sz="0" w:space="0" w:color="auto"/>
        <w:left w:val="none" w:sz="0" w:space="0" w:color="auto"/>
        <w:bottom w:val="none" w:sz="0" w:space="0" w:color="auto"/>
        <w:right w:val="none" w:sz="0" w:space="0" w:color="auto"/>
      </w:divBdr>
      <w:divsChild>
        <w:div w:id="1337340172">
          <w:marLeft w:val="0"/>
          <w:marRight w:val="0"/>
          <w:marTop w:val="0"/>
          <w:marBottom w:val="0"/>
          <w:divBdr>
            <w:top w:val="none" w:sz="0" w:space="0" w:color="auto"/>
            <w:left w:val="none" w:sz="0" w:space="0" w:color="auto"/>
            <w:bottom w:val="none" w:sz="0" w:space="0" w:color="auto"/>
            <w:right w:val="none" w:sz="0" w:space="0" w:color="auto"/>
          </w:divBdr>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967220">
      <w:bodyDiv w:val="1"/>
      <w:marLeft w:val="0"/>
      <w:marRight w:val="0"/>
      <w:marTop w:val="0"/>
      <w:marBottom w:val="0"/>
      <w:divBdr>
        <w:top w:val="none" w:sz="0" w:space="0" w:color="auto"/>
        <w:left w:val="none" w:sz="0" w:space="0" w:color="auto"/>
        <w:bottom w:val="none" w:sz="0" w:space="0" w:color="auto"/>
        <w:right w:val="none" w:sz="0" w:space="0" w:color="auto"/>
      </w:divBdr>
      <w:divsChild>
        <w:div w:id="487794251">
          <w:marLeft w:val="0"/>
          <w:marRight w:val="0"/>
          <w:marTop w:val="0"/>
          <w:marBottom w:val="0"/>
          <w:divBdr>
            <w:top w:val="none" w:sz="0" w:space="0" w:color="auto"/>
            <w:left w:val="none" w:sz="0" w:space="0" w:color="auto"/>
            <w:bottom w:val="none" w:sz="0" w:space="0" w:color="auto"/>
            <w:right w:val="none" w:sz="0" w:space="0" w:color="auto"/>
          </w:divBdr>
        </w:div>
      </w:divsChild>
    </w:div>
    <w:div w:id="591284043">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32907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10163729">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3775461">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646275">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491459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12491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77637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43351">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112238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03852">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6629019">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427827">
      <w:bodyDiv w:val="1"/>
      <w:marLeft w:val="0"/>
      <w:marRight w:val="0"/>
      <w:marTop w:val="0"/>
      <w:marBottom w:val="0"/>
      <w:divBdr>
        <w:top w:val="none" w:sz="0" w:space="0" w:color="auto"/>
        <w:left w:val="none" w:sz="0" w:space="0" w:color="auto"/>
        <w:bottom w:val="none" w:sz="0" w:space="0" w:color="auto"/>
        <w:right w:val="none" w:sz="0" w:space="0" w:color="auto"/>
      </w:divBdr>
    </w:div>
    <w:div w:id="824931210">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77706">
      <w:bodyDiv w:val="1"/>
      <w:marLeft w:val="0"/>
      <w:marRight w:val="0"/>
      <w:marTop w:val="0"/>
      <w:marBottom w:val="0"/>
      <w:divBdr>
        <w:top w:val="none" w:sz="0" w:space="0" w:color="auto"/>
        <w:left w:val="none" w:sz="0" w:space="0" w:color="auto"/>
        <w:bottom w:val="none" w:sz="0" w:space="0" w:color="auto"/>
        <w:right w:val="none" w:sz="0" w:space="0" w:color="auto"/>
      </w:divBdr>
      <w:divsChild>
        <w:div w:id="1012681878">
          <w:marLeft w:val="0"/>
          <w:marRight w:val="0"/>
          <w:marTop w:val="0"/>
          <w:marBottom w:val="0"/>
          <w:divBdr>
            <w:top w:val="none" w:sz="0" w:space="0" w:color="auto"/>
            <w:left w:val="none" w:sz="0" w:space="0" w:color="auto"/>
            <w:bottom w:val="none" w:sz="0" w:space="0" w:color="auto"/>
            <w:right w:val="none" w:sz="0" w:space="0" w:color="auto"/>
          </w:divBdr>
          <w:divsChild>
            <w:div w:id="1639336313">
              <w:marLeft w:val="0"/>
              <w:marRight w:val="0"/>
              <w:marTop w:val="0"/>
              <w:marBottom w:val="0"/>
              <w:divBdr>
                <w:top w:val="none" w:sz="0" w:space="0" w:color="auto"/>
                <w:left w:val="none" w:sz="0" w:space="0" w:color="auto"/>
                <w:bottom w:val="none" w:sz="0" w:space="0" w:color="auto"/>
                <w:right w:val="none" w:sz="0" w:space="0" w:color="auto"/>
              </w:divBdr>
              <w:divsChild>
                <w:div w:id="5310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503732">
      <w:bodyDiv w:val="1"/>
      <w:marLeft w:val="0"/>
      <w:marRight w:val="0"/>
      <w:marTop w:val="0"/>
      <w:marBottom w:val="0"/>
      <w:divBdr>
        <w:top w:val="none" w:sz="0" w:space="0" w:color="auto"/>
        <w:left w:val="none" w:sz="0" w:space="0" w:color="auto"/>
        <w:bottom w:val="none" w:sz="0" w:space="0" w:color="auto"/>
        <w:right w:val="none" w:sz="0" w:space="0" w:color="auto"/>
      </w:divBdr>
      <w:divsChild>
        <w:div w:id="64840735">
          <w:marLeft w:val="0"/>
          <w:marRight w:val="0"/>
          <w:marTop w:val="0"/>
          <w:marBottom w:val="0"/>
          <w:divBdr>
            <w:top w:val="none" w:sz="0" w:space="0" w:color="auto"/>
            <w:left w:val="none" w:sz="0" w:space="0" w:color="auto"/>
            <w:bottom w:val="none" w:sz="0" w:space="0" w:color="auto"/>
            <w:right w:val="none" w:sz="0" w:space="0" w:color="auto"/>
          </w:divBdr>
        </w:div>
        <w:div w:id="748162411">
          <w:marLeft w:val="0"/>
          <w:marRight w:val="0"/>
          <w:marTop w:val="0"/>
          <w:marBottom w:val="0"/>
          <w:divBdr>
            <w:top w:val="none" w:sz="0" w:space="0" w:color="auto"/>
            <w:left w:val="none" w:sz="0" w:space="0" w:color="auto"/>
            <w:bottom w:val="none" w:sz="0" w:space="0" w:color="auto"/>
            <w:right w:val="none" w:sz="0" w:space="0" w:color="auto"/>
          </w:divBdr>
        </w:div>
        <w:div w:id="1368945924">
          <w:marLeft w:val="0"/>
          <w:marRight w:val="0"/>
          <w:marTop w:val="0"/>
          <w:marBottom w:val="0"/>
          <w:divBdr>
            <w:top w:val="none" w:sz="0" w:space="0" w:color="auto"/>
            <w:left w:val="none" w:sz="0" w:space="0" w:color="auto"/>
            <w:bottom w:val="none" w:sz="0" w:space="0" w:color="auto"/>
            <w:right w:val="none" w:sz="0" w:space="0" w:color="auto"/>
          </w:divBdr>
        </w:div>
      </w:divsChild>
    </w:div>
    <w:div w:id="93482587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631209">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436131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6133383">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01641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230052">
      <w:bodyDiv w:val="1"/>
      <w:marLeft w:val="0"/>
      <w:marRight w:val="0"/>
      <w:marTop w:val="0"/>
      <w:marBottom w:val="0"/>
      <w:divBdr>
        <w:top w:val="none" w:sz="0" w:space="0" w:color="auto"/>
        <w:left w:val="none" w:sz="0" w:space="0" w:color="auto"/>
        <w:bottom w:val="none" w:sz="0" w:space="0" w:color="auto"/>
        <w:right w:val="none" w:sz="0" w:space="0" w:color="auto"/>
      </w:divBdr>
    </w:div>
    <w:div w:id="1056318055">
      <w:bodyDiv w:val="1"/>
      <w:marLeft w:val="0"/>
      <w:marRight w:val="0"/>
      <w:marTop w:val="0"/>
      <w:marBottom w:val="0"/>
      <w:divBdr>
        <w:top w:val="none" w:sz="0" w:space="0" w:color="auto"/>
        <w:left w:val="none" w:sz="0" w:space="0" w:color="auto"/>
        <w:bottom w:val="none" w:sz="0" w:space="0" w:color="auto"/>
        <w:right w:val="none" w:sz="0" w:space="0" w:color="auto"/>
      </w:divBdr>
    </w:div>
    <w:div w:id="1057584220">
      <w:bodyDiv w:val="1"/>
      <w:marLeft w:val="0"/>
      <w:marRight w:val="0"/>
      <w:marTop w:val="0"/>
      <w:marBottom w:val="0"/>
      <w:divBdr>
        <w:top w:val="none" w:sz="0" w:space="0" w:color="auto"/>
        <w:left w:val="none" w:sz="0" w:space="0" w:color="auto"/>
        <w:bottom w:val="none" w:sz="0" w:space="0" w:color="auto"/>
        <w:right w:val="none" w:sz="0" w:space="0" w:color="auto"/>
      </w:divBdr>
    </w:div>
    <w:div w:id="1060784058">
      <w:bodyDiv w:val="1"/>
      <w:marLeft w:val="0"/>
      <w:marRight w:val="0"/>
      <w:marTop w:val="0"/>
      <w:marBottom w:val="0"/>
      <w:divBdr>
        <w:top w:val="none" w:sz="0" w:space="0" w:color="auto"/>
        <w:left w:val="none" w:sz="0" w:space="0" w:color="auto"/>
        <w:bottom w:val="none" w:sz="0" w:space="0" w:color="auto"/>
        <w:right w:val="none" w:sz="0" w:space="0" w:color="auto"/>
      </w:divBdr>
    </w:div>
    <w:div w:id="1065646767">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4568713">
      <w:bodyDiv w:val="1"/>
      <w:marLeft w:val="0"/>
      <w:marRight w:val="0"/>
      <w:marTop w:val="0"/>
      <w:marBottom w:val="0"/>
      <w:divBdr>
        <w:top w:val="none" w:sz="0" w:space="0" w:color="auto"/>
        <w:left w:val="none" w:sz="0" w:space="0" w:color="auto"/>
        <w:bottom w:val="none" w:sz="0" w:space="0" w:color="auto"/>
        <w:right w:val="none" w:sz="0" w:space="0" w:color="auto"/>
      </w:divBdr>
    </w:div>
    <w:div w:id="1096558198">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53447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3929162">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564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076829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489096">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383800">
      <w:bodyDiv w:val="1"/>
      <w:marLeft w:val="0"/>
      <w:marRight w:val="0"/>
      <w:marTop w:val="0"/>
      <w:marBottom w:val="0"/>
      <w:divBdr>
        <w:top w:val="none" w:sz="0" w:space="0" w:color="auto"/>
        <w:left w:val="none" w:sz="0" w:space="0" w:color="auto"/>
        <w:bottom w:val="none" w:sz="0" w:space="0" w:color="auto"/>
        <w:right w:val="none" w:sz="0" w:space="0" w:color="auto"/>
      </w:divBdr>
    </w:div>
    <w:div w:id="1329752325">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0472351">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15560">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7012">
      <w:bodyDiv w:val="1"/>
      <w:marLeft w:val="0"/>
      <w:marRight w:val="0"/>
      <w:marTop w:val="0"/>
      <w:marBottom w:val="0"/>
      <w:divBdr>
        <w:top w:val="none" w:sz="0" w:space="0" w:color="auto"/>
        <w:left w:val="none" w:sz="0" w:space="0" w:color="auto"/>
        <w:bottom w:val="none" w:sz="0" w:space="0" w:color="auto"/>
        <w:right w:val="none" w:sz="0" w:space="0" w:color="auto"/>
      </w:divBdr>
    </w:div>
    <w:div w:id="1437478582">
      <w:bodyDiv w:val="1"/>
      <w:marLeft w:val="0"/>
      <w:marRight w:val="0"/>
      <w:marTop w:val="0"/>
      <w:marBottom w:val="0"/>
      <w:divBdr>
        <w:top w:val="none" w:sz="0" w:space="0" w:color="auto"/>
        <w:left w:val="none" w:sz="0" w:space="0" w:color="auto"/>
        <w:bottom w:val="none" w:sz="0" w:space="0" w:color="auto"/>
        <w:right w:val="none" w:sz="0" w:space="0" w:color="auto"/>
      </w:divBdr>
      <w:divsChild>
        <w:div w:id="1045102601">
          <w:marLeft w:val="0"/>
          <w:marRight w:val="0"/>
          <w:marTop w:val="0"/>
          <w:marBottom w:val="0"/>
          <w:divBdr>
            <w:top w:val="none" w:sz="0" w:space="0" w:color="auto"/>
            <w:left w:val="none" w:sz="0" w:space="0" w:color="auto"/>
            <w:bottom w:val="none" w:sz="0" w:space="0" w:color="auto"/>
            <w:right w:val="none" w:sz="0" w:space="0" w:color="auto"/>
          </w:divBdr>
          <w:divsChild>
            <w:div w:id="1365717778">
              <w:marLeft w:val="0"/>
              <w:marRight w:val="0"/>
              <w:marTop w:val="0"/>
              <w:marBottom w:val="0"/>
              <w:divBdr>
                <w:top w:val="none" w:sz="0" w:space="0" w:color="auto"/>
                <w:left w:val="none" w:sz="0" w:space="0" w:color="auto"/>
                <w:bottom w:val="none" w:sz="0" w:space="0" w:color="auto"/>
                <w:right w:val="none" w:sz="0" w:space="0" w:color="auto"/>
              </w:divBdr>
              <w:divsChild>
                <w:div w:id="12854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5929761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8156499">
      <w:bodyDiv w:val="1"/>
      <w:marLeft w:val="0"/>
      <w:marRight w:val="0"/>
      <w:marTop w:val="0"/>
      <w:marBottom w:val="0"/>
      <w:divBdr>
        <w:top w:val="none" w:sz="0" w:space="0" w:color="auto"/>
        <w:left w:val="none" w:sz="0" w:space="0" w:color="auto"/>
        <w:bottom w:val="none" w:sz="0" w:space="0" w:color="auto"/>
        <w:right w:val="none" w:sz="0" w:space="0" w:color="auto"/>
      </w:divBdr>
    </w:div>
    <w:div w:id="1498376081">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2185197">
      <w:bodyDiv w:val="1"/>
      <w:marLeft w:val="0"/>
      <w:marRight w:val="0"/>
      <w:marTop w:val="0"/>
      <w:marBottom w:val="0"/>
      <w:divBdr>
        <w:top w:val="none" w:sz="0" w:space="0" w:color="auto"/>
        <w:left w:val="none" w:sz="0" w:space="0" w:color="auto"/>
        <w:bottom w:val="none" w:sz="0" w:space="0" w:color="auto"/>
        <w:right w:val="none" w:sz="0" w:space="0" w:color="auto"/>
      </w:divBdr>
    </w:div>
    <w:div w:id="1512379971">
      <w:bodyDiv w:val="1"/>
      <w:marLeft w:val="0"/>
      <w:marRight w:val="0"/>
      <w:marTop w:val="0"/>
      <w:marBottom w:val="0"/>
      <w:divBdr>
        <w:top w:val="none" w:sz="0" w:space="0" w:color="auto"/>
        <w:left w:val="none" w:sz="0" w:space="0" w:color="auto"/>
        <w:bottom w:val="none" w:sz="0" w:space="0" w:color="auto"/>
        <w:right w:val="none" w:sz="0" w:space="0" w:color="auto"/>
      </w:divBdr>
      <w:divsChild>
        <w:div w:id="49622318">
          <w:marLeft w:val="0"/>
          <w:marRight w:val="0"/>
          <w:marTop w:val="0"/>
          <w:marBottom w:val="0"/>
          <w:divBdr>
            <w:top w:val="none" w:sz="0" w:space="0" w:color="auto"/>
            <w:left w:val="none" w:sz="0" w:space="0" w:color="auto"/>
            <w:bottom w:val="none" w:sz="0" w:space="0" w:color="auto"/>
            <w:right w:val="none" w:sz="0" w:space="0" w:color="auto"/>
          </w:divBdr>
          <w:divsChild>
            <w:div w:id="1320771641">
              <w:marLeft w:val="0"/>
              <w:marRight w:val="0"/>
              <w:marTop w:val="0"/>
              <w:marBottom w:val="0"/>
              <w:divBdr>
                <w:top w:val="none" w:sz="0" w:space="0" w:color="auto"/>
                <w:left w:val="none" w:sz="0" w:space="0" w:color="auto"/>
                <w:bottom w:val="none" w:sz="0" w:space="0" w:color="auto"/>
                <w:right w:val="none" w:sz="0" w:space="0" w:color="auto"/>
              </w:divBdr>
              <w:divsChild>
                <w:div w:id="13785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8083769">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472906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2910145">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1181">
      <w:bodyDiv w:val="1"/>
      <w:marLeft w:val="0"/>
      <w:marRight w:val="0"/>
      <w:marTop w:val="0"/>
      <w:marBottom w:val="0"/>
      <w:divBdr>
        <w:top w:val="none" w:sz="0" w:space="0" w:color="auto"/>
        <w:left w:val="none" w:sz="0" w:space="0" w:color="auto"/>
        <w:bottom w:val="none" w:sz="0" w:space="0" w:color="auto"/>
        <w:right w:val="none" w:sz="0" w:space="0" w:color="auto"/>
      </w:divBdr>
      <w:divsChild>
        <w:div w:id="418597455">
          <w:marLeft w:val="0"/>
          <w:marRight w:val="0"/>
          <w:marTop w:val="0"/>
          <w:marBottom w:val="0"/>
          <w:divBdr>
            <w:top w:val="none" w:sz="0" w:space="0" w:color="auto"/>
            <w:left w:val="none" w:sz="0" w:space="0" w:color="auto"/>
            <w:bottom w:val="none" w:sz="0" w:space="0" w:color="auto"/>
            <w:right w:val="none" w:sz="0" w:space="0" w:color="auto"/>
          </w:divBdr>
          <w:divsChild>
            <w:div w:id="1001472729">
              <w:marLeft w:val="0"/>
              <w:marRight w:val="0"/>
              <w:marTop w:val="0"/>
              <w:marBottom w:val="0"/>
              <w:divBdr>
                <w:top w:val="none" w:sz="0" w:space="0" w:color="auto"/>
                <w:left w:val="none" w:sz="0" w:space="0" w:color="auto"/>
                <w:bottom w:val="none" w:sz="0" w:space="0" w:color="auto"/>
                <w:right w:val="none" w:sz="0" w:space="0" w:color="auto"/>
              </w:divBdr>
              <w:divsChild>
                <w:div w:id="7648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4916429">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3554973">
      <w:bodyDiv w:val="1"/>
      <w:marLeft w:val="0"/>
      <w:marRight w:val="0"/>
      <w:marTop w:val="0"/>
      <w:marBottom w:val="0"/>
      <w:divBdr>
        <w:top w:val="none" w:sz="0" w:space="0" w:color="auto"/>
        <w:left w:val="none" w:sz="0" w:space="0" w:color="auto"/>
        <w:bottom w:val="none" w:sz="0" w:space="0" w:color="auto"/>
        <w:right w:val="none" w:sz="0" w:space="0" w:color="auto"/>
      </w:divBdr>
    </w:div>
    <w:div w:id="1635519712">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664516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56">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27421">
      <w:bodyDiv w:val="1"/>
      <w:marLeft w:val="0"/>
      <w:marRight w:val="0"/>
      <w:marTop w:val="0"/>
      <w:marBottom w:val="0"/>
      <w:divBdr>
        <w:top w:val="none" w:sz="0" w:space="0" w:color="auto"/>
        <w:left w:val="none" w:sz="0" w:space="0" w:color="auto"/>
        <w:bottom w:val="none" w:sz="0" w:space="0" w:color="auto"/>
        <w:right w:val="none" w:sz="0" w:space="0" w:color="auto"/>
      </w:divBdr>
      <w:divsChild>
        <w:div w:id="1902449101">
          <w:marLeft w:val="0"/>
          <w:marRight w:val="0"/>
          <w:marTop w:val="0"/>
          <w:marBottom w:val="0"/>
          <w:divBdr>
            <w:top w:val="none" w:sz="0" w:space="0" w:color="auto"/>
            <w:left w:val="none" w:sz="0" w:space="0" w:color="auto"/>
            <w:bottom w:val="none" w:sz="0" w:space="0" w:color="auto"/>
            <w:right w:val="none" w:sz="0" w:space="0" w:color="auto"/>
          </w:divBdr>
          <w:divsChild>
            <w:div w:id="839198442">
              <w:marLeft w:val="0"/>
              <w:marRight w:val="0"/>
              <w:marTop w:val="0"/>
              <w:marBottom w:val="0"/>
              <w:divBdr>
                <w:top w:val="none" w:sz="0" w:space="0" w:color="auto"/>
                <w:left w:val="none" w:sz="0" w:space="0" w:color="auto"/>
                <w:bottom w:val="none" w:sz="0" w:space="0" w:color="auto"/>
                <w:right w:val="none" w:sz="0" w:space="0" w:color="auto"/>
              </w:divBdr>
              <w:divsChild>
                <w:div w:id="8053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0584894">
      <w:bodyDiv w:val="1"/>
      <w:marLeft w:val="0"/>
      <w:marRight w:val="0"/>
      <w:marTop w:val="0"/>
      <w:marBottom w:val="0"/>
      <w:divBdr>
        <w:top w:val="none" w:sz="0" w:space="0" w:color="auto"/>
        <w:left w:val="none" w:sz="0" w:space="0" w:color="auto"/>
        <w:bottom w:val="none" w:sz="0" w:space="0" w:color="auto"/>
        <w:right w:val="none" w:sz="0" w:space="0" w:color="auto"/>
      </w:divBdr>
      <w:divsChild>
        <w:div w:id="762461414">
          <w:marLeft w:val="0"/>
          <w:marRight w:val="0"/>
          <w:marTop w:val="0"/>
          <w:marBottom w:val="0"/>
          <w:divBdr>
            <w:top w:val="none" w:sz="0" w:space="0" w:color="auto"/>
            <w:left w:val="none" w:sz="0" w:space="0" w:color="auto"/>
            <w:bottom w:val="none" w:sz="0" w:space="0" w:color="auto"/>
            <w:right w:val="none" w:sz="0" w:space="0" w:color="auto"/>
          </w:divBdr>
          <w:divsChild>
            <w:div w:id="1127822397">
              <w:marLeft w:val="0"/>
              <w:marRight w:val="0"/>
              <w:marTop w:val="0"/>
              <w:marBottom w:val="0"/>
              <w:divBdr>
                <w:top w:val="none" w:sz="0" w:space="0" w:color="auto"/>
                <w:left w:val="none" w:sz="0" w:space="0" w:color="auto"/>
                <w:bottom w:val="none" w:sz="0" w:space="0" w:color="auto"/>
                <w:right w:val="none" w:sz="0" w:space="0" w:color="auto"/>
              </w:divBdr>
              <w:divsChild>
                <w:div w:id="6412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2094871">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597897">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350112">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1628712">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84781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29255">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0893020">
      <w:bodyDiv w:val="1"/>
      <w:marLeft w:val="0"/>
      <w:marRight w:val="0"/>
      <w:marTop w:val="0"/>
      <w:marBottom w:val="0"/>
      <w:divBdr>
        <w:top w:val="none" w:sz="0" w:space="0" w:color="auto"/>
        <w:left w:val="none" w:sz="0" w:space="0" w:color="auto"/>
        <w:bottom w:val="none" w:sz="0" w:space="0" w:color="auto"/>
        <w:right w:val="none" w:sz="0" w:space="0" w:color="auto"/>
      </w:divBdr>
    </w:div>
    <w:div w:id="188397429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1692212">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4366210">
      <w:bodyDiv w:val="1"/>
      <w:marLeft w:val="0"/>
      <w:marRight w:val="0"/>
      <w:marTop w:val="0"/>
      <w:marBottom w:val="0"/>
      <w:divBdr>
        <w:top w:val="none" w:sz="0" w:space="0" w:color="auto"/>
        <w:left w:val="none" w:sz="0" w:space="0" w:color="auto"/>
        <w:bottom w:val="none" w:sz="0" w:space="0" w:color="auto"/>
        <w:right w:val="none" w:sz="0" w:space="0" w:color="auto"/>
      </w:divBdr>
      <w:divsChild>
        <w:div w:id="813134872">
          <w:marLeft w:val="0"/>
          <w:marRight w:val="0"/>
          <w:marTop w:val="0"/>
          <w:marBottom w:val="0"/>
          <w:divBdr>
            <w:top w:val="none" w:sz="0" w:space="0" w:color="auto"/>
            <w:left w:val="none" w:sz="0" w:space="0" w:color="auto"/>
            <w:bottom w:val="none" w:sz="0" w:space="0" w:color="auto"/>
            <w:right w:val="none" w:sz="0" w:space="0" w:color="auto"/>
          </w:divBdr>
        </w:div>
      </w:divsChild>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4783156">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1677">
      <w:bodyDiv w:val="1"/>
      <w:marLeft w:val="0"/>
      <w:marRight w:val="0"/>
      <w:marTop w:val="0"/>
      <w:marBottom w:val="0"/>
      <w:divBdr>
        <w:top w:val="none" w:sz="0" w:space="0" w:color="auto"/>
        <w:left w:val="none" w:sz="0" w:space="0" w:color="auto"/>
        <w:bottom w:val="none" w:sz="0" w:space="0" w:color="auto"/>
        <w:right w:val="none" w:sz="0" w:space="0" w:color="auto"/>
      </w:divBdr>
      <w:divsChild>
        <w:div w:id="349180649">
          <w:marLeft w:val="0"/>
          <w:marRight w:val="0"/>
          <w:marTop w:val="0"/>
          <w:marBottom w:val="0"/>
          <w:divBdr>
            <w:top w:val="none" w:sz="0" w:space="0" w:color="auto"/>
            <w:left w:val="none" w:sz="0" w:space="0" w:color="auto"/>
            <w:bottom w:val="none" w:sz="0" w:space="0" w:color="auto"/>
            <w:right w:val="none" w:sz="0" w:space="0" w:color="auto"/>
          </w:divBdr>
          <w:divsChild>
            <w:div w:id="1309479924">
              <w:marLeft w:val="0"/>
              <w:marRight w:val="0"/>
              <w:marTop w:val="0"/>
              <w:marBottom w:val="0"/>
              <w:divBdr>
                <w:top w:val="none" w:sz="0" w:space="0" w:color="auto"/>
                <w:left w:val="none" w:sz="0" w:space="0" w:color="auto"/>
                <w:bottom w:val="none" w:sz="0" w:space="0" w:color="auto"/>
                <w:right w:val="none" w:sz="0" w:space="0" w:color="auto"/>
              </w:divBdr>
              <w:divsChild>
                <w:div w:id="124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6536903">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9903">
      <w:bodyDiv w:val="1"/>
      <w:marLeft w:val="0"/>
      <w:marRight w:val="0"/>
      <w:marTop w:val="0"/>
      <w:marBottom w:val="0"/>
      <w:divBdr>
        <w:top w:val="none" w:sz="0" w:space="0" w:color="auto"/>
        <w:left w:val="none" w:sz="0" w:space="0" w:color="auto"/>
        <w:bottom w:val="none" w:sz="0" w:space="0" w:color="auto"/>
        <w:right w:val="none" w:sz="0" w:space="0" w:color="auto"/>
      </w:divBdr>
    </w:div>
    <w:div w:id="209165418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2871045">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174188">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9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6778"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4827"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ficha/C-296%20del%202021"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DEB7B416-1F34-4C5E-8487-E4C50D43CECF}">
  <ds:schemaRefs>
    <ds:schemaRef ds:uri="http://schemas.openxmlformats.org/officeDocument/2006/bibliography"/>
  </ds:schemaRefs>
</ds:datastoreItem>
</file>

<file path=customXml/itemProps3.xml><?xml version="1.0" encoding="utf-8"?>
<ds:datastoreItem xmlns:ds="http://schemas.openxmlformats.org/officeDocument/2006/customXml" ds:itemID="{6EB2765E-799B-432A-BF2E-024F9E2E4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9</TotalTime>
  <Pages>24</Pages>
  <Words>9626</Words>
  <Characters>52949</Characters>
  <Application>Microsoft Office Word</Application>
  <DocSecurity>0</DocSecurity>
  <Lines>441</Lines>
  <Paragraphs>124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nicolle saenz camargo</cp:lastModifiedBy>
  <cp:revision>16</cp:revision>
  <cp:lastPrinted>2020-01-30T15:05:00Z</cp:lastPrinted>
  <dcterms:created xsi:type="dcterms:W3CDTF">2022-04-19T16:11:00Z</dcterms:created>
  <dcterms:modified xsi:type="dcterms:W3CDTF">2022-05-03T02:18:00Z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