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7E354F" w:rsidR="007D7F8D" w:rsidP="007D7F8D" w:rsidRDefault="007D7F8D" w14:paraId="24EF01A2" w14:textId="77777777">
      <w:pPr>
        <w:jc w:val="right"/>
        <w:rPr>
          <w:rFonts w:ascii="Arial" w:hAnsi="Arial" w:cs="Arial"/>
          <w:b/>
          <w:sz w:val="16"/>
          <w:szCs w:val="16"/>
          <w:lang w:eastAsia="es-ES"/>
        </w:rPr>
      </w:pPr>
      <w:bookmarkStart w:name="_Hlk34041509" w:id="0"/>
      <w:bookmarkStart w:name="_Hlk28946138" w:id="1"/>
      <w:bookmarkStart w:name="_Hlk29548183" w:id="2"/>
      <w:bookmarkEnd w:id="0"/>
      <w:r w:rsidRPr="007E354F">
        <w:rPr>
          <w:rFonts w:ascii="Arial" w:hAnsi="Arial" w:cs="Arial"/>
          <w:b/>
          <w:sz w:val="16"/>
          <w:szCs w:val="16"/>
          <w:lang w:eastAsia="es-ES"/>
        </w:rPr>
        <w:t>CCE-DES-FM-17</w:t>
      </w:r>
    </w:p>
    <w:p w:rsidRPr="007E354F" w:rsidR="004E3D78" w:rsidP="004E3D78" w:rsidRDefault="004E3D78" w14:paraId="0B1653B6" w14:textId="77777777">
      <w:pPr>
        <w:jc w:val="both"/>
        <w:rPr>
          <w:rFonts w:ascii="Arial" w:hAnsi="Arial" w:eastAsia="Calibri" w:cs="Arial"/>
          <w:sz w:val="16"/>
          <w:szCs w:val="16"/>
        </w:rPr>
      </w:pPr>
    </w:p>
    <w:p w:rsidRPr="007E354F" w:rsidR="004E3D78" w:rsidP="75FF4BF0" w:rsidRDefault="004E3D78" w14:paraId="72961F51" w14:textId="298D3060">
      <w:pPr>
        <w:pStyle w:val="Normal"/>
        <w:jc w:val="both"/>
        <w:rPr>
          <w:rFonts w:ascii="Arial" w:hAnsi="Arial" w:eastAsia="Calibri" w:cs="Arial"/>
          <w:b w:val="1"/>
          <w:bCs w:val="1"/>
          <w:sz w:val="22"/>
          <w:szCs w:val="22"/>
        </w:rPr>
      </w:pPr>
      <w:r w:rsidRPr="75FF4BF0" w:rsidR="004E3D78">
        <w:rPr>
          <w:rFonts w:ascii="Arial" w:hAnsi="Arial" w:eastAsia="Calibri" w:cs="Arial"/>
          <w:b w:val="1"/>
          <w:bCs w:val="1"/>
          <w:sz w:val="22"/>
          <w:szCs w:val="22"/>
        </w:rPr>
        <w:t xml:space="preserve">PUBLICIDAD </w:t>
      </w:r>
      <w:r w:rsidRPr="75FF4BF0" w:rsidR="50F78069">
        <w:rPr>
          <w:rFonts w:ascii="Arial" w:hAnsi="Arial" w:eastAsia="Calibri" w:cs="Arial"/>
          <w:b w:val="1"/>
          <w:bCs w:val="1"/>
          <w:sz w:val="22"/>
          <w:szCs w:val="22"/>
        </w:rPr>
        <w:t xml:space="preserve">– Secop </w:t>
      </w:r>
      <w:r w:rsidRPr="75FF4BF0" w:rsidR="00BC5522">
        <w:rPr>
          <w:rFonts w:ascii="Arial" w:hAnsi="Arial" w:eastAsia="Calibri" w:cs="Arial"/>
          <w:b w:val="1"/>
          <w:bCs w:val="1"/>
          <w:sz w:val="22"/>
          <w:szCs w:val="22"/>
        </w:rPr>
        <w:t>–</w:t>
      </w:r>
      <w:r w:rsidRPr="75FF4BF0" w:rsidR="004E3D78">
        <w:rPr>
          <w:rFonts w:ascii="Arial" w:hAnsi="Arial" w:eastAsia="Calibri" w:cs="Arial"/>
          <w:b w:val="1"/>
          <w:bCs w:val="1"/>
          <w:sz w:val="22"/>
          <w:szCs w:val="22"/>
        </w:rPr>
        <w:t xml:space="preserve"> Entidades de régimen especial</w:t>
      </w:r>
      <w:r w:rsidRPr="75FF4BF0" w:rsidR="00BC5522">
        <w:rPr>
          <w:rFonts w:ascii="Arial" w:hAnsi="Arial" w:eastAsia="Calibri" w:cs="Arial"/>
          <w:b w:val="1"/>
          <w:bCs w:val="1"/>
          <w:sz w:val="22"/>
          <w:szCs w:val="22"/>
        </w:rPr>
        <w:t xml:space="preserve"> –</w:t>
      </w:r>
      <w:r w:rsidRPr="75FF4BF0" w:rsidR="004E3D78">
        <w:rPr>
          <w:rFonts w:ascii="Arial" w:hAnsi="Arial" w:eastAsia="Calibri" w:cs="Arial"/>
          <w:b w:val="1"/>
          <w:bCs w:val="1"/>
          <w:sz w:val="22"/>
          <w:szCs w:val="22"/>
        </w:rPr>
        <w:t xml:space="preserve"> Fundamento normativo</w:t>
      </w:r>
    </w:p>
    <w:p w:rsidRPr="007E354F" w:rsidR="004E3D78" w:rsidP="003D283E" w:rsidRDefault="004E3D78" w14:paraId="043C5B18" w14:textId="77777777">
      <w:pPr>
        <w:jc w:val="both"/>
        <w:rPr>
          <w:rFonts w:ascii="Arial" w:hAnsi="Arial" w:eastAsia="Calibri" w:cs="Arial"/>
          <w:b/>
          <w:sz w:val="20"/>
          <w:szCs w:val="20"/>
        </w:rPr>
      </w:pPr>
    </w:p>
    <w:p w:rsidRPr="007E354F" w:rsidR="004E3D78" w:rsidP="003D283E" w:rsidRDefault="005F6C9A" w14:paraId="1A7F5427" w14:textId="3E30CF17">
      <w:pPr>
        <w:jc w:val="both"/>
        <w:rPr>
          <w:rFonts w:ascii="Arial" w:hAnsi="Arial" w:cs="Arial"/>
          <w:sz w:val="20"/>
          <w:szCs w:val="20"/>
          <w:lang w:val="es-ES"/>
        </w:rPr>
      </w:pPr>
      <w:r w:rsidRPr="007E354F">
        <w:rPr>
          <w:rFonts w:ascii="Arial" w:hAnsi="Arial" w:cs="Arial"/>
          <w:sz w:val="20"/>
          <w:szCs w:val="20"/>
          <w:lang w:val="es-ES"/>
        </w:rPr>
        <w:t xml:space="preserve">[…] </w:t>
      </w:r>
      <w:r w:rsidRPr="007E354F" w:rsidR="0DE8F615">
        <w:rPr>
          <w:rFonts w:ascii="Arial" w:hAnsi="Arial" w:cs="Arial"/>
          <w:sz w:val="20"/>
          <w:szCs w:val="20"/>
          <w:lang w:val="es-ES"/>
        </w:rPr>
        <w:t>e</w:t>
      </w:r>
      <w:r w:rsidRPr="007E354F" w:rsidR="004E3D78">
        <w:rPr>
          <w:rFonts w:ascii="Arial" w:hAnsi="Arial" w:cs="Arial"/>
          <w:sz w:val="20"/>
          <w:szCs w:val="20"/>
          <w:lang w:val="es-ES"/>
        </w:rPr>
        <w:t xml:space="preserv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de Colombia Compra Eficiente un pronunciamiento del Consejo de Estado. </w:t>
      </w:r>
    </w:p>
    <w:p w:rsidRPr="007E354F" w:rsidR="004E3D78" w:rsidP="003D283E" w:rsidRDefault="004E3D78" w14:paraId="21CC2AFF" w14:textId="77777777">
      <w:pPr>
        <w:jc w:val="both"/>
        <w:rPr>
          <w:rFonts w:ascii="Arial" w:hAnsi="Arial" w:eastAsia="Calibri" w:cs="Arial"/>
          <w:sz w:val="20"/>
          <w:szCs w:val="20"/>
          <w:lang w:val="es-ES"/>
        </w:rPr>
      </w:pPr>
      <w:r w:rsidRPr="007E354F">
        <w:rPr>
          <w:rFonts w:ascii="Arial" w:hAnsi="Arial" w:eastAsia="Calibri" w:cs="Arial"/>
          <w:sz w:val="21"/>
          <w:szCs w:val="21"/>
        </w:rPr>
        <w:t xml:space="preserve"> </w:t>
      </w:r>
    </w:p>
    <w:p w:rsidRPr="007E354F" w:rsidR="004E3D78" w:rsidP="003D283E" w:rsidRDefault="004E3D78" w14:paraId="309A2F69" w14:textId="11738436">
      <w:pPr>
        <w:pStyle w:val="Prrafodelista"/>
        <w:ind w:left="0"/>
        <w:contextualSpacing w:val="0"/>
        <w:jc w:val="both"/>
        <w:rPr>
          <w:rFonts w:ascii="Arial" w:hAnsi="Arial" w:eastAsia="Calibri" w:cs="Arial"/>
          <w:b/>
          <w:sz w:val="22"/>
        </w:rPr>
      </w:pPr>
      <w:r w:rsidRPr="007E354F">
        <w:rPr>
          <w:rFonts w:ascii="Arial" w:hAnsi="Arial" w:eastAsia="Calibri" w:cs="Arial"/>
          <w:b/>
          <w:sz w:val="22"/>
        </w:rPr>
        <w:t xml:space="preserve">DOCUMENTOS </w:t>
      </w:r>
      <w:r w:rsidRPr="007E354F" w:rsidR="00597CB5">
        <w:rPr>
          <w:rFonts w:ascii="Arial" w:hAnsi="Arial" w:eastAsia="Calibri" w:cs="Arial"/>
          <w:b/>
          <w:sz w:val="22"/>
        </w:rPr>
        <w:t>PUBLICADOS</w:t>
      </w:r>
      <w:r w:rsidRPr="007E354F">
        <w:rPr>
          <w:rFonts w:ascii="Arial" w:hAnsi="Arial" w:eastAsia="Calibri" w:cs="Arial"/>
          <w:b/>
          <w:sz w:val="22"/>
        </w:rPr>
        <w:t xml:space="preserve"> </w:t>
      </w:r>
      <w:r w:rsidRPr="007E354F" w:rsidR="00BC5522">
        <w:rPr>
          <w:rFonts w:ascii="Arial" w:hAnsi="Arial" w:eastAsia="Calibri" w:cs="Arial"/>
          <w:b/>
          <w:sz w:val="22"/>
        </w:rPr>
        <w:t>–</w:t>
      </w:r>
      <w:r w:rsidRPr="007E354F">
        <w:rPr>
          <w:rFonts w:ascii="Arial" w:hAnsi="Arial" w:eastAsia="Calibri" w:cs="Arial"/>
          <w:b/>
          <w:sz w:val="22"/>
        </w:rPr>
        <w:t xml:space="preserve"> Entidades de régimen especial</w:t>
      </w:r>
    </w:p>
    <w:p w:rsidRPr="007E354F" w:rsidR="004E3D78" w:rsidP="003D283E" w:rsidRDefault="004E3D78" w14:paraId="2619A085" w14:textId="77777777">
      <w:pPr>
        <w:pStyle w:val="Prrafodelista"/>
        <w:ind w:left="0"/>
        <w:contextualSpacing w:val="0"/>
        <w:jc w:val="both"/>
        <w:rPr>
          <w:rFonts w:ascii="Arial" w:hAnsi="Arial" w:eastAsia="Calibri" w:cs="Arial"/>
          <w:sz w:val="20"/>
          <w:szCs w:val="20"/>
        </w:rPr>
      </w:pPr>
    </w:p>
    <w:p w:rsidRPr="007E354F" w:rsidR="00FA0C95" w:rsidP="00C82A0B" w:rsidRDefault="004E3D78" w14:paraId="62F609CA" w14:textId="7022049B">
      <w:pPr>
        <w:spacing w:after="120"/>
        <w:jc w:val="both"/>
        <w:rPr>
          <w:rFonts w:ascii="Arial" w:hAnsi="Arial" w:eastAsia="Calibri" w:cs="Arial"/>
          <w:sz w:val="20"/>
          <w:szCs w:val="20"/>
        </w:rPr>
      </w:pPr>
      <w:r w:rsidRPr="007E354F">
        <w:rPr>
          <w:rFonts w:ascii="Arial" w:hAnsi="Arial" w:eastAsia="Calibri" w:cs="Arial"/>
          <w:sz w:val="20"/>
          <w:szCs w:val="20"/>
        </w:rPr>
        <w:t>[…]</w:t>
      </w:r>
      <w:r w:rsidRPr="007E354F" w:rsidR="00FA0C95">
        <w:rPr>
          <w:rFonts w:ascii="Arial" w:hAnsi="Arial" w:eastAsia="Calibri" w:cs="Arial"/>
          <w:sz w:val="20"/>
          <w:szCs w:val="20"/>
        </w:rPr>
        <w:t xml:space="preserve"> </w:t>
      </w:r>
      <w:r w:rsidRPr="007E354F" w:rsidR="0511BAED">
        <w:rPr>
          <w:rFonts w:ascii="Arial" w:hAnsi="Arial" w:eastAsia="Calibri" w:cs="Arial"/>
          <w:sz w:val="20"/>
          <w:szCs w:val="20"/>
        </w:rPr>
        <w:t>e</w:t>
      </w:r>
      <w:r w:rsidRPr="007E354F">
        <w:rPr>
          <w:rFonts w:ascii="Arial" w:hAnsi="Arial" w:eastAsia="Calibri" w:cs="Arial"/>
          <w:sz w:val="20"/>
          <w:szCs w:val="20"/>
        </w:rPr>
        <w:t xml:space="preserve">l Decreto 103 de 2015 señala que los documentos que deben publicar las entidades estatales a quienes les aplica la Ley 1712 de 2019, entre estas, por ejemplo, las empresas de servicios públicos mixtas, oficiales y privadas con participación pública, son: i) las autorizaciones, requerimientos, aprobaciones o informes del supervisor o del interventor, que prueben la ejecución del contrato, </w:t>
      </w:r>
      <w:proofErr w:type="spellStart"/>
      <w:r w:rsidRPr="007E354F">
        <w:rPr>
          <w:rFonts w:ascii="Arial" w:hAnsi="Arial" w:eastAsia="Calibri" w:cs="Arial"/>
          <w:sz w:val="20"/>
          <w:szCs w:val="20"/>
        </w:rPr>
        <w:t>ii</w:t>
      </w:r>
      <w:proofErr w:type="spellEnd"/>
      <w:r w:rsidRPr="007E354F">
        <w:rPr>
          <w:rFonts w:ascii="Arial" w:hAnsi="Arial" w:eastAsia="Calibri" w:cs="Arial"/>
          <w:sz w:val="20"/>
          <w:szCs w:val="20"/>
        </w:rPr>
        <w:t xml:space="preserve">) los procedimientos, lineamientos y políticas en materia de adquisición que corresponden a los  documentos que los conforman, previstos en el manual de contratación de la entidad, y finalmente, </w:t>
      </w:r>
      <w:proofErr w:type="spellStart"/>
      <w:r w:rsidRPr="007E354F">
        <w:rPr>
          <w:rFonts w:ascii="Arial" w:hAnsi="Arial" w:eastAsia="Calibri" w:cs="Arial"/>
          <w:sz w:val="20"/>
          <w:szCs w:val="20"/>
        </w:rPr>
        <w:t>iii</w:t>
      </w:r>
      <w:proofErr w:type="spellEnd"/>
      <w:r w:rsidRPr="007E354F">
        <w:rPr>
          <w:rFonts w:ascii="Arial" w:hAnsi="Arial" w:eastAsia="Calibri" w:cs="Arial"/>
          <w:sz w:val="20"/>
          <w:szCs w:val="20"/>
        </w:rPr>
        <w:t>) el plan anual de adquisiciones</w:t>
      </w:r>
      <w:r w:rsidRPr="007E354F" w:rsidR="00FA0C95">
        <w:rPr>
          <w:rFonts w:ascii="Arial" w:hAnsi="Arial" w:eastAsia="Calibri" w:cs="Arial"/>
          <w:sz w:val="20"/>
          <w:szCs w:val="20"/>
        </w:rPr>
        <w:t>.</w:t>
      </w:r>
    </w:p>
    <w:p w:rsidRPr="007E354F" w:rsidR="00FA0C95" w:rsidP="003D283E" w:rsidRDefault="004E3D78" w14:paraId="33B44712" w14:textId="77777777">
      <w:pPr>
        <w:spacing w:after="120"/>
        <w:jc w:val="both"/>
        <w:rPr>
          <w:rFonts w:ascii="Arial" w:hAnsi="Arial" w:eastAsia="Calibri" w:cs="Arial"/>
          <w:sz w:val="20"/>
          <w:szCs w:val="20"/>
        </w:rPr>
      </w:pPr>
      <w:r w:rsidRPr="007E354F">
        <w:rPr>
          <w:rFonts w:ascii="Arial" w:hAnsi="Arial" w:eastAsia="Calibri" w:cs="Arial"/>
          <w:sz w:val="20"/>
          <w:szCs w:val="20"/>
        </w:rPr>
        <w:t>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w:t>
      </w:r>
    </w:p>
    <w:p w:rsidRPr="007E354F" w:rsidR="004E3D78" w:rsidP="003D283E" w:rsidRDefault="004E3D78" w14:paraId="402FCBD5" w14:textId="2A199A0B">
      <w:pPr>
        <w:jc w:val="both"/>
        <w:rPr>
          <w:rFonts w:ascii="Arial" w:hAnsi="Arial" w:eastAsia="Calibri" w:cs="Arial"/>
          <w:sz w:val="20"/>
          <w:szCs w:val="20"/>
        </w:rPr>
      </w:pPr>
      <w:r w:rsidRPr="007E354F">
        <w:rPr>
          <w:rFonts w:ascii="Arial" w:hAnsi="Arial" w:eastAsia="Calibri" w:cs="Arial"/>
          <w:sz w:val="20"/>
          <w:szCs w:val="20"/>
        </w:rPr>
        <w:t>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todos se publicarán en la plataforma del SECOP para cada procedimiento de contratación que se adelante, incluido el acto de adjudicación, por expresa disposición del literal g) del artículo 11 de la Ley 1712 de 2014.</w:t>
      </w:r>
    </w:p>
    <w:p w:rsidRPr="007E354F" w:rsidR="004E3D78" w:rsidP="003D283E" w:rsidRDefault="004E3D78" w14:paraId="04AB8918" w14:textId="77777777">
      <w:pPr>
        <w:jc w:val="both"/>
        <w:rPr>
          <w:rFonts w:ascii="Arial" w:hAnsi="Arial" w:eastAsia="Calibri" w:cs="Arial"/>
          <w:sz w:val="20"/>
          <w:szCs w:val="20"/>
        </w:rPr>
      </w:pPr>
    </w:p>
    <w:p w:rsidRPr="007E354F" w:rsidR="004E3D78" w:rsidP="75FF4BF0" w:rsidRDefault="004E3D78" w14:paraId="43B7019C" w14:textId="3D227D95">
      <w:pPr>
        <w:pStyle w:val="Normal"/>
        <w:jc w:val="both"/>
        <w:rPr>
          <w:rFonts w:ascii="Arial" w:hAnsi="Arial" w:cs="Arial"/>
          <w:b w:val="1"/>
          <w:bCs w:val="1"/>
          <w:sz w:val="22"/>
          <w:szCs w:val="22"/>
        </w:rPr>
      </w:pPr>
      <w:r w:rsidRPr="75FF4BF0" w:rsidR="004E3D78">
        <w:rPr>
          <w:rFonts w:ascii="Arial" w:hAnsi="Arial" w:cs="Arial"/>
          <w:b w:val="1"/>
          <w:bCs w:val="1"/>
          <w:sz w:val="22"/>
          <w:szCs w:val="22"/>
        </w:rPr>
        <w:t>PUBLIC</w:t>
      </w:r>
      <w:r w:rsidRPr="75FF4BF0" w:rsidR="1F59356E">
        <w:rPr>
          <w:rFonts w:ascii="Arial" w:hAnsi="Arial" w:cs="Arial"/>
          <w:b w:val="1"/>
          <w:bCs w:val="1"/>
          <w:sz w:val="22"/>
          <w:szCs w:val="22"/>
        </w:rPr>
        <w:t>IDAD</w:t>
      </w:r>
      <w:r w:rsidRPr="75FF4BF0" w:rsidR="004E3D78">
        <w:rPr>
          <w:rFonts w:ascii="Arial" w:hAnsi="Arial" w:cs="Arial"/>
          <w:b w:val="1"/>
          <w:bCs w:val="1"/>
          <w:sz w:val="22"/>
          <w:szCs w:val="22"/>
        </w:rPr>
        <w:t xml:space="preserve"> </w:t>
      </w:r>
      <w:r w:rsidRPr="75FF4BF0" w:rsidR="6AB73284">
        <w:rPr>
          <w:rFonts w:ascii="Arial" w:hAnsi="Arial" w:eastAsia="Calibri" w:cs="Arial"/>
          <w:b w:val="1"/>
          <w:bCs w:val="1"/>
          <w:sz w:val="22"/>
          <w:szCs w:val="22"/>
        </w:rPr>
        <w:t xml:space="preserve">– </w:t>
      </w:r>
      <w:proofErr w:type="spellStart"/>
      <w:r w:rsidRPr="75FF4BF0" w:rsidR="004E3D78">
        <w:rPr>
          <w:rFonts w:ascii="Arial" w:hAnsi="Arial" w:cs="Arial"/>
          <w:b w:val="1"/>
          <w:bCs w:val="1"/>
          <w:sz w:val="22"/>
          <w:szCs w:val="22"/>
        </w:rPr>
        <w:t>S</w:t>
      </w:r>
      <w:r w:rsidRPr="75FF4BF0" w:rsidR="459EB5B2">
        <w:rPr>
          <w:rFonts w:ascii="Arial" w:hAnsi="Arial" w:cs="Arial"/>
          <w:b w:val="1"/>
          <w:bCs w:val="1"/>
          <w:sz w:val="22"/>
          <w:szCs w:val="22"/>
        </w:rPr>
        <w:t>ecop</w:t>
      </w:r>
      <w:proofErr w:type="spellEnd"/>
      <w:r w:rsidRPr="75FF4BF0" w:rsidR="004E3D78">
        <w:rPr>
          <w:rFonts w:ascii="Arial" w:hAnsi="Arial" w:cs="Arial"/>
          <w:b w:val="1"/>
          <w:bCs w:val="1"/>
          <w:sz w:val="22"/>
          <w:szCs w:val="22"/>
        </w:rPr>
        <w:t xml:space="preserve"> </w:t>
      </w:r>
      <w:r w:rsidRPr="75FF4BF0" w:rsidR="00BC5522">
        <w:rPr>
          <w:rFonts w:ascii="Arial" w:hAnsi="Arial" w:eastAsia="Calibri" w:cs="Arial"/>
          <w:b w:val="1"/>
          <w:bCs w:val="1"/>
          <w:sz w:val="22"/>
          <w:szCs w:val="22"/>
        </w:rPr>
        <w:t>–</w:t>
      </w:r>
      <w:r w:rsidRPr="75FF4BF0" w:rsidR="004E3D78">
        <w:rPr>
          <w:rFonts w:ascii="Arial" w:hAnsi="Arial" w:cs="Arial"/>
          <w:b w:val="1"/>
          <w:bCs w:val="1"/>
          <w:sz w:val="22"/>
          <w:szCs w:val="22"/>
        </w:rPr>
        <w:t xml:space="preserve"> </w:t>
      </w:r>
      <w:r w:rsidRPr="75FF4BF0" w:rsidR="00597CB5">
        <w:rPr>
          <w:rFonts w:ascii="Arial" w:hAnsi="Arial" w:cs="Arial"/>
          <w:b w:val="1"/>
          <w:bCs w:val="1"/>
          <w:sz w:val="22"/>
          <w:szCs w:val="22"/>
        </w:rPr>
        <w:t xml:space="preserve">Plazos </w:t>
      </w:r>
      <w:r w:rsidRPr="75FF4BF0" w:rsidR="00597CB5">
        <w:rPr>
          <w:rFonts w:ascii="Arial" w:hAnsi="Arial" w:eastAsia="Calibri" w:cs="Arial"/>
          <w:b w:val="1"/>
          <w:bCs w:val="1"/>
          <w:sz w:val="22"/>
          <w:szCs w:val="22"/>
          <w:lang w:val="es-ES"/>
        </w:rPr>
        <w:t>–</w:t>
      </w:r>
      <w:r w:rsidRPr="75FF4BF0" w:rsidR="00597CB5">
        <w:rPr>
          <w:rFonts w:ascii="Arial" w:hAnsi="Arial" w:eastAsia="Calibri" w:cs="Arial"/>
          <w:b w:val="1"/>
          <w:bCs w:val="1"/>
          <w:sz w:val="22"/>
          <w:szCs w:val="22"/>
        </w:rPr>
        <w:t xml:space="preserve"> </w:t>
      </w:r>
      <w:r w:rsidRPr="75FF4BF0" w:rsidR="004E3D78">
        <w:rPr>
          <w:rFonts w:ascii="Arial" w:hAnsi="Arial" w:cs="Arial"/>
          <w:b w:val="1"/>
          <w:bCs w:val="1"/>
          <w:sz w:val="22"/>
          <w:szCs w:val="22"/>
        </w:rPr>
        <w:t>Entidades régimen especial</w:t>
      </w:r>
    </w:p>
    <w:p w:rsidRPr="007E354F" w:rsidR="004E3D78" w:rsidP="003D283E" w:rsidRDefault="004E3D78" w14:paraId="5EC597BC" w14:textId="77777777">
      <w:pPr>
        <w:jc w:val="both"/>
        <w:rPr>
          <w:rFonts w:ascii="Arial" w:hAnsi="Arial" w:cs="Arial"/>
          <w:sz w:val="20"/>
          <w:szCs w:val="20"/>
        </w:rPr>
      </w:pPr>
    </w:p>
    <w:p w:rsidRPr="007E354F" w:rsidR="00FA0C95" w:rsidP="00C82A0B" w:rsidRDefault="004E3D78" w14:paraId="20D32221" w14:textId="77777777">
      <w:pPr>
        <w:spacing w:after="120"/>
        <w:jc w:val="both"/>
        <w:rPr>
          <w:rFonts w:ascii="Arial" w:hAnsi="Arial" w:cs="Arial"/>
          <w:sz w:val="20"/>
          <w:szCs w:val="20"/>
        </w:rPr>
      </w:pPr>
      <w:r w:rsidRPr="007E354F">
        <w:rPr>
          <w:rFonts w:ascii="Arial" w:hAnsi="Arial" w:cs="Arial"/>
          <w:sz w:val="20"/>
          <w:szCs w:val="20"/>
        </w:rPr>
        <w:t xml:space="preserve">Si bien el Decreto 1082 de 2015, en principio no aplica a las entidades estatales exceptuadas del Estatuto General de Contratación de la Administración Pública, porque su régimen de contratación es el derecho privado, es posible aplicarle el artículo 2.2.1.1.1.7.1. en virtud de la analogía. Lo anterior, debido a que esta norma guarda similitud con el asunto tratado ya que regula la publicidad de los documentos del SECOP y, por lo tanto, es viable </w:t>
      </w:r>
      <w:proofErr w:type="gramStart"/>
      <w:r w:rsidRPr="007E354F">
        <w:rPr>
          <w:rFonts w:ascii="Arial" w:hAnsi="Arial" w:cs="Arial"/>
          <w:sz w:val="20"/>
          <w:szCs w:val="20"/>
        </w:rPr>
        <w:t>aplicarle</w:t>
      </w:r>
      <w:proofErr w:type="gramEnd"/>
      <w:r w:rsidRPr="007E354F">
        <w:rPr>
          <w:rFonts w:ascii="Arial" w:hAnsi="Arial" w:cs="Arial"/>
          <w:sz w:val="20"/>
          <w:szCs w:val="20"/>
        </w:rPr>
        <w:t xml:space="preserve"> su consecuencia jurídica a las entidades de régimen especial.</w:t>
      </w:r>
    </w:p>
    <w:p w:rsidRPr="007E354F" w:rsidR="00FA0C95" w:rsidP="00C82A0B" w:rsidRDefault="004E3D78" w14:paraId="490B5F9F" w14:textId="77777777">
      <w:pPr>
        <w:spacing w:after="120"/>
        <w:jc w:val="both"/>
        <w:rPr>
          <w:rFonts w:ascii="Arial" w:hAnsi="Arial" w:cs="Arial"/>
          <w:sz w:val="20"/>
          <w:szCs w:val="20"/>
        </w:rPr>
      </w:pPr>
      <w:r w:rsidRPr="007E354F">
        <w:rPr>
          <w:rFonts w:ascii="Arial" w:hAnsi="Arial" w:cs="Arial"/>
          <w:sz w:val="20"/>
          <w:szCs w:val="20"/>
        </w:rPr>
        <w:t>A su vez, no es posible que las entidades definan en su manual de contratación el momento en el cual publicarán sus documentos contractuales, porque este es un asunto que debe definir el legislador o el gobierno por medio de un reglamento.</w:t>
      </w:r>
    </w:p>
    <w:p w:rsidRPr="007E354F" w:rsidR="00273983" w:rsidP="00D3017A" w:rsidRDefault="004E3D78" w14:paraId="5EA958CD" w14:textId="77777777">
      <w:pPr>
        <w:spacing w:after="120"/>
        <w:jc w:val="both"/>
        <w:rPr>
          <w:rFonts w:ascii="Arial" w:hAnsi="Arial" w:cs="Arial"/>
          <w:sz w:val="20"/>
          <w:szCs w:val="20"/>
        </w:rPr>
      </w:pPr>
      <w:r w:rsidRPr="007E354F">
        <w:rPr>
          <w:rFonts w:ascii="Arial" w:hAnsi="Arial" w:cs="Arial"/>
          <w:sz w:val="20"/>
          <w:szCs w:val="20"/>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rsidRPr="007E354F" w:rsidR="004E3D78" w:rsidP="00D3017A" w:rsidRDefault="004E3D78" w14:paraId="5D5AEDDF" w14:textId="55E06675">
      <w:pPr>
        <w:spacing w:after="120"/>
        <w:jc w:val="both"/>
        <w:rPr>
          <w:rFonts w:ascii="Arial" w:hAnsi="Arial" w:cs="Arial"/>
          <w:sz w:val="20"/>
          <w:szCs w:val="20"/>
        </w:rPr>
      </w:pPr>
      <w:r w:rsidRPr="007E354F">
        <w:rPr>
          <w:rFonts w:ascii="Arial" w:hAnsi="Arial" w:cs="Arial"/>
          <w:sz w:val="20"/>
          <w:szCs w:val="20"/>
        </w:rPr>
        <w:lastRenderedPageBreak/>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y se aplicaría el artículo 2.2.1.1.1.7.1. </w:t>
      </w:r>
    </w:p>
    <w:p w:rsidRPr="007E354F" w:rsidR="004E3D78" w:rsidP="003D283E" w:rsidRDefault="004E3D78" w14:paraId="04647768" w14:textId="77777777">
      <w:pPr>
        <w:jc w:val="both"/>
        <w:rPr>
          <w:rFonts w:ascii="Arial" w:hAnsi="Arial" w:cs="Arial"/>
          <w:sz w:val="20"/>
          <w:szCs w:val="20"/>
        </w:rPr>
      </w:pPr>
    </w:p>
    <w:p w:rsidRPr="007E354F" w:rsidR="004E3D78" w:rsidP="75FF4BF0" w:rsidRDefault="004E3D78" w14:paraId="1D4579C5" w14:textId="77765A1E">
      <w:pPr>
        <w:pStyle w:val="Normal"/>
        <w:jc w:val="both"/>
        <w:rPr>
          <w:rFonts w:ascii="Arial" w:hAnsi="Arial" w:cs="Arial"/>
          <w:b w:val="1"/>
          <w:bCs w:val="1"/>
          <w:sz w:val="22"/>
          <w:szCs w:val="22"/>
        </w:rPr>
      </w:pPr>
      <w:r w:rsidRPr="75FF4BF0" w:rsidR="004E3D78">
        <w:rPr>
          <w:rFonts w:ascii="Arial" w:hAnsi="Arial" w:cs="Arial"/>
          <w:b w:val="1"/>
          <w:bCs w:val="1"/>
          <w:sz w:val="22"/>
          <w:szCs w:val="22"/>
        </w:rPr>
        <w:t xml:space="preserve">ENTIDADES EXCEPTUADAS </w:t>
      </w:r>
      <w:r w:rsidRPr="75FF4BF0" w:rsidR="2F338214">
        <w:rPr>
          <w:rFonts w:ascii="Arial" w:hAnsi="Arial" w:eastAsia="Calibri" w:cs="Arial"/>
          <w:b w:val="1"/>
          <w:bCs w:val="1"/>
          <w:sz w:val="22"/>
          <w:szCs w:val="22"/>
        </w:rPr>
        <w:t>–</w:t>
      </w:r>
      <w:r w:rsidRPr="75FF4BF0" w:rsidR="6B85D5C2">
        <w:rPr>
          <w:rFonts w:ascii="Arial" w:hAnsi="Arial" w:eastAsia="Calibri" w:cs="Arial"/>
          <w:b w:val="1"/>
          <w:bCs w:val="1"/>
          <w:sz w:val="22"/>
          <w:szCs w:val="22"/>
        </w:rPr>
        <w:t xml:space="preserve"> </w:t>
      </w:r>
      <w:proofErr w:type="spellStart"/>
      <w:r w:rsidRPr="75FF4BF0" w:rsidR="6B85D5C2">
        <w:rPr>
          <w:rFonts w:ascii="Arial" w:hAnsi="Arial" w:eastAsia="Calibri" w:cs="Arial"/>
          <w:b w:val="1"/>
          <w:bCs w:val="1"/>
          <w:sz w:val="22"/>
          <w:szCs w:val="22"/>
        </w:rPr>
        <w:t>Secop</w:t>
      </w:r>
      <w:proofErr w:type="spellEnd"/>
      <w:r w:rsidRPr="75FF4BF0" w:rsidR="6B85D5C2">
        <w:rPr>
          <w:rFonts w:ascii="Arial" w:hAnsi="Arial" w:eastAsia="Calibri" w:cs="Arial"/>
          <w:b w:val="1"/>
          <w:bCs w:val="1"/>
          <w:sz w:val="22"/>
          <w:szCs w:val="22"/>
        </w:rPr>
        <w:t xml:space="preserve"> </w:t>
      </w:r>
      <w:r w:rsidRPr="75FF4BF0" w:rsidR="004E3D78">
        <w:rPr>
          <w:rFonts w:ascii="Arial" w:hAnsi="Arial" w:cs="Arial"/>
          <w:b w:val="1"/>
          <w:bCs w:val="1"/>
          <w:sz w:val="22"/>
          <w:szCs w:val="22"/>
        </w:rPr>
        <w:t xml:space="preserve">II </w:t>
      </w:r>
      <w:bookmarkStart w:name="_Hlk39676694" w:id="3"/>
      <w:r w:rsidRPr="75FF4BF0" w:rsidR="00BC5522">
        <w:rPr>
          <w:rFonts w:ascii="Arial" w:hAnsi="Arial" w:eastAsia="Calibri" w:cs="Arial"/>
          <w:b w:val="1"/>
          <w:bCs w:val="1"/>
          <w:sz w:val="22"/>
          <w:szCs w:val="22"/>
        </w:rPr>
        <w:t>–</w:t>
      </w:r>
      <w:r w:rsidRPr="75FF4BF0" w:rsidR="27237CD8">
        <w:rPr>
          <w:rFonts w:ascii="Arial" w:hAnsi="Arial" w:eastAsia="Calibri" w:cs="Arial"/>
          <w:b w:val="1"/>
          <w:bCs w:val="1"/>
          <w:sz w:val="22"/>
          <w:szCs w:val="22"/>
        </w:rPr>
        <w:t xml:space="preserve"> Deber de publicidad </w:t>
      </w:r>
      <w:bookmarkEnd w:id="3"/>
      <w:r w:rsidRPr="75FF4BF0" w:rsidR="27237CD8">
        <w:rPr>
          <w:rFonts w:ascii="Arial" w:hAnsi="Arial" w:eastAsia="Calibri" w:cs="Arial"/>
          <w:b w:val="1"/>
          <w:bCs w:val="1"/>
          <w:sz w:val="22"/>
          <w:szCs w:val="22"/>
        </w:rPr>
        <w:t>–</w:t>
      </w:r>
      <w:r w:rsidRPr="75FF4BF0" w:rsidR="004E3D78">
        <w:rPr>
          <w:rFonts w:ascii="Arial" w:hAnsi="Arial" w:cs="Arial"/>
          <w:b w:val="1"/>
          <w:bCs w:val="1"/>
          <w:sz w:val="22"/>
          <w:szCs w:val="22"/>
        </w:rPr>
        <w:t xml:space="preserve"> Empresas descentralizadas </w:t>
      </w:r>
      <w:r w:rsidRPr="75FF4BF0" w:rsidR="075B659B">
        <w:rPr>
          <w:rFonts w:ascii="Arial" w:hAnsi="Arial" w:eastAsia="Calibri" w:cs="Arial"/>
          <w:b w:val="1"/>
          <w:bCs w:val="1"/>
          <w:sz w:val="22"/>
          <w:szCs w:val="22"/>
        </w:rPr>
        <w:t>– N</w:t>
      </w:r>
      <w:r w:rsidRPr="75FF4BF0" w:rsidR="004E3D78">
        <w:rPr>
          <w:rFonts w:ascii="Arial" w:hAnsi="Arial" w:cs="Arial"/>
          <w:b w:val="1"/>
          <w:bCs w:val="1"/>
          <w:sz w:val="22"/>
          <w:szCs w:val="22"/>
        </w:rPr>
        <w:t xml:space="preserve">ivel municipal </w:t>
      </w:r>
    </w:p>
    <w:p w:rsidRPr="007E354F" w:rsidR="004E3D78" w:rsidP="003D283E" w:rsidRDefault="004E3D78" w14:paraId="0D5D3BC2" w14:textId="77777777">
      <w:pPr>
        <w:jc w:val="both"/>
        <w:rPr>
          <w:rFonts w:ascii="Arial" w:hAnsi="Arial" w:cs="Arial"/>
          <w:sz w:val="20"/>
          <w:szCs w:val="20"/>
        </w:rPr>
      </w:pPr>
    </w:p>
    <w:p w:rsidRPr="007E354F" w:rsidR="004E3D78" w:rsidP="00BC5522" w:rsidRDefault="003D283E" w14:paraId="4CCA3600" w14:textId="7A6F9888">
      <w:pPr>
        <w:jc w:val="both"/>
        <w:rPr>
          <w:rFonts w:ascii="Arial" w:hAnsi="Arial" w:cs="Arial"/>
          <w:sz w:val="20"/>
          <w:szCs w:val="20"/>
        </w:rPr>
      </w:pPr>
      <w:r w:rsidRPr="007E354F">
        <w:rPr>
          <w:rFonts w:ascii="Arial" w:hAnsi="Arial" w:eastAsia="Calibri" w:cs="Arial"/>
          <w:sz w:val="20"/>
          <w:szCs w:val="20"/>
          <w:lang w:val="es-ES"/>
        </w:rPr>
        <w:t xml:space="preserve">[…] </w:t>
      </w:r>
      <w:r w:rsidRPr="007E354F" w:rsidR="2D71F583">
        <w:rPr>
          <w:rFonts w:ascii="Arial" w:hAnsi="Arial" w:eastAsia="Calibri" w:cs="Arial"/>
          <w:sz w:val="20"/>
          <w:szCs w:val="20"/>
          <w:lang w:val="es-ES"/>
        </w:rPr>
        <w:t>a</w:t>
      </w:r>
      <w:r w:rsidRPr="007E354F" w:rsidR="004E3D78">
        <w:rPr>
          <w:rFonts w:ascii="Arial" w:hAnsi="Arial" w:eastAsia="Calibri" w:cs="Arial"/>
          <w:sz w:val="20"/>
          <w:szCs w:val="20"/>
          <w:lang w:val="es-ES"/>
        </w:rPr>
        <w:t xml:space="preserve"> la fecha, las entidades descentralizadas del nivel municipal no están obligadas a publicar sus procesos de contratación en el SECOP II, conforme a la salvedad que sobre el particular establece el Anexo 1 de la Circular Externa No. 1 de 2019.  Sin embargo, esta exclusión no relevará a las entidades descentralizadas del nivel municipal de continuar publicando sus procesos de contratación en la plataforma de SECOP I.</w:t>
      </w:r>
    </w:p>
    <w:p w:rsidRPr="007E354F" w:rsidR="00ED260B" w:rsidP="00BC5522" w:rsidRDefault="00ED260B" w14:paraId="3E82E38D" w14:textId="77777777">
      <w:pPr>
        <w:jc w:val="both"/>
        <w:rPr>
          <w:rFonts w:ascii="Arial" w:hAnsi="Arial" w:cs="Arial"/>
          <w:sz w:val="20"/>
          <w:szCs w:val="20"/>
        </w:rPr>
      </w:pPr>
    </w:p>
    <w:p w:rsidRPr="007E354F" w:rsidR="00C731A8" w:rsidP="00C731A8" w:rsidRDefault="00C731A8" w14:paraId="58C02129" w14:textId="77777777">
      <w:pPr>
        <w:pStyle w:val="Default"/>
        <w:rPr>
          <w:color w:val="auto"/>
          <w:sz w:val="20"/>
          <w:szCs w:val="20"/>
        </w:rPr>
      </w:pPr>
    </w:p>
    <w:p w:rsidRPr="007E354F" w:rsidR="00C731A8" w:rsidP="00C731A8" w:rsidRDefault="00C731A8" w14:paraId="5DC5059F" w14:textId="1114BFF0">
      <w:pPr>
        <w:pStyle w:val="Default"/>
        <w:rPr>
          <w:color w:val="auto"/>
          <w:sz w:val="22"/>
          <w:szCs w:val="22"/>
        </w:rPr>
      </w:pPr>
      <w:r w:rsidRPr="007E354F">
        <w:rPr>
          <w:color w:val="auto"/>
          <w:sz w:val="22"/>
          <w:szCs w:val="22"/>
        </w:rPr>
        <w:t xml:space="preserve">Bogotá D.C., </w:t>
      </w:r>
      <w:r w:rsidRPr="007E354F">
        <w:rPr>
          <w:b/>
          <w:bCs/>
          <w:color w:val="auto"/>
          <w:sz w:val="22"/>
          <w:szCs w:val="22"/>
        </w:rPr>
        <w:t xml:space="preserve">29/03/2020 Hora 12:7:0s </w:t>
      </w:r>
    </w:p>
    <w:p w:rsidRPr="007E354F" w:rsidR="00A37FB6" w:rsidP="00C731A8" w:rsidRDefault="00C731A8" w14:paraId="7E80B7C1" w14:textId="6A759BE5">
      <w:pPr>
        <w:tabs>
          <w:tab w:val="left" w:pos="3374"/>
        </w:tabs>
        <w:spacing w:before="120" w:after="120" w:line="276" w:lineRule="auto"/>
        <w:jc w:val="right"/>
        <w:rPr>
          <w:rFonts w:ascii="Arial" w:hAnsi="Arial" w:eastAsia="Calibri" w:cs="Arial"/>
          <w:sz w:val="22"/>
        </w:rPr>
      </w:pPr>
      <w:proofErr w:type="spellStart"/>
      <w:r w:rsidRPr="007E354F">
        <w:rPr>
          <w:rFonts w:ascii="Arial" w:hAnsi="Arial" w:cs="Arial"/>
          <w:b/>
          <w:bCs/>
          <w:sz w:val="22"/>
        </w:rPr>
        <w:t>N°</w:t>
      </w:r>
      <w:proofErr w:type="spellEnd"/>
      <w:r w:rsidRPr="007E354F">
        <w:rPr>
          <w:rFonts w:ascii="Arial" w:hAnsi="Arial" w:cs="Arial"/>
          <w:b/>
          <w:bCs/>
          <w:sz w:val="22"/>
        </w:rPr>
        <w:t xml:space="preserve"> Radicado: 2202013000002272</w:t>
      </w:r>
      <w:r w:rsidRPr="007E354F" w:rsidR="00A37FB6">
        <w:rPr>
          <w:rFonts w:ascii="Arial" w:hAnsi="Arial" w:eastAsia="Calibri" w:cs="Arial"/>
          <w:sz w:val="22"/>
        </w:rPr>
        <w:tab/>
      </w:r>
    </w:p>
    <w:p w:rsidRPr="007E354F" w:rsidR="00A37FB6" w:rsidP="00F13C05" w:rsidRDefault="005219F7" w14:paraId="2B166DFC" w14:textId="58DB082A">
      <w:pPr>
        <w:spacing w:before="120" w:after="120" w:line="276" w:lineRule="auto"/>
        <w:rPr>
          <w:rFonts w:ascii="Arial" w:hAnsi="Arial" w:eastAsia="Calibri" w:cs="Arial"/>
          <w:sz w:val="22"/>
        </w:rPr>
      </w:pPr>
      <w:r w:rsidRPr="007E354F">
        <w:rPr>
          <w:rFonts w:ascii="Arial" w:hAnsi="Arial" w:eastAsia="Calibri" w:cs="Arial"/>
          <w:sz w:val="22"/>
        </w:rPr>
        <w:t>Señor</w:t>
      </w:r>
      <w:r w:rsidRPr="007E354F" w:rsidR="00137404">
        <w:rPr>
          <w:rFonts w:ascii="Arial" w:hAnsi="Arial" w:eastAsia="Calibri" w:cs="Arial"/>
          <w:sz w:val="22"/>
        </w:rPr>
        <w:t>a</w:t>
      </w:r>
    </w:p>
    <w:p w:rsidRPr="007E354F" w:rsidR="00137404" w:rsidP="00F13C05" w:rsidRDefault="004E09CF" w14:paraId="68C7ECF9" w14:textId="74376553">
      <w:pPr>
        <w:spacing w:before="120" w:after="120" w:line="276" w:lineRule="auto"/>
        <w:rPr>
          <w:rFonts w:ascii="Arial" w:hAnsi="Arial" w:eastAsia="Calibri" w:cs="Arial"/>
          <w:b/>
          <w:sz w:val="22"/>
        </w:rPr>
      </w:pPr>
      <w:proofErr w:type="spellStart"/>
      <w:r w:rsidRPr="007E354F">
        <w:rPr>
          <w:rFonts w:ascii="Arial" w:hAnsi="Arial" w:cs="Arial"/>
          <w:b/>
          <w:sz w:val="22"/>
          <w:shd w:val="clear" w:color="auto" w:fill="FFFFFF"/>
        </w:rPr>
        <w:t>Nansy</w:t>
      </w:r>
      <w:proofErr w:type="spellEnd"/>
      <w:r w:rsidRPr="007E354F">
        <w:rPr>
          <w:rFonts w:ascii="Arial" w:hAnsi="Arial" w:cs="Arial"/>
          <w:b/>
          <w:sz w:val="22"/>
          <w:shd w:val="clear" w:color="auto" w:fill="FFFFFF"/>
        </w:rPr>
        <w:t xml:space="preserve"> </w:t>
      </w:r>
      <w:proofErr w:type="spellStart"/>
      <w:r w:rsidRPr="007E354F">
        <w:rPr>
          <w:rFonts w:ascii="Arial" w:hAnsi="Arial" w:cs="Arial"/>
          <w:b/>
          <w:sz w:val="22"/>
          <w:shd w:val="clear" w:color="auto" w:fill="FFFFFF"/>
        </w:rPr>
        <w:t>Yasmyne</w:t>
      </w:r>
      <w:proofErr w:type="spellEnd"/>
      <w:r w:rsidRPr="007E354F">
        <w:rPr>
          <w:rFonts w:ascii="Arial" w:hAnsi="Arial" w:cs="Arial"/>
          <w:b/>
          <w:sz w:val="22"/>
          <w:shd w:val="clear" w:color="auto" w:fill="FFFFFF"/>
        </w:rPr>
        <w:t xml:space="preserve"> Álvarez Ramírez </w:t>
      </w:r>
      <w:r w:rsidRPr="007E354F" w:rsidR="00137404">
        <w:rPr>
          <w:rFonts w:ascii="Arial" w:hAnsi="Arial" w:cs="Arial"/>
          <w:b/>
          <w:sz w:val="22"/>
          <w:shd w:val="clear" w:color="auto" w:fill="FFFFFF"/>
        </w:rPr>
        <w:t xml:space="preserve"> </w:t>
      </w:r>
    </w:p>
    <w:p w:rsidRPr="007E354F" w:rsidR="00B221E4" w:rsidP="005F71A8" w:rsidRDefault="00A37FB6" w14:paraId="2F398867" w14:textId="4DA924BD">
      <w:pPr>
        <w:spacing w:before="120" w:after="120" w:line="276" w:lineRule="auto"/>
        <w:rPr>
          <w:rFonts w:ascii="Arial" w:hAnsi="Arial" w:eastAsia="Calibri" w:cs="Arial"/>
          <w:b/>
          <w:sz w:val="22"/>
        </w:rPr>
      </w:pPr>
      <w:r w:rsidRPr="007E354F">
        <w:rPr>
          <w:rFonts w:ascii="Arial" w:hAnsi="Arial" w:eastAsia="Calibri" w:cs="Arial"/>
          <w:sz w:val="22"/>
        </w:rPr>
        <w:t>Ciudad</w:t>
      </w:r>
    </w:p>
    <w:p w:rsidRPr="007E354F" w:rsidR="00A37FB6" w:rsidP="00F13C05" w:rsidRDefault="00CB3127" w14:paraId="479F6A3A" w14:textId="22CE2215">
      <w:pPr>
        <w:spacing w:before="120" w:after="120" w:line="276" w:lineRule="auto"/>
        <w:jc w:val="center"/>
        <w:rPr>
          <w:rFonts w:ascii="Arial" w:hAnsi="Arial" w:eastAsia="Calibri" w:cs="Arial"/>
          <w:b/>
          <w:sz w:val="22"/>
        </w:rPr>
      </w:pPr>
      <w:r w:rsidRPr="007E354F">
        <w:rPr>
          <w:rFonts w:ascii="Arial" w:hAnsi="Arial" w:eastAsia="Calibri" w:cs="Arial"/>
          <w:b/>
          <w:sz w:val="22"/>
        </w:rPr>
        <w:t xml:space="preserve">Concepto C ─ 206 </w:t>
      </w:r>
      <w:r w:rsidRPr="007E354F" w:rsidR="00A37FB6">
        <w:rPr>
          <w:rFonts w:ascii="Arial" w:hAnsi="Arial" w:eastAsia="Calibri" w:cs="Arial"/>
          <w:b/>
          <w:sz w:val="22"/>
        </w:rPr>
        <w:t>de 2020</w:t>
      </w:r>
    </w:p>
    <w:p w:rsidRPr="007E354F" w:rsidR="00A37FB6" w:rsidP="00F13C05" w:rsidRDefault="00A37FB6" w14:paraId="49BB1EAB" w14:textId="77777777">
      <w:pPr>
        <w:spacing w:before="120" w:after="120" w:line="276" w:lineRule="auto"/>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7E354F" w:rsidR="007E354F" w:rsidTr="00612A5E" w14:paraId="20C2FA60" w14:textId="77777777">
        <w:tc>
          <w:tcPr>
            <w:tcW w:w="2689" w:type="dxa"/>
            <w:hideMark/>
          </w:tcPr>
          <w:p w:rsidRPr="007E354F" w:rsidR="00A37FB6" w:rsidP="00DC29BB" w:rsidRDefault="00A37FB6" w14:paraId="2A9459AB" w14:textId="77777777">
            <w:pPr>
              <w:rPr>
                <w:rFonts w:ascii="Arial" w:hAnsi="Arial" w:eastAsia="Calibri" w:cs="Arial"/>
                <w:sz w:val="22"/>
              </w:rPr>
            </w:pPr>
            <w:r w:rsidRPr="007E354F">
              <w:rPr>
                <w:rFonts w:ascii="Arial" w:hAnsi="Arial" w:eastAsia="Calibri" w:cs="Arial"/>
                <w:b/>
                <w:sz w:val="22"/>
              </w:rPr>
              <w:t>Temas:</w:t>
            </w:r>
            <w:r w:rsidRPr="007E354F">
              <w:rPr>
                <w:rFonts w:ascii="Arial" w:hAnsi="Arial" w:eastAsia="Calibri" w:cs="Arial"/>
                <w:sz w:val="22"/>
              </w:rPr>
              <w:t xml:space="preserve">           </w:t>
            </w:r>
          </w:p>
          <w:p w:rsidRPr="007E354F" w:rsidR="00A37FB6" w:rsidP="00DC29BB" w:rsidRDefault="00A37FB6" w14:paraId="1840BCE8" w14:textId="77777777">
            <w:pPr>
              <w:rPr>
                <w:rFonts w:ascii="Arial" w:hAnsi="Arial" w:eastAsia="Calibri" w:cs="Arial"/>
                <w:sz w:val="22"/>
              </w:rPr>
            </w:pPr>
            <w:r w:rsidRPr="007E354F">
              <w:rPr>
                <w:rFonts w:ascii="Arial" w:hAnsi="Arial" w:eastAsia="Calibri" w:cs="Arial"/>
                <w:sz w:val="22"/>
              </w:rPr>
              <w:t xml:space="preserve">                           </w:t>
            </w:r>
          </w:p>
        </w:tc>
        <w:tc>
          <w:tcPr>
            <w:tcW w:w="6237" w:type="dxa"/>
            <w:hideMark/>
          </w:tcPr>
          <w:p w:rsidRPr="007E354F" w:rsidR="004E3D78" w:rsidP="004E3D78" w:rsidRDefault="004E3D78" w14:paraId="6B3B4ADA" w14:textId="05D97251">
            <w:pPr>
              <w:jc w:val="both"/>
              <w:rPr>
                <w:rFonts w:ascii="Arial" w:hAnsi="Arial" w:cs="Arial"/>
                <w:sz w:val="22"/>
              </w:rPr>
            </w:pPr>
            <w:r w:rsidRPr="007E354F">
              <w:rPr>
                <w:rFonts w:ascii="Arial" w:hAnsi="Arial" w:eastAsia="Calibri" w:cs="Arial"/>
                <w:sz w:val="22"/>
              </w:rPr>
              <w:t>PUBLICIDAD SECOP― Entidades de régimen especial― Fundamento normativo / DOCUMENTOS PUBLICABLES EN SECOP ― Entidades de régimen especial / PLAZO</w:t>
            </w:r>
            <w:r w:rsidRPr="007E354F">
              <w:rPr>
                <w:rFonts w:ascii="Arial" w:hAnsi="Arial" w:cs="Arial"/>
                <w:sz w:val="22"/>
              </w:rPr>
              <w:t xml:space="preserve"> PUBLICACIÓN SECOP </w:t>
            </w:r>
            <w:r w:rsidRPr="007E354F">
              <w:rPr>
                <w:rFonts w:ascii="Arial" w:hAnsi="Arial" w:eastAsia="Calibri" w:cs="Arial"/>
                <w:sz w:val="22"/>
              </w:rPr>
              <w:t>―</w:t>
            </w:r>
            <w:r w:rsidRPr="007E354F">
              <w:rPr>
                <w:rFonts w:ascii="Arial" w:hAnsi="Arial" w:cs="Arial"/>
                <w:sz w:val="22"/>
              </w:rPr>
              <w:t xml:space="preserve"> Entidades régimen especial / ENTIDADES EXCEPTUADAS DE PUBLICAR EN SECOP II </w:t>
            </w:r>
            <w:r w:rsidRPr="007E354F">
              <w:rPr>
                <w:rFonts w:ascii="Arial" w:hAnsi="Arial" w:eastAsia="Calibri" w:cs="Arial"/>
                <w:sz w:val="22"/>
              </w:rPr>
              <w:t>―</w:t>
            </w:r>
            <w:r w:rsidRPr="007E354F">
              <w:rPr>
                <w:rFonts w:ascii="Arial" w:hAnsi="Arial" w:cs="Arial"/>
                <w:sz w:val="22"/>
              </w:rPr>
              <w:t xml:space="preserve"> Empresas descentralizadas del nivel municipal</w:t>
            </w:r>
          </w:p>
          <w:p w:rsidRPr="007E354F" w:rsidR="004E3D78" w:rsidP="004E3D78" w:rsidRDefault="004E3D78" w14:paraId="71BA60F9" w14:textId="7585F78A">
            <w:pPr>
              <w:pStyle w:val="Prrafodelista"/>
              <w:ind w:left="0"/>
              <w:contextualSpacing w:val="0"/>
              <w:jc w:val="both"/>
              <w:rPr>
                <w:rFonts w:ascii="Arial" w:hAnsi="Arial" w:eastAsia="Calibri" w:cs="Arial"/>
                <w:b/>
                <w:sz w:val="22"/>
              </w:rPr>
            </w:pPr>
          </w:p>
          <w:p w:rsidRPr="007E354F" w:rsidR="00A37FB6" w:rsidP="00DC29BB" w:rsidRDefault="00A37FB6" w14:paraId="069BC436" w14:textId="04868481">
            <w:pPr>
              <w:jc w:val="both"/>
              <w:rPr>
                <w:rFonts w:ascii="Arial" w:hAnsi="Arial" w:eastAsia="Calibri" w:cs="Arial"/>
                <w:sz w:val="22"/>
              </w:rPr>
            </w:pPr>
          </w:p>
        </w:tc>
      </w:tr>
      <w:tr w:rsidRPr="007E354F" w:rsidR="00A37FB6" w:rsidTr="00DC29BB" w14:paraId="62473A71" w14:textId="77777777">
        <w:trPr>
          <w:trHeight w:val="297"/>
        </w:trPr>
        <w:tc>
          <w:tcPr>
            <w:tcW w:w="2689" w:type="dxa"/>
          </w:tcPr>
          <w:p w:rsidRPr="007E354F" w:rsidR="00A37FB6" w:rsidP="007762F3" w:rsidRDefault="00DC29BB" w14:paraId="730BF589" w14:textId="1EF934B6">
            <w:pPr>
              <w:rPr>
                <w:rFonts w:ascii="Arial" w:hAnsi="Arial" w:eastAsia="Calibri" w:cs="Arial"/>
                <w:b/>
                <w:sz w:val="22"/>
              </w:rPr>
            </w:pPr>
            <w:r w:rsidRPr="007E354F">
              <w:rPr>
                <w:rFonts w:ascii="Arial" w:hAnsi="Arial" w:eastAsia="Calibri" w:cs="Arial"/>
                <w:b/>
                <w:sz w:val="22"/>
              </w:rPr>
              <w:t xml:space="preserve"> </w:t>
            </w:r>
            <w:r w:rsidRPr="007E354F" w:rsidR="00A37FB6">
              <w:rPr>
                <w:rFonts w:ascii="Arial" w:hAnsi="Arial" w:eastAsia="Calibri" w:cs="Arial"/>
                <w:b/>
                <w:sz w:val="22"/>
              </w:rPr>
              <w:t>Radicación:</w:t>
            </w:r>
            <w:r w:rsidRPr="007E354F" w:rsidR="00A37FB6">
              <w:rPr>
                <w:rFonts w:ascii="Arial" w:hAnsi="Arial" w:eastAsia="Calibri" w:cs="Arial"/>
                <w:sz w:val="22"/>
              </w:rPr>
              <w:t xml:space="preserve">                              </w:t>
            </w:r>
          </w:p>
        </w:tc>
        <w:tc>
          <w:tcPr>
            <w:tcW w:w="6237" w:type="dxa"/>
          </w:tcPr>
          <w:p w:rsidRPr="007E354F" w:rsidR="00A37FB6" w:rsidP="007762F3" w:rsidRDefault="00A37FB6" w14:paraId="2CD77F9B" w14:textId="00576628">
            <w:pPr>
              <w:jc w:val="both"/>
              <w:rPr>
                <w:rFonts w:ascii="Arial" w:hAnsi="Arial" w:eastAsia="Calibri" w:cs="Arial"/>
                <w:sz w:val="22"/>
              </w:rPr>
            </w:pPr>
            <w:r w:rsidRPr="007E354F">
              <w:rPr>
                <w:rFonts w:ascii="Arial" w:hAnsi="Arial" w:eastAsia="Calibri" w:cs="Arial"/>
                <w:sz w:val="22"/>
              </w:rPr>
              <w:t>Respu</w:t>
            </w:r>
            <w:r w:rsidRPr="007E354F" w:rsidR="005219F7">
              <w:rPr>
                <w:rFonts w:ascii="Arial" w:hAnsi="Arial" w:eastAsia="Calibri" w:cs="Arial"/>
                <w:sz w:val="22"/>
              </w:rPr>
              <w:t>es</w:t>
            </w:r>
            <w:r w:rsidRPr="007E354F" w:rsidR="00CB3127">
              <w:rPr>
                <w:rFonts w:ascii="Arial" w:hAnsi="Arial" w:eastAsia="Calibri" w:cs="Arial"/>
                <w:sz w:val="22"/>
              </w:rPr>
              <w:t>ta a consulta # 4202013000001639</w:t>
            </w:r>
          </w:p>
        </w:tc>
      </w:tr>
    </w:tbl>
    <w:p w:rsidRPr="007E354F" w:rsidR="00B221E4" w:rsidP="007762F3" w:rsidRDefault="00B221E4" w14:paraId="23758B13" w14:textId="77777777">
      <w:pPr>
        <w:spacing w:before="120" w:after="120"/>
        <w:rPr>
          <w:rFonts w:ascii="Arial" w:hAnsi="Arial" w:eastAsia="Calibri" w:cs="Arial"/>
          <w:sz w:val="22"/>
        </w:rPr>
      </w:pPr>
    </w:p>
    <w:p w:rsidRPr="007E354F" w:rsidR="00A37FB6" w:rsidP="00D3017A" w:rsidRDefault="00137404" w14:paraId="3216C844" w14:textId="420A35B3">
      <w:pPr>
        <w:rPr>
          <w:rFonts w:ascii="Arial" w:hAnsi="Arial" w:eastAsia="Calibri" w:cs="Arial"/>
          <w:sz w:val="22"/>
        </w:rPr>
      </w:pPr>
      <w:r w:rsidRPr="007E354F">
        <w:rPr>
          <w:rFonts w:ascii="Arial" w:hAnsi="Arial" w:eastAsia="Calibri" w:cs="Arial"/>
          <w:sz w:val="22"/>
        </w:rPr>
        <w:t>Estimada</w:t>
      </w:r>
      <w:r w:rsidRPr="007E354F" w:rsidR="005219F7">
        <w:rPr>
          <w:rFonts w:ascii="Arial" w:hAnsi="Arial" w:eastAsia="Calibri" w:cs="Arial"/>
          <w:sz w:val="22"/>
        </w:rPr>
        <w:t xml:space="preserve"> señor</w:t>
      </w:r>
      <w:r w:rsidRPr="007E354F" w:rsidR="007762F3">
        <w:rPr>
          <w:rFonts w:ascii="Arial" w:hAnsi="Arial" w:eastAsia="Calibri" w:cs="Arial"/>
          <w:sz w:val="22"/>
        </w:rPr>
        <w:t>a</w:t>
      </w:r>
      <w:r w:rsidRPr="007E354F" w:rsidR="00905F30">
        <w:rPr>
          <w:rFonts w:ascii="Arial" w:hAnsi="Arial" w:eastAsia="Calibri" w:cs="Arial"/>
          <w:sz w:val="22"/>
        </w:rPr>
        <w:t xml:space="preserve"> Mejía</w:t>
      </w:r>
      <w:r w:rsidRPr="007E354F" w:rsidR="00A37FB6">
        <w:rPr>
          <w:rFonts w:ascii="Arial" w:hAnsi="Arial" w:eastAsia="Calibri" w:cs="Arial"/>
          <w:sz w:val="22"/>
        </w:rPr>
        <w:t>,</w:t>
      </w:r>
    </w:p>
    <w:p w:rsidRPr="007E354F" w:rsidR="00D3017A" w:rsidP="00D3017A" w:rsidRDefault="00D3017A" w14:paraId="1CBAEDF2" w14:textId="77777777">
      <w:pPr>
        <w:rPr>
          <w:rFonts w:ascii="Arial" w:hAnsi="Arial" w:eastAsia="Calibri" w:cs="Arial"/>
          <w:sz w:val="22"/>
        </w:rPr>
      </w:pPr>
    </w:p>
    <w:p w:rsidRPr="007E354F" w:rsidR="00A37FB6" w:rsidP="00D3017A" w:rsidRDefault="00A37FB6" w14:paraId="39316B12" w14:textId="29E2EF0C">
      <w:pPr>
        <w:spacing w:line="276" w:lineRule="auto"/>
        <w:ind w:right="49"/>
        <w:jc w:val="both"/>
        <w:rPr>
          <w:rFonts w:ascii="Arial" w:hAnsi="Arial" w:eastAsia="Calibri" w:cs="Arial"/>
          <w:sz w:val="22"/>
        </w:rPr>
      </w:pPr>
      <w:r w:rsidRPr="007E354F">
        <w:rPr>
          <w:rFonts w:ascii="Arial" w:hAnsi="Arial" w:eastAsia="Calibri" w:cs="Arial"/>
          <w:sz w:val="22"/>
        </w:rPr>
        <w:t>La Agencia Na</w:t>
      </w:r>
      <w:r w:rsidRPr="007E354F" w:rsidR="00137404">
        <w:rPr>
          <w:rFonts w:ascii="Arial" w:hAnsi="Arial" w:eastAsia="Calibri" w:cs="Arial"/>
          <w:sz w:val="22"/>
        </w:rPr>
        <w:t xml:space="preserve">cional de Contratación Pública -‒ </w:t>
      </w:r>
      <w:r w:rsidRPr="007E354F">
        <w:rPr>
          <w:rFonts w:ascii="Arial" w:hAnsi="Arial" w:eastAsia="Calibri" w:cs="Arial"/>
          <w:sz w:val="22"/>
        </w:rPr>
        <w:t>Colombia Compra Eficie</w:t>
      </w:r>
      <w:r w:rsidRPr="007E354F" w:rsidR="005219F7">
        <w:rPr>
          <w:rFonts w:ascii="Arial" w:hAnsi="Arial" w:eastAsia="Calibri" w:cs="Arial"/>
          <w:sz w:val="22"/>
        </w:rPr>
        <w:t xml:space="preserve">nte― responde su consulta del </w:t>
      </w:r>
      <w:r w:rsidRPr="007E354F" w:rsidR="00CB3127">
        <w:rPr>
          <w:rFonts w:ascii="Arial" w:hAnsi="Arial" w:eastAsia="Calibri" w:cs="Arial"/>
          <w:sz w:val="22"/>
        </w:rPr>
        <w:t>3 de marzo</w:t>
      </w:r>
      <w:r w:rsidRPr="007E354F" w:rsidR="005219F7">
        <w:rPr>
          <w:rFonts w:ascii="Arial" w:hAnsi="Arial" w:eastAsia="Calibri" w:cs="Arial"/>
          <w:sz w:val="22"/>
        </w:rPr>
        <w:t xml:space="preserve"> de 2020</w:t>
      </w:r>
      <w:r w:rsidRPr="007E354F">
        <w:rPr>
          <w:rFonts w:ascii="Arial" w:hAnsi="Arial" w:eastAsia="Calibri" w:cs="Arial"/>
          <w:sz w:val="22"/>
        </w:rPr>
        <w:t xml:space="preserve">, en ejercicio de la competencia otorgada por el numeral 8 del artículo 11 y el numeral 5 del artículo 3 del Decreto Ley 4170 de 2011. </w:t>
      </w:r>
    </w:p>
    <w:p w:rsidRPr="007E354F" w:rsidR="005F71A8" w:rsidP="00CB3127" w:rsidRDefault="005F71A8" w14:paraId="797F2D86" w14:textId="77777777">
      <w:pPr>
        <w:pStyle w:val="Prrafodelista"/>
        <w:tabs>
          <w:tab w:val="left" w:pos="284"/>
        </w:tabs>
        <w:ind w:left="0"/>
        <w:jc w:val="both"/>
        <w:rPr>
          <w:rFonts w:ascii="Arial" w:hAnsi="Arial" w:eastAsia="Calibri" w:cs="Arial"/>
          <w:b/>
          <w:sz w:val="22"/>
        </w:rPr>
      </w:pPr>
    </w:p>
    <w:p w:rsidRPr="007E354F" w:rsidR="00A37FB6" w:rsidP="00CB3127" w:rsidRDefault="00905F30" w14:paraId="737E2623" w14:textId="24129F8A">
      <w:pPr>
        <w:pStyle w:val="Prrafodelista"/>
        <w:tabs>
          <w:tab w:val="left" w:pos="284"/>
        </w:tabs>
        <w:ind w:left="0"/>
        <w:jc w:val="both"/>
        <w:rPr>
          <w:rFonts w:ascii="Arial" w:hAnsi="Arial" w:eastAsia="Calibri" w:cs="Arial"/>
          <w:b/>
          <w:sz w:val="22"/>
        </w:rPr>
      </w:pPr>
      <w:r w:rsidRPr="007E354F">
        <w:rPr>
          <w:rFonts w:ascii="Arial" w:hAnsi="Arial" w:eastAsia="Calibri" w:cs="Arial"/>
          <w:b/>
          <w:sz w:val="22"/>
        </w:rPr>
        <w:t xml:space="preserve">1. </w:t>
      </w:r>
      <w:r w:rsidRPr="007E354F" w:rsidR="00A37FB6">
        <w:rPr>
          <w:rFonts w:ascii="Arial" w:hAnsi="Arial" w:eastAsia="Calibri" w:cs="Arial"/>
          <w:b/>
          <w:sz w:val="22"/>
        </w:rPr>
        <w:t xml:space="preserve">Problemas planteados </w:t>
      </w:r>
    </w:p>
    <w:p w:rsidRPr="007E354F" w:rsidR="00905F30" w:rsidP="00CB3127" w:rsidRDefault="00905F30" w14:paraId="2EF61297" w14:textId="77777777">
      <w:pPr>
        <w:pStyle w:val="Prrafodelista"/>
        <w:tabs>
          <w:tab w:val="left" w:pos="284"/>
        </w:tabs>
        <w:ind w:left="0"/>
        <w:jc w:val="both"/>
        <w:rPr>
          <w:rFonts w:ascii="Arial" w:hAnsi="Arial" w:eastAsia="Calibri" w:cs="Arial"/>
          <w:b/>
          <w:sz w:val="22"/>
        </w:rPr>
      </w:pPr>
    </w:p>
    <w:p w:rsidRPr="007E354F" w:rsidR="00FD49BF" w:rsidP="007762F3" w:rsidRDefault="00CB3127" w14:paraId="634A1DCD" w14:textId="1C5B4C12">
      <w:pPr>
        <w:pStyle w:val="NormalWeb"/>
        <w:shd w:val="clear" w:color="auto" w:fill="FFFFFF"/>
        <w:spacing w:before="0" w:beforeAutospacing="0" w:after="0" w:afterAutospacing="0" w:line="276" w:lineRule="auto"/>
        <w:jc w:val="both"/>
        <w:textAlignment w:val="baseline"/>
        <w:rPr>
          <w:rFonts w:ascii="Arial" w:hAnsi="Arial" w:cs="Arial"/>
          <w:sz w:val="22"/>
          <w:szCs w:val="22"/>
          <w:bdr w:val="none" w:color="auto" w:sz="0" w:space="0" w:frame="1"/>
        </w:rPr>
      </w:pPr>
      <w:r w:rsidRPr="007E354F">
        <w:rPr>
          <w:rFonts w:ascii="Arial" w:hAnsi="Arial" w:eastAsia="Calibri" w:cs="Arial"/>
          <w:sz w:val="22"/>
          <w:szCs w:val="22"/>
        </w:rPr>
        <w:lastRenderedPageBreak/>
        <w:t>Usted realiza la siguiente pregunta</w:t>
      </w:r>
      <w:r w:rsidRPr="007E354F" w:rsidR="00A37FB6">
        <w:rPr>
          <w:rFonts w:ascii="Arial" w:hAnsi="Arial" w:eastAsia="Calibri" w:cs="Arial"/>
          <w:sz w:val="22"/>
          <w:szCs w:val="22"/>
        </w:rPr>
        <w:t>:</w:t>
      </w:r>
      <w:r w:rsidRPr="007E354F">
        <w:rPr>
          <w:rFonts w:ascii="Arial" w:hAnsi="Arial" w:cs="Arial"/>
          <w:sz w:val="22"/>
          <w:szCs w:val="22"/>
          <w:bdr w:val="none" w:color="auto" w:sz="0" w:space="0" w:frame="1"/>
        </w:rPr>
        <w:t xml:space="preserve"> «si las Empresas Sociales del Estado que son de </w:t>
      </w:r>
      <w:proofErr w:type="spellStart"/>
      <w:r w:rsidRPr="007E354F">
        <w:rPr>
          <w:rFonts w:ascii="Arial" w:hAnsi="Arial" w:cs="Arial"/>
          <w:sz w:val="22"/>
          <w:szCs w:val="22"/>
          <w:bdr w:val="none" w:color="auto" w:sz="0" w:space="0" w:frame="1"/>
        </w:rPr>
        <w:t>Regimen</w:t>
      </w:r>
      <w:proofErr w:type="spellEnd"/>
      <w:r w:rsidRPr="007E354F">
        <w:rPr>
          <w:rFonts w:ascii="Arial" w:hAnsi="Arial" w:cs="Arial"/>
          <w:sz w:val="22"/>
          <w:szCs w:val="22"/>
          <w:bdr w:val="none" w:color="auto" w:sz="0" w:space="0" w:frame="1"/>
        </w:rPr>
        <w:t xml:space="preserve"> (sic) especial, tienen un plazo </w:t>
      </w:r>
      <w:proofErr w:type="spellStart"/>
      <w:r w:rsidRPr="007E354F">
        <w:rPr>
          <w:rFonts w:ascii="Arial" w:hAnsi="Arial" w:cs="Arial"/>
          <w:sz w:val="22"/>
          <w:szCs w:val="22"/>
          <w:bdr w:val="none" w:color="auto" w:sz="0" w:space="0" w:frame="1"/>
        </w:rPr>
        <w:t>limite</w:t>
      </w:r>
      <w:proofErr w:type="spellEnd"/>
      <w:r w:rsidRPr="007E354F">
        <w:rPr>
          <w:rFonts w:ascii="Arial" w:hAnsi="Arial" w:cs="Arial"/>
          <w:sz w:val="22"/>
          <w:szCs w:val="22"/>
          <w:bdr w:val="none" w:color="auto" w:sz="0" w:space="0" w:frame="1"/>
        </w:rPr>
        <w:t xml:space="preserve"> (sic) para publicar en </w:t>
      </w:r>
      <w:proofErr w:type="gramStart"/>
      <w:r w:rsidRPr="007E354F">
        <w:rPr>
          <w:rFonts w:ascii="Arial" w:hAnsi="Arial" w:cs="Arial"/>
          <w:sz w:val="22"/>
          <w:szCs w:val="22"/>
          <w:bdr w:val="none" w:color="auto" w:sz="0" w:space="0" w:frame="1"/>
        </w:rPr>
        <w:t xml:space="preserve">el  </w:t>
      </w:r>
      <w:proofErr w:type="spellStart"/>
      <w:r w:rsidRPr="007E354F">
        <w:rPr>
          <w:rFonts w:ascii="Arial" w:hAnsi="Arial" w:cs="Arial"/>
          <w:sz w:val="22"/>
          <w:szCs w:val="22"/>
          <w:bdr w:val="none" w:color="auto" w:sz="0" w:space="0" w:frame="1"/>
        </w:rPr>
        <w:t>secop</w:t>
      </w:r>
      <w:proofErr w:type="spellEnd"/>
      <w:proofErr w:type="gramEnd"/>
      <w:r w:rsidRPr="007E354F">
        <w:rPr>
          <w:rFonts w:ascii="Arial" w:hAnsi="Arial" w:cs="Arial"/>
          <w:sz w:val="22"/>
          <w:szCs w:val="22"/>
          <w:bdr w:val="none" w:color="auto" w:sz="0" w:space="0" w:frame="1"/>
        </w:rPr>
        <w:t xml:space="preserve"> el contrato y los documentos de ejecución o si de (sic) puede realizar la publicación de los mismos durante el mes que se genere cada documento contractual». </w:t>
      </w:r>
    </w:p>
    <w:p w:rsidRPr="007E354F" w:rsidR="00B221E4" w:rsidP="00CB3127" w:rsidRDefault="00B221E4" w14:paraId="24DD1C6E" w14:textId="77777777">
      <w:pPr>
        <w:pStyle w:val="NormalWeb"/>
        <w:shd w:val="clear" w:color="auto" w:fill="FFFFFF"/>
        <w:spacing w:before="0" w:beforeAutospacing="0" w:after="0" w:afterAutospacing="0"/>
        <w:jc w:val="both"/>
        <w:textAlignment w:val="baseline"/>
        <w:rPr>
          <w:rFonts w:ascii="Arial" w:hAnsi="Arial" w:cs="Arial"/>
          <w:sz w:val="22"/>
          <w:szCs w:val="22"/>
        </w:rPr>
      </w:pPr>
    </w:p>
    <w:p w:rsidRPr="007E354F" w:rsidR="00A37FB6" w:rsidP="00CB3127" w:rsidRDefault="00FA1CFD" w14:paraId="6A32A1B1" w14:textId="0636C6BF">
      <w:pPr>
        <w:tabs>
          <w:tab w:val="left" w:pos="426"/>
        </w:tabs>
        <w:jc w:val="both"/>
        <w:rPr>
          <w:rFonts w:ascii="Arial" w:hAnsi="Arial" w:eastAsia="Calibri" w:cs="Arial"/>
          <w:b/>
          <w:sz w:val="22"/>
        </w:rPr>
      </w:pPr>
      <w:r w:rsidRPr="007E354F">
        <w:rPr>
          <w:rFonts w:ascii="Arial" w:hAnsi="Arial" w:eastAsia="Calibri" w:cs="Arial"/>
          <w:b/>
          <w:sz w:val="22"/>
        </w:rPr>
        <w:t xml:space="preserve">2. </w:t>
      </w:r>
      <w:r w:rsidRPr="007E354F" w:rsidR="00A37FB6">
        <w:rPr>
          <w:rFonts w:ascii="Arial" w:hAnsi="Arial" w:eastAsia="Calibri" w:cs="Arial"/>
          <w:b/>
          <w:sz w:val="22"/>
        </w:rPr>
        <w:t>Consideraciones</w:t>
      </w:r>
    </w:p>
    <w:p w:rsidRPr="007E354F" w:rsidR="007762F3" w:rsidP="00CB3127" w:rsidRDefault="007762F3" w14:paraId="5EE3B85E" w14:textId="77777777">
      <w:pPr>
        <w:tabs>
          <w:tab w:val="left" w:pos="426"/>
        </w:tabs>
        <w:jc w:val="both"/>
        <w:rPr>
          <w:rFonts w:ascii="Arial" w:hAnsi="Arial" w:eastAsia="Calibri" w:cs="Arial"/>
          <w:b/>
          <w:sz w:val="22"/>
        </w:rPr>
      </w:pPr>
    </w:p>
    <w:p w:rsidRPr="007E354F" w:rsidR="00137404" w:rsidP="007762F3" w:rsidRDefault="00137404" w14:paraId="174524FA" w14:textId="6C6C58E8">
      <w:pPr>
        <w:spacing w:before="120" w:after="120" w:line="276" w:lineRule="auto"/>
        <w:jc w:val="both"/>
        <w:rPr>
          <w:rFonts w:ascii="Arial" w:hAnsi="Arial" w:eastAsia="Calibri" w:cs="Arial"/>
          <w:sz w:val="22"/>
        </w:rPr>
      </w:pPr>
      <w:r w:rsidRPr="007E354F">
        <w:rPr>
          <w:rFonts w:ascii="Arial" w:hAnsi="Arial" w:eastAsia="Calibri" w:cs="Arial"/>
          <w:sz w:val="22"/>
        </w:rPr>
        <w:t xml:space="preserve">Para dar desarrollo a los problemas planteados se explicará, cómo el SECOP es la plataforma </w:t>
      </w:r>
      <w:r w:rsidRPr="007E354F" w:rsidR="00795349">
        <w:rPr>
          <w:rFonts w:ascii="Arial" w:hAnsi="Arial" w:eastAsia="Calibri" w:cs="Arial"/>
          <w:sz w:val="22"/>
        </w:rPr>
        <w:t>que las entidades deben usar</w:t>
      </w:r>
      <w:r w:rsidRPr="007E354F">
        <w:rPr>
          <w:rFonts w:ascii="Arial" w:hAnsi="Arial" w:eastAsia="Calibri" w:cs="Arial"/>
          <w:sz w:val="22"/>
        </w:rPr>
        <w:t xml:space="preserve"> para publicar la actividad contractual, para luego determinar los documentos contractuales que deben publicar las </w:t>
      </w:r>
      <w:r w:rsidRPr="007E354F" w:rsidR="00362C5C">
        <w:rPr>
          <w:rFonts w:ascii="Arial" w:hAnsi="Arial" w:cs="Arial"/>
          <w:sz w:val="22"/>
          <w:lang w:val="es-ES"/>
        </w:rPr>
        <w:t>entidades con régimen especial</w:t>
      </w:r>
      <w:r w:rsidRPr="007E354F" w:rsidR="00362C5C">
        <w:rPr>
          <w:rFonts w:ascii="Arial" w:hAnsi="Arial" w:eastAsia="Calibri" w:cs="Arial"/>
          <w:sz w:val="22"/>
        </w:rPr>
        <w:t xml:space="preserve"> de contratación pública </w:t>
      </w:r>
      <w:r w:rsidRPr="007E354F" w:rsidR="00A86509">
        <w:rPr>
          <w:rFonts w:ascii="Arial" w:hAnsi="Arial" w:eastAsia="Calibri" w:cs="Arial"/>
          <w:sz w:val="22"/>
        </w:rPr>
        <w:t>en el SECOP.</w:t>
      </w:r>
    </w:p>
    <w:p w:rsidRPr="007E354F" w:rsidR="00137404" w:rsidP="00CB3127" w:rsidRDefault="00137404" w14:paraId="52A851C7" w14:textId="77777777">
      <w:pPr>
        <w:rPr>
          <w:rFonts w:ascii="Arial" w:hAnsi="Arial" w:eastAsia="Calibri" w:cs="Arial"/>
          <w:sz w:val="22"/>
        </w:rPr>
      </w:pPr>
    </w:p>
    <w:p w:rsidRPr="007E354F" w:rsidR="00137404" w:rsidP="00CB3127" w:rsidRDefault="00FA1CFD" w14:paraId="07F34721" w14:textId="631FBBE4">
      <w:pPr>
        <w:tabs>
          <w:tab w:val="left" w:pos="426"/>
        </w:tabs>
        <w:rPr>
          <w:rFonts w:ascii="Arial" w:hAnsi="Arial" w:eastAsia="Calibri" w:cs="Arial"/>
          <w:b/>
          <w:sz w:val="22"/>
        </w:rPr>
      </w:pPr>
      <w:r w:rsidRPr="007E354F">
        <w:rPr>
          <w:rFonts w:ascii="Arial" w:hAnsi="Arial" w:eastAsia="Calibri" w:cs="Arial"/>
          <w:b/>
          <w:sz w:val="22"/>
        </w:rPr>
        <w:t>2.1</w:t>
      </w:r>
      <w:r w:rsidRPr="007E354F" w:rsidR="00137404">
        <w:rPr>
          <w:rFonts w:ascii="Arial" w:hAnsi="Arial" w:eastAsia="Calibri" w:cs="Arial"/>
          <w:b/>
          <w:sz w:val="22"/>
        </w:rPr>
        <w:t>. Publicidad de los contratos en el Sistema Electrónico de Contratación Pública –SECOP–</w:t>
      </w:r>
    </w:p>
    <w:p w:rsidRPr="007E354F" w:rsidR="00240457" w:rsidP="00CB3127" w:rsidRDefault="00240457" w14:paraId="10B27915" w14:textId="77777777">
      <w:pPr>
        <w:tabs>
          <w:tab w:val="left" w:pos="426"/>
        </w:tabs>
        <w:rPr>
          <w:rFonts w:ascii="Arial" w:hAnsi="Arial" w:eastAsia="Calibri" w:cs="Arial"/>
          <w:b/>
          <w:sz w:val="22"/>
        </w:rPr>
      </w:pPr>
    </w:p>
    <w:p w:rsidRPr="007E354F" w:rsidR="00137404" w:rsidP="007762F3" w:rsidRDefault="00137404" w14:paraId="64367716" w14:textId="70A131ED">
      <w:pPr>
        <w:spacing w:before="120" w:after="120" w:line="276" w:lineRule="auto"/>
        <w:jc w:val="both"/>
        <w:rPr>
          <w:rFonts w:ascii="Arial" w:hAnsi="Arial" w:eastAsia="Calibri" w:cs="Arial"/>
          <w:bCs/>
          <w:sz w:val="22"/>
        </w:rPr>
      </w:pPr>
      <w:r w:rsidRPr="007E354F">
        <w:rPr>
          <w:rFonts w:ascii="Arial" w:hAnsi="Arial" w:eastAsia="Calibri" w:cs="Arial"/>
          <w:bCs/>
          <w:sz w:val="22"/>
        </w:rPr>
        <w:t>La Agencia Nacional de Contratación Pública</w:t>
      </w:r>
      <w:r w:rsidRPr="007E354F" w:rsidR="00905F30">
        <w:rPr>
          <w:rFonts w:ascii="Arial" w:hAnsi="Arial" w:eastAsia="Calibri" w:cs="Arial"/>
          <w:bCs/>
          <w:sz w:val="22"/>
        </w:rPr>
        <w:t xml:space="preserve"> – Colombia Compra Eficiente</w:t>
      </w:r>
      <w:r w:rsidRPr="007E354F">
        <w:rPr>
          <w:rFonts w:ascii="Arial" w:hAnsi="Arial" w:eastAsia="Calibri" w:cs="Arial"/>
          <w:bCs/>
          <w:sz w:val="22"/>
        </w:rPr>
        <w:t xml:space="preserve"> estudió por primera vez este tema en la consulta No. 4201913000005397 del 9 de agosto de 2019 y reiteró la posición en las siguientes consultas: 4201912000006611 del 25 de septiembre de 2019, 4201913000006847 del 4 de octubre de 2019, 4201912000007762 del 18 de noviembre de 2019, 4201912000007828 del 13 de noviembre de 2019</w:t>
      </w:r>
      <w:r w:rsidRPr="007E354F" w:rsidR="0061063A">
        <w:rPr>
          <w:rFonts w:ascii="Arial" w:hAnsi="Arial" w:eastAsia="Calibri" w:cs="Arial"/>
          <w:bCs/>
          <w:sz w:val="22"/>
        </w:rPr>
        <w:t xml:space="preserve">, </w:t>
      </w:r>
      <w:r w:rsidRPr="007E354F" w:rsidR="00905F30">
        <w:rPr>
          <w:rFonts w:ascii="Arial" w:hAnsi="Arial" w:eastAsia="Calibri" w:cs="Arial"/>
          <w:bCs/>
          <w:sz w:val="22"/>
        </w:rPr>
        <w:t xml:space="preserve">en las consultas </w:t>
      </w:r>
      <w:r w:rsidRPr="007E354F" w:rsidR="0061063A">
        <w:rPr>
          <w:rFonts w:ascii="Arial" w:hAnsi="Arial" w:eastAsia="Calibri" w:cs="Arial"/>
          <w:bCs/>
          <w:sz w:val="22"/>
        </w:rPr>
        <w:t>420191</w:t>
      </w:r>
      <w:r w:rsidRPr="007E354F" w:rsidR="00240457">
        <w:rPr>
          <w:rFonts w:ascii="Arial" w:hAnsi="Arial" w:eastAsia="Calibri" w:cs="Arial"/>
          <w:bCs/>
          <w:sz w:val="22"/>
        </w:rPr>
        <w:t>2000008073,</w:t>
      </w:r>
      <w:r w:rsidRPr="007E354F" w:rsidR="00905F30">
        <w:rPr>
          <w:rFonts w:ascii="Arial" w:hAnsi="Arial" w:eastAsia="Calibri" w:cs="Arial"/>
          <w:bCs/>
          <w:sz w:val="22"/>
        </w:rPr>
        <w:t xml:space="preserve"> 420201200000029 del 1</w:t>
      </w:r>
      <w:r w:rsidRPr="007E354F" w:rsidR="002752CC">
        <w:rPr>
          <w:rFonts w:ascii="Arial" w:hAnsi="Arial" w:eastAsia="Calibri" w:cs="Arial"/>
          <w:bCs/>
          <w:sz w:val="22"/>
        </w:rPr>
        <w:t>5</w:t>
      </w:r>
      <w:r w:rsidRPr="007E354F" w:rsidR="0061063A">
        <w:rPr>
          <w:rFonts w:ascii="Arial" w:hAnsi="Arial" w:eastAsia="Calibri" w:cs="Arial"/>
          <w:bCs/>
          <w:sz w:val="22"/>
        </w:rPr>
        <w:t xml:space="preserve"> de enero de 2020</w:t>
      </w:r>
      <w:r w:rsidRPr="007E354F" w:rsidR="00905F30">
        <w:rPr>
          <w:rFonts w:ascii="Arial" w:hAnsi="Arial" w:eastAsia="Calibri" w:cs="Arial"/>
          <w:bCs/>
          <w:sz w:val="22"/>
        </w:rPr>
        <w:t xml:space="preserve"> con radicado interno CU – 003 de 2020</w:t>
      </w:r>
      <w:r w:rsidRPr="007E354F" w:rsidR="00240457">
        <w:rPr>
          <w:rFonts w:ascii="Arial" w:hAnsi="Arial" w:eastAsia="Calibri" w:cs="Arial"/>
          <w:bCs/>
          <w:sz w:val="22"/>
        </w:rPr>
        <w:t xml:space="preserve"> y finalmente en el concepto </w:t>
      </w:r>
      <w:r w:rsidRPr="007E354F" w:rsidR="00240457">
        <w:rPr>
          <w:rFonts w:ascii="Arial" w:hAnsi="Arial" w:eastAsia="Calibri" w:cs="Arial"/>
          <w:sz w:val="22"/>
        </w:rPr>
        <w:t>4202013000000741 del 29 de enero de 2020, con radicado interno C ‒ 095 de 2020, en  donde  se sostuvo la idea que se reitera a continuación</w:t>
      </w:r>
      <w:r w:rsidRPr="007E354F">
        <w:rPr>
          <w:rFonts w:ascii="Arial" w:hAnsi="Arial" w:eastAsia="Calibri" w:cs="Arial"/>
          <w:bCs/>
          <w:sz w:val="22"/>
        </w:rPr>
        <w:t xml:space="preserve">: </w:t>
      </w:r>
    </w:p>
    <w:p w:rsidRPr="007E354F" w:rsidR="00240457" w:rsidP="00240457" w:rsidRDefault="00240457" w14:paraId="29054E42" w14:textId="77777777">
      <w:pPr>
        <w:spacing w:line="276" w:lineRule="auto"/>
        <w:ind w:firstLine="708"/>
        <w:jc w:val="both"/>
        <w:rPr>
          <w:rFonts w:ascii="Arial" w:hAnsi="Arial" w:cs="Arial"/>
          <w:sz w:val="22"/>
        </w:rPr>
      </w:pPr>
      <w:r w:rsidRPr="007E354F">
        <w:rPr>
          <w:rFonts w:ascii="Arial" w:hAnsi="Arial" w:eastAsia="Calibri" w:cs="Arial"/>
          <w:sz w:val="22"/>
        </w:rPr>
        <w:t xml:space="preserve">Para la Corte Constitucional, el principio de publicidad es la garantía que tienen las personas de conocer las actuaciones judiciales y administrativas y con base en ese </w:t>
      </w:r>
      <w:r w:rsidRPr="007E354F">
        <w:rPr>
          <w:rFonts w:ascii="Arial" w:hAnsi="Arial" w:cs="Arial"/>
          <w:sz w:val="22"/>
        </w:rPr>
        <w:t xml:space="preserve">conocimiento tener la posibilidad de exigir que se surtan conforme a la ley: </w:t>
      </w:r>
    </w:p>
    <w:p w:rsidRPr="007E354F" w:rsidR="00240457" w:rsidP="00240457" w:rsidRDefault="00240457" w14:paraId="4B97F937" w14:textId="77777777">
      <w:pPr>
        <w:ind w:firstLine="708"/>
        <w:jc w:val="both"/>
        <w:rPr>
          <w:rFonts w:ascii="Arial" w:hAnsi="Arial" w:cs="Arial"/>
          <w:sz w:val="22"/>
        </w:rPr>
      </w:pPr>
    </w:p>
    <w:p w:rsidRPr="007E354F" w:rsidR="00240457" w:rsidP="00240457" w:rsidRDefault="00240457" w14:paraId="20409883" w14:textId="77777777">
      <w:pPr>
        <w:ind w:left="708"/>
        <w:jc w:val="both"/>
        <w:rPr>
          <w:rFonts w:ascii="Arial" w:hAnsi="Arial" w:cs="Arial"/>
          <w:sz w:val="21"/>
          <w:szCs w:val="21"/>
        </w:rPr>
      </w:pPr>
      <w:r w:rsidRPr="007E354F">
        <w:rPr>
          <w:rFonts w:ascii="Arial" w:hAnsi="Arial" w:cs="Arial"/>
          <w:sz w:val="21"/>
          <w:szCs w:val="21"/>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rsidRPr="007E354F" w:rsidR="00CB3127" w:rsidP="00240457" w:rsidRDefault="00CB3127" w14:paraId="73B73F07" w14:textId="77777777">
      <w:pPr>
        <w:ind w:left="708"/>
        <w:jc w:val="both"/>
        <w:rPr>
          <w:rFonts w:ascii="Arial" w:hAnsi="Arial" w:cs="Arial"/>
          <w:sz w:val="21"/>
          <w:szCs w:val="21"/>
        </w:rPr>
      </w:pPr>
    </w:p>
    <w:p w:rsidRPr="007E354F" w:rsidR="00240457" w:rsidP="00240457" w:rsidRDefault="00240457" w14:paraId="692791C9" w14:textId="77777777">
      <w:pPr>
        <w:ind w:left="708"/>
        <w:jc w:val="both"/>
        <w:rPr>
          <w:rFonts w:ascii="Arial" w:hAnsi="Arial" w:cs="Arial"/>
          <w:sz w:val="21"/>
          <w:szCs w:val="21"/>
        </w:rPr>
      </w:pPr>
      <w:r w:rsidRPr="007E354F">
        <w:rPr>
          <w:rFonts w:ascii="Arial" w:hAnsi="Arial" w:cs="Arial"/>
          <w:sz w:val="21"/>
          <w:szCs w:val="21"/>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7E354F">
        <w:rPr>
          <w:rFonts w:ascii="Arial" w:hAnsi="Arial" w:cs="Arial"/>
          <w:sz w:val="21"/>
          <w:szCs w:val="21"/>
        </w:rPr>
        <w:t>autoridades públicas</w:t>
      </w:r>
      <w:proofErr w:type="gramEnd"/>
      <w:r w:rsidRPr="007E354F">
        <w:rPr>
          <w:rFonts w:ascii="Arial" w:hAnsi="Arial" w:cs="Arial"/>
          <w:sz w:val="21"/>
          <w:szCs w:val="21"/>
        </w:rPr>
        <w:t xml:space="preserve"> y, a través de ese conocimiento, a exigir que ellas se surtan conforme a la ley</w:t>
      </w:r>
      <w:r w:rsidRPr="007E354F">
        <w:rPr>
          <w:rStyle w:val="Refdenotaalpie"/>
          <w:rFonts w:ascii="Arial" w:hAnsi="Arial" w:cs="Arial"/>
          <w:sz w:val="21"/>
          <w:szCs w:val="21"/>
        </w:rPr>
        <w:footnoteReference w:id="2"/>
      </w:r>
      <w:r w:rsidRPr="007E354F">
        <w:rPr>
          <w:rFonts w:ascii="Arial" w:hAnsi="Arial" w:cs="Arial"/>
          <w:sz w:val="21"/>
          <w:szCs w:val="21"/>
        </w:rPr>
        <w:t>.</w:t>
      </w:r>
    </w:p>
    <w:p w:rsidRPr="007E354F" w:rsidR="00240457" w:rsidP="00240457" w:rsidRDefault="00240457" w14:paraId="2E10AEB4" w14:textId="77777777">
      <w:pPr>
        <w:ind w:firstLine="708"/>
        <w:jc w:val="both"/>
        <w:rPr>
          <w:rFonts w:ascii="Arial" w:hAnsi="Arial" w:cs="Arial"/>
          <w:sz w:val="21"/>
          <w:szCs w:val="21"/>
        </w:rPr>
      </w:pPr>
    </w:p>
    <w:p w:rsidRPr="007E354F" w:rsidR="00240457" w:rsidP="00240457" w:rsidRDefault="00240457" w14:paraId="510AEB55" w14:textId="77777777">
      <w:pPr>
        <w:spacing w:line="276" w:lineRule="auto"/>
        <w:ind w:firstLine="708"/>
        <w:jc w:val="both"/>
        <w:rPr>
          <w:rFonts w:ascii="Arial" w:hAnsi="Arial" w:eastAsia="Calibri" w:cs="Arial"/>
          <w:sz w:val="22"/>
        </w:rPr>
      </w:pPr>
      <w:r w:rsidRPr="007E354F">
        <w:rPr>
          <w:rFonts w:ascii="Arial" w:hAnsi="Arial" w:cs="Arial"/>
          <w:sz w:val="22"/>
        </w:rPr>
        <w:t>El principio de publicidad impone a las autoridades administrativas el deber de dar</w:t>
      </w:r>
      <w:r w:rsidRPr="007E354F">
        <w:rPr>
          <w:rFonts w:ascii="Arial" w:hAnsi="Arial" w:eastAsia="Calibri" w:cs="Arial"/>
          <w:sz w:val="22"/>
        </w:rPr>
        <w:t xml:space="preserve"> a conocer sus actos, contratos y decisiones, para que se divulguen y eventualmente se controlen las actuaciones. </w:t>
      </w:r>
    </w:p>
    <w:p w:rsidRPr="007E354F" w:rsidR="00240457" w:rsidP="00240457" w:rsidRDefault="00240457" w14:paraId="2AF301B5" w14:textId="77777777">
      <w:pPr>
        <w:spacing w:before="120" w:after="120" w:line="276" w:lineRule="auto"/>
        <w:ind w:firstLine="709"/>
        <w:jc w:val="both"/>
        <w:rPr>
          <w:rFonts w:ascii="Arial" w:hAnsi="Arial" w:eastAsia="Calibri" w:cs="Arial"/>
          <w:sz w:val="22"/>
        </w:rPr>
      </w:pPr>
      <w:r w:rsidRPr="007E354F">
        <w:rPr>
          <w:rFonts w:ascii="Arial" w:hAnsi="Arial" w:eastAsia="Calibri" w:cs="Arial"/>
          <w:sz w:val="22"/>
        </w:rPr>
        <w:t xml:space="preserve">El literal c) del artículo 3 de la Ley 1150 de 2007 establece que el Sistema Electrónico para la Contratación Pública «contará con la información oficial de </w:t>
      </w:r>
      <w:proofErr w:type="gramStart"/>
      <w:r w:rsidRPr="007E354F">
        <w:rPr>
          <w:rFonts w:ascii="Arial" w:hAnsi="Arial" w:eastAsia="Calibri" w:cs="Arial"/>
          <w:sz w:val="22"/>
        </w:rPr>
        <w:t>la  contratación</w:t>
      </w:r>
      <w:proofErr w:type="gramEnd"/>
      <w:r w:rsidRPr="007E354F">
        <w:rPr>
          <w:rFonts w:ascii="Arial" w:hAnsi="Arial" w:eastAsia="Calibri" w:cs="Arial"/>
          <w:sz w:val="22"/>
        </w:rPr>
        <w:t xml:space="preserve"> realizada con dineros públicos, para lo cual establecerá los patrones a que haya lugar y se encargará de su difusión a través de canales electrónicos»</w:t>
      </w:r>
      <w:r w:rsidRPr="007E354F">
        <w:rPr>
          <w:rFonts w:ascii="Arial" w:hAnsi="Arial" w:eastAsia="Calibri" w:cs="Arial"/>
          <w:sz w:val="22"/>
          <w:vertAlign w:val="superscript"/>
        </w:rPr>
        <w:footnoteReference w:id="3"/>
      </w:r>
      <w:r w:rsidRPr="007E354F">
        <w:rPr>
          <w:rFonts w:ascii="Arial" w:hAnsi="Arial" w:eastAsia="Calibri" w:cs="Arial"/>
          <w:sz w:val="22"/>
        </w:rPr>
        <w:t xml:space="preserve">. </w:t>
      </w:r>
    </w:p>
    <w:p w:rsidRPr="007E354F" w:rsidR="00240457" w:rsidP="00240457" w:rsidRDefault="00240457" w14:paraId="479550D3" w14:textId="77777777">
      <w:pPr>
        <w:spacing w:before="120" w:after="120" w:line="276" w:lineRule="auto"/>
        <w:ind w:firstLine="709"/>
        <w:jc w:val="both"/>
        <w:rPr>
          <w:rFonts w:ascii="Arial" w:hAnsi="Arial" w:eastAsia="Calibri" w:cs="Arial"/>
          <w:sz w:val="22"/>
        </w:rPr>
      </w:pPr>
      <w:r w:rsidRPr="007E354F">
        <w:rPr>
          <w:rFonts w:ascii="Arial" w:hAnsi="Arial" w:cs="Arial"/>
          <w:sz w:val="22"/>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7E354F">
        <w:rPr>
          <w:rFonts w:ascii="Arial" w:hAnsi="Arial" w:cs="Arial"/>
          <w:sz w:val="22"/>
          <w:vertAlign w:val="superscript"/>
        </w:rPr>
        <w:footnoteReference w:id="4"/>
      </w:r>
      <w:r w:rsidRPr="007E354F">
        <w:rPr>
          <w:rFonts w:ascii="Arial" w:hAnsi="Arial" w:cs="Arial"/>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rsidRPr="007E354F" w:rsidR="00240457" w:rsidP="00240457" w:rsidRDefault="00240457" w14:paraId="464A80D9" w14:textId="77777777">
      <w:pPr>
        <w:spacing w:before="120" w:after="120" w:line="276" w:lineRule="auto"/>
        <w:ind w:firstLine="709"/>
        <w:jc w:val="both"/>
        <w:rPr>
          <w:rFonts w:ascii="Arial" w:hAnsi="Arial" w:cs="Arial"/>
          <w:sz w:val="22"/>
        </w:rPr>
      </w:pPr>
      <w:r w:rsidRPr="007E354F">
        <w:rPr>
          <w:rFonts w:ascii="Arial" w:hAnsi="Arial" w:cs="Arial"/>
          <w:sz w:val="22"/>
        </w:rPr>
        <w:t>La ley citada establece, en el literal e) del artículo 9, que los sujetos obligados, que son todas las entidades públicas</w:t>
      </w:r>
      <w:r w:rsidRPr="007E354F">
        <w:rPr>
          <w:rFonts w:ascii="Arial" w:hAnsi="Arial" w:cs="Arial"/>
          <w:sz w:val="22"/>
          <w:vertAlign w:val="superscript"/>
        </w:rPr>
        <w:footnoteReference w:id="5"/>
      </w:r>
      <w:r w:rsidRPr="007E354F">
        <w:rPr>
          <w:rFonts w:ascii="Arial" w:hAnsi="Arial" w:cs="Arial"/>
          <w:sz w:val="22"/>
        </w:rPr>
        <w:t xml:space="preserve">, deben publicar la información relativa a su contratación. </w:t>
      </w:r>
      <w:r w:rsidRPr="007E354F">
        <w:rPr>
          <w:rFonts w:ascii="Arial" w:hAnsi="Arial" w:cs="Arial"/>
          <w:sz w:val="22"/>
        </w:rPr>
        <w:lastRenderedPageBreak/>
        <w:t>Esta obligación fue desarrollada por el Decreto Único Reglamentario 1081 de 2015</w:t>
      </w:r>
      <w:r w:rsidRPr="007E354F">
        <w:rPr>
          <w:rFonts w:ascii="Arial" w:hAnsi="Arial" w:cs="Arial"/>
          <w:sz w:val="22"/>
          <w:vertAlign w:val="superscript"/>
        </w:rPr>
        <w:footnoteReference w:id="6"/>
      </w:r>
      <w:r w:rsidRPr="007E354F">
        <w:rPr>
          <w:rFonts w:ascii="Arial" w:hAnsi="Arial" w:cs="Arial"/>
          <w:sz w:val="22"/>
        </w:rPr>
        <w:t>, el cual dispuso que la publicación de la información contractual de los sujetos obligados, que contratan con cargo a recursos públicos, debe hacerse en el Sistema Electrónico de Contratación Pública ─ SECOP.</w:t>
      </w:r>
    </w:p>
    <w:p w:rsidRPr="007E354F" w:rsidR="00240457" w:rsidP="00240457" w:rsidRDefault="00240457" w14:paraId="333DE8A3" w14:textId="77777777">
      <w:pPr>
        <w:spacing w:before="120" w:after="120" w:line="276" w:lineRule="auto"/>
        <w:ind w:firstLine="709"/>
        <w:jc w:val="both"/>
        <w:rPr>
          <w:rFonts w:ascii="Arial" w:hAnsi="Arial" w:cs="Arial"/>
          <w:sz w:val="22"/>
          <w:lang w:val="es-ES"/>
        </w:rPr>
      </w:pPr>
      <w:r w:rsidRPr="007E354F">
        <w:rPr>
          <w:rFonts w:ascii="Arial" w:hAnsi="Arial" w:cs="Arial"/>
          <w:sz w:val="22"/>
        </w:rPr>
        <w:t xml:space="preserve">Asimismo, de </w:t>
      </w:r>
      <w:r w:rsidRPr="007E354F">
        <w:rPr>
          <w:rFonts w:ascii="Arial" w:hAnsi="Arial" w:cs="Arial"/>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rsidRPr="007E354F" w:rsidR="00240457" w:rsidP="00240457" w:rsidRDefault="00240457" w14:paraId="69128CF4" w14:textId="77777777">
      <w:pPr>
        <w:spacing w:before="120" w:after="120" w:line="276" w:lineRule="auto"/>
        <w:ind w:firstLine="709"/>
        <w:jc w:val="both"/>
        <w:rPr>
          <w:rFonts w:ascii="Arial" w:hAnsi="Arial" w:eastAsia="Calibri" w:cs="Arial"/>
          <w:sz w:val="22"/>
        </w:rPr>
      </w:pPr>
      <w:r w:rsidRPr="007E354F">
        <w:rPr>
          <w:rFonts w:ascii="Arial" w:hAnsi="Arial" w:eastAsia="Calibri" w:cs="Arial"/>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7E354F">
        <w:rPr>
          <w:rFonts w:ascii="Arial" w:hAnsi="Arial" w:eastAsia="Calibri" w:cs="Arial"/>
          <w:sz w:val="22"/>
          <w:vertAlign w:val="superscript"/>
        </w:rPr>
        <w:footnoteReference w:id="7"/>
      </w:r>
      <w:r w:rsidRPr="007E354F">
        <w:rPr>
          <w:rFonts w:ascii="Arial" w:hAnsi="Arial" w:eastAsia="Calibri" w:cs="Arial"/>
          <w:sz w:val="22"/>
        </w:rPr>
        <w:t>.</w:t>
      </w:r>
    </w:p>
    <w:p w:rsidRPr="007E354F" w:rsidR="00240457" w:rsidP="00240457" w:rsidRDefault="00240457" w14:paraId="07B66162" w14:textId="0EDFF665">
      <w:pPr>
        <w:spacing w:before="120" w:after="120" w:line="276" w:lineRule="auto"/>
        <w:ind w:firstLine="709"/>
        <w:jc w:val="both"/>
        <w:rPr>
          <w:rFonts w:ascii="Arial" w:hAnsi="Arial" w:cs="Arial"/>
          <w:sz w:val="22"/>
          <w:lang w:val="es-ES"/>
        </w:rPr>
      </w:pPr>
      <w:r w:rsidRPr="007E354F">
        <w:rPr>
          <w:rFonts w:ascii="Arial" w:hAnsi="Arial" w:cs="Arial"/>
          <w:sz w:val="22"/>
          <w:lang w:val="es-ES"/>
        </w:rPr>
        <w:t>Para el año 2013, la Agencia Nacional de Contratación Pública ─ Colombia Compra Eficiente, mediante la Circular Externa No 1 del</w:t>
      </w:r>
      <w:r w:rsidRPr="007E354F">
        <w:rPr>
          <w:rFonts w:ascii="Arial" w:hAnsi="Arial" w:cs="Arial"/>
          <w:sz w:val="22"/>
        </w:rPr>
        <w:t xml:space="preserve"> </w:t>
      </w:r>
      <w:r w:rsidRPr="007E354F">
        <w:rPr>
          <w:rFonts w:ascii="Arial" w:hAnsi="Arial" w:cs="Arial"/>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7E354F">
        <w:rPr>
          <w:rFonts w:ascii="Arial" w:hAnsi="Arial" w:cs="Arial"/>
          <w:sz w:val="22"/>
          <w:vertAlign w:val="superscript"/>
          <w:lang w:val="es-ES"/>
        </w:rPr>
        <w:footnoteReference w:id="8"/>
      </w:r>
      <w:r w:rsidRPr="007E354F">
        <w:rPr>
          <w:rFonts w:ascii="Arial" w:hAnsi="Arial" w:cs="Arial"/>
          <w:sz w:val="22"/>
          <w:lang w:val="es-ES"/>
        </w:rPr>
        <w:t xml:space="preserve">. Además, la Circular Externa Única, en el numeral 1.1., establece, de manera enunciativa, que deben publicar en el SECOP: «2. Las entidades del Estado que tienen un régimen especial de contratación, siempre y cuando el contrato ejecute o tenga como fuente de financiación </w:t>
      </w:r>
      <w:r w:rsidRPr="007E354F">
        <w:rPr>
          <w:rFonts w:ascii="Arial" w:hAnsi="Arial" w:cs="Arial"/>
          <w:sz w:val="22"/>
          <w:lang w:val="es-ES"/>
        </w:rPr>
        <w:lastRenderedPageBreak/>
        <w:t>dineros públicos, sin importar su proporción, a través del módulo [Régimen Especial], de acuerdo con lo establecido en su propio manual de contratación».</w:t>
      </w:r>
    </w:p>
    <w:p w:rsidRPr="007E354F" w:rsidR="00240457" w:rsidP="00240457" w:rsidRDefault="00240457" w14:paraId="7AC29FED" w14:textId="77777777">
      <w:pPr>
        <w:spacing w:line="276" w:lineRule="auto"/>
        <w:ind w:firstLine="709"/>
        <w:jc w:val="both"/>
        <w:rPr>
          <w:rFonts w:ascii="Arial" w:hAnsi="Arial" w:cs="Arial"/>
          <w:sz w:val="22"/>
          <w:lang w:val="es-ES"/>
        </w:rPr>
      </w:pPr>
      <w:r w:rsidRPr="007E354F">
        <w:rPr>
          <w:rFonts w:ascii="Arial" w:hAnsi="Arial" w:cs="Arial"/>
          <w:sz w:val="22"/>
          <w:lang w:val="es-ES"/>
        </w:rPr>
        <w:t>El debate sobre la obligatoriedad o no de publicar en el SECOP, para las entidades con régimen especial de contratación, ya fue definido, al menos de manera preliminar, por el Consejo de Estado, que expresó que la obligación prevista en la Circular Externa No. 1 se ajusta a la normativa superior:</w:t>
      </w:r>
    </w:p>
    <w:p w:rsidRPr="007E354F" w:rsidR="00240457" w:rsidP="00240457" w:rsidRDefault="00240457" w14:paraId="177E3133" w14:textId="77777777">
      <w:pPr>
        <w:ind w:firstLine="709"/>
        <w:jc w:val="both"/>
        <w:rPr>
          <w:rFonts w:ascii="Arial" w:hAnsi="Arial" w:cs="Arial"/>
          <w:sz w:val="22"/>
          <w:lang w:val="es-ES"/>
        </w:rPr>
      </w:pPr>
    </w:p>
    <w:p w:rsidRPr="007E354F" w:rsidR="00240457" w:rsidP="00240457" w:rsidRDefault="00240457" w14:paraId="5F322CCB" w14:textId="77777777">
      <w:pPr>
        <w:tabs>
          <w:tab w:val="left" w:pos="3885"/>
        </w:tabs>
        <w:ind w:left="709" w:right="709"/>
        <w:jc w:val="both"/>
        <w:rPr>
          <w:rFonts w:ascii="Arial" w:hAnsi="Arial" w:cs="Arial"/>
          <w:sz w:val="21"/>
          <w:szCs w:val="21"/>
          <w:lang w:val="es-ES"/>
        </w:rPr>
      </w:pPr>
      <w:r w:rsidRPr="007E354F">
        <w:rPr>
          <w:rFonts w:ascii="Arial" w:hAnsi="Arial" w:cs="Arial"/>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rsidRPr="007E354F" w:rsidR="00240457" w:rsidP="00240457" w:rsidRDefault="00240457" w14:paraId="22ED5B96" w14:textId="77777777">
      <w:pPr>
        <w:tabs>
          <w:tab w:val="left" w:pos="3885"/>
        </w:tabs>
        <w:ind w:left="709" w:right="709"/>
        <w:jc w:val="both"/>
        <w:rPr>
          <w:rFonts w:ascii="Arial" w:hAnsi="Arial" w:cs="Arial"/>
          <w:sz w:val="21"/>
          <w:szCs w:val="21"/>
          <w:lang w:val="es-ES"/>
        </w:rPr>
      </w:pPr>
    </w:p>
    <w:p w:rsidRPr="007E354F" w:rsidR="00240457" w:rsidP="00240457" w:rsidRDefault="00240457" w14:paraId="06DF5C4B" w14:textId="77777777">
      <w:pPr>
        <w:tabs>
          <w:tab w:val="left" w:pos="3885"/>
        </w:tabs>
        <w:ind w:left="709" w:right="709"/>
        <w:jc w:val="both"/>
        <w:rPr>
          <w:rFonts w:ascii="Arial" w:hAnsi="Arial" w:cs="Arial"/>
          <w:sz w:val="21"/>
          <w:szCs w:val="21"/>
          <w:lang w:val="es-ES"/>
        </w:rPr>
      </w:pPr>
      <w:r w:rsidRPr="007E354F">
        <w:rPr>
          <w:rFonts w:ascii="Arial" w:hAnsi="Arial" w:cs="Arial"/>
          <w:sz w:val="21"/>
          <w:szCs w:val="21"/>
          <w:lang w:val="es-ES"/>
        </w:rPr>
        <w:t>11.5. ─Y es que, si se quiere en términos más detallados el literal c) del artículo 3o de la Ley en comento responde claramente las siguientes inquietudes: ¿Quiénes están obligados? los que realizan contratación con dineros públicos; ¿</w:t>
      </w:r>
      <w:proofErr w:type="gramStart"/>
      <w:r w:rsidRPr="007E354F">
        <w:rPr>
          <w:rFonts w:ascii="Arial" w:hAnsi="Arial" w:cs="Arial"/>
          <w:sz w:val="21"/>
          <w:szCs w:val="21"/>
          <w:lang w:val="es-ES"/>
        </w:rPr>
        <w:t>en razón de</w:t>
      </w:r>
      <w:proofErr w:type="gramEnd"/>
      <w:r w:rsidRPr="007E354F">
        <w:rPr>
          <w:rFonts w:ascii="Arial" w:hAnsi="Arial" w:cs="Arial"/>
          <w:sz w:val="21"/>
          <w:szCs w:val="21"/>
          <w:lang w:val="es-ES"/>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rsidRPr="007E354F" w:rsidR="00240457" w:rsidP="00240457" w:rsidRDefault="00240457" w14:paraId="41E451B5" w14:textId="77777777">
      <w:pPr>
        <w:tabs>
          <w:tab w:val="left" w:pos="3885"/>
        </w:tabs>
        <w:ind w:left="709" w:right="709"/>
        <w:jc w:val="both"/>
        <w:rPr>
          <w:rFonts w:ascii="Arial" w:hAnsi="Arial" w:cs="Arial"/>
          <w:sz w:val="21"/>
          <w:szCs w:val="21"/>
          <w:lang w:val="es-ES"/>
        </w:rPr>
      </w:pPr>
      <w:r w:rsidRPr="007E354F">
        <w:rPr>
          <w:rFonts w:ascii="Arial" w:hAnsi="Arial" w:cs="Arial"/>
          <w:sz w:val="21"/>
          <w:szCs w:val="21"/>
          <w:lang w:val="es-ES"/>
        </w:rPr>
        <w:t>[…]</w:t>
      </w:r>
    </w:p>
    <w:p w:rsidRPr="007E354F" w:rsidR="00240457" w:rsidP="00240457" w:rsidRDefault="00240457" w14:paraId="6F1F69E3" w14:textId="77777777">
      <w:pPr>
        <w:tabs>
          <w:tab w:val="left" w:pos="3885"/>
        </w:tabs>
        <w:ind w:left="709" w:right="709"/>
        <w:jc w:val="both"/>
        <w:rPr>
          <w:rFonts w:ascii="Arial" w:hAnsi="Arial" w:cs="Arial"/>
          <w:sz w:val="21"/>
          <w:szCs w:val="21"/>
          <w:lang w:val="es-ES"/>
        </w:rPr>
      </w:pPr>
    </w:p>
    <w:p w:rsidRPr="007E354F" w:rsidR="00240457" w:rsidP="00240457" w:rsidRDefault="00240457" w14:paraId="232E2134" w14:textId="77777777">
      <w:pPr>
        <w:tabs>
          <w:tab w:val="left" w:pos="3885"/>
        </w:tabs>
        <w:ind w:left="709" w:right="709"/>
        <w:jc w:val="both"/>
        <w:rPr>
          <w:rFonts w:ascii="Arial" w:hAnsi="Arial" w:cs="Arial"/>
          <w:sz w:val="21"/>
          <w:szCs w:val="21"/>
          <w:lang w:val="es-ES"/>
        </w:rPr>
      </w:pPr>
      <w:r w:rsidRPr="007E354F">
        <w:rPr>
          <w:rFonts w:ascii="Arial" w:hAnsi="Arial" w:cs="Arial"/>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7E354F">
        <w:rPr>
          <w:rFonts w:ascii="Arial" w:hAnsi="Arial" w:cs="Arial"/>
          <w:sz w:val="21"/>
          <w:szCs w:val="21"/>
          <w:vertAlign w:val="superscript"/>
        </w:rPr>
        <w:footnoteReference w:id="9"/>
      </w:r>
      <w:r w:rsidRPr="007E354F">
        <w:rPr>
          <w:rFonts w:ascii="Arial" w:hAnsi="Arial" w:cs="Arial"/>
          <w:sz w:val="21"/>
          <w:szCs w:val="21"/>
          <w:lang w:val="es-ES"/>
        </w:rPr>
        <w:t>.</w:t>
      </w:r>
    </w:p>
    <w:p w:rsidRPr="007E354F" w:rsidR="00240457" w:rsidP="00240457" w:rsidRDefault="00240457" w14:paraId="3BBC858F" w14:textId="77777777">
      <w:pPr>
        <w:tabs>
          <w:tab w:val="left" w:pos="3885"/>
        </w:tabs>
        <w:spacing w:line="276" w:lineRule="auto"/>
        <w:ind w:left="709" w:right="709"/>
        <w:jc w:val="both"/>
        <w:rPr>
          <w:rFonts w:ascii="Arial" w:hAnsi="Arial" w:cs="Arial"/>
          <w:sz w:val="21"/>
          <w:szCs w:val="21"/>
          <w:lang w:val="es-ES"/>
        </w:rPr>
      </w:pPr>
    </w:p>
    <w:p w:rsidRPr="007E354F" w:rsidR="00240457" w:rsidP="00240457" w:rsidRDefault="00240457" w14:paraId="4A5C853B" w14:textId="77777777">
      <w:pPr>
        <w:spacing w:line="276" w:lineRule="auto"/>
        <w:ind w:firstLine="708"/>
        <w:jc w:val="both"/>
        <w:rPr>
          <w:rFonts w:ascii="Arial" w:hAnsi="Arial" w:cs="Arial"/>
          <w:sz w:val="22"/>
          <w:lang w:val="es-ES"/>
        </w:rPr>
      </w:pPr>
      <w:r w:rsidRPr="007E354F">
        <w:rPr>
          <w:rFonts w:ascii="Arial" w:hAnsi="Arial" w:cs="Arial"/>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rsidRPr="007E354F" w:rsidR="00240457" w:rsidP="00240457" w:rsidRDefault="00240457" w14:paraId="5A7010CF" w14:textId="77777777">
      <w:pPr>
        <w:ind w:firstLine="708"/>
        <w:jc w:val="both"/>
        <w:rPr>
          <w:rFonts w:ascii="Arial" w:hAnsi="Arial" w:cs="Arial"/>
          <w:sz w:val="21"/>
          <w:szCs w:val="21"/>
          <w:lang w:val="es-ES"/>
        </w:rPr>
      </w:pPr>
    </w:p>
    <w:p w:rsidRPr="007E354F" w:rsidR="00240457" w:rsidP="00240457" w:rsidRDefault="00240457" w14:paraId="1841B004" w14:textId="77777777">
      <w:pPr>
        <w:ind w:left="708" w:leftChars="295" w:right="709"/>
        <w:jc w:val="both"/>
        <w:rPr>
          <w:rFonts w:ascii="Arial" w:hAnsi="Arial" w:cs="Arial"/>
          <w:sz w:val="21"/>
          <w:szCs w:val="21"/>
          <w:lang w:val="es-ES"/>
        </w:rPr>
      </w:pPr>
      <w:r w:rsidRPr="007E354F">
        <w:rPr>
          <w:rFonts w:ascii="Arial" w:hAnsi="Arial" w:cs="Arial"/>
          <w:sz w:val="21"/>
          <w:szCs w:val="21"/>
          <w:lang w:val="es-ES"/>
        </w:rPr>
        <w:lastRenderedPageBreak/>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rsidRPr="007E354F" w:rsidR="00240457" w:rsidP="00240457" w:rsidRDefault="00240457" w14:paraId="2B0A42A0" w14:textId="77777777">
      <w:pPr>
        <w:ind w:left="708" w:leftChars="295" w:right="709"/>
        <w:jc w:val="both"/>
        <w:rPr>
          <w:rFonts w:ascii="Arial" w:hAnsi="Arial" w:cs="Arial"/>
          <w:sz w:val="21"/>
          <w:szCs w:val="21"/>
          <w:lang w:val="es-ES"/>
        </w:rPr>
      </w:pPr>
    </w:p>
    <w:p w:rsidRPr="007E354F" w:rsidR="00240457" w:rsidP="00240457" w:rsidRDefault="00240457" w14:paraId="43AABE4E" w14:textId="77777777">
      <w:pPr>
        <w:spacing w:before="120" w:after="120" w:line="276" w:lineRule="auto"/>
        <w:ind w:firstLine="709"/>
        <w:jc w:val="both"/>
        <w:rPr>
          <w:rFonts w:ascii="Arial" w:hAnsi="Arial" w:cs="Arial"/>
          <w:sz w:val="22"/>
          <w:lang w:val="es-ES"/>
        </w:rPr>
      </w:pPr>
      <w:r w:rsidRPr="007E354F">
        <w:rPr>
          <w:rFonts w:ascii="Arial" w:hAnsi="Arial" w:cs="Arial"/>
          <w:sz w:val="22"/>
          <w:lang w:val="es-ES"/>
        </w:rPr>
        <w:t xml:space="preserve">Nótese, entonces, que el Consejo de Estado asumió como criterio para determinar la obligatoriedad de publicar en el SECOP que la contratación se haga con recursos públicos, conclusión que extrajo del literal c) del artículo 3 de la Ley 1150 de 2007. Así </w:t>
      </w:r>
      <w:proofErr w:type="gramStart"/>
      <w:r w:rsidRPr="007E354F">
        <w:rPr>
          <w:rFonts w:ascii="Arial" w:hAnsi="Arial" w:cs="Arial"/>
          <w:sz w:val="22"/>
          <w:lang w:val="es-ES"/>
        </w:rPr>
        <w:t>pues,  a</w:t>
      </w:r>
      <w:proofErr w:type="gramEnd"/>
      <w:r w:rsidRPr="007E354F">
        <w:rPr>
          <w:rFonts w:ascii="Arial" w:hAnsi="Arial" w:cs="Arial"/>
          <w:sz w:val="22"/>
          <w:lang w:val="es-ES"/>
        </w:rPr>
        <w:t xml:space="preserve"> partir de la anterior decisión, la obligación de publicar en el SECOP, por parte de las entidades con régimen especial, adquirió un elemento normativo adicional a las Leyes 1150 de 2007, 1712 de 2014 y la Circular Externa Única de Colombia Compra Eficiente, un pronunciamiento del Consejo de Estado. </w:t>
      </w:r>
    </w:p>
    <w:p w:rsidRPr="007E354F" w:rsidR="00240457" w:rsidP="00240457" w:rsidRDefault="00240457" w14:paraId="0853896F" w14:textId="77777777">
      <w:pPr>
        <w:spacing w:line="276" w:lineRule="auto"/>
        <w:ind w:firstLine="709"/>
        <w:jc w:val="both"/>
        <w:rPr>
          <w:rFonts w:ascii="Arial" w:hAnsi="Arial" w:cs="Arial"/>
          <w:sz w:val="22"/>
          <w:lang w:val="es-ES"/>
        </w:rPr>
      </w:pPr>
      <w:r w:rsidRPr="007E354F">
        <w:rPr>
          <w:rFonts w:ascii="Arial" w:hAnsi="Arial" w:cs="Arial"/>
          <w:sz w:val="22"/>
          <w:lang w:val="es-ES"/>
        </w:rPr>
        <w:t xml:space="preserve">Dentro de los fundamentos que consideró el máximo tribunal de lo contencioso administrativo, no tuvo en cuenta razones de orden fáctico, relativas a las responsabilidades de las entidades o su posible afectación en la competitividad para aquellas que operan en diferentes mercados. La razón relevante es que si la entidad contrata con dineros públicos debe publicar su proceso de contratación en el SECOP. </w:t>
      </w:r>
    </w:p>
    <w:p w:rsidRPr="007E354F" w:rsidR="00240457" w:rsidP="006A6BEB" w:rsidRDefault="00240457" w14:paraId="07CC2BAA" w14:textId="77777777">
      <w:pPr>
        <w:ind w:firstLine="709"/>
        <w:jc w:val="both"/>
        <w:rPr>
          <w:rFonts w:ascii="Arial" w:hAnsi="Arial" w:eastAsia="Calibri" w:cs="Arial"/>
          <w:sz w:val="22"/>
          <w:lang w:val="es-ES"/>
        </w:rPr>
      </w:pPr>
    </w:p>
    <w:p w:rsidRPr="007E354F" w:rsidR="00240457" w:rsidP="00240457" w:rsidRDefault="00240457" w14:paraId="3EB3BF0C" w14:textId="77777777">
      <w:pPr>
        <w:tabs>
          <w:tab w:val="left" w:pos="284"/>
          <w:tab w:val="left" w:pos="426"/>
        </w:tabs>
        <w:spacing w:line="276" w:lineRule="auto"/>
        <w:jc w:val="both"/>
        <w:rPr>
          <w:rFonts w:ascii="Arial" w:hAnsi="Arial" w:cs="Arial"/>
          <w:b/>
          <w:sz w:val="22"/>
          <w:lang w:val="es-ES"/>
        </w:rPr>
      </w:pPr>
      <w:r w:rsidRPr="007E354F">
        <w:rPr>
          <w:rFonts w:ascii="Arial" w:hAnsi="Arial" w:cs="Arial"/>
          <w:b/>
          <w:sz w:val="22"/>
          <w:lang w:val="es-ES"/>
        </w:rPr>
        <w:t>2.2. Documentos que publican las entidades de régimen especial en el SECOP y término para hacerlo</w:t>
      </w:r>
    </w:p>
    <w:p w:rsidRPr="007E354F" w:rsidR="00240457" w:rsidP="006A6BEB" w:rsidRDefault="00240457" w14:paraId="10B5023C" w14:textId="77777777">
      <w:pPr>
        <w:tabs>
          <w:tab w:val="left" w:pos="284"/>
          <w:tab w:val="left" w:pos="426"/>
        </w:tabs>
        <w:ind w:left="142"/>
        <w:jc w:val="both"/>
        <w:rPr>
          <w:rFonts w:ascii="Arial" w:hAnsi="Arial" w:cs="Arial"/>
          <w:b/>
          <w:sz w:val="22"/>
          <w:lang w:val="es-ES"/>
        </w:rPr>
      </w:pPr>
    </w:p>
    <w:p w:rsidRPr="007E354F" w:rsidR="00240457" w:rsidP="00240457" w:rsidRDefault="00240457" w14:paraId="0B23673B" w14:textId="77777777">
      <w:pPr>
        <w:spacing w:line="276" w:lineRule="auto"/>
        <w:jc w:val="both"/>
        <w:rPr>
          <w:rFonts w:ascii="Arial" w:hAnsi="Arial" w:eastAsia="Calibri" w:cs="Arial"/>
          <w:sz w:val="22"/>
          <w:lang w:val="es-ES"/>
        </w:rPr>
      </w:pPr>
      <w:r w:rsidRPr="007E354F">
        <w:rPr>
          <w:rFonts w:ascii="Arial" w:hAnsi="Arial" w:eastAsia="Calibri" w:cs="Arial"/>
          <w:sz w:val="22"/>
          <w:lang w:val="es-ES"/>
        </w:rPr>
        <w:t xml:space="preserve">Determinada la obligación que tienen las entidades sujetas a un régimen especial de publicar su actividad contractual en el SECOP, a </w:t>
      </w:r>
      <w:proofErr w:type="gramStart"/>
      <w:r w:rsidRPr="007E354F">
        <w:rPr>
          <w:rFonts w:ascii="Arial" w:hAnsi="Arial" w:eastAsia="Calibri" w:cs="Arial"/>
          <w:sz w:val="22"/>
          <w:lang w:val="es-ES"/>
        </w:rPr>
        <w:t>continuación</w:t>
      </w:r>
      <w:proofErr w:type="gramEnd"/>
      <w:r w:rsidRPr="007E354F">
        <w:rPr>
          <w:rFonts w:ascii="Arial" w:hAnsi="Arial" w:eastAsia="Calibri" w:cs="Arial"/>
          <w:sz w:val="22"/>
          <w:lang w:val="es-ES"/>
        </w:rPr>
        <w:t xml:space="preserve"> se identificarán los documentos que deben publicar, n</w:t>
      </w:r>
      <w:r w:rsidRPr="007E354F">
        <w:rPr>
          <w:rFonts w:ascii="Arial" w:hAnsi="Arial" w:cs="Arial"/>
          <w:bCs/>
          <w:sz w:val="22"/>
          <w:lang w:val="es-ES"/>
        </w:rPr>
        <w:t>o sin antes explicar la posición que la Agencia Nacional de Contratación Pública ─ Colombia Compra Eficiente ha adoptado desde el 2016 hasta el 2019.</w:t>
      </w:r>
    </w:p>
    <w:p w:rsidRPr="007E354F" w:rsidR="00240457" w:rsidP="00240457" w:rsidRDefault="00240457" w14:paraId="683BF515" w14:textId="77777777">
      <w:pPr>
        <w:spacing w:line="276" w:lineRule="auto"/>
        <w:ind w:firstLine="708"/>
        <w:jc w:val="both"/>
        <w:rPr>
          <w:rFonts w:ascii="Arial" w:hAnsi="Arial" w:eastAsia="Calibri" w:cs="Arial"/>
          <w:sz w:val="22"/>
          <w:lang w:val="es-ES"/>
        </w:rPr>
      </w:pPr>
      <w:r w:rsidRPr="007E354F">
        <w:rPr>
          <w:rFonts w:ascii="Arial" w:hAnsi="Arial" w:cs="Arial"/>
          <w:bCs/>
          <w:sz w:val="22"/>
          <w:lang w:val="es-ES"/>
        </w:rPr>
        <w:t>En la consulta identificada con el Radicado No. 41612000877 del 15 de febrero de 2016, señaló que las empresas industriales y comerciales del Estado, las empresas de servicios públicos domiciliarios y las sociedades de economía mixta, todas sometidas a un régimen especial de contratación, debían publicar en el SECOP todos los documentos del proceso que define el Decreto 1082 de 2015, así como lo relativo a la ejecución del contrato. Lo anterior se fundamentó en el literal c) del artículo 3 de la Ley 1150 de 2007</w:t>
      </w:r>
      <w:r w:rsidRPr="007E354F">
        <w:rPr>
          <w:rFonts w:ascii="Arial" w:hAnsi="Arial" w:cs="Arial"/>
          <w:bCs/>
          <w:sz w:val="22"/>
          <w:vertAlign w:val="superscript"/>
          <w:lang w:val="es-ES"/>
        </w:rPr>
        <w:footnoteReference w:id="10"/>
      </w:r>
      <w:r w:rsidRPr="007E354F">
        <w:rPr>
          <w:rFonts w:ascii="Arial" w:hAnsi="Arial" w:cs="Arial"/>
          <w:bCs/>
          <w:sz w:val="22"/>
          <w:lang w:val="es-ES"/>
        </w:rPr>
        <w:t>.</w:t>
      </w:r>
    </w:p>
    <w:p w:rsidRPr="007E354F" w:rsidR="00240457" w:rsidP="00240457" w:rsidRDefault="00240457" w14:paraId="5F361EBD" w14:textId="77777777">
      <w:pPr>
        <w:spacing w:before="120" w:after="120" w:line="276" w:lineRule="auto"/>
        <w:ind w:firstLine="709"/>
        <w:jc w:val="both"/>
        <w:rPr>
          <w:rFonts w:ascii="Arial" w:hAnsi="Arial" w:eastAsia="Calibri" w:cs="Arial"/>
          <w:sz w:val="22"/>
          <w:lang w:val="es-ES"/>
        </w:rPr>
      </w:pPr>
      <w:r w:rsidRPr="007E354F">
        <w:rPr>
          <w:rFonts w:ascii="Arial" w:hAnsi="Arial" w:cs="Arial"/>
          <w:sz w:val="22"/>
          <w:lang w:val="es-ES"/>
        </w:rPr>
        <w:lastRenderedPageBreak/>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a las entidades que se rigen por la Ley 80 de 1993, se enunciaron los </w:t>
      </w:r>
      <w:r w:rsidRPr="007E354F">
        <w:rPr>
          <w:rFonts w:ascii="Arial" w:hAnsi="Arial" w:eastAsia="Calibri" w:cs="Arial"/>
          <w:sz w:val="22"/>
          <w:lang w:val="es-ES"/>
        </w:rPr>
        <w:t xml:space="preserve">documentos del proceso que se debían publicar. </w:t>
      </w:r>
    </w:p>
    <w:p w:rsidRPr="007E354F" w:rsidR="00240457" w:rsidP="00240457" w:rsidRDefault="00240457" w14:paraId="3A461905" w14:textId="77777777">
      <w:pPr>
        <w:spacing w:before="120" w:after="120" w:line="276" w:lineRule="auto"/>
        <w:ind w:firstLine="709"/>
        <w:jc w:val="both"/>
        <w:rPr>
          <w:rFonts w:ascii="Arial" w:hAnsi="Arial" w:eastAsia="Calibri" w:cs="Arial"/>
          <w:sz w:val="22"/>
          <w:lang w:val="es-ES"/>
        </w:rPr>
      </w:pPr>
      <w:r w:rsidRPr="007E354F">
        <w:rPr>
          <w:rFonts w:ascii="Arial" w:hAnsi="Arial" w:eastAsia="Calibri" w:cs="Arial"/>
          <w:sz w:val="22"/>
          <w:lang w:val="es-ES"/>
        </w:rPr>
        <w:t>Posteriormente, en el año 2018, cambió el fundamento normativo que define los documentos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 2015</w:t>
      </w:r>
      <w:r w:rsidRPr="007E354F">
        <w:rPr>
          <w:rFonts w:ascii="Arial" w:hAnsi="Arial" w:eastAsia="Calibri" w:cs="Arial"/>
          <w:sz w:val="22"/>
          <w:vertAlign w:val="superscript"/>
          <w:lang w:val="es-ES"/>
        </w:rPr>
        <w:footnoteReference w:id="11"/>
      </w:r>
      <w:r w:rsidRPr="007E354F">
        <w:rPr>
          <w:rFonts w:ascii="Arial" w:hAnsi="Arial" w:eastAsia="Calibri" w:cs="Arial"/>
          <w:sz w:val="22"/>
          <w:lang w:val="es-ES"/>
        </w:rPr>
        <w:t xml:space="preserve">. </w:t>
      </w:r>
    </w:p>
    <w:p w:rsidRPr="007E354F" w:rsidR="00240457" w:rsidP="00240457" w:rsidRDefault="00240457" w14:paraId="2E3A9EEC" w14:textId="77777777">
      <w:pPr>
        <w:spacing w:before="120" w:after="120" w:line="276" w:lineRule="auto"/>
        <w:ind w:firstLine="709"/>
        <w:jc w:val="both"/>
        <w:rPr>
          <w:rFonts w:ascii="Arial" w:hAnsi="Arial" w:eastAsia="Calibri" w:cs="Arial"/>
          <w:sz w:val="22"/>
          <w:lang w:val="es-ES"/>
        </w:rPr>
      </w:pPr>
      <w:r w:rsidRPr="007E354F">
        <w:rPr>
          <w:rFonts w:ascii="Arial" w:hAnsi="Arial" w:eastAsia="Calibri" w:cs="Arial"/>
          <w:sz w:val="22"/>
          <w:lang w:val="es-ES"/>
        </w:rPr>
        <w:t xml:space="preserve">Conforme a lo anterior, en un primer momento la Agencia Nacional de Contratación Pública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Esta posición es la que se acogerá y desarrollará en esta consulta. </w:t>
      </w:r>
    </w:p>
    <w:p w:rsidRPr="007E354F" w:rsidR="00240457" w:rsidP="00240457" w:rsidRDefault="00240457" w14:paraId="19EF8FDD" w14:textId="77777777">
      <w:pPr>
        <w:spacing w:before="120" w:after="120" w:line="276" w:lineRule="auto"/>
        <w:ind w:firstLine="709"/>
        <w:jc w:val="both"/>
        <w:rPr>
          <w:rFonts w:ascii="Arial" w:hAnsi="Arial" w:eastAsia="Calibri" w:cs="Arial"/>
          <w:sz w:val="22"/>
        </w:rPr>
      </w:pPr>
      <w:r w:rsidRPr="007E354F">
        <w:rPr>
          <w:rFonts w:ascii="Arial" w:hAnsi="Arial" w:eastAsia="Calibri" w:cs="Arial"/>
          <w:sz w:val="22"/>
        </w:rPr>
        <w:lastRenderedPageBreak/>
        <w:t xml:space="preserve">En efecto, la Ley 1712 de 2014 o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rsidRPr="007E354F" w:rsidR="00240457" w:rsidP="00240457" w:rsidRDefault="00240457" w14:paraId="166ED9BE" w14:textId="77777777">
      <w:pPr>
        <w:spacing w:before="120" w:after="120" w:line="276" w:lineRule="auto"/>
        <w:ind w:firstLine="709"/>
        <w:jc w:val="both"/>
        <w:rPr>
          <w:rFonts w:ascii="Arial" w:hAnsi="Arial" w:eastAsia="Calibri" w:cs="Arial"/>
          <w:sz w:val="22"/>
        </w:rPr>
      </w:pPr>
      <w:r w:rsidRPr="007E354F">
        <w:rPr>
          <w:rFonts w:ascii="Arial" w:hAnsi="Arial" w:eastAsia="Calibri" w:cs="Arial"/>
          <w:sz w:val="22"/>
        </w:rPr>
        <w:t>Luego, el Decreto reglamentario 103 de 2015, «Por el cual se reglamenta parcialmente la Ley 1712 de 2014 y se dictan otras disposiciones», en el artículo 8, señala, de forma enunciativa, que se debe publicar la información relativa a la ejecución del contrato, como las aprobaciones, autorizaciones, requerimientos o informes del supervisor o interventor, que aprueben la ejecución del contrato</w:t>
      </w:r>
      <w:r w:rsidRPr="007E354F">
        <w:rPr>
          <w:rFonts w:ascii="Arial" w:hAnsi="Arial" w:eastAsia="Calibri" w:cs="Arial"/>
          <w:sz w:val="22"/>
          <w:vertAlign w:val="superscript"/>
        </w:rPr>
        <w:footnoteReference w:id="12"/>
      </w:r>
      <w:r w:rsidRPr="007E354F">
        <w:rPr>
          <w:rFonts w:ascii="Arial" w:hAnsi="Arial" w:eastAsia="Calibri" w:cs="Arial"/>
          <w:sz w:val="22"/>
        </w:rPr>
        <w:t>. Por su parte, el artículo 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7E354F">
        <w:rPr>
          <w:rFonts w:ascii="Arial" w:hAnsi="Arial" w:eastAsia="Calibri" w:cs="Arial"/>
          <w:sz w:val="22"/>
          <w:vertAlign w:val="superscript"/>
        </w:rPr>
        <w:footnoteReference w:id="13"/>
      </w:r>
      <w:r w:rsidRPr="007E354F">
        <w:rPr>
          <w:rFonts w:ascii="Arial" w:hAnsi="Arial" w:eastAsia="Calibri" w:cs="Arial"/>
          <w:sz w:val="22"/>
        </w:rPr>
        <w:t>. Finalmente, el artículo 10 establece la obligación que tienen las entidades de publicar en el SECOP el Plan Anual de Adquisiciones</w:t>
      </w:r>
      <w:r w:rsidRPr="007E354F">
        <w:rPr>
          <w:rFonts w:ascii="Arial" w:hAnsi="Arial" w:eastAsia="Calibri" w:cs="Arial"/>
          <w:sz w:val="22"/>
          <w:vertAlign w:val="superscript"/>
        </w:rPr>
        <w:footnoteReference w:id="14"/>
      </w:r>
      <w:r w:rsidRPr="007E354F">
        <w:rPr>
          <w:rFonts w:ascii="Arial" w:hAnsi="Arial" w:eastAsia="Calibri" w:cs="Arial"/>
          <w:sz w:val="22"/>
        </w:rPr>
        <w:t xml:space="preserve">.  </w:t>
      </w:r>
    </w:p>
    <w:p w:rsidRPr="007E354F" w:rsidR="00240457" w:rsidP="00240457" w:rsidRDefault="00240457" w14:paraId="35A41A4D" w14:textId="77777777">
      <w:pPr>
        <w:spacing w:before="120" w:after="120" w:line="276" w:lineRule="auto"/>
        <w:ind w:firstLine="709"/>
        <w:jc w:val="both"/>
        <w:rPr>
          <w:rFonts w:ascii="Arial" w:hAnsi="Arial" w:eastAsia="Calibri" w:cs="Arial"/>
          <w:sz w:val="22"/>
        </w:rPr>
      </w:pPr>
      <w:r w:rsidRPr="007E354F">
        <w:rPr>
          <w:rFonts w:ascii="Arial" w:hAnsi="Arial" w:eastAsia="Calibri" w:cs="Arial"/>
          <w:sz w:val="22"/>
        </w:rPr>
        <w:t xml:space="preserve">De conformidad con lo anterior, el Decreto 103 de 2015 señala que los documentos que deben publicar las entidades estatales a quienes les aplica la Ley 1712 de 2014, entre </w:t>
      </w:r>
      <w:r w:rsidRPr="007E354F">
        <w:rPr>
          <w:rFonts w:ascii="Arial" w:hAnsi="Arial" w:eastAsia="Calibri" w:cs="Arial"/>
          <w:sz w:val="22"/>
        </w:rPr>
        <w:lastRenderedPageBreak/>
        <w:t xml:space="preserve">estas, por ejemplo, las empresas de servicios públicos mixtas, oficiales y privadas con participación pública, son: i) las autorizaciones, requerimientos, aprobaciones o informes del supervisor o del interventor, que prueben la ejecución del contrato, </w:t>
      </w:r>
      <w:proofErr w:type="spellStart"/>
      <w:r w:rsidRPr="007E354F">
        <w:rPr>
          <w:rFonts w:ascii="Arial" w:hAnsi="Arial" w:eastAsia="Calibri" w:cs="Arial"/>
          <w:sz w:val="22"/>
        </w:rPr>
        <w:t>ii</w:t>
      </w:r>
      <w:proofErr w:type="spellEnd"/>
      <w:r w:rsidRPr="007E354F">
        <w:rPr>
          <w:rFonts w:ascii="Arial" w:hAnsi="Arial" w:eastAsia="Calibri" w:cs="Arial"/>
          <w:sz w:val="22"/>
        </w:rPr>
        <w:t xml:space="preserve">) los procedimientos, lineamientos y políticas en materia de adquisición que corresponden a los  documentos que los conforman, previstos en el manual de contratación de la entidad, y finalmente, </w:t>
      </w:r>
      <w:proofErr w:type="spellStart"/>
      <w:r w:rsidRPr="007E354F">
        <w:rPr>
          <w:rFonts w:ascii="Arial" w:hAnsi="Arial" w:eastAsia="Calibri" w:cs="Arial"/>
          <w:sz w:val="22"/>
        </w:rPr>
        <w:t>iii</w:t>
      </w:r>
      <w:proofErr w:type="spellEnd"/>
      <w:r w:rsidRPr="007E354F">
        <w:rPr>
          <w:rFonts w:ascii="Arial" w:hAnsi="Arial" w:eastAsia="Calibri" w:cs="Arial"/>
          <w:sz w:val="22"/>
        </w:rPr>
        <w:t xml:space="preserve">) el plan anual de adquisiciones. </w:t>
      </w:r>
    </w:p>
    <w:p w:rsidRPr="007E354F" w:rsidR="00240457" w:rsidP="00240457" w:rsidRDefault="00240457" w14:paraId="7391D25D" w14:textId="77777777">
      <w:pPr>
        <w:spacing w:before="120" w:after="120" w:line="276" w:lineRule="auto"/>
        <w:ind w:firstLine="709"/>
        <w:jc w:val="both"/>
        <w:rPr>
          <w:rFonts w:ascii="Arial" w:hAnsi="Arial" w:eastAsia="Calibri" w:cs="Arial"/>
          <w:sz w:val="22"/>
        </w:rPr>
      </w:pPr>
      <w:r w:rsidRPr="007E354F">
        <w:rPr>
          <w:rFonts w:ascii="Arial" w:hAnsi="Arial" w:eastAsia="Calibri" w:cs="Arial"/>
          <w:sz w:val="22"/>
        </w:rPr>
        <w:t xml:space="preserve">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w:t>
      </w:r>
    </w:p>
    <w:p w:rsidRPr="007E354F" w:rsidR="00240457" w:rsidP="00240457" w:rsidRDefault="00240457" w14:paraId="3C40242F" w14:textId="77777777">
      <w:pPr>
        <w:spacing w:before="120" w:after="120" w:line="276" w:lineRule="auto"/>
        <w:ind w:firstLine="709"/>
        <w:jc w:val="both"/>
        <w:rPr>
          <w:rFonts w:ascii="Arial" w:hAnsi="Arial" w:eastAsia="Calibri" w:cs="Arial"/>
          <w:sz w:val="22"/>
        </w:rPr>
      </w:pPr>
      <w:r w:rsidRPr="007E354F">
        <w:rPr>
          <w:rFonts w:ascii="Arial" w:hAnsi="Arial" w:eastAsia="Calibri" w:cs="Arial"/>
          <w:sz w:val="22"/>
        </w:rPr>
        <w:t>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todos se publicarán en la plataforma del SECOP para cada procedimiento de contratación que se adelante, incluido el acto de adjudicación, por expresa disposición del literal g) del artículo 11 de la Ley 1712 de 2014.</w:t>
      </w:r>
    </w:p>
    <w:p w:rsidRPr="007E354F" w:rsidR="00240457" w:rsidP="00240457" w:rsidRDefault="00240457" w14:paraId="03B8F638" w14:textId="77777777">
      <w:pPr>
        <w:spacing w:before="120" w:after="120" w:line="276" w:lineRule="auto"/>
        <w:ind w:firstLine="709"/>
        <w:jc w:val="both"/>
        <w:rPr>
          <w:rFonts w:ascii="Arial" w:hAnsi="Arial" w:eastAsia="Calibri" w:cs="Arial"/>
          <w:sz w:val="22"/>
        </w:rPr>
      </w:pPr>
      <w:r w:rsidRPr="007E354F">
        <w:rPr>
          <w:rFonts w:ascii="Arial" w:hAnsi="Arial" w:eastAsia="Calibri" w:cs="Arial"/>
          <w:sz w:val="22"/>
        </w:rPr>
        <w:t>Por lo tanto, en estos casos aplica la Ley 1712 de 2014 y el Decreto 103 de 2015, no el Decreto 1082 de 2015, porque esta última norma rige a las entidades sometidas al Estatuto General de Contratación de la Administración Pública, y por lo tanto no aplica, por ejemplo, a las empresas de servicios públicos domiciliarios que, por regla general, se rigen por el derecho privado. Por su parte, la Ley 1712 de 2014 y el Decreto reglamentario 103 de 2015 rigen a cualquier entidad pública, incluyendo</w:t>
      </w:r>
      <w:r w:rsidRPr="007E354F">
        <w:rPr>
          <w:rFonts w:ascii="Arial" w:hAnsi="Arial" w:cs="Arial"/>
          <w:sz w:val="22"/>
        </w:rPr>
        <w:t xml:space="preserve"> </w:t>
      </w:r>
      <w:r w:rsidRPr="007E354F">
        <w:rPr>
          <w:rFonts w:ascii="Arial" w:hAnsi="Arial" w:eastAsia="Times New Roman" w:cs="Arial"/>
          <w:sz w:val="22"/>
          <w:lang w:val="es-CO" w:eastAsia="es-CO"/>
        </w:rPr>
        <w:t xml:space="preserve">las pertenecientes a todas las Ramas del Poder Público, en todos los niveles de la estructura estatal, central o descentralizada por servicios o territorialmente, en los </w:t>
      </w:r>
      <w:r w:rsidRPr="007E354F">
        <w:rPr>
          <w:rFonts w:ascii="Arial" w:hAnsi="Arial" w:eastAsia="Calibri" w:cs="Arial"/>
          <w:sz w:val="22"/>
        </w:rPr>
        <w:t xml:space="preserve">órdenes nacional, departamental, municipal y distrital. </w:t>
      </w:r>
    </w:p>
    <w:p w:rsidRPr="007E354F" w:rsidR="00240457" w:rsidP="00240457" w:rsidRDefault="00240457" w14:paraId="69CA7F55" w14:textId="77777777">
      <w:pPr>
        <w:spacing w:before="120" w:after="120" w:line="276" w:lineRule="auto"/>
        <w:ind w:firstLine="709"/>
        <w:jc w:val="both"/>
        <w:rPr>
          <w:rFonts w:ascii="Arial" w:hAnsi="Arial" w:eastAsia="Calibri" w:cs="Arial"/>
          <w:sz w:val="22"/>
        </w:rPr>
      </w:pPr>
      <w:r w:rsidRPr="007E354F">
        <w:rPr>
          <w:rFonts w:ascii="Arial" w:hAnsi="Arial" w:eastAsia="Calibri" w:cs="Arial"/>
          <w:sz w:val="22"/>
        </w:rPr>
        <w:t xml:space="preserve">Identificados los documentos que deben publicar las entidades de régimen especial y su fundamento normativo, a </w:t>
      </w:r>
      <w:proofErr w:type="gramStart"/>
      <w:r w:rsidRPr="007E354F">
        <w:rPr>
          <w:rFonts w:ascii="Arial" w:hAnsi="Arial" w:eastAsia="Calibri" w:cs="Arial"/>
          <w:sz w:val="22"/>
        </w:rPr>
        <w:t>continuación</w:t>
      </w:r>
      <w:proofErr w:type="gramEnd"/>
      <w:r w:rsidRPr="007E354F">
        <w:rPr>
          <w:rFonts w:ascii="Arial" w:hAnsi="Arial" w:eastAsia="Calibri" w:cs="Arial"/>
          <w:sz w:val="22"/>
        </w:rPr>
        <w:t xml:space="preserve"> se explicará cuando se deben publicar, no sin antes explicar la posición que Colombia Compra Eficiente ha tenido en relación con este asunto. </w:t>
      </w:r>
    </w:p>
    <w:p w:rsidRPr="007E354F" w:rsidR="00240457" w:rsidP="00240457" w:rsidRDefault="00240457" w14:paraId="1883DA8A" w14:textId="77777777">
      <w:pPr>
        <w:spacing w:before="120" w:after="120" w:line="276" w:lineRule="auto"/>
        <w:ind w:firstLine="709"/>
        <w:jc w:val="both"/>
        <w:rPr>
          <w:rFonts w:ascii="Arial" w:hAnsi="Arial" w:eastAsia="Calibri" w:cs="Arial"/>
          <w:sz w:val="22"/>
        </w:rPr>
      </w:pPr>
      <w:r w:rsidRPr="007E354F">
        <w:rPr>
          <w:rFonts w:ascii="Arial" w:hAnsi="Arial" w:eastAsia="Calibri" w:cs="Arial"/>
          <w:sz w:val="22"/>
        </w:rPr>
        <w:t>En el año 2017, en la consulta con radicado No. 4201713000005390 se prevé que: el plazo para publicar por parte de las entidades de régimen especial es el que se fije en el manual de contratación de la entidad</w:t>
      </w:r>
      <w:r w:rsidRPr="007E354F">
        <w:rPr>
          <w:rStyle w:val="Refdenotaalpie"/>
          <w:rFonts w:ascii="Arial" w:hAnsi="Arial" w:eastAsia="Calibri" w:cs="Arial"/>
          <w:sz w:val="22"/>
        </w:rPr>
        <w:footnoteReference w:id="15"/>
      </w:r>
      <w:r w:rsidRPr="007E354F">
        <w:rPr>
          <w:rFonts w:ascii="Arial" w:hAnsi="Arial" w:eastAsia="Calibri" w:cs="Arial"/>
          <w:sz w:val="22"/>
        </w:rPr>
        <w:t xml:space="preserve">. Por su parte, en el año 2018, con la expedición de </w:t>
      </w:r>
      <w:r w:rsidRPr="007E354F">
        <w:rPr>
          <w:rFonts w:ascii="Arial" w:hAnsi="Arial" w:eastAsia="Calibri" w:cs="Arial"/>
          <w:sz w:val="22"/>
        </w:rPr>
        <w:lastRenderedPageBreak/>
        <w:t>la Circular Externa Única, se cambió la postura y se indica: «las entidades que aun utilizan el SECOP I están obligadas a publicar los documentos del proceso dentro de los tres (3) días siguientes a su expedición […]</w:t>
      </w:r>
      <w:r w:rsidRPr="007E354F">
        <w:rPr>
          <w:rStyle w:val="Refdenotaalpie"/>
          <w:rFonts w:ascii="Arial" w:hAnsi="Arial" w:eastAsia="Calibri" w:cs="Arial"/>
          <w:sz w:val="22"/>
        </w:rPr>
        <w:footnoteReference w:id="16"/>
      </w:r>
      <w:r w:rsidRPr="007E354F">
        <w:rPr>
          <w:rFonts w:ascii="Arial" w:hAnsi="Arial" w:eastAsia="Calibri" w:cs="Arial"/>
          <w:sz w:val="22"/>
        </w:rPr>
        <w:t xml:space="preserve">». De lo regulado en la Circular Externa Única se infiere que se otorga un tratamiento igualitario a las entidades, independientemente de su régimen de contratación, por lo tanto, aplica el artículo 2.2.1.1.1.7.1. del Decreto 1082 de 2015. </w:t>
      </w:r>
    </w:p>
    <w:p w:rsidRPr="007E354F" w:rsidR="00240457" w:rsidP="00240457" w:rsidRDefault="00240457" w14:paraId="1563A0E0" w14:textId="77777777">
      <w:pPr>
        <w:spacing w:before="120" w:after="120" w:line="276" w:lineRule="auto"/>
        <w:ind w:firstLine="709"/>
        <w:jc w:val="both"/>
        <w:rPr>
          <w:rFonts w:ascii="Arial" w:hAnsi="Arial" w:eastAsia="Calibri" w:cs="Arial"/>
          <w:sz w:val="22"/>
        </w:rPr>
      </w:pPr>
      <w:r w:rsidRPr="007E354F">
        <w:rPr>
          <w:rFonts w:ascii="Arial" w:hAnsi="Arial" w:eastAsia="Calibri" w:cs="Arial"/>
          <w:sz w:val="22"/>
        </w:rPr>
        <w:t xml:space="preserve">En este sentido, se han tenido dos posturas frente a la oportunidad de publicar los documentos en el SECOP. En un primer momento, la entidad tiene autonomía para determinar el plazo en su manual de contratación, debido a que no les aplica el Estatuto General de Contratación de la Administración Pública; en un segundo momento, a partir de la expedición de la Circular Externa Única, tanto las entidades que se rigen por la Ley 80 como aquellas que tienen un estatuto de régimen especial, deberán publicar sus documentos dentro de los tres (3) días siguientes a su expedición, por expresa disposición del artículo 2.2.1.1.1.7.1. del Decreto 1082 de 2015. Esta última posición es la que se acogerá y se desarrollará en esta consulta. </w:t>
      </w:r>
    </w:p>
    <w:p w:rsidRPr="007E354F" w:rsidR="00240457" w:rsidP="00240457" w:rsidRDefault="00240457" w14:paraId="2A1F6274" w14:textId="77777777">
      <w:pPr>
        <w:spacing w:before="120" w:after="120" w:line="276" w:lineRule="auto"/>
        <w:ind w:firstLine="709"/>
        <w:jc w:val="both"/>
        <w:rPr>
          <w:rFonts w:ascii="Arial" w:hAnsi="Arial" w:eastAsia="Calibri" w:cs="Arial"/>
          <w:sz w:val="22"/>
        </w:rPr>
      </w:pPr>
      <w:r w:rsidRPr="007E354F">
        <w:rPr>
          <w:rFonts w:ascii="Arial" w:hAnsi="Arial" w:eastAsia="Calibri" w:cs="Arial"/>
          <w:sz w:val="22"/>
        </w:rPr>
        <w:t>La Ley 1712 de 2014 y el Decreto reglamentario 103 de 2015, normativas que indican los documentos que se deben publicar, no señalan el momento para su divulgación, y en ese sentido existe un vacío normativo. En los casos que no exista norma aplicable, la Corte Constitucional, en la sentencia C-083 de 1995, reconoce a la analogía como una fuente de derecho autónoma a la que se pueden acudir para suplir el vacío. De esta forma, reconoce que: «la analogía es la aplicación de la ley a situaciones no contempladas expresamente a ellas, pero que sólo difieren a las que sí lo están en aspectos jurídicamente irrelevantes, es decir, ajenos a aquellos que explican y fundamentan la razón de ser de la norma»</w:t>
      </w:r>
      <w:r w:rsidRPr="007E354F">
        <w:rPr>
          <w:rStyle w:val="Refdenotaalpie"/>
          <w:rFonts w:ascii="Arial" w:hAnsi="Arial" w:eastAsia="Calibri" w:cs="Arial"/>
          <w:sz w:val="22"/>
        </w:rPr>
        <w:footnoteReference w:id="17"/>
      </w:r>
      <w:r w:rsidRPr="007E354F">
        <w:rPr>
          <w:rFonts w:ascii="Arial" w:hAnsi="Arial" w:eastAsia="Calibri" w:cs="Arial"/>
          <w:sz w:val="22"/>
        </w:rPr>
        <w:t xml:space="preserve">. En este sentido, el juez razona por analogía, cuando aplica una ley frente una </w:t>
      </w:r>
      <w:r w:rsidRPr="007E354F">
        <w:rPr>
          <w:rFonts w:ascii="Arial" w:hAnsi="Arial" w:eastAsia="Calibri" w:cs="Arial"/>
          <w:sz w:val="22"/>
        </w:rPr>
        <w:lastRenderedPageBreak/>
        <w:t>situación no contemplada explícitamente en ella, a partir del estudio de situaciones fácticas que fueron tratadas por el legislador y guardan similitud con el asunto tratado.</w:t>
      </w:r>
    </w:p>
    <w:p w:rsidRPr="007E354F" w:rsidR="00240457" w:rsidP="00240457" w:rsidRDefault="00240457" w14:paraId="1110D502" w14:textId="77777777">
      <w:pPr>
        <w:spacing w:before="120" w:after="120" w:line="276" w:lineRule="auto"/>
        <w:ind w:firstLine="709"/>
        <w:jc w:val="both"/>
        <w:rPr>
          <w:rFonts w:ascii="Arial" w:hAnsi="Arial" w:eastAsia="Calibri" w:cs="Arial"/>
          <w:sz w:val="22"/>
        </w:rPr>
      </w:pPr>
      <w:r w:rsidRPr="007E354F">
        <w:rPr>
          <w:rFonts w:ascii="Arial" w:hAnsi="Arial" w:eastAsia="Calibri" w:cs="Arial"/>
          <w:sz w:val="22"/>
        </w:rPr>
        <w:t>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que presenten observaciones o soliciten aclaraciones</w:t>
      </w:r>
      <w:r w:rsidRPr="007E354F">
        <w:rPr>
          <w:rStyle w:val="Refdenotaalpie"/>
          <w:rFonts w:ascii="Arial" w:hAnsi="Arial" w:eastAsia="Calibri" w:cs="Arial"/>
          <w:sz w:val="22"/>
        </w:rPr>
        <w:footnoteReference w:id="18"/>
      </w:r>
      <w:r w:rsidRPr="007E354F">
        <w:rPr>
          <w:rFonts w:ascii="Arial" w:hAnsi="Arial" w:eastAsia="Calibri" w:cs="Arial"/>
          <w:sz w:val="22"/>
        </w:rPr>
        <w:t xml:space="preserve">. En este sentido, las entidades sometidas al régimen de contratación de Ley 80 de 1993 publican en el SECOP sus documentos dentro de los 3 días siguientes a su expedición. </w:t>
      </w:r>
    </w:p>
    <w:p w:rsidRPr="007E354F" w:rsidR="00240457" w:rsidP="00240457" w:rsidRDefault="00240457" w14:paraId="4DC87189" w14:textId="77777777">
      <w:pPr>
        <w:spacing w:before="120" w:after="120" w:line="276" w:lineRule="auto"/>
        <w:ind w:firstLine="709"/>
        <w:jc w:val="both"/>
        <w:rPr>
          <w:rFonts w:ascii="Arial" w:hAnsi="Arial" w:eastAsia="Calibri" w:cs="Arial"/>
          <w:sz w:val="22"/>
        </w:rPr>
      </w:pPr>
      <w:r w:rsidRPr="007E354F">
        <w:rPr>
          <w:rFonts w:ascii="Arial" w:hAnsi="Arial" w:eastAsia="Calibri" w:cs="Arial"/>
          <w:sz w:val="22"/>
        </w:rPr>
        <w:t xml:space="preserve">Si bien el Decreto 1082 de 2015, en principio no aplica a las entidades estatales exceptuadas del Estatuto General de Contratación de la Administración Pública, porque su régimen de contratación es el derecho privado, es posible aplicarle el artículo 2.2.1.1.1.7.1. en virtud de la analogía. Lo anterior, debido a que esta norma guarda similitud con el asunto tratado ya que regula la publicidad de los documentos del SECOP y, por lo tanto, es viable </w:t>
      </w:r>
      <w:proofErr w:type="gramStart"/>
      <w:r w:rsidRPr="007E354F">
        <w:rPr>
          <w:rFonts w:ascii="Arial" w:hAnsi="Arial" w:eastAsia="Calibri" w:cs="Arial"/>
          <w:sz w:val="22"/>
        </w:rPr>
        <w:t>aplicarle</w:t>
      </w:r>
      <w:proofErr w:type="gramEnd"/>
      <w:r w:rsidRPr="007E354F">
        <w:rPr>
          <w:rFonts w:ascii="Arial" w:hAnsi="Arial" w:eastAsia="Calibri" w:cs="Arial"/>
          <w:sz w:val="22"/>
        </w:rPr>
        <w:t xml:space="preserve"> su consecuencia jurídica a las entidades de régimen especial. </w:t>
      </w:r>
    </w:p>
    <w:p w:rsidRPr="007E354F" w:rsidR="00240457" w:rsidP="00240457" w:rsidRDefault="00240457" w14:paraId="1DB87D5F" w14:textId="77777777">
      <w:pPr>
        <w:spacing w:before="120" w:after="120" w:line="276" w:lineRule="auto"/>
        <w:ind w:firstLine="709"/>
        <w:jc w:val="both"/>
        <w:rPr>
          <w:rFonts w:ascii="Arial" w:hAnsi="Arial" w:eastAsia="Calibri" w:cs="Arial"/>
          <w:sz w:val="22"/>
        </w:rPr>
      </w:pPr>
      <w:r w:rsidRPr="007E354F">
        <w:rPr>
          <w:rFonts w:ascii="Arial" w:hAnsi="Arial" w:eastAsia="Calibri" w:cs="Arial"/>
          <w:sz w:val="22"/>
        </w:rPr>
        <w:t xml:space="preserve">A su vez, no es posible que las entidades definan en su manual de contratación el momento en el cual publicarán sus documentos contractuales, porque este es un asunto que debe definir el legislador o el gobierno por medio de un reglamento. </w:t>
      </w:r>
    </w:p>
    <w:p w:rsidRPr="007E354F" w:rsidR="00240457" w:rsidP="00240457" w:rsidRDefault="00240457" w14:paraId="49AE6EDE" w14:textId="77777777">
      <w:pPr>
        <w:spacing w:before="120" w:after="120" w:line="276" w:lineRule="auto"/>
        <w:ind w:firstLine="709"/>
        <w:jc w:val="both"/>
        <w:rPr>
          <w:rFonts w:ascii="Arial" w:hAnsi="Arial" w:eastAsia="Calibri" w:cs="Arial"/>
          <w:sz w:val="22"/>
        </w:rPr>
      </w:pPr>
      <w:r w:rsidRPr="007E354F">
        <w:rPr>
          <w:rFonts w:ascii="Arial" w:hAnsi="Arial" w:eastAsia="Calibri" w:cs="Arial"/>
          <w:sz w:val="22"/>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rsidRPr="007E354F" w:rsidR="00240457" w:rsidP="00240457" w:rsidRDefault="00240457" w14:paraId="43E00DD2" w14:textId="77777777">
      <w:pPr>
        <w:spacing w:line="276" w:lineRule="auto"/>
        <w:ind w:firstLine="709"/>
        <w:jc w:val="both"/>
        <w:rPr>
          <w:rFonts w:ascii="Arial" w:hAnsi="Arial" w:eastAsia="Calibri" w:cs="Arial"/>
          <w:sz w:val="22"/>
        </w:rPr>
      </w:pPr>
      <w:r w:rsidRPr="007E354F">
        <w:rPr>
          <w:rFonts w:ascii="Arial" w:hAnsi="Arial" w:eastAsia="Calibri" w:cs="Arial"/>
          <w:sz w:val="22"/>
        </w:rPr>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w:t>
      </w:r>
      <w:r w:rsidRPr="007E354F">
        <w:rPr>
          <w:rFonts w:ascii="Arial" w:hAnsi="Arial" w:eastAsia="Calibri" w:cs="Arial"/>
          <w:sz w:val="22"/>
        </w:rPr>
        <w:lastRenderedPageBreak/>
        <w:t xml:space="preserve">entidad, porque el Decreto 1082 de 2015 reglamenta el artículo 3 de la Ley 1150 de 2007, y se aplicaría el artículo 2.2.1.1.1.7.1. </w:t>
      </w:r>
    </w:p>
    <w:p w:rsidRPr="007E354F" w:rsidR="00240457" w:rsidP="009A0ED8" w:rsidRDefault="00240457" w14:paraId="73AD1BBF" w14:textId="77777777">
      <w:pPr>
        <w:jc w:val="both"/>
        <w:rPr>
          <w:rFonts w:ascii="Arial" w:hAnsi="Arial" w:eastAsia="Calibri" w:cs="Arial"/>
          <w:b/>
          <w:sz w:val="22"/>
        </w:rPr>
      </w:pPr>
    </w:p>
    <w:p w:rsidRPr="007E354F" w:rsidR="00240457" w:rsidP="009A0ED8" w:rsidRDefault="00240457" w14:paraId="530E67FF" w14:textId="77777777">
      <w:pPr>
        <w:jc w:val="both"/>
        <w:rPr>
          <w:rFonts w:ascii="Arial" w:hAnsi="Arial" w:eastAsia="Calibri" w:cs="Arial"/>
          <w:b/>
          <w:sz w:val="22"/>
        </w:rPr>
      </w:pPr>
      <w:r w:rsidRPr="007E354F">
        <w:rPr>
          <w:rFonts w:ascii="Arial" w:hAnsi="Arial" w:eastAsia="Calibri" w:cs="Arial"/>
          <w:b/>
          <w:sz w:val="22"/>
        </w:rPr>
        <w:t xml:space="preserve">2.3. Publicidad en las plataformas SECOP I y II </w:t>
      </w:r>
    </w:p>
    <w:p w:rsidRPr="007E354F" w:rsidR="00240457" w:rsidP="009A0ED8" w:rsidRDefault="00240457" w14:paraId="6AB873FB" w14:textId="77777777">
      <w:pPr>
        <w:jc w:val="both"/>
        <w:rPr>
          <w:rFonts w:ascii="Arial" w:hAnsi="Arial" w:eastAsia="Calibri" w:cs="Arial"/>
          <w:b/>
          <w:sz w:val="22"/>
        </w:rPr>
      </w:pPr>
    </w:p>
    <w:p w:rsidRPr="007E354F" w:rsidR="00240457" w:rsidP="00240457" w:rsidRDefault="00240457" w14:paraId="414655ED" w14:textId="77777777">
      <w:pPr>
        <w:spacing w:before="120" w:after="120" w:line="276" w:lineRule="auto"/>
        <w:jc w:val="both"/>
        <w:rPr>
          <w:rFonts w:ascii="Arial" w:hAnsi="Arial" w:eastAsia="Calibri" w:cs="Arial"/>
          <w:sz w:val="22"/>
          <w:lang w:val="es-ES"/>
        </w:rPr>
      </w:pPr>
      <w:r w:rsidRPr="007E354F">
        <w:rPr>
          <w:rFonts w:ascii="Arial" w:hAnsi="Arial" w:eastAsia="Calibri" w:cs="Arial"/>
          <w:sz w:val="22"/>
          <w:lang w:val="es-ES"/>
        </w:rPr>
        <w:t xml:space="preserve">La Agencia Nacional de Contratación Pública – 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esta circular deberán gestionarse, exclusivamente, en el SECOP ll. La medida aplica para los procesos de contratación que se inicien a partir del 1 de enero de 2020.  </w:t>
      </w:r>
    </w:p>
    <w:p w:rsidRPr="007E354F" w:rsidR="00240457" w:rsidP="00240457" w:rsidRDefault="009A0ED8" w14:paraId="425B3499" w14:textId="5F26EC32">
      <w:pPr>
        <w:spacing w:before="120" w:after="120" w:line="276" w:lineRule="auto"/>
        <w:ind w:firstLine="709"/>
        <w:jc w:val="both"/>
        <w:rPr>
          <w:rFonts w:ascii="Arial" w:hAnsi="Arial" w:eastAsia="Calibri" w:cs="Arial"/>
          <w:sz w:val="22"/>
          <w:lang w:val="es-ES"/>
        </w:rPr>
      </w:pPr>
      <w:r w:rsidRPr="007E354F">
        <w:rPr>
          <w:rFonts w:ascii="Arial" w:hAnsi="Arial" w:eastAsia="Calibri" w:cs="Arial"/>
          <w:sz w:val="22"/>
          <w:lang w:val="es-ES"/>
        </w:rPr>
        <w:t>Este</w:t>
      </w:r>
      <w:r w:rsidRPr="007E354F" w:rsidR="00240457">
        <w:rPr>
          <w:rFonts w:ascii="Arial" w:hAnsi="Arial" w:eastAsia="Calibri" w:cs="Arial"/>
          <w:sz w:val="22"/>
          <w:lang w:val="es-ES"/>
        </w:rPr>
        <w:t xml:space="preserve"> plazo fue prorrogado por la Agencia Nacional de Contratación Pública – Colombia Compra Eficiente, mediante la Circular Externa No. 2 de 2019, a través de la cual se amplió «la </w:t>
      </w:r>
      <w:proofErr w:type="gramStart"/>
      <w:r w:rsidRPr="007E354F" w:rsidR="00240457">
        <w:rPr>
          <w:rFonts w:ascii="Arial" w:hAnsi="Arial" w:eastAsia="Calibri" w:cs="Arial"/>
          <w:sz w:val="22"/>
          <w:lang w:val="es-ES"/>
        </w:rPr>
        <w:t>entrada en vigencia</w:t>
      </w:r>
      <w:proofErr w:type="gramEnd"/>
      <w:r w:rsidRPr="007E354F" w:rsidR="00240457">
        <w:rPr>
          <w:rFonts w:ascii="Arial" w:hAnsi="Arial" w:eastAsia="Calibri" w:cs="Arial"/>
          <w:sz w:val="22"/>
          <w:lang w:val="es-ES"/>
        </w:rPr>
        <w:t xml:space="preserve"> de la obligatoriedad del SECOP ll. En consecuencia, las alcaldías capitales de departamento (Administración central) y los departamentos (Administración central) gestionarán todos sus procesos de contratación, exclusivamente en el SECOP ll, a partir del 1 de abril de 2020».</w:t>
      </w:r>
    </w:p>
    <w:p w:rsidRPr="007E354F" w:rsidR="00240457" w:rsidP="00240457" w:rsidRDefault="00240457" w14:paraId="3FFDA0B5" w14:textId="77777777">
      <w:pPr>
        <w:spacing w:before="120" w:after="120" w:line="276" w:lineRule="auto"/>
        <w:ind w:firstLine="709"/>
        <w:jc w:val="both"/>
        <w:rPr>
          <w:rFonts w:ascii="Arial" w:hAnsi="Arial" w:eastAsia="Calibri" w:cs="Arial"/>
          <w:sz w:val="22"/>
          <w:lang w:val="es-ES"/>
        </w:rPr>
      </w:pPr>
      <w:r w:rsidRPr="007E354F">
        <w:rPr>
          <w:rFonts w:ascii="Arial" w:hAnsi="Arial" w:eastAsia="Calibri" w:cs="Arial"/>
          <w:sz w:val="22"/>
          <w:lang w:val="es-ES"/>
        </w:rPr>
        <w:t>Ahora, en relación con las entidades descentralizadas del nivel municipal, el Anexo 1 de la Circular No. 1 de 2019 las excluyó del deber de publicar en el SECOP II, pues, al indicar las entidades de este nivel con obligación de publicar en esa plataforma, textualmente señaló que «</w:t>
      </w:r>
      <w:r w:rsidRPr="007E354F">
        <w:rPr>
          <w:rFonts w:ascii="Arial" w:hAnsi="Arial" w:cs="Arial"/>
          <w:sz w:val="22"/>
        </w:rPr>
        <w:t xml:space="preserve">sólo incluye el sector central. No incluye entidades descentralizadas del respectivo nivel» y estableció </w:t>
      </w:r>
      <w:r w:rsidRPr="007E354F">
        <w:rPr>
          <w:rFonts w:ascii="Arial" w:hAnsi="Arial" w:eastAsia="Calibri" w:cs="Arial"/>
          <w:sz w:val="22"/>
          <w:lang w:val="es-ES"/>
        </w:rPr>
        <w:t xml:space="preserve">la obligatoriedad del uso del SECOP II únicamente a las alcaldías capitales de departamentos. </w:t>
      </w:r>
    </w:p>
    <w:p w:rsidRPr="007E354F" w:rsidR="00B221E4" w:rsidP="00240457" w:rsidRDefault="00240457" w14:paraId="3A55FE72" w14:textId="000B1267">
      <w:pPr>
        <w:shd w:val="clear" w:color="auto" w:fill="FFFFFF"/>
        <w:spacing w:before="120" w:after="120" w:line="276" w:lineRule="auto"/>
        <w:ind w:firstLine="709"/>
        <w:jc w:val="both"/>
        <w:rPr>
          <w:rFonts w:ascii="Arial" w:hAnsi="Arial" w:eastAsia="Calibri" w:cs="Arial"/>
          <w:sz w:val="22"/>
          <w:lang w:val="es-ES"/>
        </w:rPr>
      </w:pPr>
      <w:r w:rsidRPr="007E354F">
        <w:rPr>
          <w:rFonts w:ascii="Arial" w:hAnsi="Arial" w:eastAsia="Calibri" w:cs="Arial"/>
          <w:sz w:val="22"/>
          <w:lang w:val="es-ES"/>
        </w:rPr>
        <w:t>Así las cosas, la Subdirección de Gestión Contractual concluye que, a la fecha, las entidades descentralizadas del nivel municipal no están obligadas a publicar sus procesos de contratación en el SECOP II, conforme a la salvedad que sobre el particular establece el Anexo 1 de la Circular Externa No. 1 de 2019.  Sin embargo, esta exclusión no relevará a las entidades descentralizadas del nivel municipal de continuar publicando sus procesos de contratación en la plataforma de SECOP I.</w:t>
      </w:r>
    </w:p>
    <w:bookmarkEnd w:id="1"/>
    <w:bookmarkEnd w:id="2"/>
    <w:p w:rsidRPr="007E354F" w:rsidR="009A0ED8" w:rsidP="00E04ED0" w:rsidRDefault="009A0ED8" w14:paraId="28DE981C" w14:textId="77777777">
      <w:pPr>
        <w:pStyle w:val="Prrafodelista"/>
        <w:tabs>
          <w:tab w:val="left" w:pos="284"/>
        </w:tabs>
        <w:ind w:left="0"/>
        <w:jc w:val="both"/>
        <w:rPr>
          <w:rFonts w:ascii="Arial" w:hAnsi="Arial" w:eastAsia="Times New Roman" w:cs="Arial"/>
          <w:b/>
          <w:sz w:val="22"/>
          <w:lang w:val="es-CO" w:eastAsia="es-CO"/>
        </w:rPr>
      </w:pPr>
    </w:p>
    <w:p w:rsidRPr="007E354F" w:rsidR="00A37FB6" w:rsidP="00E04ED0" w:rsidRDefault="00905F30" w14:paraId="687CB649" w14:textId="26FBD13A">
      <w:pPr>
        <w:pStyle w:val="Prrafodelista"/>
        <w:tabs>
          <w:tab w:val="left" w:pos="284"/>
        </w:tabs>
        <w:ind w:left="0"/>
        <w:jc w:val="both"/>
        <w:rPr>
          <w:rFonts w:ascii="Arial" w:hAnsi="Arial" w:eastAsia="Calibri" w:cs="Arial"/>
          <w:sz w:val="22"/>
        </w:rPr>
      </w:pPr>
      <w:r w:rsidRPr="007E354F">
        <w:rPr>
          <w:rFonts w:ascii="Arial" w:hAnsi="Arial" w:eastAsia="Times New Roman" w:cs="Arial"/>
          <w:b/>
          <w:sz w:val="22"/>
          <w:lang w:val="es-CO" w:eastAsia="es-CO"/>
        </w:rPr>
        <w:t xml:space="preserve">3. </w:t>
      </w:r>
      <w:r w:rsidRPr="007E354F" w:rsidR="00A37FB6">
        <w:rPr>
          <w:rFonts w:ascii="Arial" w:hAnsi="Arial" w:eastAsia="Calibri" w:cs="Arial"/>
          <w:b/>
          <w:sz w:val="22"/>
        </w:rPr>
        <w:t>Respuestas</w:t>
      </w:r>
    </w:p>
    <w:p w:rsidRPr="007E354F" w:rsidR="00905F30" w:rsidP="00E04ED0" w:rsidRDefault="00905F30" w14:paraId="602CB2F1" w14:textId="77777777">
      <w:pPr>
        <w:pStyle w:val="Prrafodelista"/>
        <w:tabs>
          <w:tab w:val="left" w:pos="284"/>
        </w:tabs>
        <w:ind w:left="0"/>
        <w:jc w:val="both"/>
        <w:rPr>
          <w:rFonts w:ascii="Arial" w:hAnsi="Arial" w:eastAsia="Calibri" w:cs="Arial"/>
          <w:sz w:val="22"/>
        </w:rPr>
      </w:pPr>
    </w:p>
    <w:p w:rsidRPr="007E354F" w:rsidR="00FD6727" w:rsidP="00F13C05" w:rsidRDefault="0061140E" w14:paraId="52BBEB23" w14:textId="4D5FFCCB">
      <w:pPr>
        <w:spacing w:before="120" w:after="120" w:line="276" w:lineRule="auto"/>
        <w:ind w:left="709" w:right="709"/>
        <w:jc w:val="both"/>
        <w:rPr>
          <w:rFonts w:ascii="Arial" w:hAnsi="Arial" w:eastAsia="Calibri" w:cs="Arial"/>
          <w:sz w:val="21"/>
          <w:szCs w:val="21"/>
        </w:rPr>
      </w:pPr>
      <w:r w:rsidRPr="007E354F">
        <w:rPr>
          <w:rFonts w:ascii="Arial" w:hAnsi="Arial" w:cs="Arial"/>
          <w:sz w:val="21"/>
          <w:szCs w:val="21"/>
          <w:bdr w:val="none" w:color="auto" w:sz="0" w:space="0" w:frame="1"/>
        </w:rPr>
        <w:t xml:space="preserve">«si las Empresas Sociales del Estado que son de </w:t>
      </w:r>
      <w:proofErr w:type="spellStart"/>
      <w:r w:rsidRPr="007E354F">
        <w:rPr>
          <w:rFonts w:ascii="Arial" w:hAnsi="Arial" w:cs="Arial"/>
          <w:sz w:val="21"/>
          <w:szCs w:val="21"/>
          <w:bdr w:val="none" w:color="auto" w:sz="0" w:space="0" w:frame="1"/>
        </w:rPr>
        <w:t>Regimen</w:t>
      </w:r>
      <w:proofErr w:type="spellEnd"/>
      <w:r w:rsidRPr="007E354F">
        <w:rPr>
          <w:rFonts w:ascii="Arial" w:hAnsi="Arial" w:cs="Arial"/>
          <w:sz w:val="21"/>
          <w:szCs w:val="21"/>
          <w:bdr w:val="none" w:color="auto" w:sz="0" w:space="0" w:frame="1"/>
        </w:rPr>
        <w:t xml:space="preserve"> (sic) especial, tienen un plazo </w:t>
      </w:r>
      <w:proofErr w:type="spellStart"/>
      <w:r w:rsidRPr="007E354F">
        <w:rPr>
          <w:rFonts w:ascii="Arial" w:hAnsi="Arial" w:cs="Arial"/>
          <w:sz w:val="21"/>
          <w:szCs w:val="21"/>
          <w:bdr w:val="none" w:color="auto" w:sz="0" w:space="0" w:frame="1"/>
        </w:rPr>
        <w:t>limite</w:t>
      </w:r>
      <w:proofErr w:type="spellEnd"/>
      <w:r w:rsidRPr="007E354F">
        <w:rPr>
          <w:rFonts w:ascii="Arial" w:hAnsi="Arial" w:cs="Arial"/>
          <w:sz w:val="21"/>
          <w:szCs w:val="21"/>
          <w:bdr w:val="none" w:color="auto" w:sz="0" w:space="0" w:frame="1"/>
        </w:rPr>
        <w:t xml:space="preserve"> (sic) para publicar en el </w:t>
      </w:r>
      <w:proofErr w:type="spellStart"/>
      <w:r w:rsidRPr="007E354F">
        <w:rPr>
          <w:rFonts w:ascii="Arial" w:hAnsi="Arial" w:cs="Arial"/>
          <w:sz w:val="21"/>
          <w:szCs w:val="21"/>
          <w:bdr w:val="none" w:color="auto" w:sz="0" w:space="0" w:frame="1"/>
        </w:rPr>
        <w:t>secop</w:t>
      </w:r>
      <w:proofErr w:type="spellEnd"/>
      <w:r w:rsidRPr="007E354F">
        <w:rPr>
          <w:rFonts w:ascii="Arial" w:hAnsi="Arial" w:cs="Arial"/>
          <w:sz w:val="21"/>
          <w:szCs w:val="21"/>
          <w:bdr w:val="none" w:color="auto" w:sz="0" w:space="0" w:frame="1"/>
        </w:rPr>
        <w:t xml:space="preserve"> el contrato y los documentos de ejecución o si de (sic) puede realizar la publicación de </w:t>
      </w:r>
      <w:proofErr w:type="gramStart"/>
      <w:r w:rsidRPr="007E354F">
        <w:rPr>
          <w:rFonts w:ascii="Arial" w:hAnsi="Arial" w:cs="Arial"/>
          <w:sz w:val="21"/>
          <w:szCs w:val="21"/>
          <w:bdr w:val="none" w:color="auto" w:sz="0" w:space="0" w:frame="1"/>
        </w:rPr>
        <w:t>los mismos</w:t>
      </w:r>
      <w:proofErr w:type="gramEnd"/>
      <w:r w:rsidRPr="007E354F">
        <w:rPr>
          <w:rFonts w:ascii="Arial" w:hAnsi="Arial" w:cs="Arial"/>
          <w:sz w:val="21"/>
          <w:szCs w:val="21"/>
          <w:bdr w:val="none" w:color="auto" w:sz="0" w:space="0" w:frame="1"/>
        </w:rPr>
        <w:t xml:space="preserve"> durante el mes que se genere cada documento contractual».</w:t>
      </w:r>
    </w:p>
    <w:p w:rsidRPr="007E354F" w:rsidR="0061140E" w:rsidP="0061140E" w:rsidRDefault="0061140E" w14:paraId="5C812E79" w14:textId="77777777">
      <w:pPr>
        <w:pStyle w:val="Textonotapie"/>
        <w:ind w:firstLine="709"/>
        <w:jc w:val="both"/>
        <w:rPr>
          <w:rFonts w:ascii="Arial" w:hAnsi="Arial" w:cs="Arial"/>
          <w:sz w:val="22"/>
          <w:szCs w:val="22"/>
        </w:rPr>
      </w:pPr>
    </w:p>
    <w:p w:rsidRPr="007E354F" w:rsidR="0061140E" w:rsidP="008917F9" w:rsidRDefault="0061140E" w14:paraId="44623CF7" w14:textId="617A6312">
      <w:pPr>
        <w:pStyle w:val="Textonotapie"/>
        <w:spacing w:before="120" w:after="120" w:line="276" w:lineRule="auto"/>
        <w:jc w:val="both"/>
        <w:rPr>
          <w:rFonts w:ascii="Arial" w:hAnsi="Arial" w:cs="Arial"/>
          <w:sz w:val="22"/>
          <w:szCs w:val="22"/>
        </w:rPr>
      </w:pPr>
      <w:r w:rsidRPr="007E354F">
        <w:rPr>
          <w:rFonts w:ascii="Arial" w:hAnsi="Arial" w:cs="Arial"/>
          <w:sz w:val="22"/>
          <w:szCs w:val="22"/>
        </w:rPr>
        <w:lastRenderedPageBreak/>
        <w:t xml:space="preserve">Con fundamento en las consideraciones desarrolladas en este concepto, los contratos y los documentos </w:t>
      </w:r>
      <w:r w:rsidRPr="007E354F" w:rsidR="00F14F7A">
        <w:rPr>
          <w:rFonts w:ascii="Arial" w:hAnsi="Arial" w:cs="Arial"/>
          <w:sz w:val="22"/>
          <w:szCs w:val="22"/>
        </w:rPr>
        <w:t>relacionado</w:t>
      </w:r>
      <w:r w:rsidRPr="007E354F" w:rsidR="0090477E">
        <w:rPr>
          <w:rFonts w:ascii="Arial" w:hAnsi="Arial" w:cs="Arial"/>
          <w:sz w:val="22"/>
          <w:szCs w:val="22"/>
        </w:rPr>
        <w:t>s</w:t>
      </w:r>
      <w:r w:rsidRPr="007E354F" w:rsidR="00F14F7A">
        <w:rPr>
          <w:rFonts w:ascii="Arial" w:hAnsi="Arial" w:cs="Arial"/>
          <w:sz w:val="22"/>
          <w:szCs w:val="22"/>
        </w:rPr>
        <w:t xml:space="preserve"> con su</w:t>
      </w:r>
      <w:r w:rsidRPr="007E354F">
        <w:rPr>
          <w:rFonts w:ascii="Arial" w:hAnsi="Arial" w:cs="Arial"/>
          <w:sz w:val="22"/>
          <w:szCs w:val="22"/>
        </w:rPr>
        <w:t xml:space="preserve"> ejecución</w:t>
      </w:r>
      <w:r w:rsidRPr="007E354F" w:rsidR="00F14F7A">
        <w:rPr>
          <w:rFonts w:ascii="Arial" w:hAnsi="Arial" w:cs="Arial"/>
          <w:sz w:val="22"/>
          <w:szCs w:val="22"/>
        </w:rPr>
        <w:t>,</w:t>
      </w:r>
      <w:r w:rsidRPr="007E354F">
        <w:rPr>
          <w:rFonts w:ascii="Arial" w:hAnsi="Arial" w:cs="Arial"/>
          <w:sz w:val="22"/>
          <w:szCs w:val="22"/>
        </w:rPr>
        <w:t xml:space="preserve"> </w:t>
      </w:r>
      <w:r w:rsidRPr="007E354F" w:rsidR="0090477E">
        <w:rPr>
          <w:rFonts w:ascii="Arial" w:hAnsi="Arial" w:cs="Arial"/>
          <w:sz w:val="22"/>
          <w:szCs w:val="22"/>
        </w:rPr>
        <w:t>celebrados</w:t>
      </w:r>
      <w:r w:rsidRPr="007E354F">
        <w:rPr>
          <w:rFonts w:ascii="Arial" w:hAnsi="Arial" w:cs="Arial"/>
          <w:sz w:val="22"/>
          <w:szCs w:val="22"/>
        </w:rPr>
        <w:t xml:space="preserve"> por empresas sociales del Estado, </w:t>
      </w:r>
      <w:r w:rsidRPr="007E354F" w:rsidR="0090477E">
        <w:rPr>
          <w:rFonts w:ascii="Arial" w:hAnsi="Arial" w:cs="Arial"/>
          <w:sz w:val="22"/>
          <w:szCs w:val="22"/>
        </w:rPr>
        <w:t xml:space="preserve">que tienen </w:t>
      </w:r>
      <w:r w:rsidRPr="007E354F">
        <w:rPr>
          <w:rFonts w:ascii="Arial" w:hAnsi="Arial" w:cs="Arial"/>
          <w:sz w:val="22"/>
          <w:szCs w:val="22"/>
        </w:rPr>
        <w:t>un régimen</w:t>
      </w:r>
      <w:r w:rsidRPr="007E354F" w:rsidR="00F14F7A">
        <w:rPr>
          <w:rFonts w:ascii="Arial" w:hAnsi="Arial" w:cs="Arial"/>
          <w:sz w:val="22"/>
          <w:szCs w:val="22"/>
        </w:rPr>
        <w:t xml:space="preserve"> de contratación</w:t>
      </w:r>
      <w:r w:rsidRPr="007E354F">
        <w:rPr>
          <w:rFonts w:ascii="Arial" w:hAnsi="Arial" w:cs="Arial"/>
          <w:sz w:val="22"/>
          <w:szCs w:val="22"/>
        </w:rPr>
        <w:t xml:space="preserve"> especial </w:t>
      </w:r>
      <w:r w:rsidRPr="007E354F" w:rsidR="00BA4D40">
        <w:rPr>
          <w:rFonts w:ascii="Arial" w:hAnsi="Arial" w:cs="Arial"/>
          <w:sz w:val="22"/>
          <w:szCs w:val="22"/>
        </w:rPr>
        <w:t>―</w:t>
      </w:r>
      <w:r w:rsidRPr="007E354F" w:rsidR="0090477E">
        <w:rPr>
          <w:rFonts w:ascii="Arial" w:hAnsi="Arial" w:cs="Arial"/>
          <w:sz w:val="22"/>
          <w:szCs w:val="22"/>
        </w:rPr>
        <w:t>sin perjuicio de que esto también aplique a las sometidas a la Ley 80 de 1993</w:t>
      </w:r>
      <w:r w:rsidRPr="007E354F" w:rsidR="00BA4D40">
        <w:rPr>
          <w:rFonts w:ascii="Arial" w:hAnsi="Arial" w:cs="Arial"/>
          <w:sz w:val="22"/>
          <w:szCs w:val="22"/>
        </w:rPr>
        <w:t>―,</w:t>
      </w:r>
      <w:r w:rsidRPr="007E354F" w:rsidR="0090477E">
        <w:rPr>
          <w:rFonts w:ascii="Arial" w:hAnsi="Arial" w:cs="Arial"/>
          <w:sz w:val="22"/>
          <w:szCs w:val="22"/>
        </w:rPr>
        <w:t xml:space="preserve"> </w:t>
      </w:r>
      <w:r w:rsidRPr="007E354F">
        <w:rPr>
          <w:rFonts w:ascii="Arial" w:hAnsi="Arial" w:cs="Arial"/>
          <w:sz w:val="22"/>
          <w:szCs w:val="22"/>
        </w:rPr>
        <w:t>deberán publicar</w:t>
      </w:r>
      <w:r w:rsidRPr="007E354F" w:rsidR="0090477E">
        <w:rPr>
          <w:rFonts w:ascii="Arial" w:hAnsi="Arial" w:cs="Arial"/>
          <w:sz w:val="22"/>
          <w:szCs w:val="22"/>
        </w:rPr>
        <w:t>se</w:t>
      </w:r>
      <w:r w:rsidRPr="007E354F">
        <w:rPr>
          <w:rFonts w:ascii="Arial" w:hAnsi="Arial" w:cs="Arial"/>
          <w:sz w:val="22"/>
          <w:szCs w:val="22"/>
        </w:rPr>
        <w:t xml:space="preserve"> dentro de los (3) días siguientes a su expedición, por disposición del artículo 2.2.1.1.1.7.1 del Decreto 1082 de 2015. </w:t>
      </w:r>
    </w:p>
    <w:p w:rsidRPr="007E354F" w:rsidR="0090477E" w:rsidP="0090477E" w:rsidRDefault="0090477E" w14:paraId="7E32B29F" w14:textId="77777777">
      <w:pPr>
        <w:pStyle w:val="Textonotapie"/>
        <w:spacing w:before="120" w:after="120" w:line="276" w:lineRule="auto"/>
        <w:jc w:val="both"/>
        <w:rPr>
          <w:rFonts w:ascii="Arial" w:hAnsi="Arial" w:cs="Arial"/>
          <w:sz w:val="22"/>
          <w:szCs w:val="22"/>
        </w:rPr>
      </w:pPr>
    </w:p>
    <w:p w:rsidRPr="007E354F" w:rsidR="00FA1CFD" w:rsidP="0090477E" w:rsidRDefault="00FA1CFD" w14:paraId="41080449" w14:textId="79FD1C46">
      <w:pPr>
        <w:pStyle w:val="Textonotapie"/>
        <w:spacing w:before="120" w:after="120" w:line="276" w:lineRule="auto"/>
        <w:jc w:val="both"/>
        <w:rPr>
          <w:rFonts w:ascii="Arial" w:hAnsi="Arial" w:cs="Arial"/>
          <w:sz w:val="22"/>
          <w:szCs w:val="22"/>
        </w:rPr>
      </w:pPr>
      <w:r w:rsidRPr="007E354F">
        <w:rPr>
          <w:rFonts w:ascii="Arial" w:hAnsi="Arial" w:cs="Arial"/>
          <w:sz w:val="22"/>
          <w:szCs w:val="22"/>
        </w:rPr>
        <w:t>Este concepto tiene el alcance previsto en el artículo 28 del Código de Procedimiento Administrativo y de lo Contencioso Administrativo.</w:t>
      </w:r>
    </w:p>
    <w:p w:rsidRPr="007E354F" w:rsidR="00A37FB6" w:rsidP="00F13C05" w:rsidRDefault="00A37FB6" w14:paraId="0F8C901F" w14:textId="77777777">
      <w:pPr>
        <w:spacing w:before="120" w:after="120" w:line="276" w:lineRule="auto"/>
        <w:jc w:val="both"/>
        <w:rPr>
          <w:rFonts w:ascii="Arial" w:hAnsi="Arial" w:eastAsia="Calibri" w:cs="Arial"/>
          <w:sz w:val="22"/>
        </w:rPr>
      </w:pPr>
      <w:r w:rsidRPr="007E354F">
        <w:rPr>
          <w:noProof/>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ED01F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rsidRPr="007E354F" w:rsidR="00A37FB6" w:rsidP="006C4407" w:rsidRDefault="00A37FB6" w14:paraId="1E81A930" w14:textId="77777777">
      <w:pPr>
        <w:pStyle w:val="Textonotapie"/>
        <w:spacing w:before="120" w:after="120" w:line="276" w:lineRule="auto"/>
        <w:jc w:val="both"/>
        <w:rPr>
          <w:rFonts w:ascii="Arial" w:hAnsi="Arial" w:cs="Arial"/>
          <w:sz w:val="22"/>
          <w:szCs w:val="22"/>
        </w:rPr>
      </w:pPr>
      <w:r w:rsidRPr="007E354F">
        <w:rPr>
          <w:rFonts w:ascii="Arial" w:hAnsi="Arial" w:cs="Arial"/>
          <w:sz w:val="22"/>
          <w:szCs w:val="22"/>
        </w:rPr>
        <w:t>Atentamente,</w:t>
      </w:r>
    </w:p>
    <w:p w:rsidRPr="007E354F" w:rsidR="00746E08" w:rsidP="00F13C05" w:rsidRDefault="002041FC" w14:paraId="57DD1EBD" w14:textId="440FF313">
      <w:pPr>
        <w:spacing w:before="120" w:after="120" w:line="276" w:lineRule="auto"/>
        <w:jc w:val="center"/>
        <w:rPr>
          <w:rFonts w:ascii="Arial" w:hAnsi="Arial" w:eastAsia="Times New Roman" w:cs="Arial"/>
          <w:sz w:val="18"/>
          <w:szCs w:val="20"/>
          <w:lang w:eastAsia="es-CO"/>
        </w:rPr>
      </w:pPr>
      <w:r w:rsidR="002041FC">
        <w:drawing>
          <wp:inline wp14:editId="466D5939" wp14:anchorId="7125F172">
            <wp:extent cx="2773045" cy="988695"/>
            <wp:effectExtent l="0" t="0" r="0" b="0"/>
            <wp:docPr id="1209137464" name="Imagen 3" title=""/>
            <wp:cNvGraphicFramePr>
              <a:graphicFrameLocks/>
            </wp:cNvGraphicFramePr>
            <a:graphic>
              <a:graphicData uri="http://schemas.openxmlformats.org/drawingml/2006/picture">
                <pic:pic>
                  <pic:nvPicPr>
                    <pic:cNvPr id="0" name="Imagen 3"/>
                    <pic:cNvPicPr/>
                  </pic:nvPicPr>
                  <pic:blipFill>
                    <a:blip r:embed="R8771e7733a0540a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7E354F" w:rsidR="002041FC" w:rsidP="00F13C05" w:rsidRDefault="002041FC" w14:paraId="32ECFA7E" w14:textId="77777777">
      <w:pPr>
        <w:spacing w:before="120" w:after="120" w:line="276" w:lineRule="auto"/>
        <w:jc w:val="center"/>
        <w:rPr>
          <w:rFonts w:ascii="Arial" w:hAnsi="Arial" w:eastAsia="Times New Roman" w:cs="Arial"/>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7E354F" w:rsidR="007E354F" w:rsidTr="00DC29BB" w14:paraId="469202AF" w14:textId="77777777">
        <w:trPr>
          <w:trHeight w:val="315"/>
        </w:trPr>
        <w:tc>
          <w:tcPr>
            <w:tcW w:w="812" w:type="dxa"/>
            <w:vAlign w:val="center"/>
            <w:hideMark/>
          </w:tcPr>
          <w:p w:rsidRPr="007E354F" w:rsidR="00746E08" w:rsidP="00DC29BB" w:rsidRDefault="00746E08" w14:paraId="3F62A0B3" w14:textId="77777777">
            <w:pPr>
              <w:spacing w:before="120" w:after="120"/>
              <w:rPr>
                <w:rFonts w:ascii="Arial" w:hAnsi="Arial" w:eastAsia="Times New Roman" w:cs="Arial"/>
                <w:sz w:val="16"/>
                <w:szCs w:val="16"/>
                <w:lang w:eastAsia="es-ES"/>
              </w:rPr>
            </w:pPr>
            <w:r w:rsidRPr="007E354F">
              <w:rPr>
                <w:rFonts w:ascii="Arial" w:hAnsi="Arial" w:eastAsia="Times New Roman" w:cs="Arial"/>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7E354F" w:rsidR="00DC29BB" w:rsidP="00DC29BB" w:rsidRDefault="00DC29BB" w14:paraId="74D8831D" w14:textId="4AED50D1">
            <w:pPr>
              <w:rPr>
                <w:rFonts w:ascii="Arial" w:hAnsi="Arial" w:eastAsia="Times New Roman" w:cs="Arial"/>
                <w:sz w:val="16"/>
                <w:szCs w:val="16"/>
                <w:lang w:eastAsia="es-ES"/>
              </w:rPr>
            </w:pPr>
            <w:r w:rsidRPr="007E354F">
              <w:rPr>
                <w:rFonts w:ascii="Arial" w:hAnsi="Arial" w:eastAsia="Times New Roman" w:cs="Arial"/>
                <w:sz w:val="16"/>
                <w:szCs w:val="16"/>
                <w:lang w:eastAsia="es-ES"/>
              </w:rPr>
              <w:t xml:space="preserve">Carlos Mario </w:t>
            </w:r>
            <w:r w:rsidRPr="007E354F" w:rsidR="009A0ED8">
              <w:rPr>
                <w:rFonts w:ascii="Arial" w:hAnsi="Arial" w:eastAsia="Times New Roman" w:cs="Arial"/>
                <w:sz w:val="16"/>
                <w:szCs w:val="16"/>
                <w:lang w:eastAsia="es-ES"/>
              </w:rPr>
              <w:t>Castrillón</w:t>
            </w:r>
            <w:r w:rsidRPr="007E354F">
              <w:rPr>
                <w:rFonts w:ascii="Arial" w:hAnsi="Arial" w:eastAsia="Times New Roman" w:cs="Arial"/>
                <w:sz w:val="16"/>
                <w:szCs w:val="16"/>
                <w:lang w:eastAsia="es-ES"/>
              </w:rPr>
              <w:t xml:space="preserve"> Endo</w:t>
            </w:r>
          </w:p>
          <w:p w:rsidRPr="007E354F" w:rsidR="00746E08" w:rsidP="00DC29BB" w:rsidRDefault="00DC29BB" w14:paraId="51C325E7" w14:textId="312AE207">
            <w:pPr>
              <w:rPr>
                <w:rFonts w:ascii="Arial" w:hAnsi="Arial" w:eastAsia="Times New Roman" w:cs="Arial"/>
                <w:sz w:val="16"/>
                <w:szCs w:val="16"/>
                <w:lang w:eastAsia="es-ES"/>
              </w:rPr>
            </w:pPr>
            <w:r w:rsidRPr="007E354F">
              <w:rPr>
                <w:rFonts w:ascii="Arial" w:hAnsi="Arial" w:eastAsia="Times New Roman" w:cs="Arial"/>
                <w:sz w:val="16"/>
                <w:szCs w:val="16"/>
                <w:lang w:eastAsia="es-ES"/>
              </w:rPr>
              <w:t xml:space="preserve">Contratista </w:t>
            </w:r>
          </w:p>
        </w:tc>
      </w:tr>
      <w:tr w:rsidRPr="007E354F" w:rsidR="007E354F" w:rsidTr="00DC29BB" w14:paraId="10BC78E8" w14:textId="77777777">
        <w:trPr>
          <w:trHeight w:val="330"/>
        </w:trPr>
        <w:tc>
          <w:tcPr>
            <w:tcW w:w="812" w:type="dxa"/>
            <w:vAlign w:val="center"/>
            <w:hideMark/>
          </w:tcPr>
          <w:p w:rsidRPr="007E354F" w:rsidR="00746E08" w:rsidP="00DC29BB" w:rsidRDefault="00746E08" w14:paraId="6A7DBF66" w14:textId="77777777">
            <w:pPr>
              <w:rPr>
                <w:rFonts w:ascii="Arial" w:hAnsi="Arial" w:eastAsia="Times New Roman" w:cs="Arial"/>
                <w:sz w:val="16"/>
                <w:szCs w:val="16"/>
                <w:lang w:eastAsia="es-ES"/>
              </w:rPr>
            </w:pPr>
            <w:r w:rsidRPr="007E354F">
              <w:rPr>
                <w:rFonts w:ascii="Arial" w:hAnsi="Arial" w:eastAsia="Times New Roman" w:cs="Arial"/>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7E354F" w:rsidR="00746E08" w:rsidP="00DC29BB" w:rsidRDefault="0070121F" w14:paraId="644949D7" w14:textId="0B97283E">
            <w:pPr>
              <w:rPr>
                <w:rFonts w:ascii="Arial" w:hAnsi="Arial" w:eastAsia="Times New Roman" w:cs="Arial"/>
                <w:sz w:val="16"/>
                <w:szCs w:val="16"/>
                <w:lang w:eastAsia="es-ES"/>
              </w:rPr>
            </w:pPr>
            <w:r w:rsidRPr="007E354F">
              <w:rPr>
                <w:rFonts w:ascii="Arial" w:hAnsi="Arial" w:eastAsia="Times New Roman" w:cs="Arial"/>
                <w:sz w:val="16"/>
                <w:szCs w:val="16"/>
                <w:lang w:eastAsia="es-ES"/>
              </w:rPr>
              <w:t>Sebastián Ramírez Grisales</w:t>
            </w:r>
          </w:p>
          <w:p w:rsidRPr="007E354F" w:rsidR="00746E08" w:rsidP="00DC29BB" w:rsidRDefault="0070121F" w14:paraId="19E8BD8D" w14:textId="0751CC81">
            <w:pPr>
              <w:rPr>
                <w:rFonts w:ascii="Arial" w:hAnsi="Arial" w:eastAsia="Times New Roman" w:cs="Arial"/>
                <w:sz w:val="16"/>
                <w:szCs w:val="16"/>
                <w:lang w:eastAsia="es-ES"/>
              </w:rPr>
            </w:pPr>
            <w:r w:rsidRPr="007E354F">
              <w:rPr>
                <w:rFonts w:ascii="Arial" w:hAnsi="Arial" w:eastAsia="Times New Roman" w:cs="Arial"/>
                <w:sz w:val="16"/>
                <w:szCs w:val="16"/>
                <w:lang w:eastAsia="es-ES"/>
              </w:rPr>
              <w:t>Contratista</w:t>
            </w:r>
          </w:p>
        </w:tc>
      </w:tr>
      <w:tr w:rsidRPr="007E354F" w:rsidR="0070121F" w:rsidTr="00DC29BB" w14:paraId="50741B38" w14:textId="77777777">
        <w:trPr>
          <w:trHeight w:val="300"/>
        </w:trPr>
        <w:tc>
          <w:tcPr>
            <w:tcW w:w="812" w:type="dxa"/>
            <w:vAlign w:val="center"/>
            <w:hideMark/>
          </w:tcPr>
          <w:p w:rsidRPr="007E354F" w:rsidR="0070121F" w:rsidP="0070121F" w:rsidRDefault="0070121F" w14:paraId="297715FA" w14:textId="77777777">
            <w:pPr>
              <w:spacing w:before="120" w:after="120"/>
              <w:rPr>
                <w:rFonts w:ascii="Arial" w:hAnsi="Arial" w:eastAsia="Times New Roman" w:cs="Arial"/>
                <w:sz w:val="16"/>
                <w:szCs w:val="16"/>
                <w:lang w:eastAsia="es-ES"/>
              </w:rPr>
            </w:pPr>
            <w:r w:rsidRPr="007E354F">
              <w:rPr>
                <w:rFonts w:ascii="Arial" w:hAnsi="Arial" w:eastAsia="Times New Roman" w:cs="Arial"/>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7E354F" w:rsidR="0070121F" w:rsidP="0070121F" w:rsidRDefault="00E04ED0" w14:paraId="4C57CAB5" w14:textId="7D400FB9">
            <w:pPr>
              <w:rPr>
                <w:rFonts w:ascii="Arial" w:hAnsi="Arial" w:eastAsia="Times New Roman" w:cs="Arial"/>
                <w:sz w:val="16"/>
                <w:szCs w:val="16"/>
                <w:lang w:eastAsia="es-ES"/>
              </w:rPr>
            </w:pPr>
            <w:r w:rsidRPr="007E354F">
              <w:rPr>
                <w:rFonts w:ascii="Arial" w:hAnsi="Arial" w:eastAsia="Times New Roman" w:cs="Arial"/>
                <w:sz w:val="16"/>
                <w:szCs w:val="16"/>
                <w:lang w:eastAsia="es-ES"/>
              </w:rPr>
              <w:t>Fabián Gonzalo Marín Cortés</w:t>
            </w:r>
          </w:p>
          <w:p w:rsidRPr="007E354F" w:rsidR="0070121F" w:rsidP="0070121F" w:rsidRDefault="00E04ED0" w14:paraId="17847B1F" w14:textId="1478FEAE">
            <w:pPr>
              <w:rPr>
                <w:rFonts w:ascii="Arial" w:hAnsi="Arial" w:eastAsia="Times New Roman" w:cs="Arial"/>
                <w:sz w:val="16"/>
                <w:szCs w:val="16"/>
                <w:lang w:eastAsia="es-ES"/>
              </w:rPr>
            </w:pPr>
            <w:r w:rsidRPr="007E354F">
              <w:rPr>
                <w:rFonts w:ascii="Arial" w:hAnsi="Arial" w:eastAsia="Times New Roman" w:cs="Arial"/>
                <w:sz w:val="16"/>
                <w:szCs w:val="16"/>
                <w:lang w:eastAsia="es-ES"/>
              </w:rPr>
              <w:t xml:space="preserve">Subdirector de </w:t>
            </w:r>
            <w:proofErr w:type="gramStart"/>
            <w:r w:rsidRPr="007E354F">
              <w:rPr>
                <w:rFonts w:ascii="Arial" w:hAnsi="Arial" w:eastAsia="Times New Roman" w:cs="Arial"/>
                <w:sz w:val="16"/>
                <w:szCs w:val="16"/>
                <w:lang w:eastAsia="es-ES"/>
              </w:rPr>
              <w:t>Gestión  Contractual</w:t>
            </w:r>
            <w:proofErr w:type="gramEnd"/>
          </w:p>
        </w:tc>
      </w:tr>
    </w:tbl>
    <w:p w:rsidRPr="007E354F" w:rsidR="00746E08" w:rsidP="00F13C05" w:rsidRDefault="00746E08" w14:paraId="35B56F46" w14:textId="77777777">
      <w:pPr>
        <w:spacing w:before="120" w:after="120" w:line="276" w:lineRule="auto"/>
        <w:rPr>
          <w:rFonts w:ascii="Arial" w:hAnsi="Arial" w:eastAsia="Times New Roman" w:cs="Arial"/>
          <w:sz w:val="16"/>
          <w:szCs w:val="16"/>
          <w:lang w:eastAsia="es-ES"/>
        </w:rPr>
      </w:pPr>
    </w:p>
    <w:sectPr w:rsidRPr="007E354F" w:rsidR="00746E08" w:rsidSect="005D791B">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12A5E" w:rsidRDefault="00612A5E" w14:paraId="21FF55CB" w14:textId="77777777">
      <w:r>
        <w:separator/>
      </w:r>
    </w:p>
  </w:endnote>
  <w:endnote w:type="continuationSeparator" w:id="0">
    <w:p w:rsidR="00612A5E" w:rsidRDefault="00612A5E" w14:paraId="7E6C1E30" w14:textId="77777777">
      <w:r>
        <w:continuationSeparator/>
      </w:r>
    </w:p>
  </w:endnote>
  <w:endnote w:type="continuationNotice" w:id="1">
    <w:p w:rsidR="00612A5E" w:rsidRDefault="00612A5E" w14:paraId="64DF61F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217B7" w:rsidP="00322937" w:rsidRDefault="008217B7" w14:paraId="62F02A34" w14:textId="77777777">
    <w:pPr>
      <w:pStyle w:val="Sinespaciado"/>
      <w:jc w:val="right"/>
      <w:rPr>
        <w:rFonts w:ascii="Arial" w:hAnsi="Arial" w:cs="Arial"/>
        <w:sz w:val="18"/>
        <w:szCs w:val="18"/>
      </w:rPr>
    </w:pPr>
  </w:p>
  <w:p w:rsidRPr="008217B7" w:rsidR="00FE42ED" w:rsidP="00FE42ED" w:rsidRDefault="008F538E" w14:paraId="7A3785F3" w14:textId="6C2A66C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sidR="00FE42ED">
      <w:rPr>
        <w:rFonts w:ascii="Arial" w:hAnsi="Arial" w:cs="Arial"/>
        <w:b/>
        <w:bCs/>
        <w:color w:val="7F7F7F" w:themeColor="text1" w:themeTint="80"/>
        <w:sz w:val="16"/>
        <w:szCs w:val="16"/>
      </w:rPr>
      <w:fldChar w:fldCharType="begin"/>
    </w:r>
    <w:r w:rsidRPr="00084B97" w:rsidR="00FE42ED">
      <w:rPr>
        <w:rFonts w:ascii="Arial" w:hAnsi="Arial" w:cs="Arial"/>
        <w:b/>
        <w:bCs/>
        <w:color w:val="7F7F7F" w:themeColor="text1" w:themeTint="80"/>
        <w:sz w:val="16"/>
        <w:szCs w:val="16"/>
      </w:rPr>
      <w:instrText>PAGE  \* Arabic  \* MERGEFORMAT</w:instrText>
    </w:r>
    <w:r w:rsidRPr="00084B97" w:rsidR="00FE42ED">
      <w:rPr>
        <w:rFonts w:ascii="Arial" w:hAnsi="Arial" w:cs="Arial"/>
        <w:b/>
        <w:bCs/>
        <w:color w:val="7F7F7F" w:themeColor="text1" w:themeTint="80"/>
        <w:sz w:val="16"/>
        <w:szCs w:val="16"/>
      </w:rPr>
      <w:fldChar w:fldCharType="separate"/>
    </w:r>
    <w:r w:rsidR="00597CB5">
      <w:rPr>
        <w:rFonts w:ascii="Arial" w:hAnsi="Arial" w:cs="Arial"/>
        <w:b/>
        <w:bCs/>
        <w:noProof/>
        <w:color w:val="7F7F7F" w:themeColor="text1" w:themeTint="80"/>
        <w:sz w:val="16"/>
        <w:szCs w:val="16"/>
      </w:rPr>
      <w:t>1</w:t>
    </w:r>
    <w:r w:rsidRPr="00084B97" w:rsidR="00FE42ED">
      <w:rPr>
        <w:rFonts w:ascii="Arial" w:hAnsi="Arial" w:cs="Arial"/>
        <w:b/>
        <w:bCs/>
        <w:color w:val="7F7F7F" w:themeColor="text1" w:themeTint="80"/>
        <w:sz w:val="16"/>
        <w:szCs w:val="16"/>
      </w:rPr>
      <w:fldChar w:fldCharType="end"/>
    </w:r>
    <w:r w:rsidRPr="008217B7" w:rsidR="00FE42ED">
      <w:rPr>
        <w:rFonts w:ascii="Arial" w:hAnsi="Arial" w:cs="Arial"/>
        <w:color w:val="7F7F7F" w:themeColor="text1" w:themeTint="80"/>
        <w:sz w:val="16"/>
        <w:szCs w:val="16"/>
      </w:rPr>
      <w:t xml:space="preserve"> de </w:t>
    </w:r>
    <w:r w:rsidRPr="00084B97" w:rsidR="00FE42ED">
      <w:rPr>
        <w:rFonts w:ascii="Arial" w:hAnsi="Arial" w:cs="Arial"/>
        <w:b/>
        <w:bCs/>
        <w:color w:val="7F7F7F" w:themeColor="text1" w:themeTint="80"/>
        <w:sz w:val="16"/>
        <w:szCs w:val="16"/>
      </w:rPr>
      <w:fldChar w:fldCharType="begin"/>
    </w:r>
    <w:r w:rsidRPr="00084B97" w:rsidR="00FE42ED">
      <w:rPr>
        <w:rFonts w:ascii="Arial" w:hAnsi="Arial" w:cs="Arial"/>
        <w:b/>
        <w:bCs/>
        <w:color w:val="7F7F7F" w:themeColor="text1" w:themeTint="80"/>
        <w:sz w:val="16"/>
        <w:szCs w:val="16"/>
      </w:rPr>
      <w:instrText>NUMPAGES  \* Arabic  \* MERGEFORMAT</w:instrText>
    </w:r>
    <w:r w:rsidRPr="00084B97" w:rsidR="00FE42ED">
      <w:rPr>
        <w:rFonts w:ascii="Arial" w:hAnsi="Arial" w:cs="Arial"/>
        <w:b/>
        <w:bCs/>
        <w:color w:val="7F7F7F" w:themeColor="text1" w:themeTint="80"/>
        <w:sz w:val="16"/>
        <w:szCs w:val="16"/>
      </w:rPr>
      <w:fldChar w:fldCharType="separate"/>
    </w:r>
    <w:r w:rsidR="00597CB5">
      <w:rPr>
        <w:rFonts w:ascii="Arial" w:hAnsi="Arial" w:cs="Arial"/>
        <w:b/>
        <w:bCs/>
        <w:noProof/>
        <w:color w:val="7F7F7F" w:themeColor="text1" w:themeTint="80"/>
        <w:sz w:val="16"/>
        <w:szCs w:val="16"/>
      </w:rPr>
      <w:t>14</w:t>
    </w:r>
    <w:r w:rsidRPr="00084B97" w:rsidR="00FE42ED">
      <w:rPr>
        <w:rFonts w:ascii="Arial" w:hAnsi="Arial" w:cs="Arial"/>
        <w:b/>
        <w:bCs/>
        <w:color w:val="7F7F7F" w:themeColor="text1" w:themeTint="80"/>
        <w:sz w:val="16"/>
        <w:szCs w:val="16"/>
      </w:rPr>
      <w:fldChar w:fldCharType="end"/>
    </w:r>
  </w:p>
  <w:p w:rsidR="009047C5" w:rsidP="00322937" w:rsidRDefault="1847B935" w14:paraId="48FC6A04" w14:textId="5FD1A7C9">
    <w:pPr>
      <w:pStyle w:val="Piedepgina"/>
      <w:jc w:val="center"/>
      <w:rPr>
        <w:lang w:val="es-ES"/>
      </w:rPr>
    </w:pPr>
    <w:r w:rsidR="75FF4BF0">
      <w:drawing>
        <wp:inline wp14:editId="398684DD" wp14:anchorId="608B196D">
          <wp:extent cx="3700130" cy="519139"/>
          <wp:effectExtent l="0" t="0" r="0" b="0"/>
          <wp:docPr id="1930510726" name="Imagen 3" title=""/>
          <wp:cNvGraphicFramePr>
            <a:graphicFrameLocks noChangeAspect="1"/>
          </wp:cNvGraphicFramePr>
          <a:graphic>
            <a:graphicData uri="http://schemas.openxmlformats.org/drawingml/2006/picture">
              <pic:pic>
                <pic:nvPicPr>
                  <pic:cNvPr id="0" name="Imagen 3"/>
                  <pic:cNvPicPr/>
                </pic:nvPicPr>
                <pic:blipFill>
                  <a:blip r:embed="Re738f3287e6d427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322937" w:rsidP="007B0854" w:rsidRDefault="00322937" w14:paraId="5D0E988C" w14:textId="77777777">
    <w:pPr>
      <w:pStyle w:val="Piedepgina"/>
      <w:jc w:val="center"/>
      <w:rPr>
        <w:lang w:val="es-ES"/>
      </w:rPr>
    </w:pPr>
  </w:p>
  <w:p w:rsidRPr="007B0854" w:rsidR="004A34D2" w:rsidP="007B0854" w:rsidRDefault="004A34D2"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12A5E" w:rsidRDefault="00612A5E" w14:paraId="18AA9F35" w14:textId="77777777">
      <w:r>
        <w:separator/>
      </w:r>
    </w:p>
  </w:footnote>
  <w:footnote w:type="continuationSeparator" w:id="0">
    <w:p w:rsidR="00612A5E" w:rsidRDefault="00612A5E" w14:paraId="7CB2B08E" w14:textId="77777777">
      <w:r>
        <w:continuationSeparator/>
      </w:r>
    </w:p>
  </w:footnote>
  <w:footnote w:type="continuationNotice" w:id="1">
    <w:p w:rsidR="00612A5E" w:rsidRDefault="00612A5E" w14:paraId="2E0998B9" w14:textId="77777777"/>
  </w:footnote>
  <w:footnote w:id="2">
    <w:p w:rsidRPr="00D3017A" w:rsidR="00240457" w:rsidP="00240457" w:rsidRDefault="00240457" w14:paraId="43CDBA4E" w14:textId="77777777">
      <w:pPr>
        <w:pStyle w:val="Textonotapie"/>
        <w:ind w:firstLine="708"/>
        <w:jc w:val="both"/>
        <w:rPr>
          <w:rFonts w:ascii="Arial" w:hAnsi="Arial" w:cs="Arial"/>
          <w:sz w:val="19"/>
          <w:szCs w:val="19"/>
        </w:rPr>
      </w:pPr>
      <w:r w:rsidRPr="00D3017A">
        <w:rPr>
          <w:rStyle w:val="Refdenotaalpie"/>
          <w:rFonts w:ascii="Arial" w:hAnsi="Arial" w:cs="Arial"/>
          <w:sz w:val="19"/>
          <w:szCs w:val="19"/>
        </w:rPr>
        <w:footnoteRef/>
      </w:r>
      <w:r w:rsidRPr="00D3017A">
        <w:rPr>
          <w:rFonts w:ascii="Arial" w:hAnsi="Arial" w:cs="Arial"/>
          <w:sz w:val="19"/>
          <w:szCs w:val="19"/>
        </w:rPr>
        <w:t xml:space="preserve"> Corte Constitucional. Sentencia C- 341 del 4 de junio de 2014. M. P. Mauricio González Cuervo.</w:t>
      </w:r>
    </w:p>
    <w:p w:rsidRPr="00D3017A" w:rsidR="00240457" w:rsidP="00240457" w:rsidRDefault="00240457" w14:paraId="467127B7" w14:textId="77777777">
      <w:pPr>
        <w:pStyle w:val="Textonotapie"/>
        <w:ind w:firstLine="708"/>
        <w:jc w:val="both"/>
        <w:rPr>
          <w:rFonts w:ascii="Arial" w:hAnsi="Arial" w:cs="Arial"/>
          <w:sz w:val="19"/>
          <w:szCs w:val="19"/>
          <w:lang w:val="es-CO"/>
        </w:rPr>
      </w:pPr>
    </w:p>
  </w:footnote>
  <w:footnote w:id="3">
    <w:p w:rsidRPr="00D3017A" w:rsidR="00240457" w:rsidP="00240457" w:rsidRDefault="00240457" w14:paraId="7E0D75BD" w14:textId="77777777">
      <w:pPr>
        <w:pStyle w:val="Textonotapie"/>
        <w:ind w:firstLine="708"/>
        <w:jc w:val="both"/>
        <w:rPr>
          <w:rFonts w:ascii="Arial" w:hAnsi="Arial" w:cs="Arial"/>
          <w:sz w:val="19"/>
          <w:szCs w:val="19"/>
        </w:rPr>
      </w:pPr>
      <w:r w:rsidRPr="00D3017A">
        <w:rPr>
          <w:rStyle w:val="Refdenotaalpie"/>
          <w:rFonts w:ascii="Arial" w:hAnsi="Arial" w:cs="Arial"/>
          <w:sz w:val="19"/>
          <w:szCs w:val="19"/>
        </w:rPr>
        <w:footnoteRef/>
      </w:r>
      <w:r w:rsidRPr="00D3017A">
        <w:rPr>
          <w:rFonts w:ascii="Arial" w:hAnsi="Arial" w:cs="Arial"/>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rsidRPr="00D3017A" w:rsidR="00240457" w:rsidP="00240457" w:rsidRDefault="00240457" w14:paraId="656AC0D4" w14:textId="77777777">
      <w:pPr>
        <w:pStyle w:val="Textonotapie"/>
        <w:ind w:firstLine="708"/>
        <w:jc w:val="both"/>
        <w:rPr>
          <w:rFonts w:ascii="Arial" w:hAnsi="Arial" w:cs="Arial"/>
          <w:sz w:val="19"/>
          <w:szCs w:val="19"/>
        </w:rPr>
      </w:pPr>
      <w:proofErr w:type="gramStart"/>
      <w:r w:rsidRPr="00D3017A">
        <w:rPr>
          <w:rFonts w:ascii="Arial" w:hAnsi="Arial" w:cs="Arial"/>
          <w:sz w:val="19"/>
          <w:szCs w:val="19"/>
        </w:rPr>
        <w:t>»Lo</w:t>
      </w:r>
      <w:proofErr w:type="gramEnd"/>
      <w:r w:rsidRPr="00D3017A">
        <w:rPr>
          <w:rFonts w:ascii="Arial" w:hAnsi="Arial" w:cs="Arial"/>
          <w:sz w:val="19"/>
          <w:szCs w:val="19"/>
        </w:rPr>
        <w:t xml:space="preserve"> anterior, sin perjuicio de las publicaciones previstas en el numeral 3 del artículo 30 de la Ley 80 de 1993.</w:t>
      </w:r>
    </w:p>
    <w:p w:rsidRPr="00D3017A" w:rsidR="00240457" w:rsidP="00240457" w:rsidRDefault="00240457" w14:paraId="4B7477E1" w14:textId="77777777">
      <w:pPr>
        <w:pStyle w:val="Textonotapie"/>
        <w:ind w:firstLine="708"/>
        <w:jc w:val="both"/>
        <w:rPr>
          <w:rFonts w:ascii="Arial" w:hAnsi="Arial" w:cs="Arial"/>
          <w:sz w:val="19"/>
          <w:szCs w:val="19"/>
        </w:rPr>
      </w:pPr>
      <w:proofErr w:type="gramStart"/>
      <w:r w:rsidRPr="00D3017A">
        <w:rPr>
          <w:rFonts w:ascii="Arial" w:hAnsi="Arial" w:cs="Arial"/>
          <w:sz w:val="19"/>
          <w:szCs w:val="19"/>
        </w:rPr>
        <w:t>»Con</w:t>
      </w:r>
      <w:proofErr w:type="gramEnd"/>
      <w:r w:rsidRPr="00D3017A">
        <w:rPr>
          <w:rFonts w:ascii="Arial" w:hAnsi="Arial" w:cs="Arial"/>
          <w:sz w:val="19"/>
          <w:szCs w:val="19"/>
        </w:rPr>
        <w:t xml:space="preserve"> el fin de materializar los objetivos a que se refiere el inciso anterior, el Gobierno Nacional desarrollará el Sistema Electrónico para la Contratación Pública, </w:t>
      </w:r>
      <w:proofErr w:type="spellStart"/>
      <w:r w:rsidRPr="00D3017A">
        <w:rPr>
          <w:rFonts w:ascii="Arial" w:hAnsi="Arial" w:cs="Arial"/>
          <w:sz w:val="19"/>
          <w:szCs w:val="19"/>
        </w:rPr>
        <w:t>Secop</w:t>
      </w:r>
      <w:proofErr w:type="spellEnd"/>
      <w:r w:rsidRPr="00D3017A">
        <w:rPr>
          <w:rFonts w:ascii="Arial" w:hAnsi="Arial" w:cs="Arial"/>
          <w:sz w:val="19"/>
          <w:szCs w:val="19"/>
        </w:rPr>
        <w:t xml:space="preserve">, el cual: </w:t>
      </w:r>
    </w:p>
    <w:p w:rsidRPr="00D3017A" w:rsidR="00240457" w:rsidP="00240457" w:rsidRDefault="00240457" w14:paraId="4E27DE09" w14:textId="77777777">
      <w:pPr>
        <w:pStyle w:val="Textonotapie"/>
        <w:ind w:firstLine="708"/>
        <w:jc w:val="both"/>
        <w:rPr>
          <w:rFonts w:ascii="Arial" w:hAnsi="Arial" w:cs="Arial"/>
          <w:sz w:val="19"/>
          <w:szCs w:val="19"/>
        </w:rPr>
      </w:pPr>
      <w:r w:rsidRPr="00D3017A">
        <w:rPr>
          <w:rFonts w:ascii="Arial" w:hAnsi="Arial" w:cs="Arial"/>
          <w:sz w:val="19"/>
          <w:szCs w:val="19"/>
        </w:rPr>
        <w:t>[…]</w:t>
      </w:r>
    </w:p>
    <w:p w:rsidRPr="00D3017A" w:rsidR="00240457" w:rsidP="00240457" w:rsidRDefault="00240457" w14:paraId="6A7DDD4D" w14:textId="77777777">
      <w:pPr>
        <w:pStyle w:val="Textonotapie"/>
        <w:ind w:firstLine="708"/>
        <w:jc w:val="both"/>
        <w:rPr>
          <w:rFonts w:ascii="Arial" w:hAnsi="Arial" w:cs="Arial"/>
          <w:sz w:val="19"/>
          <w:szCs w:val="19"/>
        </w:rPr>
      </w:pPr>
      <w:r w:rsidRPr="00D3017A">
        <w:rPr>
          <w:rFonts w:ascii="Arial" w:hAnsi="Arial" w:cs="Arial"/>
          <w:sz w:val="19"/>
          <w:szCs w:val="19"/>
        </w:rPr>
        <w:t xml:space="preserve">»c) Contará con la información oficial de la contratación realizada con dineros públicos, para lo cual establecerá los patrones a que haya lugar y se encargará de su difusión a través de canales electrónico». </w:t>
      </w:r>
    </w:p>
    <w:p w:rsidRPr="00D3017A" w:rsidR="00240457" w:rsidP="00240457" w:rsidRDefault="00240457" w14:paraId="799FD199" w14:textId="77777777">
      <w:pPr>
        <w:pStyle w:val="Textonotapie"/>
        <w:ind w:firstLine="708"/>
        <w:jc w:val="both"/>
        <w:rPr>
          <w:rFonts w:ascii="Arial" w:hAnsi="Arial" w:cs="Arial"/>
          <w:sz w:val="19"/>
          <w:szCs w:val="19"/>
        </w:rPr>
      </w:pPr>
    </w:p>
  </w:footnote>
  <w:footnote w:id="4">
    <w:p w:rsidRPr="00D3017A" w:rsidR="00240457" w:rsidP="00240457" w:rsidRDefault="00240457" w14:paraId="0338D9BD" w14:textId="77777777">
      <w:pPr>
        <w:pStyle w:val="Textonotapie"/>
        <w:ind w:firstLine="708"/>
        <w:jc w:val="both"/>
        <w:rPr>
          <w:rFonts w:ascii="Arial" w:hAnsi="Arial" w:cs="Arial"/>
          <w:sz w:val="19"/>
          <w:szCs w:val="19"/>
        </w:rPr>
      </w:pPr>
      <w:r w:rsidRPr="00D3017A">
        <w:rPr>
          <w:rStyle w:val="Refdenotaalpie"/>
          <w:rFonts w:ascii="Arial" w:hAnsi="Arial" w:cs="Arial"/>
          <w:sz w:val="19"/>
          <w:szCs w:val="19"/>
        </w:rPr>
        <w:footnoteRef/>
      </w:r>
      <w:r w:rsidRPr="00D3017A">
        <w:rPr>
          <w:rFonts w:ascii="Arial" w:hAnsi="Arial" w:cs="Arial"/>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rsidRPr="00D3017A" w:rsidR="00240457" w:rsidP="00240457" w:rsidRDefault="00240457" w14:paraId="3705E494" w14:textId="77777777">
      <w:pPr>
        <w:pStyle w:val="Textonotapie"/>
        <w:ind w:firstLine="708"/>
        <w:jc w:val="both"/>
        <w:rPr>
          <w:rFonts w:ascii="Arial" w:hAnsi="Arial" w:cs="Arial"/>
          <w:sz w:val="19"/>
          <w:szCs w:val="19"/>
        </w:rPr>
      </w:pPr>
    </w:p>
  </w:footnote>
  <w:footnote w:id="5">
    <w:p w:rsidRPr="00D3017A" w:rsidR="00240457" w:rsidP="00240457" w:rsidRDefault="00240457" w14:paraId="781ECF17" w14:textId="77777777">
      <w:pPr>
        <w:pStyle w:val="Textonotapie"/>
        <w:ind w:firstLine="708"/>
        <w:jc w:val="both"/>
        <w:rPr>
          <w:rFonts w:ascii="Arial" w:hAnsi="Arial" w:cs="Arial"/>
          <w:sz w:val="19"/>
          <w:szCs w:val="19"/>
        </w:rPr>
      </w:pPr>
      <w:r w:rsidRPr="00D3017A">
        <w:rPr>
          <w:rStyle w:val="Refdenotaalpie"/>
          <w:rFonts w:ascii="Arial" w:hAnsi="Arial" w:cs="Arial"/>
          <w:sz w:val="19"/>
          <w:szCs w:val="19"/>
        </w:rPr>
        <w:footnoteRef/>
      </w:r>
      <w:r w:rsidRPr="00D3017A">
        <w:rPr>
          <w:rFonts w:ascii="Arial" w:hAnsi="Arial" w:cs="Arial"/>
          <w:sz w:val="19"/>
          <w:szCs w:val="19"/>
        </w:rPr>
        <w:t xml:space="preserve"> Ley 1712 de 2014: «Artículo 5. Ámbito de aplicación. Las disposiciones de esta ley serán aplicables a las siguientes personas en calidad de sujetos obligados: </w:t>
      </w:r>
    </w:p>
    <w:p w:rsidRPr="00D3017A" w:rsidR="00240457" w:rsidP="00240457" w:rsidRDefault="00240457" w14:paraId="50FBA795" w14:textId="77777777">
      <w:pPr>
        <w:pStyle w:val="Textonotapie"/>
        <w:ind w:firstLine="708"/>
        <w:jc w:val="both"/>
        <w:rPr>
          <w:rFonts w:ascii="Arial" w:hAnsi="Arial" w:cs="Arial"/>
          <w:sz w:val="19"/>
          <w:szCs w:val="19"/>
        </w:rPr>
      </w:pPr>
      <w:r w:rsidRPr="00D3017A">
        <w:rPr>
          <w:rFonts w:ascii="Arial" w:hAnsi="Arial" w:cs="Arial"/>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rsidRPr="00D3017A" w:rsidR="00240457" w:rsidP="00240457" w:rsidRDefault="00240457" w14:paraId="6158CD47" w14:textId="77777777">
      <w:pPr>
        <w:pStyle w:val="Textonotapie"/>
        <w:jc w:val="both"/>
        <w:rPr>
          <w:rFonts w:ascii="Arial" w:hAnsi="Arial" w:cs="Arial"/>
          <w:sz w:val="19"/>
          <w:szCs w:val="19"/>
          <w:lang w:val="es-CO"/>
        </w:rPr>
      </w:pPr>
    </w:p>
  </w:footnote>
  <w:footnote w:id="6">
    <w:p w:rsidRPr="00D3017A" w:rsidR="00240457" w:rsidP="00240457" w:rsidRDefault="00240457" w14:paraId="26C807F1" w14:textId="77777777">
      <w:pPr>
        <w:pStyle w:val="Textonotapie"/>
        <w:ind w:firstLine="709"/>
        <w:jc w:val="both"/>
        <w:rPr>
          <w:rFonts w:ascii="Arial" w:hAnsi="Arial" w:cs="Arial"/>
          <w:sz w:val="19"/>
          <w:szCs w:val="19"/>
        </w:rPr>
      </w:pPr>
      <w:r w:rsidRPr="00D3017A">
        <w:rPr>
          <w:rFonts w:ascii="Arial" w:hAnsi="Arial" w:eastAsia="Times New Roman" w:cs="Arial"/>
          <w:sz w:val="19"/>
          <w:szCs w:val="19"/>
          <w:vertAlign w:val="superscript"/>
          <w:lang w:val="es-ES" w:eastAsia="es-ES"/>
        </w:rPr>
        <w:footnoteRef/>
      </w:r>
      <w:r w:rsidRPr="00D3017A">
        <w:rPr>
          <w:rFonts w:ascii="Arial" w:hAnsi="Arial" w:eastAsia="Times New Roman" w:cs="Arial"/>
          <w:sz w:val="19"/>
          <w:szCs w:val="19"/>
          <w:vertAlign w:val="superscript"/>
          <w:lang w:val="es-ES" w:eastAsia="es-ES"/>
        </w:rPr>
        <w:t xml:space="preserve"> </w:t>
      </w:r>
      <w:r w:rsidRPr="00D3017A">
        <w:rPr>
          <w:rFonts w:ascii="Arial" w:hAnsi="Arial" w:eastAsia="Times New Roman" w:cs="Arial"/>
          <w:sz w:val="19"/>
          <w:szCs w:val="19"/>
          <w:lang w:val="es-ES" w:eastAsia="es-ES"/>
        </w:rPr>
        <w:t>«</w:t>
      </w:r>
      <w:r w:rsidRPr="00D3017A">
        <w:rPr>
          <w:rFonts w:ascii="Arial" w:hAnsi="Arial" w:cs="Arial"/>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rsidRPr="00D3017A" w:rsidR="00240457" w:rsidP="00240457" w:rsidRDefault="00240457" w14:paraId="62E578A6" w14:textId="77777777">
      <w:pPr>
        <w:pStyle w:val="Textonotapie"/>
        <w:ind w:firstLine="709"/>
        <w:jc w:val="both"/>
        <w:rPr>
          <w:rFonts w:ascii="Arial" w:hAnsi="Arial" w:cs="Arial"/>
          <w:sz w:val="19"/>
          <w:szCs w:val="19"/>
        </w:rPr>
      </w:pPr>
      <w:r w:rsidRPr="00D3017A">
        <w:rPr>
          <w:rFonts w:ascii="Arial" w:hAnsi="Arial" w:cs="Arial"/>
          <w:sz w:val="19"/>
          <w:szCs w:val="19"/>
        </w:rPr>
        <w:t>[…]</w:t>
      </w:r>
    </w:p>
    <w:p w:rsidRPr="00D3017A" w:rsidR="00240457" w:rsidP="00240457" w:rsidRDefault="00240457" w14:paraId="185258D1" w14:textId="77777777">
      <w:pPr>
        <w:pStyle w:val="Textonotapie"/>
        <w:ind w:firstLine="709"/>
        <w:jc w:val="both"/>
        <w:rPr>
          <w:rFonts w:ascii="Arial" w:hAnsi="Arial" w:cs="Arial"/>
          <w:sz w:val="19"/>
          <w:szCs w:val="19"/>
        </w:rPr>
      </w:pPr>
    </w:p>
    <w:p w:rsidRPr="00D3017A" w:rsidR="00240457" w:rsidP="00240457" w:rsidRDefault="00240457" w14:paraId="2A25FB9B" w14:textId="77777777">
      <w:pPr>
        <w:pStyle w:val="Textonotapie"/>
        <w:ind w:firstLine="709"/>
        <w:jc w:val="both"/>
        <w:rPr>
          <w:rFonts w:ascii="Arial" w:hAnsi="Arial" w:eastAsia="Times New Roman" w:cs="Arial"/>
          <w:sz w:val="19"/>
          <w:szCs w:val="19"/>
          <w:lang w:val="es-ES" w:eastAsia="es-ES"/>
        </w:rPr>
      </w:pPr>
      <w:proofErr w:type="gramStart"/>
      <w:r w:rsidRPr="00D3017A">
        <w:rPr>
          <w:rFonts w:ascii="Arial" w:hAnsi="Arial" w:eastAsia="Times New Roman" w:cs="Arial"/>
          <w:sz w:val="19"/>
          <w:szCs w:val="19"/>
          <w:lang w:val="es-ES" w:eastAsia="es-ES"/>
        </w:rPr>
        <w:t>»Los</w:t>
      </w:r>
      <w:proofErr w:type="gramEnd"/>
      <w:r w:rsidRPr="00D3017A">
        <w:rPr>
          <w:rFonts w:ascii="Arial" w:hAnsi="Arial" w:eastAsia="Times New Roman" w:cs="Arial"/>
          <w:sz w:val="19"/>
          <w:szCs w:val="19"/>
          <w:lang w:val="es-ES" w:eastAsia="es-ES"/>
        </w:rPr>
        <w:t xml:space="preserve"> sujetos obligados que contratan con recursos públicos y recursos privados, deben publicar la información de su gestión contractual con cargo a recursos públicos en el Sistema Electrónico para la Contratación Pública [SECOP]».</w:t>
      </w:r>
    </w:p>
    <w:p w:rsidRPr="00D3017A" w:rsidR="00240457" w:rsidP="00240457" w:rsidRDefault="00240457" w14:paraId="0E322D32" w14:textId="77777777">
      <w:pPr>
        <w:pStyle w:val="Textonotapie"/>
        <w:ind w:firstLine="709"/>
        <w:jc w:val="both"/>
        <w:rPr>
          <w:rFonts w:ascii="Arial" w:hAnsi="Arial" w:eastAsia="Times New Roman" w:cs="Arial"/>
          <w:sz w:val="19"/>
          <w:szCs w:val="19"/>
          <w:lang w:val="es-ES" w:eastAsia="es-ES"/>
        </w:rPr>
      </w:pPr>
    </w:p>
  </w:footnote>
  <w:footnote w:id="7">
    <w:p w:rsidRPr="00D3017A" w:rsidR="00240457" w:rsidP="00240457" w:rsidRDefault="00240457" w14:paraId="35FCA05F" w14:textId="77777777">
      <w:pPr>
        <w:pStyle w:val="Textonotapie"/>
        <w:ind w:firstLine="708"/>
        <w:jc w:val="both"/>
        <w:rPr>
          <w:rFonts w:ascii="Arial" w:hAnsi="Arial" w:eastAsia="Times New Roman" w:cs="Arial"/>
          <w:sz w:val="19"/>
          <w:szCs w:val="19"/>
          <w:lang w:val="es-ES" w:eastAsia="es-ES"/>
        </w:rPr>
      </w:pPr>
      <w:r w:rsidRPr="00D3017A">
        <w:rPr>
          <w:rStyle w:val="Refdenotaalpie"/>
          <w:rFonts w:ascii="Arial" w:hAnsi="Arial" w:cs="Arial"/>
          <w:sz w:val="19"/>
          <w:szCs w:val="19"/>
        </w:rPr>
        <w:footnoteRef/>
      </w:r>
      <w:r w:rsidRPr="00D3017A">
        <w:rPr>
          <w:rFonts w:ascii="Arial" w:hAnsi="Arial" w:cs="Arial"/>
          <w:sz w:val="19"/>
          <w:szCs w:val="19"/>
        </w:rPr>
        <w:t xml:space="preserve"> C</w:t>
      </w:r>
      <w:proofErr w:type="spellStart"/>
      <w:r w:rsidRPr="00D3017A">
        <w:rPr>
          <w:rFonts w:ascii="Arial" w:hAnsi="Arial" w:eastAsia="Times New Roman" w:cs="Arial"/>
          <w:sz w:val="19"/>
          <w:szCs w:val="19"/>
          <w:lang w:val="es-ES" w:eastAsia="es-ES"/>
        </w:rPr>
        <w:t>orte</w:t>
      </w:r>
      <w:proofErr w:type="spellEnd"/>
      <w:r w:rsidRPr="00D3017A">
        <w:rPr>
          <w:rFonts w:ascii="Arial" w:hAnsi="Arial" w:eastAsia="Times New Roman" w:cs="Arial"/>
          <w:sz w:val="19"/>
          <w:szCs w:val="19"/>
          <w:lang w:val="es-ES" w:eastAsia="es-ES"/>
        </w:rPr>
        <w:t xml:space="preserve"> Constitucional. Sentencia C─274 de 9 de mayo de 2013. M.P. María Victoria Calle Correa. </w:t>
      </w:r>
    </w:p>
    <w:p w:rsidRPr="00D3017A" w:rsidR="00240457" w:rsidP="00240457" w:rsidRDefault="00240457" w14:paraId="37A121BF" w14:textId="77777777">
      <w:pPr>
        <w:pStyle w:val="Textonotapie"/>
        <w:ind w:firstLine="708"/>
        <w:jc w:val="both"/>
        <w:rPr>
          <w:rFonts w:ascii="Arial" w:hAnsi="Arial" w:eastAsia="Times New Roman" w:cs="Arial"/>
          <w:sz w:val="19"/>
          <w:szCs w:val="19"/>
          <w:lang w:val="es-ES" w:eastAsia="es-ES"/>
        </w:rPr>
      </w:pPr>
    </w:p>
  </w:footnote>
  <w:footnote w:id="8">
    <w:p w:rsidRPr="00D3017A" w:rsidR="00240457" w:rsidP="00240457" w:rsidRDefault="00240457" w14:paraId="3B986FEF" w14:textId="77777777">
      <w:pPr>
        <w:pStyle w:val="Textonotapie"/>
        <w:ind w:firstLine="708"/>
        <w:jc w:val="both"/>
        <w:rPr>
          <w:rFonts w:ascii="Arial" w:hAnsi="Arial" w:cs="Arial"/>
          <w:sz w:val="19"/>
          <w:szCs w:val="19"/>
          <w:lang w:val="es-CO"/>
        </w:rPr>
      </w:pPr>
      <w:r w:rsidRPr="00D3017A">
        <w:rPr>
          <w:rStyle w:val="Refdenotaalpie"/>
          <w:rFonts w:ascii="Arial" w:hAnsi="Arial" w:cs="Arial"/>
          <w:sz w:val="19"/>
          <w:szCs w:val="19"/>
        </w:rPr>
        <w:footnoteRef/>
      </w:r>
      <w:r w:rsidRPr="00D3017A">
        <w:rPr>
          <w:rFonts w:ascii="Arial" w:hAnsi="Arial" w:cs="Arial"/>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9">
    <w:p w:rsidRPr="00D3017A" w:rsidR="00240457" w:rsidP="00240457" w:rsidRDefault="00240457" w14:paraId="620AEB9B" w14:textId="77777777">
      <w:pPr>
        <w:pStyle w:val="Textonotapie"/>
        <w:ind w:firstLine="708"/>
        <w:jc w:val="both"/>
        <w:rPr>
          <w:rFonts w:ascii="Arial" w:hAnsi="Arial" w:cs="Arial"/>
          <w:sz w:val="19"/>
          <w:szCs w:val="19"/>
        </w:rPr>
      </w:pPr>
      <w:r w:rsidRPr="00D3017A">
        <w:rPr>
          <w:rStyle w:val="Refdenotaalpie"/>
          <w:rFonts w:ascii="Arial" w:hAnsi="Arial" w:cs="Arial"/>
          <w:sz w:val="19"/>
          <w:szCs w:val="19"/>
        </w:rPr>
        <w:footnoteRef/>
      </w:r>
      <w:r w:rsidRPr="00D3017A">
        <w:rPr>
          <w:rFonts w:ascii="Arial" w:hAnsi="Arial" w:cs="Arial"/>
          <w:sz w:val="19"/>
          <w:szCs w:val="19"/>
        </w:rPr>
        <w:t xml:space="preserve"> Consejo de Estado. Sección Tercera. Auto del 14 de agosto de 2017.  </w:t>
      </w:r>
      <w:proofErr w:type="spellStart"/>
      <w:r w:rsidRPr="00D3017A">
        <w:rPr>
          <w:rFonts w:ascii="Arial" w:hAnsi="Arial" w:cs="Arial"/>
          <w:sz w:val="19"/>
          <w:szCs w:val="19"/>
        </w:rPr>
        <w:t>Exp</w:t>
      </w:r>
      <w:proofErr w:type="spellEnd"/>
      <w:r w:rsidRPr="00D3017A">
        <w:rPr>
          <w:rFonts w:ascii="Arial" w:hAnsi="Arial" w:cs="Arial"/>
          <w:sz w:val="19"/>
          <w:szCs w:val="19"/>
        </w:rPr>
        <w:t xml:space="preserve">: 58.820. C.P. Jaime Orlando Santofimio Gamboa. </w:t>
      </w:r>
    </w:p>
    <w:p w:rsidRPr="00D3017A" w:rsidR="00240457" w:rsidP="00240457" w:rsidRDefault="00240457" w14:paraId="57FD7399" w14:textId="77777777">
      <w:pPr>
        <w:pStyle w:val="Textonotapie"/>
        <w:ind w:firstLine="708"/>
        <w:jc w:val="both"/>
        <w:rPr>
          <w:rFonts w:ascii="Arial" w:hAnsi="Arial" w:cs="Arial"/>
          <w:sz w:val="19"/>
          <w:szCs w:val="19"/>
          <w:lang w:val="es-CO"/>
        </w:rPr>
      </w:pPr>
    </w:p>
  </w:footnote>
  <w:footnote w:id="10">
    <w:p w:rsidRPr="00D3017A" w:rsidR="00240457" w:rsidP="00240457" w:rsidRDefault="00240457" w14:paraId="314889B4" w14:textId="77777777">
      <w:pPr>
        <w:pStyle w:val="Prrafodelista"/>
        <w:ind w:left="0" w:firstLine="708"/>
        <w:contextualSpacing w:val="0"/>
        <w:jc w:val="both"/>
        <w:rPr>
          <w:rFonts w:ascii="Arial" w:hAnsi="Arial" w:cs="Arial"/>
          <w:bCs/>
          <w:sz w:val="19"/>
          <w:szCs w:val="19"/>
          <w:lang w:val="es-ES"/>
        </w:rPr>
      </w:pPr>
      <w:r w:rsidRPr="00D3017A">
        <w:rPr>
          <w:rStyle w:val="Refdenotaalpie"/>
          <w:rFonts w:ascii="Arial" w:hAnsi="Arial" w:cs="Arial"/>
          <w:sz w:val="19"/>
          <w:szCs w:val="19"/>
        </w:rPr>
        <w:footnoteRef/>
      </w:r>
      <w:r w:rsidRPr="00D3017A">
        <w:rPr>
          <w:rFonts w:ascii="Arial" w:hAnsi="Arial" w:cs="Arial"/>
          <w:sz w:val="19"/>
          <w:szCs w:val="19"/>
        </w:rPr>
        <w:t xml:space="preserve"> </w:t>
      </w:r>
      <w:r w:rsidRPr="00D3017A">
        <w:rPr>
          <w:rFonts w:ascii="Arial" w:hAnsi="Arial" w:cs="Arial"/>
          <w:bCs/>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rsidRPr="00D3017A" w:rsidR="00240457" w:rsidP="00240457" w:rsidRDefault="00240457" w14:paraId="46D77F0E" w14:textId="77777777">
      <w:pPr>
        <w:pStyle w:val="Textonotapie"/>
        <w:ind w:firstLine="708"/>
        <w:jc w:val="both"/>
        <w:rPr>
          <w:rFonts w:ascii="Arial" w:hAnsi="Arial" w:cs="Arial"/>
          <w:sz w:val="19"/>
          <w:szCs w:val="19"/>
          <w:lang w:val="es-ES"/>
        </w:rPr>
      </w:pPr>
    </w:p>
  </w:footnote>
  <w:footnote w:id="11">
    <w:p w:rsidRPr="00D3017A" w:rsidR="00240457" w:rsidP="00240457" w:rsidRDefault="00240457" w14:paraId="54320C8F" w14:textId="77777777">
      <w:pPr>
        <w:pStyle w:val="Textonotapie"/>
        <w:ind w:firstLine="708"/>
        <w:jc w:val="both"/>
        <w:rPr>
          <w:rFonts w:ascii="Arial" w:hAnsi="Arial" w:cs="Arial"/>
          <w:sz w:val="19"/>
          <w:szCs w:val="19"/>
        </w:rPr>
      </w:pPr>
      <w:r w:rsidRPr="00D3017A">
        <w:rPr>
          <w:rStyle w:val="Refdenotaalpie"/>
          <w:rFonts w:ascii="Arial" w:hAnsi="Arial" w:cs="Arial"/>
          <w:sz w:val="19"/>
          <w:szCs w:val="19"/>
        </w:rPr>
        <w:footnoteRef/>
      </w:r>
      <w:r w:rsidRPr="00D3017A">
        <w:rPr>
          <w:rFonts w:ascii="Arial" w:hAnsi="Arial" w:cs="Arial"/>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rsidRPr="00D3017A" w:rsidR="00240457" w:rsidP="00240457" w:rsidRDefault="00240457" w14:paraId="1F18A6F0" w14:textId="77777777">
      <w:pPr>
        <w:pStyle w:val="Textonotapie"/>
        <w:ind w:firstLine="708"/>
        <w:jc w:val="both"/>
        <w:rPr>
          <w:rFonts w:ascii="Arial" w:hAnsi="Arial" w:eastAsia="Times New Roman" w:cs="Arial"/>
          <w:sz w:val="19"/>
          <w:szCs w:val="19"/>
          <w:lang w:val="es-ES" w:eastAsia="es-ES"/>
        </w:rPr>
      </w:pPr>
      <w:proofErr w:type="gramStart"/>
      <w:r w:rsidRPr="00D3017A">
        <w:rPr>
          <w:rFonts w:ascii="Arial" w:hAnsi="Arial" w:cs="Arial"/>
          <w:sz w:val="19"/>
          <w:szCs w:val="19"/>
          <w:lang w:val="es-ES"/>
        </w:rPr>
        <w:t>»</w:t>
      </w:r>
      <w:r w:rsidRPr="00D3017A">
        <w:rPr>
          <w:rFonts w:ascii="Arial" w:hAnsi="Arial" w:cs="Arial"/>
          <w:sz w:val="19"/>
          <w:szCs w:val="19"/>
        </w:rPr>
        <w:t>Así</w:t>
      </w:r>
      <w:proofErr w:type="gramEnd"/>
      <w:r w:rsidRPr="00D3017A">
        <w:rPr>
          <w:rFonts w:ascii="Arial" w:hAnsi="Arial" w:cs="Arial"/>
          <w:sz w:val="19"/>
          <w:szCs w:val="19"/>
        </w:rPr>
        <w:t xml:space="preserve">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footnote>
  <w:footnote w:id="12">
    <w:p w:rsidRPr="00D3017A" w:rsidR="00240457" w:rsidP="00240457" w:rsidRDefault="00240457" w14:paraId="0FC908A0" w14:textId="77777777">
      <w:pPr>
        <w:pStyle w:val="Textonotapie"/>
        <w:ind w:firstLine="708"/>
        <w:jc w:val="both"/>
        <w:rPr>
          <w:rFonts w:ascii="Arial" w:hAnsi="Arial" w:cs="Arial"/>
          <w:sz w:val="19"/>
          <w:szCs w:val="19"/>
        </w:rPr>
      </w:pPr>
      <w:r w:rsidRPr="00D3017A">
        <w:rPr>
          <w:rStyle w:val="Refdenotaalpie"/>
          <w:rFonts w:ascii="Arial" w:hAnsi="Arial" w:cs="Arial"/>
          <w:sz w:val="19"/>
          <w:szCs w:val="19"/>
        </w:rPr>
        <w:footnoteRef/>
      </w:r>
      <w:r w:rsidRPr="00D3017A">
        <w:rPr>
          <w:rFonts w:ascii="Arial" w:hAnsi="Arial" w:cs="Arial"/>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rsidRPr="00D3017A" w:rsidR="00240457" w:rsidP="00240457" w:rsidRDefault="00240457" w14:paraId="2E5CA7E2" w14:textId="77777777">
      <w:pPr>
        <w:pStyle w:val="Textonotapie"/>
        <w:ind w:firstLine="708"/>
        <w:jc w:val="both"/>
        <w:rPr>
          <w:rFonts w:ascii="Arial" w:hAnsi="Arial" w:cs="Arial"/>
          <w:sz w:val="19"/>
          <w:szCs w:val="19"/>
        </w:rPr>
      </w:pPr>
    </w:p>
  </w:footnote>
  <w:footnote w:id="13">
    <w:p w:rsidRPr="00D3017A" w:rsidR="00240457" w:rsidP="00240457" w:rsidRDefault="00240457" w14:paraId="33A16710" w14:textId="77777777">
      <w:pPr>
        <w:pStyle w:val="Textonotapie"/>
        <w:ind w:firstLine="708"/>
        <w:jc w:val="both"/>
        <w:rPr>
          <w:rFonts w:ascii="Arial" w:hAnsi="Arial" w:cs="Arial"/>
          <w:sz w:val="19"/>
          <w:szCs w:val="19"/>
        </w:rPr>
      </w:pPr>
      <w:r w:rsidRPr="00D3017A">
        <w:rPr>
          <w:rStyle w:val="Refdenotaalpie"/>
          <w:rFonts w:ascii="Arial" w:hAnsi="Arial" w:cs="Arial"/>
          <w:sz w:val="19"/>
          <w:szCs w:val="19"/>
        </w:rPr>
        <w:footnoteRef/>
      </w:r>
      <w:r w:rsidRPr="00D3017A">
        <w:rPr>
          <w:rFonts w:ascii="Arial" w:hAnsi="Arial" w:cs="Arial"/>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rsidRPr="00D3017A" w:rsidR="00240457" w:rsidP="00240457" w:rsidRDefault="00240457" w14:paraId="51FBA21C" w14:textId="77777777">
      <w:pPr>
        <w:pStyle w:val="Textonotapie"/>
        <w:ind w:firstLine="708"/>
        <w:jc w:val="both"/>
        <w:rPr>
          <w:rFonts w:ascii="Arial" w:hAnsi="Arial" w:cs="Arial"/>
          <w:sz w:val="19"/>
          <w:szCs w:val="19"/>
        </w:rPr>
      </w:pPr>
    </w:p>
  </w:footnote>
  <w:footnote w:id="14">
    <w:p w:rsidRPr="00D3017A" w:rsidR="00240457" w:rsidP="00240457" w:rsidRDefault="00240457" w14:paraId="3D86E915" w14:textId="77777777">
      <w:pPr>
        <w:pStyle w:val="Textonotapie"/>
        <w:ind w:firstLine="708"/>
        <w:jc w:val="both"/>
        <w:rPr>
          <w:rFonts w:ascii="Arial" w:hAnsi="Arial" w:cs="Arial"/>
          <w:sz w:val="19"/>
          <w:szCs w:val="19"/>
        </w:rPr>
      </w:pPr>
      <w:r w:rsidRPr="00D3017A">
        <w:rPr>
          <w:rStyle w:val="Refdenotaalpie"/>
          <w:rFonts w:ascii="Arial" w:hAnsi="Arial" w:cs="Arial"/>
          <w:sz w:val="19"/>
          <w:szCs w:val="19"/>
        </w:rPr>
        <w:footnoteRef/>
      </w:r>
      <w:r w:rsidRPr="00D3017A">
        <w:rPr>
          <w:rFonts w:ascii="Arial" w:hAnsi="Arial" w:cs="Arial"/>
          <w:sz w:val="19"/>
          <w:szCs w:val="19"/>
        </w:rPr>
        <w:t xml:space="preserve"> Decreto 103 de 2015: «Artículo 10. Publicación del Plan Anual de Adquisiciones. Los sujetos obligados que contratan con cargo a recursos públicos deben publicar en su página web y en el </w:t>
      </w:r>
      <w:proofErr w:type="spellStart"/>
      <w:r w:rsidRPr="00D3017A">
        <w:rPr>
          <w:rFonts w:ascii="Arial" w:hAnsi="Arial" w:cs="Arial"/>
          <w:sz w:val="19"/>
          <w:szCs w:val="19"/>
        </w:rPr>
        <w:t>Secop</w:t>
      </w:r>
      <w:proofErr w:type="spellEnd"/>
      <w:r w:rsidRPr="00D3017A">
        <w:rPr>
          <w:rFonts w:ascii="Arial" w:hAnsi="Arial" w:cs="Arial"/>
          <w:sz w:val="19"/>
          <w:szCs w:val="19"/>
        </w:rPr>
        <w:t xml:space="preserve"> el Plan Anual de Adquisiciones, de acuerdo con lo previsto en el artículo 74 de la Ley 1474 de 2011, el literal e) del artículo 9° de la Ley 1712 de 2014 y el Decreto 1510 de 2013, o el que lo modifique, sustituya o adicione.</w:t>
      </w:r>
    </w:p>
    <w:p w:rsidRPr="00D3017A" w:rsidR="00240457" w:rsidP="00240457" w:rsidRDefault="00240457" w14:paraId="7BA8AD75" w14:textId="77777777">
      <w:pPr>
        <w:pStyle w:val="Textonotapie"/>
        <w:ind w:firstLine="708"/>
        <w:jc w:val="both"/>
        <w:rPr>
          <w:rFonts w:ascii="Arial" w:hAnsi="Arial" w:cs="Arial"/>
          <w:sz w:val="19"/>
          <w:szCs w:val="19"/>
        </w:rPr>
      </w:pPr>
      <w:proofErr w:type="gramStart"/>
      <w:r w:rsidRPr="00D3017A">
        <w:rPr>
          <w:rFonts w:ascii="Arial" w:hAnsi="Arial" w:cs="Arial"/>
          <w:sz w:val="19"/>
          <w:szCs w:val="19"/>
          <w:lang w:val="es-ES"/>
        </w:rPr>
        <w:t>»</w:t>
      </w:r>
      <w:r w:rsidRPr="00D3017A">
        <w:rPr>
          <w:rFonts w:ascii="Arial" w:hAnsi="Arial" w:cs="Arial"/>
          <w:sz w:val="19"/>
          <w:szCs w:val="19"/>
        </w:rPr>
        <w:t>Los</w:t>
      </w:r>
      <w:proofErr w:type="gramEnd"/>
      <w:r w:rsidRPr="00D3017A">
        <w:rPr>
          <w:rFonts w:ascii="Arial" w:hAnsi="Arial" w:cs="Arial"/>
          <w:sz w:val="19"/>
          <w:szCs w:val="19"/>
        </w:rPr>
        <w:t xml:space="preserve"> sujetos obligados que no contratan con cargo a recursos públicos no están obligados a publicar su Plan Anual de Adquisiciones.</w:t>
      </w:r>
    </w:p>
    <w:p w:rsidRPr="00D3017A" w:rsidR="00240457" w:rsidP="00240457" w:rsidRDefault="00240457" w14:paraId="111351C0" w14:textId="77777777">
      <w:pPr>
        <w:pStyle w:val="Textonotapie"/>
        <w:ind w:firstLine="708"/>
        <w:jc w:val="both"/>
        <w:rPr>
          <w:rFonts w:ascii="Arial" w:hAnsi="Arial" w:cs="Arial"/>
          <w:sz w:val="19"/>
          <w:szCs w:val="19"/>
        </w:rPr>
      </w:pPr>
      <w:proofErr w:type="gramStart"/>
      <w:r w:rsidRPr="00D3017A">
        <w:rPr>
          <w:rFonts w:ascii="Arial" w:hAnsi="Arial" w:cs="Arial"/>
          <w:sz w:val="19"/>
          <w:szCs w:val="19"/>
          <w:lang w:val="es-ES"/>
        </w:rPr>
        <w:t>»</w:t>
      </w:r>
      <w:r w:rsidRPr="00D3017A">
        <w:rPr>
          <w:rFonts w:ascii="Arial" w:hAnsi="Arial" w:cs="Arial"/>
          <w:sz w:val="19"/>
          <w:szCs w:val="19"/>
        </w:rPr>
        <w:t>Los</w:t>
      </w:r>
      <w:proofErr w:type="gramEnd"/>
      <w:r w:rsidRPr="00D3017A">
        <w:rPr>
          <w:rFonts w:ascii="Arial" w:hAnsi="Arial" w:cs="Arial"/>
          <w:sz w:val="19"/>
          <w:szCs w:val="19"/>
        </w:rPr>
        <w:t xml:space="preserve"> sujetos obligados que contratan con cargo a recursos públicos y recursos privados, deben publicar en su página web y en el SECOP el Plan Anual de Adquisiciones para los recursos de carácter público que ejecutarán en el año.</w:t>
      </w:r>
    </w:p>
    <w:p w:rsidRPr="00D3017A" w:rsidR="00240457" w:rsidP="00240457" w:rsidRDefault="00240457" w14:paraId="2D33EA20" w14:textId="77777777">
      <w:pPr>
        <w:pStyle w:val="Textonotapie"/>
        <w:ind w:firstLine="708"/>
        <w:jc w:val="both"/>
        <w:rPr>
          <w:rFonts w:ascii="Arial" w:hAnsi="Arial" w:cs="Arial"/>
          <w:sz w:val="19"/>
          <w:szCs w:val="19"/>
        </w:rPr>
      </w:pPr>
      <w:proofErr w:type="gramStart"/>
      <w:r w:rsidRPr="00D3017A">
        <w:rPr>
          <w:rFonts w:ascii="Arial" w:hAnsi="Arial" w:cs="Arial"/>
          <w:sz w:val="19"/>
          <w:szCs w:val="19"/>
          <w:lang w:val="es-ES"/>
        </w:rPr>
        <w:t>»</w:t>
      </w:r>
      <w:r w:rsidRPr="00D3017A">
        <w:rPr>
          <w:rFonts w:ascii="Arial" w:hAnsi="Arial" w:cs="Arial"/>
          <w:sz w:val="19"/>
          <w:szCs w:val="19"/>
        </w:rPr>
        <w:t>Se</w:t>
      </w:r>
      <w:proofErr w:type="gramEnd"/>
      <w:r w:rsidRPr="00D3017A">
        <w:rPr>
          <w:rFonts w:ascii="Arial" w:hAnsi="Arial" w:cs="Arial"/>
          <w:sz w:val="19"/>
          <w:szCs w:val="19"/>
        </w:rPr>
        <w:t xml:space="preserve"> entenderá como definición de Plan Anual de Adquisiciones respecto a todos los sujetos obligados que contratan con recursos públicos, la prevista en el artículo 3° del Decreto 1510 de 2013, o el que lo modifique, sustituya o adicione».</w:t>
      </w:r>
    </w:p>
  </w:footnote>
  <w:footnote w:id="15">
    <w:p w:rsidRPr="00D3017A" w:rsidR="00240457" w:rsidP="00240457" w:rsidRDefault="00240457" w14:paraId="3BA98A05" w14:textId="77777777">
      <w:pPr>
        <w:pStyle w:val="Textonotapie"/>
        <w:ind w:firstLine="708"/>
        <w:jc w:val="both"/>
        <w:rPr>
          <w:rFonts w:ascii="Arial" w:hAnsi="Arial" w:cs="Arial"/>
          <w:sz w:val="19"/>
          <w:szCs w:val="19"/>
        </w:rPr>
      </w:pPr>
      <w:r w:rsidRPr="00D3017A">
        <w:rPr>
          <w:rStyle w:val="Refdenotaalpie"/>
          <w:rFonts w:ascii="Arial" w:hAnsi="Arial" w:cs="Arial"/>
          <w:sz w:val="19"/>
          <w:szCs w:val="19"/>
        </w:rPr>
        <w:footnoteRef/>
      </w:r>
      <w:r w:rsidRPr="00D3017A">
        <w:rPr>
          <w:rFonts w:ascii="Arial" w:hAnsi="Arial" w:cs="Arial"/>
          <w:sz w:val="19"/>
          <w:szCs w:val="19"/>
        </w:rPr>
        <w:t xml:space="preserve"> 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rsidRPr="00D3017A" w:rsidR="00240457" w:rsidP="00240457" w:rsidRDefault="00240457" w14:paraId="7220A4BA" w14:textId="77777777">
      <w:pPr>
        <w:pStyle w:val="Textonotapie"/>
        <w:ind w:firstLine="708"/>
        <w:jc w:val="both"/>
        <w:rPr>
          <w:rFonts w:ascii="Arial" w:hAnsi="Arial" w:cs="Arial"/>
          <w:sz w:val="19"/>
          <w:szCs w:val="19"/>
        </w:rPr>
      </w:pPr>
      <w:proofErr w:type="gramStart"/>
      <w:r w:rsidRPr="00D3017A">
        <w:rPr>
          <w:rFonts w:ascii="Arial" w:hAnsi="Arial" w:eastAsia="Calibri" w:cs="Arial"/>
          <w:sz w:val="19"/>
          <w:szCs w:val="19"/>
        </w:rPr>
        <w:t>»</w:t>
      </w:r>
      <w:r w:rsidRPr="00D3017A">
        <w:rPr>
          <w:rFonts w:ascii="Arial" w:hAnsi="Arial" w:cs="Arial"/>
          <w:sz w:val="19"/>
          <w:szCs w:val="19"/>
        </w:rPr>
        <w:t>En</w:t>
      </w:r>
      <w:proofErr w:type="gramEnd"/>
      <w:r w:rsidRPr="00D3017A">
        <w:rPr>
          <w:rFonts w:ascii="Arial" w:hAnsi="Arial" w:cs="Arial"/>
          <w:sz w:val="19"/>
          <w:szCs w:val="19"/>
        </w:rPr>
        <w:t xml:space="preserve">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rsidRPr="00D3017A" w:rsidR="00240457" w:rsidP="00240457" w:rsidRDefault="00240457" w14:paraId="695C5546" w14:textId="77777777">
      <w:pPr>
        <w:pStyle w:val="Textonotapie"/>
        <w:ind w:firstLine="708"/>
        <w:jc w:val="both"/>
        <w:rPr>
          <w:rFonts w:ascii="Arial" w:hAnsi="Arial" w:cs="Arial"/>
          <w:sz w:val="19"/>
          <w:szCs w:val="19"/>
          <w:lang w:val="es-CO"/>
        </w:rPr>
      </w:pPr>
    </w:p>
  </w:footnote>
  <w:footnote w:id="16">
    <w:p w:rsidRPr="00D3017A" w:rsidR="00240457" w:rsidP="00240457" w:rsidRDefault="00240457" w14:paraId="1640593D" w14:textId="77777777">
      <w:pPr>
        <w:pStyle w:val="Textonotapie"/>
        <w:ind w:firstLine="709"/>
        <w:jc w:val="both"/>
        <w:rPr>
          <w:rFonts w:ascii="Arial" w:hAnsi="Arial" w:cs="Arial"/>
          <w:sz w:val="19"/>
          <w:szCs w:val="19"/>
        </w:rPr>
      </w:pPr>
      <w:r w:rsidRPr="00D3017A">
        <w:rPr>
          <w:rStyle w:val="Refdenotaalpie"/>
          <w:rFonts w:ascii="Arial" w:hAnsi="Arial" w:cs="Arial"/>
          <w:sz w:val="19"/>
          <w:szCs w:val="19"/>
        </w:rPr>
        <w:footnoteRef/>
      </w:r>
      <w:r w:rsidRPr="00D3017A">
        <w:rPr>
          <w:rFonts w:ascii="Arial" w:hAnsi="Arial" w:cs="Arial"/>
          <w:sz w:val="19"/>
          <w:szCs w:val="19"/>
        </w:rPr>
        <w:t xml:space="preserve"> Circular Externa Única: «Numeral 1.2 Oportunidad en la publicación de la información en el SECOP: Las Entidades que aún utilizan el SECOP I están obligadas a publicar en el SECOP los Documentos del Proceso dentro de los tres (3) días siguientes a su expedición.</w:t>
      </w:r>
    </w:p>
    <w:p w:rsidRPr="00D3017A" w:rsidR="00240457" w:rsidP="00240457" w:rsidRDefault="00240457" w14:paraId="3DAC47D6" w14:textId="77777777">
      <w:pPr>
        <w:pStyle w:val="Textonotapie"/>
        <w:ind w:firstLine="709"/>
        <w:jc w:val="both"/>
        <w:rPr>
          <w:rFonts w:ascii="Arial" w:hAnsi="Arial" w:cs="Arial"/>
          <w:sz w:val="19"/>
          <w:szCs w:val="19"/>
        </w:rPr>
      </w:pPr>
      <w:proofErr w:type="gramStart"/>
      <w:r w:rsidRPr="00D3017A">
        <w:rPr>
          <w:rFonts w:ascii="Arial" w:hAnsi="Arial" w:eastAsia="Calibri" w:cs="Arial"/>
          <w:sz w:val="19"/>
          <w:szCs w:val="19"/>
        </w:rPr>
        <w:t>»</w:t>
      </w:r>
      <w:r w:rsidRPr="00D3017A">
        <w:rPr>
          <w:rFonts w:ascii="Arial" w:hAnsi="Arial" w:cs="Arial"/>
          <w:sz w:val="19"/>
          <w:szCs w:val="19"/>
        </w:rPr>
        <w:t>La</w:t>
      </w:r>
      <w:proofErr w:type="gramEnd"/>
      <w:r w:rsidRPr="00D3017A">
        <w:rPr>
          <w:rFonts w:ascii="Arial" w:hAnsi="Arial" w:cs="Arial"/>
          <w:sz w:val="19"/>
          <w:szCs w:val="19"/>
        </w:rPr>
        <w:t xml:space="preserve"> información registrada por las Entidades en el SECOP II y en la Tienda Virtual del Estado Colombiano, está disponible en tiempo real en razón a que las actuaciones del Proceso de Contratación tienen lugar electrónicamente a través de dichas plataformas transaccionales</w:t>
      </w:r>
      <w:r w:rsidRPr="00D3017A">
        <w:rPr>
          <w:rFonts w:ascii="Arial" w:hAnsi="Arial" w:eastAsia="Calibri" w:cs="Arial"/>
          <w:sz w:val="19"/>
          <w:szCs w:val="19"/>
        </w:rPr>
        <w:t>»</w:t>
      </w:r>
      <w:r w:rsidRPr="00D3017A">
        <w:rPr>
          <w:rFonts w:ascii="Arial" w:hAnsi="Arial" w:cs="Arial"/>
          <w:sz w:val="19"/>
          <w:szCs w:val="19"/>
        </w:rPr>
        <w:t xml:space="preserve">. </w:t>
      </w:r>
    </w:p>
    <w:p w:rsidRPr="00D3017A" w:rsidR="00240457" w:rsidP="00240457" w:rsidRDefault="00240457" w14:paraId="154CABF2" w14:textId="77777777">
      <w:pPr>
        <w:pStyle w:val="Textonotapie"/>
        <w:ind w:firstLine="708"/>
        <w:jc w:val="both"/>
        <w:rPr>
          <w:rFonts w:ascii="Arial" w:hAnsi="Arial" w:cs="Arial"/>
          <w:sz w:val="19"/>
          <w:szCs w:val="19"/>
        </w:rPr>
      </w:pPr>
      <w:proofErr w:type="gramStart"/>
      <w:r w:rsidRPr="00D3017A">
        <w:rPr>
          <w:rFonts w:ascii="Arial" w:hAnsi="Arial" w:eastAsia="Calibri" w:cs="Arial"/>
          <w:sz w:val="19"/>
          <w:szCs w:val="19"/>
        </w:rPr>
        <w:t>»</w:t>
      </w:r>
      <w:r w:rsidRPr="00D3017A">
        <w:rPr>
          <w:rFonts w:ascii="Arial" w:hAnsi="Arial" w:cs="Arial"/>
          <w:sz w:val="19"/>
          <w:szCs w:val="19"/>
        </w:rPr>
        <w:t>Con</w:t>
      </w:r>
      <w:proofErr w:type="gramEnd"/>
      <w:r w:rsidRPr="00D3017A">
        <w:rPr>
          <w:rFonts w:ascii="Arial" w:hAnsi="Arial" w:cs="Arial"/>
          <w:sz w:val="19"/>
          <w:szCs w:val="19"/>
        </w:rPr>
        <w:t xml:space="preserve">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p w:rsidRPr="00D3017A" w:rsidR="00240457" w:rsidP="00240457" w:rsidRDefault="00240457" w14:paraId="396D162A" w14:textId="77777777">
      <w:pPr>
        <w:pStyle w:val="Textonotapie"/>
        <w:ind w:firstLine="708"/>
        <w:jc w:val="both"/>
        <w:rPr>
          <w:rFonts w:ascii="Arial" w:hAnsi="Arial" w:cs="Arial"/>
          <w:sz w:val="19"/>
          <w:szCs w:val="19"/>
          <w:lang w:val="es-CO"/>
        </w:rPr>
      </w:pPr>
    </w:p>
  </w:footnote>
  <w:footnote w:id="17">
    <w:p w:rsidRPr="00D3017A" w:rsidR="00240457" w:rsidP="00240457" w:rsidRDefault="00240457" w14:paraId="28F82C64" w14:textId="77777777">
      <w:pPr>
        <w:pStyle w:val="Textonotapie"/>
        <w:ind w:firstLine="708"/>
        <w:jc w:val="both"/>
        <w:rPr>
          <w:rFonts w:ascii="Arial" w:hAnsi="Arial" w:cs="Arial"/>
          <w:sz w:val="19"/>
          <w:szCs w:val="19"/>
        </w:rPr>
      </w:pPr>
      <w:r w:rsidRPr="00D3017A">
        <w:rPr>
          <w:rStyle w:val="Refdenotaalpie"/>
          <w:rFonts w:ascii="Arial" w:hAnsi="Arial" w:cs="Arial"/>
          <w:sz w:val="19"/>
          <w:szCs w:val="19"/>
        </w:rPr>
        <w:footnoteRef/>
      </w:r>
      <w:r w:rsidRPr="00D3017A">
        <w:rPr>
          <w:rFonts w:ascii="Arial" w:hAnsi="Arial" w:cs="Arial"/>
          <w:sz w:val="19"/>
          <w:szCs w:val="19"/>
        </w:rPr>
        <w:t xml:space="preserve"> Corte Constitucional. Sentencia C- 083 del 1 de marzo de 1995. M.P. Carlos Gaviria Díaz.</w:t>
      </w:r>
    </w:p>
    <w:p w:rsidRPr="00D3017A" w:rsidR="00240457" w:rsidP="00240457" w:rsidRDefault="00240457" w14:paraId="53CBB7B7" w14:textId="77777777">
      <w:pPr>
        <w:pStyle w:val="Textonotapie"/>
        <w:ind w:firstLine="708"/>
        <w:jc w:val="both"/>
        <w:rPr>
          <w:rFonts w:ascii="Arial" w:hAnsi="Arial" w:cs="Arial"/>
          <w:sz w:val="19"/>
          <w:szCs w:val="19"/>
          <w:lang w:val="es-CO"/>
        </w:rPr>
      </w:pPr>
    </w:p>
  </w:footnote>
  <w:footnote w:id="18">
    <w:p w:rsidRPr="00D3017A" w:rsidR="00240457" w:rsidP="00240457" w:rsidRDefault="00240457" w14:paraId="4953DAF2" w14:textId="77777777">
      <w:pPr>
        <w:pStyle w:val="Textonotapie"/>
        <w:ind w:firstLine="708"/>
        <w:jc w:val="both"/>
        <w:rPr>
          <w:rFonts w:ascii="Arial" w:hAnsi="Arial" w:cs="Arial"/>
          <w:sz w:val="19"/>
          <w:szCs w:val="19"/>
        </w:rPr>
      </w:pPr>
      <w:r w:rsidRPr="00D3017A">
        <w:rPr>
          <w:rStyle w:val="Refdenotaalpie"/>
          <w:rFonts w:ascii="Arial" w:hAnsi="Arial" w:cs="Arial"/>
          <w:sz w:val="19"/>
          <w:szCs w:val="19"/>
        </w:rPr>
        <w:footnoteRef/>
      </w:r>
      <w:r w:rsidRPr="00D3017A">
        <w:rPr>
          <w:rFonts w:ascii="Arial" w:hAnsi="Arial" w:cs="Arial"/>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rsidRPr="00D3017A" w:rsidR="00240457" w:rsidP="00240457" w:rsidRDefault="00240457" w14:paraId="31034C3C" w14:textId="77777777">
      <w:pPr>
        <w:pStyle w:val="Textonotapie"/>
        <w:ind w:firstLine="708"/>
        <w:jc w:val="both"/>
        <w:rPr>
          <w:rFonts w:ascii="Arial" w:hAnsi="Arial" w:cs="Arial"/>
          <w:sz w:val="19"/>
          <w:szCs w:val="19"/>
        </w:rPr>
      </w:pPr>
      <w:proofErr w:type="gramStart"/>
      <w:r w:rsidRPr="00D3017A">
        <w:rPr>
          <w:rFonts w:ascii="Arial" w:hAnsi="Arial" w:eastAsia="Calibri" w:cs="Arial"/>
          <w:sz w:val="19"/>
          <w:szCs w:val="19"/>
        </w:rPr>
        <w:t>»</w:t>
      </w:r>
      <w:r w:rsidRPr="00D3017A">
        <w:rPr>
          <w:rFonts w:ascii="Arial" w:hAnsi="Arial" w:cs="Arial"/>
          <w:sz w:val="19"/>
          <w:szCs w:val="19"/>
        </w:rPr>
        <w:t>La</w:t>
      </w:r>
      <w:proofErr w:type="gramEnd"/>
      <w:r w:rsidRPr="00D3017A">
        <w:rPr>
          <w:rFonts w:ascii="Arial" w:hAnsi="Arial" w:cs="Arial"/>
          <w:sz w:val="19"/>
          <w:szCs w:val="19"/>
        </w:rPr>
        <w:t xml:space="preserve">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rsidRPr="00D3017A" w:rsidR="00240457" w:rsidP="00240457" w:rsidRDefault="00240457" w14:paraId="669056DD" w14:textId="77777777">
      <w:pPr>
        <w:pStyle w:val="Textonotapie"/>
        <w:ind w:firstLine="708"/>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B0854" w:rsidRDefault="007B0854" w14:paraId="6520770B" w14:textId="1A2BB94C">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75FF4BF0">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EA2793A"/>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attachedTemplate r:id="rId1"/>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845E4"/>
    <w:rsid w:val="00084B97"/>
    <w:rsid w:val="000942EB"/>
    <w:rsid w:val="000B103F"/>
    <w:rsid w:val="000F0FA7"/>
    <w:rsid w:val="000F14E8"/>
    <w:rsid w:val="00103915"/>
    <w:rsid w:val="00122B23"/>
    <w:rsid w:val="00137404"/>
    <w:rsid w:val="00137FFA"/>
    <w:rsid w:val="001775AE"/>
    <w:rsid w:val="00196556"/>
    <w:rsid w:val="001B0444"/>
    <w:rsid w:val="001D3F5A"/>
    <w:rsid w:val="002041FC"/>
    <w:rsid w:val="0020632A"/>
    <w:rsid w:val="002110EB"/>
    <w:rsid w:val="00211338"/>
    <w:rsid w:val="00234B84"/>
    <w:rsid w:val="002370A2"/>
    <w:rsid w:val="00237E2B"/>
    <w:rsid w:val="00240457"/>
    <w:rsid w:val="00273983"/>
    <w:rsid w:val="002752CC"/>
    <w:rsid w:val="002C4C0C"/>
    <w:rsid w:val="003033BA"/>
    <w:rsid w:val="00322937"/>
    <w:rsid w:val="00337B84"/>
    <w:rsid w:val="0034177C"/>
    <w:rsid w:val="00342241"/>
    <w:rsid w:val="0034680A"/>
    <w:rsid w:val="00353DD5"/>
    <w:rsid w:val="00362C5C"/>
    <w:rsid w:val="00386456"/>
    <w:rsid w:val="003A0878"/>
    <w:rsid w:val="003A581E"/>
    <w:rsid w:val="003C1DF0"/>
    <w:rsid w:val="003D283E"/>
    <w:rsid w:val="00423F9F"/>
    <w:rsid w:val="004422D6"/>
    <w:rsid w:val="00457C5F"/>
    <w:rsid w:val="0049241A"/>
    <w:rsid w:val="004A34D2"/>
    <w:rsid w:val="004D1DEE"/>
    <w:rsid w:val="004E09CF"/>
    <w:rsid w:val="004E3D78"/>
    <w:rsid w:val="0051074C"/>
    <w:rsid w:val="00513AF2"/>
    <w:rsid w:val="005219F7"/>
    <w:rsid w:val="00537B39"/>
    <w:rsid w:val="0054413A"/>
    <w:rsid w:val="005564CA"/>
    <w:rsid w:val="0056182B"/>
    <w:rsid w:val="005756AA"/>
    <w:rsid w:val="00597CB5"/>
    <w:rsid w:val="005B3FD6"/>
    <w:rsid w:val="005D51FA"/>
    <w:rsid w:val="005D791B"/>
    <w:rsid w:val="005F6C9A"/>
    <w:rsid w:val="005F71A8"/>
    <w:rsid w:val="0061063A"/>
    <w:rsid w:val="0061140E"/>
    <w:rsid w:val="00612A5E"/>
    <w:rsid w:val="00614817"/>
    <w:rsid w:val="00633DBF"/>
    <w:rsid w:val="00655371"/>
    <w:rsid w:val="00697665"/>
    <w:rsid w:val="006A6BEB"/>
    <w:rsid w:val="006A7CB5"/>
    <w:rsid w:val="006A7FD0"/>
    <w:rsid w:val="006C4407"/>
    <w:rsid w:val="006D7687"/>
    <w:rsid w:val="006E0572"/>
    <w:rsid w:val="0070121F"/>
    <w:rsid w:val="00705631"/>
    <w:rsid w:val="00715EAA"/>
    <w:rsid w:val="00742DD2"/>
    <w:rsid w:val="00746E08"/>
    <w:rsid w:val="00747C96"/>
    <w:rsid w:val="0075094E"/>
    <w:rsid w:val="007522E8"/>
    <w:rsid w:val="0075647A"/>
    <w:rsid w:val="007634AD"/>
    <w:rsid w:val="007762F3"/>
    <w:rsid w:val="0078122E"/>
    <w:rsid w:val="00795349"/>
    <w:rsid w:val="00795647"/>
    <w:rsid w:val="007B0854"/>
    <w:rsid w:val="007B09CE"/>
    <w:rsid w:val="007D7F8D"/>
    <w:rsid w:val="007E354F"/>
    <w:rsid w:val="007F6B46"/>
    <w:rsid w:val="007F72CB"/>
    <w:rsid w:val="008217B7"/>
    <w:rsid w:val="0083119B"/>
    <w:rsid w:val="00836EAB"/>
    <w:rsid w:val="0085092D"/>
    <w:rsid w:val="00850F79"/>
    <w:rsid w:val="008917F9"/>
    <w:rsid w:val="0089774F"/>
    <w:rsid w:val="008E1C15"/>
    <w:rsid w:val="008E5042"/>
    <w:rsid w:val="008F538E"/>
    <w:rsid w:val="00904571"/>
    <w:rsid w:val="0090477E"/>
    <w:rsid w:val="009047C5"/>
    <w:rsid w:val="00905F30"/>
    <w:rsid w:val="00927D06"/>
    <w:rsid w:val="00951EE5"/>
    <w:rsid w:val="0095385A"/>
    <w:rsid w:val="009A0ED8"/>
    <w:rsid w:val="009A20D5"/>
    <w:rsid w:val="009C183C"/>
    <w:rsid w:val="009E2A1F"/>
    <w:rsid w:val="009F59C2"/>
    <w:rsid w:val="00A14DA0"/>
    <w:rsid w:val="00A24560"/>
    <w:rsid w:val="00A34538"/>
    <w:rsid w:val="00A37FB6"/>
    <w:rsid w:val="00A86509"/>
    <w:rsid w:val="00A93C98"/>
    <w:rsid w:val="00AA08E7"/>
    <w:rsid w:val="00AA442B"/>
    <w:rsid w:val="00AA669D"/>
    <w:rsid w:val="00B12EA5"/>
    <w:rsid w:val="00B13EC0"/>
    <w:rsid w:val="00B221E4"/>
    <w:rsid w:val="00B22E22"/>
    <w:rsid w:val="00B4486C"/>
    <w:rsid w:val="00B525CB"/>
    <w:rsid w:val="00B63872"/>
    <w:rsid w:val="00B63CB2"/>
    <w:rsid w:val="00B64EDB"/>
    <w:rsid w:val="00B7315F"/>
    <w:rsid w:val="00B91B8E"/>
    <w:rsid w:val="00BA4D40"/>
    <w:rsid w:val="00BC5522"/>
    <w:rsid w:val="00BC5712"/>
    <w:rsid w:val="00BD0B90"/>
    <w:rsid w:val="00BD78FE"/>
    <w:rsid w:val="00C700B7"/>
    <w:rsid w:val="00C731A8"/>
    <w:rsid w:val="00C82A0B"/>
    <w:rsid w:val="00CA574E"/>
    <w:rsid w:val="00CB3127"/>
    <w:rsid w:val="00CC00CD"/>
    <w:rsid w:val="00D01760"/>
    <w:rsid w:val="00D16E39"/>
    <w:rsid w:val="00D223B6"/>
    <w:rsid w:val="00D3017A"/>
    <w:rsid w:val="00D42685"/>
    <w:rsid w:val="00D60327"/>
    <w:rsid w:val="00D72E9D"/>
    <w:rsid w:val="00D82CE5"/>
    <w:rsid w:val="00DA5AB1"/>
    <w:rsid w:val="00DC29BB"/>
    <w:rsid w:val="00DC62E5"/>
    <w:rsid w:val="00DD4454"/>
    <w:rsid w:val="00DD735D"/>
    <w:rsid w:val="00DE3119"/>
    <w:rsid w:val="00DF236B"/>
    <w:rsid w:val="00E04ED0"/>
    <w:rsid w:val="00E13AB8"/>
    <w:rsid w:val="00E154AA"/>
    <w:rsid w:val="00E25CB3"/>
    <w:rsid w:val="00E3335D"/>
    <w:rsid w:val="00E33B62"/>
    <w:rsid w:val="00E4143A"/>
    <w:rsid w:val="00E53DA1"/>
    <w:rsid w:val="00EC4CBF"/>
    <w:rsid w:val="00ED260B"/>
    <w:rsid w:val="00EE59B5"/>
    <w:rsid w:val="00EF6510"/>
    <w:rsid w:val="00F13C05"/>
    <w:rsid w:val="00F14F7A"/>
    <w:rsid w:val="00F203CC"/>
    <w:rsid w:val="00F84899"/>
    <w:rsid w:val="00F859F0"/>
    <w:rsid w:val="00FA0C95"/>
    <w:rsid w:val="00FA1CFD"/>
    <w:rsid w:val="00FD49BF"/>
    <w:rsid w:val="00FD6727"/>
    <w:rsid w:val="00FE141E"/>
    <w:rsid w:val="00FE42ED"/>
    <w:rsid w:val="00FE5C1E"/>
    <w:rsid w:val="0511BAED"/>
    <w:rsid w:val="075B659B"/>
    <w:rsid w:val="0DE8F615"/>
    <w:rsid w:val="1847B935"/>
    <w:rsid w:val="1F59356E"/>
    <w:rsid w:val="27237CD8"/>
    <w:rsid w:val="2D71F583"/>
    <w:rsid w:val="2F338214"/>
    <w:rsid w:val="459EB5B2"/>
    <w:rsid w:val="50F78069"/>
    <w:rsid w:val="51F6803E"/>
    <w:rsid w:val="609E65BD"/>
    <w:rsid w:val="62973B34"/>
    <w:rsid w:val="6AB73284"/>
    <w:rsid w:val="6B85D5C2"/>
    <w:rsid w:val="75FF4BF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71B6C23D-A27C-41D2-9899-4939E4825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WebCar" w:customStyle="1">
    <w:name w:val="Normal (Web) Car"/>
    <w:link w:val="NormalWeb"/>
    <w:uiPriority w:val="99"/>
    <w:rsid w:val="00137404"/>
    <w:rPr>
      <w:rFonts w:ascii="Times New Roman" w:hAnsi="Times New Roman" w:eastAsia="Times New Roman" w:cs="Times New Roman"/>
      <w:sz w:val="24"/>
      <w:szCs w:val="24"/>
      <w:lang w:eastAsia="es-CO"/>
    </w:rPr>
  </w:style>
  <w:style w:type="paragraph" w:styleId="Default" w:customStyle="1">
    <w:name w:val="Default"/>
    <w:rsid w:val="00C731A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02833109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8771e7733a0540a2" /></Relationships>
</file>

<file path=word/_rels/footer1.xml.rels>&#65279;<?xml version="1.0" encoding="utf-8"?><Relationships xmlns="http://schemas.openxmlformats.org/package/2006/relationships"><Relationship Type="http://schemas.openxmlformats.org/officeDocument/2006/relationships/image" Target="/media/image5.png" Id="Re738f3287e6d4270"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3A86D74-C7BC-4E9B-8564-4D3A9D581623}">
  <ds:schemaRefs>
    <ds:schemaRef ds:uri="http://schemas.microsoft.com/office/2006/documentManagement/types"/>
    <ds:schemaRef ds:uri="http://purl.org/dc/elements/1.1/"/>
    <ds:schemaRef ds:uri="a6cb9e4b-f1d1-4245-83ec-6cad768d538a"/>
    <ds:schemaRef ds:uri="http://schemas.openxmlformats.org/package/2006/metadata/core-properties"/>
    <ds:schemaRef ds:uri="http://purl.org/dc/terms/"/>
    <ds:schemaRef ds:uri="9d85dbaf-23eb-4e57-a637-93dcacc8b1a1"/>
    <ds:schemaRef ds:uri="http://schemas.microsoft.com/office/2006/metadata/properties"/>
    <ds:schemaRef ds:uri="http://purl.org/dc/dcmitype/"/>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DE82AD37-EB90-4F70-87EB-73E00DB171EB}">
  <ds:schemaRefs>
    <ds:schemaRef ds:uri="http://schemas.openxmlformats.org/officeDocument/2006/bibliography"/>
  </ds:schemaRefs>
</ds:datastoreItem>
</file>

<file path=customXml/itemProps4.xml><?xml version="1.0" encoding="utf-8"?>
<ds:datastoreItem xmlns:ds="http://schemas.openxmlformats.org/officeDocument/2006/customXml" ds:itemID="{AC96D8E9-A186-4BAE-A0CB-4BC6B311C4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subject/>
  <dc:creator>Ximena Alejandra Cabezas Valencia</dc:creator>
  <keywords/>
  <lastModifiedBy>Nina María Padrón</lastModifiedBy>
  <revision>18</revision>
  <lastPrinted>2020-01-30T18:05:00.0000000Z</lastPrinted>
  <dcterms:created xsi:type="dcterms:W3CDTF">2020-04-10T23:25:00.0000000Z</dcterms:created>
  <dcterms:modified xsi:type="dcterms:W3CDTF">2020-07-23T20:26:20.8598294Z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