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C8B01" w14:textId="77777777" w:rsidR="001C0AEF" w:rsidRPr="007D228F" w:rsidRDefault="00B17718" w:rsidP="001C0AEF">
      <w:pPr>
        <w:jc w:val="both"/>
        <w:rPr>
          <w:rFonts w:ascii="Arial" w:eastAsia="Calibri" w:hAnsi="Arial" w:cs="Arial"/>
          <w:b/>
          <w:bCs/>
          <w:sz w:val="22"/>
          <w:szCs w:val="22"/>
          <w:lang w:eastAsia="es-ES_tradnl"/>
        </w:rPr>
      </w:pPr>
      <w:r w:rsidRPr="007D228F">
        <w:rPr>
          <w:rFonts w:ascii="Arial" w:eastAsia="Calibri" w:hAnsi="Arial" w:cs="Arial"/>
          <w:b/>
          <w:bCs/>
          <w:sz w:val="22"/>
          <w:szCs w:val="22"/>
          <w:lang w:eastAsia="es-ES_tradnl"/>
        </w:rPr>
        <w:t xml:space="preserve">COLOMBIA COMPRA EFICIENTE </w:t>
      </w:r>
      <w:r w:rsidRPr="007D228F">
        <w:rPr>
          <w:rFonts w:ascii="Arial" w:eastAsia="Calibri" w:hAnsi="Arial" w:cs="Arial"/>
          <w:b/>
          <w:sz w:val="22"/>
          <w:szCs w:val="22"/>
          <w:lang w:eastAsia="es-ES_tradnl"/>
        </w:rPr>
        <w:t>–</w:t>
      </w:r>
      <w:r w:rsidRPr="007D228F">
        <w:rPr>
          <w:rFonts w:ascii="Arial" w:eastAsia="Calibri" w:hAnsi="Arial" w:cs="Arial"/>
          <w:b/>
          <w:bCs/>
          <w:sz w:val="22"/>
          <w:szCs w:val="22"/>
          <w:lang w:eastAsia="es-ES_tradnl"/>
        </w:rPr>
        <w:t xml:space="preserve"> Competencia Consultiva – Contratación Estatal – Normas Generales</w:t>
      </w:r>
    </w:p>
    <w:p w14:paraId="4F586DC5" w14:textId="77777777" w:rsidR="001C0AEF" w:rsidRDefault="001C0AEF" w:rsidP="001C0AEF">
      <w:pPr>
        <w:jc w:val="both"/>
        <w:rPr>
          <w:rFonts w:ascii="Arial" w:eastAsia="Calibri" w:hAnsi="Arial" w:cs="Arial"/>
          <w:b/>
          <w:bCs/>
          <w:sz w:val="20"/>
          <w:szCs w:val="20"/>
          <w:lang w:eastAsia="es-ES_tradnl"/>
        </w:rPr>
      </w:pPr>
    </w:p>
    <w:p w14:paraId="14403695" w14:textId="4FFD9C0D" w:rsidR="00B17718" w:rsidRDefault="00B17718" w:rsidP="001C0AEF">
      <w:pPr>
        <w:jc w:val="both"/>
        <w:rPr>
          <w:rFonts w:ascii="Arial" w:hAnsi="Arial" w:cs="Arial"/>
          <w:bCs/>
          <w:sz w:val="20"/>
          <w:szCs w:val="20"/>
          <w:lang w:eastAsia="es-ES_tradnl"/>
        </w:rPr>
      </w:pPr>
      <w:r w:rsidRPr="00B17718">
        <w:rPr>
          <w:rFonts w:ascii="Arial" w:hAnsi="Arial" w:cs="Arial"/>
          <w:bCs/>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2F21F5AF" w14:textId="77777777" w:rsidR="001C0AEF" w:rsidRPr="001C0AEF" w:rsidRDefault="001C0AEF" w:rsidP="001C0AEF">
      <w:pPr>
        <w:jc w:val="both"/>
        <w:rPr>
          <w:rFonts w:ascii="Arial" w:eastAsia="Calibri" w:hAnsi="Arial" w:cs="Arial"/>
          <w:b/>
          <w:bCs/>
          <w:sz w:val="20"/>
          <w:szCs w:val="20"/>
          <w:lang w:eastAsia="es-ES_tradnl"/>
        </w:rPr>
      </w:pPr>
    </w:p>
    <w:p w14:paraId="1391B544" w14:textId="77777777" w:rsidR="001C0AEF" w:rsidRDefault="00B17718" w:rsidP="001C0AEF">
      <w:pPr>
        <w:spacing w:after="120"/>
        <w:jc w:val="both"/>
        <w:rPr>
          <w:rFonts w:ascii="Arial" w:hAnsi="Arial" w:cs="Arial"/>
          <w:bCs/>
          <w:sz w:val="20"/>
          <w:szCs w:val="20"/>
          <w:lang w:eastAsia="es-ES_tradnl"/>
        </w:rPr>
      </w:pPr>
      <w:bookmarkStart w:id="0" w:name="_Hlk138055911"/>
      <w:r w:rsidRPr="00B17718">
        <w:rPr>
          <w:rFonts w:ascii="Arial" w:hAnsi="Arial" w:cs="Arial"/>
          <w:bCs/>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bookmarkEnd w:id="0"/>
    <w:p w14:paraId="32819087" w14:textId="2B615BB0" w:rsidR="007D228F" w:rsidRPr="007D228F" w:rsidRDefault="007D228F" w:rsidP="007D228F">
      <w:pPr>
        <w:jc w:val="both"/>
        <w:rPr>
          <w:rFonts w:ascii="Arial" w:eastAsia="Calibri" w:hAnsi="Arial" w:cs="Arial"/>
          <w:color w:val="000000" w:themeColor="text1"/>
          <w:sz w:val="22"/>
          <w:szCs w:val="22"/>
          <w:lang w:val="es-MX" w:eastAsia="en-US"/>
        </w:rPr>
      </w:pPr>
      <w:r w:rsidRPr="007D228F">
        <w:rPr>
          <w:rFonts w:ascii="Arial" w:eastAsia="Calibri" w:hAnsi="Arial" w:cs="Arial"/>
          <w:b/>
          <w:bCs/>
          <w:color w:val="000000" w:themeColor="text1"/>
          <w:sz w:val="22"/>
          <w:szCs w:val="22"/>
          <w:lang w:val="es-MX" w:eastAsia="en-US"/>
        </w:rPr>
        <w:t>INHABILIDADES – Definición – Finalidad – Limitación</w:t>
      </w:r>
      <w:r w:rsidR="00133BF5">
        <w:rPr>
          <w:rFonts w:ascii="Arial" w:eastAsia="Calibri" w:hAnsi="Arial" w:cs="Arial"/>
          <w:b/>
          <w:bCs/>
          <w:color w:val="000000" w:themeColor="text1"/>
          <w:sz w:val="22"/>
          <w:szCs w:val="22"/>
          <w:lang w:val="es-MX" w:eastAsia="en-US"/>
        </w:rPr>
        <w:t xml:space="preserve"> de la </w:t>
      </w:r>
      <w:r w:rsidRPr="007D228F">
        <w:rPr>
          <w:rFonts w:ascii="Arial" w:eastAsia="Calibri" w:hAnsi="Arial" w:cs="Arial"/>
          <w:b/>
          <w:bCs/>
          <w:color w:val="000000" w:themeColor="text1"/>
          <w:sz w:val="22"/>
          <w:szCs w:val="22"/>
          <w:lang w:val="es-MX" w:eastAsia="en-US"/>
        </w:rPr>
        <w:t>capacidad contractual</w:t>
      </w:r>
    </w:p>
    <w:p w14:paraId="2F926329" w14:textId="77777777" w:rsidR="007D228F" w:rsidRPr="007D228F" w:rsidRDefault="007D228F" w:rsidP="007D228F">
      <w:pPr>
        <w:jc w:val="both"/>
        <w:rPr>
          <w:rFonts w:ascii="Arial" w:eastAsia="Calibri" w:hAnsi="Arial" w:cs="Arial"/>
          <w:color w:val="000000" w:themeColor="text1"/>
          <w:sz w:val="20"/>
          <w:szCs w:val="20"/>
          <w:highlight w:val="yellow"/>
          <w:lang w:val="es-MX" w:eastAsia="en-US"/>
        </w:rPr>
      </w:pPr>
    </w:p>
    <w:p w14:paraId="467149C6" w14:textId="77777777" w:rsidR="007D228F" w:rsidRDefault="007D228F" w:rsidP="007D228F">
      <w:pPr>
        <w:spacing w:after="120"/>
        <w:jc w:val="both"/>
        <w:rPr>
          <w:rFonts w:ascii="Arial" w:hAnsi="Arial" w:cs="Arial"/>
          <w:bCs/>
          <w:sz w:val="20"/>
          <w:szCs w:val="20"/>
          <w:lang w:eastAsia="es-ES_tradnl"/>
        </w:rPr>
      </w:pPr>
      <w:r w:rsidRPr="006E71C0">
        <w:rPr>
          <w:rFonts w:ascii="Arial" w:eastAsiaTheme="minorHAnsi" w:hAnsi="Arial" w:cs="Arial"/>
          <w:sz w:val="20"/>
          <w:szCs w:val="20"/>
          <w:lang w:val="es-MX" w:eastAsia="en-US"/>
        </w:rPr>
        <w:t xml:space="preserve">Las inhabilidades </w:t>
      </w:r>
      <w:r w:rsidRPr="007D228F">
        <w:rPr>
          <w:rFonts w:ascii="Arial" w:eastAsiaTheme="minorHAnsi" w:hAnsi="Arial" w:cs="Arial"/>
          <w:sz w:val="20"/>
          <w:szCs w:val="20"/>
          <w:lang w:val="es-MX" w:eastAsia="en-US"/>
        </w:rPr>
        <w:t xml:space="preserve">han sido caracterizadas como </w:t>
      </w:r>
      <w:r w:rsidRPr="006E71C0">
        <w:rPr>
          <w:rFonts w:ascii="Arial" w:eastAsiaTheme="minorHAnsi" w:hAnsi="Arial" w:cs="Arial"/>
          <w:sz w:val="20"/>
          <w:szCs w:val="20"/>
          <w:lang w:val="es-MX" w:eastAsia="en-US"/>
        </w:rPr>
        <w:t xml:space="preserve">circunstancias </w:t>
      </w:r>
      <w:r w:rsidRPr="007D228F">
        <w:rPr>
          <w:rFonts w:ascii="Arial" w:eastAsiaTheme="minorHAnsi" w:hAnsi="Arial" w:cs="Arial"/>
          <w:sz w:val="20"/>
          <w:szCs w:val="20"/>
          <w:lang w:val="es-MX" w:eastAsia="en-US"/>
        </w:rPr>
        <w:t xml:space="preserve">previstas </w:t>
      </w:r>
      <w:r w:rsidRPr="006E71C0">
        <w:rPr>
          <w:rFonts w:ascii="Arial" w:eastAsiaTheme="minorHAnsi" w:hAnsi="Arial" w:cs="Arial"/>
          <w:sz w:val="20"/>
          <w:szCs w:val="20"/>
          <w:lang w:val="es-MX" w:eastAsia="en-US"/>
        </w:rPr>
        <w:t>por la Constitución o la ley que impiden que personas naturales o jurídicas sean elegidas o designadas en un cargo público o celebren contratos con el Estado,</w:t>
      </w:r>
      <w:r w:rsidRPr="007D228F">
        <w:rPr>
          <w:rFonts w:ascii="Arial" w:eastAsiaTheme="minorHAnsi" w:hAnsi="Arial" w:cs="Arial"/>
          <w:sz w:val="20"/>
          <w:szCs w:val="20"/>
          <w:lang w:val="es-MX" w:eastAsia="en-US"/>
        </w:rPr>
        <w:t xml:space="preserve"> en el interés de garantizar </w:t>
      </w:r>
      <w:r w:rsidRPr="006E71C0">
        <w:rPr>
          <w:rFonts w:ascii="Arial" w:eastAsiaTheme="minorHAnsi" w:hAnsi="Arial" w:cs="Arial"/>
          <w:sz w:val="20"/>
          <w:szCs w:val="20"/>
          <w:lang w:val="es-MX" w:eastAsia="en-US"/>
        </w:rPr>
        <w:t>la idoneidad, imparcialidad, probidad, transparencia y moralidad</w:t>
      </w:r>
      <w:r w:rsidRPr="007D228F">
        <w:rPr>
          <w:rFonts w:ascii="Arial" w:eastAsiaTheme="minorHAnsi" w:hAnsi="Arial" w:cs="Arial"/>
          <w:sz w:val="20"/>
          <w:szCs w:val="20"/>
          <w:lang w:val="es-MX" w:eastAsia="en-US"/>
        </w:rPr>
        <w:t xml:space="preserve"> </w:t>
      </w:r>
      <w:r w:rsidRPr="006E71C0">
        <w:rPr>
          <w:rFonts w:ascii="Arial" w:eastAsiaTheme="minorHAnsi" w:hAnsi="Arial" w:cs="Arial"/>
          <w:sz w:val="20"/>
          <w:szCs w:val="20"/>
          <w:lang w:val="es-MX" w:eastAsia="en-US"/>
        </w:rPr>
        <w:t>de la función pública</w:t>
      </w:r>
      <w:r w:rsidRPr="007D228F">
        <w:rPr>
          <w:rFonts w:ascii="Arial" w:eastAsiaTheme="minorHAnsi" w:hAnsi="Arial" w:cs="Arial"/>
          <w:sz w:val="20"/>
          <w:szCs w:val="20"/>
          <w:lang w:val="es-MX" w:eastAsia="en-US"/>
        </w:rPr>
        <w:t xml:space="preserve">, así como satisfacer </w:t>
      </w:r>
      <w:r w:rsidRPr="006E71C0">
        <w:rPr>
          <w:rFonts w:ascii="Arial" w:eastAsiaTheme="minorHAnsi" w:hAnsi="Arial" w:cs="Arial"/>
          <w:sz w:val="20"/>
          <w:szCs w:val="20"/>
          <w:lang w:val="es-MX" w:eastAsia="en-US"/>
        </w:rPr>
        <w:t>el interés general.</w:t>
      </w:r>
    </w:p>
    <w:p w14:paraId="5C025032" w14:textId="2F448EE3" w:rsidR="007D228F" w:rsidRDefault="007D228F" w:rsidP="007D228F">
      <w:pPr>
        <w:spacing w:after="120"/>
        <w:jc w:val="both"/>
        <w:rPr>
          <w:rFonts w:ascii="Arial" w:eastAsiaTheme="minorHAnsi" w:hAnsi="Arial" w:cs="Arial"/>
          <w:sz w:val="20"/>
          <w:szCs w:val="20"/>
          <w:lang w:eastAsia="en-US"/>
        </w:rPr>
      </w:pPr>
      <w:r w:rsidRPr="007D228F">
        <w:rPr>
          <w:rFonts w:ascii="Arial" w:eastAsia="Calibri" w:hAnsi="Arial" w:cs="Arial"/>
          <w:bCs/>
          <w:color w:val="000000" w:themeColor="text1"/>
          <w:sz w:val="20"/>
          <w:szCs w:val="20"/>
          <w:lang w:val="es-MX" w:eastAsia="en-US"/>
        </w:rPr>
        <w:t>E</w:t>
      </w:r>
      <w:r w:rsidRPr="006E71C0">
        <w:rPr>
          <w:rFonts w:ascii="Arial" w:eastAsiaTheme="minorHAnsi" w:hAnsi="Arial" w:cs="Arial"/>
          <w:sz w:val="20"/>
          <w:szCs w:val="20"/>
          <w:lang w:eastAsia="en-US"/>
        </w:rPr>
        <w:t>l régimen de inhabilidades para contratar con el Estado</w:t>
      </w:r>
      <w:r w:rsidRPr="007D228F">
        <w:rPr>
          <w:rFonts w:ascii="Arial" w:eastAsiaTheme="minorHAnsi" w:hAnsi="Arial" w:cs="Arial"/>
          <w:sz w:val="20"/>
          <w:szCs w:val="20"/>
          <w:lang w:eastAsia="en-US"/>
        </w:rPr>
        <w:t xml:space="preserve"> </w:t>
      </w:r>
      <w:r w:rsidRPr="006E71C0">
        <w:rPr>
          <w:rFonts w:ascii="Arial" w:eastAsiaTheme="minorHAnsi" w:hAnsi="Arial" w:cs="Arial"/>
          <w:sz w:val="20"/>
          <w:szCs w:val="20"/>
          <w:lang w:eastAsia="en-US"/>
        </w:rPr>
        <w:t xml:space="preserve">es </w:t>
      </w:r>
      <w:r w:rsidRPr="007D228F">
        <w:rPr>
          <w:rFonts w:ascii="Arial" w:eastAsiaTheme="minorHAnsi" w:hAnsi="Arial" w:cs="Arial"/>
          <w:sz w:val="20"/>
          <w:szCs w:val="20"/>
          <w:lang w:eastAsia="en-US"/>
        </w:rPr>
        <w:t xml:space="preserve">todo </w:t>
      </w:r>
      <w:r w:rsidRPr="006E71C0">
        <w:rPr>
          <w:rFonts w:ascii="Arial" w:eastAsiaTheme="minorHAnsi" w:hAnsi="Arial" w:cs="Arial"/>
          <w:sz w:val="20"/>
          <w:szCs w:val="20"/>
          <w:lang w:eastAsia="en-US"/>
        </w:rPr>
        <w:t>un conjunto de restricciones</w:t>
      </w:r>
      <w:r w:rsidRPr="007D228F">
        <w:rPr>
          <w:rFonts w:ascii="Arial" w:eastAsiaTheme="minorHAnsi" w:hAnsi="Arial" w:cs="Arial"/>
          <w:sz w:val="20"/>
          <w:szCs w:val="20"/>
          <w:lang w:eastAsia="en-US"/>
        </w:rPr>
        <w:t xml:space="preserve"> fijadas p</w:t>
      </w:r>
      <w:r w:rsidRPr="006E71C0">
        <w:rPr>
          <w:rFonts w:ascii="Arial" w:eastAsiaTheme="minorHAnsi" w:hAnsi="Arial" w:cs="Arial"/>
          <w:sz w:val="20"/>
          <w:szCs w:val="20"/>
          <w:lang w:eastAsia="en-US"/>
        </w:rPr>
        <w:t>or el constituyente o por el legislador que afectan directamente la capacidad de las personas para</w:t>
      </w:r>
      <w:r w:rsidRPr="007D228F">
        <w:rPr>
          <w:rFonts w:ascii="Arial" w:eastAsiaTheme="minorHAnsi" w:hAnsi="Arial" w:cs="Arial"/>
          <w:sz w:val="20"/>
          <w:szCs w:val="20"/>
          <w:lang w:eastAsia="en-US"/>
        </w:rPr>
        <w:t xml:space="preserve"> establecer re</w:t>
      </w:r>
      <w:r w:rsidRPr="006E71C0">
        <w:rPr>
          <w:rFonts w:ascii="Arial" w:eastAsiaTheme="minorHAnsi" w:hAnsi="Arial" w:cs="Arial"/>
          <w:sz w:val="20"/>
          <w:szCs w:val="20"/>
          <w:lang w:eastAsia="en-US"/>
        </w:rPr>
        <w:t>laciones contractuales con el Estado,</w:t>
      </w:r>
      <w:r w:rsidRPr="007D228F">
        <w:rPr>
          <w:rFonts w:ascii="Arial" w:eastAsiaTheme="minorHAnsi" w:hAnsi="Arial" w:cs="Arial"/>
          <w:sz w:val="20"/>
          <w:szCs w:val="20"/>
          <w:lang w:eastAsia="en-US"/>
        </w:rPr>
        <w:t xml:space="preserve"> que pueden derivar de condenas, sanciones o situaciones previamente determinadas en el ordenamiento jurídico. No en vano, la Corte Constitucional ha indicado sobre el particular que “</w:t>
      </w:r>
      <w:r w:rsidRPr="006E71C0">
        <w:rPr>
          <w:rFonts w:ascii="Arial" w:eastAsiaTheme="minorHAnsi" w:hAnsi="Arial" w:cs="Arial"/>
          <w:sz w:val="20"/>
          <w:szCs w:val="20"/>
          <w:lang w:eastAsia="en-U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Fonts w:ascii="Arial" w:eastAsiaTheme="minorHAnsi" w:hAnsi="Arial" w:cs="Arial"/>
          <w:sz w:val="20"/>
          <w:szCs w:val="20"/>
          <w:lang w:eastAsia="en-US"/>
        </w:rPr>
        <w:t>.</w:t>
      </w:r>
    </w:p>
    <w:p w14:paraId="38E539D5" w14:textId="14061559" w:rsidR="00133BF5" w:rsidRPr="00133BF5" w:rsidRDefault="00133BF5" w:rsidP="00133BF5">
      <w:pPr>
        <w:jc w:val="both"/>
        <w:rPr>
          <w:rFonts w:ascii="Arial" w:eastAsia="Calibri" w:hAnsi="Arial" w:cs="Arial"/>
          <w:b/>
          <w:bCs/>
          <w:color w:val="000000" w:themeColor="text1"/>
          <w:sz w:val="22"/>
          <w:szCs w:val="22"/>
          <w:lang w:val="es-ES" w:eastAsia="en-US"/>
        </w:rPr>
      </w:pPr>
      <w:r w:rsidRPr="00133BF5">
        <w:rPr>
          <w:rFonts w:ascii="Arial" w:eastAsia="Calibri" w:hAnsi="Arial" w:cs="Arial"/>
          <w:b/>
          <w:bCs/>
          <w:sz w:val="22"/>
          <w:szCs w:val="22"/>
          <w:lang w:val="es-ES" w:eastAsia="en-US"/>
        </w:rPr>
        <w:t xml:space="preserve">CONTRATACIÓN ESTATAL – </w:t>
      </w:r>
      <w:r w:rsidRPr="00133BF5">
        <w:rPr>
          <w:rFonts w:ascii="Arial" w:eastAsia="Calibri" w:hAnsi="Arial" w:cs="Arial"/>
          <w:b/>
          <w:bCs/>
          <w:color w:val="000000" w:themeColor="text1"/>
          <w:sz w:val="22"/>
          <w:szCs w:val="22"/>
          <w:lang w:val="es-ES" w:eastAsia="en-US"/>
        </w:rPr>
        <w:t>Capacidad – Validez contratos – Régimen de contratación – Inscripción – Limitación de la capacidad</w:t>
      </w:r>
    </w:p>
    <w:p w14:paraId="1656B383" w14:textId="77777777" w:rsidR="00133BF5" w:rsidRPr="00133BF5" w:rsidRDefault="00133BF5" w:rsidP="00133BF5">
      <w:pPr>
        <w:jc w:val="both"/>
        <w:rPr>
          <w:rFonts w:ascii="Arial" w:eastAsia="Calibri" w:hAnsi="Arial" w:cs="Arial"/>
          <w:b/>
          <w:bCs/>
          <w:color w:val="000000" w:themeColor="text1"/>
          <w:sz w:val="20"/>
          <w:szCs w:val="20"/>
          <w:highlight w:val="yellow"/>
          <w:lang w:val="es-ES" w:eastAsia="en-US"/>
        </w:rPr>
      </w:pPr>
    </w:p>
    <w:p w14:paraId="549C22A3" w14:textId="77777777" w:rsidR="00133BF5" w:rsidRDefault="00133BF5" w:rsidP="00133BF5">
      <w:pPr>
        <w:jc w:val="both"/>
        <w:rPr>
          <w:rFonts w:ascii="Arial" w:eastAsia="Calibri" w:hAnsi="Arial" w:cs="Arial"/>
          <w:bCs/>
          <w:color w:val="000000" w:themeColor="text1"/>
          <w:sz w:val="20"/>
          <w:szCs w:val="20"/>
          <w:lang w:val="es-ES_tradnl" w:eastAsia="en-US"/>
        </w:rPr>
      </w:pPr>
      <w:r w:rsidRPr="00133BF5">
        <w:rPr>
          <w:rFonts w:ascii="Arial" w:eastAsia="Calibri" w:hAnsi="Arial" w:cs="Arial"/>
          <w:sz w:val="20"/>
          <w:szCs w:val="20"/>
          <w:lang w:val="es-MX" w:eastAsia="en-US"/>
        </w:rPr>
        <w:t>En materia de contratación estatal</w:t>
      </w:r>
      <w:r w:rsidRPr="00C0281B">
        <w:rPr>
          <w:rFonts w:ascii="Arial" w:eastAsia="Calibri" w:hAnsi="Arial" w:cs="Arial"/>
          <w:sz w:val="20"/>
          <w:szCs w:val="20"/>
          <w:lang w:val="es-ES_tradnl" w:eastAsia="en-US"/>
        </w:rPr>
        <w:t>,</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 xml:space="preserve">la </w:t>
      </w:r>
      <w:r w:rsidRPr="00C0281B">
        <w:rPr>
          <w:rFonts w:ascii="Arial" w:eastAsia="Calibri" w:hAnsi="Arial" w:cs="Arial"/>
          <w:i/>
          <w:iCs/>
          <w:sz w:val="20"/>
          <w:szCs w:val="20"/>
          <w:lang w:val="es-ES_tradnl" w:eastAsia="en-US"/>
        </w:rPr>
        <w:t>capacidad</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es un requisito de validez de los contratos, tanto en el régimen de las entidades sujetas al Estatuto General de Contratación de la Administración Pública</w:t>
      </w:r>
      <w:r w:rsidRPr="00133BF5">
        <w:rPr>
          <w:rFonts w:ascii="Arial" w:eastAsia="Calibri" w:hAnsi="Arial" w:cs="Arial"/>
          <w:sz w:val="20"/>
          <w:szCs w:val="20"/>
          <w:lang w:val="es-ES_tradnl" w:eastAsia="en-US"/>
        </w:rPr>
        <w:t xml:space="preserve"> -EGCAP-</w:t>
      </w:r>
      <w:r w:rsidRPr="00C0281B">
        <w:rPr>
          <w:rFonts w:ascii="Arial" w:eastAsia="Calibri" w:hAnsi="Arial" w:cs="Arial"/>
          <w:sz w:val="20"/>
          <w:szCs w:val="20"/>
          <w:lang w:val="es-ES_tradnl" w:eastAsia="en-US"/>
        </w:rPr>
        <w:t xml:space="preserve"> como en el de las entidades exceptuadas de aquel. </w:t>
      </w:r>
      <w:r w:rsidRPr="00133BF5">
        <w:rPr>
          <w:rFonts w:ascii="Arial" w:eastAsia="Calibri" w:hAnsi="Arial" w:cs="Arial"/>
          <w:sz w:val="20"/>
          <w:szCs w:val="20"/>
          <w:lang w:val="es-ES_tradnl" w:eastAsia="en-US"/>
        </w:rPr>
        <w:t xml:space="preserve">Y aunque </w:t>
      </w:r>
      <w:r w:rsidRPr="00C0281B">
        <w:rPr>
          <w:rFonts w:ascii="Arial" w:eastAsia="Calibri" w:hAnsi="Arial" w:cs="Arial"/>
          <w:sz w:val="20"/>
          <w:szCs w:val="20"/>
          <w:lang w:val="es-ES_tradnl" w:eastAsia="en-US"/>
        </w:rPr>
        <w:t xml:space="preserve">la regulación de la capacidad se integra por varias disposiciones y exigencias especiales </w:t>
      </w:r>
      <w:r w:rsidRPr="00133BF5">
        <w:rPr>
          <w:rFonts w:ascii="Arial" w:eastAsia="Calibri" w:hAnsi="Arial" w:cs="Arial"/>
          <w:sz w:val="20"/>
          <w:szCs w:val="20"/>
          <w:lang w:val="es-ES_tradnl" w:eastAsia="en-US"/>
        </w:rPr>
        <w:t>-</w:t>
      </w:r>
      <w:r w:rsidRPr="00C0281B">
        <w:rPr>
          <w:rFonts w:ascii="Arial" w:eastAsia="Calibri" w:hAnsi="Arial" w:cs="Arial"/>
          <w:sz w:val="20"/>
          <w:szCs w:val="20"/>
          <w:lang w:val="es-ES_tradnl" w:eastAsia="en-US"/>
        </w:rPr>
        <w:t>como el requisito de inscribirse, por regla general, en el Registro Único de Proponentes</w:t>
      </w:r>
      <w:r w:rsidRPr="00133BF5">
        <w:rPr>
          <w:rFonts w:ascii="Arial" w:eastAsia="Calibri" w:hAnsi="Arial" w:cs="Arial"/>
          <w:sz w:val="20"/>
          <w:szCs w:val="20"/>
          <w:lang w:val="es-ES_tradnl" w:eastAsia="en-US"/>
        </w:rPr>
        <w:t xml:space="preserve"> al amparo d</w:t>
      </w:r>
      <w:r w:rsidRPr="00C0281B">
        <w:rPr>
          <w:rFonts w:ascii="Arial" w:eastAsia="Calibri" w:hAnsi="Arial" w:cs="Arial"/>
          <w:sz w:val="20"/>
          <w:szCs w:val="20"/>
          <w:lang w:val="es-ES_tradnl" w:eastAsia="en-US"/>
        </w:rPr>
        <w:t>el artículo 6 de la Ley 1150 de 2007, modificado por el artículo 221 del Decreto 19 de 2012</w:t>
      </w:r>
      <w:r w:rsidRPr="00133BF5">
        <w:rPr>
          <w:rFonts w:ascii="Arial" w:eastAsia="Calibri" w:hAnsi="Arial" w:cs="Arial"/>
          <w:sz w:val="20"/>
          <w:szCs w:val="20"/>
          <w:lang w:val="es-ES_tradnl" w:eastAsia="en-US"/>
        </w:rPr>
        <w:t>-</w:t>
      </w:r>
      <w:r w:rsidRPr="00C0281B">
        <w:rPr>
          <w:rFonts w:ascii="Arial" w:eastAsia="Calibri" w:hAnsi="Arial" w:cs="Arial"/>
          <w:sz w:val="20"/>
          <w:szCs w:val="20"/>
          <w:lang w:val="es-ES_tradnl" w:eastAsia="en-US"/>
        </w:rPr>
        <w:t>,</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se destaca el régimen de inhabilidades e incompatibilidades como un conjunto de normas que imponen restricciones para los sujetos que, eventualmente, pretendan participar en los procedimientos de selección o celebrar contratos con las entidades estatales</w:t>
      </w:r>
      <w:r w:rsidRPr="00133BF5">
        <w:rPr>
          <w:rFonts w:ascii="Arial" w:eastAsia="Calibri" w:hAnsi="Arial" w:cs="Arial"/>
          <w:sz w:val="20"/>
          <w:szCs w:val="20"/>
          <w:lang w:val="es-ES_tradnl" w:eastAsia="en-US"/>
        </w:rPr>
        <w:t>.</w:t>
      </w:r>
    </w:p>
    <w:p w14:paraId="139A9354" w14:textId="77777777" w:rsidR="00133BF5" w:rsidRDefault="00133BF5" w:rsidP="00133BF5">
      <w:pPr>
        <w:jc w:val="both"/>
        <w:rPr>
          <w:rFonts w:ascii="Arial" w:eastAsia="Calibri" w:hAnsi="Arial" w:cs="Arial"/>
          <w:bCs/>
          <w:color w:val="000000" w:themeColor="text1"/>
          <w:sz w:val="20"/>
          <w:szCs w:val="20"/>
          <w:lang w:val="es-ES_tradnl" w:eastAsia="en-US"/>
        </w:rPr>
      </w:pPr>
    </w:p>
    <w:p w14:paraId="6246526A" w14:textId="40E45E65" w:rsidR="00133BF5" w:rsidRPr="007F38B6" w:rsidRDefault="00133BF5" w:rsidP="00133BF5">
      <w:pPr>
        <w:jc w:val="both"/>
        <w:rPr>
          <w:rFonts w:ascii="Arial" w:eastAsia="Calibri" w:hAnsi="Arial" w:cs="Arial"/>
          <w:bCs/>
          <w:color w:val="000000" w:themeColor="text1"/>
          <w:sz w:val="20"/>
          <w:szCs w:val="20"/>
          <w:lang w:val="es-ES_tradnl" w:eastAsia="en-US"/>
        </w:rPr>
      </w:pPr>
      <w:r w:rsidRPr="00C0281B">
        <w:rPr>
          <w:rFonts w:ascii="Arial" w:eastAsia="Calibri" w:hAnsi="Arial" w:cs="Arial"/>
          <w:sz w:val="20"/>
          <w:szCs w:val="20"/>
          <w:lang w:val="es-ES_tradnl" w:eastAsia="en-US"/>
        </w:rPr>
        <w:t>Las</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inhabilidades</w:t>
      </w:r>
      <w:r w:rsidRPr="00133BF5">
        <w:rPr>
          <w:rFonts w:ascii="Arial" w:eastAsia="Calibri" w:hAnsi="Arial" w:cs="Arial"/>
          <w:sz w:val="20"/>
          <w:szCs w:val="20"/>
          <w:lang w:val="es-ES_tradnl" w:eastAsia="en-US"/>
        </w:rPr>
        <w:t xml:space="preserve">, esencialmente, son definidas como </w:t>
      </w:r>
      <w:r w:rsidRPr="00C0281B">
        <w:rPr>
          <w:rFonts w:ascii="Arial" w:eastAsia="Calibri" w:hAnsi="Arial" w:cs="Arial"/>
          <w:sz w:val="20"/>
          <w:szCs w:val="20"/>
          <w:lang w:val="es-ES_tradnl" w:eastAsia="en-US"/>
        </w:rPr>
        <w:t>prohibiciones</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para concurrir a los procedimientos de selección y para contratar con el Estado, que se derivan</w:t>
      </w:r>
      <w:r w:rsidRPr="00133BF5">
        <w:rPr>
          <w:rFonts w:ascii="Arial" w:eastAsia="Calibri" w:hAnsi="Arial" w:cs="Arial"/>
          <w:sz w:val="20"/>
          <w:szCs w:val="20"/>
          <w:lang w:val="es-ES_tradnl" w:eastAsia="en-US"/>
        </w:rPr>
        <w:t xml:space="preserve"> de: </w:t>
      </w:r>
      <w:r w:rsidRPr="00133BF5">
        <w:rPr>
          <w:rFonts w:ascii="Arial" w:eastAsia="Calibri" w:hAnsi="Arial" w:cs="Arial"/>
          <w:i/>
          <w:iCs/>
          <w:sz w:val="20"/>
          <w:szCs w:val="20"/>
          <w:lang w:val="es-ES_tradnl" w:eastAsia="en-US"/>
        </w:rPr>
        <w:t>(</w:t>
      </w:r>
      <w:r w:rsidRPr="00C0281B">
        <w:rPr>
          <w:rFonts w:ascii="Arial" w:eastAsia="Calibri" w:hAnsi="Arial" w:cs="Arial"/>
          <w:i/>
          <w:iCs/>
          <w:sz w:val="20"/>
          <w:szCs w:val="20"/>
          <w:lang w:val="es-ES_tradnl" w:eastAsia="en-US"/>
        </w:rPr>
        <w:t>i)</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la existencia de comportamientos reprochables o de sanciones anteriormente</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impuestas</w:t>
      </w:r>
      <w:r w:rsidRPr="00133BF5">
        <w:rPr>
          <w:rFonts w:ascii="Arial" w:eastAsia="Calibri" w:hAnsi="Arial" w:cs="Arial"/>
          <w:sz w:val="20"/>
          <w:szCs w:val="20"/>
          <w:lang w:val="es-ES_tradnl" w:eastAsia="en-US"/>
        </w:rPr>
        <w:t>;</w:t>
      </w:r>
      <w:r w:rsidRPr="00C0281B">
        <w:rPr>
          <w:rFonts w:ascii="Arial" w:eastAsia="Calibri" w:hAnsi="Arial" w:cs="Arial"/>
          <w:sz w:val="20"/>
          <w:szCs w:val="20"/>
          <w:lang w:val="es-ES_tradnl" w:eastAsia="en-US"/>
        </w:rPr>
        <w:t xml:space="preserve"> </w:t>
      </w:r>
      <w:r w:rsidRPr="00133BF5">
        <w:rPr>
          <w:rFonts w:ascii="Arial" w:eastAsia="Calibri" w:hAnsi="Arial" w:cs="Arial"/>
          <w:i/>
          <w:iCs/>
          <w:sz w:val="20"/>
          <w:szCs w:val="20"/>
          <w:lang w:val="es-ES_tradnl" w:eastAsia="en-US"/>
        </w:rPr>
        <w:t>(</w:t>
      </w:r>
      <w:proofErr w:type="spellStart"/>
      <w:r w:rsidRPr="00C0281B">
        <w:rPr>
          <w:rFonts w:ascii="Arial" w:eastAsia="Calibri" w:hAnsi="Arial" w:cs="Arial"/>
          <w:i/>
          <w:iCs/>
          <w:sz w:val="20"/>
          <w:szCs w:val="20"/>
          <w:lang w:val="es-ES_tradnl" w:eastAsia="en-US"/>
        </w:rPr>
        <w:t>ii</w:t>
      </w:r>
      <w:proofErr w:type="spellEnd"/>
      <w:r w:rsidRPr="00C0281B">
        <w:rPr>
          <w:rFonts w:ascii="Arial" w:eastAsia="Calibri" w:hAnsi="Arial" w:cs="Arial"/>
          <w:i/>
          <w:iCs/>
          <w:sz w:val="20"/>
          <w:szCs w:val="20"/>
          <w:lang w:val="es-ES_tradnl" w:eastAsia="en-US"/>
        </w:rPr>
        <w:t>)</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 xml:space="preserve">vínculos personales relativos al parentesco o al estado civil </w:t>
      </w:r>
      <w:r w:rsidRPr="00133BF5">
        <w:rPr>
          <w:rFonts w:ascii="Arial" w:eastAsia="Calibri" w:hAnsi="Arial" w:cs="Arial"/>
          <w:sz w:val="20"/>
          <w:szCs w:val="20"/>
          <w:lang w:val="es-ES_tradnl" w:eastAsia="en-US"/>
        </w:rPr>
        <w:t>y/</w:t>
      </w:r>
      <w:r w:rsidRPr="00C0281B">
        <w:rPr>
          <w:rFonts w:ascii="Arial" w:eastAsia="Calibri" w:hAnsi="Arial" w:cs="Arial"/>
          <w:sz w:val="20"/>
          <w:szCs w:val="20"/>
          <w:lang w:val="es-ES_tradnl" w:eastAsia="en-US"/>
        </w:rPr>
        <w:t>o</w:t>
      </w:r>
      <w:r w:rsidRPr="00133BF5">
        <w:rPr>
          <w:rFonts w:ascii="Arial" w:eastAsia="Calibri" w:hAnsi="Arial" w:cs="Arial"/>
          <w:sz w:val="20"/>
          <w:szCs w:val="20"/>
          <w:lang w:val="es-ES_tradnl" w:eastAsia="en-US"/>
        </w:rPr>
        <w:t xml:space="preserve"> </w:t>
      </w:r>
      <w:r w:rsidRPr="00133BF5">
        <w:rPr>
          <w:rFonts w:ascii="Arial" w:eastAsia="Calibri" w:hAnsi="Arial" w:cs="Arial"/>
          <w:i/>
          <w:iCs/>
          <w:sz w:val="20"/>
          <w:szCs w:val="20"/>
          <w:lang w:val="es-ES_tradnl" w:eastAsia="en-US"/>
        </w:rPr>
        <w:t>(</w:t>
      </w:r>
      <w:proofErr w:type="spellStart"/>
      <w:r w:rsidRPr="00C0281B">
        <w:rPr>
          <w:rFonts w:ascii="Arial" w:eastAsia="Calibri" w:hAnsi="Arial" w:cs="Arial"/>
          <w:i/>
          <w:iCs/>
          <w:sz w:val="20"/>
          <w:szCs w:val="20"/>
          <w:lang w:val="es-ES_tradnl" w:eastAsia="en-US"/>
        </w:rPr>
        <w:t>iii</w:t>
      </w:r>
      <w:proofErr w:type="spellEnd"/>
      <w:r w:rsidRPr="00C0281B">
        <w:rPr>
          <w:rFonts w:ascii="Arial" w:eastAsia="Calibri" w:hAnsi="Arial" w:cs="Arial"/>
          <w:i/>
          <w:iCs/>
          <w:sz w:val="20"/>
          <w:szCs w:val="20"/>
          <w:lang w:val="es-ES_tradnl" w:eastAsia="en-US"/>
        </w:rPr>
        <w:t>)</w:t>
      </w:r>
      <w:r w:rsidRPr="00133BF5">
        <w:rPr>
          <w:rFonts w:ascii="Arial" w:eastAsia="Calibri" w:hAnsi="Arial" w:cs="Arial"/>
          <w:sz w:val="20"/>
          <w:szCs w:val="20"/>
          <w:lang w:val="es-ES_tradnl" w:eastAsia="en-US"/>
        </w:rPr>
        <w:t xml:space="preserve"> de </w:t>
      </w:r>
      <w:r w:rsidRPr="00C0281B">
        <w:rPr>
          <w:rFonts w:ascii="Arial" w:eastAsia="Calibri" w:hAnsi="Arial" w:cs="Arial"/>
          <w:sz w:val="20"/>
          <w:szCs w:val="20"/>
          <w:lang w:val="es-ES_tradnl" w:eastAsia="en-US"/>
        </w:rPr>
        <w:t xml:space="preserve">una actividad u oficio que se desempeñó en el pasado. </w:t>
      </w:r>
      <w:r w:rsidRPr="00133BF5">
        <w:rPr>
          <w:rFonts w:ascii="Arial" w:eastAsia="Calibri" w:hAnsi="Arial" w:cs="Arial"/>
          <w:sz w:val="20"/>
          <w:szCs w:val="20"/>
          <w:lang w:val="es-ES_tradnl" w:eastAsia="en-US"/>
        </w:rPr>
        <w:t xml:space="preserve">Por su parte, </w:t>
      </w:r>
      <w:r w:rsidRPr="00C0281B">
        <w:rPr>
          <w:rFonts w:ascii="Arial" w:eastAsia="Calibri" w:hAnsi="Arial" w:cs="Arial"/>
          <w:sz w:val="20"/>
          <w:szCs w:val="20"/>
          <w:lang w:val="es-ES_tradnl" w:eastAsia="en-US"/>
        </w:rPr>
        <w:t xml:space="preserve">las </w:t>
      </w:r>
      <w:r w:rsidRPr="00C0281B">
        <w:rPr>
          <w:rFonts w:ascii="Arial" w:eastAsia="Calibri" w:hAnsi="Arial" w:cs="Arial"/>
          <w:sz w:val="20"/>
          <w:szCs w:val="20"/>
          <w:lang w:val="es-ES_tradnl" w:eastAsia="en-US"/>
        </w:rPr>
        <w:lastRenderedPageBreak/>
        <w:t>incompatibilidades</w:t>
      </w:r>
      <w:r w:rsidRPr="00133BF5">
        <w:rPr>
          <w:rFonts w:ascii="Arial" w:eastAsia="Calibri" w:hAnsi="Arial" w:cs="Arial"/>
          <w:sz w:val="20"/>
          <w:szCs w:val="20"/>
          <w:lang w:val="es-ES_tradnl" w:eastAsia="en-US"/>
        </w:rPr>
        <w:t xml:space="preserve"> se caracterizan por ser </w:t>
      </w:r>
      <w:r w:rsidRPr="00C0281B">
        <w:rPr>
          <w:rFonts w:ascii="Arial" w:eastAsia="Calibri" w:hAnsi="Arial" w:cs="Arial"/>
          <w:sz w:val="20"/>
          <w:szCs w:val="20"/>
          <w:lang w:val="es-ES_tradnl" w:eastAsia="en-US"/>
        </w:rPr>
        <w:t>prohibiciones para participar en los procedimientos de selección y para celebrar contratos estatales</w:t>
      </w:r>
      <w:r w:rsidRPr="00133BF5">
        <w:rPr>
          <w:rFonts w:ascii="Arial" w:eastAsia="Calibri" w:hAnsi="Arial" w:cs="Arial"/>
          <w:sz w:val="20"/>
          <w:szCs w:val="20"/>
          <w:lang w:val="es-ES_tradnl" w:eastAsia="en-US"/>
        </w:rPr>
        <w:t xml:space="preserve"> que se fundan </w:t>
      </w:r>
      <w:r w:rsidRPr="00C0281B">
        <w:rPr>
          <w:rFonts w:ascii="Arial" w:eastAsia="Calibri" w:hAnsi="Arial" w:cs="Arial"/>
          <w:sz w:val="20"/>
          <w:szCs w:val="20"/>
          <w:lang w:val="es-ES_tradnl" w:eastAsia="en-US"/>
        </w:rPr>
        <w:t>en la presencia de una calidad que ostenta el sujeto interesado en realizar alguna de dichas actividades, que no puede coexistir con su calidad de proponente o contratista del Estado.</w:t>
      </w:r>
      <w:r w:rsidRPr="00133BF5">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En todo caso, a pesar de la existencia de distintos criterios para diferenciar las inhabilidades de las incompatibilidades,</w:t>
      </w:r>
      <w:r w:rsidRPr="00133BF5">
        <w:rPr>
          <w:rFonts w:ascii="Arial" w:eastAsia="Calibri" w:hAnsi="Arial" w:cs="Arial"/>
          <w:sz w:val="20"/>
          <w:szCs w:val="20"/>
          <w:lang w:val="es-ES_tradnl" w:eastAsia="en-US"/>
        </w:rPr>
        <w:t xml:space="preserve"> de ambas </w:t>
      </w:r>
      <w:r w:rsidRPr="00C0281B">
        <w:rPr>
          <w:rFonts w:ascii="Arial" w:eastAsia="Calibri" w:hAnsi="Arial" w:cs="Arial"/>
          <w:sz w:val="20"/>
          <w:szCs w:val="20"/>
          <w:lang w:val="es-ES_tradnl" w:eastAsia="en-US"/>
        </w:rPr>
        <w:t>se deriva</w:t>
      </w:r>
      <w:r w:rsidRPr="00133BF5">
        <w:rPr>
          <w:rFonts w:ascii="Arial" w:eastAsia="Calibri" w:hAnsi="Arial" w:cs="Arial"/>
          <w:sz w:val="20"/>
          <w:szCs w:val="20"/>
          <w:lang w:val="es-ES_tradnl" w:eastAsia="en-US"/>
        </w:rPr>
        <w:t xml:space="preserve">n las mismas consecuencias </w:t>
      </w:r>
      <w:r w:rsidRPr="00C0281B">
        <w:rPr>
          <w:rFonts w:ascii="Arial" w:eastAsia="Calibri" w:hAnsi="Arial" w:cs="Arial"/>
          <w:sz w:val="20"/>
          <w:szCs w:val="20"/>
          <w:lang w:val="es-ES_tradnl" w:eastAsia="en-US"/>
        </w:rPr>
        <w:t>jurídicas, esto es, la limitación de la capacidad contractual, como se desarrolló en el</w:t>
      </w:r>
      <w:r w:rsidRPr="00133BF5">
        <w:rPr>
          <w:rFonts w:ascii="Arial" w:eastAsia="Calibri" w:hAnsi="Arial" w:cs="Arial"/>
          <w:sz w:val="20"/>
          <w:szCs w:val="20"/>
          <w:lang w:val="es-ES_tradnl" w:eastAsia="en-US"/>
        </w:rPr>
        <w:t xml:space="preserve"> acápite anterior </w:t>
      </w:r>
      <w:r w:rsidRPr="00C0281B">
        <w:rPr>
          <w:rFonts w:ascii="Arial" w:eastAsia="Calibri" w:hAnsi="Arial" w:cs="Arial"/>
          <w:sz w:val="20"/>
          <w:szCs w:val="20"/>
          <w:lang w:val="es-ES_tradnl" w:eastAsia="en-US"/>
        </w:rPr>
        <w:t>de este concepto</w:t>
      </w:r>
      <w:r w:rsidRPr="00133BF5">
        <w:rPr>
          <w:rFonts w:ascii="Arial" w:eastAsia="Calibri" w:hAnsi="Arial" w:cs="Arial"/>
          <w:sz w:val="20"/>
          <w:szCs w:val="20"/>
          <w:lang w:val="es-ES_tradnl" w:eastAsia="en-US"/>
        </w:rPr>
        <w:t xml:space="preserve">. En este sentido, </w:t>
      </w:r>
      <w:r w:rsidRPr="00C0281B">
        <w:rPr>
          <w:rFonts w:ascii="Arial" w:eastAsia="Calibri" w:hAnsi="Arial" w:cs="Arial"/>
          <w:sz w:val="20"/>
          <w:szCs w:val="20"/>
          <w:lang w:val="es-ES_tradnl" w:eastAsia="en-US"/>
        </w:rPr>
        <w:t>la</w:t>
      </w:r>
      <w:r w:rsidRPr="00133BF5">
        <w:rPr>
          <w:rFonts w:ascii="Arial" w:eastAsia="Calibri" w:hAnsi="Arial" w:cs="Arial"/>
          <w:sz w:val="20"/>
          <w:szCs w:val="20"/>
          <w:lang w:val="es-ES_tradnl" w:eastAsia="en-US"/>
        </w:rPr>
        <w:t xml:space="preserve"> sola configuración de una de tales figuras basta para impedir la celebración de contratos con el Estado o la participación en procedimientos de selección de las entidades estatales, pues en el </w:t>
      </w:r>
      <w:r w:rsidRPr="007F38B6">
        <w:rPr>
          <w:rFonts w:ascii="Arial" w:eastAsia="Calibri" w:hAnsi="Arial" w:cs="Arial"/>
          <w:sz w:val="20"/>
          <w:szCs w:val="20"/>
          <w:lang w:val="es-ES_tradnl" w:eastAsia="en-US"/>
        </w:rPr>
        <w:t>marco de la lucha contra la corrupción, garantizan que la provisión de bienes, obras o servicios por las entidades estatales cumpla con los principios de la función administrativa y de la gestión fiscal, especialmente con la probidad y transparencia (…).</w:t>
      </w:r>
    </w:p>
    <w:p w14:paraId="0A8055FE" w14:textId="77777777" w:rsidR="00133BF5" w:rsidRPr="007F38B6" w:rsidRDefault="00133BF5" w:rsidP="00133BF5">
      <w:pPr>
        <w:jc w:val="both"/>
        <w:rPr>
          <w:rFonts w:ascii="Arial" w:eastAsia="Calibri" w:hAnsi="Arial" w:cs="Arial"/>
          <w:bCs/>
          <w:color w:val="000000" w:themeColor="text1"/>
          <w:sz w:val="20"/>
          <w:szCs w:val="20"/>
          <w:lang w:val="es-ES_tradnl" w:eastAsia="en-US"/>
        </w:rPr>
      </w:pPr>
    </w:p>
    <w:p w14:paraId="585434C2" w14:textId="77777777" w:rsidR="00133BF5" w:rsidRPr="00133BF5" w:rsidRDefault="00133BF5" w:rsidP="00133BF5">
      <w:pPr>
        <w:jc w:val="both"/>
        <w:rPr>
          <w:rFonts w:ascii="Arial" w:eastAsia="Calibri" w:hAnsi="Arial" w:cs="Arial"/>
          <w:b/>
          <w:bCs/>
          <w:color w:val="000000" w:themeColor="text1"/>
          <w:sz w:val="20"/>
          <w:szCs w:val="20"/>
          <w:lang w:val="es-ES" w:eastAsia="en-US"/>
        </w:rPr>
      </w:pPr>
      <w:r w:rsidRPr="00133BF5">
        <w:rPr>
          <w:rFonts w:ascii="Arial" w:eastAsia="Calibri" w:hAnsi="Arial" w:cs="Arial"/>
          <w:b/>
          <w:bCs/>
          <w:color w:val="000000" w:themeColor="text1"/>
          <w:sz w:val="22"/>
          <w:szCs w:val="22"/>
          <w:lang w:val="es-ES" w:eastAsia="en-US"/>
        </w:rPr>
        <w:t>INHABILIDADES – Taxatividad – Principio de legalidad – Interpretación restrictiva</w:t>
      </w:r>
    </w:p>
    <w:p w14:paraId="3178EBBE" w14:textId="77777777" w:rsidR="00133BF5" w:rsidRPr="00133BF5" w:rsidRDefault="00133BF5" w:rsidP="00133BF5">
      <w:pPr>
        <w:jc w:val="both"/>
        <w:rPr>
          <w:rFonts w:ascii="Arial" w:eastAsia="Calibri" w:hAnsi="Arial" w:cs="Arial"/>
          <w:color w:val="000000" w:themeColor="text1"/>
          <w:sz w:val="20"/>
          <w:szCs w:val="20"/>
          <w:lang w:val="es-ES" w:eastAsia="en-US"/>
        </w:rPr>
      </w:pPr>
    </w:p>
    <w:p w14:paraId="366B6A37" w14:textId="08D6A1A5" w:rsidR="00133BF5" w:rsidRPr="007F38B6" w:rsidRDefault="00133BF5" w:rsidP="00133BF5">
      <w:pPr>
        <w:spacing w:after="120"/>
        <w:jc w:val="both"/>
        <w:rPr>
          <w:rFonts w:ascii="Arial" w:eastAsia="Calibri" w:hAnsi="Arial" w:cs="Arial"/>
          <w:sz w:val="20"/>
          <w:szCs w:val="20"/>
          <w:lang w:val="es-ES_tradnl" w:eastAsia="en-US"/>
        </w:rPr>
      </w:pPr>
      <w:r w:rsidRPr="007F38B6">
        <w:rPr>
          <w:rFonts w:ascii="Arial" w:eastAsia="Calibri" w:hAnsi="Arial" w:cs="Arial"/>
          <w:sz w:val="20"/>
          <w:szCs w:val="20"/>
          <w:lang w:val="es-ES_tradnl" w:eastAsia="en-US"/>
        </w:rPr>
        <w:t xml:space="preserve">En tanto restricciones o límites especiales a la capacidad para presentar ofertas y celebrar contratos estatales, las </w:t>
      </w:r>
      <w:r w:rsidRPr="00C0281B">
        <w:rPr>
          <w:rFonts w:ascii="Arial" w:eastAsia="Calibri" w:hAnsi="Arial" w:cs="Arial"/>
          <w:sz w:val="20"/>
          <w:szCs w:val="20"/>
          <w:lang w:val="es-ES_tradnl" w:eastAsia="en-US"/>
        </w:rPr>
        <w:t>inhabilidades e incompatibilidades</w:t>
      </w:r>
      <w:r w:rsidRPr="007F38B6">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solo pueden tipificarse</w:t>
      </w:r>
      <w:r w:rsidRPr="007F38B6">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 xml:space="preserve">en la ley o </w:t>
      </w:r>
      <w:r w:rsidRPr="007F38B6">
        <w:rPr>
          <w:rFonts w:ascii="Arial" w:eastAsia="Calibri" w:hAnsi="Arial" w:cs="Arial"/>
          <w:sz w:val="20"/>
          <w:szCs w:val="20"/>
          <w:lang w:val="es-ES_tradnl" w:eastAsia="en-US"/>
        </w:rPr>
        <w:t xml:space="preserve">en </w:t>
      </w:r>
      <w:r w:rsidRPr="00C0281B">
        <w:rPr>
          <w:rFonts w:ascii="Arial" w:eastAsia="Calibri" w:hAnsi="Arial" w:cs="Arial"/>
          <w:sz w:val="20"/>
          <w:szCs w:val="20"/>
          <w:lang w:val="es-ES_tradnl" w:eastAsia="en-US"/>
        </w:rPr>
        <w:t xml:space="preserve">la Constitución </w:t>
      </w:r>
      <w:r w:rsidRPr="007F38B6">
        <w:rPr>
          <w:rFonts w:ascii="Arial" w:eastAsia="Calibri" w:hAnsi="Arial" w:cs="Arial"/>
          <w:sz w:val="20"/>
          <w:szCs w:val="20"/>
          <w:lang w:val="es-ES_tradnl" w:eastAsia="en-US"/>
        </w:rPr>
        <w:t>-es decir</w:t>
      </w:r>
      <w:r w:rsidRPr="00C0281B">
        <w:rPr>
          <w:rFonts w:ascii="Arial" w:eastAsia="Calibri" w:hAnsi="Arial" w:cs="Arial"/>
          <w:sz w:val="20"/>
          <w:szCs w:val="20"/>
          <w:lang w:val="es-ES_tradnl" w:eastAsia="en-US"/>
        </w:rPr>
        <w:t>,</w:t>
      </w:r>
      <w:r w:rsidRPr="007F38B6">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deben satisfacer el principio de legalidad</w:t>
      </w:r>
      <w:r w:rsidRPr="007F38B6">
        <w:rPr>
          <w:rFonts w:ascii="Arial" w:eastAsia="Calibri" w:hAnsi="Arial" w:cs="Arial"/>
          <w:sz w:val="20"/>
          <w:szCs w:val="20"/>
          <w:lang w:val="es-ES_tradnl" w:eastAsia="en-US"/>
        </w:rPr>
        <w:t>-</w:t>
      </w:r>
      <w:r w:rsidRPr="00C0281B">
        <w:rPr>
          <w:rFonts w:ascii="Arial" w:eastAsia="Calibri" w:hAnsi="Arial" w:cs="Arial"/>
          <w:sz w:val="20"/>
          <w:szCs w:val="20"/>
          <w:lang w:val="es-ES_tradnl" w:eastAsia="en-US"/>
        </w:rPr>
        <w:t xml:space="preserve"> y su interpretación debe</w:t>
      </w:r>
      <w:r w:rsidRPr="007F38B6">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 xml:space="preserve">ser </w:t>
      </w:r>
      <w:r w:rsidRPr="00C0281B">
        <w:rPr>
          <w:rFonts w:ascii="Arial" w:eastAsia="Calibri" w:hAnsi="Arial" w:cs="Arial"/>
          <w:i/>
          <w:iCs/>
          <w:sz w:val="20"/>
          <w:szCs w:val="20"/>
          <w:lang w:val="es-ES_tradnl" w:eastAsia="en-US"/>
        </w:rPr>
        <w:t>restrictiva,</w:t>
      </w:r>
      <w:r w:rsidRPr="007F38B6">
        <w:rPr>
          <w:rFonts w:ascii="Arial" w:eastAsia="Calibri" w:hAnsi="Arial" w:cs="Arial"/>
          <w:sz w:val="20"/>
          <w:szCs w:val="20"/>
          <w:lang w:val="es-ES_tradnl" w:eastAsia="en-US"/>
        </w:rPr>
        <w:t xml:space="preserve"> ya que </w:t>
      </w:r>
      <w:r w:rsidRPr="00C0281B">
        <w:rPr>
          <w:rFonts w:ascii="Arial" w:eastAsia="Calibri" w:hAnsi="Arial" w:cs="Arial"/>
          <w:sz w:val="20"/>
          <w:szCs w:val="20"/>
          <w:lang w:val="es-ES_tradnl" w:eastAsia="en-US"/>
        </w:rPr>
        <w:t>si se admit</w:t>
      </w:r>
      <w:r w:rsidRPr="007F38B6">
        <w:rPr>
          <w:rFonts w:ascii="Arial" w:eastAsia="Calibri" w:hAnsi="Arial" w:cs="Arial"/>
          <w:sz w:val="20"/>
          <w:szCs w:val="20"/>
          <w:lang w:val="es-ES_tradnl" w:eastAsia="en-US"/>
        </w:rPr>
        <w:t xml:space="preserve">e </w:t>
      </w:r>
      <w:r w:rsidRPr="00C0281B">
        <w:rPr>
          <w:rFonts w:ascii="Arial" w:eastAsia="Calibri" w:hAnsi="Arial" w:cs="Arial"/>
          <w:sz w:val="20"/>
          <w:szCs w:val="20"/>
          <w:lang w:val="es-ES_tradnl" w:eastAsia="en-US"/>
        </w:rPr>
        <w:t>una interpretación amplia, extensiva o finalista,</w:t>
      </w:r>
      <w:r w:rsidRPr="007F38B6">
        <w:rPr>
          <w:rFonts w:ascii="Arial" w:eastAsia="Calibri" w:hAnsi="Arial" w:cs="Arial"/>
          <w:sz w:val="20"/>
          <w:szCs w:val="20"/>
          <w:lang w:val="es-ES_tradnl" w:eastAsia="en-US"/>
        </w:rPr>
        <w:t xml:space="preserve"> sus </w:t>
      </w:r>
      <w:r w:rsidRPr="00C0281B">
        <w:rPr>
          <w:rFonts w:ascii="Arial" w:eastAsia="Calibri" w:hAnsi="Arial" w:cs="Arial"/>
          <w:sz w:val="20"/>
          <w:szCs w:val="20"/>
          <w:lang w:val="es-ES_tradnl" w:eastAsia="en-US"/>
        </w:rPr>
        <w:t>enunciados normativos contemplarían múltiples supuestos</w:t>
      </w:r>
      <w:r w:rsidRPr="007F38B6">
        <w:rPr>
          <w:rFonts w:ascii="Arial" w:eastAsia="Calibri" w:hAnsi="Arial" w:cs="Arial"/>
          <w:sz w:val="20"/>
          <w:szCs w:val="20"/>
          <w:lang w:val="es-ES_tradnl" w:eastAsia="en-US"/>
        </w:rPr>
        <w:t xml:space="preserve"> </w:t>
      </w:r>
      <w:r w:rsidRPr="00C0281B">
        <w:rPr>
          <w:rFonts w:ascii="Arial" w:eastAsia="Calibri" w:hAnsi="Arial" w:cs="Arial"/>
          <w:sz w:val="20"/>
          <w:szCs w:val="20"/>
          <w:lang w:val="es-ES_tradnl" w:eastAsia="en-US"/>
        </w:rPr>
        <w:t xml:space="preserve">indeterminados, según el parecer o el sentido común de los operadores jurídicos, </w:t>
      </w:r>
      <w:r w:rsidRPr="007F38B6">
        <w:rPr>
          <w:rFonts w:ascii="Arial" w:eastAsia="Calibri" w:hAnsi="Arial" w:cs="Arial"/>
          <w:sz w:val="20"/>
          <w:szCs w:val="20"/>
          <w:lang w:val="es-ES_tradnl" w:eastAsia="en-US"/>
        </w:rPr>
        <w:t xml:space="preserve">poniéndose </w:t>
      </w:r>
      <w:r w:rsidRPr="00C0281B">
        <w:rPr>
          <w:rFonts w:ascii="Arial" w:eastAsia="Calibri" w:hAnsi="Arial" w:cs="Arial"/>
          <w:sz w:val="20"/>
          <w:szCs w:val="20"/>
          <w:lang w:val="es-ES_tradnl" w:eastAsia="en-US"/>
        </w:rPr>
        <w:t>en riesgo principios como la igualdad, el debido proceso, la seguridad jurídica, la libre concurrencia y el ejercicio de la profesión u oficio</w:t>
      </w:r>
      <w:r w:rsidRPr="007F38B6">
        <w:rPr>
          <w:rFonts w:ascii="Arial" w:eastAsia="Calibri" w:hAnsi="Arial" w:cs="Arial"/>
          <w:sz w:val="20"/>
          <w:szCs w:val="20"/>
          <w:lang w:val="es-ES_tradnl" w:eastAsia="en-US"/>
        </w:rPr>
        <w:t xml:space="preserve"> (…).</w:t>
      </w:r>
    </w:p>
    <w:p w14:paraId="7208EDDC" w14:textId="675F64EF" w:rsidR="009E3A2F" w:rsidRPr="007F38B6" w:rsidRDefault="009E3A2F" w:rsidP="00B17718">
      <w:pPr>
        <w:jc w:val="both"/>
        <w:rPr>
          <w:rFonts w:asciiTheme="minorHAnsi" w:eastAsiaTheme="minorHAnsi" w:hAnsiTheme="minorHAnsi" w:cstheme="minorBidi"/>
          <w:b/>
          <w:bCs/>
          <w:sz w:val="20"/>
          <w:szCs w:val="20"/>
          <w:lang w:val="es-MX" w:eastAsia="en-US"/>
        </w:rPr>
      </w:pPr>
      <w:r w:rsidRPr="007F38B6">
        <w:rPr>
          <w:rFonts w:ascii="Arial" w:eastAsia="Calibri" w:hAnsi="Arial" w:cs="Arial"/>
          <w:b/>
          <w:bCs/>
          <w:sz w:val="22"/>
          <w:lang w:eastAsia="es-ES_tradnl"/>
        </w:rPr>
        <w:t>LEY 2097 DE 2021 – Registro de Deudores Alimentarios Morosos REDAM – Objeto</w:t>
      </w:r>
    </w:p>
    <w:p w14:paraId="59A3218A" w14:textId="77777777" w:rsidR="00133BF5" w:rsidRPr="007F38B6" w:rsidRDefault="00133BF5" w:rsidP="000F2CA7">
      <w:pPr>
        <w:spacing w:line="259" w:lineRule="auto"/>
        <w:rPr>
          <w:rFonts w:ascii="Arial" w:eastAsia="Geomanist Light" w:hAnsi="Arial" w:cs="Arial"/>
          <w:color w:val="000000" w:themeColor="text1"/>
          <w:sz w:val="22"/>
          <w:szCs w:val="22"/>
          <w:lang w:val="es-MX" w:eastAsia="en-US"/>
        </w:rPr>
      </w:pPr>
    </w:p>
    <w:p w14:paraId="19D8222D" w14:textId="77777777" w:rsidR="0065362D" w:rsidRPr="0065362D" w:rsidRDefault="0065362D" w:rsidP="0065362D">
      <w:pPr>
        <w:jc w:val="both"/>
        <w:rPr>
          <w:rFonts w:ascii="Arial" w:eastAsia="Calibri" w:hAnsi="Arial" w:cs="Arial"/>
          <w:bCs/>
          <w:color w:val="000000" w:themeColor="text1"/>
          <w:sz w:val="20"/>
          <w:szCs w:val="20"/>
          <w:lang w:eastAsia="en-US"/>
        </w:rPr>
      </w:pPr>
      <w:bookmarkStart w:id="1" w:name="_Hlk94281581"/>
      <w:bookmarkStart w:id="2" w:name="_Hlk102489058"/>
      <w:r w:rsidRPr="0065362D">
        <w:rPr>
          <w:rFonts w:ascii="Arial" w:eastAsia="Calibri" w:hAnsi="Arial" w:cs="Arial"/>
          <w:bCs/>
          <w:color w:val="000000" w:themeColor="text1"/>
          <w:sz w:val="20"/>
          <w:szCs w:val="20"/>
          <w:lang w:eastAsia="en-US"/>
        </w:rPr>
        <w:t>El 2 de julio de 2021, el gobierno nacional sancionó la Ley Estatutaria 2097 de 2021, cuyo objeto –de acuerdo con el artículo 1– consiste en “[…] establecer medidas para garantizar el cumplimiento de las obligaciones alimentarias y crear el Registro de Deudores Alimentarios Morosos (</w:t>
      </w:r>
      <w:proofErr w:type="spellStart"/>
      <w:r w:rsidRPr="0065362D">
        <w:rPr>
          <w:rFonts w:ascii="Arial" w:eastAsia="Calibri" w:hAnsi="Arial" w:cs="Arial"/>
          <w:bCs/>
          <w:color w:val="000000" w:themeColor="text1"/>
          <w:sz w:val="20"/>
          <w:szCs w:val="20"/>
          <w:lang w:eastAsia="en-US"/>
        </w:rPr>
        <w:t>Redam</w:t>
      </w:r>
      <w:proofErr w:type="spellEnd"/>
      <w:r w:rsidRPr="0065362D">
        <w:rPr>
          <w:rFonts w:ascii="Arial" w:eastAsia="Calibri" w:hAnsi="Arial" w:cs="Arial"/>
          <w:bCs/>
          <w:color w:val="000000" w:themeColor="text1"/>
          <w:sz w:val="20"/>
          <w:szCs w:val="20"/>
          <w:lang w:eastAsia="en-US"/>
        </w:rPr>
        <w:t>), como mecanismo de control al incumplimiento de las obligaciones alimentarias”. Conforme a la exposición de motivos del proyecto ley, existe una vulneración de derechos al interior de la institución familiar, cuyo despliegue en materia de política pública ha sido limitado y resulta insuficiente para atender la problemática asociada al incumplimiento de la obligación legal prevista en el Título XXI del Libro Primero del Código Civil, especialmente, en el caso de los menores de edad, con las repercusiones que esta tiene tanto para ellos como para quien tiene la responsabilidad del cuidado y manutención. Por ello, tomado como referencia legislaciones foráneas como Estados Unidos, Perú, Uruguay, así como normatividades análogas en provincias y estados como Buenos Aires y Córdoba, en la Argentina, y la Ciudad de México, en México, los ponentes de la iniciativa concluyeron que “Estas experiencias de implementación del Registro de Deudores Alimentarios Morosos se pueden considerar el punto de partida para obtener una herramienta importante en la lucha contra el incumplimiento del pago de alimentos. Así, la finalidad que se persigue con este tipo de normas sancionatorias es que ante el incumplimiento alimentario se coaccione a los deudores para que cumplan con su obligación”.</w:t>
      </w:r>
    </w:p>
    <w:p w14:paraId="4BB21917" w14:textId="77777777" w:rsidR="0065362D" w:rsidRPr="0065362D" w:rsidRDefault="0065362D" w:rsidP="0065362D">
      <w:pPr>
        <w:jc w:val="both"/>
        <w:rPr>
          <w:rFonts w:ascii="Arial" w:eastAsia="Calibri" w:hAnsi="Arial" w:cs="Arial"/>
          <w:bCs/>
          <w:color w:val="000000" w:themeColor="text1"/>
          <w:sz w:val="20"/>
          <w:szCs w:val="20"/>
          <w:lang w:eastAsia="en-US"/>
        </w:rPr>
      </w:pPr>
    </w:p>
    <w:p w14:paraId="0A795283" w14:textId="678A6BE2" w:rsidR="0065362D" w:rsidRPr="0065362D" w:rsidRDefault="0065362D" w:rsidP="0065362D">
      <w:pPr>
        <w:jc w:val="both"/>
        <w:rPr>
          <w:rFonts w:ascii="Arial" w:eastAsia="Calibri" w:hAnsi="Arial" w:cs="Arial"/>
          <w:b/>
          <w:bCs/>
          <w:color w:val="000000" w:themeColor="text1"/>
          <w:sz w:val="22"/>
          <w:szCs w:val="22"/>
          <w:lang w:eastAsia="en-US"/>
        </w:rPr>
      </w:pPr>
      <w:r w:rsidRPr="0065362D">
        <w:rPr>
          <w:rFonts w:ascii="Arial" w:eastAsia="Calibri" w:hAnsi="Arial" w:cs="Arial"/>
          <w:b/>
          <w:bCs/>
          <w:color w:val="000000" w:themeColor="text1"/>
          <w:sz w:val="22"/>
          <w:szCs w:val="22"/>
          <w:lang w:val="es-ES" w:eastAsia="en-US"/>
        </w:rPr>
        <w:t xml:space="preserve">INHABILIDAD </w:t>
      </w:r>
      <w:r w:rsidRPr="0065362D">
        <w:rPr>
          <w:rFonts w:ascii="Arial" w:eastAsia="Calibri" w:hAnsi="Arial" w:cs="Arial"/>
          <w:b/>
          <w:bCs/>
          <w:color w:val="000000" w:themeColor="text1"/>
          <w:sz w:val="22"/>
          <w:szCs w:val="22"/>
          <w:lang w:eastAsia="en-US"/>
        </w:rPr>
        <w:t>– REDAM – Ámbito de aplicación – Constitucionalidad</w:t>
      </w:r>
    </w:p>
    <w:p w14:paraId="6B5F262E" w14:textId="77777777" w:rsidR="0065362D" w:rsidRPr="0065362D" w:rsidRDefault="0065362D" w:rsidP="0065362D">
      <w:pPr>
        <w:jc w:val="both"/>
        <w:rPr>
          <w:rFonts w:ascii="Arial" w:eastAsia="Calibri" w:hAnsi="Arial" w:cs="Arial"/>
          <w:bCs/>
          <w:color w:val="000000" w:themeColor="text1"/>
          <w:sz w:val="20"/>
          <w:szCs w:val="20"/>
          <w:lang w:val="es-ES" w:eastAsia="en-US"/>
        </w:rPr>
      </w:pPr>
    </w:p>
    <w:p w14:paraId="3C48B490" w14:textId="600BF025" w:rsidR="0065362D" w:rsidRPr="0065362D" w:rsidRDefault="0065362D" w:rsidP="0065362D">
      <w:pPr>
        <w:jc w:val="both"/>
        <w:rPr>
          <w:rFonts w:ascii="Arial" w:eastAsia="Calibri" w:hAnsi="Arial" w:cs="Arial"/>
          <w:bCs/>
          <w:color w:val="000000" w:themeColor="text1"/>
          <w:sz w:val="20"/>
          <w:szCs w:val="20"/>
          <w:lang w:eastAsia="en-US"/>
        </w:rPr>
      </w:pPr>
      <w:r w:rsidRPr="007F38B6">
        <w:rPr>
          <w:rFonts w:ascii="Arial" w:eastAsia="Calibri" w:hAnsi="Arial" w:cs="Arial"/>
          <w:bCs/>
          <w:color w:val="000000" w:themeColor="text1"/>
          <w:sz w:val="20"/>
          <w:szCs w:val="20"/>
          <w:lang w:eastAsia="en-US"/>
        </w:rPr>
        <w:t xml:space="preserve">“(…) </w:t>
      </w:r>
      <w:r w:rsidRPr="0065362D">
        <w:rPr>
          <w:rFonts w:ascii="Arial" w:eastAsia="Calibri" w:hAnsi="Arial" w:cs="Arial"/>
          <w:bCs/>
          <w:color w:val="000000" w:themeColor="text1"/>
          <w:sz w:val="20"/>
          <w:szCs w:val="20"/>
          <w:lang w:eastAsia="en-US"/>
        </w:rPr>
        <w:t xml:space="preserve">una de las consecuencias más importantes de la inclusión en el REDAM es la aparición de una inhabilidad para celebrar contratos con el Estado. Al respecto, conforme al artículo 6.1 </w:t>
      </w:r>
      <w:r w:rsidRPr="0065362D">
        <w:rPr>
          <w:rFonts w:ascii="Arial" w:eastAsia="Calibri" w:hAnsi="Arial" w:cs="Arial"/>
          <w:bCs/>
          <w:i/>
          <w:iCs/>
          <w:color w:val="000000" w:themeColor="text1"/>
          <w:sz w:val="20"/>
          <w:szCs w:val="20"/>
          <w:lang w:eastAsia="en-US"/>
        </w:rPr>
        <w:t>ibidem</w:t>
      </w:r>
      <w:r w:rsidRPr="0065362D">
        <w:rPr>
          <w:rFonts w:ascii="Arial" w:eastAsia="Calibri" w:hAnsi="Arial" w:cs="Arial"/>
          <w:bCs/>
          <w:color w:val="000000" w:themeColor="text1"/>
          <w:sz w:val="20"/>
          <w:szCs w:val="20"/>
          <w:lang w:eastAsia="en-US"/>
        </w:rPr>
        <w:t xml:space="preserve">, “El deudor alimentario moroso solo podrá contratar con el Estado una vez se ponga a paz y salvo con sus obligaciones alimentarias. Esta inhabilidad también se predica del deudor alimentario moroso que actúe como </w:t>
      </w:r>
      <w:r w:rsidRPr="0065362D">
        <w:rPr>
          <w:rFonts w:ascii="Arial" w:eastAsia="Calibri" w:hAnsi="Arial" w:cs="Arial"/>
          <w:bCs/>
          <w:color w:val="000000" w:themeColor="text1"/>
          <w:sz w:val="20"/>
          <w:szCs w:val="20"/>
          <w:lang w:eastAsia="en-US"/>
        </w:rPr>
        <w:lastRenderedPageBreak/>
        <w:t xml:space="preserve">representante legal de la persona jurídica que aspira a contratar con el Estado”. Dicha restricción se suma al catálogo del artículo 8 y siguientes de la Ley 80 de 1993, especialmente, cuando –conforme al literal a) del numeral 1– “Son inhábiles para participar en licitaciones y para celebrar contratos con las entidades estatales […] Las personas que se hallen inhabilitadas para contratar por la Constitución y las leyes”, el cual se extiende también a las entidades de régimen exceptuado en virtud del inciso primero del artículo 13 de la Ley 1150 de 2007 y al régimen de las ESAL de acuerdo al artículo 6 del Decreto 092 de 2017. </w:t>
      </w:r>
    </w:p>
    <w:p w14:paraId="4C43C9E9" w14:textId="77777777" w:rsidR="0065362D" w:rsidRPr="0065362D" w:rsidRDefault="0065362D" w:rsidP="0065362D">
      <w:pPr>
        <w:jc w:val="both"/>
        <w:rPr>
          <w:rFonts w:ascii="Arial" w:eastAsia="Calibri" w:hAnsi="Arial" w:cs="Arial"/>
          <w:bCs/>
          <w:color w:val="000000" w:themeColor="text1"/>
          <w:sz w:val="20"/>
          <w:szCs w:val="20"/>
          <w:lang w:eastAsia="en-US"/>
        </w:rPr>
      </w:pPr>
    </w:p>
    <w:p w14:paraId="5FA5C210" w14:textId="3C501C3B" w:rsidR="0065362D" w:rsidRPr="0065362D" w:rsidRDefault="0065362D" w:rsidP="0065362D">
      <w:pPr>
        <w:jc w:val="both"/>
        <w:rPr>
          <w:rFonts w:ascii="Arial" w:eastAsia="Calibri" w:hAnsi="Arial" w:cs="Arial"/>
          <w:bCs/>
          <w:color w:val="000000" w:themeColor="text1"/>
          <w:sz w:val="20"/>
          <w:szCs w:val="20"/>
          <w:lang w:eastAsia="en-US"/>
        </w:rPr>
      </w:pPr>
      <w:r w:rsidRPr="0065362D">
        <w:rPr>
          <w:rFonts w:ascii="Arial" w:eastAsia="Calibri" w:hAnsi="Arial" w:cs="Arial"/>
          <w:bCs/>
          <w:color w:val="000000" w:themeColor="text1"/>
          <w:sz w:val="20"/>
          <w:szCs w:val="20"/>
          <w:lang w:eastAsia="en-US"/>
        </w:rPr>
        <w:t xml:space="preserve">De acuerdo con el análisis de la Sentencia C-032 de 2021, para la Corte Constitucional dicha norma es exequible, pues </w:t>
      </w:r>
      <w:r w:rsidR="007F38B6">
        <w:rPr>
          <w:rFonts w:ascii="Arial" w:eastAsia="Calibri" w:hAnsi="Arial" w:cs="Arial"/>
          <w:bCs/>
          <w:color w:val="000000" w:themeColor="text1"/>
          <w:sz w:val="20"/>
          <w:szCs w:val="20"/>
          <w:lang w:eastAsia="en-US"/>
        </w:rPr>
        <w:t>“</w:t>
      </w:r>
      <w:r w:rsidRPr="0065362D">
        <w:rPr>
          <w:rFonts w:ascii="Arial" w:eastAsia="Calibri" w:hAnsi="Arial" w:cs="Arial"/>
          <w:bCs/>
          <w:color w:val="000000" w:themeColor="text1"/>
          <w:sz w:val="20"/>
          <w:szCs w:val="20"/>
          <w:lang w:eastAsia="en-US"/>
        </w:rPr>
        <w:t>si se reconoce la validez constitucional de medidas altamente invasivas de la autonomía individual, como son las que se derivan del uso de la tipificación penal, resultaría un contrasentido cuestionar instrumentos de menor intensidad, como es la imposición de este requisito para</w:t>
      </w:r>
      <w:r w:rsidR="007F38B6">
        <w:rPr>
          <w:rFonts w:ascii="Arial" w:eastAsia="Calibri" w:hAnsi="Arial" w:cs="Arial"/>
          <w:bCs/>
          <w:color w:val="000000" w:themeColor="text1"/>
          <w:sz w:val="20"/>
          <w:szCs w:val="20"/>
          <w:lang w:eastAsia="en-US"/>
        </w:rPr>
        <w:t xml:space="preserve"> </w:t>
      </w:r>
      <w:r w:rsidRPr="0065362D">
        <w:rPr>
          <w:rFonts w:ascii="Arial" w:eastAsia="Calibri" w:hAnsi="Arial" w:cs="Arial"/>
          <w:bCs/>
          <w:color w:val="000000" w:themeColor="text1"/>
          <w:sz w:val="20"/>
          <w:szCs w:val="20"/>
          <w:lang w:eastAsia="en-US"/>
        </w:rPr>
        <w:t>contratar con el Estado. Adicionalmente, no puede perderse de vista el hecho de que uno de los motivos que fundamentan la imposición de inhabilidades es la conservación de la transparencia y la moralidad administrativa. El incumplimiento de las obligaciones alimentaria afecta valores constitucionales esenciales y, en modo alguno puede desconocerse a la hora de analizar las calidades de los futuro</w:t>
      </w:r>
      <w:r w:rsidR="007F38B6">
        <w:rPr>
          <w:rFonts w:ascii="Arial" w:eastAsia="Calibri" w:hAnsi="Arial" w:cs="Arial"/>
          <w:bCs/>
          <w:color w:val="000000" w:themeColor="text1"/>
          <w:sz w:val="20"/>
          <w:szCs w:val="20"/>
          <w:lang w:eastAsia="en-US"/>
        </w:rPr>
        <w:t>s</w:t>
      </w:r>
      <w:r w:rsidRPr="0065362D">
        <w:rPr>
          <w:rFonts w:ascii="Arial" w:eastAsia="Calibri" w:hAnsi="Arial" w:cs="Arial"/>
          <w:bCs/>
          <w:color w:val="000000" w:themeColor="text1"/>
          <w:sz w:val="20"/>
          <w:szCs w:val="20"/>
          <w:lang w:eastAsia="en-US"/>
        </w:rPr>
        <w:t xml:space="preserve"> contratistas del Estado”. Lo anterior, agregando la medida cumple con una finalidad importante e imperiosa, la cual consistente en proteger los derechos fundamentales de personas que se ven afectados en su mínimo vital por el hecho del incumplimiento de las obligaciones alimentarias, quienes usualmente son sujetos de especial protección constitucional. La Corte Constitucional considera que la medida es necesaria, porque opera un incentivo para el pago cumplido de esas obligaciones, supeditando la suscripción del contrato respectivo al pago de esa obligación. </w:t>
      </w:r>
    </w:p>
    <w:p w14:paraId="7512D885" w14:textId="77777777" w:rsidR="0065362D" w:rsidRPr="0065362D" w:rsidRDefault="0065362D" w:rsidP="0065362D">
      <w:pPr>
        <w:jc w:val="both"/>
        <w:rPr>
          <w:rFonts w:ascii="Arial" w:eastAsia="Calibri" w:hAnsi="Arial" w:cs="Arial"/>
          <w:bCs/>
          <w:color w:val="000000" w:themeColor="text1"/>
          <w:sz w:val="20"/>
          <w:szCs w:val="20"/>
          <w:lang w:eastAsia="en-US"/>
        </w:rPr>
      </w:pPr>
    </w:p>
    <w:p w14:paraId="68112737" w14:textId="7D85DCB5" w:rsidR="0065362D" w:rsidRPr="0065362D" w:rsidRDefault="0065362D" w:rsidP="0065362D">
      <w:pPr>
        <w:jc w:val="both"/>
        <w:rPr>
          <w:rFonts w:ascii="Arial" w:eastAsia="Calibri" w:hAnsi="Arial" w:cs="Arial"/>
          <w:b/>
          <w:bCs/>
          <w:color w:val="000000" w:themeColor="text1"/>
          <w:sz w:val="22"/>
          <w:szCs w:val="22"/>
          <w:lang w:eastAsia="en-US"/>
        </w:rPr>
      </w:pPr>
      <w:r w:rsidRPr="0065362D">
        <w:rPr>
          <w:rFonts w:ascii="Arial" w:eastAsia="Calibri" w:hAnsi="Arial" w:cs="Arial"/>
          <w:b/>
          <w:bCs/>
          <w:color w:val="000000" w:themeColor="text1"/>
          <w:sz w:val="22"/>
          <w:szCs w:val="22"/>
          <w:lang w:eastAsia="en-US"/>
        </w:rPr>
        <w:t>REDAM – Vigencia – Condicionamiento – Tesis de la Reglamentación</w:t>
      </w:r>
    </w:p>
    <w:p w14:paraId="751A60B7" w14:textId="77777777" w:rsidR="0065362D" w:rsidRPr="0065362D" w:rsidRDefault="0065362D" w:rsidP="0065362D">
      <w:pPr>
        <w:jc w:val="both"/>
        <w:rPr>
          <w:rFonts w:ascii="Arial" w:eastAsia="Calibri" w:hAnsi="Arial" w:cs="Arial"/>
          <w:bCs/>
          <w:color w:val="000000" w:themeColor="text1"/>
          <w:sz w:val="20"/>
          <w:szCs w:val="20"/>
          <w:lang w:val="es-ES" w:eastAsia="en-US"/>
        </w:rPr>
      </w:pPr>
    </w:p>
    <w:p w14:paraId="0FFD305D" w14:textId="77777777" w:rsidR="0065362D" w:rsidRPr="0065362D" w:rsidRDefault="0065362D" w:rsidP="0065362D">
      <w:pPr>
        <w:jc w:val="both"/>
        <w:rPr>
          <w:rFonts w:ascii="Arial" w:eastAsia="Calibri" w:hAnsi="Arial" w:cs="Arial"/>
          <w:bCs/>
          <w:color w:val="000000" w:themeColor="text1"/>
          <w:sz w:val="20"/>
          <w:szCs w:val="20"/>
          <w:lang w:eastAsia="en-US"/>
        </w:rPr>
      </w:pPr>
      <w:r w:rsidRPr="0065362D">
        <w:rPr>
          <w:rFonts w:ascii="Arial" w:eastAsia="Calibri" w:hAnsi="Arial" w:cs="Arial"/>
          <w:bCs/>
          <w:color w:val="000000" w:themeColor="text1"/>
          <w:sz w:val="20"/>
          <w:szCs w:val="20"/>
          <w:lang w:eastAsia="en-US"/>
        </w:rPr>
        <w:t xml:space="preserve">De acuerdo con la </w:t>
      </w:r>
      <w:r w:rsidRPr="0065362D">
        <w:rPr>
          <w:rFonts w:ascii="Arial" w:eastAsia="Calibri" w:hAnsi="Arial" w:cs="Arial"/>
          <w:bCs/>
          <w:i/>
          <w:iCs/>
          <w:color w:val="000000" w:themeColor="text1"/>
          <w:sz w:val="20"/>
          <w:szCs w:val="20"/>
          <w:lang w:eastAsia="en-US"/>
        </w:rPr>
        <w:t>tesis de la reglamentación</w:t>
      </w:r>
      <w:r w:rsidRPr="0065362D">
        <w:rPr>
          <w:rFonts w:ascii="Arial" w:eastAsia="Calibri" w:hAnsi="Arial" w:cs="Arial"/>
          <w:bCs/>
          <w:color w:val="000000" w:themeColor="text1"/>
          <w:sz w:val="20"/>
          <w:szCs w:val="20"/>
          <w:lang w:eastAsia="en-US"/>
        </w:rPr>
        <w:t>, pese a que son funciones del REDAM llevar un registro de los deudores alimentarios morosos y expedir gratuitamente los certificados a través de página web, la obligación de consultarlo para validar la ausencia de la restricción comentada no surgió automáticamente con la expedición de la Ley 2097 del 2 de julio de 2021, pues las medidas adoptadas quedaron condicionadas por la designación de la autoridad responsable de operar el registro, su reglamentación correspondiente, así como la puesta en funcionamiento de la aplicación.</w:t>
      </w:r>
    </w:p>
    <w:p w14:paraId="7F351834" w14:textId="77777777" w:rsidR="0065362D" w:rsidRPr="0065362D" w:rsidRDefault="0065362D" w:rsidP="0065362D">
      <w:pPr>
        <w:jc w:val="both"/>
        <w:rPr>
          <w:rFonts w:ascii="Arial" w:eastAsia="Calibri" w:hAnsi="Arial" w:cs="Arial"/>
          <w:bCs/>
          <w:color w:val="000000" w:themeColor="text1"/>
          <w:sz w:val="20"/>
          <w:szCs w:val="20"/>
          <w:lang w:val="es-ES_tradnl" w:eastAsia="en-US"/>
        </w:rPr>
      </w:pPr>
    </w:p>
    <w:p w14:paraId="32EE7A7A" w14:textId="15129379" w:rsidR="0065362D" w:rsidRPr="0065362D" w:rsidRDefault="0065362D" w:rsidP="0065362D">
      <w:pPr>
        <w:jc w:val="both"/>
        <w:rPr>
          <w:rFonts w:ascii="Arial" w:eastAsia="Calibri" w:hAnsi="Arial" w:cs="Arial"/>
          <w:bCs/>
          <w:color w:val="000000" w:themeColor="text1"/>
          <w:sz w:val="20"/>
          <w:szCs w:val="20"/>
          <w:lang w:eastAsia="en-US"/>
        </w:rPr>
      </w:pPr>
      <w:r w:rsidRPr="0065362D">
        <w:rPr>
          <w:rFonts w:ascii="Arial" w:eastAsia="Calibri" w:hAnsi="Arial" w:cs="Arial"/>
          <w:bCs/>
          <w:color w:val="000000" w:themeColor="text1"/>
          <w:sz w:val="20"/>
          <w:szCs w:val="20"/>
          <w:lang w:val="es-ES_tradnl" w:eastAsia="en-US"/>
        </w:rPr>
        <w:t>Para estos efectos, el gobierno nacional expidió el Decreto 1310 del 26 de julio de 2022, “</w:t>
      </w:r>
      <w:r w:rsidRPr="0065362D">
        <w:rPr>
          <w:rFonts w:ascii="Arial" w:eastAsia="Calibri" w:hAnsi="Arial" w:cs="Arial"/>
          <w:bCs/>
          <w:color w:val="000000" w:themeColor="text1"/>
          <w:sz w:val="20"/>
          <w:szCs w:val="20"/>
          <w:lang w:eastAsia="en-US"/>
        </w:rPr>
        <w:t>por el cual se adiciona el Título 23 a la Parte 2 del Libro 2 del Decreto Único Reglamentario del Sector de las Tecnologías de la Información y las Comunicaciones, Decreto número 1078 de 2015, para reglamentar la Ley 2097 de 2021</w:t>
      </w:r>
      <w:r w:rsidR="007F38B6">
        <w:rPr>
          <w:rFonts w:ascii="Arial" w:eastAsia="Calibri" w:hAnsi="Arial" w:cs="Arial"/>
          <w:bCs/>
          <w:color w:val="000000" w:themeColor="text1"/>
          <w:sz w:val="20"/>
          <w:szCs w:val="20"/>
          <w:lang w:eastAsia="en-US"/>
        </w:rPr>
        <w:t xml:space="preserve"> </w:t>
      </w:r>
      <w:r w:rsidRPr="0065362D">
        <w:rPr>
          <w:rFonts w:ascii="Arial" w:eastAsia="Calibri" w:hAnsi="Arial" w:cs="Arial"/>
          <w:bCs/>
          <w:color w:val="000000" w:themeColor="text1"/>
          <w:sz w:val="20"/>
          <w:szCs w:val="20"/>
          <w:lang w:eastAsia="en-US"/>
        </w:rPr>
        <w:t>que creó el Registro de Deudores Alimentarios Morosos (REDAM)”. El artículo 1 adicionó el artículo 2.2.23.5 al Decreto 1078 de 2015, indicando en el inciso primero que “</w:t>
      </w:r>
      <w:r w:rsidR="007F38B6">
        <w:rPr>
          <w:rFonts w:ascii="Arial" w:eastAsia="Calibri" w:hAnsi="Arial" w:cs="Arial"/>
          <w:bCs/>
          <w:color w:val="000000" w:themeColor="text1"/>
          <w:sz w:val="20"/>
          <w:szCs w:val="20"/>
          <w:lang w:eastAsia="en-US"/>
        </w:rPr>
        <w:t xml:space="preserve">(…) </w:t>
      </w:r>
      <w:r w:rsidRPr="0065362D">
        <w:rPr>
          <w:rFonts w:ascii="Arial" w:eastAsia="Calibri" w:hAnsi="Arial" w:cs="Arial"/>
          <w:bCs/>
          <w:color w:val="000000" w:themeColor="text1"/>
          <w:sz w:val="20"/>
          <w:szCs w:val="20"/>
          <w:lang w:eastAsia="en-US"/>
        </w:rPr>
        <w:t xml:space="preserve">se designa como Operador de la Información del Registro de Deudores Alimentarios Morosos (REDAM) al Ministerio de Tecnologías de la Información y las Comunicaciones, o quien haga sus veces”. Sin embargo, el reglamento también condicionó la vigencia del registro, pues –conforme al parágrafo del artículo 2.2.23.4 </w:t>
      </w:r>
      <w:r w:rsidRPr="0065362D">
        <w:rPr>
          <w:rFonts w:ascii="Arial" w:eastAsia="Calibri" w:hAnsi="Arial" w:cs="Arial"/>
          <w:bCs/>
          <w:i/>
          <w:iCs/>
          <w:color w:val="000000" w:themeColor="text1"/>
          <w:sz w:val="20"/>
          <w:szCs w:val="20"/>
          <w:lang w:eastAsia="en-US"/>
        </w:rPr>
        <w:t>ibidem</w:t>
      </w:r>
      <w:r w:rsidRPr="0065362D">
        <w:rPr>
          <w:rFonts w:ascii="Arial" w:eastAsia="Calibri" w:hAnsi="Arial" w:cs="Arial"/>
          <w:bCs/>
          <w:color w:val="000000" w:themeColor="text1"/>
          <w:sz w:val="20"/>
          <w:szCs w:val="20"/>
          <w:lang w:eastAsia="en-US"/>
        </w:rPr>
        <w:t xml:space="preserve">– “La información suministrada por el REDAM será utilizada en forma exclusiva por quienes estén vinculadas a la aplicación de las consecuencias de la inscripción en el REDAM de que trata el artículo 6° de la Ley 2097 de 2021, a partir de la entrada en producción de la solución tecnológica”. Esto también congruente con el artículo 2.2.23.8 </w:t>
      </w:r>
      <w:r w:rsidRPr="0065362D">
        <w:rPr>
          <w:rFonts w:ascii="Arial" w:eastAsia="Calibri" w:hAnsi="Arial" w:cs="Arial"/>
          <w:bCs/>
          <w:i/>
          <w:iCs/>
          <w:color w:val="000000" w:themeColor="text1"/>
          <w:sz w:val="20"/>
          <w:szCs w:val="20"/>
          <w:lang w:eastAsia="en-US"/>
        </w:rPr>
        <w:t>ibidem</w:t>
      </w:r>
      <w:r w:rsidRPr="0065362D">
        <w:rPr>
          <w:rFonts w:ascii="Arial" w:eastAsia="Calibri" w:hAnsi="Arial" w:cs="Arial"/>
          <w:bCs/>
          <w:color w:val="000000" w:themeColor="text1"/>
          <w:sz w:val="20"/>
          <w:szCs w:val="20"/>
          <w:lang w:eastAsia="en-US"/>
        </w:rPr>
        <w:t xml:space="preserve">, en la medida que “El acceso al Registro de Deudores Alimentarios Morosos (REDAM) se realizará a través del Modelo de Servicios Ciudadanos Digitales de la Política de Gobierno Digital expedida por el Ministerio de Tecnologías de la Información y las Comunicaciones, sin perjuicio del </w:t>
      </w:r>
      <w:r w:rsidRPr="0065362D">
        <w:rPr>
          <w:rFonts w:ascii="Arial" w:eastAsia="Calibri" w:hAnsi="Arial" w:cs="Arial"/>
          <w:bCs/>
          <w:color w:val="000000" w:themeColor="text1"/>
          <w:sz w:val="20"/>
          <w:szCs w:val="20"/>
          <w:lang w:eastAsia="en-US"/>
        </w:rPr>
        <w:lastRenderedPageBreak/>
        <w:t xml:space="preserve">acceso a la información directamente ante las Fuentes de la Información señaladas en el presente decreto, una vez entre en producción la solución tecnológica”. </w:t>
      </w:r>
    </w:p>
    <w:p w14:paraId="01DD7044" w14:textId="77777777" w:rsidR="0065362D" w:rsidRPr="0065362D" w:rsidRDefault="0065362D" w:rsidP="0065362D">
      <w:pPr>
        <w:jc w:val="both"/>
        <w:rPr>
          <w:rFonts w:ascii="Arial" w:eastAsia="Calibri" w:hAnsi="Arial" w:cs="Arial"/>
          <w:bCs/>
          <w:color w:val="000000" w:themeColor="text1"/>
          <w:sz w:val="20"/>
          <w:szCs w:val="20"/>
          <w:lang w:eastAsia="en-US"/>
        </w:rPr>
      </w:pPr>
    </w:p>
    <w:p w14:paraId="2728A14B" w14:textId="77777777" w:rsidR="0065362D" w:rsidRPr="0065362D" w:rsidRDefault="0065362D" w:rsidP="0065362D">
      <w:pPr>
        <w:jc w:val="both"/>
        <w:rPr>
          <w:rFonts w:ascii="Arial" w:eastAsia="Calibri" w:hAnsi="Arial" w:cs="Arial"/>
          <w:bCs/>
          <w:color w:val="000000" w:themeColor="text1"/>
          <w:sz w:val="20"/>
          <w:szCs w:val="20"/>
          <w:lang w:eastAsia="en-US"/>
        </w:rPr>
      </w:pPr>
      <w:r w:rsidRPr="0065362D">
        <w:rPr>
          <w:rFonts w:ascii="Arial" w:eastAsia="Calibri" w:hAnsi="Arial" w:cs="Arial"/>
          <w:bCs/>
          <w:color w:val="000000" w:themeColor="text1"/>
          <w:sz w:val="20"/>
          <w:szCs w:val="20"/>
          <w:lang w:eastAsia="en-US"/>
        </w:rPr>
        <w:t xml:space="preserve">De lo anterior se deduce que la obligación de consultar el registro para validar la ausencia de la restricción del artículo 6.1 de la Ley 2097 de 2021 no surgió automáticamente con la expedición de la norma, pues la efectividad de las medidas estaba condicionada por la designación del operador, la reglamentación del registro y por implementación de la plataforma tecnológica correspondiente. Sobre este último punto, la página web </w:t>
      </w:r>
      <w:hyperlink r:id="rId11" w:history="1">
        <w:r w:rsidRPr="0065362D">
          <w:rPr>
            <w:rFonts w:ascii="Arial" w:eastAsia="Calibri" w:hAnsi="Arial" w:cs="Arial"/>
            <w:bCs/>
            <w:color w:val="0563C1" w:themeColor="hyperlink"/>
            <w:sz w:val="20"/>
            <w:szCs w:val="20"/>
            <w:u w:val="single"/>
            <w:lang w:eastAsia="en-US"/>
          </w:rPr>
          <w:t>https://redam.gov.co/information-page</w:t>
        </w:r>
      </w:hyperlink>
      <w:r w:rsidRPr="0065362D">
        <w:rPr>
          <w:rFonts w:ascii="Arial" w:eastAsia="Calibri" w:hAnsi="Arial" w:cs="Arial"/>
          <w:bCs/>
          <w:color w:val="000000" w:themeColor="text1"/>
          <w:sz w:val="20"/>
          <w:szCs w:val="20"/>
          <w:lang w:eastAsia="en-US"/>
        </w:rPr>
        <w:t xml:space="preserve"> brinda información sobre la forma de consultar y descargar el registro correspondiente. Cualquier inquietud adicional sobre el funcionamiento operativo del REDAM podrá plantarse ante el Ministerio de Tecnologías de la Información y las Comunicaciones, pues –conforme al numeral 7 del artículo 2.2.23.14 del Decreto 1078 de 2015, adicionado por el artículo 1 del Decreto </w:t>
      </w:r>
      <w:r w:rsidRPr="0065362D">
        <w:rPr>
          <w:rFonts w:ascii="Arial" w:eastAsia="Calibri" w:hAnsi="Arial" w:cs="Arial"/>
          <w:bCs/>
          <w:color w:val="000000" w:themeColor="text1"/>
          <w:sz w:val="20"/>
          <w:szCs w:val="20"/>
          <w:lang w:val="es-ES_tradnl" w:eastAsia="en-US"/>
        </w:rPr>
        <w:t>1310 de 2022</w:t>
      </w:r>
      <w:r w:rsidRPr="0065362D">
        <w:rPr>
          <w:rFonts w:ascii="Arial" w:eastAsia="Calibri" w:hAnsi="Arial" w:cs="Arial"/>
          <w:bCs/>
          <w:color w:val="000000" w:themeColor="text1"/>
          <w:sz w:val="20"/>
          <w:szCs w:val="20"/>
          <w:lang w:eastAsia="en-US"/>
        </w:rPr>
        <w:t>– debe “Tramitar oportunamente las peticiones, consultas, quejas o reclamos que formulen los actores e intervinientes en el proceso de reporte de información en el Registro de Deudores Alimentarios Morosos (REDAM) y que sean de su competencia”.</w:t>
      </w:r>
    </w:p>
    <w:bookmarkEnd w:id="1"/>
    <w:bookmarkEnd w:id="2"/>
    <w:p w14:paraId="5FAE1832" w14:textId="77777777" w:rsidR="00133BF5" w:rsidRPr="0065362D" w:rsidRDefault="00133BF5" w:rsidP="000F2CA7">
      <w:pPr>
        <w:spacing w:line="259" w:lineRule="auto"/>
        <w:rPr>
          <w:rFonts w:ascii="Arial" w:eastAsia="Geomanist Light" w:hAnsi="Arial" w:cs="Arial"/>
          <w:color w:val="000000" w:themeColor="text1"/>
          <w:sz w:val="22"/>
          <w:szCs w:val="22"/>
          <w:lang w:eastAsia="en-US"/>
        </w:rPr>
      </w:pPr>
    </w:p>
    <w:p w14:paraId="09FA5939" w14:textId="77777777" w:rsidR="00133BF5" w:rsidRDefault="00133BF5" w:rsidP="000F2CA7">
      <w:pPr>
        <w:spacing w:line="259" w:lineRule="auto"/>
        <w:rPr>
          <w:rFonts w:ascii="Arial" w:eastAsia="Geomanist Light" w:hAnsi="Arial" w:cs="Arial"/>
          <w:color w:val="000000" w:themeColor="text1"/>
          <w:sz w:val="22"/>
          <w:szCs w:val="22"/>
          <w:lang w:val="es-MX" w:eastAsia="en-US"/>
        </w:rPr>
      </w:pPr>
    </w:p>
    <w:p w14:paraId="29D9BD06" w14:textId="77777777" w:rsidR="00133BF5" w:rsidRDefault="00133BF5" w:rsidP="000F2CA7">
      <w:pPr>
        <w:spacing w:line="259" w:lineRule="auto"/>
        <w:rPr>
          <w:rFonts w:ascii="Arial" w:eastAsia="Geomanist Light" w:hAnsi="Arial" w:cs="Arial"/>
          <w:color w:val="000000" w:themeColor="text1"/>
          <w:sz w:val="22"/>
          <w:szCs w:val="22"/>
          <w:lang w:val="es-MX" w:eastAsia="en-US"/>
        </w:rPr>
      </w:pPr>
    </w:p>
    <w:p w14:paraId="159B1E11" w14:textId="77777777" w:rsidR="00133BF5" w:rsidRDefault="00133BF5" w:rsidP="000F2CA7">
      <w:pPr>
        <w:spacing w:line="259" w:lineRule="auto"/>
        <w:rPr>
          <w:rFonts w:ascii="Arial" w:eastAsia="Geomanist Light" w:hAnsi="Arial" w:cs="Arial"/>
          <w:color w:val="000000" w:themeColor="text1"/>
          <w:sz w:val="22"/>
          <w:szCs w:val="22"/>
          <w:lang w:val="es-MX" w:eastAsia="en-US"/>
        </w:rPr>
      </w:pPr>
    </w:p>
    <w:p w14:paraId="102B52A8" w14:textId="77777777" w:rsidR="00133BF5" w:rsidRDefault="00133BF5" w:rsidP="000F2CA7">
      <w:pPr>
        <w:spacing w:line="259" w:lineRule="auto"/>
        <w:rPr>
          <w:rFonts w:ascii="Arial" w:eastAsia="Geomanist Light" w:hAnsi="Arial" w:cs="Arial"/>
          <w:color w:val="000000" w:themeColor="text1"/>
          <w:sz w:val="22"/>
          <w:szCs w:val="22"/>
          <w:lang w:val="es-MX" w:eastAsia="en-US"/>
        </w:rPr>
      </w:pPr>
    </w:p>
    <w:p w14:paraId="711DA100" w14:textId="77777777" w:rsidR="00133BF5" w:rsidRDefault="00133BF5" w:rsidP="000F2CA7">
      <w:pPr>
        <w:spacing w:line="259" w:lineRule="auto"/>
        <w:rPr>
          <w:rFonts w:ascii="Arial" w:eastAsia="Geomanist Light" w:hAnsi="Arial" w:cs="Arial"/>
          <w:color w:val="000000" w:themeColor="text1"/>
          <w:sz w:val="22"/>
          <w:szCs w:val="22"/>
          <w:lang w:val="es-MX" w:eastAsia="en-US"/>
        </w:rPr>
      </w:pPr>
    </w:p>
    <w:p w14:paraId="7705C94C"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4053B4A0"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07307F8A"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1BF4A3B4"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0AAF949F"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5638F5AA"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338DDCA9"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799E64ED"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3838F707"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7B979BD0"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24C4C650"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01701D0E"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2A0994B2"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5448FE22"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2CF02642"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40E2050E" w14:textId="77777777" w:rsidR="0065362D" w:rsidRDefault="0065362D" w:rsidP="000F2CA7">
      <w:pPr>
        <w:spacing w:line="259" w:lineRule="auto"/>
        <w:rPr>
          <w:rFonts w:ascii="Arial" w:eastAsia="Geomanist Light" w:hAnsi="Arial" w:cs="Arial"/>
          <w:color w:val="000000" w:themeColor="text1"/>
          <w:sz w:val="22"/>
          <w:szCs w:val="22"/>
          <w:lang w:val="es-MX" w:eastAsia="en-US"/>
        </w:rPr>
      </w:pPr>
    </w:p>
    <w:p w14:paraId="76A1104A" w14:textId="77777777" w:rsidR="007F38B6" w:rsidRDefault="007F38B6" w:rsidP="000F2CA7">
      <w:pPr>
        <w:spacing w:line="259" w:lineRule="auto"/>
        <w:rPr>
          <w:rFonts w:ascii="Arial" w:eastAsia="Geomanist Light" w:hAnsi="Arial" w:cs="Arial"/>
          <w:color w:val="000000" w:themeColor="text1"/>
          <w:sz w:val="22"/>
          <w:szCs w:val="22"/>
          <w:lang w:val="es-MX" w:eastAsia="en-US"/>
        </w:rPr>
      </w:pPr>
    </w:p>
    <w:p w14:paraId="00C2A84C" w14:textId="77777777" w:rsidR="007F38B6" w:rsidRDefault="007F38B6" w:rsidP="000F2CA7">
      <w:pPr>
        <w:spacing w:line="259" w:lineRule="auto"/>
        <w:rPr>
          <w:rFonts w:ascii="Arial" w:eastAsia="Geomanist Light" w:hAnsi="Arial" w:cs="Arial"/>
          <w:color w:val="000000" w:themeColor="text1"/>
          <w:sz w:val="22"/>
          <w:szCs w:val="22"/>
          <w:lang w:val="es-MX" w:eastAsia="en-US"/>
        </w:rPr>
      </w:pPr>
    </w:p>
    <w:p w14:paraId="2F48E773" w14:textId="77777777" w:rsidR="007F38B6" w:rsidRDefault="007F38B6" w:rsidP="000F2CA7">
      <w:pPr>
        <w:spacing w:line="259" w:lineRule="auto"/>
        <w:rPr>
          <w:rFonts w:ascii="Arial" w:eastAsia="Geomanist Light" w:hAnsi="Arial" w:cs="Arial"/>
          <w:color w:val="000000" w:themeColor="text1"/>
          <w:sz w:val="22"/>
          <w:szCs w:val="22"/>
          <w:lang w:val="es-MX" w:eastAsia="en-US"/>
        </w:rPr>
      </w:pPr>
    </w:p>
    <w:p w14:paraId="342CEAC9" w14:textId="77777777" w:rsidR="007F38B6" w:rsidRDefault="007F38B6" w:rsidP="000F2CA7">
      <w:pPr>
        <w:spacing w:line="259" w:lineRule="auto"/>
        <w:rPr>
          <w:rFonts w:ascii="Arial" w:eastAsia="Geomanist Light" w:hAnsi="Arial" w:cs="Arial"/>
          <w:color w:val="000000" w:themeColor="text1"/>
          <w:sz w:val="22"/>
          <w:szCs w:val="22"/>
          <w:lang w:val="es-MX" w:eastAsia="en-US"/>
        </w:rPr>
      </w:pPr>
    </w:p>
    <w:p w14:paraId="0C94CA28" w14:textId="77777777" w:rsidR="007F38B6" w:rsidRDefault="007F38B6" w:rsidP="000F2CA7">
      <w:pPr>
        <w:spacing w:line="259" w:lineRule="auto"/>
        <w:rPr>
          <w:rFonts w:ascii="Arial" w:eastAsia="Geomanist Light" w:hAnsi="Arial" w:cs="Arial"/>
          <w:color w:val="000000" w:themeColor="text1"/>
          <w:sz w:val="22"/>
          <w:szCs w:val="22"/>
          <w:lang w:val="es-MX" w:eastAsia="en-US"/>
        </w:rPr>
      </w:pPr>
    </w:p>
    <w:p w14:paraId="585D798A" w14:textId="4321E8B8" w:rsidR="00B17718" w:rsidRPr="00B17718" w:rsidRDefault="00B17718" w:rsidP="000F2CA7">
      <w:pPr>
        <w:spacing w:line="259" w:lineRule="auto"/>
        <w:rPr>
          <w:rFonts w:ascii="Arial" w:eastAsia="Geomanist Light" w:hAnsi="Arial" w:cs="Arial"/>
          <w:color w:val="201F1E"/>
          <w:sz w:val="22"/>
          <w:szCs w:val="22"/>
          <w:lang w:val="es-MX" w:eastAsia="en-US"/>
        </w:rPr>
      </w:pPr>
      <w:r w:rsidRPr="00B17718">
        <w:rPr>
          <w:rFonts w:ascii="Arial" w:eastAsia="Geomanist Light" w:hAnsi="Arial" w:cs="Arial"/>
          <w:color w:val="000000" w:themeColor="text1"/>
          <w:sz w:val="22"/>
          <w:szCs w:val="22"/>
          <w:lang w:val="es-MX" w:eastAsia="en-US"/>
        </w:rPr>
        <w:lastRenderedPageBreak/>
        <w:t>Bogotá D.C.,</w:t>
      </w:r>
      <w:r w:rsidR="00DC46D7">
        <w:rPr>
          <w:rFonts w:ascii="Arial" w:eastAsia="Geomanist Light" w:hAnsi="Arial" w:cs="Arial"/>
          <w:color w:val="000000" w:themeColor="text1"/>
          <w:sz w:val="22"/>
          <w:szCs w:val="22"/>
          <w:lang w:val="es-MX" w:eastAsia="en-US"/>
        </w:rPr>
        <w:t xml:space="preserve"> </w:t>
      </w:r>
      <w:r w:rsidR="003F32E9">
        <w:rPr>
          <w:rFonts w:ascii="Arial" w:eastAsia="Geomanist Light" w:hAnsi="Arial" w:cs="Arial"/>
          <w:color w:val="201F1E"/>
          <w:sz w:val="22"/>
          <w:szCs w:val="22"/>
          <w:lang w:val="es-MX" w:eastAsia="en-US"/>
        </w:rPr>
        <w:t>20</w:t>
      </w:r>
      <w:r w:rsidRPr="00B17718">
        <w:rPr>
          <w:rFonts w:ascii="Arial" w:eastAsia="Geomanist Light" w:hAnsi="Arial" w:cs="Arial"/>
          <w:color w:val="201F1E"/>
          <w:sz w:val="22"/>
          <w:szCs w:val="22"/>
          <w:lang w:val="es-MX" w:eastAsia="en-US"/>
        </w:rPr>
        <w:t xml:space="preserve"> de </w:t>
      </w:r>
      <w:r w:rsidR="003F32E9">
        <w:rPr>
          <w:rFonts w:ascii="Arial" w:eastAsia="Geomanist Light" w:hAnsi="Arial" w:cs="Arial"/>
          <w:color w:val="201F1E"/>
          <w:sz w:val="22"/>
          <w:szCs w:val="22"/>
          <w:lang w:val="es-MX" w:eastAsia="en-US"/>
        </w:rPr>
        <w:t>junio</w:t>
      </w:r>
      <w:r w:rsidRPr="00B17718">
        <w:rPr>
          <w:rFonts w:ascii="Arial" w:eastAsia="Geomanist Light" w:hAnsi="Arial" w:cs="Arial"/>
          <w:color w:val="201F1E"/>
          <w:sz w:val="22"/>
          <w:szCs w:val="22"/>
          <w:lang w:val="es-MX" w:eastAsia="en-US"/>
        </w:rPr>
        <w:t xml:space="preserve"> de </w:t>
      </w:r>
      <w:r w:rsidR="003F32E9">
        <w:rPr>
          <w:rFonts w:ascii="Arial" w:eastAsia="Geomanist Light" w:hAnsi="Arial" w:cs="Arial"/>
          <w:color w:val="201F1E"/>
          <w:sz w:val="22"/>
          <w:szCs w:val="22"/>
          <w:lang w:val="es-MX" w:eastAsia="en-US"/>
        </w:rPr>
        <w:t>2023</w:t>
      </w:r>
    </w:p>
    <w:p w14:paraId="150C8D62" w14:textId="77777777" w:rsidR="00B17718" w:rsidRPr="00B17718" w:rsidRDefault="00B17718" w:rsidP="000F2CA7">
      <w:pPr>
        <w:spacing w:line="276" w:lineRule="auto"/>
        <w:jc w:val="both"/>
        <w:rPr>
          <w:rFonts w:ascii="Arial" w:hAnsi="Arial" w:cs="Arial"/>
          <w:noProof/>
          <w:sz w:val="22"/>
          <w:lang w:val="es-ES_tradnl" w:eastAsia="es-ES_tradnl"/>
        </w:rPr>
      </w:pPr>
    </w:p>
    <w:p w14:paraId="1D98B1CF" w14:textId="10D1C7F0" w:rsidR="00B17718" w:rsidRPr="00B17718" w:rsidRDefault="00B17718" w:rsidP="000F2CA7">
      <w:pPr>
        <w:spacing w:line="276" w:lineRule="auto"/>
        <w:contextualSpacing/>
        <w:rPr>
          <w:rFonts w:ascii="Arial" w:eastAsia="Calibri" w:hAnsi="Arial" w:cs="Arial"/>
          <w:sz w:val="22"/>
          <w:szCs w:val="22"/>
        </w:rPr>
      </w:pPr>
      <w:r w:rsidRPr="00B17718">
        <w:rPr>
          <w:rFonts w:ascii="Arial" w:eastAsia="Calibri" w:hAnsi="Arial" w:cs="Arial"/>
          <w:sz w:val="22"/>
          <w:szCs w:val="22"/>
        </w:rPr>
        <w:t>Señor</w:t>
      </w:r>
    </w:p>
    <w:p w14:paraId="05EA1770" w14:textId="739A1667" w:rsidR="00B17718" w:rsidRPr="00B17718" w:rsidRDefault="001C0AEF" w:rsidP="000F2CA7">
      <w:pPr>
        <w:spacing w:line="276" w:lineRule="auto"/>
        <w:contextualSpacing/>
        <w:rPr>
          <w:rFonts w:ascii="Arial" w:eastAsia="Calibri" w:hAnsi="Arial" w:cs="Arial"/>
          <w:b/>
          <w:bCs/>
          <w:sz w:val="22"/>
          <w:szCs w:val="22"/>
        </w:rPr>
      </w:pPr>
      <w:r>
        <w:rPr>
          <w:rFonts w:ascii="Arial" w:eastAsia="Calibri" w:hAnsi="Arial" w:cs="Arial"/>
          <w:b/>
          <w:bCs/>
          <w:sz w:val="22"/>
          <w:szCs w:val="22"/>
        </w:rPr>
        <w:t>Jairo Lázaro Ortiz</w:t>
      </w:r>
    </w:p>
    <w:p w14:paraId="7071EA23" w14:textId="77777777" w:rsidR="001C0AEF" w:rsidRDefault="001C0AEF" w:rsidP="000F2CA7">
      <w:pPr>
        <w:spacing w:line="276" w:lineRule="auto"/>
        <w:contextualSpacing/>
        <w:rPr>
          <w:rFonts w:ascii="Arial" w:eastAsia="Calibri" w:hAnsi="Arial" w:cs="Arial"/>
          <w:sz w:val="22"/>
          <w:szCs w:val="22"/>
        </w:rPr>
      </w:pPr>
      <w:r>
        <w:rPr>
          <w:rFonts w:ascii="Arial" w:eastAsia="Calibri" w:hAnsi="Arial" w:cs="Arial"/>
          <w:sz w:val="22"/>
          <w:szCs w:val="22"/>
        </w:rPr>
        <w:t>Subdirector de Asuntos Contractuales</w:t>
      </w:r>
    </w:p>
    <w:p w14:paraId="74BB9210" w14:textId="1283F62D" w:rsidR="001C0AEF" w:rsidRDefault="001C0AEF" w:rsidP="000F2CA7">
      <w:pPr>
        <w:spacing w:line="276" w:lineRule="auto"/>
        <w:contextualSpacing/>
        <w:rPr>
          <w:rFonts w:ascii="Arial" w:eastAsia="Calibri" w:hAnsi="Arial" w:cs="Arial"/>
          <w:sz w:val="22"/>
          <w:szCs w:val="22"/>
        </w:rPr>
      </w:pPr>
      <w:r>
        <w:rPr>
          <w:rFonts w:ascii="Arial" w:eastAsia="Calibri" w:hAnsi="Arial" w:cs="Arial"/>
          <w:sz w:val="22"/>
          <w:szCs w:val="22"/>
        </w:rPr>
        <w:t>Secretaría Distrital de Hacienda de Bogotá D.C.</w:t>
      </w:r>
    </w:p>
    <w:p w14:paraId="6B87D3A4" w14:textId="2FA180DF" w:rsidR="003F32E9" w:rsidRDefault="003F32E9" w:rsidP="000F2CA7">
      <w:pPr>
        <w:spacing w:line="276" w:lineRule="auto"/>
        <w:contextualSpacing/>
        <w:rPr>
          <w:rFonts w:ascii="Arial" w:eastAsia="Calibri" w:hAnsi="Arial" w:cs="Arial"/>
          <w:sz w:val="22"/>
          <w:szCs w:val="22"/>
        </w:rPr>
      </w:pPr>
      <w:r>
        <w:rPr>
          <w:rFonts w:ascii="Arial" w:eastAsia="Calibri" w:hAnsi="Arial" w:cs="Arial"/>
          <w:sz w:val="22"/>
          <w:szCs w:val="22"/>
        </w:rPr>
        <w:t>Ciudad.</w:t>
      </w:r>
    </w:p>
    <w:p w14:paraId="7506C2CA" w14:textId="77777777" w:rsidR="00B17718" w:rsidRPr="00B17718" w:rsidRDefault="00B17718" w:rsidP="000F2CA7">
      <w:pPr>
        <w:contextualSpacing/>
        <w:rPr>
          <w:rFonts w:ascii="Arial" w:eastAsia="Calibri" w:hAnsi="Arial" w:cs="Arial"/>
          <w:sz w:val="22"/>
        </w:rPr>
      </w:pPr>
    </w:p>
    <w:p w14:paraId="1F6BC00A" w14:textId="77777777" w:rsidR="00B17718" w:rsidRPr="00B17718" w:rsidRDefault="00B17718" w:rsidP="000F2CA7">
      <w:pPr>
        <w:contextualSpacing/>
        <w:rPr>
          <w:rFonts w:ascii="Arial" w:eastAsia="Calibri" w:hAnsi="Arial" w:cs="Arial"/>
          <w:sz w:val="22"/>
        </w:rPr>
      </w:pPr>
    </w:p>
    <w:p w14:paraId="03B2FA02" w14:textId="5BB3A094" w:rsidR="00B17718" w:rsidRPr="00B17718" w:rsidRDefault="00B17718" w:rsidP="00B17718">
      <w:pPr>
        <w:ind w:right="571"/>
        <w:contextualSpacing/>
        <w:jc w:val="center"/>
        <w:rPr>
          <w:rFonts w:ascii="Arial" w:eastAsia="Calibri" w:hAnsi="Arial" w:cs="Arial"/>
          <w:b/>
          <w:bCs/>
          <w:sz w:val="22"/>
        </w:rPr>
      </w:pPr>
      <w:r w:rsidRPr="00DC46D7">
        <w:rPr>
          <w:rFonts w:ascii="Arial" w:eastAsia="Calibri" w:hAnsi="Arial" w:cs="Arial"/>
          <w:b/>
          <w:bCs/>
          <w:sz w:val="22"/>
        </w:rPr>
        <w:t>Concepto C</w:t>
      </w:r>
      <w:r w:rsidR="003F32E9">
        <w:rPr>
          <w:rFonts w:ascii="Arial" w:eastAsia="Calibri" w:hAnsi="Arial" w:cs="Arial"/>
          <w:b/>
          <w:bCs/>
          <w:sz w:val="22"/>
        </w:rPr>
        <w:t>-</w:t>
      </w:r>
      <w:r w:rsidR="00D2162A" w:rsidRPr="00DC46D7">
        <w:rPr>
          <w:rFonts w:ascii="Arial" w:eastAsia="Calibri" w:hAnsi="Arial" w:cs="Arial"/>
          <w:b/>
          <w:bCs/>
          <w:sz w:val="22"/>
        </w:rPr>
        <w:t xml:space="preserve">208 </w:t>
      </w:r>
      <w:r w:rsidRPr="00DC46D7">
        <w:rPr>
          <w:rFonts w:ascii="Arial" w:eastAsia="Calibri" w:hAnsi="Arial" w:cs="Arial"/>
          <w:b/>
          <w:bCs/>
          <w:sz w:val="22"/>
        </w:rPr>
        <w:t>de 2023</w:t>
      </w:r>
    </w:p>
    <w:p w14:paraId="042DBEF3" w14:textId="77777777" w:rsidR="00B17718" w:rsidRPr="00B17718" w:rsidRDefault="00B17718" w:rsidP="00B17718">
      <w:pPr>
        <w:jc w:val="both"/>
        <w:rPr>
          <w:rFonts w:ascii="Arial" w:eastAsia="Calibri" w:hAnsi="Arial" w:cs="Arial"/>
          <w:sz w:val="22"/>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17718" w:rsidRPr="00B17718" w14:paraId="1257A152" w14:textId="77777777" w:rsidTr="0068782F">
        <w:trPr>
          <w:jc w:val="right"/>
        </w:trPr>
        <w:tc>
          <w:tcPr>
            <w:tcW w:w="1838" w:type="dxa"/>
          </w:tcPr>
          <w:p w14:paraId="6A0327CC" w14:textId="77777777" w:rsidR="00B17718" w:rsidRPr="00B17718" w:rsidRDefault="00B17718" w:rsidP="00B17718">
            <w:pPr>
              <w:jc w:val="center"/>
              <w:rPr>
                <w:rFonts w:ascii="Arial" w:eastAsia="Calibri" w:hAnsi="Arial" w:cs="Arial"/>
                <w:sz w:val="22"/>
                <w:lang w:val="es-ES_tradnl" w:eastAsia="es-ES_tradnl"/>
              </w:rPr>
            </w:pPr>
            <w:r w:rsidRPr="00B17718">
              <w:rPr>
                <w:rFonts w:ascii="Arial" w:eastAsia="Calibri" w:hAnsi="Arial" w:cs="Arial"/>
                <w:b/>
                <w:sz w:val="22"/>
                <w:lang w:val="es-ES_tradnl" w:eastAsia="es-ES_tradnl"/>
              </w:rPr>
              <w:t>Temas:</w:t>
            </w:r>
          </w:p>
        </w:tc>
        <w:tc>
          <w:tcPr>
            <w:tcW w:w="6237" w:type="dxa"/>
          </w:tcPr>
          <w:p w14:paraId="161AADCE" w14:textId="016DE25A" w:rsidR="00B17718" w:rsidRPr="00B17718" w:rsidRDefault="00B17718" w:rsidP="00B17718">
            <w:pPr>
              <w:jc w:val="both"/>
              <w:rPr>
                <w:rFonts w:ascii="Arial" w:eastAsia="Calibri" w:hAnsi="Arial" w:cs="Arial"/>
                <w:sz w:val="22"/>
                <w:lang w:val="es-ES_tradnl" w:eastAsia="es-ES_tradnl"/>
              </w:rPr>
            </w:pPr>
            <w:r w:rsidRPr="00B17718">
              <w:rPr>
                <w:rFonts w:ascii="Arial" w:eastAsia="Calibri" w:hAnsi="Arial" w:cs="Arial"/>
                <w:sz w:val="22"/>
                <w:lang w:eastAsia="es-ES_tradnl"/>
              </w:rPr>
              <w:t>COLOMBIA COMPRA EFICIENTE – Competencia Consultiva – Contratación Estatal – Normas Generales</w:t>
            </w:r>
            <w:r w:rsidRPr="00B17718">
              <w:rPr>
                <w:rFonts w:ascii="Arial" w:eastAsia="Calibri" w:hAnsi="Arial" w:cs="Arial"/>
                <w:sz w:val="22"/>
                <w:lang w:val="es-ES_tradnl" w:eastAsia="es-ES_tradnl"/>
              </w:rPr>
              <w:t xml:space="preserve"> / </w:t>
            </w:r>
            <w:r w:rsidR="00A8488B">
              <w:rPr>
                <w:rFonts w:ascii="Arial" w:eastAsia="Calibri" w:hAnsi="Arial" w:cs="Arial"/>
                <w:sz w:val="22"/>
                <w:lang w:val="es-ES_tradnl" w:eastAsia="es-ES_tradnl"/>
              </w:rPr>
              <w:t>INHABILIDADES</w:t>
            </w:r>
            <w:r w:rsidRPr="00B17718">
              <w:rPr>
                <w:rFonts w:ascii="Arial" w:eastAsia="Calibri" w:hAnsi="Arial" w:cs="Arial"/>
                <w:sz w:val="22"/>
                <w:lang w:val="es-ES_tradnl" w:eastAsia="es-ES_tradnl"/>
              </w:rPr>
              <w:t xml:space="preserve"> </w:t>
            </w:r>
            <w:r w:rsidRPr="00B17718">
              <w:rPr>
                <w:rFonts w:ascii="Arial" w:eastAsia="Calibri" w:hAnsi="Arial" w:cs="Arial"/>
                <w:sz w:val="22"/>
                <w:lang w:eastAsia="es-ES_tradnl"/>
              </w:rPr>
              <w:t>–</w:t>
            </w:r>
            <w:r w:rsidR="008422B5">
              <w:rPr>
                <w:rFonts w:ascii="Arial" w:eastAsia="Calibri" w:hAnsi="Arial" w:cs="Arial"/>
                <w:sz w:val="22"/>
                <w:lang w:eastAsia="es-ES_tradnl"/>
              </w:rPr>
              <w:t xml:space="preserve"> Definición, finalidad y limitación contractual</w:t>
            </w:r>
            <w:r w:rsidRPr="00B17718">
              <w:rPr>
                <w:rFonts w:ascii="Arial" w:eastAsia="Calibri" w:hAnsi="Arial" w:cs="Arial"/>
                <w:sz w:val="22"/>
                <w:lang w:eastAsia="es-ES_tradnl"/>
              </w:rPr>
              <w:t xml:space="preserve"> </w:t>
            </w:r>
            <w:r w:rsidR="008422B5" w:rsidRPr="00B17718">
              <w:rPr>
                <w:rFonts w:ascii="Arial" w:eastAsia="Calibri" w:hAnsi="Arial" w:cs="Arial"/>
                <w:sz w:val="22"/>
                <w:lang w:eastAsia="es-ES_tradnl"/>
              </w:rPr>
              <w:t>–</w:t>
            </w:r>
            <w:r w:rsidR="008422B5">
              <w:rPr>
                <w:rFonts w:ascii="Arial" w:eastAsia="Calibri" w:hAnsi="Arial" w:cs="Arial"/>
                <w:sz w:val="22"/>
                <w:lang w:eastAsia="es-ES_tradnl"/>
              </w:rPr>
              <w:t xml:space="preserve"> Principio de legalidad e interpretación restrictiva / CONTRATACIÓN ESTATAL</w:t>
            </w:r>
            <w:r w:rsidRPr="00B17718">
              <w:rPr>
                <w:rFonts w:ascii="Arial" w:eastAsia="Calibri" w:hAnsi="Arial" w:cs="Arial"/>
                <w:sz w:val="22"/>
                <w:lang w:eastAsia="es-ES_tradnl"/>
              </w:rPr>
              <w:t xml:space="preserve"> – </w:t>
            </w:r>
            <w:bookmarkStart w:id="3" w:name="_Hlk138085359"/>
            <w:r w:rsidR="008422B5">
              <w:rPr>
                <w:rFonts w:ascii="Arial" w:eastAsia="Calibri" w:hAnsi="Arial" w:cs="Arial"/>
                <w:sz w:val="22"/>
                <w:lang w:eastAsia="es-ES_tradnl"/>
              </w:rPr>
              <w:t xml:space="preserve">Validez </w:t>
            </w:r>
            <w:r w:rsidRPr="00B17718">
              <w:rPr>
                <w:rFonts w:ascii="Arial" w:eastAsia="Calibri" w:hAnsi="Arial" w:cs="Arial"/>
                <w:sz w:val="22"/>
                <w:lang w:eastAsia="es-ES_tradnl"/>
              </w:rPr>
              <w:t xml:space="preserve">– </w:t>
            </w:r>
            <w:r w:rsidR="008422B5">
              <w:rPr>
                <w:rFonts w:ascii="Arial" w:eastAsia="Calibri" w:hAnsi="Arial" w:cs="Arial"/>
                <w:sz w:val="22"/>
                <w:lang w:eastAsia="es-ES_tradnl"/>
              </w:rPr>
              <w:t xml:space="preserve">Régimen de contratación </w:t>
            </w:r>
            <w:r w:rsidRPr="00B17718">
              <w:rPr>
                <w:rFonts w:ascii="Arial" w:eastAsia="Calibri" w:hAnsi="Arial" w:cs="Arial"/>
                <w:sz w:val="22"/>
                <w:lang w:eastAsia="es-ES_tradnl"/>
              </w:rPr>
              <w:t>–</w:t>
            </w:r>
            <w:r w:rsidR="008422B5">
              <w:rPr>
                <w:rFonts w:ascii="Arial" w:eastAsia="Calibri" w:hAnsi="Arial" w:cs="Arial"/>
                <w:sz w:val="22"/>
                <w:lang w:eastAsia="es-ES_tradnl"/>
              </w:rPr>
              <w:t xml:space="preserve"> Inscripción </w:t>
            </w:r>
            <w:r w:rsidR="008422B5" w:rsidRPr="00B17718">
              <w:rPr>
                <w:rFonts w:ascii="Arial" w:eastAsia="Calibri" w:hAnsi="Arial" w:cs="Arial"/>
                <w:sz w:val="22"/>
                <w:lang w:eastAsia="es-ES_tradnl"/>
              </w:rPr>
              <w:t>–</w:t>
            </w:r>
            <w:r w:rsidR="008422B5">
              <w:rPr>
                <w:rFonts w:ascii="Arial" w:eastAsia="Calibri" w:hAnsi="Arial" w:cs="Arial"/>
                <w:sz w:val="22"/>
                <w:lang w:eastAsia="es-ES_tradnl"/>
              </w:rPr>
              <w:t xml:space="preserve"> Limitación de la capacidad </w:t>
            </w:r>
            <w:bookmarkEnd w:id="3"/>
            <w:r w:rsidR="008422B5">
              <w:rPr>
                <w:rFonts w:ascii="Arial" w:eastAsia="Calibri" w:hAnsi="Arial" w:cs="Arial"/>
                <w:sz w:val="22"/>
                <w:lang w:eastAsia="es-ES_tradnl"/>
              </w:rPr>
              <w:t xml:space="preserve">/ </w:t>
            </w:r>
            <w:bookmarkStart w:id="4" w:name="_Hlk138104147"/>
            <w:bookmarkStart w:id="5" w:name="_Hlk138085920"/>
            <w:r w:rsidR="008422B5">
              <w:rPr>
                <w:rFonts w:ascii="Arial" w:eastAsia="Calibri" w:hAnsi="Arial" w:cs="Arial"/>
                <w:sz w:val="22"/>
                <w:lang w:eastAsia="es-ES_tradnl"/>
              </w:rPr>
              <w:t xml:space="preserve">LEY 2097 DE 2021 </w:t>
            </w:r>
            <w:r w:rsidR="008422B5" w:rsidRPr="00B17718">
              <w:rPr>
                <w:rFonts w:ascii="Arial" w:eastAsia="Calibri" w:hAnsi="Arial" w:cs="Arial"/>
                <w:sz w:val="22"/>
                <w:lang w:eastAsia="es-ES_tradnl"/>
              </w:rPr>
              <w:t>–</w:t>
            </w:r>
            <w:r w:rsidR="008422B5">
              <w:rPr>
                <w:rFonts w:ascii="Arial" w:eastAsia="Calibri" w:hAnsi="Arial" w:cs="Arial"/>
                <w:sz w:val="22"/>
                <w:lang w:eastAsia="es-ES_tradnl"/>
              </w:rPr>
              <w:t xml:space="preserve"> Registro de Deudores Alimentarios Morosos REDAM </w:t>
            </w:r>
            <w:r w:rsidR="008422B5" w:rsidRPr="00B17718">
              <w:rPr>
                <w:rFonts w:ascii="Arial" w:eastAsia="Calibri" w:hAnsi="Arial" w:cs="Arial"/>
                <w:sz w:val="22"/>
                <w:lang w:eastAsia="es-ES_tradnl"/>
              </w:rPr>
              <w:t>–</w:t>
            </w:r>
            <w:r w:rsidR="008422B5">
              <w:rPr>
                <w:rFonts w:ascii="Arial" w:eastAsia="Calibri" w:hAnsi="Arial" w:cs="Arial"/>
                <w:sz w:val="22"/>
                <w:lang w:eastAsia="es-ES_tradnl"/>
              </w:rPr>
              <w:t xml:space="preserve"> Objeto</w:t>
            </w:r>
            <w:r w:rsidR="009E3A2F">
              <w:rPr>
                <w:rFonts w:ascii="Arial" w:eastAsia="Calibri" w:hAnsi="Arial" w:cs="Arial"/>
                <w:sz w:val="22"/>
                <w:lang w:eastAsia="es-ES_tradnl"/>
              </w:rPr>
              <w:t xml:space="preserve"> </w:t>
            </w:r>
            <w:bookmarkEnd w:id="4"/>
            <w:r w:rsidR="008422B5">
              <w:rPr>
                <w:rFonts w:ascii="Arial" w:eastAsia="Calibri" w:hAnsi="Arial" w:cs="Arial"/>
                <w:sz w:val="22"/>
                <w:lang w:eastAsia="es-ES_tradnl"/>
              </w:rPr>
              <w:t xml:space="preserve">/ INHABILIDAD REDAM </w:t>
            </w:r>
            <w:r w:rsidR="008422B5" w:rsidRPr="00B17718">
              <w:rPr>
                <w:rFonts w:ascii="Arial" w:eastAsia="Calibri" w:hAnsi="Arial" w:cs="Arial"/>
                <w:sz w:val="22"/>
                <w:lang w:eastAsia="es-ES_tradnl"/>
              </w:rPr>
              <w:t>–</w:t>
            </w:r>
            <w:r w:rsidR="008422B5">
              <w:rPr>
                <w:rFonts w:ascii="Arial" w:eastAsia="Calibri" w:hAnsi="Arial" w:cs="Arial"/>
                <w:sz w:val="22"/>
                <w:lang w:eastAsia="es-ES_tradnl"/>
              </w:rPr>
              <w:t xml:space="preserve"> Ámbito de aplicación</w:t>
            </w:r>
            <w:r w:rsidR="000F2CA7">
              <w:rPr>
                <w:rFonts w:ascii="Arial" w:eastAsia="Calibri" w:hAnsi="Arial" w:cs="Arial"/>
                <w:sz w:val="22"/>
                <w:lang w:eastAsia="es-ES_tradnl"/>
              </w:rPr>
              <w:t xml:space="preserve">, constitucionalidad y </w:t>
            </w:r>
            <w:r w:rsidR="008422B5">
              <w:rPr>
                <w:rFonts w:ascii="Arial" w:eastAsia="Calibri" w:hAnsi="Arial" w:cs="Arial"/>
                <w:sz w:val="22"/>
                <w:lang w:eastAsia="es-ES_tradnl"/>
              </w:rPr>
              <w:t>vigencia</w:t>
            </w:r>
            <w:r w:rsidR="000F2CA7">
              <w:rPr>
                <w:rFonts w:ascii="Arial" w:eastAsia="Calibri" w:hAnsi="Arial" w:cs="Arial"/>
                <w:sz w:val="22"/>
                <w:lang w:eastAsia="es-ES_tradnl"/>
              </w:rPr>
              <w:t xml:space="preserve"> </w:t>
            </w:r>
            <w:r w:rsidR="000F2CA7" w:rsidRPr="00B17718">
              <w:rPr>
                <w:rFonts w:ascii="Arial" w:eastAsia="Calibri" w:hAnsi="Arial" w:cs="Arial"/>
                <w:sz w:val="22"/>
                <w:lang w:eastAsia="es-ES_tradnl"/>
              </w:rPr>
              <w:t>–</w:t>
            </w:r>
            <w:r w:rsidR="000F2CA7">
              <w:rPr>
                <w:rFonts w:ascii="Arial" w:eastAsia="Calibri" w:hAnsi="Arial" w:cs="Arial"/>
                <w:sz w:val="22"/>
                <w:lang w:eastAsia="es-ES_tradnl"/>
              </w:rPr>
              <w:t xml:space="preserve"> INHABILIDAD REDAM </w:t>
            </w:r>
            <w:r w:rsidR="000F2CA7" w:rsidRPr="00B17718">
              <w:rPr>
                <w:rFonts w:ascii="Arial" w:eastAsia="Calibri" w:hAnsi="Arial" w:cs="Arial"/>
                <w:sz w:val="22"/>
                <w:lang w:eastAsia="es-ES_tradnl"/>
              </w:rPr>
              <w:t>–</w:t>
            </w:r>
            <w:r w:rsidR="000F2CA7">
              <w:rPr>
                <w:rFonts w:ascii="Arial" w:eastAsia="Calibri" w:hAnsi="Arial" w:cs="Arial"/>
                <w:sz w:val="22"/>
                <w:lang w:eastAsia="es-ES_tradnl"/>
              </w:rPr>
              <w:t xml:space="preserve"> Decreto Único Reglamentario 1310 de 2022</w:t>
            </w:r>
          </w:p>
          <w:bookmarkEnd w:id="5"/>
          <w:p w14:paraId="188A7282" w14:textId="77777777" w:rsidR="00B17718" w:rsidRPr="00B17718" w:rsidRDefault="00B17718" w:rsidP="00B17718">
            <w:pPr>
              <w:jc w:val="both"/>
              <w:rPr>
                <w:rFonts w:ascii="Arial" w:hAnsi="Arial" w:cs="Arial"/>
                <w:sz w:val="22"/>
                <w:lang w:val="es-ES_tradnl" w:eastAsia="es-ES_tradnl"/>
              </w:rPr>
            </w:pPr>
          </w:p>
        </w:tc>
      </w:tr>
      <w:tr w:rsidR="00B17718" w:rsidRPr="00B17718" w14:paraId="68D3DE6F" w14:textId="77777777" w:rsidTr="0068782F">
        <w:trPr>
          <w:jc w:val="right"/>
        </w:trPr>
        <w:tc>
          <w:tcPr>
            <w:tcW w:w="1838" w:type="dxa"/>
          </w:tcPr>
          <w:p w14:paraId="46D49431" w14:textId="77777777" w:rsidR="00B17718" w:rsidRPr="00B17718" w:rsidRDefault="00B17718" w:rsidP="00B17718">
            <w:pPr>
              <w:jc w:val="center"/>
              <w:rPr>
                <w:rFonts w:ascii="Arial" w:eastAsia="Calibri" w:hAnsi="Arial" w:cs="Arial"/>
                <w:b/>
                <w:sz w:val="22"/>
                <w:lang w:val="es-ES" w:eastAsia="es-ES_tradnl"/>
              </w:rPr>
            </w:pPr>
            <w:r w:rsidRPr="00B17718">
              <w:rPr>
                <w:rFonts w:ascii="Arial" w:eastAsia="Calibri" w:hAnsi="Arial" w:cs="Arial"/>
                <w:b/>
                <w:sz w:val="22"/>
                <w:lang w:val="es-ES" w:eastAsia="es-ES_tradnl"/>
              </w:rPr>
              <w:t>Radicación:</w:t>
            </w:r>
          </w:p>
        </w:tc>
        <w:tc>
          <w:tcPr>
            <w:tcW w:w="6237" w:type="dxa"/>
          </w:tcPr>
          <w:p w14:paraId="6445E7A0" w14:textId="62CDE9A8" w:rsidR="00B17718" w:rsidRPr="00B17718" w:rsidRDefault="00B17718" w:rsidP="00B17718">
            <w:pPr>
              <w:jc w:val="both"/>
              <w:rPr>
                <w:rFonts w:ascii="Arial" w:eastAsia="Calibri" w:hAnsi="Arial" w:cs="Arial"/>
                <w:sz w:val="22"/>
                <w:lang w:val="es-ES" w:eastAsia="es-ES_tradnl"/>
              </w:rPr>
            </w:pPr>
            <w:r w:rsidRPr="00B17718">
              <w:rPr>
                <w:rFonts w:ascii="Arial" w:eastAsia="Calibri" w:hAnsi="Arial" w:cs="Arial"/>
                <w:sz w:val="22"/>
                <w:lang w:val="es-ES" w:eastAsia="es-ES_tradnl"/>
              </w:rPr>
              <w:t>Respuesta a consulta</w:t>
            </w:r>
          </w:p>
        </w:tc>
      </w:tr>
    </w:tbl>
    <w:p w14:paraId="30E091E3" w14:textId="77777777" w:rsidR="00B17718" w:rsidRDefault="00B17718" w:rsidP="00B17718">
      <w:pPr>
        <w:spacing w:line="276" w:lineRule="auto"/>
        <w:jc w:val="both"/>
        <w:rPr>
          <w:rFonts w:ascii="Arial" w:eastAsia="Calibri" w:hAnsi="Arial" w:cs="Arial"/>
          <w:sz w:val="22"/>
          <w:lang w:val="es-ES_tradnl" w:eastAsia="es-ES_tradnl"/>
        </w:rPr>
      </w:pPr>
    </w:p>
    <w:p w14:paraId="518770AD" w14:textId="77777777" w:rsidR="000F2CA7" w:rsidRPr="00B17718" w:rsidRDefault="000F2CA7" w:rsidP="00B17718">
      <w:pPr>
        <w:spacing w:line="276" w:lineRule="auto"/>
        <w:jc w:val="both"/>
        <w:rPr>
          <w:rFonts w:ascii="Arial" w:eastAsia="Calibri" w:hAnsi="Arial" w:cs="Arial"/>
          <w:sz w:val="22"/>
          <w:lang w:val="es-ES_tradnl" w:eastAsia="es-ES_tradnl"/>
        </w:rPr>
      </w:pPr>
    </w:p>
    <w:p w14:paraId="32498396" w14:textId="1F00084B" w:rsidR="00B17718" w:rsidRPr="00B17718" w:rsidRDefault="00B17718" w:rsidP="00B17718">
      <w:pPr>
        <w:spacing w:line="276" w:lineRule="auto"/>
        <w:jc w:val="both"/>
        <w:rPr>
          <w:rFonts w:ascii="Arial" w:eastAsia="Calibri" w:hAnsi="Arial" w:cs="Arial"/>
          <w:bCs/>
          <w:sz w:val="22"/>
          <w:lang w:val="es-ES_tradnl" w:eastAsia="es-ES_tradnl"/>
        </w:rPr>
      </w:pPr>
      <w:r w:rsidRPr="00B17718">
        <w:rPr>
          <w:rFonts w:ascii="Arial" w:eastAsia="Calibri" w:hAnsi="Arial" w:cs="Arial"/>
          <w:sz w:val="22"/>
          <w:lang w:val="es-ES_tradnl" w:eastAsia="es-ES_tradnl"/>
        </w:rPr>
        <w:t>Estimad</w:t>
      </w:r>
      <w:r w:rsidR="00A8488B">
        <w:rPr>
          <w:rFonts w:ascii="Arial" w:eastAsia="Calibri" w:hAnsi="Arial" w:cs="Arial"/>
          <w:sz w:val="22"/>
          <w:lang w:val="es-ES_tradnl" w:eastAsia="es-ES_tradnl"/>
        </w:rPr>
        <w:t>o</w:t>
      </w:r>
      <w:r w:rsidRPr="00B17718">
        <w:rPr>
          <w:rFonts w:ascii="Arial" w:eastAsia="Calibri" w:hAnsi="Arial" w:cs="Arial"/>
          <w:sz w:val="22"/>
          <w:lang w:val="es-ES_tradnl" w:eastAsia="es-ES_tradnl"/>
        </w:rPr>
        <w:t xml:space="preserve"> señor L</w:t>
      </w:r>
      <w:r w:rsidR="00A8488B">
        <w:rPr>
          <w:rFonts w:ascii="Arial" w:eastAsia="Calibri" w:hAnsi="Arial" w:cs="Arial"/>
          <w:sz w:val="22"/>
          <w:lang w:val="es-ES_tradnl" w:eastAsia="es-ES_tradnl"/>
        </w:rPr>
        <w:t>ázaro</w:t>
      </w:r>
      <w:r w:rsidRPr="00B17718">
        <w:rPr>
          <w:rFonts w:ascii="Arial" w:eastAsia="Calibri" w:hAnsi="Arial" w:cs="Arial"/>
          <w:bCs/>
          <w:sz w:val="22"/>
          <w:lang w:val="es-ES_tradnl" w:eastAsia="es-ES_tradnl"/>
        </w:rPr>
        <w:t>:</w:t>
      </w:r>
    </w:p>
    <w:p w14:paraId="4949EE54" w14:textId="77777777" w:rsidR="00B17718" w:rsidRPr="00B17718" w:rsidRDefault="00B17718" w:rsidP="00B17718">
      <w:pPr>
        <w:spacing w:line="276" w:lineRule="auto"/>
        <w:jc w:val="both"/>
        <w:rPr>
          <w:rFonts w:ascii="Arial" w:eastAsia="Calibri" w:hAnsi="Arial" w:cs="Arial"/>
          <w:bCs/>
          <w:sz w:val="22"/>
          <w:lang w:val="es-ES_tradnl" w:eastAsia="es-ES_tradnl"/>
        </w:rPr>
      </w:pPr>
    </w:p>
    <w:p w14:paraId="3448E861" w14:textId="724F5E75" w:rsidR="00B17718" w:rsidRPr="00B17718" w:rsidRDefault="00B17718" w:rsidP="00B17718">
      <w:pPr>
        <w:spacing w:line="276" w:lineRule="auto"/>
        <w:jc w:val="both"/>
        <w:rPr>
          <w:rFonts w:ascii="Arial" w:eastAsia="Calibri" w:hAnsi="Arial" w:cs="Arial"/>
          <w:sz w:val="22"/>
          <w:lang w:val="es-ES" w:eastAsia="es-ES_tradnl"/>
        </w:rPr>
      </w:pPr>
      <w:r w:rsidRPr="00B17718">
        <w:rPr>
          <w:rFonts w:ascii="Arial" w:eastAsia="Calibri" w:hAnsi="Arial" w:cs="Arial"/>
          <w:sz w:val="22"/>
          <w:lang w:val="es-ES" w:eastAsia="es-ES_tradnl"/>
        </w:rPr>
        <w:t xml:space="preserve">En virtud de la competencia conferida por el numeral 8 del artículo 11 y el numeral 5 del artículo 3 del Decreto Ley 4170 de 2011, la Agencia Nacional de Contratación Pública -Colombia Compra Eficiente- responde a su consulta del </w:t>
      </w:r>
      <w:r w:rsidR="00A8488B">
        <w:rPr>
          <w:rFonts w:ascii="Arial" w:eastAsia="Calibri" w:hAnsi="Arial" w:cs="Arial"/>
          <w:sz w:val="22"/>
          <w:lang w:val="es-ES" w:eastAsia="es-ES_tradnl"/>
        </w:rPr>
        <w:t xml:space="preserve">4 de mayo </w:t>
      </w:r>
      <w:r w:rsidRPr="00B17718">
        <w:rPr>
          <w:rFonts w:ascii="Arial" w:eastAsia="Calibri" w:hAnsi="Arial" w:cs="Arial"/>
          <w:sz w:val="22"/>
          <w:lang w:val="es-ES" w:eastAsia="es-ES_tradnl"/>
        </w:rPr>
        <w:t>de</w:t>
      </w:r>
      <w:r w:rsidR="00A8488B">
        <w:rPr>
          <w:rFonts w:ascii="Arial" w:eastAsia="Calibri" w:hAnsi="Arial" w:cs="Arial"/>
          <w:sz w:val="22"/>
          <w:lang w:val="es-ES" w:eastAsia="es-ES_tradnl"/>
        </w:rPr>
        <w:t xml:space="preserve"> </w:t>
      </w:r>
      <w:r w:rsidRPr="00B17718">
        <w:rPr>
          <w:rFonts w:ascii="Arial" w:eastAsia="Calibri" w:hAnsi="Arial" w:cs="Arial"/>
          <w:sz w:val="22"/>
          <w:lang w:val="es-ES" w:eastAsia="es-ES_tradnl"/>
        </w:rPr>
        <w:t>2023.</w:t>
      </w:r>
    </w:p>
    <w:p w14:paraId="6C079F3C" w14:textId="77777777" w:rsidR="00B17718" w:rsidRPr="00116F15" w:rsidRDefault="00B17718" w:rsidP="00B17718">
      <w:pPr>
        <w:spacing w:line="276" w:lineRule="auto"/>
        <w:jc w:val="both"/>
        <w:rPr>
          <w:rFonts w:ascii="Arial" w:eastAsia="Calibri" w:hAnsi="Arial" w:cs="Arial"/>
          <w:bCs/>
          <w:sz w:val="22"/>
          <w:lang w:val="es-ES_tradnl"/>
        </w:rPr>
      </w:pPr>
    </w:p>
    <w:p w14:paraId="7B74C45E" w14:textId="77777777" w:rsidR="00B17718" w:rsidRPr="00B17718" w:rsidRDefault="00B17718" w:rsidP="00B17718">
      <w:pPr>
        <w:spacing w:line="276" w:lineRule="auto"/>
        <w:jc w:val="both"/>
        <w:rPr>
          <w:rFonts w:ascii="Arial" w:eastAsia="Calibri" w:hAnsi="Arial" w:cs="Arial"/>
          <w:b/>
          <w:sz w:val="22"/>
          <w:lang w:val="es-ES_tradnl"/>
        </w:rPr>
      </w:pPr>
      <w:r w:rsidRPr="00B17718">
        <w:rPr>
          <w:rFonts w:ascii="Arial" w:eastAsia="Calibri" w:hAnsi="Arial" w:cs="Arial"/>
          <w:b/>
          <w:sz w:val="22"/>
          <w:lang w:val="es-ES_tradnl"/>
        </w:rPr>
        <w:t>1.</w:t>
      </w:r>
      <w:r w:rsidRPr="00B17718">
        <w:rPr>
          <w:rFonts w:ascii="Arial" w:eastAsia="Calibri" w:hAnsi="Arial" w:cs="Arial"/>
          <w:b/>
          <w:sz w:val="22"/>
          <w:lang w:val="es-ES_tradnl"/>
        </w:rPr>
        <w:tab/>
        <w:t>Problemas planteados</w:t>
      </w:r>
    </w:p>
    <w:p w14:paraId="499E48DA" w14:textId="77777777" w:rsidR="00B17718" w:rsidRPr="00B17718" w:rsidRDefault="00B17718" w:rsidP="00B17718">
      <w:pPr>
        <w:tabs>
          <w:tab w:val="left" w:pos="0"/>
          <w:tab w:val="left" w:pos="142"/>
          <w:tab w:val="left" w:pos="284"/>
        </w:tabs>
        <w:spacing w:line="276" w:lineRule="auto"/>
        <w:contextualSpacing/>
        <w:jc w:val="both"/>
        <w:rPr>
          <w:rFonts w:ascii="Arial" w:eastAsia="Calibri" w:hAnsi="Arial" w:cs="Arial"/>
          <w:bCs/>
          <w:sz w:val="22"/>
          <w:lang w:val="es-ES_tradnl" w:eastAsia="es-ES_tradnl"/>
        </w:rPr>
      </w:pPr>
    </w:p>
    <w:p w14:paraId="7399FBF3" w14:textId="39345432" w:rsidR="00A8488B" w:rsidRDefault="00B17718" w:rsidP="00B17718">
      <w:pPr>
        <w:spacing w:line="276" w:lineRule="auto"/>
        <w:jc w:val="both"/>
        <w:rPr>
          <w:rFonts w:ascii="Arial" w:hAnsi="Arial" w:cs="Arial"/>
          <w:sz w:val="22"/>
          <w:lang w:val="es-ES_tradnl" w:eastAsia="es-ES_tradnl"/>
        </w:rPr>
      </w:pPr>
      <w:r w:rsidRPr="00B17718">
        <w:rPr>
          <w:rFonts w:ascii="Arial" w:hAnsi="Arial" w:cs="Arial"/>
          <w:sz w:val="22"/>
          <w:lang w:val="es-ES_tradnl" w:eastAsia="es-ES_tradnl"/>
        </w:rPr>
        <w:t>En el respectivo escrito</w:t>
      </w:r>
      <w:r w:rsidR="00AE77E8">
        <w:rPr>
          <w:rFonts w:ascii="Arial" w:hAnsi="Arial" w:cs="Arial"/>
          <w:sz w:val="22"/>
          <w:lang w:val="es-ES_tradnl" w:eastAsia="es-ES_tradnl"/>
        </w:rPr>
        <w:t>, usted manifiesta que,</w:t>
      </w:r>
      <w:r w:rsidR="00BE6790">
        <w:rPr>
          <w:rFonts w:ascii="Arial" w:hAnsi="Arial" w:cs="Arial"/>
          <w:sz w:val="22"/>
          <w:lang w:val="es-ES_tradnl" w:eastAsia="es-ES_tradnl"/>
        </w:rPr>
        <w:t xml:space="preserve"> conforme al </w:t>
      </w:r>
      <w:r w:rsidR="00AE77E8">
        <w:rPr>
          <w:rFonts w:ascii="Arial" w:hAnsi="Arial" w:cs="Arial"/>
          <w:sz w:val="22"/>
          <w:lang w:val="es-ES_tradnl" w:eastAsia="es-ES_tradnl"/>
        </w:rPr>
        <w:t xml:space="preserve">numeral 1º del artículo 6 de la Ley 2097 de 2021, una de las consecuencias de </w:t>
      </w:r>
      <w:r w:rsidR="00BE6790">
        <w:rPr>
          <w:rFonts w:ascii="Arial" w:hAnsi="Arial" w:cs="Arial"/>
          <w:sz w:val="22"/>
          <w:lang w:val="es-ES_tradnl" w:eastAsia="es-ES_tradnl"/>
        </w:rPr>
        <w:t xml:space="preserve">hallarse </w:t>
      </w:r>
      <w:r w:rsidR="00AE77E8">
        <w:rPr>
          <w:rFonts w:ascii="Arial" w:hAnsi="Arial" w:cs="Arial"/>
          <w:sz w:val="22"/>
          <w:lang w:val="es-ES_tradnl" w:eastAsia="es-ES_tradnl"/>
        </w:rPr>
        <w:t xml:space="preserve">inscrito en el Registro de Deudores Alimentarios Morosos -REDAM- es no poder contratar con el Estado, hasta ponerse a paz y salvo con las obligaciones de carácter alimentario. </w:t>
      </w:r>
      <w:r w:rsidR="009A366B">
        <w:rPr>
          <w:rFonts w:ascii="Arial" w:hAnsi="Arial" w:cs="Arial"/>
          <w:sz w:val="22"/>
          <w:lang w:val="es-ES_tradnl" w:eastAsia="es-ES_tradnl"/>
        </w:rPr>
        <w:t>Asimismo</w:t>
      </w:r>
      <w:r w:rsidR="00BE6790">
        <w:rPr>
          <w:rFonts w:ascii="Arial" w:hAnsi="Arial" w:cs="Arial"/>
          <w:sz w:val="22"/>
          <w:lang w:val="es-ES_tradnl" w:eastAsia="es-ES_tradnl"/>
        </w:rPr>
        <w:t>,</w:t>
      </w:r>
      <w:r w:rsidR="00116F15">
        <w:rPr>
          <w:rFonts w:ascii="Arial" w:hAnsi="Arial" w:cs="Arial"/>
          <w:sz w:val="22"/>
          <w:lang w:val="es-ES_tradnl" w:eastAsia="es-ES_tradnl"/>
        </w:rPr>
        <w:t xml:space="preserve"> </w:t>
      </w:r>
      <w:r w:rsidR="009A366B">
        <w:rPr>
          <w:rFonts w:ascii="Arial" w:hAnsi="Arial" w:cs="Arial"/>
          <w:sz w:val="22"/>
          <w:lang w:val="es-ES_tradnl" w:eastAsia="es-ES_tradnl"/>
        </w:rPr>
        <w:t xml:space="preserve">indica </w:t>
      </w:r>
      <w:r w:rsidR="00BE6790">
        <w:rPr>
          <w:rFonts w:ascii="Arial" w:hAnsi="Arial" w:cs="Arial"/>
          <w:sz w:val="22"/>
          <w:lang w:val="es-ES_tradnl" w:eastAsia="es-ES_tradnl"/>
        </w:rPr>
        <w:t xml:space="preserve">que, según </w:t>
      </w:r>
      <w:r w:rsidR="00AE77E8">
        <w:rPr>
          <w:rFonts w:ascii="Arial" w:hAnsi="Arial" w:cs="Arial"/>
          <w:sz w:val="22"/>
          <w:lang w:val="es-ES_tradnl" w:eastAsia="es-ES_tradnl"/>
        </w:rPr>
        <w:t>el artículo 2.2.23.13. del</w:t>
      </w:r>
      <w:r w:rsidR="00BE6790">
        <w:rPr>
          <w:rFonts w:ascii="Arial" w:hAnsi="Arial" w:cs="Arial"/>
          <w:sz w:val="22"/>
          <w:lang w:val="es-ES_tradnl" w:eastAsia="es-ES_tradnl"/>
        </w:rPr>
        <w:t xml:space="preserve"> </w:t>
      </w:r>
      <w:r w:rsidR="00AE77E8">
        <w:rPr>
          <w:rFonts w:ascii="Arial" w:hAnsi="Arial" w:cs="Arial"/>
          <w:sz w:val="22"/>
          <w:lang w:val="es-ES_tradnl" w:eastAsia="es-ES_tradnl"/>
        </w:rPr>
        <w:t>Decreto 13010 de 2022</w:t>
      </w:r>
      <w:r w:rsidR="00BE6790">
        <w:rPr>
          <w:rFonts w:ascii="Arial" w:hAnsi="Arial" w:cs="Arial"/>
          <w:sz w:val="22"/>
          <w:lang w:val="es-ES_tradnl" w:eastAsia="es-ES_tradnl"/>
        </w:rPr>
        <w:t xml:space="preserve">, </w:t>
      </w:r>
      <w:r w:rsidR="00AE77E8">
        <w:rPr>
          <w:rFonts w:ascii="Arial" w:hAnsi="Arial" w:cs="Arial"/>
          <w:sz w:val="22"/>
          <w:lang w:val="es-ES_tradnl" w:eastAsia="es-ES_tradnl"/>
        </w:rPr>
        <w:t>la carga de verificación respecto de tal inscripción recae de forma exclusiva en el Estad</w:t>
      </w:r>
      <w:r w:rsidR="005651C8">
        <w:rPr>
          <w:rFonts w:ascii="Arial" w:hAnsi="Arial" w:cs="Arial"/>
          <w:sz w:val="22"/>
          <w:lang w:val="es-ES_tradnl" w:eastAsia="es-ES_tradnl"/>
        </w:rPr>
        <w:t>o</w:t>
      </w:r>
      <w:r w:rsidR="00116F15">
        <w:rPr>
          <w:rFonts w:ascii="Arial" w:hAnsi="Arial" w:cs="Arial"/>
          <w:sz w:val="22"/>
          <w:lang w:val="es-ES_tradnl" w:eastAsia="es-ES_tradnl"/>
        </w:rPr>
        <w:t xml:space="preserve"> y</w:t>
      </w:r>
      <w:r w:rsidR="009A366B">
        <w:rPr>
          <w:rFonts w:ascii="Arial" w:hAnsi="Arial" w:cs="Arial"/>
          <w:sz w:val="22"/>
          <w:lang w:val="es-ES_tradnl" w:eastAsia="es-ES_tradnl"/>
        </w:rPr>
        <w:t xml:space="preserve"> el certificado que acredita la calidad de deudor alimentario moroso o no </w:t>
      </w:r>
      <w:r w:rsidR="009A366B">
        <w:rPr>
          <w:rFonts w:ascii="Arial" w:hAnsi="Arial" w:cs="Arial"/>
          <w:sz w:val="22"/>
          <w:lang w:val="es-ES_tradnl" w:eastAsia="es-ES_tradnl"/>
        </w:rPr>
        <w:lastRenderedPageBreak/>
        <w:t xml:space="preserve">se obtiene de forma personal. Es por este motivo que, </w:t>
      </w:r>
      <w:r w:rsidR="00AE77E8">
        <w:rPr>
          <w:rFonts w:ascii="Arial" w:hAnsi="Arial" w:cs="Arial"/>
          <w:sz w:val="22"/>
          <w:lang w:val="es-ES_tradnl" w:eastAsia="es-ES_tradnl"/>
        </w:rPr>
        <w:t>dada su condición de Subdirector de Asuntos Contractuales de la Secretaría Distrital de Hacienda de Bogotá D.C.,</w:t>
      </w:r>
      <w:r w:rsidR="009A366B">
        <w:rPr>
          <w:rFonts w:ascii="Arial" w:hAnsi="Arial" w:cs="Arial"/>
          <w:sz w:val="22"/>
          <w:lang w:val="es-ES_tradnl" w:eastAsia="es-ES_tradnl"/>
        </w:rPr>
        <w:t xml:space="preserve"> realiza las siguientes preguntas:</w:t>
      </w:r>
    </w:p>
    <w:p w14:paraId="05507F92" w14:textId="77777777" w:rsidR="00B17718" w:rsidRDefault="00B17718" w:rsidP="00B17718">
      <w:pPr>
        <w:spacing w:line="276" w:lineRule="auto"/>
        <w:jc w:val="both"/>
        <w:rPr>
          <w:rFonts w:ascii="Arial" w:hAnsi="Arial" w:cs="Arial"/>
          <w:sz w:val="22"/>
          <w:lang w:val="es-ES_tradnl" w:eastAsia="es-ES_tradnl"/>
        </w:rPr>
      </w:pPr>
    </w:p>
    <w:p w14:paraId="2C891832" w14:textId="02FD0733" w:rsidR="009A366B" w:rsidRPr="00BD60E2" w:rsidRDefault="009A366B" w:rsidP="009A366B">
      <w:pPr>
        <w:pStyle w:val="NormalWeb"/>
        <w:shd w:val="clear" w:color="auto" w:fill="FFFFFF"/>
        <w:spacing w:before="0" w:beforeAutospacing="0" w:after="120" w:afterAutospacing="0"/>
        <w:ind w:left="709" w:right="709"/>
        <w:jc w:val="both"/>
        <w:rPr>
          <w:rFonts w:ascii="Arial" w:hAnsi="Arial" w:cs="Arial"/>
          <w:i/>
          <w:iCs/>
          <w:sz w:val="21"/>
          <w:szCs w:val="21"/>
          <w:lang w:val="es-ES_tradnl" w:eastAsia="es-ES_tradnl"/>
        </w:rPr>
      </w:pPr>
      <w:bookmarkStart w:id="6" w:name="_Hlk138141906"/>
      <w:r w:rsidRPr="00BD60E2">
        <w:rPr>
          <w:rFonts w:ascii="Arial" w:hAnsi="Arial" w:cs="Arial"/>
          <w:i/>
          <w:iCs/>
          <w:sz w:val="21"/>
          <w:szCs w:val="21"/>
          <w:lang w:val="es-ES_tradnl" w:eastAsia="es-ES_tradnl"/>
        </w:rPr>
        <w:t xml:space="preserve">“(…) 1. </w:t>
      </w:r>
      <w:proofErr w:type="gramStart"/>
      <w:r w:rsidR="003C6733">
        <w:rPr>
          <w:rFonts w:ascii="Arial" w:hAnsi="Arial" w:cs="Arial"/>
          <w:i/>
          <w:iCs/>
          <w:sz w:val="21"/>
          <w:szCs w:val="21"/>
          <w:lang w:val="es-ES_tradnl" w:eastAsia="es-ES_tradnl"/>
        </w:rPr>
        <w:t>¿</w:t>
      </w:r>
      <w:r w:rsidRPr="00BD60E2">
        <w:rPr>
          <w:rFonts w:ascii="Arial" w:hAnsi="Arial" w:cs="Arial"/>
          <w:i/>
          <w:iCs/>
          <w:sz w:val="21"/>
          <w:szCs w:val="21"/>
          <w:lang w:val="es-ES_tradnl" w:eastAsia="es-ES_tradnl"/>
        </w:rPr>
        <w:t>La carga de verificación del Registro de Deudores Alimentarios Morosos (REDAM) que recae exclusivamente en el Estado, según lo establecido en el artículo 2.2.23.</w:t>
      </w:r>
      <w:proofErr w:type="gramEnd"/>
      <w:r w:rsidRPr="00BD60E2">
        <w:rPr>
          <w:rFonts w:ascii="Arial" w:hAnsi="Arial" w:cs="Arial"/>
          <w:i/>
          <w:iCs/>
          <w:sz w:val="21"/>
          <w:szCs w:val="21"/>
          <w:lang w:val="es-ES_tradnl" w:eastAsia="es-ES_tradnl"/>
        </w:rPr>
        <w:t xml:space="preserve">13. del Decreto 1310 de 2022, se debe entender como el acceso directo, de los responsables de la contratación en las entidades estatales, a la consulta de esta información a través de la página web </w:t>
      </w:r>
      <w:hyperlink r:id="rId12" w:history="1">
        <w:r w:rsidRPr="00BD60E2">
          <w:rPr>
            <w:rStyle w:val="Hipervnculo"/>
            <w:rFonts w:ascii="Arial" w:hAnsi="Arial" w:cs="Arial"/>
            <w:i/>
            <w:iCs/>
            <w:sz w:val="21"/>
            <w:szCs w:val="21"/>
            <w:lang w:val="es-ES_tradnl" w:eastAsia="es-ES_tradnl"/>
          </w:rPr>
          <w:t>https://www.redam.gov.co/</w:t>
        </w:r>
      </w:hyperlink>
      <w:r w:rsidRPr="00BD60E2">
        <w:rPr>
          <w:rFonts w:ascii="Arial" w:hAnsi="Arial" w:cs="Arial"/>
          <w:i/>
          <w:iCs/>
          <w:sz w:val="21"/>
          <w:szCs w:val="21"/>
          <w:lang w:val="es-ES_tradnl" w:eastAsia="es-ES_tradnl"/>
        </w:rPr>
        <w:t>?</w:t>
      </w:r>
    </w:p>
    <w:p w14:paraId="250FBF03" w14:textId="380D6DDF" w:rsidR="009A366B" w:rsidRDefault="009A366B" w:rsidP="009A366B">
      <w:pPr>
        <w:pStyle w:val="NormalWeb"/>
        <w:shd w:val="clear" w:color="auto" w:fill="FFFFFF"/>
        <w:spacing w:before="0" w:beforeAutospacing="0" w:after="120" w:afterAutospacing="0"/>
        <w:ind w:left="709" w:right="709"/>
        <w:jc w:val="both"/>
        <w:rPr>
          <w:rFonts w:ascii="Arial" w:hAnsi="Arial" w:cs="Arial"/>
          <w:i/>
          <w:iCs/>
          <w:sz w:val="21"/>
          <w:szCs w:val="21"/>
          <w:lang w:val="es-ES_tradnl" w:eastAsia="es-ES_tradnl"/>
        </w:rPr>
      </w:pPr>
      <w:r w:rsidRPr="00BD60E2">
        <w:rPr>
          <w:rFonts w:ascii="Arial" w:hAnsi="Arial" w:cs="Arial"/>
          <w:i/>
          <w:iCs/>
          <w:sz w:val="21"/>
          <w:szCs w:val="21"/>
          <w:lang w:val="es-ES_tradnl" w:eastAsia="es-ES_tradnl"/>
        </w:rPr>
        <w:t>2. En el entendido que la descarga del certificado REDAM es personal (no se puede realizar por terceros), ¿resulta viable solicitar a los futuros contratistas, independientemente de la modalidad de selección o tipo de contratación, aportar</w:t>
      </w:r>
      <w:r w:rsidR="00BD60E2" w:rsidRPr="00BD60E2">
        <w:rPr>
          <w:rFonts w:ascii="Arial" w:hAnsi="Arial" w:cs="Arial"/>
          <w:i/>
          <w:iCs/>
          <w:sz w:val="21"/>
          <w:szCs w:val="21"/>
          <w:lang w:val="es-ES_tradnl" w:eastAsia="es-ES_tradnl"/>
        </w:rPr>
        <w:t xml:space="preserve"> el certificado del Registro de Deudores Alimentarios Morosos – REDAM? </w:t>
      </w:r>
      <w:proofErr w:type="gramStart"/>
      <w:r w:rsidR="00BD60E2" w:rsidRPr="00BD60E2">
        <w:rPr>
          <w:rFonts w:ascii="Arial" w:hAnsi="Arial" w:cs="Arial"/>
          <w:i/>
          <w:iCs/>
          <w:sz w:val="21"/>
          <w:szCs w:val="21"/>
          <w:lang w:val="es-ES_tradnl" w:eastAsia="es-ES_tradnl"/>
        </w:rPr>
        <w:t>O</w:t>
      </w:r>
      <w:proofErr w:type="gramEnd"/>
      <w:r w:rsidR="00BD60E2" w:rsidRPr="00BD60E2">
        <w:rPr>
          <w:rFonts w:ascii="Arial" w:hAnsi="Arial" w:cs="Arial"/>
          <w:i/>
          <w:iCs/>
          <w:sz w:val="21"/>
          <w:szCs w:val="21"/>
          <w:lang w:val="es-ES_tradnl" w:eastAsia="es-ES_tradnl"/>
        </w:rPr>
        <w:t xml:space="preserve"> por el contrario, para efectos de dar cumplimiento a la norma ¿es suficiente que los futuros contratistas diligencien, suscriban y aporten la declaración juramentada de no tener obligaciones de carácter alimentario a su cargo?</w:t>
      </w:r>
      <w:r w:rsidR="00BD60E2">
        <w:rPr>
          <w:rFonts w:ascii="Arial" w:hAnsi="Arial" w:cs="Arial"/>
          <w:i/>
          <w:iCs/>
          <w:sz w:val="21"/>
          <w:szCs w:val="21"/>
          <w:lang w:val="es-ES_tradnl" w:eastAsia="es-ES_tradnl"/>
        </w:rPr>
        <w:t xml:space="preserve"> (…)”.</w:t>
      </w:r>
    </w:p>
    <w:bookmarkEnd w:id="6"/>
    <w:p w14:paraId="15BC2107" w14:textId="77777777" w:rsidR="00BD60E2" w:rsidRPr="00BD60E2" w:rsidRDefault="00BD60E2" w:rsidP="00BD60E2">
      <w:pPr>
        <w:pStyle w:val="NormalWeb"/>
        <w:shd w:val="clear" w:color="auto" w:fill="FFFFFF"/>
        <w:spacing w:before="0" w:beforeAutospacing="0" w:after="0" w:afterAutospacing="0"/>
        <w:ind w:right="709"/>
        <w:jc w:val="both"/>
        <w:rPr>
          <w:rFonts w:ascii="Arial" w:hAnsi="Arial" w:cs="Arial"/>
          <w:i/>
          <w:iCs/>
          <w:sz w:val="22"/>
          <w:szCs w:val="22"/>
          <w:lang w:val="es-ES_tradnl" w:eastAsia="es-ES_tradnl"/>
        </w:rPr>
      </w:pPr>
    </w:p>
    <w:p w14:paraId="7C3AAAD9" w14:textId="77777777" w:rsidR="00B17718" w:rsidRPr="00B17718" w:rsidRDefault="00B17718" w:rsidP="00B17718">
      <w:pPr>
        <w:spacing w:line="276" w:lineRule="auto"/>
        <w:jc w:val="both"/>
        <w:rPr>
          <w:rFonts w:ascii="Arial" w:eastAsia="Calibri" w:hAnsi="Arial" w:cs="Arial"/>
          <w:b/>
          <w:sz w:val="22"/>
          <w:lang w:val="es-ES_tradnl"/>
        </w:rPr>
      </w:pPr>
      <w:r w:rsidRPr="00B17718">
        <w:rPr>
          <w:rFonts w:ascii="Arial" w:eastAsia="Calibri" w:hAnsi="Arial" w:cs="Arial"/>
          <w:b/>
          <w:sz w:val="22"/>
          <w:lang w:val="es-ES_tradnl"/>
        </w:rPr>
        <w:t>2.</w:t>
      </w:r>
      <w:r w:rsidRPr="00B17718">
        <w:rPr>
          <w:rFonts w:ascii="Arial" w:eastAsia="Calibri" w:hAnsi="Arial" w:cs="Arial"/>
          <w:b/>
          <w:sz w:val="22"/>
          <w:lang w:val="es-ES_tradnl"/>
        </w:rPr>
        <w:tab/>
        <w:t>Consideraciones</w:t>
      </w:r>
    </w:p>
    <w:p w14:paraId="71B94A7A" w14:textId="77777777" w:rsidR="00B17718" w:rsidRPr="00B17718" w:rsidRDefault="00B17718" w:rsidP="00B17718">
      <w:pPr>
        <w:spacing w:line="276" w:lineRule="auto"/>
        <w:jc w:val="both"/>
        <w:rPr>
          <w:rFonts w:ascii="Arial" w:hAnsi="Arial" w:cs="Arial"/>
          <w:sz w:val="22"/>
          <w:lang w:val="es-ES_tradnl" w:eastAsia="es-ES_tradnl"/>
        </w:rPr>
      </w:pPr>
    </w:p>
    <w:p w14:paraId="6C6B3011" w14:textId="77777777" w:rsidR="00B17718" w:rsidRPr="00B17718" w:rsidRDefault="00B17718" w:rsidP="00B17718">
      <w:pPr>
        <w:spacing w:after="120" w:line="276" w:lineRule="auto"/>
        <w:jc w:val="both"/>
        <w:rPr>
          <w:rFonts w:ascii="Arial" w:hAnsi="Arial" w:cs="Arial"/>
          <w:sz w:val="22"/>
          <w:lang w:val="es-ES" w:eastAsia="es-ES_tradnl"/>
        </w:rPr>
      </w:pPr>
      <w:r w:rsidRPr="00B17718">
        <w:rPr>
          <w:rFonts w:ascii="Arial" w:hAnsi="Arial" w:cs="Arial"/>
          <w:sz w:val="22"/>
          <w:lang w:eastAsia="es-ES_tradnl"/>
        </w:rPr>
        <w:t>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citados.</w:t>
      </w:r>
      <w:r w:rsidRPr="00B17718">
        <w:rPr>
          <w:rFonts w:ascii="Arial" w:hAnsi="Arial" w:cs="Arial"/>
          <w:sz w:val="22"/>
          <w:shd w:val="clear" w:color="auto" w:fill="E6E6E6"/>
          <w:lang w:eastAsia="es-ES_tradnl"/>
        </w:rPr>
        <w:t xml:space="preserve"> </w:t>
      </w:r>
      <w:r w:rsidRPr="00B17718">
        <w:rPr>
          <w:rFonts w:ascii="Arial" w:hAnsi="Arial" w:cs="Arial"/>
          <w:sz w:val="22"/>
          <w:lang w:val="es-ES" w:eastAsia="es-ES_tradnl"/>
        </w:rPr>
        <w:t>Es necesario tener en cuenta que esta entidad solo tiene competencia para responder solicitudes sobre la aplicación de normas de carácter general en materia de compras y contratación pública. En este sentido, resolver casos particulares desborda las atribuciones asignadas por el legislador extraordinario, que no concibió a Colombia Compra Eficiente como una autoridad para solucionar problemas jurídicos particulares</w:t>
      </w:r>
      <w:r w:rsidRPr="00B17718">
        <w:rPr>
          <w:rFonts w:ascii="Arial" w:hAnsi="Arial" w:cs="Arial"/>
          <w:sz w:val="22"/>
          <w:lang w:eastAsia="es-ES_tradnl"/>
        </w:rPr>
        <w:t xml:space="preserve"> de todos los partícipes de la contratación estatal.</w:t>
      </w:r>
    </w:p>
    <w:p w14:paraId="671FDEDB" w14:textId="12E45EA3" w:rsidR="00B17718" w:rsidRPr="00B17718" w:rsidRDefault="00B17718" w:rsidP="00B17718">
      <w:pPr>
        <w:spacing w:after="120" w:line="276" w:lineRule="auto"/>
        <w:ind w:firstLine="708"/>
        <w:jc w:val="both"/>
        <w:rPr>
          <w:rFonts w:ascii="Arial" w:hAnsi="Arial" w:cs="Arial"/>
          <w:sz w:val="22"/>
          <w:lang w:val="es-ES" w:eastAsia="es-ES_tradnl"/>
        </w:rPr>
      </w:pPr>
      <w:r w:rsidRPr="00B17718">
        <w:rPr>
          <w:rFonts w:ascii="Arial" w:hAnsi="Arial" w:cs="Arial"/>
          <w:sz w:val="22"/>
          <w:lang w:val="es-ES" w:eastAsia="es-ES_tradnl"/>
        </w:rP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sidRPr="00B17718">
        <w:rPr>
          <w:rFonts w:ascii="Arial" w:hAnsi="Arial" w:cs="Arial"/>
          <w:sz w:val="22"/>
          <w:vertAlign w:val="superscript"/>
          <w:lang w:val="es-ES" w:eastAsia="es-ES_tradnl"/>
        </w:rPr>
        <w:footnoteReference w:id="1"/>
      </w:r>
      <w:r w:rsidRPr="00B17718">
        <w:rPr>
          <w:rFonts w:ascii="Arial" w:hAnsi="Arial" w:cs="Arial"/>
          <w:sz w:val="22"/>
          <w:lang w:val="es-ES" w:eastAsia="es-ES_tradnl"/>
        </w:rPr>
        <w:t xml:space="preserve">. Esta competencia </w:t>
      </w:r>
      <w:r w:rsidRPr="00B17718">
        <w:rPr>
          <w:rFonts w:ascii="Arial" w:hAnsi="Arial" w:cs="Arial"/>
          <w:sz w:val="22"/>
          <w:lang w:val="es-ES" w:eastAsia="es-ES_tradnl"/>
        </w:rPr>
        <w:lastRenderedPageBreak/>
        <w:t xml:space="preserve">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w:t>
      </w:r>
      <w:r w:rsidR="003C6733">
        <w:rPr>
          <w:rFonts w:ascii="Arial" w:hAnsi="Arial" w:cs="Arial"/>
          <w:sz w:val="22"/>
          <w:lang w:val="es-ES" w:eastAsia="es-ES_tradnl"/>
        </w:rPr>
        <w:t xml:space="preserve">directamente </w:t>
      </w:r>
      <w:r w:rsidRPr="00B17718">
        <w:rPr>
          <w:rFonts w:ascii="Arial" w:hAnsi="Arial" w:cs="Arial"/>
          <w:sz w:val="22"/>
          <w:lang w:val="es-ES" w:eastAsia="es-ES_tradnl"/>
        </w:rPr>
        <w:t>a la entidad que adelanta el procedimiento de selección y, en caso de conflicto, a las autoridades judiciales, fiscales y/o disciplinarias,</w:t>
      </w:r>
      <w:r w:rsidR="00C0281B">
        <w:rPr>
          <w:rFonts w:ascii="Arial" w:hAnsi="Arial" w:cs="Arial"/>
          <w:sz w:val="22"/>
          <w:lang w:val="es-ES" w:eastAsia="es-ES_tradnl"/>
        </w:rPr>
        <w:t xml:space="preserve"> </w:t>
      </w:r>
      <w:r w:rsidRPr="00B17718">
        <w:rPr>
          <w:rFonts w:ascii="Arial" w:hAnsi="Arial" w:cs="Arial"/>
          <w:sz w:val="22"/>
          <w:lang w:val="es-ES" w:eastAsia="es-ES_tradnl"/>
        </w:rPr>
        <w:t>según corresponda</w:t>
      </w:r>
      <w:r w:rsidR="002C2275">
        <w:rPr>
          <w:rFonts w:ascii="Arial" w:hAnsi="Arial" w:cs="Arial"/>
          <w:sz w:val="22"/>
          <w:lang w:val="es-ES" w:eastAsia="es-ES_tradnl"/>
        </w:rPr>
        <w:t>.</w:t>
      </w:r>
    </w:p>
    <w:p w14:paraId="58739FBD" w14:textId="6D0CB6F2" w:rsidR="002C4E97" w:rsidRDefault="00B17718" w:rsidP="003C6733">
      <w:pPr>
        <w:spacing w:after="120" w:line="276" w:lineRule="auto"/>
        <w:ind w:firstLine="708"/>
        <w:jc w:val="both"/>
        <w:rPr>
          <w:rFonts w:ascii="Arial" w:hAnsi="Arial" w:cs="Arial"/>
          <w:sz w:val="22"/>
          <w:lang w:eastAsia="es-ES_tradnl"/>
        </w:rPr>
      </w:pPr>
      <w:r w:rsidRPr="00B17718">
        <w:rPr>
          <w:rFonts w:ascii="Arial" w:hAnsi="Arial" w:cs="Arial"/>
          <w:sz w:val="22"/>
          <w:lang w:val="es-ES" w:eastAsia="es-ES_tradnl"/>
        </w:rPr>
        <w:t xml:space="preserve">Bajo este entendido, </w:t>
      </w:r>
      <w:r w:rsidRPr="00B17718">
        <w:rPr>
          <w:rFonts w:ascii="Arial" w:hAnsi="Arial" w:cs="Arial"/>
          <w:sz w:val="22"/>
          <w:lang w:eastAsia="es-ES_tradnl"/>
        </w:rPr>
        <w:t>la Subdirección -dentro</w:t>
      </w:r>
      <w:r w:rsidR="00C0281B">
        <w:rPr>
          <w:rFonts w:ascii="Arial" w:hAnsi="Arial" w:cs="Arial"/>
          <w:sz w:val="22"/>
          <w:lang w:eastAsia="es-ES_tradnl"/>
        </w:rPr>
        <w:t xml:space="preserve"> </w:t>
      </w:r>
      <w:r w:rsidRPr="00B17718">
        <w:rPr>
          <w:rFonts w:ascii="Arial" w:hAnsi="Arial" w:cs="Arial"/>
          <w:sz w:val="22"/>
          <w:lang w:eastAsia="es-ES_tradnl"/>
        </w:rPr>
        <w:t xml:space="preserve">del límite de sus atribuciones, esto es, haciendo abstracción de cualquier caso particular que pueda llegar a proponer </w:t>
      </w:r>
      <w:r w:rsidR="007F10FF">
        <w:rPr>
          <w:rFonts w:ascii="Arial" w:hAnsi="Arial" w:cs="Arial"/>
          <w:sz w:val="22"/>
          <w:lang w:eastAsia="es-ES_tradnl"/>
        </w:rPr>
        <w:t>e</w:t>
      </w:r>
      <w:r w:rsidRPr="00B17718">
        <w:rPr>
          <w:rFonts w:ascii="Arial" w:hAnsi="Arial" w:cs="Arial"/>
          <w:sz w:val="22"/>
          <w:lang w:eastAsia="es-ES_tradnl"/>
        </w:rPr>
        <w:t>l peticionari</w:t>
      </w:r>
      <w:r w:rsidR="007F10FF">
        <w:rPr>
          <w:rFonts w:ascii="Arial" w:hAnsi="Arial" w:cs="Arial"/>
          <w:sz w:val="22"/>
          <w:lang w:eastAsia="es-ES_tradnl"/>
        </w:rPr>
        <w:t>o</w:t>
      </w:r>
      <w:r w:rsidRPr="00B17718">
        <w:rPr>
          <w:rFonts w:ascii="Arial" w:hAnsi="Arial" w:cs="Arial"/>
          <w:sz w:val="22"/>
          <w:lang w:eastAsia="es-ES_tradnl"/>
        </w:rPr>
        <w:t>- resolverá</w:t>
      </w:r>
      <w:r w:rsidR="002C2275">
        <w:rPr>
          <w:rFonts w:ascii="Arial" w:hAnsi="Arial" w:cs="Arial"/>
          <w:sz w:val="22"/>
          <w:lang w:eastAsia="es-ES_tradnl"/>
        </w:rPr>
        <w:t xml:space="preserve"> </w:t>
      </w:r>
      <w:r w:rsidRPr="00B17718">
        <w:rPr>
          <w:rFonts w:ascii="Arial" w:hAnsi="Arial" w:cs="Arial"/>
          <w:sz w:val="22"/>
          <w:lang w:eastAsia="es-ES_tradnl"/>
        </w:rPr>
        <w:t>la</w:t>
      </w:r>
      <w:r w:rsidR="002C2275">
        <w:rPr>
          <w:rFonts w:ascii="Arial" w:hAnsi="Arial" w:cs="Arial"/>
          <w:sz w:val="22"/>
          <w:lang w:eastAsia="es-ES_tradnl"/>
        </w:rPr>
        <w:t xml:space="preserve"> </w:t>
      </w:r>
      <w:r w:rsidRPr="00B17718">
        <w:rPr>
          <w:rFonts w:ascii="Arial" w:hAnsi="Arial" w:cs="Arial"/>
          <w:sz w:val="22"/>
          <w:lang w:eastAsia="es-ES_tradnl"/>
        </w:rPr>
        <w:t>presente</w:t>
      </w:r>
      <w:r w:rsidR="002C2275">
        <w:rPr>
          <w:rFonts w:ascii="Arial" w:hAnsi="Arial" w:cs="Arial"/>
          <w:sz w:val="22"/>
          <w:lang w:eastAsia="es-ES_tradnl"/>
        </w:rPr>
        <w:t xml:space="preserve"> </w:t>
      </w:r>
      <w:r w:rsidRPr="00B17718">
        <w:rPr>
          <w:rFonts w:ascii="Arial" w:hAnsi="Arial" w:cs="Arial"/>
          <w:sz w:val="22"/>
          <w:lang w:eastAsia="es-ES_tradnl"/>
        </w:rPr>
        <w:t>consulta</w:t>
      </w:r>
      <w:r w:rsidR="003C6733">
        <w:rPr>
          <w:rFonts w:ascii="Arial" w:hAnsi="Arial" w:cs="Arial"/>
          <w:sz w:val="22"/>
          <w:lang w:eastAsia="es-ES_tradnl"/>
        </w:rPr>
        <w:t xml:space="preserve"> a partir del </w:t>
      </w:r>
      <w:r w:rsidRPr="00B17718">
        <w:rPr>
          <w:rFonts w:ascii="Arial" w:hAnsi="Arial" w:cs="Arial"/>
          <w:sz w:val="22"/>
          <w:lang w:eastAsia="es-ES_tradnl"/>
        </w:rPr>
        <w:t>alcance general de las normas en materia de contratación estatal</w:t>
      </w:r>
      <w:r w:rsidR="003C6733">
        <w:rPr>
          <w:rFonts w:ascii="Arial" w:hAnsi="Arial" w:cs="Arial"/>
          <w:sz w:val="22"/>
          <w:lang w:eastAsia="es-ES_tradnl"/>
        </w:rPr>
        <w:t xml:space="preserve"> y de conformidad con </w:t>
      </w:r>
      <w:r w:rsidR="002C2275">
        <w:rPr>
          <w:rFonts w:ascii="Arial" w:hAnsi="Arial" w:cs="Arial"/>
          <w:sz w:val="22"/>
          <w:lang w:eastAsia="es-ES_tradnl"/>
        </w:rPr>
        <w:t xml:space="preserve">los </w:t>
      </w:r>
      <w:r w:rsidR="003C6733">
        <w:rPr>
          <w:rFonts w:ascii="Arial" w:hAnsi="Arial" w:cs="Arial"/>
          <w:sz w:val="22"/>
          <w:lang w:eastAsia="es-ES_tradnl"/>
        </w:rPr>
        <w:t>lineamientos contenidos en el concepto C-126</w:t>
      </w:r>
      <w:r w:rsidR="002C2275">
        <w:rPr>
          <w:rFonts w:ascii="Arial" w:hAnsi="Arial" w:cs="Arial"/>
          <w:sz w:val="22"/>
          <w:lang w:eastAsia="es-ES_tradnl"/>
        </w:rPr>
        <w:t xml:space="preserve"> </w:t>
      </w:r>
      <w:r w:rsidR="003C6733">
        <w:rPr>
          <w:rFonts w:ascii="Arial" w:hAnsi="Arial" w:cs="Arial"/>
          <w:sz w:val="22"/>
          <w:lang w:eastAsia="es-ES_tradnl"/>
        </w:rPr>
        <w:t>del 24 de abril de 2023</w:t>
      </w:r>
      <w:r w:rsidR="002C4E97">
        <w:rPr>
          <w:rStyle w:val="Refdenotaalpie"/>
          <w:rFonts w:ascii="Arial" w:hAnsi="Arial" w:cs="Arial"/>
          <w:sz w:val="22"/>
          <w:lang w:eastAsia="es-ES_tradnl"/>
        </w:rPr>
        <w:footnoteReference w:id="2"/>
      </w:r>
      <w:r w:rsidR="003C6733">
        <w:rPr>
          <w:rFonts w:ascii="Arial" w:hAnsi="Arial" w:cs="Arial"/>
          <w:sz w:val="22"/>
          <w:lang w:eastAsia="es-ES_tradnl"/>
        </w:rPr>
        <w:t>,</w:t>
      </w:r>
      <w:r w:rsidR="002C2275">
        <w:rPr>
          <w:rFonts w:ascii="Arial" w:hAnsi="Arial" w:cs="Arial"/>
          <w:sz w:val="22"/>
          <w:lang w:eastAsia="es-ES_tradnl"/>
        </w:rPr>
        <w:t xml:space="preserve"> </w:t>
      </w:r>
      <w:r w:rsidR="003C6733">
        <w:rPr>
          <w:rFonts w:ascii="Arial" w:hAnsi="Arial" w:cs="Arial"/>
          <w:sz w:val="22"/>
          <w:lang w:eastAsia="es-ES_tradnl"/>
        </w:rPr>
        <w:t>a través del cual esta Agencia analizó los siguientes temas</w:t>
      </w:r>
      <w:r w:rsidRPr="00B17718">
        <w:rPr>
          <w:rFonts w:ascii="Arial" w:hAnsi="Arial" w:cs="Arial"/>
          <w:sz w:val="22"/>
          <w:lang w:eastAsia="es-ES_tradnl"/>
        </w:rPr>
        <w:t xml:space="preserve">: </w:t>
      </w:r>
      <w:r w:rsidRPr="00B17718">
        <w:rPr>
          <w:rFonts w:ascii="Arial" w:hAnsi="Arial" w:cs="Arial"/>
          <w:i/>
          <w:iCs/>
          <w:sz w:val="22"/>
          <w:lang w:eastAsia="es-ES_tradnl"/>
        </w:rPr>
        <w:t>(i)</w:t>
      </w:r>
      <w:r w:rsidR="002C2275">
        <w:rPr>
          <w:rFonts w:ascii="Arial" w:hAnsi="Arial" w:cs="Arial"/>
          <w:sz w:val="22"/>
          <w:lang w:eastAsia="es-ES_tradnl"/>
        </w:rPr>
        <w:t xml:space="preserve"> el </w:t>
      </w:r>
      <w:r w:rsidR="002C4E97">
        <w:rPr>
          <w:rFonts w:ascii="Arial" w:hAnsi="Arial" w:cs="Arial"/>
          <w:sz w:val="22"/>
          <w:lang w:eastAsia="es-ES_tradnl"/>
        </w:rPr>
        <w:t xml:space="preserve">régimen de inhabilidades e incompatibilidades para contratar con el Estado; </w:t>
      </w:r>
      <w:r w:rsidR="002C4E97" w:rsidRPr="002C4E97">
        <w:rPr>
          <w:rFonts w:ascii="Arial" w:hAnsi="Arial" w:cs="Arial"/>
          <w:i/>
          <w:iCs/>
          <w:sz w:val="22"/>
          <w:lang w:eastAsia="es-ES_tradnl"/>
        </w:rPr>
        <w:t>(</w:t>
      </w:r>
      <w:proofErr w:type="spellStart"/>
      <w:r w:rsidR="002C4E97" w:rsidRPr="002C4E97">
        <w:rPr>
          <w:rFonts w:ascii="Arial" w:hAnsi="Arial" w:cs="Arial"/>
          <w:i/>
          <w:iCs/>
          <w:sz w:val="22"/>
          <w:lang w:eastAsia="es-ES_tradnl"/>
        </w:rPr>
        <w:t>ii</w:t>
      </w:r>
      <w:proofErr w:type="spellEnd"/>
      <w:r w:rsidR="002C4E97" w:rsidRPr="002C4E97">
        <w:rPr>
          <w:rFonts w:ascii="Arial" w:hAnsi="Arial" w:cs="Arial"/>
          <w:i/>
          <w:iCs/>
          <w:sz w:val="22"/>
          <w:lang w:eastAsia="es-ES_tradnl"/>
        </w:rPr>
        <w:t>)</w:t>
      </w:r>
      <w:r w:rsidR="002C4E97">
        <w:rPr>
          <w:rFonts w:ascii="Arial" w:hAnsi="Arial" w:cs="Arial"/>
          <w:sz w:val="22"/>
          <w:lang w:eastAsia="es-ES_tradnl"/>
        </w:rPr>
        <w:t xml:space="preserve"> </w:t>
      </w:r>
      <w:bookmarkStart w:id="7" w:name="_Hlk138078035"/>
      <w:r w:rsidR="002C2275">
        <w:rPr>
          <w:rFonts w:ascii="Arial" w:hAnsi="Arial" w:cs="Arial"/>
          <w:sz w:val="22"/>
          <w:lang w:eastAsia="es-ES_tradnl"/>
        </w:rPr>
        <w:t xml:space="preserve">los </w:t>
      </w:r>
      <w:r w:rsidR="002C4E97">
        <w:rPr>
          <w:rFonts w:ascii="Arial" w:hAnsi="Arial" w:cs="Arial"/>
          <w:sz w:val="22"/>
          <w:lang w:eastAsia="es-ES_tradnl"/>
        </w:rPr>
        <w:t xml:space="preserve">límites de la capacidad contractual en relación con la reserva de ley y la interpretación restrictiva de </w:t>
      </w:r>
      <w:bookmarkEnd w:id="7"/>
      <w:r w:rsidR="00C0281B">
        <w:rPr>
          <w:rFonts w:ascii="Arial" w:hAnsi="Arial" w:cs="Arial"/>
          <w:sz w:val="22"/>
          <w:lang w:eastAsia="es-ES_tradnl"/>
        </w:rPr>
        <w:t>enunciados normativos gravosos</w:t>
      </w:r>
      <w:r w:rsidR="002C4E97">
        <w:rPr>
          <w:rFonts w:ascii="Arial" w:hAnsi="Arial" w:cs="Arial"/>
          <w:sz w:val="22"/>
          <w:lang w:eastAsia="es-ES_tradnl"/>
        </w:rPr>
        <w:t xml:space="preserve">; y </w:t>
      </w:r>
      <w:r w:rsidR="002C4E97" w:rsidRPr="002C4E97">
        <w:rPr>
          <w:rFonts w:ascii="Arial" w:hAnsi="Arial" w:cs="Arial"/>
          <w:i/>
          <w:iCs/>
          <w:sz w:val="22"/>
          <w:lang w:eastAsia="es-ES_tradnl"/>
        </w:rPr>
        <w:t>(</w:t>
      </w:r>
      <w:proofErr w:type="spellStart"/>
      <w:r w:rsidR="002C4E97" w:rsidRPr="002C4E97">
        <w:rPr>
          <w:rFonts w:ascii="Arial" w:hAnsi="Arial" w:cs="Arial"/>
          <w:i/>
          <w:iCs/>
          <w:sz w:val="22"/>
          <w:lang w:eastAsia="es-ES_tradnl"/>
        </w:rPr>
        <w:t>iii</w:t>
      </w:r>
      <w:proofErr w:type="spellEnd"/>
      <w:r w:rsidR="002C4E97" w:rsidRPr="002C4E97">
        <w:rPr>
          <w:rFonts w:ascii="Arial" w:hAnsi="Arial" w:cs="Arial"/>
          <w:i/>
          <w:iCs/>
          <w:sz w:val="22"/>
          <w:lang w:eastAsia="es-ES_tradnl"/>
        </w:rPr>
        <w:t>)</w:t>
      </w:r>
      <w:r w:rsidR="002C4E97">
        <w:rPr>
          <w:rFonts w:ascii="Arial" w:hAnsi="Arial" w:cs="Arial"/>
          <w:sz w:val="22"/>
          <w:lang w:eastAsia="es-ES_tradnl"/>
        </w:rPr>
        <w:t xml:space="preserve"> </w:t>
      </w:r>
      <w:r w:rsidR="002C2275">
        <w:rPr>
          <w:rFonts w:ascii="Arial" w:hAnsi="Arial" w:cs="Arial"/>
          <w:sz w:val="22"/>
          <w:lang w:eastAsia="es-ES_tradnl"/>
        </w:rPr>
        <w:t xml:space="preserve">el </w:t>
      </w:r>
      <w:r w:rsidR="002C4E97">
        <w:rPr>
          <w:rFonts w:ascii="Arial" w:hAnsi="Arial" w:cs="Arial"/>
          <w:sz w:val="22"/>
          <w:lang w:eastAsia="es-ES_tradnl"/>
        </w:rPr>
        <w:t>alcance</w:t>
      </w:r>
      <w:r w:rsidR="002C2275">
        <w:rPr>
          <w:rFonts w:ascii="Arial" w:hAnsi="Arial" w:cs="Arial"/>
          <w:sz w:val="22"/>
          <w:lang w:eastAsia="es-ES_tradnl"/>
        </w:rPr>
        <w:t xml:space="preserve"> </w:t>
      </w:r>
      <w:r w:rsidR="002C4E97">
        <w:rPr>
          <w:rFonts w:ascii="Arial" w:hAnsi="Arial" w:cs="Arial"/>
          <w:sz w:val="22"/>
          <w:lang w:eastAsia="es-ES_tradnl"/>
        </w:rPr>
        <w:t>de</w:t>
      </w:r>
      <w:r w:rsidR="002C2275">
        <w:rPr>
          <w:rFonts w:ascii="Arial" w:hAnsi="Arial" w:cs="Arial"/>
          <w:sz w:val="22"/>
          <w:lang w:eastAsia="es-ES_tradnl"/>
        </w:rPr>
        <w:t xml:space="preserve"> </w:t>
      </w:r>
      <w:r w:rsidR="002C4E97">
        <w:rPr>
          <w:rFonts w:ascii="Arial" w:hAnsi="Arial" w:cs="Arial"/>
          <w:sz w:val="22"/>
          <w:lang w:eastAsia="es-ES_tradnl"/>
        </w:rPr>
        <w:t>la</w:t>
      </w:r>
      <w:r w:rsidR="002C2275">
        <w:rPr>
          <w:rFonts w:ascii="Arial" w:hAnsi="Arial" w:cs="Arial"/>
          <w:sz w:val="22"/>
          <w:lang w:eastAsia="es-ES_tradnl"/>
        </w:rPr>
        <w:t xml:space="preserve"> </w:t>
      </w:r>
      <w:r w:rsidR="002C4E97">
        <w:rPr>
          <w:rFonts w:ascii="Arial" w:hAnsi="Arial" w:cs="Arial"/>
          <w:sz w:val="22"/>
          <w:lang w:eastAsia="es-ES_tradnl"/>
        </w:rPr>
        <w:t>restricción</w:t>
      </w:r>
      <w:r w:rsidR="002C2275">
        <w:rPr>
          <w:rFonts w:ascii="Arial" w:hAnsi="Arial" w:cs="Arial"/>
          <w:sz w:val="22"/>
          <w:lang w:eastAsia="es-ES_tradnl"/>
        </w:rPr>
        <w:t xml:space="preserve"> </w:t>
      </w:r>
      <w:r w:rsidR="002C4E97">
        <w:rPr>
          <w:rFonts w:ascii="Arial" w:hAnsi="Arial" w:cs="Arial"/>
          <w:sz w:val="22"/>
          <w:lang w:eastAsia="es-ES_tradnl"/>
        </w:rPr>
        <w:t>prevista en el artículo 6.1. de la Ley 2097 de 2021, reglamentada por el Decreto 1310 de 2022.</w:t>
      </w:r>
    </w:p>
    <w:p w14:paraId="306D06A4" w14:textId="7CBA8BFC" w:rsidR="00A65E14" w:rsidRPr="00A65E14" w:rsidRDefault="00A65E14" w:rsidP="00A65E14">
      <w:pPr>
        <w:spacing w:before="120" w:line="259" w:lineRule="auto"/>
        <w:jc w:val="both"/>
        <w:rPr>
          <w:rFonts w:ascii="Arial" w:eastAsiaTheme="minorHAnsi" w:hAnsi="Arial" w:cs="Arial"/>
          <w:sz w:val="22"/>
          <w:szCs w:val="22"/>
          <w:lang w:eastAsia="en-US"/>
        </w:rPr>
      </w:pPr>
      <w:r w:rsidRPr="00B17718">
        <w:rPr>
          <w:rFonts w:ascii="Arial" w:eastAsia="Calibri" w:hAnsi="Arial" w:cs="Arial"/>
          <w:b/>
          <w:sz w:val="22"/>
          <w:lang w:val="es-ES_tradnl"/>
        </w:rPr>
        <w:t>2.</w:t>
      </w:r>
      <w:r>
        <w:rPr>
          <w:rFonts w:ascii="Arial" w:eastAsia="Calibri" w:hAnsi="Arial" w:cs="Arial"/>
          <w:b/>
          <w:sz w:val="22"/>
          <w:lang w:val="es-ES_tradnl"/>
        </w:rPr>
        <w:t>1</w:t>
      </w:r>
      <w:r w:rsidRPr="00B17718">
        <w:rPr>
          <w:rFonts w:ascii="Arial" w:eastAsia="Calibri" w:hAnsi="Arial" w:cs="Arial"/>
          <w:b/>
          <w:sz w:val="22"/>
          <w:lang w:val="es-ES_tradnl"/>
        </w:rPr>
        <w:t>.</w:t>
      </w:r>
      <w:r w:rsidRPr="00B17718">
        <w:rPr>
          <w:rFonts w:ascii="Arial" w:eastAsia="Calibri" w:hAnsi="Arial" w:cs="Arial"/>
          <w:b/>
          <w:sz w:val="22"/>
          <w:lang w:val="es-ES_tradnl"/>
        </w:rPr>
        <w:tab/>
      </w:r>
      <w:r>
        <w:rPr>
          <w:rFonts w:ascii="Arial" w:eastAsia="Calibri" w:hAnsi="Arial" w:cs="Arial"/>
          <w:b/>
          <w:sz w:val="22"/>
          <w:lang w:val="es-ES_tradnl"/>
        </w:rPr>
        <w:t>El régimen de inhabilidades e incompatibilidades para contratar con el Estado</w:t>
      </w:r>
    </w:p>
    <w:p w14:paraId="7502B8A0" w14:textId="77777777" w:rsidR="00A65E14" w:rsidRPr="002C4E97" w:rsidRDefault="00A65E14" w:rsidP="00B17718">
      <w:pPr>
        <w:tabs>
          <w:tab w:val="left" w:pos="142"/>
          <w:tab w:val="left" w:pos="426"/>
        </w:tabs>
        <w:spacing w:line="276" w:lineRule="auto"/>
        <w:contextualSpacing/>
        <w:jc w:val="both"/>
        <w:rPr>
          <w:rFonts w:ascii="Arial" w:eastAsia="Calibri" w:hAnsi="Arial" w:cs="Arial"/>
          <w:bCs/>
          <w:sz w:val="22"/>
          <w:szCs w:val="22"/>
          <w:lang w:val="es-ES" w:eastAsia="en-US"/>
        </w:rPr>
      </w:pPr>
      <w:bookmarkStart w:id="8" w:name="_Hlk138078115"/>
    </w:p>
    <w:p w14:paraId="03A059B9" w14:textId="12027567" w:rsidR="006E71C0" w:rsidRDefault="006E71C0" w:rsidP="006E71C0">
      <w:pPr>
        <w:spacing w:after="120" w:line="276" w:lineRule="auto"/>
        <w:jc w:val="both"/>
        <w:rPr>
          <w:rFonts w:ascii="Arial" w:eastAsiaTheme="minorHAnsi" w:hAnsi="Arial" w:cs="Arial"/>
          <w:sz w:val="22"/>
          <w:szCs w:val="22"/>
          <w:lang w:val="es-MX" w:eastAsia="en-US"/>
        </w:rPr>
      </w:pPr>
      <w:bookmarkStart w:id="9" w:name="_Hlk138055890"/>
      <w:r w:rsidRPr="006E71C0">
        <w:rPr>
          <w:rFonts w:ascii="Arial" w:eastAsiaTheme="minorHAnsi" w:hAnsi="Arial" w:cs="Arial"/>
          <w:sz w:val="22"/>
          <w:szCs w:val="22"/>
          <w:lang w:val="es-MX" w:eastAsia="en-US"/>
        </w:rPr>
        <w:t xml:space="preserve">Las inhabilidades </w:t>
      </w:r>
      <w:r>
        <w:rPr>
          <w:rFonts w:ascii="Arial" w:eastAsiaTheme="minorHAnsi" w:hAnsi="Arial" w:cs="Arial"/>
          <w:sz w:val="22"/>
          <w:szCs w:val="22"/>
          <w:lang w:val="es-MX" w:eastAsia="en-US"/>
        </w:rPr>
        <w:t xml:space="preserve">han sido caracterizadas como </w:t>
      </w:r>
      <w:r w:rsidRPr="006E71C0">
        <w:rPr>
          <w:rFonts w:ascii="Arial" w:eastAsiaTheme="minorHAnsi" w:hAnsi="Arial" w:cs="Arial"/>
          <w:sz w:val="22"/>
          <w:szCs w:val="22"/>
          <w:lang w:val="es-MX" w:eastAsia="en-US"/>
        </w:rPr>
        <w:t xml:space="preserve">circunstancias </w:t>
      </w:r>
      <w:r w:rsidR="004A2554">
        <w:rPr>
          <w:rFonts w:ascii="Arial" w:eastAsiaTheme="minorHAnsi" w:hAnsi="Arial" w:cs="Arial"/>
          <w:sz w:val="22"/>
          <w:szCs w:val="22"/>
          <w:lang w:val="es-MX" w:eastAsia="en-US"/>
        </w:rPr>
        <w:t xml:space="preserve">previstas </w:t>
      </w:r>
      <w:r w:rsidRPr="006E71C0">
        <w:rPr>
          <w:rFonts w:ascii="Arial" w:eastAsiaTheme="minorHAnsi" w:hAnsi="Arial" w:cs="Arial"/>
          <w:sz w:val="22"/>
          <w:szCs w:val="22"/>
          <w:lang w:val="es-MX" w:eastAsia="en-US"/>
        </w:rPr>
        <w:t>por la Constitución o la ley que impiden que personas naturales o jurídicas sean elegidas o designadas en un cargo público o celebren contratos con el Estado,</w:t>
      </w:r>
      <w:r w:rsidR="004A2554">
        <w:rPr>
          <w:rFonts w:ascii="Arial" w:eastAsiaTheme="minorHAnsi" w:hAnsi="Arial" w:cs="Arial"/>
          <w:sz w:val="22"/>
          <w:szCs w:val="22"/>
          <w:lang w:val="es-MX" w:eastAsia="en-US"/>
        </w:rPr>
        <w:t xml:space="preserve"> en el interés de garantizar </w:t>
      </w:r>
      <w:r w:rsidRPr="006E71C0">
        <w:rPr>
          <w:rFonts w:ascii="Arial" w:eastAsiaTheme="minorHAnsi" w:hAnsi="Arial" w:cs="Arial"/>
          <w:sz w:val="22"/>
          <w:szCs w:val="22"/>
          <w:lang w:val="es-MX" w:eastAsia="en-US"/>
        </w:rPr>
        <w:t>la idoneidad, imparcialidad, probidad, transparencia y moralidad</w:t>
      </w:r>
      <w:r w:rsidR="004A2554">
        <w:rPr>
          <w:rFonts w:ascii="Arial" w:eastAsiaTheme="minorHAnsi" w:hAnsi="Arial" w:cs="Arial"/>
          <w:sz w:val="22"/>
          <w:szCs w:val="22"/>
          <w:lang w:val="es-MX" w:eastAsia="en-US"/>
        </w:rPr>
        <w:t xml:space="preserve"> </w:t>
      </w:r>
      <w:r w:rsidRPr="006E71C0">
        <w:rPr>
          <w:rFonts w:ascii="Arial" w:eastAsiaTheme="minorHAnsi" w:hAnsi="Arial" w:cs="Arial"/>
          <w:sz w:val="22"/>
          <w:szCs w:val="22"/>
          <w:lang w:val="es-MX" w:eastAsia="en-US"/>
        </w:rPr>
        <w:t>de la función pública</w:t>
      </w:r>
      <w:r w:rsidR="004A2554">
        <w:rPr>
          <w:rFonts w:ascii="Arial" w:eastAsiaTheme="minorHAnsi" w:hAnsi="Arial" w:cs="Arial"/>
          <w:sz w:val="22"/>
          <w:szCs w:val="22"/>
          <w:lang w:val="es-MX" w:eastAsia="en-US"/>
        </w:rPr>
        <w:t xml:space="preserve">, así como satisfacer </w:t>
      </w:r>
      <w:r w:rsidRPr="006E71C0">
        <w:rPr>
          <w:rFonts w:ascii="Arial" w:eastAsiaTheme="minorHAnsi" w:hAnsi="Arial" w:cs="Arial"/>
          <w:sz w:val="22"/>
          <w:szCs w:val="22"/>
          <w:lang w:val="es-MX" w:eastAsia="en-US"/>
        </w:rPr>
        <w:t>el interés general.</w:t>
      </w:r>
    </w:p>
    <w:p w14:paraId="077FB929" w14:textId="77777777" w:rsidR="00E2723F" w:rsidRDefault="004A2554" w:rsidP="00E2723F">
      <w:pPr>
        <w:spacing w:after="120" w:line="276" w:lineRule="auto"/>
        <w:ind w:firstLine="708"/>
        <w:jc w:val="both"/>
        <w:rPr>
          <w:rFonts w:ascii="Arial" w:eastAsiaTheme="minorHAnsi" w:hAnsi="Arial" w:cs="Arial"/>
          <w:sz w:val="22"/>
          <w:szCs w:val="22"/>
          <w:lang w:eastAsia="en-US"/>
        </w:rPr>
      </w:pPr>
      <w:bookmarkStart w:id="10" w:name="_Hlk138055964"/>
      <w:bookmarkEnd w:id="8"/>
      <w:bookmarkEnd w:id="9"/>
      <w:r>
        <w:rPr>
          <w:rFonts w:ascii="Arial" w:eastAsiaTheme="minorHAnsi" w:hAnsi="Arial" w:cs="Arial"/>
          <w:sz w:val="22"/>
          <w:szCs w:val="22"/>
          <w:lang w:eastAsia="en-US"/>
        </w:rPr>
        <w:t>E</w:t>
      </w:r>
      <w:r w:rsidR="006E71C0" w:rsidRPr="006E71C0">
        <w:rPr>
          <w:rFonts w:ascii="Arial" w:eastAsiaTheme="minorHAnsi" w:hAnsi="Arial" w:cs="Arial"/>
          <w:sz w:val="22"/>
          <w:szCs w:val="22"/>
          <w:lang w:eastAsia="en-US"/>
        </w:rPr>
        <w:t>l régimen de inhabilidades para contratar con el Estado</w:t>
      </w:r>
      <w:r>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 xml:space="preserve">es </w:t>
      </w:r>
      <w:r w:rsidR="0053566A">
        <w:rPr>
          <w:rFonts w:ascii="Arial" w:eastAsiaTheme="minorHAnsi" w:hAnsi="Arial" w:cs="Arial"/>
          <w:sz w:val="22"/>
          <w:szCs w:val="22"/>
          <w:lang w:eastAsia="en-US"/>
        </w:rPr>
        <w:t xml:space="preserve">todo </w:t>
      </w:r>
      <w:r w:rsidR="006E71C0" w:rsidRPr="006E71C0">
        <w:rPr>
          <w:rFonts w:ascii="Arial" w:eastAsiaTheme="minorHAnsi" w:hAnsi="Arial" w:cs="Arial"/>
          <w:sz w:val="22"/>
          <w:szCs w:val="22"/>
          <w:lang w:eastAsia="en-US"/>
        </w:rPr>
        <w:t>un conjunto de restricciones</w:t>
      </w:r>
      <w:r>
        <w:rPr>
          <w:rFonts w:ascii="Arial" w:eastAsiaTheme="minorHAnsi" w:hAnsi="Arial" w:cs="Arial"/>
          <w:sz w:val="22"/>
          <w:szCs w:val="22"/>
          <w:lang w:eastAsia="en-US"/>
        </w:rPr>
        <w:t xml:space="preserve"> fijadas p</w:t>
      </w:r>
      <w:r w:rsidR="006E71C0" w:rsidRPr="006E71C0">
        <w:rPr>
          <w:rFonts w:ascii="Arial" w:eastAsiaTheme="minorHAnsi" w:hAnsi="Arial" w:cs="Arial"/>
          <w:sz w:val="22"/>
          <w:szCs w:val="22"/>
          <w:lang w:eastAsia="en-US"/>
        </w:rPr>
        <w:t>or el constituyente o por el legislador que afectan directamente la capacidad de las personas para</w:t>
      </w:r>
      <w:r w:rsidR="0053566A">
        <w:rPr>
          <w:rFonts w:ascii="Arial" w:eastAsiaTheme="minorHAnsi" w:hAnsi="Arial" w:cs="Arial"/>
          <w:sz w:val="22"/>
          <w:szCs w:val="22"/>
          <w:lang w:eastAsia="en-US"/>
        </w:rPr>
        <w:t xml:space="preserve"> establecer re</w:t>
      </w:r>
      <w:r w:rsidR="006E71C0" w:rsidRPr="006E71C0">
        <w:rPr>
          <w:rFonts w:ascii="Arial" w:eastAsiaTheme="minorHAnsi" w:hAnsi="Arial" w:cs="Arial"/>
          <w:sz w:val="22"/>
          <w:szCs w:val="22"/>
          <w:lang w:eastAsia="en-US"/>
        </w:rPr>
        <w:t>laciones contractuales con el Estado,</w:t>
      </w:r>
      <w:r w:rsidR="0053566A">
        <w:rPr>
          <w:rFonts w:ascii="Arial" w:eastAsiaTheme="minorHAnsi" w:hAnsi="Arial" w:cs="Arial"/>
          <w:sz w:val="22"/>
          <w:szCs w:val="22"/>
          <w:lang w:eastAsia="en-US"/>
        </w:rPr>
        <w:t xml:space="preserve"> que pueden derivar de condenas, sanciones o situaciones previamente determinadas en el ordenamiento jurídico. No en vano, la Corte Constitucional ha indicado</w:t>
      </w:r>
      <w:r w:rsidR="00E2723F">
        <w:rPr>
          <w:rFonts w:ascii="Arial" w:eastAsiaTheme="minorHAnsi" w:hAnsi="Arial" w:cs="Arial"/>
          <w:sz w:val="22"/>
          <w:szCs w:val="22"/>
          <w:lang w:eastAsia="en-US"/>
        </w:rPr>
        <w:t xml:space="preserve"> </w:t>
      </w:r>
      <w:r w:rsidR="0053566A">
        <w:rPr>
          <w:rFonts w:ascii="Arial" w:eastAsiaTheme="minorHAnsi" w:hAnsi="Arial" w:cs="Arial"/>
          <w:sz w:val="22"/>
          <w:szCs w:val="22"/>
          <w:lang w:eastAsia="en-US"/>
        </w:rPr>
        <w:t>sobre el particular que “</w:t>
      </w:r>
      <w:r w:rsidR="006E71C0" w:rsidRPr="006E71C0">
        <w:rPr>
          <w:rFonts w:ascii="Arial" w:eastAsiaTheme="minorHAnsi" w:hAnsi="Arial" w:cs="Arial"/>
          <w:sz w:val="22"/>
          <w:szCs w:val="22"/>
          <w:lang w:eastAsia="en-US"/>
        </w:rPr>
        <w:t xml:space="preserve">las inhabilidades representan una limitación a la capacidad para contratar con las entidades del Estado y obedecen a la falta </w:t>
      </w:r>
      <w:r w:rsidR="006E71C0" w:rsidRPr="006E71C0">
        <w:rPr>
          <w:rFonts w:ascii="Arial" w:eastAsiaTheme="minorHAnsi" w:hAnsi="Arial" w:cs="Arial"/>
          <w:sz w:val="22"/>
          <w:szCs w:val="22"/>
          <w:lang w:eastAsia="en-US"/>
        </w:rPr>
        <w:lastRenderedPageBreak/>
        <w:t>de aptitud o a la carencia de una cualidad, calidad o requisito en el sujeto incapacitado quien por esta razón no podrá hacer parte de una relación contractual”</w:t>
      </w:r>
      <w:bookmarkEnd w:id="10"/>
      <w:r w:rsidR="006E71C0" w:rsidRPr="006E71C0">
        <w:rPr>
          <w:rFonts w:ascii="Arial" w:eastAsiaTheme="minorHAnsi" w:hAnsi="Arial" w:cs="Arial"/>
          <w:sz w:val="22"/>
          <w:szCs w:val="22"/>
          <w:vertAlign w:val="superscript"/>
          <w:lang w:eastAsia="en-US"/>
        </w:rPr>
        <w:footnoteReference w:id="3"/>
      </w:r>
      <w:r w:rsidR="00E2723F">
        <w:rPr>
          <w:rFonts w:ascii="Arial" w:eastAsiaTheme="minorHAnsi" w:hAnsi="Arial" w:cs="Arial"/>
          <w:sz w:val="22"/>
          <w:szCs w:val="22"/>
          <w:lang w:eastAsia="en-US"/>
        </w:rPr>
        <w:t>.</w:t>
      </w:r>
    </w:p>
    <w:p w14:paraId="17D1E14C" w14:textId="04E80427" w:rsidR="00E2723F" w:rsidRDefault="00E2723F" w:rsidP="00A407C2">
      <w:pPr>
        <w:spacing w:line="276" w:lineRule="auto"/>
        <w:ind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Precisamente, l</w:t>
      </w:r>
      <w:r w:rsidR="006E71C0" w:rsidRPr="006E71C0">
        <w:rPr>
          <w:rFonts w:ascii="Arial" w:eastAsiaTheme="minorHAnsi" w:hAnsi="Arial" w:cs="Arial"/>
          <w:sz w:val="22"/>
          <w:szCs w:val="22"/>
          <w:lang w:val="es-MX" w:eastAsia="en-US"/>
        </w:rPr>
        <w:t xml:space="preserve">a consagración </w:t>
      </w:r>
      <w:r>
        <w:rPr>
          <w:rFonts w:ascii="Arial" w:eastAsiaTheme="minorHAnsi" w:hAnsi="Arial" w:cs="Arial"/>
          <w:sz w:val="22"/>
          <w:szCs w:val="22"/>
          <w:lang w:val="es-MX" w:eastAsia="en-US"/>
        </w:rPr>
        <w:t xml:space="preserve">de </w:t>
      </w:r>
      <w:r w:rsidR="006E71C0" w:rsidRPr="006E71C0">
        <w:rPr>
          <w:rFonts w:ascii="Arial" w:eastAsiaTheme="minorHAnsi" w:hAnsi="Arial" w:cs="Arial"/>
          <w:sz w:val="22"/>
          <w:szCs w:val="22"/>
          <w:lang w:val="es-MX" w:eastAsia="en-US"/>
        </w:rPr>
        <w:t xml:space="preserve">limitaciones que afectan la capacidad jurídica para contratar desarrolla los principios de la función administrativa consagrados en el artículo 209 </w:t>
      </w:r>
      <w:r>
        <w:rPr>
          <w:rFonts w:ascii="Arial" w:eastAsiaTheme="minorHAnsi" w:hAnsi="Arial" w:cs="Arial"/>
          <w:sz w:val="22"/>
          <w:szCs w:val="22"/>
          <w:lang w:val="es-MX" w:eastAsia="en-US"/>
        </w:rPr>
        <w:t>Superior</w:t>
      </w:r>
      <w:r w:rsidR="006E71C0" w:rsidRPr="006E71C0">
        <w:rPr>
          <w:rFonts w:ascii="Arial" w:eastAsiaTheme="minorHAnsi" w:hAnsi="Arial" w:cs="Arial"/>
          <w:sz w:val="22"/>
          <w:szCs w:val="22"/>
          <w:lang w:val="es-MX" w:eastAsia="en-US"/>
        </w:rPr>
        <w:t xml:space="preserve">, con especial énfasis </w:t>
      </w:r>
      <w:r>
        <w:rPr>
          <w:rFonts w:ascii="Arial" w:eastAsiaTheme="minorHAnsi" w:hAnsi="Arial" w:cs="Arial"/>
          <w:sz w:val="22"/>
          <w:szCs w:val="22"/>
          <w:lang w:val="es-MX" w:eastAsia="en-US"/>
        </w:rPr>
        <w:t xml:space="preserve">en </w:t>
      </w:r>
      <w:r w:rsidR="006E71C0" w:rsidRPr="006E71C0">
        <w:rPr>
          <w:rFonts w:ascii="Arial" w:eastAsiaTheme="minorHAnsi" w:hAnsi="Arial" w:cs="Arial"/>
          <w:sz w:val="22"/>
          <w:szCs w:val="22"/>
          <w:lang w:val="es-MX" w:eastAsia="en-US"/>
        </w:rPr>
        <w:t>el de moralidad</w:t>
      </w:r>
      <w:r>
        <w:rPr>
          <w:rFonts w:ascii="Arial" w:eastAsiaTheme="minorHAnsi" w:hAnsi="Arial" w:cs="Arial"/>
          <w:sz w:val="22"/>
          <w:szCs w:val="22"/>
          <w:lang w:val="es-MX" w:eastAsia="en-US"/>
        </w:rPr>
        <w:t xml:space="preserve">. </w:t>
      </w:r>
      <w:r w:rsidR="006E71C0" w:rsidRPr="006E71C0">
        <w:rPr>
          <w:rFonts w:ascii="Arial" w:eastAsiaTheme="minorHAnsi" w:hAnsi="Arial" w:cs="Arial"/>
          <w:sz w:val="22"/>
          <w:szCs w:val="22"/>
          <w:lang w:val="es-MX" w:eastAsia="en-US"/>
        </w:rPr>
        <w:t xml:space="preserve">Así lo </w:t>
      </w:r>
      <w:r>
        <w:rPr>
          <w:rFonts w:ascii="Arial" w:eastAsiaTheme="minorHAnsi" w:hAnsi="Arial" w:cs="Arial"/>
          <w:sz w:val="22"/>
          <w:szCs w:val="22"/>
          <w:lang w:val="es-MX" w:eastAsia="en-US"/>
        </w:rPr>
        <w:t xml:space="preserve">ha expresado </w:t>
      </w:r>
      <w:r w:rsidR="006E71C0" w:rsidRPr="006E71C0">
        <w:rPr>
          <w:rFonts w:ascii="Arial" w:eastAsiaTheme="minorHAnsi" w:hAnsi="Arial" w:cs="Arial"/>
          <w:sz w:val="22"/>
          <w:szCs w:val="22"/>
          <w:lang w:val="es-MX" w:eastAsia="en-US"/>
        </w:rPr>
        <w:t>el Consejo de Estado:</w:t>
      </w:r>
    </w:p>
    <w:p w14:paraId="3CA920C1" w14:textId="77777777" w:rsidR="00A407C2" w:rsidRPr="00A407C2" w:rsidRDefault="00A407C2" w:rsidP="00A407C2">
      <w:pPr>
        <w:shd w:val="clear" w:color="auto" w:fill="FFFFFF"/>
        <w:ind w:right="709"/>
        <w:jc w:val="both"/>
        <w:rPr>
          <w:rFonts w:ascii="Arial" w:eastAsiaTheme="minorHAnsi" w:hAnsi="Arial" w:cs="Arial"/>
          <w:sz w:val="22"/>
          <w:szCs w:val="22"/>
          <w:lang w:val="es-MX" w:eastAsia="en-US"/>
        </w:rPr>
      </w:pPr>
    </w:p>
    <w:p w14:paraId="37E5C4A9" w14:textId="2ED857B2" w:rsidR="006E71C0" w:rsidRPr="006E71C0" w:rsidRDefault="00E2723F" w:rsidP="006E71C0">
      <w:pPr>
        <w:shd w:val="clear" w:color="auto" w:fill="FFFFFF"/>
        <w:spacing w:after="120"/>
        <w:ind w:left="709" w:right="709"/>
        <w:jc w:val="both"/>
        <w:rPr>
          <w:rFonts w:ascii="Arial" w:eastAsiaTheme="minorHAnsi" w:hAnsi="Arial" w:cs="Arial"/>
          <w:sz w:val="21"/>
          <w:szCs w:val="21"/>
          <w:lang w:val="es-ES" w:eastAsia="en-US"/>
        </w:rPr>
      </w:pPr>
      <w:r>
        <w:rPr>
          <w:rFonts w:ascii="Arial" w:eastAsiaTheme="minorHAnsi" w:hAnsi="Arial" w:cs="Arial"/>
          <w:sz w:val="21"/>
          <w:szCs w:val="21"/>
          <w:lang w:val="es-ES" w:eastAsia="en-US"/>
        </w:rPr>
        <w:t xml:space="preserve">“(…) </w:t>
      </w:r>
      <w:r w:rsidR="006E71C0" w:rsidRPr="006E71C0">
        <w:rPr>
          <w:rFonts w:ascii="Arial" w:eastAsiaTheme="minorHAnsi" w:hAnsi="Arial" w:cs="Arial"/>
          <w:sz w:val="21"/>
          <w:szCs w:val="21"/>
          <w:lang w:val="es-ES" w:eastAsia="en-US"/>
        </w:rPr>
        <w:t xml:space="preserve">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w:t>
      </w:r>
      <w:r>
        <w:rPr>
          <w:rFonts w:ascii="Arial" w:eastAsiaTheme="minorHAnsi" w:hAnsi="Arial" w:cs="Arial"/>
          <w:sz w:val="21"/>
          <w:szCs w:val="21"/>
          <w:lang w:val="es-ES" w:eastAsia="en-US"/>
        </w:rPr>
        <w:t>-</w:t>
      </w:r>
      <w:r w:rsidR="006E71C0" w:rsidRPr="006E71C0">
        <w:rPr>
          <w:rFonts w:ascii="Arial" w:eastAsiaTheme="minorHAnsi" w:hAnsi="Arial" w:cs="Arial"/>
          <w:sz w:val="21"/>
          <w:szCs w:val="21"/>
          <w:lang w:val="es-ES" w:eastAsia="en-US"/>
        </w:rPr>
        <w:t>en su carácter jurídico, ordenador y orientador del derecho</w:t>
      </w:r>
      <w:r>
        <w:rPr>
          <w:rFonts w:ascii="Arial" w:eastAsiaTheme="minorHAnsi" w:hAnsi="Arial" w:cs="Arial"/>
          <w:sz w:val="21"/>
          <w:szCs w:val="21"/>
          <w:lang w:val="es-ES" w:eastAsia="en-US"/>
        </w:rPr>
        <w:t>-</w:t>
      </w:r>
      <w:r w:rsidR="006E71C0" w:rsidRPr="006E71C0">
        <w:rPr>
          <w:rFonts w:ascii="Arial" w:eastAsiaTheme="minorHAnsi" w:hAnsi="Arial" w:cs="Arial"/>
          <w:sz w:val="21"/>
          <w:szCs w:val="21"/>
          <w:lang w:val="es-ES" w:eastAsia="en-US"/>
        </w:rPr>
        <w:t xml:space="preserve"> constituye la Finalidad, el Deber Ser, la Razón de Primer Orden en la cual se inspira, justifica y legitima la existencia de las normas que definen y regulan las inhabilidades e incompatibilidades.</w:t>
      </w:r>
    </w:p>
    <w:p w14:paraId="04B6673B" w14:textId="23E9BB07" w:rsidR="006E71C0" w:rsidRPr="006E71C0" w:rsidRDefault="006E71C0" w:rsidP="006E71C0">
      <w:pPr>
        <w:shd w:val="clear" w:color="auto" w:fill="FFFFFF"/>
        <w:ind w:left="709" w:right="709"/>
        <w:jc w:val="both"/>
        <w:rPr>
          <w:rFonts w:ascii="Arial" w:eastAsiaTheme="minorHAnsi" w:hAnsi="Arial" w:cs="Arial"/>
          <w:sz w:val="21"/>
          <w:szCs w:val="21"/>
          <w:lang w:val="es-ES" w:eastAsia="en-US"/>
        </w:rPr>
      </w:pPr>
      <w:r w:rsidRPr="006E71C0">
        <w:rPr>
          <w:rFonts w:ascii="Arial" w:eastAsiaTheme="minorHAnsi" w:hAnsi="Arial" w:cs="Arial"/>
          <w:sz w:val="21"/>
          <w:szCs w:val="21"/>
          <w:lang w:val="es-ES" w:eastAsia="en-U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w:t>
      </w:r>
      <w:r w:rsidR="00E2723F">
        <w:rPr>
          <w:rFonts w:ascii="Arial" w:eastAsiaTheme="minorHAnsi" w:hAnsi="Arial" w:cs="Arial"/>
          <w:sz w:val="21"/>
          <w:szCs w:val="21"/>
          <w:lang w:val="es-ES" w:eastAsia="en-US"/>
        </w:rPr>
        <w:t>-</w:t>
      </w:r>
      <w:r w:rsidRPr="006E71C0">
        <w:rPr>
          <w:rFonts w:ascii="Arial" w:eastAsiaTheme="minorHAnsi" w:hAnsi="Arial" w:cs="Arial"/>
          <w:sz w:val="21"/>
          <w:szCs w:val="21"/>
          <w:lang w:val="es-ES" w:eastAsia="en-US"/>
        </w:rPr>
        <w:t>como es propio de todos los Principios de la Función Administrativa</w:t>
      </w:r>
      <w:r w:rsidR="00E2723F">
        <w:rPr>
          <w:rFonts w:ascii="Arial" w:eastAsiaTheme="minorHAnsi" w:hAnsi="Arial" w:cs="Arial"/>
          <w:sz w:val="21"/>
          <w:szCs w:val="21"/>
          <w:lang w:val="es-ES" w:eastAsia="en-US"/>
        </w:rPr>
        <w:t>-</w:t>
      </w:r>
      <w:r w:rsidRPr="006E71C0">
        <w:rPr>
          <w:rFonts w:ascii="Arial" w:eastAsiaTheme="minorHAnsi" w:hAnsi="Arial" w:cs="Arial"/>
          <w:sz w:val="21"/>
          <w:szCs w:val="21"/>
          <w:lang w:val="es-ES" w:eastAsia="en-US"/>
        </w:rPr>
        <w:t xml:space="preserve">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00E2723F">
        <w:rPr>
          <w:rFonts w:ascii="Arial" w:eastAsiaTheme="minorHAnsi" w:hAnsi="Arial" w:cs="Arial"/>
          <w:sz w:val="21"/>
          <w:szCs w:val="21"/>
          <w:lang w:val="es-ES" w:eastAsia="en-US"/>
        </w:rPr>
        <w:t xml:space="preserve"> (…)”</w:t>
      </w:r>
      <w:r w:rsidRPr="006E71C0">
        <w:rPr>
          <w:rFonts w:ascii="Arial" w:eastAsiaTheme="minorHAnsi" w:hAnsi="Arial" w:cs="Arial"/>
          <w:sz w:val="21"/>
          <w:szCs w:val="21"/>
          <w:vertAlign w:val="superscript"/>
          <w:lang w:val="es-ES" w:eastAsia="en-US"/>
        </w:rPr>
        <w:footnoteReference w:id="4"/>
      </w:r>
      <w:r w:rsidR="00E2723F">
        <w:rPr>
          <w:rFonts w:ascii="Arial" w:eastAsiaTheme="minorHAnsi" w:hAnsi="Arial" w:cs="Arial"/>
          <w:sz w:val="21"/>
          <w:szCs w:val="21"/>
          <w:lang w:val="es-ES" w:eastAsia="en-US"/>
        </w:rPr>
        <w:t>.</w:t>
      </w:r>
    </w:p>
    <w:p w14:paraId="64A3021F" w14:textId="77777777" w:rsidR="006E71C0" w:rsidRPr="006E71C0" w:rsidRDefault="006E71C0" w:rsidP="00A407C2">
      <w:pPr>
        <w:shd w:val="clear" w:color="auto" w:fill="FFFFFF"/>
        <w:spacing w:line="276" w:lineRule="auto"/>
        <w:ind w:right="709"/>
        <w:jc w:val="both"/>
        <w:rPr>
          <w:rFonts w:ascii="Arial" w:eastAsiaTheme="minorHAnsi" w:hAnsi="Arial" w:cs="Arial"/>
          <w:sz w:val="22"/>
          <w:szCs w:val="22"/>
          <w:lang w:val="es-ES" w:eastAsia="en-US"/>
        </w:rPr>
      </w:pPr>
    </w:p>
    <w:p w14:paraId="27C6454E" w14:textId="204A5C15" w:rsidR="00A407C2" w:rsidRDefault="00A407C2" w:rsidP="00A407C2">
      <w:pPr>
        <w:spacing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De esta suerte</w:t>
      </w:r>
      <w:r w:rsidR="006E71C0" w:rsidRPr="006E71C0">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w:t>
      </w:r>
      <w:r w:rsidR="006E71C0" w:rsidRPr="006E71C0">
        <w:rPr>
          <w:rFonts w:ascii="Arial" w:eastAsiaTheme="minorHAnsi" w:hAnsi="Arial" w:cs="Arial"/>
          <w:sz w:val="22"/>
          <w:szCs w:val="22"/>
          <w:lang w:val="es-MX" w:eastAsia="en-US"/>
        </w:rPr>
        <w:t>las inhabilidades</w:t>
      </w:r>
      <w:r>
        <w:rPr>
          <w:rFonts w:ascii="Arial" w:eastAsiaTheme="minorHAnsi" w:hAnsi="Arial" w:cs="Arial"/>
          <w:sz w:val="22"/>
          <w:szCs w:val="22"/>
          <w:lang w:val="es-MX" w:eastAsia="en-US"/>
        </w:rPr>
        <w:t xml:space="preserve"> se erigen en vehículos </w:t>
      </w:r>
      <w:r w:rsidR="006E71C0" w:rsidRPr="006E71C0">
        <w:rPr>
          <w:rFonts w:ascii="Arial" w:eastAsiaTheme="minorHAnsi" w:hAnsi="Arial" w:cs="Arial"/>
          <w:sz w:val="22"/>
          <w:szCs w:val="22"/>
          <w:lang w:val="es-MX" w:eastAsia="en-US"/>
        </w:rPr>
        <w:t xml:space="preserve">que garantizan la transparencia y eficiencia en la actividad contractual del Estado, </w:t>
      </w:r>
      <w:r>
        <w:rPr>
          <w:rFonts w:ascii="Arial" w:eastAsiaTheme="minorHAnsi" w:hAnsi="Arial" w:cs="Arial"/>
          <w:sz w:val="22"/>
          <w:szCs w:val="22"/>
          <w:lang w:val="es-MX" w:eastAsia="en-US"/>
        </w:rPr>
        <w:t xml:space="preserve">a través de la imposición de restricciones </w:t>
      </w:r>
      <w:r w:rsidR="006E71C0" w:rsidRPr="006E71C0">
        <w:rPr>
          <w:rFonts w:ascii="Arial" w:eastAsiaTheme="minorHAnsi" w:hAnsi="Arial" w:cs="Arial"/>
          <w:sz w:val="22"/>
          <w:szCs w:val="22"/>
          <w:lang w:val="es-MX" w:eastAsia="en-US"/>
        </w:rPr>
        <w:t>en la personalidad jurídica, la igualdad, la libre empresa y, particularmente, en el derecho a participar en</w:t>
      </w:r>
      <w:r>
        <w:rPr>
          <w:rFonts w:ascii="Arial" w:eastAsiaTheme="minorHAnsi" w:hAnsi="Arial" w:cs="Arial"/>
          <w:sz w:val="22"/>
          <w:szCs w:val="22"/>
          <w:lang w:val="es-MX" w:eastAsia="en-US"/>
        </w:rPr>
        <w:t xml:space="preserve"> </w:t>
      </w:r>
      <w:r w:rsidR="006E71C0" w:rsidRPr="006E71C0">
        <w:rPr>
          <w:rFonts w:ascii="Arial" w:eastAsiaTheme="minorHAnsi" w:hAnsi="Arial" w:cs="Arial"/>
          <w:sz w:val="22"/>
          <w:szCs w:val="22"/>
          <w:lang w:val="es-MX" w:eastAsia="en-US"/>
        </w:rPr>
        <w:t>procesos de selección y</w:t>
      </w:r>
      <w:r>
        <w:rPr>
          <w:rFonts w:ascii="Arial" w:eastAsiaTheme="minorHAnsi" w:hAnsi="Arial" w:cs="Arial"/>
          <w:sz w:val="22"/>
          <w:szCs w:val="22"/>
          <w:lang w:val="es-MX" w:eastAsia="en-US"/>
        </w:rPr>
        <w:t xml:space="preserve"> </w:t>
      </w:r>
      <w:r w:rsidR="006E71C0" w:rsidRPr="006E71C0">
        <w:rPr>
          <w:rFonts w:ascii="Arial" w:eastAsiaTheme="minorHAnsi" w:hAnsi="Arial" w:cs="Arial"/>
          <w:sz w:val="22"/>
          <w:szCs w:val="22"/>
          <w:lang w:val="es-MX" w:eastAsia="en-US"/>
        </w:rPr>
        <w:t>celebrar contratos con el Estado</w:t>
      </w:r>
      <w:r w:rsidR="002F3389">
        <w:rPr>
          <w:rFonts w:ascii="Arial" w:eastAsiaTheme="minorHAnsi" w:hAnsi="Arial" w:cs="Arial"/>
          <w:sz w:val="22"/>
          <w:szCs w:val="22"/>
          <w:lang w:val="es-MX" w:eastAsia="en-US"/>
        </w:rPr>
        <w:t>. Estas l</w:t>
      </w:r>
      <w:r>
        <w:rPr>
          <w:rFonts w:ascii="Arial" w:eastAsiaTheme="minorHAnsi" w:hAnsi="Arial" w:cs="Arial"/>
          <w:sz w:val="22"/>
          <w:szCs w:val="22"/>
          <w:lang w:val="es-MX" w:eastAsia="en-US"/>
        </w:rPr>
        <w:t xml:space="preserve">imitaciones, según </w:t>
      </w:r>
      <w:r w:rsidR="002F3389">
        <w:rPr>
          <w:rFonts w:ascii="Arial" w:eastAsiaTheme="minorHAnsi" w:hAnsi="Arial" w:cs="Arial"/>
          <w:sz w:val="22"/>
          <w:szCs w:val="22"/>
          <w:lang w:val="es-MX" w:eastAsia="en-US"/>
        </w:rPr>
        <w:t xml:space="preserve">se </w:t>
      </w:r>
      <w:r>
        <w:rPr>
          <w:rFonts w:ascii="Arial" w:eastAsiaTheme="minorHAnsi" w:hAnsi="Arial" w:cs="Arial"/>
          <w:sz w:val="22"/>
          <w:szCs w:val="22"/>
          <w:lang w:val="es-MX" w:eastAsia="en-US"/>
        </w:rPr>
        <w:t>ha advertido</w:t>
      </w:r>
      <w:r w:rsidR="002F3389">
        <w:rPr>
          <w:rFonts w:ascii="Arial" w:eastAsiaTheme="minorHAnsi" w:hAnsi="Arial" w:cs="Arial"/>
          <w:sz w:val="22"/>
          <w:szCs w:val="22"/>
          <w:lang w:val="es-MX" w:eastAsia="en-US"/>
        </w:rPr>
        <w:t xml:space="preserve"> en </w:t>
      </w:r>
      <w:r>
        <w:rPr>
          <w:rFonts w:ascii="Arial" w:eastAsiaTheme="minorHAnsi" w:hAnsi="Arial" w:cs="Arial"/>
          <w:sz w:val="22"/>
          <w:szCs w:val="22"/>
          <w:lang w:val="es-MX" w:eastAsia="en-US"/>
        </w:rPr>
        <w:t>la jurisprudencia constitucional,</w:t>
      </w:r>
      <w:r w:rsidR="002F3389">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d</w:t>
      </w:r>
      <w:r w:rsidR="006E71C0" w:rsidRPr="006E71C0">
        <w:rPr>
          <w:rFonts w:ascii="Arial" w:eastAsiaTheme="minorHAnsi" w:hAnsi="Arial" w:cs="Arial"/>
          <w:sz w:val="22"/>
          <w:szCs w:val="22"/>
          <w:lang w:val="es-MX" w:eastAsia="en-US"/>
        </w:rPr>
        <w:t>eben</w:t>
      </w:r>
      <w:r>
        <w:rPr>
          <w:rFonts w:ascii="Arial" w:eastAsiaTheme="minorHAnsi" w:hAnsi="Arial" w:cs="Arial"/>
          <w:sz w:val="22"/>
          <w:szCs w:val="22"/>
          <w:lang w:val="es-MX" w:eastAsia="en-US"/>
        </w:rPr>
        <w:t xml:space="preserve"> hallarse plenamente </w:t>
      </w:r>
      <w:r w:rsidR="006E71C0" w:rsidRPr="006E71C0">
        <w:rPr>
          <w:rFonts w:ascii="Arial" w:eastAsiaTheme="minorHAnsi" w:hAnsi="Arial" w:cs="Arial"/>
          <w:sz w:val="22"/>
          <w:szCs w:val="22"/>
          <w:lang w:val="es-MX" w:eastAsia="en-US"/>
        </w:rPr>
        <w:t>justificadas</w:t>
      </w:r>
      <w:r>
        <w:rPr>
          <w:rFonts w:ascii="Arial" w:eastAsiaTheme="minorHAnsi" w:hAnsi="Arial" w:cs="Arial"/>
          <w:sz w:val="22"/>
          <w:szCs w:val="22"/>
          <w:lang w:val="es-MX" w:eastAsia="en-US"/>
        </w:rPr>
        <w:t>, comoquiera que su aplicación e interpretación es taxativa y restrictiva:</w:t>
      </w:r>
    </w:p>
    <w:p w14:paraId="660111FE" w14:textId="77777777" w:rsidR="006E71C0" w:rsidRPr="006E71C0" w:rsidRDefault="006E71C0" w:rsidP="00751815">
      <w:pPr>
        <w:spacing w:line="276" w:lineRule="auto"/>
        <w:jc w:val="both"/>
        <w:rPr>
          <w:rFonts w:ascii="Arial" w:eastAsiaTheme="minorHAnsi" w:hAnsi="Arial" w:cs="Arial"/>
          <w:sz w:val="22"/>
          <w:szCs w:val="22"/>
          <w:lang w:val="es-MX" w:eastAsia="en-US"/>
        </w:rPr>
      </w:pPr>
    </w:p>
    <w:p w14:paraId="521C2233" w14:textId="2D6CE92F" w:rsidR="006E71C0" w:rsidRPr="006E71C0" w:rsidRDefault="00A407C2" w:rsidP="006E71C0">
      <w:pPr>
        <w:spacing w:after="16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lastRenderedPageBreak/>
        <w:t xml:space="preserve">“(…) </w:t>
      </w:r>
      <w:r w:rsidR="006E71C0" w:rsidRPr="006E71C0">
        <w:rPr>
          <w:rFonts w:ascii="Arial" w:eastAsiaTheme="minorHAnsi" w:hAnsi="Arial" w:cs="Arial"/>
          <w:sz w:val="21"/>
          <w:szCs w:val="21"/>
          <w:lang w:eastAsia="en-US"/>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006E71C0" w:rsidRPr="006E71C0">
        <w:rPr>
          <w:rFonts w:ascii="Arial" w:eastAsiaTheme="minorHAnsi" w:hAnsi="Arial" w:cs="Arial"/>
          <w:sz w:val="21"/>
          <w:szCs w:val="21"/>
          <w:lang w:eastAsia="en-US"/>
        </w:rPr>
        <w:t>incompatibilidades,</w:t>
      </w:r>
      <w:proofErr w:type="gramEnd"/>
      <w:r w:rsidR="006E71C0" w:rsidRPr="006E71C0">
        <w:rPr>
          <w:rFonts w:ascii="Arial" w:eastAsiaTheme="minorHAnsi" w:hAnsi="Arial" w:cs="Arial"/>
          <w:sz w:val="21"/>
          <w:szCs w:val="21"/>
          <w:lang w:eastAsia="en-US"/>
        </w:rPr>
        <w:t xml:space="preserve"> se erige en causal de nulidad del contrato celebrado en esas condiciones (ley 80 de 1993, art. 44).</w:t>
      </w:r>
    </w:p>
    <w:p w14:paraId="1C58F212" w14:textId="1CDF1CEE" w:rsidR="006E71C0" w:rsidRPr="006E71C0" w:rsidRDefault="006E71C0" w:rsidP="006E71C0">
      <w:pPr>
        <w:ind w:left="709" w:right="709"/>
        <w:jc w:val="both"/>
        <w:rPr>
          <w:rFonts w:ascii="Arial" w:eastAsiaTheme="minorHAnsi" w:hAnsi="Arial" w:cs="Arial"/>
          <w:sz w:val="21"/>
          <w:szCs w:val="21"/>
          <w:lang w:eastAsia="en-US"/>
        </w:rPr>
      </w:pPr>
      <w:r w:rsidRPr="006E71C0">
        <w:rPr>
          <w:rFonts w:ascii="Arial" w:eastAsiaTheme="minorHAnsi" w:hAnsi="Arial" w:cs="Arial"/>
          <w:sz w:val="21"/>
          <w:szCs w:val="21"/>
          <w:lang w:eastAsia="en-US"/>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00A407C2">
        <w:rPr>
          <w:rFonts w:ascii="Arial" w:eastAsiaTheme="minorHAnsi" w:hAnsi="Arial" w:cs="Arial"/>
          <w:sz w:val="21"/>
          <w:szCs w:val="21"/>
          <w:lang w:eastAsia="en-US"/>
        </w:rPr>
        <w:t xml:space="preserve"> (…)”</w:t>
      </w:r>
      <w:r w:rsidRPr="006E71C0">
        <w:rPr>
          <w:rFonts w:ascii="Arial" w:eastAsiaTheme="minorHAnsi" w:hAnsi="Arial" w:cs="Arial"/>
          <w:sz w:val="21"/>
          <w:szCs w:val="21"/>
          <w:vertAlign w:val="superscript"/>
          <w:lang w:eastAsia="en-US"/>
        </w:rPr>
        <w:footnoteReference w:id="5"/>
      </w:r>
      <w:r w:rsidR="00A407C2">
        <w:rPr>
          <w:rFonts w:ascii="Arial" w:eastAsiaTheme="minorHAnsi" w:hAnsi="Arial" w:cs="Arial"/>
          <w:sz w:val="21"/>
          <w:szCs w:val="21"/>
          <w:lang w:eastAsia="en-US"/>
        </w:rPr>
        <w:t>.</w:t>
      </w:r>
    </w:p>
    <w:p w14:paraId="4D17EAA9" w14:textId="77777777" w:rsidR="002F3389" w:rsidRPr="006E71C0" w:rsidRDefault="002F3389" w:rsidP="006E71C0">
      <w:pPr>
        <w:spacing w:line="276" w:lineRule="auto"/>
        <w:ind w:right="709"/>
        <w:jc w:val="both"/>
        <w:rPr>
          <w:rFonts w:ascii="Arial" w:eastAsiaTheme="minorHAnsi" w:hAnsi="Arial" w:cs="Arial"/>
          <w:sz w:val="22"/>
          <w:szCs w:val="22"/>
          <w:lang w:eastAsia="en-US"/>
        </w:rPr>
      </w:pPr>
    </w:p>
    <w:p w14:paraId="33CDB52D" w14:textId="3320DA45" w:rsidR="006E71C0" w:rsidRPr="006E71C0" w:rsidRDefault="002F3389" w:rsidP="002F3389">
      <w:pPr>
        <w:spacing w:line="259" w:lineRule="auto"/>
        <w:ind w:firstLine="709"/>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Asimismo, en sede de la jurisprudencia constitucional también se ha dejado en claro que, bajo el marco del principio de legalidad, es el </w:t>
      </w:r>
      <w:r w:rsidR="006E71C0" w:rsidRPr="006E71C0">
        <w:rPr>
          <w:rFonts w:ascii="Arial" w:eastAsiaTheme="minorHAnsi" w:hAnsi="Arial" w:cs="Arial"/>
          <w:sz w:val="22"/>
          <w:szCs w:val="22"/>
          <w:lang w:eastAsia="en-US"/>
        </w:rPr>
        <w:t>legislador</w:t>
      </w:r>
      <w:r>
        <w:rPr>
          <w:rFonts w:ascii="Arial" w:eastAsiaTheme="minorHAnsi" w:hAnsi="Arial" w:cs="Arial"/>
          <w:sz w:val="22"/>
          <w:szCs w:val="22"/>
          <w:lang w:eastAsia="en-US"/>
        </w:rPr>
        <w:t xml:space="preserve"> quien detenta </w:t>
      </w:r>
      <w:r w:rsidR="006E71C0" w:rsidRPr="006E71C0">
        <w:rPr>
          <w:rFonts w:ascii="Arial" w:eastAsiaTheme="minorHAnsi" w:hAnsi="Arial" w:cs="Arial"/>
          <w:sz w:val="22"/>
          <w:szCs w:val="22"/>
          <w:lang w:eastAsia="en-US"/>
        </w:rPr>
        <w:t>la competencia para determinar qué hechos o situaciones generan inhabilidad para contratar,</w:t>
      </w:r>
      <w:r>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pues este régimen es un aspecto propio del Estatuto General de Contratación de la Administración Pública</w:t>
      </w:r>
      <w:r w:rsidR="002C2275">
        <w:rPr>
          <w:rFonts w:ascii="Arial" w:eastAsiaTheme="minorHAnsi" w:hAnsi="Arial" w:cs="Arial"/>
          <w:sz w:val="22"/>
          <w:szCs w:val="22"/>
          <w:lang w:eastAsia="en-US"/>
        </w:rPr>
        <w:t xml:space="preserve"> -EGCAP-</w:t>
      </w:r>
      <w:r w:rsidR="006E71C0" w:rsidRPr="006E71C0">
        <w:rPr>
          <w:rFonts w:ascii="Arial" w:eastAsiaTheme="minorHAnsi" w:hAnsi="Arial" w:cs="Arial"/>
          <w:sz w:val="22"/>
          <w:szCs w:val="22"/>
          <w:lang w:eastAsia="en-US"/>
        </w:rPr>
        <w:t>,</w:t>
      </w:r>
      <w:r>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cuya expedición</w:t>
      </w:r>
      <w:r>
        <w:rPr>
          <w:rFonts w:ascii="Arial" w:eastAsiaTheme="minorHAnsi" w:hAnsi="Arial" w:cs="Arial"/>
          <w:sz w:val="22"/>
          <w:szCs w:val="22"/>
          <w:lang w:eastAsia="en-US"/>
        </w:rPr>
        <w:t xml:space="preserve"> le corresponde </w:t>
      </w:r>
      <w:r w:rsidR="006E71C0" w:rsidRPr="006E71C0">
        <w:rPr>
          <w:rFonts w:ascii="Arial" w:eastAsiaTheme="minorHAnsi" w:hAnsi="Arial" w:cs="Arial"/>
          <w:sz w:val="22"/>
          <w:szCs w:val="22"/>
          <w:lang w:eastAsia="en-US"/>
        </w:rPr>
        <w:t>al Congreso</w:t>
      </w:r>
      <w:r w:rsidR="002C2275">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de</w:t>
      </w:r>
      <w:r w:rsidR="002C2275">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 xml:space="preserve">la República </w:t>
      </w:r>
      <w:r>
        <w:rPr>
          <w:rFonts w:ascii="Arial" w:eastAsiaTheme="minorHAnsi" w:hAnsi="Arial" w:cs="Arial"/>
          <w:sz w:val="22"/>
          <w:szCs w:val="22"/>
          <w:lang w:eastAsia="en-US"/>
        </w:rPr>
        <w:t xml:space="preserve">en los términos del </w:t>
      </w:r>
      <w:r w:rsidR="006E71C0" w:rsidRPr="006E71C0">
        <w:rPr>
          <w:rFonts w:ascii="Arial" w:eastAsiaTheme="minorHAnsi" w:hAnsi="Arial" w:cs="Arial"/>
          <w:sz w:val="22"/>
          <w:szCs w:val="22"/>
          <w:lang w:eastAsia="en-US"/>
        </w:rPr>
        <w:t>artículo 150</w:t>
      </w:r>
      <w:r>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de la C</w:t>
      </w:r>
      <w:r>
        <w:rPr>
          <w:rFonts w:ascii="Arial" w:eastAsiaTheme="minorHAnsi" w:hAnsi="Arial" w:cs="Arial"/>
          <w:sz w:val="22"/>
          <w:szCs w:val="22"/>
          <w:lang w:eastAsia="en-US"/>
        </w:rPr>
        <w:t xml:space="preserve">arta </w:t>
      </w:r>
      <w:r w:rsidR="006E71C0" w:rsidRPr="006E71C0">
        <w:rPr>
          <w:rFonts w:ascii="Arial" w:eastAsiaTheme="minorHAnsi" w:hAnsi="Arial" w:cs="Arial"/>
          <w:sz w:val="22"/>
          <w:szCs w:val="22"/>
          <w:lang w:eastAsia="en-US"/>
        </w:rPr>
        <w:t>Política</w:t>
      </w:r>
      <w:r>
        <w:rPr>
          <w:rFonts w:ascii="Arial" w:eastAsiaTheme="minorHAnsi" w:hAnsi="Arial" w:cs="Arial"/>
          <w:sz w:val="22"/>
          <w:szCs w:val="22"/>
          <w:lang w:eastAsia="en-US"/>
        </w:rPr>
        <w:t>:</w:t>
      </w:r>
    </w:p>
    <w:p w14:paraId="75AC5AFB" w14:textId="77777777" w:rsidR="006E71C0" w:rsidRPr="006E71C0" w:rsidRDefault="006E71C0" w:rsidP="006E71C0">
      <w:pPr>
        <w:tabs>
          <w:tab w:val="left" w:pos="1532"/>
        </w:tabs>
        <w:spacing w:line="276" w:lineRule="auto"/>
        <w:jc w:val="both"/>
        <w:rPr>
          <w:rFonts w:ascii="Arial" w:eastAsiaTheme="minorHAnsi" w:hAnsi="Arial" w:cs="Arial"/>
          <w:sz w:val="22"/>
          <w:szCs w:val="22"/>
          <w:lang w:val="es-MX" w:eastAsia="en-US"/>
        </w:rPr>
      </w:pPr>
    </w:p>
    <w:p w14:paraId="012F0192" w14:textId="537FC5A9" w:rsidR="002F3389" w:rsidRDefault="002F3389" w:rsidP="002F3389">
      <w:pPr>
        <w:ind w:left="709" w:right="709"/>
        <w:jc w:val="both"/>
        <w:rPr>
          <w:rFonts w:ascii="Arial" w:eastAsiaTheme="minorHAnsi" w:hAnsi="Arial" w:cs="Arial"/>
          <w:sz w:val="21"/>
          <w:szCs w:val="21"/>
          <w:lang w:eastAsia="en-US"/>
        </w:rPr>
      </w:pPr>
      <w:bookmarkStart w:id="11" w:name="_Hlk138135525"/>
      <w:r>
        <w:rPr>
          <w:rFonts w:ascii="Arial" w:eastAsiaTheme="minorHAnsi" w:hAnsi="Arial" w:cs="Arial"/>
          <w:sz w:val="21"/>
          <w:szCs w:val="21"/>
          <w:lang w:eastAsia="en-US"/>
        </w:rPr>
        <w:t xml:space="preserve">“(…) </w:t>
      </w:r>
      <w:r w:rsidR="006E71C0" w:rsidRPr="006E71C0">
        <w:rPr>
          <w:rFonts w:ascii="Arial" w:eastAsiaTheme="minorHAnsi" w:hAnsi="Arial" w:cs="Arial"/>
          <w:sz w:val="21"/>
          <w:szCs w:val="21"/>
          <w:lang w:eastAsia="en-US"/>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w:t>
      </w:r>
      <w:r>
        <w:rPr>
          <w:rFonts w:ascii="Arial" w:eastAsiaTheme="minorHAnsi" w:hAnsi="Arial" w:cs="Arial"/>
          <w:sz w:val="21"/>
          <w:szCs w:val="21"/>
          <w:lang w:eastAsia="en-US"/>
        </w:rPr>
        <w:t xml:space="preserve"> </w:t>
      </w:r>
      <w:r w:rsidR="006E71C0" w:rsidRPr="006E71C0">
        <w:rPr>
          <w:rFonts w:ascii="Arial" w:eastAsiaTheme="minorHAnsi" w:hAnsi="Arial" w:cs="Arial"/>
          <w:i/>
          <w:iCs/>
          <w:sz w:val="21"/>
          <w:szCs w:val="21"/>
          <w:lang w:eastAsia="en-US"/>
        </w:rPr>
        <w:t xml:space="preserve">pro </w:t>
      </w:r>
      <w:proofErr w:type="spellStart"/>
      <w:r w:rsidR="006E71C0" w:rsidRPr="006E71C0">
        <w:rPr>
          <w:rFonts w:ascii="Arial" w:eastAsiaTheme="minorHAnsi" w:hAnsi="Arial" w:cs="Arial"/>
          <w:i/>
          <w:iCs/>
          <w:sz w:val="21"/>
          <w:szCs w:val="21"/>
          <w:lang w:eastAsia="en-US"/>
        </w:rPr>
        <w:t>libertate</w:t>
      </w:r>
      <w:proofErr w:type="spellEnd"/>
      <w:r w:rsidR="006E71C0" w:rsidRPr="006E71C0">
        <w:rPr>
          <w:rFonts w:ascii="Arial" w:eastAsiaTheme="minorHAnsi" w:hAnsi="Arial" w:cs="Arial"/>
          <w:sz w:val="21"/>
          <w:szCs w:val="21"/>
          <w:lang w:eastAsia="en-US"/>
        </w:rPr>
        <w:t>,</w:t>
      </w:r>
      <w:r>
        <w:rPr>
          <w:rFonts w:ascii="Arial" w:eastAsiaTheme="minorHAnsi" w:hAnsi="Arial" w:cs="Arial"/>
          <w:sz w:val="21"/>
          <w:szCs w:val="21"/>
          <w:lang w:eastAsia="en-US"/>
        </w:rPr>
        <w:t xml:space="preserve"> </w:t>
      </w:r>
      <w:r w:rsidR="006E71C0" w:rsidRPr="006E71C0">
        <w:rPr>
          <w:rFonts w:ascii="Arial" w:eastAsiaTheme="minorHAnsi" w:hAnsi="Arial" w:cs="Arial"/>
          <w:sz w:val="21"/>
          <w:szCs w:val="21"/>
          <w:lang w:eastAsia="en-US"/>
        </w:rPr>
        <w:t>sino el de legalidad, el que ordena que la función pública debe someterse estrictamente a lo que disponga la Constitución y la ley (CP art. 6)</w:t>
      </w:r>
      <w:r>
        <w:rPr>
          <w:rFonts w:ascii="Arial" w:eastAsiaTheme="minorHAnsi" w:hAnsi="Arial" w:cs="Arial"/>
          <w:sz w:val="21"/>
          <w:szCs w:val="21"/>
          <w:lang w:eastAsia="en-US"/>
        </w:rPr>
        <w:t>.</w:t>
      </w:r>
    </w:p>
    <w:p w14:paraId="7B35D0A3" w14:textId="77777777" w:rsidR="002F3389" w:rsidRPr="002F3389" w:rsidRDefault="002F3389" w:rsidP="002F3389">
      <w:pPr>
        <w:ind w:left="709" w:right="709"/>
        <w:jc w:val="both"/>
        <w:rPr>
          <w:rFonts w:ascii="Arial" w:eastAsiaTheme="minorHAnsi" w:hAnsi="Arial" w:cs="Arial"/>
          <w:sz w:val="21"/>
          <w:szCs w:val="21"/>
          <w:lang w:eastAsia="en-US"/>
        </w:rPr>
      </w:pPr>
    </w:p>
    <w:p w14:paraId="59F5BE38" w14:textId="335E29AB" w:rsidR="006E71C0" w:rsidRPr="006E71C0" w:rsidRDefault="006E71C0" w:rsidP="002F3389">
      <w:pPr>
        <w:ind w:left="709" w:right="709"/>
        <w:jc w:val="both"/>
        <w:rPr>
          <w:rFonts w:ascii="Arial" w:eastAsiaTheme="minorHAnsi" w:hAnsi="Arial" w:cs="Arial"/>
          <w:sz w:val="21"/>
          <w:szCs w:val="21"/>
          <w:lang w:eastAsia="en-US"/>
        </w:rPr>
      </w:pPr>
      <w:r w:rsidRPr="006E71C0">
        <w:rPr>
          <w:rFonts w:ascii="Arial" w:eastAsiaTheme="minorHAnsi" w:hAnsi="Arial" w:cs="Arial"/>
          <w:sz w:val="21"/>
          <w:szCs w:val="21"/>
          <w:lang w:eastAsia="en-US"/>
        </w:rPr>
        <w:t xml:space="preserve">Se comprende con facilidad que el régimen de inhabilidades e </w:t>
      </w:r>
      <w:proofErr w:type="gramStart"/>
      <w:r w:rsidRPr="006E71C0">
        <w:rPr>
          <w:rFonts w:ascii="Arial" w:eastAsiaTheme="minorHAnsi" w:hAnsi="Arial" w:cs="Arial"/>
          <w:sz w:val="21"/>
          <w:szCs w:val="21"/>
          <w:lang w:eastAsia="en-US"/>
        </w:rPr>
        <w:t>incompatibilidades,</w:t>
      </w:r>
      <w:proofErr w:type="gramEnd"/>
      <w:r w:rsidRPr="006E71C0">
        <w:rPr>
          <w:rFonts w:ascii="Arial" w:eastAsiaTheme="minorHAnsi" w:hAnsi="Arial" w:cs="Arial"/>
          <w:sz w:val="21"/>
          <w:szCs w:val="21"/>
          <w:lang w:eastAsia="en-US"/>
        </w:rPr>
        <w:t xml:space="preserve"> corresponde a una materia de normal y obligada inclusión en un estatuto contractual. </w:t>
      </w:r>
      <w:r w:rsidRPr="006E71C0">
        <w:rPr>
          <w:rFonts w:ascii="Arial" w:eastAsiaTheme="minorHAnsi" w:hAnsi="Arial" w:cs="Arial"/>
          <w:sz w:val="21"/>
          <w:szCs w:val="21"/>
          <w:lang w:eastAsia="en-US"/>
        </w:rPr>
        <w:lastRenderedPageBreak/>
        <w:t>El legislador, a quien se ha confiado expedir el indicado estatuto, tiene, pues, competencia para establecerlo (CP art. 150)</w:t>
      </w:r>
      <w:r w:rsidR="002F3389">
        <w:rPr>
          <w:rFonts w:ascii="Arial" w:eastAsiaTheme="minorHAnsi" w:hAnsi="Arial" w:cs="Arial"/>
          <w:sz w:val="21"/>
          <w:szCs w:val="21"/>
          <w:lang w:eastAsia="en-US"/>
        </w:rPr>
        <w:t xml:space="preserve"> (…)”</w:t>
      </w:r>
      <w:r w:rsidRPr="006E71C0">
        <w:rPr>
          <w:rFonts w:ascii="Arial" w:eastAsiaTheme="minorHAnsi" w:hAnsi="Arial" w:cs="Arial"/>
          <w:sz w:val="21"/>
          <w:szCs w:val="21"/>
          <w:vertAlign w:val="superscript"/>
          <w:lang w:eastAsia="en-US"/>
        </w:rPr>
        <w:footnoteReference w:id="6"/>
      </w:r>
      <w:r w:rsidRPr="006E71C0">
        <w:rPr>
          <w:rFonts w:ascii="Arial" w:eastAsiaTheme="minorHAnsi" w:hAnsi="Arial" w:cs="Arial"/>
          <w:sz w:val="21"/>
          <w:szCs w:val="21"/>
          <w:lang w:eastAsia="en-US"/>
        </w:rPr>
        <w:t>.</w:t>
      </w:r>
    </w:p>
    <w:p w14:paraId="438F5365" w14:textId="77777777" w:rsidR="006E71C0" w:rsidRPr="006E71C0" w:rsidRDefault="006E71C0" w:rsidP="005A5FB5">
      <w:pPr>
        <w:spacing w:line="276" w:lineRule="auto"/>
        <w:ind w:right="709"/>
        <w:jc w:val="both"/>
        <w:rPr>
          <w:rFonts w:ascii="Arial" w:eastAsiaTheme="minorHAnsi" w:hAnsi="Arial" w:cs="Arial"/>
          <w:sz w:val="22"/>
          <w:szCs w:val="22"/>
          <w:lang w:eastAsia="en-US"/>
        </w:rPr>
      </w:pPr>
    </w:p>
    <w:bookmarkEnd w:id="11"/>
    <w:p w14:paraId="6C7F167E" w14:textId="75188CC7" w:rsidR="006E71C0" w:rsidRPr="006E71C0" w:rsidRDefault="005A5FB5" w:rsidP="005A5FB5">
      <w:pPr>
        <w:spacing w:line="259" w:lineRule="auto"/>
        <w:ind w:firstLine="708"/>
        <w:jc w:val="both"/>
        <w:rPr>
          <w:rFonts w:ascii="Arial" w:eastAsiaTheme="minorHAnsi" w:hAnsi="Arial" w:cs="Arial"/>
          <w:sz w:val="22"/>
          <w:szCs w:val="22"/>
          <w:lang w:eastAsia="en-US"/>
        </w:rPr>
      </w:pPr>
      <w:r>
        <w:rPr>
          <w:rFonts w:ascii="Arial" w:eastAsiaTheme="minorHAnsi" w:hAnsi="Arial" w:cs="Arial"/>
          <w:sz w:val="22"/>
          <w:szCs w:val="22"/>
          <w:lang w:eastAsia="en-US"/>
        </w:rPr>
        <w:t>Por</w:t>
      </w:r>
      <w:r w:rsidR="002C2275">
        <w:rPr>
          <w:rFonts w:ascii="Arial" w:eastAsiaTheme="minorHAnsi" w:hAnsi="Arial" w:cs="Arial"/>
          <w:sz w:val="22"/>
          <w:szCs w:val="22"/>
          <w:lang w:eastAsia="en-US"/>
        </w:rPr>
        <w:t xml:space="preserve"> </w:t>
      </w:r>
      <w:r>
        <w:rPr>
          <w:rFonts w:ascii="Arial" w:eastAsiaTheme="minorHAnsi" w:hAnsi="Arial" w:cs="Arial"/>
          <w:sz w:val="22"/>
          <w:szCs w:val="22"/>
          <w:lang w:eastAsia="en-US"/>
        </w:rPr>
        <w:t>otra</w:t>
      </w:r>
      <w:r w:rsidR="002C2275">
        <w:rPr>
          <w:rFonts w:ascii="Arial" w:eastAsiaTheme="minorHAnsi" w:hAnsi="Arial" w:cs="Arial"/>
          <w:sz w:val="22"/>
          <w:szCs w:val="22"/>
          <w:lang w:eastAsia="en-US"/>
        </w:rPr>
        <w:t xml:space="preserve"> </w:t>
      </w:r>
      <w:r>
        <w:rPr>
          <w:rFonts w:ascii="Arial" w:eastAsiaTheme="minorHAnsi" w:hAnsi="Arial" w:cs="Arial"/>
          <w:sz w:val="22"/>
          <w:szCs w:val="22"/>
          <w:lang w:eastAsia="en-US"/>
        </w:rPr>
        <w:t>parte,</w:t>
      </w:r>
      <w:r w:rsidR="002C2275">
        <w:rPr>
          <w:rFonts w:ascii="Arial" w:eastAsiaTheme="minorHAnsi" w:hAnsi="Arial" w:cs="Arial"/>
          <w:sz w:val="22"/>
          <w:szCs w:val="22"/>
          <w:lang w:eastAsia="en-US"/>
        </w:rPr>
        <w:t xml:space="preserve"> </w:t>
      </w:r>
      <w:r>
        <w:rPr>
          <w:rFonts w:ascii="Arial" w:eastAsiaTheme="minorHAnsi" w:hAnsi="Arial" w:cs="Arial"/>
          <w:sz w:val="22"/>
          <w:szCs w:val="22"/>
          <w:lang w:eastAsia="en-US"/>
        </w:rPr>
        <w:t>interesa</w:t>
      </w:r>
      <w:r w:rsidR="002C2275">
        <w:rPr>
          <w:rFonts w:ascii="Arial" w:eastAsiaTheme="minorHAnsi" w:hAnsi="Arial" w:cs="Arial"/>
          <w:sz w:val="22"/>
          <w:szCs w:val="22"/>
          <w:lang w:eastAsia="en-US"/>
        </w:rPr>
        <w:t xml:space="preserve"> </w:t>
      </w:r>
      <w:r>
        <w:rPr>
          <w:rFonts w:ascii="Arial" w:eastAsiaTheme="minorHAnsi" w:hAnsi="Arial" w:cs="Arial"/>
          <w:sz w:val="22"/>
          <w:szCs w:val="22"/>
          <w:lang w:eastAsia="en-US"/>
        </w:rPr>
        <w:t>destacar</w:t>
      </w:r>
      <w:r w:rsidR="002C2275">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las fuentes de las inhabilidades</w:t>
      </w:r>
      <w:r>
        <w:rPr>
          <w:rFonts w:ascii="Arial" w:eastAsiaTheme="minorHAnsi" w:hAnsi="Arial" w:cs="Arial"/>
          <w:sz w:val="22"/>
          <w:szCs w:val="22"/>
          <w:lang w:eastAsia="en-US"/>
        </w:rPr>
        <w:t xml:space="preserve"> que tradicionalmente han sido clasificadas en </w:t>
      </w:r>
      <w:r w:rsidR="006E71C0" w:rsidRPr="006E71C0">
        <w:rPr>
          <w:rFonts w:ascii="Arial" w:eastAsiaTheme="minorHAnsi" w:hAnsi="Arial" w:cs="Arial"/>
          <w:sz w:val="22"/>
          <w:szCs w:val="22"/>
          <w:lang w:eastAsia="en-US"/>
        </w:rPr>
        <w:t>dos (2) grupos:</w:t>
      </w:r>
      <w:r w:rsidR="00176A37">
        <w:rPr>
          <w:rFonts w:ascii="Arial" w:eastAsiaTheme="minorHAnsi" w:hAnsi="Arial" w:cs="Arial"/>
          <w:sz w:val="22"/>
          <w:szCs w:val="22"/>
          <w:lang w:eastAsia="en-US"/>
        </w:rPr>
        <w:t xml:space="preserve"> </w:t>
      </w:r>
      <w:r w:rsidRPr="005A5FB5">
        <w:rPr>
          <w:rFonts w:ascii="Arial" w:eastAsiaTheme="minorHAnsi" w:hAnsi="Arial" w:cs="Arial"/>
          <w:i/>
          <w:iCs/>
          <w:sz w:val="22"/>
          <w:szCs w:val="22"/>
          <w:lang w:eastAsia="en-US"/>
        </w:rPr>
        <w:t>(</w:t>
      </w:r>
      <w:r w:rsidR="006E71C0" w:rsidRPr="006E71C0">
        <w:rPr>
          <w:rFonts w:ascii="Arial" w:eastAsiaTheme="minorHAnsi" w:hAnsi="Arial" w:cs="Arial"/>
          <w:i/>
          <w:iCs/>
          <w:sz w:val="22"/>
          <w:szCs w:val="22"/>
          <w:lang w:eastAsia="en-US"/>
        </w:rPr>
        <w:t>i)</w:t>
      </w:r>
      <w:r w:rsidR="006E71C0" w:rsidRPr="006E71C0">
        <w:rPr>
          <w:rFonts w:ascii="Arial" w:eastAsiaTheme="minorHAnsi" w:hAnsi="Arial" w:cs="Arial"/>
          <w:sz w:val="22"/>
          <w:szCs w:val="22"/>
          <w:lang w:eastAsia="en-US"/>
        </w:rPr>
        <w:t xml:space="preserve"> inhabilidades-sanción </w:t>
      </w:r>
      <w:r>
        <w:rPr>
          <w:rFonts w:ascii="Arial" w:eastAsiaTheme="minorHAnsi" w:hAnsi="Arial" w:cs="Arial"/>
          <w:sz w:val="22"/>
          <w:szCs w:val="22"/>
          <w:lang w:eastAsia="en-US"/>
        </w:rPr>
        <w:t>e</w:t>
      </w:r>
      <w:r w:rsidR="006E71C0" w:rsidRPr="006E71C0">
        <w:rPr>
          <w:rFonts w:ascii="Arial" w:eastAsiaTheme="minorHAnsi" w:hAnsi="Arial" w:cs="Arial"/>
          <w:sz w:val="22"/>
          <w:szCs w:val="22"/>
          <w:lang w:eastAsia="en-US"/>
        </w:rPr>
        <w:t xml:space="preserve"> </w:t>
      </w:r>
      <w:r w:rsidRPr="005A5FB5">
        <w:rPr>
          <w:rFonts w:ascii="Arial" w:eastAsiaTheme="minorHAnsi" w:hAnsi="Arial" w:cs="Arial"/>
          <w:i/>
          <w:iCs/>
          <w:sz w:val="22"/>
          <w:szCs w:val="22"/>
          <w:lang w:eastAsia="en-US"/>
        </w:rPr>
        <w:t>(</w:t>
      </w:r>
      <w:proofErr w:type="spellStart"/>
      <w:r w:rsidR="006E71C0" w:rsidRPr="006E71C0">
        <w:rPr>
          <w:rFonts w:ascii="Arial" w:eastAsiaTheme="minorHAnsi" w:hAnsi="Arial" w:cs="Arial"/>
          <w:i/>
          <w:iCs/>
          <w:sz w:val="22"/>
          <w:szCs w:val="22"/>
          <w:lang w:eastAsia="en-US"/>
        </w:rPr>
        <w:t>ii</w:t>
      </w:r>
      <w:proofErr w:type="spellEnd"/>
      <w:r w:rsidR="006E71C0" w:rsidRPr="006E71C0">
        <w:rPr>
          <w:rFonts w:ascii="Arial" w:eastAsiaTheme="minorHAnsi" w:hAnsi="Arial" w:cs="Arial"/>
          <w:i/>
          <w:iCs/>
          <w:sz w:val="22"/>
          <w:szCs w:val="22"/>
          <w:lang w:eastAsia="en-US"/>
        </w:rPr>
        <w:t>)</w:t>
      </w:r>
      <w:r w:rsidR="006E71C0" w:rsidRPr="006E71C0">
        <w:rPr>
          <w:rFonts w:ascii="Arial" w:eastAsiaTheme="minorHAnsi" w:hAnsi="Arial" w:cs="Arial"/>
          <w:sz w:val="22"/>
          <w:szCs w:val="22"/>
          <w:lang w:eastAsia="en-US"/>
        </w:rPr>
        <w:t xml:space="preserve"> inhabilidades-requisito.</w:t>
      </w:r>
      <w:r>
        <w:rPr>
          <w:rFonts w:ascii="Arial" w:eastAsiaTheme="minorHAnsi" w:hAnsi="Arial" w:cs="Arial"/>
          <w:sz w:val="22"/>
          <w:szCs w:val="22"/>
          <w:lang w:eastAsia="en-US"/>
        </w:rPr>
        <w:t xml:space="preserve"> Mientras en el primer grupo</w:t>
      </w:r>
      <w:r w:rsidR="002C2275">
        <w:rPr>
          <w:rFonts w:ascii="Arial" w:eastAsiaTheme="minorHAnsi" w:hAnsi="Arial" w:cs="Arial"/>
          <w:sz w:val="22"/>
          <w:szCs w:val="22"/>
          <w:lang w:eastAsia="en-US"/>
        </w:rPr>
        <w:t xml:space="preserve"> </w:t>
      </w:r>
      <w:r>
        <w:rPr>
          <w:rFonts w:ascii="Arial" w:eastAsiaTheme="minorHAnsi" w:hAnsi="Arial" w:cs="Arial"/>
          <w:sz w:val="22"/>
          <w:szCs w:val="22"/>
          <w:lang w:eastAsia="en-US"/>
        </w:rPr>
        <w:t>se</w:t>
      </w:r>
      <w:r w:rsidR="002C2275">
        <w:rPr>
          <w:rFonts w:ascii="Arial" w:eastAsiaTheme="minorHAnsi" w:hAnsi="Arial" w:cs="Arial"/>
          <w:sz w:val="22"/>
          <w:szCs w:val="22"/>
          <w:lang w:eastAsia="en-US"/>
        </w:rPr>
        <w:t xml:space="preserve"> </w:t>
      </w:r>
      <w:r>
        <w:rPr>
          <w:rFonts w:ascii="Arial" w:eastAsiaTheme="minorHAnsi" w:hAnsi="Arial" w:cs="Arial"/>
          <w:sz w:val="22"/>
          <w:szCs w:val="22"/>
          <w:lang w:eastAsia="en-US"/>
        </w:rPr>
        <w:t>hallan</w:t>
      </w:r>
      <w:r w:rsidR="00176A37">
        <w:rPr>
          <w:rFonts w:ascii="Arial" w:eastAsiaTheme="minorHAnsi" w:hAnsi="Arial" w:cs="Arial"/>
          <w:sz w:val="22"/>
          <w:szCs w:val="22"/>
          <w:lang w:eastAsia="en-US"/>
        </w:rPr>
        <w:t xml:space="preserve"> </w:t>
      </w:r>
      <w:r>
        <w:rPr>
          <w:rFonts w:ascii="Arial" w:eastAsiaTheme="minorHAnsi" w:hAnsi="Arial" w:cs="Arial"/>
          <w:sz w:val="22"/>
          <w:szCs w:val="22"/>
          <w:lang w:eastAsia="en-US"/>
        </w:rPr>
        <w:t>la</w:t>
      </w:r>
      <w:r w:rsidR="006E71C0" w:rsidRPr="006E71C0">
        <w:rPr>
          <w:rFonts w:ascii="Arial" w:eastAsiaTheme="minorHAnsi" w:hAnsi="Arial" w:cs="Arial"/>
          <w:sz w:val="22"/>
          <w:szCs w:val="22"/>
          <w:lang w:eastAsia="en-US"/>
        </w:rPr>
        <w:t xml:space="preserve">s inhabilidades que surgen como </w:t>
      </w:r>
      <w:r>
        <w:rPr>
          <w:rFonts w:ascii="Arial" w:eastAsiaTheme="minorHAnsi" w:hAnsi="Arial" w:cs="Arial"/>
          <w:sz w:val="22"/>
          <w:szCs w:val="22"/>
          <w:lang w:eastAsia="en-US"/>
        </w:rPr>
        <w:t>resultado d</w:t>
      </w:r>
      <w:r w:rsidR="006E71C0" w:rsidRPr="006E71C0">
        <w:rPr>
          <w:rFonts w:ascii="Arial" w:eastAsiaTheme="minorHAnsi" w:hAnsi="Arial" w:cs="Arial"/>
          <w:sz w:val="22"/>
          <w:szCs w:val="22"/>
          <w:lang w:eastAsia="en-US"/>
        </w:rPr>
        <w:t>e un proceso sancionatorio</w:t>
      </w:r>
      <w:r w:rsidR="00176A37">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en los ámbitos penal, disciplinario, contravencional o de pérdida de investidura</w:t>
      </w:r>
      <w:r>
        <w:rPr>
          <w:rFonts w:ascii="Arial" w:eastAsiaTheme="minorHAnsi" w:hAnsi="Arial" w:cs="Arial"/>
          <w:sz w:val="22"/>
          <w:szCs w:val="22"/>
          <w:lang w:eastAsia="en-US"/>
        </w:rPr>
        <w:t xml:space="preserve">, en el segundo </w:t>
      </w:r>
      <w:r w:rsidR="006E71C0" w:rsidRPr="006E71C0">
        <w:rPr>
          <w:rFonts w:ascii="Arial" w:eastAsiaTheme="minorHAnsi" w:hAnsi="Arial" w:cs="Arial"/>
          <w:sz w:val="22"/>
          <w:szCs w:val="22"/>
          <w:lang w:eastAsia="en-US"/>
        </w:rPr>
        <w:t>están</w:t>
      </w:r>
      <w:r>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aquellas que</w:t>
      </w:r>
      <w:r>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no</w:t>
      </w:r>
      <w:r>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devienen</w:t>
      </w:r>
      <w:r w:rsidR="00176A37">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de</w:t>
      </w:r>
      <w:r w:rsidR="00176A37">
        <w:rPr>
          <w:rFonts w:ascii="Arial" w:eastAsiaTheme="minorHAnsi" w:hAnsi="Arial" w:cs="Arial"/>
          <w:sz w:val="22"/>
          <w:szCs w:val="22"/>
          <w:lang w:eastAsia="en-US"/>
        </w:rPr>
        <w:t xml:space="preserve"> este tipo de procesos</w:t>
      </w:r>
      <w:r w:rsidR="006E71C0" w:rsidRPr="006E71C0">
        <w:rPr>
          <w:rFonts w:ascii="Arial" w:eastAsiaTheme="minorHAnsi" w:hAnsi="Arial" w:cs="Arial"/>
          <w:sz w:val="22"/>
          <w:szCs w:val="22"/>
          <w:lang w:eastAsia="en-US"/>
        </w:rPr>
        <w:t>, sino de condiciones propias de la persona</w:t>
      </w:r>
      <w:r w:rsidR="006E71C0" w:rsidRPr="006E71C0">
        <w:rPr>
          <w:rFonts w:ascii="Arial" w:eastAsiaTheme="minorHAnsi" w:hAnsi="Arial" w:cs="Arial"/>
          <w:sz w:val="22"/>
          <w:szCs w:val="22"/>
          <w:vertAlign w:val="superscript"/>
          <w:lang w:eastAsia="en-US"/>
        </w:rPr>
        <w:footnoteReference w:id="7"/>
      </w:r>
      <w:r w:rsidR="00176A37">
        <w:rPr>
          <w:rFonts w:ascii="Arial" w:eastAsiaTheme="minorHAnsi" w:hAnsi="Arial" w:cs="Arial"/>
          <w:sz w:val="22"/>
          <w:szCs w:val="22"/>
          <w:lang w:eastAsia="en-US"/>
        </w:rPr>
        <w:t>.</w:t>
      </w:r>
    </w:p>
    <w:p w14:paraId="2B3C91E8" w14:textId="3F34E509" w:rsidR="00A65E14" w:rsidRDefault="005A5FB5" w:rsidP="00A65E14">
      <w:pPr>
        <w:spacing w:before="120" w:line="259" w:lineRule="auto"/>
        <w:ind w:firstLine="708"/>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Por ejemplo, </w:t>
      </w:r>
      <w:r w:rsidR="006E71C0" w:rsidRPr="006E71C0">
        <w:rPr>
          <w:rFonts w:ascii="Arial" w:eastAsiaTheme="minorHAnsi" w:hAnsi="Arial" w:cs="Arial"/>
          <w:sz w:val="22"/>
          <w:szCs w:val="22"/>
          <w:lang w:eastAsia="en-US"/>
        </w:rPr>
        <w:t>en materia</w:t>
      </w:r>
      <w:r w:rsidR="00B97FE9">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contractual</w:t>
      </w:r>
      <w:r>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los literales c), d) y j)</w:t>
      </w:r>
      <w:r w:rsidR="00176A37">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del numeral 1</w:t>
      </w:r>
      <w:r>
        <w:rPr>
          <w:rFonts w:ascii="Arial" w:eastAsiaTheme="minorHAnsi" w:hAnsi="Arial" w:cs="Arial"/>
          <w:sz w:val="22"/>
          <w:szCs w:val="22"/>
          <w:lang w:eastAsia="en-US"/>
        </w:rPr>
        <w:t xml:space="preserve">º </w:t>
      </w:r>
      <w:r w:rsidR="006E71C0" w:rsidRPr="006E71C0">
        <w:rPr>
          <w:rFonts w:ascii="Arial" w:eastAsiaTheme="minorHAnsi" w:hAnsi="Arial" w:cs="Arial"/>
          <w:sz w:val="22"/>
          <w:szCs w:val="22"/>
          <w:lang w:eastAsia="en-US"/>
        </w:rPr>
        <w:t>del artículo 8 de la Ley 80 de 1993</w:t>
      </w:r>
      <w:r w:rsidR="006E71C0" w:rsidRPr="006E71C0">
        <w:rPr>
          <w:rFonts w:ascii="Arial" w:eastAsiaTheme="minorHAnsi" w:hAnsi="Arial" w:cs="Arial"/>
          <w:sz w:val="22"/>
          <w:szCs w:val="22"/>
          <w:vertAlign w:val="superscript"/>
          <w:lang w:eastAsia="en-US"/>
        </w:rPr>
        <w:footnoteReference w:id="8"/>
      </w:r>
      <w:r w:rsidR="006E71C0" w:rsidRPr="006E71C0">
        <w:rPr>
          <w:rFonts w:ascii="Arial" w:eastAsiaTheme="minorHAnsi" w:hAnsi="Arial" w:cs="Arial"/>
          <w:sz w:val="22"/>
          <w:szCs w:val="22"/>
          <w:lang w:eastAsia="en-US"/>
        </w:rPr>
        <w:t xml:space="preserve"> establecen </w:t>
      </w:r>
      <w:r w:rsidR="006E71C0" w:rsidRPr="006E71C0">
        <w:rPr>
          <w:rFonts w:ascii="Arial" w:eastAsiaTheme="minorHAnsi" w:hAnsi="Arial" w:cs="Arial"/>
          <w:i/>
          <w:iCs/>
          <w:sz w:val="22"/>
          <w:szCs w:val="22"/>
          <w:lang w:eastAsia="en-US"/>
        </w:rPr>
        <w:t>inhabilidades-sanción</w:t>
      </w:r>
      <w:r w:rsidR="006E71C0" w:rsidRPr="006E71C0">
        <w:rPr>
          <w:rFonts w:ascii="Arial" w:eastAsiaTheme="minorHAnsi" w:hAnsi="Arial" w:cs="Arial"/>
          <w:sz w:val="22"/>
          <w:szCs w:val="22"/>
          <w:lang w:eastAsia="en-US"/>
        </w:rPr>
        <w:t xml:space="preserve">, </w:t>
      </w:r>
      <w:r>
        <w:rPr>
          <w:rFonts w:ascii="Arial" w:eastAsiaTheme="minorHAnsi" w:hAnsi="Arial" w:cs="Arial"/>
          <w:sz w:val="22"/>
          <w:szCs w:val="22"/>
          <w:lang w:eastAsia="en-US"/>
        </w:rPr>
        <w:t xml:space="preserve">porque </w:t>
      </w:r>
      <w:r w:rsidR="006E71C0" w:rsidRPr="006E71C0">
        <w:rPr>
          <w:rFonts w:ascii="Arial" w:eastAsiaTheme="minorHAnsi" w:hAnsi="Arial" w:cs="Arial"/>
          <w:sz w:val="22"/>
          <w:szCs w:val="22"/>
          <w:lang w:eastAsia="en-US"/>
        </w:rPr>
        <w:t xml:space="preserve">la prohibición para contratar con el Estado en </w:t>
      </w:r>
      <w:r w:rsidR="00A65E14">
        <w:rPr>
          <w:rFonts w:ascii="Arial" w:eastAsiaTheme="minorHAnsi" w:hAnsi="Arial" w:cs="Arial"/>
          <w:sz w:val="22"/>
          <w:szCs w:val="22"/>
          <w:lang w:eastAsia="en-US"/>
        </w:rPr>
        <w:t xml:space="preserve">tales </w:t>
      </w:r>
      <w:r w:rsidR="006E71C0" w:rsidRPr="006E71C0">
        <w:rPr>
          <w:rFonts w:ascii="Arial" w:eastAsiaTheme="minorHAnsi" w:hAnsi="Arial" w:cs="Arial"/>
          <w:sz w:val="22"/>
          <w:szCs w:val="22"/>
          <w:lang w:eastAsia="en-US"/>
        </w:rPr>
        <w:t>eventos es</w:t>
      </w:r>
      <w:r w:rsidR="00176A37">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consecuencia</w:t>
      </w:r>
      <w:r w:rsidR="00A65E14">
        <w:rPr>
          <w:rFonts w:ascii="Arial" w:eastAsiaTheme="minorHAnsi" w:hAnsi="Arial" w:cs="Arial"/>
          <w:sz w:val="22"/>
          <w:szCs w:val="22"/>
          <w:lang w:eastAsia="en-US"/>
        </w:rPr>
        <w:t xml:space="preserve"> directa </w:t>
      </w:r>
      <w:r w:rsidR="006E71C0" w:rsidRPr="006E71C0">
        <w:rPr>
          <w:rFonts w:ascii="Arial" w:eastAsiaTheme="minorHAnsi" w:hAnsi="Arial" w:cs="Arial"/>
          <w:sz w:val="22"/>
          <w:szCs w:val="22"/>
          <w:lang w:eastAsia="en-US"/>
        </w:rPr>
        <w:t>de una declaratoria de responsabilidad que</w:t>
      </w:r>
      <w:r w:rsidR="00A65E14">
        <w:rPr>
          <w:rFonts w:ascii="Arial" w:eastAsiaTheme="minorHAnsi" w:hAnsi="Arial" w:cs="Arial"/>
          <w:sz w:val="22"/>
          <w:szCs w:val="22"/>
          <w:lang w:eastAsia="en-US"/>
        </w:rPr>
        <w:t xml:space="preserve"> tiene lugar en el marco de </w:t>
      </w:r>
      <w:r w:rsidR="006E71C0" w:rsidRPr="006E71C0">
        <w:rPr>
          <w:rFonts w:ascii="Arial" w:eastAsiaTheme="minorHAnsi" w:hAnsi="Arial" w:cs="Arial"/>
          <w:sz w:val="22"/>
          <w:szCs w:val="22"/>
          <w:lang w:eastAsia="en-US"/>
        </w:rPr>
        <w:t>un proceso</w:t>
      </w:r>
      <w:r w:rsidR="00A65E14">
        <w:rPr>
          <w:rFonts w:ascii="Arial" w:eastAsiaTheme="minorHAnsi" w:hAnsi="Arial" w:cs="Arial"/>
          <w:sz w:val="22"/>
          <w:szCs w:val="22"/>
          <w:lang w:eastAsia="en-US"/>
        </w:rPr>
        <w:t xml:space="preserve"> </w:t>
      </w:r>
      <w:r w:rsidR="00176A37">
        <w:rPr>
          <w:rFonts w:ascii="Arial" w:eastAsiaTheme="minorHAnsi" w:hAnsi="Arial" w:cs="Arial"/>
          <w:sz w:val="22"/>
          <w:szCs w:val="22"/>
          <w:lang w:eastAsia="en-US"/>
        </w:rPr>
        <w:t xml:space="preserve">de naturaleza </w:t>
      </w:r>
      <w:r w:rsidR="006E71C0" w:rsidRPr="006E71C0">
        <w:rPr>
          <w:rFonts w:ascii="Arial" w:eastAsiaTheme="minorHAnsi" w:hAnsi="Arial" w:cs="Arial"/>
          <w:sz w:val="22"/>
          <w:szCs w:val="22"/>
          <w:lang w:eastAsia="en-US"/>
        </w:rPr>
        <w:t>sancionatori</w:t>
      </w:r>
      <w:r w:rsidR="00176A37">
        <w:rPr>
          <w:rFonts w:ascii="Arial" w:eastAsiaTheme="minorHAnsi" w:hAnsi="Arial" w:cs="Arial"/>
          <w:sz w:val="22"/>
          <w:szCs w:val="22"/>
          <w:lang w:eastAsia="en-US"/>
        </w:rPr>
        <w:t>a</w:t>
      </w:r>
      <w:r w:rsidR="00B97FE9">
        <w:rPr>
          <w:rFonts w:ascii="Arial" w:eastAsiaTheme="minorHAnsi" w:hAnsi="Arial" w:cs="Arial"/>
          <w:sz w:val="22"/>
          <w:szCs w:val="22"/>
          <w:lang w:eastAsia="en-US"/>
        </w:rPr>
        <w:t>.</w:t>
      </w:r>
      <w:r w:rsidR="00A65E14">
        <w:rPr>
          <w:rFonts w:ascii="Arial" w:eastAsiaTheme="minorHAnsi" w:hAnsi="Arial" w:cs="Arial"/>
          <w:sz w:val="22"/>
          <w:szCs w:val="22"/>
          <w:lang w:eastAsia="en-US"/>
        </w:rPr>
        <w:t xml:space="preserve"> </w:t>
      </w:r>
      <w:r w:rsidR="00B97FE9">
        <w:rPr>
          <w:rFonts w:ascii="Arial" w:eastAsiaTheme="minorHAnsi" w:hAnsi="Arial" w:cs="Arial"/>
          <w:sz w:val="22"/>
          <w:szCs w:val="22"/>
          <w:lang w:eastAsia="en-US"/>
        </w:rPr>
        <w:t>Entre</w:t>
      </w:r>
      <w:r w:rsidR="009F3D32">
        <w:rPr>
          <w:rFonts w:ascii="Arial" w:eastAsiaTheme="minorHAnsi" w:hAnsi="Arial" w:cs="Arial"/>
          <w:sz w:val="22"/>
          <w:szCs w:val="22"/>
          <w:lang w:eastAsia="en-US"/>
        </w:rPr>
        <w:t xml:space="preserve"> </w:t>
      </w:r>
      <w:r w:rsidR="00B97FE9">
        <w:rPr>
          <w:rFonts w:ascii="Arial" w:eastAsiaTheme="minorHAnsi" w:hAnsi="Arial" w:cs="Arial"/>
          <w:sz w:val="22"/>
          <w:szCs w:val="22"/>
          <w:lang w:eastAsia="en-US"/>
        </w:rPr>
        <w:t>tanto,</w:t>
      </w:r>
      <w:r w:rsidR="009F3D32">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las</w:t>
      </w:r>
      <w:r w:rsidR="009F3D32">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inhabilidades</w:t>
      </w:r>
      <w:r w:rsidR="009F3D32">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de los literales</w:t>
      </w:r>
      <w:r w:rsidR="009F3D32">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f),</w:t>
      </w:r>
      <w:r w:rsidR="00B97FE9">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 xml:space="preserve">g) y h) </w:t>
      </w:r>
      <w:r w:rsidR="009F3D32">
        <w:rPr>
          <w:rFonts w:ascii="Arial" w:eastAsiaTheme="minorHAnsi" w:hAnsi="Arial" w:cs="Arial"/>
          <w:sz w:val="22"/>
          <w:szCs w:val="22"/>
          <w:lang w:eastAsia="en-US"/>
        </w:rPr>
        <w:t xml:space="preserve">contenidos en </w:t>
      </w:r>
      <w:r w:rsidR="00B97FE9">
        <w:rPr>
          <w:rFonts w:ascii="Arial" w:eastAsiaTheme="minorHAnsi" w:hAnsi="Arial" w:cs="Arial"/>
          <w:sz w:val="22"/>
          <w:szCs w:val="22"/>
          <w:lang w:eastAsia="en-US"/>
        </w:rPr>
        <w:t xml:space="preserve">la misma norma consagran </w:t>
      </w:r>
      <w:r w:rsidR="006E71C0" w:rsidRPr="006E71C0">
        <w:rPr>
          <w:rFonts w:ascii="Arial" w:eastAsiaTheme="minorHAnsi" w:hAnsi="Arial" w:cs="Arial"/>
          <w:i/>
          <w:iCs/>
          <w:sz w:val="22"/>
          <w:szCs w:val="22"/>
          <w:lang w:eastAsia="en-US"/>
        </w:rPr>
        <w:t>inhabilidades</w:t>
      </w:r>
      <w:r w:rsidR="00B97FE9" w:rsidRPr="00B97FE9">
        <w:rPr>
          <w:rFonts w:ascii="Arial" w:eastAsiaTheme="minorHAnsi" w:hAnsi="Arial" w:cs="Arial"/>
          <w:i/>
          <w:iCs/>
          <w:sz w:val="22"/>
          <w:szCs w:val="22"/>
          <w:lang w:eastAsia="en-US"/>
        </w:rPr>
        <w:t>-</w:t>
      </w:r>
      <w:r w:rsidR="006E71C0" w:rsidRPr="006E71C0">
        <w:rPr>
          <w:rFonts w:ascii="Arial" w:eastAsiaTheme="minorHAnsi" w:hAnsi="Arial" w:cs="Arial"/>
          <w:i/>
          <w:iCs/>
          <w:sz w:val="22"/>
          <w:szCs w:val="22"/>
          <w:lang w:eastAsia="en-US"/>
        </w:rPr>
        <w:t>requisito</w:t>
      </w:r>
      <w:r w:rsidR="006E71C0" w:rsidRPr="006E71C0">
        <w:rPr>
          <w:rFonts w:ascii="Arial" w:eastAsiaTheme="minorHAnsi" w:hAnsi="Arial" w:cs="Arial"/>
          <w:sz w:val="22"/>
          <w:szCs w:val="22"/>
          <w:lang w:eastAsia="en-US"/>
        </w:rPr>
        <w:t>,</w:t>
      </w:r>
      <w:r w:rsidR="00B97FE9">
        <w:rPr>
          <w:rFonts w:ascii="Arial" w:eastAsiaTheme="minorHAnsi" w:hAnsi="Arial" w:cs="Arial"/>
          <w:sz w:val="22"/>
          <w:szCs w:val="22"/>
          <w:lang w:eastAsia="en-US"/>
        </w:rPr>
        <w:t xml:space="preserve"> pues </w:t>
      </w:r>
      <w:r w:rsidR="006E71C0" w:rsidRPr="006E71C0">
        <w:rPr>
          <w:rFonts w:ascii="Arial" w:eastAsiaTheme="minorHAnsi" w:hAnsi="Arial" w:cs="Arial"/>
          <w:sz w:val="22"/>
          <w:szCs w:val="22"/>
          <w:lang w:eastAsia="en-US"/>
        </w:rPr>
        <w:t>no se configuran</w:t>
      </w:r>
      <w:r w:rsidR="00B97FE9">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 xml:space="preserve">por la comisión previa de una falta o </w:t>
      </w:r>
      <w:r w:rsidR="00A65E14">
        <w:rPr>
          <w:rFonts w:ascii="Arial" w:eastAsiaTheme="minorHAnsi" w:hAnsi="Arial" w:cs="Arial"/>
          <w:sz w:val="22"/>
          <w:szCs w:val="22"/>
          <w:lang w:eastAsia="en-US"/>
        </w:rPr>
        <w:t xml:space="preserve">de </w:t>
      </w:r>
      <w:r w:rsidR="006E71C0" w:rsidRPr="006E71C0">
        <w:rPr>
          <w:rFonts w:ascii="Arial" w:eastAsiaTheme="minorHAnsi" w:hAnsi="Arial" w:cs="Arial"/>
          <w:sz w:val="22"/>
          <w:szCs w:val="22"/>
          <w:lang w:eastAsia="en-US"/>
        </w:rPr>
        <w:t>un delito que</w:t>
      </w:r>
      <w:r w:rsidR="009F3D32">
        <w:rPr>
          <w:rFonts w:ascii="Arial" w:eastAsiaTheme="minorHAnsi" w:hAnsi="Arial" w:cs="Arial"/>
          <w:sz w:val="22"/>
          <w:szCs w:val="22"/>
          <w:lang w:eastAsia="en-US"/>
        </w:rPr>
        <w:t xml:space="preserve"> justifica</w:t>
      </w:r>
      <w:r w:rsidR="00A65E14">
        <w:rPr>
          <w:rFonts w:ascii="Arial" w:eastAsiaTheme="minorHAnsi" w:hAnsi="Arial" w:cs="Arial"/>
          <w:sz w:val="22"/>
          <w:szCs w:val="22"/>
          <w:lang w:eastAsia="en-US"/>
        </w:rPr>
        <w:t xml:space="preserve">n </w:t>
      </w:r>
      <w:r w:rsidR="009F3D32">
        <w:rPr>
          <w:rFonts w:ascii="Arial" w:eastAsiaTheme="minorHAnsi" w:hAnsi="Arial" w:cs="Arial"/>
          <w:sz w:val="22"/>
          <w:szCs w:val="22"/>
          <w:lang w:eastAsia="en-US"/>
        </w:rPr>
        <w:t xml:space="preserve">la </w:t>
      </w:r>
      <w:r w:rsidR="00A65E14">
        <w:rPr>
          <w:rFonts w:ascii="Arial" w:eastAsiaTheme="minorHAnsi" w:hAnsi="Arial" w:cs="Arial"/>
          <w:sz w:val="22"/>
          <w:szCs w:val="22"/>
          <w:lang w:eastAsia="en-US"/>
        </w:rPr>
        <w:t xml:space="preserve">respectiva </w:t>
      </w:r>
      <w:r w:rsidR="006E71C0" w:rsidRPr="006E71C0">
        <w:rPr>
          <w:rFonts w:ascii="Arial" w:eastAsiaTheme="minorHAnsi" w:hAnsi="Arial" w:cs="Arial"/>
          <w:sz w:val="22"/>
          <w:szCs w:val="22"/>
          <w:lang w:eastAsia="en-US"/>
        </w:rPr>
        <w:t xml:space="preserve">declaratoria por parte de la Administración o el juez, sino de aspectos propios de la persona, </w:t>
      </w:r>
      <w:r w:rsidR="006E71C0" w:rsidRPr="006E71C0">
        <w:rPr>
          <w:rFonts w:ascii="Arial" w:eastAsiaTheme="minorHAnsi" w:hAnsi="Arial" w:cs="Arial"/>
          <w:sz w:val="22"/>
          <w:szCs w:val="22"/>
          <w:lang w:eastAsia="en-US"/>
        </w:rPr>
        <w:lastRenderedPageBreak/>
        <w:t xml:space="preserve">derivados, </w:t>
      </w:r>
      <w:r w:rsidR="009F3D32">
        <w:rPr>
          <w:rFonts w:ascii="Arial" w:eastAsiaTheme="minorHAnsi" w:hAnsi="Arial" w:cs="Arial"/>
          <w:sz w:val="22"/>
          <w:szCs w:val="22"/>
          <w:lang w:eastAsia="en-US"/>
        </w:rPr>
        <w:t xml:space="preserve">verbigracia, </w:t>
      </w:r>
      <w:r w:rsidR="006E71C0" w:rsidRPr="006E71C0">
        <w:rPr>
          <w:rFonts w:ascii="Arial" w:eastAsiaTheme="minorHAnsi" w:hAnsi="Arial" w:cs="Arial"/>
          <w:sz w:val="22"/>
          <w:szCs w:val="22"/>
          <w:lang w:eastAsia="en-US"/>
        </w:rPr>
        <w:t>del parentesco o la afinidad o de la condición de servidor público</w:t>
      </w:r>
      <w:bookmarkStart w:id="12" w:name="_Hlk40976328"/>
      <w:r w:rsidR="007D228F">
        <w:rPr>
          <w:rFonts w:ascii="Arial" w:eastAsiaTheme="minorHAnsi" w:hAnsi="Arial" w:cs="Arial"/>
          <w:sz w:val="22"/>
          <w:szCs w:val="22"/>
          <w:lang w:eastAsia="en-US"/>
        </w:rPr>
        <w:t xml:space="preserve">. Con todo, en ambos eventos, </w:t>
      </w:r>
      <w:r w:rsidR="006E71C0" w:rsidRPr="006E71C0">
        <w:rPr>
          <w:rFonts w:ascii="Arial" w:eastAsiaTheme="minorHAnsi" w:hAnsi="Arial" w:cs="Arial"/>
          <w:sz w:val="22"/>
          <w:szCs w:val="22"/>
          <w:lang w:eastAsia="en-US"/>
        </w:rPr>
        <w:t>la inhabilidad tiene como fuente una situación o un hecho propio del proponente</w:t>
      </w:r>
      <w:r w:rsidR="007D228F">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una conducta o una condición</w:t>
      </w:r>
      <w:r w:rsidR="007D228F">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ajena a la oferta.</w:t>
      </w:r>
      <w:r w:rsidR="007D228F">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La inhabilidad surge,</w:t>
      </w:r>
      <w:r w:rsidR="00C0281B">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entre</w:t>
      </w:r>
      <w:r w:rsidR="00C0281B">
        <w:rPr>
          <w:rFonts w:ascii="Arial" w:eastAsiaTheme="minorHAnsi" w:hAnsi="Arial" w:cs="Arial"/>
          <w:sz w:val="22"/>
          <w:szCs w:val="22"/>
          <w:lang w:eastAsia="en-US"/>
        </w:rPr>
        <w:t xml:space="preserve"> </w:t>
      </w:r>
      <w:r w:rsidR="006E71C0" w:rsidRPr="006E71C0">
        <w:rPr>
          <w:rFonts w:ascii="Arial" w:eastAsiaTheme="minorHAnsi" w:hAnsi="Arial" w:cs="Arial"/>
          <w:sz w:val="22"/>
          <w:szCs w:val="22"/>
          <w:lang w:eastAsia="en-US"/>
        </w:rPr>
        <w:t>otr</w:t>
      </w:r>
      <w:r w:rsidR="00A65E14">
        <w:rPr>
          <w:rFonts w:ascii="Arial" w:eastAsiaTheme="minorHAnsi" w:hAnsi="Arial" w:cs="Arial"/>
          <w:sz w:val="22"/>
          <w:szCs w:val="22"/>
          <w:lang w:eastAsia="en-US"/>
        </w:rPr>
        <w:t>a</w:t>
      </w:r>
      <w:r w:rsidR="006E71C0" w:rsidRPr="006E71C0">
        <w:rPr>
          <w:rFonts w:ascii="Arial" w:eastAsiaTheme="minorHAnsi" w:hAnsi="Arial" w:cs="Arial"/>
          <w:sz w:val="22"/>
          <w:szCs w:val="22"/>
          <w:lang w:eastAsia="en-US"/>
        </w:rPr>
        <w:t>s</w:t>
      </w:r>
      <w:r w:rsidR="00C0281B">
        <w:rPr>
          <w:rFonts w:ascii="Arial" w:eastAsiaTheme="minorHAnsi" w:hAnsi="Arial" w:cs="Arial"/>
          <w:sz w:val="22"/>
          <w:szCs w:val="22"/>
          <w:lang w:eastAsia="en-US"/>
        </w:rPr>
        <w:t xml:space="preserve"> circunstancias, </w:t>
      </w:r>
      <w:r w:rsidR="006E71C0" w:rsidRPr="006E71C0">
        <w:rPr>
          <w:rFonts w:ascii="Arial" w:eastAsiaTheme="minorHAnsi" w:hAnsi="Arial" w:cs="Arial"/>
          <w:sz w:val="22"/>
          <w:szCs w:val="22"/>
          <w:lang w:eastAsia="en-US"/>
        </w:rPr>
        <w:t>por su grado de parentesco o afinidad, por su condición de servidor público o por una declaratoria de responsabilidad penal, disciplinaria o sancionatoria contractual</w:t>
      </w:r>
      <w:bookmarkEnd w:id="12"/>
      <w:r w:rsidR="00974705">
        <w:rPr>
          <w:rFonts w:ascii="Arial" w:eastAsiaTheme="minorHAnsi" w:hAnsi="Arial" w:cs="Arial"/>
          <w:sz w:val="22"/>
          <w:szCs w:val="22"/>
          <w:lang w:eastAsia="en-US"/>
        </w:rPr>
        <w:t>.</w:t>
      </w:r>
    </w:p>
    <w:p w14:paraId="165156D6" w14:textId="6B436E39" w:rsidR="00C0281B" w:rsidRPr="00B66024" w:rsidRDefault="00B17718" w:rsidP="00C0281B">
      <w:pPr>
        <w:spacing w:before="120" w:line="259" w:lineRule="auto"/>
        <w:jc w:val="both"/>
        <w:rPr>
          <w:rFonts w:ascii="Arial" w:eastAsia="Calibri" w:hAnsi="Arial" w:cs="Arial"/>
          <w:bCs/>
          <w:sz w:val="22"/>
          <w:szCs w:val="22"/>
          <w:lang w:val="es-ES_tradnl" w:eastAsia="en-US"/>
        </w:rPr>
      </w:pPr>
      <w:bookmarkStart w:id="13" w:name="_Hlk138077870"/>
      <w:r w:rsidRPr="00B17718">
        <w:rPr>
          <w:rFonts w:ascii="Arial" w:eastAsia="Calibri" w:hAnsi="Arial" w:cs="Arial"/>
          <w:b/>
          <w:sz w:val="22"/>
          <w:lang w:val="es-ES_tradnl"/>
        </w:rPr>
        <w:t>2.2.</w:t>
      </w:r>
      <w:r w:rsidRPr="00B17718">
        <w:rPr>
          <w:rFonts w:ascii="Arial" w:eastAsia="Calibri" w:hAnsi="Arial" w:cs="Arial"/>
          <w:b/>
          <w:sz w:val="22"/>
          <w:lang w:val="es-ES_tradnl"/>
        </w:rPr>
        <w:tab/>
      </w:r>
      <w:bookmarkStart w:id="14" w:name="_Hlk138078202"/>
      <w:bookmarkEnd w:id="13"/>
      <w:r w:rsidR="00C0281B">
        <w:rPr>
          <w:rFonts w:ascii="Arial" w:eastAsia="Calibri" w:hAnsi="Arial" w:cs="Arial"/>
          <w:b/>
          <w:sz w:val="22"/>
          <w:szCs w:val="22"/>
          <w:lang w:val="es-ES_tradnl" w:eastAsia="en-US"/>
        </w:rPr>
        <w:t xml:space="preserve">Los </w:t>
      </w:r>
      <w:r w:rsidR="00A65E14" w:rsidRPr="00A65E14">
        <w:rPr>
          <w:rFonts w:ascii="Arial" w:eastAsia="Calibri" w:hAnsi="Arial" w:cs="Arial"/>
          <w:b/>
          <w:sz w:val="22"/>
          <w:szCs w:val="22"/>
          <w:lang w:val="es-ES_tradnl" w:eastAsia="en-US"/>
        </w:rPr>
        <w:t>límite</w:t>
      </w:r>
      <w:r w:rsidR="00C0281B">
        <w:rPr>
          <w:rFonts w:ascii="Arial" w:eastAsia="Calibri" w:hAnsi="Arial" w:cs="Arial"/>
          <w:b/>
          <w:sz w:val="22"/>
          <w:szCs w:val="22"/>
          <w:lang w:val="es-ES_tradnl" w:eastAsia="en-US"/>
        </w:rPr>
        <w:t xml:space="preserve">s de </w:t>
      </w:r>
      <w:r w:rsidR="00A65E14" w:rsidRPr="00A65E14">
        <w:rPr>
          <w:rFonts w:ascii="Arial" w:eastAsia="Calibri" w:hAnsi="Arial" w:cs="Arial"/>
          <w:b/>
          <w:sz w:val="22"/>
          <w:szCs w:val="22"/>
          <w:lang w:val="es-ES_tradnl" w:eastAsia="en-US"/>
        </w:rPr>
        <w:t>la capacidad contractual</w:t>
      </w:r>
      <w:r w:rsidR="00C0281B">
        <w:rPr>
          <w:rFonts w:ascii="Arial" w:eastAsia="Calibri" w:hAnsi="Arial" w:cs="Arial"/>
          <w:b/>
          <w:sz w:val="22"/>
          <w:szCs w:val="22"/>
          <w:lang w:val="es-ES_tradnl" w:eastAsia="en-US"/>
        </w:rPr>
        <w:t xml:space="preserve"> en relación con la</w:t>
      </w:r>
      <w:r w:rsidR="00974705">
        <w:rPr>
          <w:rFonts w:ascii="Arial" w:eastAsia="Calibri" w:hAnsi="Arial" w:cs="Arial"/>
          <w:b/>
          <w:sz w:val="22"/>
          <w:szCs w:val="22"/>
          <w:lang w:val="es-ES_tradnl" w:eastAsia="en-US"/>
        </w:rPr>
        <w:t xml:space="preserve"> </w:t>
      </w:r>
      <w:r w:rsidR="00C0281B">
        <w:rPr>
          <w:rFonts w:ascii="Arial" w:eastAsia="Calibri" w:hAnsi="Arial" w:cs="Arial"/>
          <w:b/>
          <w:sz w:val="22"/>
          <w:szCs w:val="22"/>
          <w:lang w:val="es-ES_tradnl" w:eastAsia="en-US"/>
        </w:rPr>
        <w:t>reserva de ley y la interpretación restrictiva de enunciados normativos gravosos</w:t>
      </w:r>
      <w:bookmarkEnd w:id="14"/>
    </w:p>
    <w:p w14:paraId="0B7DBEE3" w14:textId="77777777" w:rsidR="00C0281B" w:rsidRPr="002C4E97" w:rsidRDefault="00C0281B" w:rsidP="00C0281B">
      <w:pPr>
        <w:tabs>
          <w:tab w:val="left" w:pos="142"/>
          <w:tab w:val="left" w:pos="426"/>
        </w:tabs>
        <w:spacing w:line="276" w:lineRule="auto"/>
        <w:contextualSpacing/>
        <w:jc w:val="both"/>
        <w:rPr>
          <w:rFonts w:ascii="Arial" w:eastAsia="Calibri" w:hAnsi="Arial" w:cs="Arial"/>
          <w:bCs/>
          <w:sz w:val="22"/>
          <w:szCs w:val="22"/>
          <w:lang w:val="es-ES" w:eastAsia="en-US"/>
        </w:rPr>
      </w:pPr>
    </w:p>
    <w:p w14:paraId="29F8A71E" w14:textId="580E5033" w:rsidR="00C0281B" w:rsidRPr="00C0281B" w:rsidRDefault="00B66024" w:rsidP="00B66024">
      <w:pPr>
        <w:spacing w:after="120" w:line="276" w:lineRule="auto"/>
        <w:jc w:val="both"/>
        <w:rPr>
          <w:rFonts w:ascii="Arial" w:eastAsiaTheme="minorHAnsi" w:hAnsi="Arial" w:cs="Arial"/>
          <w:sz w:val="22"/>
          <w:szCs w:val="22"/>
          <w:lang w:val="es-MX" w:eastAsia="en-US"/>
        </w:rPr>
      </w:pPr>
      <w:bookmarkStart w:id="15" w:name="_Hlk138085385"/>
      <w:r>
        <w:rPr>
          <w:rFonts w:ascii="Arial" w:eastAsia="Calibri" w:hAnsi="Arial" w:cs="Arial"/>
          <w:sz w:val="22"/>
          <w:szCs w:val="22"/>
          <w:lang w:val="es-MX" w:eastAsia="en-US"/>
        </w:rPr>
        <w:t>En materia de contratación estatal</w:t>
      </w:r>
      <w:r w:rsidR="00C0281B" w:rsidRPr="00C0281B">
        <w:rPr>
          <w:rFonts w:ascii="Arial" w:eastAsia="Calibri" w:hAnsi="Arial" w:cs="Arial"/>
          <w:sz w:val="22"/>
          <w:szCs w:val="22"/>
          <w:lang w:val="es-ES_tradnl" w:eastAsia="en-US"/>
        </w:rPr>
        <w:t>,</w:t>
      </w:r>
      <w:r>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 xml:space="preserve">la </w:t>
      </w:r>
      <w:r w:rsidR="00C0281B" w:rsidRPr="00C0281B">
        <w:rPr>
          <w:rFonts w:ascii="Arial" w:eastAsia="Calibri" w:hAnsi="Arial" w:cs="Arial"/>
          <w:i/>
          <w:iCs/>
          <w:sz w:val="22"/>
          <w:szCs w:val="22"/>
          <w:lang w:val="es-ES_tradnl" w:eastAsia="en-US"/>
        </w:rPr>
        <w:t>capacidad</w:t>
      </w:r>
      <w:r>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es un requisito de validez de los contratos, tanto en el régimen de las entidades sujetas al Estatuto General de Contratación de la Administración Pública</w:t>
      </w:r>
      <w:r>
        <w:rPr>
          <w:rFonts w:ascii="Arial" w:eastAsia="Calibri" w:hAnsi="Arial" w:cs="Arial"/>
          <w:sz w:val="22"/>
          <w:szCs w:val="22"/>
          <w:lang w:val="es-ES_tradnl" w:eastAsia="en-US"/>
        </w:rPr>
        <w:t xml:space="preserve"> -EGCAP-</w:t>
      </w:r>
      <w:r w:rsidR="00C0281B" w:rsidRPr="00C0281B">
        <w:rPr>
          <w:rFonts w:ascii="Arial" w:eastAsia="Calibri" w:hAnsi="Arial" w:cs="Arial"/>
          <w:sz w:val="22"/>
          <w:szCs w:val="22"/>
          <w:vertAlign w:val="superscript"/>
          <w:lang w:val="es-ES_tradnl" w:eastAsia="en-US"/>
        </w:rPr>
        <w:footnoteReference w:id="9"/>
      </w:r>
      <w:r w:rsidR="00C0281B" w:rsidRPr="00C0281B">
        <w:rPr>
          <w:rFonts w:ascii="Arial" w:eastAsia="Calibri" w:hAnsi="Arial" w:cs="Arial"/>
          <w:sz w:val="22"/>
          <w:szCs w:val="22"/>
          <w:lang w:val="es-ES_tradnl" w:eastAsia="en-US"/>
        </w:rPr>
        <w:t xml:space="preserve"> como en el de las entidades exceptuadas de aquel</w:t>
      </w:r>
      <w:r w:rsidR="00C0281B" w:rsidRPr="00C0281B">
        <w:rPr>
          <w:rFonts w:ascii="Arial" w:eastAsia="Calibri" w:hAnsi="Arial" w:cs="Arial"/>
          <w:sz w:val="22"/>
          <w:szCs w:val="22"/>
          <w:vertAlign w:val="superscript"/>
          <w:lang w:val="es-ES_tradnl" w:eastAsia="en-US"/>
        </w:rPr>
        <w:footnoteReference w:id="10"/>
      </w:r>
      <w:r w:rsidR="00C0281B" w:rsidRPr="00C0281B">
        <w:rPr>
          <w:rFonts w:ascii="Arial" w:eastAsia="Calibri" w:hAnsi="Arial" w:cs="Arial"/>
          <w:sz w:val="22"/>
          <w:szCs w:val="22"/>
          <w:lang w:val="es-ES_tradnl" w:eastAsia="en-US"/>
        </w:rPr>
        <w:t xml:space="preserve">. </w:t>
      </w:r>
      <w:r>
        <w:rPr>
          <w:rFonts w:ascii="Arial" w:eastAsia="Calibri" w:hAnsi="Arial" w:cs="Arial"/>
          <w:sz w:val="22"/>
          <w:szCs w:val="22"/>
          <w:lang w:val="es-ES_tradnl" w:eastAsia="en-US"/>
        </w:rPr>
        <w:t xml:space="preserve">Y aunque </w:t>
      </w:r>
      <w:r w:rsidR="00C0281B" w:rsidRPr="00C0281B">
        <w:rPr>
          <w:rFonts w:ascii="Arial" w:eastAsia="Calibri" w:hAnsi="Arial" w:cs="Arial"/>
          <w:sz w:val="22"/>
          <w:szCs w:val="22"/>
          <w:lang w:val="es-ES_tradnl" w:eastAsia="en-US"/>
        </w:rPr>
        <w:t xml:space="preserve">la regulación de la capacidad se integra por varias disposiciones y exigencias especiales </w:t>
      </w:r>
      <w:r>
        <w:rPr>
          <w:rFonts w:ascii="Arial" w:eastAsia="Calibri" w:hAnsi="Arial" w:cs="Arial"/>
          <w:sz w:val="22"/>
          <w:szCs w:val="22"/>
          <w:lang w:val="es-ES_tradnl" w:eastAsia="en-US"/>
        </w:rPr>
        <w:t>-</w:t>
      </w:r>
      <w:r w:rsidR="00C0281B" w:rsidRPr="00C0281B">
        <w:rPr>
          <w:rFonts w:ascii="Arial" w:eastAsia="Calibri" w:hAnsi="Arial" w:cs="Arial"/>
          <w:sz w:val="22"/>
          <w:szCs w:val="22"/>
          <w:lang w:val="es-ES_tradnl" w:eastAsia="en-US"/>
        </w:rPr>
        <w:t>como el requisito de inscribirse, por regla general, en el Registro Único de Proponentes</w:t>
      </w:r>
      <w:r w:rsidR="00974705">
        <w:rPr>
          <w:rFonts w:ascii="Arial" w:eastAsia="Calibri" w:hAnsi="Arial" w:cs="Arial"/>
          <w:sz w:val="22"/>
          <w:szCs w:val="22"/>
          <w:lang w:val="es-ES_tradnl" w:eastAsia="en-US"/>
        </w:rPr>
        <w:t xml:space="preserve"> al amparo d</w:t>
      </w:r>
      <w:r w:rsidR="00C0281B" w:rsidRPr="00C0281B">
        <w:rPr>
          <w:rFonts w:ascii="Arial" w:eastAsia="Calibri" w:hAnsi="Arial" w:cs="Arial"/>
          <w:sz w:val="22"/>
          <w:szCs w:val="22"/>
          <w:lang w:val="es-ES_tradnl" w:eastAsia="en-US"/>
        </w:rPr>
        <w:t>el artículo 6 de la Ley 1150 de 2007, modificado por el artículo 221 del Decreto 19 de 2012</w:t>
      </w:r>
      <w:r w:rsidR="00974705">
        <w:rPr>
          <w:rFonts w:ascii="Arial" w:eastAsia="Calibri" w:hAnsi="Arial" w:cs="Arial"/>
          <w:sz w:val="22"/>
          <w:szCs w:val="22"/>
          <w:lang w:val="es-ES_tradnl" w:eastAsia="en-US"/>
        </w:rPr>
        <w:t>-</w:t>
      </w:r>
      <w:r w:rsidR="00C0281B" w:rsidRPr="00C0281B">
        <w:rPr>
          <w:rFonts w:ascii="Arial" w:eastAsia="Calibri" w:hAnsi="Arial" w:cs="Arial"/>
          <w:sz w:val="22"/>
          <w:szCs w:val="22"/>
          <w:lang w:val="es-ES_tradnl" w:eastAsia="en-US"/>
        </w:rPr>
        <w:t>,</w:t>
      </w:r>
      <w:r w:rsidR="00974705">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se destaca el régimen de inhabilidades e incompatibilidades como un conjunto de normas que imponen restricciones para los sujetos que, eventualmente, pretendan participar en los procedimientos de selección o celebrar contratos con las entidades estatales</w:t>
      </w:r>
      <w:r w:rsidR="00974705">
        <w:rPr>
          <w:rFonts w:ascii="Arial" w:eastAsia="Calibri" w:hAnsi="Arial" w:cs="Arial"/>
          <w:sz w:val="22"/>
          <w:szCs w:val="22"/>
          <w:lang w:val="es-ES_tradnl" w:eastAsia="en-US"/>
        </w:rPr>
        <w:t>.</w:t>
      </w:r>
    </w:p>
    <w:p w14:paraId="432FF5E0" w14:textId="3CC371FE" w:rsidR="00C0281B" w:rsidRDefault="00C0281B" w:rsidP="00FF3CC3">
      <w:pPr>
        <w:spacing w:after="120" w:line="259" w:lineRule="auto"/>
        <w:ind w:firstLine="709"/>
        <w:jc w:val="both"/>
        <w:rPr>
          <w:rFonts w:ascii="Arial" w:eastAsia="Calibri" w:hAnsi="Arial" w:cs="Arial"/>
          <w:sz w:val="22"/>
          <w:szCs w:val="22"/>
          <w:lang w:val="es-ES_tradnl" w:eastAsia="en-US"/>
        </w:rPr>
      </w:pPr>
      <w:bookmarkStart w:id="16" w:name="_Hlk138085452"/>
      <w:bookmarkEnd w:id="15"/>
      <w:r w:rsidRPr="00C0281B">
        <w:rPr>
          <w:rFonts w:ascii="Arial" w:eastAsia="Calibri" w:hAnsi="Arial" w:cs="Arial"/>
          <w:sz w:val="22"/>
          <w:szCs w:val="22"/>
          <w:lang w:val="es-ES_tradnl" w:eastAsia="en-US"/>
        </w:rPr>
        <w:t>Las</w:t>
      </w:r>
      <w:r w:rsidR="00974705">
        <w:rPr>
          <w:rFonts w:ascii="Arial" w:eastAsia="Calibri" w:hAnsi="Arial" w:cs="Arial"/>
          <w:sz w:val="22"/>
          <w:szCs w:val="22"/>
          <w:lang w:val="es-ES_tradnl" w:eastAsia="en-US"/>
        </w:rPr>
        <w:t xml:space="preserve"> </w:t>
      </w:r>
      <w:r w:rsidRPr="00C0281B">
        <w:rPr>
          <w:rFonts w:ascii="Arial" w:eastAsia="Calibri" w:hAnsi="Arial" w:cs="Arial"/>
          <w:sz w:val="22"/>
          <w:szCs w:val="22"/>
          <w:lang w:val="es-ES_tradnl" w:eastAsia="en-US"/>
        </w:rPr>
        <w:t>inhabilidades</w:t>
      </w:r>
      <w:r w:rsidR="00974705">
        <w:rPr>
          <w:rFonts w:ascii="Arial" w:eastAsia="Calibri" w:hAnsi="Arial" w:cs="Arial"/>
          <w:sz w:val="22"/>
          <w:szCs w:val="22"/>
          <w:lang w:val="es-ES_tradnl" w:eastAsia="en-US"/>
        </w:rPr>
        <w:t>, esencialmente,</w:t>
      </w:r>
      <w:r w:rsidR="002224E3">
        <w:rPr>
          <w:rFonts w:ascii="Arial" w:eastAsia="Calibri" w:hAnsi="Arial" w:cs="Arial"/>
          <w:sz w:val="22"/>
          <w:szCs w:val="22"/>
          <w:lang w:val="es-ES_tradnl" w:eastAsia="en-US"/>
        </w:rPr>
        <w:t xml:space="preserve"> </w:t>
      </w:r>
      <w:r w:rsidR="00974705">
        <w:rPr>
          <w:rFonts w:ascii="Arial" w:eastAsia="Calibri" w:hAnsi="Arial" w:cs="Arial"/>
          <w:sz w:val="22"/>
          <w:szCs w:val="22"/>
          <w:lang w:val="es-ES_tradnl" w:eastAsia="en-US"/>
        </w:rPr>
        <w:t>son</w:t>
      </w:r>
      <w:r w:rsidR="002224E3">
        <w:rPr>
          <w:rFonts w:ascii="Arial" w:eastAsia="Calibri" w:hAnsi="Arial" w:cs="Arial"/>
          <w:sz w:val="22"/>
          <w:szCs w:val="22"/>
          <w:lang w:val="es-ES_tradnl" w:eastAsia="en-US"/>
        </w:rPr>
        <w:t xml:space="preserve"> </w:t>
      </w:r>
      <w:r w:rsidR="00974705">
        <w:rPr>
          <w:rFonts w:ascii="Arial" w:eastAsia="Calibri" w:hAnsi="Arial" w:cs="Arial"/>
          <w:sz w:val="22"/>
          <w:szCs w:val="22"/>
          <w:lang w:val="es-ES_tradnl" w:eastAsia="en-US"/>
        </w:rPr>
        <w:t>definidas</w:t>
      </w:r>
      <w:r w:rsidR="002224E3">
        <w:rPr>
          <w:rFonts w:ascii="Arial" w:eastAsia="Calibri" w:hAnsi="Arial" w:cs="Arial"/>
          <w:sz w:val="22"/>
          <w:szCs w:val="22"/>
          <w:lang w:val="es-ES_tradnl" w:eastAsia="en-US"/>
        </w:rPr>
        <w:t xml:space="preserve"> </w:t>
      </w:r>
      <w:r w:rsidR="00974705">
        <w:rPr>
          <w:rFonts w:ascii="Arial" w:eastAsia="Calibri" w:hAnsi="Arial" w:cs="Arial"/>
          <w:sz w:val="22"/>
          <w:szCs w:val="22"/>
          <w:lang w:val="es-ES_tradnl" w:eastAsia="en-US"/>
        </w:rPr>
        <w:t xml:space="preserve">como </w:t>
      </w:r>
      <w:r w:rsidRPr="00C0281B">
        <w:rPr>
          <w:rFonts w:ascii="Arial" w:eastAsia="Calibri" w:hAnsi="Arial" w:cs="Arial"/>
          <w:sz w:val="22"/>
          <w:szCs w:val="22"/>
          <w:lang w:val="es-ES_tradnl" w:eastAsia="en-US"/>
        </w:rPr>
        <w:t>prohibiciones</w:t>
      </w:r>
      <w:r w:rsidR="00974705">
        <w:rPr>
          <w:rFonts w:ascii="Arial" w:eastAsia="Calibri" w:hAnsi="Arial" w:cs="Arial"/>
          <w:sz w:val="22"/>
          <w:szCs w:val="22"/>
          <w:lang w:val="es-ES_tradnl" w:eastAsia="en-US"/>
        </w:rPr>
        <w:t xml:space="preserve"> </w:t>
      </w:r>
      <w:r w:rsidRPr="00C0281B">
        <w:rPr>
          <w:rFonts w:ascii="Arial" w:eastAsia="Calibri" w:hAnsi="Arial" w:cs="Arial"/>
          <w:sz w:val="22"/>
          <w:szCs w:val="22"/>
          <w:lang w:val="es-ES_tradnl" w:eastAsia="en-US"/>
        </w:rPr>
        <w:t>para concurrir a los procedimientos de selección y para contratar con el Estado, que se derivan</w:t>
      </w:r>
      <w:r w:rsidR="002224E3">
        <w:rPr>
          <w:rFonts w:ascii="Arial" w:eastAsia="Calibri" w:hAnsi="Arial" w:cs="Arial"/>
          <w:sz w:val="22"/>
          <w:szCs w:val="22"/>
          <w:lang w:val="es-ES_tradnl" w:eastAsia="en-US"/>
        </w:rPr>
        <w:t xml:space="preserve"> de: </w:t>
      </w:r>
      <w:r w:rsidR="002224E3" w:rsidRPr="002224E3">
        <w:rPr>
          <w:rFonts w:ascii="Arial" w:eastAsia="Calibri" w:hAnsi="Arial" w:cs="Arial"/>
          <w:i/>
          <w:iCs/>
          <w:sz w:val="22"/>
          <w:szCs w:val="22"/>
          <w:lang w:val="es-ES_tradnl" w:eastAsia="en-US"/>
        </w:rPr>
        <w:t>(</w:t>
      </w:r>
      <w:r w:rsidRPr="00C0281B">
        <w:rPr>
          <w:rFonts w:ascii="Arial" w:eastAsia="Calibri" w:hAnsi="Arial" w:cs="Arial"/>
          <w:i/>
          <w:iCs/>
          <w:sz w:val="22"/>
          <w:szCs w:val="22"/>
          <w:lang w:val="es-ES_tradnl" w:eastAsia="en-US"/>
        </w:rPr>
        <w:t>i)</w:t>
      </w:r>
      <w:r w:rsidR="002224E3">
        <w:rPr>
          <w:rFonts w:ascii="Arial" w:eastAsia="Calibri" w:hAnsi="Arial" w:cs="Arial"/>
          <w:sz w:val="22"/>
          <w:szCs w:val="22"/>
          <w:lang w:val="es-ES_tradnl" w:eastAsia="en-US"/>
        </w:rPr>
        <w:t xml:space="preserve"> </w:t>
      </w:r>
      <w:r w:rsidRPr="00C0281B">
        <w:rPr>
          <w:rFonts w:ascii="Arial" w:eastAsia="Calibri" w:hAnsi="Arial" w:cs="Arial"/>
          <w:sz w:val="22"/>
          <w:szCs w:val="22"/>
          <w:lang w:val="es-ES_tradnl" w:eastAsia="en-US"/>
        </w:rPr>
        <w:t>la existencia de comportamientos reprochables o de sanciones anteriormente</w:t>
      </w:r>
      <w:r w:rsidR="002224E3">
        <w:rPr>
          <w:rFonts w:ascii="Arial" w:eastAsia="Calibri" w:hAnsi="Arial" w:cs="Arial"/>
          <w:sz w:val="22"/>
          <w:szCs w:val="22"/>
          <w:lang w:val="es-ES_tradnl" w:eastAsia="en-US"/>
        </w:rPr>
        <w:t xml:space="preserve"> </w:t>
      </w:r>
      <w:r w:rsidRPr="00C0281B">
        <w:rPr>
          <w:rFonts w:ascii="Arial" w:eastAsia="Calibri" w:hAnsi="Arial" w:cs="Arial"/>
          <w:sz w:val="22"/>
          <w:szCs w:val="22"/>
          <w:lang w:val="es-ES_tradnl" w:eastAsia="en-US"/>
        </w:rPr>
        <w:t>impuestas</w:t>
      </w:r>
      <w:r w:rsidRPr="00C0281B">
        <w:rPr>
          <w:rFonts w:ascii="Arial" w:eastAsia="Calibri" w:hAnsi="Arial" w:cs="Arial"/>
          <w:sz w:val="22"/>
          <w:szCs w:val="22"/>
          <w:vertAlign w:val="superscript"/>
          <w:lang w:val="es-ES_tradnl" w:eastAsia="en-US"/>
        </w:rPr>
        <w:footnoteReference w:id="11"/>
      </w:r>
      <w:r w:rsidR="002224E3">
        <w:rPr>
          <w:rFonts w:ascii="Arial" w:eastAsia="Calibri" w:hAnsi="Arial" w:cs="Arial"/>
          <w:sz w:val="22"/>
          <w:szCs w:val="22"/>
          <w:lang w:val="es-ES_tradnl" w:eastAsia="en-US"/>
        </w:rPr>
        <w:t>;</w:t>
      </w:r>
      <w:r w:rsidRPr="00C0281B">
        <w:rPr>
          <w:rFonts w:ascii="Arial" w:eastAsia="Calibri" w:hAnsi="Arial" w:cs="Arial"/>
          <w:sz w:val="22"/>
          <w:szCs w:val="22"/>
          <w:lang w:val="es-ES_tradnl" w:eastAsia="en-US"/>
        </w:rPr>
        <w:t xml:space="preserve"> </w:t>
      </w:r>
      <w:r w:rsidR="002224E3" w:rsidRPr="002224E3">
        <w:rPr>
          <w:rFonts w:ascii="Arial" w:eastAsia="Calibri" w:hAnsi="Arial" w:cs="Arial"/>
          <w:i/>
          <w:iCs/>
          <w:sz w:val="22"/>
          <w:szCs w:val="22"/>
          <w:lang w:val="es-ES_tradnl" w:eastAsia="en-US"/>
        </w:rPr>
        <w:t>(</w:t>
      </w:r>
      <w:proofErr w:type="spellStart"/>
      <w:r w:rsidRPr="00C0281B">
        <w:rPr>
          <w:rFonts w:ascii="Arial" w:eastAsia="Calibri" w:hAnsi="Arial" w:cs="Arial"/>
          <w:i/>
          <w:iCs/>
          <w:sz w:val="22"/>
          <w:szCs w:val="22"/>
          <w:lang w:val="es-ES_tradnl" w:eastAsia="en-US"/>
        </w:rPr>
        <w:t>ii</w:t>
      </w:r>
      <w:proofErr w:type="spellEnd"/>
      <w:r w:rsidRPr="00C0281B">
        <w:rPr>
          <w:rFonts w:ascii="Arial" w:eastAsia="Calibri" w:hAnsi="Arial" w:cs="Arial"/>
          <w:i/>
          <w:iCs/>
          <w:sz w:val="22"/>
          <w:szCs w:val="22"/>
          <w:lang w:val="es-ES_tradnl" w:eastAsia="en-US"/>
        </w:rPr>
        <w:t>)</w:t>
      </w:r>
      <w:r w:rsidR="002224E3">
        <w:rPr>
          <w:rFonts w:ascii="Arial" w:eastAsia="Calibri" w:hAnsi="Arial" w:cs="Arial"/>
          <w:sz w:val="22"/>
          <w:szCs w:val="22"/>
          <w:lang w:val="es-ES_tradnl" w:eastAsia="en-US"/>
        </w:rPr>
        <w:t xml:space="preserve"> </w:t>
      </w:r>
      <w:r w:rsidRPr="00C0281B">
        <w:rPr>
          <w:rFonts w:ascii="Arial" w:eastAsia="Calibri" w:hAnsi="Arial" w:cs="Arial"/>
          <w:sz w:val="22"/>
          <w:szCs w:val="22"/>
          <w:lang w:val="es-ES_tradnl" w:eastAsia="en-US"/>
        </w:rPr>
        <w:t>vínculos personales relativos al parentesco o al estado civil</w:t>
      </w:r>
      <w:r w:rsidRPr="00C0281B">
        <w:rPr>
          <w:rFonts w:ascii="Arial" w:eastAsia="Calibri" w:hAnsi="Arial" w:cs="Arial"/>
          <w:sz w:val="22"/>
          <w:szCs w:val="22"/>
          <w:vertAlign w:val="superscript"/>
          <w:lang w:val="es-ES_tradnl" w:eastAsia="en-US"/>
        </w:rPr>
        <w:footnoteReference w:id="12"/>
      </w:r>
      <w:r w:rsidRPr="00C0281B">
        <w:rPr>
          <w:rFonts w:ascii="Arial" w:eastAsia="Calibri" w:hAnsi="Arial" w:cs="Arial"/>
          <w:sz w:val="22"/>
          <w:szCs w:val="22"/>
          <w:lang w:val="es-ES_tradnl" w:eastAsia="en-US"/>
        </w:rPr>
        <w:t xml:space="preserve"> </w:t>
      </w:r>
      <w:r w:rsidR="002224E3">
        <w:rPr>
          <w:rFonts w:ascii="Arial" w:eastAsia="Calibri" w:hAnsi="Arial" w:cs="Arial"/>
          <w:sz w:val="22"/>
          <w:szCs w:val="22"/>
          <w:lang w:val="es-ES_tradnl" w:eastAsia="en-US"/>
        </w:rPr>
        <w:t>y/</w:t>
      </w:r>
      <w:r w:rsidRPr="00C0281B">
        <w:rPr>
          <w:rFonts w:ascii="Arial" w:eastAsia="Calibri" w:hAnsi="Arial" w:cs="Arial"/>
          <w:sz w:val="22"/>
          <w:szCs w:val="22"/>
          <w:lang w:val="es-ES_tradnl" w:eastAsia="en-US"/>
        </w:rPr>
        <w:t>o</w:t>
      </w:r>
      <w:r w:rsidR="002224E3">
        <w:rPr>
          <w:rFonts w:ascii="Arial" w:eastAsia="Calibri" w:hAnsi="Arial" w:cs="Arial"/>
          <w:sz w:val="22"/>
          <w:szCs w:val="22"/>
          <w:lang w:val="es-ES_tradnl" w:eastAsia="en-US"/>
        </w:rPr>
        <w:t xml:space="preserve"> </w:t>
      </w:r>
      <w:r w:rsidR="002224E3" w:rsidRPr="002224E3">
        <w:rPr>
          <w:rFonts w:ascii="Arial" w:eastAsia="Calibri" w:hAnsi="Arial" w:cs="Arial"/>
          <w:i/>
          <w:iCs/>
          <w:sz w:val="22"/>
          <w:szCs w:val="22"/>
          <w:lang w:val="es-ES_tradnl" w:eastAsia="en-US"/>
        </w:rPr>
        <w:t>(</w:t>
      </w:r>
      <w:proofErr w:type="spellStart"/>
      <w:r w:rsidRPr="00C0281B">
        <w:rPr>
          <w:rFonts w:ascii="Arial" w:eastAsia="Calibri" w:hAnsi="Arial" w:cs="Arial"/>
          <w:i/>
          <w:iCs/>
          <w:sz w:val="22"/>
          <w:szCs w:val="22"/>
          <w:lang w:val="es-ES_tradnl" w:eastAsia="en-US"/>
        </w:rPr>
        <w:t>iii</w:t>
      </w:r>
      <w:proofErr w:type="spellEnd"/>
      <w:r w:rsidRPr="00C0281B">
        <w:rPr>
          <w:rFonts w:ascii="Arial" w:eastAsia="Calibri" w:hAnsi="Arial" w:cs="Arial"/>
          <w:i/>
          <w:iCs/>
          <w:sz w:val="22"/>
          <w:szCs w:val="22"/>
          <w:lang w:val="es-ES_tradnl" w:eastAsia="en-US"/>
        </w:rPr>
        <w:t>)</w:t>
      </w:r>
      <w:r w:rsidR="002224E3">
        <w:rPr>
          <w:rFonts w:ascii="Arial" w:eastAsia="Calibri" w:hAnsi="Arial" w:cs="Arial"/>
          <w:sz w:val="22"/>
          <w:szCs w:val="22"/>
          <w:lang w:val="es-ES_tradnl" w:eastAsia="en-US"/>
        </w:rPr>
        <w:t xml:space="preserve"> de </w:t>
      </w:r>
      <w:r w:rsidRPr="00C0281B">
        <w:rPr>
          <w:rFonts w:ascii="Arial" w:eastAsia="Calibri" w:hAnsi="Arial" w:cs="Arial"/>
          <w:sz w:val="22"/>
          <w:szCs w:val="22"/>
          <w:lang w:val="es-ES_tradnl" w:eastAsia="en-US"/>
        </w:rPr>
        <w:t xml:space="preserve">una actividad u oficio que se </w:t>
      </w:r>
      <w:r w:rsidRPr="00C0281B">
        <w:rPr>
          <w:rFonts w:ascii="Arial" w:eastAsia="Calibri" w:hAnsi="Arial" w:cs="Arial"/>
          <w:sz w:val="22"/>
          <w:szCs w:val="22"/>
          <w:lang w:val="es-ES_tradnl" w:eastAsia="en-US"/>
        </w:rPr>
        <w:lastRenderedPageBreak/>
        <w:t>desempeñó en el pasado</w:t>
      </w:r>
      <w:r w:rsidRPr="00C0281B">
        <w:rPr>
          <w:rFonts w:ascii="Arial" w:eastAsia="Calibri" w:hAnsi="Arial" w:cs="Arial"/>
          <w:sz w:val="22"/>
          <w:szCs w:val="22"/>
          <w:vertAlign w:val="superscript"/>
          <w:lang w:val="es-ES_tradnl" w:eastAsia="en-US"/>
        </w:rPr>
        <w:footnoteReference w:id="13"/>
      </w:r>
      <w:r w:rsidRPr="00C0281B">
        <w:rPr>
          <w:rFonts w:ascii="Arial" w:eastAsia="Calibri" w:hAnsi="Arial" w:cs="Arial"/>
          <w:sz w:val="22"/>
          <w:szCs w:val="22"/>
          <w:lang w:val="es-ES_tradnl" w:eastAsia="en-US"/>
        </w:rPr>
        <w:t xml:space="preserve">. </w:t>
      </w:r>
      <w:r w:rsidR="002224E3">
        <w:rPr>
          <w:rFonts w:ascii="Arial" w:eastAsia="Calibri" w:hAnsi="Arial" w:cs="Arial"/>
          <w:sz w:val="22"/>
          <w:szCs w:val="22"/>
          <w:lang w:val="es-ES_tradnl" w:eastAsia="en-US"/>
        </w:rPr>
        <w:t xml:space="preserve">Por su parte, </w:t>
      </w:r>
      <w:r w:rsidRPr="00C0281B">
        <w:rPr>
          <w:rFonts w:ascii="Arial" w:eastAsia="Calibri" w:hAnsi="Arial" w:cs="Arial"/>
          <w:sz w:val="22"/>
          <w:szCs w:val="22"/>
          <w:lang w:val="es-ES_tradnl" w:eastAsia="en-US"/>
        </w:rPr>
        <w:t>las incompatibilidades</w:t>
      </w:r>
      <w:r w:rsidR="002224E3">
        <w:rPr>
          <w:rFonts w:ascii="Arial" w:eastAsia="Calibri" w:hAnsi="Arial" w:cs="Arial"/>
          <w:sz w:val="22"/>
          <w:szCs w:val="22"/>
          <w:lang w:val="es-ES_tradnl" w:eastAsia="en-US"/>
        </w:rPr>
        <w:t xml:space="preserve"> se caracterizan por ser </w:t>
      </w:r>
      <w:r w:rsidRPr="00C0281B">
        <w:rPr>
          <w:rFonts w:ascii="Arial" w:eastAsia="Calibri" w:hAnsi="Arial" w:cs="Arial"/>
          <w:sz w:val="22"/>
          <w:szCs w:val="22"/>
          <w:lang w:val="es-ES_tradnl" w:eastAsia="en-US"/>
        </w:rPr>
        <w:t>prohibiciones para participar en los procedimientos de selección y para celebrar contratos estatales</w:t>
      </w:r>
      <w:r w:rsidR="002224E3">
        <w:rPr>
          <w:rFonts w:ascii="Arial" w:eastAsia="Calibri" w:hAnsi="Arial" w:cs="Arial"/>
          <w:sz w:val="22"/>
          <w:szCs w:val="22"/>
          <w:lang w:val="es-ES_tradnl" w:eastAsia="en-US"/>
        </w:rPr>
        <w:t xml:space="preserve"> que se fundan </w:t>
      </w:r>
      <w:r w:rsidRPr="00C0281B">
        <w:rPr>
          <w:rFonts w:ascii="Arial" w:eastAsia="Calibri" w:hAnsi="Arial" w:cs="Arial"/>
          <w:sz w:val="22"/>
          <w:szCs w:val="22"/>
          <w:lang w:val="es-ES_tradnl" w:eastAsia="en-US"/>
        </w:rPr>
        <w:t>en la presencia de una calidad que ostenta el sujeto interesado en realizar alguna de dichas actividades, que no puede coexistir con su calidad de proponente o contratista del Estado</w:t>
      </w:r>
      <w:r w:rsidRPr="00C0281B">
        <w:rPr>
          <w:rFonts w:ascii="Arial" w:eastAsia="Calibri" w:hAnsi="Arial" w:cs="Arial"/>
          <w:sz w:val="22"/>
          <w:szCs w:val="22"/>
          <w:vertAlign w:val="superscript"/>
          <w:lang w:val="es-ES_tradnl" w:eastAsia="en-US"/>
        </w:rPr>
        <w:footnoteReference w:id="14"/>
      </w:r>
      <w:r w:rsidRPr="00C0281B">
        <w:rPr>
          <w:rFonts w:ascii="Arial" w:eastAsia="Calibri" w:hAnsi="Arial" w:cs="Arial"/>
          <w:sz w:val="22"/>
          <w:szCs w:val="22"/>
          <w:lang w:val="es-ES_tradnl" w:eastAsia="en-US"/>
        </w:rPr>
        <w:t>.</w:t>
      </w:r>
      <w:r w:rsidR="002224E3">
        <w:rPr>
          <w:rFonts w:ascii="Arial" w:eastAsia="Calibri" w:hAnsi="Arial" w:cs="Arial"/>
          <w:sz w:val="22"/>
          <w:szCs w:val="22"/>
          <w:lang w:val="es-ES_tradnl" w:eastAsia="en-US"/>
        </w:rPr>
        <w:t xml:space="preserve"> </w:t>
      </w:r>
      <w:r w:rsidRPr="00C0281B">
        <w:rPr>
          <w:rFonts w:ascii="Arial" w:eastAsia="Calibri" w:hAnsi="Arial" w:cs="Arial"/>
          <w:sz w:val="22"/>
          <w:szCs w:val="22"/>
          <w:lang w:val="es-ES_tradnl" w:eastAsia="en-US"/>
        </w:rPr>
        <w:t>En todo caso, a pesar de la existencia de distintos criterios para diferenciar las inhabilidades de las incompatibilidades,</w:t>
      </w:r>
      <w:r w:rsidR="00094121">
        <w:rPr>
          <w:rFonts w:ascii="Arial" w:eastAsia="Calibri" w:hAnsi="Arial" w:cs="Arial"/>
          <w:sz w:val="22"/>
          <w:szCs w:val="22"/>
          <w:lang w:val="es-ES_tradnl" w:eastAsia="en-US"/>
        </w:rPr>
        <w:t xml:space="preserve"> de ambas </w:t>
      </w:r>
      <w:r w:rsidRPr="00C0281B">
        <w:rPr>
          <w:rFonts w:ascii="Arial" w:eastAsia="Calibri" w:hAnsi="Arial" w:cs="Arial"/>
          <w:sz w:val="22"/>
          <w:szCs w:val="22"/>
          <w:lang w:val="es-ES_tradnl" w:eastAsia="en-US"/>
        </w:rPr>
        <w:t>se deriva</w:t>
      </w:r>
      <w:r w:rsidR="003A44E9">
        <w:rPr>
          <w:rFonts w:ascii="Arial" w:eastAsia="Calibri" w:hAnsi="Arial" w:cs="Arial"/>
          <w:sz w:val="22"/>
          <w:szCs w:val="22"/>
          <w:lang w:val="es-ES_tradnl" w:eastAsia="en-US"/>
        </w:rPr>
        <w:t xml:space="preserve">n las mismas </w:t>
      </w:r>
      <w:r w:rsidR="00094121">
        <w:rPr>
          <w:rFonts w:ascii="Arial" w:eastAsia="Calibri" w:hAnsi="Arial" w:cs="Arial"/>
          <w:sz w:val="22"/>
          <w:szCs w:val="22"/>
          <w:lang w:val="es-ES_tradnl" w:eastAsia="en-US"/>
        </w:rPr>
        <w:t xml:space="preserve">consecuencias </w:t>
      </w:r>
      <w:r w:rsidRPr="00C0281B">
        <w:rPr>
          <w:rFonts w:ascii="Arial" w:eastAsia="Calibri" w:hAnsi="Arial" w:cs="Arial"/>
          <w:sz w:val="22"/>
          <w:szCs w:val="22"/>
          <w:lang w:val="es-ES_tradnl" w:eastAsia="en-US"/>
        </w:rPr>
        <w:t>jurídicas, esto es, la limitación de la capacidad contractual, como se desarrolló en el</w:t>
      </w:r>
      <w:r w:rsidR="003A44E9">
        <w:rPr>
          <w:rFonts w:ascii="Arial" w:eastAsia="Calibri" w:hAnsi="Arial" w:cs="Arial"/>
          <w:sz w:val="22"/>
          <w:szCs w:val="22"/>
          <w:lang w:val="es-ES_tradnl" w:eastAsia="en-US"/>
        </w:rPr>
        <w:t xml:space="preserve"> acápite anterior </w:t>
      </w:r>
      <w:r w:rsidRPr="00C0281B">
        <w:rPr>
          <w:rFonts w:ascii="Arial" w:eastAsia="Calibri" w:hAnsi="Arial" w:cs="Arial"/>
          <w:sz w:val="22"/>
          <w:szCs w:val="22"/>
          <w:lang w:val="es-ES_tradnl" w:eastAsia="en-US"/>
        </w:rPr>
        <w:t>de este concepto</w:t>
      </w:r>
      <w:r w:rsidR="003A44E9">
        <w:rPr>
          <w:rFonts w:ascii="Arial" w:eastAsia="Calibri" w:hAnsi="Arial" w:cs="Arial"/>
          <w:sz w:val="22"/>
          <w:szCs w:val="22"/>
          <w:lang w:val="es-ES_tradnl" w:eastAsia="en-US"/>
        </w:rPr>
        <w:t xml:space="preserve">. En este sentido, </w:t>
      </w:r>
      <w:r w:rsidRPr="00C0281B">
        <w:rPr>
          <w:rFonts w:ascii="Arial" w:eastAsia="Calibri" w:hAnsi="Arial" w:cs="Arial"/>
          <w:sz w:val="22"/>
          <w:szCs w:val="22"/>
          <w:lang w:val="es-ES_tradnl" w:eastAsia="en-US"/>
        </w:rPr>
        <w:t>la</w:t>
      </w:r>
      <w:r w:rsidR="003A44E9">
        <w:rPr>
          <w:rFonts w:ascii="Arial" w:eastAsia="Calibri" w:hAnsi="Arial" w:cs="Arial"/>
          <w:sz w:val="22"/>
          <w:szCs w:val="22"/>
          <w:lang w:val="es-ES_tradnl" w:eastAsia="en-US"/>
        </w:rPr>
        <w:t xml:space="preserve"> sola configuración de una de tales figuras basta para impedir la celebración de contratos con el Estado o la participación en procedimientos de selección de las entidades estatales</w:t>
      </w:r>
      <w:r w:rsidR="00FF3CC3">
        <w:rPr>
          <w:rFonts w:ascii="Arial" w:eastAsia="Calibri" w:hAnsi="Arial" w:cs="Arial"/>
          <w:sz w:val="22"/>
          <w:szCs w:val="22"/>
          <w:lang w:val="es-ES_tradnl" w:eastAsia="en-US"/>
        </w:rPr>
        <w:t>, pues en el marco de la lucha contra la corrupción, garantizan que la provisión de bienes, obras o servicios por las entidades estatales cumpla con los principios de la función administrativa y de la gestión fiscal, especialmente con la probidad y transparencia</w:t>
      </w:r>
      <w:r w:rsidR="009C4574" w:rsidRPr="00C0281B">
        <w:rPr>
          <w:rFonts w:ascii="Arial" w:eastAsia="Calibri" w:hAnsi="Arial" w:cs="Arial"/>
          <w:sz w:val="22"/>
          <w:szCs w:val="22"/>
          <w:vertAlign w:val="superscript"/>
          <w:lang w:val="es-ES_tradnl" w:eastAsia="en-US"/>
        </w:rPr>
        <w:footnoteReference w:id="15"/>
      </w:r>
      <w:r w:rsidR="00FF3CC3">
        <w:rPr>
          <w:rFonts w:ascii="Arial" w:eastAsia="Calibri" w:hAnsi="Arial" w:cs="Arial"/>
          <w:sz w:val="22"/>
          <w:szCs w:val="22"/>
          <w:lang w:val="es-ES_tradnl" w:eastAsia="en-US"/>
        </w:rPr>
        <w:t>.</w:t>
      </w:r>
    </w:p>
    <w:p w14:paraId="04CCC8E8" w14:textId="7073F348" w:rsidR="00E1210B" w:rsidRDefault="009536F3" w:rsidP="00E1210B">
      <w:pPr>
        <w:spacing w:after="120" w:line="259" w:lineRule="auto"/>
        <w:ind w:firstLine="709"/>
        <w:jc w:val="both"/>
        <w:rPr>
          <w:rFonts w:ascii="Arial" w:eastAsia="Calibri" w:hAnsi="Arial" w:cs="Arial"/>
          <w:sz w:val="22"/>
          <w:szCs w:val="22"/>
          <w:lang w:val="es-ES_tradnl" w:eastAsia="en-US"/>
        </w:rPr>
      </w:pPr>
      <w:bookmarkStart w:id="17" w:name="_Hlk138085611"/>
      <w:bookmarkEnd w:id="16"/>
      <w:r>
        <w:rPr>
          <w:rFonts w:ascii="Arial" w:eastAsia="Calibri" w:hAnsi="Arial" w:cs="Arial"/>
          <w:sz w:val="22"/>
          <w:szCs w:val="22"/>
          <w:lang w:val="es-ES_tradnl" w:eastAsia="en-US"/>
        </w:rPr>
        <w:lastRenderedPageBreak/>
        <w:t>En tanto restricciones o límites especiales a la capacidad para presentar ofertas y celebrar contratos estatales, l</w:t>
      </w:r>
      <w:r w:rsidR="009C4574">
        <w:rPr>
          <w:rFonts w:ascii="Arial" w:eastAsia="Calibri" w:hAnsi="Arial" w:cs="Arial"/>
          <w:sz w:val="22"/>
          <w:szCs w:val="22"/>
          <w:lang w:val="es-ES_tradnl" w:eastAsia="en-US"/>
        </w:rPr>
        <w:t>as</w:t>
      </w:r>
      <w:r w:rsidR="00E1210B">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inhabilidades e incompatibilidades</w:t>
      </w:r>
      <w:r>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solo pueden tipificarse</w:t>
      </w:r>
      <w:r>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 xml:space="preserve">en la ley o </w:t>
      </w:r>
      <w:r w:rsidR="00E1210B">
        <w:rPr>
          <w:rFonts w:ascii="Arial" w:eastAsia="Calibri" w:hAnsi="Arial" w:cs="Arial"/>
          <w:sz w:val="22"/>
          <w:szCs w:val="22"/>
          <w:lang w:val="es-ES_tradnl" w:eastAsia="en-US"/>
        </w:rPr>
        <w:t xml:space="preserve">en </w:t>
      </w:r>
      <w:r w:rsidR="00C0281B" w:rsidRPr="00C0281B">
        <w:rPr>
          <w:rFonts w:ascii="Arial" w:eastAsia="Calibri" w:hAnsi="Arial" w:cs="Arial"/>
          <w:sz w:val="22"/>
          <w:szCs w:val="22"/>
          <w:lang w:val="es-ES_tradnl" w:eastAsia="en-US"/>
        </w:rPr>
        <w:t xml:space="preserve">la Constitución </w:t>
      </w:r>
      <w:r w:rsidR="00E1210B">
        <w:rPr>
          <w:rFonts w:ascii="Arial" w:eastAsia="Calibri" w:hAnsi="Arial" w:cs="Arial"/>
          <w:sz w:val="22"/>
          <w:szCs w:val="22"/>
          <w:lang w:val="es-ES_tradnl" w:eastAsia="en-US"/>
        </w:rPr>
        <w:t>-es decir</w:t>
      </w:r>
      <w:r w:rsidR="00C0281B" w:rsidRPr="00C0281B">
        <w:rPr>
          <w:rFonts w:ascii="Arial" w:eastAsia="Calibri" w:hAnsi="Arial" w:cs="Arial"/>
          <w:sz w:val="22"/>
          <w:szCs w:val="22"/>
          <w:lang w:val="es-ES_tradnl" w:eastAsia="en-US"/>
        </w:rPr>
        <w:t>,</w:t>
      </w:r>
      <w:r w:rsidR="00E1210B">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deben satisfacer el principio de legalidad</w:t>
      </w:r>
      <w:r w:rsidR="00E1210B">
        <w:rPr>
          <w:rFonts w:ascii="Arial" w:eastAsia="Calibri" w:hAnsi="Arial" w:cs="Arial"/>
          <w:sz w:val="22"/>
          <w:szCs w:val="22"/>
          <w:lang w:val="es-ES_tradnl" w:eastAsia="en-US"/>
        </w:rPr>
        <w:t>-</w:t>
      </w:r>
      <w:r w:rsidR="00C0281B" w:rsidRPr="00C0281B">
        <w:rPr>
          <w:rFonts w:ascii="Arial" w:eastAsia="Calibri" w:hAnsi="Arial" w:cs="Arial"/>
          <w:sz w:val="22"/>
          <w:szCs w:val="22"/>
          <w:lang w:val="es-ES_tradnl" w:eastAsia="en-US"/>
        </w:rPr>
        <w:t xml:space="preserve"> y su interpretación debe</w:t>
      </w:r>
      <w:r w:rsidR="00E1210B">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 xml:space="preserve">ser </w:t>
      </w:r>
      <w:r w:rsidR="00C0281B" w:rsidRPr="00C0281B">
        <w:rPr>
          <w:rFonts w:ascii="Arial" w:eastAsia="Calibri" w:hAnsi="Arial" w:cs="Arial"/>
          <w:i/>
          <w:iCs/>
          <w:sz w:val="22"/>
          <w:szCs w:val="22"/>
          <w:lang w:val="es-ES_tradnl" w:eastAsia="en-US"/>
        </w:rPr>
        <w:t>restrictiva,</w:t>
      </w:r>
      <w:r>
        <w:rPr>
          <w:rFonts w:ascii="Arial" w:eastAsia="Calibri" w:hAnsi="Arial" w:cs="Arial"/>
          <w:sz w:val="22"/>
          <w:szCs w:val="22"/>
          <w:lang w:val="es-ES_tradnl" w:eastAsia="en-US"/>
        </w:rPr>
        <w:t xml:space="preserve"> </w:t>
      </w:r>
      <w:r w:rsidR="00E1210B">
        <w:rPr>
          <w:rFonts w:ascii="Arial" w:eastAsia="Calibri" w:hAnsi="Arial" w:cs="Arial"/>
          <w:sz w:val="22"/>
          <w:szCs w:val="22"/>
          <w:lang w:val="es-ES_tradnl" w:eastAsia="en-US"/>
        </w:rPr>
        <w:t xml:space="preserve">ya que </w:t>
      </w:r>
      <w:r w:rsidR="00C0281B" w:rsidRPr="00C0281B">
        <w:rPr>
          <w:rFonts w:ascii="Arial" w:eastAsia="Calibri" w:hAnsi="Arial" w:cs="Arial"/>
          <w:sz w:val="22"/>
          <w:szCs w:val="22"/>
          <w:lang w:val="es-ES_tradnl" w:eastAsia="en-US"/>
        </w:rPr>
        <w:t>si se admit</w:t>
      </w:r>
      <w:r>
        <w:rPr>
          <w:rFonts w:ascii="Arial" w:eastAsia="Calibri" w:hAnsi="Arial" w:cs="Arial"/>
          <w:sz w:val="22"/>
          <w:szCs w:val="22"/>
          <w:lang w:val="es-ES_tradnl" w:eastAsia="en-US"/>
        </w:rPr>
        <w:t xml:space="preserve">e </w:t>
      </w:r>
      <w:r w:rsidR="00C0281B" w:rsidRPr="00C0281B">
        <w:rPr>
          <w:rFonts w:ascii="Arial" w:eastAsia="Calibri" w:hAnsi="Arial" w:cs="Arial"/>
          <w:sz w:val="22"/>
          <w:szCs w:val="22"/>
          <w:lang w:val="es-ES_tradnl" w:eastAsia="en-US"/>
        </w:rPr>
        <w:t>una interpretación amplia, extensiva o finalista,</w:t>
      </w:r>
      <w:r w:rsidR="00E1210B">
        <w:rPr>
          <w:rFonts w:ascii="Arial" w:eastAsia="Calibri" w:hAnsi="Arial" w:cs="Arial"/>
          <w:sz w:val="22"/>
          <w:szCs w:val="22"/>
          <w:lang w:val="es-ES_tradnl" w:eastAsia="en-US"/>
        </w:rPr>
        <w:t xml:space="preserve"> sus </w:t>
      </w:r>
      <w:r w:rsidR="00C0281B" w:rsidRPr="00C0281B">
        <w:rPr>
          <w:rFonts w:ascii="Arial" w:eastAsia="Calibri" w:hAnsi="Arial" w:cs="Arial"/>
          <w:sz w:val="22"/>
          <w:szCs w:val="22"/>
          <w:lang w:val="es-ES_tradnl" w:eastAsia="en-US"/>
        </w:rPr>
        <w:t>enunciados normativos contemplarían múltiples supuestos</w:t>
      </w:r>
      <w:r w:rsidR="00E1210B">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 xml:space="preserve">indeterminados, según el parecer o el sentido común de los operadores jurídicos, </w:t>
      </w:r>
      <w:r w:rsidR="00E1210B">
        <w:rPr>
          <w:rFonts w:ascii="Arial" w:eastAsia="Calibri" w:hAnsi="Arial" w:cs="Arial"/>
          <w:sz w:val="22"/>
          <w:szCs w:val="22"/>
          <w:lang w:val="es-ES_tradnl" w:eastAsia="en-US"/>
        </w:rPr>
        <w:t xml:space="preserve">poniéndose </w:t>
      </w:r>
      <w:r w:rsidR="00C0281B" w:rsidRPr="00C0281B">
        <w:rPr>
          <w:rFonts w:ascii="Arial" w:eastAsia="Calibri" w:hAnsi="Arial" w:cs="Arial"/>
          <w:sz w:val="22"/>
          <w:szCs w:val="22"/>
          <w:lang w:val="es-ES_tradnl" w:eastAsia="en-US"/>
        </w:rPr>
        <w:t>en riesgo principios como la igualdad, el debido proceso, la seguridad jurídica, la libre concurrencia y el ejercicio de la profesión u oficio</w:t>
      </w:r>
      <w:r>
        <w:rPr>
          <w:rFonts w:ascii="Arial" w:eastAsia="Calibri" w:hAnsi="Arial" w:cs="Arial"/>
          <w:sz w:val="22"/>
          <w:szCs w:val="22"/>
          <w:lang w:val="es-ES_tradnl" w:eastAsia="en-US"/>
        </w:rPr>
        <w:t>.</w:t>
      </w:r>
    </w:p>
    <w:bookmarkEnd w:id="17"/>
    <w:p w14:paraId="694435A3" w14:textId="0BDE1683" w:rsidR="00CD20EA" w:rsidRDefault="00E1210B" w:rsidP="00CD20EA">
      <w:pPr>
        <w:spacing w:after="120" w:line="259" w:lineRule="auto"/>
        <w:ind w:firstLine="709"/>
        <w:jc w:val="both"/>
        <w:rPr>
          <w:rFonts w:ascii="Arial" w:eastAsia="Calibri" w:hAnsi="Arial" w:cs="Arial"/>
          <w:sz w:val="22"/>
          <w:szCs w:val="22"/>
          <w:lang w:val="es-ES_tradnl" w:eastAsia="en-US"/>
        </w:rPr>
      </w:pPr>
      <w:r>
        <w:rPr>
          <w:rFonts w:ascii="Arial" w:eastAsia="Calibri" w:hAnsi="Arial" w:cs="Arial"/>
          <w:sz w:val="22"/>
          <w:szCs w:val="22"/>
          <w:lang w:val="es-ES_tradnl" w:eastAsia="en-US"/>
        </w:rPr>
        <w:t>Así lo ha reconocido</w:t>
      </w:r>
      <w:r w:rsidR="009536F3">
        <w:rPr>
          <w:rFonts w:ascii="Arial" w:eastAsia="Calibri" w:hAnsi="Arial" w:cs="Arial"/>
          <w:sz w:val="22"/>
          <w:szCs w:val="22"/>
          <w:lang w:val="es-ES_tradnl" w:eastAsia="en-US"/>
        </w:rPr>
        <w:t xml:space="preserve"> </w:t>
      </w:r>
      <w:r>
        <w:rPr>
          <w:rFonts w:ascii="Arial" w:eastAsia="Calibri" w:hAnsi="Arial" w:cs="Arial"/>
          <w:sz w:val="22"/>
          <w:szCs w:val="22"/>
          <w:lang w:val="es-ES_tradnl" w:eastAsia="en-US"/>
        </w:rPr>
        <w:t xml:space="preserve">la Corte Constitucional al </w:t>
      </w:r>
      <w:r w:rsidR="00C0281B" w:rsidRPr="00C0281B">
        <w:rPr>
          <w:rFonts w:ascii="Arial" w:eastAsia="Calibri" w:hAnsi="Arial" w:cs="Arial"/>
          <w:sz w:val="22"/>
          <w:szCs w:val="22"/>
          <w:lang w:val="es-ES_tradnl" w:eastAsia="en-US"/>
        </w:rPr>
        <w:t>precisar el sentido de este tipo de normas,</w:t>
      </w:r>
      <w:r w:rsidR="009536F3">
        <w:rPr>
          <w:rFonts w:ascii="Arial" w:eastAsia="Calibri" w:hAnsi="Arial" w:cs="Arial"/>
          <w:sz w:val="22"/>
          <w:szCs w:val="22"/>
          <w:lang w:val="es-ES_tradnl" w:eastAsia="en-US"/>
        </w:rPr>
        <w:t xml:space="preserve"> pues en su jurisprudencia ha señalado que </w:t>
      </w:r>
      <w:r w:rsidR="00C0281B" w:rsidRPr="00C0281B">
        <w:rPr>
          <w:rFonts w:ascii="Arial" w:eastAsia="Calibri" w:hAnsi="Arial" w:cs="Arial"/>
          <w:sz w:val="22"/>
          <w:szCs w:val="22"/>
          <w:lang w:val="es-ES_tradnl" w:eastAsia="en-US"/>
        </w:rPr>
        <w:t>“</w:t>
      </w:r>
      <w:r>
        <w:rPr>
          <w:rFonts w:ascii="Arial" w:eastAsia="Calibri" w:hAnsi="Arial" w:cs="Arial"/>
          <w:sz w:val="22"/>
          <w:szCs w:val="22"/>
          <w:lang w:val="es-ES_tradnl" w:eastAsia="en-US"/>
        </w:rPr>
        <w:t>(…)</w:t>
      </w:r>
      <w:r w:rsidR="009536F3">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00C0281B" w:rsidRPr="00C0281B">
        <w:rPr>
          <w:rFonts w:ascii="Arial" w:eastAsia="Calibri" w:hAnsi="Arial" w:cs="Arial"/>
          <w:sz w:val="22"/>
          <w:szCs w:val="22"/>
          <w:vertAlign w:val="superscript"/>
          <w:lang w:val="es-ES_tradnl" w:eastAsia="en-US"/>
        </w:rPr>
        <w:footnoteReference w:id="16"/>
      </w:r>
      <w:r w:rsidR="009536F3">
        <w:rPr>
          <w:rFonts w:ascii="Arial" w:eastAsia="Calibri" w:hAnsi="Arial" w:cs="Arial"/>
          <w:sz w:val="22"/>
          <w:szCs w:val="22"/>
          <w:lang w:val="es-ES_tradnl" w:eastAsia="en-US"/>
        </w:rPr>
        <w:t>.</w:t>
      </w:r>
      <w:r w:rsidR="00CD20EA">
        <w:rPr>
          <w:rFonts w:ascii="Arial" w:eastAsia="Calibri" w:hAnsi="Arial" w:cs="Arial"/>
          <w:sz w:val="22"/>
          <w:szCs w:val="22"/>
          <w:lang w:val="es-ES_tradnl" w:eastAsia="en-US"/>
        </w:rPr>
        <w:t xml:space="preserve"> De igual forma, el Consejo de Estado</w:t>
      </w:r>
      <w:r w:rsidR="00F83974">
        <w:rPr>
          <w:rFonts w:ascii="Arial" w:eastAsia="Calibri" w:hAnsi="Arial" w:cs="Arial"/>
          <w:sz w:val="22"/>
          <w:szCs w:val="22"/>
          <w:lang w:val="es-ES_tradnl" w:eastAsia="en-US"/>
        </w:rPr>
        <w:t xml:space="preserve"> </w:t>
      </w:r>
      <w:r w:rsidR="00CD20EA">
        <w:rPr>
          <w:rFonts w:ascii="Arial" w:eastAsia="Calibri" w:hAnsi="Arial" w:cs="Arial"/>
          <w:sz w:val="22"/>
          <w:szCs w:val="22"/>
          <w:lang w:val="es-ES_tradnl" w:eastAsia="en-US"/>
        </w:rPr>
        <w:t xml:space="preserve">ha llegado a similar conclusión, al afirmar que </w:t>
      </w:r>
      <w:r w:rsidR="00C0281B" w:rsidRPr="00C0281B">
        <w:rPr>
          <w:rFonts w:ascii="Arial" w:eastAsia="Calibri" w:hAnsi="Arial" w:cs="Arial"/>
          <w:sz w:val="22"/>
          <w:szCs w:val="22"/>
          <w:lang w:val="es-ES_tradnl" w:eastAsia="en-US"/>
        </w:rPr>
        <w:t>“</w:t>
      </w:r>
      <w:r w:rsidR="00CD20EA">
        <w:rPr>
          <w:rFonts w:ascii="Arial" w:eastAsia="Calibri" w:hAnsi="Arial" w:cs="Arial"/>
          <w:sz w:val="22"/>
          <w:szCs w:val="22"/>
          <w:lang w:val="es-ES_tradnl" w:eastAsia="en-US"/>
        </w:rPr>
        <w:t>(l)</w:t>
      </w:r>
      <w:r w:rsidR="00C0281B" w:rsidRPr="00C0281B">
        <w:rPr>
          <w:rFonts w:ascii="Arial" w:eastAsia="Calibri" w:hAnsi="Arial" w:cs="Arial"/>
          <w:sz w:val="22"/>
          <w:szCs w:val="22"/>
          <w:lang w:val="es-ES_tradnl" w:eastAsia="en-US"/>
        </w:rPr>
        <w:t>a</w:t>
      </w:r>
      <w:r w:rsidR="00CD20EA">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w:t>
      </w:r>
      <w:r w:rsidR="00CD20EA">
        <w:rPr>
          <w:rFonts w:ascii="Arial" w:eastAsia="Calibri" w:hAnsi="Arial" w:cs="Arial"/>
          <w:sz w:val="22"/>
          <w:szCs w:val="22"/>
          <w:lang w:val="es-ES_tradnl" w:eastAsia="en-US"/>
        </w:rPr>
        <w:t xml:space="preserve">, </w:t>
      </w:r>
      <w:r w:rsidR="00C0281B" w:rsidRPr="00C0281B">
        <w:rPr>
          <w:rFonts w:ascii="Arial" w:eastAsia="Calibri" w:hAnsi="Arial" w:cs="Arial"/>
          <w:sz w:val="22"/>
          <w:szCs w:val="22"/>
          <w:lang w:val="es-ES_tradnl" w:eastAsia="en-US"/>
        </w:rPr>
        <w:t>lo que se traduce en que pueden hacer todo aquello que no les esté expresamente prohibido”</w:t>
      </w:r>
      <w:r w:rsidR="00C0281B" w:rsidRPr="00C0281B">
        <w:rPr>
          <w:rFonts w:ascii="Arial" w:eastAsia="Calibri" w:hAnsi="Arial" w:cs="Arial"/>
          <w:sz w:val="22"/>
          <w:szCs w:val="22"/>
          <w:vertAlign w:val="superscript"/>
          <w:lang w:val="es-ES_tradnl" w:eastAsia="en-US"/>
        </w:rPr>
        <w:footnoteReference w:id="17"/>
      </w:r>
      <w:r w:rsidR="00F83974">
        <w:rPr>
          <w:rFonts w:ascii="Arial" w:eastAsia="Calibri" w:hAnsi="Arial" w:cs="Arial"/>
          <w:sz w:val="22"/>
          <w:szCs w:val="22"/>
          <w:lang w:val="es-ES_tradnl" w:eastAsia="en-US"/>
        </w:rPr>
        <w:t>.</w:t>
      </w:r>
    </w:p>
    <w:p w14:paraId="3423A01A" w14:textId="77777777" w:rsidR="00133BF5" w:rsidRDefault="00F83974" w:rsidP="00133BF5">
      <w:pPr>
        <w:spacing w:after="120" w:line="259" w:lineRule="auto"/>
        <w:ind w:firstLine="709"/>
        <w:jc w:val="both"/>
        <w:rPr>
          <w:rFonts w:ascii="Arial" w:eastAsiaTheme="minorHAnsi" w:hAnsi="Arial" w:cs="Arial"/>
          <w:sz w:val="21"/>
          <w:szCs w:val="21"/>
          <w:lang w:val="es-ES_tradnl" w:eastAsia="en-US"/>
        </w:rPr>
      </w:pPr>
      <w:r>
        <w:rPr>
          <w:rFonts w:ascii="Arial" w:eastAsia="Calibri" w:hAnsi="Arial" w:cs="Arial"/>
          <w:sz w:val="22"/>
          <w:szCs w:val="22"/>
          <w:lang w:val="es-ES_tradnl" w:eastAsia="en-US"/>
        </w:rPr>
        <w:t>De lo anterior, se tiene que la estipulación de nuevas hipótesis o creación de supuestos fácticos constitutivos de inhabilidades o incompatibilidades es un asunto con reserva de ley, por cuanto</w:t>
      </w:r>
      <w:r w:rsidR="00133BF5">
        <w:rPr>
          <w:rFonts w:ascii="Arial" w:eastAsia="Calibri" w:hAnsi="Arial" w:cs="Arial"/>
          <w:sz w:val="22"/>
          <w:szCs w:val="22"/>
          <w:lang w:val="es-ES_tradnl" w:eastAsia="en-US"/>
        </w:rPr>
        <w:t xml:space="preserve">, como ya se señaló, </w:t>
      </w:r>
      <w:r>
        <w:rPr>
          <w:rFonts w:ascii="Arial" w:eastAsia="Calibri" w:hAnsi="Arial" w:cs="Arial"/>
          <w:sz w:val="22"/>
          <w:szCs w:val="22"/>
          <w:lang w:val="es-ES_tradnl" w:eastAsia="en-US"/>
        </w:rPr>
        <w:t>su previsión y desarrollo es materia exclusiva del legislador, quien estará encargado de fijar y definir, en virtud del principio democrático, sus causas, vigencia, naturaleza y efectos</w:t>
      </w:r>
      <w:r w:rsidRPr="00C0281B">
        <w:rPr>
          <w:rFonts w:ascii="Arial" w:eastAsiaTheme="minorHAnsi" w:hAnsi="Arial" w:cs="Arial"/>
          <w:sz w:val="22"/>
          <w:szCs w:val="22"/>
          <w:shd w:val="clear" w:color="auto" w:fill="FFFFFF"/>
          <w:vertAlign w:val="superscript"/>
          <w:lang w:eastAsia="en-US"/>
        </w:rPr>
        <w:footnoteReference w:id="18"/>
      </w:r>
      <w:r>
        <w:rPr>
          <w:rFonts w:ascii="Arial" w:eastAsia="Calibri" w:hAnsi="Arial" w:cs="Arial"/>
          <w:sz w:val="22"/>
          <w:szCs w:val="22"/>
          <w:lang w:val="es-ES_tradnl" w:eastAsia="en-US"/>
        </w:rPr>
        <w:t>.</w:t>
      </w:r>
    </w:p>
    <w:p w14:paraId="398CB885" w14:textId="3C3F88DF" w:rsidR="00657DAD" w:rsidRPr="001E04D3" w:rsidRDefault="00B17718" w:rsidP="00657DAD">
      <w:pPr>
        <w:spacing w:after="120" w:line="259" w:lineRule="auto"/>
        <w:jc w:val="both"/>
        <w:rPr>
          <w:rFonts w:ascii="Arial" w:eastAsia="Calibri" w:hAnsi="Arial" w:cs="Arial"/>
          <w:iCs/>
          <w:sz w:val="22"/>
          <w:szCs w:val="22"/>
          <w:lang w:eastAsia="en-US"/>
        </w:rPr>
      </w:pPr>
      <w:r w:rsidRPr="00B17718">
        <w:rPr>
          <w:rFonts w:ascii="Arial" w:eastAsia="Calibri" w:hAnsi="Arial" w:cs="Arial"/>
          <w:b/>
          <w:bCs/>
          <w:iCs/>
          <w:sz w:val="22"/>
          <w:szCs w:val="22"/>
          <w:lang w:eastAsia="en-US"/>
        </w:rPr>
        <w:t>2.3.</w:t>
      </w:r>
      <w:r w:rsidRPr="00B17718">
        <w:rPr>
          <w:rFonts w:ascii="Arial" w:eastAsia="Calibri" w:hAnsi="Arial" w:cs="Arial"/>
          <w:b/>
          <w:bCs/>
          <w:iCs/>
          <w:sz w:val="22"/>
          <w:szCs w:val="22"/>
          <w:lang w:eastAsia="en-US"/>
        </w:rPr>
        <w:tab/>
      </w:r>
      <w:r w:rsidR="00657DAD">
        <w:rPr>
          <w:rFonts w:ascii="Arial" w:eastAsia="Calibri" w:hAnsi="Arial" w:cs="Arial"/>
          <w:b/>
          <w:bCs/>
          <w:iCs/>
          <w:sz w:val="22"/>
          <w:szCs w:val="22"/>
          <w:lang w:eastAsia="en-US"/>
        </w:rPr>
        <w:t>Registro de Deudores Alimentarios Morosos</w:t>
      </w:r>
      <w:r w:rsidR="001E04D3">
        <w:rPr>
          <w:rFonts w:ascii="Arial" w:eastAsia="Calibri" w:hAnsi="Arial" w:cs="Arial"/>
          <w:b/>
          <w:bCs/>
          <w:iCs/>
          <w:sz w:val="22"/>
          <w:szCs w:val="22"/>
          <w:lang w:eastAsia="en-US"/>
        </w:rPr>
        <w:t xml:space="preserve"> </w:t>
      </w:r>
      <w:r w:rsidR="00657DAD">
        <w:rPr>
          <w:rFonts w:ascii="Arial" w:eastAsia="Calibri" w:hAnsi="Arial" w:cs="Arial"/>
          <w:b/>
          <w:bCs/>
          <w:iCs/>
          <w:sz w:val="22"/>
          <w:szCs w:val="22"/>
          <w:lang w:eastAsia="en-US"/>
        </w:rPr>
        <w:t>-REDAM-.</w:t>
      </w:r>
      <w:r w:rsidR="001E04D3">
        <w:rPr>
          <w:rFonts w:ascii="Arial" w:eastAsia="Calibri" w:hAnsi="Arial" w:cs="Arial"/>
          <w:b/>
          <w:bCs/>
          <w:iCs/>
          <w:sz w:val="22"/>
          <w:szCs w:val="22"/>
          <w:lang w:eastAsia="en-US"/>
        </w:rPr>
        <w:t xml:space="preserve"> </w:t>
      </w:r>
      <w:r w:rsidR="00657DAD">
        <w:rPr>
          <w:rFonts w:ascii="Arial" w:eastAsia="Calibri" w:hAnsi="Arial" w:cs="Arial"/>
          <w:b/>
          <w:bCs/>
          <w:iCs/>
          <w:sz w:val="22"/>
          <w:szCs w:val="22"/>
          <w:lang w:eastAsia="en-US"/>
        </w:rPr>
        <w:t>Ámbito de aplicación, constitucionalidad y vigencia de la restricción (inhabilidad) prevista en el artículo 6.1. de la Ley 2097 de 2021</w:t>
      </w:r>
      <w:r w:rsidR="001E04D3">
        <w:rPr>
          <w:rFonts w:ascii="Arial" w:eastAsia="Calibri" w:hAnsi="Arial" w:cs="Arial"/>
          <w:b/>
          <w:bCs/>
          <w:iCs/>
          <w:sz w:val="22"/>
          <w:szCs w:val="22"/>
          <w:lang w:eastAsia="en-US"/>
        </w:rPr>
        <w:t>, reglamentada por el Decreto 1310 de 2022</w:t>
      </w:r>
      <w:r w:rsidR="00827123">
        <w:rPr>
          <w:rFonts w:ascii="Arial" w:eastAsia="Calibri" w:hAnsi="Arial" w:cs="Arial"/>
          <w:b/>
          <w:bCs/>
          <w:iCs/>
          <w:sz w:val="22"/>
          <w:szCs w:val="22"/>
          <w:lang w:eastAsia="en-US"/>
        </w:rPr>
        <w:t>.</w:t>
      </w:r>
    </w:p>
    <w:p w14:paraId="22BDD4D5" w14:textId="77777777" w:rsidR="00092F23" w:rsidRDefault="009457C7" w:rsidP="00657DAD">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lastRenderedPageBreak/>
        <w:t xml:space="preserve">Si bien la institución de la familia como núcleo esencial de la sociedad ha sido objeto de un amplio desarrollo </w:t>
      </w:r>
      <w:r w:rsidR="00EA63E7">
        <w:rPr>
          <w:rFonts w:ascii="Arial" w:eastAsia="Calibri" w:hAnsi="Arial" w:cs="Arial"/>
          <w:bCs/>
          <w:color w:val="000000" w:themeColor="text1"/>
          <w:sz w:val="22"/>
          <w:szCs w:val="22"/>
          <w:lang w:eastAsia="en-US"/>
        </w:rPr>
        <w:t xml:space="preserve">legal </w:t>
      </w:r>
      <w:r>
        <w:rPr>
          <w:rFonts w:ascii="Arial" w:eastAsia="Calibri" w:hAnsi="Arial" w:cs="Arial"/>
          <w:bCs/>
          <w:color w:val="000000" w:themeColor="text1"/>
          <w:sz w:val="22"/>
          <w:szCs w:val="22"/>
          <w:lang w:eastAsia="en-US"/>
        </w:rPr>
        <w:t>en Colombia, la</w:t>
      </w:r>
      <w:r w:rsidR="000711CD">
        <w:rPr>
          <w:rFonts w:ascii="Arial" w:eastAsia="Calibri" w:hAnsi="Arial" w:cs="Arial"/>
          <w:bCs/>
          <w:color w:val="000000" w:themeColor="text1"/>
          <w:sz w:val="22"/>
          <w:szCs w:val="22"/>
          <w:lang w:eastAsia="en-US"/>
        </w:rPr>
        <w:t>s</w:t>
      </w:r>
      <w:r>
        <w:rPr>
          <w:rFonts w:ascii="Arial" w:eastAsia="Calibri" w:hAnsi="Arial" w:cs="Arial"/>
          <w:bCs/>
          <w:color w:val="000000" w:themeColor="text1"/>
          <w:sz w:val="22"/>
          <w:szCs w:val="22"/>
          <w:lang w:eastAsia="en-US"/>
        </w:rPr>
        <w:t xml:space="preserve"> obligaci</w:t>
      </w:r>
      <w:r w:rsidR="000711CD">
        <w:rPr>
          <w:rFonts w:ascii="Arial" w:eastAsia="Calibri" w:hAnsi="Arial" w:cs="Arial"/>
          <w:bCs/>
          <w:color w:val="000000" w:themeColor="text1"/>
          <w:sz w:val="22"/>
          <w:szCs w:val="22"/>
          <w:lang w:eastAsia="en-US"/>
        </w:rPr>
        <w:t xml:space="preserve">ones </w:t>
      </w:r>
      <w:r>
        <w:rPr>
          <w:rFonts w:ascii="Arial" w:eastAsia="Calibri" w:hAnsi="Arial" w:cs="Arial"/>
          <w:bCs/>
          <w:color w:val="000000" w:themeColor="text1"/>
          <w:sz w:val="22"/>
          <w:szCs w:val="22"/>
          <w:lang w:eastAsia="en-US"/>
        </w:rPr>
        <w:t>alimentaria</w:t>
      </w:r>
      <w:r w:rsidR="000711CD">
        <w:rPr>
          <w:rFonts w:ascii="Arial" w:eastAsia="Calibri" w:hAnsi="Arial" w:cs="Arial"/>
          <w:bCs/>
          <w:color w:val="000000" w:themeColor="text1"/>
          <w:sz w:val="22"/>
          <w:szCs w:val="22"/>
          <w:lang w:eastAsia="en-US"/>
        </w:rPr>
        <w:t>s</w:t>
      </w:r>
      <w:r>
        <w:rPr>
          <w:rFonts w:ascii="Arial" w:eastAsia="Calibri" w:hAnsi="Arial" w:cs="Arial"/>
          <w:bCs/>
          <w:color w:val="000000" w:themeColor="text1"/>
          <w:sz w:val="22"/>
          <w:szCs w:val="22"/>
          <w:lang w:eastAsia="en-US"/>
        </w:rPr>
        <w:t xml:space="preserve">, en </w:t>
      </w:r>
      <w:r w:rsidR="00EA63E7">
        <w:rPr>
          <w:rFonts w:ascii="Arial" w:eastAsia="Calibri" w:hAnsi="Arial" w:cs="Arial"/>
          <w:bCs/>
          <w:color w:val="000000" w:themeColor="text1"/>
          <w:sz w:val="22"/>
          <w:szCs w:val="22"/>
          <w:lang w:eastAsia="en-US"/>
        </w:rPr>
        <w:t xml:space="preserve">materia </w:t>
      </w:r>
      <w:r>
        <w:rPr>
          <w:rFonts w:ascii="Arial" w:eastAsia="Calibri" w:hAnsi="Arial" w:cs="Arial"/>
          <w:bCs/>
          <w:color w:val="000000" w:themeColor="text1"/>
          <w:sz w:val="22"/>
          <w:szCs w:val="22"/>
          <w:lang w:eastAsia="en-US"/>
        </w:rPr>
        <w:t>de política pública, sigue</w:t>
      </w:r>
      <w:r w:rsidR="000711CD">
        <w:rPr>
          <w:rFonts w:ascii="Arial" w:eastAsia="Calibri" w:hAnsi="Arial" w:cs="Arial"/>
          <w:bCs/>
          <w:color w:val="000000" w:themeColor="text1"/>
          <w:sz w:val="22"/>
          <w:szCs w:val="22"/>
          <w:lang w:eastAsia="en-US"/>
        </w:rPr>
        <w:t>n</w:t>
      </w:r>
      <w:r>
        <w:rPr>
          <w:rFonts w:ascii="Arial" w:eastAsia="Calibri" w:hAnsi="Arial" w:cs="Arial"/>
          <w:bCs/>
          <w:color w:val="000000" w:themeColor="text1"/>
          <w:sz w:val="22"/>
          <w:szCs w:val="22"/>
          <w:lang w:eastAsia="en-US"/>
        </w:rPr>
        <w:t xml:space="preserve"> siendo uno de los temas</w:t>
      </w:r>
      <w:r w:rsidR="00EA63E7">
        <w:rPr>
          <w:rFonts w:ascii="Arial" w:eastAsia="Calibri" w:hAnsi="Arial" w:cs="Arial"/>
          <w:bCs/>
          <w:color w:val="000000" w:themeColor="text1"/>
          <w:sz w:val="22"/>
          <w:szCs w:val="22"/>
          <w:lang w:eastAsia="en-US"/>
        </w:rPr>
        <w:t xml:space="preserve"> </w:t>
      </w:r>
      <w:r>
        <w:rPr>
          <w:rFonts w:ascii="Arial" w:eastAsia="Calibri" w:hAnsi="Arial" w:cs="Arial"/>
          <w:bCs/>
          <w:color w:val="000000" w:themeColor="text1"/>
          <w:sz w:val="22"/>
          <w:szCs w:val="22"/>
          <w:lang w:eastAsia="en-US"/>
        </w:rPr>
        <w:t>con</w:t>
      </w:r>
      <w:r w:rsidR="00EA63E7">
        <w:rPr>
          <w:rFonts w:ascii="Arial" w:eastAsia="Calibri" w:hAnsi="Arial" w:cs="Arial"/>
          <w:bCs/>
          <w:color w:val="000000" w:themeColor="text1"/>
          <w:sz w:val="22"/>
          <w:szCs w:val="22"/>
          <w:lang w:eastAsia="en-US"/>
        </w:rPr>
        <w:t xml:space="preserve"> </w:t>
      </w:r>
      <w:r>
        <w:rPr>
          <w:rFonts w:ascii="Arial" w:eastAsia="Calibri" w:hAnsi="Arial" w:cs="Arial"/>
          <w:bCs/>
          <w:color w:val="000000" w:themeColor="text1"/>
          <w:sz w:val="22"/>
          <w:szCs w:val="22"/>
          <w:lang w:eastAsia="en-US"/>
        </w:rPr>
        <w:t xml:space="preserve">menor </w:t>
      </w:r>
      <w:r w:rsidR="000711CD">
        <w:rPr>
          <w:rFonts w:ascii="Arial" w:eastAsia="Calibri" w:hAnsi="Arial" w:cs="Arial"/>
          <w:bCs/>
          <w:color w:val="000000" w:themeColor="text1"/>
          <w:sz w:val="22"/>
          <w:szCs w:val="22"/>
          <w:lang w:eastAsia="en-US"/>
        </w:rPr>
        <w:t xml:space="preserve">aplicación </w:t>
      </w:r>
      <w:r w:rsidR="00EA63E7">
        <w:rPr>
          <w:rFonts w:ascii="Arial" w:eastAsia="Calibri" w:hAnsi="Arial" w:cs="Arial"/>
          <w:bCs/>
          <w:color w:val="000000" w:themeColor="text1"/>
          <w:sz w:val="22"/>
          <w:szCs w:val="22"/>
          <w:lang w:eastAsia="en-US"/>
        </w:rPr>
        <w:t>normativ</w:t>
      </w:r>
      <w:r w:rsidR="000711CD">
        <w:rPr>
          <w:rFonts w:ascii="Arial" w:eastAsia="Calibri" w:hAnsi="Arial" w:cs="Arial"/>
          <w:bCs/>
          <w:color w:val="000000" w:themeColor="text1"/>
          <w:sz w:val="22"/>
          <w:szCs w:val="22"/>
          <w:lang w:eastAsia="en-US"/>
        </w:rPr>
        <w:t xml:space="preserve">a </w:t>
      </w:r>
      <w:r w:rsidR="00EA63E7">
        <w:rPr>
          <w:rFonts w:ascii="Arial" w:eastAsia="Calibri" w:hAnsi="Arial" w:cs="Arial"/>
          <w:bCs/>
          <w:color w:val="000000" w:themeColor="text1"/>
          <w:sz w:val="22"/>
          <w:szCs w:val="22"/>
          <w:lang w:eastAsia="en-US"/>
        </w:rPr>
        <w:t>por razón de sus complejidades asociadas, principalmente, a las repercusiones tanto para hijos como para padres y madres que tienen a cargo la responsabilidad del cuidado y manutención</w:t>
      </w:r>
      <w:r w:rsidR="00EA63E7">
        <w:rPr>
          <w:rStyle w:val="Refdenotaalpie"/>
          <w:rFonts w:ascii="Arial" w:eastAsia="Calibri" w:hAnsi="Arial" w:cs="Arial"/>
          <w:bCs/>
          <w:color w:val="000000" w:themeColor="text1"/>
          <w:sz w:val="22"/>
          <w:szCs w:val="22"/>
          <w:lang w:eastAsia="en-US"/>
        </w:rPr>
        <w:footnoteReference w:id="19"/>
      </w:r>
      <w:r w:rsidR="000711CD">
        <w:rPr>
          <w:rFonts w:ascii="Arial" w:eastAsia="Calibri" w:hAnsi="Arial" w:cs="Arial"/>
          <w:bCs/>
          <w:color w:val="000000" w:themeColor="text1"/>
          <w:sz w:val="22"/>
          <w:szCs w:val="22"/>
          <w:lang w:eastAsia="en-US"/>
        </w:rPr>
        <w:t>.</w:t>
      </w:r>
      <w:r w:rsidR="00092F23">
        <w:rPr>
          <w:rFonts w:ascii="Arial" w:eastAsia="Calibri" w:hAnsi="Arial" w:cs="Arial"/>
          <w:bCs/>
          <w:color w:val="000000" w:themeColor="text1"/>
          <w:sz w:val="22"/>
          <w:szCs w:val="22"/>
          <w:lang w:eastAsia="en-US"/>
        </w:rPr>
        <w:t xml:space="preserve"> </w:t>
      </w:r>
      <w:r w:rsidR="000711CD">
        <w:rPr>
          <w:rFonts w:ascii="Arial" w:eastAsia="Calibri" w:hAnsi="Arial" w:cs="Arial"/>
          <w:bCs/>
          <w:color w:val="000000" w:themeColor="text1"/>
          <w:sz w:val="22"/>
          <w:szCs w:val="22"/>
          <w:lang w:eastAsia="en-US"/>
        </w:rPr>
        <w:t>De ahí que se tuviera en cuenta que en el derecho comparado existen múltiples ejemplos que justifican “el establecimiento de un registro para deudores alimentarios morosos” en legislaciones de Estados Unidos, Perú, Uruguay, Buenos Aires y Ciudad de México,</w:t>
      </w:r>
      <w:r w:rsidR="00092F23">
        <w:rPr>
          <w:rFonts w:ascii="Arial" w:eastAsia="Calibri" w:hAnsi="Arial" w:cs="Arial"/>
          <w:bCs/>
          <w:color w:val="000000" w:themeColor="text1"/>
          <w:sz w:val="22"/>
          <w:szCs w:val="22"/>
          <w:lang w:eastAsia="en-US"/>
        </w:rPr>
        <w:t xml:space="preserve"> </w:t>
      </w:r>
      <w:r w:rsidR="000711CD">
        <w:rPr>
          <w:rFonts w:ascii="Arial" w:eastAsia="Calibri" w:hAnsi="Arial" w:cs="Arial"/>
          <w:bCs/>
          <w:color w:val="000000" w:themeColor="text1"/>
          <w:sz w:val="22"/>
          <w:szCs w:val="22"/>
          <w:lang w:eastAsia="en-US"/>
        </w:rPr>
        <w:t xml:space="preserve">a partir de </w:t>
      </w:r>
      <w:r w:rsidR="000711CD" w:rsidRPr="00092F23">
        <w:rPr>
          <w:rFonts w:ascii="Arial" w:eastAsia="Calibri" w:hAnsi="Arial" w:cs="Arial"/>
          <w:bCs/>
          <w:i/>
          <w:iCs/>
          <w:color w:val="000000" w:themeColor="text1"/>
          <w:sz w:val="22"/>
          <w:szCs w:val="22"/>
          <w:lang w:eastAsia="en-US"/>
        </w:rPr>
        <w:t>registros de manutención infantil</w:t>
      </w:r>
      <w:r w:rsidR="000711CD">
        <w:rPr>
          <w:rFonts w:ascii="Arial" w:eastAsia="Calibri" w:hAnsi="Arial" w:cs="Arial"/>
          <w:bCs/>
          <w:color w:val="000000" w:themeColor="text1"/>
          <w:sz w:val="22"/>
          <w:szCs w:val="22"/>
          <w:lang w:eastAsia="en-US"/>
        </w:rPr>
        <w:t xml:space="preserve"> con los cuales se tiene control sobre quiénes adeudan obligaciones alimentarias.</w:t>
      </w:r>
    </w:p>
    <w:p w14:paraId="64501B0B" w14:textId="77777777" w:rsidR="00F60F6D" w:rsidRDefault="00092F23" w:rsidP="009E3A2F">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ab/>
        <w:t>Por ello, ante la necesidad de ampliar los mecanismos de exigibilidad y sanción dirigidos a garantizar los derechos de cuidado y manutención frente a hijos e hijas, más allá de</w:t>
      </w:r>
      <w:r w:rsidR="00F60F6D">
        <w:rPr>
          <w:rFonts w:ascii="Arial" w:eastAsia="Calibri" w:hAnsi="Arial" w:cs="Arial"/>
          <w:bCs/>
          <w:color w:val="000000" w:themeColor="text1"/>
          <w:sz w:val="22"/>
          <w:szCs w:val="22"/>
          <w:lang w:eastAsia="en-US"/>
        </w:rPr>
        <w:t xml:space="preserve"> los tradicionales instrumentos judiciales -civil (proceso ejecutivo de alimentos), administrativo (restablecimiento de derechos) y penal (jurisdicción punitiva)-</w:t>
      </w:r>
      <w:r>
        <w:rPr>
          <w:rFonts w:ascii="Arial" w:eastAsia="Calibri" w:hAnsi="Arial" w:cs="Arial"/>
          <w:bCs/>
          <w:color w:val="000000" w:themeColor="text1"/>
          <w:sz w:val="22"/>
          <w:szCs w:val="22"/>
          <w:lang w:eastAsia="en-US"/>
        </w:rPr>
        <w:t xml:space="preserve">, se </w:t>
      </w:r>
      <w:r w:rsidR="00B70C13">
        <w:rPr>
          <w:rFonts w:ascii="Arial" w:eastAsia="Calibri" w:hAnsi="Arial" w:cs="Arial"/>
          <w:bCs/>
          <w:color w:val="000000" w:themeColor="text1"/>
          <w:sz w:val="22"/>
          <w:szCs w:val="22"/>
          <w:lang w:eastAsia="en-US"/>
        </w:rPr>
        <w:t xml:space="preserve">dejó en claro </w:t>
      </w:r>
      <w:r>
        <w:rPr>
          <w:rFonts w:ascii="Arial" w:eastAsia="Calibri" w:hAnsi="Arial" w:cs="Arial"/>
          <w:bCs/>
          <w:color w:val="000000" w:themeColor="text1"/>
          <w:sz w:val="22"/>
          <w:szCs w:val="22"/>
          <w:lang w:eastAsia="en-US"/>
        </w:rPr>
        <w:t>la importancia de mejorar los sistemas de identificación, monitoreo y reporte</w:t>
      </w:r>
      <w:r w:rsidR="00B70C13">
        <w:rPr>
          <w:rFonts w:ascii="Arial" w:eastAsia="Calibri" w:hAnsi="Arial" w:cs="Arial"/>
          <w:bCs/>
          <w:color w:val="000000" w:themeColor="text1"/>
          <w:sz w:val="22"/>
          <w:szCs w:val="22"/>
          <w:lang w:eastAsia="en-US"/>
        </w:rPr>
        <w:t xml:space="preserve"> de los y las alimentantes que incumplan su obligación de cuidado, permitiéndose que la sanción legal cumpla con su objetivo de persuadir a los demandados para que se abstengan de cometer o reiterar la conducta delictiva.</w:t>
      </w:r>
    </w:p>
    <w:p w14:paraId="4A3EE5ED" w14:textId="702A6217" w:rsidR="00657DAD" w:rsidRDefault="00F60F6D" w:rsidP="009E3A2F">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ab/>
      </w:r>
      <w:r w:rsidR="00B70C13">
        <w:rPr>
          <w:rFonts w:ascii="Arial" w:eastAsia="Calibri" w:hAnsi="Arial" w:cs="Arial"/>
          <w:bCs/>
          <w:color w:val="000000" w:themeColor="text1"/>
          <w:sz w:val="22"/>
          <w:szCs w:val="22"/>
          <w:lang w:eastAsia="en-US"/>
        </w:rPr>
        <w:t>Es así como el Congreso</w:t>
      </w:r>
      <w:r w:rsidR="00F645FA">
        <w:rPr>
          <w:rFonts w:ascii="Arial" w:eastAsia="Calibri" w:hAnsi="Arial" w:cs="Arial"/>
          <w:bCs/>
          <w:color w:val="000000" w:themeColor="text1"/>
          <w:sz w:val="22"/>
          <w:szCs w:val="22"/>
          <w:lang w:eastAsia="en-US"/>
        </w:rPr>
        <w:t xml:space="preserve"> </w:t>
      </w:r>
      <w:r w:rsidR="00B70C13">
        <w:rPr>
          <w:rFonts w:ascii="Arial" w:eastAsia="Calibri" w:hAnsi="Arial" w:cs="Arial"/>
          <w:bCs/>
          <w:color w:val="000000" w:themeColor="text1"/>
          <w:sz w:val="22"/>
          <w:szCs w:val="22"/>
          <w:lang w:eastAsia="en-US"/>
        </w:rPr>
        <w:t>de</w:t>
      </w:r>
      <w:r w:rsidR="00F645FA">
        <w:rPr>
          <w:rFonts w:ascii="Arial" w:eastAsia="Calibri" w:hAnsi="Arial" w:cs="Arial"/>
          <w:bCs/>
          <w:color w:val="000000" w:themeColor="text1"/>
          <w:sz w:val="22"/>
          <w:szCs w:val="22"/>
          <w:lang w:eastAsia="en-US"/>
        </w:rPr>
        <w:t xml:space="preserve"> </w:t>
      </w:r>
      <w:r w:rsidR="00B70C13">
        <w:rPr>
          <w:rFonts w:ascii="Arial" w:eastAsia="Calibri" w:hAnsi="Arial" w:cs="Arial"/>
          <w:bCs/>
          <w:color w:val="000000" w:themeColor="text1"/>
          <w:sz w:val="22"/>
          <w:szCs w:val="22"/>
          <w:lang w:eastAsia="en-US"/>
        </w:rPr>
        <w:t>la República expide la Ley Estatutaria 2097 el 2 de julio de 2021</w:t>
      </w:r>
      <w:r w:rsidR="009E3A2F">
        <w:rPr>
          <w:rFonts w:ascii="Arial" w:eastAsia="Calibri" w:hAnsi="Arial" w:cs="Arial"/>
          <w:bCs/>
          <w:color w:val="000000" w:themeColor="text1"/>
          <w:sz w:val="22"/>
          <w:szCs w:val="22"/>
          <w:lang w:eastAsia="en-US"/>
        </w:rPr>
        <w:t xml:space="preserve">, con el objeto de </w:t>
      </w:r>
      <w:r w:rsidR="00B70C13">
        <w:rPr>
          <w:rFonts w:ascii="Arial" w:eastAsia="Calibri" w:hAnsi="Arial" w:cs="Arial"/>
          <w:bCs/>
          <w:color w:val="000000" w:themeColor="text1"/>
          <w:sz w:val="22"/>
          <w:szCs w:val="22"/>
          <w:lang w:eastAsia="en-US"/>
        </w:rPr>
        <w:t>establecer medidas para garantizar el cumplimiento de las obligaciones alimentarias</w:t>
      </w:r>
      <w:r w:rsidR="009E3A2F">
        <w:rPr>
          <w:rFonts w:ascii="Arial" w:eastAsia="Calibri" w:hAnsi="Arial" w:cs="Arial"/>
          <w:bCs/>
          <w:color w:val="000000" w:themeColor="text1"/>
          <w:sz w:val="22"/>
          <w:szCs w:val="22"/>
          <w:lang w:eastAsia="en-US"/>
        </w:rPr>
        <w:t xml:space="preserve"> y crear el Registro de Deudores Alimentarios Morosos (REDAM) como mecanismo de control al incumplimiento de las obligaciones alimentarias</w:t>
      </w:r>
      <w:r w:rsidR="009E3A2F">
        <w:rPr>
          <w:rStyle w:val="Refdenotaalpie"/>
          <w:rFonts w:ascii="Arial" w:eastAsia="Calibri" w:hAnsi="Arial" w:cs="Arial"/>
          <w:bCs/>
          <w:color w:val="000000" w:themeColor="text1"/>
          <w:sz w:val="22"/>
          <w:szCs w:val="22"/>
          <w:lang w:eastAsia="en-US"/>
        </w:rPr>
        <w:footnoteReference w:id="20"/>
      </w:r>
      <w:r w:rsidR="009E3A2F">
        <w:rPr>
          <w:rFonts w:ascii="Arial" w:eastAsia="Calibri" w:hAnsi="Arial" w:cs="Arial"/>
          <w:bCs/>
          <w:color w:val="000000" w:themeColor="text1"/>
          <w:sz w:val="22"/>
          <w:szCs w:val="22"/>
          <w:lang w:eastAsia="en-US"/>
        </w:rPr>
        <w:t xml:space="preserve">, aplicable a todas las personas que se encuentren en mora a partir de tres (3) cuotas alimentarias, sucesivas o no, fijadas en sentencias ejecutoriadas, acuerdos de conciliación, o cualquier título ejecutivo contentivo de obligaciones </w:t>
      </w:r>
      <w:r w:rsidR="00F645FA">
        <w:rPr>
          <w:rFonts w:ascii="Arial" w:eastAsia="Calibri" w:hAnsi="Arial" w:cs="Arial"/>
          <w:bCs/>
          <w:color w:val="000000" w:themeColor="text1"/>
          <w:sz w:val="22"/>
          <w:szCs w:val="22"/>
          <w:lang w:eastAsia="en-US"/>
        </w:rPr>
        <w:t>por concepto de alimentos congruos o necesarios, definitivos o provisionales.</w:t>
      </w:r>
    </w:p>
    <w:p w14:paraId="39856F94" w14:textId="75814215" w:rsidR="009E3A2F" w:rsidRDefault="005D14C5" w:rsidP="009E3A2F">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ab/>
      </w:r>
      <w:r w:rsidR="00431FB2">
        <w:rPr>
          <w:rFonts w:ascii="Arial" w:eastAsia="Calibri" w:hAnsi="Arial" w:cs="Arial"/>
          <w:bCs/>
          <w:color w:val="000000" w:themeColor="text1"/>
          <w:sz w:val="22"/>
          <w:szCs w:val="22"/>
          <w:lang w:eastAsia="en-US"/>
        </w:rPr>
        <w:t>Para la inscripción</w:t>
      </w:r>
      <w:r>
        <w:rPr>
          <w:rFonts w:ascii="Arial" w:eastAsia="Calibri" w:hAnsi="Arial" w:cs="Arial"/>
          <w:bCs/>
          <w:color w:val="000000" w:themeColor="text1"/>
          <w:sz w:val="22"/>
          <w:szCs w:val="22"/>
          <w:lang w:eastAsia="en-US"/>
        </w:rPr>
        <w:t xml:space="preserve"> </w:t>
      </w:r>
      <w:r w:rsidR="00431FB2">
        <w:rPr>
          <w:rFonts w:ascii="Arial" w:eastAsia="Calibri" w:hAnsi="Arial" w:cs="Arial"/>
          <w:bCs/>
          <w:color w:val="000000" w:themeColor="text1"/>
          <w:sz w:val="22"/>
          <w:szCs w:val="22"/>
          <w:lang w:eastAsia="en-US"/>
        </w:rPr>
        <w:t>en</w:t>
      </w:r>
      <w:r>
        <w:rPr>
          <w:rFonts w:ascii="Arial" w:eastAsia="Calibri" w:hAnsi="Arial" w:cs="Arial"/>
          <w:bCs/>
          <w:color w:val="000000" w:themeColor="text1"/>
          <w:sz w:val="22"/>
          <w:szCs w:val="22"/>
          <w:lang w:eastAsia="en-US"/>
        </w:rPr>
        <w:t xml:space="preserve"> </w:t>
      </w:r>
      <w:r w:rsidR="00431FB2">
        <w:rPr>
          <w:rFonts w:ascii="Arial" w:eastAsia="Calibri" w:hAnsi="Arial" w:cs="Arial"/>
          <w:bCs/>
          <w:color w:val="000000" w:themeColor="text1"/>
          <w:sz w:val="22"/>
          <w:szCs w:val="22"/>
          <w:lang w:eastAsia="en-US"/>
        </w:rPr>
        <w:t>el</w:t>
      </w:r>
      <w:r>
        <w:rPr>
          <w:rFonts w:ascii="Arial" w:eastAsia="Calibri" w:hAnsi="Arial" w:cs="Arial"/>
          <w:bCs/>
          <w:color w:val="000000" w:themeColor="text1"/>
          <w:sz w:val="22"/>
          <w:szCs w:val="22"/>
          <w:lang w:eastAsia="en-US"/>
        </w:rPr>
        <w:t xml:space="preserve"> </w:t>
      </w:r>
      <w:r w:rsidR="00431FB2">
        <w:rPr>
          <w:rFonts w:ascii="Arial" w:eastAsia="Calibri" w:hAnsi="Arial" w:cs="Arial"/>
          <w:bCs/>
          <w:color w:val="000000" w:themeColor="text1"/>
          <w:sz w:val="22"/>
          <w:szCs w:val="22"/>
          <w:lang w:eastAsia="en-US"/>
        </w:rPr>
        <w:t>REDAM</w:t>
      </w:r>
      <w:r>
        <w:rPr>
          <w:rFonts w:ascii="Arial" w:eastAsia="Calibri" w:hAnsi="Arial" w:cs="Arial"/>
          <w:bCs/>
          <w:color w:val="000000" w:themeColor="text1"/>
          <w:sz w:val="22"/>
          <w:szCs w:val="22"/>
          <w:lang w:eastAsia="en-US"/>
        </w:rPr>
        <w:t>, el acreedor de alimentos deberá solicitar el registro ante el juez y/o funcionario que conoce o conoció del proceso y/o de alimentos quien, previo a ordenar la inscripción en el citado registro deberá correr traslado de la solicitud al deudor alimentario incurso en mora por cinco (5) días hábiles, al término de los cuales habrá de resolverse sobre su procedencia o no de la misma, con fundamento en la existencia o no de una justa causa</w:t>
      </w:r>
      <w:r>
        <w:rPr>
          <w:rStyle w:val="Refdenotaalpie"/>
          <w:rFonts w:ascii="Arial" w:eastAsia="Calibri" w:hAnsi="Arial" w:cs="Arial"/>
          <w:bCs/>
          <w:color w:val="000000" w:themeColor="text1"/>
          <w:sz w:val="22"/>
          <w:szCs w:val="22"/>
          <w:lang w:eastAsia="en-US"/>
        </w:rPr>
        <w:footnoteReference w:id="21"/>
      </w:r>
      <w:r>
        <w:rPr>
          <w:rFonts w:ascii="Arial" w:eastAsia="Calibri" w:hAnsi="Arial" w:cs="Arial"/>
          <w:bCs/>
          <w:color w:val="000000" w:themeColor="text1"/>
          <w:sz w:val="22"/>
          <w:szCs w:val="22"/>
          <w:lang w:eastAsia="en-US"/>
        </w:rPr>
        <w:t>.</w:t>
      </w:r>
    </w:p>
    <w:p w14:paraId="384FBDC6" w14:textId="77777777" w:rsidR="00FE2F33" w:rsidRDefault="005D14C5" w:rsidP="00FE2F33">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lastRenderedPageBreak/>
        <w:tab/>
      </w:r>
      <w:r w:rsidR="00A42162">
        <w:rPr>
          <w:rFonts w:ascii="Arial" w:eastAsia="Calibri" w:hAnsi="Arial" w:cs="Arial"/>
          <w:bCs/>
          <w:color w:val="000000" w:themeColor="text1"/>
          <w:sz w:val="22"/>
          <w:szCs w:val="22"/>
          <w:lang w:eastAsia="en-US"/>
        </w:rPr>
        <w:t>En</w:t>
      </w:r>
      <w:r w:rsidR="00F82ED6">
        <w:rPr>
          <w:rFonts w:ascii="Arial" w:eastAsia="Calibri" w:hAnsi="Arial" w:cs="Arial"/>
          <w:bCs/>
          <w:color w:val="000000" w:themeColor="text1"/>
          <w:sz w:val="22"/>
          <w:szCs w:val="22"/>
          <w:lang w:eastAsia="en-US"/>
        </w:rPr>
        <w:t xml:space="preserve"> </w:t>
      </w:r>
      <w:r w:rsidR="00A42162">
        <w:rPr>
          <w:rFonts w:ascii="Arial" w:eastAsia="Calibri" w:hAnsi="Arial" w:cs="Arial"/>
          <w:bCs/>
          <w:color w:val="000000" w:themeColor="text1"/>
          <w:sz w:val="22"/>
          <w:szCs w:val="22"/>
          <w:lang w:eastAsia="en-US"/>
        </w:rPr>
        <w:t>el</w:t>
      </w:r>
      <w:r w:rsidR="00F82ED6">
        <w:rPr>
          <w:rFonts w:ascii="Arial" w:eastAsia="Calibri" w:hAnsi="Arial" w:cs="Arial"/>
          <w:bCs/>
          <w:color w:val="000000" w:themeColor="text1"/>
          <w:sz w:val="22"/>
          <w:szCs w:val="22"/>
          <w:lang w:eastAsia="en-US"/>
        </w:rPr>
        <w:t xml:space="preserve"> </w:t>
      </w:r>
      <w:r w:rsidR="00A42162">
        <w:rPr>
          <w:rFonts w:ascii="Arial" w:eastAsia="Calibri" w:hAnsi="Arial" w:cs="Arial"/>
          <w:bCs/>
          <w:color w:val="000000" w:themeColor="text1"/>
          <w:sz w:val="22"/>
          <w:szCs w:val="22"/>
          <w:lang w:eastAsia="en-US"/>
        </w:rPr>
        <w:t>respectivo</w:t>
      </w:r>
      <w:r w:rsidR="00F82ED6">
        <w:rPr>
          <w:rFonts w:ascii="Arial" w:eastAsia="Calibri" w:hAnsi="Arial" w:cs="Arial"/>
          <w:bCs/>
          <w:color w:val="000000" w:themeColor="text1"/>
          <w:sz w:val="22"/>
          <w:szCs w:val="22"/>
          <w:lang w:eastAsia="en-US"/>
        </w:rPr>
        <w:t xml:space="preserve"> </w:t>
      </w:r>
      <w:r w:rsidR="00A42162">
        <w:rPr>
          <w:rFonts w:ascii="Arial" w:eastAsia="Calibri" w:hAnsi="Arial" w:cs="Arial"/>
          <w:bCs/>
          <w:color w:val="000000" w:themeColor="text1"/>
          <w:sz w:val="22"/>
          <w:szCs w:val="22"/>
          <w:lang w:eastAsia="en-US"/>
        </w:rPr>
        <w:t>examen de control previo y automático de constitucionalidad del Proyecto de Ley Estatutaria, la Corte Constitucional, en la Sentencia C-032 de 2021</w:t>
      </w:r>
      <w:r w:rsidR="00A42162">
        <w:rPr>
          <w:rStyle w:val="Refdenotaalpie"/>
          <w:rFonts w:ascii="Arial" w:eastAsia="Calibri" w:hAnsi="Arial" w:cs="Arial"/>
          <w:bCs/>
          <w:color w:val="000000" w:themeColor="text1"/>
          <w:sz w:val="22"/>
          <w:szCs w:val="22"/>
          <w:lang w:eastAsia="en-US"/>
        </w:rPr>
        <w:footnoteReference w:id="22"/>
      </w:r>
      <w:r w:rsidR="00A42162">
        <w:rPr>
          <w:rFonts w:ascii="Arial" w:eastAsia="Calibri" w:hAnsi="Arial" w:cs="Arial"/>
          <w:bCs/>
          <w:color w:val="000000" w:themeColor="text1"/>
          <w:sz w:val="22"/>
          <w:szCs w:val="22"/>
          <w:lang w:eastAsia="en-US"/>
        </w:rPr>
        <w:t>, luego de realizar la revisión del procedimiento legislativo</w:t>
      </w:r>
      <w:r w:rsidR="00F82ED6">
        <w:rPr>
          <w:rFonts w:ascii="Arial" w:eastAsia="Calibri" w:hAnsi="Arial" w:cs="Arial"/>
          <w:bCs/>
          <w:color w:val="000000" w:themeColor="text1"/>
          <w:sz w:val="22"/>
          <w:szCs w:val="22"/>
          <w:lang w:eastAsia="en-US"/>
        </w:rPr>
        <w:t xml:space="preserve"> </w:t>
      </w:r>
      <w:r w:rsidR="00A42162">
        <w:rPr>
          <w:rFonts w:ascii="Arial" w:eastAsia="Calibri" w:hAnsi="Arial" w:cs="Arial"/>
          <w:bCs/>
          <w:color w:val="000000" w:themeColor="text1"/>
          <w:sz w:val="22"/>
          <w:szCs w:val="22"/>
          <w:lang w:eastAsia="en-US"/>
        </w:rPr>
        <w:t xml:space="preserve">y </w:t>
      </w:r>
      <w:r w:rsidR="00F82ED6">
        <w:rPr>
          <w:rFonts w:ascii="Arial" w:eastAsia="Calibri" w:hAnsi="Arial" w:cs="Arial"/>
          <w:bCs/>
          <w:color w:val="000000" w:themeColor="text1"/>
          <w:sz w:val="22"/>
          <w:szCs w:val="22"/>
          <w:lang w:eastAsia="en-US"/>
        </w:rPr>
        <w:t xml:space="preserve">estimar </w:t>
      </w:r>
      <w:r w:rsidR="00A42162">
        <w:rPr>
          <w:rFonts w:ascii="Arial" w:eastAsia="Calibri" w:hAnsi="Arial" w:cs="Arial"/>
          <w:bCs/>
          <w:color w:val="000000" w:themeColor="text1"/>
          <w:sz w:val="22"/>
          <w:szCs w:val="22"/>
          <w:lang w:eastAsia="en-US"/>
        </w:rPr>
        <w:t xml:space="preserve">que su trámite estuvo </w:t>
      </w:r>
      <w:r w:rsidR="00F82ED6">
        <w:rPr>
          <w:rFonts w:ascii="Arial" w:eastAsia="Calibri" w:hAnsi="Arial" w:cs="Arial"/>
          <w:bCs/>
          <w:color w:val="000000" w:themeColor="text1"/>
          <w:sz w:val="22"/>
          <w:szCs w:val="22"/>
          <w:lang w:eastAsia="en-US"/>
        </w:rPr>
        <w:t xml:space="preserve">ajustado </w:t>
      </w:r>
      <w:r w:rsidR="00A42162">
        <w:rPr>
          <w:rFonts w:ascii="Arial" w:eastAsia="Calibri" w:hAnsi="Arial" w:cs="Arial"/>
          <w:bCs/>
          <w:color w:val="000000" w:themeColor="text1"/>
          <w:sz w:val="22"/>
          <w:szCs w:val="22"/>
          <w:lang w:eastAsia="en-US"/>
        </w:rPr>
        <w:t xml:space="preserve">a las reglas formales que rigen </w:t>
      </w:r>
      <w:r w:rsidR="00F82ED6">
        <w:rPr>
          <w:rFonts w:ascii="Arial" w:eastAsia="Calibri" w:hAnsi="Arial" w:cs="Arial"/>
          <w:bCs/>
          <w:color w:val="000000" w:themeColor="text1"/>
          <w:sz w:val="22"/>
          <w:szCs w:val="22"/>
          <w:lang w:eastAsia="en-US"/>
        </w:rPr>
        <w:t>para su expedición y publicidad, se pronunció sobre la conformidad material del articulado</w:t>
      </w:r>
      <w:r w:rsidR="00527549">
        <w:rPr>
          <w:rFonts w:ascii="Arial" w:eastAsia="Calibri" w:hAnsi="Arial" w:cs="Arial"/>
          <w:bCs/>
          <w:color w:val="000000" w:themeColor="text1"/>
          <w:sz w:val="22"/>
          <w:szCs w:val="22"/>
          <w:lang w:eastAsia="en-US"/>
        </w:rPr>
        <w:t xml:space="preserve">, no sin antes destacar que el régimen legal de los alimentos está definido, principalmente, en el Código Civil. Allí, los alimentos involucran un </w:t>
      </w:r>
      <w:r w:rsidR="00527549" w:rsidRPr="00527549">
        <w:rPr>
          <w:rFonts w:ascii="Arial" w:eastAsia="Calibri" w:hAnsi="Arial" w:cs="Arial"/>
          <w:bCs/>
          <w:i/>
          <w:iCs/>
          <w:color w:val="000000" w:themeColor="text1"/>
          <w:sz w:val="22"/>
          <w:szCs w:val="22"/>
          <w:lang w:eastAsia="en-US"/>
        </w:rPr>
        <w:t>derecho</w:t>
      </w:r>
      <w:r w:rsidR="00527549">
        <w:rPr>
          <w:rFonts w:ascii="Arial" w:eastAsia="Calibri" w:hAnsi="Arial" w:cs="Arial"/>
          <w:bCs/>
          <w:color w:val="000000" w:themeColor="text1"/>
          <w:sz w:val="22"/>
          <w:szCs w:val="22"/>
          <w:lang w:eastAsia="en-US"/>
        </w:rPr>
        <w:t xml:space="preserve"> desde la perspectiva de su destinatario y titular -que corresponde al alimentario-, una </w:t>
      </w:r>
      <w:r w:rsidR="00527549" w:rsidRPr="00527549">
        <w:rPr>
          <w:rFonts w:ascii="Arial" w:eastAsia="Calibri" w:hAnsi="Arial" w:cs="Arial"/>
          <w:bCs/>
          <w:i/>
          <w:iCs/>
          <w:color w:val="000000" w:themeColor="text1"/>
          <w:sz w:val="22"/>
          <w:szCs w:val="22"/>
          <w:lang w:eastAsia="en-US"/>
        </w:rPr>
        <w:t>obligación</w:t>
      </w:r>
      <w:r w:rsidR="00527549">
        <w:rPr>
          <w:rFonts w:ascii="Arial" w:eastAsia="Calibri" w:hAnsi="Arial" w:cs="Arial"/>
          <w:bCs/>
          <w:color w:val="000000" w:themeColor="text1"/>
          <w:sz w:val="22"/>
          <w:szCs w:val="22"/>
          <w:lang w:eastAsia="en-US"/>
        </w:rPr>
        <w:t xml:space="preserve"> para el responsable de asegurarlos -que corresponde al alimentante- y en algunos casos se fijan como una </w:t>
      </w:r>
      <w:r w:rsidR="00527549" w:rsidRPr="00527549">
        <w:rPr>
          <w:rFonts w:ascii="Arial" w:eastAsia="Calibri" w:hAnsi="Arial" w:cs="Arial"/>
          <w:bCs/>
          <w:i/>
          <w:iCs/>
          <w:color w:val="000000" w:themeColor="text1"/>
          <w:sz w:val="22"/>
          <w:szCs w:val="22"/>
          <w:lang w:eastAsia="en-US"/>
        </w:rPr>
        <w:t>sanción</w:t>
      </w:r>
      <w:r w:rsidR="00527549">
        <w:rPr>
          <w:rFonts w:ascii="Arial" w:eastAsia="Calibri" w:hAnsi="Arial" w:cs="Arial"/>
          <w:bCs/>
          <w:color w:val="000000" w:themeColor="text1"/>
          <w:sz w:val="22"/>
          <w:szCs w:val="22"/>
          <w:lang w:eastAsia="en-US"/>
        </w:rPr>
        <w:t xml:space="preserve"> por el incumplimiento de obligaciones</w:t>
      </w:r>
      <w:r w:rsidR="00527549">
        <w:rPr>
          <w:rStyle w:val="Refdenotaalpie"/>
          <w:rFonts w:ascii="Arial" w:eastAsia="Calibri" w:hAnsi="Arial" w:cs="Arial"/>
          <w:bCs/>
          <w:color w:val="000000" w:themeColor="text1"/>
          <w:sz w:val="22"/>
          <w:szCs w:val="22"/>
          <w:lang w:eastAsia="en-US"/>
        </w:rPr>
        <w:footnoteReference w:id="23"/>
      </w:r>
      <w:r w:rsidR="00527549">
        <w:rPr>
          <w:rFonts w:ascii="Arial" w:eastAsia="Calibri" w:hAnsi="Arial" w:cs="Arial"/>
          <w:bCs/>
          <w:color w:val="000000" w:themeColor="text1"/>
          <w:sz w:val="22"/>
          <w:szCs w:val="22"/>
          <w:lang w:eastAsia="en-US"/>
        </w:rPr>
        <w:t>.</w:t>
      </w:r>
    </w:p>
    <w:p w14:paraId="6D23E74B" w14:textId="77777777" w:rsidR="00FE2F33" w:rsidRDefault="00FE2F33" w:rsidP="00FE2F33">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ab/>
      </w:r>
      <w:r w:rsidR="00ED7FB7">
        <w:rPr>
          <w:rFonts w:ascii="Arial" w:eastAsia="Calibri" w:hAnsi="Arial" w:cs="Arial"/>
          <w:bCs/>
          <w:color w:val="000000" w:themeColor="text1"/>
          <w:sz w:val="22"/>
          <w:szCs w:val="22"/>
          <w:lang w:eastAsia="en-US"/>
        </w:rPr>
        <w:t>P</w:t>
      </w:r>
      <w:r w:rsidR="00034D67">
        <w:rPr>
          <w:rFonts w:ascii="Arial" w:eastAsia="Calibri" w:hAnsi="Arial" w:cs="Arial"/>
          <w:bCs/>
          <w:color w:val="000000" w:themeColor="text1"/>
          <w:sz w:val="22"/>
          <w:szCs w:val="22"/>
          <w:lang w:eastAsia="en-US"/>
        </w:rPr>
        <w:t xml:space="preserve">or interesar a esta consulta, </w:t>
      </w:r>
      <w:r w:rsidR="00ED7FB7">
        <w:rPr>
          <w:rFonts w:ascii="Arial" w:eastAsia="Calibri" w:hAnsi="Arial" w:cs="Arial"/>
          <w:bCs/>
          <w:color w:val="000000" w:themeColor="text1"/>
          <w:sz w:val="22"/>
          <w:szCs w:val="22"/>
          <w:lang w:eastAsia="en-US"/>
        </w:rPr>
        <w:t>debe empezar por señalarse que la Corte Constitucional concluyó que la Ley 2097 de 2021, en la medida en que definía las reglas sobre la administración de datos personales incluidos en el REDAM, resultaba compatible con la Constitución Política. Ello, sobre la base de considerar que el registro</w:t>
      </w:r>
      <w:r w:rsidR="00FD7AB0">
        <w:rPr>
          <w:rFonts w:ascii="Arial" w:eastAsia="Calibri" w:hAnsi="Arial" w:cs="Arial"/>
          <w:bCs/>
          <w:color w:val="000000" w:themeColor="text1"/>
          <w:sz w:val="22"/>
          <w:szCs w:val="22"/>
          <w:lang w:eastAsia="en-US"/>
        </w:rPr>
        <w:t xml:space="preserve"> </w:t>
      </w:r>
      <w:r w:rsidR="00ED7FB7">
        <w:rPr>
          <w:rFonts w:ascii="Arial" w:eastAsia="Calibri" w:hAnsi="Arial" w:cs="Arial"/>
          <w:bCs/>
          <w:color w:val="000000" w:themeColor="text1"/>
          <w:sz w:val="22"/>
          <w:szCs w:val="22"/>
          <w:lang w:eastAsia="en-US"/>
        </w:rPr>
        <w:t>no t</w:t>
      </w:r>
      <w:r w:rsidR="00FD7AB0">
        <w:rPr>
          <w:rFonts w:ascii="Arial" w:eastAsia="Calibri" w:hAnsi="Arial" w:cs="Arial"/>
          <w:bCs/>
          <w:color w:val="000000" w:themeColor="text1"/>
          <w:sz w:val="22"/>
          <w:szCs w:val="22"/>
          <w:lang w:eastAsia="en-US"/>
        </w:rPr>
        <w:t xml:space="preserve">iene </w:t>
      </w:r>
      <w:r w:rsidR="00ED7FB7">
        <w:rPr>
          <w:rFonts w:ascii="Arial" w:eastAsia="Calibri" w:hAnsi="Arial" w:cs="Arial"/>
          <w:bCs/>
          <w:color w:val="000000" w:themeColor="text1"/>
          <w:sz w:val="22"/>
          <w:szCs w:val="22"/>
          <w:lang w:eastAsia="en-US"/>
        </w:rPr>
        <w:t>como objetivo esencial discriminar, negar un servicio público o estigmatizar al titular del dato, sino dar cuenta del incumplimiento de una obligación de origen legal</w:t>
      </w:r>
      <w:r w:rsidR="00203519">
        <w:rPr>
          <w:rFonts w:ascii="Arial" w:eastAsia="Calibri" w:hAnsi="Arial" w:cs="Arial"/>
          <w:bCs/>
          <w:color w:val="000000" w:themeColor="text1"/>
          <w:sz w:val="22"/>
          <w:szCs w:val="22"/>
          <w:lang w:eastAsia="en-US"/>
        </w:rPr>
        <w:t xml:space="preserve"> que el ordenamiento jurídico reprocha desde el punto de vista civil e, incluso, en algunos casos, con implicaciones de carácter penal.</w:t>
      </w:r>
      <w:r w:rsidR="00FD7AB0">
        <w:rPr>
          <w:rFonts w:ascii="Arial" w:eastAsia="Calibri" w:hAnsi="Arial" w:cs="Arial"/>
          <w:bCs/>
          <w:color w:val="000000" w:themeColor="text1"/>
          <w:sz w:val="22"/>
          <w:szCs w:val="22"/>
          <w:lang w:eastAsia="en-US"/>
        </w:rPr>
        <w:t xml:space="preserve"> En otras palabras, atiende un objetivo constitucionalmente válido, cual es “lograr el pago de obligaciones estrechamente vinculadas con la vigencia de los derechos fundamentales de los acreedores alimentarios y evitar la imposición de tratamientos desproporcionados en contra de las mujeres, quienes generalmente su subrogan fácticamente en el cumplimiento de la obligación ante la mora por parte de su titular jurídico”</w:t>
      </w:r>
      <w:r w:rsidR="00FD7AB0">
        <w:rPr>
          <w:rStyle w:val="Refdenotaalpie"/>
          <w:rFonts w:ascii="Arial" w:eastAsia="Calibri" w:hAnsi="Arial" w:cs="Arial"/>
          <w:bCs/>
          <w:color w:val="000000" w:themeColor="text1"/>
          <w:sz w:val="22"/>
          <w:szCs w:val="22"/>
          <w:lang w:eastAsia="en-US"/>
        </w:rPr>
        <w:footnoteReference w:id="24"/>
      </w:r>
      <w:r w:rsidR="00FD7AB0">
        <w:rPr>
          <w:rFonts w:ascii="Arial" w:eastAsia="Calibri" w:hAnsi="Arial" w:cs="Arial"/>
          <w:bCs/>
          <w:color w:val="000000" w:themeColor="text1"/>
          <w:sz w:val="22"/>
          <w:szCs w:val="22"/>
          <w:lang w:eastAsia="en-US"/>
        </w:rPr>
        <w:t>.</w:t>
      </w:r>
    </w:p>
    <w:p w14:paraId="6EC9888F" w14:textId="2BEAEF5B" w:rsidR="00FD7AB0" w:rsidRDefault="00FE2F33" w:rsidP="00FE2F33">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ab/>
      </w:r>
      <w:r w:rsidR="00FD7AB0">
        <w:rPr>
          <w:rFonts w:ascii="Arial" w:eastAsia="Calibri" w:hAnsi="Arial" w:cs="Arial"/>
          <w:bCs/>
          <w:color w:val="000000" w:themeColor="text1"/>
          <w:sz w:val="22"/>
          <w:szCs w:val="22"/>
          <w:lang w:eastAsia="en-US"/>
        </w:rPr>
        <w:t>Particularmente, frente a</w:t>
      </w:r>
      <w:r w:rsidR="0004186E">
        <w:rPr>
          <w:rFonts w:ascii="Arial" w:eastAsia="Calibri" w:hAnsi="Arial" w:cs="Arial"/>
          <w:bCs/>
          <w:color w:val="000000" w:themeColor="text1"/>
          <w:sz w:val="22"/>
          <w:szCs w:val="22"/>
          <w:lang w:eastAsia="en-US"/>
        </w:rPr>
        <w:t>l artículo 6 de la citada preceptiva, que</w:t>
      </w:r>
      <w:r w:rsidR="000B6FF7">
        <w:rPr>
          <w:rFonts w:ascii="Arial" w:eastAsia="Calibri" w:hAnsi="Arial" w:cs="Arial"/>
          <w:bCs/>
          <w:color w:val="000000" w:themeColor="text1"/>
          <w:sz w:val="22"/>
          <w:szCs w:val="22"/>
          <w:lang w:eastAsia="en-US"/>
        </w:rPr>
        <w:t xml:space="preserve"> </w:t>
      </w:r>
      <w:r w:rsidR="0004186E">
        <w:rPr>
          <w:rFonts w:ascii="Arial" w:eastAsia="Calibri" w:hAnsi="Arial" w:cs="Arial"/>
          <w:bCs/>
          <w:color w:val="000000" w:themeColor="text1"/>
          <w:sz w:val="22"/>
          <w:szCs w:val="22"/>
          <w:lang w:eastAsia="en-US"/>
        </w:rPr>
        <w:t xml:space="preserve">alude a las consecuencias de la inscripción en el Registro de Deudores Alimentarios Morosos, </w:t>
      </w:r>
      <w:r>
        <w:rPr>
          <w:rFonts w:ascii="Arial" w:eastAsia="Calibri" w:hAnsi="Arial" w:cs="Arial"/>
          <w:bCs/>
          <w:color w:val="000000" w:themeColor="text1"/>
          <w:sz w:val="22"/>
          <w:szCs w:val="22"/>
          <w:lang w:eastAsia="en-US"/>
        </w:rPr>
        <w:t xml:space="preserve">su </w:t>
      </w:r>
      <w:r w:rsidR="0004186E">
        <w:rPr>
          <w:rFonts w:ascii="Arial" w:eastAsia="Calibri" w:hAnsi="Arial" w:cs="Arial"/>
          <w:bCs/>
          <w:color w:val="000000" w:themeColor="text1"/>
          <w:sz w:val="22"/>
          <w:szCs w:val="22"/>
          <w:lang w:eastAsia="en-US"/>
        </w:rPr>
        <w:t>numeral 1º</w:t>
      </w:r>
      <w:r w:rsidR="000B6FF7">
        <w:rPr>
          <w:rFonts w:ascii="Arial" w:eastAsia="Calibri" w:hAnsi="Arial" w:cs="Arial"/>
          <w:bCs/>
          <w:color w:val="000000" w:themeColor="text1"/>
          <w:sz w:val="22"/>
          <w:szCs w:val="22"/>
          <w:lang w:eastAsia="en-US"/>
        </w:rPr>
        <w:t xml:space="preserve"> </w:t>
      </w:r>
      <w:r w:rsidR="0004186E">
        <w:rPr>
          <w:rFonts w:ascii="Arial" w:eastAsia="Calibri" w:hAnsi="Arial" w:cs="Arial"/>
          <w:bCs/>
          <w:color w:val="000000" w:themeColor="text1"/>
          <w:sz w:val="22"/>
          <w:szCs w:val="22"/>
          <w:lang w:eastAsia="en-US"/>
        </w:rPr>
        <w:t>dispone</w:t>
      </w:r>
      <w:r w:rsidR="000B6FF7">
        <w:rPr>
          <w:rFonts w:ascii="Arial" w:eastAsia="Calibri" w:hAnsi="Arial" w:cs="Arial"/>
          <w:bCs/>
          <w:color w:val="000000" w:themeColor="text1"/>
          <w:sz w:val="22"/>
          <w:szCs w:val="22"/>
          <w:lang w:eastAsia="en-US"/>
        </w:rPr>
        <w:t xml:space="preserve"> </w:t>
      </w:r>
      <w:r w:rsidR="0004186E">
        <w:rPr>
          <w:rFonts w:ascii="Arial" w:eastAsia="Calibri" w:hAnsi="Arial" w:cs="Arial"/>
          <w:bCs/>
          <w:color w:val="000000" w:themeColor="text1"/>
          <w:sz w:val="22"/>
          <w:szCs w:val="22"/>
          <w:lang w:eastAsia="en-US"/>
        </w:rPr>
        <w:t>lo siguiente:</w:t>
      </w:r>
    </w:p>
    <w:p w14:paraId="5F9F1B20" w14:textId="77777777" w:rsidR="00FE2F33" w:rsidRDefault="00FE2F33" w:rsidP="00FE2F33">
      <w:pPr>
        <w:tabs>
          <w:tab w:val="left" w:pos="0"/>
        </w:tabs>
        <w:jc w:val="both"/>
        <w:rPr>
          <w:rFonts w:ascii="Arial" w:eastAsia="Calibri" w:hAnsi="Arial" w:cs="Arial"/>
          <w:bCs/>
          <w:color w:val="000000" w:themeColor="text1"/>
          <w:sz w:val="22"/>
          <w:szCs w:val="22"/>
          <w:lang w:eastAsia="en-US"/>
        </w:rPr>
      </w:pPr>
    </w:p>
    <w:p w14:paraId="442BCBB1" w14:textId="76110D72" w:rsidR="0004186E" w:rsidRPr="0004186E" w:rsidRDefault="0004186E" w:rsidP="0004186E">
      <w:pPr>
        <w:ind w:left="709" w:right="709"/>
        <w:jc w:val="both"/>
        <w:rPr>
          <w:rFonts w:ascii="Arial" w:eastAsiaTheme="minorHAnsi" w:hAnsi="Arial" w:cs="Arial"/>
          <w:sz w:val="21"/>
          <w:szCs w:val="21"/>
          <w:lang w:eastAsia="en-US"/>
        </w:rPr>
      </w:pPr>
      <w:r w:rsidRPr="0004186E">
        <w:rPr>
          <w:rFonts w:ascii="Arial" w:eastAsiaTheme="minorHAnsi" w:hAnsi="Arial" w:cs="Arial"/>
          <w:sz w:val="21"/>
          <w:szCs w:val="21"/>
          <w:lang w:eastAsia="en-US"/>
        </w:rPr>
        <w:t>“</w:t>
      </w:r>
      <w:r w:rsidRPr="0004186E">
        <w:rPr>
          <w:rFonts w:ascii="Arial" w:hAnsi="Arial" w:cs="Arial"/>
          <w:i/>
          <w:iCs/>
          <w:sz w:val="21"/>
          <w:szCs w:val="21"/>
          <w:lang w:val="es-ES" w:eastAsia="es-ES"/>
        </w:rPr>
        <w:t xml:space="preserve">1. El deudor alimentario moroso solo podrá contratar con el Estado una vez se ponga a paz y salvo con sus obligaciones alimentarias. Esta inhabilidad también se predica del deudor alimentario moroso que actúe como representante legal de la persona jurídica que aspira a contratar con el Estado. Estando en ejecución el contrato, será causal de terminación </w:t>
      </w:r>
      <w:proofErr w:type="gramStart"/>
      <w:r w:rsidRPr="0004186E">
        <w:rPr>
          <w:rFonts w:ascii="Arial" w:hAnsi="Arial" w:cs="Arial"/>
          <w:i/>
          <w:iCs/>
          <w:sz w:val="21"/>
          <w:szCs w:val="21"/>
          <w:lang w:val="es-ES" w:eastAsia="es-ES"/>
        </w:rPr>
        <w:t>del mismo</w:t>
      </w:r>
      <w:proofErr w:type="gramEnd"/>
      <w:r w:rsidRPr="0004186E">
        <w:rPr>
          <w:rFonts w:ascii="Arial" w:hAnsi="Arial" w:cs="Arial"/>
          <w:i/>
          <w:iCs/>
          <w:sz w:val="21"/>
          <w:szCs w:val="21"/>
          <w:lang w:val="es-ES" w:eastAsia="es-ES"/>
        </w:rPr>
        <w:t xml:space="preserve"> incurrir en mora de las obligaciones alimentarias.</w:t>
      </w:r>
    </w:p>
    <w:p w14:paraId="1E18E2D5" w14:textId="77777777" w:rsidR="00FE2F33" w:rsidRDefault="00FE2F33" w:rsidP="0004186E">
      <w:pPr>
        <w:widowControl w:val="0"/>
        <w:autoSpaceDE w:val="0"/>
        <w:autoSpaceDN w:val="0"/>
        <w:adjustRightInd w:val="0"/>
        <w:jc w:val="both"/>
        <w:rPr>
          <w:rFonts w:ascii="Arial" w:hAnsi="Arial" w:cs="Arial"/>
          <w:sz w:val="22"/>
          <w:szCs w:val="22"/>
          <w:lang w:val="es-ES" w:eastAsia="es-ES"/>
        </w:rPr>
      </w:pPr>
    </w:p>
    <w:p w14:paraId="04C12FB2" w14:textId="77777777" w:rsidR="00233F2F" w:rsidRDefault="00FE2F33" w:rsidP="00FE2F33">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lastRenderedPageBreak/>
        <w:tab/>
      </w:r>
      <w:r>
        <w:rPr>
          <w:rFonts w:ascii="Arial" w:hAnsi="Arial" w:cs="Arial"/>
          <w:sz w:val="22"/>
          <w:szCs w:val="22"/>
          <w:lang w:val="es-ES" w:eastAsia="es-ES"/>
        </w:rPr>
        <w:t xml:space="preserve">Como puede advertirse, una de las consecuencias más llamativas de la creación del REDAM es el surgimiento de una nueva inhabilidad para celebrar contratos con el Estado. En efecto, conforme al numeral 1º del artículo 6 </w:t>
      </w:r>
      <w:proofErr w:type="spellStart"/>
      <w:r w:rsidRPr="00FE2F33">
        <w:rPr>
          <w:rFonts w:ascii="Arial" w:hAnsi="Arial" w:cs="Arial"/>
          <w:i/>
          <w:iCs/>
          <w:sz w:val="22"/>
          <w:szCs w:val="22"/>
          <w:lang w:val="es-ES" w:eastAsia="es-ES"/>
        </w:rPr>
        <w:t>ejusdem</w:t>
      </w:r>
      <w:proofErr w:type="spellEnd"/>
      <w:r>
        <w:rPr>
          <w:rFonts w:ascii="Arial" w:hAnsi="Arial" w:cs="Arial"/>
          <w:sz w:val="22"/>
          <w:szCs w:val="22"/>
          <w:lang w:val="es-ES" w:eastAsia="es-ES"/>
        </w:rPr>
        <w:t xml:space="preserve">, el deudor alimentario moroso solo podrá contratar con el </w:t>
      </w:r>
      <w:r w:rsidRPr="00195008">
        <w:rPr>
          <w:rFonts w:ascii="Arial" w:hAnsi="Arial" w:cs="Arial"/>
          <w:sz w:val="22"/>
          <w:szCs w:val="22"/>
          <w:lang w:val="es-ES" w:eastAsia="es-ES"/>
        </w:rPr>
        <w:t>Estado una vez se ponga a paz y salvo con sus obligaciones alimentarias, inhabilidad que también se predica del deudor alimentario que actúe como representante legal de la persona jurídica que aspira a contratar con el Estado. Esta restricción se suma</w:t>
      </w:r>
      <w:r w:rsidRPr="00195008">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 xml:space="preserve">al catálogo del artículo 8 y siguientes de la Ley 80 de 1993, especialmente, cuando </w:t>
      </w:r>
      <w:r w:rsidRPr="00195008">
        <w:rPr>
          <w:rFonts w:ascii="Arial" w:eastAsia="Calibri" w:hAnsi="Arial" w:cs="Arial"/>
          <w:bCs/>
          <w:color w:val="000000" w:themeColor="text1"/>
          <w:sz w:val="22"/>
          <w:szCs w:val="22"/>
          <w:lang w:eastAsia="en-US"/>
        </w:rPr>
        <w:t>-</w:t>
      </w:r>
      <w:r w:rsidRPr="00657DAD">
        <w:rPr>
          <w:rFonts w:ascii="Arial" w:eastAsia="Calibri" w:hAnsi="Arial" w:cs="Arial"/>
          <w:bCs/>
          <w:color w:val="000000" w:themeColor="text1"/>
          <w:sz w:val="22"/>
          <w:szCs w:val="22"/>
          <w:lang w:eastAsia="en-US"/>
        </w:rPr>
        <w:t>conforme al literal a) del numeral 1</w:t>
      </w:r>
      <w:r w:rsidRPr="00195008">
        <w:rPr>
          <w:rFonts w:ascii="Arial" w:eastAsia="Calibri" w:hAnsi="Arial" w:cs="Arial"/>
          <w:bCs/>
          <w:color w:val="000000" w:themeColor="text1"/>
          <w:sz w:val="22"/>
          <w:szCs w:val="22"/>
          <w:lang w:eastAsia="en-US"/>
        </w:rPr>
        <w:t>-</w:t>
      </w:r>
      <w:r w:rsidRPr="00657DAD">
        <w:rPr>
          <w:rFonts w:ascii="Arial" w:eastAsia="Calibri" w:hAnsi="Arial" w:cs="Arial"/>
          <w:bCs/>
          <w:color w:val="000000" w:themeColor="text1"/>
          <w:sz w:val="22"/>
          <w:szCs w:val="22"/>
          <w:lang w:eastAsia="en-US"/>
        </w:rPr>
        <w:t xml:space="preserve"> “Son inhábiles para participar en licitaciones</w:t>
      </w:r>
      <w:r w:rsidRPr="00195008">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 xml:space="preserve">y para celebrar contratos con las entidades estatales </w:t>
      </w:r>
      <w:r w:rsidRPr="00195008">
        <w:rPr>
          <w:rFonts w:ascii="Arial" w:eastAsia="Calibri" w:hAnsi="Arial" w:cs="Arial"/>
          <w:bCs/>
          <w:color w:val="000000" w:themeColor="text1"/>
          <w:sz w:val="22"/>
          <w:szCs w:val="22"/>
          <w:lang w:eastAsia="en-US"/>
        </w:rPr>
        <w:t>(…) l</w:t>
      </w:r>
      <w:r w:rsidRPr="00657DAD">
        <w:rPr>
          <w:rFonts w:ascii="Arial" w:eastAsia="Calibri" w:hAnsi="Arial" w:cs="Arial"/>
          <w:bCs/>
          <w:color w:val="000000" w:themeColor="text1"/>
          <w:sz w:val="22"/>
          <w:szCs w:val="22"/>
          <w:lang w:eastAsia="en-US"/>
        </w:rPr>
        <w:t>as personas que se hallen inhabilitadas para contratar por la Constitución y las leyes”, el cual se extiende</w:t>
      </w:r>
      <w:r w:rsidR="00195008" w:rsidRPr="00195008">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a las entidades de régimen exceptuado en virtud del inciso primero del artículo 13 de la Ley 1150 de 2007</w:t>
      </w:r>
      <w:r w:rsidRPr="00657DAD">
        <w:rPr>
          <w:rFonts w:ascii="Arial" w:eastAsia="Calibri" w:hAnsi="Arial" w:cs="Arial"/>
          <w:bCs/>
          <w:color w:val="000000" w:themeColor="text1"/>
          <w:sz w:val="22"/>
          <w:szCs w:val="22"/>
          <w:vertAlign w:val="superscript"/>
          <w:lang w:eastAsia="en-US"/>
        </w:rPr>
        <w:footnoteReference w:id="25"/>
      </w:r>
      <w:r w:rsidRPr="00657DAD">
        <w:rPr>
          <w:rFonts w:ascii="Arial" w:eastAsia="Calibri" w:hAnsi="Arial" w:cs="Arial"/>
          <w:bCs/>
          <w:color w:val="000000" w:themeColor="text1"/>
          <w:sz w:val="22"/>
          <w:szCs w:val="22"/>
          <w:lang w:eastAsia="en-US"/>
        </w:rPr>
        <w:t xml:space="preserve"> y al régimen de las ESAL</w:t>
      </w:r>
      <w:r w:rsidR="00195008" w:rsidRPr="00195008">
        <w:rPr>
          <w:rFonts w:ascii="Arial" w:eastAsia="Calibri" w:hAnsi="Arial" w:cs="Arial"/>
          <w:bCs/>
          <w:color w:val="000000" w:themeColor="text1"/>
          <w:sz w:val="22"/>
          <w:szCs w:val="22"/>
          <w:lang w:eastAsia="en-US"/>
        </w:rPr>
        <w:t>, con arreglo a lo previsto en e</w:t>
      </w:r>
      <w:r w:rsidRPr="00657DAD">
        <w:rPr>
          <w:rFonts w:ascii="Arial" w:eastAsia="Calibri" w:hAnsi="Arial" w:cs="Arial"/>
          <w:bCs/>
          <w:color w:val="000000" w:themeColor="text1"/>
          <w:sz w:val="22"/>
          <w:szCs w:val="22"/>
          <w:lang w:eastAsia="en-US"/>
        </w:rPr>
        <w:t>l artículo 6 del Decreto 092 de 2017</w:t>
      </w:r>
      <w:r w:rsidRPr="00657DAD">
        <w:rPr>
          <w:rFonts w:ascii="Arial" w:eastAsia="Calibri" w:hAnsi="Arial" w:cs="Arial"/>
          <w:bCs/>
          <w:color w:val="000000" w:themeColor="text1"/>
          <w:sz w:val="22"/>
          <w:szCs w:val="22"/>
          <w:vertAlign w:val="superscript"/>
          <w:lang w:eastAsia="en-US"/>
        </w:rPr>
        <w:footnoteReference w:id="26"/>
      </w:r>
      <w:r w:rsidR="00233F2F">
        <w:rPr>
          <w:rFonts w:ascii="Arial" w:eastAsia="Calibri" w:hAnsi="Arial" w:cs="Arial"/>
          <w:bCs/>
          <w:color w:val="000000" w:themeColor="text1"/>
          <w:sz w:val="22"/>
          <w:szCs w:val="22"/>
          <w:lang w:eastAsia="en-US"/>
        </w:rPr>
        <w:t>.</w:t>
      </w:r>
    </w:p>
    <w:p w14:paraId="36CA9AD2" w14:textId="7BBD254E" w:rsidR="00233F2F" w:rsidRDefault="00233F2F" w:rsidP="00233F2F">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ab/>
      </w:r>
      <w:r w:rsidR="00195008">
        <w:rPr>
          <w:rFonts w:ascii="Arial" w:eastAsia="Calibri" w:hAnsi="Arial" w:cs="Arial"/>
          <w:bCs/>
          <w:color w:val="000000" w:themeColor="text1"/>
          <w:sz w:val="22"/>
          <w:szCs w:val="22"/>
          <w:lang w:eastAsia="en-US"/>
        </w:rPr>
        <w:t>Sobre</w:t>
      </w:r>
      <w:r w:rsidR="00883A1A">
        <w:rPr>
          <w:rFonts w:ascii="Arial" w:eastAsia="Calibri" w:hAnsi="Arial" w:cs="Arial"/>
          <w:bCs/>
          <w:color w:val="000000" w:themeColor="text1"/>
          <w:sz w:val="22"/>
          <w:szCs w:val="22"/>
          <w:lang w:eastAsia="en-US"/>
        </w:rPr>
        <w:t xml:space="preserve"> esta medida altamente invasiva de la autonomía individual</w:t>
      </w:r>
      <w:r w:rsidR="00195008">
        <w:rPr>
          <w:rFonts w:ascii="Arial" w:eastAsia="Calibri" w:hAnsi="Arial" w:cs="Arial"/>
          <w:bCs/>
          <w:color w:val="000000" w:themeColor="text1"/>
          <w:sz w:val="22"/>
          <w:szCs w:val="22"/>
          <w:lang w:eastAsia="en-US"/>
        </w:rPr>
        <w:t>, la Corte Constitucional,</w:t>
      </w:r>
      <w:r w:rsidR="00883A1A">
        <w:rPr>
          <w:rFonts w:ascii="Arial" w:eastAsia="Calibri" w:hAnsi="Arial" w:cs="Arial"/>
          <w:bCs/>
          <w:color w:val="000000" w:themeColor="text1"/>
          <w:sz w:val="22"/>
          <w:szCs w:val="22"/>
          <w:lang w:eastAsia="en-US"/>
        </w:rPr>
        <w:t xml:space="preserve"> en la </w:t>
      </w:r>
      <w:r w:rsidR="00195008">
        <w:rPr>
          <w:rFonts w:ascii="Arial" w:eastAsia="Calibri" w:hAnsi="Arial" w:cs="Arial"/>
          <w:bCs/>
          <w:color w:val="000000" w:themeColor="text1"/>
          <w:sz w:val="22"/>
          <w:szCs w:val="22"/>
          <w:lang w:eastAsia="en-US"/>
        </w:rPr>
        <w:t>Sentencia</w:t>
      </w:r>
      <w:r w:rsidR="00883A1A">
        <w:rPr>
          <w:rFonts w:ascii="Arial" w:eastAsia="Calibri" w:hAnsi="Arial" w:cs="Arial"/>
          <w:bCs/>
          <w:color w:val="000000" w:themeColor="text1"/>
          <w:sz w:val="22"/>
          <w:szCs w:val="22"/>
          <w:lang w:eastAsia="en-US"/>
        </w:rPr>
        <w:t xml:space="preserve"> </w:t>
      </w:r>
      <w:r w:rsidR="00195008">
        <w:rPr>
          <w:rFonts w:ascii="Arial" w:eastAsia="Calibri" w:hAnsi="Arial" w:cs="Arial"/>
          <w:bCs/>
          <w:color w:val="000000" w:themeColor="text1"/>
          <w:sz w:val="22"/>
          <w:szCs w:val="22"/>
          <w:lang w:eastAsia="en-US"/>
        </w:rPr>
        <w:t>C-032 de 2021, destacó</w:t>
      </w:r>
      <w:r w:rsidR="00883A1A">
        <w:rPr>
          <w:rFonts w:ascii="Arial" w:eastAsia="Calibri" w:hAnsi="Arial" w:cs="Arial"/>
          <w:bCs/>
          <w:color w:val="000000" w:themeColor="text1"/>
          <w:sz w:val="22"/>
          <w:szCs w:val="22"/>
          <w:lang w:eastAsia="en-US"/>
        </w:rPr>
        <w:t xml:space="preserve"> su validez y conformidad con la Carta Política</w:t>
      </w:r>
      <w:r>
        <w:rPr>
          <w:rFonts w:ascii="Arial" w:eastAsia="Calibri" w:hAnsi="Arial" w:cs="Arial"/>
          <w:bCs/>
          <w:color w:val="000000" w:themeColor="text1"/>
          <w:sz w:val="22"/>
          <w:szCs w:val="22"/>
          <w:lang w:eastAsia="en-US"/>
        </w:rPr>
        <w:t>, pues al igual que sucede con aquellas que se derivan del uso de la tipificación penal, “resultaría un contrasentido cuestionar instrumentos de menor intensidad, como es la imposición de este requisito para el acceso a los cargos públicos o a contratar con el Estado”, sin perderse de vista “el hecho de que uno de los motivos que fundamentan la imposición de inhabilidades es la conservación de la transparencia y la moralidad administrativa”, en tanto “el incumplimiento</w:t>
      </w:r>
      <w:r w:rsidR="00E645C2">
        <w:rPr>
          <w:rFonts w:ascii="Arial" w:eastAsia="Calibri" w:hAnsi="Arial" w:cs="Arial"/>
          <w:bCs/>
          <w:color w:val="000000" w:themeColor="text1"/>
          <w:sz w:val="22"/>
          <w:szCs w:val="22"/>
          <w:lang w:eastAsia="en-US"/>
        </w:rPr>
        <w:t xml:space="preserve"> de las obligaciones alimentarias afecta valores constitucionales esenciales y, en modo alguno puede desconocerse a la hora de analizar las calidades de los futuros servidores públicos o contratistas del Estado</w:t>
      </w:r>
      <w:r>
        <w:rPr>
          <w:rFonts w:ascii="Arial" w:eastAsia="Calibri" w:hAnsi="Arial" w:cs="Arial"/>
          <w:bCs/>
          <w:color w:val="000000" w:themeColor="text1"/>
          <w:sz w:val="22"/>
          <w:szCs w:val="22"/>
          <w:lang w:eastAsia="en-US"/>
        </w:rPr>
        <w:t>”</w:t>
      </w:r>
      <w:r w:rsidR="00E645C2">
        <w:rPr>
          <w:rFonts w:ascii="Arial" w:eastAsia="Calibri" w:hAnsi="Arial" w:cs="Arial"/>
          <w:bCs/>
          <w:color w:val="000000" w:themeColor="text1"/>
          <w:sz w:val="22"/>
          <w:szCs w:val="22"/>
          <w:lang w:eastAsia="en-US"/>
        </w:rPr>
        <w:t>. No en vano, recalca la Corte, “debe insistirse en el carácter central que tiene el pago de la obligación alimentaria en términos de la protección de los derechos fundamentales, en particular de los NNA.</w:t>
      </w:r>
      <w:r w:rsidR="0088450E">
        <w:rPr>
          <w:rFonts w:ascii="Arial" w:eastAsia="Calibri" w:hAnsi="Arial" w:cs="Arial"/>
          <w:bCs/>
          <w:color w:val="000000" w:themeColor="text1"/>
          <w:sz w:val="22"/>
          <w:szCs w:val="22"/>
          <w:lang w:eastAsia="en-US"/>
        </w:rPr>
        <w:t xml:space="preserve"> En ese sentido, el incumplimiento en el pago de los alimentos no es un asunto equiparable a la mora en cualquier otra obligación civil. Se trata de un deber jurídico básico, amparado por la vigencia del principio de solidaridad y la protección que la Carta Política prodiga a la familia como núcleo esencial de la sociedad</w:t>
      </w:r>
      <w:r w:rsidR="00E645C2">
        <w:rPr>
          <w:rFonts w:ascii="Arial" w:eastAsia="Calibri" w:hAnsi="Arial" w:cs="Arial"/>
          <w:bCs/>
          <w:color w:val="000000" w:themeColor="text1"/>
          <w:sz w:val="22"/>
          <w:szCs w:val="22"/>
          <w:lang w:eastAsia="en-US"/>
        </w:rPr>
        <w:t>”</w:t>
      </w:r>
      <w:r w:rsidR="0088450E">
        <w:rPr>
          <w:rFonts w:ascii="Arial" w:eastAsia="Calibri" w:hAnsi="Arial" w:cs="Arial"/>
          <w:bCs/>
          <w:color w:val="000000" w:themeColor="text1"/>
          <w:sz w:val="22"/>
          <w:szCs w:val="22"/>
          <w:lang w:eastAsia="en-US"/>
        </w:rPr>
        <w:t>.</w:t>
      </w:r>
    </w:p>
    <w:p w14:paraId="409C9B48" w14:textId="77777777" w:rsidR="00374773" w:rsidRDefault="0088450E" w:rsidP="00233F2F">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lastRenderedPageBreak/>
        <w:tab/>
        <w:t xml:space="preserve">De ahí que </w:t>
      </w:r>
      <w:r w:rsidR="00BD6D51">
        <w:rPr>
          <w:rFonts w:ascii="Arial" w:eastAsia="Calibri" w:hAnsi="Arial" w:cs="Arial"/>
          <w:bCs/>
          <w:color w:val="000000" w:themeColor="text1"/>
          <w:sz w:val="22"/>
          <w:szCs w:val="22"/>
          <w:lang w:eastAsia="en-US"/>
        </w:rPr>
        <w:t xml:space="preserve">en el respectivo juicio de proporcionalidad de carácter intermedio adelantado por involucrarse </w:t>
      </w:r>
      <w:r>
        <w:rPr>
          <w:rFonts w:ascii="Arial" w:eastAsia="Calibri" w:hAnsi="Arial" w:cs="Arial"/>
          <w:bCs/>
          <w:color w:val="000000" w:themeColor="text1"/>
          <w:sz w:val="22"/>
          <w:szCs w:val="22"/>
          <w:lang w:eastAsia="en-US"/>
        </w:rPr>
        <w:t>una limitación al ejercicio de los derechos políticos a acceder al desempeño de funciones y cargos públicos</w:t>
      </w:r>
      <w:r w:rsidR="00BD6D51">
        <w:rPr>
          <w:rFonts w:ascii="Arial" w:eastAsia="Calibri" w:hAnsi="Arial" w:cs="Arial"/>
          <w:bCs/>
          <w:color w:val="000000" w:themeColor="text1"/>
          <w:sz w:val="22"/>
          <w:szCs w:val="22"/>
          <w:lang w:eastAsia="en-US"/>
        </w:rPr>
        <w:t>, la Corte haya encontrado que “la medida cumple con una finalidad no solamente importante, sino imperiosa, consistente en proteger los derechos fundamentales de personas que se ven afectados en su mínimo vital por el hecho del incumplimiento de las obligaciones alimentarias, quienes usualmente son sujetos de especial protección constitucional</w:t>
      </w:r>
      <w:r w:rsidR="00A876B4">
        <w:rPr>
          <w:rFonts w:ascii="Arial" w:eastAsia="Calibri" w:hAnsi="Arial" w:cs="Arial"/>
          <w:bCs/>
          <w:color w:val="000000" w:themeColor="text1"/>
          <w:sz w:val="22"/>
          <w:szCs w:val="22"/>
          <w:lang w:eastAsia="en-US"/>
        </w:rPr>
        <w:t>”. A su vez, es necesaria “porque opera un incentivo para el pago cumplido de esas obligaciones, al supeditar el nombramiento o la suscripción del contrato respectivo al pago de esa obligación”.</w:t>
      </w:r>
    </w:p>
    <w:p w14:paraId="16EB42B2" w14:textId="77777777" w:rsidR="00244949" w:rsidRDefault="00374773" w:rsidP="00233F2F">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ab/>
      </w:r>
      <w:r w:rsidR="008B4412">
        <w:rPr>
          <w:rFonts w:ascii="Arial" w:eastAsia="Calibri" w:hAnsi="Arial" w:cs="Arial"/>
          <w:bCs/>
          <w:color w:val="000000" w:themeColor="text1"/>
          <w:sz w:val="22"/>
          <w:szCs w:val="22"/>
          <w:lang w:eastAsia="en-US"/>
        </w:rPr>
        <w:t>Con todo, al estudiar el aparte del numeral referido a que si el contrato está en ejecución y el contratista o su representante legal incurren</w:t>
      </w:r>
      <w:r w:rsidR="00CF122C">
        <w:rPr>
          <w:rFonts w:ascii="Arial" w:eastAsia="Calibri" w:hAnsi="Arial" w:cs="Arial"/>
          <w:bCs/>
          <w:color w:val="000000" w:themeColor="text1"/>
          <w:sz w:val="22"/>
          <w:szCs w:val="22"/>
          <w:lang w:eastAsia="en-US"/>
        </w:rPr>
        <w:t xml:space="preserve"> en mora de las obligaciones alimentarias se configura causal de terminación de aquel, la Corte indicó que si bien la medida cumplía el propósito de satisfacer la obligación alimentaria y se mostraba idónea para tal cometido, terminaba imponiendo un tratamiento desproporcionado e irrazonable en términos de goce de los principios constitucionales de la función administrativa, en particular los de eficacia, economía y celeridad. Esto, por cuanto: </w:t>
      </w:r>
      <w:r w:rsidR="00CF122C" w:rsidRPr="00CF122C">
        <w:rPr>
          <w:rFonts w:ascii="Arial" w:eastAsia="Calibri" w:hAnsi="Arial" w:cs="Arial"/>
          <w:bCs/>
          <w:i/>
          <w:iCs/>
          <w:color w:val="000000" w:themeColor="text1"/>
          <w:sz w:val="22"/>
          <w:szCs w:val="22"/>
          <w:lang w:eastAsia="en-US"/>
        </w:rPr>
        <w:t>(i)</w:t>
      </w:r>
      <w:r w:rsidR="00CF122C">
        <w:rPr>
          <w:rFonts w:ascii="Arial" w:eastAsia="Calibri" w:hAnsi="Arial" w:cs="Arial"/>
          <w:bCs/>
          <w:color w:val="000000" w:themeColor="text1"/>
          <w:sz w:val="22"/>
          <w:szCs w:val="22"/>
          <w:lang w:eastAsia="en-US"/>
        </w:rPr>
        <w:t xml:space="preserve"> la norma no distingue entre las diferentes clases de contratos estatales, por lo que su aplicación se torna general; </w:t>
      </w:r>
      <w:r w:rsidR="00CF122C" w:rsidRPr="00CF122C">
        <w:rPr>
          <w:rFonts w:ascii="Arial" w:eastAsia="Calibri" w:hAnsi="Arial" w:cs="Arial"/>
          <w:bCs/>
          <w:i/>
          <w:iCs/>
          <w:color w:val="000000" w:themeColor="text1"/>
          <w:sz w:val="22"/>
          <w:szCs w:val="22"/>
          <w:lang w:eastAsia="en-US"/>
        </w:rPr>
        <w:t>(</w:t>
      </w:r>
      <w:proofErr w:type="spellStart"/>
      <w:r w:rsidR="00CF122C" w:rsidRPr="00CF122C">
        <w:rPr>
          <w:rFonts w:ascii="Arial" w:eastAsia="Calibri" w:hAnsi="Arial" w:cs="Arial"/>
          <w:bCs/>
          <w:i/>
          <w:iCs/>
          <w:color w:val="000000" w:themeColor="text1"/>
          <w:sz w:val="22"/>
          <w:szCs w:val="22"/>
          <w:lang w:eastAsia="en-US"/>
        </w:rPr>
        <w:t>ii</w:t>
      </w:r>
      <w:proofErr w:type="spellEnd"/>
      <w:r w:rsidR="00CF122C" w:rsidRPr="00CF122C">
        <w:rPr>
          <w:rFonts w:ascii="Arial" w:eastAsia="Calibri" w:hAnsi="Arial" w:cs="Arial"/>
          <w:bCs/>
          <w:i/>
          <w:iCs/>
          <w:color w:val="000000" w:themeColor="text1"/>
          <w:sz w:val="22"/>
          <w:szCs w:val="22"/>
          <w:lang w:eastAsia="en-US"/>
        </w:rPr>
        <w:t>)</w:t>
      </w:r>
      <w:r w:rsidR="00CF122C">
        <w:rPr>
          <w:rFonts w:ascii="Arial" w:eastAsia="Calibri" w:hAnsi="Arial" w:cs="Arial"/>
          <w:bCs/>
          <w:color w:val="000000" w:themeColor="text1"/>
          <w:sz w:val="22"/>
          <w:szCs w:val="22"/>
          <w:lang w:eastAsia="en-US"/>
        </w:rPr>
        <w:t xml:space="preserve"> la causal de terminación del contrato estatal ofrecida por la regulación es indeterminada, pues de su lectura no se infiere la inscripción en el REDAM, sino el incumplimiento de obligaciones alimentarias, que es un paso previo al registro; y </w:t>
      </w:r>
      <w:r w:rsidR="00CF122C" w:rsidRPr="00CF122C">
        <w:rPr>
          <w:rFonts w:ascii="Arial" w:eastAsia="Calibri" w:hAnsi="Arial" w:cs="Arial"/>
          <w:bCs/>
          <w:i/>
          <w:iCs/>
          <w:color w:val="000000" w:themeColor="text1"/>
          <w:sz w:val="22"/>
          <w:szCs w:val="22"/>
          <w:lang w:eastAsia="en-US"/>
        </w:rPr>
        <w:t>(</w:t>
      </w:r>
      <w:proofErr w:type="spellStart"/>
      <w:r w:rsidR="00CF122C" w:rsidRPr="00CF122C">
        <w:rPr>
          <w:rFonts w:ascii="Arial" w:eastAsia="Calibri" w:hAnsi="Arial" w:cs="Arial"/>
          <w:bCs/>
          <w:i/>
          <w:iCs/>
          <w:color w:val="000000" w:themeColor="text1"/>
          <w:sz w:val="22"/>
          <w:szCs w:val="22"/>
          <w:lang w:eastAsia="en-US"/>
        </w:rPr>
        <w:t>iii</w:t>
      </w:r>
      <w:proofErr w:type="spellEnd"/>
      <w:r w:rsidR="00CF122C" w:rsidRPr="00CF122C">
        <w:rPr>
          <w:rFonts w:ascii="Arial" w:eastAsia="Calibri" w:hAnsi="Arial" w:cs="Arial"/>
          <w:bCs/>
          <w:i/>
          <w:iCs/>
          <w:color w:val="000000" w:themeColor="text1"/>
          <w:sz w:val="22"/>
          <w:szCs w:val="22"/>
          <w:lang w:eastAsia="en-US"/>
        </w:rPr>
        <w:t>)</w:t>
      </w:r>
      <w:r w:rsidR="00CF122C">
        <w:rPr>
          <w:rFonts w:ascii="Arial" w:eastAsia="Calibri" w:hAnsi="Arial" w:cs="Arial"/>
          <w:bCs/>
          <w:color w:val="000000" w:themeColor="text1"/>
          <w:sz w:val="22"/>
          <w:szCs w:val="22"/>
          <w:lang w:eastAsia="en-US"/>
        </w:rPr>
        <w:t xml:space="preserve"> la exclusión de la consecuencia jurídica</w:t>
      </w:r>
      <w:r w:rsidR="004A2B4C">
        <w:rPr>
          <w:rFonts w:ascii="Arial" w:eastAsia="Calibri" w:hAnsi="Arial" w:cs="Arial"/>
          <w:bCs/>
          <w:color w:val="000000" w:themeColor="text1"/>
          <w:sz w:val="22"/>
          <w:szCs w:val="22"/>
          <w:lang w:eastAsia="en-US"/>
        </w:rPr>
        <w:t xml:space="preserve"> contenida en el numeral 1º no impone un tratamiento irrazonable o desproporcionado a los acreedores alimentarios</w:t>
      </w:r>
      <w:r>
        <w:rPr>
          <w:rFonts w:ascii="Arial" w:eastAsia="Calibri" w:hAnsi="Arial" w:cs="Arial"/>
          <w:bCs/>
          <w:color w:val="000000" w:themeColor="text1"/>
          <w:sz w:val="22"/>
          <w:szCs w:val="22"/>
          <w:lang w:eastAsia="en-US"/>
        </w:rPr>
        <w:t>, debido a que subsisten las demás consecuencias de la inscripción en el REDAM tanto para la persona natural contratista como para el representante legal de la persona jurídica, entre las que se encuentra la imposibilidad de contratar nuevamente con el Estado o de acceder a cargos públicos. Por lo expuesto, la Corte Constitucional declaró la inconstitucionalidad de la expresión “</w:t>
      </w:r>
      <w:r w:rsidR="00244949">
        <w:rPr>
          <w:rFonts w:ascii="Arial" w:eastAsia="Calibri" w:hAnsi="Arial" w:cs="Arial"/>
          <w:bCs/>
          <w:color w:val="000000" w:themeColor="text1"/>
          <w:sz w:val="22"/>
          <w:szCs w:val="22"/>
          <w:lang w:eastAsia="en-US"/>
        </w:rPr>
        <w:t>[e]</w:t>
      </w:r>
      <w:proofErr w:type="spellStart"/>
      <w:r>
        <w:rPr>
          <w:rFonts w:ascii="Arial" w:eastAsia="Calibri" w:hAnsi="Arial" w:cs="Arial"/>
          <w:bCs/>
          <w:color w:val="000000" w:themeColor="text1"/>
          <w:sz w:val="22"/>
          <w:szCs w:val="22"/>
          <w:lang w:eastAsia="en-US"/>
        </w:rPr>
        <w:t>stando</w:t>
      </w:r>
      <w:proofErr w:type="spellEnd"/>
      <w:r>
        <w:rPr>
          <w:rFonts w:ascii="Arial" w:eastAsia="Calibri" w:hAnsi="Arial" w:cs="Arial"/>
          <w:bCs/>
          <w:color w:val="000000" w:themeColor="text1"/>
          <w:sz w:val="22"/>
          <w:szCs w:val="22"/>
          <w:lang w:eastAsia="en-US"/>
        </w:rPr>
        <w:t xml:space="preserve"> en ejecución el contrato, será causal de terminación </w:t>
      </w:r>
      <w:proofErr w:type="gramStart"/>
      <w:r>
        <w:rPr>
          <w:rFonts w:ascii="Arial" w:eastAsia="Calibri" w:hAnsi="Arial" w:cs="Arial"/>
          <w:bCs/>
          <w:color w:val="000000" w:themeColor="text1"/>
          <w:sz w:val="22"/>
          <w:szCs w:val="22"/>
          <w:lang w:eastAsia="en-US"/>
        </w:rPr>
        <w:t>del mismo</w:t>
      </w:r>
      <w:proofErr w:type="gramEnd"/>
      <w:r>
        <w:rPr>
          <w:rFonts w:ascii="Arial" w:eastAsia="Calibri" w:hAnsi="Arial" w:cs="Arial"/>
          <w:bCs/>
          <w:color w:val="000000" w:themeColor="text1"/>
          <w:sz w:val="22"/>
          <w:szCs w:val="22"/>
          <w:lang w:eastAsia="en-US"/>
        </w:rPr>
        <w:t xml:space="preserve"> incurrir en mora de las obligaciones alimentarias”.</w:t>
      </w:r>
    </w:p>
    <w:p w14:paraId="59014DBA" w14:textId="22DC098C" w:rsidR="00E670DF" w:rsidRPr="00E670DF" w:rsidRDefault="00244949" w:rsidP="00E670DF">
      <w:pPr>
        <w:tabs>
          <w:tab w:val="left" w:pos="0"/>
        </w:tabs>
        <w:spacing w:after="120" w:line="276" w:lineRule="auto"/>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ab/>
      </w:r>
      <w:r w:rsidRPr="00E670DF">
        <w:rPr>
          <w:rFonts w:ascii="Arial" w:eastAsia="Calibri" w:hAnsi="Arial" w:cs="Arial"/>
          <w:bCs/>
          <w:color w:val="000000" w:themeColor="text1"/>
          <w:sz w:val="22"/>
          <w:szCs w:val="22"/>
          <w:lang w:eastAsia="en-US"/>
        </w:rPr>
        <w:t xml:space="preserve">Ahora bien, teniendo en cuenta que las principales funciones atribuidas al REDAM son </w:t>
      </w:r>
      <w:r w:rsidRPr="00E670DF">
        <w:rPr>
          <w:rFonts w:ascii="Arial" w:eastAsia="Calibri" w:hAnsi="Arial" w:cs="Arial"/>
          <w:bCs/>
          <w:i/>
          <w:iCs/>
          <w:color w:val="000000" w:themeColor="text1"/>
          <w:sz w:val="22"/>
          <w:szCs w:val="22"/>
          <w:lang w:eastAsia="en-US"/>
        </w:rPr>
        <w:t>(i)</w:t>
      </w:r>
      <w:r w:rsidRPr="00E670DF">
        <w:rPr>
          <w:rFonts w:ascii="Arial" w:eastAsia="Calibri" w:hAnsi="Arial" w:cs="Arial"/>
          <w:bCs/>
          <w:color w:val="000000" w:themeColor="text1"/>
          <w:sz w:val="22"/>
          <w:szCs w:val="22"/>
          <w:lang w:eastAsia="en-US"/>
        </w:rPr>
        <w:t xml:space="preserve"> llevar un registro de los deudores alimentarios morosos y </w:t>
      </w:r>
      <w:r w:rsidRPr="00E670DF">
        <w:rPr>
          <w:rFonts w:ascii="Arial" w:eastAsia="Calibri" w:hAnsi="Arial" w:cs="Arial"/>
          <w:bCs/>
          <w:i/>
          <w:iCs/>
          <w:color w:val="000000" w:themeColor="text1"/>
          <w:sz w:val="22"/>
          <w:szCs w:val="22"/>
          <w:lang w:eastAsia="en-US"/>
        </w:rPr>
        <w:t>(</w:t>
      </w:r>
      <w:proofErr w:type="spellStart"/>
      <w:r w:rsidRPr="00E670DF">
        <w:rPr>
          <w:rFonts w:ascii="Arial" w:eastAsia="Calibri" w:hAnsi="Arial" w:cs="Arial"/>
          <w:bCs/>
          <w:i/>
          <w:iCs/>
          <w:color w:val="000000" w:themeColor="text1"/>
          <w:sz w:val="22"/>
          <w:szCs w:val="22"/>
          <w:lang w:eastAsia="en-US"/>
        </w:rPr>
        <w:t>ii</w:t>
      </w:r>
      <w:proofErr w:type="spellEnd"/>
      <w:r w:rsidRPr="00E670DF">
        <w:rPr>
          <w:rFonts w:ascii="Arial" w:eastAsia="Calibri" w:hAnsi="Arial" w:cs="Arial"/>
          <w:bCs/>
          <w:i/>
          <w:iCs/>
          <w:color w:val="000000" w:themeColor="text1"/>
          <w:sz w:val="22"/>
          <w:szCs w:val="22"/>
          <w:lang w:eastAsia="en-US"/>
        </w:rPr>
        <w:t>)</w:t>
      </w:r>
      <w:r w:rsidRPr="00E670DF">
        <w:rPr>
          <w:rFonts w:ascii="Arial" w:eastAsia="Calibri" w:hAnsi="Arial" w:cs="Arial"/>
          <w:bCs/>
          <w:color w:val="000000" w:themeColor="text1"/>
          <w:sz w:val="22"/>
          <w:szCs w:val="22"/>
          <w:lang w:eastAsia="en-US"/>
        </w:rPr>
        <w:t xml:space="preserve"> expedir gratuitamente los certificados a través de página web, que soliciten las personas naturales o jurídicas, públicas o privadas, </w:t>
      </w:r>
      <w:r w:rsidR="00657DAD" w:rsidRPr="00657DAD">
        <w:rPr>
          <w:rFonts w:ascii="Arial" w:eastAsia="Calibri" w:hAnsi="Arial" w:cs="Arial"/>
          <w:bCs/>
          <w:color w:val="000000" w:themeColor="text1"/>
          <w:sz w:val="22"/>
          <w:szCs w:val="22"/>
          <w:lang w:eastAsia="en-US"/>
        </w:rPr>
        <w:t>es necesario preguntarse si la obligación de consulta para validar la ausencia de la restricción comentada surgió automáticamente con la expedición de la Ley 2097 de</w:t>
      </w:r>
      <w:r w:rsidR="00E670DF">
        <w:rPr>
          <w:rFonts w:ascii="Arial" w:eastAsia="Calibri" w:hAnsi="Arial" w:cs="Arial"/>
          <w:bCs/>
          <w:color w:val="000000" w:themeColor="text1"/>
          <w:sz w:val="22"/>
          <w:szCs w:val="22"/>
          <w:lang w:eastAsia="en-US"/>
        </w:rPr>
        <w:t xml:space="preserve"> </w:t>
      </w:r>
      <w:r w:rsidR="00657DAD" w:rsidRPr="00657DAD">
        <w:rPr>
          <w:rFonts w:ascii="Arial" w:eastAsia="Calibri" w:hAnsi="Arial" w:cs="Arial"/>
          <w:bCs/>
          <w:color w:val="000000" w:themeColor="text1"/>
          <w:sz w:val="22"/>
          <w:szCs w:val="22"/>
          <w:lang w:eastAsia="en-US"/>
        </w:rPr>
        <w:t>2021 o</w:t>
      </w:r>
      <w:r w:rsidR="00E670DF">
        <w:rPr>
          <w:rFonts w:ascii="Arial" w:eastAsia="Calibri" w:hAnsi="Arial" w:cs="Arial"/>
          <w:bCs/>
          <w:color w:val="000000" w:themeColor="text1"/>
          <w:sz w:val="22"/>
          <w:szCs w:val="22"/>
          <w:lang w:eastAsia="en-US"/>
        </w:rPr>
        <w:t xml:space="preserve"> si</w:t>
      </w:r>
      <w:r w:rsidR="00657DAD" w:rsidRPr="00657DAD">
        <w:rPr>
          <w:rFonts w:ascii="Arial" w:eastAsia="Calibri" w:hAnsi="Arial" w:cs="Arial"/>
          <w:bCs/>
          <w:color w:val="000000" w:themeColor="text1"/>
          <w:sz w:val="22"/>
          <w:szCs w:val="22"/>
          <w:lang w:eastAsia="en-US"/>
        </w:rPr>
        <w:t>, por el contrario,</w:t>
      </w:r>
      <w:r w:rsidR="00E670DF">
        <w:rPr>
          <w:rFonts w:ascii="Arial" w:eastAsia="Calibri" w:hAnsi="Arial" w:cs="Arial"/>
          <w:bCs/>
          <w:color w:val="000000" w:themeColor="text1"/>
          <w:sz w:val="22"/>
          <w:szCs w:val="22"/>
          <w:lang w:eastAsia="en-US"/>
        </w:rPr>
        <w:t xml:space="preserve"> </w:t>
      </w:r>
      <w:r w:rsidR="00657DAD" w:rsidRPr="00657DAD">
        <w:rPr>
          <w:rFonts w:ascii="Arial" w:eastAsia="Calibri" w:hAnsi="Arial" w:cs="Arial"/>
          <w:bCs/>
          <w:color w:val="000000" w:themeColor="text1"/>
          <w:sz w:val="22"/>
          <w:szCs w:val="22"/>
          <w:lang w:eastAsia="en-US"/>
        </w:rPr>
        <w:t>las medidas adoptadas quedaron condicionadas por la designación de la autoridad responsable de operar el registro, su reglamentación correspondiente, así como la puesta en funcionamiento de la aplicación.</w:t>
      </w:r>
      <w:r w:rsidR="00E670DF">
        <w:rPr>
          <w:rFonts w:ascii="Arial" w:eastAsia="Calibri" w:hAnsi="Arial" w:cs="Arial"/>
          <w:bCs/>
          <w:color w:val="000000" w:themeColor="text1"/>
          <w:sz w:val="22"/>
          <w:szCs w:val="22"/>
          <w:lang w:eastAsia="en-US"/>
        </w:rPr>
        <w:t xml:space="preserve"> </w:t>
      </w:r>
      <w:r w:rsidR="00657DAD" w:rsidRPr="00657DAD">
        <w:rPr>
          <w:rFonts w:ascii="Arial" w:eastAsia="Calibri" w:hAnsi="Arial" w:cs="Arial"/>
          <w:bCs/>
          <w:color w:val="000000" w:themeColor="text1"/>
          <w:sz w:val="22"/>
          <w:szCs w:val="22"/>
          <w:lang w:eastAsia="en-US"/>
        </w:rPr>
        <w:t xml:space="preserve">La respuesta a esta inquietud depende de tomar partido por la </w:t>
      </w:r>
      <w:r w:rsidR="00657DAD" w:rsidRPr="00657DAD">
        <w:rPr>
          <w:rFonts w:ascii="Arial" w:eastAsia="Calibri" w:hAnsi="Arial" w:cs="Arial"/>
          <w:bCs/>
          <w:i/>
          <w:iCs/>
          <w:color w:val="000000" w:themeColor="text1"/>
          <w:sz w:val="22"/>
          <w:szCs w:val="22"/>
          <w:lang w:eastAsia="en-US"/>
        </w:rPr>
        <w:t>tesis de la aplicación directa</w:t>
      </w:r>
      <w:r w:rsidR="00657DAD" w:rsidRPr="00657DAD">
        <w:rPr>
          <w:rFonts w:ascii="Arial" w:eastAsia="Calibri" w:hAnsi="Arial" w:cs="Arial"/>
          <w:bCs/>
          <w:color w:val="000000" w:themeColor="text1"/>
          <w:sz w:val="22"/>
          <w:szCs w:val="22"/>
          <w:lang w:eastAsia="en-US"/>
        </w:rPr>
        <w:t xml:space="preserve"> o por la </w:t>
      </w:r>
      <w:r w:rsidR="00657DAD" w:rsidRPr="00657DAD">
        <w:rPr>
          <w:rFonts w:ascii="Arial" w:eastAsia="Calibri" w:hAnsi="Arial" w:cs="Arial"/>
          <w:bCs/>
          <w:i/>
          <w:iCs/>
          <w:color w:val="000000" w:themeColor="text1"/>
          <w:sz w:val="22"/>
          <w:szCs w:val="22"/>
          <w:lang w:eastAsia="en-US"/>
        </w:rPr>
        <w:t>tesis de la reglamentación</w:t>
      </w:r>
      <w:r w:rsidR="00657DAD" w:rsidRPr="00657DAD">
        <w:rPr>
          <w:rFonts w:ascii="Arial" w:eastAsia="Calibri" w:hAnsi="Arial" w:cs="Arial"/>
          <w:bCs/>
          <w:color w:val="000000" w:themeColor="text1"/>
          <w:sz w:val="22"/>
          <w:szCs w:val="22"/>
          <w:lang w:eastAsia="en-US"/>
        </w:rPr>
        <w:t>.</w:t>
      </w:r>
    </w:p>
    <w:p w14:paraId="2F33E517" w14:textId="416E5787" w:rsidR="00657DAD" w:rsidRPr="00657DAD" w:rsidRDefault="00E670DF" w:rsidP="00E670DF">
      <w:pPr>
        <w:tabs>
          <w:tab w:val="left" w:pos="0"/>
        </w:tabs>
        <w:spacing w:after="120" w:line="276" w:lineRule="auto"/>
        <w:jc w:val="both"/>
        <w:rPr>
          <w:rFonts w:ascii="Arial" w:eastAsia="Calibri" w:hAnsi="Arial" w:cs="Arial"/>
          <w:bCs/>
          <w:color w:val="000000" w:themeColor="text1"/>
          <w:sz w:val="22"/>
          <w:szCs w:val="22"/>
          <w:lang w:eastAsia="en-US"/>
        </w:rPr>
      </w:pPr>
      <w:r w:rsidRPr="00E670DF">
        <w:rPr>
          <w:rFonts w:ascii="Arial" w:eastAsia="Calibri" w:hAnsi="Arial" w:cs="Arial"/>
          <w:bCs/>
          <w:color w:val="000000" w:themeColor="text1"/>
          <w:sz w:val="22"/>
          <w:szCs w:val="22"/>
          <w:lang w:eastAsia="en-US"/>
        </w:rPr>
        <w:lastRenderedPageBreak/>
        <w:tab/>
      </w:r>
      <w:r w:rsidR="00657DAD" w:rsidRPr="00657DAD">
        <w:rPr>
          <w:rFonts w:ascii="Arial" w:eastAsia="Calibri" w:hAnsi="Arial" w:cs="Arial"/>
          <w:bCs/>
          <w:color w:val="000000" w:themeColor="text1"/>
          <w:sz w:val="22"/>
          <w:szCs w:val="22"/>
          <w:lang w:val="es-ES_tradnl" w:eastAsia="en-US"/>
        </w:rPr>
        <w:t xml:space="preserve">Por un lado, quien opte por la </w:t>
      </w:r>
      <w:r w:rsidR="00657DAD" w:rsidRPr="00657DAD">
        <w:rPr>
          <w:rFonts w:ascii="Arial" w:eastAsia="Calibri" w:hAnsi="Arial" w:cs="Arial"/>
          <w:bCs/>
          <w:i/>
          <w:iCs/>
          <w:color w:val="000000" w:themeColor="text1"/>
          <w:sz w:val="22"/>
          <w:szCs w:val="22"/>
          <w:lang w:val="es-ES_tradnl" w:eastAsia="en-US"/>
        </w:rPr>
        <w:t>tesis de la aplicación directa</w:t>
      </w:r>
      <w:r w:rsidR="00657DAD" w:rsidRPr="00657DAD">
        <w:rPr>
          <w:rFonts w:ascii="Arial" w:eastAsia="Calibri" w:hAnsi="Arial" w:cs="Arial"/>
          <w:bCs/>
          <w:color w:val="000000" w:themeColor="text1"/>
          <w:sz w:val="22"/>
          <w:szCs w:val="22"/>
          <w:lang w:val="es-ES_tradnl" w:eastAsia="en-US"/>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w:t>
      </w:r>
      <w:r>
        <w:rPr>
          <w:rFonts w:ascii="Arial" w:eastAsia="Calibri" w:hAnsi="Arial" w:cs="Arial"/>
          <w:bCs/>
          <w:color w:val="000000" w:themeColor="text1"/>
          <w:sz w:val="22"/>
          <w:szCs w:val="22"/>
          <w:lang w:val="es-ES_tradnl" w:eastAsia="en-US"/>
        </w:rPr>
        <w:t>-</w:t>
      </w:r>
      <w:r w:rsidR="00657DAD" w:rsidRPr="00657DAD">
        <w:rPr>
          <w:rFonts w:ascii="Arial" w:eastAsia="Calibri" w:hAnsi="Arial" w:cs="Arial"/>
          <w:bCs/>
          <w:color w:val="000000" w:themeColor="text1"/>
          <w:sz w:val="22"/>
          <w:szCs w:val="22"/>
          <w:lang w:val="es-ES_tradnl" w:eastAsia="en-US"/>
        </w:rPr>
        <w:t>siempre que no esté sometido a reserva</w:t>
      </w:r>
      <w:r>
        <w:rPr>
          <w:rFonts w:ascii="Arial" w:eastAsia="Calibri" w:hAnsi="Arial" w:cs="Arial"/>
          <w:bCs/>
          <w:color w:val="000000" w:themeColor="text1"/>
          <w:sz w:val="22"/>
          <w:szCs w:val="22"/>
          <w:lang w:val="es-ES_tradnl" w:eastAsia="en-US"/>
        </w:rPr>
        <w:t>-</w:t>
      </w:r>
      <w:r w:rsidR="00657DAD" w:rsidRPr="00657DAD">
        <w:rPr>
          <w:rFonts w:ascii="Arial" w:eastAsia="Calibri" w:hAnsi="Arial" w:cs="Arial"/>
          <w:bCs/>
          <w:color w:val="000000" w:themeColor="text1"/>
          <w:sz w:val="22"/>
          <w:szCs w:val="22"/>
          <w:lang w:val="es-ES_tradnl" w:eastAsia="en-US"/>
        </w:rPr>
        <w:t xml:space="preserve"> habilita el ejercicio de potestades discrecionales por parte de las entidades públicas, salvo que el reglamento eventualmente los limite. 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00657DAD" w:rsidRPr="00657DAD">
        <w:rPr>
          <w:rFonts w:ascii="Arial" w:eastAsia="Calibri" w:hAnsi="Arial" w:cs="Arial"/>
          <w:bCs/>
          <w:color w:val="000000" w:themeColor="text1"/>
          <w:sz w:val="22"/>
          <w:szCs w:val="22"/>
          <w:vertAlign w:val="superscript"/>
          <w:lang w:val="es-ES_tradnl" w:eastAsia="en-US"/>
        </w:rPr>
        <w:footnoteReference w:id="27"/>
      </w:r>
      <w:r w:rsidR="00657DAD" w:rsidRPr="00657DAD">
        <w:rPr>
          <w:rFonts w:ascii="Arial" w:eastAsia="Calibri" w:hAnsi="Arial" w:cs="Arial"/>
          <w:bCs/>
          <w:color w:val="000000" w:themeColor="text1"/>
          <w:sz w:val="22"/>
          <w:szCs w:val="22"/>
          <w:lang w:val="es-ES_tradnl" w:eastAsia="en-US"/>
        </w:rPr>
        <w:t>. En este contexto, si la expedición de reglamentos no es obligatoria, la ausencia de estos no excusa la inaplicación de la ley, pues contiene unos elementos mínimos que vinculan directamente a los destinatarios.</w:t>
      </w:r>
    </w:p>
    <w:p w14:paraId="546525E3" w14:textId="77777777" w:rsidR="00E670DF" w:rsidRPr="00E670DF" w:rsidRDefault="00657DAD" w:rsidP="00657DAD">
      <w:pPr>
        <w:tabs>
          <w:tab w:val="left" w:pos="709"/>
        </w:tabs>
        <w:spacing w:after="120" w:line="276" w:lineRule="auto"/>
        <w:jc w:val="both"/>
        <w:rPr>
          <w:rFonts w:ascii="Arial" w:eastAsia="Calibri" w:hAnsi="Arial" w:cs="Arial"/>
          <w:bCs/>
          <w:color w:val="000000" w:themeColor="text1"/>
          <w:sz w:val="22"/>
          <w:szCs w:val="22"/>
          <w:lang w:eastAsia="en-US"/>
        </w:rPr>
      </w:pPr>
      <w:r w:rsidRPr="00657DAD">
        <w:rPr>
          <w:rFonts w:ascii="Arial" w:eastAsia="Calibri" w:hAnsi="Arial" w:cs="Arial"/>
          <w:bCs/>
          <w:color w:val="000000" w:themeColor="text1"/>
          <w:sz w:val="22"/>
          <w:szCs w:val="22"/>
          <w:lang w:val="es-ES_tradnl" w:eastAsia="en-US"/>
        </w:rPr>
        <w:tab/>
      </w:r>
      <w:r w:rsidR="00E670DF" w:rsidRPr="00E670DF">
        <w:rPr>
          <w:rFonts w:ascii="Arial" w:eastAsia="Calibri" w:hAnsi="Arial" w:cs="Arial"/>
          <w:bCs/>
          <w:color w:val="000000" w:themeColor="text1"/>
          <w:sz w:val="22"/>
          <w:szCs w:val="22"/>
          <w:lang w:val="es-ES_tradnl" w:eastAsia="en-US"/>
        </w:rPr>
        <w:t>L</w:t>
      </w:r>
      <w:r w:rsidRPr="00657DAD">
        <w:rPr>
          <w:rFonts w:ascii="Arial" w:eastAsia="Calibri" w:hAnsi="Arial" w:cs="Arial"/>
          <w:bCs/>
          <w:color w:val="000000" w:themeColor="text1"/>
          <w:sz w:val="22"/>
          <w:szCs w:val="22"/>
          <w:lang w:val="es-ES_tradnl" w:eastAsia="en-US"/>
        </w:rPr>
        <w:t xml:space="preserve">a relación entre estas dos (2) fuentes del derecho es totalmente diferente en la </w:t>
      </w:r>
      <w:r w:rsidRPr="00657DAD">
        <w:rPr>
          <w:rFonts w:ascii="Arial" w:eastAsia="Calibri" w:hAnsi="Arial" w:cs="Arial"/>
          <w:bCs/>
          <w:i/>
          <w:iCs/>
          <w:color w:val="000000" w:themeColor="text1"/>
          <w:sz w:val="22"/>
          <w:szCs w:val="22"/>
          <w:lang w:val="es-ES_tradnl" w:eastAsia="en-US"/>
        </w:rPr>
        <w:t>tesis de la reglamentación</w:t>
      </w:r>
      <w:r w:rsidRPr="00657DAD">
        <w:rPr>
          <w:rFonts w:ascii="Arial" w:eastAsia="Calibri" w:hAnsi="Arial" w:cs="Arial"/>
          <w:bCs/>
          <w:color w:val="000000" w:themeColor="text1"/>
          <w:sz w:val="22"/>
          <w:szCs w:val="22"/>
          <w:lang w:val="es-ES_tradnl" w:eastAsia="en-US"/>
        </w:rPr>
        <w:t xml:space="preserve">.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Este el caso de la </w:t>
      </w:r>
      <w:r w:rsidRPr="00657DAD">
        <w:rPr>
          <w:rFonts w:ascii="Arial" w:eastAsia="Calibri" w:hAnsi="Arial" w:cs="Arial"/>
          <w:bCs/>
          <w:color w:val="000000" w:themeColor="text1"/>
          <w:sz w:val="22"/>
          <w:szCs w:val="22"/>
          <w:lang w:eastAsia="en-US"/>
        </w:rPr>
        <w:t>Ley 2097 de 2021</w:t>
      </w:r>
      <w:r w:rsidRPr="00657DAD">
        <w:rPr>
          <w:rFonts w:ascii="Arial" w:eastAsia="Calibri" w:hAnsi="Arial" w:cs="Arial"/>
          <w:bCs/>
          <w:color w:val="000000" w:themeColor="text1"/>
          <w:sz w:val="22"/>
          <w:szCs w:val="22"/>
          <w:lang w:val="es-ES_tradnl" w:eastAsia="en-US"/>
        </w:rPr>
        <w:t xml:space="preserve">, </w:t>
      </w:r>
      <w:r w:rsidRPr="00657DAD">
        <w:rPr>
          <w:rFonts w:ascii="Arial" w:eastAsia="Calibri" w:hAnsi="Arial" w:cs="Arial"/>
          <w:bCs/>
          <w:color w:val="000000" w:themeColor="text1"/>
          <w:sz w:val="22"/>
          <w:szCs w:val="22"/>
          <w:lang w:eastAsia="en-US"/>
        </w:rPr>
        <w:t xml:space="preserve">pues </w:t>
      </w:r>
      <w:r w:rsidR="00E670DF">
        <w:rPr>
          <w:rFonts w:ascii="Arial" w:eastAsia="Calibri" w:hAnsi="Arial" w:cs="Arial"/>
          <w:bCs/>
          <w:color w:val="000000" w:themeColor="text1"/>
          <w:sz w:val="22"/>
          <w:szCs w:val="22"/>
          <w:lang w:eastAsia="en-US"/>
        </w:rPr>
        <w:t>-</w:t>
      </w:r>
      <w:r w:rsidRPr="00657DAD">
        <w:rPr>
          <w:rFonts w:ascii="Arial" w:eastAsia="Calibri" w:hAnsi="Arial" w:cs="Arial"/>
          <w:bCs/>
          <w:color w:val="000000" w:themeColor="text1"/>
          <w:sz w:val="22"/>
          <w:szCs w:val="22"/>
          <w:lang w:eastAsia="en-US"/>
        </w:rPr>
        <w:t xml:space="preserve">conforme al artículo 7 </w:t>
      </w:r>
      <w:r w:rsidRPr="00657DAD">
        <w:rPr>
          <w:rFonts w:ascii="Arial" w:eastAsia="Calibri" w:hAnsi="Arial" w:cs="Arial"/>
          <w:bCs/>
          <w:i/>
          <w:iCs/>
          <w:color w:val="000000" w:themeColor="text1"/>
          <w:sz w:val="22"/>
          <w:szCs w:val="22"/>
          <w:lang w:eastAsia="en-US"/>
        </w:rPr>
        <w:t>ibidem</w:t>
      </w:r>
      <w:r w:rsidR="00E670DF">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“El Gobierno nacional, designará a una entidad del orden nacional para que implemente, administre y mantenga actualizado el Registro Nacional de Deudores de Cuotas Alimentarias”. Por lo demás, de acuerdo con el parágrafo de la norma precitada, “La implementación del Registro Nacional de Deudores de Cuotas Alimentarias deberá llevarse a cabo en el término de seis (6) meses contados a partir de la fecha de promulgación de la presente ley”.</w:t>
      </w:r>
    </w:p>
    <w:p w14:paraId="2D23E1A4" w14:textId="29064555" w:rsidR="00E670DF" w:rsidRDefault="00E670DF" w:rsidP="00657DAD">
      <w:pPr>
        <w:tabs>
          <w:tab w:val="left" w:pos="709"/>
        </w:tabs>
        <w:spacing w:after="120" w:line="276" w:lineRule="auto"/>
        <w:jc w:val="both"/>
        <w:rPr>
          <w:rFonts w:ascii="Arial" w:eastAsia="Calibri" w:hAnsi="Arial" w:cs="Arial"/>
          <w:bCs/>
          <w:color w:val="000000" w:themeColor="text1"/>
          <w:sz w:val="22"/>
          <w:szCs w:val="22"/>
          <w:lang w:val="es-ES_tradnl" w:eastAsia="en-US"/>
        </w:rPr>
      </w:pPr>
      <w:r w:rsidRPr="00E670DF">
        <w:rPr>
          <w:rFonts w:ascii="Arial" w:eastAsia="Calibri" w:hAnsi="Arial" w:cs="Arial"/>
          <w:bCs/>
          <w:color w:val="000000" w:themeColor="text1"/>
          <w:sz w:val="22"/>
          <w:szCs w:val="22"/>
          <w:lang w:eastAsia="en-US"/>
        </w:rPr>
        <w:tab/>
      </w:r>
      <w:r w:rsidR="00657DAD" w:rsidRPr="00657DAD">
        <w:rPr>
          <w:rFonts w:ascii="Arial" w:eastAsia="Calibri" w:hAnsi="Arial" w:cs="Arial"/>
          <w:bCs/>
          <w:color w:val="000000" w:themeColor="text1"/>
          <w:sz w:val="22"/>
          <w:szCs w:val="22"/>
          <w:lang w:val="es-ES_tradnl" w:eastAsia="en-US"/>
        </w:rPr>
        <w:t>En efecto, el artículo 7 de la Ley 2097 de 202</w:t>
      </w:r>
      <w:r w:rsidRPr="00E670DF">
        <w:rPr>
          <w:rFonts w:ascii="Arial" w:eastAsia="Calibri" w:hAnsi="Arial" w:cs="Arial"/>
          <w:bCs/>
          <w:color w:val="000000" w:themeColor="text1"/>
          <w:sz w:val="22"/>
          <w:szCs w:val="22"/>
          <w:lang w:val="es-ES_tradnl" w:eastAsia="en-US"/>
        </w:rPr>
        <w:t>1</w:t>
      </w:r>
      <w:r w:rsidR="00657DAD" w:rsidRPr="00657DAD">
        <w:rPr>
          <w:rFonts w:ascii="Arial" w:eastAsia="Calibri" w:hAnsi="Arial" w:cs="Arial"/>
          <w:bCs/>
          <w:color w:val="000000" w:themeColor="text1"/>
          <w:sz w:val="22"/>
          <w:szCs w:val="22"/>
          <w:lang w:val="es-ES_tradnl" w:eastAsia="en-US"/>
        </w:rPr>
        <w:t xml:space="preserve"> contiene un mandato de reglamentación que debe acatar el Gobierno Nacional</w:t>
      </w:r>
      <w:r w:rsidR="00657DAD" w:rsidRPr="00657DAD">
        <w:rPr>
          <w:rFonts w:ascii="Arial" w:eastAsia="Calibri" w:hAnsi="Arial" w:cs="Arial"/>
          <w:bCs/>
          <w:color w:val="000000" w:themeColor="text1"/>
          <w:sz w:val="22"/>
          <w:szCs w:val="22"/>
          <w:vertAlign w:val="superscript"/>
          <w:lang w:val="es-ES_tradnl" w:eastAsia="en-US"/>
        </w:rPr>
        <w:footnoteReference w:id="28"/>
      </w:r>
      <w:r w:rsidR="00657DAD" w:rsidRPr="00657DAD">
        <w:rPr>
          <w:rFonts w:ascii="Arial" w:eastAsia="Calibri" w:hAnsi="Arial" w:cs="Arial"/>
          <w:bCs/>
          <w:color w:val="000000" w:themeColor="text1"/>
          <w:sz w:val="22"/>
          <w:szCs w:val="22"/>
          <w:lang w:val="es-ES_tradnl" w:eastAsia="en-US"/>
        </w:rPr>
        <w:t>.</w:t>
      </w:r>
      <w:r w:rsidRPr="00E670DF">
        <w:rPr>
          <w:rFonts w:ascii="Arial" w:eastAsia="Calibri" w:hAnsi="Arial" w:cs="Arial"/>
          <w:bCs/>
          <w:color w:val="000000" w:themeColor="text1"/>
          <w:sz w:val="22"/>
          <w:szCs w:val="22"/>
          <w:lang w:val="es-ES_tradnl" w:eastAsia="en-US"/>
        </w:rPr>
        <w:t xml:space="preserve"> </w:t>
      </w:r>
      <w:r w:rsidR="00657DAD" w:rsidRPr="00657DAD">
        <w:rPr>
          <w:rFonts w:ascii="Arial" w:eastAsia="Calibri" w:hAnsi="Arial" w:cs="Arial"/>
          <w:bCs/>
          <w:color w:val="000000" w:themeColor="text1"/>
          <w:sz w:val="22"/>
          <w:szCs w:val="22"/>
          <w:lang w:val="es-ES_tradnl" w:eastAsia="en-US"/>
        </w:rPr>
        <w:t xml:space="preserve">Sin el decreto la ley es inaplicable, porque delega en </w:t>
      </w:r>
      <w:r w:rsidR="00657DAD" w:rsidRPr="00657DAD">
        <w:rPr>
          <w:rFonts w:ascii="Arial" w:eastAsia="Calibri" w:hAnsi="Arial" w:cs="Arial"/>
          <w:bCs/>
          <w:color w:val="000000" w:themeColor="text1"/>
          <w:sz w:val="22"/>
          <w:szCs w:val="22"/>
          <w:lang w:val="es-ES_tradnl" w:eastAsia="en-US"/>
        </w:rPr>
        <w:lastRenderedPageBreak/>
        <w:t xml:space="preserve">una fuente de inferior jerarquía la definición de los aspectos relevantes para efectividad de los mandatos contenidos en la misma. En estos casos, la omisión reglamentaria genera una </w:t>
      </w:r>
      <w:r w:rsidR="00657DAD" w:rsidRPr="00657DAD">
        <w:rPr>
          <w:rFonts w:ascii="Arial" w:eastAsia="Calibri" w:hAnsi="Arial" w:cs="Arial"/>
          <w:bCs/>
          <w:i/>
          <w:iCs/>
          <w:color w:val="000000" w:themeColor="text1"/>
          <w:sz w:val="22"/>
          <w:szCs w:val="22"/>
          <w:lang w:val="es-ES_tradnl" w:eastAsia="en-US"/>
        </w:rPr>
        <w:t>laguna técnica</w:t>
      </w:r>
      <w:r w:rsidR="00657DAD" w:rsidRPr="00657DAD">
        <w:rPr>
          <w:rFonts w:ascii="Arial" w:eastAsia="Calibri" w:hAnsi="Arial" w:cs="Arial"/>
          <w:bCs/>
          <w:color w:val="000000" w:themeColor="text1"/>
          <w:sz w:val="22"/>
          <w:szCs w:val="22"/>
          <w:lang w:val="es-ES_tradnl" w:eastAsia="en-US"/>
        </w:rPr>
        <w:t>, la cual se produce “</w:t>
      </w:r>
      <w:r w:rsidRPr="00E670DF">
        <w:rPr>
          <w:rFonts w:ascii="Arial" w:eastAsia="Calibri" w:hAnsi="Arial" w:cs="Arial"/>
          <w:bCs/>
          <w:color w:val="000000" w:themeColor="text1"/>
          <w:sz w:val="22"/>
          <w:szCs w:val="22"/>
          <w:lang w:val="es-ES_tradnl" w:eastAsia="en-US"/>
        </w:rPr>
        <w:t xml:space="preserve">(…) </w:t>
      </w:r>
      <w:r w:rsidR="00657DAD" w:rsidRPr="00657DAD">
        <w:rPr>
          <w:rFonts w:ascii="Arial" w:eastAsia="Calibri" w:hAnsi="Arial" w:cs="Arial"/>
          <w:bCs/>
          <w:color w:val="000000" w:themeColor="text1"/>
          <w:sz w:val="22"/>
          <w:szCs w:val="22"/>
          <w:lang w:val="es-ES_tradnl" w:eastAsia="en-US"/>
        </w:rPr>
        <w:t>cuando falta en [el ordenamiento] una norma cuya existencia es condición necesaria para la eficacia (y/o para la efectividad) de otra norma. Sucede por tanto que una norma no puede producir efectos jurídicos (y/o no puede ser obedecida o aplicada) en ausencia de otras normas que</w:t>
      </w:r>
      <w:r w:rsidRPr="00E670DF">
        <w:rPr>
          <w:rFonts w:ascii="Arial" w:eastAsia="Calibri" w:hAnsi="Arial" w:cs="Arial"/>
          <w:bCs/>
          <w:color w:val="000000" w:themeColor="text1"/>
          <w:sz w:val="22"/>
          <w:szCs w:val="22"/>
          <w:lang w:val="es-ES_tradnl" w:eastAsia="en-US"/>
        </w:rPr>
        <w:t xml:space="preserve"> </w:t>
      </w:r>
      <w:r w:rsidR="00657DAD" w:rsidRPr="00657DAD">
        <w:rPr>
          <w:rFonts w:ascii="Arial" w:eastAsia="Calibri" w:hAnsi="Arial" w:cs="Arial"/>
          <w:bCs/>
          <w:color w:val="000000" w:themeColor="text1"/>
          <w:sz w:val="22"/>
          <w:szCs w:val="22"/>
          <w:lang w:val="es-ES_tradnl" w:eastAsia="en-US"/>
        </w:rPr>
        <w:t>la concreten”</w:t>
      </w:r>
      <w:r w:rsidR="00657DAD" w:rsidRPr="00657DAD">
        <w:rPr>
          <w:rFonts w:ascii="Arial" w:eastAsia="Calibri" w:hAnsi="Arial" w:cs="Arial"/>
          <w:bCs/>
          <w:color w:val="000000" w:themeColor="text1"/>
          <w:sz w:val="22"/>
          <w:szCs w:val="22"/>
          <w:vertAlign w:val="superscript"/>
          <w:lang w:val="es-ES_tradnl" w:eastAsia="en-US"/>
        </w:rPr>
        <w:footnoteReference w:id="29"/>
      </w:r>
      <w:r w:rsidR="00657DAD" w:rsidRPr="00657DAD">
        <w:rPr>
          <w:rFonts w:ascii="Arial" w:eastAsia="Calibri" w:hAnsi="Arial" w:cs="Arial"/>
          <w:bCs/>
          <w:color w:val="000000" w:themeColor="text1"/>
          <w:sz w:val="22"/>
          <w:szCs w:val="22"/>
          <w:lang w:val="es-ES_tradnl" w:eastAsia="en-US"/>
        </w:rPr>
        <w:t>.</w:t>
      </w:r>
    </w:p>
    <w:p w14:paraId="4FAD2BC0" w14:textId="77777777" w:rsidR="00E52BA9" w:rsidRDefault="00E670DF" w:rsidP="00E52BA9">
      <w:pPr>
        <w:tabs>
          <w:tab w:val="left" w:pos="709"/>
        </w:tabs>
        <w:spacing w:after="120" w:line="276" w:lineRule="auto"/>
        <w:jc w:val="both"/>
        <w:rPr>
          <w:rFonts w:ascii="Arial" w:eastAsia="Calibri" w:hAnsi="Arial" w:cs="Arial"/>
          <w:bCs/>
          <w:color w:val="000000" w:themeColor="text1"/>
          <w:sz w:val="22"/>
          <w:szCs w:val="22"/>
          <w:lang w:val="es-ES_tradnl" w:eastAsia="en-US"/>
        </w:rPr>
      </w:pPr>
      <w:r>
        <w:rPr>
          <w:rFonts w:ascii="Arial" w:eastAsia="Calibri" w:hAnsi="Arial" w:cs="Arial"/>
          <w:bCs/>
          <w:color w:val="000000" w:themeColor="text1"/>
          <w:sz w:val="22"/>
          <w:szCs w:val="22"/>
          <w:lang w:val="es-ES_tradnl" w:eastAsia="en-US"/>
        </w:rPr>
        <w:tab/>
      </w:r>
      <w:r w:rsidR="00657DAD" w:rsidRPr="00657DAD">
        <w:rPr>
          <w:rFonts w:ascii="Arial" w:eastAsia="Calibri" w:hAnsi="Arial" w:cs="Arial"/>
          <w:bCs/>
          <w:color w:val="000000" w:themeColor="text1"/>
          <w:sz w:val="22"/>
          <w:szCs w:val="22"/>
          <w:lang w:val="es-ES_tradnl" w:eastAsia="en-US"/>
        </w:rPr>
        <w:t xml:space="preserve">Este tipo de lagunas no son ajenas a la contratación estatal, ya que el procedimiento para la cesión unilateral del contrato del artículo 9 de la Ley 2014 de 2019 también estaba condicionado por su reglamentación previa en los términos del parágrafo 2 </w:t>
      </w:r>
      <w:r w:rsidR="00657DAD" w:rsidRPr="00657DAD">
        <w:rPr>
          <w:rFonts w:ascii="Arial" w:eastAsia="Calibri" w:hAnsi="Arial" w:cs="Arial"/>
          <w:bCs/>
          <w:i/>
          <w:iCs/>
          <w:color w:val="000000" w:themeColor="text1"/>
          <w:sz w:val="22"/>
          <w:szCs w:val="22"/>
          <w:lang w:val="es-ES_tradnl" w:eastAsia="en-US"/>
        </w:rPr>
        <w:t>ibidem</w:t>
      </w:r>
      <w:r w:rsidR="00657DAD" w:rsidRPr="00657DAD">
        <w:rPr>
          <w:rFonts w:ascii="Arial" w:eastAsia="Calibri" w:hAnsi="Arial" w:cs="Arial"/>
          <w:bCs/>
          <w:color w:val="000000" w:themeColor="text1"/>
          <w:sz w:val="22"/>
          <w:szCs w:val="22"/>
          <w:lang w:val="es-ES_tradnl" w:eastAsia="en-US"/>
        </w:rPr>
        <w:t xml:space="preserve"> antes de su declaratoria de inconstitucionalidad</w:t>
      </w:r>
      <w:r w:rsidR="00657DAD" w:rsidRPr="00657DAD">
        <w:rPr>
          <w:rFonts w:ascii="Arial" w:eastAsia="Calibri" w:hAnsi="Arial" w:cs="Arial"/>
          <w:bCs/>
          <w:color w:val="000000" w:themeColor="text1"/>
          <w:sz w:val="22"/>
          <w:szCs w:val="22"/>
          <w:vertAlign w:val="superscript"/>
          <w:lang w:val="es-ES_tradnl" w:eastAsia="en-US"/>
        </w:rPr>
        <w:footnoteReference w:id="30"/>
      </w:r>
      <w:r w:rsidR="00657DAD" w:rsidRPr="00657DAD">
        <w:rPr>
          <w:rFonts w:ascii="Arial" w:eastAsia="Calibri" w:hAnsi="Arial" w:cs="Arial"/>
          <w:bCs/>
          <w:color w:val="000000" w:themeColor="text1"/>
          <w:sz w:val="22"/>
          <w:szCs w:val="22"/>
          <w:lang w:val="es-ES_tradnl" w:eastAsia="en-US"/>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00657DAD" w:rsidRPr="00657DAD">
        <w:rPr>
          <w:rFonts w:ascii="Arial" w:eastAsia="Calibri" w:hAnsi="Arial" w:cs="Arial"/>
          <w:bCs/>
          <w:color w:val="000000" w:themeColor="text1"/>
          <w:sz w:val="22"/>
          <w:szCs w:val="22"/>
          <w:vertAlign w:val="superscript"/>
          <w:lang w:val="es-ES_tradnl" w:eastAsia="en-US"/>
        </w:rPr>
        <w:footnoteReference w:id="31"/>
      </w:r>
      <w:r w:rsidR="00657DAD" w:rsidRPr="00657DAD">
        <w:rPr>
          <w:rFonts w:ascii="Arial" w:eastAsia="Calibri" w:hAnsi="Arial" w:cs="Arial"/>
          <w:bCs/>
          <w:color w:val="000000" w:themeColor="text1"/>
          <w:sz w:val="22"/>
          <w:szCs w:val="22"/>
          <w:lang w:val="es-ES_tradnl" w:eastAsia="en-US"/>
        </w:rPr>
        <w:t xml:space="preserve">. </w:t>
      </w:r>
      <w:r w:rsidR="00657DAD" w:rsidRPr="00657DAD">
        <w:rPr>
          <w:rFonts w:ascii="Arial" w:eastAsia="Calibri" w:hAnsi="Arial" w:cs="Arial"/>
          <w:color w:val="000000" w:themeColor="text1"/>
          <w:sz w:val="22"/>
          <w:szCs w:val="22"/>
          <w:lang w:val="es-ES_tradnl" w:eastAsia="en-U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w:t>
      </w:r>
      <w:r w:rsidR="00E52BA9">
        <w:rPr>
          <w:rFonts w:ascii="Arial" w:eastAsia="Calibri" w:hAnsi="Arial" w:cs="Arial"/>
          <w:color w:val="000000" w:themeColor="text1"/>
          <w:sz w:val="22"/>
          <w:szCs w:val="22"/>
          <w:lang w:val="es-ES_tradnl" w:eastAsia="en-US"/>
        </w:rPr>
        <w:t>“l</w:t>
      </w:r>
      <w:r w:rsidR="00657DAD" w:rsidRPr="00657DAD">
        <w:rPr>
          <w:rFonts w:ascii="Arial" w:eastAsia="Calibri" w:hAnsi="Arial" w:cs="Arial"/>
          <w:color w:val="000000" w:themeColor="text1"/>
          <w:sz w:val="22"/>
          <w:szCs w:val="22"/>
          <w:lang w:val="es-ES_tradnl" w:eastAsia="en-US"/>
        </w:rPr>
        <w:t>a presente ley entrará a regir cuatro meses después de su sanción y publicación</w:t>
      </w:r>
      <w:r w:rsidR="00E52BA9">
        <w:rPr>
          <w:rFonts w:ascii="Arial" w:eastAsia="Calibri" w:hAnsi="Arial" w:cs="Arial"/>
          <w:color w:val="000000" w:themeColor="text1"/>
          <w:sz w:val="22"/>
          <w:szCs w:val="22"/>
          <w:lang w:val="es-ES_tradnl" w:eastAsia="en-US"/>
        </w:rPr>
        <w:t>”</w:t>
      </w:r>
      <w:r w:rsidR="00657DAD" w:rsidRPr="00657DAD">
        <w:rPr>
          <w:rFonts w:ascii="Arial" w:eastAsia="Calibri" w:hAnsi="Arial" w:cs="Arial"/>
          <w:color w:val="000000" w:themeColor="text1"/>
          <w:sz w:val="22"/>
          <w:szCs w:val="22"/>
          <w:lang w:val="es-ES_tradnl" w:eastAsia="en-US"/>
        </w:rPr>
        <w:t>. El artículo 140 de la Ley 1955 de 2019 prorrogó este plazo hasta el 1 de julio de 2021.</w:t>
      </w:r>
    </w:p>
    <w:p w14:paraId="00FC2990" w14:textId="41744260" w:rsidR="00657DAD" w:rsidRPr="00657DAD" w:rsidRDefault="00E52BA9" w:rsidP="00E52BA9">
      <w:pPr>
        <w:tabs>
          <w:tab w:val="left" w:pos="709"/>
        </w:tabs>
        <w:spacing w:after="120" w:line="276" w:lineRule="auto"/>
        <w:jc w:val="both"/>
        <w:rPr>
          <w:rFonts w:ascii="Arial" w:eastAsia="Calibri" w:hAnsi="Arial" w:cs="Arial"/>
          <w:bCs/>
          <w:color w:val="000000" w:themeColor="text1"/>
          <w:sz w:val="22"/>
          <w:szCs w:val="22"/>
          <w:lang w:val="es-ES_tradnl" w:eastAsia="en-US"/>
        </w:rPr>
      </w:pPr>
      <w:r>
        <w:rPr>
          <w:rFonts w:ascii="Arial" w:eastAsia="Calibri" w:hAnsi="Arial" w:cs="Arial"/>
          <w:bCs/>
          <w:color w:val="000000" w:themeColor="text1"/>
          <w:sz w:val="22"/>
          <w:szCs w:val="22"/>
          <w:lang w:val="es-ES_tradnl" w:eastAsia="en-US"/>
        </w:rPr>
        <w:tab/>
      </w:r>
      <w:r w:rsidR="00657DAD" w:rsidRPr="00657DAD">
        <w:rPr>
          <w:rFonts w:ascii="Arial" w:eastAsia="Calibri" w:hAnsi="Arial" w:cs="Arial"/>
          <w:color w:val="000000" w:themeColor="text1"/>
          <w:sz w:val="22"/>
          <w:szCs w:val="22"/>
          <w:lang w:val="es-ES_tradnl" w:eastAsia="en-U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w:t>
      </w:r>
      <w:r w:rsidR="00E670DF" w:rsidRPr="00E52BA9">
        <w:rPr>
          <w:rFonts w:ascii="Arial" w:eastAsia="Calibri" w:hAnsi="Arial" w:cs="Arial"/>
          <w:color w:val="000000" w:themeColor="text1"/>
          <w:sz w:val="22"/>
          <w:szCs w:val="22"/>
          <w:lang w:val="es-ES_tradnl" w:eastAsia="en-US"/>
        </w:rPr>
        <w:t>“</w:t>
      </w:r>
      <w:r w:rsidR="00657DAD" w:rsidRPr="00657DAD">
        <w:rPr>
          <w:rFonts w:ascii="Arial" w:eastAsia="Calibri" w:hAnsi="Arial" w:cs="Arial"/>
          <w:color w:val="000000" w:themeColor="text1"/>
          <w:sz w:val="22"/>
          <w:szCs w:val="22"/>
          <w:lang w:val="es-ES_tradnl" w:eastAsia="en-US"/>
        </w:rPr>
        <w:t>Hasta tanto el Gobierno Nacional no expidiere el reglamento respectivo, no se podrá hacer uso de la selección abreviada como modalidad de selección</w:t>
      </w:r>
      <w:r w:rsidR="00E670DF" w:rsidRPr="00E52BA9">
        <w:rPr>
          <w:rFonts w:ascii="Arial" w:eastAsia="Calibri" w:hAnsi="Arial" w:cs="Arial"/>
          <w:color w:val="000000" w:themeColor="text1"/>
          <w:sz w:val="22"/>
          <w:szCs w:val="22"/>
          <w:lang w:val="es-ES_tradnl" w:eastAsia="en-US"/>
        </w:rPr>
        <w:t>”</w:t>
      </w:r>
      <w:r w:rsidR="00657DAD" w:rsidRPr="00657DAD">
        <w:rPr>
          <w:rFonts w:ascii="Arial" w:eastAsia="Calibri" w:hAnsi="Arial" w:cs="Arial"/>
          <w:color w:val="000000" w:themeColor="text1"/>
          <w:sz w:val="22"/>
          <w:szCs w:val="22"/>
          <w:lang w:val="es-ES_tradnl" w:eastAsia="en-US"/>
        </w:rPr>
        <w:t xml:space="preserve">. La ley creó una modalidad de selección, la selección abreviada; pero esas normas no podían aplicarse hasta que no se </w:t>
      </w:r>
      <w:r w:rsidR="00657DAD" w:rsidRPr="00657DAD">
        <w:rPr>
          <w:rFonts w:ascii="Arial" w:eastAsia="Calibri" w:hAnsi="Arial" w:cs="Arial"/>
          <w:color w:val="000000" w:themeColor="text1"/>
          <w:sz w:val="22"/>
          <w:szCs w:val="22"/>
          <w:lang w:val="es-ES_tradnl" w:eastAsia="en-US"/>
        </w:rPr>
        <w:lastRenderedPageBreak/>
        <w:t>cumpliera la condición</w:t>
      </w:r>
      <w:r w:rsidR="00E670DF" w:rsidRPr="00E52BA9">
        <w:rPr>
          <w:rFonts w:ascii="Arial" w:eastAsia="Calibri" w:hAnsi="Arial" w:cs="Arial"/>
          <w:color w:val="000000" w:themeColor="text1"/>
          <w:sz w:val="22"/>
          <w:szCs w:val="22"/>
          <w:lang w:val="es-ES_tradnl" w:eastAsia="en-US"/>
        </w:rPr>
        <w:t xml:space="preserve">: </w:t>
      </w:r>
      <w:r w:rsidR="00657DAD" w:rsidRPr="00657DAD">
        <w:rPr>
          <w:rFonts w:ascii="Arial" w:eastAsia="Calibri" w:hAnsi="Arial" w:cs="Arial"/>
          <w:color w:val="000000" w:themeColor="text1"/>
          <w:sz w:val="22"/>
          <w:szCs w:val="22"/>
          <w:lang w:val="es-ES_tradnl" w:eastAsia="en-US"/>
        </w:rPr>
        <w:t>la expedición del reglamento. Al respecto, el Consejo de Estado considera que:</w:t>
      </w:r>
    </w:p>
    <w:p w14:paraId="131CA210" w14:textId="663C8E27" w:rsidR="00657DAD" w:rsidRPr="00657DAD" w:rsidRDefault="00E670DF" w:rsidP="00657DAD">
      <w:pPr>
        <w:shd w:val="clear" w:color="auto" w:fill="FFFFFF"/>
        <w:ind w:left="709" w:right="709"/>
        <w:jc w:val="both"/>
        <w:rPr>
          <w:rFonts w:ascii="Arial" w:eastAsia="Calibri" w:hAnsi="Arial" w:cs="Arial"/>
          <w:color w:val="000000" w:themeColor="text1"/>
          <w:sz w:val="21"/>
          <w:szCs w:val="21"/>
          <w:lang w:val="es-ES_tradnl" w:eastAsia="en-US"/>
        </w:rPr>
      </w:pPr>
      <w:r w:rsidRPr="00E52BA9">
        <w:rPr>
          <w:rFonts w:ascii="Arial" w:eastAsia="Calibri" w:hAnsi="Arial" w:cs="Arial"/>
          <w:color w:val="000000" w:themeColor="text1"/>
          <w:sz w:val="21"/>
          <w:szCs w:val="21"/>
          <w:lang w:val="es-ES_tradnl" w:eastAsia="en-US"/>
        </w:rPr>
        <w:t xml:space="preserve">“(…) </w:t>
      </w:r>
      <w:r w:rsidR="00657DAD" w:rsidRPr="00657DAD">
        <w:rPr>
          <w:rFonts w:ascii="Arial" w:eastAsia="Calibri" w:hAnsi="Arial" w:cs="Arial"/>
          <w:color w:val="000000" w:themeColor="text1"/>
          <w:sz w:val="21"/>
          <w:szCs w:val="21"/>
          <w:lang w:val="es-ES_tradnl" w:eastAsia="en-US"/>
        </w:rPr>
        <w:t>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00657DAD" w:rsidRPr="00657DAD">
        <w:rPr>
          <w:rFonts w:ascii="Arial" w:eastAsia="Calibri" w:hAnsi="Arial" w:cs="Arial"/>
          <w:color w:val="000000" w:themeColor="text1"/>
          <w:sz w:val="21"/>
          <w:szCs w:val="21"/>
          <w:vertAlign w:val="superscript"/>
          <w:lang w:val="es-ES_tradnl" w:eastAsia="en-US"/>
        </w:rPr>
        <w:footnoteReference w:id="32"/>
      </w:r>
      <w:r w:rsidR="00657DAD" w:rsidRPr="00657DAD">
        <w:rPr>
          <w:rFonts w:ascii="Arial" w:eastAsia="Calibri" w:hAnsi="Arial" w:cs="Arial"/>
          <w:color w:val="000000" w:themeColor="text1"/>
          <w:sz w:val="21"/>
          <w:szCs w:val="21"/>
          <w:lang w:val="es-ES_tradnl" w:eastAsia="en-US"/>
        </w:rPr>
        <w:t>.</w:t>
      </w:r>
    </w:p>
    <w:p w14:paraId="4C81E99F" w14:textId="77777777" w:rsidR="00657DAD" w:rsidRPr="00657DAD" w:rsidRDefault="00657DAD" w:rsidP="00657DAD">
      <w:pPr>
        <w:shd w:val="clear" w:color="auto" w:fill="FFFFFF"/>
        <w:spacing w:line="276" w:lineRule="auto"/>
        <w:ind w:left="709" w:right="760"/>
        <w:jc w:val="both"/>
        <w:rPr>
          <w:rFonts w:ascii="Arial" w:eastAsia="Calibri" w:hAnsi="Arial" w:cs="Arial"/>
          <w:color w:val="000000" w:themeColor="text1"/>
          <w:sz w:val="22"/>
          <w:szCs w:val="22"/>
          <w:lang w:val="es-ES_tradnl" w:eastAsia="en-US"/>
        </w:rPr>
      </w:pPr>
    </w:p>
    <w:p w14:paraId="159BB958" w14:textId="77777777" w:rsidR="00E52BA9" w:rsidRPr="00E52BA9" w:rsidRDefault="00657DAD" w:rsidP="00E52BA9">
      <w:pPr>
        <w:shd w:val="clear" w:color="auto" w:fill="FFFFFF"/>
        <w:spacing w:after="120" w:line="276" w:lineRule="auto"/>
        <w:ind w:right="51" w:firstLine="709"/>
        <w:jc w:val="both"/>
        <w:rPr>
          <w:rFonts w:ascii="Arial" w:eastAsia="Calibri" w:hAnsi="Arial" w:cs="Arial"/>
          <w:color w:val="000000" w:themeColor="text1"/>
          <w:sz w:val="22"/>
          <w:szCs w:val="22"/>
          <w:lang w:val="es-ES_tradnl" w:eastAsia="en-US"/>
        </w:rPr>
      </w:pPr>
      <w:r w:rsidRPr="00657DAD">
        <w:rPr>
          <w:rFonts w:ascii="Arial" w:eastAsia="Calibri" w:hAnsi="Arial" w:cs="Arial"/>
          <w:color w:val="000000" w:themeColor="text1"/>
          <w:sz w:val="22"/>
          <w:szCs w:val="22"/>
          <w:lang w:val="es-ES_tradnl" w:eastAsia="en-US"/>
        </w:rPr>
        <w:t xml:space="preserve">La referencia hecha en una ley a que el </w:t>
      </w:r>
      <w:r w:rsidR="00E52BA9" w:rsidRPr="00E52BA9">
        <w:rPr>
          <w:rFonts w:ascii="Arial" w:eastAsia="Calibri" w:hAnsi="Arial" w:cs="Arial"/>
          <w:color w:val="000000" w:themeColor="text1"/>
          <w:sz w:val="22"/>
          <w:szCs w:val="22"/>
          <w:lang w:val="es-ES_tradnl" w:eastAsia="en-US"/>
        </w:rPr>
        <w:t>G</w:t>
      </w:r>
      <w:r w:rsidRPr="00657DAD">
        <w:rPr>
          <w:rFonts w:ascii="Arial" w:eastAsia="Calibri" w:hAnsi="Arial" w:cs="Arial"/>
          <w:color w:val="000000" w:themeColor="text1"/>
          <w:sz w:val="22"/>
          <w:szCs w:val="22"/>
          <w:lang w:val="es-ES_tradnl" w:eastAsia="en-US"/>
        </w:rPr>
        <w:t xml:space="preserve">obierno </w:t>
      </w:r>
      <w:r w:rsidR="00E52BA9" w:rsidRPr="00E52BA9">
        <w:rPr>
          <w:rFonts w:ascii="Arial" w:eastAsia="Calibri" w:hAnsi="Arial" w:cs="Arial"/>
          <w:color w:val="000000" w:themeColor="text1"/>
          <w:sz w:val="22"/>
          <w:szCs w:val="22"/>
          <w:lang w:val="es-ES_tradnl" w:eastAsia="en-US"/>
        </w:rPr>
        <w:t>N</w:t>
      </w:r>
      <w:r w:rsidRPr="00657DAD">
        <w:rPr>
          <w:rFonts w:ascii="Arial" w:eastAsia="Calibri" w:hAnsi="Arial" w:cs="Arial"/>
          <w:color w:val="000000" w:themeColor="text1"/>
          <w:sz w:val="22"/>
          <w:szCs w:val="22"/>
          <w:lang w:val="es-ES_tradnl" w:eastAsia="en-US"/>
        </w:rPr>
        <w:t xml:space="preserve">acional reglamentará la materia indica que el reglamento es indispensable para el cumplimiento de </w:t>
      </w:r>
      <w:proofErr w:type="gramStart"/>
      <w:r w:rsidRPr="00657DAD">
        <w:rPr>
          <w:rFonts w:ascii="Arial" w:eastAsia="Calibri" w:hAnsi="Arial" w:cs="Arial"/>
          <w:color w:val="000000" w:themeColor="text1"/>
          <w:sz w:val="22"/>
          <w:szCs w:val="22"/>
          <w:lang w:val="es-ES_tradnl" w:eastAsia="en-US"/>
        </w:rPr>
        <w:t>la misma</w:t>
      </w:r>
      <w:proofErr w:type="gramEnd"/>
      <w:r w:rsidRPr="00657DAD">
        <w:rPr>
          <w:rFonts w:ascii="Arial" w:eastAsia="Calibri" w:hAnsi="Arial" w:cs="Arial"/>
          <w:color w:val="000000" w:themeColor="text1"/>
          <w:sz w:val="22"/>
          <w:szCs w:val="22"/>
          <w:lang w:val="es-ES_tradnl" w:eastAsia="en-US"/>
        </w:rPr>
        <w:t xml:space="preserve">. Naturalmente, este reconocimiento no siempre implica que la ley está sometida a condición para entrar en vigor; pero cuando ello se analiza con otros elementos que obran en este sentido, como los antecedentes legislativos, es posible utilizar la referencia al reglamento como una prueba de que la ley moduló sus efectos en el tiempo y se encuentra sometida a condición. </w:t>
      </w:r>
      <w:r w:rsidR="00E52BA9" w:rsidRPr="00E52BA9">
        <w:rPr>
          <w:rFonts w:ascii="Arial" w:eastAsia="Calibri" w:hAnsi="Arial" w:cs="Arial"/>
          <w:color w:val="000000" w:themeColor="text1"/>
          <w:sz w:val="22"/>
          <w:szCs w:val="22"/>
          <w:lang w:val="es-ES_tradnl" w:eastAsia="en-US"/>
        </w:rPr>
        <w:t>Esto ocurre con el proyecto de ley que originó el REDAM.</w:t>
      </w:r>
    </w:p>
    <w:p w14:paraId="28DA9785" w14:textId="77777777" w:rsidR="00E52BA9" w:rsidRPr="00E52BA9" w:rsidRDefault="00657DAD" w:rsidP="00E52BA9">
      <w:pPr>
        <w:shd w:val="clear" w:color="auto" w:fill="FFFFFF"/>
        <w:spacing w:after="120" w:line="276" w:lineRule="auto"/>
        <w:ind w:right="51" w:firstLine="709"/>
        <w:jc w:val="both"/>
        <w:rPr>
          <w:rFonts w:ascii="Arial" w:eastAsia="Calibri" w:hAnsi="Arial" w:cs="Arial"/>
          <w:color w:val="000000" w:themeColor="text1"/>
          <w:sz w:val="22"/>
          <w:szCs w:val="22"/>
          <w:lang w:val="es-ES_tradnl" w:eastAsia="en-US"/>
        </w:rPr>
      </w:pPr>
      <w:r w:rsidRPr="00657DAD">
        <w:rPr>
          <w:rFonts w:ascii="Arial" w:eastAsia="Calibri" w:hAnsi="Arial" w:cs="Arial"/>
          <w:color w:val="000000" w:themeColor="text1"/>
          <w:sz w:val="22"/>
          <w:szCs w:val="22"/>
          <w:lang w:val="es-ES_tradnl" w:eastAsia="en-US"/>
        </w:rPr>
        <w:t xml:space="preserve">En efecto, si bien en la propuesta inicial y en el curso del primer debate en el Senado y en la Cámara de Representantes </w:t>
      </w:r>
      <w:r w:rsidR="00E52BA9" w:rsidRPr="00E52BA9">
        <w:rPr>
          <w:rFonts w:ascii="Arial" w:eastAsia="Calibri" w:hAnsi="Arial" w:cs="Arial"/>
          <w:color w:val="000000" w:themeColor="text1"/>
          <w:sz w:val="22"/>
          <w:szCs w:val="22"/>
          <w:lang w:val="es-ES_tradnl" w:eastAsia="en-US"/>
        </w:rPr>
        <w:t xml:space="preserve">la operación del registro </w:t>
      </w:r>
      <w:r w:rsidRPr="00657DAD">
        <w:rPr>
          <w:rFonts w:ascii="Arial" w:eastAsia="Calibri" w:hAnsi="Arial" w:cs="Arial"/>
          <w:color w:val="000000" w:themeColor="text1"/>
          <w:sz w:val="22"/>
          <w:szCs w:val="22"/>
          <w:lang w:val="es-ES_tradnl" w:eastAsia="en-US"/>
        </w:rPr>
        <w:t>correspondía al</w:t>
      </w:r>
      <w:r w:rsidR="00E52BA9" w:rsidRPr="00E52BA9">
        <w:rPr>
          <w:rFonts w:ascii="Arial" w:eastAsia="Calibri" w:hAnsi="Arial" w:cs="Arial"/>
          <w:color w:val="000000" w:themeColor="text1"/>
          <w:sz w:val="22"/>
          <w:szCs w:val="22"/>
          <w:lang w:val="es-ES_tradnl" w:eastAsia="en-US"/>
        </w:rPr>
        <w:t xml:space="preserve"> </w:t>
      </w:r>
      <w:r w:rsidRPr="00657DAD">
        <w:rPr>
          <w:rFonts w:ascii="Arial" w:eastAsia="Calibri" w:hAnsi="Arial" w:cs="Arial"/>
          <w:color w:val="000000" w:themeColor="text1"/>
          <w:sz w:val="22"/>
          <w:szCs w:val="22"/>
          <w:lang w:eastAsia="en-US"/>
        </w:rPr>
        <w:t xml:space="preserve">Ministerio de Justicia y del Derecho, a partir del segundo debate en el Senado se definió que el Gobierno </w:t>
      </w:r>
      <w:r w:rsidR="00E52BA9" w:rsidRPr="00E52BA9">
        <w:rPr>
          <w:rFonts w:ascii="Arial" w:eastAsia="Calibri" w:hAnsi="Arial" w:cs="Arial"/>
          <w:color w:val="000000" w:themeColor="text1"/>
          <w:sz w:val="22"/>
          <w:szCs w:val="22"/>
          <w:lang w:eastAsia="en-US"/>
        </w:rPr>
        <w:t>N</w:t>
      </w:r>
      <w:r w:rsidRPr="00657DAD">
        <w:rPr>
          <w:rFonts w:ascii="Arial" w:eastAsia="Calibri" w:hAnsi="Arial" w:cs="Arial"/>
          <w:color w:val="000000" w:themeColor="text1"/>
          <w:sz w:val="22"/>
          <w:szCs w:val="22"/>
          <w:lang w:eastAsia="en-US"/>
        </w:rPr>
        <w:t>acional designar</w:t>
      </w:r>
      <w:r w:rsidR="00E52BA9" w:rsidRPr="00E52BA9">
        <w:rPr>
          <w:rFonts w:ascii="Arial" w:eastAsia="Calibri" w:hAnsi="Arial" w:cs="Arial"/>
          <w:color w:val="000000" w:themeColor="text1"/>
          <w:sz w:val="22"/>
          <w:szCs w:val="22"/>
          <w:lang w:eastAsia="en-US"/>
        </w:rPr>
        <w:t xml:space="preserve">ía </w:t>
      </w:r>
      <w:r w:rsidRPr="00657DAD">
        <w:rPr>
          <w:rFonts w:ascii="Arial" w:eastAsia="Calibri" w:hAnsi="Arial" w:cs="Arial"/>
          <w:color w:val="000000" w:themeColor="text1"/>
          <w:sz w:val="22"/>
          <w:szCs w:val="22"/>
          <w:lang w:eastAsia="en-US"/>
        </w:rPr>
        <w:t>a una entidad del orden nacional para que implemente, administre y mantenga actualizado el Registro Nacional de Deudores de</w:t>
      </w:r>
      <w:r w:rsidR="00E52BA9" w:rsidRPr="00E52BA9">
        <w:rPr>
          <w:rFonts w:ascii="Arial" w:eastAsia="Calibri" w:hAnsi="Arial" w:cs="Arial"/>
          <w:color w:val="000000" w:themeColor="text1"/>
          <w:sz w:val="22"/>
          <w:szCs w:val="22"/>
          <w:lang w:eastAsia="en-US"/>
        </w:rPr>
        <w:t xml:space="preserve"> </w:t>
      </w:r>
      <w:r w:rsidRPr="00657DAD">
        <w:rPr>
          <w:rFonts w:ascii="Arial" w:eastAsia="Calibri" w:hAnsi="Arial" w:cs="Arial"/>
          <w:color w:val="000000" w:themeColor="text1"/>
          <w:sz w:val="22"/>
          <w:szCs w:val="22"/>
          <w:lang w:eastAsia="en-US"/>
        </w:rPr>
        <w:t>Cuotas</w:t>
      </w:r>
      <w:r w:rsidR="00E52BA9" w:rsidRPr="00E52BA9">
        <w:rPr>
          <w:rFonts w:ascii="Arial" w:eastAsia="Calibri" w:hAnsi="Arial" w:cs="Arial"/>
          <w:color w:val="000000" w:themeColor="text1"/>
          <w:sz w:val="22"/>
          <w:szCs w:val="22"/>
          <w:lang w:eastAsia="en-US"/>
        </w:rPr>
        <w:t xml:space="preserve"> </w:t>
      </w:r>
      <w:r w:rsidRPr="00657DAD">
        <w:rPr>
          <w:rFonts w:ascii="Arial" w:eastAsia="Calibri" w:hAnsi="Arial" w:cs="Arial"/>
          <w:color w:val="000000" w:themeColor="text1"/>
          <w:sz w:val="22"/>
          <w:szCs w:val="22"/>
          <w:lang w:eastAsia="en-US"/>
        </w:rPr>
        <w:t>Alimentarias</w:t>
      </w:r>
      <w:r w:rsidRPr="00657DAD">
        <w:rPr>
          <w:rFonts w:ascii="Arial" w:eastAsia="Calibri" w:hAnsi="Arial" w:cs="Arial"/>
          <w:color w:val="000000" w:themeColor="text1"/>
          <w:sz w:val="22"/>
          <w:szCs w:val="22"/>
          <w:vertAlign w:val="superscript"/>
          <w:lang w:eastAsia="en-US"/>
        </w:rPr>
        <w:footnoteReference w:id="33"/>
      </w:r>
      <w:r w:rsidR="00E52BA9" w:rsidRPr="00E52BA9">
        <w:rPr>
          <w:rFonts w:ascii="Arial" w:eastAsia="Calibri" w:hAnsi="Arial" w:cs="Arial"/>
          <w:color w:val="000000" w:themeColor="text1"/>
          <w:sz w:val="22"/>
          <w:szCs w:val="22"/>
          <w:lang w:eastAsia="en-US"/>
        </w:rPr>
        <w:t xml:space="preserve">. </w:t>
      </w:r>
      <w:r w:rsidRPr="00657DAD">
        <w:rPr>
          <w:rFonts w:ascii="Arial" w:eastAsia="Calibri" w:hAnsi="Arial" w:cs="Arial"/>
          <w:color w:val="000000" w:themeColor="text1"/>
          <w:sz w:val="22"/>
          <w:szCs w:val="22"/>
          <w:lang w:eastAsia="en-US"/>
        </w:rPr>
        <w:t>Aunque la tendencia se invirtió nuevamente en el segundo debate de la Cámara de Representantes y en la plenarias correspondientes, el texto conciliado ratificó la designación previa del gobierno nacional e incorporó la reglamentación previa del registro</w:t>
      </w:r>
      <w:r w:rsidRPr="00657DAD">
        <w:rPr>
          <w:rFonts w:ascii="Arial" w:eastAsia="Calibri" w:hAnsi="Arial" w:cs="Arial"/>
          <w:color w:val="000000" w:themeColor="text1"/>
          <w:sz w:val="22"/>
          <w:szCs w:val="22"/>
          <w:vertAlign w:val="superscript"/>
          <w:lang w:eastAsia="en-US"/>
        </w:rPr>
        <w:footnoteReference w:id="34"/>
      </w:r>
      <w:r w:rsidRPr="00657DAD">
        <w:rPr>
          <w:rFonts w:ascii="Arial" w:eastAsia="Calibri" w:hAnsi="Arial" w:cs="Arial"/>
          <w:color w:val="000000" w:themeColor="text1"/>
          <w:sz w:val="22"/>
          <w:szCs w:val="22"/>
          <w:lang w:eastAsia="en-US"/>
        </w:rPr>
        <w:t>.</w:t>
      </w:r>
    </w:p>
    <w:p w14:paraId="7CC894AB" w14:textId="12B8F7C4" w:rsidR="00E52BA9" w:rsidRPr="00E52BA9" w:rsidRDefault="00657DAD" w:rsidP="00E52BA9">
      <w:pPr>
        <w:shd w:val="clear" w:color="auto" w:fill="FFFFFF"/>
        <w:spacing w:after="120" w:line="276" w:lineRule="auto"/>
        <w:ind w:right="51" w:firstLine="709"/>
        <w:jc w:val="both"/>
        <w:rPr>
          <w:rFonts w:ascii="Arial" w:eastAsia="Calibri" w:hAnsi="Arial" w:cs="Arial"/>
          <w:color w:val="000000" w:themeColor="text1"/>
          <w:sz w:val="22"/>
          <w:szCs w:val="22"/>
          <w:lang w:val="es-ES_tradnl" w:eastAsia="en-US"/>
        </w:rPr>
      </w:pPr>
      <w:r w:rsidRPr="00657DAD">
        <w:rPr>
          <w:rFonts w:ascii="Arial" w:eastAsia="Calibri" w:hAnsi="Arial" w:cs="Arial"/>
          <w:bCs/>
          <w:color w:val="000000" w:themeColor="text1"/>
          <w:sz w:val="22"/>
          <w:szCs w:val="22"/>
          <w:lang w:val="es-ES_tradnl" w:eastAsia="en-US"/>
        </w:rPr>
        <w:t>Por tanto, si bien en principio el ejercicio de la potestad reglamentaria es discrecional, esta puede ser excepcionalmente obligatoria para efectividad de la ley. Por ejemplo, para la doctrina esto último sucede cuando “</w:t>
      </w:r>
      <w:r w:rsidR="00E52BA9" w:rsidRPr="00E52BA9">
        <w:rPr>
          <w:rFonts w:ascii="Arial" w:eastAsia="Calibri" w:hAnsi="Arial" w:cs="Arial"/>
          <w:bCs/>
          <w:color w:val="000000" w:themeColor="text1"/>
          <w:sz w:val="22"/>
          <w:szCs w:val="22"/>
          <w:lang w:val="es-ES_tradnl" w:eastAsia="en-US"/>
        </w:rPr>
        <w:t xml:space="preserve">(…) </w:t>
      </w:r>
      <w:r w:rsidRPr="00657DAD">
        <w:rPr>
          <w:rFonts w:ascii="Arial" w:eastAsia="Calibri" w:hAnsi="Arial" w:cs="Arial"/>
          <w:bCs/>
          <w:color w:val="000000" w:themeColor="text1"/>
          <w:sz w:val="22"/>
          <w:szCs w:val="22"/>
          <w:lang w:val="es-ES_tradnl" w:eastAsia="en-US"/>
        </w:rPr>
        <w:t xml:space="preserve">la necesidad del reglamento es inminente, y así nace desde la norma que confiere la potestad reglamentaria </w:t>
      </w:r>
      <w:r w:rsidR="00E52BA9" w:rsidRPr="00E52BA9">
        <w:rPr>
          <w:rFonts w:ascii="Arial" w:eastAsia="Calibri" w:hAnsi="Arial" w:cs="Arial"/>
          <w:bCs/>
          <w:color w:val="000000" w:themeColor="text1"/>
          <w:sz w:val="22"/>
          <w:szCs w:val="22"/>
          <w:lang w:val="es-ES_tradnl" w:eastAsia="en-US"/>
        </w:rPr>
        <w:t>(…)”</w:t>
      </w:r>
      <w:r w:rsidRPr="00657DAD">
        <w:rPr>
          <w:rFonts w:ascii="Arial" w:eastAsia="Calibri" w:hAnsi="Arial" w:cs="Arial"/>
          <w:bCs/>
          <w:color w:val="000000" w:themeColor="text1"/>
          <w:sz w:val="22"/>
          <w:szCs w:val="22"/>
          <w:vertAlign w:val="superscript"/>
          <w:lang w:val="es-ES_tradnl" w:eastAsia="en-US"/>
        </w:rPr>
        <w:footnoteReference w:id="35"/>
      </w:r>
      <w:r w:rsidRPr="00657DAD">
        <w:rPr>
          <w:rFonts w:ascii="Arial" w:eastAsia="Calibri" w:hAnsi="Arial" w:cs="Arial"/>
          <w:bCs/>
          <w:color w:val="000000" w:themeColor="text1"/>
          <w:sz w:val="22"/>
          <w:szCs w:val="22"/>
          <w:lang w:val="es-ES_tradnl" w:eastAsia="en-US"/>
        </w:rPr>
        <w:t xml:space="preserve">. En este tipo de situaciones, “las </w:t>
      </w:r>
      <w:r w:rsidRPr="00657DAD">
        <w:rPr>
          <w:rFonts w:ascii="Arial" w:eastAsia="Calibri" w:hAnsi="Arial" w:cs="Arial"/>
          <w:bCs/>
          <w:color w:val="000000" w:themeColor="text1"/>
          <w:sz w:val="22"/>
          <w:szCs w:val="22"/>
          <w:lang w:val="es-ES_tradnl" w:eastAsia="en-US"/>
        </w:rPr>
        <w:lastRenderedPageBreak/>
        <w:t>autoridades no tienen -ni tuvieron- la posibilidad de escoger entre expedir el acto o dejar de hacerlo. Es decir, se trata de una potestad reglada, desde el punto de vista de la necesidad de la actuación”</w:t>
      </w:r>
      <w:r w:rsidRPr="00657DAD">
        <w:rPr>
          <w:rFonts w:ascii="Arial" w:eastAsia="Calibri" w:hAnsi="Arial" w:cs="Arial"/>
          <w:bCs/>
          <w:color w:val="000000" w:themeColor="text1"/>
          <w:sz w:val="22"/>
          <w:szCs w:val="22"/>
          <w:vertAlign w:val="superscript"/>
          <w:lang w:val="es-ES_tradnl" w:eastAsia="en-US"/>
        </w:rPr>
        <w:footnoteReference w:id="36"/>
      </w:r>
      <w:r w:rsidRPr="00657DAD">
        <w:rPr>
          <w:rFonts w:ascii="Arial" w:eastAsia="Calibri" w:hAnsi="Arial" w:cs="Arial"/>
          <w:bCs/>
          <w:color w:val="000000" w:themeColor="text1"/>
          <w:sz w:val="22"/>
          <w:szCs w:val="22"/>
          <w:lang w:val="es-ES_tradnl" w:eastAsia="en-US"/>
        </w:rPr>
        <w:t>. Así las cosas, es posible afirmar que la Ley 2097 de 2021 reconoce la necesidad de un reglamento para el efectivo cumplimiento de las medidas adoptadas respecto a la inclusión en el REDAM.</w:t>
      </w:r>
    </w:p>
    <w:p w14:paraId="2A4EB2B7" w14:textId="77777777" w:rsidR="00D0532A" w:rsidRDefault="00657DAD" w:rsidP="00E52BA9">
      <w:pPr>
        <w:shd w:val="clear" w:color="auto" w:fill="FFFFFF"/>
        <w:spacing w:after="120" w:line="276" w:lineRule="auto"/>
        <w:ind w:right="51" w:firstLine="709"/>
        <w:jc w:val="both"/>
        <w:rPr>
          <w:rFonts w:ascii="Arial" w:eastAsia="Calibri" w:hAnsi="Arial" w:cs="Arial"/>
          <w:bCs/>
          <w:color w:val="000000" w:themeColor="text1"/>
          <w:sz w:val="22"/>
          <w:szCs w:val="22"/>
          <w:lang w:eastAsia="en-US"/>
        </w:rPr>
      </w:pPr>
      <w:r w:rsidRPr="00657DAD">
        <w:rPr>
          <w:rFonts w:ascii="Arial" w:eastAsia="Calibri" w:hAnsi="Arial" w:cs="Arial"/>
          <w:bCs/>
          <w:color w:val="000000" w:themeColor="text1"/>
          <w:sz w:val="22"/>
          <w:szCs w:val="22"/>
          <w:lang w:val="es-ES_tradnl" w:eastAsia="en-US"/>
        </w:rPr>
        <w:t>Para estos efectos, el gobierno nacional expidió el Decreto 1310</w:t>
      </w:r>
      <w:r w:rsidR="00E52BA9" w:rsidRPr="00E52BA9">
        <w:rPr>
          <w:rFonts w:ascii="Arial" w:eastAsia="Calibri" w:hAnsi="Arial" w:cs="Arial"/>
          <w:bCs/>
          <w:color w:val="000000" w:themeColor="text1"/>
          <w:sz w:val="22"/>
          <w:szCs w:val="22"/>
          <w:lang w:val="es-ES_tradnl" w:eastAsia="en-US"/>
        </w:rPr>
        <w:t xml:space="preserve"> </w:t>
      </w:r>
      <w:r w:rsidRPr="00657DAD">
        <w:rPr>
          <w:rFonts w:ascii="Arial" w:eastAsia="Calibri" w:hAnsi="Arial" w:cs="Arial"/>
          <w:bCs/>
          <w:color w:val="000000" w:themeColor="text1"/>
          <w:sz w:val="22"/>
          <w:szCs w:val="22"/>
          <w:lang w:val="es-ES_tradnl" w:eastAsia="en-US"/>
        </w:rPr>
        <w:t>el 26 de julio de 2022, “</w:t>
      </w:r>
      <w:r w:rsidRPr="00657DAD">
        <w:rPr>
          <w:rFonts w:ascii="Arial" w:eastAsia="Calibri" w:hAnsi="Arial" w:cs="Arial"/>
          <w:bCs/>
          <w:color w:val="000000" w:themeColor="text1"/>
          <w:sz w:val="22"/>
          <w:szCs w:val="22"/>
          <w:lang w:eastAsia="en-US"/>
        </w:rPr>
        <w:t>por el cual se adiciona el Título 23 a la Parte 2 del Libro 2 del Decreto Único Reglamentario del Sector de las Tecnologías de la Información y las Comunicaciones,</w:t>
      </w:r>
      <w:r w:rsidR="00E52BA9" w:rsidRPr="00E52BA9">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Decreto número 1078 de 2015, para reglamentar la</w:t>
      </w:r>
      <w:r w:rsidR="00E52BA9" w:rsidRPr="00E52BA9">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Ley 2097 de 2021</w:t>
      </w:r>
      <w:r w:rsidR="00E52BA9" w:rsidRPr="00E52BA9">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que creó el Registro de Deudores Alimentarios Morosos (REDAM)”. El artículo 1 adicionó el artículo 2.2.23.5 al Decreto 1078 de 2015, indicando en el inciso primero que “</w:t>
      </w:r>
      <w:r w:rsidR="00E52BA9" w:rsidRPr="00E52BA9">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 xml:space="preserve">se designa como Operador de la Información del Registro de Deudores Alimentarios Morosos (REDAM) al Ministerio de Tecnologías de la Información y las Comunicaciones, o quien haga sus veces”. Sin embargo, el reglamento también condicionó la vigencia del registro, pues </w:t>
      </w:r>
      <w:r w:rsidR="00E52BA9" w:rsidRPr="00E52BA9">
        <w:rPr>
          <w:rFonts w:ascii="Arial" w:eastAsia="Calibri" w:hAnsi="Arial" w:cs="Arial"/>
          <w:bCs/>
          <w:color w:val="000000" w:themeColor="text1"/>
          <w:sz w:val="22"/>
          <w:szCs w:val="22"/>
          <w:lang w:eastAsia="en-US"/>
        </w:rPr>
        <w:t>-</w:t>
      </w:r>
      <w:r w:rsidRPr="00657DAD">
        <w:rPr>
          <w:rFonts w:ascii="Arial" w:eastAsia="Calibri" w:hAnsi="Arial" w:cs="Arial"/>
          <w:bCs/>
          <w:color w:val="000000" w:themeColor="text1"/>
          <w:sz w:val="22"/>
          <w:szCs w:val="22"/>
          <w:lang w:eastAsia="en-US"/>
        </w:rPr>
        <w:t xml:space="preserve">conforme al parágrafo del artículo 2.2.23.4 </w:t>
      </w:r>
      <w:r w:rsidRPr="00657DAD">
        <w:rPr>
          <w:rFonts w:ascii="Arial" w:eastAsia="Calibri" w:hAnsi="Arial" w:cs="Arial"/>
          <w:bCs/>
          <w:i/>
          <w:iCs/>
          <w:color w:val="000000" w:themeColor="text1"/>
          <w:sz w:val="22"/>
          <w:szCs w:val="22"/>
          <w:lang w:eastAsia="en-US"/>
        </w:rPr>
        <w:t>ibidem</w:t>
      </w:r>
      <w:r w:rsidR="00E52BA9" w:rsidRPr="00E52BA9">
        <w:rPr>
          <w:rFonts w:ascii="Arial" w:eastAsia="Calibri" w:hAnsi="Arial" w:cs="Arial"/>
          <w:bCs/>
          <w:color w:val="000000" w:themeColor="text1"/>
          <w:sz w:val="22"/>
          <w:szCs w:val="22"/>
          <w:lang w:eastAsia="en-US"/>
        </w:rPr>
        <w:t>-</w:t>
      </w:r>
      <w:r w:rsidRPr="00657DAD">
        <w:rPr>
          <w:rFonts w:ascii="Arial" w:eastAsia="Calibri" w:hAnsi="Arial" w:cs="Arial"/>
          <w:bCs/>
          <w:color w:val="000000" w:themeColor="text1"/>
          <w:sz w:val="22"/>
          <w:szCs w:val="22"/>
          <w:lang w:eastAsia="en-US"/>
        </w:rPr>
        <w:t xml:space="preserve"> “La información suministrada por el REDAM será utilizada en forma exclusiva por quienes estén vinculadas a la aplicación de las consecuencias de la inscripción en el REDAM de que trata el artículo 6° de la Ley 2097 de 2021, a partir de la entrada en producción de la solución tecnológica”. Esto también congruente con el artículo 2.2.23.8 </w:t>
      </w:r>
      <w:r w:rsidRPr="00657DAD">
        <w:rPr>
          <w:rFonts w:ascii="Arial" w:eastAsia="Calibri" w:hAnsi="Arial" w:cs="Arial"/>
          <w:bCs/>
          <w:i/>
          <w:iCs/>
          <w:color w:val="000000" w:themeColor="text1"/>
          <w:sz w:val="22"/>
          <w:szCs w:val="22"/>
          <w:lang w:eastAsia="en-US"/>
        </w:rPr>
        <w:t>ibidem</w:t>
      </w:r>
      <w:r w:rsidRPr="00657DAD">
        <w:rPr>
          <w:rFonts w:ascii="Arial" w:eastAsia="Calibri" w:hAnsi="Arial" w:cs="Arial"/>
          <w:bCs/>
          <w:color w:val="000000" w:themeColor="text1"/>
          <w:sz w:val="22"/>
          <w:szCs w:val="22"/>
          <w:lang w:eastAsia="en-US"/>
        </w:rPr>
        <w:t>, en la medida que “El acceso al Registro de Deudores Alimentarios Morosos (REDAM) se realizará a través del Modelo de Servicios Ciudadanos Digitales de la Política de Gobierno Digital expedida por el Ministerio de Tecnologías de la Información y las Comunicaciones, sin perjuicio del acceso a la información directamente ante las Fuentes de la Información señaladas en el presente decreto, una vez entre en producción la solución tecnológica”.</w:t>
      </w:r>
    </w:p>
    <w:p w14:paraId="06822D84" w14:textId="35BBE00E" w:rsidR="00657DAD" w:rsidRDefault="00657DAD" w:rsidP="00E52BA9">
      <w:pPr>
        <w:shd w:val="clear" w:color="auto" w:fill="FFFFFF"/>
        <w:spacing w:after="120" w:line="276" w:lineRule="auto"/>
        <w:ind w:right="51" w:firstLine="709"/>
        <w:jc w:val="both"/>
        <w:rPr>
          <w:rFonts w:ascii="Arial" w:eastAsia="Calibri" w:hAnsi="Arial" w:cs="Arial"/>
          <w:bCs/>
          <w:color w:val="000000" w:themeColor="text1"/>
          <w:sz w:val="22"/>
          <w:szCs w:val="22"/>
          <w:lang w:eastAsia="en-US"/>
        </w:rPr>
      </w:pPr>
      <w:r w:rsidRPr="00657DAD">
        <w:rPr>
          <w:rFonts w:ascii="Arial" w:eastAsia="Calibri" w:hAnsi="Arial" w:cs="Arial"/>
          <w:bCs/>
          <w:color w:val="000000" w:themeColor="text1"/>
          <w:sz w:val="22"/>
          <w:szCs w:val="22"/>
          <w:lang w:eastAsia="en-US"/>
        </w:rPr>
        <w:t xml:space="preserve">De lo anterior se deduce que la obligación de consultar el registro para validar la ausencia de la restricción del artículo 6.1 de la Ley 2097 de 2021 no surgió automáticamente con la expedición de la norma, pues la efectividad de </w:t>
      </w:r>
      <w:r w:rsidR="00AB050F">
        <w:rPr>
          <w:rFonts w:ascii="Arial" w:eastAsia="Calibri" w:hAnsi="Arial" w:cs="Arial"/>
          <w:bCs/>
          <w:color w:val="000000" w:themeColor="text1"/>
          <w:sz w:val="22"/>
          <w:szCs w:val="22"/>
          <w:lang w:eastAsia="en-US"/>
        </w:rPr>
        <w:t xml:space="preserve">las </w:t>
      </w:r>
      <w:r w:rsidRPr="00657DAD">
        <w:rPr>
          <w:rFonts w:ascii="Arial" w:eastAsia="Calibri" w:hAnsi="Arial" w:cs="Arial"/>
          <w:bCs/>
          <w:color w:val="000000" w:themeColor="text1"/>
          <w:sz w:val="22"/>
          <w:szCs w:val="22"/>
          <w:lang w:eastAsia="en-US"/>
        </w:rPr>
        <w:t>medida</w:t>
      </w:r>
      <w:r w:rsidR="00AB050F">
        <w:rPr>
          <w:rFonts w:ascii="Arial" w:eastAsia="Calibri" w:hAnsi="Arial" w:cs="Arial"/>
          <w:bCs/>
          <w:color w:val="000000" w:themeColor="text1"/>
          <w:sz w:val="22"/>
          <w:szCs w:val="22"/>
          <w:lang w:eastAsia="en-US"/>
        </w:rPr>
        <w:t>s</w:t>
      </w:r>
      <w:r w:rsidRPr="00657DAD">
        <w:rPr>
          <w:rFonts w:ascii="Arial" w:eastAsia="Calibri" w:hAnsi="Arial" w:cs="Arial"/>
          <w:bCs/>
          <w:color w:val="000000" w:themeColor="text1"/>
          <w:sz w:val="22"/>
          <w:szCs w:val="22"/>
          <w:lang w:eastAsia="en-US"/>
        </w:rPr>
        <w:t xml:space="preserve"> estaba condicionada por la designación del operador, la reglamentación del registro y por implementación de la plataforma tecnológica. Sobre este último punto, la página web </w:t>
      </w:r>
      <w:hyperlink r:id="rId13" w:history="1">
        <w:r w:rsidRPr="00657DAD">
          <w:rPr>
            <w:rFonts w:ascii="Arial" w:eastAsia="Calibri" w:hAnsi="Arial" w:cs="Arial"/>
            <w:bCs/>
            <w:color w:val="0563C1" w:themeColor="hyperlink"/>
            <w:sz w:val="22"/>
            <w:szCs w:val="22"/>
            <w:u w:val="single"/>
            <w:lang w:eastAsia="en-US"/>
          </w:rPr>
          <w:t>https://redam.gov.co/information-page</w:t>
        </w:r>
      </w:hyperlink>
      <w:r w:rsidRPr="00657DAD">
        <w:rPr>
          <w:rFonts w:ascii="Arial" w:eastAsia="Calibri" w:hAnsi="Arial" w:cs="Arial"/>
          <w:bCs/>
          <w:color w:val="000000" w:themeColor="text1"/>
          <w:sz w:val="22"/>
          <w:szCs w:val="22"/>
          <w:lang w:eastAsia="en-US"/>
        </w:rPr>
        <w:t xml:space="preserve"> brinda información sobre la forma de consultar y descargar el registro correspondiente. Cualquier inquietud adicional sobre el funcionamiento operativo del REDAM podrá plantarse ante el Ministerio de Tecnologías de la Información y las Comunicaciones, pues </w:t>
      </w:r>
      <w:r w:rsidR="00D0532A">
        <w:rPr>
          <w:rFonts w:ascii="Arial" w:eastAsia="Calibri" w:hAnsi="Arial" w:cs="Arial"/>
          <w:bCs/>
          <w:color w:val="000000" w:themeColor="text1"/>
          <w:sz w:val="22"/>
          <w:szCs w:val="22"/>
          <w:lang w:eastAsia="en-US"/>
        </w:rPr>
        <w:t>-</w:t>
      </w:r>
      <w:r w:rsidRPr="00657DAD">
        <w:rPr>
          <w:rFonts w:ascii="Arial" w:eastAsia="Calibri" w:hAnsi="Arial" w:cs="Arial"/>
          <w:bCs/>
          <w:color w:val="000000" w:themeColor="text1"/>
          <w:sz w:val="22"/>
          <w:szCs w:val="22"/>
          <w:lang w:eastAsia="en-US"/>
        </w:rPr>
        <w:t xml:space="preserve">conforme al numeral 7 del artículo 2.2.23.14 del Decreto 1078 de 2015, adicionado por el artículo 1 del Decreto </w:t>
      </w:r>
      <w:r w:rsidRPr="00657DAD">
        <w:rPr>
          <w:rFonts w:ascii="Arial" w:eastAsia="Calibri" w:hAnsi="Arial" w:cs="Arial"/>
          <w:bCs/>
          <w:color w:val="000000" w:themeColor="text1"/>
          <w:sz w:val="22"/>
          <w:szCs w:val="22"/>
          <w:lang w:val="es-ES_tradnl" w:eastAsia="en-US"/>
        </w:rPr>
        <w:t>1310 de 2022</w:t>
      </w:r>
      <w:r w:rsidR="00D0532A">
        <w:rPr>
          <w:rFonts w:ascii="Arial" w:eastAsia="Calibri" w:hAnsi="Arial" w:cs="Arial"/>
          <w:bCs/>
          <w:color w:val="000000" w:themeColor="text1"/>
          <w:sz w:val="22"/>
          <w:szCs w:val="22"/>
          <w:lang w:eastAsia="en-US"/>
        </w:rPr>
        <w:t xml:space="preserve">- </w:t>
      </w:r>
      <w:r w:rsidRPr="00657DAD">
        <w:rPr>
          <w:rFonts w:ascii="Arial" w:eastAsia="Calibri" w:hAnsi="Arial" w:cs="Arial"/>
          <w:bCs/>
          <w:color w:val="000000" w:themeColor="text1"/>
          <w:sz w:val="22"/>
          <w:szCs w:val="22"/>
          <w:lang w:eastAsia="en-US"/>
        </w:rPr>
        <w:t xml:space="preserve">debe “Tramitar oportunamente las peticiones, consultas, quejas o reclamos que </w:t>
      </w:r>
      <w:r w:rsidRPr="00657DAD">
        <w:rPr>
          <w:rFonts w:ascii="Arial" w:eastAsia="Calibri" w:hAnsi="Arial" w:cs="Arial"/>
          <w:bCs/>
          <w:color w:val="000000" w:themeColor="text1"/>
          <w:sz w:val="22"/>
          <w:szCs w:val="22"/>
          <w:lang w:eastAsia="en-US"/>
        </w:rPr>
        <w:lastRenderedPageBreak/>
        <w:t>formulen los actores e intervinientes en el proceso de reporte de información en el Registro de Deudores Alimentarios Morosos (REDAM) y que sean de su competencia”.</w:t>
      </w:r>
    </w:p>
    <w:p w14:paraId="2A67B70D" w14:textId="67E949FF" w:rsidR="00AB050F" w:rsidRDefault="0087178D" w:rsidP="00E52BA9">
      <w:pPr>
        <w:shd w:val="clear" w:color="auto" w:fill="FFFFFF"/>
        <w:spacing w:after="120" w:line="276" w:lineRule="auto"/>
        <w:ind w:right="51"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 xml:space="preserve">En la actualidad </w:t>
      </w:r>
      <w:r w:rsidR="007A103F">
        <w:rPr>
          <w:rFonts w:ascii="Arial" w:eastAsia="Calibri" w:hAnsi="Arial" w:cs="Arial"/>
          <w:bCs/>
          <w:color w:val="000000" w:themeColor="text1"/>
          <w:sz w:val="22"/>
          <w:szCs w:val="22"/>
          <w:lang w:eastAsia="en-US"/>
        </w:rPr>
        <w:t>es la Agencia Nacional de Datos la entidad encargada como operador del REDAM, cuyo alcance es administrar la base de datos donde se registra la información de los deudores alimentarios morosos, ordenados como inscritos por parte de las entidades consideradas fuentes de la información</w:t>
      </w:r>
      <w:r w:rsidR="007A103F">
        <w:rPr>
          <w:rStyle w:val="Refdenotaalpie"/>
          <w:rFonts w:ascii="Arial" w:eastAsia="Calibri" w:hAnsi="Arial" w:cs="Arial"/>
          <w:bCs/>
          <w:color w:val="000000" w:themeColor="text1"/>
          <w:sz w:val="22"/>
          <w:szCs w:val="22"/>
          <w:lang w:eastAsia="en-US"/>
        </w:rPr>
        <w:footnoteReference w:id="37"/>
      </w:r>
      <w:r w:rsidR="007A103F">
        <w:rPr>
          <w:rFonts w:ascii="Arial" w:eastAsia="Calibri" w:hAnsi="Arial" w:cs="Arial"/>
          <w:bCs/>
          <w:color w:val="000000" w:themeColor="text1"/>
          <w:sz w:val="22"/>
          <w:szCs w:val="22"/>
          <w:lang w:eastAsia="en-US"/>
        </w:rPr>
        <w:t>.</w:t>
      </w:r>
    </w:p>
    <w:p w14:paraId="628157A3" w14:textId="77777777" w:rsidR="004B0E7E" w:rsidRDefault="0087178D" w:rsidP="00F22094">
      <w:pPr>
        <w:shd w:val="clear" w:color="auto" w:fill="FFFFFF"/>
        <w:spacing w:line="276" w:lineRule="auto"/>
        <w:ind w:right="51"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Finalmente, interesa señalar que, al amparo del parágrafo 2º del artículo 6 de la Ley 2097 de 2021 y del artículo 2.2.23.13 del Decreto 1310 de 2022, la carga de verificación respecto de si un ciudadano se encuentra inscrito en el Registro de Deudores Alimentarios Morosos recae exclusivamente en el Estado y la imposibilidad de verificar el registro deberá interpretarse en favor del ciudadano.</w:t>
      </w:r>
      <w:r w:rsidR="004B0E7E">
        <w:rPr>
          <w:rFonts w:ascii="Arial" w:eastAsia="Calibri" w:hAnsi="Arial" w:cs="Arial"/>
          <w:bCs/>
          <w:color w:val="000000" w:themeColor="text1"/>
          <w:sz w:val="22"/>
          <w:szCs w:val="22"/>
          <w:lang w:eastAsia="en-US"/>
        </w:rPr>
        <w:t xml:space="preserve"> Esta medida, a juicio de la Corte Constitucional, guarda coherencia con la totalidad de la normativa, en el sentido de que los reportes derivados de la inscripción de datos personales en el REDAM interesan únicamente a aquellas autoridades vinculadas con las </w:t>
      </w:r>
      <w:proofErr w:type="gramStart"/>
      <w:r w:rsidR="004B0E7E">
        <w:rPr>
          <w:rFonts w:ascii="Arial" w:eastAsia="Calibri" w:hAnsi="Arial" w:cs="Arial"/>
          <w:bCs/>
          <w:color w:val="000000" w:themeColor="text1"/>
          <w:sz w:val="22"/>
          <w:szCs w:val="22"/>
          <w:lang w:eastAsia="en-US"/>
        </w:rPr>
        <w:t>consecuencia previstas</w:t>
      </w:r>
      <w:proofErr w:type="gramEnd"/>
      <w:r w:rsidR="004B0E7E">
        <w:rPr>
          <w:rFonts w:ascii="Arial" w:eastAsia="Calibri" w:hAnsi="Arial" w:cs="Arial"/>
          <w:bCs/>
          <w:color w:val="000000" w:themeColor="text1"/>
          <w:sz w:val="22"/>
          <w:szCs w:val="22"/>
          <w:lang w:eastAsia="en-US"/>
        </w:rPr>
        <w:t xml:space="preserve"> en el artículo 6, lo que se suma a que el objetivo de la ley es evitar que se impongan cargas desproporcionadas o irrazonables a los ciudadanos.</w:t>
      </w:r>
    </w:p>
    <w:p w14:paraId="3FFCECF6" w14:textId="77777777" w:rsidR="004B0E7E" w:rsidRDefault="004B0E7E" w:rsidP="00DC46D7">
      <w:pPr>
        <w:shd w:val="clear" w:color="auto" w:fill="FFFFFF"/>
        <w:spacing w:line="276" w:lineRule="auto"/>
        <w:ind w:right="51"/>
        <w:jc w:val="both"/>
        <w:rPr>
          <w:rFonts w:ascii="Arial" w:eastAsia="Calibri" w:hAnsi="Arial" w:cs="Arial"/>
          <w:bCs/>
          <w:color w:val="000000" w:themeColor="text1"/>
          <w:sz w:val="22"/>
          <w:szCs w:val="22"/>
          <w:lang w:eastAsia="en-US"/>
        </w:rPr>
      </w:pPr>
    </w:p>
    <w:p w14:paraId="1C1A090E" w14:textId="3B16532A" w:rsidR="00B17718" w:rsidRPr="00B17718" w:rsidRDefault="00B17718" w:rsidP="004B0E7E">
      <w:pPr>
        <w:shd w:val="clear" w:color="auto" w:fill="FFFFFF"/>
        <w:spacing w:line="276" w:lineRule="auto"/>
        <w:ind w:right="51"/>
        <w:jc w:val="both"/>
        <w:rPr>
          <w:rFonts w:ascii="Arial" w:hAnsi="Arial" w:cs="Arial"/>
          <w:sz w:val="22"/>
          <w:szCs w:val="22"/>
          <w:bdr w:val="none" w:sz="0" w:space="0" w:color="auto" w:frame="1"/>
          <w:shd w:val="clear" w:color="auto" w:fill="FFFFFF"/>
          <w:lang w:val="es-ES_tradnl" w:eastAsia="es-ES_tradnl"/>
        </w:rPr>
      </w:pPr>
      <w:r w:rsidRPr="00B17718">
        <w:rPr>
          <w:rFonts w:ascii="Arial" w:eastAsia="Calibri" w:hAnsi="Arial" w:cs="Arial"/>
          <w:b/>
          <w:bCs/>
          <w:iCs/>
          <w:sz w:val="22"/>
          <w:szCs w:val="22"/>
          <w:lang w:eastAsia="en-US"/>
        </w:rPr>
        <w:t>3.</w:t>
      </w:r>
      <w:r w:rsidRPr="00B17718">
        <w:rPr>
          <w:rFonts w:ascii="Arial" w:eastAsia="Calibri" w:hAnsi="Arial" w:cs="Arial"/>
          <w:b/>
          <w:bCs/>
          <w:iCs/>
          <w:sz w:val="22"/>
          <w:szCs w:val="22"/>
          <w:lang w:eastAsia="en-US"/>
        </w:rPr>
        <w:tab/>
        <w:t>Respuesta</w:t>
      </w:r>
    </w:p>
    <w:p w14:paraId="2DDA1AB4" w14:textId="77777777" w:rsidR="00B17718" w:rsidRPr="007A6C76" w:rsidRDefault="00B17718" w:rsidP="004B0E7E">
      <w:pPr>
        <w:ind w:right="714"/>
        <w:jc w:val="both"/>
        <w:rPr>
          <w:rFonts w:ascii="Arial" w:hAnsi="Arial" w:cs="Arial"/>
          <w:sz w:val="22"/>
          <w:lang w:val="es-ES_tradnl" w:eastAsia="es-ES_tradnl"/>
        </w:rPr>
      </w:pPr>
    </w:p>
    <w:p w14:paraId="0F3A2AEC" w14:textId="52E097A5" w:rsidR="0065362D" w:rsidRDefault="0065362D" w:rsidP="0065362D">
      <w:pPr>
        <w:ind w:left="709" w:right="714"/>
        <w:jc w:val="both"/>
        <w:rPr>
          <w:rFonts w:ascii="Arial" w:hAnsi="Arial" w:cs="Arial"/>
          <w:i/>
          <w:iCs/>
          <w:sz w:val="21"/>
          <w:szCs w:val="21"/>
          <w:lang w:val="es-ES_tradnl" w:eastAsia="es-ES_tradnl"/>
        </w:rPr>
      </w:pPr>
      <w:r w:rsidRPr="00BD60E2">
        <w:rPr>
          <w:rFonts w:ascii="Arial" w:hAnsi="Arial" w:cs="Arial"/>
          <w:i/>
          <w:iCs/>
          <w:sz w:val="21"/>
          <w:szCs w:val="21"/>
          <w:lang w:val="es-ES_tradnl" w:eastAsia="es-ES_tradnl"/>
        </w:rPr>
        <w:t xml:space="preserve">“(…) 1. </w:t>
      </w:r>
      <w:proofErr w:type="gramStart"/>
      <w:r>
        <w:rPr>
          <w:rFonts w:ascii="Arial" w:hAnsi="Arial" w:cs="Arial"/>
          <w:i/>
          <w:iCs/>
          <w:sz w:val="21"/>
          <w:szCs w:val="21"/>
          <w:lang w:val="es-ES_tradnl" w:eastAsia="es-ES_tradnl"/>
        </w:rPr>
        <w:t>¿</w:t>
      </w:r>
      <w:r w:rsidRPr="00BD60E2">
        <w:rPr>
          <w:rFonts w:ascii="Arial" w:hAnsi="Arial" w:cs="Arial"/>
          <w:i/>
          <w:iCs/>
          <w:sz w:val="21"/>
          <w:szCs w:val="21"/>
          <w:lang w:val="es-ES_tradnl" w:eastAsia="es-ES_tradnl"/>
        </w:rPr>
        <w:t>La carga de verificación del Registro de Deudores Alimentarios Morosos (REDAM) que recae exclusivamente en el Estado, según lo establecido en el artículo 2.2.23.</w:t>
      </w:r>
      <w:proofErr w:type="gramEnd"/>
      <w:r w:rsidRPr="00BD60E2">
        <w:rPr>
          <w:rFonts w:ascii="Arial" w:hAnsi="Arial" w:cs="Arial"/>
          <w:i/>
          <w:iCs/>
          <w:sz w:val="21"/>
          <w:szCs w:val="21"/>
          <w:lang w:val="es-ES_tradnl" w:eastAsia="es-ES_tradnl"/>
        </w:rPr>
        <w:t xml:space="preserve">13. del Decreto 1310 de 2022, se debe entender como el acceso directo, de los responsables de la contratación en las entidades estatales, a la consulta de esta información a través de la página web </w:t>
      </w:r>
      <w:hyperlink r:id="rId14" w:history="1">
        <w:r w:rsidRPr="00BD60E2">
          <w:rPr>
            <w:rStyle w:val="Hipervnculo"/>
            <w:rFonts w:ascii="Arial" w:hAnsi="Arial" w:cs="Arial"/>
            <w:i/>
            <w:iCs/>
            <w:sz w:val="21"/>
            <w:szCs w:val="21"/>
            <w:lang w:val="es-ES_tradnl" w:eastAsia="es-ES_tradnl"/>
          </w:rPr>
          <w:t>https://www.redam.gov.co/</w:t>
        </w:r>
      </w:hyperlink>
      <w:r w:rsidRPr="00BD60E2">
        <w:rPr>
          <w:rFonts w:ascii="Arial" w:hAnsi="Arial" w:cs="Arial"/>
          <w:i/>
          <w:iCs/>
          <w:sz w:val="21"/>
          <w:szCs w:val="21"/>
          <w:lang w:val="es-ES_tradnl" w:eastAsia="es-ES_tradnl"/>
        </w:rPr>
        <w:t>?</w:t>
      </w:r>
    </w:p>
    <w:p w14:paraId="162443F4" w14:textId="77777777" w:rsidR="0065362D" w:rsidRPr="00BD60E2" w:rsidRDefault="0065362D" w:rsidP="0065362D">
      <w:pPr>
        <w:ind w:left="709" w:right="714"/>
        <w:jc w:val="both"/>
        <w:rPr>
          <w:rFonts w:ascii="Arial" w:hAnsi="Arial" w:cs="Arial"/>
          <w:i/>
          <w:iCs/>
          <w:sz w:val="21"/>
          <w:szCs w:val="21"/>
          <w:lang w:val="es-ES_tradnl" w:eastAsia="es-ES_tradnl"/>
        </w:rPr>
      </w:pPr>
    </w:p>
    <w:p w14:paraId="458D5EF9" w14:textId="77777777" w:rsidR="0065362D" w:rsidRDefault="0065362D" w:rsidP="0065362D">
      <w:pPr>
        <w:pStyle w:val="NormalWeb"/>
        <w:shd w:val="clear" w:color="auto" w:fill="FFFFFF"/>
        <w:spacing w:before="0" w:beforeAutospacing="0" w:after="120" w:afterAutospacing="0"/>
        <w:ind w:left="709" w:right="709"/>
        <w:jc w:val="both"/>
        <w:rPr>
          <w:rFonts w:ascii="Arial" w:hAnsi="Arial" w:cs="Arial"/>
          <w:i/>
          <w:iCs/>
          <w:sz w:val="21"/>
          <w:szCs w:val="21"/>
          <w:lang w:val="es-ES_tradnl" w:eastAsia="es-ES_tradnl"/>
        </w:rPr>
      </w:pPr>
      <w:r w:rsidRPr="00BD60E2">
        <w:rPr>
          <w:rFonts w:ascii="Arial" w:hAnsi="Arial" w:cs="Arial"/>
          <w:i/>
          <w:iCs/>
          <w:sz w:val="21"/>
          <w:szCs w:val="21"/>
          <w:lang w:val="es-ES_tradnl" w:eastAsia="es-ES_tradnl"/>
        </w:rPr>
        <w:t xml:space="preserve">2. </w:t>
      </w:r>
      <w:bookmarkStart w:id="19" w:name="_Hlk138148820"/>
      <w:r w:rsidRPr="00BD60E2">
        <w:rPr>
          <w:rFonts w:ascii="Arial" w:hAnsi="Arial" w:cs="Arial"/>
          <w:i/>
          <w:iCs/>
          <w:sz w:val="21"/>
          <w:szCs w:val="21"/>
          <w:lang w:val="es-ES_tradnl" w:eastAsia="es-ES_tradnl"/>
        </w:rPr>
        <w:t xml:space="preserve">En el entendido que la descarga del certificado REDAM es personal (no se puede realizar por terceros), ¿resulta viable solicitar a los futuros contratistas, independientemente de la modalidad de selección o tipo de contratación, aportar el certificado del Registro de Deudores Alimentarios Morosos – REDAM? </w:t>
      </w:r>
      <w:proofErr w:type="gramStart"/>
      <w:r w:rsidRPr="00BD60E2">
        <w:rPr>
          <w:rFonts w:ascii="Arial" w:hAnsi="Arial" w:cs="Arial"/>
          <w:i/>
          <w:iCs/>
          <w:sz w:val="21"/>
          <w:szCs w:val="21"/>
          <w:lang w:val="es-ES_tradnl" w:eastAsia="es-ES_tradnl"/>
        </w:rPr>
        <w:t>O</w:t>
      </w:r>
      <w:proofErr w:type="gramEnd"/>
      <w:r w:rsidRPr="00BD60E2">
        <w:rPr>
          <w:rFonts w:ascii="Arial" w:hAnsi="Arial" w:cs="Arial"/>
          <w:i/>
          <w:iCs/>
          <w:sz w:val="21"/>
          <w:szCs w:val="21"/>
          <w:lang w:val="es-ES_tradnl" w:eastAsia="es-ES_tradnl"/>
        </w:rPr>
        <w:t xml:space="preserve"> por el contrario, para efectos de dar cumplimiento a la norma ¿es suficiente que los futuros contratistas diligencien, suscriban y aporten la declaración juramentada de no tener obligaciones de carácter alimentario a su cargo?</w:t>
      </w:r>
      <w:r>
        <w:rPr>
          <w:rFonts w:ascii="Arial" w:hAnsi="Arial" w:cs="Arial"/>
          <w:i/>
          <w:iCs/>
          <w:sz w:val="21"/>
          <w:szCs w:val="21"/>
          <w:lang w:val="es-ES_tradnl" w:eastAsia="es-ES_tradnl"/>
        </w:rPr>
        <w:t xml:space="preserve"> </w:t>
      </w:r>
      <w:bookmarkEnd w:id="19"/>
      <w:r>
        <w:rPr>
          <w:rFonts w:ascii="Arial" w:hAnsi="Arial" w:cs="Arial"/>
          <w:i/>
          <w:iCs/>
          <w:sz w:val="21"/>
          <w:szCs w:val="21"/>
          <w:lang w:val="es-ES_tradnl" w:eastAsia="es-ES_tradnl"/>
        </w:rPr>
        <w:t>(…)”.</w:t>
      </w:r>
    </w:p>
    <w:p w14:paraId="703A2D95" w14:textId="77777777" w:rsidR="007A6C76" w:rsidRDefault="00B17718" w:rsidP="00DC46D7">
      <w:pPr>
        <w:spacing w:after="120" w:line="276" w:lineRule="auto"/>
        <w:jc w:val="both"/>
        <w:rPr>
          <w:rFonts w:ascii="Arial" w:hAnsi="Arial" w:cs="Arial"/>
          <w:sz w:val="22"/>
          <w:szCs w:val="22"/>
        </w:rPr>
      </w:pPr>
      <w:r w:rsidRPr="00B17718">
        <w:rPr>
          <w:rFonts w:ascii="Arial" w:hAnsi="Arial" w:cs="Arial"/>
          <w:sz w:val="22"/>
          <w:szCs w:val="22"/>
          <w:lang w:val="es-ES"/>
        </w:rPr>
        <w:t xml:space="preserve">En ejercicio de las competencias establecidas en los artículos 3.5 y 11.8 del Decreto 4170 de 2011, la Agencia Nacional de Contratación Pública -Colombia Compra Eficiente- solo tiene competencia para responder solicitudes sobre la aplicación de normas de carácter general en materia de compras y contratación pública. En ese sentido, esta Agencia no tiene competencia </w:t>
      </w:r>
      <w:r w:rsidRPr="00B17718">
        <w:rPr>
          <w:rFonts w:ascii="Arial" w:hAnsi="Arial" w:cs="Arial"/>
          <w:sz w:val="22"/>
          <w:szCs w:val="22"/>
          <w:lang w:val="es-ES"/>
        </w:rPr>
        <w:lastRenderedPageBreak/>
        <w:t xml:space="preserve">para </w:t>
      </w:r>
      <w:r w:rsidRPr="00B17718">
        <w:rPr>
          <w:rFonts w:ascii="Arial" w:hAnsi="Arial" w:cs="Arial"/>
          <w:sz w:val="22"/>
          <w:szCs w:val="22"/>
        </w:rPr>
        <w:t xml:space="preserve">brindar asesorías, ni para expedir directrices especiales sobre </w:t>
      </w:r>
      <w:r w:rsidR="00360CD2">
        <w:rPr>
          <w:rFonts w:ascii="Arial" w:hAnsi="Arial" w:cs="Arial"/>
          <w:sz w:val="22"/>
          <w:szCs w:val="22"/>
        </w:rPr>
        <w:t>el alcance del Registro de Deudores Alimentarios Morosos -REDAM- ni mucho menos respecto de sus consecuencias para quienes aparezcan allí inscritos</w:t>
      </w:r>
      <w:r w:rsidR="00F73C20">
        <w:rPr>
          <w:rFonts w:ascii="Arial" w:hAnsi="Arial" w:cs="Arial"/>
          <w:sz w:val="22"/>
          <w:szCs w:val="22"/>
        </w:rPr>
        <w:t>.</w:t>
      </w:r>
    </w:p>
    <w:p w14:paraId="0D6C96BC" w14:textId="1E9CE864" w:rsidR="001A6F51" w:rsidRDefault="00B17718" w:rsidP="007A6C76">
      <w:pPr>
        <w:spacing w:after="120" w:line="276" w:lineRule="auto"/>
        <w:ind w:firstLine="708"/>
        <w:jc w:val="both"/>
        <w:rPr>
          <w:rFonts w:ascii="Arial" w:eastAsia="Calibri" w:hAnsi="Arial" w:cs="Arial"/>
          <w:sz w:val="22"/>
          <w:szCs w:val="22"/>
          <w:lang w:val="es-MX" w:eastAsia="en-US"/>
        </w:rPr>
      </w:pPr>
      <w:r w:rsidRPr="00B17718">
        <w:rPr>
          <w:rFonts w:ascii="Arial" w:eastAsia="Calibri" w:hAnsi="Arial" w:cs="Arial"/>
          <w:sz w:val="22"/>
          <w:szCs w:val="22"/>
          <w:lang w:val="es-MX" w:eastAsia="en-US"/>
        </w:rPr>
        <w:t>Sin embargo,</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en</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línea</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con las precisiones normativas</w:t>
      </w:r>
      <w:r w:rsidR="00360CD2">
        <w:rPr>
          <w:rFonts w:ascii="Arial" w:eastAsia="Calibri" w:hAnsi="Arial" w:cs="Arial"/>
          <w:sz w:val="22"/>
          <w:szCs w:val="22"/>
          <w:lang w:val="es-MX" w:eastAsia="en-US"/>
        </w:rPr>
        <w:t xml:space="preserve"> y jurisprudencial</w:t>
      </w:r>
      <w:r w:rsidR="001A6F51">
        <w:rPr>
          <w:rFonts w:ascii="Arial" w:eastAsia="Calibri" w:hAnsi="Arial" w:cs="Arial"/>
          <w:sz w:val="22"/>
          <w:szCs w:val="22"/>
          <w:lang w:val="es-MX" w:eastAsia="en-US"/>
        </w:rPr>
        <w:t xml:space="preserve">es </w:t>
      </w:r>
      <w:r w:rsidRPr="00B17718">
        <w:rPr>
          <w:rFonts w:ascii="Arial" w:eastAsia="Calibri" w:hAnsi="Arial" w:cs="Arial"/>
          <w:sz w:val="22"/>
          <w:szCs w:val="22"/>
          <w:lang w:val="es-MX" w:eastAsia="en-US"/>
        </w:rPr>
        <w:t>previamente realizadas,</w:t>
      </w:r>
      <w:r w:rsidR="007A6C76">
        <w:rPr>
          <w:rFonts w:ascii="Arial" w:eastAsia="Calibri" w:hAnsi="Arial" w:cs="Arial"/>
          <w:sz w:val="22"/>
          <w:szCs w:val="22"/>
          <w:lang w:val="es-MX" w:eastAsia="en-US"/>
        </w:rPr>
        <w:t xml:space="preserve"> para dar respuesta a sus inquietudes </w:t>
      </w:r>
      <w:r w:rsidRPr="00B17718">
        <w:rPr>
          <w:rFonts w:ascii="Arial" w:eastAsia="Calibri" w:hAnsi="Arial" w:cs="Arial"/>
          <w:sz w:val="22"/>
          <w:szCs w:val="22"/>
          <w:lang w:val="es-MX" w:eastAsia="en-US"/>
        </w:rPr>
        <w:t>conviene</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iniciar</w:t>
      </w:r>
      <w:r w:rsidR="007A6C76">
        <w:rPr>
          <w:rFonts w:ascii="Arial" w:eastAsia="Calibri" w:hAnsi="Arial" w:cs="Arial"/>
          <w:sz w:val="22"/>
          <w:szCs w:val="22"/>
          <w:lang w:val="es-MX" w:eastAsia="en-US"/>
        </w:rPr>
        <w:t xml:space="preserve"> </w:t>
      </w:r>
      <w:r w:rsidRPr="00B17718">
        <w:rPr>
          <w:rFonts w:ascii="Arial" w:eastAsia="Calibri" w:hAnsi="Arial" w:cs="Arial"/>
          <w:sz w:val="22"/>
          <w:szCs w:val="22"/>
          <w:lang w:val="es-MX" w:eastAsia="en-US"/>
        </w:rPr>
        <w:t>por</w:t>
      </w:r>
      <w:r w:rsidR="007A6C76">
        <w:rPr>
          <w:rFonts w:ascii="Arial" w:eastAsia="Calibri" w:hAnsi="Arial" w:cs="Arial"/>
          <w:sz w:val="22"/>
          <w:szCs w:val="22"/>
          <w:lang w:val="es-MX" w:eastAsia="en-US"/>
        </w:rPr>
        <w:t xml:space="preserve"> indicar que el envío de los reportes contenidos en el REDAM no es, en modo alguno, un asunto arbitrario o indiscriminado, puesto que resultaría incompatible con el principio de circulación restringida que subordina la administración de datos personales. Esto lleva a </w:t>
      </w:r>
      <w:r w:rsidR="00B24FA7">
        <w:rPr>
          <w:rFonts w:ascii="Arial" w:eastAsia="Calibri" w:hAnsi="Arial" w:cs="Arial"/>
          <w:sz w:val="22"/>
          <w:szCs w:val="22"/>
          <w:lang w:val="es-MX" w:eastAsia="en-US"/>
        </w:rPr>
        <w:t xml:space="preserve">colegir </w:t>
      </w:r>
      <w:r w:rsidR="007A6C76">
        <w:rPr>
          <w:rFonts w:ascii="Arial" w:eastAsia="Calibri" w:hAnsi="Arial" w:cs="Arial"/>
          <w:sz w:val="22"/>
          <w:szCs w:val="22"/>
          <w:lang w:val="es-MX" w:eastAsia="en-US"/>
        </w:rPr>
        <w:t xml:space="preserve">que </w:t>
      </w:r>
      <w:r w:rsidR="00B24FA7">
        <w:rPr>
          <w:rFonts w:ascii="Arial" w:eastAsia="Calibri" w:hAnsi="Arial" w:cs="Arial"/>
          <w:sz w:val="22"/>
          <w:szCs w:val="22"/>
          <w:lang w:val="es-MX" w:eastAsia="en-US"/>
        </w:rPr>
        <w:t xml:space="preserve">de </w:t>
      </w:r>
      <w:r w:rsidR="007A6C76">
        <w:rPr>
          <w:rFonts w:ascii="Arial" w:eastAsia="Calibri" w:hAnsi="Arial" w:cs="Arial"/>
          <w:sz w:val="22"/>
          <w:szCs w:val="22"/>
          <w:lang w:val="es-MX" w:eastAsia="en-US"/>
        </w:rPr>
        <w:t>una interpretación sistemática de los artículos 4 (Funciones del REDAM) y 6 (Consecuencias de la inscripción en el REDAM)</w:t>
      </w:r>
      <w:r w:rsidR="00B24FA7">
        <w:rPr>
          <w:rFonts w:ascii="Arial" w:eastAsia="Calibri" w:hAnsi="Arial" w:cs="Arial"/>
          <w:sz w:val="22"/>
          <w:szCs w:val="22"/>
          <w:lang w:val="es-MX" w:eastAsia="en-US"/>
        </w:rPr>
        <w:t xml:space="preserve"> se tiene que son válidas destinatarias de los reportes del REDAM: (i) las notarías, entidades bancarias y otras instituciones involucradas con la implementación de las consecuencias jurídicas del registro, como sucede, por ejemplo, con las cámaras de comercio que administran el registro mercantil y frente al cual se extienden dichas consecuencias a las personas jurídicas cuyo representante legal es un deudor moroso inscrito en el REDAM; </w:t>
      </w:r>
      <w:r w:rsidR="00B24FA7" w:rsidRPr="00B24FA7">
        <w:rPr>
          <w:rFonts w:ascii="Arial" w:eastAsia="Calibri" w:hAnsi="Arial" w:cs="Arial"/>
          <w:i/>
          <w:iCs/>
          <w:sz w:val="22"/>
          <w:szCs w:val="22"/>
          <w:lang w:val="es-MX" w:eastAsia="en-US"/>
        </w:rPr>
        <w:t>(</w:t>
      </w:r>
      <w:proofErr w:type="spellStart"/>
      <w:r w:rsidR="00B24FA7" w:rsidRPr="00B24FA7">
        <w:rPr>
          <w:rFonts w:ascii="Arial" w:eastAsia="Calibri" w:hAnsi="Arial" w:cs="Arial"/>
          <w:i/>
          <w:iCs/>
          <w:sz w:val="22"/>
          <w:szCs w:val="22"/>
          <w:lang w:val="es-MX" w:eastAsia="en-US"/>
        </w:rPr>
        <w:t>iii</w:t>
      </w:r>
      <w:proofErr w:type="spellEnd"/>
      <w:r w:rsidR="00B24FA7" w:rsidRPr="00B24FA7">
        <w:rPr>
          <w:rFonts w:ascii="Arial" w:eastAsia="Calibri" w:hAnsi="Arial" w:cs="Arial"/>
          <w:i/>
          <w:iCs/>
          <w:sz w:val="22"/>
          <w:szCs w:val="22"/>
          <w:lang w:val="es-MX" w:eastAsia="en-US"/>
        </w:rPr>
        <w:t>)</w:t>
      </w:r>
      <w:r w:rsidR="00B24FA7">
        <w:rPr>
          <w:rFonts w:ascii="Arial" w:eastAsia="Calibri" w:hAnsi="Arial" w:cs="Arial"/>
          <w:sz w:val="22"/>
          <w:szCs w:val="22"/>
          <w:lang w:val="es-MX" w:eastAsia="en-US"/>
        </w:rPr>
        <w:t xml:space="preserve"> las centrales de riesgo crediticio, en virtud de la regla especial prevista en el parágrafo 1º del artículo 6; y lógicamente, </w:t>
      </w:r>
      <w:r w:rsidR="00B24FA7" w:rsidRPr="00B24FA7">
        <w:rPr>
          <w:rFonts w:ascii="Arial" w:eastAsia="Calibri" w:hAnsi="Arial" w:cs="Arial"/>
          <w:i/>
          <w:iCs/>
          <w:sz w:val="22"/>
          <w:szCs w:val="22"/>
          <w:lang w:val="es-MX" w:eastAsia="en-US"/>
        </w:rPr>
        <w:t>(</w:t>
      </w:r>
      <w:proofErr w:type="spellStart"/>
      <w:r w:rsidR="00B24FA7" w:rsidRPr="00B24FA7">
        <w:rPr>
          <w:rFonts w:ascii="Arial" w:eastAsia="Calibri" w:hAnsi="Arial" w:cs="Arial"/>
          <w:i/>
          <w:iCs/>
          <w:sz w:val="22"/>
          <w:szCs w:val="22"/>
          <w:lang w:val="es-MX" w:eastAsia="en-US"/>
        </w:rPr>
        <w:t>iv</w:t>
      </w:r>
      <w:proofErr w:type="spellEnd"/>
      <w:r w:rsidR="00B24FA7" w:rsidRPr="00B24FA7">
        <w:rPr>
          <w:rFonts w:ascii="Arial" w:eastAsia="Calibri" w:hAnsi="Arial" w:cs="Arial"/>
          <w:i/>
          <w:iCs/>
          <w:sz w:val="22"/>
          <w:szCs w:val="22"/>
          <w:lang w:val="es-MX" w:eastAsia="en-US"/>
        </w:rPr>
        <w:t>)</w:t>
      </w:r>
      <w:r w:rsidR="00B24FA7">
        <w:rPr>
          <w:rFonts w:ascii="Arial" w:eastAsia="Calibri" w:hAnsi="Arial" w:cs="Arial"/>
          <w:sz w:val="22"/>
          <w:szCs w:val="22"/>
          <w:lang w:val="es-MX" w:eastAsia="en-US"/>
        </w:rPr>
        <w:t xml:space="preserve"> las autoridades administrativas involucradas en las diferentes consecuencias jurídicas de índole laboral, </w:t>
      </w:r>
      <w:r w:rsidR="00B24FA7" w:rsidRPr="00B24FA7">
        <w:rPr>
          <w:rFonts w:ascii="Arial" w:eastAsia="Calibri" w:hAnsi="Arial" w:cs="Arial"/>
          <w:i/>
          <w:iCs/>
          <w:sz w:val="22"/>
          <w:szCs w:val="22"/>
          <w:lang w:val="es-MX" w:eastAsia="en-US"/>
        </w:rPr>
        <w:t>contractual</w:t>
      </w:r>
      <w:r w:rsidR="00B24FA7">
        <w:rPr>
          <w:rFonts w:ascii="Arial" w:eastAsia="Calibri" w:hAnsi="Arial" w:cs="Arial"/>
          <w:sz w:val="22"/>
          <w:szCs w:val="22"/>
          <w:lang w:val="es-MX" w:eastAsia="en-US"/>
        </w:rPr>
        <w:t xml:space="preserve"> o migratoria.</w:t>
      </w:r>
    </w:p>
    <w:p w14:paraId="7C53FECF" w14:textId="77777777" w:rsidR="001A7B2F" w:rsidRDefault="00B24FA7" w:rsidP="007A6C76">
      <w:pPr>
        <w:spacing w:after="120"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t>Lo anterior</w:t>
      </w:r>
      <w:r w:rsidR="00BD61AD">
        <w:rPr>
          <w:rFonts w:ascii="Arial" w:eastAsia="Calibri" w:hAnsi="Arial" w:cs="Arial"/>
          <w:sz w:val="22"/>
          <w:szCs w:val="22"/>
          <w:lang w:val="es-MX" w:eastAsia="en-US"/>
        </w:rPr>
        <w:t xml:space="preserve">, </w:t>
      </w:r>
      <w:r>
        <w:rPr>
          <w:rFonts w:ascii="Arial" w:eastAsia="Calibri" w:hAnsi="Arial" w:cs="Arial"/>
          <w:sz w:val="22"/>
          <w:szCs w:val="22"/>
          <w:lang w:val="es-MX" w:eastAsia="en-US"/>
        </w:rPr>
        <w:t>se encuentra reforzado por lo estipulado en el artículo 2.2.23.3. del Decreto 1310 de 2022 qu</w:t>
      </w:r>
      <w:r w:rsidR="00BD61AD">
        <w:rPr>
          <w:rFonts w:ascii="Arial" w:eastAsia="Calibri" w:hAnsi="Arial" w:cs="Arial"/>
          <w:sz w:val="22"/>
          <w:szCs w:val="22"/>
          <w:lang w:val="es-MX" w:eastAsia="en-US"/>
        </w:rPr>
        <w:t>e define en el numeral 6 a los usuarios de la información exclusivamente como las personas naturales o jurídicas, públicas o privadas que estén vinculadas a la aplicación de las consecuencias de la inscripción en el REDAM descritas en el artículo 6º de la Ley 2097 de 2021, a quienes les asiste un interés legítimo para acceder a la información contenida en la inscripción en el REDAM, o bien a través del Modelo de Servicios Ciudadanos Digitales de la Política de Gobierno Digital expedida por el Ministerio de Tecnologías de la Información y las Comunicaciones o bien del acceso directamente ante las fuentes de la información, en los términos del artículo 2.2.23.8. del citado decreto reglamentario.</w:t>
      </w:r>
      <w:r w:rsidR="001A7B2F">
        <w:rPr>
          <w:rFonts w:ascii="Arial" w:eastAsia="Calibri" w:hAnsi="Arial" w:cs="Arial"/>
          <w:sz w:val="22"/>
          <w:szCs w:val="22"/>
          <w:lang w:val="es-MX" w:eastAsia="en-US"/>
        </w:rPr>
        <w:t xml:space="preserve"> </w:t>
      </w:r>
    </w:p>
    <w:p w14:paraId="558CA2BD" w14:textId="6297B318" w:rsidR="00B24FA7" w:rsidRDefault="001A7B2F" w:rsidP="007A6C76">
      <w:pPr>
        <w:spacing w:after="120"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En efecto, el dato particular sobre el incumplimiento de una obligación alimentaria es </w:t>
      </w:r>
      <w:r w:rsidRPr="001A7B2F">
        <w:rPr>
          <w:rFonts w:ascii="Arial" w:eastAsia="Calibri" w:hAnsi="Arial" w:cs="Arial"/>
          <w:i/>
          <w:iCs/>
          <w:sz w:val="22"/>
          <w:szCs w:val="22"/>
          <w:lang w:val="es-MX" w:eastAsia="en-US"/>
        </w:rPr>
        <w:t xml:space="preserve">semiprivado </w:t>
      </w:r>
      <w:r>
        <w:rPr>
          <w:rFonts w:ascii="Arial" w:eastAsia="Calibri" w:hAnsi="Arial" w:cs="Arial"/>
          <w:sz w:val="22"/>
          <w:szCs w:val="22"/>
          <w:lang w:val="es-MX" w:eastAsia="en-US"/>
        </w:rPr>
        <w:t>por estar vinculado con la intimidad de la familia. De ahí que la circulación de los reportes deba circunscribirse exclusivamente a aquellos sujetos involucrados con las consecuencias de la inscripción, sin que pueda permitirse su circulación de forma indiscriminada.</w:t>
      </w:r>
    </w:p>
    <w:p w14:paraId="1BBE9170" w14:textId="7876855F" w:rsidR="00BD61AD" w:rsidRPr="00BD61AD" w:rsidRDefault="00BD61AD" w:rsidP="007A6C76">
      <w:pPr>
        <w:spacing w:after="120"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t xml:space="preserve">De hecho, según el artículo 2.2.23.9. del Decreto 1310 de 2022, la información consignada en el REDAM habrá de ser suministrada gratuitamente a los usuarios de la información, quienes deberán consultarla de oficio para determinar la aplicación de las </w:t>
      </w:r>
      <w:proofErr w:type="gramStart"/>
      <w:r>
        <w:rPr>
          <w:rFonts w:ascii="Arial" w:eastAsia="Calibri" w:hAnsi="Arial" w:cs="Arial"/>
          <w:sz w:val="22"/>
          <w:szCs w:val="22"/>
          <w:lang w:val="es-MX" w:eastAsia="en-US"/>
        </w:rPr>
        <w:t>consecuencia establecidas</w:t>
      </w:r>
      <w:proofErr w:type="gramEnd"/>
      <w:r>
        <w:rPr>
          <w:rFonts w:ascii="Arial" w:eastAsia="Calibri" w:hAnsi="Arial" w:cs="Arial"/>
          <w:sz w:val="22"/>
          <w:szCs w:val="22"/>
          <w:lang w:val="es-MX" w:eastAsia="en-US"/>
        </w:rPr>
        <w:t xml:space="preserve"> en el artículo 6º de la Ley 2097 de 2021.</w:t>
      </w:r>
    </w:p>
    <w:p w14:paraId="24B929D6" w14:textId="56150518" w:rsidR="007A6C76" w:rsidRDefault="00BD61AD" w:rsidP="007A6C76">
      <w:pPr>
        <w:spacing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lastRenderedPageBreak/>
        <w:t>Recuérdese, en todo caso, que al amparo del artículo 2.2.23.11. del Decreto 1310 de 2022, los datos personales contenidos en el REDAM, salvo los datos públicos, no podrán estar disponibles en internet u otros medios de divulgación o comunicación masiva, a menos de que el acceso sea técnicamente controlable con sistemas de autenticación digital para brindar un conocimiento restringido solo a usuarios de la información.</w:t>
      </w:r>
    </w:p>
    <w:p w14:paraId="6F8C2F1D" w14:textId="35B140FB" w:rsidR="00A81261" w:rsidRDefault="00A81261" w:rsidP="007A6C76">
      <w:pPr>
        <w:spacing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Ahora bien, tomando en consideración</w:t>
      </w:r>
      <w:r w:rsidR="00DD2DB4">
        <w:rPr>
          <w:rFonts w:ascii="Arial" w:eastAsia="Calibri" w:hAnsi="Arial" w:cs="Arial"/>
          <w:sz w:val="22"/>
          <w:szCs w:val="22"/>
          <w:lang w:val="es-ES" w:eastAsia="en-US"/>
        </w:rPr>
        <w:t xml:space="preserve"> que la Ley 311 de 1996 “por la cual se crea el Registro Nacional de Protección Familiar y se dictan otras disposiciones” sigue estando vigente en el ordenamiento jurídico colombiano, particularmente su artículo 6º referido a la necesidad de declarar bajo la gravedad de juramento no tener conocimiento de procesos pendientes de carácter alimentario para quien tome posesión de un cargo como servidor público en todas las entidades del Estado o para laborar al servicio de cualquier persona o entidad de carácter privado, bien pueden seguirse exigiendo el diligenciamiento, suscripción y aporte de la respectiva declaración juramentada en la que se indique no contar con obligaciones de carácter alimentario a su cargo, pues ello no implica, como lo consideró la Corte Constitucional en su momento</w:t>
      </w:r>
      <w:r w:rsidR="00DD2DB4">
        <w:rPr>
          <w:rStyle w:val="Refdenotaalpie"/>
          <w:rFonts w:ascii="Arial" w:eastAsia="Calibri" w:hAnsi="Arial" w:cs="Arial"/>
          <w:sz w:val="22"/>
          <w:szCs w:val="22"/>
          <w:lang w:val="es-ES" w:eastAsia="en-US"/>
        </w:rPr>
        <w:footnoteReference w:id="38"/>
      </w:r>
      <w:r w:rsidR="00DD2DB4">
        <w:rPr>
          <w:rFonts w:ascii="Arial" w:eastAsia="Calibri" w:hAnsi="Arial" w:cs="Arial"/>
          <w:sz w:val="22"/>
          <w:szCs w:val="22"/>
          <w:lang w:val="es-ES" w:eastAsia="en-US"/>
        </w:rPr>
        <w:t xml:space="preserve">, una violación del derecho al trabajo al no impedir su </w:t>
      </w:r>
      <w:r w:rsidR="007159C1">
        <w:rPr>
          <w:rFonts w:ascii="Arial" w:eastAsia="Calibri" w:hAnsi="Arial" w:cs="Arial"/>
          <w:sz w:val="22"/>
          <w:szCs w:val="22"/>
          <w:lang w:val="es-ES" w:eastAsia="en-US"/>
        </w:rPr>
        <w:t xml:space="preserve">efectivo </w:t>
      </w:r>
      <w:r w:rsidR="00DD2DB4">
        <w:rPr>
          <w:rFonts w:ascii="Arial" w:eastAsia="Calibri" w:hAnsi="Arial" w:cs="Arial"/>
          <w:sz w:val="22"/>
          <w:szCs w:val="22"/>
          <w:lang w:val="es-ES" w:eastAsia="en-US"/>
        </w:rPr>
        <w:t xml:space="preserve">ejercicio ni </w:t>
      </w:r>
      <w:r w:rsidR="007159C1">
        <w:rPr>
          <w:rFonts w:ascii="Arial" w:eastAsia="Calibri" w:hAnsi="Arial" w:cs="Arial"/>
          <w:sz w:val="22"/>
          <w:szCs w:val="22"/>
          <w:lang w:val="es-ES" w:eastAsia="en-US"/>
        </w:rPr>
        <w:t>comportar el desconocimiento de la especial protección que la Carta Política brinda en la materia, sino apenas un requisito previo ligado a las obligaciones que el trabajador debe cumplir si las tiene a cargo, con el objeto de asegurar el ejercicio de los derechos de otras personas -quienes de él pueden reclamar alimentos- para realizar los fines propios del Estado Social de Derecho y la vigencia cierta del orden jurídico.</w:t>
      </w:r>
    </w:p>
    <w:p w14:paraId="07121226" w14:textId="37587613" w:rsidR="007159C1" w:rsidRDefault="007159C1" w:rsidP="007A6C76">
      <w:pPr>
        <w:spacing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 xml:space="preserve">Por otra parte, </w:t>
      </w:r>
      <w:r w:rsidR="00C65629">
        <w:rPr>
          <w:rFonts w:ascii="Arial" w:eastAsia="Calibri" w:hAnsi="Arial" w:cs="Arial"/>
          <w:sz w:val="22"/>
          <w:szCs w:val="22"/>
          <w:lang w:val="es-ES" w:eastAsia="en-US"/>
        </w:rPr>
        <w:t xml:space="preserve">a la luz de la normatividad expuesta a lo largo del presente concepto, </w:t>
      </w:r>
      <w:r w:rsidR="001147C3">
        <w:rPr>
          <w:rFonts w:ascii="Arial" w:eastAsia="Calibri" w:hAnsi="Arial" w:cs="Arial"/>
          <w:sz w:val="22"/>
          <w:szCs w:val="22"/>
          <w:lang w:val="es-ES" w:eastAsia="en-US"/>
        </w:rPr>
        <w:t>la finalidad del tratamiento de la información contenida en el REDAM será controlar el incumplimiento de las obligaciones alimentarias, de modo que solo podrá ser utilizada para constatar que los ciudadanos no tengan obligaciones en mora, so pena de las consecuencia</w:t>
      </w:r>
      <w:r w:rsidR="00F22094">
        <w:rPr>
          <w:rFonts w:ascii="Arial" w:eastAsia="Calibri" w:hAnsi="Arial" w:cs="Arial"/>
          <w:sz w:val="22"/>
          <w:szCs w:val="22"/>
          <w:lang w:val="es-ES" w:eastAsia="en-US"/>
        </w:rPr>
        <w:t>s</w:t>
      </w:r>
      <w:r w:rsidR="001147C3">
        <w:rPr>
          <w:rFonts w:ascii="Arial" w:eastAsia="Calibri" w:hAnsi="Arial" w:cs="Arial"/>
          <w:sz w:val="22"/>
          <w:szCs w:val="22"/>
          <w:lang w:val="es-ES" w:eastAsia="en-US"/>
        </w:rPr>
        <w:t xml:space="preserve"> contempladas en el artículo 6º de la Ley 2097 de 2021.</w:t>
      </w:r>
    </w:p>
    <w:p w14:paraId="1FC4BCDE" w14:textId="0A9C8D26" w:rsidR="001147C3" w:rsidRDefault="001147C3" w:rsidP="007A6C76">
      <w:pPr>
        <w:spacing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Visto lo anterior, esta Agencia considera que existen distintas alternativas que las entidades estatales pueden tener en cuenta para efectos de verificar si una determinada persona cumple</w:t>
      </w:r>
      <w:r w:rsidR="00B1302D">
        <w:rPr>
          <w:rFonts w:ascii="Arial" w:eastAsia="Calibri" w:hAnsi="Arial" w:cs="Arial"/>
          <w:sz w:val="22"/>
          <w:szCs w:val="22"/>
          <w:lang w:val="es-ES" w:eastAsia="en-US"/>
        </w:rPr>
        <w:t xml:space="preserve"> con sus obligaciones de carácter alimentario y si, en efecto, está en capacidad o no de contratar con el Estado. Su escogencia dependerá por completo de las especificidades de la vinculación y/o contratación en el caso concreto, sin perjuicio de rec</w:t>
      </w:r>
      <w:r w:rsidR="00627087">
        <w:rPr>
          <w:rFonts w:ascii="Arial" w:eastAsia="Calibri" w:hAnsi="Arial" w:cs="Arial"/>
          <w:sz w:val="22"/>
          <w:szCs w:val="22"/>
          <w:lang w:val="es-ES" w:eastAsia="en-US"/>
        </w:rPr>
        <w:t xml:space="preserve">alcar, como lo sostuvo la Corte Constitucional en la Sentencia C-032 de 2021, </w:t>
      </w:r>
      <w:r w:rsidR="00B1302D">
        <w:rPr>
          <w:rFonts w:ascii="Arial" w:eastAsia="Calibri" w:hAnsi="Arial" w:cs="Arial"/>
          <w:sz w:val="22"/>
          <w:szCs w:val="22"/>
          <w:lang w:val="es-ES" w:eastAsia="en-US"/>
        </w:rPr>
        <w:t xml:space="preserve">que si bien es aceptable que el incumplimiento de la obligación legal de pagar alimentos configura una causal de inhabilidad para el empleo público o para contratar con el Estado, esta opción no puede extenderse hasta imponer </w:t>
      </w:r>
      <w:r w:rsidR="00B1302D">
        <w:rPr>
          <w:rFonts w:ascii="Arial" w:eastAsia="Calibri" w:hAnsi="Arial" w:cs="Arial"/>
          <w:sz w:val="22"/>
          <w:szCs w:val="22"/>
          <w:lang w:val="es-ES" w:eastAsia="en-US"/>
        </w:rPr>
        <w:lastRenderedPageBreak/>
        <w:t>la terminación de los contratos estatales en ejecución, dado que esa circunstancia afectaría desproporcionadamente los principios de la función administrativa</w:t>
      </w:r>
      <w:r w:rsidR="00627087">
        <w:rPr>
          <w:rFonts w:ascii="Arial" w:eastAsia="Calibri" w:hAnsi="Arial" w:cs="Arial"/>
          <w:sz w:val="22"/>
          <w:szCs w:val="22"/>
          <w:lang w:val="es-ES" w:eastAsia="en-US"/>
        </w:rPr>
        <w:t>.</w:t>
      </w:r>
    </w:p>
    <w:p w14:paraId="494E8972" w14:textId="2AD93B31" w:rsidR="00EA7AD2" w:rsidRDefault="00EA7AD2" w:rsidP="007A6C76">
      <w:pPr>
        <w:spacing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Para resolver dudas sobre el alcance y aplicación de la Ley 2097 de 2021, se aconseja consultar la Guía denominada “El ABC del REDAM”</w:t>
      </w:r>
      <w:r w:rsidR="007F38B6">
        <w:rPr>
          <w:rStyle w:val="Refdenotaalpie"/>
          <w:rFonts w:ascii="Arial" w:eastAsia="Calibri" w:hAnsi="Arial" w:cs="Arial"/>
          <w:sz w:val="22"/>
          <w:szCs w:val="22"/>
          <w:lang w:val="es-ES" w:eastAsia="en-US"/>
        </w:rPr>
        <w:footnoteReference w:id="39"/>
      </w:r>
      <w:r>
        <w:rPr>
          <w:rFonts w:ascii="Arial" w:eastAsia="Calibri" w:hAnsi="Arial" w:cs="Arial"/>
          <w:sz w:val="22"/>
          <w:szCs w:val="22"/>
          <w:lang w:val="es-ES" w:eastAsia="en-US"/>
        </w:rPr>
        <w:t>, elaborada por la Agencia Nacional Digital</w:t>
      </w:r>
      <w:r w:rsidR="007F38B6">
        <w:rPr>
          <w:rFonts w:ascii="Arial" w:eastAsia="Calibri" w:hAnsi="Arial" w:cs="Arial"/>
          <w:sz w:val="22"/>
          <w:szCs w:val="22"/>
          <w:lang w:val="es-ES" w:eastAsia="en-US"/>
        </w:rPr>
        <w:t>, en donde se deja en claro que la implementación del registro se llevó a cabo en un término de seis (6) meses, contados a partir de la expedición del Decreto Reglamentario 1310 de 2020.</w:t>
      </w:r>
    </w:p>
    <w:p w14:paraId="047BD847" w14:textId="2D7550DE" w:rsidR="00B17718" w:rsidRPr="00B17718" w:rsidRDefault="00B17718" w:rsidP="00DC46D7">
      <w:pPr>
        <w:spacing w:after="120" w:line="276" w:lineRule="auto"/>
        <w:jc w:val="both"/>
        <w:rPr>
          <w:rFonts w:ascii="Arial" w:eastAsia="Calibri" w:hAnsi="Arial" w:cs="Arial"/>
          <w:bCs/>
          <w:sz w:val="22"/>
          <w:szCs w:val="22"/>
          <w:lang w:eastAsia="en-US"/>
        </w:rPr>
      </w:pPr>
      <w:r w:rsidRPr="00B17718">
        <w:rPr>
          <w:rFonts w:ascii="Arial" w:hAnsi="Arial" w:cs="Arial"/>
          <w:sz w:val="22"/>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E24DE1C" w14:textId="77777777" w:rsidR="00B17718" w:rsidRPr="00B17718" w:rsidRDefault="00B17718" w:rsidP="00B17718">
      <w:pPr>
        <w:spacing w:line="276" w:lineRule="auto"/>
        <w:contextualSpacing/>
        <w:jc w:val="both"/>
        <w:textAlignment w:val="baseline"/>
        <w:rPr>
          <w:rFonts w:ascii="Arial" w:hAnsi="Arial" w:cs="Arial"/>
          <w:sz w:val="22"/>
          <w:szCs w:val="22"/>
        </w:rPr>
      </w:pPr>
      <w:r w:rsidRPr="00B17718">
        <w:rPr>
          <w:rFonts w:ascii="Arial" w:hAnsi="Arial" w:cs="Arial"/>
          <w:sz w:val="22"/>
          <w:szCs w:val="22"/>
          <w:lang w:val="es-MX"/>
        </w:rPr>
        <w:t>Atentamente,</w:t>
      </w:r>
    </w:p>
    <w:p w14:paraId="07698DA2" w14:textId="625596E9" w:rsidR="00B17718" w:rsidRPr="00B17718" w:rsidRDefault="00595F75" w:rsidP="00B17718">
      <w:pPr>
        <w:spacing w:line="276" w:lineRule="auto"/>
        <w:jc w:val="center"/>
        <w:textAlignment w:val="baseline"/>
        <w:rPr>
          <w:rFonts w:ascii="Arial" w:hAnsi="Arial" w:cs="Arial"/>
        </w:rPr>
      </w:pPr>
      <w:r>
        <w:rPr>
          <w:noProof/>
        </w:rPr>
        <w:drawing>
          <wp:inline distT="0" distB="0" distL="0" distR="0" wp14:anchorId="088B6255" wp14:editId="664809C1">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5"/>
                    <a:stretch>
                      <a:fillRect/>
                    </a:stretch>
                  </pic:blipFill>
                  <pic:spPr>
                    <a:xfrm>
                      <a:off x="0" y="0"/>
                      <a:ext cx="2785707" cy="1068836"/>
                    </a:xfrm>
                    <a:prstGeom prst="rect">
                      <a:avLst/>
                    </a:prstGeom>
                  </pic:spPr>
                </pic:pic>
              </a:graphicData>
            </a:graphic>
          </wp:inline>
        </w:drawing>
      </w:r>
    </w:p>
    <w:p w14:paraId="776B2F8A" w14:textId="77777777" w:rsidR="00B17718" w:rsidRPr="00B17718" w:rsidRDefault="00B17718" w:rsidP="00B17718">
      <w:pPr>
        <w:spacing w:line="276" w:lineRule="auto"/>
        <w:jc w:val="both"/>
        <w:textAlignment w:val="baseline"/>
        <w:rPr>
          <w:rFonts w:ascii="Arial" w:hAnsi="Arial" w:cs="Arial"/>
        </w:rPr>
      </w:pPr>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5107"/>
      </w:tblGrid>
      <w:tr w:rsidR="00B17718" w:rsidRPr="00B17718" w14:paraId="1D68BB3D" w14:textId="77777777" w:rsidTr="00DC46D7">
        <w:trPr>
          <w:trHeight w:val="315"/>
        </w:trPr>
        <w:tc>
          <w:tcPr>
            <w:tcW w:w="709" w:type="dxa"/>
            <w:tcBorders>
              <w:top w:val="nil"/>
              <w:left w:val="nil"/>
              <w:bottom w:val="nil"/>
              <w:right w:val="nil"/>
            </w:tcBorders>
            <w:shd w:val="clear" w:color="auto" w:fill="auto"/>
            <w:vAlign w:val="center"/>
            <w:hideMark/>
          </w:tcPr>
          <w:p w14:paraId="660BC5B7"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Elaboró:</w:t>
            </w:r>
          </w:p>
        </w:tc>
        <w:tc>
          <w:tcPr>
            <w:tcW w:w="5107" w:type="dxa"/>
            <w:tcBorders>
              <w:top w:val="nil"/>
              <w:left w:val="nil"/>
              <w:bottom w:val="dotted" w:sz="6" w:space="0" w:color="7F7F7F"/>
              <w:right w:val="nil"/>
            </w:tcBorders>
            <w:shd w:val="clear" w:color="auto" w:fill="auto"/>
            <w:vAlign w:val="center"/>
            <w:hideMark/>
          </w:tcPr>
          <w:p w14:paraId="6CACFA62"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Diego Andrés Zambrano Pérez</w:t>
            </w:r>
          </w:p>
          <w:p w14:paraId="430E79F0"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Contratista de la Subdirección de Gestión Contractual</w:t>
            </w:r>
          </w:p>
        </w:tc>
      </w:tr>
      <w:tr w:rsidR="00B17718" w:rsidRPr="00B17718" w14:paraId="7C71A646" w14:textId="77777777" w:rsidTr="00DC46D7">
        <w:trPr>
          <w:trHeight w:val="315"/>
        </w:trPr>
        <w:tc>
          <w:tcPr>
            <w:tcW w:w="709" w:type="dxa"/>
            <w:tcBorders>
              <w:top w:val="nil"/>
              <w:left w:val="nil"/>
              <w:bottom w:val="nil"/>
              <w:right w:val="nil"/>
            </w:tcBorders>
            <w:shd w:val="clear" w:color="auto" w:fill="auto"/>
            <w:vAlign w:val="center"/>
            <w:hideMark/>
          </w:tcPr>
          <w:p w14:paraId="55E3DED6"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Revisó:</w:t>
            </w:r>
          </w:p>
        </w:tc>
        <w:tc>
          <w:tcPr>
            <w:tcW w:w="5107" w:type="dxa"/>
            <w:tcBorders>
              <w:top w:val="dotted" w:sz="6" w:space="0" w:color="7F7F7F"/>
              <w:left w:val="nil"/>
              <w:bottom w:val="dotted" w:sz="6" w:space="0" w:color="7F7F7F"/>
              <w:right w:val="nil"/>
            </w:tcBorders>
            <w:shd w:val="clear" w:color="auto" w:fill="auto"/>
            <w:vAlign w:val="center"/>
            <w:hideMark/>
          </w:tcPr>
          <w:p w14:paraId="21E8A31E"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Alejandro Raúl Sarmiento Cantillo</w:t>
            </w:r>
          </w:p>
          <w:p w14:paraId="74C67489"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Gestor T1-15 de la Subdirección de Gestión Contractual</w:t>
            </w:r>
          </w:p>
        </w:tc>
      </w:tr>
      <w:tr w:rsidR="00B17718" w:rsidRPr="00B17718" w14:paraId="42C5AE08" w14:textId="77777777" w:rsidTr="00DC46D7">
        <w:trPr>
          <w:trHeight w:val="300"/>
        </w:trPr>
        <w:tc>
          <w:tcPr>
            <w:tcW w:w="709" w:type="dxa"/>
            <w:tcBorders>
              <w:top w:val="nil"/>
              <w:left w:val="nil"/>
              <w:bottom w:val="nil"/>
              <w:right w:val="nil"/>
            </w:tcBorders>
            <w:shd w:val="clear" w:color="auto" w:fill="auto"/>
            <w:vAlign w:val="center"/>
            <w:hideMark/>
          </w:tcPr>
          <w:p w14:paraId="2F04CB09"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Aprobó:</w:t>
            </w:r>
          </w:p>
        </w:tc>
        <w:tc>
          <w:tcPr>
            <w:tcW w:w="5107" w:type="dxa"/>
            <w:tcBorders>
              <w:top w:val="dotted" w:sz="6" w:space="0" w:color="7F7F7F"/>
              <w:left w:val="nil"/>
              <w:bottom w:val="dotted" w:sz="6" w:space="0" w:color="7F7F7F"/>
              <w:right w:val="nil"/>
            </w:tcBorders>
            <w:shd w:val="clear" w:color="auto" w:fill="auto"/>
            <w:vAlign w:val="center"/>
            <w:hideMark/>
          </w:tcPr>
          <w:p w14:paraId="65EDD8A2"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Nohelia del Carmen Zawady Palacio</w:t>
            </w:r>
          </w:p>
          <w:p w14:paraId="709C99D0" w14:textId="77777777" w:rsidR="00B17718" w:rsidRPr="00B17718" w:rsidRDefault="00B17718" w:rsidP="00B17718">
            <w:pPr>
              <w:textAlignment w:val="baseline"/>
              <w:rPr>
                <w:rFonts w:ascii="Arial" w:hAnsi="Arial" w:cs="Arial"/>
                <w:sz w:val="16"/>
                <w:szCs w:val="16"/>
                <w:lang w:val="es-MX"/>
              </w:rPr>
            </w:pPr>
            <w:r w:rsidRPr="00B17718">
              <w:rPr>
                <w:rFonts w:ascii="Arial" w:hAnsi="Arial" w:cs="Arial"/>
                <w:sz w:val="16"/>
                <w:szCs w:val="16"/>
                <w:lang w:val="es-MX"/>
              </w:rPr>
              <w:t>Subdirectora de Gestión Contractual</w:t>
            </w:r>
          </w:p>
        </w:tc>
      </w:tr>
    </w:tbl>
    <w:p w14:paraId="6ED3C6EA" w14:textId="77777777" w:rsidR="0081665D" w:rsidRPr="003A3B99" w:rsidRDefault="0081665D" w:rsidP="00B17718">
      <w:pPr>
        <w:jc w:val="both"/>
        <w:rPr>
          <w:rFonts w:ascii="Arial" w:hAnsi="Arial" w:cs="Arial"/>
          <w:sz w:val="22"/>
          <w:u w:val="single"/>
        </w:rPr>
      </w:pPr>
    </w:p>
    <w:sectPr w:rsidR="0081665D" w:rsidRPr="003A3B99" w:rsidSect="00F76AFC">
      <w:headerReference w:type="default" r:id="rId16"/>
      <w:footerReference w:type="default" r:id="rId17"/>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68E2D" w14:textId="77777777" w:rsidR="00C06CE7" w:rsidRDefault="00C06CE7" w:rsidP="004A1847">
      <w:r>
        <w:separator/>
      </w:r>
    </w:p>
  </w:endnote>
  <w:endnote w:type="continuationSeparator" w:id="0">
    <w:p w14:paraId="78AF7075" w14:textId="77777777" w:rsidR="00C06CE7" w:rsidRDefault="00C06CE7"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3333" w14:textId="77777777" w:rsidR="003F32E9" w:rsidRPr="00DC46D7" w:rsidRDefault="003F32E9" w:rsidP="003F32E9">
    <w:pPr>
      <w:pStyle w:val="Piedepgina"/>
      <w:rPr>
        <w:rFonts w:ascii="Arial" w:hAnsi="Arial" w:cs="Arial"/>
      </w:rPr>
    </w:pPr>
    <w:r w:rsidRPr="00DC46D7">
      <w:rPr>
        <w:rFonts w:ascii="Arial" w:hAnsi="Arial" w:cs="Arial"/>
        <w:noProof/>
        <w:lang w:val="en-US"/>
      </w:rPr>
      <w:drawing>
        <wp:inline distT="0" distB="0" distL="0" distR="0" wp14:anchorId="7637449B" wp14:editId="414FD303">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3F32E9" w:rsidRPr="003F32E9" w14:paraId="6AB101F1" w14:textId="77777777" w:rsidTr="00665991">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5FCCFF2" w14:textId="77777777" w:rsidR="003F32E9" w:rsidRPr="00DC46D7" w:rsidRDefault="003F32E9" w:rsidP="003F32E9">
          <w:pPr>
            <w:pStyle w:val="Piedepgina"/>
            <w:jc w:val="center"/>
            <w:rPr>
              <w:rFonts w:ascii="Arial" w:hAnsi="Arial" w:cs="Arial"/>
              <w:sz w:val="14"/>
              <w:szCs w:val="14"/>
            </w:rPr>
          </w:pPr>
          <w:r w:rsidRPr="00DC46D7">
            <w:rPr>
              <w:rFonts w:ascii="Arial" w:hAnsi="Arial" w:cs="Arial"/>
              <w:sz w:val="14"/>
              <w:szCs w:val="14"/>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EC23508" w14:textId="77777777" w:rsidR="003F32E9" w:rsidRPr="00DC46D7" w:rsidRDefault="003F32E9" w:rsidP="003F32E9">
          <w:pPr>
            <w:pStyle w:val="Piedepgina"/>
            <w:jc w:val="center"/>
            <w:rPr>
              <w:rFonts w:ascii="Arial" w:hAnsi="Arial" w:cs="Arial"/>
              <w:sz w:val="14"/>
              <w:szCs w:val="14"/>
            </w:rPr>
          </w:pPr>
          <w:r w:rsidRPr="00DC46D7">
            <w:rPr>
              <w:rFonts w:ascii="Arial" w:hAnsi="Arial" w:cs="Arial"/>
              <w:sz w:val="14"/>
              <w:szCs w:val="14"/>
            </w:rPr>
            <w:t>01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B793DA3" w14:textId="77777777" w:rsidR="003F32E9" w:rsidRPr="00DC46D7" w:rsidRDefault="003F32E9" w:rsidP="003F32E9">
          <w:pPr>
            <w:pStyle w:val="Piedepgina"/>
            <w:jc w:val="center"/>
            <w:rPr>
              <w:rFonts w:ascii="Arial" w:hAnsi="Arial" w:cs="Arial"/>
              <w:sz w:val="14"/>
              <w:szCs w:val="14"/>
            </w:rPr>
          </w:pPr>
          <w:r w:rsidRPr="00DC46D7">
            <w:rPr>
              <w:rFonts w:ascii="Arial" w:hAnsi="Arial" w:cs="Arial"/>
              <w:sz w:val="14"/>
              <w:szCs w:val="14"/>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153E65DE" w14:textId="77777777" w:rsidR="003F32E9" w:rsidRPr="00DC46D7" w:rsidRDefault="003F32E9" w:rsidP="003F32E9">
          <w:pPr>
            <w:pBdr>
              <w:top w:val="nil"/>
              <w:left w:val="nil"/>
              <w:bottom w:val="nil"/>
              <w:right w:val="nil"/>
              <w:between w:val="nil"/>
            </w:pBdr>
            <w:tabs>
              <w:tab w:val="center" w:pos="4419"/>
              <w:tab w:val="right" w:pos="8838"/>
              <w:tab w:val="center" w:pos="5400"/>
            </w:tabs>
            <w:jc w:val="center"/>
            <w:rPr>
              <w:rFonts w:ascii="Arial" w:eastAsia="Geo" w:hAnsi="Arial" w:cs="Arial"/>
              <w:b/>
              <w:color w:val="002060"/>
              <w:sz w:val="14"/>
              <w:szCs w:val="14"/>
            </w:rPr>
          </w:pPr>
          <w:r w:rsidRPr="00DC46D7">
            <w:rPr>
              <w:rFonts w:ascii="Arial" w:eastAsia="Geo" w:hAnsi="Arial" w:cs="Arial"/>
              <w:b/>
              <w:color w:val="000000"/>
              <w:sz w:val="14"/>
              <w:szCs w:val="14"/>
            </w:rPr>
            <w:t>CCE-PQRSD-FM-08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5D6AC59" w14:textId="77777777" w:rsidR="003F32E9" w:rsidRPr="00DC46D7" w:rsidRDefault="003F32E9" w:rsidP="003F32E9">
          <w:pPr>
            <w:pStyle w:val="Piedepgina"/>
            <w:jc w:val="center"/>
            <w:rPr>
              <w:rFonts w:ascii="Arial" w:hAnsi="Arial" w:cs="Arial"/>
              <w:sz w:val="14"/>
              <w:szCs w:val="14"/>
            </w:rPr>
          </w:pPr>
          <w:r w:rsidRPr="00DC46D7">
            <w:rPr>
              <w:rFonts w:ascii="Arial" w:hAnsi="Arial" w:cs="Arial"/>
              <w:sz w:val="14"/>
              <w:szCs w:val="14"/>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79E9CBC" w14:textId="77777777" w:rsidR="003F32E9" w:rsidRPr="00DC46D7" w:rsidRDefault="003F32E9" w:rsidP="003F32E9">
          <w:pPr>
            <w:pStyle w:val="Piedepgina"/>
            <w:jc w:val="center"/>
            <w:rPr>
              <w:rFonts w:ascii="Arial" w:hAnsi="Arial" w:cs="Arial"/>
              <w:sz w:val="14"/>
              <w:szCs w:val="14"/>
            </w:rPr>
          </w:pPr>
          <w:r w:rsidRPr="00DC46D7">
            <w:rPr>
              <w:rFonts w:ascii="Arial" w:hAnsi="Arial" w:cs="Arial"/>
              <w:sz w:val="14"/>
              <w:szCs w:val="14"/>
            </w:rPr>
            <w:t>30 de agosto de 2022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EFC04C" w14:textId="77777777" w:rsidR="003F32E9" w:rsidRPr="00DC46D7" w:rsidRDefault="003F32E9" w:rsidP="003F32E9">
          <w:pPr>
            <w:pStyle w:val="Piedepgina"/>
            <w:jc w:val="center"/>
            <w:rPr>
              <w:rFonts w:ascii="Arial" w:hAnsi="Arial" w:cs="Arial"/>
              <w:sz w:val="14"/>
              <w:szCs w:val="14"/>
            </w:rPr>
          </w:pPr>
          <w:r w:rsidRPr="00DC46D7">
            <w:rPr>
              <w:rFonts w:ascii="Arial" w:hAnsi="Arial" w:cs="Arial"/>
              <w:sz w:val="14"/>
              <w:szCs w:val="14"/>
            </w:rPr>
            <w:t xml:space="preserve">Página </w:t>
          </w:r>
          <w:r w:rsidRPr="00DC46D7">
            <w:rPr>
              <w:rFonts w:ascii="Arial" w:hAnsi="Arial" w:cs="Arial"/>
              <w:b/>
              <w:bCs/>
              <w:sz w:val="14"/>
              <w:szCs w:val="14"/>
            </w:rPr>
            <w:fldChar w:fldCharType="begin"/>
          </w:r>
          <w:r w:rsidRPr="00DC46D7">
            <w:rPr>
              <w:rFonts w:ascii="Arial" w:hAnsi="Arial" w:cs="Arial"/>
              <w:b/>
              <w:bCs/>
              <w:sz w:val="14"/>
              <w:szCs w:val="14"/>
            </w:rPr>
            <w:instrText>PAGE  \* Arabic  \* MERGEFORMAT</w:instrText>
          </w:r>
          <w:r w:rsidRPr="00DC46D7">
            <w:rPr>
              <w:rFonts w:ascii="Arial" w:hAnsi="Arial" w:cs="Arial"/>
              <w:b/>
              <w:bCs/>
              <w:sz w:val="14"/>
              <w:szCs w:val="14"/>
            </w:rPr>
            <w:fldChar w:fldCharType="separate"/>
          </w:r>
          <w:r w:rsidRPr="00DC46D7">
            <w:rPr>
              <w:rFonts w:ascii="Arial" w:hAnsi="Arial" w:cs="Arial"/>
              <w:b/>
              <w:bCs/>
              <w:sz w:val="14"/>
              <w:szCs w:val="14"/>
            </w:rPr>
            <w:t>6</w:t>
          </w:r>
          <w:r w:rsidRPr="00DC46D7">
            <w:rPr>
              <w:rFonts w:ascii="Arial" w:hAnsi="Arial" w:cs="Arial"/>
              <w:b/>
              <w:bCs/>
              <w:sz w:val="14"/>
              <w:szCs w:val="14"/>
            </w:rPr>
            <w:fldChar w:fldCharType="end"/>
          </w:r>
          <w:r w:rsidRPr="00DC46D7">
            <w:rPr>
              <w:rFonts w:ascii="Arial" w:hAnsi="Arial" w:cs="Arial"/>
              <w:sz w:val="14"/>
              <w:szCs w:val="14"/>
            </w:rPr>
            <w:t xml:space="preserve"> de </w:t>
          </w:r>
          <w:r w:rsidRPr="00DC46D7">
            <w:rPr>
              <w:rFonts w:ascii="Arial" w:hAnsi="Arial" w:cs="Arial"/>
              <w:b/>
              <w:bCs/>
              <w:sz w:val="14"/>
              <w:szCs w:val="14"/>
            </w:rPr>
            <w:fldChar w:fldCharType="begin"/>
          </w:r>
          <w:r w:rsidRPr="00DC46D7">
            <w:rPr>
              <w:rFonts w:ascii="Arial" w:hAnsi="Arial" w:cs="Arial"/>
              <w:b/>
              <w:bCs/>
              <w:sz w:val="14"/>
              <w:szCs w:val="14"/>
            </w:rPr>
            <w:instrText>NUMPAGES  \* Arabic  \* MERGEFORMAT</w:instrText>
          </w:r>
          <w:r w:rsidRPr="00DC46D7">
            <w:rPr>
              <w:rFonts w:ascii="Arial" w:hAnsi="Arial" w:cs="Arial"/>
              <w:b/>
              <w:bCs/>
              <w:sz w:val="14"/>
              <w:szCs w:val="14"/>
            </w:rPr>
            <w:fldChar w:fldCharType="separate"/>
          </w:r>
          <w:r w:rsidRPr="00DC46D7">
            <w:rPr>
              <w:rFonts w:ascii="Arial" w:hAnsi="Arial" w:cs="Arial"/>
              <w:b/>
              <w:bCs/>
              <w:sz w:val="14"/>
              <w:szCs w:val="14"/>
            </w:rPr>
            <w:t>10</w:t>
          </w:r>
          <w:r w:rsidRPr="00DC46D7">
            <w:rPr>
              <w:rFonts w:ascii="Arial" w:hAnsi="Arial" w:cs="Arial"/>
              <w:b/>
              <w:bCs/>
              <w:sz w:val="14"/>
              <w:szCs w:val="14"/>
            </w:rPr>
            <w:fldChar w:fldCharType="end"/>
          </w:r>
        </w:p>
      </w:tc>
    </w:tr>
  </w:tbl>
  <w:p w14:paraId="23A46EB1" w14:textId="77777777" w:rsidR="003F32E9" w:rsidRPr="00DC46D7" w:rsidRDefault="003F32E9" w:rsidP="003F32E9">
    <w:pPr>
      <w:pStyle w:val="Piedepgina"/>
      <w:spacing w:line="120" w:lineRule="auto"/>
      <w:rPr>
        <w:rFonts w:ascii="Arial" w:hAnsi="Arial" w:cs="Arial"/>
        <w:lang w:val="es-ES"/>
      </w:rPr>
    </w:pPr>
  </w:p>
  <w:p w14:paraId="744661F5" w14:textId="77777777" w:rsidR="006219F8" w:rsidRPr="00DC46D7" w:rsidRDefault="006219F8">
    <w:pPr>
      <w:pStyle w:val="Piedepgina"/>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6AD51" w14:textId="77777777" w:rsidR="00C06CE7" w:rsidRDefault="00C06CE7" w:rsidP="004A1847">
      <w:r>
        <w:separator/>
      </w:r>
    </w:p>
  </w:footnote>
  <w:footnote w:type="continuationSeparator" w:id="0">
    <w:p w14:paraId="2F3DBE4F" w14:textId="77777777" w:rsidR="00C06CE7" w:rsidRDefault="00C06CE7" w:rsidP="004A1847">
      <w:r>
        <w:continuationSeparator/>
      </w:r>
    </w:p>
  </w:footnote>
  <w:footnote w:id="1">
    <w:p w14:paraId="69EF36A0" w14:textId="77777777" w:rsidR="00B17718" w:rsidRDefault="00B17718" w:rsidP="00B17718">
      <w:pPr>
        <w:pStyle w:val="Textonotapie"/>
        <w:ind w:firstLine="708"/>
        <w:jc w:val="both"/>
        <w:rPr>
          <w:rFonts w:ascii="Arial" w:hAnsi="Arial" w:cs="Arial"/>
          <w:sz w:val="18"/>
          <w:szCs w:val="18"/>
        </w:rPr>
      </w:pPr>
      <w:r w:rsidRPr="005A5FB5">
        <w:rPr>
          <w:rStyle w:val="Refdenotaalpie"/>
          <w:rFonts w:ascii="Arial" w:eastAsiaTheme="majorEastAsia" w:hAnsi="Arial" w:cs="Arial"/>
          <w:sz w:val="18"/>
          <w:szCs w:val="18"/>
        </w:rPr>
        <w:footnoteRef/>
      </w:r>
      <w:r w:rsidRPr="005A5FB5">
        <w:rPr>
          <w:rFonts w:ascii="Arial" w:hAnsi="Arial" w:cs="Arial"/>
          <w:sz w:val="18"/>
          <w:szCs w:val="18"/>
        </w:rPr>
        <w:t xml:space="preserve"> La Agencia Nacional de Contratación Pública -Colombia Compra Eficiente- fue creada por el Decreto-Ley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sidRPr="005A5FB5">
        <w:rPr>
          <w:rFonts w:ascii="Arial" w:hAnsi="Arial" w:cs="Arial"/>
          <w:i/>
          <w:iCs/>
          <w:sz w:val="18"/>
          <w:szCs w:val="18"/>
        </w:rPr>
        <w:t xml:space="preserve">ibidem </w:t>
      </w:r>
      <w:r w:rsidRPr="005A5FB5">
        <w:rPr>
          <w:rFonts w:ascii="Arial" w:hAnsi="Arial" w:cs="Arial"/>
          <w:sz w:val="18"/>
          <w:szCs w:val="18"/>
        </w:rPr>
        <w:t xml:space="preserve">señala, de manera precisa, las funciones de la entidad. Concretamente, el numeral 5º del citado artículo establece que le corresponde a esta entidad: </w:t>
      </w:r>
      <w:r w:rsidRPr="005A5FB5">
        <w:rPr>
          <w:rFonts w:ascii="Arial" w:hAnsi="Arial" w:cs="Arial"/>
          <w:i/>
          <w:iCs/>
          <w:sz w:val="18"/>
          <w:szCs w:val="18"/>
        </w:rPr>
        <w:t>“[a]</w:t>
      </w:r>
      <w:proofErr w:type="spellStart"/>
      <w:r w:rsidRPr="005A5FB5">
        <w:rPr>
          <w:rFonts w:ascii="Arial" w:hAnsi="Arial" w:cs="Arial"/>
          <w:i/>
          <w:iCs/>
          <w:sz w:val="18"/>
          <w:szCs w:val="18"/>
        </w:rPr>
        <w:t>bsolver</w:t>
      </w:r>
      <w:proofErr w:type="spellEnd"/>
      <w:r w:rsidRPr="005A5FB5">
        <w:rPr>
          <w:rFonts w:ascii="Arial" w:hAnsi="Arial" w:cs="Arial"/>
          <w:i/>
          <w:iCs/>
          <w:sz w:val="18"/>
          <w:szCs w:val="18"/>
        </w:rPr>
        <w:t xml:space="preserve"> consultas sobre la aplicación de normas de carácter general y expedir circulares externas en materia de compras y contratación pública”</w:t>
      </w:r>
      <w:r w:rsidRPr="005A5FB5">
        <w:rPr>
          <w:rFonts w:ascii="Arial" w:hAnsi="Arial" w:cs="Arial"/>
          <w:sz w:val="18"/>
          <w:szCs w:val="18"/>
        </w:rPr>
        <w:t xml:space="preserve">. A su turno, el numeral 8º del artículo 11 </w:t>
      </w:r>
      <w:r w:rsidRPr="005A5FB5">
        <w:rPr>
          <w:rFonts w:ascii="Arial" w:hAnsi="Arial" w:cs="Arial"/>
          <w:i/>
          <w:iCs/>
          <w:sz w:val="18"/>
          <w:szCs w:val="18"/>
        </w:rPr>
        <w:t>ibidem</w:t>
      </w:r>
      <w:r w:rsidRPr="005A5FB5">
        <w:rPr>
          <w:rFonts w:ascii="Arial" w:hAnsi="Arial" w:cs="Arial"/>
          <w:sz w:val="18"/>
          <w:szCs w:val="18"/>
        </w:rPr>
        <w:t xml:space="preserve"> indica que es función de la Subdirección de Gestión Contractual: </w:t>
      </w:r>
      <w:r w:rsidRPr="005A5FB5">
        <w:rPr>
          <w:rFonts w:ascii="Arial" w:hAnsi="Arial" w:cs="Arial"/>
          <w:i/>
          <w:iCs/>
          <w:sz w:val="18"/>
          <w:szCs w:val="18"/>
        </w:rPr>
        <w:t>“[a]</w:t>
      </w:r>
      <w:proofErr w:type="spellStart"/>
      <w:r w:rsidRPr="005A5FB5">
        <w:rPr>
          <w:rFonts w:ascii="Arial" w:hAnsi="Arial" w:cs="Arial"/>
          <w:i/>
          <w:iCs/>
          <w:sz w:val="18"/>
          <w:szCs w:val="18"/>
        </w:rPr>
        <w:t>bsolver</w:t>
      </w:r>
      <w:proofErr w:type="spellEnd"/>
      <w:r w:rsidRPr="005A5FB5">
        <w:rPr>
          <w:rFonts w:ascii="Arial" w:hAnsi="Arial" w:cs="Arial"/>
          <w:i/>
          <w:iCs/>
          <w:sz w:val="18"/>
          <w:szCs w:val="18"/>
        </w:rPr>
        <w:t xml:space="preserve"> consultas sobre la aplicación de normas de carácter general”</w:t>
      </w:r>
      <w:r w:rsidRPr="005A5FB5">
        <w:rPr>
          <w:rFonts w:ascii="Arial" w:hAnsi="Arial" w:cs="Arial"/>
          <w:sz w:val="18"/>
          <w:szCs w:val="18"/>
        </w:rPr>
        <w:t>.</w:t>
      </w:r>
    </w:p>
    <w:p w14:paraId="7FF37001" w14:textId="77777777" w:rsidR="005A5FB5" w:rsidRPr="005A5FB5" w:rsidRDefault="005A5FB5" w:rsidP="00B17718">
      <w:pPr>
        <w:pStyle w:val="Textonotapie"/>
        <w:ind w:firstLine="708"/>
        <w:jc w:val="both"/>
        <w:rPr>
          <w:rFonts w:ascii="Arial" w:hAnsi="Arial" w:cs="Arial"/>
          <w:sz w:val="18"/>
          <w:szCs w:val="18"/>
          <w:lang w:val="es-ES"/>
        </w:rPr>
      </w:pPr>
    </w:p>
  </w:footnote>
  <w:footnote w:id="2">
    <w:p w14:paraId="4EA5CB5A" w14:textId="6182F2D8" w:rsidR="002C4E97" w:rsidRPr="005A5FB5" w:rsidRDefault="002C4E97" w:rsidP="002C4E97">
      <w:pPr>
        <w:pStyle w:val="Textonotapie"/>
        <w:ind w:firstLine="708"/>
        <w:jc w:val="both"/>
        <w:rPr>
          <w:rStyle w:val="Hipervnculo"/>
          <w:rFonts w:ascii="Arial" w:hAnsi="Arial" w:cs="Arial"/>
          <w:sz w:val="18"/>
          <w:szCs w:val="18"/>
        </w:rPr>
      </w:pPr>
      <w:r w:rsidRPr="005A5FB5">
        <w:rPr>
          <w:rStyle w:val="Refdenotaalpie"/>
          <w:rFonts w:ascii="Arial" w:hAnsi="Arial" w:cs="Arial"/>
          <w:sz w:val="18"/>
          <w:szCs w:val="18"/>
        </w:rPr>
        <w:footnoteRef/>
      </w:r>
      <w:r w:rsidRPr="005A5FB5">
        <w:rPr>
          <w:rFonts w:ascii="Arial" w:hAnsi="Arial" w:cs="Arial"/>
          <w:sz w:val="18"/>
          <w:szCs w:val="18"/>
        </w:rPr>
        <w:t xml:space="preserve"> El referido concepto se encuentra disponible para consulta pública en el portal de relatoría de la Agencia Nacional de Contratación Pública, en el siguiente enlace: </w:t>
      </w:r>
      <w:hyperlink r:id="rId1" w:history="1">
        <w:r w:rsidRPr="005A5FB5">
          <w:rPr>
            <w:rStyle w:val="Hipervnculo"/>
            <w:rFonts w:ascii="Arial" w:hAnsi="Arial" w:cs="Arial"/>
            <w:sz w:val="18"/>
            <w:szCs w:val="18"/>
          </w:rPr>
          <w:t>https://relatoria.colombiacompra.gov.co/busqueda/conceptos</w:t>
        </w:r>
      </w:hyperlink>
    </w:p>
    <w:p w14:paraId="30C3140B" w14:textId="77777777" w:rsidR="002F3389" w:rsidRPr="005A5FB5" w:rsidRDefault="002F3389" w:rsidP="002C4E97">
      <w:pPr>
        <w:pStyle w:val="Textonotapie"/>
        <w:ind w:firstLine="708"/>
        <w:jc w:val="both"/>
        <w:rPr>
          <w:rFonts w:ascii="Arial" w:hAnsi="Arial" w:cs="Arial"/>
          <w:sz w:val="18"/>
          <w:szCs w:val="18"/>
        </w:rPr>
      </w:pPr>
    </w:p>
  </w:footnote>
  <w:footnote w:id="3">
    <w:p w14:paraId="197EE1AF" w14:textId="36E8BF92" w:rsidR="006E71C0" w:rsidRDefault="006E71C0" w:rsidP="006E71C0">
      <w:pPr>
        <w:pStyle w:val="Textonotapie"/>
        <w:ind w:firstLine="709"/>
        <w:jc w:val="both"/>
        <w:rPr>
          <w:rFonts w:ascii="Arial" w:hAnsi="Arial" w:cs="Arial"/>
          <w:sz w:val="18"/>
          <w:szCs w:val="18"/>
          <w:lang w:val="pt-BR"/>
        </w:rPr>
      </w:pPr>
      <w:r w:rsidRPr="005A5FB5">
        <w:rPr>
          <w:rStyle w:val="Refdenotaalpie"/>
          <w:rFonts w:ascii="Arial" w:hAnsi="Arial" w:cs="Arial"/>
          <w:sz w:val="18"/>
          <w:szCs w:val="18"/>
        </w:rPr>
        <w:footnoteRef/>
      </w:r>
      <w:r w:rsidRPr="005A5FB5">
        <w:rPr>
          <w:rFonts w:ascii="Arial" w:hAnsi="Arial" w:cs="Arial"/>
          <w:sz w:val="18"/>
          <w:szCs w:val="18"/>
        </w:rPr>
        <w:t xml:space="preserve"> </w:t>
      </w:r>
      <w:r w:rsidR="00E2723F" w:rsidRPr="005A5FB5">
        <w:rPr>
          <w:rFonts w:ascii="Arial" w:hAnsi="Arial" w:cs="Arial"/>
          <w:sz w:val="18"/>
          <w:szCs w:val="18"/>
        </w:rPr>
        <w:t xml:space="preserve">Corte Constitucional. Sentencia </w:t>
      </w:r>
      <w:r w:rsidRPr="005A5FB5">
        <w:rPr>
          <w:rFonts w:ascii="Arial" w:hAnsi="Arial" w:cs="Arial"/>
          <w:sz w:val="18"/>
          <w:szCs w:val="18"/>
          <w:lang w:val="pt-BR"/>
        </w:rPr>
        <w:t>C-1016 de 2012</w:t>
      </w:r>
      <w:r w:rsidR="00E2723F" w:rsidRPr="005A5FB5">
        <w:rPr>
          <w:rFonts w:ascii="Arial" w:hAnsi="Arial" w:cs="Arial"/>
          <w:sz w:val="18"/>
          <w:szCs w:val="18"/>
          <w:lang w:val="pt-BR"/>
        </w:rPr>
        <w:t xml:space="preserve">, </w:t>
      </w:r>
      <w:r w:rsidRPr="005A5FB5">
        <w:rPr>
          <w:rFonts w:ascii="Arial" w:hAnsi="Arial" w:cs="Arial"/>
          <w:sz w:val="18"/>
          <w:szCs w:val="18"/>
          <w:lang w:val="pt-BR"/>
        </w:rPr>
        <w:t>M.P. Jorge Iván Palacio</w:t>
      </w:r>
      <w:r w:rsidR="00E2723F" w:rsidRPr="005A5FB5">
        <w:rPr>
          <w:rFonts w:ascii="Arial" w:hAnsi="Arial" w:cs="Arial"/>
          <w:sz w:val="18"/>
          <w:szCs w:val="18"/>
          <w:lang w:val="pt-BR"/>
        </w:rPr>
        <w:t xml:space="preserve"> </w:t>
      </w:r>
      <w:proofErr w:type="spellStart"/>
      <w:r w:rsidR="00E2723F" w:rsidRPr="005A5FB5">
        <w:rPr>
          <w:rFonts w:ascii="Arial" w:hAnsi="Arial" w:cs="Arial"/>
          <w:sz w:val="18"/>
          <w:szCs w:val="18"/>
          <w:lang w:val="pt-BR"/>
        </w:rPr>
        <w:t>Palacio</w:t>
      </w:r>
      <w:proofErr w:type="spellEnd"/>
      <w:r w:rsidR="00E2723F" w:rsidRPr="005A5FB5">
        <w:rPr>
          <w:rFonts w:ascii="Arial" w:hAnsi="Arial" w:cs="Arial"/>
          <w:sz w:val="18"/>
          <w:szCs w:val="18"/>
          <w:lang w:val="pt-BR"/>
        </w:rPr>
        <w:t>.</w:t>
      </w:r>
    </w:p>
    <w:p w14:paraId="0D2795FF" w14:textId="77777777" w:rsidR="00133BF5" w:rsidRPr="005A5FB5" w:rsidRDefault="00133BF5" w:rsidP="006E71C0">
      <w:pPr>
        <w:pStyle w:val="Textonotapie"/>
        <w:ind w:firstLine="709"/>
        <w:jc w:val="both"/>
        <w:rPr>
          <w:rFonts w:ascii="Arial" w:hAnsi="Arial" w:cs="Arial"/>
          <w:sz w:val="18"/>
          <w:szCs w:val="18"/>
          <w:lang w:val="es-ES_tradnl"/>
        </w:rPr>
      </w:pPr>
    </w:p>
  </w:footnote>
  <w:footnote w:id="4">
    <w:p w14:paraId="4F19A686" w14:textId="62E8B034" w:rsidR="006E71C0" w:rsidRPr="005A5FB5" w:rsidRDefault="006E71C0" w:rsidP="00E2723F">
      <w:pPr>
        <w:pStyle w:val="Textonotapie"/>
        <w:ind w:firstLine="709"/>
        <w:jc w:val="both"/>
        <w:rPr>
          <w:rFonts w:ascii="Arial" w:hAnsi="Arial" w:cs="Arial"/>
          <w:sz w:val="18"/>
          <w:szCs w:val="18"/>
          <w:lang w:val="pt-BR"/>
        </w:rPr>
      </w:pPr>
      <w:r w:rsidRPr="005A5FB5">
        <w:rPr>
          <w:rStyle w:val="Refdenotaalpie"/>
          <w:rFonts w:ascii="Arial" w:hAnsi="Arial" w:cs="Arial"/>
          <w:sz w:val="18"/>
          <w:szCs w:val="18"/>
        </w:rPr>
        <w:footnoteRef/>
      </w:r>
      <w:r w:rsidRPr="005A5FB5">
        <w:rPr>
          <w:rFonts w:ascii="Arial" w:hAnsi="Arial" w:cs="Arial"/>
          <w:sz w:val="18"/>
          <w:szCs w:val="18"/>
        </w:rPr>
        <w:t xml:space="preserve"> C</w:t>
      </w:r>
      <w:r w:rsidR="00E2723F" w:rsidRPr="005A5FB5">
        <w:rPr>
          <w:rFonts w:ascii="Arial" w:hAnsi="Arial" w:cs="Arial"/>
          <w:sz w:val="18"/>
          <w:szCs w:val="18"/>
        </w:rPr>
        <w:t>onsejo de Estado</w:t>
      </w:r>
      <w:r w:rsidRPr="005A5FB5">
        <w:rPr>
          <w:rFonts w:ascii="Arial" w:hAnsi="Arial" w:cs="Arial"/>
          <w:sz w:val="18"/>
          <w:szCs w:val="18"/>
        </w:rPr>
        <w:t>.</w:t>
      </w:r>
      <w:r w:rsidR="00E2723F" w:rsidRPr="005A5FB5">
        <w:rPr>
          <w:rFonts w:ascii="Arial" w:hAnsi="Arial" w:cs="Arial"/>
          <w:sz w:val="18"/>
          <w:szCs w:val="18"/>
        </w:rPr>
        <w:t xml:space="preserve"> </w:t>
      </w:r>
      <w:r w:rsidRPr="005A5FB5">
        <w:rPr>
          <w:rFonts w:ascii="Arial" w:hAnsi="Arial" w:cs="Arial"/>
          <w:sz w:val="18"/>
          <w:szCs w:val="18"/>
        </w:rPr>
        <w:t>Sección Tercera</w:t>
      </w:r>
      <w:r w:rsidR="00E2723F" w:rsidRPr="005A5FB5">
        <w:rPr>
          <w:rFonts w:ascii="Arial" w:hAnsi="Arial" w:cs="Arial"/>
          <w:sz w:val="18"/>
          <w:szCs w:val="18"/>
        </w:rPr>
        <w:t xml:space="preserve">, </w:t>
      </w:r>
      <w:r w:rsidRPr="005A5FB5">
        <w:rPr>
          <w:rFonts w:ascii="Arial" w:hAnsi="Arial" w:cs="Arial"/>
          <w:sz w:val="18"/>
          <w:szCs w:val="18"/>
        </w:rPr>
        <w:t xml:space="preserve">Subsección A. Sentencia del 13 de noviembre de 2013. </w:t>
      </w:r>
      <w:r w:rsidRPr="005A5FB5">
        <w:rPr>
          <w:rFonts w:ascii="Arial" w:hAnsi="Arial" w:cs="Arial"/>
          <w:sz w:val="18"/>
          <w:szCs w:val="18"/>
          <w:lang w:val="pt-BR"/>
        </w:rPr>
        <w:t>Rad. 25.646. C.P. Mauricio Fajardo Gómez.</w:t>
      </w:r>
    </w:p>
    <w:p w14:paraId="2F9BBFDE" w14:textId="77777777" w:rsidR="002F3389" w:rsidRPr="005A5FB5" w:rsidRDefault="002F3389" w:rsidP="00E2723F">
      <w:pPr>
        <w:pStyle w:val="Textonotapie"/>
        <w:ind w:firstLine="709"/>
        <w:jc w:val="both"/>
        <w:rPr>
          <w:rFonts w:ascii="Arial" w:hAnsi="Arial" w:cs="Arial"/>
          <w:sz w:val="18"/>
          <w:szCs w:val="18"/>
          <w:lang w:val="es-ES_tradnl"/>
        </w:rPr>
      </w:pPr>
    </w:p>
  </w:footnote>
  <w:footnote w:id="5">
    <w:p w14:paraId="26164031" w14:textId="5F56181D" w:rsidR="006E71C0" w:rsidRPr="005A5FB5" w:rsidRDefault="006E71C0" w:rsidP="006E71C0">
      <w:pPr>
        <w:pStyle w:val="Textonotapie"/>
        <w:ind w:firstLine="709"/>
        <w:jc w:val="both"/>
        <w:rPr>
          <w:rFonts w:ascii="Arial" w:hAnsi="Arial" w:cs="Arial"/>
          <w:sz w:val="18"/>
          <w:szCs w:val="18"/>
          <w:lang w:val="pt-BR"/>
        </w:rPr>
      </w:pPr>
      <w:r w:rsidRPr="005A5FB5">
        <w:rPr>
          <w:rStyle w:val="Refdenotaalpie"/>
          <w:rFonts w:ascii="Arial" w:hAnsi="Arial" w:cs="Arial"/>
          <w:sz w:val="18"/>
          <w:szCs w:val="18"/>
        </w:rPr>
        <w:footnoteRef/>
      </w:r>
      <w:r w:rsidRPr="005A5FB5">
        <w:rPr>
          <w:rFonts w:ascii="Arial" w:hAnsi="Arial" w:cs="Arial"/>
          <w:sz w:val="18"/>
          <w:szCs w:val="18"/>
        </w:rPr>
        <w:t xml:space="preserve"> </w:t>
      </w:r>
      <w:r w:rsidRPr="005A5FB5">
        <w:rPr>
          <w:rFonts w:ascii="Arial" w:hAnsi="Arial" w:cs="Arial"/>
          <w:sz w:val="18"/>
          <w:szCs w:val="18"/>
          <w:lang w:val="pt-BR"/>
        </w:rPr>
        <w:t>C</w:t>
      </w:r>
      <w:r w:rsidR="00E2723F" w:rsidRPr="005A5FB5">
        <w:rPr>
          <w:rFonts w:ascii="Arial" w:hAnsi="Arial" w:cs="Arial"/>
          <w:sz w:val="18"/>
          <w:szCs w:val="18"/>
          <w:lang w:val="pt-BR"/>
        </w:rPr>
        <w:t>orte Constitucional</w:t>
      </w:r>
      <w:r w:rsidRPr="005A5FB5">
        <w:rPr>
          <w:rFonts w:ascii="Arial" w:hAnsi="Arial" w:cs="Arial"/>
          <w:sz w:val="18"/>
          <w:szCs w:val="18"/>
          <w:lang w:val="pt-BR"/>
        </w:rPr>
        <w:t>.</w:t>
      </w:r>
      <w:r w:rsidR="00E2723F" w:rsidRPr="005A5FB5">
        <w:rPr>
          <w:rFonts w:ascii="Arial" w:hAnsi="Arial" w:cs="Arial"/>
          <w:sz w:val="18"/>
          <w:szCs w:val="18"/>
          <w:lang w:val="pt-BR"/>
        </w:rPr>
        <w:t xml:space="preserve"> </w:t>
      </w:r>
      <w:r w:rsidRPr="005A5FB5">
        <w:rPr>
          <w:rFonts w:ascii="Arial" w:hAnsi="Arial" w:cs="Arial"/>
          <w:sz w:val="18"/>
          <w:szCs w:val="18"/>
          <w:lang w:val="pt-BR"/>
        </w:rPr>
        <w:t>Sentencia C-415 de 1994</w:t>
      </w:r>
      <w:r w:rsidR="00E2723F" w:rsidRPr="005A5FB5">
        <w:rPr>
          <w:rFonts w:ascii="Arial" w:hAnsi="Arial" w:cs="Arial"/>
          <w:sz w:val="18"/>
          <w:szCs w:val="18"/>
          <w:lang w:val="pt-BR"/>
        </w:rPr>
        <w:t>,</w:t>
      </w:r>
      <w:r w:rsidRPr="005A5FB5">
        <w:rPr>
          <w:rFonts w:ascii="Arial" w:hAnsi="Arial" w:cs="Arial"/>
          <w:sz w:val="18"/>
          <w:szCs w:val="18"/>
          <w:lang w:val="pt-BR"/>
        </w:rPr>
        <w:t xml:space="preserve"> M.P. Eduardo</w:t>
      </w:r>
      <w:r w:rsidR="00A407C2" w:rsidRPr="005A5FB5">
        <w:rPr>
          <w:rFonts w:ascii="Arial" w:hAnsi="Arial" w:cs="Arial"/>
          <w:sz w:val="18"/>
          <w:szCs w:val="18"/>
          <w:lang w:val="pt-BR"/>
        </w:rPr>
        <w:t xml:space="preserve"> </w:t>
      </w:r>
      <w:proofErr w:type="spellStart"/>
      <w:r w:rsidRPr="005A5FB5">
        <w:rPr>
          <w:rFonts w:ascii="Arial" w:hAnsi="Arial" w:cs="Arial"/>
          <w:sz w:val="18"/>
          <w:szCs w:val="18"/>
          <w:lang w:val="pt-BR"/>
        </w:rPr>
        <w:t>Cifuentes</w:t>
      </w:r>
      <w:proofErr w:type="spellEnd"/>
      <w:r w:rsidR="00A407C2" w:rsidRPr="005A5FB5">
        <w:rPr>
          <w:rFonts w:ascii="Arial" w:hAnsi="Arial" w:cs="Arial"/>
          <w:sz w:val="18"/>
          <w:szCs w:val="18"/>
          <w:lang w:val="pt-BR"/>
        </w:rPr>
        <w:t xml:space="preserve"> </w:t>
      </w:r>
      <w:proofErr w:type="spellStart"/>
      <w:r w:rsidRPr="005A5FB5">
        <w:rPr>
          <w:rFonts w:ascii="Arial" w:hAnsi="Arial" w:cs="Arial"/>
          <w:sz w:val="18"/>
          <w:szCs w:val="18"/>
          <w:lang w:val="pt-BR"/>
        </w:rPr>
        <w:t>Muño</w:t>
      </w:r>
      <w:r w:rsidR="00A407C2" w:rsidRPr="005A5FB5">
        <w:rPr>
          <w:rFonts w:ascii="Arial" w:hAnsi="Arial" w:cs="Arial"/>
          <w:sz w:val="18"/>
          <w:szCs w:val="18"/>
          <w:lang w:val="pt-BR"/>
        </w:rPr>
        <w:t>z</w:t>
      </w:r>
      <w:proofErr w:type="spellEnd"/>
      <w:r w:rsidR="00A407C2" w:rsidRPr="005A5FB5">
        <w:rPr>
          <w:rFonts w:ascii="Arial" w:hAnsi="Arial" w:cs="Arial"/>
          <w:sz w:val="18"/>
          <w:szCs w:val="18"/>
          <w:lang w:val="pt-BR"/>
        </w:rPr>
        <w:t>.</w:t>
      </w:r>
    </w:p>
    <w:p w14:paraId="4CF84B6E" w14:textId="77777777" w:rsidR="002F3389" w:rsidRPr="005A5FB5" w:rsidRDefault="002F3389" w:rsidP="006E71C0">
      <w:pPr>
        <w:pStyle w:val="Textonotapie"/>
        <w:ind w:firstLine="709"/>
        <w:jc w:val="both"/>
        <w:rPr>
          <w:rFonts w:ascii="Arial" w:hAnsi="Arial" w:cs="Arial"/>
          <w:sz w:val="18"/>
          <w:szCs w:val="18"/>
          <w:lang w:val="es-ES_tradnl"/>
        </w:rPr>
      </w:pPr>
    </w:p>
  </w:footnote>
  <w:footnote w:id="6">
    <w:p w14:paraId="3EA965A7" w14:textId="77777777" w:rsidR="006E71C0" w:rsidRPr="005A5FB5" w:rsidRDefault="006E71C0" w:rsidP="006E71C0">
      <w:pPr>
        <w:pStyle w:val="Textonotapie"/>
        <w:ind w:firstLine="709"/>
        <w:jc w:val="both"/>
        <w:rPr>
          <w:rFonts w:ascii="Arial" w:hAnsi="Arial" w:cs="Arial"/>
          <w:sz w:val="18"/>
          <w:szCs w:val="18"/>
          <w:lang w:val="pt-BR"/>
        </w:rPr>
      </w:pPr>
      <w:r w:rsidRPr="005A5FB5">
        <w:rPr>
          <w:rStyle w:val="Refdenotaalpie"/>
          <w:rFonts w:ascii="Arial" w:hAnsi="Arial" w:cs="Arial"/>
          <w:sz w:val="18"/>
          <w:szCs w:val="18"/>
        </w:rPr>
        <w:footnoteRef/>
      </w:r>
      <w:r w:rsidRPr="005A5FB5">
        <w:rPr>
          <w:rFonts w:ascii="Arial" w:hAnsi="Arial" w:cs="Arial"/>
          <w:sz w:val="18"/>
          <w:szCs w:val="18"/>
        </w:rPr>
        <w:t xml:space="preserve"> </w:t>
      </w:r>
      <w:proofErr w:type="spellStart"/>
      <w:r w:rsidRPr="005A5FB5">
        <w:rPr>
          <w:rFonts w:ascii="Arial" w:hAnsi="Arial" w:cs="Arial"/>
          <w:sz w:val="18"/>
          <w:szCs w:val="18"/>
          <w:lang w:val="pt-BR"/>
        </w:rPr>
        <w:t>Ibídem</w:t>
      </w:r>
      <w:proofErr w:type="spellEnd"/>
      <w:r w:rsidRPr="005A5FB5">
        <w:rPr>
          <w:rFonts w:ascii="Arial" w:hAnsi="Arial" w:cs="Arial"/>
          <w:sz w:val="18"/>
          <w:szCs w:val="18"/>
          <w:lang w:val="pt-BR"/>
        </w:rPr>
        <w:t>.</w:t>
      </w:r>
    </w:p>
    <w:p w14:paraId="010B81EF" w14:textId="77777777" w:rsidR="002F3389" w:rsidRPr="005A5FB5" w:rsidRDefault="002F3389" w:rsidP="006E71C0">
      <w:pPr>
        <w:pStyle w:val="Textonotapie"/>
        <w:ind w:firstLine="709"/>
        <w:jc w:val="both"/>
        <w:rPr>
          <w:rFonts w:ascii="Arial" w:hAnsi="Arial" w:cs="Arial"/>
          <w:sz w:val="18"/>
          <w:szCs w:val="18"/>
          <w:lang w:val="pt-BR"/>
        </w:rPr>
      </w:pPr>
    </w:p>
  </w:footnote>
  <w:footnote w:id="7">
    <w:p w14:paraId="03AD86F2" w14:textId="4B912988" w:rsidR="006E71C0" w:rsidRPr="005A5FB5" w:rsidRDefault="006E71C0" w:rsidP="006E71C0">
      <w:pPr>
        <w:pStyle w:val="Textonotapie"/>
        <w:ind w:firstLine="709"/>
        <w:jc w:val="both"/>
        <w:rPr>
          <w:rFonts w:ascii="Arial" w:hAnsi="Arial" w:cs="Arial"/>
          <w:sz w:val="18"/>
          <w:szCs w:val="18"/>
        </w:rPr>
      </w:pPr>
      <w:r w:rsidRPr="005A5FB5">
        <w:rPr>
          <w:rStyle w:val="Refdenotaalpie"/>
          <w:rFonts w:ascii="Arial" w:hAnsi="Arial" w:cs="Arial"/>
          <w:sz w:val="18"/>
          <w:szCs w:val="18"/>
        </w:rPr>
        <w:footnoteRef/>
      </w:r>
      <w:r w:rsidRPr="005A5FB5">
        <w:rPr>
          <w:rFonts w:ascii="Arial" w:hAnsi="Arial" w:cs="Arial"/>
          <w:sz w:val="18"/>
          <w:szCs w:val="18"/>
        </w:rPr>
        <w:t xml:space="preserve"> </w:t>
      </w:r>
      <w:r w:rsidRPr="005A5FB5">
        <w:rPr>
          <w:rFonts w:ascii="Arial" w:hAnsi="Arial" w:cs="Arial"/>
          <w:sz w:val="18"/>
          <w:szCs w:val="18"/>
          <w:lang w:val="pt-BR"/>
        </w:rPr>
        <w:t>C</w:t>
      </w:r>
      <w:r w:rsidR="002F3389" w:rsidRPr="005A5FB5">
        <w:rPr>
          <w:rFonts w:ascii="Arial" w:hAnsi="Arial" w:cs="Arial"/>
          <w:sz w:val="18"/>
          <w:szCs w:val="18"/>
          <w:lang w:val="pt-BR"/>
        </w:rPr>
        <w:t>orte Constitucional</w:t>
      </w:r>
      <w:r w:rsidRPr="005A5FB5">
        <w:rPr>
          <w:rFonts w:ascii="Arial" w:hAnsi="Arial" w:cs="Arial"/>
          <w:sz w:val="18"/>
          <w:szCs w:val="18"/>
          <w:lang w:val="pt-BR"/>
        </w:rPr>
        <w:t xml:space="preserve">. </w:t>
      </w:r>
      <w:r w:rsidRPr="005A5FB5">
        <w:rPr>
          <w:rFonts w:ascii="Arial" w:hAnsi="Arial" w:cs="Arial"/>
          <w:sz w:val="18"/>
          <w:szCs w:val="18"/>
        </w:rPr>
        <w:t>Sentencia C-780 de 2001</w:t>
      </w:r>
      <w:r w:rsidR="005A5FB5" w:rsidRPr="005A5FB5">
        <w:rPr>
          <w:rFonts w:ascii="Arial" w:hAnsi="Arial" w:cs="Arial"/>
          <w:sz w:val="18"/>
          <w:szCs w:val="18"/>
        </w:rPr>
        <w:t xml:space="preserve">, </w:t>
      </w:r>
      <w:r w:rsidRPr="005A5FB5">
        <w:rPr>
          <w:rFonts w:ascii="Arial" w:hAnsi="Arial" w:cs="Arial"/>
          <w:sz w:val="18"/>
          <w:szCs w:val="18"/>
        </w:rPr>
        <w:t>M.P. Jaime Córdoba Triviño.</w:t>
      </w:r>
    </w:p>
    <w:p w14:paraId="678B4BA0" w14:textId="77777777" w:rsidR="005A5FB5" w:rsidRPr="005A5FB5" w:rsidRDefault="005A5FB5" w:rsidP="006E71C0">
      <w:pPr>
        <w:pStyle w:val="Textonotapie"/>
        <w:ind w:firstLine="709"/>
        <w:jc w:val="both"/>
        <w:rPr>
          <w:rFonts w:ascii="Arial" w:hAnsi="Arial" w:cs="Arial"/>
          <w:sz w:val="18"/>
          <w:szCs w:val="18"/>
        </w:rPr>
      </w:pPr>
    </w:p>
  </w:footnote>
  <w:footnote w:id="8">
    <w:p w14:paraId="33C35661" w14:textId="16865A3A" w:rsidR="006E71C0" w:rsidRDefault="006E71C0" w:rsidP="00B97FE9">
      <w:pPr>
        <w:pStyle w:val="NormalWeb"/>
        <w:spacing w:before="0" w:beforeAutospacing="0" w:after="0" w:afterAutospacing="0"/>
        <w:ind w:firstLine="709"/>
        <w:jc w:val="both"/>
        <w:rPr>
          <w:rFonts w:ascii="Arial" w:eastAsiaTheme="minorHAnsi" w:hAnsi="Arial" w:cs="Arial"/>
          <w:sz w:val="18"/>
          <w:szCs w:val="18"/>
          <w:lang w:val="es-ES" w:eastAsia="en-US"/>
        </w:rPr>
      </w:pPr>
      <w:r w:rsidRPr="005A5FB5">
        <w:rPr>
          <w:rStyle w:val="Refdenotaalpie"/>
          <w:rFonts w:ascii="Arial" w:hAnsi="Arial" w:cs="Arial"/>
          <w:sz w:val="18"/>
          <w:szCs w:val="18"/>
        </w:rPr>
        <w:footnoteRef/>
      </w:r>
      <w:r w:rsidR="005A5FB5" w:rsidRPr="005A5FB5">
        <w:rPr>
          <w:rFonts w:ascii="Arial" w:hAnsi="Arial" w:cs="Arial"/>
          <w:sz w:val="18"/>
          <w:szCs w:val="18"/>
        </w:rPr>
        <w:t xml:space="preserve"> </w:t>
      </w:r>
      <w:r w:rsidRPr="005A5FB5">
        <w:rPr>
          <w:rFonts w:ascii="Arial" w:eastAsiaTheme="minorHAnsi" w:hAnsi="Arial" w:cs="Arial"/>
          <w:sz w:val="18"/>
          <w:szCs w:val="18"/>
          <w:lang w:val="es-ES" w:eastAsia="en-US"/>
        </w:rPr>
        <w:t>“</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Son inhábiles para participar en licitaciones o concursos y para celebrar contratos con las entidades estatales:</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a) Las personas que se hallen inhabilitadas para contratar por la Constitución y las leyes.</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b) Quienes participaron en las licitaciones o concursos o celebraron los contratos de que trata el literal anterior estando inhabilitados.</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c) Quienes dieron lugar a la declaratoria de caducidad.</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d) Quienes en sentencia judicial hayan sido condenados a la pena accesoria de interdicción de derechos y funciones públicas y quienes hayan sido sancionados disciplinariamente con destitución.</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e) Quienes sin justa causa se abstengan de suscribir el contrato estatal adjudicado.</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f) Los servidores públicos.</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i) Los socios de sociedades de personas a las cuales se haya declarado la caducidad, así como las sociedades de personas de las que aquellos formen parte con posterioridad a dicha declaratoria.</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j) Las personas naturales que hayan sido declaradas responsables judicialmente por la comisión de delitos contra la Administración pública, o de cualquiera de los delitos o faltas contempladas por la Ley 1474 de 2011</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y</w:t>
      </w:r>
      <w:r w:rsidR="00B97FE9">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r w:rsidR="00B66024">
        <w:rPr>
          <w:rFonts w:ascii="Arial" w:eastAsiaTheme="minorHAnsi" w:hAnsi="Arial" w:cs="Arial"/>
          <w:sz w:val="18"/>
          <w:szCs w:val="18"/>
          <w:lang w:val="es-ES" w:eastAsia="en-US"/>
        </w:rPr>
        <w:t xml:space="preserve"> </w:t>
      </w:r>
      <w:r w:rsidRPr="005A5FB5">
        <w:rPr>
          <w:rFonts w:ascii="Arial" w:eastAsiaTheme="minorHAnsi" w:hAnsi="Arial" w:cs="Arial"/>
          <w:sz w:val="18"/>
          <w:szCs w:val="18"/>
          <w:lang w:val="es-ES" w:eastAsia="en-US"/>
        </w:rPr>
        <w:t>Esta inhabilidad procederá preventivamente aún en los casos en los que esté pendiente la decisión sobre la impugnación de la sentencia condenatoria</w:t>
      </w:r>
      <w:r w:rsidR="00B66024">
        <w:rPr>
          <w:rFonts w:ascii="Arial" w:eastAsiaTheme="minorHAnsi" w:hAnsi="Arial" w:cs="Arial"/>
          <w:sz w:val="18"/>
          <w:szCs w:val="18"/>
          <w:lang w:val="es-ES" w:eastAsia="en-US"/>
        </w:rPr>
        <w:t xml:space="preserve"> </w:t>
      </w:r>
      <w:r w:rsidR="005A5FB5" w:rsidRPr="005A5FB5">
        <w:rPr>
          <w:rFonts w:ascii="Arial" w:eastAsiaTheme="minorHAnsi" w:hAnsi="Arial" w:cs="Arial"/>
          <w:sz w:val="18"/>
          <w:szCs w:val="18"/>
          <w:lang w:val="es-ES" w:eastAsia="en-US"/>
        </w:rPr>
        <w:t>(…)</w:t>
      </w:r>
      <w:r w:rsidR="00B97FE9">
        <w:rPr>
          <w:rFonts w:ascii="Arial" w:eastAsiaTheme="minorHAnsi" w:hAnsi="Arial" w:cs="Arial"/>
          <w:sz w:val="18"/>
          <w:szCs w:val="18"/>
          <w:lang w:val="es-ES" w:eastAsia="en-US"/>
        </w:rPr>
        <w:t>.</w:t>
      </w:r>
    </w:p>
    <w:p w14:paraId="7CD3493D" w14:textId="77777777" w:rsidR="00C0281B" w:rsidRPr="00B66024" w:rsidRDefault="00C0281B" w:rsidP="00B97FE9">
      <w:pPr>
        <w:pStyle w:val="NormalWeb"/>
        <w:spacing w:before="0" w:beforeAutospacing="0" w:after="0" w:afterAutospacing="0"/>
        <w:ind w:firstLine="709"/>
        <w:jc w:val="both"/>
        <w:rPr>
          <w:rFonts w:ascii="Arial" w:eastAsiaTheme="minorHAnsi" w:hAnsi="Arial" w:cs="Arial"/>
          <w:sz w:val="18"/>
          <w:szCs w:val="18"/>
          <w:lang w:val="es-ES" w:eastAsia="en-US"/>
        </w:rPr>
      </w:pPr>
    </w:p>
  </w:footnote>
  <w:footnote w:id="9">
    <w:p w14:paraId="2B500AE7" w14:textId="4CE0731D" w:rsidR="00C0281B" w:rsidRDefault="00C0281B" w:rsidP="00C0281B">
      <w:pPr>
        <w:pStyle w:val="Textonotapie"/>
        <w:ind w:firstLine="709"/>
        <w:jc w:val="both"/>
        <w:rPr>
          <w:rFonts w:ascii="Arial" w:hAnsi="Arial" w:cs="Arial"/>
          <w:sz w:val="18"/>
          <w:szCs w:val="18"/>
        </w:rPr>
      </w:pPr>
      <w:r w:rsidRPr="00B66024">
        <w:rPr>
          <w:rStyle w:val="Refdenotaalpie"/>
          <w:rFonts w:ascii="Arial" w:hAnsi="Arial" w:cs="Arial"/>
          <w:sz w:val="18"/>
          <w:szCs w:val="18"/>
        </w:rPr>
        <w:footnoteRef/>
      </w:r>
      <w:r w:rsidR="00B66024" w:rsidRPr="00B66024">
        <w:rPr>
          <w:rFonts w:ascii="Arial" w:hAnsi="Arial" w:cs="Arial"/>
          <w:sz w:val="18"/>
          <w:szCs w:val="18"/>
        </w:rPr>
        <w:t xml:space="preserve"> </w:t>
      </w:r>
      <w:r w:rsidRPr="00B66024">
        <w:rPr>
          <w:rFonts w:ascii="Arial" w:hAnsi="Arial" w:cs="Arial"/>
          <w:sz w:val="18"/>
          <w:szCs w:val="18"/>
        </w:rPr>
        <w:t>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r w:rsidR="00B66024">
        <w:rPr>
          <w:rFonts w:ascii="Arial" w:hAnsi="Arial" w:cs="Arial"/>
          <w:sz w:val="18"/>
          <w:szCs w:val="18"/>
        </w:rPr>
        <w:t xml:space="preserve"> </w:t>
      </w:r>
      <w:r w:rsidRPr="00B66024">
        <w:rPr>
          <w:rFonts w:ascii="Arial" w:hAnsi="Arial" w:cs="Arial"/>
          <w:sz w:val="18"/>
          <w:szCs w:val="18"/>
        </w:rPr>
        <w:t>Las personas jurídicas nacionales y extranjeras deberán acreditar que su duración no será inferior a la del plazo del contrato y un año más”</w:t>
      </w:r>
      <w:r w:rsidR="00B66024">
        <w:rPr>
          <w:rFonts w:ascii="Arial" w:hAnsi="Arial" w:cs="Arial"/>
          <w:sz w:val="18"/>
          <w:szCs w:val="18"/>
        </w:rPr>
        <w:t>.</w:t>
      </w:r>
    </w:p>
    <w:p w14:paraId="77AA3709" w14:textId="77777777" w:rsidR="00974705" w:rsidRPr="00B66024" w:rsidRDefault="00974705" w:rsidP="00C0281B">
      <w:pPr>
        <w:pStyle w:val="Textonotapie"/>
        <w:ind w:firstLine="709"/>
        <w:jc w:val="both"/>
        <w:rPr>
          <w:rFonts w:ascii="Arial" w:hAnsi="Arial" w:cs="Arial"/>
          <w:sz w:val="18"/>
          <w:szCs w:val="18"/>
        </w:rPr>
      </w:pPr>
    </w:p>
  </w:footnote>
  <w:footnote w:id="10">
    <w:p w14:paraId="0A55ABFD" w14:textId="7A8EFF1F" w:rsidR="00C0281B" w:rsidRDefault="00C0281B" w:rsidP="00C0281B">
      <w:pPr>
        <w:pStyle w:val="Textonotapie"/>
        <w:ind w:firstLine="709"/>
        <w:jc w:val="both"/>
        <w:rPr>
          <w:rFonts w:ascii="Arial" w:hAnsi="Arial" w:cs="Arial"/>
          <w:sz w:val="18"/>
          <w:szCs w:val="18"/>
        </w:rPr>
      </w:pPr>
      <w:r w:rsidRPr="00B66024">
        <w:rPr>
          <w:rStyle w:val="Refdenotaalpie"/>
          <w:rFonts w:ascii="Arial" w:hAnsi="Arial" w:cs="Arial"/>
          <w:sz w:val="18"/>
          <w:szCs w:val="18"/>
        </w:rPr>
        <w:footnoteRef/>
      </w:r>
      <w:r w:rsidRPr="00B66024">
        <w:rPr>
          <w:rFonts w:ascii="Arial" w:hAnsi="Arial" w:cs="Arial"/>
          <w:sz w:val="18"/>
          <w:szCs w:val="18"/>
        </w:rPr>
        <w:t xml:space="preserve"> Código Civil: “Artículo 1502. Requisitos para obligarse. Para que una persona se obligue a otra por un acto o declaración de voluntad, es necesario:</w:t>
      </w:r>
      <w:r w:rsidR="00B66024">
        <w:rPr>
          <w:rFonts w:ascii="Arial" w:hAnsi="Arial" w:cs="Arial"/>
          <w:sz w:val="18"/>
          <w:szCs w:val="18"/>
        </w:rPr>
        <w:t xml:space="preserve"> </w:t>
      </w:r>
      <w:r w:rsidRPr="00B66024">
        <w:rPr>
          <w:rFonts w:ascii="Arial" w:hAnsi="Arial" w:cs="Arial"/>
          <w:sz w:val="18"/>
          <w:szCs w:val="18"/>
        </w:rPr>
        <w:t>1o) que sea legalmente capaz</w:t>
      </w:r>
      <w:r w:rsidR="00B66024">
        <w:rPr>
          <w:rFonts w:ascii="Arial" w:hAnsi="Arial" w:cs="Arial"/>
          <w:sz w:val="18"/>
          <w:szCs w:val="18"/>
        </w:rPr>
        <w:t xml:space="preserve"> (…) </w:t>
      </w:r>
      <w:r w:rsidRPr="00B66024">
        <w:rPr>
          <w:rFonts w:ascii="Arial" w:hAnsi="Arial" w:cs="Arial"/>
          <w:sz w:val="18"/>
          <w:szCs w:val="18"/>
        </w:rPr>
        <w:t>La capacidad legal de una persona consiste en poderse obligar por sí misma, sin el ministerio o la autorización de otra”</w:t>
      </w:r>
      <w:r w:rsidR="00B66024">
        <w:rPr>
          <w:rFonts w:ascii="Arial" w:hAnsi="Arial" w:cs="Arial"/>
          <w:sz w:val="18"/>
          <w:szCs w:val="18"/>
        </w:rPr>
        <w:t>.</w:t>
      </w:r>
    </w:p>
    <w:p w14:paraId="1A09870F" w14:textId="77777777" w:rsidR="00B66024" w:rsidRPr="00B66024" w:rsidRDefault="00B66024" w:rsidP="00C0281B">
      <w:pPr>
        <w:pStyle w:val="Textonotapie"/>
        <w:ind w:firstLine="709"/>
        <w:jc w:val="both"/>
        <w:rPr>
          <w:rFonts w:ascii="Arial" w:hAnsi="Arial" w:cs="Arial"/>
          <w:sz w:val="18"/>
          <w:szCs w:val="18"/>
        </w:rPr>
      </w:pPr>
    </w:p>
  </w:footnote>
  <w:footnote w:id="11">
    <w:p w14:paraId="1DB0BBC9" w14:textId="171F5AC4" w:rsidR="00C0281B" w:rsidRDefault="00C0281B" w:rsidP="00C0281B">
      <w:pPr>
        <w:ind w:firstLine="709"/>
        <w:jc w:val="both"/>
        <w:rPr>
          <w:rFonts w:ascii="Arial" w:hAnsi="Arial" w:cs="Arial"/>
          <w:sz w:val="18"/>
          <w:szCs w:val="18"/>
          <w:lang w:val="es-ES"/>
        </w:rPr>
      </w:pPr>
      <w:r w:rsidRPr="002224E3">
        <w:rPr>
          <w:rStyle w:val="Refdenotaalpie"/>
          <w:rFonts w:ascii="Arial" w:hAnsi="Arial" w:cs="Arial"/>
          <w:sz w:val="18"/>
          <w:szCs w:val="18"/>
        </w:rPr>
        <w:footnoteRef/>
      </w:r>
      <w:r w:rsidRPr="002224E3">
        <w:rPr>
          <w:rFonts w:ascii="Arial" w:hAnsi="Arial" w:cs="Arial"/>
          <w:sz w:val="18"/>
          <w:szCs w:val="18"/>
        </w:rPr>
        <w:t xml:space="preserve"> </w:t>
      </w:r>
      <w:r w:rsidR="002224E3" w:rsidRPr="002224E3">
        <w:rPr>
          <w:rFonts w:ascii="Arial" w:hAnsi="Arial" w:cs="Arial"/>
          <w:sz w:val="18"/>
          <w:szCs w:val="18"/>
        </w:rPr>
        <w:t>Algunas</w:t>
      </w:r>
      <w:r w:rsidR="002224E3">
        <w:rPr>
          <w:rFonts w:ascii="Arial" w:hAnsi="Arial" w:cs="Arial"/>
          <w:sz w:val="18"/>
          <w:szCs w:val="18"/>
        </w:rPr>
        <w:t xml:space="preserve"> </w:t>
      </w:r>
      <w:r w:rsidRPr="002224E3">
        <w:rPr>
          <w:rFonts w:ascii="Arial" w:hAnsi="Arial" w:cs="Arial"/>
          <w:sz w:val="18"/>
          <w:szCs w:val="18"/>
          <w:lang w:val="es-ES"/>
        </w:rPr>
        <w:t xml:space="preserve">inhabilidades que responden a esta </w:t>
      </w:r>
      <w:proofErr w:type="gramStart"/>
      <w:r w:rsidRPr="002224E3">
        <w:rPr>
          <w:rFonts w:ascii="Arial" w:hAnsi="Arial" w:cs="Arial"/>
          <w:sz w:val="18"/>
          <w:szCs w:val="18"/>
          <w:lang w:val="es-ES"/>
        </w:rPr>
        <w:t>circunstancia,</w:t>
      </w:r>
      <w:proofErr w:type="gramEnd"/>
      <w:r w:rsidRPr="002224E3">
        <w:rPr>
          <w:rFonts w:ascii="Arial" w:hAnsi="Arial" w:cs="Arial"/>
          <w:sz w:val="18"/>
          <w:szCs w:val="18"/>
          <w:lang w:val="es-ES"/>
        </w:rPr>
        <w:t xml:space="preserve"> </w:t>
      </w:r>
      <w:r w:rsidR="002224E3">
        <w:rPr>
          <w:rFonts w:ascii="Arial" w:hAnsi="Arial" w:cs="Arial"/>
          <w:sz w:val="18"/>
          <w:szCs w:val="18"/>
          <w:lang w:val="es-ES"/>
        </w:rPr>
        <w:t>son</w:t>
      </w:r>
      <w:r w:rsidRPr="002224E3">
        <w:rPr>
          <w:rFonts w:ascii="Arial" w:hAnsi="Arial" w:cs="Arial"/>
          <w:sz w:val="18"/>
          <w:szCs w:val="18"/>
          <w:lang w:val="es-ES"/>
        </w:rPr>
        <w:t xml:space="preserve">: “Quienes participaron en las licitaciones o celebraron los contratos de que trata el literal anterior estando inhabilitados” (art. 8, </w:t>
      </w:r>
      <w:proofErr w:type="spellStart"/>
      <w:r w:rsidRPr="002224E3">
        <w:rPr>
          <w:rFonts w:ascii="Arial" w:hAnsi="Arial" w:cs="Arial"/>
          <w:sz w:val="18"/>
          <w:szCs w:val="18"/>
          <w:lang w:val="es-ES"/>
        </w:rPr>
        <w:t>num</w:t>
      </w:r>
      <w:proofErr w:type="spellEnd"/>
      <w:r w:rsidRPr="002224E3">
        <w:rPr>
          <w:rFonts w:ascii="Arial" w:hAnsi="Arial" w:cs="Arial"/>
          <w:sz w:val="18"/>
          <w:szCs w:val="18"/>
          <w:lang w:val="es-ES"/>
        </w:rPr>
        <w:t xml:space="preserve">. 1º, </w:t>
      </w:r>
      <w:proofErr w:type="spellStart"/>
      <w:r w:rsidRPr="002224E3">
        <w:rPr>
          <w:rFonts w:ascii="Arial" w:hAnsi="Arial" w:cs="Arial"/>
          <w:sz w:val="18"/>
          <w:szCs w:val="18"/>
          <w:lang w:val="es-ES"/>
        </w:rPr>
        <w:t>lit.</w:t>
      </w:r>
      <w:proofErr w:type="spellEnd"/>
      <w:r w:rsidRPr="002224E3">
        <w:rPr>
          <w:rFonts w:ascii="Arial" w:hAnsi="Arial" w:cs="Arial"/>
          <w:sz w:val="18"/>
          <w:szCs w:val="18"/>
          <w:lang w:val="es-ES"/>
        </w:rPr>
        <w:t xml:space="preserve"> b, Ley 80/93); “Quienes dieron lugar a la declaratoria de caducidad” (art. 8, </w:t>
      </w:r>
      <w:proofErr w:type="spellStart"/>
      <w:r w:rsidRPr="002224E3">
        <w:rPr>
          <w:rFonts w:ascii="Arial" w:hAnsi="Arial" w:cs="Arial"/>
          <w:sz w:val="18"/>
          <w:szCs w:val="18"/>
          <w:lang w:val="es-ES"/>
        </w:rPr>
        <w:t>num</w:t>
      </w:r>
      <w:proofErr w:type="spellEnd"/>
      <w:r w:rsidRPr="002224E3">
        <w:rPr>
          <w:rFonts w:ascii="Arial" w:hAnsi="Arial" w:cs="Arial"/>
          <w:sz w:val="18"/>
          <w:szCs w:val="18"/>
          <w:lang w:val="es-ES"/>
        </w:rPr>
        <w:t xml:space="preserve">. 1º, </w:t>
      </w:r>
      <w:proofErr w:type="spellStart"/>
      <w:r w:rsidRPr="002224E3">
        <w:rPr>
          <w:rFonts w:ascii="Arial" w:hAnsi="Arial" w:cs="Arial"/>
          <w:sz w:val="18"/>
          <w:szCs w:val="18"/>
          <w:lang w:val="es-ES"/>
        </w:rPr>
        <w:t>lit.</w:t>
      </w:r>
      <w:proofErr w:type="spellEnd"/>
      <w:r w:rsidRPr="002224E3">
        <w:rPr>
          <w:rFonts w:ascii="Arial" w:hAnsi="Arial" w:cs="Arial"/>
          <w:sz w:val="18"/>
          <w:szCs w:val="18"/>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2224E3">
        <w:rPr>
          <w:rFonts w:ascii="Arial" w:hAnsi="Arial" w:cs="Arial"/>
          <w:sz w:val="18"/>
          <w:szCs w:val="18"/>
          <w:lang w:val="es-ES"/>
        </w:rPr>
        <w:t>num</w:t>
      </w:r>
      <w:proofErr w:type="spellEnd"/>
      <w:r w:rsidRPr="002224E3">
        <w:rPr>
          <w:rFonts w:ascii="Arial" w:hAnsi="Arial" w:cs="Arial"/>
          <w:sz w:val="18"/>
          <w:szCs w:val="18"/>
          <w:lang w:val="es-ES"/>
        </w:rPr>
        <w:t xml:space="preserve">. 1º, </w:t>
      </w:r>
      <w:proofErr w:type="spellStart"/>
      <w:r w:rsidRPr="002224E3">
        <w:rPr>
          <w:rFonts w:ascii="Arial" w:hAnsi="Arial" w:cs="Arial"/>
          <w:sz w:val="18"/>
          <w:szCs w:val="18"/>
          <w:lang w:val="es-ES"/>
        </w:rPr>
        <w:t>lit.</w:t>
      </w:r>
      <w:proofErr w:type="spellEnd"/>
      <w:r w:rsidRPr="002224E3">
        <w:rPr>
          <w:rFonts w:ascii="Arial" w:hAnsi="Arial" w:cs="Arial"/>
          <w:sz w:val="18"/>
          <w:szCs w:val="18"/>
          <w:lang w:val="es-ES"/>
        </w:rPr>
        <w:t xml:space="preserve"> d), Ley 80/93); “Quienes sin justa causa se abstengan de suscribir el contrato estatal adjudicado” (art. 8, </w:t>
      </w:r>
      <w:proofErr w:type="spellStart"/>
      <w:r w:rsidRPr="002224E3">
        <w:rPr>
          <w:rFonts w:ascii="Arial" w:hAnsi="Arial" w:cs="Arial"/>
          <w:sz w:val="18"/>
          <w:szCs w:val="18"/>
          <w:lang w:val="es-ES"/>
        </w:rPr>
        <w:t>num</w:t>
      </w:r>
      <w:proofErr w:type="spellEnd"/>
      <w:r w:rsidRPr="002224E3">
        <w:rPr>
          <w:rFonts w:ascii="Arial" w:hAnsi="Arial" w:cs="Arial"/>
          <w:sz w:val="18"/>
          <w:szCs w:val="18"/>
          <w:lang w:val="es-ES"/>
        </w:rPr>
        <w:t xml:space="preserve">. 1º, </w:t>
      </w:r>
      <w:proofErr w:type="spellStart"/>
      <w:r w:rsidRPr="002224E3">
        <w:rPr>
          <w:rFonts w:ascii="Arial" w:hAnsi="Arial" w:cs="Arial"/>
          <w:sz w:val="18"/>
          <w:szCs w:val="18"/>
          <w:lang w:val="es-ES"/>
        </w:rPr>
        <w:t>lit.</w:t>
      </w:r>
      <w:proofErr w:type="spellEnd"/>
      <w:r w:rsidRPr="002224E3">
        <w:rPr>
          <w:rFonts w:ascii="Arial" w:hAnsi="Arial" w:cs="Arial"/>
          <w:sz w:val="18"/>
          <w:szCs w:val="18"/>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2224E3">
        <w:rPr>
          <w:rFonts w:ascii="Arial" w:hAnsi="Arial" w:cs="Arial"/>
          <w:sz w:val="18"/>
          <w:szCs w:val="18"/>
          <w:lang w:val="es-ES"/>
        </w:rPr>
        <w:t>num</w:t>
      </w:r>
      <w:proofErr w:type="spellEnd"/>
      <w:r w:rsidRPr="002224E3">
        <w:rPr>
          <w:rFonts w:ascii="Arial" w:hAnsi="Arial" w:cs="Arial"/>
          <w:sz w:val="18"/>
          <w:szCs w:val="18"/>
          <w:lang w:val="es-ES"/>
        </w:rPr>
        <w:t xml:space="preserve">. 1º, </w:t>
      </w:r>
      <w:proofErr w:type="spellStart"/>
      <w:r w:rsidRPr="002224E3">
        <w:rPr>
          <w:rFonts w:ascii="Arial" w:hAnsi="Arial" w:cs="Arial"/>
          <w:sz w:val="18"/>
          <w:szCs w:val="18"/>
          <w:lang w:val="es-ES"/>
        </w:rPr>
        <w:t>lit.</w:t>
      </w:r>
      <w:proofErr w:type="spellEnd"/>
      <w:r w:rsidRPr="002224E3">
        <w:rPr>
          <w:rFonts w:ascii="Arial" w:hAnsi="Arial" w:cs="Arial"/>
          <w:sz w:val="18"/>
          <w:szCs w:val="18"/>
          <w:lang w:val="es-ES"/>
        </w:rPr>
        <w:t xml:space="preserve"> i), Ley 80/93)</w:t>
      </w:r>
      <w:r w:rsidR="002224E3">
        <w:rPr>
          <w:rFonts w:ascii="Arial" w:hAnsi="Arial" w:cs="Arial"/>
          <w:sz w:val="18"/>
          <w:szCs w:val="18"/>
          <w:lang w:val="es-ES"/>
        </w:rPr>
        <w:t>.</w:t>
      </w:r>
    </w:p>
    <w:p w14:paraId="2630F83F" w14:textId="77777777" w:rsidR="002224E3" w:rsidRPr="002224E3" w:rsidRDefault="002224E3" w:rsidP="00C0281B">
      <w:pPr>
        <w:ind w:firstLine="709"/>
        <w:jc w:val="both"/>
        <w:rPr>
          <w:rFonts w:ascii="Arial" w:hAnsi="Arial" w:cs="Arial"/>
          <w:sz w:val="18"/>
          <w:szCs w:val="18"/>
          <w:lang w:val="es-ES"/>
        </w:rPr>
      </w:pPr>
    </w:p>
  </w:footnote>
  <w:footnote w:id="12">
    <w:p w14:paraId="2020C937" w14:textId="148668DD" w:rsidR="00C0281B" w:rsidRDefault="00C0281B" w:rsidP="00C0281B">
      <w:pPr>
        <w:pStyle w:val="Textonotapie"/>
        <w:ind w:firstLine="709"/>
        <w:jc w:val="both"/>
        <w:rPr>
          <w:rFonts w:ascii="Arial" w:hAnsi="Arial" w:cs="Arial"/>
          <w:sz w:val="19"/>
          <w:szCs w:val="19"/>
          <w:lang w:val="es-ES"/>
        </w:rPr>
      </w:pPr>
      <w:r w:rsidRPr="00982700">
        <w:rPr>
          <w:rStyle w:val="Refdenotaalpie"/>
          <w:rFonts w:ascii="Arial" w:hAnsi="Arial" w:cs="Arial"/>
          <w:sz w:val="19"/>
          <w:szCs w:val="19"/>
        </w:rPr>
        <w:footnoteRef/>
      </w:r>
      <w:r w:rsidRPr="00982700">
        <w:rPr>
          <w:rFonts w:ascii="Arial" w:hAnsi="Arial" w:cs="Arial"/>
          <w:sz w:val="19"/>
          <w:szCs w:val="19"/>
        </w:rPr>
        <w:t xml:space="preserve"> </w:t>
      </w:r>
      <w:r w:rsidRPr="00982700">
        <w:rPr>
          <w:rFonts w:ascii="Arial" w:hAnsi="Arial" w:cs="Arial"/>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982700">
        <w:rPr>
          <w:rFonts w:ascii="Arial" w:hAnsi="Arial" w:cs="Arial"/>
          <w:sz w:val="19"/>
          <w:szCs w:val="19"/>
          <w:lang w:val="es-ES"/>
        </w:rPr>
        <w:t>num</w:t>
      </w:r>
      <w:proofErr w:type="spellEnd"/>
      <w:r w:rsidRPr="00982700">
        <w:rPr>
          <w:rFonts w:ascii="Arial" w:hAnsi="Arial" w:cs="Arial"/>
          <w:sz w:val="19"/>
          <w:szCs w:val="19"/>
          <w:lang w:val="es-ES"/>
        </w:rPr>
        <w:t xml:space="preserve">. 1º, </w:t>
      </w:r>
      <w:proofErr w:type="spellStart"/>
      <w:r w:rsidRPr="00982700">
        <w:rPr>
          <w:rFonts w:ascii="Arial" w:hAnsi="Arial" w:cs="Arial"/>
          <w:sz w:val="19"/>
          <w:szCs w:val="19"/>
          <w:lang w:val="es-ES"/>
        </w:rPr>
        <w:t>lit.</w:t>
      </w:r>
      <w:proofErr w:type="spellEnd"/>
      <w:r w:rsidRPr="00982700">
        <w:rPr>
          <w:rFonts w:ascii="Arial" w:hAnsi="Arial" w:cs="Arial"/>
          <w:sz w:val="19"/>
          <w:szCs w:val="19"/>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982700">
        <w:rPr>
          <w:rFonts w:ascii="Arial" w:hAnsi="Arial" w:cs="Arial"/>
          <w:sz w:val="19"/>
          <w:szCs w:val="19"/>
          <w:lang w:val="es-ES"/>
        </w:rPr>
        <w:t>num</w:t>
      </w:r>
      <w:proofErr w:type="spellEnd"/>
      <w:r w:rsidRPr="00982700">
        <w:rPr>
          <w:rFonts w:ascii="Arial" w:hAnsi="Arial" w:cs="Arial"/>
          <w:sz w:val="19"/>
          <w:szCs w:val="19"/>
          <w:lang w:val="es-ES"/>
        </w:rPr>
        <w:t xml:space="preserve">. 1º, </w:t>
      </w:r>
      <w:proofErr w:type="spellStart"/>
      <w:r w:rsidRPr="00982700">
        <w:rPr>
          <w:rFonts w:ascii="Arial" w:hAnsi="Arial" w:cs="Arial"/>
          <w:sz w:val="19"/>
          <w:szCs w:val="19"/>
          <w:lang w:val="es-ES"/>
        </w:rPr>
        <w:t>lit.</w:t>
      </w:r>
      <w:proofErr w:type="spellEnd"/>
      <w:r w:rsidRPr="00982700">
        <w:rPr>
          <w:rFonts w:ascii="Arial" w:hAnsi="Arial" w:cs="Arial"/>
          <w:sz w:val="19"/>
          <w:szCs w:val="19"/>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982700">
        <w:rPr>
          <w:rFonts w:ascii="Arial" w:hAnsi="Arial" w:cs="Arial"/>
          <w:sz w:val="19"/>
          <w:szCs w:val="19"/>
          <w:lang w:val="es-ES"/>
        </w:rPr>
        <w:t>num</w:t>
      </w:r>
      <w:proofErr w:type="spellEnd"/>
      <w:r w:rsidRPr="00982700">
        <w:rPr>
          <w:rFonts w:ascii="Arial" w:hAnsi="Arial" w:cs="Arial"/>
          <w:sz w:val="19"/>
          <w:szCs w:val="19"/>
          <w:lang w:val="es-ES"/>
        </w:rPr>
        <w:t xml:space="preserve">. 2º, </w:t>
      </w:r>
      <w:proofErr w:type="spellStart"/>
      <w:r w:rsidRPr="00982700">
        <w:rPr>
          <w:rFonts w:ascii="Arial" w:hAnsi="Arial" w:cs="Arial"/>
          <w:sz w:val="19"/>
          <w:szCs w:val="19"/>
          <w:lang w:val="es-ES"/>
        </w:rPr>
        <w:t>lit.</w:t>
      </w:r>
      <w:proofErr w:type="spellEnd"/>
      <w:r w:rsidRPr="00982700">
        <w:rPr>
          <w:rFonts w:ascii="Arial" w:hAnsi="Arial" w:cs="Arial"/>
          <w:sz w:val="19"/>
          <w:szCs w:val="19"/>
          <w:lang w:val="es-ES"/>
        </w:rPr>
        <w:t xml:space="preserve"> b), Ley 80/93</w:t>
      </w:r>
      <w:r w:rsidR="002224E3">
        <w:rPr>
          <w:rFonts w:ascii="Arial" w:hAnsi="Arial" w:cs="Arial"/>
          <w:sz w:val="19"/>
          <w:szCs w:val="19"/>
          <w:lang w:val="es-ES"/>
        </w:rPr>
        <w:t>).</w:t>
      </w:r>
    </w:p>
    <w:p w14:paraId="3B57DAA8" w14:textId="77777777" w:rsidR="002224E3" w:rsidRPr="00982700" w:rsidRDefault="002224E3" w:rsidP="00C0281B">
      <w:pPr>
        <w:pStyle w:val="Textonotapie"/>
        <w:ind w:firstLine="709"/>
        <w:jc w:val="both"/>
        <w:rPr>
          <w:rFonts w:ascii="Arial" w:hAnsi="Arial" w:cs="Arial"/>
          <w:sz w:val="19"/>
          <w:szCs w:val="19"/>
          <w:lang w:val="es-ES"/>
        </w:rPr>
      </w:pPr>
    </w:p>
  </w:footnote>
  <w:footnote w:id="13">
    <w:p w14:paraId="24D4097D" w14:textId="064C7726" w:rsidR="00C0281B" w:rsidRDefault="00C0281B" w:rsidP="00C0281B">
      <w:pPr>
        <w:pStyle w:val="Textonotapie"/>
        <w:ind w:firstLine="709"/>
        <w:jc w:val="both"/>
        <w:rPr>
          <w:rFonts w:ascii="Arial" w:hAnsi="Arial" w:cs="Arial"/>
          <w:sz w:val="19"/>
          <w:szCs w:val="19"/>
          <w:lang w:val="es-ES"/>
        </w:rPr>
      </w:pPr>
      <w:r w:rsidRPr="00982700">
        <w:rPr>
          <w:rStyle w:val="Refdenotaalpie"/>
          <w:rFonts w:ascii="Arial" w:hAnsi="Arial" w:cs="Arial"/>
          <w:sz w:val="19"/>
          <w:szCs w:val="19"/>
        </w:rPr>
        <w:footnoteRef/>
      </w:r>
      <w:r w:rsidRPr="00982700">
        <w:rPr>
          <w:rFonts w:ascii="Arial" w:hAnsi="Arial" w:cs="Arial"/>
          <w:sz w:val="19"/>
          <w:szCs w:val="19"/>
        </w:rPr>
        <w:t xml:space="preserve"> </w:t>
      </w:r>
      <w:r w:rsidRPr="00982700">
        <w:rPr>
          <w:rFonts w:ascii="Arial" w:hAnsi="Arial" w:cs="Arial"/>
          <w:sz w:val="19"/>
          <w:szCs w:val="19"/>
          <w:lang w:val="es-ES"/>
        </w:rPr>
        <w:t>Verbigracia,</w:t>
      </w:r>
      <w:r w:rsidR="002224E3">
        <w:rPr>
          <w:rFonts w:ascii="Arial" w:hAnsi="Arial" w:cs="Arial"/>
          <w:sz w:val="19"/>
          <w:szCs w:val="19"/>
          <w:lang w:val="es-ES"/>
        </w:rPr>
        <w:t xml:space="preserve"> </w:t>
      </w:r>
      <w:r w:rsidRPr="00982700">
        <w:rPr>
          <w:rFonts w:ascii="Arial" w:hAnsi="Arial" w:cs="Arial"/>
          <w:sz w:val="19"/>
          <w:szCs w:val="19"/>
          <w:lang w:val="es-ES"/>
        </w:rPr>
        <w:t xml:space="preserve">“Las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w:t>
      </w:r>
      <w:r w:rsidR="002224E3">
        <w:rPr>
          <w:rFonts w:ascii="Arial" w:hAnsi="Arial" w:cs="Arial"/>
          <w:sz w:val="19"/>
          <w:szCs w:val="19"/>
          <w:lang w:val="es-ES"/>
        </w:rPr>
        <w:t>(</w:t>
      </w:r>
      <w:r w:rsidRPr="00982700">
        <w:rPr>
          <w:rFonts w:ascii="Arial" w:hAnsi="Arial" w:cs="Arial"/>
          <w:sz w:val="19"/>
          <w:szCs w:val="19"/>
          <w:lang w:val="es-ES"/>
        </w:rPr>
        <w:t>…</w:t>
      </w:r>
      <w:r w:rsidR="002224E3">
        <w:rPr>
          <w:rFonts w:ascii="Arial" w:hAnsi="Arial" w:cs="Arial"/>
          <w:sz w:val="19"/>
          <w:szCs w:val="19"/>
          <w:lang w:val="es-ES"/>
        </w:rPr>
        <w:t>)</w:t>
      </w:r>
      <w:r w:rsidRPr="00982700">
        <w:rPr>
          <w:rFonts w:ascii="Arial" w:hAnsi="Arial" w:cs="Arial"/>
          <w:sz w:val="19"/>
          <w:szCs w:val="19"/>
          <w:lang w:val="es-ES"/>
        </w:rPr>
        <w:t xml:space="preserve">” (art. 8, </w:t>
      </w:r>
      <w:proofErr w:type="spellStart"/>
      <w:r w:rsidRPr="00982700">
        <w:rPr>
          <w:rFonts w:ascii="Arial" w:hAnsi="Arial" w:cs="Arial"/>
          <w:sz w:val="19"/>
          <w:szCs w:val="19"/>
          <w:lang w:val="es-ES"/>
        </w:rPr>
        <w:t>num</w:t>
      </w:r>
      <w:proofErr w:type="spellEnd"/>
      <w:r w:rsidRPr="00982700">
        <w:rPr>
          <w:rFonts w:ascii="Arial" w:hAnsi="Arial" w:cs="Arial"/>
          <w:sz w:val="19"/>
          <w:szCs w:val="19"/>
          <w:lang w:val="es-ES"/>
        </w:rPr>
        <w:t xml:space="preserve">. 1º, </w:t>
      </w:r>
      <w:proofErr w:type="spellStart"/>
      <w:r w:rsidRPr="00982700">
        <w:rPr>
          <w:rFonts w:ascii="Arial" w:hAnsi="Arial" w:cs="Arial"/>
          <w:sz w:val="19"/>
          <w:szCs w:val="19"/>
          <w:lang w:val="es-ES"/>
        </w:rPr>
        <w:t>lit.</w:t>
      </w:r>
      <w:proofErr w:type="spellEnd"/>
      <w:r w:rsidRPr="00982700">
        <w:rPr>
          <w:rFonts w:ascii="Arial" w:hAnsi="Arial" w:cs="Arial"/>
          <w:sz w:val="19"/>
          <w:szCs w:val="19"/>
          <w:lang w:val="es-ES"/>
        </w:rPr>
        <w:t xml:space="preserve"> k), Ley 80/93, modificado por el art. 33, Ley 1778/16); “Quienes fueron miembros de la junta o consejo directivo o servidores públicos de la entidad contratante” (art. 8, </w:t>
      </w:r>
      <w:proofErr w:type="spellStart"/>
      <w:r w:rsidRPr="00982700">
        <w:rPr>
          <w:rFonts w:ascii="Arial" w:hAnsi="Arial" w:cs="Arial"/>
          <w:sz w:val="19"/>
          <w:szCs w:val="19"/>
          <w:lang w:val="es-ES"/>
        </w:rPr>
        <w:t>num</w:t>
      </w:r>
      <w:proofErr w:type="spellEnd"/>
      <w:r w:rsidRPr="00982700">
        <w:rPr>
          <w:rFonts w:ascii="Arial" w:hAnsi="Arial" w:cs="Arial"/>
          <w:sz w:val="19"/>
          <w:szCs w:val="19"/>
          <w:lang w:val="es-ES"/>
        </w:rPr>
        <w:t xml:space="preserve">. 2º, </w:t>
      </w:r>
      <w:proofErr w:type="spellStart"/>
      <w:r w:rsidRPr="00982700">
        <w:rPr>
          <w:rFonts w:ascii="Arial" w:hAnsi="Arial" w:cs="Arial"/>
          <w:sz w:val="19"/>
          <w:szCs w:val="19"/>
          <w:lang w:val="es-ES"/>
        </w:rPr>
        <w:t>lit.</w:t>
      </w:r>
      <w:proofErr w:type="spellEnd"/>
      <w:r w:rsidRPr="00982700">
        <w:rPr>
          <w:rFonts w:ascii="Arial" w:hAnsi="Arial" w:cs="Arial"/>
          <w:sz w:val="19"/>
          <w:szCs w:val="19"/>
          <w:lang w:val="es-ES"/>
        </w:rPr>
        <w:t xml:space="preserve">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982700">
        <w:rPr>
          <w:rFonts w:ascii="Arial" w:hAnsi="Arial" w:cs="Arial"/>
          <w:sz w:val="19"/>
          <w:szCs w:val="19"/>
          <w:lang w:val="es-ES"/>
        </w:rPr>
        <w:t>num</w:t>
      </w:r>
      <w:proofErr w:type="spellEnd"/>
      <w:r w:rsidRPr="00982700">
        <w:rPr>
          <w:rFonts w:ascii="Arial" w:hAnsi="Arial" w:cs="Arial"/>
          <w:sz w:val="19"/>
          <w:szCs w:val="19"/>
          <w:lang w:val="es-ES"/>
        </w:rPr>
        <w:t xml:space="preserve">. 2º, </w:t>
      </w:r>
      <w:proofErr w:type="spellStart"/>
      <w:r w:rsidRPr="00982700">
        <w:rPr>
          <w:rFonts w:ascii="Arial" w:hAnsi="Arial" w:cs="Arial"/>
          <w:sz w:val="19"/>
          <w:szCs w:val="19"/>
          <w:lang w:val="es-ES"/>
        </w:rPr>
        <w:t>lit.</w:t>
      </w:r>
      <w:proofErr w:type="spellEnd"/>
      <w:r w:rsidRPr="00982700">
        <w:rPr>
          <w:rFonts w:ascii="Arial" w:hAnsi="Arial" w:cs="Arial"/>
          <w:sz w:val="19"/>
          <w:szCs w:val="19"/>
          <w:lang w:val="es-ES"/>
        </w:rPr>
        <w:t xml:space="preserve"> f), Ley 80/93, adicionado por el art. 4º, Ley 1474/2011).</w:t>
      </w:r>
    </w:p>
    <w:p w14:paraId="58053A38" w14:textId="77777777" w:rsidR="002224E3" w:rsidRPr="00982700" w:rsidRDefault="002224E3" w:rsidP="00C0281B">
      <w:pPr>
        <w:pStyle w:val="Textonotapie"/>
        <w:ind w:firstLine="709"/>
        <w:jc w:val="both"/>
        <w:rPr>
          <w:rFonts w:ascii="Arial" w:hAnsi="Arial" w:cs="Arial"/>
          <w:sz w:val="19"/>
          <w:szCs w:val="19"/>
          <w:lang w:val="es-ES"/>
        </w:rPr>
      </w:pPr>
    </w:p>
  </w:footnote>
  <w:footnote w:id="14">
    <w:p w14:paraId="757CD753" w14:textId="250A74EA" w:rsidR="00C0281B" w:rsidRPr="00982700" w:rsidRDefault="00C0281B" w:rsidP="00C0281B">
      <w:pPr>
        <w:ind w:firstLine="709"/>
        <w:jc w:val="both"/>
        <w:rPr>
          <w:rFonts w:ascii="Arial" w:hAnsi="Arial" w:cs="Arial"/>
          <w:sz w:val="19"/>
          <w:szCs w:val="19"/>
          <w:lang w:val="es-ES"/>
        </w:rPr>
      </w:pPr>
      <w:r w:rsidRPr="00982700">
        <w:rPr>
          <w:rStyle w:val="Refdenotaalpie"/>
          <w:rFonts w:ascii="Arial" w:hAnsi="Arial" w:cs="Arial"/>
          <w:sz w:val="19"/>
          <w:szCs w:val="19"/>
        </w:rPr>
        <w:footnoteRef/>
      </w:r>
      <w:r w:rsidRPr="00982700">
        <w:rPr>
          <w:rFonts w:ascii="Arial" w:hAnsi="Arial" w:cs="Arial"/>
          <w:sz w:val="19"/>
          <w:szCs w:val="19"/>
        </w:rPr>
        <w:t xml:space="preserve"> </w:t>
      </w:r>
      <w:r w:rsidR="002224E3">
        <w:rPr>
          <w:rFonts w:ascii="Arial" w:hAnsi="Arial" w:cs="Arial"/>
          <w:sz w:val="19"/>
          <w:szCs w:val="19"/>
        </w:rPr>
        <w:t>Entre otras, vale resaltar</w:t>
      </w:r>
      <w:r w:rsidRPr="00982700">
        <w:rPr>
          <w:rFonts w:ascii="Arial" w:hAnsi="Arial" w:cs="Arial"/>
          <w:sz w:val="19"/>
          <w:szCs w:val="19"/>
          <w:lang w:val="es-ES"/>
        </w:rPr>
        <w:t xml:space="preserve">: “Los servidores públicos” (art. 8, </w:t>
      </w:r>
      <w:proofErr w:type="spellStart"/>
      <w:r w:rsidRPr="00982700">
        <w:rPr>
          <w:rFonts w:ascii="Arial" w:hAnsi="Arial" w:cs="Arial"/>
          <w:sz w:val="19"/>
          <w:szCs w:val="19"/>
          <w:lang w:val="es-ES"/>
        </w:rPr>
        <w:t>num</w:t>
      </w:r>
      <w:proofErr w:type="spellEnd"/>
      <w:r w:rsidRPr="00982700">
        <w:rPr>
          <w:rFonts w:ascii="Arial" w:hAnsi="Arial" w:cs="Arial"/>
          <w:sz w:val="19"/>
          <w:szCs w:val="19"/>
          <w:lang w:val="es-ES"/>
        </w:rPr>
        <w:t xml:space="preserve">. 1º, </w:t>
      </w:r>
      <w:proofErr w:type="spellStart"/>
      <w:r w:rsidRPr="00982700">
        <w:rPr>
          <w:rFonts w:ascii="Arial" w:hAnsi="Arial" w:cs="Arial"/>
          <w:sz w:val="19"/>
          <w:szCs w:val="19"/>
          <w:lang w:val="es-ES"/>
        </w:rPr>
        <w:t>lit.</w:t>
      </w:r>
      <w:proofErr w:type="spellEnd"/>
      <w:r w:rsidRPr="00982700">
        <w:rPr>
          <w:rFonts w:ascii="Arial" w:hAnsi="Arial" w:cs="Arial"/>
          <w:sz w:val="19"/>
          <w:szCs w:val="19"/>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982700">
        <w:rPr>
          <w:rFonts w:ascii="Arial" w:hAnsi="Arial" w:cs="Arial"/>
          <w:sz w:val="19"/>
          <w:szCs w:val="19"/>
          <w:lang w:val="es-ES"/>
        </w:rPr>
        <w:t>num</w:t>
      </w:r>
      <w:proofErr w:type="spellEnd"/>
      <w:r w:rsidRPr="00982700">
        <w:rPr>
          <w:rFonts w:ascii="Arial" w:hAnsi="Arial" w:cs="Arial"/>
          <w:sz w:val="19"/>
          <w:szCs w:val="19"/>
          <w:lang w:val="es-ES"/>
        </w:rPr>
        <w:t xml:space="preserve">. 2º, </w:t>
      </w:r>
      <w:proofErr w:type="spellStart"/>
      <w:r w:rsidRPr="00982700">
        <w:rPr>
          <w:rFonts w:ascii="Arial" w:hAnsi="Arial" w:cs="Arial"/>
          <w:sz w:val="19"/>
          <w:szCs w:val="19"/>
          <w:lang w:val="es-ES"/>
        </w:rPr>
        <w:t>lit.</w:t>
      </w:r>
      <w:proofErr w:type="spellEnd"/>
      <w:r w:rsidRPr="00982700">
        <w:rPr>
          <w:rFonts w:ascii="Arial" w:hAnsi="Arial" w:cs="Arial"/>
          <w:sz w:val="19"/>
          <w:szCs w:val="19"/>
          <w:lang w:val="es-ES"/>
        </w:rPr>
        <w:t xml:space="preserve"> d), Ley 80/93)</w:t>
      </w:r>
      <w:r w:rsidR="002224E3">
        <w:rPr>
          <w:rFonts w:ascii="Arial" w:hAnsi="Arial" w:cs="Arial"/>
          <w:sz w:val="19"/>
          <w:szCs w:val="19"/>
          <w:lang w:val="es-ES"/>
        </w:rPr>
        <w:t>.</w:t>
      </w:r>
    </w:p>
  </w:footnote>
  <w:footnote w:id="15">
    <w:p w14:paraId="30F8F145" w14:textId="77777777" w:rsidR="009C4574" w:rsidRDefault="009C4574" w:rsidP="009C4574">
      <w:pPr>
        <w:pStyle w:val="Textonotapie"/>
        <w:ind w:firstLine="709"/>
        <w:jc w:val="both"/>
        <w:rPr>
          <w:rFonts w:ascii="Arial" w:hAnsi="Arial" w:cs="Arial"/>
          <w:sz w:val="19"/>
          <w:szCs w:val="19"/>
        </w:rPr>
      </w:pPr>
      <w:r w:rsidRPr="00982700">
        <w:rPr>
          <w:rStyle w:val="Refdenotaalpie"/>
          <w:rFonts w:ascii="Arial" w:hAnsi="Arial" w:cs="Arial"/>
          <w:sz w:val="19"/>
          <w:szCs w:val="19"/>
        </w:rPr>
        <w:footnoteRef/>
      </w:r>
      <w:r>
        <w:rPr>
          <w:rFonts w:ascii="Arial" w:hAnsi="Arial" w:cs="Arial"/>
          <w:sz w:val="19"/>
          <w:szCs w:val="19"/>
        </w:rPr>
        <w:t xml:space="preserve"> </w:t>
      </w:r>
      <w:r w:rsidRPr="00982700">
        <w:rPr>
          <w:rFonts w:ascii="Arial" w:hAnsi="Arial" w:cs="Arial"/>
          <w:sz w:val="19"/>
          <w:szCs w:val="19"/>
        </w:rPr>
        <w:t xml:space="preserve">“El legislador para calificar estas prohibiciones emplea dos vocablos: Inhabilidades o incompatibilidades, los cuales en un examen desprevenido podrían sugerir ideas diferentes </w:t>
      </w:r>
      <w:proofErr w:type="gramStart"/>
      <w:r w:rsidRPr="00982700">
        <w:rPr>
          <w:rFonts w:ascii="Arial" w:hAnsi="Arial" w:cs="Arial"/>
          <w:sz w:val="19"/>
          <w:szCs w:val="19"/>
        </w:rPr>
        <w:t>y</w:t>
      </w:r>
      <w:proofErr w:type="gramEnd"/>
      <w:r w:rsidRPr="00982700">
        <w:rPr>
          <w:rFonts w:ascii="Arial" w:hAnsi="Arial" w:cs="Arial"/>
          <w:sz w:val="19"/>
          <w:szCs w:val="19"/>
        </w:rPr>
        <w:t xml:space="preserve">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w:t>
      </w:r>
      <w:proofErr w:type="gramStart"/>
      <w:r w:rsidRPr="00982700">
        <w:rPr>
          <w:rFonts w:ascii="Arial" w:hAnsi="Arial" w:cs="Arial"/>
          <w:sz w:val="19"/>
          <w:szCs w:val="19"/>
        </w:rPr>
        <w:t>que</w:t>
      </w:r>
      <w:proofErr w:type="gramEnd"/>
      <w:r w:rsidRPr="00982700">
        <w:rPr>
          <w:rFonts w:ascii="Arial" w:hAnsi="Arial" w:cs="Arial"/>
          <w:sz w:val="19"/>
          <w:szCs w:val="19"/>
        </w:rPr>
        <w:t xml:space="preserve"> ante la semejanza de las figuras, conviene emplear un único vocablo, con lo cual serían innecesarias los intentos y las elucubraciones y explicaciones, algunas novedosas que podrían ensayarse”.</w:t>
      </w:r>
      <w:r>
        <w:rPr>
          <w:rFonts w:ascii="Arial" w:hAnsi="Arial" w:cs="Arial"/>
          <w:sz w:val="19"/>
          <w:szCs w:val="19"/>
        </w:rPr>
        <w:t xml:space="preserve"> </w:t>
      </w:r>
      <w:r w:rsidRPr="00982700">
        <w:rPr>
          <w:rFonts w:ascii="Arial" w:hAnsi="Arial" w:cs="Arial"/>
          <w:sz w:val="19"/>
          <w:szCs w:val="19"/>
        </w:rPr>
        <w:t>DÁVILA VINUEZA, Luis Guillermo. Régimen jurídico de la contratación estatal. 3ª ed. Bogotá: Legis, 2016. p. 148)</w:t>
      </w:r>
      <w:r>
        <w:rPr>
          <w:rFonts w:ascii="Arial" w:hAnsi="Arial" w:cs="Arial"/>
          <w:sz w:val="19"/>
          <w:szCs w:val="19"/>
        </w:rPr>
        <w:t>.</w:t>
      </w:r>
    </w:p>
    <w:p w14:paraId="594CAF4B" w14:textId="77777777" w:rsidR="009C4574" w:rsidRPr="00982700" w:rsidRDefault="009C4574" w:rsidP="009C4574">
      <w:pPr>
        <w:pStyle w:val="Textonotapie"/>
        <w:ind w:firstLine="709"/>
        <w:jc w:val="both"/>
        <w:rPr>
          <w:rFonts w:ascii="Arial" w:hAnsi="Arial" w:cs="Arial"/>
          <w:sz w:val="19"/>
          <w:szCs w:val="19"/>
        </w:rPr>
      </w:pPr>
    </w:p>
  </w:footnote>
  <w:footnote w:id="16">
    <w:p w14:paraId="1AD7D773" w14:textId="7DAF610F" w:rsidR="00C0281B" w:rsidRDefault="00C0281B" w:rsidP="00C0281B">
      <w:pPr>
        <w:pStyle w:val="Textonotapie"/>
        <w:ind w:firstLine="709"/>
        <w:jc w:val="both"/>
        <w:rPr>
          <w:rFonts w:ascii="Arial" w:hAnsi="Arial" w:cs="Arial"/>
          <w:sz w:val="19"/>
          <w:szCs w:val="19"/>
          <w:lang w:val="es-ES"/>
        </w:rPr>
      </w:pPr>
      <w:r w:rsidRPr="00982700">
        <w:rPr>
          <w:rStyle w:val="Refdenotaalpie"/>
          <w:rFonts w:ascii="Arial" w:hAnsi="Arial" w:cs="Arial"/>
          <w:sz w:val="19"/>
          <w:szCs w:val="19"/>
        </w:rPr>
        <w:footnoteRef/>
      </w:r>
      <w:r w:rsidRPr="00982700">
        <w:rPr>
          <w:rFonts w:ascii="Arial" w:hAnsi="Arial" w:cs="Arial"/>
          <w:sz w:val="19"/>
          <w:szCs w:val="19"/>
        </w:rPr>
        <w:t xml:space="preserve"> </w:t>
      </w:r>
      <w:r w:rsidRPr="00982700">
        <w:rPr>
          <w:rFonts w:ascii="Arial" w:hAnsi="Arial" w:cs="Arial"/>
          <w:sz w:val="19"/>
          <w:szCs w:val="19"/>
          <w:lang w:val="es-ES"/>
        </w:rPr>
        <w:t>C</w:t>
      </w:r>
      <w:r w:rsidR="00CD20EA">
        <w:rPr>
          <w:rFonts w:ascii="Arial" w:hAnsi="Arial" w:cs="Arial"/>
          <w:sz w:val="19"/>
          <w:szCs w:val="19"/>
          <w:lang w:val="es-ES"/>
        </w:rPr>
        <w:t>orte Constitucional</w:t>
      </w:r>
      <w:r w:rsidRPr="00982700">
        <w:rPr>
          <w:rFonts w:ascii="Arial" w:hAnsi="Arial" w:cs="Arial"/>
          <w:sz w:val="19"/>
          <w:szCs w:val="19"/>
          <w:lang w:val="es-ES"/>
        </w:rPr>
        <w:t>.</w:t>
      </w:r>
      <w:r w:rsidR="00CD20EA">
        <w:rPr>
          <w:rFonts w:ascii="Arial" w:hAnsi="Arial" w:cs="Arial"/>
          <w:sz w:val="19"/>
          <w:szCs w:val="19"/>
          <w:lang w:val="es-ES"/>
        </w:rPr>
        <w:t xml:space="preserve"> </w:t>
      </w:r>
      <w:r w:rsidRPr="00982700">
        <w:rPr>
          <w:rFonts w:ascii="Arial" w:hAnsi="Arial" w:cs="Arial"/>
          <w:sz w:val="19"/>
          <w:szCs w:val="19"/>
          <w:lang w:val="es-ES"/>
        </w:rPr>
        <w:t>Sentencia T-1039 de 2006</w:t>
      </w:r>
      <w:r w:rsidR="00CD20EA">
        <w:rPr>
          <w:rFonts w:ascii="Arial" w:hAnsi="Arial" w:cs="Arial"/>
          <w:sz w:val="19"/>
          <w:szCs w:val="19"/>
          <w:lang w:val="es-ES"/>
        </w:rPr>
        <w:t xml:space="preserve">, </w:t>
      </w:r>
      <w:r w:rsidRPr="00982700">
        <w:rPr>
          <w:rFonts w:ascii="Arial" w:hAnsi="Arial" w:cs="Arial"/>
          <w:sz w:val="19"/>
          <w:szCs w:val="19"/>
          <w:lang w:val="es-ES"/>
        </w:rPr>
        <w:t>M.P. Humberto Sierra Porto.</w:t>
      </w:r>
    </w:p>
    <w:p w14:paraId="38B942AE" w14:textId="77777777" w:rsidR="00CD20EA" w:rsidRPr="00982700" w:rsidRDefault="00CD20EA" w:rsidP="00C0281B">
      <w:pPr>
        <w:pStyle w:val="Textonotapie"/>
        <w:ind w:firstLine="709"/>
        <w:jc w:val="both"/>
        <w:rPr>
          <w:rFonts w:ascii="Arial" w:hAnsi="Arial" w:cs="Arial"/>
          <w:sz w:val="19"/>
          <w:szCs w:val="19"/>
          <w:lang w:val="es-ES"/>
        </w:rPr>
      </w:pPr>
    </w:p>
  </w:footnote>
  <w:footnote w:id="17">
    <w:p w14:paraId="6571211B" w14:textId="5201C6B7" w:rsidR="00C0281B" w:rsidRDefault="00C0281B" w:rsidP="00C0281B">
      <w:pPr>
        <w:pStyle w:val="Textonotapie"/>
        <w:ind w:firstLine="709"/>
        <w:jc w:val="both"/>
        <w:rPr>
          <w:rFonts w:ascii="Arial" w:hAnsi="Arial" w:cs="Arial"/>
          <w:sz w:val="19"/>
          <w:szCs w:val="19"/>
          <w:lang w:val="es-ES"/>
        </w:rPr>
      </w:pPr>
      <w:r w:rsidRPr="00982700">
        <w:rPr>
          <w:rStyle w:val="Refdenotaalpie"/>
          <w:rFonts w:ascii="Arial" w:hAnsi="Arial" w:cs="Arial"/>
          <w:sz w:val="19"/>
          <w:szCs w:val="19"/>
        </w:rPr>
        <w:footnoteRef/>
      </w:r>
      <w:r w:rsidRPr="00982700">
        <w:rPr>
          <w:rFonts w:ascii="Arial" w:hAnsi="Arial" w:cs="Arial"/>
          <w:sz w:val="19"/>
          <w:szCs w:val="19"/>
        </w:rPr>
        <w:t xml:space="preserve"> </w:t>
      </w:r>
      <w:r w:rsidRPr="00982700">
        <w:rPr>
          <w:rFonts w:ascii="Arial" w:hAnsi="Arial" w:cs="Arial"/>
          <w:sz w:val="19"/>
          <w:szCs w:val="19"/>
          <w:lang w:val="es-ES"/>
        </w:rPr>
        <w:t>C</w:t>
      </w:r>
      <w:r w:rsidR="00CD20EA">
        <w:rPr>
          <w:rFonts w:ascii="Arial" w:hAnsi="Arial" w:cs="Arial"/>
          <w:sz w:val="19"/>
          <w:szCs w:val="19"/>
          <w:lang w:val="es-ES"/>
        </w:rPr>
        <w:t>onsejo de Estado -</w:t>
      </w:r>
      <w:r w:rsidRPr="00982700">
        <w:rPr>
          <w:rFonts w:ascii="Arial" w:hAnsi="Arial" w:cs="Arial"/>
          <w:sz w:val="19"/>
          <w:szCs w:val="19"/>
          <w:lang w:val="es-ES"/>
        </w:rPr>
        <w:t>Sala de Consulta y Servicio Civil</w:t>
      </w:r>
      <w:r w:rsidR="00CD20EA">
        <w:rPr>
          <w:rFonts w:ascii="Arial" w:hAnsi="Arial" w:cs="Arial"/>
          <w:sz w:val="19"/>
          <w:szCs w:val="19"/>
          <w:lang w:val="es-ES"/>
        </w:rPr>
        <w:t>-</w:t>
      </w:r>
      <w:r w:rsidRPr="00982700">
        <w:rPr>
          <w:rFonts w:ascii="Arial" w:hAnsi="Arial" w:cs="Arial"/>
          <w:sz w:val="19"/>
          <w:szCs w:val="19"/>
          <w:lang w:val="es-ES"/>
        </w:rPr>
        <w:t>.</w:t>
      </w:r>
      <w:r w:rsidR="00CD20EA">
        <w:rPr>
          <w:rFonts w:ascii="Arial" w:hAnsi="Arial" w:cs="Arial"/>
          <w:sz w:val="19"/>
          <w:szCs w:val="19"/>
          <w:lang w:val="es-ES"/>
        </w:rPr>
        <w:t xml:space="preserve"> </w:t>
      </w:r>
      <w:r w:rsidRPr="00982700">
        <w:rPr>
          <w:rFonts w:ascii="Arial" w:hAnsi="Arial" w:cs="Arial"/>
          <w:sz w:val="19"/>
          <w:szCs w:val="19"/>
          <w:lang w:val="es-ES"/>
        </w:rPr>
        <w:t>Concepto del 30 de abril de 2015</w:t>
      </w:r>
      <w:r w:rsidR="00CD20EA">
        <w:rPr>
          <w:rFonts w:ascii="Arial" w:hAnsi="Arial" w:cs="Arial"/>
          <w:sz w:val="19"/>
          <w:szCs w:val="19"/>
          <w:lang w:val="es-ES"/>
        </w:rPr>
        <w:t xml:space="preserve">, </w:t>
      </w:r>
      <w:proofErr w:type="spellStart"/>
      <w:r w:rsidRPr="00982700">
        <w:rPr>
          <w:rFonts w:ascii="Arial" w:hAnsi="Arial" w:cs="Arial"/>
          <w:sz w:val="19"/>
          <w:szCs w:val="19"/>
          <w:lang w:val="es-ES"/>
        </w:rPr>
        <w:t>Exp</w:t>
      </w:r>
      <w:proofErr w:type="spellEnd"/>
      <w:r w:rsidRPr="00982700">
        <w:rPr>
          <w:rFonts w:ascii="Arial" w:hAnsi="Arial" w:cs="Arial"/>
          <w:sz w:val="19"/>
          <w:szCs w:val="19"/>
          <w:lang w:val="es-ES"/>
        </w:rPr>
        <w:t xml:space="preserve">. 2251. C.P. Álvaro </w:t>
      </w:r>
      <w:proofErr w:type="spellStart"/>
      <w:r w:rsidRPr="00982700">
        <w:rPr>
          <w:rFonts w:ascii="Arial" w:hAnsi="Arial" w:cs="Arial"/>
          <w:sz w:val="19"/>
          <w:szCs w:val="19"/>
          <w:lang w:val="es-ES"/>
        </w:rPr>
        <w:t>Namén</w:t>
      </w:r>
      <w:proofErr w:type="spellEnd"/>
      <w:r w:rsidRPr="00982700">
        <w:rPr>
          <w:rFonts w:ascii="Arial" w:hAnsi="Arial" w:cs="Arial"/>
          <w:sz w:val="19"/>
          <w:szCs w:val="19"/>
          <w:lang w:val="es-ES"/>
        </w:rPr>
        <w:t xml:space="preserve"> Vargas.</w:t>
      </w:r>
    </w:p>
    <w:p w14:paraId="7A656CE0" w14:textId="77777777" w:rsidR="00F83974" w:rsidRPr="00982700" w:rsidRDefault="00F83974" w:rsidP="00C0281B">
      <w:pPr>
        <w:pStyle w:val="Textonotapie"/>
        <w:ind w:firstLine="709"/>
        <w:jc w:val="both"/>
        <w:rPr>
          <w:rFonts w:ascii="Arial" w:hAnsi="Arial" w:cs="Arial"/>
          <w:sz w:val="19"/>
          <w:szCs w:val="19"/>
          <w:lang w:val="es-ES"/>
        </w:rPr>
      </w:pPr>
    </w:p>
  </w:footnote>
  <w:footnote w:id="18">
    <w:p w14:paraId="2C4E115B" w14:textId="0B753FAA" w:rsidR="00F83974" w:rsidRPr="007F38B6" w:rsidRDefault="00F83974" w:rsidP="007F38B6">
      <w:pPr>
        <w:pStyle w:val="Textonotapie"/>
        <w:ind w:firstLine="709"/>
        <w:jc w:val="both"/>
        <w:rPr>
          <w:rFonts w:ascii="Arial" w:hAnsi="Arial" w:cs="Arial"/>
          <w:color w:val="000000" w:themeColor="text1"/>
          <w:sz w:val="18"/>
          <w:szCs w:val="18"/>
          <w:lang w:val="pt-BR"/>
        </w:rPr>
      </w:pPr>
      <w:r w:rsidRPr="007F38B6">
        <w:rPr>
          <w:rStyle w:val="Refdenotaalpie"/>
          <w:rFonts w:ascii="Arial" w:hAnsi="Arial" w:cs="Arial"/>
          <w:sz w:val="18"/>
          <w:szCs w:val="18"/>
        </w:rPr>
        <w:footnoteRef/>
      </w:r>
      <w:r w:rsidRPr="007F38B6">
        <w:rPr>
          <w:rFonts w:ascii="Arial" w:hAnsi="Arial" w:cs="Arial"/>
          <w:sz w:val="18"/>
          <w:szCs w:val="18"/>
        </w:rPr>
        <w:t xml:space="preserve"> </w:t>
      </w:r>
      <w:proofErr w:type="spellStart"/>
      <w:r w:rsidRPr="007F38B6">
        <w:rPr>
          <w:rFonts w:ascii="Arial" w:hAnsi="Arial" w:cs="Arial"/>
          <w:color w:val="000000" w:themeColor="text1"/>
          <w:sz w:val="18"/>
          <w:szCs w:val="18"/>
          <w:lang w:val="pt-BR"/>
        </w:rPr>
        <w:t>Consejo</w:t>
      </w:r>
      <w:proofErr w:type="spellEnd"/>
      <w:r w:rsidRPr="007F38B6">
        <w:rPr>
          <w:rFonts w:ascii="Arial" w:hAnsi="Arial" w:cs="Arial"/>
          <w:color w:val="000000" w:themeColor="text1"/>
          <w:sz w:val="18"/>
          <w:szCs w:val="18"/>
          <w:lang w:val="pt-BR"/>
        </w:rPr>
        <w:t xml:space="preserve"> de Estado -Sala de </w:t>
      </w:r>
      <w:proofErr w:type="spellStart"/>
      <w:r w:rsidRPr="007F38B6">
        <w:rPr>
          <w:rFonts w:ascii="Arial" w:hAnsi="Arial" w:cs="Arial"/>
          <w:color w:val="000000" w:themeColor="text1"/>
          <w:sz w:val="18"/>
          <w:szCs w:val="18"/>
          <w:lang w:val="pt-BR"/>
        </w:rPr>
        <w:t>lo</w:t>
      </w:r>
      <w:proofErr w:type="spellEnd"/>
      <w:r w:rsidRPr="007F38B6">
        <w:rPr>
          <w:rFonts w:ascii="Arial" w:hAnsi="Arial" w:cs="Arial"/>
          <w:color w:val="000000" w:themeColor="text1"/>
          <w:sz w:val="18"/>
          <w:szCs w:val="18"/>
          <w:lang w:val="pt-BR"/>
        </w:rPr>
        <w:t xml:space="preserve"> Contencioso Administrativo-. Sentencia </w:t>
      </w:r>
      <w:proofErr w:type="spellStart"/>
      <w:r w:rsidRPr="007F38B6">
        <w:rPr>
          <w:rFonts w:ascii="Arial" w:hAnsi="Arial" w:cs="Arial"/>
          <w:color w:val="000000" w:themeColor="text1"/>
          <w:sz w:val="18"/>
          <w:szCs w:val="18"/>
          <w:lang w:val="pt-BR"/>
        </w:rPr>
        <w:t>del</w:t>
      </w:r>
      <w:proofErr w:type="spellEnd"/>
      <w:r w:rsidRPr="007F38B6">
        <w:rPr>
          <w:rFonts w:ascii="Arial" w:hAnsi="Arial" w:cs="Arial"/>
          <w:color w:val="000000" w:themeColor="text1"/>
          <w:sz w:val="18"/>
          <w:szCs w:val="18"/>
          <w:lang w:val="pt-BR"/>
        </w:rPr>
        <w:t xml:space="preserve"> 12 de </w:t>
      </w:r>
      <w:proofErr w:type="spellStart"/>
      <w:r w:rsidRPr="007F38B6">
        <w:rPr>
          <w:rFonts w:ascii="Arial" w:hAnsi="Arial" w:cs="Arial"/>
          <w:color w:val="000000" w:themeColor="text1"/>
          <w:sz w:val="18"/>
          <w:szCs w:val="18"/>
          <w:lang w:val="pt-BR"/>
        </w:rPr>
        <w:t>diciembre</w:t>
      </w:r>
      <w:proofErr w:type="spellEnd"/>
      <w:r w:rsidRPr="007F38B6">
        <w:rPr>
          <w:rFonts w:ascii="Arial" w:hAnsi="Arial" w:cs="Arial"/>
          <w:color w:val="000000" w:themeColor="text1"/>
          <w:sz w:val="18"/>
          <w:szCs w:val="18"/>
          <w:lang w:val="pt-BR"/>
        </w:rPr>
        <w:t xml:space="preserve"> de 2014. Exp. 26496. C.P. Ramiro Pazos Guerrero.</w:t>
      </w:r>
    </w:p>
    <w:p w14:paraId="3441A7CE" w14:textId="77777777" w:rsidR="00F83974" w:rsidRPr="007F38B6" w:rsidRDefault="00F83974" w:rsidP="007F38B6">
      <w:pPr>
        <w:pStyle w:val="Textonotapie"/>
        <w:ind w:firstLine="709"/>
        <w:jc w:val="both"/>
        <w:rPr>
          <w:rFonts w:ascii="Arial" w:hAnsi="Arial" w:cs="Arial"/>
          <w:color w:val="000000" w:themeColor="text1"/>
          <w:sz w:val="18"/>
          <w:szCs w:val="18"/>
        </w:rPr>
      </w:pPr>
    </w:p>
  </w:footnote>
  <w:footnote w:id="19">
    <w:p w14:paraId="2E71B71C" w14:textId="55690C52" w:rsidR="00EA63E7" w:rsidRPr="007F38B6" w:rsidRDefault="00EA63E7"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Congreso de la República. Gaceta</w:t>
      </w:r>
      <w:r w:rsidR="000711CD" w:rsidRPr="007F38B6">
        <w:rPr>
          <w:rFonts w:ascii="Arial" w:hAnsi="Arial" w:cs="Arial"/>
          <w:sz w:val="18"/>
          <w:szCs w:val="18"/>
        </w:rPr>
        <w:t xml:space="preserve"> XXVI – No. 582 del 24 de julio de 2017.</w:t>
      </w:r>
    </w:p>
    <w:p w14:paraId="435E4C2A" w14:textId="5A4925C8" w:rsidR="000711CD" w:rsidRPr="007F38B6" w:rsidRDefault="000711CD" w:rsidP="007F38B6">
      <w:pPr>
        <w:pStyle w:val="Textonotapie"/>
        <w:jc w:val="both"/>
        <w:rPr>
          <w:rFonts w:ascii="Arial" w:hAnsi="Arial" w:cs="Arial"/>
          <w:sz w:val="18"/>
          <w:szCs w:val="18"/>
        </w:rPr>
      </w:pPr>
    </w:p>
  </w:footnote>
  <w:footnote w:id="20">
    <w:p w14:paraId="77DC63EC" w14:textId="33504851" w:rsidR="009E3A2F" w:rsidRPr="007F38B6" w:rsidRDefault="009E3A2F"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Artículo 1º de la Ley 2097 de 2021.</w:t>
      </w:r>
    </w:p>
    <w:p w14:paraId="6D3A7248" w14:textId="77777777" w:rsidR="009E3A2F" w:rsidRPr="007F38B6" w:rsidRDefault="009E3A2F" w:rsidP="007F38B6">
      <w:pPr>
        <w:pStyle w:val="Textonotapie"/>
        <w:ind w:firstLine="708"/>
        <w:jc w:val="both"/>
        <w:rPr>
          <w:rFonts w:ascii="Arial" w:hAnsi="Arial" w:cs="Arial"/>
          <w:sz w:val="18"/>
          <w:szCs w:val="18"/>
        </w:rPr>
      </w:pPr>
    </w:p>
  </w:footnote>
  <w:footnote w:id="21">
    <w:p w14:paraId="4AFA6EB8" w14:textId="331A8A3F" w:rsidR="005D14C5" w:rsidRPr="007F38B6" w:rsidRDefault="005D14C5"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Artículo 3º de la Ley 2097 de 2021.</w:t>
      </w:r>
    </w:p>
    <w:p w14:paraId="6E99F161" w14:textId="77777777" w:rsidR="005D14C5" w:rsidRPr="007F38B6" w:rsidRDefault="005D14C5" w:rsidP="007F38B6">
      <w:pPr>
        <w:pStyle w:val="Textonotapie"/>
        <w:ind w:firstLine="708"/>
        <w:jc w:val="both"/>
        <w:rPr>
          <w:rFonts w:ascii="Arial" w:hAnsi="Arial" w:cs="Arial"/>
          <w:sz w:val="18"/>
          <w:szCs w:val="18"/>
        </w:rPr>
      </w:pPr>
    </w:p>
  </w:footnote>
  <w:footnote w:id="22">
    <w:p w14:paraId="530868D4" w14:textId="6658B371" w:rsidR="00A42162" w:rsidRPr="007F38B6" w:rsidRDefault="00A42162"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M.P. Gloria Stella Ortiz Delgado.</w:t>
      </w:r>
    </w:p>
    <w:p w14:paraId="0F25710B" w14:textId="77777777" w:rsidR="00527549" w:rsidRPr="007F38B6" w:rsidRDefault="00527549" w:rsidP="007F38B6">
      <w:pPr>
        <w:pStyle w:val="Textonotapie"/>
        <w:ind w:firstLine="708"/>
        <w:jc w:val="both"/>
        <w:rPr>
          <w:rFonts w:ascii="Arial" w:hAnsi="Arial" w:cs="Arial"/>
          <w:sz w:val="18"/>
          <w:szCs w:val="18"/>
        </w:rPr>
      </w:pPr>
    </w:p>
  </w:footnote>
  <w:footnote w:id="23">
    <w:p w14:paraId="1DE9371D" w14:textId="16F402F8" w:rsidR="00527549" w:rsidRPr="007F38B6" w:rsidRDefault="00527549"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Consultar el artículo 411.4 del Código Civil en el que se definen los alimentos en función de la culpabilidad prescrita en las causales de divorcio.</w:t>
      </w:r>
    </w:p>
    <w:p w14:paraId="53CE081B" w14:textId="77777777" w:rsidR="00FD7AB0" w:rsidRPr="007F38B6" w:rsidRDefault="00FD7AB0" w:rsidP="007F38B6">
      <w:pPr>
        <w:pStyle w:val="Textonotapie"/>
        <w:ind w:firstLine="708"/>
        <w:jc w:val="both"/>
        <w:rPr>
          <w:rFonts w:ascii="Arial" w:hAnsi="Arial" w:cs="Arial"/>
          <w:sz w:val="18"/>
          <w:szCs w:val="18"/>
        </w:rPr>
      </w:pPr>
    </w:p>
  </w:footnote>
  <w:footnote w:id="24">
    <w:p w14:paraId="27D608D2" w14:textId="1B0A7C9D" w:rsidR="00FD7AB0" w:rsidRPr="007F38B6" w:rsidRDefault="00FD7AB0"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00FE2F33" w:rsidRPr="007F38B6">
        <w:rPr>
          <w:rFonts w:ascii="Arial" w:hAnsi="Arial" w:cs="Arial"/>
          <w:sz w:val="18"/>
          <w:szCs w:val="18"/>
        </w:rPr>
        <w:t>Ídem</w:t>
      </w:r>
      <w:r w:rsidRPr="007F38B6">
        <w:rPr>
          <w:rFonts w:ascii="Arial" w:hAnsi="Arial" w:cs="Arial"/>
          <w:sz w:val="18"/>
          <w:szCs w:val="18"/>
        </w:rPr>
        <w:t>.</w:t>
      </w:r>
    </w:p>
  </w:footnote>
  <w:footnote w:id="25">
    <w:p w14:paraId="675073E5" w14:textId="28D4F5F5" w:rsidR="00FE2F33" w:rsidRPr="007F38B6" w:rsidRDefault="00FE2F33" w:rsidP="007F38B6">
      <w:pPr>
        <w:pStyle w:val="Textonotapie"/>
        <w:ind w:firstLine="709"/>
        <w:jc w:val="both"/>
        <w:rPr>
          <w:rFonts w:ascii="Arial" w:hAnsi="Arial" w:cs="Arial"/>
          <w:sz w:val="18"/>
          <w:szCs w:val="18"/>
        </w:rPr>
      </w:pPr>
      <w:r w:rsidRPr="007F38B6">
        <w:rPr>
          <w:rStyle w:val="Refdenotaalpie"/>
          <w:rFonts w:ascii="Arial" w:hAnsi="Arial" w:cs="Arial"/>
          <w:sz w:val="18"/>
          <w:szCs w:val="18"/>
        </w:rPr>
        <w:footnoteRef/>
      </w:r>
      <w:r w:rsidR="00E645C2" w:rsidRPr="007F38B6">
        <w:rPr>
          <w:rFonts w:ascii="Arial" w:hAnsi="Arial" w:cs="Arial"/>
          <w:sz w:val="18"/>
          <w:szCs w:val="18"/>
        </w:rPr>
        <w:t xml:space="preserve"> E</w:t>
      </w:r>
      <w:r w:rsidRPr="007F38B6">
        <w:rPr>
          <w:rFonts w:ascii="Arial" w:hAnsi="Arial" w:cs="Arial"/>
          <w:sz w:val="18"/>
          <w:szCs w:val="18"/>
        </w:rPr>
        <w:t>l artículo 13 de la Ley 1150 de 2007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w:t>
      </w:r>
      <w:r w:rsidR="00E645C2" w:rsidRPr="007F38B6">
        <w:rPr>
          <w:rFonts w:ascii="Arial" w:hAnsi="Arial" w:cs="Arial"/>
          <w:sz w:val="18"/>
          <w:szCs w:val="18"/>
        </w:rPr>
        <w:t xml:space="preserve"> </w:t>
      </w:r>
      <w:r w:rsidRPr="007F38B6">
        <w:rPr>
          <w:rFonts w:ascii="Arial" w:hAnsi="Arial" w:cs="Arial"/>
          <w:sz w:val="18"/>
          <w:szCs w:val="18"/>
        </w:rPr>
        <w:t>209</w:t>
      </w:r>
      <w:r w:rsidR="00E645C2" w:rsidRPr="007F38B6">
        <w:rPr>
          <w:rFonts w:ascii="Arial" w:hAnsi="Arial" w:cs="Arial"/>
          <w:sz w:val="18"/>
          <w:szCs w:val="18"/>
        </w:rPr>
        <w:t xml:space="preserve"> </w:t>
      </w:r>
      <w:r w:rsidRPr="007F38B6">
        <w:rPr>
          <w:rFonts w:ascii="Arial" w:hAnsi="Arial" w:cs="Arial"/>
          <w:sz w:val="18"/>
          <w:szCs w:val="18"/>
        </w:rPr>
        <w:t>y</w:t>
      </w:r>
      <w:r w:rsidR="00E645C2" w:rsidRPr="007F38B6">
        <w:rPr>
          <w:rFonts w:ascii="Arial" w:hAnsi="Arial" w:cs="Arial"/>
          <w:sz w:val="18"/>
          <w:szCs w:val="18"/>
        </w:rPr>
        <w:t xml:space="preserve"> </w:t>
      </w:r>
      <w:r w:rsidRPr="007F38B6">
        <w:rPr>
          <w:rFonts w:ascii="Arial" w:hAnsi="Arial" w:cs="Arial"/>
          <w:sz w:val="18"/>
          <w:szCs w:val="18"/>
        </w:rPr>
        <w:t>267</w:t>
      </w:r>
      <w:r w:rsidR="00E645C2" w:rsidRPr="007F38B6">
        <w:rPr>
          <w:rFonts w:ascii="Arial" w:hAnsi="Arial" w:cs="Arial"/>
          <w:sz w:val="18"/>
          <w:szCs w:val="18"/>
        </w:rPr>
        <w:t xml:space="preserve"> </w:t>
      </w:r>
      <w:r w:rsidRPr="007F38B6">
        <w:rPr>
          <w:rFonts w:ascii="Arial" w:hAnsi="Arial" w:cs="Arial"/>
          <w:sz w:val="18"/>
          <w:szCs w:val="18"/>
        </w:rPr>
        <w:t>de la Constitución Política, respectivamente según sea el caso y estarán sometidas al régimen de inhabilidades e incompatibilidades previsto legalmente para la contratación estatal”.</w:t>
      </w:r>
    </w:p>
    <w:p w14:paraId="5C6FB40F" w14:textId="77777777" w:rsidR="00E645C2" w:rsidRPr="007F38B6" w:rsidRDefault="00E645C2" w:rsidP="007F38B6">
      <w:pPr>
        <w:pStyle w:val="Textonotapie"/>
        <w:ind w:firstLine="709"/>
        <w:jc w:val="both"/>
        <w:rPr>
          <w:rFonts w:ascii="Arial" w:hAnsi="Arial" w:cs="Arial"/>
          <w:sz w:val="18"/>
          <w:szCs w:val="18"/>
        </w:rPr>
      </w:pPr>
    </w:p>
  </w:footnote>
  <w:footnote w:id="26">
    <w:p w14:paraId="147B182C" w14:textId="0939E2DC" w:rsidR="00FE2F33" w:rsidRPr="007F38B6" w:rsidRDefault="00FE2F33" w:rsidP="007F38B6">
      <w:pPr>
        <w:pStyle w:val="Textonotapie"/>
        <w:ind w:firstLine="709"/>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Decreto 092 de 2017, “</w:t>
      </w:r>
      <w:bookmarkStart w:id="18" w:name="6"/>
      <w:r w:rsidRPr="007F38B6">
        <w:rPr>
          <w:rFonts w:ascii="Arial" w:hAnsi="Arial" w:cs="Arial"/>
          <w:sz w:val="18"/>
          <w:szCs w:val="18"/>
        </w:rPr>
        <w:t>Artículo 6.</w:t>
      </w:r>
      <w:bookmarkEnd w:id="18"/>
      <w:r w:rsidR="00E645C2" w:rsidRPr="007F38B6">
        <w:rPr>
          <w:rFonts w:ascii="Arial" w:hAnsi="Arial" w:cs="Arial"/>
          <w:sz w:val="18"/>
          <w:szCs w:val="18"/>
        </w:rPr>
        <w:t xml:space="preserve"> </w:t>
      </w:r>
      <w:r w:rsidRPr="007F38B6">
        <w:rPr>
          <w:rFonts w:ascii="Arial" w:hAnsi="Arial" w:cs="Arial"/>
          <w:sz w:val="18"/>
          <w:szCs w:val="18"/>
        </w:rPr>
        <w:t>Las prohibiciones, inhabilidades e incompatibilidades establecidas en la Constitución y en las Leyes</w:t>
      </w:r>
      <w:r w:rsidR="00E645C2" w:rsidRPr="007F38B6">
        <w:rPr>
          <w:rFonts w:ascii="Arial" w:hAnsi="Arial" w:cs="Arial"/>
          <w:sz w:val="18"/>
          <w:szCs w:val="18"/>
        </w:rPr>
        <w:t xml:space="preserve"> </w:t>
      </w:r>
      <w:r w:rsidRPr="007F38B6">
        <w:rPr>
          <w:rFonts w:ascii="Arial" w:hAnsi="Arial" w:cs="Arial"/>
          <w:sz w:val="18"/>
          <w:szCs w:val="18"/>
        </w:rPr>
        <w:t>80</w:t>
      </w:r>
      <w:r w:rsidR="00E645C2" w:rsidRPr="007F38B6">
        <w:rPr>
          <w:rFonts w:ascii="Arial" w:hAnsi="Arial" w:cs="Arial"/>
          <w:sz w:val="18"/>
          <w:szCs w:val="18"/>
        </w:rPr>
        <w:t xml:space="preserve"> </w:t>
      </w:r>
      <w:r w:rsidRPr="007F38B6">
        <w:rPr>
          <w:rFonts w:ascii="Arial" w:hAnsi="Arial" w:cs="Arial"/>
          <w:sz w:val="18"/>
          <w:szCs w:val="18"/>
        </w:rPr>
        <w:t>de 1993,</w:t>
      </w:r>
      <w:r w:rsidR="00E645C2" w:rsidRPr="007F38B6">
        <w:rPr>
          <w:rFonts w:ascii="Arial" w:hAnsi="Arial" w:cs="Arial"/>
          <w:sz w:val="18"/>
          <w:szCs w:val="18"/>
        </w:rPr>
        <w:t xml:space="preserve"> </w:t>
      </w:r>
      <w:r w:rsidRPr="007F38B6">
        <w:rPr>
          <w:rFonts w:ascii="Arial" w:hAnsi="Arial" w:cs="Arial"/>
          <w:sz w:val="18"/>
          <w:szCs w:val="18"/>
        </w:rPr>
        <w:t>1150</w:t>
      </w:r>
      <w:r w:rsidR="00E645C2" w:rsidRPr="007F38B6">
        <w:rPr>
          <w:rFonts w:ascii="Arial" w:hAnsi="Arial" w:cs="Arial"/>
          <w:sz w:val="18"/>
          <w:szCs w:val="18"/>
        </w:rPr>
        <w:t xml:space="preserve"> </w:t>
      </w:r>
      <w:r w:rsidRPr="007F38B6">
        <w:rPr>
          <w:rFonts w:ascii="Arial" w:hAnsi="Arial" w:cs="Arial"/>
          <w:sz w:val="18"/>
          <w:szCs w:val="18"/>
        </w:rPr>
        <w:t>de 2007 y</w:t>
      </w:r>
      <w:r w:rsidR="00E645C2" w:rsidRPr="007F38B6">
        <w:rPr>
          <w:rFonts w:ascii="Arial" w:hAnsi="Arial" w:cs="Arial"/>
          <w:sz w:val="18"/>
          <w:szCs w:val="18"/>
        </w:rPr>
        <w:t xml:space="preserve"> </w:t>
      </w:r>
      <w:r w:rsidRPr="007F38B6">
        <w:rPr>
          <w:rFonts w:ascii="Arial" w:hAnsi="Arial" w:cs="Arial"/>
          <w:sz w:val="18"/>
          <w:szCs w:val="18"/>
        </w:rPr>
        <w:t>1474</w:t>
      </w:r>
      <w:r w:rsidR="00E645C2" w:rsidRPr="007F38B6">
        <w:rPr>
          <w:rFonts w:ascii="Arial" w:hAnsi="Arial" w:cs="Arial"/>
          <w:sz w:val="18"/>
          <w:szCs w:val="18"/>
        </w:rPr>
        <w:t xml:space="preserve"> </w:t>
      </w:r>
      <w:r w:rsidRPr="007F38B6">
        <w:rPr>
          <w:rFonts w:ascii="Arial" w:hAnsi="Arial" w:cs="Arial"/>
          <w:sz w:val="18"/>
          <w:szCs w:val="18"/>
        </w:rPr>
        <w:t>de 2011, y en las normas que las modifiquen, aclaren, adicionen o sustituyan, o en cualquier otra norma especial, son aplicables a la contratación a la que hace referencia el presente decreto”.</w:t>
      </w:r>
    </w:p>
  </w:footnote>
  <w:footnote w:id="27">
    <w:p w14:paraId="63D44C84" w14:textId="379C4B10" w:rsidR="00657DAD" w:rsidRPr="007F38B6" w:rsidRDefault="00657DAD" w:rsidP="007F38B6">
      <w:pPr>
        <w:pStyle w:val="Textonotapie"/>
        <w:ind w:firstLine="709"/>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El artículo 189.11 de la Constitución Política de 1991 dispone que corresponde al Presidente de la República “Ejercer la potestad reglamentaria, mediante la expedición de los decretos, resoluciones y órdenes necesarios para la cumplida ejecución de las leyes”.</w:t>
      </w:r>
    </w:p>
    <w:p w14:paraId="3298DB70" w14:textId="77777777" w:rsidR="00E670DF" w:rsidRPr="007F38B6" w:rsidRDefault="00E670DF" w:rsidP="007F38B6">
      <w:pPr>
        <w:pStyle w:val="Textonotapie"/>
        <w:ind w:firstLine="709"/>
        <w:jc w:val="both"/>
        <w:rPr>
          <w:rFonts w:ascii="Arial" w:hAnsi="Arial" w:cs="Arial"/>
          <w:sz w:val="18"/>
          <w:szCs w:val="18"/>
          <w:lang w:val="es-ES"/>
        </w:rPr>
      </w:pPr>
    </w:p>
  </w:footnote>
  <w:footnote w:id="28">
    <w:p w14:paraId="62884F8C" w14:textId="7AD637D1" w:rsidR="00657DAD" w:rsidRPr="007F38B6" w:rsidRDefault="00657DAD"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00E670DF" w:rsidRPr="007F38B6">
        <w:rPr>
          <w:rFonts w:ascii="Arial" w:hAnsi="Arial" w:cs="Arial"/>
          <w:sz w:val="18"/>
          <w:szCs w:val="18"/>
        </w:rPr>
        <w:t xml:space="preserve"> L</w:t>
      </w:r>
      <w:r w:rsidRPr="007F38B6">
        <w:rPr>
          <w:rFonts w:ascii="Arial" w:hAnsi="Arial" w:cs="Arial"/>
          <w:sz w:val="18"/>
          <w:szCs w:val="18"/>
        </w:rPr>
        <w:t xml:space="preserve">a potestad reglamentaria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7F38B6">
        <w:rPr>
          <w:rFonts w:ascii="Arial" w:hAnsi="Arial" w:cs="Arial"/>
          <w:i/>
          <w:iCs/>
          <w:sz w:val="18"/>
          <w:szCs w:val="18"/>
        </w:rPr>
        <w:t>La única consecuencia normativa del término establecido por el legislador es la de imponerle al Presidente de la República el deber de reglamentar la ley dentro de dicho plazo</w:t>
      </w:r>
      <w:r w:rsidRPr="007F38B6">
        <w:rPr>
          <w:rFonts w:ascii="Arial" w:hAnsi="Arial" w:cs="Arial"/>
          <w:sz w:val="18"/>
          <w:szCs w:val="18"/>
        </w:rPr>
        <w:t>”</w:t>
      </w:r>
      <w:r w:rsidR="00E670DF" w:rsidRPr="007F38B6">
        <w:rPr>
          <w:rFonts w:ascii="Arial" w:hAnsi="Arial" w:cs="Arial"/>
          <w:sz w:val="18"/>
          <w:szCs w:val="18"/>
        </w:rPr>
        <w:t xml:space="preserve">. Corte Constitucional. </w:t>
      </w:r>
      <w:r w:rsidRPr="007F38B6">
        <w:rPr>
          <w:rFonts w:ascii="Arial" w:hAnsi="Arial" w:cs="Arial"/>
          <w:sz w:val="18"/>
          <w:szCs w:val="18"/>
        </w:rPr>
        <w:t>Sentencia C-805 de 2001. M.P. Rodrigo Escobar Gil.</w:t>
      </w:r>
    </w:p>
    <w:p w14:paraId="6D0C1561" w14:textId="77777777" w:rsidR="00E670DF" w:rsidRPr="007F38B6" w:rsidRDefault="00E670DF" w:rsidP="007F38B6">
      <w:pPr>
        <w:pStyle w:val="Textonotapie"/>
        <w:ind w:firstLine="708"/>
        <w:jc w:val="both"/>
        <w:rPr>
          <w:rFonts w:ascii="Arial" w:hAnsi="Arial" w:cs="Arial"/>
          <w:sz w:val="18"/>
          <w:szCs w:val="18"/>
        </w:rPr>
      </w:pPr>
    </w:p>
  </w:footnote>
  <w:footnote w:id="29">
    <w:p w14:paraId="2260A7C5" w14:textId="24E1782D" w:rsidR="00657DAD" w:rsidRPr="007F38B6" w:rsidRDefault="00657DAD" w:rsidP="007F38B6">
      <w:pPr>
        <w:pStyle w:val="Textonotapie"/>
        <w:ind w:firstLine="709"/>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GUASTINI, </w:t>
      </w:r>
      <w:r w:rsidR="00E670DF" w:rsidRPr="007F38B6">
        <w:rPr>
          <w:rFonts w:ascii="Arial" w:hAnsi="Arial" w:cs="Arial"/>
          <w:sz w:val="18"/>
          <w:szCs w:val="18"/>
        </w:rPr>
        <w:t>Ricardo</w:t>
      </w:r>
      <w:r w:rsidRPr="007F38B6">
        <w:rPr>
          <w:rFonts w:ascii="Arial" w:hAnsi="Arial" w:cs="Arial"/>
          <w:sz w:val="18"/>
          <w:szCs w:val="18"/>
        </w:rPr>
        <w:t xml:space="preserve">. Interpretar y argumentar. Madrid: Centro de Estudios Políticos y Constitucionales, 2014. p. 145. El autor también propone los siguientes ejemplos de </w:t>
      </w:r>
      <w:r w:rsidRPr="007F38B6">
        <w:rPr>
          <w:rFonts w:ascii="Arial" w:hAnsi="Arial" w:cs="Arial"/>
          <w:i/>
          <w:iCs/>
          <w:sz w:val="18"/>
          <w:szCs w:val="18"/>
        </w:rPr>
        <w:t>lagunas técnicas</w:t>
      </w:r>
      <w:r w:rsidRPr="007F38B6">
        <w:rPr>
          <w:rFonts w:ascii="Arial" w:hAnsi="Arial" w:cs="Arial"/>
          <w:sz w:val="18"/>
          <w:szCs w:val="18"/>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7F38B6">
        <w:rPr>
          <w:rFonts w:ascii="Arial" w:hAnsi="Arial" w:cs="Arial"/>
          <w:i/>
          <w:iCs/>
          <w:sz w:val="18"/>
          <w:szCs w:val="18"/>
        </w:rPr>
        <w:t>Ibidem</w:t>
      </w:r>
      <w:r w:rsidRPr="007F38B6">
        <w:rPr>
          <w:rFonts w:ascii="Arial" w:hAnsi="Arial" w:cs="Arial"/>
          <w:sz w:val="18"/>
          <w:szCs w:val="18"/>
        </w:rPr>
        <w:t>).</w:t>
      </w:r>
    </w:p>
    <w:p w14:paraId="479EA9F2" w14:textId="77777777" w:rsidR="00E670DF" w:rsidRPr="007F38B6" w:rsidRDefault="00E670DF" w:rsidP="007F38B6">
      <w:pPr>
        <w:pStyle w:val="Textonotapie"/>
        <w:ind w:firstLine="709"/>
        <w:jc w:val="both"/>
        <w:rPr>
          <w:rFonts w:ascii="Arial" w:hAnsi="Arial" w:cs="Arial"/>
          <w:sz w:val="18"/>
          <w:szCs w:val="18"/>
        </w:rPr>
      </w:pPr>
    </w:p>
  </w:footnote>
  <w:footnote w:id="30">
    <w:p w14:paraId="7110F858" w14:textId="6E34FB17" w:rsidR="00657DAD" w:rsidRPr="007F38B6" w:rsidRDefault="00657DAD" w:rsidP="007F38B6">
      <w:pPr>
        <w:ind w:firstLine="709"/>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w:t>
      </w:r>
      <w:r w:rsidR="00E670DF" w:rsidRPr="007F38B6">
        <w:rPr>
          <w:rFonts w:ascii="Arial" w:hAnsi="Arial" w:cs="Arial"/>
          <w:sz w:val="18"/>
          <w:szCs w:val="18"/>
        </w:rPr>
        <w:t xml:space="preserve">“(…) </w:t>
      </w:r>
      <w:r w:rsidRPr="007F38B6">
        <w:rPr>
          <w:rFonts w:ascii="Arial" w:hAnsi="Arial" w:cs="Arial"/>
          <w:sz w:val="18"/>
          <w:szCs w:val="18"/>
        </w:rPr>
        <w:t>la Corte consideró inexequible la atribución de facultades reglamentarias para el propósito de señalar cómo y a quién se va a ceder el contrato, pues tales asuntos deben ser definidos directamente por la ley</w:t>
      </w:r>
      <w:r w:rsidR="00E670DF" w:rsidRPr="007F38B6">
        <w:rPr>
          <w:rFonts w:ascii="Arial" w:hAnsi="Arial" w:cs="Arial"/>
          <w:sz w:val="18"/>
          <w:szCs w:val="18"/>
        </w:rPr>
        <w:t xml:space="preserve"> (…)”</w:t>
      </w:r>
      <w:r w:rsidRPr="007F38B6">
        <w:rPr>
          <w:rFonts w:ascii="Arial" w:hAnsi="Arial" w:cs="Arial"/>
          <w:sz w:val="18"/>
          <w:szCs w:val="18"/>
        </w:rPr>
        <w:t xml:space="preserve">. (Cfr. </w:t>
      </w:r>
      <w:hyperlink r:id="rId2" w:history="1">
        <w:r w:rsidRPr="007F38B6">
          <w:rPr>
            <w:rStyle w:val="Hipervnculo"/>
            <w:rFonts w:ascii="Arial" w:hAnsi="Arial" w:cs="Arial"/>
            <w:sz w:val="18"/>
            <w:szCs w:val="18"/>
          </w:rPr>
          <w:t>https://www.beltranpardo.com/wp-content/uploads/2021/02/CorteConstitucional_Inexequibilidadpar%C3%A1grafo2Art6L2014.pdf</w:t>
        </w:r>
      </w:hyperlink>
      <w:r w:rsidRPr="007F38B6">
        <w:rPr>
          <w:rFonts w:ascii="Arial" w:hAnsi="Arial" w:cs="Arial"/>
          <w:sz w:val="18"/>
          <w:szCs w:val="18"/>
        </w:rPr>
        <w:t>).</w:t>
      </w:r>
    </w:p>
    <w:p w14:paraId="33A1A185" w14:textId="77777777" w:rsidR="00E670DF" w:rsidRPr="007F38B6" w:rsidRDefault="00E670DF" w:rsidP="007F38B6">
      <w:pPr>
        <w:jc w:val="both"/>
        <w:rPr>
          <w:rFonts w:ascii="Arial" w:hAnsi="Arial" w:cs="Arial"/>
          <w:sz w:val="18"/>
          <w:szCs w:val="18"/>
        </w:rPr>
      </w:pPr>
    </w:p>
  </w:footnote>
  <w:footnote w:id="31">
    <w:p w14:paraId="3314489F" w14:textId="7DB42102" w:rsidR="00657DAD" w:rsidRPr="007F38B6" w:rsidRDefault="00657DAD" w:rsidP="007F38B6">
      <w:pPr>
        <w:pStyle w:val="Textonotapie"/>
        <w:ind w:firstLine="709"/>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C</w:t>
      </w:r>
      <w:r w:rsidR="00E670DF" w:rsidRPr="007F38B6">
        <w:rPr>
          <w:rFonts w:ascii="Arial" w:hAnsi="Arial" w:cs="Arial"/>
          <w:sz w:val="18"/>
          <w:szCs w:val="18"/>
        </w:rPr>
        <w:t xml:space="preserve">orte </w:t>
      </w:r>
      <w:r w:rsidRPr="007F38B6">
        <w:rPr>
          <w:rFonts w:ascii="Arial" w:hAnsi="Arial" w:cs="Arial"/>
          <w:sz w:val="18"/>
          <w:szCs w:val="18"/>
        </w:rPr>
        <w:t>C</w:t>
      </w:r>
      <w:r w:rsidR="00E670DF" w:rsidRPr="007F38B6">
        <w:rPr>
          <w:rFonts w:ascii="Arial" w:hAnsi="Arial" w:cs="Arial"/>
          <w:sz w:val="18"/>
          <w:szCs w:val="18"/>
        </w:rPr>
        <w:t>onstitucional</w:t>
      </w:r>
      <w:r w:rsidRPr="007F38B6">
        <w:rPr>
          <w:rFonts w:ascii="Arial" w:hAnsi="Arial" w:cs="Arial"/>
          <w:sz w:val="18"/>
          <w:szCs w:val="18"/>
        </w:rPr>
        <w:t>. Sentencia C-619 del 14 de junio de 2001. M.P. Marco Gerardo Monroy Cabra.</w:t>
      </w:r>
    </w:p>
    <w:p w14:paraId="4B4E985A" w14:textId="77777777" w:rsidR="00E670DF" w:rsidRPr="007F38B6" w:rsidRDefault="00E670DF" w:rsidP="007F38B6">
      <w:pPr>
        <w:pStyle w:val="Textonotapie"/>
        <w:ind w:firstLine="709"/>
        <w:jc w:val="both"/>
        <w:rPr>
          <w:rFonts w:ascii="Arial" w:hAnsi="Arial" w:cs="Arial"/>
          <w:sz w:val="18"/>
          <w:szCs w:val="18"/>
        </w:rPr>
      </w:pPr>
    </w:p>
  </w:footnote>
  <w:footnote w:id="32">
    <w:p w14:paraId="2C32D0F5" w14:textId="5417443C" w:rsidR="00657DAD" w:rsidRPr="007F38B6" w:rsidRDefault="00657DAD" w:rsidP="007F38B6">
      <w:pPr>
        <w:pStyle w:val="Textonotapie"/>
        <w:ind w:firstLine="709"/>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C</w:t>
      </w:r>
      <w:r w:rsidR="00E52BA9" w:rsidRPr="007F38B6">
        <w:rPr>
          <w:rFonts w:ascii="Arial" w:hAnsi="Arial" w:cs="Arial"/>
          <w:sz w:val="18"/>
          <w:szCs w:val="18"/>
        </w:rPr>
        <w:t xml:space="preserve">onsejo de Estado. </w:t>
      </w:r>
      <w:r w:rsidRPr="007F38B6">
        <w:rPr>
          <w:rFonts w:ascii="Arial" w:hAnsi="Arial" w:cs="Arial"/>
          <w:sz w:val="18"/>
          <w:szCs w:val="18"/>
        </w:rPr>
        <w:t xml:space="preserve">Sección Tercera. Auto de 1 de abril de 2009. </w:t>
      </w:r>
      <w:proofErr w:type="spellStart"/>
      <w:r w:rsidRPr="007F38B6">
        <w:rPr>
          <w:rFonts w:ascii="Arial" w:hAnsi="Arial" w:cs="Arial"/>
          <w:sz w:val="18"/>
          <w:szCs w:val="18"/>
        </w:rPr>
        <w:t>Exp</w:t>
      </w:r>
      <w:proofErr w:type="spellEnd"/>
      <w:r w:rsidRPr="007F38B6">
        <w:rPr>
          <w:rFonts w:ascii="Arial" w:hAnsi="Arial" w:cs="Arial"/>
          <w:sz w:val="18"/>
          <w:szCs w:val="18"/>
        </w:rPr>
        <w:t>. 36476. M.P. Ruth Stella Correa Palacio.</w:t>
      </w:r>
    </w:p>
  </w:footnote>
  <w:footnote w:id="33">
    <w:p w14:paraId="34870EA3" w14:textId="3396E566" w:rsidR="00657DAD" w:rsidRPr="007F38B6" w:rsidRDefault="00657DAD"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C</w:t>
      </w:r>
      <w:r w:rsidR="00E52BA9" w:rsidRPr="007F38B6">
        <w:rPr>
          <w:rFonts w:ascii="Arial" w:hAnsi="Arial" w:cs="Arial"/>
          <w:sz w:val="18"/>
          <w:szCs w:val="18"/>
        </w:rPr>
        <w:t>ongreso de la República</w:t>
      </w:r>
      <w:r w:rsidRPr="007F38B6">
        <w:rPr>
          <w:rFonts w:ascii="Arial" w:hAnsi="Arial" w:cs="Arial"/>
          <w:sz w:val="18"/>
          <w:szCs w:val="18"/>
        </w:rPr>
        <w:t>. Gaceta XXVIII, No. 506, del 10 de junio de 2019. p. 21.</w:t>
      </w:r>
    </w:p>
    <w:p w14:paraId="650CA937" w14:textId="77777777" w:rsidR="00E52BA9" w:rsidRPr="007F38B6" w:rsidRDefault="00E52BA9" w:rsidP="007F38B6">
      <w:pPr>
        <w:pStyle w:val="Textonotapie"/>
        <w:ind w:firstLine="708"/>
        <w:jc w:val="both"/>
        <w:rPr>
          <w:rFonts w:ascii="Arial" w:hAnsi="Arial" w:cs="Arial"/>
          <w:sz w:val="18"/>
          <w:szCs w:val="18"/>
        </w:rPr>
      </w:pPr>
    </w:p>
  </w:footnote>
  <w:footnote w:id="34">
    <w:p w14:paraId="3C494F91" w14:textId="3FC3BCBD" w:rsidR="00657DAD" w:rsidRPr="007F38B6" w:rsidRDefault="00657DAD"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C</w:t>
      </w:r>
      <w:r w:rsidR="00E52BA9" w:rsidRPr="007F38B6">
        <w:rPr>
          <w:rFonts w:ascii="Arial" w:hAnsi="Arial" w:cs="Arial"/>
          <w:sz w:val="18"/>
          <w:szCs w:val="18"/>
        </w:rPr>
        <w:t>ongreso de la República</w:t>
      </w:r>
      <w:r w:rsidRPr="007F38B6">
        <w:rPr>
          <w:rFonts w:ascii="Arial" w:hAnsi="Arial" w:cs="Arial"/>
          <w:sz w:val="18"/>
          <w:szCs w:val="18"/>
        </w:rPr>
        <w:t>. Gaceta XXVIII, No. 563, del 18 de junio de 2019. p. 4.</w:t>
      </w:r>
    </w:p>
    <w:p w14:paraId="69B921D8" w14:textId="77777777" w:rsidR="00E52BA9" w:rsidRPr="007F38B6" w:rsidRDefault="00E52BA9" w:rsidP="007F38B6">
      <w:pPr>
        <w:pStyle w:val="Textonotapie"/>
        <w:ind w:firstLine="708"/>
        <w:jc w:val="both"/>
        <w:rPr>
          <w:rFonts w:ascii="Arial" w:hAnsi="Arial" w:cs="Arial"/>
          <w:sz w:val="18"/>
          <w:szCs w:val="18"/>
        </w:rPr>
      </w:pPr>
    </w:p>
  </w:footnote>
  <w:footnote w:id="35">
    <w:p w14:paraId="637E4B09" w14:textId="77777777" w:rsidR="00657DAD" w:rsidRPr="007F38B6" w:rsidRDefault="00657DAD" w:rsidP="007F38B6">
      <w:pPr>
        <w:pStyle w:val="Textonotapie"/>
        <w:ind w:firstLine="709"/>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MARÍN CORTÉS, Fabián Gonzalo. El reglamento, como fuente del derecho administrativo. En: las fuentes del derecho administrativo. Texto inédito. p. 203.</w:t>
      </w:r>
    </w:p>
    <w:p w14:paraId="0298E654" w14:textId="77777777" w:rsidR="00E52BA9" w:rsidRPr="007F38B6" w:rsidRDefault="00E52BA9" w:rsidP="007F38B6">
      <w:pPr>
        <w:pStyle w:val="Textonotapie"/>
        <w:ind w:firstLine="709"/>
        <w:jc w:val="both"/>
        <w:rPr>
          <w:rFonts w:ascii="Arial" w:hAnsi="Arial" w:cs="Arial"/>
          <w:sz w:val="18"/>
          <w:szCs w:val="18"/>
        </w:rPr>
      </w:pPr>
    </w:p>
  </w:footnote>
  <w:footnote w:id="36">
    <w:p w14:paraId="7F117E8B" w14:textId="77777777" w:rsidR="00657DAD" w:rsidRPr="007F38B6" w:rsidRDefault="00657DAD" w:rsidP="007F38B6">
      <w:pPr>
        <w:pStyle w:val="Textonotapie"/>
        <w:ind w:firstLine="709"/>
        <w:jc w:val="both"/>
        <w:rPr>
          <w:rFonts w:ascii="Arial" w:hAnsi="Arial" w:cs="Arial"/>
          <w:sz w:val="18"/>
          <w:szCs w:val="18"/>
          <w:lang w:val="es-ES"/>
        </w:rPr>
      </w:pPr>
      <w:r w:rsidRPr="007F38B6">
        <w:rPr>
          <w:rStyle w:val="Refdenotaalpie"/>
          <w:rFonts w:ascii="Arial" w:hAnsi="Arial" w:cs="Arial"/>
          <w:sz w:val="18"/>
          <w:szCs w:val="18"/>
        </w:rPr>
        <w:footnoteRef/>
      </w:r>
      <w:r w:rsidRPr="007F38B6">
        <w:rPr>
          <w:rFonts w:ascii="Arial" w:hAnsi="Arial" w:cs="Arial"/>
          <w:sz w:val="18"/>
          <w:szCs w:val="18"/>
        </w:rPr>
        <w:t xml:space="preserve"> </w:t>
      </w:r>
      <w:r w:rsidRPr="007F38B6">
        <w:rPr>
          <w:rFonts w:ascii="Arial" w:hAnsi="Arial" w:cs="Arial"/>
          <w:i/>
          <w:iCs/>
          <w:sz w:val="18"/>
          <w:szCs w:val="18"/>
        </w:rPr>
        <w:t>Ibidem</w:t>
      </w:r>
      <w:r w:rsidRPr="007F38B6">
        <w:rPr>
          <w:rFonts w:ascii="Arial" w:hAnsi="Arial" w:cs="Arial"/>
          <w:sz w:val="18"/>
          <w:szCs w:val="18"/>
        </w:rPr>
        <w:t>.</w:t>
      </w:r>
    </w:p>
  </w:footnote>
  <w:footnote w:id="37">
    <w:p w14:paraId="3CFD7E61" w14:textId="7623C614" w:rsidR="007A103F" w:rsidRPr="007F38B6" w:rsidRDefault="007A103F"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Cfr. Contrato interadministrativo No. 762 de 2022 suscrito con la Agencia Nacional de Gobierno Digital -AND- para diseñar, desarrollar, implementar, administrar y operar la solución tecnológica.</w:t>
      </w:r>
    </w:p>
  </w:footnote>
  <w:footnote w:id="38">
    <w:p w14:paraId="0260EEC0" w14:textId="04312DFA" w:rsidR="00DD2DB4" w:rsidRPr="007F38B6" w:rsidRDefault="00DD2DB4" w:rsidP="007F38B6">
      <w:pPr>
        <w:pStyle w:val="Textonotapie"/>
        <w:ind w:firstLine="708"/>
        <w:jc w:val="both"/>
        <w:rPr>
          <w:rFonts w:ascii="Arial" w:hAnsi="Arial" w:cs="Arial"/>
          <w:sz w:val="18"/>
          <w:szCs w:val="18"/>
        </w:rPr>
      </w:pPr>
      <w:r w:rsidRPr="007F38B6">
        <w:rPr>
          <w:rStyle w:val="Refdenotaalpie"/>
          <w:rFonts w:ascii="Arial" w:hAnsi="Arial" w:cs="Arial"/>
          <w:sz w:val="18"/>
          <w:szCs w:val="18"/>
        </w:rPr>
        <w:footnoteRef/>
      </w:r>
      <w:r w:rsidRPr="007F38B6">
        <w:rPr>
          <w:rFonts w:ascii="Arial" w:hAnsi="Arial" w:cs="Arial"/>
          <w:sz w:val="18"/>
          <w:szCs w:val="18"/>
        </w:rPr>
        <w:t xml:space="preserve"> Corte Constitucional. Sentencia C-657 de 1997, M.P. José Gregorio Hernández Galindo.</w:t>
      </w:r>
    </w:p>
  </w:footnote>
  <w:footnote w:id="39">
    <w:p w14:paraId="6AC08729" w14:textId="4DEAA3E4" w:rsidR="007F38B6" w:rsidRPr="007F38B6" w:rsidRDefault="007F38B6" w:rsidP="007F38B6">
      <w:pPr>
        <w:spacing w:after="120" w:line="276" w:lineRule="auto"/>
        <w:ind w:firstLine="708"/>
        <w:jc w:val="both"/>
        <w:rPr>
          <w:rFonts w:ascii="Arial" w:eastAsia="Calibri" w:hAnsi="Arial" w:cs="Arial"/>
          <w:sz w:val="18"/>
          <w:szCs w:val="18"/>
          <w:lang w:val="es-ES" w:eastAsia="en-US"/>
        </w:rPr>
      </w:pPr>
      <w:r w:rsidRPr="007F38B6">
        <w:rPr>
          <w:rStyle w:val="Refdenotaalpie"/>
          <w:rFonts w:ascii="Arial" w:hAnsi="Arial" w:cs="Arial"/>
          <w:sz w:val="18"/>
          <w:szCs w:val="18"/>
        </w:rPr>
        <w:footnoteRef/>
      </w:r>
      <w:r w:rsidRPr="007F38B6">
        <w:rPr>
          <w:rFonts w:ascii="Arial" w:hAnsi="Arial" w:cs="Arial"/>
          <w:sz w:val="18"/>
          <w:szCs w:val="18"/>
        </w:rPr>
        <w:t xml:space="preserve"> Consultar el enlace web: </w:t>
      </w:r>
      <w:hyperlink r:id="rId3" w:history="1">
        <w:r w:rsidRPr="007F38B6">
          <w:rPr>
            <w:rFonts w:ascii="Arial" w:hAnsi="Arial" w:cs="Arial"/>
            <w:color w:val="0000FF"/>
            <w:sz w:val="18"/>
            <w:szCs w:val="18"/>
            <w:u w:val="single"/>
          </w:rPr>
          <w:t xml:space="preserve">GUIA 01 + </w:t>
        </w:r>
        <w:proofErr w:type="spellStart"/>
        <w:r w:rsidRPr="007F38B6">
          <w:rPr>
            <w:rFonts w:ascii="Arial" w:hAnsi="Arial" w:cs="Arial"/>
            <w:color w:val="0000FF"/>
            <w:sz w:val="18"/>
            <w:szCs w:val="18"/>
            <w:u w:val="single"/>
          </w:rPr>
          <w:t>FAQ.cdr</w:t>
        </w:r>
        <w:proofErr w:type="spellEnd"/>
        <w:r w:rsidRPr="007F38B6">
          <w:rPr>
            <w:rFonts w:ascii="Arial" w:hAnsi="Arial" w:cs="Arial"/>
            <w:color w:val="0000FF"/>
            <w:sz w:val="18"/>
            <w:szCs w:val="18"/>
            <w:u w:val="single"/>
          </w:rPr>
          <w:t xml:space="preserve"> (redam.gov.co)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B4F9" w14:textId="34D5ABAE" w:rsidR="003F32E9" w:rsidRPr="00DC46D7" w:rsidRDefault="003F32E9" w:rsidP="003F32E9">
    <w:pPr>
      <w:rPr>
        <w:rFonts w:ascii="Arial" w:hAnsi="Arial" w:cs="Arial"/>
        <w:color w:val="002060"/>
      </w:rPr>
    </w:pPr>
    <w:r w:rsidRPr="00DC46D7">
      <w:rPr>
        <w:rFonts w:ascii="Arial" w:hAnsi="Arial" w:cs="Arial"/>
        <w:noProof/>
      </w:rPr>
      <w:drawing>
        <wp:anchor distT="0" distB="0" distL="114300" distR="114300" simplePos="0" relativeHeight="251658240" behindDoc="0" locked="0" layoutInCell="1" allowOverlap="1" wp14:anchorId="392843FB" wp14:editId="14A51F0C">
          <wp:simplePos x="0" y="0"/>
          <wp:positionH relativeFrom="margin">
            <wp:posOffset>4484370</wp:posOffset>
          </wp:positionH>
          <wp:positionV relativeFrom="paragraph">
            <wp:posOffset>-223467</wp:posOffset>
          </wp:positionV>
          <wp:extent cx="1688592" cy="701040"/>
          <wp:effectExtent l="0" t="0" r="6985" b="3810"/>
          <wp:wrapNone/>
          <wp:docPr id="1894654915" name="Imagen 189465491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r w:rsidRPr="00DC46D7">
      <w:rPr>
        <w:rFonts w:ascii="Arial" w:hAnsi="Arial" w:cs="Arial"/>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3F32E9" w:rsidRPr="003F32E9" w14:paraId="105F26AF" w14:textId="77777777" w:rsidTr="00665991">
      <w:tc>
        <w:tcPr>
          <w:tcW w:w="6756" w:type="dxa"/>
        </w:tcPr>
        <w:p w14:paraId="669685C1" w14:textId="77777777" w:rsidR="003F32E9" w:rsidRPr="00DC46D7" w:rsidRDefault="003F32E9" w:rsidP="003F32E9">
          <w:pPr>
            <w:pBdr>
              <w:top w:val="nil"/>
              <w:left w:val="nil"/>
              <w:bottom w:val="nil"/>
              <w:right w:val="nil"/>
              <w:between w:val="nil"/>
            </w:pBdr>
            <w:tabs>
              <w:tab w:val="center" w:pos="4419"/>
              <w:tab w:val="right" w:pos="8838"/>
              <w:tab w:val="center" w:pos="5400"/>
            </w:tabs>
            <w:rPr>
              <w:rFonts w:ascii="Arial" w:eastAsia="Geo" w:hAnsi="Arial" w:cs="Arial"/>
              <w:b/>
              <w:color w:val="002060"/>
            </w:rPr>
          </w:pPr>
          <w:r w:rsidRPr="00DC46D7">
            <w:rPr>
              <w:rFonts w:ascii="Arial" w:eastAsia="Geo" w:hAnsi="Arial" w:cs="Arial"/>
              <w:b/>
              <w:color w:val="000000"/>
              <w:sz w:val="20"/>
              <w:szCs w:val="20"/>
            </w:rPr>
            <w:t xml:space="preserve">Código: </w:t>
          </w:r>
          <w:r w:rsidRPr="00DC46D7">
            <w:rPr>
              <w:rFonts w:ascii="Arial" w:eastAsia="Geo" w:hAnsi="Arial" w:cs="Arial"/>
              <w:b/>
              <w:color w:val="000000"/>
              <w:sz w:val="18"/>
              <w:szCs w:val="18"/>
            </w:rPr>
            <w:t>CCE-PQRSD-FM-08</w:t>
          </w:r>
        </w:p>
        <w:p w14:paraId="37961A06" w14:textId="77777777" w:rsidR="003F32E9" w:rsidRPr="00DC46D7" w:rsidRDefault="003F32E9" w:rsidP="003F32E9">
          <w:pPr>
            <w:pBdr>
              <w:top w:val="nil"/>
              <w:left w:val="nil"/>
              <w:bottom w:val="nil"/>
              <w:right w:val="nil"/>
              <w:between w:val="nil"/>
            </w:pBdr>
            <w:tabs>
              <w:tab w:val="center" w:pos="4419"/>
              <w:tab w:val="right" w:pos="8838"/>
              <w:tab w:val="center" w:pos="5400"/>
            </w:tabs>
            <w:rPr>
              <w:rFonts w:ascii="Arial" w:eastAsia="Arial Nova" w:hAnsi="Arial" w:cs="Arial"/>
              <w:color w:val="000000"/>
              <w:sz w:val="18"/>
              <w:szCs w:val="18"/>
            </w:rPr>
          </w:pPr>
          <w:r w:rsidRPr="00DC46D7">
            <w:rPr>
              <w:rFonts w:ascii="Arial" w:eastAsia="Geo" w:hAnsi="Arial" w:cs="Arial"/>
              <w:b/>
              <w:color w:val="000000"/>
              <w:sz w:val="20"/>
              <w:szCs w:val="20"/>
            </w:rPr>
            <w:t>Versión</w:t>
          </w:r>
          <w:r w:rsidRPr="00DC46D7">
            <w:rPr>
              <w:rFonts w:ascii="Arial" w:eastAsia="Arial Nova" w:hAnsi="Arial" w:cs="Arial"/>
              <w:b/>
              <w:color w:val="000000"/>
              <w:sz w:val="20"/>
              <w:szCs w:val="20"/>
            </w:rPr>
            <w:t xml:space="preserve">: </w:t>
          </w:r>
          <w:r w:rsidRPr="00DC46D7">
            <w:rPr>
              <w:rFonts w:ascii="Arial" w:eastAsia="Geo" w:hAnsi="Arial" w:cs="Arial"/>
              <w:sz w:val="18"/>
              <w:szCs w:val="18"/>
            </w:rPr>
            <w:t>01 DEL 30 DE AGOSTO DE 2022</w:t>
          </w:r>
        </w:p>
      </w:tc>
      <w:tc>
        <w:tcPr>
          <w:tcW w:w="1324" w:type="dxa"/>
        </w:tcPr>
        <w:p w14:paraId="14713B03" w14:textId="77777777" w:rsidR="003F32E9" w:rsidRPr="00DC46D7" w:rsidRDefault="003F32E9" w:rsidP="003F32E9">
          <w:pPr>
            <w:jc w:val="right"/>
            <w:rPr>
              <w:rFonts w:ascii="Arial" w:eastAsia="Arial Nova" w:hAnsi="Arial" w:cs="Arial"/>
            </w:rPr>
          </w:pPr>
        </w:p>
      </w:tc>
      <w:tc>
        <w:tcPr>
          <w:tcW w:w="1324" w:type="dxa"/>
        </w:tcPr>
        <w:p w14:paraId="56F1ABF8" w14:textId="77777777" w:rsidR="003F32E9" w:rsidRPr="00DC46D7" w:rsidRDefault="003F32E9" w:rsidP="003F32E9">
          <w:pPr>
            <w:jc w:val="right"/>
            <w:rPr>
              <w:rFonts w:ascii="Arial" w:eastAsia="Arial Nova" w:hAnsi="Arial" w:cs="Arial"/>
            </w:rPr>
          </w:pPr>
        </w:p>
      </w:tc>
    </w:tr>
  </w:tbl>
  <w:p w14:paraId="2D5BB608" w14:textId="77777777" w:rsidR="003F32E9" w:rsidRPr="00DC46D7" w:rsidRDefault="003F32E9" w:rsidP="003F32E9">
    <w:pPr>
      <w:pStyle w:val="Encabezado"/>
      <w:ind w:left="3545" w:firstLine="709"/>
      <w:rPr>
        <w:rFonts w:ascii="Arial" w:hAnsi="Arial" w:cs="Arial"/>
        <w:b/>
        <w:bCs/>
        <w:color w:val="A5A5A5" w:themeColor="accent3"/>
        <w:sz w:val="18"/>
        <w:szCs w:val="18"/>
      </w:rPr>
    </w:pPr>
    <w:r w:rsidRPr="00DC46D7">
      <w:rPr>
        <w:rFonts w:ascii="Arial" w:eastAsia="Arial Nova" w:hAnsi="Arial" w:cs="Arial"/>
        <w:noProof/>
        <w:color w:val="000000"/>
        <w:lang w:val="en-US"/>
      </w:rPr>
      <w:drawing>
        <wp:anchor distT="0" distB="0" distL="114300" distR="114300" simplePos="0" relativeHeight="251661312" behindDoc="1" locked="0" layoutInCell="1" allowOverlap="1" wp14:anchorId="4DD80D45" wp14:editId="7481E196">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1D9AD711" w14:textId="7276061E" w:rsidR="004A1847" w:rsidRPr="00DC46D7" w:rsidRDefault="004A1847">
    <w:pPr>
      <w:pStyle w:val="Encabezado"/>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FBA240D"/>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40426F1F"/>
    <w:multiLevelType w:val="hybridMultilevel"/>
    <w:tmpl w:val="FFFFFFFF"/>
    <w:lvl w:ilvl="0" w:tplc="240A0019">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6" w15:restartNumberingAfterBreak="0">
    <w:nsid w:val="4A4450DC"/>
    <w:multiLevelType w:val="hybridMultilevel"/>
    <w:tmpl w:val="450C3B6E"/>
    <w:lvl w:ilvl="0" w:tplc="645A4624">
      <w:start w:val="1"/>
      <w:numFmt w:val="decimal"/>
      <w:lvlText w:val="%1."/>
      <w:lvlJc w:val="left"/>
      <w:pPr>
        <w:tabs>
          <w:tab w:val="num" w:pos="1670"/>
        </w:tabs>
        <w:ind w:left="1670" w:hanging="360"/>
      </w:pPr>
      <w:rPr>
        <w:rFonts w:hint="default"/>
      </w:rPr>
    </w:lvl>
    <w:lvl w:ilvl="1" w:tplc="0C0A0019" w:tentative="1">
      <w:start w:val="1"/>
      <w:numFmt w:val="lowerLetter"/>
      <w:lvlText w:val="%2."/>
      <w:lvlJc w:val="left"/>
      <w:pPr>
        <w:tabs>
          <w:tab w:val="num" w:pos="2390"/>
        </w:tabs>
        <w:ind w:left="2390" w:hanging="360"/>
      </w:pPr>
    </w:lvl>
    <w:lvl w:ilvl="2" w:tplc="0C0A001B" w:tentative="1">
      <w:start w:val="1"/>
      <w:numFmt w:val="lowerRoman"/>
      <w:lvlText w:val="%3."/>
      <w:lvlJc w:val="right"/>
      <w:pPr>
        <w:tabs>
          <w:tab w:val="num" w:pos="3110"/>
        </w:tabs>
        <w:ind w:left="3110" w:hanging="180"/>
      </w:pPr>
    </w:lvl>
    <w:lvl w:ilvl="3" w:tplc="0C0A000F" w:tentative="1">
      <w:start w:val="1"/>
      <w:numFmt w:val="decimal"/>
      <w:lvlText w:val="%4."/>
      <w:lvlJc w:val="left"/>
      <w:pPr>
        <w:tabs>
          <w:tab w:val="num" w:pos="3830"/>
        </w:tabs>
        <w:ind w:left="3830" w:hanging="360"/>
      </w:pPr>
    </w:lvl>
    <w:lvl w:ilvl="4" w:tplc="0C0A0019" w:tentative="1">
      <w:start w:val="1"/>
      <w:numFmt w:val="lowerLetter"/>
      <w:lvlText w:val="%5."/>
      <w:lvlJc w:val="left"/>
      <w:pPr>
        <w:tabs>
          <w:tab w:val="num" w:pos="4550"/>
        </w:tabs>
        <w:ind w:left="4550" w:hanging="360"/>
      </w:pPr>
    </w:lvl>
    <w:lvl w:ilvl="5" w:tplc="0C0A001B" w:tentative="1">
      <w:start w:val="1"/>
      <w:numFmt w:val="lowerRoman"/>
      <w:lvlText w:val="%6."/>
      <w:lvlJc w:val="right"/>
      <w:pPr>
        <w:tabs>
          <w:tab w:val="num" w:pos="5270"/>
        </w:tabs>
        <w:ind w:left="5270" w:hanging="180"/>
      </w:pPr>
    </w:lvl>
    <w:lvl w:ilvl="6" w:tplc="0C0A000F" w:tentative="1">
      <w:start w:val="1"/>
      <w:numFmt w:val="decimal"/>
      <w:lvlText w:val="%7."/>
      <w:lvlJc w:val="left"/>
      <w:pPr>
        <w:tabs>
          <w:tab w:val="num" w:pos="5990"/>
        </w:tabs>
        <w:ind w:left="5990" w:hanging="360"/>
      </w:pPr>
    </w:lvl>
    <w:lvl w:ilvl="7" w:tplc="0C0A0019" w:tentative="1">
      <w:start w:val="1"/>
      <w:numFmt w:val="lowerLetter"/>
      <w:lvlText w:val="%8."/>
      <w:lvlJc w:val="left"/>
      <w:pPr>
        <w:tabs>
          <w:tab w:val="num" w:pos="6710"/>
        </w:tabs>
        <w:ind w:left="6710" w:hanging="360"/>
      </w:pPr>
    </w:lvl>
    <w:lvl w:ilvl="8" w:tplc="0C0A001B" w:tentative="1">
      <w:start w:val="1"/>
      <w:numFmt w:val="lowerRoman"/>
      <w:lvlText w:val="%9."/>
      <w:lvlJc w:val="right"/>
      <w:pPr>
        <w:tabs>
          <w:tab w:val="num" w:pos="7430"/>
        </w:tabs>
        <w:ind w:left="7430" w:hanging="180"/>
      </w:pPr>
    </w:lvl>
  </w:abstractNum>
  <w:abstractNum w:abstractNumId="7" w15:restartNumberingAfterBreak="0">
    <w:nsid w:val="4C8A1377"/>
    <w:multiLevelType w:val="hybridMultilevel"/>
    <w:tmpl w:val="D72C479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708B5B7C"/>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1" w15:restartNumberingAfterBreak="0">
    <w:nsid w:val="7BAA096E"/>
    <w:multiLevelType w:val="multilevel"/>
    <w:tmpl w:val="07662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3"/>
  </w:num>
  <w:num w:numId="2" w16cid:durableId="19822139">
    <w:abstractNumId w:val="1"/>
  </w:num>
  <w:num w:numId="3" w16cid:durableId="909074849">
    <w:abstractNumId w:val="9"/>
  </w:num>
  <w:num w:numId="4" w16cid:durableId="700783666">
    <w:abstractNumId w:val="5"/>
  </w:num>
  <w:num w:numId="5" w16cid:durableId="939681132">
    <w:abstractNumId w:val="4"/>
  </w:num>
  <w:num w:numId="6" w16cid:durableId="1746608719">
    <w:abstractNumId w:val="0"/>
  </w:num>
  <w:num w:numId="7" w16cid:durableId="1623270066">
    <w:abstractNumId w:val="10"/>
  </w:num>
  <w:num w:numId="8" w16cid:durableId="1614480891">
    <w:abstractNumId w:val="2"/>
  </w:num>
  <w:num w:numId="9" w16cid:durableId="876813715">
    <w:abstractNumId w:val="6"/>
  </w:num>
  <w:num w:numId="10" w16cid:durableId="1551847127">
    <w:abstractNumId w:val="7"/>
  </w:num>
  <w:num w:numId="11" w16cid:durableId="323362347">
    <w:abstractNumId w:val="8"/>
  </w:num>
  <w:num w:numId="12" w16cid:durableId="13316425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9AF"/>
    <w:rsid w:val="00005C5B"/>
    <w:rsid w:val="00006C96"/>
    <w:rsid w:val="00011723"/>
    <w:rsid w:val="00015F3C"/>
    <w:rsid w:val="00016C9F"/>
    <w:rsid w:val="0002069E"/>
    <w:rsid w:val="00030FA9"/>
    <w:rsid w:val="0003313C"/>
    <w:rsid w:val="00033622"/>
    <w:rsid w:val="000342DF"/>
    <w:rsid w:val="00034D67"/>
    <w:rsid w:val="000376A2"/>
    <w:rsid w:val="0004186E"/>
    <w:rsid w:val="00044964"/>
    <w:rsid w:val="00045C9E"/>
    <w:rsid w:val="00052EE1"/>
    <w:rsid w:val="00057652"/>
    <w:rsid w:val="000611B9"/>
    <w:rsid w:val="000711CD"/>
    <w:rsid w:val="00073392"/>
    <w:rsid w:val="00073DB3"/>
    <w:rsid w:val="000901AC"/>
    <w:rsid w:val="0009044B"/>
    <w:rsid w:val="00090C92"/>
    <w:rsid w:val="00092F23"/>
    <w:rsid w:val="00094121"/>
    <w:rsid w:val="0009624A"/>
    <w:rsid w:val="000A3617"/>
    <w:rsid w:val="000A57A9"/>
    <w:rsid w:val="000A6EE3"/>
    <w:rsid w:val="000B6F6D"/>
    <w:rsid w:val="000B6FF7"/>
    <w:rsid w:val="000C100B"/>
    <w:rsid w:val="000C117A"/>
    <w:rsid w:val="000C4726"/>
    <w:rsid w:val="000C7279"/>
    <w:rsid w:val="000D1D69"/>
    <w:rsid w:val="000E0CBA"/>
    <w:rsid w:val="000E441B"/>
    <w:rsid w:val="000E6803"/>
    <w:rsid w:val="000E7640"/>
    <w:rsid w:val="000F2CA7"/>
    <w:rsid w:val="000F361C"/>
    <w:rsid w:val="000F4CEA"/>
    <w:rsid w:val="000F6317"/>
    <w:rsid w:val="00102897"/>
    <w:rsid w:val="00102CA8"/>
    <w:rsid w:val="00105A5E"/>
    <w:rsid w:val="001062BE"/>
    <w:rsid w:val="00112673"/>
    <w:rsid w:val="001147C3"/>
    <w:rsid w:val="001157F0"/>
    <w:rsid w:val="00116F15"/>
    <w:rsid w:val="00120DBE"/>
    <w:rsid w:val="00127233"/>
    <w:rsid w:val="001332CB"/>
    <w:rsid w:val="00133859"/>
    <w:rsid w:val="00133BF5"/>
    <w:rsid w:val="0014510C"/>
    <w:rsid w:val="00147189"/>
    <w:rsid w:val="0015046C"/>
    <w:rsid w:val="00151DEA"/>
    <w:rsid w:val="00155B32"/>
    <w:rsid w:val="00156921"/>
    <w:rsid w:val="00157613"/>
    <w:rsid w:val="00157E9F"/>
    <w:rsid w:val="001605B9"/>
    <w:rsid w:val="001619EF"/>
    <w:rsid w:val="00161FA6"/>
    <w:rsid w:val="00165E51"/>
    <w:rsid w:val="001704CC"/>
    <w:rsid w:val="001705DA"/>
    <w:rsid w:val="00174522"/>
    <w:rsid w:val="00176A37"/>
    <w:rsid w:val="00177A73"/>
    <w:rsid w:val="00177D8E"/>
    <w:rsid w:val="00185930"/>
    <w:rsid w:val="0018763A"/>
    <w:rsid w:val="001920F0"/>
    <w:rsid w:val="0019389F"/>
    <w:rsid w:val="00195008"/>
    <w:rsid w:val="001A1131"/>
    <w:rsid w:val="001A661E"/>
    <w:rsid w:val="001A6F51"/>
    <w:rsid w:val="001A7B2F"/>
    <w:rsid w:val="001B368A"/>
    <w:rsid w:val="001B74DC"/>
    <w:rsid w:val="001C0AEF"/>
    <w:rsid w:val="001C0F63"/>
    <w:rsid w:val="001C2AFF"/>
    <w:rsid w:val="001C4AFC"/>
    <w:rsid w:val="001C5A8B"/>
    <w:rsid w:val="001D2001"/>
    <w:rsid w:val="001E04D3"/>
    <w:rsid w:val="001E0DBB"/>
    <w:rsid w:val="001E468D"/>
    <w:rsid w:val="001E5744"/>
    <w:rsid w:val="001F1091"/>
    <w:rsid w:val="001F7F95"/>
    <w:rsid w:val="00202996"/>
    <w:rsid w:val="00203519"/>
    <w:rsid w:val="0020655F"/>
    <w:rsid w:val="002224E3"/>
    <w:rsid w:val="00223CC8"/>
    <w:rsid w:val="00233F2F"/>
    <w:rsid w:val="0024149D"/>
    <w:rsid w:val="00244949"/>
    <w:rsid w:val="0024797F"/>
    <w:rsid w:val="00247E73"/>
    <w:rsid w:val="00260095"/>
    <w:rsid w:val="00261794"/>
    <w:rsid w:val="0026539A"/>
    <w:rsid w:val="00271F64"/>
    <w:rsid w:val="002727A4"/>
    <w:rsid w:val="00273710"/>
    <w:rsid w:val="002738F5"/>
    <w:rsid w:val="002740B0"/>
    <w:rsid w:val="00280BE0"/>
    <w:rsid w:val="00286DCA"/>
    <w:rsid w:val="00287C4C"/>
    <w:rsid w:val="002942F8"/>
    <w:rsid w:val="002951A0"/>
    <w:rsid w:val="0029529F"/>
    <w:rsid w:val="002A5A2D"/>
    <w:rsid w:val="002A64FD"/>
    <w:rsid w:val="002B6363"/>
    <w:rsid w:val="002C1E2B"/>
    <w:rsid w:val="002C2275"/>
    <w:rsid w:val="002C4E97"/>
    <w:rsid w:val="002C500D"/>
    <w:rsid w:val="002C5E84"/>
    <w:rsid w:val="002D4E81"/>
    <w:rsid w:val="002D5CEC"/>
    <w:rsid w:val="002D6E11"/>
    <w:rsid w:val="002E1E87"/>
    <w:rsid w:val="002F14A8"/>
    <w:rsid w:val="002F1891"/>
    <w:rsid w:val="002F3389"/>
    <w:rsid w:val="002F3960"/>
    <w:rsid w:val="00302744"/>
    <w:rsid w:val="00311E9B"/>
    <w:rsid w:val="003128DD"/>
    <w:rsid w:val="00315DA5"/>
    <w:rsid w:val="0031797A"/>
    <w:rsid w:val="00317DF7"/>
    <w:rsid w:val="003211A8"/>
    <w:rsid w:val="00324133"/>
    <w:rsid w:val="00325068"/>
    <w:rsid w:val="00326D2A"/>
    <w:rsid w:val="00332DF6"/>
    <w:rsid w:val="003369B1"/>
    <w:rsid w:val="00337C19"/>
    <w:rsid w:val="00340FB6"/>
    <w:rsid w:val="003461E1"/>
    <w:rsid w:val="00350B77"/>
    <w:rsid w:val="00350EC8"/>
    <w:rsid w:val="00355CEA"/>
    <w:rsid w:val="00360CD2"/>
    <w:rsid w:val="003630BA"/>
    <w:rsid w:val="0036575C"/>
    <w:rsid w:val="00367BC4"/>
    <w:rsid w:val="00374773"/>
    <w:rsid w:val="003748DA"/>
    <w:rsid w:val="00377937"/>
    <w:rsid w:val="00381DAF"/>
    <w:rsid w:val="0038212D"/>
    <w:rsid w:val="00384A55"/>
    <w:rsid w:val="00394C98"/>
    <w:rsid w:val="003A3B99"/>
    <w:rsid w:val="003A44E9"/>
    <w:rsid w:val="003A53CC"/>
    <w:rsid w:val="003B172C"/>
    <w:rsid w:val="003B192E"/>
    <w:rsid w:val="003B455C"/>
    <w:rsid w:val="003B5D17"/>
    <w:rsid w:val="003B652A"/>
    <w:rsid w:val="003C0266"/>
    <w:rsid w:val="003C22FF"/>
    <w:rsid w:val="003C4AF5"/>
    <w:rsid w:val="003C6733"/>
    <w:rsid w:val="003D0F4D"/>
    <w:rsid w:val="003E7AD4"/>
    <w:rsid w:val="003F1B64"/>
    <w:rsid w:val="003F20D9"/>
    <w:rsid w:val="003F32E9"/>
    <w:rsid w:val="003F364D"/>
    <w:rsid w:val="00411471"/>
    <w:rsid w:val="00414BD0"/>
    <w:rsid w:val="00416AF4"/>
    <w:rsid w:val="00422F3D"/>
    <w:rsid w:val="00430EF2"/>
    <w:rsid w:val="00431FB2"/>
    <w:rsid w:val="00436EEF"/>
    <w:rsid w:val="00440AB9"/>
    <w:rsid w:val="00443AA4"/>
    <w:rsid w:val="00450BB7"/>
    <w:rsid w:val="00450F3B"/>
    <w:rsid w:val="00452FEF"/>
    <w:rsid w:val="00455004"/>
    <w:rsid w:val="004573DE"/>
    <w:rsid w:val="004727E7"/>
    <w:rsid w:val="00472908"/>
    <w:rsid w:val="004866AE"/>
    <w:rsid w:val="00490369"/>
    <w:rsid w:val="00492C65"/>
    <w:rsid w:val="004A0939"/>
    <w:rsid w:val="004A1847"/>
    <w:rsid w:val="004A2554"/>
    <w:rsid w:val="004A2B4C"/>
    <w:rsid w:val="004A396F"/>
    <w:rsid w:val="004A55AD"/>
    <w:rsid w:val="004A7AC1"/>
    <w:rsid w:val="004B0E7E"/>
    <w:rsid w:val="004B169B"/>
    <w:rsid w:val="004B22FB"/>
    <w:rsid w:val="004B5497"/>
    <w:rsid w:val="004B55F5"/>
    <w:rsid w:val="004C1905"/>
    <w:rsid w:val="004C6C13"/>
    <w:rsid w:val="004D2760"/>
    <w:rsid w:val="004D614B"/>
    <w:rsid w:val="004D7845"/>
    <w:rsid w:val="004E0C3B"/>
    <w:rsid w:val="004E15DE"/>
    <w:rsid w:val="004E1B20"/>
    <w:rsid w:val="004E3274"/>
    <w:rsid w:val="004E4AE9"/>
    <w:rsid w:val="004F0492"/>
    <w:rsid w:val="004F0B24"/>
    <w:rsid w:val="004F76C5"/>
    <w:rsid w:val="0050314B"/>
    <w:rsid w:val="005037A4"/>
    <w:rsid w:val="00510520"/>
    <w:rsid w:val="00527549"/>
    <w:rsid w:val="005320AB"/>
    <w:rsid w:val="00534A50"/>
    <w:rsid w:val="0053566A"/>
    <w:rsid w:val="005358C0"/>
    <w:rsid w:val="005413CC"/>
    <w:rsid w:val="0054322B"/>
    <w:rsid w:val="00543A02"/>
    <w:rsid w:val="00554061"/>
    <w:rsid w:val="005566E8"/>
    <w:rsid w:val="005574CA"/>
    <w:rsid w:val="005651C8"/>
    <w:rsid w:val="0057211C"/>
    <w:rsid w:val="00574913"/>
    <w:rsid w:val="005773E8"/>
    <w:rsid w:val="0058027E"/>
    <w:rsid w:val="005859BA"/>
    <w:rsid w:val="00587A2C"/>
    <w:rsid w:val="005920AE"/>
    <w:rsid w:val="00595F75"/>
    <w:rsid w:val="005A17AE"/>
    <w:rsid w:val="005A5489"/>
    <w:rsid w:val="005A5C10"/>
    <w:rsid w:val="005A5FB5"/>
    <w:rsid w:val="005A7315"/>
    <w:rsid w:val="005A74A5"/>
    <w:rsid w:val="005A7715"/>
    <w:rsid w:val="005B0225"/>
    <w:rsid w:val="005B4C0A"/>
    <w:rsid w:val="005B553F"/>
    <w:rsid w:val="005B634F"/>
    <w:rsid w:val="005C1C84"/>
    <w:rsid w:val="005C5D99"/>
    <w:rsid w:val="005C62BB"/>
    <w:rsid w:val="005C65E8"/>
    <w:rsid w:val="005C66A3"/>
    <w:rsid w:val="005C75EF"/>
    <w:rsid w:val="005C7725"/>
    <w:rsid w:val="005D0E55"/>
    <w:rsid w:val="005D14C5"/>
    <w:rsid w:val="005D6643"/>
    <w:rsid w:val="005E11E8"/>
    <w:rsid w:val="005E21BB"/>
    <w:rsid w:val="005E3506"/>
    <w:rsid w:val="005F0534"/>
    <w:rsid w:val="005F44E4"/>
    <w:rsid w:val="00602595"/>
    <w:rsid w:val="00602712"/>
    <w:rsid w:val="00613742"/>
    <w:rsid w:val="006219F8"/>
    <w:rsid w:val="00622574"/>
    <w:rsid w:val="006244A4"/>
    <w:rsid w:val="006267CA"/>
    <w:rsid w:val="00627087"/>
    <w:rsid w:val="00632268"/>
    <w:rsid w:val="00641E24"/>
    <w:rsid w:val="00642EB8"/>
    <w:rsid w:val="0064473D"/>
    <w:rsid w:val="00647100"/>
    <w:rsid w:val="0065362D"/>
    <w:rsid w:val="00657DAD"/>
    <w:rsid w:val="00662025"/>
    <w:rsid w:val="0066546F"/>
    <w:rsid w:val="00671014"/>
    <w:rsid w:val="00672EC2"/>
    <w:rsid w:val="00675043"/>
    <w:rsid w:val="00680543"/>
    <w:rsid w:val="006806AF"/>
    <w:rsid w:val="006822B7"/>
    <w:rsid w:val="00687243"/>
    <w:rsid w:val="006917FA"/>
    <w:rsid w:val="00694A92"/>
    <w:rsid w:val="0069673C"/>
    <w:rsid w:val="006A5EDE"/>
    <w:rsid w:val="006B656C"/>
    <w:rsid w:val="006B7614"/>
    <w:rsid w:val="006C280C"/>
    <w:rsid w:val="006C2D9D"/>
    <w:rsid w:val="006D2C7B"/>
    <w:rsid w:val="006D671C"/>
    <w:rsid w:val="006E2EDF"/>
    <w:rsid w:val="006E71C0"/>
    <w:rsid w:val="006E74D3"/>
    <w:rsid w:val="006E7653"/>
    <w:rsid w:val="006F15B3"/>
    <w:rsid w:val="006F194E"/>
    <w:rsid w:val="00701558"/>
    <w:rsid w:val="007159C1"/>
    <w:rsid w:val="00715A1B"/>
    <w:rsid w:val="00722A90"/>
    <w:rsid w:val="00722DE8"/>
    <w:rsid w:val="00723F3B"/>
    <w:rsid w:val="00724BC3"/>
    <w:rsid w:val="00726DFD"/>
    <w:rsid w:val="00730C11"/>
    <w:rsid w:val="007367DF"/>
    <w:rsid w:val="007377CC"/>
    <w:rsid w:val="00737800"/>
    <w:rsid w:val="00741E40"/>
    <w:rsid w:val="0074293B"/>
    <w:rsid w:val="007430F6"/>
    <w:rsid w:val="00744D25"/>
    <w:rsid w:val="007450BA"/>
    <w:rsid w:val="00751815"/>
    <w:rsid w:val="00754CFD"/>
    <w:rsid w:val="00756877"/>
    <w:rsid w:val="00760D3F"/>
    <w:rsid w:val="0076185E"/>
    <w:rsid w:val="00763684"/>
    <w:rsid w:val="00780972"/>
    <w:rsid w:val="00787E9B"/>
    <w:rsid w:val="00791066"/>
    <w:rsid w:val="007928FC"/>
    <w:rsid w:val="007956CD"/>
    <w:rsid w:val="007969B1"/>
    <w:rsid w:val="007A103F"/>
    <w:rsid w:val="007A6C76"/>
    <w:rsid w:val="007A71E7"/>
    <w:rsid w:val="007A72A3"/>
    <w:rsid w:val="007B5997"/>
    <w:rsid w:val="007B5BBB"/>
    <w:rsid w:val="007C2C23"/>
    <w:rsid w:val="007C55A2"/>
    <w:rsid w:val="007D228F"/>
    <w:rsid w:val="007D6E60"/>
    <w:rsid w:val="007E2BB3"/>
    <w:rsid w:val="007E3C61"/>
    <w:rsid w:val="007F0D17"/>
    <w:rsid w:val="007F10FF"/>
    <w:rsid w:val="007F2714"/>
    <w:rsid w:val="007F38B6"/>
    <w:rsid w:val="00801D99"/>
    <w:rsid w:val="0080212C"/>
    <w:rsid w:val="00804158"/>
    <w:rsid w:val="00804251"/>
    <w:rsid w:val="00804754"/>
    <w:rsid w:val="0081665D"/>
    <w:rsid w:val="00820527"/>
    <w:rsid w:val="00824B67"/>
    <w:rsid w:val="00827123"/>
    <w:rsid w:val="00827EAB"/>
    <w:rsid w:val="00831F9F"/>
    <w:rsid w:val="00834D8A"/>
    <w:rsid w:val="008422B5"/>
    <w:rsid w:val="0084299B"/>
    <w:rsid w:val="008453C0"/>
    <w:rsid w:val="00845710"/>
    <w:rsid w:val="00846E11"/>
    <w:rsid w:val="0085068B"/>
    <w:rsid w:val="00850F8B"/>
    <w:rsid w:val="00852E25"/>
    <w:rsid w:val="008557DE"/>
    <w:rsid w:val="00857CA4"/>
    <w:rsid w:val="008602E9"/>
    <w:rsid w:val="00864AFE"/>
    <w:rsid w:val="00864FD7"/>
    <w:rsid w:val="0087178D"/>
    <w:rsid w:val="00875B8A"/>
    <w:rsid w:val="00876068"/>
    <w:rsid w:val="00876E88"/>
    <w:rsid w:val="00881957"/>
    <w:rsid w:val="00883A1A"/>
    <w:rsid w:val="0088450E"/>
    <w:rsid w:val="0089041B"/>
    <w:rsid w:val="008A7E39"/>
    <w:rsid w:val="008B2FED"/>
    <w:rsid w:val="008B3179"/>
    <w:rsid w:val="008B4412"/>
    <w:rsid w:val="008B4670"/>
    <w:rsid w:val="008B6B98"/>
    <w:rsid w:val="008C2EE2"/>
    <w:rsid w:val="008C4C47"/>
    <w:rsid w:val="008D2E9B"/>
    <w:rsid w:val="008D613B"/>
    <w:rsid w:val="00905165"/>
    <w:rsid w:val="00905423"/>
    <w:rsid w:val="00916451"/>
    <w:rsid w:val="00920A4D"/>
    <w:rsid w:val="00921DE6"/>
    <w:rsid w:val="0092368C"/>
    <w:rsid w:val="00924882"/>
    <w:rsid w:val="00925674"/>
    <w:rsid w:val="00930097"/>
    <w:rsid w:val="009369AB"/>
    <w:rsid w:val="00942B72"/>
    <w:rsid w:val="0094303B"/>
    <w:rsid w:val="009457C7"/>
    <w:rsid w:val="00952CDB"/>
    <w:rsid w:val="009536F3"/>
    <w:rsid w:val="00955BFA"/>
    <w:rsid w:val="00957B1C"/>
    <w:rsid w:val="00961429"/>
    <w:rsid w:val="00965264"/>
    <w:rsid w:val="009717B6"/>
    <w:rsid w:val="00974705"/>
    <w:rsid w:val="009778F9"/>
    <w:rsid w:val="00983DE9"/>
    <w:rsid w:val="00987F2B"/>
    <w:rsid w:val="00994E01"/>
    <w:rsid w:val="00997AC4"/>
    <w:rsid w:val="009A366B"/>
    <w:rsid w:val="009B3AEB"/>
    <w:rsid w:val="009B58F3"/>
    <w:rsid w:val="009C0CC9"/>
    <w:rsid w:val="009C2754"/>
    <w:rsid w:val="009C3475"/>
    <w:rsid w:val="009C37D7"/>
    <w:rsid w:val="009C4574"/>
    <w:rsid w:val="009C5278"/>
    <w:rsid w:val="009D075D"/>
    <w:rsid w:val="009D0C9A"/>
    <w:rsid w:val="009D5330"/>
    <w:rsid w:val="009E081D"/>
    <w:rsid w:val="009E0B77"/>
    <w:rsid w:val="009E3A2F"/>
    <w:rsid w:val="009E70FB"/>
    <w:rsid w:val="009F1E8D"/>
    <w:rsid w:val="009F1FCB"/>
    <w:rsid w:val="009F3D32"/>
    <w:rsid w:val="009F64DA"/>
    <w:rsid w:val="00A01D89"/>
    <w:rsid w:val="00A037B8"/>
    <w:rsid w:val="00A04A12"/>
    <w:rsid w:val="00A05E1B"/>
    <w:rsid w:val="00A06075"/>
    <w:rsid w:val="00A11D48"/>
    <w:rsid w:val="00A154C6"/>
    <w:rsid w:val="00A21E0B"/>
    <w:rsid w:val="00A27A7D"/>
    <w:rsid w:val="00A27C89"/>
    <w:rsid w:val="00A407C2"/>
    <w:rsid w:val="00A42162"/>
    <w:rsid w:val="00A45B81"/>
    <w:rsid w:val="00A52403"/>
    <w:rsid w:val="00A553A4"/>
    <w:rsid w:val="00A65DD4"/>
    <w:rsid w:val="00A65E14"/>
    <w:rsid w:val="00A71987"/>
    <w:rsid w:val="00A7543D"/>
    <w:rsid w:val="00A76067"/>
    <w:rsid w:val="00A81261"/>
    <w:rsid w:val="00A81A8D"/>
    <w:rsid w:val="00A82876"/>
    <w:rsid w:val="00A84864"/>
    <w:rsid w:val="00A8488B"/>
    <w:rsid w:val="00A876B4"/>
    <w:rsid w:val="00A949D0"/>
    <w:rsid w:val="00AA54AC"/>
    <w:rsid w:val="00AA6ABB"/>
    <w:rsid w:val="00AB050F"/>
    <w:rsid w:val="00AB0E0F"/>
    <w:rsid w:val="00AB3E14"/>
    <w:rsid w:val="00AC0E60"/>
    <w:rsid w:val="00AC40F8"/>
    <w:rsid w:val="00AD1802"/>
    <w:rsid w:val="00AD4FC7"/>
    <w:rsid w:val="00AD5AAB"/>
    <w:rsid w:val="00AD7300"/>
    <w:rsid w:val="00AE232B"/>
    <w:rsid w:val="00AE2B13"/>
    <w:rsid w:val="00AE3788"/>
    <w:rsid w:val="00AE516E"/>
    <w:rsid w:val="00AE77E8"/>
    <w:rsid w:val="00AF110F"/>
    <w:rsid w:val="00AF16DC"/>
    <w:rsid w:val="00AF32CA"/>
    <w:rsid w:val="00B0068F"/>
    <w:rsid w:val="00B016A2"/>
    <w:rsid w:val="00B01C8E"/>
    <w:rsid w:val="00B04BC3"/>
    <w:rsid w:val="00B1068A"/>
    <w:rsid w:val="00B1302D"/>
    <w:rsid w:val="00B13E67"/>
    <w:rsid w:val="00B167BA"/>
    <w:rsid w:val="00B17718"/>
    <w:rsid w:val="00B17E7E"/>
    <w:rsid w:val="00B235CE"/>
    <w:rsid w:val="00B246B5"/>
    <w:rsid w:val="00B24FA7"/>
    <w:rsid w:val="00B25F22"/>
    <w:rsid w:val="00B26F7A"/>
    <w:rsid w:val="00B35F6D"/>
    <w:rsid w:val="00B4098E"/>
    <w:rsid w:val="00B5433C"/>
    <w:rsid w:val="00B6518B"/>
    <w:rsid w:val="00B65A58"/>
    <w:rsid w:val="00B66024"/>
    <w:rsid w:val="00B70C13"/>
    <w:rsid w:val="00B70C16"/>
    <w:rsid w:val="00B719D1"/>
    <w:rsid w:val="00B71E6A"/>
    <w:rsid w:val="00B71F90"/>
    <w:rsid w:val="00B74B70"/>
    <w:rsid w:val="00B770C3"/>
    <w:rsid w:val="00B85CFA"/>
    <w:rsid w:val="00B86A03"/>
    <w:rsid w:val="00B93DBE"/>
    <w:rsid w:val="00B94D62"/>
    <w:rsid w:val="00B95F68"/>
    <w:rsid w:val="00B97FE9"/>
    <w:rsid w:val="00BA7513"/>
    <w:rsid w:val="00BB0041"/>
    <w:rsid w:val="00BB3833"/>
    <w:rsid w:val="00BB64CD"/>
    <w:rsid w:val="00BC26D9"/>
    <w:rsid w:val="00BC3059"/>
    <w:rsid w:val="00BD179E"/>
    <w:rsid w:val="00BD3B1F"/>
    <w:rsid w:val="00BD60E2"/>
    <w:rsid w:val="00BD61AD"/>
    <w:rsid w:val="00BD6D51"/>
    <w:rsid w:val="00BE5065"/>
    <w:rsid w:val="00BE6790"/>
    <w:rsid w:val="00BF0476"/>
    <w:rsid w:val="00BF1184"/>
    <w:rsid w:val="00BF2C54"/>
    <w:rsid w:val="00BF41BC"/>
    <w:rsid w:val="00C00A52"/>
    <w:rsid w:val="00C0281B"/>
    <w:rsid w:val="00C028B2"/>
    <w:rsid w:val="00C06CE7"/>
    <w:rsid w:val="00C110BF"/>
    <w:rsid w:val="00C1127C"/>
    <w:rsid w:val="00C12335"/>
    <w:rsid w:val="00C169AA"/>
    <w:rsid w:val="00C20FAE"/>
    <w:rsid w:val="00C26495"/>
    <w:rsid w:val="00C371AB"/>
    <w:rsid w:val="00C45B9F"/>
    <w:rsid w:val="00C50703"/>
    <w:rsid w:val="00C55D3F"/>
    <w:rsid w:val="00C61517"/>
    <w:rsid w:val="00C65629"/>
    <w:rsid w:val="00C669FC"/>
    <w:rsid w:val="00C702A3"/>
    <w:rsid w:val="00C74393"/>
    <w:rsid w:val="00C751D9"/>
    <w:rsid w:val="00C754BE"/>
    <w:rsid w:val="00C76491"/>
    <w:rsid w:val="00C8442A"/>
    <w:rsid w:val="00C85557"/>
    <w:rsid w:val="00C86F6F"/>
    <w:rsid w:val="00C9130A"/>
    <w:rsid w:val="00C92FAC"/>
    <w:rsid w:val="00C96E18"/>
    <w:rsid w:val="00C97538"/>
    <w:rsid w:val="00CA4D29"/>
    <w:rsid w:val="00CB220F"/>
    <w:rsid w:val="00CC07B2"/>
    <w:rsid w:val="00CC1B26"/>
    <w:rsid w:val="00CC5646"/>
    <w:rsid w:val="00CC7E8B"/>
    <w:rsid w:val="00CD0D0F"/>
    <w:rsid w:val="00CD20EA"/>
    <w:rsid w:val="00CD50F1"/>
    <w:rsid w:val="00CD597C"/>
    <w:rsid w:val="00CE3C9B"/>
    <w:rsid w:val="00CF122C"/>
    <w:rsid w:val="00CF31A1"/>
    <w:rsid w:val="00CF48F7"/>
    <w:rsid w:val="00CF7822"/>
    <w:rsid w:val="00D02469"/>
    <w:rsid w:val="00D029CB"/>
    <w:rsid w:val="00D02BC5"/>
    <w:rsid w:val="00D0532A"/>
    <w:rsid w:val="00D055D0"/>
    <w:rsid w:val="00D0600F"/>
    <w:rsid w:val="00D14D90"/>
    <w:rsid w:val="00D17396"/>
    <w:rsid w:val="00D2009B"/>
    <w:rsid w:val="00D20573"/>
    <w:rsid w:val="00D2162A"/>
    <w:rsid w:val="00D2546C"/>
    <w:rsid w:val="00D25B81"/>
    <w:rsid w:val="00D4742B"/>
    <w:rsid w:val="00D5169A"/>
    <w:rsid w:val="00D607F5"/>
    <w:rsid w:val="00D62CE6"/>
    <w:rsid w:val="00D66863"/>
    <w:rsid w:val="00D74F7B"/>
    <w:rsid w:val="00D77249"/>
    <w:rsid w:val="00D8154C"/>
    <w:rsid w:val="00D826FA"/>
    <w:rsid w:val="00D84B98"/>
    <w:rsid w:val="00D87979"/>
    <w:rsid w:val="00D93385"/>
    <w:rsid w:val="00D95A05"/>
    <w:rsid w:val="00D972CC"/>
    <w:rsid w:val="00DA1818"/>
    <w:rsid w:val="00DB31CF"/>
    <w:rsid w:val="00DB36CB"/>
    <w:rsid w:val="00DB4D8D"/>
    <w:rsid w:val="00DC46D7"/>
    <w:rsid w:val="00DD2DB4"/>
    <w:rsid w:val="00DD566E"/>
    <w:rsid w:val="00DD759F"/>
    <w:rsid w:val="00DE10F9"/>
    <w:rsid w:val="00DE5027"/>
    <w:rsid w:val="00DF267D"/>
    <w:rsid w:val="00DF2DD4"/>
    <w:rsid w:val="00DF580C"/>
    <w:rsid w:val="00E00641"/>
    <w:rsid w:val="00E00D89"/>
    <w:rsid w:val="00E03B67"/>
    <w:rsid w:val="00E07271"/>
    <w:rsid w:val="00E1210B"/>
    <w:rsid w:val="00E1422B"/>
    <w:rsid w:val="00E20894"/>
    <w:rsid w:val="00E2326C"/>
    <w:rsid w:val="00E26FBC"/>
    <w:rsid w:val="00E2723F"/>
    <w:rsid w:val="00E31444"/>
    <w:rsid w:val="00E3250E"/>
    <w:rsid w:val="00E3592A"/>
    <w:rsid w:val="00E4222C"/>
    <w:rsid w:val="00E430E0"/>
    <w:rsid w:val="00E43AC7"/>
    <w:rsid w:val="00E5028F"/>
    <w:rsid w:val="00E52BA9"/>
    <w:rsid w:val="00E54A02"/>
    <w:rsid w:val="00E56CE4"/>
    <w:rsid w:val="00E645C2"/>
    <w:rsid w:val="00E66305"/>
    <w:rsid w:val="00E670DF"/>
    <w:rsid w:val="00E67DD6"/>
    <w:rsid w:val="00E71ADB"/>
    <w:rsid w:val="00E77C93"/>
    <w:rsid w:val="00E82E5E"/>
    <w:rsid w:val="00E83054"/>
    <w:rsid w:val="00E8331F"/>
    <w:rsid w:val="00E87175"/>
    <w:rsid w:val="00E947BF"/>
    <w:rsid w:val="00E95E9E"/>
    <w:rsid w:val="00E967A5"/>
    <w:rsid w:val="00EA1E57"/>
    <w:rsid w:val="00EA3983"/>
    <w:rsid w:val="00EA5904"/>
    <w:rsid w:val="00EA63E7"/>
    <w:rsid w:val="00EA70E8"/>
    <w:rsid w:val="00EA7AD2"/>
    <w:rsid w:val="00EB0E7A"/>
    <w:rsid w:val="00EB2650"/>
    <w:rsid w:val="00EB4961"/>
    <w:rsid w:val="00EB5A88"/>
    <w:rsid w:val="00EC0188"/>
    <w:rsid w:val="00EC2ACC"/>
    <w:rsid w:val="00EC54EA"/>
    <w:rsid w:val="00ED7FB7"/>
    <w:rsid w:val="00EF2081"/>
    <w:rsid w:val="00EF4CAB"/>
    <w:rsid w:val="00F01510"/>
    <w:rsid w:val="00F04C2A"/>
    <w:rsid w:val="00F06F20"/>
    <w:rsid w:val="00F1443D"/>
    <w:rsid w:val="00F16213"/>
    <w:rsid w:val="00F2030E"/>
    <w:rsid w:val="00F21506"/>
    <w:rsid w:val="00F22094"/>
    <w:rsid w:val="00F25158"/>
    <w:rsid w:val="00F26C43"/>
    <w:rsid w:val="00F27AA4"/>
    <w:rsid w:val="00F31BB9"/>
    <w:rsid w:val="00F3425F"/>
    <w:rsid w:val="00F349CF"/>
    <w:rsid w:val="00F37561"/>
    <w:rsid w:val="00F40CE2"/>
    <w:rsid w:val="00F41763"/>
    <w:rsid w:val="00F44E11"/>
    <w:rsid w:val="00F46501"/>
    <w:rsid w:val="00F5352B"/>
    <w:rsid w:val="00F53FB9"/>
    <w:rsid w:val="00F569B7"/>
    <w:rsid w:val="00F60F6D"/>
    <w:rsid w:val="00F615C9"/>
    <w:rsid w:val="00F61784"/>
    <w:rsid w:val="00F645FA"/>
    <w:rsid w:val="00F6560D"/>
    <w:rsid w:val="00F65F88"/>
    <w:rsid w:val="00F73C20"/>
    <w:rsid w:val="00F76AFC"/>
    <w:rsid w:val="00F771A1"/>
    <w:rsid w:val="00F82A08"/>
    <w:rsid w:val="00F82ED6"/>
    <w:rsid w:val="00F837E6"/>
    <w:rsid w:val="00F83974"/>
    <w:rsid w:val="00F86F14"/>
    <w:rsid w:val="00F90D74"/>
    <w:rsid w:val="00F94AED"/>
    <w:rsid w:val="00F96FBE"/>
    <w:rsid w:val="00FA3BF2"/>
    <w:rsid w:val="00FB1B9D"/>
    <w:rsid w:val="00FB49C4"/>
    <w:rsid w:val="00FD5DFC"/>
    <w:rsid w:val="00FD7AB0"/>
    <w:rsid w:val="00FE2F33"/>
    <w:rsid w:val="00FE5CB2"/>
    <w:rsid w:val="00FF3CC3"/>
    <w:rsid w:val="00FF4857"/>
    <w:rsid w:val="00FF78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docId w15:val="{010D3FCC-4873-4CBA-8298-1F5EA668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FBE"/>
    <w:pPr>
      <w:spacing w:after="0" w:line="240" w:lineRule="auto"/>
    </w:pPr>
    <w:rPr>
      <w:rFonts w:ascii="Times New Roman" w:eastAsia="Times New Roman" w:hAnsi="Times New Roman" w:cs="Times New Roman"/>
      <w:sz w:val="24"/>
      <w:szCs w:val="24"/>
      <w:lang w:eastAsia="es-CO"/>
    </w:rPr>
  </w:style>
  <w:style w:type="paragraph" w:styleId="Ttulo1">
    <w:name w:val="heading 1"/>
    <w:basedOn w:val="Normal"/>
    <w:link w:val="Ttulo1Car"/>
    <w:uiPriority w:val="1"/>
    <w:qFormat/>
    <w:rsid w:val="00DB31CF"/>
    <w:pPr>
      <w:widowControl w:val="0"/>
      <w:autoSpaceDE w:val="0"/>
      <w:autoSpaceDN w:val="0"/>
      <w:ind w:left="7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rPr>
      <w:sz w:val="20"/>
      <w:szCs w:val="20"/>
    </w:rPr>
  </w:style>
  <w:style w:type="character" w:customStyle="1" w:styleId="TextonotapieCar1">
    <w:name w:val="Texto nota pie Car1"/>
    <w:aliases w:val="Footnote Text Char Char Char Char Car,Texto nota pie Car Car,Footnote Text Char Car,Footnote Text Char Char Char Char Char Char Char Char Car"/>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uiPriority w:val="99"/>
    <w:rsid w:val="00715A1B"/>
    <w:pPr>
      <w:spacing w:after="160" w:line="240" w:lineRule="exact"/>
    </w:pPr>
    <w:rPr>
      <w:sz w:val="22"/>
      <w:vertAlign w:val="superscript"/>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93385"/>
    <w:rPr>
      <w:color w:val="F2F2F2"/>
      <w:u w:val="single"/>
    </w:rPr>
  </w:style>
  <w:style w:type="paragraph" w:customStyle="1" w:styleId="paragraph">
    <w:name w:val="paragraph"/>
    <w:basedOn w:val="Normal"/>
    <w:rsid w:val="00D93385"/>
    <w:pPr>
      <w:spacing w:before="100" w:beforeAutospacing="1" w:after="100" w:afterAutospacing="1"/>
    </w:pPr>
  </w:style>
  <w:style w:type="character" w:customStyle="1" w:styleId="eop">
    <w:name w:val="eop"/>
    <w:basedOn w:val="Fuentedeprrafopredeter"/>
    <w:rsid w:val="00D93385"/>
  </w:style>
  <w:style w:type="character" w:styleId="Mencinsinresolver">
    <w:name w:val="Unresolved Mention"/>
    <w:basedOn w:val="Fuentedeprrafopredeter"/>
    <w:uiPriority w:val="99"/>
    <w:semiHidden/>
    <w:unhideWhenUsed/>
    <w:rsid w:val="00317DF7"/>
    <w:rPr>
      <w:color w:val="605E5C"/>
      <w:shd w:val="clear" w:color="auto" w:fill="E1DFDD"/>
    </w:rPr>
  </w:style>
  <w:style w:type="paragraph" w:styleId="Revisin">
    <w:name w:val="Revision"/>
    <w:hidden/>
    <w:uiPriority w:val="99"/>
    <w:semiHidden/>
    <w:rsid w:val="00804251"/>
    <w:pPr>
      <w:spacing w:after="0" w:line="240" w:lineRule="auto"/>
    </w:pPr>
    <w:rPr>
      <w:sz w:val="24"/>
      <w:lang w:val="es-MX"/>
    </w:rPr>
  </w:style>
  <w:style w:type="character" w:styleId="Refdecomentario">
    <w:name w:val="annotation reference"/>
    <w:basedOn w:val="Fuentedeprrafopredeter"/>
    <w:uiPriority w:val="99"/>
    <w:semiHidden/>
    <w:unhideWhenUsed/>
    <w:rsid w:val="00F65F88"/>
    <w:rPr>
      <w:sz w:val="16"/>
      <w:szCs w:val="16"/>
    </w:rPr>
  </w:style>
  <w:style w:type="paragraph" w:styleId="Textocomentario">
    <w:name w:val="annotation text"/>
    <w:basedOn w:val="Normal"/>
    <w:link w:val="TextocomentarioCar"/>
    <w:uiPriority w:val="99"/>
    <w:unhideWhenUsed/>
    <w:rsid w:val="00F65F88"/>
    <w:rPr>
      <w:sz w:val="20"/>
      <w:szCs w:val="20"/>
    </w:rPr>
  </w:style>
  <w:style w:type="character" w:customStyle="1" w:styleId="TextocomentarioCar">
    <w:name w:val="Texto comentario Car"/>
    <w:basedOn w:val="Fuentedeprrafopredeter"/>
    <w:link w:val="Textocomentario"/>
    <w:uiPriority w:val="99"/>
    <w:rsid w:val="00F65F8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F65F88"/>
    <w:rPr>
      <w:b/>
      <w:bCs/>
    </w:rPr>
  </w:style>
  <w:style w:type="character" w:customStyle="1" w:styleId="AsuntodelcomentarioCar">
    <w:name w:val="Asunto del comentario Car"/>
    <w:basedOn w:val="TextocomentarioCar"/>
    <w:link w:val="Asuntodelcomentario"/>
    <w:uiPriority w:val="99"/>
    <w:semiHidden/>
    <w:rsid w:val="00F65F88"/>
    <w:rPr>
      <w:b/>
      <w:bCs/>
      <w:sz w:val="20"/>
      <w:szCs w:val="20"/>
      <w:lang w:val="es-MX"/>
    </w:rPr>
  </w:style>
  <w:style w:type="paragraph" w:styleId="NormalWeb">
    <w:name w:val="Normal (Web)"/>
    <w:basedOn w:val="Normal"/>
    <w:link w:val="NormalWebCar"/>
    <w:uiPriority w:val="99"/>
    <w:unhideWhenUsed/>
    <w:rsid w:val="00332DF6"/>
    <w:pPr>
      <w:spacing w:before="100" w:beforeAutospacing="1" w:after="100" w:afterAutospacing="1"/>
    </w:pPr>
  </w:style>
  <w:style w:type="character" w:customStyle="1" w:styleId="baj">
    <w:name w:val="b_aj"/>
    <w:basedOn w:val="Fuentedeprrafopredeter"/>
    <w:rsid w:val="00332DF6"/>
  </w:style>
  <w:style w:type="paragraph" w:customStyle="1" w:styleId="xmsonormal">
    <w:name w:val="x_msonormal"/>
    <w:basedOn w:val="Normal"/>
    <w:rsid w:val="00E31444"/>
    <w:pPr>
      <w:spacing w:before="100" w:beforeAutospacing="1" w:after="100" w:afterAutospacing="1"/>
    </w:pPr>
  </w:style>
  <w:style w:type="character" w:customStyle="1" w:styleId="Ttulo1Car">
    <w:name w:val="Título 1 Car"/>
    <w:basedOn w:val="Fuentedeprrafopredeter"/>
    <w:link w:val="Ttulo1"/>
    <w:uiPriority w:val="1"/>
    <w:rsid w:val="00DB31CF"/>
    <w:rPr>
      <w:rFonts w:ascii="Arial" w:eastAsia="Arial" w:hAnsi="Arial" w:cs="Arial"/>
      <w:b/>
      <w:bCs/>
      <w:lang w:val="es-ES"/>
    </w:rPr>
  </w:style>
  <w:style w:type="paragraph" w:styleId="Textoindependiente">
    <w:name w:val="Body Text"/>
    <w:basedOn w:val="Normal"/>
    <w:link w:val="TextoindependienteCar"/>
    <w:uiPriority w:val="1"/>
    <w:qFormat/>
    <w:rsid w:val="00DB31C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B31CF"/>
    <w:rPr>
      <w:rFonts w:ascii="Arial" w:eastAsia="Arial" w:hAnsi="Arial" w:cs="Arial"/>
      <w:lang w:val="es-ES"/>
    </w:rPr>
  </w:style>
  <w:style w:type="paragraph" w:styleId="Sinespaciado">
    <w:name w:val="No Spacing"/>
    <w:aliases w:val="No Indent"/>
    <w:link w:val="SinespaciadoCar"/>
    <w:uiPriority w:val="3"/>
    <w:qFormat/>
    <w:rsid w:val="00DB31CF"/>
    <w:pPr>
      <w:spacing w:after="0" w:line="240" w:lineRule="auto"/>
    </w:pPr>
    <w:rPr>
      <w:sz w:val="24"/>
      <w:lang w:val="es-MX"/>
    </w:rPr>
  </w:style>
  <w:style w:type="character" w:customStyle="1" w:styleId="SinespaciadoCar">
    <w:name w:val="Sin espaciado Car"/>
    <w:aliases w:val="No Indent Car"/>
    <w:link w:val="Sinespaciado"/>
    <w:uiPriority w:val="3"/>
    <w:rsid w:val="00DB31CF"/>
    <w:rPr>
      <w:sz w:val="24"/>
      <w:lang w:val="es-MX"/>
    </w:rPr>
  </w:style>
  <w:style w:type="character" w:styleId="nfasis">
    <w:name w:val="Emphasis"/>
    <w:basedOn w:val="Fuentedeprrafopredeter"/>
    <w:uiPriority w:val="20"/>
    <w:qFormat/>
    <w:rsid w:val="004D7845"/>
    <w:rPr>
      <w:i/>
      <w:iCs/>
    </w:rPr>
  </w:style>
  <w:style w:type="paragraph" w:customStyle="1" w:styleId="pa4">
    <w:name w:val="pa4"/>
    <w:basedOn w:val="Normal"/>
    <w:rsid w:val="00A553A4"/>
    <w:pPr>
      <w:autoSpaceDE w:val="0"/>
      <w:autoSpaceDN w:val="0"/>
    </w:pPr>
    <w:rPr>
      <w:lang w:val="es-ES" w:eastAsia="es-ES"/>
    </w:rPr>
  </w:style>
  <w:style w:type="character" w:customStyle="1" w:styleId="NormalWebCar">
    <w:name w:val="Normal (Web) Car"/>
    <w:link w:val="NormalWeb"/>
    <w:uiPriority w:val="99"/>
    <w:rsid w:val="002D6E11"/>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E430E0"/>
    <w:pPr>
      <w:ind w:left="-540"/>
      <w:jc w:val="both"/>
    </w:pPr>
    <w:rPr>
      <w:rFonts w:ascii="Arial" w:hAnsi="Arial" w:cs="Arial"/>
      <w:color w:val="000000"/>
      <w:sz w:val="22"/>
      <w:lang w:val="es-ES_tradnl" w:eastAsia="es-ES"/>
    </w:rPr>
  </w:style>
  <w:style w:type="paragraph" w:customStyle="1" w:styleId="MIPARRAFONORMAL">
    <w:name w:val="MI PARRAFO NORMAL"/>
    <w:basedOn w:val="Textoindependiente"/>
    <w:rsid w:val="003F1B64"/>
    <w:pPr>
      <w:widowControl/>
      <w:spacing w:after="360" w:line="360" w:lineRule="auto"/>
      <w:jc w:val="both"/>
    </w:pPr>
    <w:rPr>
      <w:rFonts w:eastAsia="Times New Roman"/>
      <w:sz w:val="24"/>
      <w:lang w:eastAsia="es-ES"/>
    </w:rPr>
  </w:style>
  <w:style w:type="paragraph" w:styleId="Textoindependiente2">
    <w:name w:val="Body Text 2"/>
    <w:basedOn w:val="Normal"/>
    <w:link w:val="Textoindependiente2Car"/>
    <w:uiPriority w:val="99"/>
    <w:semiHidden/>
    <w:unhideWhenUsed/>
    <w:rsid w:val="003B192E"/>
    <w:pPr>
      <w:spacing w:after="120" w:line="480" w:lineRule="auto"/>
    </w:pPr>
  </w:style>
  <w:style w:type="character" w:customStyle="1" w:styleId="Textoindependiente2Car">
    <w:name w:val="Texto independiente 2 Car"/>
    <w:basedOn w:val="Fuentedeprrafopredeter"/>
    <w:link w:val="Textoindependiente2"/>
    <w:uiPriority w:val="99"/>
    <w:semiHidden/>
    <w:rsid w:val="003B192E"/>
    <w:rPr>
      <w:rFonts w:ascii="Times New Roman" w:eastAsia="Times New Roman" w:hAnsi="Times New Roman" w:cs="Times New Roman"/>
      <w:sz w:val="24"/>
      <w:szCs w:val="24"/>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780972"/>
    <w:pPr>
      <w:jc w:val="both"/>
    </w:pPr>
    <w:rPr>
      <w:rFonts w:ascii="Calibri" w:eastAsia="Calibri" w:hAnsi="Calibri"/>
      <w:sz w:val="22"/>
      <w:szCs w:val="22"/>
      <w:vertAlign w:val="superscript"/>
      <w:lang w:eastAsia="en-US"/>
    </w:rPr>
  </w:style>
  <w:style w:type="paragraph" w:customStyle="1" w:styleId="Style3">
    <w:name w:val="Style3"/>
    <w:basedOn w:val="Normal"/>
    <w:uiPriority w:val="99"/>
    <w:rsid w:val="00F82ED6"/>
    <w:pPr>
      <w:widowControl w:val="0"/>
      <w:autoSpaceDE w:val="0"/>
      <w:autoSpaceDN w:val="0"/>
      <w:adjustRightInd w:val="0"/>
      <w:spacing w:line="300" w:lineRule="exact"/>
      <w:jc w:val="both"/>
    </w:pPr>
    <w:rPr>
      <w:lang w:val="es-ES" w:eastAsia="es-ES"/>
    </w:rPr>
  </w:style>
  <w:style w:type="paragraph" w:customStyle="1" w:styleId="style30">
    <w:name w:val="style3"/>
    <w:basedOn w:val="Normal"/>
    <w:rsid w:val="00DD2D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3312">
      <w:bodyDiv w:val="1"/>
      <w:marLeft w:val="0"/>
      <w:marRight w:val="0"/>
      <w:marTop w:val="0"/>
      <w:marBottom w:val="0"/>
      <w:divBdr>
        <w:top w:val="none" w:sz="0" w:space="0" w:color="auto"/>
        <w:left w:val="none" w:sz="0" w:space="0" w:color="auto"/>
        <w:bottom w:val="none" w:sz="0" w:space="0" w:color="auto"/>
        <w:right w:val="none" w:sz="0" w:space="0" w:color="auto"/>
      </w:divBdr>
    </w:div>
    <w:div w:id="51121999">
      <w:bodyDiv w:val="1"/>
      <w:marLeft w:val="0"/>
      <w:marRight w:val="0"/>
      <w:marTop w:val="0"/>
      <w:marBottom w:val="0"/>
      <w:divBdr>
        <w:top w:val="none" w:sz="0" w:space="0" w:color="auto"/>
        <w:left w:val="none" w:sz="0" w:space="0" w:color="auto"/>
        <w:bottom w:val="none" w:sz="0" w:space="0" w:color="auto"/>
        <w:right w:val="none" w:sz="0" w:space="0" w:color="auto"/>
      </w:divBdr>
    </w:div>
    <w:div w:id="57750176">
      <w:bodyDiv w:val="1"/>
      <w:marLeft w:val="0"/>
      <w:marRight w:val="0"/>
      <w:marTop w:val="0"/>
      <w:marBottom w:val="0"/>
      <w:divBdr>
        <w:top w:val="none" w:sz="0" w:space="0" w:color="auto"/>
        <w:left w:val="none" w:sz="0" w:space="0" w:color="auto"/>
        <w:bottom w:val="none" w:sz="0" w:space="0" w:color="auto"/>
        <w:right w:val="none" w:sz="0" w:space="0" w:color="auto"/>
      </w:divBdr>
    </w:div>
    <w:div w:id="125122828">
      <w:bodyDiv w:val="1"/>
      <w:marLeft w:val="0"/>
      <w:marRight w:val="0"/>
      <w:marTop w:val="0"/>
      <w:marBottom w:val="0"/>
      <w:divBdr>
        <w:top w:val="none" w:sz="0" w:space="0" w:color="auto"/>
        <w:left w:val="none" w:sz="0" w:space="0" w:color="auto"/>
        <w:bottom w:val="none" w:sz="0" w:space="0" w:color="auto"/>
        <w:right w:val="none" w:sz="0" w:space="0" w:color="auto"/>
      </w:divBdr>
    </w:div>
    <w:div w:id="163329287">
      <w:bodyDiv w:val="1"/>
      <w:marLeft w:val="0"/>
      <w:marRight w:val="0"/>
      <w:marTop w:val="0"/>
      <w:marBottom w:val="0"/>
      <w:divBdr>
        <w:top w:val="none" w:sz="0" w:space="0" w:color="auto"/>
        <w:left w:val="none" w:sz="0" w:space="0" w:color="auto"/>
        <w:bottom w:val="none" w:sz="0" w:space="0" w:color="auto"/>
        <w:right w:val="none" w:sz="0" w:space="0" w:color="auto"/>
      </w:divBdr>
    </w:div>
    <w:div w:id="193152151">
      <w:bodyDiv w:val="1"/>
      <w:marLeft w:val="0"/>
      <w:marRight w:val="0"/>
      <w:marTop w:val="0"/>
      <w:marBottom w:val="0"/>
      <w:divBdr>
        <w:top w:val="none" w:sz="0" w:space="0" w:color="auto"/>
        <w:left w:val="none" w:sz="0" w:space="0" w:color="auto"/>
        <w:bottom w:val="none" w:sz="0" w:space="0" w:color="auto"/>
        <w:right w:val="none" w:sz="0" w:space="0" w:color="auto"/>
      </w:divBdr>
    </w:div>
    <w:div w:id="278142926">
      <w:bodyDiv w:val="1"/>
      <w:marLeft w:val="0"/>
      <w:marRight w:val="0"/>
      <w:marTop w:val="0"/>
      <w:marBottom w:val="0"/>
      <w:divBdr>
        <w:top w:val="none" w:sz="0" w:space="0" w:color="auto"/>
        <w:left w:val="none" w:sz="0" w:space="0" w:color="auto"/>
        <w:bottom w:val="none" w:sz="0" w:space="0" w:color="auto"/>
        <w:right w:val="none" w:sz="0" w:space="0" w:color="auto"/>
      </w:divBdr>
    </w:div>
    <w:div w:id="294410174">
      <w:bodyDiv w:val="1"/>
      <w:marLeft w:val="0"/>
      <w:marRight w:val="0"/>
      <w:marTop w:val="0"/>
      <w:marBottom w:val="0"/>
      <w:divBdr>
        <w:top w:val="none" w:sz="0" w:space="0" w:color="auto"/>
        <w:left w:val="none" w:sz="0" w:space="0" w:color="auto"/>
        <w:bottom w:val="none" w:sz="0" w:space="0" w:color="auto"/>
        <w:right w:val="none" w:sz="0" w:space="0" w:color="auto"/>
      </w:divBdr>
    </w:div>
    <w:div w:id="360128540">
      <w:bodyDiv w:val="1"/>
      <w:marLeft w:val="0"/>
      <w:marRight w:val="0"/>
      <w:marTop w:val="0"/>
      <w:marBottom w:val="0"/>
      <w:divBdr>
        <w:top w:val="none" w:sz="0" w:space="0" w:color="auto"/>
        <w:left w:val="none" w:sz="0" w:space="0" w:color="auto"/>
        <w:bottom w:val="none" w:sz="0" w:space="0" w:color="auto"/>
        <w:right w:val="none" w:sz="0" w:space="0" w:color="auto"/>
      </w:divBdr>
    </w:div>
    <w:div w:id="373045142">
      <w:bodyDiv w:val="1"/>
      <w:marLeft w:val="0"/>
      <w:marRight w:val="0"/>
      <w:marTop w:val="0"/>
      <w:marBottom w:val="0"/>
      <w:divBdr>
        <w:top w:val="none" w:sz="0" w:space="0" w:color="auto"/>
        <w:left w:val="none" w:sz="0" w:space="0" w:color="auto"/>
        <w:bottom w:val="none" w:sz="0" w:space="0" w:color="auto"/>
        <w:right w:val="none" w:sz="0" w:space="0" w:color="auto"/>
      </w:divBdr>
    </w:div>
    <w:div w:id="396510335">
      <w:bodyDiv w:val="1"/>
      <w:marLeft w:val="0"/>
      <w:marRight w:val="0"/>
      <w:marTop w:val="0"/>
      <w:marBottom w:val="0"/>
      <w:divBdr>
        <w:top w:val="none" w:sz="0" w:space="0" w:color="auto"/>
        <w:left w:val="none" w:sz="0" w:space="0" w:color="auto"/>
        <w:bottom w:val="none" w:sz="0" w:space="0" w:color="auto"/>
        <w:right w:val="none" w:sz="0" w:space="0" w:color="auto"/>
      </w:divBdr>
    </w:div>
    <w:div w:id="440418261">
      <w:bodyDiv w:val="1"/>
      <w:marLeft w:val="0"/>
      <w:marRight w:val="0"/>
      <w:marTop w:val="0"/>
      <w:marBottom w:val="0"/>
      <w:divBdr>
        <w:top w:val="none" w:sz="0" w:space="0" w:color="auto"/>
        <w:left w:val="none" w:sz="0" w:space="0" w:color="auto"/>
        <w:bottom w:val="none" w:sz="0" w:space="0" w:color="auto"/>
        <w:right w:val="none" w:sz="0" w:space="0" w:color="auto"/>
      </w:divBdr>
    </w:div>
    <w:div w:id="477914816">
      <w:bodyDiv w:val="1"/>
      <w:marLeft w:val="0"/>
      <w:marRight w:val="0"/>
      <w:marTop w:val="0"/>
      <w:marBottom w:val="0"/>
      <w:divBdr>
        <w:top w:val="none" w:sz="0" w:space="0" w:color="auto"/>
        <w:left w:val="none" w:sz="0" w:space="0" w:color="auto"/>
        <w:bottom w:val="none" w:sz="0" w:space="0" w:color="auto"/>
        <w:right w:val="none" w:sz="0" w:space="0" w:color="auto"/>
      </w:divBdr>
    </w:div>
    <w:div w:id="497232953">
      <w:bodyDiv w:val="1"/>
      <w:marLeft w:val="0"/>
      <w:marRight w:val="0"/>
      <w:marTop w:val="0"/>
      <w:marBottom w:val="0"/>
      <w:divBdr>
        <w:top w:val="none" w:sz="0" w:space="0" w:color="auto"/>
        <w:left w:val="none" w:sz="0" w:space="0" w:color="auto"/>
        <w:bottom w:val="none" w:sz="0" w:space="0" w:color="auto"/>
        <w:right w:val="none" w:sz="0" w:space="0" w:color="auto"/>
      </w:divBdr>
    </w:div>
    <w:div w:id="533008578">
      <w:bodyDiv w:val="1"/>
      <w:marLeft w:val="0"/>
      <w:marRight w:val="0"/>
      <w:marTop w:val="0"/>
      <w:marBottom w:val="0"/>
      <w:divBdr>
        <w:top w:val="none" w:sz="0" w:space="0" w:color="auto"/>
        <w:left w:val="none" w:sz="0" w:space="0" w:color="auto"/>
        <w:bottom w:val="none" w:sz="0" w:space="0" w:color="auto"/>
        <w:right w:val="none" w:sz="0" w:space="0" w:color="auto"/>
      </w:divBdr>
    </w:div>
    <w:div w:id="553929023">
      <w:bodyDiv w:val="1"/>
      <w:marLeft w:val="0"/>
      <w:marRight w:val="0"/>
      <w:marTop w:val="0"/>
      <w:marBottom w:val="0"/>
      <w:divBdr>
        <w:top w:val="none" w:sz="0" w:space="0" w:color="auto"/>
        <w:left w:val="none" w:sz="0" w:space="0" w:color="auto"/>
        <w:bottom w:val="none" w:sz="0" w:space="0" w:color="auto"/>
        <w:right w:val="none" w:sz="0" w:space="0" w:color="auto"/>
      </w:divBdr>
    </w:div>
    <w:div w:id="561408446">
      <w:bodyDiv w:val="1"/>
      <w:marLeft w:val="0"/>
      <w:marRight w:val="0"/>
      <w:marTop w:val="0"/>
      <w:marBottom w:val="0"/>
      <w:divBdr>
        <w:top w:val="none" w:sz="0" w:space="0" w:color="auto"/>
        <w:left w:val="none" w:sz="0" w:space="0" w:color="auto"/>
        <w:bottom w:val="none" w:sz="0" w:space="0" w:color="auto"/>
        <w:right w:val="none" w:sz="0" w:space="0" w:color="auto"/>
      </w:divBdr>
    </w:div>
    <w:div w:id="633800614">
      <w:bodyDiv w:val="1"/>
      <w:marLeft w:val="0"/>
      <w:marRight w:val="0"/>
      <w:marTop w:val="0"/>
      <w:marBottom w:val="0"/>
      <w:divBdr>
        <w:top w:val="none" w:sz="0" w:space="0" w:color="auto"/>
        <w:left w:val="none" w:sz="0" w:space="0" w:color="auto"/>
        <w:bottom w:val="none" w:sz="0" w:space="0" w:color="auto"/>
        <w:right w:val="none" w:sz="0" w:space="0" w:color="auto"/>
      </w:divBdr>
    </w:div>
    <w:div w:id="692269451">
      <w:bodyDiv w:val="1"/>
      <w:marLeft w:val="0"/>
      <w:marRight w:val="0"/>
      <w:marTop w:val="0"/>
      <w:marBottom w:val="0"/>
      <w:divBdr>
        <w:top w:val="none" w:sz="0" w:space="0" w:color="auto"/>
        <w:left w:val="none" w:sz="0" w:space="0" w:color="auto"/>
        <w:bottom w:val="none" w:sz="0" w:space="0" w:color="auto"/>
        <w:right w:val="none" w:sz="0" w:space="0" w:color="auto"/>
      </w:divBdr>
    </w:div>
    <w:div w:id="742869962">
      <w:bodyDiv w:val="1"/>
      <w:marLeft w:val="0"/>
      <w:marRight w:val="0"/>
      <w:marTop w:val="0"/>
      <w:marBottom w:val="0"/>
      <w:divBdr>
        <w:top w:val="none" w:sz="0" w:space="0" w:color="auto"/>
        <w:left w:val="none" w:sz="0" w:space="0" w:color="auto"/>
        <w:bottom w:val="none" w:sz="0" w:space="0" w:color="auto"/>
        <w:right w:val="none" w:sz="0" w:space="0" w:color="auto"/>
      </w:divBdr>
    </w:div>
    <w:div w:id="853417679">
      <w:bodyDiv w:val="1"/>
      <w:marLeft w:val="0"/>
      <w:marRight w:val="0"/>
      <w:marTop w:val="0"/>
      <w:marBottom w:val="0"/>
      <w:divBdr>
        <w:top w:val="none" w:sz="0" w:space="0" w:color="auto"/>
        <w:left w:val="none" w:sz="0" w:space="0" w:color="auto"/>
        <w:bottom w:val="none" w:sz="0" w:space="0" w:color="auto"/>
        <w:right w:val="none" w:sz="0" w:space="0" w:color="auto"/>
      </w:divBdr>
    </w:div>
    <w:div w:id="876969807">
      <w:bodyDiv w:val="1"/>
      <w:marLeft w:val="0"/>
      <w:marRight w:val="0"/>
      <w:marTop w:val="0"/>
      <w:marBottom w:val="0"/>
      <w:divBdr>
        <w:top w:val="none" w:sz="0" w:space="0" w:color="auto"/>
        <w:left w:val="none" w:sz="0" w:space="0" w:color="auto"/>
        <w:bottom w:val="none" w:sz="0" w:space="0" w:color="auto"/>
        <w:right w:val="none" w:sz="0" w:space="0" w:color="auto"/>
      </w:divBdr>
    </w:div>
    <w:div w:id="927082432">
      <w:bodyDiv w:val="1"/>
      <w:marLeft w:val="0"/>
      <w:marRight w:val="0"/>
      <w:marTop w:val="0"/>
      <w:marBottom w:val="0"/>
      <w:divBdr>
        <w:top w:val="none" w:sz="0" w:space="0" w:color="auto"/>
        <w:left w:val="none" w:sz="0" w:space="0" w:color="auto"/>
        <w:bottom w:val="none" w:sz="0" w:space="0" w:color="auto"/>
        <w:right w:val="none" w:sz="0" w:space="0" w:color="auto"/>
      </w:divBdr>
    </w:div>
    <w:div w:id="1236625059">
      <w:bodyDiv w:val="1"/>
      <w:marLeft w:val="0"/>
      <w:marRight w:val="0"/>
      <w:marTop w:val="0"/>
      <w:marBottom w:val="0"/>
      <w:divBdr>
        <w:top w:val="none" w:sz="0" w:space="0" w:color="auto"/>
        <w:left w:val="none" w:sz="0" w:space="0" w:color="auto"/>
        <w:bottom w:val="none" w:sz="0" w:space="0" w:color="auto"/>
        <w:right w:val="none" w:sz="0" w:space="0" w:color="auto"/>
      </w:divBdr>
    </w:div>
    <w:div w:id="1245064876">
      <w:bodyDiv w:val="1"/>
      <w:marLeft w:val="0"/>
      <w:marRight w:val="0"/>
      <w:marTop w:val="0"/>
      <w:marBottom w:val="0"/>
      <w:divBdr>
        <w:top w:val="none" w:sz="0" w:space="0" w:color="auto"/>
        <w:left w:val="none" w:sz="0" w:space="0" w:color="auto"/>
        <w:bottom w:val="none" w:sz="0" w:space="0" w:color="auto"/>
        <w:right w:val="none" w:sz="0" w:space="0" w:color="auto"/>
      </w:divBdr>
    </w:div>
    <w:div w:id="1281648886">
      <w:bodyDiv w:val="1"/>
      <w:marLeft w:val="0"/>
      <w:marRight w:val="0"/>
      <w:marTop w:val="0"/>
      <w:marBottom w:val="0"/>
      <w:divBdr>
        <w:top w:val="none" w:sz="0" w:space="0" w:color="auto"/>
        <w:left w:val="none" w:sz="0" w:space="0" w:color="auto"/>
        <w:bottom w:val="none" w:sz="0" w:space="0" w:color="auto"/>
        <w:right w:val="none" w:sz="0" w:space="0" w:color="auto"/>
      </w:divBdr>
    </w:div>
    <w:div w:id="1294483887">
      <w:bodyDiv w:val="1"/>
      <w:marLeft w:val="0"/>
      <w:marRight w:val="0"/>
      <w:marTop w:val="0"/>
      <w:marBottom w:val="0"/>
      <w:divBdr>
        <w:top w:val="none" w:sz="0" w:space="0" w:color="auto"/>
        <w:left w:val="none" w:sz="0" w:space="0" w:color="auto"/>
        <w:bottom w:val="none" w:sz="0" w:space="0" w:color="auto"/>
        <w:right w:val="none" w:sz="0" w:space="0" w:color="auto"/>
      </w:divBdr>
    </w:div>
    <w:div w:id="1338577398">
      <w:bodyDiv w:val="1"/>
      <w:marLeft w:val="0"/>
      <w:marRight w:val="0"/>
      <w:marTop w:val="0"/>
      <w:marBottom w:val="0"/>
      <w:divBdr>
        <w:top w:val="none" w:sz="0" w:space="0" w:color="auto"/>
        <w:left w:val="none" w:sz="0" w:space="0" w:color="auto"/>
        <w:bottom w:val="none" w:sz="0" w:space="0" w:color="auto"/>
        <w:right w:val="none" w:sz="0" w:space="0" w:color="auto"/>
      </w:divBdr>
    </w:div>
    <w:div w:id="1354576923">
      <w:bodyDiv w:val="1"/>
      <w:marLeft w:val="0"/>
      <w:marRight w:val="0"/>
      <w:marTop w:val="0"/>
      <w:marBottom w:val="0"/>
      <w:divBdr>
        <w:top w:val="none" w:sz="0" w:space="0" w:color="auto"/>
        <w:left w:val="none" w:sz="0" w:space="0" w:color="auto"/>
        <w:bottom w:val="none" w:sz="0" w:space="0" w:color="auto"/>
        <w:right w:val="none" w:sz="0" w:space="0" w:color="auto"/>
      </w:divBdr>
    </w:div>
    <w:div w:id="1354960904">
      <w:bodyDiv w:val="1"/>
      <w:marLeft w:val="0"/>
      <w:marRight w:val="0"/>
      <w:marTop w:val="0"/>
      <w:marBottom w:val="0"/>
      <w:divBdr>
        <w:top w:val="none" w:sz="0" w:space="0" w:color="auto"/>
        <w:left w:val="none" w:sz="0" w:space="0" w:color="auto"/>
        <w:bottom w:val="none" w:sz="0" w:space="0" w:color="auto"/>
        <w:right w:val="none" w:sz="0" w:space="0" w:color="auto"/>
      </w:divBdr>
    </w:div>
    <w:div w:id="1355154893">
      <w:bodyDiv w:val="1"/>
      <w:marLeft w:val="0"/>
      <w:marRight w:val="0"/>
      <w:marTop w:val="0"/>
      <w:marBottom w:val="0"/>
      <w:divBdr>
        <w:top w:val="none" w:sz="0" w:space="0" w:color="auto"/>
        <w:left w:val="none" w:sz="0" w:space="0" w:color="auto"/>
        <w:bottom w:val="none" w:sz="0" w:space="0" w:color="auto"/>
        <w:right w:val="none" w:sz="0" w:space="0" w:color="auto"/>
      </w:divBdr>
    </w:div>
    <w:div w:id="1423183881">
      <w:bodyDiv w:val="1"/>
      <w:marLeft w:val="0"/>
      <w:marRight w:val="0"/>
      <w:marTop w:val="0"/>
      <w:marBottom w:val="0"/>
      <w:divBdr>
        <w:top w:val="none" w:sz="0" w:space="0" w:color="auto"/>
        <w:left w:val="none" w:sz="0" w:space="0" w:color="auto"/>
        <w:bottom w:val="none" w:sz="0" w:space="0" w:color="auto"/>
        <w:right w:val="none" w:sz="0" w:space="0" w:color="auto"/>
      </w:divBdr>
    </w:div>
    <w:div w:id="1425226119">
      <w:bodyDiv w:val="1"/>
      <w:marLeft w:val="0"/>
      <w:marRight w:val="0"/>
      <w:marTop w:val="0"/>
      <w:marBottom w:val="0"/>
      <w:divBdr>
        <w:top w:val="none" w:sz="0" w:space="0" w:color="auto"/>
        <w:left w:val="none" w:sz="0" w:space="0" w:color="auto"/>
        <w:bottom w:val="none" w:sz="0" w:space="0" w:color="auto"/>
        <w:right w:val="none" w:sz="0" w:space="0" w:color="auto"/>
      </w:divBdr>
    </w:div>
    <w:div w:id="1455056594">
      <w:bodyDiv w:val="1"/>
      <w:marLeft w:val="0"/>
      <w:marRight w:val="0"/>
      <w:marTop w:val="0"/>
      <w:marBottom w:val="0"/>
      <w:divBdr>
        <w:top w:val="none" w:sz="0" w:space="0" w:color="auto"/>
        <w:left w:val="none" w:sz="0" w:space="0" w:color="auto"/>
        <w:bottom w:val="none" w:sz="0" w:space="0" w:color="auto"/>
        <w:right w:val="none" w:sz="0" w:space="0" w:color="auto"/>
      </w:divBdr>
    </w:div>
    <w:div w:id="1529757128">
      <w:bodyDiv w:val="1"/>
      <w:marLeft w:val="0"/>
      <w:marRight w:val="0"/>
      <w:marTop w:val="0"/>
      <w:marBottom w:val="0"/>
      <w:divBdr>
        <w:top w:val="none" w:sz="0" w:space="0" w:color="auto"/>
        <w:left w:val="none" w:sz="0" w:space="0" w:color="auto"/>
        <w:bottom w:val="none" w:sz="0" w:space="0" w:color="auto"/>
        <w:right w:val="none" w:sz="0" w:space="0" w:color="auto"/>
      </w:divBdr>
    </w:div>
    <w:div w:id="1674185951">
      <w:bodyDiv w:val="1"/>
      <w:marLeft w:val="0"/>
      <w:marRight w:val="0"/>
      <w:marTop w:val="0"/>
      <w:marBottom w:val="0"/>
      <w:divBdr>
        <w:top w:val="none" w:sz="0" w:space="0" w:color="auto"/>
        <w:left w:val="none" w:sz="0" w:space="0" w:color="auto"/>
        <w:bottom w:val="none" w:sz="0" w:space="0" w:color="auto"/>
        <w:right w:val="none" w:sz="0" w:space="0" w:color="auto"/>
      </w:divBdr>
    </w:div>
    <w:div w:id="1795056862">
      <w:bodyDiv w:val="1"/>
      <w:marLeft w:val="0"/>
      <w:marRight w:val="0"/>
      <w:marTop w:val="0"/>
      <w:marBottom w:val="0"/>
      <w:divBdr>
        <w:top w:val="none" w:sz="0" w:space="0" w:color="auto"/>
        <w:left w:val="none" w:sz="0" w:space="0" w:color="auto"/>
        <w:bottom w:val="none" w:sz="0" w:space="0" w:color="auto"/>
        <w:right w:val="none" w:sz="0" w:space="0" w:color="auto"/>
      </w:divBdr>
    </w:div>
    <w:div w:id="1901669370">
      <w:bodyDiv w:val="1"/>
      <w:marLeft w:val="0"/>
      <w:marRight w:val="0"/>
      <w:marTop w:val="0"/>
      <w:marBottom w:val="0"/>
      <w:divBdr>
        <w:top w:val="none" w:sz="0" w:space="0" w:color="auto"/>
        <w:left w:val="none" w:sz="0" w:space="0" w:color="auto"/>
        <w:bottom w:val="none" w:sz="0" w:space="0" w:color="auto"/>
        <w:right w:val="none" w:sz="0" w:space="0" w:color="auto"/>
      </w:divBdr>
    </w:div>
    <w:div w:id="1956519712">
      <w:bodyDiv w:val="1"/>
      <w:marLeft w:val="0"/>
      <w:marRight w:val="0"/>
      <w:marTop w:val="0"/>
      <w:marBottom w:val="0"/>
      <w:divBdr>
        <w:top w:val="none" w:sz="0" w:space="0" w:color="auto"/>
        <w:left w:val="none" w:sz="0" w:space="0" w:color="auto"/>
        <w:bottom w:val="none" w:sz="0" w:space="0" w:color="auto"/>
        <w:right w:val="none" w:sz="0" w:space="0" w:color="auto"/>
      </w:divBdr>
    </w:div>
    <w:div w:id="1994136427">
      <w:bodyDiv w:val="1"/>
      <w:marLeft w:val="0"/>
      <w:marRight w:val="0"/>
      <w:marTop w:val="0"/>
      <w:marBottom w:val="0"/>
      <w:divBdr>
        <w:top w:val="none" w:sz="0" w:space="0" w:color="auto"/>
        <w:left w:val="none" w:sz="0" w:space="0" w:color="auto"/>
        <w:bottom w:val="none" w:sz="0" w:space="0" w:color="auto"/>
        <w:right w:val="none" w:sz="0" w:space="0" w:color="auto"/>
      </w:divBdr>
    </w:div>
    <w:div w:id="2011054398">
      <w:bodyDiv w:val="1"/>
      <w:marLeft w:val="0"/>
      <w:marRight w:val="0"/>
      <w:marTop w:val="0"/>
      <w:marBottom w:val="0"/>
      <w:divBdr>
        <w:top w:val="none" w:sz="0" w:space="0" w:color="auto"/>
        <w:left w:val="none" w:sz="0" w:space="0" w:color="auto"/>
        <w:bottom w:val="none" w:sz="0" w:space="0" w:color="auto"/>
        <w:right w:val="none" w:sz="0" w:space="0" w:color="auto"/>
      </w:divBdr>
    </w:div>
    <w:div w:id="2093895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am.gov.co/information-p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dam.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am.gov.co/information-page"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dam.gov.c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s://www.redam.gov.co/assets/GUIA%2001-VV.pdf" TargetMode="External"/><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097311F-4833-4F56-9F0C-8E9941A35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6759BB5E-095A-447D-B26F-AC5262A95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25</Pages>
  <Words>9461</Words>
  <Characters>52037</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4</cp:revision>
  <cp:lastPrinted>2023-06-21T00:29:00Z</cp:lastPrinted>
  <dcterms:created xsi:type="dcterms:W3CDTF">2023-06-21T00:28:00Z</dcterms:created>
  <dcterms:modified xsi:type="dcterms:W3CDTF">2023-06-29T21:05:00Z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