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F67879" w14:textId="77777777" w:rsidR="00441178" w:rsidRPr="0044528D" w:rsidRDefault="00441178" w:rsidP="00441178">
      <w:pPr>
        <w:spacing w:after="0"/>
        <w:rPr>
          <w:rFonts w:ascii="Verdana" w:hAnsi="Verdana"/>
        </w:rPr>
      </w:pPr>
      <w:bookmarkStart w:id="0" w:name="_Hlk143780582"/>
      <w:r w:rsidRPr="0044528D">
        <w:rPr>
          <w:rFonts w:ascii="Verdana" w:hAnsi="Verdana"/>
        </w:rPr>
        <w:tab/>
      </w:r>
    </w:p>
    <w:p w14:paraId="6C78948B" w14:textId="77777777" w:rsidR="00441178" w:rsidRDefault="00441178" w:rsidP="00441178">
      <w:pPr>
        <w:spacing w:after="0"/>
        <w:rPr>
          <w:rFonts w:ascii="Verdana" w:hAnsi="Verdana"/>
        </w:rPr>
      </w:pPr>
    </w:p>
    <w:p w14:paraId="68E7897C" w14:textId="77777777" w:rsidR="00441178" w:rsidRPr="00C230AA" w:rsidRDefault="00441178" w:rsidP="00441178">
      <w:pPr>
        <w:spacing w:after="0" w:line="276" w:lineRule="auto"/>
        <w:jc w:val="both"/>
        <w:rPr>
          <w:rFonts w:ascii="Verdana" w:eastAsia="Calibri" w:hAnsi="Verdana" w:cs="Arial"/>
          <w:b/>
          <w:bCs/>
          <w:lang w:val="es-ES" w:eastAsia="es-ES"/>
        </w:rPr>
      </w:pPr>
      <w:bookmarkStart w:id="1" w:name="_Hlk172124853"/>
      <w:r w:rsidRPr="00C230AA">
        <w:rPr>
          <w:rFonts w:ascii="Verdana" w:eastAsia="Calibri" w:hAnsi="Verdana" w:cs="Arial"/>
          <w:b/>
          <w:bCs/>
          <w:lang w:val="es-ES" w:eastAsia="es-ES"/>
        </w:rPr>
        <w:t xml:space="preserve">SERVICIO MILITAR – Obligatoriedad </w:t>
      </w:r>
    </w:p>
    <w:p w14:paraId="159256F5" w14:textId="77777777" w:rsidR="00441178" w:rsidRPr="00C230AA" w:rsidRDefault="00441178" w:rsidP="00441178">
      <w:pPr>
        <w:spacing w:after="0" w:line="276" w:lineRule="auto"/>
        <w:jc w:val="both"/>
        <w:rPr>
          <w:rFonts w:ascii="Verdana" w:eastAsia="Calibri" w:hAnsi="Verdana" w:cs="Arial"/>
          <w:lang w:val="es-ES" w:eastAsia="es-ES"/>
        </w:rPr>
      </w:pPr>
    </w:p>
    <w:p w14:paraId="2A1EA09D" w14:textId="77777777" w:rsidR="00441178" w:rsidRDefault="00441178" w:rsidP="00441178">
      <w:pPr>
        <w:spacing w:after="0" w:line="276" w:lineRule="auto"/>
        <w:jc w:val="both"/>
        <w:rPr>
          <w:rFonts w:ascii="Verdana" w:eastAsia="Calibri" w:hAnsi="Verdana" w:cs="Arial"/>
          <w:lang w:val="es-ES" w:eastAsia="es-ES"/>
        </w:rPr>
      </w:pPr>
      <w:r w:rsidRPr="00C230AA">
        <w:rPr>
          <w:rFonts w:ascii="Verdana" w:eastAsia="Calibri" w:hAnsi="Verdana" w:cs="Arial"/>
          <w:lang w:val="es-ES" w:eastAsia="es-ES"/>
        </w:rPr>
        <w:t>El servicio militar obligatorio es un deber constitucional que se fundamenta en el artículo 216 superior, según el cual: «[…]Todos los colombianos estamos obligados a tomar las armas cuando las necesidades públicas lo exijan para defender la independencia nacional y las instituciones públicas. […]» Para tal efecto, el constituyente dispuso que a través de la Ley se determinarían las condiciones las condiciones, que, en todo tiempo, eximen del servicio militar y las prerrogativas para su prestación.</w:t>
      </w:r>
    </w:p>
    <w:p w14:paraId="740475EF" w14:textId="77777777" w:rsidR="00441178" w:rsidRDefault="00441178" w:rsidP="00441178">
      <w:pPr>
        <w:spacing w:after="0" w:line="276" w:lineRule="auto"/>
        <w:jc w:val="both"/>
        <w:rPr>
          <w:rFonts w:ascii="Verdana" w:eastAsia="Calibri" w:hAnsi="Verdana" w:cs="Arial"/>
          <w:lang w:val="es-ES" w:eastAsia="es-ES"/>
        </w:rPr>
      </w:pPr>
    </w:p>
    <w:p w14:paraId="6A2D35ED" w14:textId="77777777" w:rsidR="00441178" w:rsidRPr="0098266D" w:rsidRDefault="00441178" w:rsidP="00441178">
      <w:pPr>
        <w:spacing w:after="0" w:line="240" w:lineRule="auto"/>
        <w:jc w:val="both"/>
        <w:rPr>
          <w:rFonts w:ascii="Verdana" w:eastAsia="Calibri" w:hAnsi="Verdana" w:cs="Arial"/>
          <w:b/>
          <w:bCs/>
          <w:lang w:val="es-ES" w:eastAsia="es-ES"/>
        </w:rPr>
      </w:pPr>
      <w:r w:rsidRPr="0098266D">
        <w:rPr>
          <w:rFonts w:ascii="Verdana" w:eastAsia="Calibri" w:hAnsi="Verdana" w:cs="Arial"/>
          <w:b/>
          <w:bCs/>
          <w:lang w:val="es-ES" w:eastAsia="es-ES"/>
        </w:rPr>
        <w:t>SITUACIÓN MILITAR PARA EL TRABAJO – Regla general</w:t>
      </w:r>
    </w:p>
    <w:p w14:paraId="637AB8B6" w14:textId="77777777" w:rsidR="00441178" w:rsidRPr="0098266D" w:rsidRDefault="00441178" w:rsidP="00441178">
      <w:pPr>
        <w:spacing w:after="0" w:line="240" w:lineRule="auto"/>
        <w:jc w:val="both"/>
        <w:rPr>
          <w:rFonts w:ascii="Verdana" w:eastAsia="Calibri" w:hAnsi="Verdana" w:cs="Arial"/>
          <w:lang w:val="es-ES" w:eastAsia="es-ES"/>
        </w:rPr>
      </w:pPr>
    </w:p>
    <w:p w14:paraId="760D025E" w14:textId="77777777" w:rsidR="00441178" w:rsidRPr="0098266D" w:rsidRDefault="00441178" w:rsidP="00441178">
      <w:pPr>
        <w:spacing w:after="0" w:line="240" w:lineRule="auto"/>
        <w:jc w:val="both"/>
        <w:rPr>
          <w:rFonts w:ascii="Verdana" w:eastAsia="Calibri" w:hAnsi="Verdana" w:cs="Arial"/>
          <w:lang w:val="es-ES" w:eastAsia="es-ES"/>
        </w:rPr>
      </w:pPr>
      <w:r w:rsidRPr="0098266D">
        <w:rPr>
          <w:rFonts w:ascii="Verdana" w:eastAsia="Calibri" w:hAnsi="Verdana" w:cs="Arial"/>
          <w:lang w:val="es-ES" w:eastAsia="es-ES"/>
        </w:rPr>
        <w:t>El artículo 42 de la Ley 1861 de 2017dispone en su primer inciso que la situación militar se deberá acreditar en tres eventos: i) para ejercer cargos públicos, ii) trabajar en el sector privado y iii) celebrar contratos de prestación de servicios como persona natural con cualquier entidad de derecho público. De esta manera, se concluye prima facie que, para la celebración de contratos de prestación de servicios con personas naturales, resulta obligatorio que se acredite definida la situación militar mediante los documentos señalados en el numeral anterior.</w:t>
      </w:r>
    </w:p>
    <w:p w14:paraId="6C20D1B2" w14:textId="77777777" w:rsidR="00441178" w:rsidRPr="0098266D" w:rsidRDefault="00441178" w:rsidP="00441178">
      <w:pPr>
        <w:spacing w:after="0" w:line="240" w:lineRule="auto"/>
        <w:jc w:val="both"/>
        <w:rPr>
          <w:rFonts w:ascii="Verdana" w:eastAsia="Calibri" w:hAnsi="Verdana" w:cs="Arial"/>
          <w:b/>
          <w:bCs/>
          <w:lang w:val="es-ES" w:eastAsia="es-ES"/>
        </w:rPr>
      </w:pPr>
    </w:p>
    <w:p w14:paraId="42199C1D" w14:textId="77777777" w:rsidR="00441178" w:rsidRPr="0098266D" w:rsidRDefault="00441178" w:rsidP="00441178">
      <w:pPr>
        <w:spacing w:after="0" w:line="240" w:lineRule="auto"/>
        <w:jc w:val="both"/>
        <w:rPr>
          <w:rFonts w:ascii="Verdana" w:eastAsia="Calibri" w:hAnsi="Verdana" w:cs="Arial"/>
          <w:b/>
          <w:bCs/>
          <w:lang w:val="es-ES" w:eastAsia="es-ES"/>
        </w:rPr>
      </w:pPr>
      <w:r w:rsidRPr="0098266D">
        <w:rPr>
          <w:rFonts w:ascii="Verdana" w:eastAsia="Calibri" w:hAnsi="Verdana" w:cs="Arial"/>
          <w:b/>
          <w:bCs/>
          <w:lang w:val="es-ES" w:eastAsia="es-ES"/>
        </w:rPr>
        <w:t>SITUACIÓN MILITAR PARA EL TRABAJO – Regla excepcional</w:t>
      </w:r>
    </w:p>
    <w:p w14:paraId="6B86E783" w14:textId="77777777" w:rsidR="00441178" w:rsidRPr="0098266D" w:rsidRDefault="00441178" w:rsidP="00441178">
      <w:pPr>
        <w:spacing w:after="0" w:line="240" w:lineRule="auto"/>
        <w:jc w:val="both"/>
        <w:rPr>
          <w:rFonts w:ascii="Verdana" w:eastAsia="Calibri" w:hAnsi="Verdana" w:cs="Arial"/>
          <w:lang w:val="es-ES" w:eastAsia="es-ES"/>
        </w:rPr>
      </w:pPr>
    </w:p>
    <w:p w14:paraId="316C8AC5" w14:textId="77777777" w:rsidR="00441178" w:rsidRPr="0098266D" w:rsidRDefault="00441178" w:rsidP="00441178">
      <w:pPr>
        <w:spacing w:after="0" w:line="240" w:lineRule="auto"/>
        <w:jc w:val="both"/>
        <w:rPr>
          <w:rFonts w:ascii="Verdana" w:eastAsia="Calibri" w:hAnsi="Verdana" w:cs="Arial"/>
          <w:lang w:val="es-ES" w:eastAsia="es-ES"/>
        </w:rPr>
      </w:pPr>
      <w:r w:rsidRPr="0098266D">
        <w:rPr>
          <w:rFonts w:ascii="Verdana" w:eastAsia="Calibri" w:hAnsi="Verdana" w:cs="Arial"/>
          <w:lang w:val="es-ES" w:eastAsia="es-ES"/>
        </w:rPr>
        <w:t>[…] el inciso segundo del artículo 42 de la Ley 1861 de 2017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p>
    <w:p w14:paraId="2C147CE9" w14:textId="77777777" w:rsidR="00441178" w:rsidRPr="0098266D" w:rsidRDefault="00441178" w:rsidP="00441178">
      <w:pPr>
        <w:spacing w:after="0" w:line="276" w:lineRule="auto"/>
        <w:jc w:val="both"/>
        <w:rPr>
          <w:rFonts w:ascii="Verdana" w:eastAsia="Calibri" w:hAnsi="Verdana" w:cs="Arial"/>
          <w:lang w:val="es-ES" w:eastAsia="es-ES"/>
        </w:rPr>
      </w:pPr>
    </w:p>
    <w:p w14:paraId="2908CC37" w14:textId="77777777" w:rsidR="00441178" w:rsidRDefault="00441178" w:rsidP="00441178">
      <w:pPr>
        <w:spacing w:after="0" w:line="276" w:lineRule="auto"/>
        <w:jc w:val="both"/>
        <w:rPr>
          <w:rFonts w:ascii="Verdana" w:eastAsia="Calibri" w:hAnsi="Verdana" w:cs="Arial"/>
          <w:lang w:val="es-ES" w:eastAsia="es-ES"/>
        </w:rPr>
      </w:pPr>
    </w:p>
    <w:p w14:paraId="518F1E17" w14:textId="77777777" w:rsidR="00441178" w:rsidRDefault="00441178" w:rsidP="00441178">
      <w:pPr>
        <w:spacing w:after="0" w:line="276" w:lineRule="auto"/>
        <w:jc w:val="both"/>
        <w:rPr>
          <w:rFonts w:ascii="Verdana" w:eastAsia="Calibri" w:hAnsi="Verdana" w:cs="Arial"/>
          <w:lang w:val="es-ES" w:eastAsia="es-ES"/>
        </w:rPr>
      </w:pPr>
    </w:p>
    <w:p w14:paraId="7A823676" w14:textId="77777777" w:rsidR="00441178" w:rsidRDefault="00441178" w:rsidP="00441178">
      <w:pPr>
        <w:spacing w:after="0" w:line="276" w:lineRule="auto"/>
        <w:jc w:val="both"/>
        <w:rPr>
          <w:rFonts w:ascii="Verdana" w:eastAsia="Calibri" w:hAnsi="Verdana" w:cs="Arial"/>
          <w:lang w:val="es-ES" w:eastAsia="es-ES"/>
        </w:rPr>
      </w:pPr>
    </w:p>
    <w:p w14:paraId="70705276" w14:textId="77777777" w:rsidR="00441178" w:rsidRDefault="00441178" w:rsidP="00441178">
      <w:pPr>
        <w:spacing w:after="0" w:line="276" w:lineRule="auto"/>
        <w:jc w:val="both"/>
        <w:rPr>
          <w:rFonts w:ascii="Verdana" w:eastAsia="Calibri" w:hAnsi="Verdana" w:cs="Arial"/>
          <w:lang w:val="es-ES" w:eastAsia="es-ES"/>
        </w:rPr>
      </w:pPr>
    </w:p>
    <w:p w14:paraId="201873FA" w14:textId="77777777" w:rsidR="00441178" w:rsidRDefault="00441178" w:rsidP="00441178">
      <w:pPr>
        <w:spacing w:after="0" w:line="276" w:lineRule="auto"/>
        <w:jc w:val="both"/>
        <w:rPr>
          <w:rFonts w:ascii="Verdana" w:eastAsia="Calibri" w:hAnsi="Verdana" w:cs="Arial"/>
          <w:lang w:val="es-ES" w:eastAsia="es-ES"/>
        </w:rPr>
      </w:pPr>
    </w:p>
    <w:p w14:paraId="65260214" w14:textId="77777777" w:rsidR="00441178" w:rsidRDefault="00441178" w:rsidP="00441178">
      <w:pPr>
        <w:spacing w:after="0" w:line="276" w:lineRule="auto"/>
        <w:jc w:val="both"/>
        <w:rPr>
          <w:rFonts w:ascii="Verdana" w:eastAsia="Calibri" w:hAnsi="Verdana" w:cs="Arial"/>
          <w:lang w:val="es-ES" w:eastAsia="es-ES"/>
        </w:rPr>
      </w:pPr>
    </w:p>
    <w:p w14:paraId="7E2AA54F" w14:textId="77777777" w:rsidR="00441178" w:rsidRDefault="00441178" w:rsidP="00441178">
      <w:pPr>
        <w:spacing w:after="0" w:line="276" w:lineRule="auto"/>
        <w:jc w:val="both"/>
        <w:rPr>
          <w:rFonts w:ascii="Verdana" w:eastAsia="Calibri" w:hAnsi="Verdana" w:cs="Arial"/>
          <w:lang w:val="es-ES" w:eastAsia="es-ES"/>
        </w:rPr>
      </w:pPr>
    </w:p>
    <w:p w14:paraId="4514C50E" w14:textId="77777777" w:rsidR="00441178" w:rsidRDefault="00441178" w:rsidP="00441178">
      <w:pPr>
        <w:spacing w:after="0" w:line="276" w:lineRule="auto"/>
        <w:jc w:val="both"/>
        <w:rPr>
          <w:rFonts w:ascii="Verdana" w:eastAsia="Calibri" w:hAnsi="Verdana" w:cs="Arial"/>
          <w:lang w:val="es-ES" w:eastAsia="es-ES"/>
        </w:rPr>
      </w:pPr>
    </w:p>
    <w:p w14:paraId="48D87F94" w14:textId="77777777" w:rsidR="00441178" w:rsidRDefault="00441178" w:rsidP="00441178">
      <w:pPr>
        <w:spacing w:after="0" w:line="276" w:lineRule="auto"/>
        <w:jc w:val="both"/>
        <w:rPr>
          <w:rFonts w:ascii="Verdana" w:eastAsia="Calibri" w:hAnsi="Verdana" w:cs="Arial"/>
          <w:lang w:val="es-ES" w:eastAsia="es-ES"/>
        </w:rPr>
      </w:pPr>
    </w:p>
    <w:p w14:paraId="34A33445" w14:textId="5455DEFA" w:rsidR="00441178" w:rsidRDefault="00441178" w:rsidP="00441178">
      <w:pPr>
        <w:spacing w:after="0" w:line="276" w:lineRule="auto"/>
        <w:jc w:val="both"/>
        <w:rPr>
          <w:rFonts w:ascii="Verdana" w:hAnsi="Verdana"/>
        </w:rPr>
      </w:pPr>
      <w:r w:rsidRPr="0044528D">
        <w:rPr>
          <w:rFonts w:ascii="Verdana" w:hAnsi="Verdana"/>
        </w:rPr>
        <w:t xml:space="preserve">Bogotá D.C., </w:t>
      </w:r>
      <w:r w:rsidR="00217786">
        <w:rPr>
          <w:rFonts w:ascii="Verdana" w:hAnsi="Verdana"/>
        </w:rPr>
        <w:t xml:space="preserve">1 de agosto de 2024 </w:t>
      </w:r>
    </w:p>
    <w:p w14:paraId="359840CC" w14:textId="77777777" w:rsidR="00217786" w:rsidRDefault="00217786" w:rsidP="00441178">
      <w:pPr>
        <w:spacing w:after="0" w:line="276" w:lineRule="auto"/>
        <w:jc w:val="both"/>
        <w:rPr>
          <w:rFonts w:ascii="Verdana" w:hAnsi="Verdana"/>
        </w:rPr>
      </w:pPr>
    </w:p>
    <w:p w14:paraId="24E5FA82" w14:textId="2031855C" w:rsidR="00217786" w:rsidRDefault="00FF2059" w:rsidP="00FF2059">
      <w:pPr>
        <w:spacing w:after="0" w:line="276" w:lineRule="auto"/>
        <w:jc w:val="right"/>
        <w:rPr>
          <w:rFonts w:ascii="Verdana" w:eastAsia="Calibri" w:hAnsi="Verdana" w:cs="Arial"/>
          <w:lang w:val="es-ES" w:eastAsia="es-ES"/>
        </w:rPr>
      </w:pPr>
      <w:r w:rsidRPr="00FF2059">
        <w:rPr>
          <w:rFonts w:ascii="Verdana" w:eastAsia="Calibri" w:hAnsi="Verdana" w:cs="Arial"/>
          <w:lang w:val="es-ES" w:eastAsia="es-ES"/>
        </w:rPr>
        <w:drawing>
          <wp:inline distT="0" distB="0" distL="0" distR="0" wp14:anchorId="26D5D731" wp14:editId="336B4EE7">
            <wp:extent cx="3762900" cy="952633"/>
            <wp:effectExtent l="0" t="0" r="9525" b="0"/>
            <wp:docPr id="87734878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348784" name="Imagen 1" descr="Texto&#10;&#10;Descripción generada automáticamente"/>
                    <pic:cNvPicPr/>
                  </pic:nvPicPr>
                  <pic:blipFill>
                    <a:blip r:embed="rId11"/>
                    <a:stretch>
                      <a:fillRect/>
                    </a:stretch>
                  </pic:blipFill>
                  <pic:spPr>
                    <a:xfrm>
                      <a:off x="0" y="0"/>
                      <a:ext cx="3762900" cy="952633"/>
                    </a:xfrm>
                    <a:prstGeom prst="rect">
                      <a:avLst/>
                    </a:prstGeom>
                  </pic:spPr>
                </pic:pic>
              </a:graphicData>
            </a:graphic>
          </wp:inline>
        </w:drawing>
      </w:r>
    </w:p>
    <w:p w14:paraId="74191D4B" w14:textId="77777777" w:rsidR="00441178" w:rsidRDefault="00441178" w:rsidP="00441178">
      <w:pPr>
        <w:spacing w:after="0" w:line="276" w:lineRule="auto"/>
        <w:jc w:val="both"/>
        <w:rPr>
          <w:rFonts w:ascii="Verdana" w:eastAsia="Calibri" w:hAnsi="Verdana" w:cs="Arial"/>
          <w:lang w:val="es-ES" w:eastAsia="es-ES"/>
        </w:rPr>
      </w:pPr>
    </w:p>
    <w:p w14:paraId="0285CB79" w14:textId="77777777" w:rsidR="00441178" w:rsidRPr="00881D8B" w:rsidRDefault="00441178" w:rsidP="00441178">
      <w:pPr>
        <w:spacing w:after="0" w:line="276" w:lineRule="auto"/>
        <w:jc w:val="both"/>
        <w:rPr>
          <w:rFonts w:ascii="Verdana" w:eastAsia="Calibri" w:hAnsi="Verdana" w:cs="Arial"/>
          <w:lang w:val="es-ES" w:eastAsia="es-ES"/>
        </w:rPr>
      </w:pPr>
      <w:r w:rsidRPr="00881D8B">
        <w:rPr>
          <w:rFonts w:ascii="Verdana" w:eastAsia="Calibri" w:hAnsi="Verdana" w:cs="Arial"/>
          <w:lang w:val="es-ES" w:eastAsia="es-ES"/>
        </w:rPr>
        <w:t>Señor</w:t>
      </w:r>
    </w:p>
    <w:p w14:paraId="61DB92EF" w14:textId="77777777" w:rsidR="00441178" w:rsidRPr="00881D8B" w:rsidRDefault="00441178" w:rsidP="00441178">
      <w:pPr>
        <w:spacing w:after="0" w:line="276" w:lineRule="auto"/>
        <w:rPr>
          <w:rFonts w:ascii="Verdana" w:eastAsia="Calibri" w:hAnsi="Verdana" w:cs="Arial"/>
          <w:b/>
          <w:lang w:val="es-ES_tradnl" w:eastAsia="es-ES_tradnl"/>
        </w:rPr>
      </w:pPr>
      <w:r>
        <w:rPr>
          <w:rFonts w:ascii="Verdana" w:eastAsia="Calibri" w:hAnsi="Verdana" w:cs="Arial"/>
          <w:b/>
          <w:lang w:val="es-ES_tradnl" w:eastAsia="es-ES_tradnl"/>
        </w:rPr>
        <w:t>Oscar Andres Penagos Porras</w:t>
      </w:r>
    </w:p>
    <w:p w14:paraId="3FA0BA96" w14:textId="77777777" w:rsidR="00441178" w:rsidRPr="00045B79" w:rsidRDefault="00441178" w:rsidP="00441178">
      <w:pPr>
        <w:spacing w:after="0" w:line="276" w:lineRule="auto"/>
        <w:rPr>
          <w:rFonts w:ascii="Verdana" w:eastAsia="Calibri" w:hAnsi="Verdana" w:cs="Arial"/>
          <w:lang w:val="es-ES_tradnl" w:eastAsia="es-ES_tradnl"/>
        </w:rPr>
      </w:pPr>
      <w:r w:rsidRPr="00045B79">
        <w:rPr>
          <w:rFonts w:ascii="Verdana" w:eastAsia="Calibri" w:hAnsi="Verdana" w:cs="Arial"/>
          <w:lang w:eastAsia="es-ES_tradnl"/>
        </w:rPr>
        <w:t>andres97ospe@gmail.com</w:t>
      </w:r>
    </w:p>
    <w:p w14:paraId="1422DC38" w14:textId="77777777" w:rsidR="00441178" w:rsidRPr="00881D8B" w:rsidRDefault="00441178" w:rsidP="00441178">
      <w:pPr>
        <w:spacing w:after="0" w:line="276" w:lineRule="auto"/>
        <w:rPr>
          <w:rFonts w:ascii="Verdana" w:eastAsia="Calibri" w:hAnsi="Verdana" w:cs="Arial"/>
          <w:b/>
          <w:bCs/>
          <w:lang w:val="es-ES_tradnl" w:eastAsia="es-ES_tradnl"/>
        </w:rPr>
      </w:pPr>
      <w:r>
        <w:rPr>
          <w:rFonts w:ascii="Verdana" w:eastAsia="Calibri" w:hAnsi="Verdana" w:cs="Arial"/>
          <w:lang w:val="es-ES" w:eastAsia="es-ES"/>
        </w:rPr>
        <w:t xml:space="preserve">La ciudad </w:t>
      </w:r>
    </w:p>
    <w:p w14:paraId="18670E03" w14:textId="77777777" w:rsidR="00441178" w:rsidRPr="00881D8B" w:rsidRDefault="00441178" w:rsidP="00441178">
      <w:pPr>
        <w:spacing w:after="0" w:line="276"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41178" w:rsidRPr="00881D8B" w14:paraId="09CCFA48" w14:textId="77777777" w:rsidTr="00C65060">
        <w:trPr>
          <w:trHeight w:val="884"/>
        </w:trPr>
        <w:tc>
          <w:tcPr>
            <w:tcW w:w="2689" w:type="dxa"/>
          </w:tcPr>
          <w:p w14:paraId="44914F5F" w14:textId="77777777" w:rsidR="00441178" w:rsidRPr="00881D8B" w:rsidRDefault="00441178" w:rsidP="00C65060">
            <w:pPr>
              <w:spacing w:line="276" w:lineRule="auto"/>
              <w:jc w:val="both"/>
              <w:rPr>
                <w:rFonts w:ascii="Verdana" w:eastAsia="Calibri" w:hAnsi="Verdana" w:cs="Arial"/>
                <w:b/>
                <w:bCs/>
                <w:lang w:val="es-ES_tradnl" w:eastAsia="es-ES_tradnl"/>
              </w:rPr>
            </w:pPr>
          </w:p>
        </w:tc>
        <w:tc>
          <w:tcPr>
            <w:tcW w:w="6100" w:type="dxa"/>
          </w:tcPr>
          <w:p w14:paraId="159ED7E4" w14:textId="77777777" w:rsidR="00441178" w:rsidRPr="00881D8B" w:rsidRDefault="00441178" w:rsidP="00C65060">
            <w:pPr>
              <w:spacing w:line="276" w:lineRule="auto"/>
              <w:jc w:val="both"/>
              <w:rPr>
                <w:rFonts w:ascii="Verdana" w:eastAsia="Calibri" w:hAnsi="Verdana" w:cs="Arial"/>
                <w:b/>
                <w:bCs/>
                <w:lang w:val="es-ES" w:eastAsia="es-ES"/>
              </w:rPr>
            </w:pPr>
            <w:r w:rsidRPr="00881D8B">
              <w:rPr>
                <w:rFonts w:ascii="Verdana" w:eastAsia="Calibri" w:hAnsi="Verdana" w:cs="Arial"/>
                <w:b/>
                <w:bCs/>
                <w:lang w:val="es-ES" w:eastAsia="es-ES"/>
              </w:rPr>
              <w:t xml:space="preserve">Concepto C- </w:t>
            </w:r>
            <w:r>
              <w:rPr>
                <w:rFonts w:ascii="Verdana" w:eastAsia="Calibri" w:hAnsi="Verdana" w:cs="Arial"/>
                <w:b/>
                <w:bCs/>
                <w:lang w:val="es-ES" w:eastAsia="es-ES"/>
              </w:rPr>
              <w:t>208</w:t>
            </w:r>
            <w:r w:rsidRPr="00881D8B">
              <w:rPr>
                <w:rFonts w:ascii="Verdana" w:eastAsia="Calibri" w:hAnsi="Verdana" w:cs="Arial"/>
                <w:b/>
                <w:bCs/>
                <w:lang w:val="es-ES" w:eastAsia="es-ES"/>
              </w:rPr>
              <w:t xml:space="preserve"> de 2024</w:t>
            </w:r>
          </w:p>
        </w:tc>
      </w:tr>
      <w:tr w:rsidR="00441178" w:rsidRPr="00881D8B" w14:paraId="781D1CC2" w14:textId="77777777" w:rsidTr="00C65060">
        <w:trPr>
          <w:trHeight w:val="884"/>
        </w:trPr>
        <w:tc>
          <w:tcPr>
            <w:tcW w:w="2689" w:type="dxa"/>
          </w:tcPr>
          <w:p w14:paraId="17AA5554" w14:textId="77777777" w:rsidR="00441178" w:rsidRPr="00881D8B" w:rsidRDefault="00441178" w:rsidP="00C65060">
            <w:pPr>
              <w:spacing w:line="276" w:lineRule="auto"/>
              <w:jc w:val="both"/>
              <w:rPr>
                <w:rFonts w:ascii="Verdana" w:eastAsia="Calibri" w:hAnsi="Verdana" w:cs="Arial"/>
                <w:lang w:val="es-ES_tradnl" w:eastAsia="es-ES_tradnl"/>
              </w:rPr>
            </w:pPr>
            <w:r w:rsidRPr="00881D8B">
              <w:rPr>
                <w:rFonts w:ascii="Verdana" w:eastAsia="Calibri" w:hAnsi="Verdana" w:cs="Arial"/>
                <w:b/>
                <w:lang w:val="es-ES_tradnl" w:eastAsia="es-ES_tradnl"/>
              </w:rPr>
              <w:t>Temas:</w:t>
            </w:r>
            <w:r w:rsidRPr="00881D8B">
              <w:rPr>
                <w:rFonts w:ascii="Verdana" w:eastAsia="Calibri" w:hAnsi="Verdana" w:cs="Arial"/>
                <w:lang w:val="es-ES_tradnl" w:eastAsia="es-ES_tradnl"/>
              </w:rPr>
              <w:t xml:space="preserve">                   </w:t>
            </w:r>
          </w:p>
        </w:tc>
        <w:tc>
          <w:tcPr>
            <w:tcW w:w="6100" w:type="dxa"/>
          </w:tcPr>
          <w:p w14:paraId="7C9841B1" w14:textId="77777777" w:rsidR="00441178" w:rsidRPr="00881D8B" w:rsidRDefault="00441178" w:rsidP="00C65060">
            <w:pPr>
              <w:spacing w:line="276" w:lineRule="auto"/>
              <w:jc w:val="both"/>
              <w:rPr>
                <w:rFonts w:ascii="Verdana" w:hAnsi="Verdana" w:cs="Arial"/>
              </w:rPr>
            </w:pPr>
            <w:r w:rsidRPr="00EA080F">
              <w:rPr>
                <w:rFonts w:ascii="Century Gothic" w:eastAsia="Calibri" w:hAnsi="Century Gothic" w:cs="Arial"/>
                <w:bCs/>
                <w:color w:val="000000" w:themeColor="text1"/>
                <w:lang w:val="es-MX" w:eastAsia="es-ES"/>
              </w:rPr>
              <w:t xml:space="preserve">SERVICIO MILITAR – Obligatoriedad / SERVICIO MILITAR – Obligatoriedad </w:t>
            </w:r>
            <w:bookmarkStart w:id="2" w:name="_Hlk143964686"/>
            <w:r w:rsidRPr="00EA080F">
              <w:rPr>
                <w:rFonts w:ascii="Century Gothic" w:eastAsia="Calibri" w:hAnsi="Century Gothic" w:cs="Arial"/>
                <w:bCs/>
                <w:color w:val="000000" w:themeColor="text1"/>
                <w:lang w:val="es-MX" w:eastAsia="es-ES"/>
              </w:rPr>
              <w:t xml:space="preserve">– Excepciones </w:t>
            </w:r>
            <w:bookmarkEnd w:id="2"/>
          </w:p>
        </w:tc>
      </w:tr>
      <w:tr w:rsidR="00441178" w:rsidRPr="00881D8B" w14:paraId="0743CCA3" w14:textId="77777777" w:rsidTr="00C65060">
        <w:tc>
          <w:tcPr>
            <w:tcW w:w="2689" w:type="dxa"/>
          </w:tcPr>
          <w:p w14:paraId="0FE52941" w14:textId="77777777" w:rsidR="00441178" w:rsidRPr="00881D8B" w:rsidRDefault="00441178" w:rsidP="00C65060">
            <w:pPr>
              <w:spacing w:line="276" w:lineRule="auto"/>
              <w:jc w:val="both"/>
              <w:rPr>
                <w:rFonts w:ascii="Verdana" w:eastAsia="Calibri" w:hAnsi="Verdana" w:cs="Arial"/>
                <w:b/>
                <w:lang w:val="es-ES_tradnl" w:eastAsia="es-ES_tradnl"/>
              </w:rPr>
            </w:pPr>
            <w:r w:rsidRPr="00881D8B">
              <w:rPr>
                <w:rFonts w:ascii="Verdana" w:eastAsia="Calibri" w:hAnsi="Verdana" w:cs="Arial"/>
                <w:b/>
                <w:lang w:val="es-ES_tradnl" w:eastAsia="es-ES_tradnl"/>
              </w:rPr>
              <w:t>Radicación:</w:t>
            </w:r>
            <w:r w:rsidRPr="00881D8B">
              <w:rPr>
                <w:rFonts w:ascii="Verdana" w:eastAsia="Calibri" w:hAnsi="Verdana" w:cs="Arial"/>
                <w:lang w:val="es-ES_tradnl" w:eastAsia="es-ES_tradnl"/>
              </w:rPr>
              <w:t xml:space="preserve">               </w:t>
            </w:r>
          </w:p>
        </w:tc>
        <w:tc>
          <w:tcPr>
            <w:tcW w:w="6100" w:type="dxa"/>
          </w:tcPr>
          <w:p w14:paraId="656C4FF1" w14:textId="77777777" w:rsidR="00441178" w:rsidRPr="00881D8B" w:rsidRDefault="00441178" w:rsidP="00C65060">
            <w:pPr>
              <w:spacing w:line="276" w:lineRule="auto"/>
              <w:jc w:val="both"/>
              <w:rPr>
                <w:rFonts w:ascii="Verdana" w:hAnsi="Verdana" w:cs="Arial"/>
              </w:rPr>
            </w:pPr>
            <w:r w:rsidRPr="00881D8B">
              <w:rPr>
                <w:rFonts w:ascii="Verdana" w:hAnsi="Verdana" w:cs="Arial"/>
              </w:rPr>
              <w:t xml:space="preserve">Respuesta a consulta con radicados No. </w:t>
            </w:r>
            <w:r w:rsidRPr="00291A05">
              <w:rPr>
                <w:rFonts w:ascii="Verdana" w:hAnsi="Verdana" w:cs="Arial"/>
              </w:rPr>
              <w:t>P20240621006362</w:t>
            </w:r>
          </w:p>
        </w:tc>
      </w:tr>
    </w:tbl>
    <w:p w14:paraId="4F0E34E6" w14:textId="77777777" w:rsidR="00441178" w:rsidRPr="00881D8B" w:rsidRDefault="00441178" w:rsidP="00441178">
      <w:pPr>
        <w:spacing w:after="0" w:line="276" w:lineRule="auto"/>
        <w:jc w:val="both"/>
        <w:rPr>
          <w:rFonts w:ascii="Verdana" w:eastAsia="Calibri" w:hAnsi="Verdana" w:cs="Arial"/>
          <w:lang w:val="es-ES_tradnl" w:eastAsia="es-ES_tradnl"/>
        </w:rPr>
      </w:pPr>
    </w:p>
    <w:p w14:paraId="6F10316C" w14:textId="77777777" w:rsidR="00441178" w:rsidRPr="00881D8B" w:rsidRDefault="00441178" w:rsidP="00441178">
      <w:pPr>
        <w:spacing w:after="0" w:line="276" w:lineRule="auto"/>
        <w:jc w:val="both"/>
        <w:rPr>
          <w:rFonts w:ascii="Verdana" w:eastAsia="Calibri" w:hAnsi="Verdana" w:cs="Arial"/>
          <w:lang w:val="es-ES_tradnl" w:eastAsia="es-ES_tradnl"/>
        </w:rPr>
      </w:pPr>
    </w:p>
    <w:p w14:paraId="5B44DC37" w14:textId="77777777" w:rsidR="00441178" w:rsidRPr="00881D8B" w:rsidRDefault="00441178" w:rsidP="00441178">
      <w:pPr>
        <w:spacing w:after="0" w:line="276" w:lineRule="auto"/>
        <w:jc w:val="both"/>
        <w:rPr>
          <w:rFonts w:ascii="Verdana" w:eastAsia="Calibri" w:hAnsi="Verdana" w:cs="Arial"/>
          <w:lang w:val="es-ES" w:eastAsia="es-ES"/>
        </w:rPr>
      </w:pPr>
      <w:r w:rsidRPr="00881D8B">
        <w:rPr>
          <w:rFonts w:ascii="Verdana" w:eastAsia="Calibri" w:hAnsi="Verdana" w:cs="Arial"/>
          <w:lang w:val="es-ES" w:eastAsia="es-ES"/>
        </w:rPr>
        <w:t xml:space="preserve">Estimado señor </w:t>
      </w:r>
      <w:r>
        <w:rPr>
          <w:rFonts w:ascii="Verdana" w:eastAsia="Calibri" w:hAnsi="Verdana" w:cs="Arial"/>
          <w:lang w:val="es-ES" w:eastAsia="es-ES"/>
        </w:rPr>
        <w:t>Penagos</w:t>
      </w:r>
      <w:r w:rsidRPr="00881D8B">
        <w:rPr>
          <w:rFonts w:ascii="Verdana" w:eastAsia="Calibri" w:hAnsi="Verdana" w:cs="Arial"/>
          <w:lang w:val="es-ES" w:eastAsia="es-ES"/>
        </w:rPr>
        <w:t xml:space="preserve">: </w:t>
      </w:r>
    </w:p>
    <w:p w14:paraId="7BC11E0B" w14:textId="77777777" w:rsidR="00441178" w:rsidRPr="00881D8B" w:rsidRDefault="00441178" w:rsidP="00441178">
      <w:pPr>
        <w:tabs>
          <w:tab w:val="left" w:pos="3768"/>
        </w:tabs>
        <w:spacing w:after="0" w:line="276" w:lineRule="auto"/>
        <w:jc w:val="both"/>
        <w:rPr>
          <w:rFonts w:ascii="Verdana" w:eastAsia="Calibri" w:hAnsi="Verdana" w:cs="Arial"/>
          <w:lang w:val="es-ES" w:eastAsia="es-ES"/>
        </w:rPr>
      </w:pPr>
      <w:r w:rsidRPr="00881D8B">
        <w:rPr>
          <w:rFonts w:ascii="Verdana" w:eastAsia="Calibri" w:hAnsi="Verdana" w:cs="Arial"/>
          <w:lang w:val="es-ES" w:eastAsia="es-ES"/>
        </w:rPr>
        <w:tab/>
      </w:r>
    </w:p>
    <w:p w14:paraId="3AAA73B3" w14:textId="77777777" w:rsidR="00441178" w:rsidRPr="00881D8B" w:rsidRDefault="00441178" w:rsidP="00441178">
      <w:pPr>
        <w:spacing w:after="0" w:line="276" w:lineRule="auto"/>
        <w:jc w:val="both"/>
        <w:rPr>
          <w:rFonts w:ascii="Verdana" w:eastAsia="Calibri" w:hAnsi="Verdana" w:cs="Arial"/>
          <w:lang w:val="es-ES" w:eastAsia="es-ES"/>
        </w:rPr>
      </w:pPr>
      <w:r w:rsidRPr="00881D8B">
        <w:rPr>
          <w:rFonts w:ascii="Verdana" w:eastAsia="Calibri" w:hAnsi="Verdana" w:cs="Arial"/>
          <w:lang w:val="es-ES" w:eastAsia="es-ES"/>
        </w:rPr>
        <w:t>En ejercicio de la competencia otorgada por los artículos 3, numeral 5º, y 11, numeral 8º, del Decreto Ley 4170 de 2011,</w:t>
      </w:r>
      <w:r w:rsidRPr="00881D8B">
        <w:rPr>
          <w:rFonts w:ascii="Verdana" w:eastAsia="Arial MT" w:hAnsi="Verdana" w:cs="Arial MT"/>
          <w:lang w:val="es-ES" w:eastAsia="es-ES"/>
        </w:rPr>
        <w:t xml:space="preserve"> </w:t>
      </w:r>
      <w:r w:rsidRPr="00881D8B">
        <w:rPr>
          <w:rFonts w:ascii="Verdana" w:hAnsi="Verdana" w:cs="Arial"/>
        </w:rPr>
        <w:t xml:space="preserve">así como lo establecido en el artículo 4 de la Resolución 1707 de 2018 expedida por esta Entidad, </w:t>
      </w:r>
      <w:r w:rsidRPr="00881D8B">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20</w:t>
      </w:r>
      <w:r w:rsidRPr="00881D8B">
        <w:rPr>
          <w:rFonts w:ascii="Verdana" w:eastAsia="Calibri" w:hAnsi="Verdana" w:cs="Arial"/>
          <w:lang w:val="es-ES" w:eastAsia="es-ES"/>
        </w:rPr>
        <w:t xml:space="preserve"> de junio de 2024, en la cual manifiesta lo siguiente: </w:t>
      </w:r>
    </w:p>
    <w:p w14:paraId="38255C7D" w14:textId="77777777" w:rsidR="00441178" w:rsidRPr="00881D8B" w:rsidRDefault="00441178" w:rsidP="00441178">
      <w:pPr>
        <w:pStyle w:val="Prrafodelista"/>
        <w:tabs>
          <w:tab w:val="left" w:pos="142"/>
          <w:tab w:val="left" w:pos="284"/>
        </w:tabs>
        <w:spacing w:line="276" w:lineRule="auto"/>
        <w:ind w:left="0"/>
        <w:jc w:val="both"/>
        <w:rPr>
          <w:rFonts w:ascii="Verdana" w:hAnsi="Verdana" w:cs="Arial"/>
        </w:rPr>
      </w:pPr>
    </w:p>
    <w:p w14:paraId="0C5A05AC" w14:textId="77777777" w:rsidR="00441178" w:rsidRPr="00BE50C7" w:rsidRDefault="00441178" w:rsidP="00441178">
      <w:pPr>
        <w:autoSpaceDE w:val="0"/>
        <w:autoSpaceDN w:val="0"/>
        <w:adjustRightInd w:val="0"/>
        <w:spacing w:after="0" w:line="276" w:lineRule="auto"/>
        <w:ind w:left="709" w:right="709"/>
        <w:jc w:val="both"/>
        <w:rPr>
          <w:rFonts w:ascii="Verdana" w:hAnsi="Verdana" w:cs="Arial"/>
          <w:sz w:val="21"/>
          <w:szCs w:val="21"/>
        </w:rPr>
      </w:pPr>
      <w:bookmarkStart w:id="3" w:name="_Hlk95313578"/>
      <w:r w:rsidRPr="00881D8B">
        <w:rPr>
          <w:rFonts w:ascii="Verdana" w:hAnsi="Verdana" w:cs="Arial"/>
          <w:sz w:val="21"/>
          <w:szCs w:val="21"/>
        </w:rPr>
        <w:t>“</w:t>
      </w:r>
      <w:bookmarkEnd w:id="3"/>
      <w:r w:rsidRPr="00BE50C7">
        <w:rPr>
          <w:rFonts w:ascii="Verdana" w:hAnsi="Verdana" w:cs="Arial"/>
          <w:sz w:val="21"/>
          <w:szCs w:val="21"/>
        </w:rPr>
        <w:t>Remito la presente para consultar sí el documento anexo generado por el Comando de Reclutamiento del</w:t>
      </w:r>
      <w:r>
        <w:rPr>
          <w:rFonts w:ascii="Verdana" w:hAnsi="Verdana" w:cs="Arial"/>
          <w:sz w:val="21"/>
          <w:szCs w:val="21"/>
        </w:rPr>
        <w:t xml:space="preserve"> </w:t>
      </w:r>
      <w:r w:rsidRPr="00BE50C7">
        <w:rPr>
          <w:rFonts w:ascii="Verdana" w:hAnsi="Verdana" w:cs="Arial"/>
          <w:sz w:val="21"/>
          <w:szCs w:val="21"/>
        </w:rPr>
        <w:t>Ejercito Nacional, me permite celebrar contratos de prestación de servicios con entidades estatales. Este</w:t>
      </w:r>
      <w:r>
        <w:rPr>
          <w:rFonts w:ascii="Verdana" w:hAnsi="Verdana" w:cs="Arial"/>
          <w:sz w:val="21"/>
          <w:szCs w:val="21"/>
        </w:rPr>
        <w:t xml:space="preserve"> </w:t>
      </w:r>
      <w:r w:rsidRPr="00BE50C7">
        <w:rPr>
          <w:rFonts w:ascii="Verdana" w:hAnsi="Verdana" w:cs="Arial"/>
          <w:sz w:val="21"/>
          <w:szCs w:val="21"/>
        </w:rPr>
        <w:t>documento me certifica como beneficiario del artículo 42 de la Ley 1861 por haber superado la edad</w:t>
      </w:r>
      <w:r>
        <w:rPr>
          <w:rFonts w:ascii="Verdana" w:hAnsi="Verdana" w:cs="Arial"/>
          <w:sz w:val="21"/>
          <w:szCs w:val="21"/>
        </w:rPr>
        <w:t xml:space="preserve"> </w:t>
      </w:r>
      <w:r w:rsidRPr="00BE50C7">
        <w:rPr>
          <w:rFonts w:ascii="Verdana" w:hAnsi="Verdana" w:cs="Arial"/>
          <w:sz w:val="21"/>
          <w:szCs w:val="21"/>
        </w:rPr>
        <w:t>máxima de incorporación a las filas y por tanto establece que no requiero definir mi situación militar para</w:t>
      </w:r>
    </w:p>
    <w:p w14:paraId="74985E4A" w14:textId="77777777" w:rsidR="00441178" w:rsidRPr="00BE50C7" w:rsidRDefault="00441178" w:rsidP="00441178">
      <w:pPr>
        <w:autoSpaceDE w:val="0"/>
        <w:autoSpaceDN w:val="0"/>
        <w:adjustRightInd w:val="0"/>
        <w:spacing w:after="0" w:line="276" w:lineRule="auto"/>
        <w:ind w:left="709" w:right="709"/>
        <w:jc w:val="both"/>
        <w:rPr>
          <w:rFonts w:ascii="Verdana" w:hAnsi="Verdana" w:cs="Arial"/>
          <w:sz w:val="21"/>
          <w:szCs w:val="21"/>
        </w:rPr>
      </w:pPr>
      <w:r w:rsidRPr="00BE50C7">
        <w:rPr>
          <w:rFonts w:ascii="Verdana" w:hAnsi="Verdana" w:cs="Arial"/>
          <w:sz w:val="21"/>
          <w:szCs w:val="21"/>
        </w:rPr>
        <w:t>celebrar este tipo de contratos con entidades públicas, en un lapso de 18 meses desde la expedición del</w:t>
      </w:r>
      <w:r>
        <w:rPr>
          <w:rFonts w:ascii="Verdana" w:hAnsi="Verdana" w:cs="Arial"/>
          <w:sz w:val="21"/>
          <w:szCs w:val="21"/>
        </w:rPr>
        <w:t xml:space="preserve"> </w:t>
      </w:r>
      <w:r w:rsidRPr="00BE50C7">
        <w:rPr>
          <w:rFonts w:ascii="Verdana" w:hAnsi="Verdana" w:cs="Arial"/>
          <w:sz w:val="21"/>
          <w:szCs w:val="21"/>
        </w:rPr>
        <w:t>mismo. Asi mismo, atendiendo al concepto C-944 de 19 de enero de 2023 de la Agencia Nacional de</w:t>
      </w:r>
    </w:p>
    <w:p w14:paraId="14662FAD" w14:textId="77777777" w:rsidR="00441178" w:rsidRPr="00BE50C7" w:rsidRDefault="00441178" w:rsidP="00441178">
      <w:pPr>
        <w:autoSpaceDE w:val="0"/>
        <w:autoSpaceDN w:val="0"/>
        <w:adjustRightInd w:val="0"/>
        <w:spacing w:after="0" w:line="276" w:lineRule="auto"/>
        <w:ind w:left="709" w:right="709"/>
        <w:jc w:val="both"/>
        <w:rPr>
          <w:rFonts w:ascii="Verdana" w:hAnsi="Verdana" w:cs="Arial"/>
          <w:sz w:val="21"/>
          <w:szCs w:val="21"/>
        </w:rPr>
      </w:pPr>
      <w:r w:rsidRPr="00BE50C7">
        <w:rPr>
          <w:rFonts w:ascii="Verdana" w:hAnsi="Verdana" w:cs="Arial"/>
          <w:sz w:val="21"/>
          <w:szCs w:val="21"/>
        </w:rPr>
        <w:t>Contratación Pública que menciona la posibilidad de suscribir contratos con el Estado colombiano con el</w:t>
      </w:r>
      <w:r>
        <w:rPr>
          <w:rFonts w:ascii="Verdana" w:hAnsi="Verdana" w:cs="Arial"/>
          <w:sz w:val="21"/>
          <w:szCs w:val="21"/>
        </w:rPr>
        <w:t xml:space="preserve"> </w:t>
      </w:r>
      <w:r w:rsidRPr="00BE50C7">
        <w:rPr>
          <w:rFonts w:ascii="Verdana" w:hAnsi="Verdana" w:cs="Arial"/>
          <w:sz w:val="21"/>
          <w:szCs w:val="21"/>
        </w:rPr>
        <w:t>certificado que acredite que la situación militar se encuentra en trámite, como también lo aclara el</w:t>
      </w:r>
    </w:p>
    <w:p w14:paraId="2F3FBDD1" w14:textId="77777777" w:rsidR="00441178" w:rsidRPr="00BE50C7" w:rsidRDefault="00441178" w:rsidP="00441178">
      <w:pPr>
        <w:autoSpaceDE w:val="0"/>
        <w:autoSpaceDN w:val="0"/>
        <w:adjustRightInd w:val="0"/>
        <w:spacing w:after="0" w:line="276" w:lineRule="auto"/>
        <w:ind w:left="709" w:right="709"/>
        <w:jc w:val="both"/>
        <w:rPr>
          <w:rFonts w:ascii="Verdana" w:hAnsi="Verdana" w:cs="Arial"/>
          <w:sz w:val="21"/>
          <w:szCs w:val="21"/>
        </w:rPr>
      </w:pPr>
      <w:r w:rsidRPr="00BE50C7">
        <w:rPr>
          <w:rFonts w:ascii="Verdana" w:hAnsi="Verdana" w:cs="Arial"/>
          <w:sz w:val="21"/>
          <w:szCs w:val="21"/>
        </w:rPr>
        <w:t>Concepto 018341 de 2022 del DAFP.</w:t>
      </w:r>
    </w:p>
    <w:p w14:paraId="3B61B6B8" w14:textId="77777777" w:rsidR="00441178" w:rsidRPr="00881D8B" w:rsidRDefault="00441178" w:rsidP="00441178">
      <w:pPr>
        <w:autoSpaceDE w:val="0"/>
        <w:autoSpaceDN w:val="0"/>
        <w:adjustRightInd w:val="0"/>
        <w:spacing w:after="0" w:line="276" w:lineRule="auto"/>
        <w:ind w:left="709" w:right="709"/>
        <w:jc w:val="both"/>
        <w:rPr>
          <w:rFonts w:ascii="Verdana" w:hAnsi="Verdana" w:cs="Arial"/>
          <w:sz w:val="21"/>
          <w:szCs w:val="21"/>
        </w:rPr>
      </w:pPr>
      <w:r w:rsidRPr="00BE50C7">
        <w:rPr>
          <w:rFonts w:ascii="Verdana" w:hAnsi="Verdana" w:cs="Arial"/>
          <w:sz w:val="21"/>
          <w:szCs w:val="21"/>
        </w:rPr>
        <w:t>Lo anterior, debido a que en un proceso de contratación de OPS por convocatoria pública con el DANE,</w:t>
      </w:r>
      <w:r>
        <w:rPr>
          <w:rFonts w:ascii="Verdana" w:hAnsi="Verdana" w:cs="Arial"/>
          <w:sz w:val="21"/>
          <w:szCs w:val="21"/>
        </w:rPr>
        <w:t xml:space="preserve"> </w:t>
      </w:r>
      <w:r w:rsidRPr="00BE50C7">
        <w:rPr>
          <w:rFonts w:ascii="Verdana" w:hAnsi="Verdana" w:cs="Arial"/>
          <w:sz w:val="21"/>
          <w:szCs w:val="21"/>
        </w:rPr>
        <w:t>la entidad se ha negado a admitir dicho documento, alegando que es válido para personas que accedan asu primer empleo y porque yo ya había trabajado antes en el sector privado, desconociendo que el</w:t>
      </w:r>
      <w:r>
        <w:rPr>
          <w:rFonts w:ascii="Verdana" w:hAnsi="Verdana" w:cs="Arial"/>
          <w:sz w:val="21"/>
          <w:szCs w:val="21"/>
        </w:rPr>
        <w:t xml:space="preserve"> </w:t>
      </w:r>
      <w:r w:rsidRPr="00BE50C7">
        <w:rPr>
          <w:rFonts w:ascii="Verdana" w:hAnsi="Verdana" w:cs="Arial"/>
          <w:sz w:val="21"/>
          <w:szCs w:val="21"/>
        </w:rPr>
        <w:t>beneficio es para mayores de 24 años (que es la edad máxima de incorporación a las filas)</w:t>
      </w:r>
      <w:r w:rsidRPr="00881D8B">
        <w:rPr>
          <w:rFonts w:ascii="Verdana" w:eastAsia="Calibri" w:hAnsi="Verdana" w:cs="Arial"/>
          <w:sz w:val="21"/>
          <w:szCs w:val="21"/>
          <w:lang w:val="es-ES" w:eastAsia="es-ES"/>
        </w:rPr>
        <w:t>.” (sic).</w:t>
      </w:r>
    </w:p>
    <w:p w14:paraId="2EAB88BC" w14:textId="77777777" w:rsidR="00441178" w:rsidRPr="00881D8B" w:rsidRDefault="00441178" w:rsidP="00441178">
      <w:pPr>
        <w:pStyle w:val="Prrafodelista"/>
        <w:tabs>
          <w:tab w:val="left" w:pos="142"/>
          <w:tab w:val="left" w:pos="284"/>
        </w:tabs>
        <w:spacing w:line="276" w:lineRule="auto"/>
        <w:ind w:left="0"/>
        <w:jc w:val="both"/>
        <w:rPr>
          <w:rFonts w:ascii="Verdana" w:eastAsia="Century Gothic" w:hAnsi="Verdana" w:cs="Century Gothic"/>
          <w:b/>
          <w:bCs/>
        </w:rPr>
      </w:pPr>
    </w:p>
    <w:p w14:paraId="05A9709D" w14:textId="77777777" w:rsidR="00441178" w:rsidRPr="00881D8B" w:rsidRDefault="00441178" w:rsidP="00441178">
      <w:pPr>
        <w:spacing w:after="120" w:line="276" w:lineRule="auto"/>
        <w:ind w:firstLine="709"/>
        <w:jc w:val="both"/>
        <w:rPr>
          <w:rFonts w:ascii="Verdana" w:eastAsia="Calibri" w:hAnsi="Verdana" w:cs="Arial"/>
          <w:szCs w:val="24"/>
          <w:lang w:val="es-ES_tradnl" w:eastAsia="es-ES_tradnl"/>
        </w:rPr>
      </w:pPr>
      <w:r w:rsidRPr="00881D8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81D8B">
        <w:rPr>
          <w:rFonts w:ascii="Verdana" w:eastAsia="Calibri" w:hAnsi="Verdana" w:cs="Arial"/>
          <w:szCs w:val="24"/>
          <w:lang w:val="es-ES_tradnl" w:eastAsia="es-ES_tradnl"/>
        </w:rPr>
        <w:tab/>
      </w:r>
    </w:p>
    <w:p w14:paraId="5051E21E" w14:textId="77777777" w:rsidR="00441178" w:rsidRPr="00881D8B" w:rsidRDefault="00441178" w:rsidP="00441178">
      <w:pPr>
        <w:spacing w:after="0" w:line="276" w:lineRule="auto"/>
        <w:ind w:firstLine="709"/>
        <w:jc w:val="both"/>
        <w:rPr>
          <w:rFonts w:ascii="Verdana" w:eastAsia="Calibri" w:hAnsi="Verdana" w:cs="Arial"/>
          <w:lang w:val="es-ES" w:eastAsia="es-ES"/>
        </w:rPr>
      </w:pPr>
      <w:r w:rsidRPr="00881D8B">
        <w:rPr>
          <w:rFonts w:ascii="Verdana" w:eastAsia="Calibri" w:hAnsi="Verdana" w:cs="Arial"/>
          <w:lang w:val="es-ES"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05C83BE" w14:textId="77777777" w:rsidR="00441178" w:rsidRPr="00881D8B" w:rsidRDefault="00441178" w:rsidP="00441178">
      <w:pPr>
        <w:spacing w:after="0" w:line="276" w:lineRule="auto"/>
        <w:ind w:firstLine="709"/>
        <w:jc w:val="both"/>
        <w:rPr>
          <w:rFonts w:ascii="Verdana" w:eastAsia="Calibri" w:hAnsi="Verdana" w:cs="Arial"/>
          <w:lang w:val="es-ES" w:eastAsia="es-ES"/>
        </w:rPr>
      </w:pPr>
    </w:p>
    <w:p w14:paraId="283710FA" w14:textId="77777777" w:rsidR="00441178" w:rsidRPr="00881D8B" w:rsidRDefault="00441178" w:rsidP="00441178">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881D8B">
        <w:rPr>
          <w:rFonts w:ascii="Verdana" w:eastAsia="Century Gothic" w:hAnsi="Verdana" w:cs="Century Gothic"/>
          <w:b/>
          <w:bCs/>
        </w:rPr>
        <w:t>Problema planteado:</w:t>
      </w:r>
    </w:p>
    <w:p w14:paraId="63931186" w14:textId="77777777" w:rsidR="00441178" w:rsidRPr="00881D8B" w:rsidRDefault="00441178" w:rsidP="00441178">
      <w:pPr>
        <w:tabs>
          <w:tab w:val="left" w:pos="426"/>
        </w:tabs>
        <w:spacing w:after="0" w:line="276" w:lineRule="auto"/>
        <w:jc w:val="both"/>
        <w:rPr>
          <w:rFonts w:ascii="Verdana" w:eastAsia="Century Gothic" w:hAnsi="Verdana" w:cs="Century Gothic"/>
          <w:lang w:val="es-ES"/>
        </w:rPr>
      </w:pPr>
    </w:p>
    <w:p w14:paraId="1C141F31" w14:textId="77777777" w:rsidR="00441178" w:rsidRPr="00881D8B" w:rsidRDefault="00441178" w:rsidP="00441178">
      <w:pPr>
        <w:spacing w:after="0" w:line="276" w:lineRule="auto"/>
        <w:jc w:val="both"/>
        <w:rPr>
          <w:rFonts w:ascii="Verdana" w:eastAsia="Century Gothic" w:hAnsi="Verdana" w:cs="Century Gothic"/>
        </w:rPr>
      </w:pPr>
      <w:r w:rsidRPr="00881D8B">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¿Con que documento se certifica</w:t>
      </w:r>
      <w:r w:rsidRPr="00881D8B">
        <w:rPr>
          <w:rFonts w:ascii="Verdana" w:eastAsia="Century Gothic" w:hAnsi="Verdana" w:cs="Century Gothic"/>
        </w:rPr>
        <w:t xml:space="preserve"> </w:t>
      </w:r>
      <w:r>
        <w:rPr>
          <w:rFonts w:ascii="Verdana" w:eastAsia="Century Gothic" w:hAnsi="Verdana" w:cs="Century Gothic"/>
        </w:rPr>
        <w:t>la situación militar para poder suscribir un contrato con el Estado?</w:t>
      </w:r>
    </w:p>
    <w:p w14:paraId="4AFD68A7" w14:textId="77777777" w:rsidR="00441178" w:rsidRPr="00881D8B" w:rsidRDefault="00441178" w:rsidP="00441178">
      <w:pPr>
        <w:spacing w:after="0" w:line="276" w:lineRule="auto"/>
        <w:jc w:val="both"/>
        <w:rPr>
          <w:rFonts w:ascii="Verdana" w:eastAsia="Calibri" w:hAnsi="Verdana" w:cs="Arial"/>
          <w:lang w:val="es-ES"/>
        </w:rPr>
      </w:pPr>
    </w:p>
    <w:p w14:paraId="76A49DF0" w14:textId="77777777" w:rsidR="00441178" w:rsidRPr="00881D8B" w:rsidRDefault="00441178" w:rsidP="00441178">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81D8B">
        <w:rPr>
          <w:rFonts w:ascii="Verdana" w:eastAsia="Century Gothic" w:hAnsi="Verdana" w:cs="Century Gothic"/>
          <w:b/>
          <w:bCs/>
        </w:rPr>
        <w:t>Respuesta:</w:t>
      </w:r>
    </w:p>
    <w:p w14:paraId="244C0723" w14:textId="77777777" w:rsidR="00441178" w:rsidRPr="00881D8B" w:rsidRDefault="00441178" w:rsidP="0044117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41178" w:rsidRPr="00203EBB" w14:paraId="057DF9B2" w14:textId="77777777" w:rsidTr="00C65060">
        <w:tc>
          <w:tcPr>
            <w:tcW w:w="8828" w:type="dxa"/>
            <w:shd w:val="clear" w:color="auto" w:fill="auto"/>
          </w:tcPr>
          <w:p w14:paraId="13BA8270" w14:textId="77777777" w:rsidR="00441178" w:rsidRPr="00203EBB" w:rsidRDefault="00441178" w:rsidP="00C65060">
            <w:pPr>
              <w:tabs>
                <w:tab w:val="left" w:pos="0"/>
              </w:tabs>
              <w:spacing w:after="120" w:line="276" w:lineRule="auto"/>
              <w:jc w:val="both"/>
              <w:rPr>
                <w:rFonts w:ascii="Verdana" w:eastAsia="Century Gothic" w:hAnsi="Verdana" w:cs="Century Gothic"/>
              </w:rPr>
            </w:pPr>
            <w:r>
              <w:rPr>
                <w:rFonts w:ascii="Verdana" w:eastAsia="Century Gothic" w:hAnsi="Verdana" w:cs="Century Gothic"/>
              </w:rPr>
              <w:t>L</w:t>
            </w:r>
            <w:r w:rsidRPr="00E947BD">
              <w:rPr>
                <w:rFonts w:ascii="Verdana" w:eastAsia="Century Gothic" w:hAnsi="Verdana" w:cs="Century Gothic"/>
              </w:rPr>
              <w:t>os ciudadanos que pretendan suscribir un contrato de prestación de servicios con una Entidad Estatal podrán acreditar su situación militar de la siguiente manera: i) copia de la libreta militar; o ii) certificación provisional en línea la cual acreditará que su situación militar se encuentra en trámite;  o iii) declaración juramentada, en la que el ciudadano manifiesta que ha realizado</w:t>
            </w:r>
            <w:r w:rsidRPr="00E947BD">
              <w:rPr>
                <w:rFonts w:ascii="Verdana" w:eastAsia="Century Gothic" w:hAnsi="Verdana" w:cs="Century Gothic"/>
              </w:rPr>
              <w:footnoteReference w:id="2"/>
            </w:r>
            <w:r w:rsidRPr="00E947BD">
              <w:rPr>
                <w:rFonts w:ascii="Verdana" w:eastAsia="Century Gothic" w:hAnsi="Verdana" w:cs="Century Gothic"/>
              </w:rPr>
              <w:t xml:space="preserve">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fin–; o iv)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 La Entidad Estatal contratante deberá estudiar los medios de prueba presentados por el ciudadano, analizando si este cumple o no con los presupuestos indicados en el segundo inciso del artículo 42 de la Ley 1861 de 2017.</w:t>
            </w:r>
          </w:p>
          <w:p w14:paraId="752AC96B" w14:textId="77777777" w:rsidR="00441178" w:rsidRPr="00203EBB" w:rsidRDefault="00441178" w:rsidP="00C65060">
            <w:pPr>
              <w:spacing w:after="120" w:line="276" w:lineRule="auto"/>
              <w:jc w:val="both"/>
              <w:rPr>
                <w:rFonts w:ascii="Verdana" w:eastAsia="Century Gothic" w:hAnsi="Verdana" w:cs="Century Gothic"/>
              </w:rPr>
            </w:pPr>
            <w:r w:rsidRPr="00203EBB">
              <w:rPr>
                <w:rFonts w:ascii="Verdana" w:eastAsia="Century Gothic" w:hAnsi="Verdana" w:cs="Century Gothic"/>
              </w:rPr>
              <w:lastRenderedPageBreak/>
              <w:t xml:space="preserve">Por otra parte, el inciso segundo del artículo 42 de la Ley 1861 de 2017 permitió el acceso temporal al trabajo a quienes no hayan definido su situación militar, pero hayan sido declaradas no aptas, exentas o hayan superado la edad máxima de incorporación a filas. Adicionalmente, dicho beneficio se les aplicó a las personas aptas pero exoneradas de pagar la cuota de compensación militar, en virtud de lo resuelto en la sentencia de la Corte Constitucional C-277 de 2019. </w:t>
            </w:r>
          </w:p>
        </w:tc>
      </w:tr>
    </w:tbl>
    <w:p w14:paraId="4CE0E3D3" w14:textId="77777777" w:rsidR="00441178" w:rsidRPr="00881D8B" w:rsidRDefault="00441178" w:rsidP="00441178">
      <w:pPr>
        <w:tabs>
          <w:tab w:val="left" w:pos="142"/>
          <w:tab w:val="left" w:pos="284"/>
        </w:tabs>
        <w:spacing w:after="0" w:line="276" w:lineRule="auto"/>
        <w:jc w:val="both"/>
        <w:rPr>
          <w:rFonts w:ascii="Verdana" w:eastAsia="Century Gothic" w:hAnsi="Verdana" w:cs="Century Gothic"/>
          <w:b/>
          <w:bCs/>
          <w:lang w:val="es-ES"/>
        </w:rPr>
      </w:pPr>
    </w:p>
    <w:p w14:paraId="6A90FE66" w14:textId="77777777" w:rsidR="00441178" w:rsidRDefault="00441178" w:rsidP="00441178">
      <w:pPr>
        <w:spacing w:after="120" w:line="276" w:lineRule="auto"/>
        <w:ind w:firstLine="708"/>
        <w:jc w:val="both"/>
        <w:rPr>
          <w:rFonts w:ascii="Century Gothic" w:hAnsi="Century Gothic" w:cs="Arial"/>
          <w:color w:val="000000" w:themeColor="text1"/>
        </w:rPr>
      </w:pPr>
      <w:r w:rsidRPr="00881D8B">
        <w:rPr>
          <w:rFonts w:ascii="Verdana" w:eastAsia="Century Gothic" w:hAnsi="Verdana" w:cs="Century Gothic"/>
          <w:b/>
          <w:bCs/>
        </w:rPr>
        <w:t>Razones de la respuesta:</w:t>
      </w:r>
      <w:r w:rsidRPr="00993749">
        <w:rPr>
          <w:rFonts w:ascii="Century Gothic" w:hAnsi="Century Gothic" w:cs="Arial"/>
          <w:color w:val="000000" w:themeColor="text1"/>
        </w:rPr>
        <w:t xml:space="preserve"> </w:t>
      </w:r>
    </w:p>
    <w:p w14:paraId="577C8CB5" w14:textId="77777777" w:rsidR="00441178" w:rsidRDefault="00441178" w:rsidP="00441178">
      <w:pPr>
        <w:spacing w:after="120" w:line="276" w:lineRule="auto"/>
        <w:ind w:firstLine="708"/>
        <w:jc w:val="both"/>
        <w:rPr>
          <w:rFonts w:ascii="Century Gothic" w:hAnsi="Century Gothic" w:cs="Arial"/>
          <w:color w:val="000000" w:themeColor="text1"/>
        </w:rPr>
      </w:pPr>
      <w:r w:rsidRPr="00881D8B">
        <w:rPr>
          <w:rFonts w:ascii="Verdana" w:eastAsia="Calibri" w:hAnsi="Verdana" w:cs="Arial"/>
          <w:lang w:val="es-ES"/>
        </w:rPr>
        <w:t>Lo anterior se sustenta en las siguientes consideraciones:</w:t>
      </w:r>
    </w:p>
    <w:p w14:paraId="602EED0B" w14:textId="77777777" w:rsidR="00441178" w:rsidRPr="00953F42" w:rsidRDefault="00441178" w:rsidP="00441178">
      <w:pPr>
        <w:pStyle w:val="Prrafodelista"/>
        <w:numPr>
          <w:ilvl w:val="0"/>
          <w:numId w:val="15"/>
        </w:numPr>
        <w:spacing w:after="120" w:line="276" w:lineRule="auto"/>
        <w:jc w:val="both"/>
        <w:rPr>
          <w:rFonts w:ascii="Verdana" w:eastAsia="Century Gothic" w:hAnsi="Verdana" w:cs="Century Gothic"/>
        </w:rPr>
      </w:pPr>
      <w:r w:rsidRPr="00953F42">
        <w:rPr>
          <w:rFonts w:ascii="Verdana" w:eastAsia="Century Gothic" w:hAnsi="Verdana" w:cs="Century Gothic"/>
        </w:rPr>
        <w:t>En la actualidad, la Ley 1861 de 2017 estipula, entre otras cosas, los beneficios y exclusiones de la prestación del servicio militar obligatorio, indicando en su artículo 4 que dicha obligación nace al momento en el que los colombianos cumplen su mayoría edad, con el fin de contribuir y alcanzar los fines del Estado encomendados a la Fuerza Pública.</w:t>
      </w:r>
    </w:p>
    <w:p w14:paraId="0348B16A" w14:textId="77777777" w:rsidR="00441178" w:rsidRDefault="00441178" w:rsidP="00441178">
      <w:pPr>
        <w:pStyle w:val="Prrafodelista"/>
        <w:numPr>
          <w:ilvl w:val="0"/>
          <w:numId w:val="15"/>
        </w:numPr>
        <w:spacing w:after="120" w:line="276" w:lineRule="auto"/>
        <w:jc w:val="both"/>
        <w:rPr>
          <w:rFonts w:ascii="Verdana" w:eastAsia="Century Gothic" w:hAnsi="Verdana" w:cs="Century Gothic"/>
        </w:rPr>
      </w:pPr>
      <w:r>
        <w:rPr>
          <w:rFonts w:ascii="Verdana" w:eastAsia="Century Gothic" w:hAnsi="Verdana" w:cs="Century Gothic"/>
        </w:rPr>
        <w:t>N</w:t>
      </w:r>
      <w:r w:rsidRPr="00EB01B5">
        <w:rPr>
          <w:rFonts w:ascii="Verdana" w:eastAsia="Century Gothic" w:hAnsi="Verdana" w:cs="Century Gothic"/>
        </w:rPr>
        <w:t xml:space="preserve">o todo colombiano se encuentra obligado a cumplir con esta obligación constitucional, sino tan sólo aquellos que sean declarados aptos de conformidad con los requisitos establecidos en la Ley 1861 de 2017 y que hayan sido seleccionados a través de un sorteo, siempre y cuando este sea procedente, a partir de la mayoría de edad hasta faltando un día para cumplir los veinticuatro (24) años. </w:t>
      </w:r>
      <w:bookmarkStart w:id="4" w:name="_Hlk143791252"/>
    </w:p>
    <w:p w14:paraId="16CAF0FF" w14:textId="77777777" w:rsidR="00441178" w:rsidRDefault="00441178" w:rsidP="00441178">
      <w:pPr>
        <w:pStyle w:val="Prrafodelista"/>
        <w:numPr>
          <w:ilvl w:val="0"/>
          <w:numId w:val="15"/>
        </w:numPr>
        <w:spacing w:after="120" w:line="276" w:lineRule="auto"/>
        <w:jc w:val="both"/>
        <w:rPr>
          <w:rFonts w:ascii="Verdana" w:eastAsia="Century Gothic" w:hAnsi="Verdana" w:cs="Century Gothic"/>
        </w:rPr>
      </w:pPr>
      <w:r w:rsidRPr="00EB01B5">
        <w:rPr>
          <w:rFonts w:ascii="Verdana" w:eastAsia="Century Gothic" w:hAnsi="Verdana" w:cs="Century Gothic"/>
        </w:rPr>
        <w:t xml:space="preserve">De igual forma, </w:t>
      </w:r>
      <w:bookmarkStart w:id="5" w:name="_Hlk143964974"/>
      <w:r w:rsidRPr="00EB01B5">
        <w:rPr>
          <w:rFonts w:ascii="Verdana" w:eastAsia="Century Gothic" w:hAnsi="Verdana" w:cs="Century Gothic"/>
        </w:rPr>
        <w:t xml:space="preserve">el artículo 12 de la Ley 1861 de 2017 contempló dieciséis (16) causales de exoneración para prestar el servicio militar obligatorio. Ahora bien, pese a que eventualmente existiera una causal de exoneración, de conformidad con el artículo 11 ibidem, todo “varón colombiano” deberá definir su situación militar, a partir de la fecha que cumpla su mayoría de edad y hasta el día en que cumpla 50 años. </w:t>
      </w:r>
      <w:bookmarkEnd w:id="4"/>
      <w:bookmarkEnd w:id="5"/>
    </w:p>
    <w:p w14:paraId="028C370B" w14:textId="77777777" w:rsidR="00441178" w:rsidRDefault="00441178" w:rsidP="00441178">
      <w:pPr>
        <w:pStyle w:val="Prrafodelista"/>
        <w:numPr>
          <w:ilvl w:val="0"/>
          <w:numId w:val="15"/>
        </w:numPr>
        <w:spacing w:after="120" w:line="276" w:lineRule="auto"/>
        <w:jc w:val="both"/>
        <w:rPr>
          <w:rFonts w:ascii="Verdana" w:eastAsia="Century Gothic" w:hAnsi="Verdana" w:cs="Century Gothic"/>
        </w:rPr>
      </w:pPr>
      <w:r w:rsidRPr="001706BC">
        <w:rPr>
          <w:rFonts w:ascii="Verdana" w:eastAsia="Century Gothic" w:hAnsi="Verdana" w:cs="Century Gothic"/>
        </w:rPr>
        <w:t xml:space="preserve">El trámite para la definición de la situación militar inicia con la inscripción que realiza la Organización de Reclutamiento y </w:t>
      </w:r>
      <w:r w:rsidRPr="001706BC">
        <w:rPr>
          <w:rFonts w:ascii="Verdana" w:eastAsia="Century Gothic" w:hAnsi="Verdana" w:cs="Century Gothic"/>
        </w:rPr>
        <w:lastRenderedPageBreak/>
        <w:t>Movilización</w:t>
      </w:r>
      <w:r w:rsidRPr="00E27851">
        <w:footnoteReference w:id="3"/>
      </w:r>
      <w:r w:rsidRPr="001706BC">
        <w:rPr>
          <w:rFonts w:ascii="Verdana" w:eastAsia="Century Gothic" w:hAnsi="Verdana" w:cs="Century Gothic"/>
        </w:rPr>
        <w:t xml:space="preserve"> y culmina con el pago de la cuota de compensación militar, cuando no se está exonerado de esta</w:t>
      </w:r>
      <w:r w:rsidRPr="002A65BB">
        <w:rPr>
          <w:vertAlign w:val="subscript"/>
        </w:rPr>
        <w:footnoteReference w:id="4"/>
      </w:r>
      <w:r w:rsidRPr="002A65BB">
        <w:rPr>
          <w:rFonts w:ascii="Verdana" w:eastAsia="Century Gothic" w:hAnsi="Verdana" w:cs="Century Gothic"/>
          <w:vertAlign w:val="subscript"/>
        </w:rPr>
        <w:t>.</w:t>
      </w:r>
      <w:r w:rsidRPr="001706BC">
        <w:rPr>
          <w:rFonts w:ascii="Verdana" w:eastAsia="Century Gothic" w:hAnsi="Verdana" w:cs="Century Gothic"/>
        </w:rPr>
        <w:t xml:space="preserve"> Al respecto, el artículo 2.3.1.4.3.1. del Decreto 1070 de 2015, modificado por el Decreto 977 de 2018, que reglamentó el servicio de reclutamiento, control de reservas y movilizaciones, indica que es la Organización de Reclutamiento y Movilización la responsable de inscribir anualmente a los colombianos que en dicho periodo estén llamados a definir su situación militar, una vez hayan cumplido la mayoría de edad, conforme a lo dispuesto por el parágrafo 2° del artículo 17 de la Ley 1861 de 2017.  </w:t>
      </w:r>
    </w:p>
    <w:p w14:paraId="5828414A" w14:textId="77777777" w:rsidR="00441178" w:rsidRDefault="00441178" w:rsidP="00441178">
      <w:pPr>
        <w:pStyle w:val="Prrafodelista"/>
        <w:numPr>
          <w:ilvl w:val="0"/>
          <w:numId w:val="15"/>
        </w:numPr>
        <w:spacing w:after="120" w:line="276" w:lineRule="auto"/>
        <w:jc w:val="both"/>
        <w:rPr>
          <w:rFonts w:ascii="Verdana" w:eastAsia="Century Gothic" w:hAnsi="Verdana" w:cs="Century Gothic"/>
        </w:rPr>
      </w:pPr>
      <w:r w:rsidRPr="001706BC">
        <w:rPr>
          <w:rFonts w:ascii="Verdana" w:eastAsia="Century Gothic" w:hAnsi="Verdana" w:cs="Century Gothic"/>
        </w:rPr>
        <w:t xml:space="preserve">Posteriormente, dicho registro es complementado por el ciudadano al momento en el que éste inicie la inscripción para definir su situación militar en el portal web dispuesto para tal fin, creando un correo electrónico y adjuntando a la plataforma informática sus datos personales y los soportes documentales que acrediten las causales de exoneración y/o aplazamiento, en el cual el ciudadano podrá obtener un certificado en línea que acredite el inicio del proceso. Nótese que el artículo 2.3.1.4.3.1. del Decreto 1070 de 2015, modificado por el Decreto 977 de 2018, dispone que el ciudadano, al momento de la inscripción para definir su situación militar, debe allegar como mínimo, entre otros documentos descritos en el citado artículo, los soportes documentales que acrediten que se está incurso en alguna de las causales de exoneración, de lo cual se concluye que aun cuando se configure alguna de las circunstancias señaladas en el artículo 12 de la Ley 1861 de 2017 es obligatorio definir la situación militar. </w:t>
      </w:r>
    </w:p>
    <w:p w14:paraId="1B5D98BE" w14:textId="77777777" w:rsidR="00441178" w:rsidRDefault="00441178" w:rsidP="00441178">
      <w:pPr>
        <w:pStyle w:val="Prrafodelista"/>
        <w:numPr>
          <w:ilvl w:val="0"/>
          <w:numId w:val="15"/>
        </w:numPr>
        <w:spacing w:after="120" w:line="276" w:lineRule="auto"/>
        <w:jc w:val="both"/>
        <w:rPr>
          <w:rFonts w:ascii="Verdana" w:eastAsia="Century Gothic" w:hAnsi="Verdana" w:cs="Century Gothic"/>
        </w:rPr>
      </w:pPr>
      <w:r w:rsidRPr="003304E0">
        <w:rPr>
          <w:rFonts w:ascii="Verdana" w:eastAsia="Century Gothic" w:hAnsi="Verdana" w:cs="Century Gothic"/>
        </w:rPr>
        <w:t xml:space="preserve">De esta manera, una vez se culmine con el trámite previsto en el Capítulo 4 del Título I de la Parte 3 del Libro 2 del Decreto 1070 de 2015, modificado por el Decreto 977 de 2018, </w:t>
      </w:r>
      <w:bookmarkStart w:id="6" w:name="_Hlk143964998"/>
      <w:r w:rsidRPr="003304E0">
        <w:rPr>
          <w:rFonts w:ascii="Verdana" w:eastAsia="Century Gothic" w:hAnsi="Verdana" w:cs="Century Gothic"/>
        </w:rPr>
        <w:t>se entiende que la situación militar se acredita resuelta o definida cuando el ciudadano posee tarjeta de reservista militar –de primera o segunda clase</w:t>
      </w:r>
      <w:r w:rsidRPr="003304E0">
        <w:rPr>
          <w:rFonts w:ascii="Verdana" w:eastAsia="Century Gothic" w:hAnsi="Verdana" w:cs="Century Gothic"/>
        </w:rPr>
        <w:softHyphen/>
        <w:t xml:space="preserve">–, </w:t>
      </w:r>
      <w:r w:rsidRPr="003304E0">
        <w:rPr>
          <w:rFonts w:ascii="Verdana" w:eastAsia="Century Gothic" w:hAnsi="Verdana" w:cs="Century Gothic"/>
        </w:rPr>
        <w:lastRenderedPageBreak/>
        <w:t>el certificado digital o cédula militar de que tratan los artículos 35, 40</w:t>
      </w:r>
      <w:r w:rsidRPr="006D570B">
        <w:rPr>
          <w:vertAlign w:val="subscript"/>
        </w:rPr>
        <w:footnoteReference w:id="5"/>
      </w:r>
      <w:r w:rsidRPr="006D570B">
        <w:rPr>
          <w:rFonts w:ascii="Verdana" w:eastAsia="Century Gothic" w:hAnsi="Verdana" w:cs="Century Gothic"/>
          <w:vertAlign w:val="subscript"/>
        </w:rPr>
        <w:t xml:space="preserve"> </w:t>
      </w:r>
      <w:r w:rsidRPr="003304E0">
        <w:rPr>
          <w:rFonts w:ascii="Verdana" w:eastAsia="Century Gothic" w:hAnsi="Verdana" w:cs="Century Gothic"/>
        </w:rPr>
        <w:t>y 41</w:t>
      </w:r>
      <w:r w:rsidRPr="006D570B">
        <w:rPr>
          <w:vertAlign w:val="subscript"/>
        </w:rPr>
        <w:footnoteReference w:id="6"/>
      </w:r>
      <w:r w:rsidRPr="003304E0">
        <w:rPr>
          <w:rFonts w:ascii="Verdana" w:eastAsia="Century Gothic" w:hAnsi="Verdana" w:cs="Century Gothic"/>
        </w:rPr>
        <w:t xml:space="preserve"> de la Ley 1861 de 2017. De acuerdo con el artículo 35 de la citada Ley, la Tarjeta de Reservista Militar o Policial “es el documento con el cual se comprueba que el ciudadano definió su situación militar”, y el artículo 37 ibidem dispone que la Tarjeta de Reservista Militar o Policial de Segunda Clase “es el documento que se otorga al ciudadano que no presta servicio militar por estar incurso en una causal de exoneración o inhabilidad, de conformidad con lo establecido en el artículo 12 de la Ley 1861 de 2017</w:t>
      </w:r>
      <w:bookmarkStart w:id="7" w:name="_Hlk122095538"/>
      <w:bookmarkEnd w:id="6"/>
      <w:r w:rsidRPr="003304E0">
        <w:rPr>
          <w:rFonts w:ascii="Verdana" w:eastAsia="Century Gothic" w:hAnsi="Verdana" w:cs="Century Gothic"/>
        </w:rPr>
        <w:t>.</w:t>
      </w:r>
      <w:bookmarkStart w:id="8" w:name="_Hlk143965046"/>
      <w:bookmarkEnd w:id="7"/>
    </w:p>
    <w:p w14:paraId="70B967DE" w14:textId="77777777" w:rsidR="00441178" w:rsidRDefault="00441178" w:rsidP="00441178">
      <w:pPr>
        <w:pStyle w:val="Prrafodelista"/>
        <w:numPr>
          <w:ilvl w:val="0"/>
          <w:numId w:val="15"/>
        </w:numPr>
        <w:spacing w:after="120" w:line="276" w:lineRule="auto"/>
        <w:jc w:val="both"/>
        <w:rPr>
          <w:rFonts w:ascii="Verdana" w:eastAsia="Century Gothic" w:hAnsi="Verdana" w:cs="Century Gothic"/>
        </w:rPr>
      </w:pPr>
      <w:r w:rsidRPr="003304E0">
        <w:rPr>
          <w:rFonts w:ascii="Verdana" w:eastAsia="Century Gothic" w:hAnsi="Verdana" w:cs="Century Gothic"/>
        </w:rPr>
        <w:t>Por otra parte, el artículo 42 de la Ley 1861 de 2017 dispone en su primer inciso que la situación militar se deberá acreditar en tres eventos: i) para ejercer cargos públicos, ii) trabajar en el sector privado y iii) celebrar contratos de prestación de servicios como persona natural con cualquier entidad de derecho público. De esta manera, se concluye prima facie que, para la celebración de contratos de prestación de servicios con personas naturales, resulta obligatorio que se acredite definida la situación militar mediante los documentos señalados.</w:t>
      </w:r>
      <w:bookmarkEnd w:id="8"/>
    </w:p>
    <w:p w14:paraId="13D2AE5B" w14:textId="77777777" w:rsidR="00441178" w:rsidRDefault="00441178" w:rsidP="00441178">
      <w:pPr>
        <w:pStyle w:val="Prrafodelista"/>
        <w:numPr>
          <w:ilvl w:val="0"/>
          <w:numId w:val="15"/>
        </w:numPr>
        <w:spacing w:after="120" w:line="276" w:lineRule="auto"/>
        <w:jc w:val="both"/>
        <w:rPr>
          <w:rFonts w:ascii="Verdana" w:eastAsia="Century Gothic" w:hAnsi="Verdana" w:cs="Century Gothic"/>
        </w:rPr>
      </w:pPr>
      <w:r w:rsidRPr="003304E0">
        <w:rPr>
          <w:rFonts w:ascii="Verdana" w:eastAsia="Century Gothic" w:hAnsi="Verdana" w:cs="Century Gothic"/>
        </w:rPr>
        <w:t>En relación con este punto, la Circular Externa Única expedida por la Agencia Nacional de Contratación Pública – Colombia Compra Eficiente señaló que es deber de las Entidades Públicas verificar que la situación militar del futuro contratista se encuentre definida para efectos de la celebración del contrato de prestación de servicios</w:t>
      </w:r>
      <w:r w:rsidRPr="002A65BB">
        <w:rPr>
          <w:vertAlign w:val="subscript"/>
        </w:rPr>
        <w:footnoteReference w:id="7"/>
      </w:r>
      <w:r w:rsidRPr="003304E0">
        <w:rPr>
          <w:rFonts w:ascii="Verdana" w:eastAsia="Century Gothic" w:hAnsi="Verdana" w:cs="Century Gothic"/>
        </w:rPr>
        <w:t>.</w:t>
      </w:r>
    </w:p>
    <w:p w14:paraId="14779288" w14:textId="77777777" w:rsidR="00441178" w:rsidRDefault="00441178" w:rsidP="00441178">
      <w:pPr>
        <w:pStyle w:val="Prrafodelista"/>
        <w:numPr>
          <w:ilvl w:val="0"/>
          <w:numId w:val="15"/>
        </w:numPr>
        <w:spacing w:after="120" w:line="276" w:lineRule="auto"/>
        <w:jc w:val="both"/>
        <w:rPr>
          <w:rFonts w:ascii="Verdana" w:eastAsia="Century Gothic" w:hAnsi="Verdana" w:cs="Century Gothic"/>
        </w:rPr>
      </w:pPr>
      <w:r w:rsidRPr="009466BA">
        <w:rPr>
          <w:rFonts w:ascii="Verdana" w:eastAsia="Century Gothic" w:hAnsi="Verdana" w:cs="Century Gothic"/>
        </w:rPr>
        <w:lastRenderedPageBreak/>
        <w:t xml:space="preserve">Sin embargo, </w:t>
      </w:r>
      <w:bookmarkStart w:id="9" w:name="_Hlk143965057"/>
      <w:r w:rsidRPr="009466BA">
        <w:rPr>
          <w:rFonts w:ascii="Verdana" w:eastAsia="Century Gothic" w:hAnsi="Verdana" w:cs="Century Gothic"/>
        </w:rPr>
        <w:t>el inciso segundo del artículo 42 de la Ley 1861 de 2017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bookmarkEnd w:id="9"/>
      <w:r w:rsidRPr="002A65BB">
        <w:rPr>
          <w:vertAlign w:val="subscript"/>
        </w:rPr>
        <w:footnoteReference w:id="8"/>
      </w:r>
      <w:r w:rsidRPr="002A65BB">
        <w:rPr>
          <w:rFonts w:ascii="Verdana" w:eastAsia="Century Gothic" w:hAnsi="Verdana" w:cs="Century Gothic"/>
          <w:vertAlign w:val="subscript"/>
        </w:rPr>
        <w:t>.</w:t>
      </w:r>
      <w:r w:rsidRPr="009466BA">
        <w:rPr>
          <w:rFonts w:ascii="Verdana" w:eastAsia="Century Gothic" w:hAnsi="Verdana" w:cs="Century Gothic"/>
        </w:rPr>
        <w:t xml:space="preserve"> </w:t>
      </w:r>
    </w:p>
    <w:p w14:paraId="4A3D2B18" w14:textId="77777777" w:rsidR="00441178" w:rsidRDefault="00441178" w:rsidP="00441178">
      <w:pPr>
        <w:pStyle w:val="Prrafodelista"/>
        <w:numPr>
          <w:ilvl w:val="0"/>
          <w:numId w:val="15"/>
        </w:numPr>
        <w:spacing w:after="120" w:line="276" w:lineRule="auto"/>
        <w:jc w:val="both"/>
        <w:rPr>
          <w:rFonts w:ascii="Verdana" w:eastAsia="Century Gothic" w:hAnsi="Verdana" w:cs="Century Gothic"/>
        </w:rPr>
      </w:pPr>
      <w:r w:rsidRPr="00D33A2B">
        <w:rPr>
          <w:rFonts w:ascii="Verdana" w:eastAsia="Century Gothic" w:hAnsi="Verdana" w:cs="Century Gothic"/>
        </w:rPr>
        <w:t>Asimismo, el inciso primero del artículo 2.3.1.4.9.2 del Decreto 1070 de 2015, modificado por el Decreto 977 de 2018, dispuso que el anterior beneficio se obtendría automáticamente cuando el ciudadano se vincule laboral o contractualmente a una empresa nacional o extranjera, oficial o particular, y se encuentre clasificado en los términos de la Ley 1861 de 2017 como no apto, exento o si ha superado la edad máxima de incorporación, incluyendo el nuevo grupo poblacional beneficiario en virtud de lo resuelto en la sentencia anteriormente citada. Para tal efecto, el inciso segundo otorgó un plazo máximo de dieciocho (18) meses para definir su situación militar. En lo pertinente, la disposición citada establece:</w:t>
      </w:r>
    </w:p>
    <w:p w14:paraId="27AB20B2" w14:textId="77777777" w:rsidR="00441178" w:rsidRDefault="00441178" w:rsidP="00441178">
      <w:pPr>
        <w:pStyle w:val="Prrafodelista"/>
        <w:spacing w:after="120" w:line="276" w:lineRule="auto"/>
        <w:ind w:left="1428"/>
        <w:jc w:val="both"/>
        <w:rPr>
          <w:rFonts w:ascii="Verdana" w:eastAsia="Century Gothic" w:hAnsi="Verdana" w:cs="Century Gothic"/>
        </w:rPr>
      </w:pPr>
    </w:p>
    <w:p w14:paraId="6B12127F" w14:textId="77777777" w:rsidR="00441178" w:rsidRPr="00D33A2B" w:rsidRDefault="00441178" w:rsidP="00441178">
      <w:pPr>
        <w:pStyle w:val="Prrafodelista"/>
        <w:spacing w:after="120" w:line="276" w:lineRule="auto"/>
        <w:ind w:left="1428"/>
        <w:jc w:val="both"/>
        <w:rPr>
          <w:rFonts w:ascii="Verdana" w:eastAsia="Century Gothic" w:hAnsi="Verdana" w:cs="Century Gothic"/>
        </w:rPr>
      </w:pPr>
      <w:r w:rsidRPr="00D33A2B">
        <w:rPr>
          <w:rFonts w:ascii="Verdana" w:eastAsia="Century Gothic" w:hAnsi="Verdana" w:cs="Century Gothic"/>
        </w:rPr>
        <w:t>“[…] Sin perjuicio de la obligación anterior, 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 En todo caso, no se podrán contabilizar dentro de los dieciocho (18) meses, las demoras que no le sean imputables al trabajador. […]”. [Énfasis fuera de texto]</w:t>
      </w:r>
    </w:p>
    <w:p w14:paraId="2F5C7711" w14:textId="77777777" w:rsidR="00441178" w:rsidRPr="00A47318" w:rsidRDefault="00441178" w:rsidP="00441178">
      <w:pPr>
        <w:pStyle w:val="Prrafodelista"/>
        <w:numPr>
          <w:ilvl w:val="0"/>
          <w:numId w:val="15"/>
        </w:numPr>
        <w:spacing w:line="276" w:lineRule="auto"/>
        <w:jc w:val="both"/>
        <w:rPr>
          <w:rFonts w:ascii="Verdana" w:eastAsia="Century Gothic" w:hAnsi="Verdana" w:cs="Century Gothic"/>
        </w:rPr>
      </w:pPr>
      <w:r w:rsidRPr="00A47318">
        <w:rPr>
          <w:rFonts w:ascii="Verdana" w:eastAsia="Century Gothic" w:hAnsi="Verdana" w:cs="Century Gothic"/>
        </w:rPr>
        <w:lastRenderedPageBreak/>
        <w:t xml:space="preserve">Conforme con lo anterior, la regla general es que todos los ciudadanos deben acreditar su situación militar para acceder a un trabajo, sin embargo, la norma permite excepcionalmente que algunas personas puedan acceder temporalmente al trabajo mientras definen su situación militar. De esta forma los beneficiarios de esta excepción cuentan con un plazo de dieciocho (18) meses como una suerte de tiempo de gracia, durante el cual podrán definir su situación militar estando vinculados laboral o contractualmente con una Entidad Pública o privada. </w:t>
      </w:r>
    </w:p>
    <w:p w14:paraId="0950946E" w14:textId="77777777" w:rsidR="00441178" w:rsidRDefault="00441178" w:rsidP="00441178">
      <w:pPr>
        <w:pStyle w:val="Prrafodelista"/>
        <w:numPr>
          <w:ilvl w:val="0"/>
          <w:numId w:val="15"/>
        </w:numPr>
        <w:spacing w:after="120" w:line="276" w:lineRule="auto"/>
        <w:jc w:val="both"/>
        <w:rPr>
          <w:rFonts w:ascii="Verdana" w:eastAsia="Century Gothic" w:hAnsi="Verdana" w:cs="Century Gothic"/>
        </w:rPr>
      </w:pPr>
      <w:r w:rsidRPr="00A47318">
        <w:rPr>
          <w:rFonts w:ascii="Verdana" w:eastAsia="Century Gothic" w:hAnsi="Verdana" w:cs="Century Gothic"/>
        </w:rPr>
        <w:t xml:space="preserve">Debe destacarse que, en la Sentencia C-277 del 19 de junio de 2019 la Corte Constitucional señaló que las personas no aptas, las exentas, las que hayan superado la edad máxima de incorporación a filas y las aptas pero exoneradas del pago de compensación militar, pueden acceder temporalmente a un empleo mientras definen su situación militar, razón por la cual resulta pertinente determinar la conformación de cada grupo. </w:t>
      </w:r>
    </w:p>
    <w:p w14:paraId="735AFDD9" w14:textId="77777777" w:rsidR="00441178" w:rsidRDefault="00441178" w:rsidP="00441178">
      <w:pPr>
        <w:pStyle w:val="Prrafodelista"/>
        <w:numPr>
          <w:ilvl w:val="0"/>
          <w:numId w:val="15"/>
        </w:numPr>
        <w:spacing w:after="120" w:line="276" w:lineRule="auto"/>
        <w:jc w:val="both"/>
        <w:rPr>
          <w:rFonts w:ascii="Verdana" w:eastAsia="Century Gothic" w:hAnsi="Verdana" w:cs="Century Gothic"/>
        </w:rPr>
      </w:pPr>
      <w:r w:rsidRPr="00A47318">
        <w:rPr>
          <w:rFonts w:ascii="Verdana" w:eastAsia="Century Gothic" w:hAnsi="Verdana" w:cs="Century Gothic"/>
        </w:rPr>
        <w:t>En relación con el primero –esto es, respecto a las personas no aptas–, de lo establecido en el artículo 18 de la Ley 1861 de 2017 se desprende que son aquellos inscritos que no tienen las condiciones psicofísicas adecuadas, que le impiden desarrollar eficientemente la actividad militar.</w:t>
      </w:r>
    </w:p>
    <w:p w14:paraId="04C96F63" w14:textId="77777777" w:rsidR="00441178" w:rsidRDefault="00441178" w:rsidP="00441178">
      <w:pPr>
        <w:pStyle w:val="Prrafodelista"/>
        <w:numPr>
          <w:ilvl w:val="0"/>
          <w:numId w:val="15"/>
        </w:numPr>
        <w:spacing w:after="120" w:line="276" w:lineRule="auto"/>
        <w:jc w:val="both"/>
        <w:rPr>
          <w:rFonts w:ascii="Verdana" w:eastAsia="Century Gothic" w:hAnsi="Verdana" w:cs="Century Gothic"/>
        </w:rPr>
      </w:pPr>
      <w:r w:rsidRPr="00A47318">
        <w:rPr>
          <w:rFonts w:ascii="Verdana" w:eastAsia="Century Gothic" w:hAnsi="Verdana" w:cs="Century Gothic"/>
        </w:rPr>
        <w:t>En segundo lugar, la Corte Constitucional</w:t>
      </w:r>
      <w:r w:rsidRPr="00E27851">
        <w:footnoteReference w:id="9"/>
      </w:r>
      <w:r w:rsidRPr="00A47318">
        <w:rPr>
          <w:rFonts w:ascii="Verdana" w:eastAsia="Century Gothic" w:hAnsi="Verdana" w:cs="Century Gothic"/>
        </w:rPr>
        <w:t xml:space="preserve"> señaló que las personas exentas son aquellas que por cualquier razón hubieran sido declaradas libres de prestar el servicio militar. Esta definición fue incluida en la sentencia citada, al concluir que uno de los cargos estaba relacionado con que las personas aptas no seleccionadas que estuviesen impedidas para acceder al beneficio laboral previsto en el inciso 2 del artículo 42. En la decisión judicial en comento, la Corte precisó que el cargo carecía de certeza, porque en dicha disposición no existía una definición de la palabra “exentos”, lo que, de conformidad con los artículos 28 a 30 del Código Civil, debía entenderse en su sentido natural. De lo anterior se desprende que </w:t>
      </w:r>
      <w:r w:rsidRPr="00A47318">
        <w:rPr>
          <w:rFonts w:ascii="Verdana" w:eastAsia="Century Gothic" w:hAnsi="Verdana" w:cs="Century Gothic"/>
        </w:rPr>
        <w:lastRenderedPageBreak/>
        <w:t xml:space="preserve">la Corte concluyó que “exentos” son todas las personas que fueron “liberadas” por cualquier causa, del deber de prestar el servicio militar obligatorio. En este sentido, se incluyen incluso a los aptos no seleccionados. </w:t>
      </w:r>
    </w:p>
    <w:p w14:paraId="3EC2DEB0" w14:textId="77777777" w:rsidR="00441178" w:rsidRPr="00A47318" w:rsidRDefault="00441178" w:rsidP="00441178">
      <w:pPr>
        <w:pStyle w:val="Prrafodelista"/>
        <w:numPr>
          <w:ilvl w:val="0"/>
          <w:numId w:val="15"/>
        </w:numPr>
        <w:spacing w:after="120" w:line="276" w:lineRule="auto"/>
        <w:jc w:val="both"/>
        <w:rPr>
          <w:rFonts w:ascii="Verdana" w:eastAsia="Century Gothic" w:hAnsi="Verdana" w:cs="Century Gothic"/>
        </w:rPr>
      </w:pPr>
      <w:r>
        <w:rPr>
          <w:rFonts w:ascii="Verdana" w:eastAsia="Century Gothic" w:hAnsi="Verdana" w:cs="Century Gothic"/>
        </w:rPr>
        <w:t>E</w:t>
      </w:r>
      <w:r w:rsidRPr="00A47318">
        <w:rPr>
          <w:rFonts w:ascii="Verdana" w:eastAsia="Century Gothic" w:hAnsi="Verdana" w:cs="Century Gothic"/>
        </w:rPr>
        <w:t xml:space="preserve">n tercer lugar, de acuerdo con lo dispuesto en el parágrafo del artículo 23 de la Ley 1861 de 2017, la edad máxima de incorporación a filas es veinticuatro (24) años, por lo cual en este grupo se excluyen los colombianos declarados aptos desde que cumplen la mayoría de edad y hasta faltando un día para cumplir veinticuatro (24) años de edad. </w:t>
      </w:r>
    </w:p>
    <w:p w14:paraId="54E5E8D8" w14:textId="77777777" w:rsidR="00441178" w:rsidRDefault="00441178" w:rsidP="00441178">
      <w:pPr>
        <w:pStyle w:val="Prrafodelista"/>
        <w:numPr>
          <w:ilvl w:val="0"/>
          <w:numId w:val="15"/>
        </w:numPr>
        <w:tabs>
          <w:tab w:val="left" w:pos="0"/>
        </w:tabs>
        <w:spacing w:after="120" w:line="276" w:lineRule="auto"/>
        <w:jc w:val="both"/>
        <w:rPr>
          <w:rFonts w:ascii="Verdana" w:eastAsia="Century Gothic" w:hAnsi="Verdana" w:cs="Century Gothic"/>
        </w:rPr>
      </w:pPr>
      <w:r w:rsidRPr="00124D0E">
        <w:rPr>
          <w:rFonts w:ascii="Verdana" w:eastAsia="Century Gothic" w:hAnsi="Verdana" w:cs="Century Gothic"/>
        </w:rPr>
        <w:t xml:space="preserve">De conformidad con lo expuesto, las personas que no hayan definido su situación militar pero que hayan sido clasificadas no aptas, exentas, hayan superado la edad máxima de incorporación a filas y aptas pero exoneradas de pagar la cuota de compensación militar, podrán acceder a un trabajo sin definir su situación militar. </w:t>
      </w:r>
      <w:bookmarkStart w:id="10" w:name="_Hlk143965102"/>
      <w:r w:rsidRPr="00124D0E">
        <w:rPr>
          <w:rFonts w:ascii="Verdana" w:eastAsia="Century Gothic" w:hAnsi="Verdana" w:cs="Century Gothic"/>
        </w:rPr>
        <w:t xml:space="preserve">Para tales efectos, el inciso segundo del artículo 42 de la Ley 1861 de 2017 otorgó un plazo de dieciocho (18) meses para definirla, contados a partir de su primera vinculación laboral, exceptuando la contabilización de este término en los casos en que las demoras no le sean imputables al ciudadano. </w:t>
      </w:r>
      <w:bookmarkEnd w:id="10"/>
    </w:p>
    <w:p w14:paraId="13227752" w14:textId="77777777" w:rsidR="00441178" w:rsidRDefault="00441178" w:rsidP="00441178">
      <w:pPr>
        <w:pStyle w:val="Prrafodelista"/>
        <w:numPr>
          <w:ilvl w:val="0"/>
          <w:numId w:val="15"/>
        </w:numPr>
        <w:tabs>
          <w:tab w:val="left" w:pos="0"/>
        </w:tabs>
        <w:spacing w:after="120" w:line="276" w:lineRule="auto"/>
        <w:jc w:val="both"/>
        <w:rPr>
          <w:rFonts w:ascii="Verdana" w:eastAsia="Century Gothic" w:hAnsi="Verdana" w:cs="Century Gothic"/>
        </w:rPr>
      </w:pPr>
      <w:r w:rsidRPr="00304090">
        <w:rPr>
          <w:rFonts w:ascii="Verdana" w:eastAsia="Century Gothic" w:hAnsi="Verdana" w:cs="Century Gothic"/>
        </w:rPr>
        <w:t>En ese orden de ideas, el inciso tercero de esta disposición indicó que quienes accedan a este beneficio deberán gestionar –ante las autoridades de reclutamiento– un certificado provisional en línea que acredite el inicio del trámite de la definición de la situación militar por una única vez, el cual será válido por el término de dieciocho (18) meses. Por su parte, el parágrafo 1 del artículo citado, indica que las personas señaladas que cuentan con una vinculación laboral vigente y no hayan definido su situación militar, deberán hacerlo en los siguientes dieciocho (18) meses contados desde la vigencia de la Ley 1861 de 2017</w:t>
      </w:r>
      <w:r w:rsidRPr="004A2F28">
        <w:rPr>
          <w:vertAlign w:val="subscript"/>
        </w:rPr>
        <w:footnoteReference w:id="10"/>
      </w:r>
      <w:r w:rsidRPr="00304090">
        <w:rPr>
          <w:rFonts w:ascii="Verdana" w:eastAsia="Century Gothic" w:hAnsi="Verdana" w:cs="Century Gothic"/>
        </w:rPr>
        <w:t xml:space="preserve">. </w:t>
      </w:r>
    </w:p>
    <w:p w14:paraId="2C4837E4" w14:textId="77777777" w:rsidR="00441178" w:rsidRPr="00304090" w:rsidRDefault="00441178" w:rsidP="00441178">
      <w:pPr>
        <w:pStyle w:val="Prrafodelista"/>
        <w:numPr>
          <w:ilvl w:val="0"/>
          <w:numId w:val="15"/>
        </w:numPr>
        <w:tabs>
          <w:tab w:val="left" w:pos="0"/>
        </w:tabs>
        <w:spacing w:after="120" w:line="276" w:lineRule="auto"/>
        <w:jc w:val="both"/>
        <w:rPr>
          <w:rFonts w:ascii="Verdana" w:eastAsia="Century Gothic" w:hAnsi="Verdana" w:cs="Century Gothic"/>
        </w:rPr>
      </w:pPr>
      <w:r w:rsidRPr="00304090">
        <w:rPr>
          <w:rFonts w:ascii="Verdana" w:eastAsia="Century Gothic" w:hAnsi="Verdana" w:cs="Century Gothic"/>
        </w:rPr>
        <w:lastRenderedPageBreak/>
        <w:t>De lo anterior se desprende que el plazo de dieciocho (18) meses es el término máximo con que cuenta el ciudadano para definir su situación militar. Ello es así por cuanto el propósito es permitir temporalmente el acceso al trabajo a un grupo de personas determinadas, pero con la condición de que inicien el trámite correspondiente para que su situación militar se defina en el término previsto en la ley. Al respecto, la Corte Constitucional</w:t>
      </w:r>
      <w:r w:rsidRPr="00E27851">
        <w:footnoteReference w:id="11"/>
      </w:r>
      <w:r w:rsidRPr="00304090">
        <w:rPr>
          <w:rFonts w:ascii="Verdana" w:eastAsia="Century Gothic" w:hAnsi="Verdana" w:cs="Century Gothic"/>
        </w:rPr>
        <w:t xml:space="preserve"> señaló: </w:t>
      </w:r>
    </w:p>
    <w:p w14:paraId="6994FB05" w14:textId="77777777" w:rsidR="00441178" w:rsidRPr="00E27851" w:rsidRDefault="00441178" w:rsidP="00441178">
      <w:pPr>
        <w:tabs>
          <w:tab w:val="left" w:pos="0"/>
        </w:tabs>
        <w:spacing w:line="276" w:lineRule="auto"/>
        <w:ind w:firstLine="709"/>
        <w:jc w:val="both"/>
        <w:rPr>
          <w:rFonts w:ascii="Verdana" w:eastAsia="Century Gothic" w:hAnsi="Verdana" w:cs="Century Gothic"/>
        </w:rPr>
      </w:pPr>
    </w:p>
    <w:p w14:paraId="136EDCD0" w14:textId="77777777" w:rsidR="00441178" w:rsidRPr="00197C18" w:rsidRDefault="00441178" w:rsidP="00441178">
      <w:pPr>
        <w:ind w:left="709" w:right="709"/>
        <w:jc w:val="both"/>
        <w:rPr>
          <w:rFonts w:ascii="Verdana" w:eastAsia="Century Gothic" w:hAnsi="Verdana" w:cs="Century Gothic"/>
        </w:rPr>
      </w:pPr>
      <w:r w:rsidRPr="00E27851">
        <w:rPr>
          <w:rFonts w:ascii="Verdana" w:eastAsia="Century Gothic" w:hAnsi="Verdana" w:cs="Century Gothic"/>
        </w:rPr>
        <w:t>“El artículo 42 de la Ley 1861 de 2017 permite el acceso temporal a un empleo (por 18 meses) a un determinado grupo de personas que no ha culminado el proceso requerido para definir su situación militar, pero que por diversos motivos ha quedado liberado de su deber de prestación física. Según se desprende del Capítulo Segundo, del Título Segundo, de la Ley 1861 de 2017, la definición de la situación militar es un proceso que inicia con la inscripción que realiza la Organización de Reclutamiento y Movilización (art. 17 de la Ley 1861 de 2017) y que culmina con el pago de la cuota de compensación militar, cuando no se está exonerado de esta (arts. 26 a 28 de la Ley 1861 de 2017). Por tal razón, lo que permite el texto demandado es que las personas declaradas no aptas o exentas para prestar el servicio militar, así como las que hubieren superado la edad máxima de incorporación a filas, puedan acceder temporalmente a un trabajo mientras culminan con el referido trámite. De no existir la norma acusada, ni siquiera tales grupos (los no aptos, exentos o que hubieren superado la edad máxima de incorporación a filas) podrían acceder al beneficio de trabajar que regula la disposición, hasta que culminen con el trámite de la definición de su situación militar, toda vez que, en ese contexto hipotético, les aplicaría la restricción general descrita en el resto del artículo 42 en estudio”.</w:t>
      </w:r>
    </w:p>
    <w:p w14:paraId="1F19E3EB" w14:textId="77777777" w:rsidR="00441178" w:rsidRPr="006D702C" w:rsidRDefault="00441178" w:rsidP="00441178">
      <w:pPr>
        <w:spacing w:after="0" w:line="276" w:lineRule="auto"/>
        <w:jc w:val="both"/>
        <w:rPr>
          <w:rFonts w:ascii="Verdana" w:eastAsia="Calibri" w:hAnsi="Verdana" w:cs="Arial"/>
          <w:lang w:val="es-ES"/>
        </w:rPr>
      </w:pPr>
    </w:p>
    <w:p w14:paraId="3F49655E" w14:textId="77777777" w:rsidR="00441178" w:rsidRPr="006D702C" w:rsidRDefault="00441178" w:rsidP="00441178">
      <w:pPr>
        <w:widowControl w:val="0"/>
        <w:autoSpaceDE w:val="0"/>
        <w:autoSpaceDN w:val="0"/>
        <w:spacing w:after="0" w:line="276" w:lineRule="auto"/>
        <w:jc w:val="both"/>
        <w:rPr>
          <w:rFonts w:ascii="Verdana" w:hAnsi="Verdana" w:cs="Arial"/>
        </w:rPr>
      </w:pPr>
    </w:p>
    <w:p w14:paraId="7DC2AD6C" w14:textId="77777777" w:rsidR="00441178" w:rsidRPr="006D702C" w:rsidRDefault="00441178" w:rsidP="00441178">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D702C">
        <w:rPr>
          <w:rFonts w:ascii="Verdana" w:eastAsia="Century Gothic" w:hAnsi="Verdana" w:cs="Century Gothic"/>
          <w:b/>
          <w:bCs/>
        </w:rPr>
        <w:t>Referencias normativas, jurisprudenciales y otras fuentes:</w:t>
      </w:r>
    </w:p>
    <w:p w14:paraId="3084061D" w14:textId="77777777" w:rsidR="00441178" w:rsidRPr="00881D8B" w:rsidRDefault="00441178" w:rsidP="0044117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41178" w:rsidRPr="00881D8B" w14:paraId="24797DFB" w14:textId="77777777" w:rsidTr="00C65060">
        <w:trPr>
          <w:trHeight w:val="870"/>
        </w:trPr>
        <w:tc>
          <w:tcPr>
            <w:tcW w:w="8647" w:type="dxa"/>
          </w:tcPr>
          <w:p w14:paraId="53EB665E" w14:textId="77777777" w:rsidR="00441178" w:rsidRPr="00D3515F" w:rsidRDefault="00441178" w:rsidP="00441178">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E27851">
              <w:rPr>
                <w:rFonts w:ascii="Verdana" w:eastAsia="Century Gothic" w:hAnsi="Verdana" w:cs="Century Gothic"/>
              </w:rPr>
              <w:t>Ley 1861 de 2017</w:t>
            </w:r>
            <w:r>
              <w:rPr>
                <w:rFonts w:ascii="Verdana" w:eastAsia="Century Gothic" w:hAnsi="Verdana" w:cs="Century Gothic"/>
              </w:rPr>
              <w:t xml:space="preserve"> artículos 17, 26, 27, 28. 42, </w:t>
            </w:r>
            <w:r w:rsidRPr="001706BC">
              <w:rPr>
                <w:rFonts w:ascii="Verdana" w:eastAsia="Century Gothic" w:hAnsi="Verdana" w:cs="Century Gothic"/>
              </w:rPr>
              <w:t>Decreto 977 de 2018</w:t>
            </w:r>
          </w:p>
          <w:p w14:paraId="08C30A34" w14:textId="77777777" w:rsidR="00441178" w:rsidRPr="00881D8B" w:rsidRDefault="00441178" w:rsidP="00441178">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A47318">
              <w:rPr>
                <w:rFonts w:ascii="Verdana" w:eastAsia="Century Gothic" w:hAnsi="Verdana" w:cs="Century Gothic"/>
              </w:rPr>
              <w:t>Sentencia C-277 del 19 de junio de 2019 la Corte Constitucional</w:t>
            </w:r>
          </w:p>
          <w:p w14:paraId="3D6B2F81" w14:textId="77777777" w:rsidR="00441178" w:rsidRPr="00881D8B" w:rsidRDefault="00441178" w:rsidP="00441178">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881D8B">
              <w:rPr>
                <w:rFonts w:ascii="Verdana" w:hAnsi="Verdana" w:cs="Arial"/>
              </w:rPr>
              <w:t xml:space="preserve">Circular Externa Única del 27 de diciembre de 2023. Disponible en: </w:t>
            </w:r>
            <w:hyperlink r:id="rId12" w:history="1">
              <w:r w:rsidRPr="00881D8B">
                <w:rPr>
                  <w:rStyle w:val="Hipervnculo"/>
                  <w:rFonts w:ascii="Verdana" w:hAnsi="Verdana" w:cs="Arial"/>
                </w:rPr>
                <w:t>https://www.colombiacompra.gov.co/sites/cce_public/files/cce_circulares/circular_externa_unica_version_3_vf49.pdf</w:t>
              </w:r>
            </w:hyperlink>
            <w:r w:rsidRPr="00881D8B">
              <w:rPr>
                <w:rFonts w:ascii="Verdana" w:hAnsi="Verdana" w:cs="Arial"/>
              </w:rPr>
              <w:t xml:space="preserve"> </w:t>
            </w:r>
          </w:p>
          <w:p w14:paraId="540A2DB2" w14:textId="77777777" w:rsidR="00441178" w:rsidRPr="00881D8B" w:rsidRDefault="00441178" w:rsidP="00441178">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881D8B">
              <w:rPr>
                <w:rFonts w:ascii="Verdana" w:hAnsi="Verdana" w:cs="Arial"/>
              </w:rPr>
              <w:t xml:space="preserve">Jurisprudencia del Consejo de Estado. Disponible en: </w:t>
            </w:r>
            <w:hyperlink r:id="rId13" w:history="1">
              <w:r w:rsidRPr="00881D8B">
                <w:rPr>
                  <w:rStyle w:val="Hipervnculo"/>
                  <w:rFonts w:ascii="Verdana" w:hAnsi="Verdana" w:cs="Arial"/>
                </w:rPr>
                <w:t>https://relatoria.colombiacompra.gov.co/providencias-consejo-de-estado/</w:t>
              </w:r>
            </w:hyperlink>
            <w:r w:rsidRPr="00881D8B">
              <w:rPr>
                <w:rFonts w:ascii="Verdana" w:hAnsi="Verdana" w:cs="Arial"/>
              </w:rPr>
              <w:t xml:space="preserve"> </w:t>
            </w:r>
          </w:p>
          <w:p w14:paraId="2587EA98" w14:textId="77777777" w:rsidR="00441178" w:rsidRPr="00881D8B" w:rsidRDefault="00441178" w:rsidP="00441178">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881D8B">
              <w:rPr>
                <w:rFonts w:ascii="Verdana" w:hAnsi="Verdana" w:cs="Arial"/>
              </w:rPr>
              <w:t>Guías y manuales expedidos por la ANCP-CCE. Disponible en:</w:t>
            </w:r>
            <w:r w:rsidRPr="00881D8B">
              <w:rPr>
                <w:rFonts w:ascii="Verdana" w:hAnsi="Verdana"/>
              </w:rPr>
              <w:t xml:space="preserve"> </w:t>
            </w:r>
            <w:hyperlink r:id="rId14" w:history="1">
              <w:r w:rsidRPr="00881D8B">
                <w:rPr>
                  <w:rStyle w:val="Hipervnculo"/>
                  <w:rFonts w:ascii="Verdana" w:hAnsi="Verdana" w:cs="Arial"/>
                </w:rPr>
                <w:t>https://www.colombiacompra.gov.co/manuales-guias-y-pliegos-tipo/manuales-y-guias</w:t>
              </w:r>
            </w:hyperlink>
            <w:r w:rsidRPr="00881D8B">
              <w:rPr>
                <w:rFonts w:ascii="Verdana" w:hAnsi="Verdana" w:cs="Arial"/>
              </w:rPr>
              <w:t xml:space="preserve"> </w:t>
            </w:r>
          </w:p>
          <w:p w14:paraId="6A3F9665" w14:textId="77777777" w:rsidR="00441178" w:rsidRPr="00881D8B" w:rsidRDefault="00441178" w:rsidP="00C65060">
            <w:pPr>
              <w:widowControl w:val="0"/>
              <w:autoSpaceDE w:val="0"/>
              <w:autoSpaceDN w:val="0"/>
              <w:spacing w:after="120" w:line="276" w:lineRule="auto"/>
              <w:ind w:left="360"/>
              <w:jc w:val="both"/>
              <w:rPr>
                <w:rFonts w:ascii="Verdana" w:hAnsi="Verdana" w:cs="Arial"/>
              </w:rPr>
            </w:pPr>
          </w:p>
        </w:tc>
      </w:tr>
    </w:tbl>
    <w:p w14:paraId="63E2BF21" w14:textId="77777777" w:rsidR="00441178" w:rsidRPr="00881D8B" w:rsidRDefault="00441178" w:rsidP="00441178">
      <w:pPr>
        <w:widowControl w:val="0"/>
        <w:autoSpaceDE w:val="0"/>
        <w:autoSpaceDN w:val="0"/>
        <w:spacing w:after="0" w:line="276" w:lineRule="auto"/>
        <w:jc w:val="both"/>
        <w:rPr>
          <w:rFonts w:ascii="Verdana" w:hAnsi="Verdana" w:cs="Arial"/>
        </w:rPr>
      </w:pPr>
    </w:p>
    <w:p w14:paraId="0CCB30A1" w14:textId="77777777" w:rsidR="00441178" w:rsidRPr="00881D8B" w:rsidRDefault="00441178" w:rsidP="00441178">
      <w:pPr>
        <w:widowControl w:val="0"/>
        <w:autoSpaceDE w:val="0"/>
        <w:autoSpaceDN w:val="0"/>
        <w:spacing w:after="0" w:line="276" w:lineRule="auto"/>
        <w:jc w:val="both"/>
        <w:rPr>
          <w:rFonts w:ascii="Verdana" w:hAnsi="Verdana" w:cs="Arial"/>
        </w:rPr>
      </w:pPr>
    </w:p>
    <w:p w14:paraId="6A154995" w14:textId="77777777" w:rsidR="00441178" w:rsidRPr="00881D8B" w:rsidRDefault="00441178" w:rsidP="00441178">
      <w:pPr>
        <w:widowControl w:val="0"/>
        <w:autoSpaceDE w:val="0"/>
        <w:autoSpaceDN w:val="0"/>
        <w:spacing w:after="0" w:line="276" w:lineRule="auto"/>
        <w:jc w:val="both"/>
        <w:rPr>
          <w:rFonts w:ascii="Verdana" w:hAnsi="Verdana" w:cs="Arial"/>
        </w:rPr>
      </w:pPr>
    </w:p>
    <w:p w14:paraId="4DB4C2B4" w14:textId="77777777" w:rsidR="00441178" w:rsidRPr="00881D8B" w:rsidRDefault="00441178" w:rsidP="00441178">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81D8B">
        <w:rPr>
          <w:rFonts w:ascii="Verdana" w:eastAsia="Century Gothic" w:hAnsi="Verdana" w:cs="Century Gothic"/>
          <w:b/>
          <w:bCs/>
        </w:rPr>
        <w:t>Doctrina de la Agencia Nacional de Contratación Pública:</w:t>
      </w:r>
    </w:p>
    <w:p w14:paraId="2A9E4A9C" w14:textId="77777777" w:rsidR="00441178" w:rsidRPr="00881D8B" w:rsidRDefault="00441178" w:rsidP="00441178">
      <w:pPr>
        <w:widowControl w:val="0"/>
        <w:autoSpaceDE w:val="0"/>
        <w:autoSpaceDN w:val="0"/>
        <w:spacing w:after="0" w:line="276" w:lineRule="auto"/>
        <w:jc w:val="both"/>
        <w:rPr>
          <w:rFonts w:ascii="Verdana" w:hAnsi="Verdana" w:cs="Arial"/>
        </w:rPr>
      </w:pPr>
    </w:p>
    <w:p w14:paraId="15A106A2" w14:textId="77777777" w:rsidR="00441178" w:rsidRPr="00881D8B" w:rsidRDefault="00441178" w:rsidP="00441178">
      <w:pPr>
        <w:spacing w:after="120" w:line="276" w:lineRule="auto"/>
        <w:ind w:firstLine="708"/>
        <w:jc w:val="both"/>
        <w:rPr>
          <w:rFonts w:ascii="Verdana" w:eastAsia="Calibri" w:hAnsi="Verdana" w:cs="Arial"/>
          <w:lang w:val="es-ES" w:eastAsia="es-ES"/>
        </w:rPr>
      </w:pPr>
      <w:r w:rsidRPr="00EA0B9C">
        <w:rPr>
          <w:rFonts w:ascii="Verdana" w:eastAsia="Calibri" w:hAnsi="Verdana"/>
          <w:lang w:val="es-ES_tradnl"/>
        </w:rPr>
        <w:t>La Agencia Nacional de Contratación Pública – Colombia Compra Eficiente, se ha pronunciado frente al tema del servicio militar en los conceptos C-628 de 29 de septiembre de 2022, C-653 del 11 de octubre de 2022, C-944 del 19 de enero de 202</w:t>
      </w:r>
      <w:r>
        <w:rPr>
          <w:rFonts w:ascii="Verdana" w:eastAsia="Calibri" w:hAnsi="Verdana"/>
          <w:lang w:val="es-ES_tradnl"/>
        </w:rPr>
        <w:t>2</w:t>
      </w:r>
      <w:r w:rsidRPr="00EA0B9C">
        <w:rPr>
          <w:rFonts w:ascii="Verdana" w:eastAsia="Calibri" w:hAnsi="Verdana"/>
          <w:lang w:val="es-ES_tradnl"/>
        </w:rPr>
        <w:t>, C-328 del 25 de agosto de 2023  y C-376 del 20 de septiembre de 2023</w:t>
      </w:r>
      <w:r>
        <w:rPr>
          <w:rFonts w:ascii="Verdana" w:eastAsia="Calibri" w:hAnsi="Verdana"/>
          <w:lang w:val="es-ES_tradnl"/>
        </w:rPr>
        <w:t xml:space="preserve"> . </w:t>
      </w:r>
      <w:r w:rsidRPr="00881D8B">
        <w:rPr>
          <w:rFonts w:ascii="Verdana" w:eastAsia="Calibri" w:hAnsi="Verdana"/>
          <w:lang w:val="es-ES_tradnl"/>
        </w:rPr>
        <w:t>Es</w:t>
      </w:r>
      <w:r w:rsidRPr="00881D8B">
        <w:rPr>
          <w:rFonts w:ascii="Verdana" w:eastAsia="Calibri" w:hAnsi="Verdana" w:cs="Arial"/>
          <w:lang w:val="es-ES_tradnl"/>
        </w:rPr>
        <w:t>tos y otros conceptos se encuentran disponibles para consulta en el Sistema de relatoría de la Agencia, al cual se puede acceder a través del siguiente enlace:</w:t>
      </w:r>
      <w:r w:rsidRPr="00881D8B">
        <w:rPr>
          <w:rFonts w:ascii="Verdana" w:eastAsia="Calibri" w:hAnsi="Verdana"/>
          <w:lang w:val="es-ES_tradnl"/>
        </w:rPr>
        <w:t xml:space="preserve"> </w:t>
      </w:r>
    </w:p>
    <w:p w14:paraId="5D884506" w14:textId="77777777" w:rsidR="00441178" w:rsidRPr="00881D8B" w:rsidRDefault="00441178" w:rsidP="00441178">
      <w:pPr>
        <w:widowControl w:val="0"/>
        <w:autoSpaceDE w:val="0"/>
        <w:autoSpaceDN w:val="0"/>
        <w:spacing w:after="0" w:line="276" w:lineRule="auto"/>
        <w:jc w:val="both"/>
        <w:rPr>
          <w:rFonts w:ascii="Verdana" w:eastAsia="Calibri" w:hAnsi="Verdana"/>
          <w:lang w:val="es-ES_tradnl"/>
        </w:rPr>
      </w:pPr>
    </w:p>
    <w:p w14:paraId="4FCCDEA8" w14:textId="77777777" w:rsidR="00441178" w:rsidRPr="00881D8B" w:rsidRDefault="00441178" w:rsidP="00441178">
      <w:pPr>
        <w:widowControl w:val="0"/>
        <w:autoSpaceDE w:val="0"/>
        <w:autoSpaceDN w:val="0"/>
        <w:spacing w:after="0" w:line="276" w:lineRule="auto"/>
        <w:jc w:val="both"/>
        <w:rPr>
          <w:rFonts w:ascii="Verdana" w:eastAsia="Calibri" w:hAnsi="Verdana"/>
          <w:lang w:val="es-ES_tradnl"/>
        </w:rPr>
      </w:pPr>
      <w:hyperlink r:id="rId15" w:history="1">
        <w:r w:rsidRPr="00881D8B">
          <w:rPr>
            <w:rStyle w:val="Hipervnculo"/>
            <w:rFonts w:ascii="Verdana" w:eastAsia="Calibri" w:hAnsi="Verdana"/>
            <w:lang w:val="es-ES_tradnl"/>
          </w:rPr>
          <w:t>https://relatoria.colombiacompra.gov.co/busqueda/conceptos</w:t>
        </w:r>
      </w:hyperlink>
      <w:r w:rsidRPr="00881D8B">
        <w:rPr>
          <w:rFonts w:ascii="Verdana" w:eastAsia="Calibri" w:hAnsi="Verdana"/>
          <w:lang w:val="es-ES_tradnl"/>
        </w:rPr>
        <w:t xml:space="preserve">. </w:t>
      </w:r>
    </w:p>
    <w:p w14:paraId="0186A6F4" w14:textId="77777777" w:rsidR="00441178" w:rsidRPr="00881D8B" w:rsidRDefault="00441178" w:rsidP="00441178">
      <w:pPr>
        <w:widowControl w:val="0"/>
        <w:autoSpaceDE w:val="0"/>
        <w:autoSpaceDN w:val="0"/>
        <w:spacing w:after="0" w:line="276" w:lineRule="auto"/>
        <w:jc w:val="both"/>
        <w:rPr>
          <w:rFonts w:ascii="Verdana" w:eastAsia="Calibri" w:hAnsi="Verdana"/>
          <w:lang w:val="es-ES_tradnl"/>
        </w:rPr>
      </w:pPr>
    </w:p>
    <w:p w14:paraId="25BFA2E7" w14:textId="77777777" w:rsidR="00441178" w:rsidRPr="00881D8B" w:rsidRDefault="00441178" w:rsidP="00441178">
      <w:pPr>
        <w:widowControl w:val="0"/>
        <w:autoSpaceDE w:val="0"/>
        <w:autoSpaceDN w:val="0"/>
        <w:spacing w:after="0" w:line="276" w:lineRule="auto"/>
        <w:jc w:val="both"/>
        <w:rPr>
          <w:rFonts w:ascii="Verdana" w:eastAsia="Calibri" w:hAnsi="Verdana" w:cs="Arial"/>
          <w:lang w:val="es-ES_tradnl"/>
        </w:rPr>
      </w:pPr>
      <w:r w:rsidRPr="00881D8B">
        <w:rPr>
          <w:rFonts w:ascii="Verdana" w:eastAsia="Calibri" w:hAnsi="Verdana" w:cs="Arial"/>
          <w:lang w:val="es-ES_tradnl"/>
        </w:rPr>
        <w:t xml:space="preserve">También le invitamos a consultar las versiones I y II de 2024 del Boletín de </w:t>
      </w:r>
      <w:r w:rsidRPr="00881D8B">
        <w:rPr>
          <w:rFonts w:ascii="Verdana" w:eastAsia="Calibri" w:hAnsi="Verdana" w:cs="Arial"/>
          <w:lang w:val="es-ES_tradnl"/>
        </w:rPr>
        <w:lastRenderedPageBreak/>
        <w:t xml:space="preserve">Relatoría de la Subdirección de Gestión Contractual, las cuales puede descargar en la página web de la Agencia: </w:t>
      </w:r>
      <w:hyperlink r:id="rId16" w:history="1">
        <w:r w:rsidRPr="00881D8B">
          <w:rPr>
            <w:rFonts w:ascii="Verdana" w:eastAsia="Calibri" w:hAnsi="Verdana" w:cs="Arial"/>
            <w:lang w:val="es-ES_tradnl"/>
          </w:rPr>
          <w:t>https://www.colombiacompra.gov.co/sala-de-prensa/boletin-digital</w:t>
        </w:r>
      </w:hyperlink>
      <w:r w:rsidRPr="00881D8B">
        <w:rPr>
          <w:rFonts w:ascii="Verdana" w:eastAsia="Calibri" w:hAnsi="Verdana" w:cs="Arial"/>
          <w:lang w:val="es-ES_tradnl"/>
        </w:rPr>
        <w:t xml:space="preserve">      </w:t>
      </w:r>
    </w:p>
    <w:p w14:paraId="43D93D9A" w14:textId="77777777" w:rsidR="00441178" w:rsidRPr="00881D8B" w:rsidRDefault="00441178" w:rsidP="00441178">
      <w:pPr>
        <w:widowControl w:val="0"/>
        <w:autoSpaceDE w:val="0"/>
        <w:autoSpaceDN w:val="0"/>
        <w:spacing w:after="0" w:line="276" w:lineRule="auto"/>
        <w:jc w:val="both"/>
        <w:rPr>
          <w:rFonts w:ascii="Verdana" w:eastAsia="Calibri" w:hAnsi="Verdana" w:cs="Arial"/>
          <w:lang w:val="es-ES_tradnl"/>
        </w:rPr>
      </w:pPr>
    </w:p>
    <w:p w14:paraId="001D1F71" w14:textId="77777777" w:rsidR="00441178" w:rsidRPr="00881D8B" w:rsidRDefault="00441178" w:rsidP="00441178">
      <w:pPr>
        <w:spacing w:after="0" w:line="276" w:lineRule="auto"/>
        <w:jc w:val="both"/>
        <w:rPr>
          <w:rFonts w:ascii="Verdana" w:eastAsia="Calibri" w:hAnsi="Verdana" w:cs="Arial"/>
          <w:lang w:val="es-ES_tradnl"/>
        </w:rPr>
      </w:pPr>
      <w:r w:rsidRPr="00881D8B">
        <w:rPr>
          <w:rFonts w:ascii="Verdana" w:eastAsia="Calibri" w:hAnsi="Verdana" w:cs="Arial"/>
          <w:lang w:val="es-ES_tradnl"/>
        </w:rPr>
        <w:t xml:space="preserve">Por último, lo invitamos a seguirnos en las redes sociales en las cuales se difunde información institucional: </w:t>
      </w:r>
    </w:p>
    <w:p w14:paraId="784BEFCA" w14:textId="77777777" w:rsidR="00441178" w:rsidRPr="00881D8B" w:rsidRDefault="00441178" w:rsidP="00441178">
      <w:pPr>
        <w:spacing w:after="0" w:line="276" w:lineRule="auto"/>
        <w:jc w:val="both"/>
        <w:rPr>
          <w:rFonts w:ascii="Verdana" w:eastAsia="Calibri" w:hAnsi="Verdana" w:cs="Arial"/>
          <w:lang w:val="es-ES_tradnl"/>
        </w:rPr>
      </w:pPr>
    </w:p>
    <w:p w14:paraId="143B0C00" w14:textId="77777777" w:rsidR="00441178" w:rsidRPr="00881D8B" w:rsidRDefault="00441178" w:rsidP="00441178">
      <w:pPr>
        <w:spacing w:after="0" w:line="276" w:lineRule="auto"/>
        <w:jc w:val="both"/>
        <w:rPr>
          <w:rFonts w:ascii="Verdana" w:eastAsia="Calibri" w:hAnsi="Verdana" w:cs="Arial"/>
          <w:lang w:val="es-ES_tradnl"/>
        </w:rPr>
      </w:pPr>
      <w:r w:rsidRPr="00881D8B">
        <w:rPr>
          <w:rFonts w:ascii="Verdana" w:eastAsia="Calibri" w:hAnsi="Verdana" w:cs="Arial"/>
          <w:lang w:val="es-ES_tradnl"/>
        </w:rPr>
        <w:t xml:space="preserve">Twitter: @colombiacompra </w:t>
      </w:r>
    </w:p>
    <w:p w14:paraId="3848285A" w14:textId="77777777" w:rsidR="00441178" w:rsidRPr="00881D8B" w:rsidRDefault="00441178" w:rsidP="00441178">
      <w:pPr>
        <w:spacing w:after="0" w:line="276" w:lineRule="auto"/>
        <w:jc w:val="both"/>
        <w:rPr>
          <w:rFonts w:ascii="Verdana" w:eastAsia="Calibri" w:hAnsi="Verdana" w:cs="Arial"/>
          <w:lang w:val="es-ES"/>
        </w:rPr>
      </w:pPr>
      <w:r w:rsidRPr="3987467E">
        <w:rPr>
          <w:rFonts w:ascii="Verdana" w:eastAsia="Calibri" w:hAnsi="Verdana" w:cs="Arial"/>
          <w:lang w:val="es-ES"/>
        </w:rPr>
        <w:t>Facebook: ColombiaCompraEficiente</w:t>
      </w:r>
    </w:p>
    <w:p w14:paraId="4340E20E" w14:textId="77777777" w:rsidR="00441178" w:rsidRPr="00881D8B" w:rsidRDefault="00441178" w:rsidP="00441178">
      <w:pPr>
        <w:spacing w:after="0" w:line="276" w:lineRule="auto"/>
        <w:jc w:val="both"/>
        <w:rPr>
          <w:rFonts w:ascii="Verdana" w:eastAsia="Calibri" w:hAnsi="Verdana" w:cs="Arial"/>
          <w:lang w:val="es-ES_tradnl"/>
        </w:rPr>
      </w:pPr>
      <w:r w:rsidRPr="00881D8B">
        <w:rPr>
          <w:rFonts w:ascii="Verdana" w:eastAsia="Calibri" w:hAnsi="Verdana" w:cs="Arial"/>
          <w:lang w:val="es-ES_tradnl"/>
        </w:rPr>
        <w:t>LinkedIn: Agencia Nacional de Contratación Pública - Colombia Compra Eficiente Instagram: @colombiacompraeficiente_cce</w:t>
      </w:r>
    </w:p>
    <w:p w14:paraId="2B2D195D" w14:textId="77777777" w:rsidR="00441178" w:rsidRPr="00881D8B" w:rsidRDefault="00441178" w:rsidP="00441178">
      <w:pPr>
        <w:widowControl w:val="0"/>
        <w:autoSpaceDE w:val="0"/>
        <w:autoSpaceDN w:val="0"/>
        <w:spacing w:after="0" w:line="276" w:lineRule="auto"/>
        <w:jc w:val="both"/>
        <w:rPr>
          <w:rFonts w:ascii="Verdana" w:eastAsia="Calibri" w:hAnsi="Verdana" w:cs="Arial"/>
          <w:lang w:val="es-ES_tradnl"/>
        </w:rPr>
      </w:pPr>
    </w:p>
    <w:p w14:paraId="7C32DC4C" w14:textId="77777777" w:rsidR="00441178" w:rsidRPr="00881D8B" w:rsidRDefault="00441178" w:rsidP="00441178">
      <w:pPr>
        <w:widowControl w:val="0"/>
        <w:autoSpaceDE w:val="0"/>
        <w:autoSpaceDN w:val="0"/>
        <w:spacing w:after="0" w:line="276" w:lineRule="auto"/>
        <w:jc w:val="both"/>
        <w:rPr>
          <w:rFonts w:ascii="Verdana" w:hAnsi="Verdana" w:cs="Arial"/>
          <w:lang w:val="es-ES_tradnl"/>
        </w:rPr>
      </w:pPr>
      <w:r w:rsidRPr="00881D8B">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881D8B">
        <w:rPr>
          <w:rFonts w:ascii="Verdana" w:hAnsi="Verdana" w:cs="Arial"/>
          <w:lang w:val="es-ES_tradnl"/>
        </w:rPr>
        <w:t>2 de 2015.</w:t>
      </w:r>
    </w:p>
    <w:p w14:paraId="463A55CE" w14:textId="77777777" w:rsidR="00441178" w:rsidRPr="00881D8B" w:rsidRDefault="00441178" w:rsidP="00441178">
      <w:pPr>
        <w:widowControl w:val="0"/>
        <w:autoSpaceDE w:val="0"/>
        <w:autoSpaceDN w:val="0"/>
        <w:spacing w:after="0" w:line="276" w:lineRule="auto"/>
        <w:jc w:val="both"/>
        <w:rPr>
          <w:rFonts w:ascii="Verdana" w:hAnsi="Verdana" w:cs="Arial"/>
        </w:rPr>
      </w:pPr>
    </w:p>
    <w:p w14:paraId="46FAA5F7" w14:textId="77777777" w:rsidR="00441178" w:rsidRPr="00881D8B" w:rsidRDefault="00441178" w:rsidP="00441178">
      <w:pPr>
        <w:spacing w:after="0" w:line="276" w:lineRule="auto"/>
        <w:rPr>
          <w:rFonts w:ascii="Verdana" w:hAnsi="Verdana" w:cs="Arial"/>
          <w:lang w:eastAsia="es-CO"/>
        </w:rPr>
      </w:pPr>
      <w:r w:rsidRPr="00881D8B">
        <w:rPr>
          <w:rFonts w:ascii="Verdana" w:eastAsia="Times New Roman" w:hAnsi="Verdana" w:cs="Arial"/>
          <w:lang w:eastAsia="es-CO"/>
        </w:rPr>
        <w:t>Atentamente,</w:t>
      </w:r>
      <w:r w:rsidRPr="00881D8B">
        <w:rPr>
          <w:rFonts w:ascii="Verdana" w:hAnsi="Verdana" w:cs="Arial"/>
          <w:lang w:eastAsia="es-CO"/>
        </w:rPr>
        <w:t xml:space="preserve"> </w:t>
      </w:r>
    </w:p>
    <w:p w14:paraId="18BDBE50" w14:textId="77777777" w:rsidR="00441178" w:rsidRPr="00881D8B" w:rsidRDefault="00441178" w:rsidP="00441178">
      <w:pPr>
        <w:spacing w:line="276" w:lineRule="auto"/>
        <w:rPr>
          <w:rFonts w:ascii="Verdana" w:hAnsi="Verdana"/>
          <w:noProof/>
          <w:lang w:val="es-ES_tradnl" w:eastAsia="es-CO"/>
        </w:rPr>
      </w:pPr>
    </w:p>
    <w:p w14:paraId="423AC4C6" w14:textId="2C05380D" w:rsidR="00441178" w:rsidRPr="00881D8B" w:rsidRDefault="00D951AD" w:rsidP="00441178">
      <w:pPr>
        <w:spacing w:line="276" w:lineRule="auto"/>
        <w:jc w:val="center"/>
        <w:rPr>
          <w:rFonts w:ascii="Verdana" w:hAnsi="Verdana" w:cs="Arial"/>
          <w:lang w:val="es-ES_tradnl" w:eastAsia="es-CO"/>
        </w:rPr>
      </w:pPr>
      <w:r w:rsidRPr="0065791A">
        <w:rPr>
          <w:rFonts w:ascii="Century Gothic" w:hAnsi="Century Gothic"/>
          <w:noProof/>
        </w:rPr>
        <w:drawing>
          <wp:inline distT="0" distB="0" distL="0" distR="0" wp14:anchorId="5F442768" wp14:editId="54A8B512">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7"/>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41178" w:rsidRPr="00881D8B" w14:paraId="4354B379" w14:textId="77777777" w:rsidTr="00C65060">
        <w:trPr>
          <w:trHeight w:val="315"/>
        </w:trPr>
        <w:tc>
          <w:tcPr>
            <w:tcW w:w="893" w:type="dxa"/>
            <w:vAlign w:val="center"/>
            <w:hideMark/>
          </w:tcPr>
          <w:p w14:paraId="639BC53B" w14:textId="77777777" w:rsidR="00441178" w:rsidRPr="00881D8B" w:rsidRDefault="00441178" w:rsidP="00C65060">
            <w:pPr>
              <w:spacing w:line="276" w:lineRule="auto"/>
              <w:contextualSpacing/>
              <w:rPr>
                <w:rFonts w:ascii="Verdana" w:eastAsia="Calibri" w:hAnsi="Verdana" w:cs="Arial"/>
                <w:sz w:val="16"/>
                <w:szCs w:val="16"/>
                <w:lang w:val="es-ES_tradnl"/>
              </w:rPr>
            </w:pPr>
            <w:r w:rsidRPr="00881D8B">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69EA5873" w14:textId="77777777" w:rsidR="00441178" w:rsidRPr="00881D8B" w:rsidRDefault="00441178" w:rsidP="00C65060">
            <w:pPr>
              <w:spacing w:line="276" w:lineRule="auto"/>
              <w:contextualSpacing/>
              <w:rPr>
                <w:rFonts w:ascii="Verdana" w:eastAsia="Calibri" w:hAnsi="Verdana" w:cs="Arial"/>
                <w:sz w:val="16"/>
                <w:szCs w:val="16"/>
                <w:lang w:val="es-ES_tradnl"/>
              </w:rPr>
            </w:pPr>
            <w:r w:rsidRPr="00881D8B">
              <w:rPr>
                <w:rFonts w:ascii="Verdana" w:eastAsia="Calibri" w:hAnsi="Verdana" w:cs="Arial"/>
                <w:sz w:val="16"/>
                <w:szCs w:val="16"/>
                <w:lang w:val="es-ES_tradnl"/>
              </w:rPr>
              <w:t xml:space="preserve">María Valeska Medellín Mora </w:t>
            </w:r>
          </w:p>
          <w:p w14:paraId="5E5022D2" w14:textId="77777777" w:rsidR="00441178" w:rsidRPr="00881D8B" w:rsidRDefault="00441178" w:rsidP="00C65060">
            <w:pPr>
              <w:spacing w:line="276" w:lineRule="auto"/>
              <w:contextualSpacing/>
              <w:rPr>
                <w:rFonts w:ascii="Verdana" w:eastAsia="Calibri" w:hAnsi="Verdana" w:cs="Arial"/>
                <w:sz w:val="16"/>
                <w:szCs w:val="16"/>
                <w:lang w:val="es-ES_tradnl"/>
              </w:rPr>
            </w:pPr>
            <w:r w:rsidRPr="00881D8B">
              <w:rPr>
                <w:rFonts w:ascii="Verdana" w:eastAsia="Calibri" w:hAnsi="Verdana" w:cs="Arial"/>
                <w:sz w:val="16"/>
                <w:szCs w:val="16"/>
                <w:lang w:val="es-ES_tradnl"/>
              </w:rPr>
              <w:t>Gestor T1-15</w:t>
            </w:r>
            <w:r w:rsidRPr="00881D8B">
              <w:rPr>
                <w:rFonts w:ascii="Verdana" w:eastAsia="Calibri" w:hAnsi="Verdana"/>
                <w:sz w:val="16"/>
                <w:szCs w:val="16"/>
                <w:lang w:val="es-ES_tradnl"/>
              </w:rPr>
              <w:t xml:space="preserve"> de la Subdirección de Gestión Contractual</w:t>
            </w:r>
          </w:p>
        </w:tc>
      </w:tr>
      <w:tr w:rsidR="00441178" w:rsidRPr="00881D8B" w14:paraId="5FE88EF3" w14:textId="77777777" w:rsidTr="00C65060">
        <w:trPr>
          <w:trHeight w:val="330"/>
        </w:trPr>
        <w:tc>
          <w:tcPr>
            <w:tcW w:w="893" w:type="dxa"/>
            <w:vAlign w:val="center"/>
            <w:hideMark/>
          </w:tcPr>
          <w:p w14:paraId="2375F2FD" w14:textId="77777777" w:rsidR="00441178" w:rsidRPr="00881D8B" w:rsidRDefault="00441178" w:rsidP="00C65060">
            <w:pPr>
              <w:spacing w:line="276" w:lineRule="auto"/>
              <w:contextualSpacing/>
              <w:rPr>
                <w:rFonts w:ascii="Verdana" w:eastAsia="Calibri" w:hAnsi="Verdana" w:cs="Arial"/>
                <w:sz w:val="16"/>
                <w:szCs w:val="16"/>
                <w:lang w:val="es-ES_tradnl"/>
              </w:rPr>
            </w:pPr>
            <w:r w:rsidRPr="00881D8B">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EF79911" w14:textId="77777777" w:rsidR="00441178" w:rsidRPr="00881D8B" w:rsidRDefault="00441178" w:rsidP="00C65060">
            <w:pPr>
              <w:pStyle w:val="paragraph"/>
              <w:spacing w:before="0" w:beforeAutospacing="0" w:after="0" w:afterAutospacing="0" w:line="276" w:lineRule="auto"/>
              <w:contextualSpacing/>
              <w:textAlignment w:val="baseline"/>
              <w:rPr>
                <w:rFonts w:ascii="Verdana" w:eastAsia="Calibri" w:hAnsi="Verdana" w:cs="Arial"/>
                <w:sz w:val="16"/>
                <w:szCs w:val="16"/>
                <w:lang w:val="es-ES_tradnl" w:eastAsia="en-US"/>
              </w:rPr>
            </w:pPr>
            <w:r w:rsidRPr="00881D8B">
              <w:rPr>
                <w:rFonts w:ascii="Verdana" w:eastAsia="Calibri" w:hAnsi="Verdana" w:cs="Arial"/>
                <w:sz w:val="16"/>
                <w:szCs w:val="16"/>
                <w:lang w:val="es-ES_tradnl" w:eastAsia="en-US"/>
              </w:rPr>
              <w:t>Adriana Katerine Lopez Rodriguez</w:t>
            </w:r>
          </w:p>
          <w:p w14:paraId="7BB8141D" w14:textId="77777777" w:rsidR="00441178" w:rsidRPr="00881D8B" w:rsidRDefault="00441178" w:rsidP="00C65060">
            <w:pPr>
              <w:pStyle w:val="paragraph"/>
              <w:spacing w:before="0" w:beforeAutospacing="0" w:after="0" w:afterAutospacing="0" w:line="276" w:lineRule="auto"/>
              <w:contextualSpacing/>
              <w:textAlignment w:val="baseline"/>
              <w:rPr>
                <w:rFonts w:ascii="Verdana" w:eastAsia="Calibri" w:hAnsi="Verdana" w:cs="Arial"/>
                <w:sz w:val="16"/>
                <w:szCs w:val="16"/>
                <w:lang w:val="es-ES_tradnl" w:eastAsia="en-US"/>
              </w:rPr>
            </w:pPr>
            <w:r w:rsidRPr="00881D8B">
              <w:rPr>
                <w:rFonts w:ascii="Verdana" w:eastAsia="Calibri" w:hAnsi="Verdana"/>
                <w:sz w:val="16"/>
                <w:szCs w:val="16"/>
                <w:lang w:val="es-ES_tradnl" w:eastAsia="en-US"/>
              </w:rPr>
              <w:t>Contratista de la Subdirección de Gestión Contractual </w:t>
            </w:r>
          </w:p>
        </w:tc>
      </w:tr>
      <w:tr w:rsidR="00441178" w:rsidRPr="00881D8B" w14:paraId="7223940B" w14:textId="77777777" w:rsidTr="00C65060">
        <w:trPr>
          <w:trHeight w:val="300"/>
        </w:trPr>
        <w:tc>
          <w:tcPr>
            <w:tcW w:w="893" w:type="dxa"/>
            <w:vAlign w:val="center"/>
          </w:tcPr>
          <w:p w14:paraId="77C0E833" w14:textId="77777777" w:rsidR="00441178" w:rsidRPr="00881D8B" w:rsidRDefault="00441178" w:rsidP="00C65060">
            <w:pPr>
              <w:spacing w:line="276" w:lineRule="auto"/>
              <w:contextualSpacing/>
              <w:rPr>
                <w:rFonts w:ascii="Verdana" w:eastAsia="Calibri" w:hAnsi="Verdana" w:cs="Arial"/>
                <w:sz w:val="16"/>
                <w:szCs w:val="16"/>
                <w:lang w:val="es-ES_tradnl"/>
              </w:rPr>
            </w:pPr>
            <w:r w:rsidRPr="00881D8B">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E98EA42" w14:textId="77777777" w:rsidR="00441178" w:rsidRPr="00881D8B" w:rsidRDefault="00441178" w:rsidP="00C65060">
            <w:pPr>
              <w:spacing w:line="276" w:lineRule="auto"/>
              <w:contextualSpacing/>
              <w:rPr>
                <w:rFonts w:ascii="Verdana" w:eastAsia="Calibri" w:hAnsi="Verdana" w:cs="Arial"/>
                <w:sz w:val="16"/>
                <w:szCs w:val="16"/>
                <w:lang w:val="es-ES_tradnl"/>
              </w:rPr>
            </w:pPr>
            <w:r w:rsidRPr="00881D8B">
              <w:rPr>
                <w:rFonts w:ascii="Verdana" w:eastAsia="Calibri" w:hAnsi="Verdana" w:cs="Arial"/>
                <w:sz w:val="16"/>
                <w:szCs w:val="16"/>
                <w:lang w:val="es-ES_tradnl"/>
              </w:rPr>
              <w:t>Carolina Quintero Gacharná</w:t>
            </w:r>
          </w:p>
          <w:p w14:paraId="0B5FB807" w14:textId="77777777" w:rsidR="00441178" w:rsidRPr="00881D8B" w:rsidRDefault="00441178" w:rsidP="00C65060">
            <w:pPr>
              <w:spacing w:line="276" w:lineRule="auto"/>
              <w:contextualSpacing/>
              <w:rPr>
                <w:rFonts w:ascii="Verdana" w:eastAsia="Calibri" w:hAnsi="Verdana" w:cs="Arial"/>
                <w:sz w:val="16"/>
                <w:szCs w:val="16"/>
                <w:lang w:val="es-ES_tradnl"/>
              </w:rPr>
            </w:pPr>
            <w:r w:rsidRPr="00881D8B">
              <w:rPr>
                <w:rFonts w:ascii="Verdana" w:eastAsia="Calibri" w:hAnsi="Verdana" w:cs="Arial"/>
                <w:sz w:val="16"/>
                <w:szCs w:val="16"/>
                <w:lang w:val="es-ES_tradnl"/>
              </w:rPr>
              <w:t>Subdirectora de Gestión Contractual ANCP – CCE</w:t>
            </w:r>
          </w:p>
        </w:tc>
      </w:tr>
    </w:tbl>
    <w:p w14:paraId="59F37057" w14:textId="77777777" w:rsidR="00441178" w:rsidRPr="00881D8B" w:rsidRDefault="00441178" w:rsidP="00441178">
      <w:pPr>
        <w:spacing w:after="0" w:line="276" w:lineRule="auto"/>
        <w:rPr>
          <w:rFonts w:ascii="Verdana" w:eastAsia="Times New Roman" w:hAnsi="Verdana" w:cs="Arial"/>
          <w:sz w:val="24"/>
          <w:szCs w:val="24"/>
          <w:lang w:eastAsia="es-ES"/>
        </w:rPr>
      </w:pPr>
    </w:p>
    <w:p w14:paraId="6B29ADAB" w14:textId="77777777" w:rsidR="00441178" w:rsidRPr="00881D8B" w:rsidRDefault="00441178" w:rsidP="00441178">
      <w:pPr>
        <w:spacing w:line="276" w:lineRule="auto"/>
        <w:rPr>
          <w:rFonts w:ascii="Verdana" w:hAnsi="Verdana"/>
        </w:rPr>
      </w:pPr>
    </w:p>
    <w:p w14:paraId="38F860D3" w14:textId="77777777" w:rsidR="00441178" w:rsidRPr="00881D8B" w:rsidRDefault="00441178" w:rsidP="00441178">
      <w:pPr>
        <w:spacing w:after="0" w:line="276" w:lineRule="auto"/>
        <w:jc w:val="both"/>
        <w:rPr>
          <w:rFonts w:ascii="Verdana" w:hAnsi="Verdana"/>
        </w:rPr>
      </w:pPr>
    </w:p>
    <w:bookmarkEnd w:id="1"/>
    <w:p w14:paraId="2BA7411E" w14:textId="77777777" w:rsidR="00441178" w:rsidRPr="00881D8B" w:rsidRDefault="00441178" w:rsidP="00441178">
      <w:pPr>
        <w:spacing w:line="276" w:lineRule="auto"/>
        <w:rPr>
          <w:rFonts w:ascii="Verdana" w:hAnsi="Verdana"/>
        </w:rPr>
      </w:pPr>
    </w:p>
    <w:p w14:paraId="4A79D3CB" w14:textId="77777777" w:rsidR="00441178" w:rsidRPr="0044528D" w:rsidRDefault="00441178" w:rsidP="00441178">
      <w:pPr>
        <w:spacing w:after="0"/>
        <w:rPr>
          <w:rFonts w:ascii="Verdana" w:hAnsi="Verdana"/>
        </w:rPr>
      </w:pPr>
    </w:p>
    <w:p w14:paraId="3EBEFFEB" w14:textId="77777777" w:rsidR="00441178" w:rsidRPr="0044528D" w:rsidRDefault="00441178" w:rsidP="00441178">
      <w:pPr>
        <w:spacing w:after="0"/>
        <w:rPr>
          <w:rFonts w:ascii="Verdana" w:hAnsi="Verdana"/>
        </w:rPr>
      </w:pPr>
    </w:p>
    <w:p w14:paraId="406CA6CC" w14:textId="77777777" w:rsidR="00441178" w:rsidRPr="0044528D" w:rsidRDefault="00441178" w:rsidP="00441178">
      <w:pPr>
        <w:spacing w:after="0"/>
        <w:jc w:val="both"/>
        <w:rPr>
          <w:rStyle w:val="Hipervnculo"/>
          <w:rFonts w:ascii="Verdana" w:hAnsi="Verdana"/>
        </w:rPr>
      </w:pPr>
    </w:p>
    <w:p w14:paraId="2347C471" w14:textId="77777777" w:rsidR="00441178" w:rsidRPr="0044528D" w:rsidRDefault="00441178" w:rsidP="00441178">
      <w:pPr>
        <w:spacing w:after="0"/>
        <w:jc w:val="both"/>
        <w:rPr>
          <w:rStyle w:val="Hipervnculo"/>
          <w:rFonts w:ascii="Verdana" w:hAnsi="Verdana"/>
        </w:rPr>
      </w:pPr>
    </w:p>
    <w:p w14:paraId="1347DED9" w14:textId="77777777" w:rsidR="00441178" w:rsidRPr="0044528D" w:rsidRDefault="00441178" w:rsidP="00441178">
      <w:pPr>
        <w:spacing w:after="0"/>
        <w:jc w:val="both"/>
        <w:rPr>
          <w:rStyle w:val="Hipervnculo"/>
          <w:rFonts w:ascii="Verdana" w:hAnsi="Verdana"/>
        </w:rPr>
      </w:pPr>
    </w:p>
    <w:bookmarkEnd w:id="0"/>
    <w:p w14:paraId="473CDC5C" w14:textId="77777777" w:rsidR="00441178" w:rsidRPr="0044528D" w:rsidRDefault="00441178" w:rsidP="00441178">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04DE91BD" w14:textId="77777777" w:rsidR="00441178" w:rsidRPr="0044528D" w:rsidRDefault="00441178" w:rsidP="00441178">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404040"/>
          <w:lang w:eastAsia="es-CO"/>
        </w:rPr>
        <w:t> </w:t>
      </w:r>
    </w:p>
    <w:p w14:paraId="6989AABE" w14:textId="77777777" w:rsidR="00441178" w:rsidRPr="0044528D" w:rsidRDefault="00441178" w:rsidP="00441178">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404040"/>
          <w:lang w:eastAsia="es-CO"/>
        </w:rPr>
        <w:t> </w:t>
      </w:r>
    </w:p>
    <w:p w14:paraId="616825DF" w14:textId="77777777" w:rsidR="00441178" w:rsidRPr="0044528D" w:rsidRDefault="00441178" w:rsidP="00441178">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7381B699" w14:textId="77777777" w:rsidR="00441178" w:rsidRPr="0044528D" w:rsidRDefault="00441178" w:rsidP="00441178">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5246FC93" w14:textId="77777777" w:rsidR="00441178" w:rsidRPr="0044528D" w:rsidRDefault="00441178" w:rsidP="00441178">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085469F3" w14:textId="77777777" w:rsidR="00441178" w:rsidRPr="0044528D" w:rsidRDefault="00441178" w:rsidP="00441178">
      <w:pPr>
        <w:spacing w:after="0"/>
        <w:jc w:val="both"/>
        <w:rPr>
          <w:rFonts w:ascii="Verdana" w:hAnsi="Verdana"/>
        </w:rPr>
      </w:pPr>
    </w:p>
    <w:p w14:paraId="0083C991" w14:textId="5C765C2F" w:rsidR="5D8505AD" w:rsidRPr="00441178" w:rsidRDefault="5D8505AD" w:rsidP="00441178"/>
    <w:sectPr w:rsidR="5D8505AD" w:rsidRPr="00441178"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97C1A" w14:textId="77777777" w:rsidR="005B56F6" w:rsidRDefault="005B56F6" w:rsidP="00B30448">
      <w:pPr>
        <w:spacing w:after="0" w:line="240" w:lineRule="auto"/>
      </w:pPr>
      <w:r>
        <w:separator/>
      </w:r>
    </w:p>
  </w:endnote>
  <w:endnote w:type="continuationSeparator" w:id="0">
    <w:p w14:paraId="0A35F32C" w14:textId="77777777" w:rsidR="005B56F6" w:rsidRDefault="005B56F6" w:rsidP="00B30448">
      <w:pPr>
        <w:spacing w:after="0" w:line="240" w:lineRule="auto"/>
      </w:pPr>
      <w:r>
        <w:continuationSeparator/>
      </w:r>
    </w:p>
  </w:endnote>
  <w:endnote w:type="continuationNotice" w:id="1">
    <w:p w14:paraId="738FAFD7" w14:textId="77777777" w:rsidR="005B56F6" w:rsidRDefault="005B56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0B0686" w14:textId="77777777" w:rsidR="005B56F6" w:rsidRDefault="005B56F6" w:rsidP="00B30448">
      <w:pPr>
        <w:spacing w:after="0" w:line="240" w:lineRule="auto"/>
      </w:pPr>
      <w:r>
        <w:separator/>
      </w:r>
    </w:p>
  </w:footnote>
  <w:footnote w:type="continuationSeparator" w:id="0">
    <w:p w14:paraId="28979403" w14:textId="77777777" w:rsidR="005B56F6" w:rsidRDefault="005B56F6" w:rsidP="00B30448">
      <w:pPr>
        <w:spacing w:after="0" w:line="240" w:lineRule="auto"/>
      </w:pPr>
      <w:r>
        <w:continuationSeparator/>
      </w:r>
    </w:p>
  </w:footnote>
  <w:footnote w:type="continuationNotice" w:id="1">
    <w:p w14:paraId="16EB61CE" w14:textId="77777777" w:rsidR="005B56F6" w:rsidRDefault="005B56F6">
      <w:pPr>
        <w:spacing w:after="0" w:line="240" w:lineRule="auto"/>
      </w:pPr>
    </w:p>
  </w:footnote>
  <w:footnote w:id="2">
    <w:p w14:paraId="562804E3" w14:textId="77777777" w:rsidR="00441178" w:rsidRPr="00CF4066" w:rsidRDefault="00441178" w:rsidP="00441178">
      <w:pPr>
        <w:pStyle w:val="Textonotapie"/>
        <w:ind w:firstLine="708"/>
        <w:jc w:val="both"/>
        <w:rPr>
          <w:rFonts w:ascii="Century Gothic" w:hAnsi="Century Gothic" w:cs="Arial"/>
          <w:sz w:val="14"/>
          <w:szCs w:val="14"/>
        </w:rPr>
      </w:pPr>
      <w:r w:rsidRPr="00CF4066">
        <w:rPr>
          <w:rStyle w:val="Refdenotaalpie"/>
          <w:rFonts w:ascii="Century Gothic" w:hAnsi="Century Gothic" w:cs="Arial"/>
          <w:sz w:val="14"/>
          <w:szCs w:val="14"/>
        </w:rPr>
        <w:footnoteRef/>
      </w:r>
      <w:r w:rsidRPr="00CF4066">
        <w:rPr>
          <w:rFonts w:ascii="Century Gothic" w:hAnsi="Century Gothic" w:cs="Arial"/>
          <w:sz w:val="14"/>
          <w:szCs w:val="14"/>
        </w:rPr>
        <w:t xml:space="preserve"> Con el simple registro en el enlace: </w:t>
      </w:r>
      <w:hyperlink r:id="rId1" w:history="1">
        <w:r w:rsidRPr="00CF4066">
          <w:rPr>
            <w:rStyle w:val="Hipervnculo"/>
            <w:rFonts w:ascii="Century Gothic" w:hAnsi="Century Gothic" w:cs="Arial"/>
            <w:sz w:val="14"/>
            <w:szCs w:val="14"/>
          </w:rPr>
          <w:t>https://www.libretamilitar.mil.co/Modules/Account/Register</w:t>
        </w:r>
      </w:hyperlink>
      <w:r w:rsidRPr="00CF4066">
        <w:rPr>
          <w:rFonts w:ascii="Century Gothic" w:hAnsi="Century Gothic" w:cs="Arial"/>
          <w:sz w:val="14"/>
          <w:szCs w:val="14"/>
        </w:rPr>
        <w:t xml:space="preserve"> o la asistencia al Batallón más cercano, se entienden realizadas las actuaciones tendientes a definir su situación militar. </w:t>
      </w:r>
    </w:p>
  </w:footnote>
  <w:footnote w:id="3">
    <w:p w14:paraId="58506C14" w14:textId="77777777" w:rsidR="00441178" w:rsidRPr="00CF4066" w:rsidRDefault="00441178" w:rsidP="00441178">
      <w:pPr>
        <w:pStyle w:val="Textonotapie"/>
        <w:ind w:firstLine="708"/>
        <w:contextualSpacing/>
        <w:jc w:val="both"/>
        <w:rPr>
          <w:rFonts w:ascii="Century Gothic" w:hAnsi="Century Gothic" w:cs="Arial"/>
          <w:color w:val="000000" w:themeColor="text1"/>
          <w:sz w:val="14"/>
          <w:szCs w:val="14"/>
        </w:rPr>
      </w:pPr>
      <w:r w:rsidRPr="00CF4066">
        <w:rPr>
          <w:rStyle w:val="Refdenotaalpie"/>
          <w:rFonts w:ascii="Century Gothic" w:hAnsi="Century Gothic" w:cs="Arial"/>
          <w:sz w:val="14"/>
          <w:szCs w:val="14"/>
        </w:rPr>
        <w:footnoteRef/>
      </w:r>
      <w:r w:rsidRPr="00CF4066">
        <w:rPr>
          <w:rFonts w:ascii="Century Gothic" w:hAnsi="Century Gothic" w:cs="Arial"/>
          <w:sz w:val="14"/>
          <w:szCs w:val="14"/>
        </w:rPr>
        <w:t xml:space="preserve"> </w:t>
      </w:r>
      <w:r w:rsidRPr="00CF4066">
        <w:rPr>
          <w:rFonts w:ascii="Century Gothic" w:hAnsi="Century Gothic" w:cs="Arial"/>
          <w:color w:val="000000" w:themeColor="text1"/>
          <w:sz w:val="14"/>
          <w:szCs w:val="14"/>
        </w:rPr>
        <w:t>Artículo 17 de la Ley 1861 de 2017.</w:t>
      </w:r>
    </w:p>
    <w:p w14:paraId="204F1F86" w14:textId="77777777" w:rsidR="00441178" w:rsidRPr="00CF4066" w:rsidRDefault="00441178" w:rsidP="00441178">
      <w:pPr>
        <w:pStyle w:val="Textonotapie"/>
        <w:ind w:firstLine="708"/>
        <w:contextualSpacing/>
        <w:jc w:val="both"/>
        <w:rPr>
          <w:rFonts w:ascii="Century Gothic" w:hAnsi="Century Gothic" w:cs="Arial"/>
          <w:sz w:val="14"/>
          <w:szCs w:val="14"/>
          <w:lang w:val="es-CO"/>
        </w:rPr>
      </w:pPr>
    </w:p>
  </w:footnote>
  <w:footnote w:id="4">
    <w:p w14:paraId="16790C82" w14:textId="77777777" w:rsidR="00441178" w:rsidRPr="00CF4066" w:rsidRDefault="00441178" w:rsidP="00441178">
      <w:pPr>
        <w:pStyle w:val="Textonotapie"/>
        <w:ind w:firstLine="708"/>
        <w:contextualSpacing/>
        <w:jc w:val="both"/>
        <w:rPr>
          <w:rFonts w:ascii="Century Gothic" w:hAnsi="Century Gothic" w:cs="Arial"/>
          <w:sz w:val="14"/>
          <w:szCs w:val="14"/>
        </w:rPr>
      </w:pPr>
      <w:r w:rsidRPr="00CF4066">
        <w:rPr>
          <w:rStyle w:val="Refdenotaalpie"/>
          <w:rFonts w:ascii="Century Gothic" w:hAnsi="Century Gothic" w:cs="Arial"/>
          <w:sz w:val="14"/>
          <w:szCs w:val="14"/>
        </w:rPr>
        <w:footnoteRef/>
      </w:r>
      <w:r w:rsidRPr="00CF4066">
        <w:rPr>
          <w:rFonts w:ascii="Century Gothic" w:hAnsi="Century Gothic" w:cs="Arial"/>
          <w:sz w:val="14"/>
          <w:szCs w:val="14"/>
        </w:rPr>
        <w:t xml:space="preserve"> Artículos 26 a 28, </w:t>
      </w:r>
      <w:r w:rsidRPr="00CF4066">
        <w:rPr>
          <w:rFonts w:ascii="Century Gothic" w:hAnsi="Century Gothic" w:cs="Arial"/>
          <w:i/>
          <w:iCs/>
          <w:sz w:val="14"/>
          <w:szCs w:val="14"/>
        </w:rPr>
        <w:t>Ibídem</w:t>
      </w:r>
      <w:r w:rsidRPr="00CF4066">
        <w:rPr>
          <w:rFonts w:ascii="Century Gothic" w:hAnsi="Century Gothic" w:cs="Arial"/>
          <w:sz w:val="14"/>
          <w:szCs w:val="14"/>
        </w:rPr>
        <w:t xml:space="preserve">. </w:t>
      </w:r>
    </w:p>
    <w:p w14:paraId="3CE18CE0" w14:textId="77777777" w:rsidR="00441178" w:rsidRPr="00CF4066" w:rsidRDefault="00441178" w:rsidP="00441178">
      <w:pPr>
        <w:pStyle w:val="Textonotapie"/>
        <w:ind w:firstLine="708"/>
        <w:contextualSpacing/>
        <w:jc w:val="both"/>
        <w:rPr>
          <w:rFonts w:ascii="Century Gothic" w:hAnsi="Century Gothic" w:cs="Arial"/>
          <w:sz w:val="14"/>
          <w:szCs w:val="14"/>
          <w:lang w:val="es-CO"/>
        </w:rPr>
      </w:pPr>
      <w:r w:rsidRPr="00CF4066">
        <w:rPr>
          <w:rFonts w:ascii="Century Gothic" w:hAnsi="Century Gothic" w:cs="Arial"/>
          <w:sz w:val="14"/>
          <w:szCs w:val="14"/>
        </w:rPr>
        <w:t>|</w:t>
      </w:r>
    </w:p>
  </w:footnote>
  <w:footnote w:id="5">
    <w:p w14:paraId="33E64950" w14:textId="77777777" w:rsidR="00441178" w:rsidRPr="00CF4066" w:rsidRDefault="00441178" w:rsidP="00441178">
      <w:pPr>
        <w:ind w:firstLine="709"/>
        <w:contextualSpacing/>
        <w:jc w:val="both"/>
        <w:rPr>
          <w:rFonts w:ascii="Century Gothic" w:hAnsi="Century Gothic" w:cs="Arial"/>
          <w:color w:val="000000"/>
          <w:sz w:val="14"/>
          <w:szCs w:val="14"/>
          <w:lang w:val="es-ES"/>
        </w:rPr>
      </w:pPr>
      <w:r w:rsidRPr="00CF4066">
        <w:rPr>
          <w:rStyle w:val="Refdenotaalpie"/>
          <w:rFonts w:ascii="Century Gothic" w:hAnsi="Century Gothic" w:cs="Arial"/>
          <w:sz w:val="14"/>
          <w:szCs w:val="14"/>
        </w:rPr>
        <w:footnoteRef/>
      </w:r>
      <w:r w:rsidRPr="00CF4066">
        <w:rPr>
          <w:rFonts w:ascii="Century Gothic" w:hAnsi="Century Gothic" w:cs="Arial"/>
          <w:sz w:val="14"/>
          <w:szCs w:val="14"/>
        </w:rPr>
        <w:t xml:space="preserve"> </w:t>
      </w:r>
      <w:r w:rsidRPr="00CF4066">
        <w:rPr>
          <w:rFonts w:ascii="Century Gothic" w:hAnsi="Century Gothic" w:cs="Arial"/>
          <w:color w:val="000000"/>
          <w:sz w:val="14"/>
          <w:szCs w:val="14"/>
          <w:lang w:val="es-ES"/>
        </w:rPr>
        <w:t>“Artículo 40. Documento Público. Las tarjetas de reservista se clasificarán como material reservado adquiriendo el carácter de documento público, una vez hayan sido expedidas legalmente por la respectiva Dirección de Reclutamiento.</w:t>
      </w:r>
    </w:p>
    <w:p w14:paraId="24975708" w14:textId="77777777" w:rsidR="00441178" w:rsidRPr="00CF4066" w:rsidRDefault="00441178" w:rsidP="00441178">
      <w:pPr>
        <w:ind w:firstLine="709"/>
        <w:contextualSpacing/>
        <w:jc w:val="both"/>
        <w:rPr>
          <w:rFonts w:ascii="Century Gothic" w:hAnsi="Century Gothic" w:cs="Arial"/>
          <w:color w:val="000000"/>
          <w:sz w:val="14"/>
          <w:szCs w:val="14"/>
          <w:lang w:val="es-ES"/>
        </w:rPr>
      </w:pPr>
      <w:r w:rsidRPr="00CF4066">
        <w:rPr>
          <w:rFonts w:ascii="Century Gothic" w:hAnsi="Century Gothic" w:cs="Arial"/>
          <w:color w:val="000000"/>
          <w:sz w:val="14"/>
          <w:szCs w:val="14"/>
          <w:lang w:val="es-ES"/>
        </w:rPr>
        <w:t>Parágrafo 1o. A partir de la vigencia de la presente ley, el ciudadano podrá expedir certificado digital que acredita la definición de la situación militar como reservista de segunda clase a través del portal web dispuesto para tal fin, el cual gozará del carácter de documento público. […]”.</w:t>
      </w:r>
    </w:p>
  </w:footnote>
  <w:footnote w:id="6">
    <w:p w14:paraId="5CF2A6FF" w14:textId="77777777" w:rsidR="00441178" w:rsidRPr="00CF4066" w:rsidRDefault="00441178" w:rsidP="00441178">
      <w:pPr>
        <w:pStyle w:val="Textonotapie"/>
        <w:ind w:firstLine="708"/>
        <w:contextualSpacing/>
        <w:jc w:val="both"/>
        <w:rPr>
          <w:rFonts w:ascii="Century Gothic" w:hAnsi="Century Gothic" w:cs="Arial"/>
          <w:sz w:val="14"/>
          <w:szCs w:val="14"/>
        </w:rPr>
      </w:pPr>
    </w:p>
    <w:p w14:paraId="63FD5D5A" w14:textId="77777777" w:rsidR="00441178" w:rsidRPr="00CF4066" w:rsidRDefault="00441178" w:rsidP="00441178">
      <w:pPr>
        <w:pStyle w:val="Textonotapie"/>
        <w:ind w:firstLine="708"/>
        <w:contextualSpacing/>
        <w:jc w:val="both"/>
        <w:rPr>
          <w:rFonts w:ascii="Century Gothic" w:hAnsi="Century Gothic" w:cs="Arial"/>
          <w:color w:val="000000"/>
          <w:sz w:val="14"/>
          <w:szCs w:val="14"/>
          <w:lang w:val="es-ES"/>
        </w:rPr>
      </w:pPr>
      <w:r w:rsidRPr="00CF4066">
        <w:rPr>
          <w:rStyle w:val="Refdenotaalpie"/>
          <w:rFonts w:ascii="Century Gothic" w:hAnsi="Century Gothic" w:cs="Arial"/>
          <w:sz w:val="14"/>
          <w:szCs w:val="14"/>
        </w:rPr>
        <w:footnoteRef/>
      </w:r>
      <w:r w:rsidRPr="00CF4066">
        <w:rPr>
          <w:rFonts w:ascii="Century Gothic" w:hAnsi="Century Gothic" w:cs="Arial"/>
          <w:sz w:val="14"/>
          <w:szCs w:val="14"/>
        </w:rPr>
        <w:t xml:space="preserve"> </w:t>
      </w:r>
      <w:r w:rsidRPr="00CF4066">
        <w:rPr>
          <w:rFonts w:ascii="Century Gothic" w:hAnsi="Century Gothic" w:cs="Arial"/>
          <w:color w:val="000000"/>
          <w:sz w:val="14"/>
          <w:szCs w:val="14"/>
          <w:lang w:val="es-ES"/>
        </w:rPr>
        <w:t>“</w:t>
      </w:r>
      <w:r w:rsidRPr="00CF4066">
        <w:rPr>
          <w:rFonts w:ascii="Century Gothic" w:hAnsi="Century Gothic" w:cs="Arial"/>
          <w:sz w:val="14"/>
          <w:szCs w:val="14"/>
        </w:rPr>
        <w:t>Artículo 41. Cédula Militar. Para los oficiales, suboficiales, soldados e infantes de marina profesionales en servicio activo, situación de retiro o de reserva la cédula militar reemplaza la tarjeta de reservista para todos los actos en que esta sea requerida</w:t>
      </w:r>
      <w:r w:rsidRPr="00CF4066">
        <w:rPr>
          <w:rFonts w:ascii="Century Gothic" w:hAnsi="Century Gothic" w:cs="Arial"/>
          <w:color w:val="000000"/>
          <w:sz w:val="14"/>
          <w:szCs w:val="14"/>
          <w:lang w:val="es-ES"/>
        </w:rPr>
        <w:t>”.</w:t>
      </w:r>
    </w:p>
    <w:p w14:paraId="09F321F0" w14:textId="77777777" w:rsidR="00441178" w:rsidRPr="00CF4066" w:rsidRDefault="00441178" w:rsidP="00441178">
      <w:pPr>
        <w:pStyle w:val="Textonotapie"/>
        <w:ind w:firstLine="708"/>
        <w:contextualSpacing/>
        <w:jc w:val="both"/>
        <w:rPr>
          <w:rFonts w:ascii="Century Gothic" w:hAnsi="Century Gothic" w:cs="Arial"/>
          <w:i/>
          <w:iCs/>
          <w:sz w:val="14"/>
          <w:szCs w:val="14"/>
          <w:lang w:val="es-CO"/>
        </w:rPr>
      </w:pPr>
    </w:p>
  </w:footnote>
  <w:footnote w:id="7">
    <w:p w14:paraId="4F69984D" w14:textId="77777777" w:rsidR="00441178" w:rsidRPr="00CF4066" w:rsidRDefault="00441178" w:rsidP="00441178">
      <w:pPr>
        <w:ind w:firstLine="709"/>
        <w:contextualSpacing/>
        <w:jc w:val="both"/>
        <w:rPr>
          <w:rFonts w:ascii="Century Gothic" w:hAnsi="Century Gothic" w:cs="Arial"/>
          <w:color w:val="000000"/>
          <w:sz w:val="14"/>
          <w:szCs w:val="14"/>
          <w:lang w:val="es-ES"/>
        </w:rPr>
      </w:pPr>
      <w:r w:rsidRPr="00CF4066">
        <w:rPr>
          <w:rStyle w:val="Refdenotaalpie"/>
          <w:rFonts w:ascii="Century Gothic" w:hAnsi="Century Gothic" w:cs="Arial"/>
          <w:sz w:val="14"/>
          <w:szCs w:val="14"/>
        </w:rPr>
        <w:footnoteRef/>
      </w:r>
      <w:r w:rsidRPr="00CF4066">
        <w:rPr>
          <w:rFonts w:ascii="Century Gothic" w:hAnsi="Century Gothic" w:cs="Arial"/>
          <w:sz w:val="14"/>
          <w:szCs w:val="14"/>
        </w:rPr>
        <w:t xml:space="preserve"> </w:t>
      </w:r>
      <w:r w:rsidRPr="00CF4066">
        <w:rPr>
          <w:rFonts w:ascii="Century Gothic" w:hAnsi="Century Gothic" w:cs="Arial"/>
          <w:color w:val="000000"/>
          <w:sz w:val="14"/>
          <w:szCs w:val="14"/>
          <w:lang w:val="es-ES"/>
        </w:rPr>
        <w:t xml:space="preserve">Las Entidades Estatales, al momento de celebrar un contrato de prestación de servicios con una persona natural, deben verificar que la situación militar del futuro contratista se encuentra definida, a través de la tarjeta de reservista o el certificado digital del que habla el artículo 40 de la Ley 1861 de 2017. Ver Circular Externa Única. Agencia Nacional de Contratación Pública Colombia Compra Eficiente. 2022. Disponible en: </w:t>
      </w:r>
      <w:hyperlink r:id="rId2" w:history="1">
        <w:r w:rsidRPr="00CF4066">
          <w:rPr>
            <w:rStyle w:val="Hipervnculo"/>
            <w:rFonts w:ascii="Century Gothic" w:hAnsi="Century Gothic" w:cs="Arial"/>
            <w:sz w:val="14"/>
            <w:szCs w:val="14"/>
          </w:rPr>
          <w:t>https://www.colombiacompra.gov.co/sites/cce_public/files/cce_circulares/cce-eicp-ma-06_circular_externa_con_comentarios_de_ciudadanos-_v2f_002.pdf</w:t>
        </w:r>
      </w:hyperlink>
      <w:r w:rsidRPr="00CF4066">
        <w:rPr>
          <w:rFonts w:ascii="Century Gothic" w:hAnsi="Century Gothic" w:cs="Arial"/>
          <w:color w:val="000000"/>
          <w:sz w:val="14"/>
          <w:szCs w:val="14"/>
          <w:lang w:val="es-ES"/>
        </w:rPr>
        <w:t xml:space="preserve"> </w:t>
      </w:r>
    </w:p>
    <w:p w14:paraId="2104B0F2" w14:textId="77777777" w:rsidR="00441178" w:rsidRPr="00CF4066" w:rsidRDefault="00441178" w:rsidP="00441178">
      <w:pPr>
        <w:ind w:firstLine="709"/>
        <w:contextualSpacing/>
        <w:jc w:val="both"/>
        <w:rPr>
          <w:rFonts w:ascii="Century Gothic" w:hAnsi="Century Gothic" w:cs="Arial"/>
          <w:sz w:val="14"/>
          <w:szCs w:val="14"/>
        </w:rPr>
      </w:pPr>
    </w:p>
  </w:footnote>
  <w:footnote w:id="8">
    <w:p w14:paraId="4C04E7C4" w14:textId="77777777" w:rsidR="00441178" w:rsidRPr="00CF4066" w:rsidRDefault="00441178" w:rsidP="00441178">
      <w:pPr>
        <w:pStyle w:val="Textonotapie"/>
        <w:ind w:firstLine="708"/>
        <w:contextualSpacing/>
        <w:jc w:val="both"/>
        <w:rPr>
          <w:rFonts w:ascii="Century Gothic" w:hAnsi="Century Gothic" w:cs="Arial"/>
          <w:sz w:val="14"/>
          <w:szCs w:val="14"/>
        </w:rPr>
      </w:pPr>
      <w:r w:rsidRPr="00CF4066">
        <w:rPr>
          <w:rStyle w:val="Refdenotaalpie"/>
          <w:rFonts w:ascii="Century Gothic" w:hAnsi="Century Gothic" w:cs="Arial"/>
          <w:sz w:val="14"/>
          <w:szCs w:val="14"/>
        </w:rPr>
        <w:footnoteRef/>
      </w:r>
      <w:r w:rsidRPr="00CF4066">
        <w:rPr>
          <w:rFonts w:ascii="Century Gothic" w:hAnsi="Century Gothic" w:cs="Arial"/>
          <w:sz w:val="14"/>
          <w:szCs w:val="14"/>
        </w:rPr>
        <w:t xml:space="preserve"> Corte Constitucional. Sentencia C-277 del 19 de junio de 2019. M.P. Carlos Bernal Pulido.</w:t>
      </w:r>
    </w:p>
    <w:p w14:paraId="733C185A" w14:textId="77777777" w:rsidR="00441178" w:rsidRPr="00CF4066" w:rsidRDefault="00441178" w:rsidP="00441178">
      <w:pPr>
        <w:pStyle w:val="Textonotapie"/>
        <w:ind w:firstLine="708"/>
        <w:contextualSpacing/>
        <w:jc w:val="both"/>
        <w:rPr>
          <w:rFonts w:ascii="Century Gothic" w:hAnsi="Century Gothic" w:cs="Arial"/>
          <w:sz w:val="14"/>
          <w:szCs w:val="14"/>
          <w:lang w:val="es-CO"/>
        </w:rPr>
      </w:pPr>
    </w:p>
  </w:footnote>
  <w:footnote w:id="9">
    <w:p w14:paraId="637F1FD7" w14:textId="77777777" w:rsidR="00441178" w:rsidRPr="00CF4066" w:rsidRDefault="00441178" w:rsidP="00441178">
      <w:pPr>
        <w:pStyle w:val="Textonotapie"/>
        <w:ind w:firstLine="708"/>
        <w:contextualSpacing/>
        <w:rPr>
          <w:rFonts w:ascii="Century Gothic" w:hAnsi="Century Gothic" w:cs="Arial"/>
          <w:sz w:val="14"/>
          <w:szCs w:val="14"/>
        </w:rPr>
      </w:pPr>
      <w:r w:rsidRPr="00CF4066">
        <w:rPr>
          <w:rStyle w:val="Refdenotaalpie"/>
          <w:rFonts w:ascii="Century Gothic" w:hAnsi="Century Gothic" w:cs="Arial"/>
          <w:sz w:val="14"/>
          <w:szCs w:val="14"/>
        </w:rPr>
        <w:footnoteRef/>
      </w:r>
      <w:r w:rsidRPr="00CF4066">
        <w:rPr>
          <w:rFonts w:ascii="Century Gothic" w:hAnsi="Century Gothic" w:cs="Arial"/>
          <w:sz w:val="14"/>
          <w:szCs w:val="14"/>
        </w:rPr>
        <w:t xml:space="preserve"> </w:t>
      </w:r>
      <w:r w:rsidRPr="00CF4066">
        <w:rPr>
          <w:rFonts w:ascii="Century Gothic" w:hAnsi="Century Gothic" w:cs="Arial"/>
          <w:i/>
          <w:iCs/>
          <w:sz w:val="14"/>
          <w:szCs w:val="14"/>
        </w:rPr>
        <w:t>Ibidem</w:t>
      </w:r>
      <w:r w:rsidRPr="00CF4066">
        <w:rPr>
          <w:rFonts w:ascii="Century Gothic" w:hAnsi="Century Gothic" w:cs="Arial"/>
          <w:sz w:val="14"/>
          <w:szCs w:val="14"/>
        </w:rPr>
        <w:t xml:space="preserve">. </w:t>
      </w:r>
    </w:p>
    <w:p w14:paraId="1EF571B8" w14:textId="77777777" w:rsidR="00441178" w:rsidRPr="00CF4066" w:rsidRDefault="00441178" w:rsidP="00441178">
      <w:pPr>
        <w:pStyle w:val="Textonotapie"/>
        <w:ind w:firstLine="708"/>
        <w:contextualSpacing/>
        <w:rPr>
          <w:rFonts w:ascii="Century Gothic" w:hAnsi="Century Gothic" w:cs="Arial"/>
          <w:sz w:val="14"/>
          <w:szCs w:val="14"/>
          <w:lang w:val="es-CO"/>
        </w:rPr>
      </w:pPr>
    </w:p>
  </w:footnote>
  <w:footnote w:id="10">
    <w:p w14:paraId="491867ED" w14:textId="77777777" w:rsidR="00441178" w:rsidRPr="00CF4066" w:rsidRDefault="00441178" w:rsidP="00441178">
      <w:pPr>
        <w:pStyle w:val="Car1"/>
        <w:ind w:firstLine="709"/>
        <w:contextualSpacing/>
        <w:jc w:val="both"/>
        <w:rPr>
          <w:rFonts w:ascii="Century Gothic" w:hAnsi="Century Gothic" w:cs="Arial"/>
          <w:color w:val="000000"/>
          <w:sz w:val="14"/>
          <w:szCs w:val="14"/>
          <w:lang w:val="es-ES"/>
        </w:rPr>
      </w:pPr>
      <w:r w:rsidRPr="00CF4066">
        <w:rPr>
          <w:rStyle w:val="Refdenotaalpie"/>
          <w:rFonts w:ascii="Century Gothic" w:hAnsi="Century Gothic" w:cs="Arial"/>
          <w:sz w:val="14"/>
          <w:szCs w:val="14"/>
        </w:rPr>
        <w:footnoteRef/>
      </w:r>
      <w:r w:rsidRPr="00CF4066">
        <w:rPr>
          <w:rFonts w:ascii="Century Gothic" w:hAnsi="Century Gothic" w:cs="Arial"/>
          <w:color w:val="000000"/>
          <w:sz w:val="14"/>
          <w:szCs w:val="14"/>
          <w:lang w:val="es-ES"/>
        </w:rPr>
        <w:t>“</w:t>
      </w:r>
      <w:r w:rsidRPr="00CF4066">
        <w:rPr>
          <w:rFonts w:ascii="Century Gothic" w:hAnsi="Century Gothic" w:cs="Arial"/>
          <w:color w:val="000000"/>
          <w:sz w:val="14"/>
          <w:szCs w:val="14"/>
          <w:lang w:val="es-CO"/>
        </w:rPr>
        <w:t>PARÁGRAFO 1o. &lt;Aparte subrayado CONDICIONALMENTE exequible&gt; Las personas declaradas no aptas, exentas o que hayan superado la edad máxima de incorporación a filas, que tengan una vinculación laboral vigente y no hayan definido su situación militar, tendrán un plazo para normalizar su situación de dieciocho (18) meses contados a partir de la vigencia de la presente ley</w:t>
      </w:r>
      <w:r w:rsidRPr="00CF4066">
        <w:rPr>
          <w:rFonts w:ascii="Century Gothic" w:hAnsi="Century Gothic" w:cs="Arial"/>
          <w:color w:val="000000"/>
          <w:sz w:val="14"/>
          <w:szCs w:val="14"/>
          <w:lang w:val="es-ES"/>
        </w:rPr>
        <w:t>”.</w:t>
      </w:r>
    </w:p>
    <w:p w14:paraId="4857BEE5" w14:textId="77777777" w:rsidR="00441178" w:rsidRPr="00CF4066" w:rsidRDefault="00441178" w:rsidP="00441178">
      <w:pPr>
        <w:pStyle w:val="Textonotapie"/>
        <w:contextualSpacing/>
        <w:rPr>
          <w:rFonts w:ascii="Century Gothic" w:hAnsi="Century Gothic" w:cs="Arial"/>
          <w:sz w:val="14"/>
          <w:szCs w:val="14"/>
          <w:lang w:val="es-ES"/>
        </w:rPr>
      </w:pPr>
    </w:p>
  </w:footnote>
  <w:footnote w:id="11">
    <w:p w14:paraId="69434230" w14:textId="77777777" w:rsidR="00441178" w:rsidRPr="00CF4066" w:rsidRDefault="00441178" w:rsidP="00441178">
      <w:pPr>
        <w:pStyle w:val="Textonotapie"/>
        <w:ind w:firstLine="708"/>
        <w:contextualSpacing/>
        <w:jc w:val="both"/>
        <w:rPr>
          <w:rFonts w:ascii="Century Gothic" w:hAnsi="Century Gothic" w:cs="Arial"/>
          <w:sz w:val="14"/>
          <w:szCs w:val="14"/>
          <w:lang w:val="es-CO"/>
        </w:rPr>
      </w:pPr>
      <w:r w:rsidRPr="00CF4066">
        <w:rPr>
          <w:rStyle w:val="Refdenotaalpie"/>
          <w:rFonts w:ascii="Century Gothic" w:hAnsi="Century Gothic" w:cs="Arial"/>
          <w:sz w:val="14"/>
          <w:szCs w:val="14"/>
        </w:rPr>
        <w:footnoteRef/>
      </w:r>
      <w:r w:rsidRPr="00CF4066">
        <w:rPr>
          <w:rFonts w:ascii="Century Gothic" w:hAnsi="Century Gothic" w:cs="Arial"/>
          <w:sz w:val="14"/>
          <w:szCs w:val="14"/>
        </w:rPr>
        <w:t xml:space="preserve"> CORTE CONSTITUCIONAL. Sentencia C-277 del 19 de junio de 2019. M.P. Carlos Bernal Pulido.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0563B85"/>
    <w:multiLevelType w:val="hybridMultilevel"/>
    <w:tmpl w:val="8CFE8CF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0"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CC8363F"/>
    <w:multiLevelType w:val="hybridMultilevel"/>
    <w:tmpl w:val="BD96C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E895A2E"/>
    <w:multiLevelType w:val="hybridMultilevel"/>
    <w:tmpl w:val="A52C0E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825752D"/>
    <w:multiLevelType w:val="hybridMultilevel"/>
    <w:tmpl w:val="E23A8282"/>
    <w:lvl w:ilvl="0" w:tplc="99E6A860">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1290670214">
    <w:abstractNumId w:val="7"/>
  </w:num>
  <w:num w:numId="2" w16cid:durableId="4285022">
    <w:abstractNumId w:val="3"/>
  </w:num>
  <w:num w:numId="3" w16cid:durableId="881983949">
    <w:abstractNumId w:val="4"/>
  </w:num>
  <w:num w:numId="4" w16cid:durableId="341274352">
    <w:abstractNumId w:val="1"/>
  </w:num>
  <w:num w:numId="5" w16cid:durableId="1887524674">
    <w:abstractNumId w:val="9"/>
  </w:num>
  <w:num w:numId="6" w16cid:durableId="1082990391">
    <w:abstractNumId w:val="2"/>
  </w:num>
  <w:num w:numId="7" w16cid:durableId="1492209491">
    <w:abstractNumId w:val="6"/>
  </w:num>
  <w:num w:numId="8" w16cid:durableId="679089576">
    <w:abstractNumId w:val="8"/>
  </w:num>
  <w:num w:numId="9" w16cid:durableId="1995644544">
    <w:abstractNumId w:val="11"/>
  </w:num>
  <w:num w:numId="10" w16cid:durableId="1264656397">
    <w:abstractNumId w:val="10"/>
  </w:num>
  <w:num w:numId="11" w16cid:durableId="736322695">
    <w:abstractNumId w:val="12"/>
  </w:num>
  <w:num w:numId="12" w16cid:durableId="462388624">
    <w:abstractNumId w:val="14"/>
  </w:num>
  <w:num w:numId="13" w16cid:durableId="461969141">
    <w:abstractNumId w:val="13"/>
  </w:num>
  <w:num w:numId="14" w16cid:durableId="787093055">
    <w:abstractNumId w:val="0"/>
  </w:num>
  <w:num w:numId="15" w16cid:durableId="6838703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8"/>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3F8F"/>
    <w:rsid w:val="00005BB0"/>
    <w:rsid w:val="0001025F"/>
    <w:rsid w:val="00011A77"/>
    <w:rsid w:val="0001222D"/>
    <w:rsid w:val="000135EB"/>
    <w:rsid w:val="00015D2B"/>
    <w:rsid w:val="00023823"/>
    <w:rsid w:val="0002558A"/>
    <w:rsid w:val="00031584"/>
    <w:rsid w:val="00032A0E"/>
    <w:rsid w:val="00037347"/>
    <w:rsid w:val="00040A35"/>
    <w:rsid w:val="000442CC"/>
    <w:rsid w:val="00045B79"/>
    <w:rsid w:val="000556D4"/>
    <w:rsid w:val="000716AB"/>
    <w:rsid w:val="00082E4C"/>
    <w:rsid w:val="000849D5"/>
    <w:rsid w:val="0008528F"/>
    <w:rsid w:val="00090E20"/>
    <w:rsid w:val="000A6E0C"/>
    <w:rsid w:val="000A7A56"/>
    <w:rsid w:val="000B1FF7"/>
    <w:rsid w:val="000B2513"/>
    <w:rsid w:val="000B4024"/>
    <w:rsid w:val="000B5FFE"/>
    <w:rsid w:val="000C3C51"/>
    <w:rsid w:val="000C7262"/>
    <w:rsid w:val="000D2A7F"/>
    <w:rsid w:val="000D49FB"/>
    <w:rsid w:val="000D4FCE"/>
    <w:rsid w:val="000E670C"/>
    <w:rsid w:val="000F2DCB"/>
    <w:rsid w:val="001079A9"/>
    <w:rsid w:val="0011037E"/>
    <w:rsid w:val="00124D0E"/>
    <w:rsid w:val="001363C7"/>
    <w:rsid w:val="00141AC5"/>
    <w:rsid w:val="00146B11"/>
    <w:rsid w:val="00147A04"/>
    <w:rsid w:val="0015476D"/>
    <w:rsid w:val="00161E13"/>
    <w:rsid w:val="00164AE0"/>
    <w:rsid w:val="00165E83"/>
    <w:rsid w:val="00166CD7"/>
    <w:rsid w:val="001706BC"/>
    <w:rsid w:val="0017120C"/>
    <w:rsid w:val="00172F3A"/>
    <w:rsid w:val="0019532A"/>
    <w:rsid w:val="0019670E"/>
    <w:rsid w:val="00197205"/>
    <w:rsid w:val="00197C18"/>
    <w:rsid w:val="001A5DD4"/>
    <w:rsid w:val="001A67E9"/>
    <w:rsid w:val="001B0DE5"/>
    <w:rsid w:val="001B143B"/>
    <w:rsid w:val="001B21CA"/>
    <w:rsid w:val="001B5566"/>
    <w:rsid w:val="001C04FC"/>
    <w:rsid w:val="001C25A3"/>
    <w:rsid w:val="001C5D03"/>
    <w:rsid w:val="001C7771"/>
    <w:rsid w:val="001D62FF"/>
    <w:rsid w:val="001E2B8E"/>
    <w:rsid w:val="001E5CC4"/>
    <w:rsid w:val="001F3F48"/>
    <w:rsid w:val="002000AA"/>
    <w:rsid w:val="00203EBB"/>
    <w:rsid w:val="00204109"/>
    <w:rsid w:val="0021026D"/>
    <w:rsid w:val="00211E6E"/>
    <w:rsid w:val="00212A46"/>
    <w:rsid w:val="0021401D"/>
    <w:rsid w:val="002146B8"/>
    <w:rsid w:val="00215516"/>
    <w:rsid w:val="00217786"/>
    <w:rsid w:val="00235798"/>
    <w:rsid w:val="00244C79"/>
    <w:rsid w:val="002527C2"/>
    <w:rsid w:val="002536F1"/>
    <w:rsid w:val="00270443"/>
    <w:rsid w:val="00270EE2"/>
    <w:rsid w:val="00272972"/>
    <w:rsid w:val="0028252D"/>
    <w:rsid w:val="00285F49"/>
    <w:rsid w:val="00286491"/>
    <w:rsid w:val="00291A05"/>
    <w:rsid w:val="002A097D"/>
    <w:rsid w:val="002A0F8D"/>
    <w:rsid w:val="002A65BB"/>
    <w:rsid w:val="002B6E44"/>
    <w:rsid w:val="002D5318"/>
    <w:rsid w:val="002D580F"/>
    <w:rsid w:val="002E1DB5"/>
    <w:rsid w:val="002F3468"/>
    <w:rsid w:val="002F6CCB"/>
    <w:rsid w:val="00300925"/>
    <w:rsid w:val="00304090"/>
    <w:rsid w:val="0030461E"/>
    <w:rsid w:val="00326A6B"/>
    <w:rsid w:val="0032756A"/>
    <w:rsid w:val="003304E0"/>
    <w:rsid w:val="00334EF8"/>
    <w:rsid w:val="00336408"/>
    <w:rsid w:val="00340DFB"/>
    <w:rsid w:val="0034404F"/>
    <w:rsid w:val="003471E6"/>
    <w:rsid w:val="00356980"/>
    <w:rsid w:val="003639DA"/>
    <w:rsid w:val="00367462"/>
    <w:rsid w:val="00371ECA"/>
    <w:rsid w:val="00372748"/>
    <w:rsid w:val="0037332A"/>
    <w:rsid w:val="0037524E"/>
    <w:rsid w:val="0038151A"/>
    <w:rsid w:val="0039082A"/>
    <w:rsid w:val="00390C21"/>
    <w:rsid w:val="003A37BD"/>
    <w:rsid w:val="003B6D94"/>
    <w:rsid w:val="003C0DF9"/>
    <w:rsid w:val="003C4C96"/>
    <w:rsid w:val="003C55E0"/>
    <w:rsid w:val="003E36FF"/>
    <w:rsid w:val="003F519B"/>
    <w:rsid w:val="00404EAA"/>
    <w:rsid w:val="0040544F"/>
    <w:rsid w:val="00406A19"/>
    <w:rsid w:val="0041222D"/>
    <w:rsid w:val="0041483E"/>
    <w:rsid w:val="00415369"/>
    <w:rsid w:val="004221C8"/>
    <w:rsid w:val="00430492"/>
    <w:rsid w:val="00432FFE"/>
    <w:rsid w:val="00437D03"/>
    <w:rsid w:val="00441178"/>
    <w:rsid w:val="0044773D"/>
    <w:rsid w:val="00450BE7"/>
    <w:rsid w:val="0046741E"/>
    <w:rsid w:val="00472CC6"/>
    <w:rsid w:val="0048026E"/>
    <w:rsid w:val="004807A9"/>
    <w:rsid w:val="004813EE"/>
    <w:rsid w:val="00484FBA"/>
    <w:rsid w:val="00490C3E"/>
    <w:rsid w:val="00493278"/>
    <w:rsid w:val="004943D9"/>
    <w:rsid w:val="004A0E7B"/>
    <w:rsid w:val="004A2F28"/>
    <w:rsid w:val="004A3498"/>
    <w:rsid w:val="004B0C45"/>
    <w:rsid w:val="004C0AB2"/>
    <w:rsid w:val="004C1619"/>
    <w:rsid w:val="004C1A26"/>
    <w:rsid w:val="004C1CC9"/>
    <w:rsid w:val="004C3755"/>
    <w:rsid w:val="004C4485"/>
    <w:rsid w:val="004D11AF"/>
    <w:rsid w:val="00500DFA"/>
    <w:rsid w:val="005019AA"/>
    <w:rsid w:val="005021BB"/>
    <w:rsid w:val="005139E7"/>
    <w:rsid w:val="005147DA"/>
    <w:rsid w:val="00515FB5"/>
    <w:rsid w:val="005207F7"/>
    <w:rsid w:val="0052365C"/>
    <w:rsid w:val="005271EB"/>
    <w:rsid w:val="005426DB"/>
    <w:rsid w:val="0055082B"/>
    <w:rsid w:val="00552503"/>
    <w:rsid w:val="00552B57"/>
    <w:rsid w:val="00557DA1"/>
    <w:rsid w:val="0056322C"/>
    <w:rsid w:val="00586562"/>
    <w:rsid w:val="0058743A"/>
    <w:rsid w:val="005A4DB0"/>
    <w:rsid w:val="005A7B8E"/>
    <w:rsid w:val="005B012B"/>
    <w:rsid w:val="005B0C87"/>
    <w:rsid w:val="005B239B"/>
    <w:rsid w:val="005B56F6"/>
    <w:rsid w:val="005C273B"/>
    <w:rsid w:val="005C4978"/>
    <w:rsid w:val="005D23F6"/>
    <w:rsid w:val="005D2FA8"/>
    <w:rsid w:val="005E2281"/>
    <w:rsid w:val="005E667C"/>
    <w:rsid w:val="005E6DB2"/>
    <w:rsid w:val="005F077C"/>
    <w:rsid w:val="005F50D7"/>
    <w:rsid w:val="005F5F33"/>
    <w:rsid w:val="005F63D0"/>
    <w:rsid w:val="005F7973"/>
    <w:rsid w:val="00606D1F"/>
    <w:rsid w:val="0061690E"/>
    <w:rsid w:val="00627361"/>
    <w:rsid w:val="0063017E"/>
    <w:rsid w:val="00631B28"/>
    <w:rsid w:val="006450EE"/>
    <w:rsid w:val="00645B90"/>
    <w:rsid w:val="00650991"/>
    <w:rsid w:val="006511D7"/>
    <w:rsid w:val="006528D6"/>
    <w:rsid w:val="00653E3C"/>
    <w:rsid w:val="00663D75"/>
    <w:rsid w:val="0066531E"/>
    <w:rsid w:val="00670AEF"/>
    <w:rsid w:val="00673FF4"/>
    <w:rsid w:val="00675678"/>
    <w:rsid w:val="00676A8B"/>
    <w:rsid w:val="00677012"/>
    <w:rsid w:val="006825B4"/>
    <w:rsid w:val="00682AF2"/>
    <w:rsid w:val="006864DF"/>
    <w:rsid w:val="006A1D37"/>
    <w:rsid w:val="006A3C8A"/>
    <w:rsid w:val="006A7552"/>
    <w:rsid w:val="006B5953"/>
    <w:rsid w:val="006B7A81"/>
    <w:rsid w:val="006C4BAC"/>
    <w:rsid w:val="006C52F3"/>
    <w:rsid w:val="006D570B"/>
    <w:rsid w:val="006D702C"/>
    <w:rsid w:val="006E1F18"/>
    <w:rsid w:val="006E7F37"/>
    <w:rsid w:val="006F3B81"/>
    <w:rsid w:val="006F4F79"/>
    <w:rsid w:val="00705B37"/>
    <w:rsid w:val="00711FD9"/>
    <w:rsid w:val="00735062"/>
    <w:rsid w:val="00745400"/>
    <w:rsid w:val="00746BA5"/>
    <w:rsid w:val="00751D23"/>
    <w:rsid w:val="00770577"/>
    <w:rsid w:val="00777666"/>
    <w:rsid w:val="0078159B"/>
    <w:rsid w:val="0078296B"/>
    <w:rsid w:val="00782E10"/>
    <w:rsid w:val="0078706B"/>
    <w:rsid w:val="00790836"/>
    <w:rsid w:val="00797131"/>
    <w:rsid w:val="007A3C1D"/>
    <w:rsid w:val="007B285D"/>
    <w:rsid w:val="007C6BC6"/>
    <w:rsid w:val="00807D79"/>
    <w:rsid w:val="00813634"/>
    <w:rsid w:val="00822821"/>
    <w:rsid w:val="00831C29"/>
    <w:rsid w:val="008430A8"/>
    <w:rsid w:val="008431EA"/>
    <w:rsid w:val="008431EF"/>
    <w:rsid w:val="008468E0"/>
    <w:rsid w:val="00865FBA"/>
    <w:rsid w:val="00871B59"/>
    <w:rsid w:val="00876251"/>
    <w:rsid w:val="00877D03"/>
    <w:rsid w:val="00877E96"/>
    <w:rsid w:val="008806CA"/>
    <w:rsid w:val="008815E5"/>
    <w:rsid w:val="00881D8B"/>
    <w:rsid w:val="00887B37"/>
    <w:rsid w:val="008909B9"/>
    <w:rsid w:val="00891DFC"/>
    <w:rsid w:val="008B12B4"/>
    <w:rsid w:val="008B7914"/>
    <w:rsid w:val="008C5D2A"/>
    <w:rsid w:val="008C7AF4"/>
    <w:rsid w:val="008D1EB8"/>
    <w:rsid w:val="008D529F"/>
    <w:rsid w:val="008F02FB"/>
    <w:rsid w:val="008F5CC8"/>
    <w:rsid w:val="009061B8"/>
    <w:rsid w:val="00906A90"/>
    <w:rsid w:val="0091008B"/>
    <w:rsid w:val="00911EA2"/>
    <w:rsid w:val="00916C7D"/>
    <w:rsid w:val="00923D6E"/>
    <w:rsid w:val="0092575D"/>
    <w:rsid w:val="009341DA"/>
    <w:rsid w:val="009430F9"/>
    <w:rsid w:val="009442E8"/>
    <w:rsid w:val="009457B6"/>
    <w:rsid w:val="009466BA"/>
    <w:rsid w:val="00946BD0"/>
    <w:rsid w:val="00951593"/>
    <w:rsid w:val="00953F42"/>
    <w:rsid w:val="0095426C"/>
    <w:rsid w:val="00962196"/>
    <w:rsid w:val="00970087"/>
    <w:rsid w:val="00971074"/>
    <w:rsid w:val="0098266D"/>
    <w:rsid w:val="00987B8D"/>
    <w:rsid w:val="00993749"/>
    <w:rsid w:val="00995D86"/>
    <w:rsid w:val="009A5453"/>
    <w:rsid w:val="009B1186"/>
    <w:rsid w:val="009B4D94"/>
    <w:rsid w:val="009C2871"/>
    <w:rsid w:val="009C7CB5"/>
    <w:rsid w:val="009D2600"/>
    <w:rsid w:val="009D3C33"/>
    <w:rsid w:val="009D7F3A"/>
    <w:rsid w:val="009E4885"/>
    <w:rsid w:val="009F5A6D"/>
    <w:rsid w:val="00A03E81"/>
    <w:rsid w:val="00A07DB6"/>
    <w:rsid w:val="00A10A73"/>
    <w:rsid w:val="00A115F6"/>
    <w:rsid w:val="00A170B3"/>
    <w:rsid w:val="00A223D5"/>
    <w:rsid w:val="00A37D1C"/>
    <w:rsid w:val="00A47318"/>
    <w:rsid w:val="00A5453E"/>
    <w:rsid w:val="00A55848"/>
    <w:rsid w:val="00A558E2"/>
    <w:rsid w:val="00A56F6C"/>
    <w:rsid w:val="00A679CB"/>
    <w:rsid w:val="00A76C8C"/>
    <w:rsid w:val="00A85F30"/>
    <w:rsid w:val="00A9099E"/>
    <w:rsid w:val="00A91FB7"/>
    <w:rsid w:val="00A9298F"/>
    <w:rsid w:val="00AA0351"/>
    <w:rsid w:val="00AA0DA9"/>
    <w:rsid w:val="00AA132B"/>
    <w:rsid w:val="00AA5F4A"/>
    <w:rsid w:val="00AB1984"/>
    <w:rsid w:val="00AB52B1"/>
    <w:rsid w:val="00AC1CAB"/>
    <w:rsid w:val="00AC4CB3"/>
    <w:rsid w:val="00AC780D"/>
    <w:rsid w:val="00AD036B"/>
    <w:rsid w:val="00AD1996"/>
    <w:rsid w:val="00AD4099"/>
    <w:rsid w:val="00AD4901"/>
    <w:rsid w:val="00AE3817"/>
    <w:rsid w:val="00AE5EC3"/>
    <w:rsid w:val="00B02FE0"/>
    <w:rsid w:val="00B057B6"/>
    <w:rsid w:val="00B118C5"/>
    <w:rsid w:val="00B30448"/>
    <w:rsid w:val="00B34786"/>
    <w:rsid w:val="00B400EC"/>
    <w:rsid w:val="00B40162"/>
    <w:rsid w:val="00B41ACE"/>
    <w:rsid w:val="00B50156"/>
    <w:rsid w:val="00B518AD"/>
    <w:rsid w:val="00B60A96"/>
    <w:rsid w:val="00B678EC"/>
    <w:rsid w:val="00B73DDD"/>
    <w:rsid w:val="00B76C94"/>
    <w:rsid w:val="00B772D0"/>
    <w:rsid w:val="00B836EA"/>
    <w:rsid w:val="00B84C05"/>
    <w:rsid w:val="00B91B81"/>
    <w:rsid w:val="00B97135"/>
    <w:rsid w:val="00BB3072"/>
    <w:rsid w:val="00BC7632"/>
    <w:rsid w:val="00BD48A9"/>
    <w:rsid w:val="00BD630F"/>
    <w:rsid w:val="00BD7EC6"/>
    <w:rsid w:val="00BE3E91"/>
    <w:rsid w:val="00BE45FE"/>
    <w:rsid w:val="00BE50C7"/>
    <w:rsid w:val="00BE73FA"/>
    <w:rsid w:val="00BF5C2A"/>
    <w:rsid w:val="00BF6B4B"/>
    <w:rsid w:val="00BF6E77"/>
    <w:rsid w:val="00C0511C"/>
    <w:rsid w:val="00C05DED"/>
    <w:rsid w:val="00C20ACF"/>
    <w:rsid w:val="00C22307"/>
    <w:rsid w:val="00C230AA"/>
    <w:rsid w:val="00C23469"/>
    <w:rsid w:val="00C30C62"/>
    <w:rsid w:val="00C315BE"/>
    <w:rsid w:val="00C371DF"/>
    <w:rsid w:val="00C42055"/>
    <w:rsid w:val="00C44B4C"/>
    <w:rsid w:val="00C46734"/>
    <w:rsid w:val="00C47A86"/>
    <w:rsid w:val="00C53220"/>
    <w:rsid w:val="00CA3347"/>
    <w:rsid w:val="00CA41EF"/>
    <w:rsid w:val="00CB28AD"/>
    <w:rsid w:val="00CC299A"/>
    <w:rsid w:val="00CD03E3"/>
    <w:rsid w:val="00CD3DF5"/>
    <w:rsid w:val="00CD4B04"/>
    <w:rsid w:val="00CE6BDA"/>
    <w:rsid w:val="00CF26FF"/>
    <w:rsid w:val="00D03DBE"/>
    <w:rsid w:val="00D072C0"/>
    <w:rsid w:val="00D131D2"/>
    <w:rsid w:val="00D33A2B"/>
    <w:rsid w:val="00D34C82"/>
    <w:rsid w:val="00D3515F"/>
    <w:rsid w:val="00D3757A"/>
    <w:rsid w:val="00D504A9"/>
    <w:rsid w:val="00D5206D"/>
    <w:rsid w:val="00D53CEB"/>
    <w:rsid w:val="00D7177D"/>
    <w:rsid w:val="00D81311"/>
    <w:rsid w:val="00D951AD"/>
    <w:rsid w:val="00DB1F59"/>
    <w:rsid w:val="00DB201E"/>
    <w:rsid w:val="00DB5D94"/>
    <w:rsid w:val="00DC0E68"/>
    <w:rsid w:val="00DC5D8C"/>
    <w:rsid w:val="00DC744B"/>
    <w:rsid w:val="00DD25ED"/>
    <w:rsid w:val="00DD68B2"/>
    <w:rsid w:val="00DE0D6E"/>
    <w:rsid w:val="00DE3E5A"/>
    <w:rsid w:val="00DF6F0B"/>
    <w:rsid w:val="00E1610C"/>
    <w:rsid w:val="00E16D73"/>
    <w:rsid w:val="00E23E9E"/>
    <w:rsid w:val="00E25722"/>
    <w:rsid w:val="00E27851"/>
    <w:rsid w:val="00E27F0A"/>
    <w:rsid w:val="00E4231E"/>
    <w:rsid w:val="00E4302C"/>
    <w:rsid w:val="00E44AC7"/>
    <w:rsid w:val="00E45F4B"/>
    <w:rsid w:val="00E50E08"/>
    <w:rsid w:val="00E60A16"/>
    <w:rsid w:val="00E82B6E"/>
    <w:rsid w:val="00E83657"/>
    <w:rsid w:val="00E92110"/>
    <w:rsid w:val="00E94258"/>
    <w:rsid w:val="00E947BD"/>
    <w:rsid w:val="00E96C18"/>
    <w:rsid w:val="00EA0B9C"/>
    <w:rsid w:val="00EA2E61"/>
    <w:rsid w:val="00EA7D7F"/>
    <w:rsid w:val="00EB01B5"/>
    <w:rsid w:val="00EB02F4"/>
    <w:rsid w:val="00EB2FA2"/>
    <w:rsid w:val="00EB769A"/>
    <w:rsid w:val="00EC3A35"/>
    <w:rsid w:val="00ED2BF0"/>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5B7"/>
    <w:rsid w:val="00F34E90"/>
    <w:rsid w:val="00F356D6"/>
    <w:rsid w:val="00F47695"/>
    <w:rsid w:val="00F53BE2"/>
    <w:rsid w:val="00F55684"/>
    <w:rsid w:val="00F57881"/>
    <w:rsid w:val="00F64D5A"/>
    <w:rsid w:val="00F675FB"/>
    <w:rsid w:val="00F709CD"/>
    <w:rsid w:val="00F906F4"/>
    <w:rsid w:val="00FA0716"/>
    <w:rsid w:val="00FB4629"/>
    <w:rsid w:val="00FB6FB1"/>
    <w:rsid w:val="00FB7063"/>
    <w:rsid w:val="00FC302F"/>
    <w:rsid w:val="00FC5FA1"/>
    <w:rsid w:val="00FC7056"/>
    <w:rsid w:val="00FE1A00"/>
    <w:rsid w:val="00FF2059"/>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29058090">
      <w:bodyDiv w:val="1"/>
      <w:marLeft w:val="0"/>
      <w:marRight w:val="0"/>
      <w:marTop w:val="0"/>
      <w:marBottom w:val="0"/>
      <w:divBdr>
        <w:top w:val="none" w:sz="0" w:space="0" w:color="auto"/>
        <w:left w:val="none" w:sz="0" w:space="0" w:color="auto"/>
        <w:bottom w:val="none" w:sz="0" w:space="0" w:color="auto"/>
        <w:right w:val="none" w:sz="0" w:space="0" w:color="auto"/>
      </w:divBdr>
      <w:divsChild>
        <w:div w:id="127861344">
          <w:marLeft w:val="0"/>
          <w:marRight w:val="0"/>
          <w:marTop w:val="0"/>
          <w:marBottom w:val="0"/>
          <w:divBdr>
            <w:top w:val="none" w:sz="0" w:space="0" w:color="auto"/>
            <w:left w:val="none" w:sz="0" w:space="0" w:color="auto"/>
            <w:bottom w:val="none" w:sz="0" w:space="0" w:color="auto"/>
            <w:right w:val="none" w:sz="0" w:space="0" w:color="auto"/>
          </w:divBdr>
        </w:div>
        <w:div w:id="584609174">
          <w:marLeft w:val="0"/>
          <w:marRight w:val="0"/>
          <w:marTop w:val="0"/>
          <w:marBottom w:val="0"/>
          <w:divBdr>
            <w:top w:val="none" w:sz="0" w:space="0" w:color="auto"/>
            <w:left w:val="none" w:sz="0" w:space="0" w:color="auto"/>
            <w:bottom w:val="none" w:sz="0" w:space="0" w:color="auto"/>
            <w:right w:val="none" w:sz="0" w:space="0" w:color="auto"/>
          </w:divBdr>
        </w:div>
        <w:div w:id="12710860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olombiacompra.gov.co/sites/cce_public/files/cce_circulares/circular_externa_unica_version_3_vf49.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circulares/cce-eicp-ma-06_circular_externa_con_comentarios_de_ciudadanos-_v2f_002.pdf" TargetMode="External"/><Relationship Id="rId1" Type="http://schemas.openxmlformats.org/officeDocument/2006/relationships/hyperlink" Target="https://www.libretamilitar.mil.co/Modules/Account/Regist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892</TotalTime>
  <Pages>14</Pages>
  <Words>3412</Words>
  <Characters>18769</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Maria Valeska Medellín Mora</cp:lastModifiedBy>
  <cp:revision>125</cp:revision>
  <dcterms:created xsi:type="dcterms:W3CDTF">2024-07-04T20:24:00Z</dcterms:created>
  <dcterms:modified xsi:type="dcterms:W3CDTF">2024-08-01T21:02:00Z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